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86A5B" w14:textId="77777777" w:rsidR="009A1584" w:rsidRPr="00E80020" w:rsidRDefault="009A1584" w:rsidP="009A1584">
      <w:pPr>
        <w:rPr>
          <w:color w:val="000000"/>
        </w:rPr>
      </w:pPr>
      <w:bookmarkStart w:id="0" w:name="_Toc168113228"/>
      <w:bookmarkStart w:id="1" w:name="_GoBack"/>
      <w:bookmarkEnd w:id="1"/>
      <w:r>
        <w:rPr>
          <w:noProof/>
          <w:color w:val="000000"/>
        </w:rPr>
        <w:drawing>
          <wp:inline distT="0" distB="0" distL="0" distR="0" wp14:anchorId="414A094C" wp14:editId="50538166">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DE517C6" w14:textId="6788FCCB" w:rsidR="009A1584" w:rsidRPr="00E80020" w:rsidRDefault="009A1584" w:rsidP="00094CEF">
      <w:pPr>
        <w:pStyle w:val="Title"/>
        <w:spacing w:before="480" w:after="0"/>
        <w:rPr>
          <w:color w:val="000000"/>
        </w:rPr>
      </w:pPr>
      <w:r w:rsidRPr="00E80020">
        <w:rPr>
          <w:color w:val="000000"/>
        </w:rPr>
        <w:t xml:space="preserve">Banking (prudential standard) </w:t>
      </w:r>
      <w:r w:rsidRPr="00E9009C">
        <w:rPr>
          <w:color w:val="000000"/>
        </w:rPr>
        <w:t xml:space="preserve">determination No. </w:t>
      </w:r>
      <w:r w:rsidR="00E9009C" w:rsidRPr="00E9009C">
        <w:rPr>
          <w:color w:val="000000"/>
        </w:rPr>
        <w:t>7</w:t>
      </w:r>
      <w:r w:rsidR="002604D4" w:rsidRPr="00E9009C">
        <w:rPr>
          <w:color w:val="000000"/>
        </w:rPr>
        <w:t xml:space="preserve"> </w:t>
      </w:r>
      <w:r w:rsidRPr="00E9009C">
        <w:rPr>
          <w:color w:val="000000"/>
        </w:rPr>
        <w:t xml:space="preserve">of </w:t>
      </w:r>
      <w:r w:rsidR="002604D4" w:rsidRPr="00E9009C">
        <w:rPr>
          <w:color w:val="000000"/>
        </w:rPr>
        <w:t>2020</w:t>
      </w:r>
    </w:p>
    <w:p w14:paraId="18CDE44B" w14:textId="21AE78FB" w:rsidR="009A1584" w:rsidRPr="00774C08" w:rsidRDefault="009A1584" w:rsidP="00094CEF">
      <w:pPr>
        <w:pStyle w:val="Title"/>
        <w:spacing w:before="480" w:after="0"/>
        <w:rPr>
          <w:color w:val="000000"/>
          <w:sz w:val="28"/>
          <w:szCs w:val="28"/>
        </w:rPr>
      </w:pPr>
      <w:r w:rsidRPr="00774C08">
        <w:rPr>
          <w:color w:val="000000"/>
          <w:sz w:val="28"/>
          <w:szCs w:val="28"/>
        </w:rPr>
        <w:t>Prudential Standard APS</w:t>
      </w:r>
      <w:r w:rsidR="002604D4">
        <w:rPr>
          <w:color w:val="000000"/>
          <w:sz w:val="28"/>
          <w:szCs w:val="28"/>
        </w:rPr>
        <w:t> </w:t>
      </w:r>
      <w:r>
        <w:rPr>
          <w:color w:val="000000"/>
          <w:sz w:val="28"/>
          <w:szCs w:val="28"/>
        </w:rPr>
        <w:t>222 Associations with Related Entities</w:t>
      </w:r>
    </w:p>
    <w:p w14:paraId="2DBBD129" w14:textId="77777777" w:rsidR="009A1584" w:rsidRPr="00E80020" w:rsidRDefault="009A1584" w:rsidP="009A1584">
      <w:pPr>
        <w:pStyle w:val="ActTitle"/>
        <w:rPr>
          <w:color w:val="000000"/>
        </w:rPr>
      </w:pPr>
      <w:r w:rsidRPr="00E80020">
        <w:rPr>
          <w:color w:val="000000"/>
        </w:rPr>
        <w:t>Banking Act 1959</w:t>
      </w:r>
    </w:p>
    <w:p w14:paraId="1953E96A" w14:textId="77777777" w:rsidR="009A1584" w:rsidRPr="00E80020" w:rsidRDefault="009A1584" w:rsidP="009A1584">
      <w:pPr>
        <w:pStyle w:val="IntroTo"/>
        <w:rPr>
          <w:color w:val="000000"/>
        </w:rPr>
      </w:pPr>
    </w:p>
    <w:p w14:paraId="432E40FA" w14:textId="77777777" w:rsidR="009A1584" w:rsidRDefault="009A1584" w:rsidP="009A1584">
      <w:pPr>
        <w:pStyle w:val="IntroTo"/>
        <w:ind w:left="0" w:firstLine="0"/>
        <w:jc w:val="both"/>
        <w:rPr>
          <w:szCs w:val="24"/>
        </w:rPr>
      </w:pPr>
      <w:r w:rsidRPr="00C11FF1">
        <w:rPr>
          <w:szCs w:val="24"/>
        </w:rPr>
        <w:t xml:space="preserve">I, </w:t>
      </w:r>
      <w:r>
        <w:rPr>
          <w:szCs w:val="24"/>
        </w:rPr>
        <w:t>John Lonsdale, delegate of APRA:</w:t>
      </w:r>
    </w:p>
    <w:p w14:paraId="607F9CDF" w14:textId="77777777" w:rsidR="009A1584" w:rsidRDefault="009A1584" w:rsidP="009A1584">
      <w:pPr>
        <w:pStyle w:val="IntroTo"/>
        <w:ind w:left="0" w:firstLine="0"/>
        <w:jc w:val="both"/>
        <w:rPr>
          <w:szCs w:val="24"/>
        </w:rPr>
      </w:pPr>
    </w:p>
    <w:p w14:paraId="1AB1FFFD" w14:textId="305800E7" w:rsidR="009A1584" w:rsidRDefault="009A1584" w:rsidP="009A1584">
      <w:pPr>
        <w:pStyle w:val="IntroTo"/>
        <w:numPr>
          <w:ilvl w:val="0"/>
          <w:numId w:val="29"/>
        </w:numPr>
        <w:ind w:hanging="720"/>
        <w:jc w:val="both"/>
        <w:rPr>
          <w:color w:val="000000"/>
          <w:szCs w:val="24"/>
        </w:rPr>
      </w:pPr>
      <w:r>
        <w:rPr>
          <w:color w:val="000000"/>
          <w:szCs w:val="24"/>
        </w:rPr>
        <w:t>under subsection 11</w:t>
      </w:r>
      <w:proofErr w:type="gramStart"/>
      <w:r>
        <w:rPr>
          <w:color w:val="000000"/>
          <w:szCs w:val="24"/>
        </w:rPr>
        <w:t>AF(</w:t>
      </w:r>
      <w:proofErr w:type="gramEnd"/>
      <w:r>
        <w:rPr>
          <w:color w:val="000000"/>
          <w:szCs w:val="24"/>
        </w:rPr>
        <w:t>3</w:t>
      </w:r>
      <w:r w:rsidRPr="003675D4">
        <w:rPr>
          <w:color w:val="000000"/>
          <w:szCs w:val="24"/>
        </w:rPr>
        <w:t xml:space="preserve">) of the </w:t>
      </w:r>
      <w:r>
        <w:rPr>
          <w:color w:val="000000"/>
          <w:szCs w:val="24"/>
        </w:rPr>
        <w:t>Banking Act 1959</w:t>
      </w:r>
      <w:r w:rsidRPr="003675D4">
        <w:rPr>
          <w:color w:val="000000"/>
          <w:szCs w:val="24"/>
        </w:rPr>
        <w:t xml:space="preserve"> </w:t>
      </w:r>
      <w:r>
        <w:rPr>
          <w:color w:val="000000"/>
          <w:szCs w:val="24"/>
        </w:rPr>
        <w:t>(the Act) REVOKE</w:t>
      </w:r>
      <w:r w:rsidRPr="003675D4">
        <w:rPr>
          <w:color w:val="000000"/>
          <w:szCs w:val="24"/>
        </w:rPr>
        <w:t xml:space="preserve"> </w:t>
      </w:r>
      <w:r>
        <w:rPr>
          <w:color w:val="000000"/>
          <w:szCs w:val="24"/>
        </w:rPr>
        <w:t xml:space="preserve">Banking (prudential standard) determination </w:t>
      </w:r>
      <w:r w:rsidRPr="00990595">
        <w:rPr>
          <w:color w:val="000000"/>
          <w:szCs w:val="24"/>
        </w:rPr>
        <w:t>No.</w:t>
      </w:r>
      <w:r w:rsidR="00E9009C">
        <w:rPr>
          <w:color w:val="000000"/>
          <w:szCs w:val="24"/>
        </w:rPr>
        <w:t> </w:t>
      </w:r>
      <w:r w:rsidRPr="00990595">
        <w:rPr>
          <w:color w:val="000000"/>
          <w:szCs w:val="24"/>
        </w:rPr>
        <w:t>9 of 2014, including</w:t>
      </w:r>
      <w:r>
        <w:rPr>
          <w:color w:val="000000"/>
          <w:szCs w:val="24"/>
        </w:rPr>
        <w:t xml:space="preserve"> </w:t>
      </w:r>
      <w:r w:rsidRPr="00990595">
        <w:rPr>
          <w:i/>
          <w:color w:val="000000"/>
          <w:szCs w:val="24"/>
        </w:rPr>
        <w:t>Prudential Standard APS</w:t>
      </w:r>
      <w:r w:rsidR="002604D4">
        <w:rPr>
          <w:i/>
          <w:color w:val="000000"/>
          <w:szCs w:val="24"/>
        </w:rPr>
        <w:t> </w:t>
      </w:r>
      <w:r>
        <w:rPr>
          <w:i/>
          <w:color w:val="000000"/>
          <w:szCs w:val="24"/>
        </w:rPr>
        <w:t>222 Associations with Related Entities</w:t>
      </w:r>
      <w:r w:rsidRPr="003675D4">
        <w:rPr>
          <w:color w:val="000000"/>
          <w:szCs w:val="24"/>
        </w:rPr>
        <w:t>,</w:t>
      </w:r>
      <w:r>
        <w:rPr>
          <w:color w:val="000000"/>
          <w:szCs w:val="24"/>
        </w:rPr>
        <w:t xml:space="preserve"> made under that Determination; and</w:t>
      </w:r>
    </w:p>
    <w:p w14:paraId="39B652BE" w14:textId="05179C54" w:rsidR="009A1584" w:rsidRPr="00990595" w:rsidRDefault="009A1584" w:rsidP="009A1584">
      <w:pPr>
        <w:pStyle w:val="IntroTo"/>
        <w:numPr>
          <w:ilvl w:val="0"/>
          <w:numId w:val="29"/>
        </w:numPr>
        <w:spacing w:before="120"/>
        <w:ind w:hanging="720"/>
        <w:jc w:val="both"/>
        <w:rPr>
          <w:color w:val="000000"/>
          <w:szCs w:val="24"/>
        </w:rPr>
      </w:pPr>
      <w:r w:rsidRPr="0005427E">
        <w:rPr>
          <w:color w:val="000000"/>
          <w:szCs w:val="24"/>
        </w:rPr>
        <w:t>under subsection 11</w:t>
      </w:r>
      <w:proofErr w:type="gramStart"/>
      <w:r w:rsidRPr="0005427E">
        <w:rPr>
          <w:color w:val="000000"/>
          <w:szCs w:val="24"/>
        </w:rPr>
        <w:t>AF(</w:t>
      </w:r>
      <w:proofErr w:type="gramEnd"/>
      <w:r>
        <w:rPr>
          <w:color w:val="000000"/>
          <w:szCs w:val="24"/>
        </w:rPr>
        <w:t>1</w:t>
      </w:r>
      <w:r w:rsidRPr="0005427E">
        <w:rPr>
          <w:color w:val="000000"/>
          <w:szCs w:val="24"/>
        </w:rPr>
        <w:t xml:space="preserve">) of the Act </w:t>
      </w:r>
      <w:r w:rsidRPr="00990595">
        <w:rPr>
          <w:color w:val="000000"/>
          <w:szCs w:val="24"/>
        </w:rPr>
        <w:t>DETERMINE</w:t>
      </w:r>
      <w:r w:rsidR="00E9009C">
        <w:rPr>
          <w:color w:val="000000"/>
          <w:szCs w:val="24"/>
        </w:rPr>
        <w:t xml:space="preserve"> </w:t>
      </w:r>
      <w:r w:rsidRPr="00990595">
        <w:rPr>
          <w:i/>
          <w:color w:val="000000"/>
          <w:szCs w:val="24"/>
        </w:rPr>
        <w:t>Prudential Standard APS</w:t>
      </w:r>
      <w:r w:rsidR="002604D4">
        <w:rPr>
          <w:i/>
          <w:color w:val="000000"/>
          <w:szCs w:val="24"/>
        </w:rPr>
        <w:t> </w:t>
      </w:r>
      <w:r>
        <w:rPr>
          <w:i/>
          <w:color w:val="000000"/>
          <w:szCs w:val="24"/>
        </w:rPr>
        <w:t>222 Associations with Related Entities</w:t>
      </w:r>
      <w:r w:rsidRPr="0005427E">
        <w:rPr>
          <w:color w:val="000000"/>
          <w:szCs w:val="24"/>
        </w:rPr>
        <w:t xml:space="preserve">, in the form set out in the Schedule, which applies to </w:t>
      </w:r>
      <w:r w:rsidRPr="00990595">
        <w:rPr>
          <w:color w:val="000000"/>
          <w:szCs w:val="24"/>
        </w:rPr>
        <w:t>all ADIs</w:t>
      </w:r>
      <w:r>
        <w:rPr>
          <w:color w:val="000000"/>
          <w:szCs w:val="24"/>
        </w:rPr>
        <w:t xml:space="preserve"> to the extent provided in paragraphs 2 to 3 of the prudential standard</w:t>
      </w:r>
      <w:r w:rsidRPr="00990595">
        <w:rPr>
          <w:color w:val="000000"/>
          <w:szCs w:val="24"/>
        </w:rPr>
        <w:t>.</w:t>
      </w:r>
    </w:p>
    <w:p w14:paraId="229127F4" w14:textId="77777777" w:rsidR="009A1584" w:rsidRDefault="009A1584" w:rsidP="00094CEF">
      <w:pPr>
        <w:spacing w:after="0"/>
        <w:jc w:val="both"/>
      </w:pPr>
    </w:p>
    <w:p w14:paraId="35B688D1" w14:textId="5E8C3655" w:rsidR="009A1584" w:rsidRPr="00C875E7" w:rsidRDefault="009A1584" w:rsidP="00094CEF">
      <w:pPr>
        <w:spacing w:after="0"/>
        <w:jc w:val="both"/>
      </w:pPr>
      <w:r w:rsidRPr="00C875E7">
        <w:t xml:space="preserve">This instrument </w:t>
      </w:r>
      <w:r>
        <w:t>commences</w:t>
      </w:r>
      <w:r w:rsidRPr="00C875E7">
        <w:t xml:space="preserve"> on </w:t>
      </w:r>
      <w:r w:rsidRPr="00825066">
        <w:t xml:space="preserve">1 January </w:t>
      </w:r>
      <w:r w:rsidR="002262BC" w:rsidRPr="00825066">
        <w:t>202</w:t>
      </w:r>
      <w:r w:rsidR="002262BC">
        <w:t>2</w:t>
      </w:r>
      <w:r w:rsidRPr="00C875E7">
        <w:t>.</w:t>
      </w:r>
    </w:p>
    <w:p w14:paraId="36AB9736" w14:textId="77777777" w:rsidR="009A1584" w:rsidRPr="00C875E7" w:rsidRDefault="009A1584" w:rsidP="00094CEF">
      <w:pPr>
        <w:spacing w:after="0"/>
        <w:jc w:val="both"/>
      </w:pPr>
    </w:p>
    <w:p w14:paraId="6FD4D1EC" w14:textId="605386A6" w:rsidR="009A1584" w:rsidRPr="00C875E7" w:rsidRDefault="009A1584" w:rsidP="00094CEF">
      <w:pPr>
        <w:spacing w:after="0"/>
        <w:jc w:val="both"/>
      </w:pPr>
      <w:r w:rsidRPr="008742B2">
        <w:t xml:space="preserve">Dated: </w:t>
      </w:r>
      <w:r w:rsidR="008742B2" w:rsidRPr="008742B2">
        <w:t>8</w:t>
      </w:r>
      <w:r w:rsidR="00CA388C" w:rsidRPr="008742B2">
        <w:t xml:space="preserve"> </w:t>
      </w:r>
      <w:r w:rsidR="00E9009C" w:rsidRPr="008742B2">
        <w:t>December</w:t>
      </w:r>
      <w:r w:rsidR="002262BC" w:rsidRPr="008742B2">
        <w:t xml:space="preserve"> 2020</w:t>
      </w:r>
      <w:r w:rsidR="003912BD">
        <w:tab/>
      </w:r>
      <w:r w:rsidR="003912BD">
        <w:tab/>
      </w:r>
    </w:p>
    <w:p w14:paraId="3645608F" w14:textId="77777777" w:rsidR="009A1584" w:rsidRDefault="009A1584" w:rsidP="00094CEF">
      <w:pPr>
        <w:spacing w:after="0"/>
        <w:jc w:val="both"/>
        <w:rPr>
          <w:color w:val="000000"/>
          <w:szCs w:val="20"/>
        </w:rPr>
      </w:pPr>
    </w:p>
    <w:p w14:paraId="348E7152" w14:textId="6D3AFB1E" w:rsidR="009A1584" w:rsidRDefault="00CA388C" w:rsidP="00094CEF">
      <w:pPr>
        <w:spacing w:after="0"/>
        <w:jc w:val="both"/>
        <w:rPr>
          <w:color w:val="000000"/>
          <w:szCs w:val="20"/>
        </w:rPr>
      </w:pPr>
      <w:r>
        <w:rPr>
          <w:color w:val="000000"/>
          <w:szCs w:val="20"/>
        </w:rPr>
        <w:t>[Signed]</w:t>
      </w:r>
    </w:p>
    <w:p w14:paraId="579E1907" w14:textId="77777777" w:rsidR="009A1584" w:rsidRPr="00C875E7" w:rsidRDefault="009A1584" w:rsidP="00094CEF">
      <w:pPr>
        <w:spacing w:after="0"/>
        <w:jc w:val="both"/>
        <w:rPr>
          <w:color w:val="000000"/>
          <w:szCs w:val="20"/>
        </w:rPr>
      </w:pPr>
    </w:p>
    <w:p w14:paraId="1E96210C" w14:textId="77777777" w:rsidR="009A1584" w:rsidRDefault="009A1584" w:rsidP="00094CEF">
      <w:pPr>
        <w:spacing w:after="0"/>
        <w:jc w:val="both"/>
      </w:pPr>
    </w:p>
    <w:p w14:paraId="007E8DB3" w14:textId="77777777" w:rsidR="009A1584" w:rsidRPr="00C875E7" w:rsidRDefault="009A1584" w:rsidP="00094CEF">
      <w:pPr>
        <w:spacing w:after="0"/>
        <w:jc w:val="both"/>
      </w:pPr>
      <w:r>
        <w:t>John Lonsdale</w:t>
      </w:r>
    </w:p>
    <w:p w14:paraId="120EB252" w14:textId="77777777" w:rsidR="009A1584" w:rsidRPr="00C875E7" w:rsidRDefault="009A1584" w:rsidP="00094CEF">
      <w:pPr>
        <w:spacing w:after="0"/>
        <w:jc w:val="both"/>
      </w:pPr>
      <w:r>
        <w:t>Deputy Chair</w:t>
      </w:r>
    </w:p>
    <w:p w14:paraId="58DBA04C" w14:textId="77777777" w:rsidR="009A1584" w:rsidRDefault="009A1584" w:rsidP="00094CEF">
      <w:pPr>
        <w:spacing w:after="0"/>
        <w:jc w:val="both"/>
      </w:pPr>
    </w:p>
    <w:p w14:paraId="7CA164E6" w14:textId="77777777" w:rsidR="009A1584" w:rsidRDefault="009A1584" w:rsidP="009A1584">
      <w:pPr>
        <w:jc w:val="both"/>
        <w:rPr>
          <w:color w:val="000000"/>
        </w:rPr>
      </w:pPr>
    </w:p>
    <w:p w14:paraId="56A8D99E" w14:textId="77777777" w:rsidR="009A1584" w:rsidRPr="00E80020" w:rsidRDefault="009A1584" w:rsidP="009A1584">
      <w:pPr>
        <w:pStyle w:val="IH"/>
        <w:ind w:left="0" w:firstLine="0"/>
        <w:rPr>
          <w:rFonts w:ascii="Times New Roman" w:hAnsi="Times New Roman"/>
          <w:color w:val="000000"/>
        </w:rPr>
      </w:pPr>
      <w:r w:rsidRPr="00E80020">
        <w:rPr>
          <w:rFonts w:ascii="Times New Roman" w:hAnsi="Times New Roman"/>
          <w:color w:val="000000"/>
        </w:rPr>
        <w:t>Interpretation</w:t>
      </w:r>
    </w:p>
    <w:p w14:paraId="26B16B3A" w14:textId="77777777" w:rsidR="009A1584" w:rsidRPr="00E80020" w:rsidRDefault="009A1584" w:rsidP="009A1584">
      <w:pPr>
        <w:pStyle w:val="IP"/>
        <w:rPr>
          <w:color w:val="000000"/>
        </w:rPr>
      </w:pPr>
      <w:r w:rsidRPr="00E80020">
        <w:rPr>
          <w:color w:val="000000"/>
        </w:rPr>
        <w:t xml:space="preserve">In this </w:t>
      </w:r>
      <w:r>
        <w:rPr>
          <w:color w:val="000000"/>
        </w:rPr>
        <w:t>Determination:</w:t>
      </w:r>
    </w:p>
    <w:p w14:paraId="7F6B47F7" w14:textId="77777777" w:rsidR="009A1584" w:rsidRDefault="009A1584" w:rsidP="009A1584">
      <w:pPr>
        <w:pStyle w:val="IntroTo"/>
        <w:spacing w:before="120"/>
        <w:ind w:left="0" w:firstLine="0"/>
        <w:jc w:val="both"/>
        <w:rPr>
          <w:color w:val="000000"/>
          <w:szCs w:val="24"/>
        </w:rPr>
      </w:pPr>
      <w:r>
        <w:rPr>
          <w:b/>
          <w:i/>
          <w:color w:val="000000"/>
          <w:szCs w:val="24"/>
        </w:rPr>
        <w:t xml:space="preserve">ADI </w:t>
      </w:r>
      <w:r>
        <w:rPr>
          <w:color w:val="000000"/>
          <w:szCs w:val="24"/>
        </w:rPr>
        <w:t>has</w:t>
      </w:r>
      <w:r w:rsidRPr="000B5D99">
        <w:rPr>
          <w:color w:val="000000"/>
          <w:szCs w:val="24"/>
        </w:rPr>
        <w:t xml:space="preserve"> the meaning given in section 5 of the Act.</w:t>
      </w:r>
    </w:p>
    <w:p w14:paraId="51B4BBE6" w14:textId="77777777" w:rsidR="009A1584" w:rsidRDefault="009A1584" w:rsidP="009A1584">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1D99596C" w14:textId="77777777" w:rsidR="009A1584" w:rsidRPr="00E80020" w:rsidRDefault="009A1584" w:rsidP="009A1584">
      <w:pPr>
        <w:pStyle w:val="AS"/>
        <w:ind w:left="0" w:firstLine="0"/>
        <w:rPr>
          <w:rStyle w:val="CharSchText"/>
          <w:color w:val="000000"/>
        </w:rPr>
      </w:pPr>
      <w:r>
        <w:rPr>
          <w:rStyle w:val="CharSchNo"/>
          <w:color w:val="000000"/>
        </w:rPr>
        <w:lastRenderedPageBreak/>
        <w:t>S</w:t>
      </w:r>
      <w:r w:rsidRPr="00E80020">
        <w:rPr>
          <w:rStyle w:val="CharSchNo"/>
          <w:color w:val="000000"/>
        </w:rPr>
        <w:t xml:space="preserve">chedule </w:t>
      </w:r>
    </w:p>
    <w:p w14:paraId="1F08492C" w14:textId="77777777" w:rsidR="009A1584" w:rsidRPr="00E80020" w:rsidRDefault="009A1584" w:rsidP="009A1584">
      <w:pPr>
        <w:pStyle w:val="ASref"/>
        <w:rPr>
          <w:color w:val="000000"/>
        </w:rPr>
      </w:pPr>
    </w:p>
    <w:p w14:paraId="1BEBD4A9" w14:textId="73B7AC2B" w:rsidR="009A1584" w:rsidRDefault="009A1584" w:rsidP="009A1584">
      <w:pPr>
        <w:pStyle w:val="Header"/>
        <w:jc w:val="both"/>
        <w:rPr>
          <w:b w:val="0"/>
          <w:bCs/>
        </w:rPr>
      </w:pPr>
      <w:r w:rsidRPr="00094CEF">
        <w:rPr>
          <w:b w:val="0"/>
          <w:i/>
          <w:color w:val="000000"/>
        </w:rPr>
        <w:t xml:space="preserve">Prudential Standard </w:t>
      </w:r>
      <w:smartTag w:uri="urn:schemas-microsoft-com:office:smarttags" w:element="stockticker">
        <w:r w:rsidRPr="00094CEF">
          <w:rPr>
            <w:b w:val="0"/>
            <w:i/>
            <w:color w:val="000000"/>
          </w:rPr>
          <w:t>APS</w:t>
        </w:r>
        <w:r w:rsidR="002262BC">
          <w:rPr>
            <w:b w:val="0"/>
            <w:i/>
            <w:color w:val="000000"/>
          </w:rPr>
          <w:t> </w:t>
        </w:r>
      </w:smartTag>
      <w:r w:rsidRPr="00094CEF">
        <w:rPr>
          <w:b w:val="0"/>
          <w:i/>
          <w:color w:val="000000"/>
        </w:rPr>
        <w:t xml:space="preserve">222 Associations with Related Entities </w:t>
      </w:r>
      <w:r w:rsidRPr="00094CEF">
        <w:rPr>
          <w:b w:val="0"/>
          <w:bCs/>
        </w:rPr>
        <w:t>comprises the document commencing on the following page.</w:t>
      </w:r>
      <w:bookmarkEnd w:id="0"/>
    </w:p>
    <w:p w14:paraId="1AE24FA9" w14:textId="77777777" w:rsidR="002604D4" w:rsidRDefault="002604D4" w:rsidP="002604D4">
      <w:pPr>
        <w:sectPr w:rsidR="002604D4" w:rsidSect="000D63A8">
          <w:headerReference w:type="default" r:id="rId14"/>
          <w:pgSz w:w="11906" w:h="16838" w:code="9"/>
          <w:pgMar w:top="1440" w:right="1797" w:bottom="1440" w:left="1797" w:header="709" w:footer="709" w:gutter="0"/>
          <w:cols w:space="708"/>
          <w:docGrid w:linePitch="360"/>
        </w:sectPr>
      </w:pPr>
    </w:p>
    <w:p w14:paraId="27045C39" w14:textId="68C41ED0" w:rsidR="002604D4" w:rsidRPr="002604D4" w:rsidRDefault="002604D4" w:rsidP="002604D4"/>
    <w:p w14:paraId="7402FF09" w14:textId="40B1317B" w:rsidR="003B52EB" w:rsidRDefault="00506079" w:rsidP="002604D4">
      <w:pPr>
        <w:rPr>
          <w:sz w:val="40"/>
          <w:szCs w:val="40"/>
        </w:rPr>
      </w:pPr>
      <w:r>
        <w:rPr>
          <w:noProof/>
        </w:rPr>
        <w:drawing>
          <wp:inline distT="0" distB="0" distL="0" distR="0" wp14:anchorId="6C0521C4" wp14:editId="59FB8175">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2017D6E1" w14:textId="77777777" w:rsidR="00BC33B9" w:rsidRPr="00BC33B9" w:rsidRDefault="00BC33B9" w:rsidP="00B17204">
      <w:pPr>
        <w:spacing w:after="0"/>
        <w:ind w:left="58"/>
        <w:jc w:val="both"/>
        <w:rPr>
          <w:sz w:val="40"/>
          <w:szCs w:val="40"/>
        </w:rPr>
      </w:pPr>
    </w:p>
    <w:p w14:paraId="31FEF847" w14:textId="51F796BC" w:rsidR="00DA3651" w:rsidRPr="009B6212" w:rsidRDefault="006A6A52" w:rsidP="009F5DE5">
      <w:pPr>
        <w:pStyle w:val="Title"/>
        <w:jc w:val="both"/>
      </w:pPr>
      <w:bookmarkStart w:id="2" w:name="_Toc326937696"/>
      <w:r w:rsidRPr="001F6B8D">
        <w:t>Prudential</w:t>
      </w:r>
      <w:r w:rsidRPr="009B6212">
        <w:t xml:space="preserve"> Standard</w:t>
      </w:r>
      <w:r w:rsidRPr="00E07F40">
        <w:rPr>
          <w:rStyle w:val="PSNofieldtext"/>
        </w:rPr>
        <w:t xml:space="preserve"> </w:t>
      </w:r>
      <w:r w:rsidR="007A4D50">
        <w:rPr>
          <w:rStyle w:val="PSNofieldtext"/>
        </w:rPr>
        <w:t>APS 222</w:t>
      </w:r>
      <w:r w:rsidR="009B6212" w:rsidRPr="009B6212">
        <w:t xml:space="preserve">  </w:t>
      </w:r>
    </w:p>
    <w:bookmarkEnd w:id="2"/>
    <w:p w14:paraId="1D8786F3" w14:textId="74E4D4B1" w:rsidR="00BC2D08" w:rsidRPr="00110917" w:rsidRDefault="007A4D50" w:rsidP="009F5DE5">
      <w:pPr>
        <w:pStyle w:val="Title"/>
        <w:jc w:val="both"/>
      </w:pPr>
      <w:r>
        <w:rPr>
          <w:rStyle w:val="PSNamefieldtext"/>
        </w:rPr>
        <w:t xml:space="preserve">Associations with Related </w:t>
      </w:r>
      <w:r w:rsidRPr="000B3720">
        <w:rPr>
          <w:rStyle w:val="PSNamefieldtext"/>
        </w:rPr>
        <w:t>Entities</w:t>
      </w:r>
      <w:r>
        <w:rPr>
          <w:rStyle w:val="PSNamefieldtext"/>
        </w:rPr>
        <w:t xml:space="preserve"> </w:t>
      </w:r>
    </w:p>
    <w:tbl>
      <w:tblPr>
        <w:tblStyle w:val="TableGrid"/>
        <w:tblW w:w="0" w:type="auto"/>
        <w:shd w:val="clear" w:color="auto" w:fill="DDDDDD"/>
        <w:tblLook w:val="04A0" w:firstRow="1" w:lastRow="0" w:firstColumn="1" w:lastColumn="0" w:noHBand="0" w:noVBand="1"/>
      </w:tblPr>
      <w:tblGrid>
        <w:gridCol w:w="8302"/>
      </w:tblGrid>
      <w:tr w:rsidR="0048511B" w14:paraId="427DE0E3" w14:textId="77777777" w:rsidTr="00DF539C">
        <w:tc>
          <w:tcPr>
            <w:tcW w:w="8528" w:type="dxa"/>
            <w:shd w:val="clear" w:color="auto" w:fill="DDDDDD"/>
          </w:tcPr>
          <w:p w14:paraId="7350D2DE" w14:textId="5497A873" w:rsidR="003C46D7" w:rsidRPr="00B37C03" w:rsidRDefault="003C46D7" w:rsidP="009F5DE5">
            <w:pPr>
              <w:pStyle w:val="BoxHeading"/>
              <w:jc w:val="both"/>
            </w:pPr>
            <w:r w:rsidRPr="00B37C03">
              <w:t xml:space="preserve">Objectives and key requirements of this Prudential </w:t>
            </w:r>
            <w:r w:rsidRPr="00173A04">
              <w:t>Standard</w:t>
            </w:r>
          </w:p>
          <w:p w14:paraId="544EBD8E" w14:textId="61776CD0" w:rsidR="00ED6CF8" w:rsidRDefault="007A4D50" w:rsidP="009F5DE5">
            <w:pPr>
              <w:jc w:val="both"/>
            </w:pPr>
            <w:r w:rsidRPr="006F229B">
              <w:t>Th</w:t>
            </w:r>
            <w:r w:rsidR="00A303D7">
              <w:t>e objective of th</w:t>
            </w:r>
            <w:r w:rsidRPr="006F229B">
              <w:t xml:space="preserve">is Prudential Standard </w:t>
            </w:r>
            <w:r w:rsidR="00A303D7">
              <w:t>is that</w:t>
            </w:r>
            <w:r w:rsidRPr="006F229B">
              <w:t xml:space="preserve"> authorised deposit-taking institutions </w:t>
            </w:r>
            <w:r w:rsidR="00E63A2E">
              <w:t xml:space="preserve">identify, </w:t>
            </w:r>
            <w:r w:rsidR="00ED6CF8">
              <w:t>monitor and control contagion risks arising from their associations</w:t>
            </w:r>
            <w:r w:rsidR="008A732C">
              <w:t xml:space="preserve"> and dealings</w:t>
            </w:r>
            <w:r w:rsidR="00ED6CF8">
              <w:t xml:space="preserve"> with related entities</w:t>
            </w:r>
            <w:r w:rsidR="001E1D26">
              <w:t xml:space="preserve"> and </w:t>
            </w:r>
            <w:r w:rsidR="00A303D7">
              <w:t xml:space="preserve">those creating </w:t>
            </w:r>
            <w:r w:rsidR="001E1D26">
              <w:t>step-in risk</w:t>
            </w:r>
            <w:r w:rsidR="00ED6CF8">
              <w:t xml:space="preserve">. </w:t>
            </w:r>
          </w:p>
          <w:p w14:paraId="5AAE85EB" w14:textId="57A36FD3" w:rsidR="007A4D50" w:rsidRDefault="007A4D50" w:rsidP="009F5DE5">
            <w:pPr>
              <w:jc w:val="both"/>
            </w:pPr>
            <w:r>
              <w:t xml:space="preserve">The key requirements of this Prudential Standard are that an </w:t>
            </w:r>
            <w:r w:rsidR="00483CA1">
              <w:t xml:space="preserve">authorised deposit-taking institution </w:t>
            </w:r>
            <w:r>
              <w:t>must:</w:t>
            </w:r>
          </w:p>
          <w:p w14:paraId="0260F26C" w14:textId="1D3D0486" w:rsidR="00ED6CF8" w:rsidRDefault="00AF4B85" w:rsidP="009F5DE5">
            <w:pPr>
              <w:pStyle w:val="BoxBullet"/>
              <w:jc w:val="both"/>
            </w:pPr>
            <w:r>
              <w:t>have</w:t>
            </w:r>
            <w:r w:rsidR="00E63A2E">
              <w:t xml:space="preserve"> a </w:t>
            </w:r>
            <w:r>
              <w:t>Board-approved policy</w:t>
            </w:r>
            <w:r w:rsidR="00E63A2E">
              <w:t xml:space="preserve"> that </w:t>
            </w:r>
            <w:r>
              <w:t>governs</w:t>
            </w:r>
            <w:r w:rsidR="00E63A2E">
              <w:t xml:space="preserve"> its associations and dealings with </w:t>
            </w:r>
            <w:r>
              <w:t xml:space="preserve">its </w:t>
            </w:r>
            <w:r w:rsidR="00E63A2E">
              <w:t>related entities</w:t>
            </w:r>
            <w:r w:rsidR="000E399D">
              <w:t>;</w:t>
            </w:r>
          </w:p>
          <w:p w14:paraId="74547ED4" w14:textId="0DF9A129" w:rsidR="007A4D50" w:rsidRPr="006F229B" w:rsidRDefault="00E63A2E" w:rsidP="009F5DE5">
            <w:pPr>
              <w:pStyle w:val="BoxBullet"/>
              <w:jc w:val="both"/>
            </w:pPr>
            <w:r>
              <w:t xml:space="preserve">identify, </w:t>
            </w:r>
            <w:r w:rsidR="007A4D50" w:rsidRPr="006F229B">
              <w:t xml:space="preserve">monitor, </w:t>
            </w:r>
            <w:r w:rsidR="00AF4B85" w:rsidRPr="006F229B">
              <w:t>manage</w:t>
            </w:r>
            <w:r>
              <w:t xml:space="preserve"> </w:t>
            </w:r>
            <w:r w:rsidR="007A4D50" w:rsidRPr="006F229B">
              <w:t xml:space="preserve">and control potential contagion risk </w:t>
            </w:r>
            <w:r w:rsidR="00AF4B85" w:rsidRPr="006F229B">
              <w:t xml:space="preserve">between the </w:t>
            </w:r>
            <w:r w:rsidR="00AF4B85">
              <w:t xml:space="preserve">authorised deposit-taking institution and </w:t>
            </w:r>
            <w:r w:rsidR="000E399D">
              <w:t>its related entities</w:t>
            </w:r>
            <w:r w:rsidR="001E1D26">
              <w:t xml:space="preserve"> and step-in risk entities</w:t>
            </w:r>
            <w:r w:rsidR="007A4D50" w:rsidRPr="006F229B">
              <w:t>;</w:t>
            </w:r>
          </w:p>
          <w:p w14:paraId="689291E2" w14:textId="63B1DA1D" w:rsidR="007A4D50" w:rsidRPr="006F229B" w:rsidRDefault="007A4D50" w:rsidP="009F5DE5">
            <w:pPr>
              <w:pStyle w:val="BoxBullet"/>
              <w:jc w:val="both"/>
            </w:pPr>
            <w:r w:rsidRPr="006F229B">
              <w:t>meet minimum requirements with respect to dealings with related</w:t>
            </w:r>
            <w:r w:rsidR="00E318CC">
              <w:t xml:space="preserve"> entities</w:t>
            </w:r>
            <w:r w:rsidR="00E06C0A">
              <w:t xml:space="preserve"> and </w:t>
            </w:r>
            <w:r w:rsidR="00E63A2E">
              <w:t>step-in risk entities</w:t>
            </w:r>
            <w:r w:rsidR="00E06C0A">
              <w:t xml:space="preserve"> which may give rise to prudential concerns</w:t>
            </w:r>
            <w:r w:rsidRPr="006F229B">
              <w:t>;</w:t>
            </w:r>
            <w:r w:rsidR="00737B77">
              <w:t xml:space="preserve"> and</w:t>
            </w:r>
          </w:p>
          <w:p w14:paraId="1BDE8415" w14:textId="64565115" w:rsidR="00173A04" w:rsidRDefault="00BC7AB2" w:rsidP="007F250E">
            <w:pPr>
              <w:pStyle w:val="BoxBullet"/>
              <w:jc w:val="both"/>
            </w:pPr>
            <w:r>
              <w:t xml:space="preserve">maintain </w:t>
            </w:r>
            <w:r w:rsidR="00737B77">
              <w:t xml:space="preserve">exposures to related entities </w:t>
            </w:r>
            <w:r>
              <w:t xml:space="preserve">within </w:t>
            </w:r>
            <w:r w:rsidR="00737B77">
              <w:t>limits.</w:t>
            </w:r>
          </w:p>
        </w:tc>
      </w:tr>
    </w:tbl>
    <w:p w14:paraId="31C9B936" w14:textId="77777777" w:rsidR="00C67A76" w:rsidRDefault="00C67A76" w:rsidP="009F5DE5">
      <w:pPr>
        <w:jc w:val="both"/>
      </w:pPr>
    </w:p>
    <w:p w14:paraId="22D30ABC" w14:textId="11F4BCE3" w:rsidR="00C67A76" w:rsidRDefault="00C67A76" w:rsidP="009F5DE5">
      <w:pPr>
        <w:jc w:val="both"/>
        <w:sectPr w:rsidR="00C67A76" w:rsidSect="00C06B42">
          <w:headerReference w:type="default" r:id="rId16"/>
          <w:footerReference w:type="default" r:id="rId17"/>
          <w:pgSz w:w="11906" w:h="16838" w:code="9"/>
          <w:pgMar w:top="1440" w:right="1797" w:bottom="1440" w:left="1797" w:header="709" w:footer="709" w:gutter="0"/>
          <w:pgNumType w:start="1"/>
          <w:cols w:space="708"/>
          <w:docGrid w:linePitch="360"/>
        </w:sectPr>
      </w:pPr>
    </w:p>
    <w:p w14:paraId="154F9807" w14:textId="77777777" w:rsidR="00C6788C" w:rsidRDefault="009D467A" w:rsidP="009F5DE5">
      <w:pPr>
        <w:pStyle w:val="TOCHeading"/>
        <w:jc w:val="both"/>
      </w:pPr>
      <w:bookmarkStart w:id="3" w:name="_Toc326676936"/>
      <w:bookmarkStart w:id="4" w:name="_Toc326756341"/>
      <w:bookmarkStart w:id="5" w:name="_Toc256519850"/>
      <w:r>
        <w:lastRenderedPageBreak/>
        <w:t>Table of Contents</w:t>
      </w:r>
    </w:p>
    <w:bookmarkStart w:id="6" w:name="_Toc326937698"/>
    <w:bookmarkStart w:id="7" w:name="_Toc326938615"/>
    <w:bookmarkStart w:id="8" w:name="_Toc326938830"/>
    <w:bookmarkEnd w:id="3"/>
    <w:bookmarkEnd w:id="4"/>
    <w:p w14:paraId="73289582" w14:textId="77777777" w:rsidR="00B7752C" w:rsidRDefault="00BC4D0E">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17118650" w:history="1">
        <w:r w:rsidR="00B7752C" w:rsidRPr="00823F3F">
          <w:rPr>
            <w:rStyle w:val="Hyperlink"/>
          </w:rPr>
          <w:t>Authority</w:t>
        </w:r>
        <w:r w:rsidR="00B7752C">
          <w:rPr>
            <w:webHidden/>
          </w:rPr>
          <w:tab/>
        </w:r>
        <w:r w:rsidR="00B7752C">
          <w:rPr>
            <w:webHidden/>
          </w:rPr>
          <w:fldChar w:fldCharType="begin"/>
        </w:r>
        <w:r w:rsidR="00B7752C">
          <w:rPr>
            <w:webHidden/>
          </w:rPr>
          <w:instrText xml:space="preserve"> PAGEREF _Toc17118650 \h </w:instrText>
        </w:r>
        <w:r w:rsidR="00B7752C">
          <w:rPr>
            <w:webHidden/>
          </w:rPr>
        </w:r>
        <w:r w:rsidR="00B7752C">
          <w:rPr>
            <w:webHidden/>
          </w:rPr>
          <w:fldChar w:fldCharType="separate"/>
        </w:r>
        <w:r w:rsidR="00B7752C">
          <w:rPr>
            <w:webHidden/>
          </w:rPr>
          <w:t>3</w:t>
        </w:r>
        <w:r w:rsidR="00B7752C">
          <w:rPr>
            <w:webHidden/>
          </w:rPr>
          <w:fldChar w:fldCharType="end"/>
        </w:r>
      </w:hyperlink>
    </w:p>
    <w:p w14:paraId="76FC8CB1" w14:textId="77777777" w:rsidR="00B7752C" w:rsidRDefault="001F38C7">
      <w:pPr>
        <w:pStyle w:val="TOC1"/>
        <w:rPr>
          <w:rFonts w:asciiTheme="minorHAnsi" w:eastAsiaTheme="minorEastAsia" w:hAnsiTheme="minorHAnsi" w:cstheme="minorBidi"/>
          <w:sz w:val="22"/>
          <w:szCs w:val="22"/>
        </w:rPr>
      </w:pPr>
      <w:hyperlink w:anchor="_Toc17118651" w:history="1">
        <w:r w:rsidR="00B7752C" w:rsidRPr="00823F3F">
          <w:rPr>
            <w:rStyle w:val="Hyperlink"/>
          </w:rPr>
          <w:t>Application</w:t>
        </w:r>
        <w:r w:rsidR="00B7752C">
          <w:rPr>
            <w:webHidden/>
          </w:rPr>
          <w:tab/>
        </w:r>
        <w:r w:rsidR="00B7752C">
          <w:rPr>
            <w:webHidden/>
          </w:rPr>
          <w:fldChar w:fldCharType="begin"/>
        </w:r>
        <w:r w:rsidR="00B7752C">
          <w:rPr>
            <w:webHidden/>
          </w:rPr>
          <w:instrText xml:space="preserve"> PAGEREF _Toc17118651 \h </w:instrText>
        </w:r>
        <w:r w:rsidR="00B7752C">
          <w:rPr>
            <w:webHidden/>
          </w:rPr>
        </w:r>
        <w:r w:rsidR="00B7752C">
          <w:rPr>
            <w:webHidden/>
          </w:rPr>
          <w:fldChar w:fldCharType="separate"/>
        </w:r>
        <w:r w:rsidR="00B7752C">
          <w:rPr>
            <w:webHidden/>
          </w:rPr>
          <w:t>3</w:t>
        </w:r>
        <w:r w:rsidR="00B7752C">
          <w:rPr>
            <w:webHidden/>
          </w:rPr>
          <w:fldChar w:fldCharType="end"/>
        </w:r>
      </w:hyperlink>
    </w:p>
    <w:p w14:paraId="51AE54DE" w14:textId="77777777" w:rsidR="00B7752C" w:rsidRDefault="001F38C7">
      <w:pPr>
        <w:pStyle w:val="TOC1"/>
        <w:rPr>
          <w:rFonts w:asciiTheme="minorHAnsi" w:eastAsiaTheme="minorEastAsia" w:hAnsiTheme="minorHAnsi" w:cstheme="minorBidi"/>
          <w:sz w:val="22"/>
          <w:szCs w:val="22"/>
        </w:rPr>
      </w:pPr>
      <w:hyperlink w:anchor="_Toc17118652" w:history="1">
        <w:r w:rsidR="00B7752C" w:rsidRPr="00823F3F">
          <w:rPr>
            <w:rStyle w:val="Hyperlink"/>
          </w:rPr>
          <w:t>Interpretation</w:t>
        </w:r>
        <w:r w:rsidR="00B7752C">
          <w:rPr>
            <w:webHidden/>
          </w:rPr>
          <w:tab/>
        </w:r>
        <w:r w:rsidR="00B7752C">
          <w:rPr>
            <w:webHidden/>
          </w:rPr>
          <w:fldChar w:fldCharType="begin"/>
        </w:r>
        <w:r w:rsidR="00B7752C">
          <w:rPr>
            <w:webHidden/>
          </w:rPr>
          <w:instrText xml:space="preserve"> PAGEREF _Toc17118652 \h </w:instrText>
        </w:r>
        <w:r w:rsidR="00B7752C">
          <w:rPr>
            <w:webHidden/>
          </w:rPr>
        </w:r>
        <w:r w:rsidR="00B7752C">
          <w:rPr>
            <w:webHidden/>
          </w:rPr>
          <w:fldChar w:fldCharType="separate"/>
        </w:r>
        <w:r w:rsidR="00B7752C">
          <w:rPr>
            <w:webHidden/>
          </w:rPr>
          <w:t>3</w:t>
        </w:r>
        <w:r w:rsidR="00B7752C">
          <w:rPr>
            <w:webHidden/>
          </w:rPr>
          <w:fldChar w:fldCharType="end"/>
        </w:r>
      </w:hyperlink>
    </w:p>
    <w:p w14:paraId="27FA9826" w14:textId="77777777" w:rsidR="00B7752C" w:rsidRDefault="001F38C7">
      <w:pPr>
        <w:pStyle w:val="TOC1"/>
        <w:rPr>
          <w:rFonts w:asciiTheme="minorHAnsi" w:eastAsiaTheme="minorEastAsia" w:hAnsiTheme="minorHAnsi" w:cstheme="minorBidi"/>
          <w:sz w:val="22"/>
          <w:szCs w:val="22"/>
        </w:rPr>
      </w:pPr>
      <w:hyperlink w:anchor="_Toc17118653" w:history="1">
        <w:r w:rsidR="00B7752C" w:rsidRPr="00823F3F">
          <w:rPr>
            <w:rStyle w:val="Hyperlink"/>
          </w:rPr>
          <w:t>Definitions</w:t>
        </w:r>
        <w:r w:rsidR="00B7752C">
          <w:rPr>
            <w:webHidden/>
          </w:rPr>
          <w:tab/>
        </w:r>
        <w:r w:rsidR="00B7752C">
          <w:rPr>
            <w:webHidden/>
          </w:rPr>
          <w:fldChar w:fldCharType="begin"/>
        </w:r>
        <w:r w:rsidR="00B7752C">
          <w:rPr>
            <w:webHidden/>
          </w:rPr>
          <w:instrText xml:space="preserve"> PAGEREF _Toc17118653 \h </w:instrText>
        </w:r>
        <w:r w:rsidR="00B7752C">
          <w:rPr>
            <w:webHidden/>
          </w:rPr>
        </w:r>
        <w:r w:rsidR="00B7752C">
          <w:rPr>
            <w:webHidden/>
          </w:rPr>
          <w:fldChar w:fldCharType="separate"/>
        </w:r>
        <w:r w:rsidR="00B7752C">
          <w:rPr>
            <w:webHidden/>
          </w:rPr>
          <w:t>3</w:t>
        </w:r>
        <w:r w:rsidR="00B7752C">
          <w:rPr>
            <w:webHidden/>
          </w:rPr>
          <w:fldChar w:fldCharType="end"/>
        </w:r>
      </w:hyperlink>
    </w:p>
    <w:p w14:paraId="53ABB8EE" w14:textId="77777777" w:rsidR="00B7752C" w:rsidRDefault="001F38C7">
      <w:pPr>
        <w:pStyle w:val="TOC1"/>
        <w:rPr>
          <w:rFonts w:asciiTheme="minorHAnsi" w:eastAsiaTheme="minorEastAsia" w:hAnsiTheme="minorHAnsi" w:cstheme="minorBidi"/>
          <w:sz w:val="22"/>
          <w:szCs w:val="22"/>
        </w:rPr>
      </w:pPr>
      <w:hyperlink w:anchor="_Toc17118654" w:history="1">
        <w:r w:rsidR="00B7752C" w:rsidRPr="00823F3F">
          <w:rPr>
            <w:rStyle w:val="Hyperlink"/>
          </w:rPr>
          <w:t>Adjustments and exclusions</w:t>
        </w:r>
        <w:r w:rsidR="00B7752C">
          <w:rPr>
            <w:webHidden/>
          </w:rPr>
          <w:tab/>
        </w:r>
        <w:r w:rsidR="00B7752C">
          <w:rPr>
            <w:webHidden/>
          </w:rPr>
          <w:fldChar w:fldCharType="begin"/>
        </w:r>
        <w:r w:rsidR="00B7752C">
          <w:rPr>
            <w:webHidden/>
          </w:rPr>
          <w:instrText xml:space="preserve"> PAGEREF _Toc17118654 \h </w:instrText>
        </w:r>
        <w:r w:rsidR="00B7752C">
          <w:rPr>
            <w:webHidden/>
          </w:rPr>
        </w:r>
        <w:r w:rsidR="00B7752C">
          <w:rPr>
            <w:webHidden/>
          </w:rPr>
          <w:fldChar w:fldCharType="separate"/>
        </w:r>
        <w:r w:rsidR="00B7752C">
          <w:rPr>
            <w:webHidden/>
          </w:rPr>
          <w:t>5</w:t>
        </w:r>
        <w:r w:rsidR="00B7752C">
          <w:rPr>
            <w:webHidden/>
          </w:rPr>
          <w:fldChar w:fldCharType="end"/>
        </w:r>
      </w:hyperlink>
    </w:p>
    <w:p w14:paraId="7DE2551A" w14:textId="77777777" w:rsidR="00B7752C" w:rsidRDefault="001F38C7">
      <w:pPr>
        <w:pStyle w:val="TOC1"/>
        <w:rPr>
          <w:rFonts w:asciiTheme="minorHAnsi" w:eastAsiaTheme="minorEastAsia" w:hAnsiTheme="minorHAnsi" w:cstheme="minorBidi"/>
          <w:sz w:val="22"/>
          <w:szCs w:val="22"/>
        </w:rPr>
      </w:pPr>
      <w:hyperlink w:anchor="_Toc17118655" w:history="1">
        <w:r w:rsidR="00B7752C" w:rsidRPr="00823F3F">
          <w:rPr>
            <w:rStyle w:val="Hyperlink"/>
          </w:rPr>
          <w:t>Previous exercise of discretion</w:t>
        </w:r>
        <w:r w:rsidR="00B7752C">
          <w:rPr>
            <w:webHidden/>
          </w:rPr>
          <w:tab/>
        </w:r>
        <w:r w:rsidR="00B7752C">
          <w:rPr>
            <w:webHidden/>
          </w:rPr>
          <w:fldChar w:fldCharType="begin"/>
        </w:r>
        <w:r w:rsidR="00B7752C">
          <w:rPr>
            <w:webHidden/>
          </w:rPr>
          <w:instrText xml:space="preserve"> PAGEREF _Toc17118655 \h </w:instrText>
        </w:r>
        <w:r w:rsidR="00B7752C">
          <w:rPr>
            <w:webHidden/>
          </w:rPr>
        </w:r>
        <w:r w:rsidR="00B7752C">
          <w:rPr>
            <w:webHidden/>
          </w:rPr>
          <w:fldChar w:fldCharType="separate"/>
        </w:r>
        <w:r w:rsidR="00B7752C">
          <w:rPr>
            <w:webHidden/>
          </w:rPr>
          <w:t>5</w:t>
        </w:r>
        <w:r w:rsidR="00B7752C">
          <w:rPr>
            <w:webHidden/>
          </w:rPr>
          <w:fldChar w:fldCharType="end"/>
        </w:r>
      </w:hyperlink>
    </w:p>
    <w:p w14:paraId="6EE7D40F" w14:textId="77777777" w:rsidR="00B7752C" w:rsidRDefault="001F38C7">
      <w:pPr>
        <w:pStyle w:val="TOC1"/>
        <w:rPr>
          <w:rFonts w:asciiTheme="minorHAnsi" w:eastAsiaTheme="minorEastAsia" w:hAnsiTheme="minorHAnsi" w:cstheme="minorBidi"/>
          <w:sz w:val="22"/>
          <w:szCs w:val="22"/>
        </w:rPr>
      </w:pPr>
      <w:hyperlink w:anchor="_Toc17118656" w:history="1">
        <w:r w:rsidR="00B7752C" w:rsidRPr="00823F3F">
          <w:rPr>
            <w:rStyle w:val="Hyperlink"/>
          </w:rPr>
          <w:t>The role of the Board</w:t>
        </w:r>
        <w:r w:rsidR="00B7752C">
          <w:rPr>
            <w:webHidden/>
          </w:rPr>
          <w:tab/>
        </w:r>
        <w:r w:rsidR="00B7752C">
          <w:rPr>
            <w:webHidden/>
          </w:rPr>
          <w:fldChar w:fldCharType="begin"/>
        </w:r>
        <w:r w:rsidR="00B7752C">
          <w:rPr>
            <w:webHidden/>
          </w:rPr>
          <w:instrText xml:space="preserve"> PAGEREF _Toc17118656 \h </w:instrText>
        </w:r>
        <w:r w:rsidR="00B7752C">
          <w:rPr>
            <w:webHidden/>
          </w:rPr>
        </w:r>
        <w:r w:rsidR="00B7752C">
          <w:rPr>
            <w:webHidden/>
          </w:rPr>
          <w:fldChar w:fldCharType="separate"/>
        </w:r>
        <w:r w:rsidR="00B7752C">
          <w:rPr>
            <w:webHidden/>
          </w:rPr>
          <w:t>5</w:t>
        </w:r>
        <w:r w:rsidR="00B7752C">
          <w:rPr>
            <w:webHidden/>
          </w:rPr>
          <w:fldChar w:fldCharType="end"/>
        </w:r>
      </w:hyperlink>
    </w:p>
    <w:p w14:paraId="4EBF28FA" w14:textId="77777777" w:rsidR="00B7752C" w:rsidRDefault="001F38C7">
      <w:pPr>
        <w:pStyle w:val="TOC1"/>
        <w:rPr>
          <w:rFonts w:asciiTheme="minorHAnsi" w:eastAsiaTheme="minorEastAsia" w:hAnsiTheme="minorHAnsi" w:cstheme="minorBidi"/>
          <w:sz w:val="22"/>
          <w:szCs w:val="22"/>
        </w:rPr>
      </w:pPr>
      <w:hyperlink w:anchor="_Toc17118657" w:history="1">
        <w:r w:rsidR="00B7752C" w:rsidRPr="00823F3F">
          <w:rPr>
            <w:rStyle w:val="Hyperlink"/>
          </w:rPr>
          <w:t>Control of risks arising from related entities</w:t>
        </w:r>
        <w:r w:rsidR="00B7752C">
          <w:rPr>
            <w:webHidden/>
          </w:rPr>
          <w:tab/>
        </w:r>
        <w:r w:rsidR="00B7752C">
          <w:rPr>
            <w:webHidden/>
          </w:rPr>
          <w:fldChar w:fldCharType="begin"/>
        </w:r>
        <w:r w:rsidR="00B7752C">
          <w:rPr>
            <w:webHidden/>
          </w:rPr>
          <w:instrText xml:space="preserve"> PAGEREF _Toc17118657 \h </w:instrText>
        </w:r>
        <w:r w:rsidR="00B7752C">
          <w:rPr>
            <w:webHidden/>
          </w:rPr>
        </w:r>
        <w:r w:rsidR="00B7752C">
          <w:rPr>
            <w:webHidden/>
          </w:rPr>
          <w:fldChar w:fldCharType="separate"/>
        </w:r>
        <w:r w:rsidR="00B7752C">
          <w:rPr>
            <w:webHidden/>
          </w:rPr>
          <w:t>5</w:t>
        </w:r>
        <w:r w:rsidR="00B7752C">
          <w:rPr>
            <w:webHidden/>
          </w:rPr>
          <w:fldChar w:fldCharType="end"/>
        </w:r>
      </w:hyperlink>
    </w:p>
    <w:p w14:paraId="1693DD75" w14:textId="77777777" w:rsidR="00B7752C" w:rsidRDefault="001F38C7">
      <w:pPr>
        <w:pStyle w:val="TOC1"/>
        <w:rPr>
          <w:rFonts w:asciiTheme="minorHAnsi" w:eastAsiaTheme="minorEastAsia" w:hAnsiTheme="minorHAnsi" w:cstheme="minorBidi"/>
          <w:sz w:val="22"/>
          <w:szCs w:val="22"/>
        </w:rPr>
      </w:pPr>
      <w:hyperlink w:anchor="_Toc17118658" w:history="1">
        <w:r w:rsidR="00B7752C" w:rsidRPr="00823F3F">
          <w:rPr>
            <w:rStyle w:val="Hyperlink"/>
          </w:rPr>
          <w:t>Provision of support</w:t>
        </w:r>
        <w:r w:rsidR="00B7752C">
          <w:rPr>
            <w:webHidden/>
          </w:rPr>
          <w:tab/>
        </w:r>
        <w:r w:rsidR="00B7752C">
          <w:rPr>
            <w:webHidden/>
          </w:rPr>
          <w:fldChar w:fldCharType="begin"/>
        </w:r>
        <w:r w:rsidR="00B7752C">
          <w:rPr>
            <w:webHidden/>
          </w:rPr>
          <w:instrText xml:space="preserve"> PAGEREF _Toc17118658 \h </w:instrText>
        </w:r>
        <w:r w:rsidR="00B7752C">
          <w:rPr>
            <w:webHidden/>
          </w:rPr>
        </w:r>
        <w:r w:rsidR="00B7752C">
          <w:rPr>
            <w:webHidden/>
          </w:rPr>
          <w:fldChar w:fldCharType="separate"/>
        </w:r>
        <w:r w:rsidR="00B7752C">
          <w:rPr>
            <w:webHidden/>
          </w:rPr>
          <w:t>7</w:t>
        </w:r>
        <w:r w:rsidR="00B7752C">
          <w:rPr>
            <w:webHidden/>
          </w:rPr>
          <w:fldChar w:fldCharType="end"/>
        </w:r>
      </w:hyperlink>
    </w:p>
    <w:p w14:paraId="41A394CA" w14:textId="77777777" w:rsidR="00B7752C" w:rsidRDefault="001F38C7">
      <w:pPr>
        <w:pStyle w:val="TOC1"/>
        <w:rPr>
          <w:rFonts w:asciiTheme="minorHAnsi" w:eastAsiaTheme="minorEastAsia" w:hAnsiTheme="minorHAnsi" w:cstheme="minorBidi"/>
          <w:sz w:val="22"/>
          <w:szCs w:val="22"/>
        </w:rPr>
      </w:pPr>
      <w:hyperlink w:anchor="_Toc17118659" w:history="1">
        <w:r w:rsidR="00B7752C" w:rsidRPr="00823F3F">
          <w:rPr>
            <w:rStyle w:val="Hyperlink"/>
          </w:rPr>
          <w:t>Group badging and disclosures</w:t>
        </w:r>
        <w:r w:rsidR="00B7752C">
          <w:rPr>
            <w:webHidden/>
          </w:rPr>
          <w:tab/>
        </w:r>
        <w:r w:rsidR="00B7752C">
          <w:rPr>
            <w:webHidden/>
          </w:rPr>
          <w:fldChar w:fldCharType="begin"/>
        </w:r>
        <w:r w:rsidR="00B7752C">
          <w:rPr>
            <w:webHidden/>
          </w:rPr>
          <w:instrText xml:space="preserve"> PAGEREF _Toc17118659 \h </w:instrText>
        </w:r>
        <w:r w:rsidR="00B7752C">
          <w:rPr>
            <w:webHidden/>
          </w:rPr>
        </w:r>
        <w:r w:rsidR="00B7752C">
          <w:rPr>
            <w:webHidden/>
          </w:rPr>
          <w:fldChar w:fldCharType="separate"/>
        </w:r>
        <w:r w:rsidR="00B7752C">
          <w:rPr>
            <w:webHidden/>
          </w:rPr>
          <w:t>7</w:t>
        </w:r>
        <w:r w:rsidR="00B7752C">
          <w:rPr>
            <w:webHidden/>
          </w:rPr>
          <w:fldChar w:fldCharType="end"/>
        </w:r>
      </w:hyperlink>
    </w:p>
    <w:p w14:paraId="3B8FE791" w14:textId="77777777" w:rsidR="00B7752C" w:rsidRDefault="001F38C7">
      <w:pPr>
        <w:pStyle w:val="TOC1"/>
        <w:rPr>
          <w:rFonts w:asciiTheme="minorHAnsi" w:eastAsiaTheme="minorEastAsia" w:hAnsiTheme="minorHAnsi" w:cstheme="minorBidi"/>
          <w:sz w:val="22"/>
          <w:szCs w:val="22"/>
        </w:rPr>
      </w:pPr>
      <w:hyperlink w:anchor="_Toc17118660" w:history="1">
        <w:r w:rsidR="00B7752C" w:rsidRPr="00823F3F">
          <w:rPr>
            <w:rStyle w:val="Hyperlink"/>
          </w:rPr>
          <w:t>Participation in group operations</w:t>
        </w:r>
        <w:r w:rsidR="00B7752C">
          <w:rPr>
            <w:webHidden/>
          </w:rPr>
          <w:tab/>
        </w:r>
        <w:r w:rsidR="00B7752C">
          <w:rPr>
            <w:webHidden/>
          </w:rPr>
          <w:fldChar w:fldCharType="begin"/>
        </w:r>
        <w:r w:rsidR="00B7752C">
          <w:rPr>
            <w:webHidden/>
          </w:rPr>
          <w:instrText xml:space="preserve"> PAGEREF _Toc17118660 \h </w:instrText>
        </w:r>
        <w:r w:rsidR="00B7752C">
          <w:rPr>
            <w:webHidden/>
          </w:rPr>
        </w:r>
        <w:r w:rsidR="00B7752C">
          <w:rPr>
            <w:webHidden/>
          </w:rPr>
          <w:fldChar w:fldCharType="separate"/>
        </w:r>
        <w:r w:rsidR="00B7752C">
          <w:rPr>
            <w:webHidden/>
          </w:rPr>
          <w:t>8</w:t>
        </w:r>
        <w:r w:rsidR="00B7752C">
          <w:rPr>
            <w:webHidden/>
          </w:rPr>
          <w:fldChar w:fldCharType="end"/>
        </w:r>
      </w:hyperlink>
    </w:p>
    <w:p w14:paraId="1AB38BE1" w14:textId="77777777" w:rsidR="00B7752C" w:rsidRDefault="001F38C7">
      <w:pPr>
        <w:pStyle w:val="TOC1"/>
        <w:rPr>
          <w:rFonts w:asciiTheme="minorHAnsi" w:eastAsiaTheme="minorEastAsia" w:hAnsiTheme="minorHAnsi" w:cstheme="minorBidi"/>
          <w:sz w:val="22"/>
          <w:szCs w:val="22"/>
        </w:rPr>
      </w:pPr>
      <w:hyperlink w:anchor="_Toc17118661" w:history="1">
        <w:r w:rsidR="00B7752C" w:rsidRPr="00823F3F">
          <w:rPr>
            <w:rStyle w:val="Hyperlink"/>
          </w:rPr>
          <w:t>Limits on exposures to related entities</w:t>
        </w:r>
        <w:r w:rsidR="00B7752C">
          <w:rPr>
            <w:webHidden/>
          </w:rPr>
          <w:tab/>
        </w:r>
        <w:r w:rsidR="00B7752C">
          <w:rPr>
            <w:webHidden/>
          </w:rPr>
          <w:fldChar w:fldCharType="begin"/>
        </w:r>
        <w:r w:rsidR="00B7752C">
          <w:rPr>
            <w:webHidden/>
          </w:rPr>
          <w:instrText xml:space="preserve"> PAGEREF _Toc17118661 \h </w:instrText>
        </w:r>
        <w:r w:rsidR="00B7752C">
          <w:rPr>
            <w:webHidden/>
          </w:rPr>
        </w:r>
        <w:r w:rsidR="00B7752C">
          <w:rPr>
            <w:webHidden/>
          </w:rPr>
          <w:fldChar w:fldCharType="separate"/>
        </w:r>
        <w:r w:rsidR="00B7752C">
          <w:rPr>
            <w:webHidden/>
          </w:rPr>
          <w:t>9</w:t>
        </w:r>
        <w:r w:rsidR="00B7752C">
          <w:rPr>
            <w:webHidden/>
          </w:rPr>
          <w:fldChar w:fldCharType="end"/>
        </w:r>
      </w:hyperlink>
    </w:p>
    <w:p w14:paraId="750A0749" w14:textId="77777777" w:rsidR="00B7752C" w:rsidRDefault="001F38C7">
      <w:pPr>
        <w:pStyle w:val="TOC1"/>
        <w:rPr>
          <w:rFonts w:asciiTheme="minorHAnsi" w:eastAsiaTheme="minorEastAsia" w:hAnsiTheme="minorHAnsi" w:cstheme="minorBidi"/>
          <w:sz w:val="22"/>
          <w:szCs w:val="22"/>
        </w:rPr>
      </w:pPr>
      <w:hyperlink w:anchor="_Toc17118662" w:history="1">
        <w:r w:rsidR="00B7752C" w:rsidRPr="00823F3F">
          <w:rPr>
            <w:rStyle w:val="Hyperlink"/>
          </w:rPr>
          <w:t>Measuring exposures to related entities</w:t>
        </w:r>
        <w:r w:rsidR="00B7752C">
          <w:rPr>
            <w:webHidden/>
          </w:rPr>
          <w:tab/>
        </w:r>
        <w:r w:rsidR="00B7752C">
          <w:rPr>
            <w:webHidden/>
          </w:rPr>
          <w:fldChar w:fldCharType="begin"/>
        </w:r>
        <w:r w:rsidR="00B7752C">
          <w:rPr>
            <w:webHidden/>
          </w:rPr>
          <w:instrText xml:space="preserve"> PAGEREF _Toc17118662 \h </w:instrText>
        </w:r>
        <w:r w:rsidR="00B7752C">
          <w:rPr>
            <w:webHidden/>
          </w:rPr>
        </w:r>
        <w:r w:rsidR="00B7752C">
          <w:rPr>
            <w:webHidden/>
          </w:rPr>
          <w:fldChar w:fldCharType="separate"/>
        </w:r>
        <w:r w:rsidR="00B7752C">
          <w:rPr>
            <w:webHidden/>
          </w:rPr>
          <w:t>10</w:t>
        </w:r>
        <w:r w:rsidR="00B7752C">
          <w:rPr>
            <w:webHidden/>
          </w:rPr>
          <w:fldChar w:fldCharType="end"/>
        </w:r>
      </w:hyperlink>
    </w:p>
    <w:p w14:paraId="1CC65F7A" w14:textId="77777777" w:rsidR="00B7752C" w:rsidRDefault="001F38C7">
      <w:pPr>
        <w:pStyle w:val="TOC1"/>
        <w:rPr>
          <w:rFonts w:asciiTheme="minorHAnsi" w:eastAsiaTheme="minorEastAsia" w:hAnsiTheme="minorHAnsi" w:cstheme="minorBidi"/>
          <w:sz w:val="22"/>
          <w:szCs w:val="22"/>
        </w:rPr>
      </w:pPr>
      <w:hyperlink w:anchor="_Toc17118663" w:history="1">
        <w:r w:rsidR="00B7752C" w:rsidRPr="00823F3F">
          <w:rPr>
            <w:rStyle w:val="Hyperlink"/>
          </w:rPr>
          <w:t>Prior notification requirements</w:t>
        </w:r>
        <w:r w:rsidR="00B7752C">
          <w:rPr>
            <w:webHidden/>
          </w:rPr>
          <w:tab/>
        </w:r>
        <w:r w:rsidR="00B7752C">
          <w:rPr>
            <w:webHidden/>
          </w:rPr>
          <w:fldChar w:fldCharType="begin"/>
        </w:r>
        <w:r w:rsidR="00B7752C">
          <w:rPr>
            <w:webHidden/>
          </w:rPr>
          <w:instrText xml:space="preserve"> PAGEREF _Toc17118663 \h </w:instrText>
        </w:r>
        <w:r w:rsidR="00B7752C">
          <w:rPr>
            <w:webHidden/>
          </w:rPr>
        </w:r>
        <w:r w:rsidR="00B7752C">
          <w:rPr>
            <w:webHidden/>
          </w:rPr>
          <w:fldChar w:fldCharType="separate"/>
        </w:r>
        <w:r w:rsidR="00B7752C">
          <w:rPr>
            <w:webHidden/>
          </w:rPr>
          <w:t>10</w:t>
        </w:r>
        <w:r w:rsidR="00B7752C">
          <w:rPr>
            <w:webHidden/>
          </w:rPr>
          <w:fldChar w:fldCharType="end"/>
        </w:r>
      </w:hyperlink>
    </w:p>
    <w:p w14:paraId="01498ACA" w14:textId="77777777" w:rsidR="00B7752C" w:rsidRDefault="001F38C7">
      <w:pPr>
        <w:pStyle w:val="TOC1"/>
        <w:rPr>
          <w:rFonts w:asciiTheme="minorHAnsi" w:eastAsiaTheme="minorEastAsia" w:hAnsiTheme="minorHAnsi" w:cstheme="minorBidi"/>
          <w:sz w:val="22"/>
          <w:szCs w:val="22"/>
        </w:rPr>
      </w:pPr>
      <w:hyperlink w:anchor="_Toc17118664" w:history="1">
        <w:r w:rsidR="00B7752C" w:rsidRPr="00823F3F">
          <w:rPr>
            <w:rStyle w:val="Hyperlink"/>
          </w:rPr>
          <w:t>Notification requirements</w:t>
        </w:r>
        <w:r w:rsidR="00B7752C">
          <w:rPr>
            <w:webHidden/>
          </w:rPr>
          <w:tab/>
        </w:r>
        <w:r w:rsidR="00B7752C">
          <w:rPr>
            <w:webHidden/>
          </w:rPr>
          <w:fldChar w:fldCharType="begin"/>
        </w:r>
        <w:r w:rsidR="00B7752C">
          <w:rPr>
            <w:webHidden/>
          </w:rPr>
          <w:instrText xml:space="preserve"> PAGEREF _Toc17118664 \h </w:instrText>
        </w:r>
        <w:r w:rsidR="00B7752C">
          <w:rPr>
            <w:webHidden/>
          </w:rPr>
        </w:r>
        <w:r w:rsidR="00B7752C">
          <w:rPr>
            <w:webHidden/>
          </w:rPr>
          <w:fldChar w:fldCharType="separate"/>
        </w:r>
        <w:r w:rsidR="00B7752C">
          <w:rPr>
            <w:webHidden/>
          </w:rPr>
          <w:t>11</w:t>
        </w:r>
        <w:r w:rsidR="00B7752C">
          <w:rPr>
            <w:webHidden/>
          </w:rPr>
          <w:fldChar w:fldCharType="end"/>
        </w:r>
      </w:hyperlink>
    </w:p>
    <w:p w14:paraId="7D5E1516" w14:textId="77777777" w:rsidR="00B7752C" w:rsidRDefault="001F38C7">
      <w:pPr>
        <w:pStyle w:val="TOC1"/>
        <w:rPr>
          <w:rFonts w:asciiTheme="minorHAnsi" w:eastAsiaTheme="minorEastAsia" w:hAnsiTheme="minorHAnsi" w:cstheme="minorBidi"/>
          <w:sz w:val="22"/>
          <w:szCs w:val="22"/>
        </w:rPr>
      </w:pPr>
      <w:hyperlink w:anchor="_Toc17118665" w:history="1">
        <w:r w:rsidR="00B7752C" w:rsidRPr="00823F3F">
          <w:rPr>
            <w:rStyle w:val="Hyperlink"/>
          </w:rPr>
          <w:t>Approval requirements</w:t>
        </w:r>
        <w:r w:rsidR="00B7752C">
          <w:rPr>
            <w:webHidden/>
          </w:rPr>
          <w:tab/>
        </w:r>
        <w:r w:rsidR="00B7752C">
          <w:rPr>
            <w:webHidden/>
          </w:rPr>
          <w:fldChar w:fldCharType="begin"/>
        </w:r>
        <w:r w:rsidR="00B7752C">
          <w:rPr>
            <w:webHidden/>
          </w:rPr>
          <w:instrText xml:space="preserve"> PAGEREF _Toc17118665 \h </w:instrText>
        </w:r>
        <w:r w:rsidR="00B7752C">
          <w:rPr>
            <w:webHidden/>
          </w:rPr>
        </w:r>
        <w:r w:rsidR="00B7752C">
          <w:rPr>
            <w:webHidden/>
          </w:rPr>
          <w:fldChar w:fldCharType="separate"/>
        </w:r>
        <w:r w:rsidR="00B7752C">
          <w:rPr>
            <w:webHidden/>
          </w:rPr>
          <w:t>11</w:t>
        </w:r>
        <w:r w:rsidR="00B7752C">
          <w:rPr>
            <w:webHidden/>
          </w:rPr>
          <w:fldChar w:fldCharType="end"/>
        </w:r>
      </w:hyperlink>
    </w:p>
    <w:p w14:paraId="1D5BE58E" w14:textId="77777777" w:rsidR="00B7752C" w:rsidRDefault="001F38C7">
      <w:pPr>
        <w:pStyle w:val="TOC2"/>
        <w:rPr>
          <w:rFonts w:asciiTheme="minorHAnsi" w:eastAsiaTheme="minorEastAsia" w:hAnsiTheme="minorHAnsi" w:cstheme="minorBidi"/>
          <w:sz w:val="22"/>
          <w:szCs w:val="22"/>
        </w:rPr>
      </w:pPr>
      <w:hyperlink w:anchor="_Toc17118666" w:history="1">
        <w:r w:rsidR="00B7752C" w:rsidRPr="00823F3F">
          <w:rPr>
            <w:rStyle w:val="Hyperlink"/>
          </w:rPr>
          <w:t>Attachment A — Step-in risk</w:t>
        </w:r>
        <w:r w:rsidR="00B7752C">
          <w:rPr>
            <w:webHidden/>
          </w:rPr>
          <w:tab/>
        </w:r>
        <w:r w:rsidR="00B7752C">
          <w:rPr>
            <w:webHidden/>
          </w:rPr>
          <w:fldChar w:fldCharType="begin"/>
        </w:r>
        <w:r w:rsidR="00B7752C">
          <w:rPr>
            <w:webHidden/>
          </w:rPr>
          <w:instrText xml:space="preserve"> PAGEREF _Toc17118666 \h </w:instrText>
        </w:r>
        <w:r w:rsidR="00B7752C">
          <w:rPr>
            <w:webHidden/>
          </w:rPr>
        </w:r>
        <w:r w:rsidR="00B7752C">
          <w:rPr>
            <w:webHidden/>
          </w:rPr>
          <w:fldChar w:fldCharType="separate"/>
        </w:r>
        <w:r w:rsidR="00B7752C">
          <w:rPr>
            <w:webHidden/>
          </w:rPr>
          <w:t>13</w:t>
        </w:r>
        <w:r w:rsidR="00B7752C">
          <w:rPr>
            <w:webHidden/>
          </w:rPr>
          <w:fldChar w:fldCharType="end"/>
        </w:r>
      </w:hyperlink>
    </w:p>
    <w:p w14:paraId="698241A4" w14:textId="77777777" w:rsidR="00B7752C" w:rsidRDefault="001F38C7">
      <w:pPr>
        <w:pStyle w:val="TOC2"/>
        <w:rPr>
          <w:rFonts w:asciiTheme="minorHAnsi" w:eastAsiaTheme="minorEastAsia" w:hAnsiTheme="minorHAnsi" w:cstheme="minorBidi"/>
          <w:sz w:val="22"/>
          <w:szCs w:val="22"/>
        </w:rPr>
      </w:pPr>
      <w:hyperlink w:anchor="_Toc17118667" w:history="1">
        <w:r w:rsidR="00B7752C" w:rsidRPr="00823F3F">
          <w:rPr>
            <w:rStyle w:val="Hyperlink"/>
          </w:rPr>
          <w:t>Attachment B — Funds management</w:t>
        </w:r>
        <w:r w:rsidR="00B7752C">
          <w:rPr>
            <w:webHidden/>
          </w:rPr>
          <w:tab/>
        </w:r>
        <w:r w:rsidR="00B7752C">
          <w:rPr>
            <w:webHidden/>
          </w:rPr>
          <w:fldChar w:fldCharType="begin"/>
        </w:r>
        <w:r w:rsidR="00B7752C">
          <w:rPr>
            <w:webHidden/>
          </w:rPr>
          <w:instrText xml:space="preserve"> PAGEREF _Toc17118667 \h </w:instrText>
        </w:r>
        <w:r w:rsidR="00B7752C">
          <w:rPr>
            <w:webHidden/>
          </w:rPr>
        </w:r>
        <w:r w:rsidR="00B7752C">
          <w:rPr>
            <w:webHidden/>
          </w:rPr>
          <w:fldChar w:fldCharType="separate"/>
        </w:r>
        <w:r w:rsidR="00B7752C">
          <w:rPr>
            <w:webHidden/>
          </w:rPr>
          <w:t>14</w:t>
        </w:r>
        <w:r w:rsidR="00B7752C">
          <w:rPr>
            <w:webHidden/>
          </w:rPr>
          <w:fldChar w:fldCharType="end"/>
        </w:r>
      </w:hyperlink>
    </w:p>
    <w:p w14:paraId="451D0E3D" w14:textId="77777777" w:rsidR="00B7752C" w:rsidRDefault="001F38C7">
      <w:pPr>
        <w:pStyle w:val="TOC2"/>
        <w:rPr>
          <w:rFonts w:asciiTheme="minorHAnsi" w:eastAsiaTheme="minorEastAsia" w:hAnsiTheme="minorHAnsi" w:cstheme="minorBidi"/>
          <w:sz w:val="22"/>
          <w:szCs w:val="22"/>
        </w:rPr>
      </w:pPr>
      <w:hyperlink w:anchor="_Toc17118668" w:history="1">
        <w:r w:rsidR="00B7752C" w:rsidRPr="00823F3F">
          <w:rPr>
            <w:rStyle w:val="Hyperlink"/>
          </w:rPr>
          <w:t>Attachment C — Extended Licensed Entity</w:t>
        </w:r>
        <w:r w:rsidR="00B7752C">
          <w:rPr>
            <w:webHidden/>
          </w:rPr>
          <w:tab/>
        </w:r>
        <w:r w:rsidR="00B7752C">
          <w:rPr>
            <w:webHidden/>
          </w:rPr>
          <w:fldChar w:fldCharType="begin"/>
        </w:r>
        <w:r w:rsidR="00B7752C">
          <w:rPr>
            <w:webHidden/>
          </w:rPr>
          <w:instrText xml:space="preserve"> PAGEREF _Toc17118668 \h </w:instrText>
        </w:r>
        <w:r w:rsidR="00B7752C">
          <w:rPr>
            <w:webHidden/>
          </w:rPr>
        </w:r>
        <w:r w:rsidR="00B7752C">
          <w:rPr>
            <w:webHidden/>
          </w:rPr>
          <w:fldChar w:fldCharType="separate"/>
        </w:r>
        <w:r w:rsidR="00B7752C">
          <w:rPr>
            <w:webHidden/>
          </w:rPr>
          <w:t>17</w:t>
        </w:r>
        <w:r w:rsidR="00B7752C">
          <w:rPr>
            <w:webHidden/>
          </w:rPr>
          <w:fldChar w:fldCharType="end"/>
        </w:r>
      </w:hyperlink>
    </w:p>
    <w:p w14:paraId="50B18AF5" w14:textId="3D9CC15E" w:rsidR="009D467A" w:rsidRDefault="00BC4D0E" w:rsidP="009F5DE5">
      <w:pPr>
        <w:pStyle w:val="NoSpacing"/>
        <w:jc w:val="both"/>
      </w:pPr>
      <w:r>
        <w:fldChar w:fldCharType="end"/>
      </w:r>
    </w:p>
    <w:p w14:paraId="462CCBA5" w14:textId="77777777" w:rsidR="00E96B6D" w:rsidRDefault="00E96B6D" w:rsidP="009F5DE5">
      <w:pPr>
        <w:pStyle w:val="Heading1"/>
        <w:jc w:val="both"/>
        <w:sectPr w:rsidR="00E96B6D" w:rsidSect="000D63A8">
          <w:pgSz w:w="11906" w:h="16838" w:code="9"/>
          <w:pgMar w:top="1440" w:right="1797" w:bottom="1440" w:left="1797" w:header="709" w:footer="709" w:gutter="0"/>
          <w:cols w:space="708"/>
          <w:docGrid w:linePitch="360"/>
        </w:sectPr>
      </w:pPr>
      <w:bookmarkStart w:id="9" w:name="_Toc314733116"/>
      <w:bookmarkStart w:id="10" w:name="_Toc341686774"/>
      <w:bookmarkEnd w:id="5"/>
      <w:bookmarkEnd w:id="6"/>
      <w:bookmarkEnd w:id="7"/>
      <w:bookmarkEnd w:id="8"/>
    </w:p>
    <w:p w14:paraId="3F8D4F56" w14:textId="77777777" w:rsidR="00E07F40" w:rsidRPr="001F6B8D" w:rsidRDefault="00E07F40" w:rsidP="009F5DE5">
      <w:pPr>
        <w:pStyle w:val="Heading1"/>
        <w:jc w:val="both"/>
      </w:pPr>
      <w:bookmarkStart w:id="11" w:name="_Toc13750290"/>
      <w:bookmarkStart w:id="12" w:name="_Toc13837394"/>
      <w:bookmarkStart w:id="13" w:name="_Toc17118650"/>
      <w:r w:rsidRPr="007145CA">
        <w:lastRenderedPageBreak/>
        <w:t>Authority</w:t>
      </w:r>
      <w:bookmarkEnd w:id="9"/>
      <w:bookmarkEnd w:id="10"/>
      <w:bookmarkEnd w:id="11"/>
      <w:bookmarkEnd w:id="12"/>
      <w:bookmarkEnd w:id="13"/>
    </w:p>
    <w:p w14:paraId="2B295A47" w14:textId="320EDC0B" w:rsidR="00E07F40" w:rsidRPr="007145CA" w:rsidRDefault="00E07F40" w:rsidP="009F5DE5">
      <w:pPr>
        <w:pStyle w:val="BodyText1"/>
        <w:rPr>
          <w:rFonts w:asciiTheme="minorHAnsi" w:hAnsiTheme="minorHAnsi" w:cstheme="minorHAnsi"/>
        </w:rPr>
      </w:pPr>
      <w:bookmarkStart w:id="14" w:name="_Ref484172863"/>
      <w:r w:rsidRPr="007145CA">
        <w:rPr>
          <w:rFonts w:asciiTheme="minorHAnsi" w:hAnsiTheme="minorHAnsi" w:cstheme="minorHAnsi"/>
        </w:rPr>
        <w:t xml:space="preserve">This Prudential Standard is made under section 11AF of the </w:t>
      </w:r>
      <w:r w:rsidRPr="007145CA">
        <w:rPr>
          <w:rFonts w:asciiTheme="minorHAnsi" w:hAnsiTheme="minorHAnsi" w:cstheme="minorHAnsi"/>
          <w:i/>
          <w:iCs/>
        </w:rPr>
        <w:t xml:space="preserve">Banking Act 1959 </w:t>
      </w:r>
      <w:r w:rsidRPr="007145CA">
        <w:rPr>
          <w:rFonts w:asciiTheme="minorHAnsi" w:hAnsiTheme="minorHAnsi" w:cstheme="minorHAnsi"/>
        </w:rPr>
        <w:t xml:space="preserve">(the </w:t>
      </w:r>
      <w:r w:rsidRPr="007145CA">
        <w:rPr>
          <w:rFonts w:asciiTheme="minorHAnsi" w:hAnsiTheme="minorHAnsi" w:cstheme="minorHAnsi"/>
          <w:b/>
        </w:rPr>
        <w:t>Banking Act</w:t>
      </w:r>
      <w:r w:rsidRPr="007145CA">
        <w:rPr>
          <w:rFonts w:asciiTheme="minorHAnsi" w:hAnsiTheme="minorHAnsi" w:cstheme="minorHAnsi"/>
        </w:rPr>
        <w:t>).</w:t>
      </w:r>
      <w:bookmarkEnd w:id="14"/>
    </w:p>
    <w:p w14:paraId="6C792CEF" w14:textId="77777777" w:rsidR="00E07F40" w:rsidRPr="007145CA" w:rsidRDefault="00E07F40" w:rsidP="009F5DE5">
      <w:pPr>
        <w:pStyle w:val="Heading1"/>
        <w:jc w:val="both"/>
      </w:pPr>
      <w:bookmarkStart w:id="15" w:name="_Toc314733118"/>
      <w:bookmarkStart w:id="16" w:name="_Toc341686775"/>
      <w:bookmarkStart w:id="17" w:name="_Toc13750291"/>
      <w:bookmarkStart w:id="18" w:name="_Toc13837395"/>
      <w:bookmarkStart w:id="19" w:name="_Toc17118651"/>
      <w:r w:rsidRPr="007145CA">
        <w:t>Application</w:t>
      </w:r>
      <w:bookmarkEnd w:id="15"/>
      <w:bookmarkEnd w:id="16"/>
      <w:bookmarkEnd w:id="17"/>
      <w:bookmarkEnd w:id="18"/>
      <w:bookmarkEnd w:id="19"/>
    </w:p>
    <w:p w14:paraId="31FFDD12" w14:textId="1D0141CD" w:rsidR="007A4D50" w:rsidRDefault="007A4D50" w:rsidP="009F5DE5">
      <w:pPr>
        <w:pStyle w:val="BodyText1"/>
        <w:rPr>
          <w:rFonts w:asciiTheme="minorHAnsi" w:hAnsiTheme="minorHAnsi" w:cstheme="minorHAnsi"/>
        </w:rPr>
      </w:pPr>
      <w:r w:rsidRPr="007145CA">
        <w:rPr>
          <w:rFonts w:asciiTheme="minorHAnsi" w:hAnsiTheme="minorHAnsi" w:cstheme="minorHAnsi"/>
        </w:rPr>
        <w:t>This Prudential Standard applies to all authorised deposit-taking institutions (</w:t>
      </w:r>
      <w:r w:rsidRPr="007145CA">
        <w:rPr>
          <w:rFonts w:asciiTheme="minorHAnsi" w:hAnsiTheme="minorHAnsi" w:cstheme="minorHAnsi"/>
          <w:b/>
        </w:rPr>
        <w:t>ADIs</w:t>
      </w:r>
      <w:r w:rsidRPr="007145CA">
        <w:rPr>
          <w:rFonts w:asciiTheme="minorHAnsi" w:hAnsiTheme="minorHAnsi" w:cstheme="minorHAnsi"/>
        </w:rPr>
        <w:t>)</w:t>
      </w:r>
      <w:r w:rsidR="005119E2">
        <w:rPr>
          <w:rFonts w:asciiTheme="minorHAnsi" w:hAnsiTheme="minorHAnsi" w:cstheme="minorHAnsi"/>
        </w:rPr>
        <w:t xml:space="preserve">, on a </w:t>
      </w:r>
      <w:r w:rsidR="005119E2">
        <w:rPr>
          <w:rFonts w:asciiTheme="minorHAnsi" w:hAnsiTheme="minorHAnsi" w:cstheme="minorHAnsi"/>
          <w:b/>
        </w:rPr>
        <w:t>Level 1</w:t>
      </w:r>
      <w:r w:rsidR="005119E2">
        <w:rPr>
          <w:rFonts w:asciiTheme="minorHAnsi" w:hAnsiTheme="minorHAnsi" w:cstheme="minorHAnsi"/>
        </w:rPr>
        <w:t xml:space="preserve"> basis,</w:t>
      </w:r>
      <w:r w:rsidRPr="007145CA">
        <w:rPr>
          <w:rFonts w:asciiTheme="minorHAnsi" w:hAnsiTheme="minorHAnsi" w:cstheme="minorHAnsi"/>
        </w:rPr>
        <w:t xml:space="preserve"> except </w:t>
      </w:r>
      <w:r w:rsidRPr="007145CA">
        <w:rPr>
          <w:rFonts w:asciiTheme="minorHAnsi" w:hAnsiTheme="minorHAnsi" w:cstheme="minorHAnsi"/>
          <w:b/>
        </w:rPr>
        <w:t xml:space="preserve">purchased payment facility providers </w:t>
      </w:r>
      <w:r w:rsidRPr="007145CA">
        <w:rPr>
          <w:rFonts w:asciiTheme="minorHAnsi" w:hAnsiTheme="minorHAnsi" w:cstheme="minorHAnsi"/>
        </w:rPr>
        <w:t>(</w:t>
      </w:r>
      <w:r w:rsidRPr="007145CA">
        <w:rPr>
          <w:rFonts w:asciiTheme="minorHAnsi" w:hAnsiTheme="minorHAnsi" w:cstheme="minorHAnsi"/>
          <w:b/>
        </w:rPr>
        <w:t>PPF providers</w:t>
      </w:r>
      <w:r w:rsidRPr="007145CA">
        <w:rPr>
          <w:rFonts w:asciiTheme="minorHAnsi" w:hAnsiTheme="minorHAnsi" w:cstheme="minorHAnsi"/>
        </w:rPr>
        <w:t xml:space="preserve">), subject to paragraph </w:t>
      </w:r>
      <w:r w:rsidR="000B22E7">
        <w:rPr>
          <w:rFonts w:asciiTheme="minorHAnsi" w:hAnsiTheme="minorHAnsi" w:cstheme="minorHAnsi"/>
        </w:rPr>
        <w:fldChar w:fldCharType="begin"/>
      </w:r>
      <w:r w:rsidR="000B22E7">
        <w:rPr>
          <w:rFonts w:asciiTheme="minorHAnsi" w:hAnsiTheme="minorHAnsi" w:cstheme="minorHAnsi"/>
        </w:rPr>
        <w:instrText xml:space="preserve"> REF _Ref176229347 \r \h </w:instrText>
      </w:r>
      <w:r w:rsidR="000B22E7">
        <w:rPr>
          <w:rFonts w:asciiTheme="minorHAnsi" w:hAnsiTheme="minorHAnsi" w:cstheme="minorHAnsi"/>
        </w:rPr>
      </w:r>
      <w:r w:rsidR="000B22E7">
        <w:rPr>
          <w:rFonts w:asciiTheme="minorHAnsi" w:hAnsiTheme="minorHAnsi" w:cstheme="minorHAnsi"/>
        </w:rPr>
        <w:fldChar w:fldCharType="separate"/>
      </w:r>
      <w:r w:rsidR="008716B5">
        <w:rPr>
          <w:rFonts w:asciiTheme="minorHAnsi" w:hAnsiTheme="minorHAnsi" w:cstheme="minorHAnsi"/>
        </w:rPr>
        <w:t>3</w:t>
      </w:r>
      <w:r w:rsidR="000B22E7">
        <w:rPr>
          <w:rFonts w:asciiTheme="minorHAnsi" w:hAnsiTheme="minorHAnsi" w:cstheme="minorHAnsi"/>
        </w:rPr>
        <w:fldChar w:fldCharType="end"/>
      </w:r>
      <w:r w:rsidR="00B90196">
        <w:rPr>
          <w:rFonts w:asciiTheme="minorHAnsi" w:hAnsiTheme="minorHAnsi" w:cstheme="minorHAnsi"/>
        </w:rPr>
        <w:t xml:space="preserve"> </w:t>
      </w:r>
      <w:r w:rsidR="00B90196">
        <w:t>of this Prudential Standard</w:t>
      </w:r>
      <w:r w:rsidRPr="007145CA">
        <w:rPr>
          <w:rFonts w:asciiTheme="minorHAnsi" w:hAnsiTheme="minorHAnsi" w:cstheme="minorHAnsi"/>
        </w:rPr>
        <w:t>.</w:t>
      </w:r>
    </w:p>
    <w:p w14:paraId="1121A7A6" w14:textId="0A4A2307" w:rsidR="001C755C" w:rsidRPr="00A62763" w:rsidRDefault="007145CA" w:rsidP="009F5DE5">
      <w:pPr>
        <w:pStyle w:val="BodyText1"/>
        <w:rPr>
          <w:rFonts w:asciiTheme="minorHAnsi" w:hAnsiTheme="minorHAnsi" w:cstheme="minorHAnsi"/>
        </w:rPr>
      </w:pPr>
      <w:bookmarkStart w:id="20" w:name="_Ref176229347"/>
      <w:r w:rsidRPr="007145CA">
        <w:rPr>
          <w:rFonts w:asciiTheme="minorHAnsi" w:hAnsiTheme="minorHAnsi" w:cstheme="minorHAnsi"/>
        </w:rPr>
        <w:t xml:space="preserve">A </w:t>
      </w:r>
      <w:r w:rsidRPr="007145CA">
        <w:rPr>
          <w:rFonts w:asciiTheme="minorHAnsi" w:hAnsiTheme="minorHAnsi" w:cstheme="minorHAnsi"/>
          <w:b/>
        </w:rPr>
        <w:t>foreign ADI</w:t>
      </w:r>
      <w:r w:rsidRPr="007145CA">
        <w:rPr>
          <w:rFonts w:asciiTheme="minorHAnsi" w:hAnsiTheme="minorHAnsi" w:cstheme="minorHAnsi"/>
        </w:rPr>
        <w:t xml:space="preserve"> is </w:t>
      </w:r>
      <w:r w:rsidR="00585082">
        <w:rPr>
          <w:rFonts w:asciiTheme="minorHAnsi" w:hAnsiTheme="minorHAnsi" w:cstheme="minorHAnsi"/>
        </w:rPr>
        <w:t xml:space="preserve">only required to comply with </w:t>
      </w:r>
      <w:r w:rsidRPr="007145CA">
        <w:rPr>
          <w:rFonts w:asciiTheme="minorHAnsi" w:hAnsiTheme="minorHAnsi" w:cstheme="minorHAnsi"/>
        </w:rPr>
        <w:t>the requirements in paragraphs</w:t>
      </w:r>
      <w:r w:rsidR="00AC279D">
        <w:rPr>
          <w:rFonts w:asciiTheme="minorHAnsi" w:hAnsiTheme="minorHAnsi" w:cstheme="minorHAnsi"/>
        </w:rPr>
        <w:t xml:space="preserve"> </w:t>
      </w:r>
      <w:r w:rsidR="0077784E">
        <w:rPr>
          <w:rFonts w:asciiTheme="minorHAnsi" w:hAnsiTheme="minorHAnsi" w:cstheme="minorHAnsi"/>
        </w:rPr>
        <w:fldChar w:fldCharType="begin"/>
      </w:r>
      <w:r w:rsidR="0077784E">
        <w:rPr>
          <w:rFonts w:asciiTheme="minorHAnsi" w:hAnsiTheme="minorHAnsi" w:cstheme="minorHAnsi"/>
        </w:rPr>
        <w:instrText xml:space="preserve"> REF _Ref10791178 \r \h </w:instrText>
      </w:r>
      <w:r w:rsidR="0077784E">
        <w:rPr>
          <w:rFonts w:asciiTheme="minorHAnsi" w:hAnsiTheme="minorHAnsi" w:cstheme="minorHAnsi"/>
        </w:rPr>
      </w:r>
      <w:r w:rsidR="0077784E">
        <w:rPr>
          <w:rFonts w:asciiTheme="minorHAnsi" w:hAnsiTheme="minorHAnsi" w:cstheme="minorHAnsi"/>
        </w:rPr>
        <w:fldChar w:fldCharType="separate"/>
      </w:r>
      <w:r w:rsidR="008716B5">
        <w:rPr>
          <w:rFonts w:asciiTheme="minorHAnsi" w:hAnsiTheme="minorHAnsi" w:cstheme="minorHAnsi"/>
        </w:rPr>
        <w:t>23</w:t>
      </w:r>
      <w:r w:rsidR="0077784E">
        <w:rPr>
          <w:rFonts w:asciiTheme="minorHAnsi" w:hAnsiTheme="minorHAnsi" w:cstheme="minorHAnsi"/>
        </w:rPr>
        <w:fldChar w:fldCharType="end"/>
      </w:r>
      <w:r w:rsidR="00AC279D">
        <w:rPr>
          <w:rFonts w:asciiTheme="minorHAnsi" w:hAnsiTheme="minorHAnsi" w:cstheme="minorHAnsi"/>
        </w:rPr>
        <w:t xml:space="preserve"> to</w:t>
      </w:r>
      <w:r w:rsidR="00C03AB1">
        <w:rPr>
          <w:rFonts w:asciiTheme="minorHAnsi" w:hAnsiTheme="minorHAnsi" w:cstheme="minorHAnsi"/>
        </w:rPr>
        <w:t xml:space="preserve"> </w:t>
      </w:r>
      <w:r w:rsidR="00B63152">
        <w:rPr>
          <w:rFonts w:asciiTheme="minorHAnsi" w:hAnsiTheme="minorHAnsi" w:cstheme="minorHAnsi"/>
        </w:rPr>
        <w:fldChar w:fldCharType="begin"/>
      </w:r>
      <w:r w:rsidR="00B63152">
        <w:rPr>
          <w:rFonts w:asciiTheme="minorHAnsi" w:hAnsiTheme="minorHAnsi" w:cstheme="minorHAnsi"/>
        </w:rPr>
        <w:instrText xml:space="preserve"> REF _Ref12434902 \r \h </w:instrText>
      </w:r>
      <w:r w:rsidR="00B63152">
        <w:rPr>
          <w:rFonts w:asciiTheme="minorHAnsi" w:hAnsiTheme="minorHAnsi" w:cstheme="minorHAnsi"/>
        </w:rPr>
      </w:r>
      <w:r w:rsidR="00B63152">
        <w:rPr>
          <w:rFonts w:asciiTheme="minorHAnsi" w:hAnsiTheme="minorHAnsi" w:cstheme="minorHAnsi"/>
        </w:rPr>
        <w:fldChar w:fldCharType="separate"/>
      </w:r>
      <w:r w:rsidR="008716B5">
        <w:rPr>
          <w:rFonts w:asciiTheme="minorHAnsi" w:hAnsiTheme="minorHAnsi" w:cstheme="minorHAnsi"/>
        </w:rPr>
        <w:t>28</w:t>
      </w:r>
      <w:r w:rsidR="00B63152">
        <w:rPr>
          <w:rFonts w:asciiTheme="minorHAnsi" w:hAnsiTheme="minorHAnsi" w:cstheme="minorHAnsi"/>
        </w:rPr>
        <w:fldChar w:fldCharType="end"/>
      </w:r>
      <w:r w:rsidR="00B90196">
        <w:rPr>
          <w:rFonts w:asciiTheme="minorHAnsi" w:hAnsiTheme="minorHAnsi" w:cstheme="minorHAnsi"/>
        </w:rPr>
        <w:t xml:space="preserve"> </w:t>
      </w:r>
      <w:r w:rsidR="00B90196">
        <w:t>of this Prudential Standard</w:t>
      </w:r>
      <w:r w:rsidR="00C03AB1">
        <w:t>.</w:t>
      </w:r>
      <w:bookmarkEnd w:id="20"/>
    </w:p>
    <w:p w14:paraId="63F05F23" w14:textId="61A612A2" w:rsidR="006D569F" w:rsidRPr="007145CA" w:rsidRDefault="006D569F" w:rsidP="009F5DE5">
      <w:pPr>
        <w:pStyle w:val="BodyText1"/>
        <w:rPr>
          <w:rFonts w:asciiTheme="minorHAnsi" w:hAnsiTheme="minorHAnsi" w:cstheme="minorHAnsi"/>
        </w:rPr>
      </w:pPr>
      <w:r>
        <w:rPr>
          <w:rFonts w:asciiTheme="minorHAnsi" w:hAnsiTheme="minorHAnsi" w:cstheme="minorHAnsi"/>
        </w:rPr>
        <w:t>This Pru</w:t>
      </w:r>
      <w:r w:rsidR="00CA5E00">
        <w:rPr>
          <w:rFonts w:asciiTheme="minorHAnsi" w:hAnsiTheme="minorHAnsi" w:cstheme="minorHAnsi"/>
        </w:rPr>
        <w:t xml:space="preserve">dential Standard commences on 1 January </w:t>
      </w:r>
      <w:r w:rsidR="002262BC" w:rsidRPr="004B76C0">
        <w:rPr>
          <w:rFonts w:asciiTheme="minorHAnsi" w:hAnsiTheme="minorHAnsi" w:cstheme="minorHAnsi"/>
        </w:rPr>
        <w:t>202</w:t>
      </w:r>
      <w:r w:rsidR="002262BC">
        <w:rPr>
          <w:rFonts w:asciiTheme="minorHAnsi" w:hAnsiTheme="minorHAnsi" w:cstheme="minorHAnsi"/>
        </w:rPr>
        <w:t>2</w:t>
      </w:r>
      <w:r w:rsidRPr="004B76C0">
        <w:rPr>
          <w:rFonts w:asciiTheme="minorHAnsi" w:hAnsiTheme="minorHAnsi" w:cstheme="minorHAnsi"/>
        </w:rPr>
        <w:t>.</w:t>
      </w:r>
    </w:p>
    <w:p w14:paraId="71554E51" w14:textId="4F892241" w:rsidR="00E83A76" w:rsidRDefault="007145CA" w:rsidP="009F5DE5">
      <w:pPr>
        <w:pStyle w:val="Heading1"/>
        <w:jc w:val="both"/>
      </w:pPr>
      <w:bookmarkStart w:id="21" w:name="_Toc13750292"/>
      <w:bookmarkStart w:id="22" w:name="_Toc13837396"/>
      <w:bookmarkStart w:id="23" w:name="_Toc17118652"/>
      <w:r>
        <w:t>Interpretation</w:t>
      </w:r>
      <w:bookmarkEnd w:id="21"/>
      <w:bookmarkEnd w:id="22"/>
      <w:bookmarkEnd w:id="23"/>
    </w:p>
    <w:p w14:paraId="12550E9A" w14:textId="78DFCE1E" w:rsidR="007145CA" w:rsidRDefault="007145CA" w:rsidP="009F5DE5">
      <w:pPr>
        <w:pStyle w:val="BodyText1"/>
      </w:pPr>
      <w:r w:rsidRPr="007145CA">
        <w:t xml:space="preserve">Terms that are defined in </w:t>
      </w:r>
      <w:r w:rsidRPr="0003734E">
        <w:rPr>
          <w:i/>
        </w:rPr>
        <w:t>Prudential Standard APS 001 Definitions</w:t>
      </w:r>
      <w:r w:rsidRPr="007145CA">
        <w:t xml:space="preserve"> (APS 001) appear in bold the first time they are used in this Prudential Standard.</w:t>
      </w:r>
    </w:p>
    <w:p w14:paraId="2D2028B7" w14:textId="76D1845E" w:rsidR="00BC5561" w:rsidRDefault="00470994" w:rsidP="009F5DE5">
      <w:pPr>
        <w:pStyle w:val="BodyText1"/>
      </w:pPr>
      <w:r>
        <w:t xml:space="preserve">Where this Prudential Standard provides for APRA to exercise a power or discretion, this power or discretion is to be exercised </w:t>
      </w:r>
      <w:r w:rsidR="007E77EA">
        <w:t>in writing.</w:t>
      </w:r>
    </w:p>
    <w:p w14:paraId="41671534" w14:textId="3F5EECAF" w:rsidR="00470994" w:rsidRDefault="007E77EA" w:rsidP="009F5DE5">
      <w:pPr>
        <w:pStyle w:val="BodyText1"/>
      </w:pPr>
      <w:r>
        <w:t>In this Prudential S</w:t>
      </w:r>
      <w:r w:rsidR="00470994">
        <w:t>tandard, unless the contrary intention appears, a reference to an Act, Regulations or Prudential</w:t>
      </w:r>
      <w:r w:rsidR="00F9290E">
        <w:t xml:space="preserve"> S</w:t>
      </w:r>
      <w:r w:rsidR="00470994">
        <w:t>tandard is a reference to the Act, Regulations or Prudential Standard as in force from time to time.</w:t>
      </w:r>
    </w:p>
    <w:p w14:paraId="3FD9CCD3" w14:textId="1CE122D4" w:rsidR="00470994" w:rsidRDefault="00470994" w:rsidP="009F5DE5">
      <w:pPr>
        <w:pStyle w:val="Heading1"/>
        <w:jc w:val="both"/>
      </w:pPr>
      <w:bookmarkStart w:id="24" w:name="_Toc13750293"/>
      <w:bookmarkStart w:id="25" w:name="_Toc13837397"/>
      <w:bookmarkStart w:id="26" w:name="_Toc17118653"/>
      <w:r>
        <w:t>Definitions</w:t>
      </w:r>
      <w:bookmarkEnd w:id="24"/>
      <w:bookmarkEnd w:id="25"/>
      <w:bookmarkEnd w:id="26"/>
    </w:p>
    <w:p w14:paraId="5B238166" w14:textId="60E6E1AF" w:rsidR="00C95A42" w:rsidRDefault="00C95A42" w:rsidP="009F5DE5">
      <w:pPr>
        <w:pStyle w:val="BodyText1"/>
      </w:pPr>
      <w:bookmarkStart w:id="27" w:name="_Ref509339017"/>
      <w:bookmarkStart w:id="28" w:name="_Ref500922507"/>
      <w:r>
        <w:t xml:space="preserve">The following definitions are used in this Prudential </w:t>
      </w:r>
      <w:r w:rsidR="00321A76">
        <w:t>S</w:t>
      </w:r>
      <w:r>
        <w:t>tandard:</w:t>
      </w:r>
      <w:bookmarkEnd w:id="27"/>
    </w:p>
    <w:p w14:paraId="7C9DEE16" w14:textId="68073BF1" w:rsidR="0029461B" w:rsidRDefault="005C2AC4" w:rsidP="009F5DE5">
      <w:pPr>
        <w:pStyle w:val="BodyText2"/>
        <w:jc w:val="both"/>
      </w:pPr>
      <w:r>
        <w:rPr>
          <w:i/>
        </w:rPr>
        <w:t>control</w:t>
      </w:r>
      <w:r w:rsidR="004B76C0">
        <w:rPr>
          <w:i/>
        </w:rPr>
        <w:t xml:space="preserve"> </w:t>
      </w:r>
      <w:r w:rsidR="004B76C0">
        <w:t>over an entity</w:t>
      </w:r>
      <w:r>
        <w:rPr>
          <w:i/>
        </w:rPr>
        <w:t xml:space="preserve"> </w:t>
      </w:r>
      <w:r w:rsidR="0029461B">
        <w:t xml:space="preserve">includes, but is not limited to, </w:t>
      </w:r>
      <w:r w:rsidR="001C617C">
        <w:t>having</w:t>
      </w:r>
      <w:r w:rsidR="0029461B">
        <w:t>:</w:t>
      </w:r>
    </w:p>
    <w:p w14:paraId="66B51703" w14:textId="34D3888B" w:rsidR="0029461B" w:rsidRDefault="0029461B" w:rsidP="009F5DE5">
      <w:pPr>
        <w:pStyle w:val="BodyText3"/>
        <w:jc w:val="both"/>
      </w:pPr>
      <w:r>
        <w:t xml:space="preserve">more than 50 per cent of voting rights over </w:t>
      </w:r>
      <w:r w:rsidR="00F9290E">
        <w:t xml:space="preserve">the </w:t>
      </w:r>
      <w:r>
        <w:t>entity;</w:t>
      </w:r>
    </w:p>
    <w:p w14:paraId="6C2D4668" w14:textId="322A1CA1" w:rsidR="0029461B" w:rsidRDefault="0029461B" w:rsidP="009F5DE5">
      <w:pPr>
        <w:pStyle w:val="BodyText3"/>
        <w:jc w:val="both"/>
      </w:pPr>
      <w:r>
        <w:t xml:space="preserve">a voting agreement with other shareholders resulting in control of voting rights over </w:t>
      </w:r>
      <w:r w:rsidR="00F9290E">
        <w:t xml:space="preserve">the </w:t>
      </w:r>
      <w:r>
        <w:t>entity;</w:t>
      </w:r>
    </w:p>
    <w:p w14:paraId="28C0C26D" w14:textId="06EC816B" w:rsidR="001C617C" w:rsidRDefault="000F7F0A" w:rsidP="009F5DE5">
      <w:pPr>
        <w:pStyle w:val="BodyText3"/>
        <w:jc w:val="both"/>
      </w:pPr>
      <w:r>
        <w:t>significant influence over</w:t>
      </w:r>
      <w:r w:rsidR="001C617C">
        <w:t xml:space="preserve"> the appointment of persons to or removal of persons from </w:t>
      </w:r>
      <w:r w:rsidR="00F9290E">
        <w:t xml:space="preserve">the </w:t>
      </w:r>
      <w:r w:rsidR="001C617C">
        <w:t>entity’s management, Board of directors (</w:t>
      </w:r>
      <w:r w:rsidR="001C617C" w:rsidRPr="00E63FB0">
        <w:rPr>
          <w:b/>
        </w:rPr>
        <w:t>Board</w:t>
      </w:r>
      <w:r w:rsidR="00D20C3A">
        <w:rPr>
          <w:rStyle w:val="FootnoteReference"/>
        </w:rPr>
        <w:footnoteReference w:id="2"/>
      </w:r>
      <w:r w:rsidR="001C617C">
        <w:t>) or board committees;</w:t>
      </w:r>
    </w:p>
    <w:p w14:paraId="1AC1A06E" w14:textId="52A25336" w:rsidR="001C617C" w:rsidRDefault="001C617C" w:rsidP="009F5DE5">
      <w:pPr>
        <w:pStyle w:val="BodyText3"/>
        <w:jc w:val="both"/>
      </w:pPr>
      <w:r>
        <w:t>significant influence o</w:t>
      </w:r>
      <w:r w:rsidR="000F7F0A">
        <w:t>ver</w:t>
      </w:r>
      <w:r>
        <w:t xml:space="preserve"> a </w:t>
      </w:r>
      <w:r>
        <w:rPr>
          <w:b/>
        </w:rPr>
        <w:t>senior manager</w:t>
      </w:r>
      <w:r>
        <w:t xml:space="preserve"> or senior management of </w:t>
      </w:r>
      <w:r w:rsidR="00F9290E">
        <w:t xml:space="preserve">the </w:t>
      </w:r>
      <w:r>
        <w:t>entity (including influence on the policies of the</w:t>
      </w:r>
      <w:r w:rsidR="00321A76">
        <w:t xml:space="preserve"> entity</w:t>
      </w:r>
      <w:r>
        <w:t>);</w:t>
      </w:r>
    </w:p>
    <w:p w14:paraId="4F4FE66D" w14:textId="4B8197AA" w:rsidR="00211B59" w:rsidRPr="00365DB5" w:rsidRDefault="00211B59" w:rsidP="00211B59">
      <w:pPr>
        <w:pStyle w:val="BodyText2"/>
        <w:jc w:val="both"/>
      </w:pPr>
      <w:bookmarkStart w:id="29" w:name="_Ref506975471"/>
      <w:r w:rsidRPr="00F54549">
        <w:rPr>
          <w:i/>
        </w:rPr>
        <w:t>ELE</w:t>
      </w:r>
      <w:r>
        <w:t xml:space="preserve"> </w:t>
      </w:r>
      <w:r w:rsidRPr="00F54549">
        <w:rPr>
          <w:i/>
        </w:rPr>
        <w:t>subsidiary</w:t>
      </w:r>
      <w:r>
        <w:t xml:space="preserve"> </w:t>
      </w:r>
      <w:r w:rsidR="00ED4951">
        <w:t>means</w:t>
      </w:r>
      <w:r>
        <w:t xml:space="preserve"> a </w:t>
      </w:r>
      <w:r w:rsidRPr="00F54549">
        <w:rPr>
          <w:b/>
        </w:rPr>
        <w:t>subsidiary</w:t>
      </w:r>
      <w:r>
        <w:t xml:space="preserve"> that has been approved to be part of an ADI’s </w:t>
      </w:r>
      <w:r w:rsidRPr="00F54549">
        <w:rPr>
          <w:b/>
        </w:rPr>
        <w:t>extended licensed entity</w:t>
      </w:r>
      <w:r>
        <w:t xml:space="preserve"> (</w:t>
      </w:r>
      <w:r w:rsidRPr="00F54549">
        <w:rPr>
          <w:b/>
        </w:rPr>
        <w:t>ELE</w:t>
      </w:r>
      <w:r>
        <w:t>);</w:t>
      </w:r>
    </w:p>
    <w:p w14:paraId="5FDB4A4A" w14:textId="2047D0F8" w:rsidR="00797335" w:rsidRPr="00C57AA8" w:rsidRDefault="00797335" w:rsidP="00797335">
      <w:pPr>
        <w:pStyle w:val="BodyText2"/>
      </w:pPr>
      <w:r w:rsidRPr="00C57AA8">
        <w:rPr>
          <w:i/>
        </w:rPr>
        <w:lastRenderedPageBreak/>
        <w:t>entity</w:t>
      </w:r>
      <w:r>
        <w:t xml:space="preserve"> </w:t>
      </w:r>
      <w:r w:rsidR="003F7C66">
        <w:t>has</w:t>
      </w:r>
      <w:r>
        <w:t xml:space="preserve"> the meaning given in section 9 of the </w:t>
      </w:r>
      <w:r w:rsidRPr="00C57AA8">
        <w:rPr>
          <w:i/>
        </w:rPr>
        <w:t>Corporations Act 2001</w:t>
      </w:r>
      <w:r>
        <w:t xml:space="preserve"> </w:t>
      </w:r>
      <w:r w:rsidR="009C3E9A">
        <w:t xml:space="preserve">(Corporations Act) </w:t>
      </w:r>
      <w:r>
        <w:t xml:space="preserve">for the purposes of Chapter 2E of that Act, a </w:t>
      </w:r>
      <w:r w:rsidR="00BB0248">
        <w:t>government-related entity</w:t>
      </w:r>
      <w:r>
        <w:t xml:space="preserve"> or a trust;</w:t>
      </w:r>
    </w:p>
    <w:p w14:paraId="551AE7A0" w14:textId="6F9E901B" w:rsidR="00C73FF1" w:rsidRPr="00F54549" w:rsidRDefault="00C73FF1" w:rsidP="009F5DE5">
      <w:pPr>
        <w:pStyle w:val="BodyText2"/>
        <w:jc w:val="both"/>
        <w:rPr>
          <w:i/>
        </w:rPr>
      </w:pPr>
      <w:r w:rsidRPr="00BB144C">
        <w:rPr>
          <w:i/>
        </w:rPr>
        <w:t>funds management</w:t>
      </w:r>
      <w:r>
        <w:t xml:space="preserve"> </w:t>
      </w:r>
      <w:r w:rsidR="003F7C66">
        <w:t>means</w:t>
      </w:r>
      <w:r w:rsidR="003F7C66" w:rsidRPr="00CB22C3">
        <w:t xml:space="preserve"> </w:t>
      </w:r>
      <w:r w:rsidRPr="00CB22C3">
        <w:t>the provision of investment and related services for the</w:t>
      </w:r>
      <w:r>
        <w:t xml:space="preserve"> management of investors’ funds;</w:t>
      </w:r>
      <w:r>
        <w:rPr>
          <w:rStyle w:val="FootnoteReference"/>
        </w:rPr>
        <w:footnoteReference w:id="3"/>
      </w:r>
    </w:p>
    <w:p w14:paraId="04ECD3C6" w14:textId="58487462" w:rsidR="00BB0248" w:rsidRPr="00F54549" w:rsidRDefault="00BB0248" w:rsidP="009F5DE5">
      <w:pPr>
        <w:pStyle w:val="BodyText2"/>
        <w:jc w:val="both"/>
        <w:rPr>
          <w:i/>
        </w:rPr>
      </w:pPr>
      <w:r w:rsidRPr="00F54549">
        <w:rPr>
          <w:i/>
        </w:rPr>
        <w:t>government-related entity</w:t>
      </w:r>
      <w:r w:rsidR="007B4649">
        <w:t xml:space="preserve"> means</w:t>
      </w:r>
      <w:r w:rsidR="000B1D17">
        <w:t xml:space="preserve"> a public sector entity, a state-owned enterprise or an entity controlled (whether directly or indirectly) by any level of government or a central bank;</w:t>
      </w:r>
    </w:p>
    <w:p w14:paraId="746074ED" w14:textId="35BD75AF" w:rsidR="00421571" w:rsidRDefault="00470994" w:rsidP="00DD004C">
      <w:pPr>
        <w:pStyle w:val="BodyText2"/>
        <w:jc w:val="both"/>
      </w:pPr>
      <w:r w:rsidRPr="007D489E">
        <w:rPr>
          <w:i/>
        </w:rPr>
        <w:t>related entity</w:t>
      </w:r>
      <w:r>
        <w:t xml:space="preserve"> of an ADI </w:t>
      </w:r>
      <w:r w:rsidR="001A5263">
        <w:rPr>
          <w:rFonts w:asciiTheme="minorHAnsi" w:hAnsiTheme="minorHAnsi" w:cstheme="minorHAnsi"/>
        </w:rPr>
        <w:t>means</w:t>
      </w:r>
      <w:r w:rsidR="001A5263" w:rsidRPr="009044D3">
        <w:rPr>
          <w:rFonts w:asciiTheme="minorHAnsi" w:hAnsiTheme="minorHAnsi" w:cstheme="minorHAnsi"/>
        </w:rPr>
        <w:t xml:space="preserve"> </w:t>
      </w:r>
      <w:r w:rsidR="00ED2280" w:rsidRPr="00365DB5">
        <w:rPr>
          <w:rFonts w:asciiTheme="minorHAnsi" w:hAnsiTheme="minorHAnsi" w:cstheme="minorHAnsi"/>
          <w:color w:val="000000"/>
        </w:rPr>
        <w:t xml:space="preserve">an entity which could give rise to risk </w:t>
      </w:r>
      <w:r w:rsidR="007A27A7">
        <w:rPr>
          <w:rFonts w:asciiTheme="minorHAnsi" w:hAnsiTheme="minorHAnsi" w:cstheme="minorHAnsi"/>
          <w:color w:val="000000"/>
        </w:rPr>
        <w:t xml:space="preserve">to the ADI </w:t>
      </w:r>
      <w:r w:rsidR="00ED2280" w:rsidRPr="00365DB5">
        <w:rPr>
          <w:rFonts w:asciiTheme="minorHAnsi" w:hAnsiTheme="minorHAnsi" w:cstheme="minorHAnsi"/>
          <w:color w:val="000000"/>
        </w:rPr>
        <w:t xml:space="preserve">due to conflicts of interest and contagion, </w:t>
      </w:r>
      <w:r w:rsidR="004149F9" w:rsidRPr="00365DB5">
        <w:rPr>
          <w:rFonts w:asciiTheme="minorHAnsi" w:hAnsiTheme="minorHAnsi" w:cstheme="minorHAnsi"/>
          <w:color w:val="000000"/>
        </w:rPr>
        <w:t>where the risk would not arise if the ADI were dealing with an unrelated entity</w:t>
      </w:r>
      <w:r w:rsidR="00ED2280" w:rsidRPr="00365DB5">
        <w:rPr>
          <w:rFonts w:asciiTheme="minorHAnsi" w:hAnsiTheme="minorHAnsi" w:cstheme="minorHAnsi"/>
          <w:color w:val="000000"/>
        </w:rPr>
        <w:t>.</w:t>
      </w:r>
      <w:r w:rsidR="00ED2280">
        <w:t xml:space="preserve"> A</w:t>
      </w:r>
      <w:r w:rsidR="00421571">
        <w:t xml:space="preserve"> </w:t>
      </w:r>
      <w:r w:rsidR="00421571" w:rsidRPr="007D489E">
        <w:rPr>
          <w:i/>
        </w:rPr>
        <w:t>related entity</w:t>
      </w:r>
      <w:r w:rsidR="00421571">
        <w:t xml:space="preserve"> of an ADI includes, but is not limited to, any of the following:</w:t>
      </w:r>
    </w:p>
    <w:bookmarkEnd w:id="28"/>
    <w:bookmarkEnd w:id="29"/>
    <w:p w14:paraId="2BB63EDE" w14:textId="52501004" w:rsidR="00F617A1" w:rsidRDefault="00097DA8" w:rsidP="009F5DE5">
      <w:pPr>
        <w:pStyle w:val="BodyText3"/>
        <w:jc w:val="both"/>
      </w:pPr>
      <w:r>
        <w:t>an entity which is directly or indirectly controlled by the ADI</w:t>
      </w:r>
      <w:r w:rsidR="007F0FC1">
        <w:t>;</w:t>
      </w:r>
      <w:r w:rsidR="007542FE" w:rsidDel="007542FE">
        <w:rPr>
          <w:rStyle w:val="FootnoteReference"/>
        </w:rPr>
        <w:t xml:space="preserve"> </w:t>
      </w:r>
    </w:p>
    <w:p w14:paraId="5223865B" w14:textId="00BACD55" w:rsidR="00437C87" w:rsidRDefault="00097DA8" w:rsidP="00833D72">
      <w:pPr>
        <w:pStyle w:val="BodyText3"/>
        <w:jc w:val="both"/>
      </w:pPr>
      <w:r>
        <w:t>an entity which directly or indirectly controls the ADI;</w:t>
      </w:r>
    </w:p>
    <w:p w14:paraId="1FFF6DD3" w14:textId="5305BD86" w:rsidR="00097DA8" w:rsidRDefault="00097DA8" w:rsidP="009F5DE5">
      <w:pPr>
        <w:pStyle w:val="BodyText3"/>
        <w:jc w:val="both"/>
      </w:pPr>
      <w:r>
        <w:t>a substantial shareholder of the ADI;</w:t>
      </w:r>
      <w:r w:rsidR="00562158">
        <w:t xml:space="preserve"> and</w:t>
      </w:r>
    </w:p>
    <w:p w14:paraId="3A7FDCD7" w14:textId="0E2FE5D9" w:rsidR="00097DA8" w:rsidRDefault="00097DA8" w:rsidP="009F5DE5">
      <w:pPr>
        <w:pStyle w:val="BodyText3"/>
        <w:jc w:val="both"/>
      </w:pPr>
      <w:r>
        <w:t>a related individual of the ADI and the related individual</w:t>
      </w:r>
      <w:r w:rsidR="00976C24">
        <w:t>’s relatives</w:t>
      </w:r>
      <w:r w:rsidR="00562158">
        <w:t>.</w:t>
      </w:r>
    </w:p>
    <w:p w14:paraId="3A9E7100" w14:textId="71300A3B" w:rsidR="002E373C" w:rsidRDefault="002E373C" w:rsidP="009F5DE5">
      <w:pPr>
        <w:pStyle w:val="BodyText1"/>
        <w:numPr>
          <w:ilvl w:val="0"/>
          <w:numId w:val="0"/>
        </w:numPr>
        <w:ind w:left="1134"/>
      </w:pPr>
      <w:r>
        <w:t xml:space="preserve">Where </w:t>
      </w:r>
      <w:r w:rsidR="008A71B6">
        <w:t xml:space="preserve">APRA considers it </w:t>
      </w:r>
      <w:r>
        <w:t xml:space="preserve">appropriate, </w:t>
      </w:r>
      <w:r w:rsidRPr="006F229B">
        <w:t xml:space="preserve">APRA may </w:t>
      </w:r>
      <w:r>
        <w:t xml:space="preserve">require an ADI to treat an </w:t>
      </w:r>
      <w:r w:rsidR="00FE0746">
        <w:t>entity</w:t>
      </w:r>
      <w:r>
        <w:t xml:space="preserve"> as a related entity</w:t>
      </w:r>
      <w:r w:rsidR="00585082">
        <w:t>;</w:t>
      </w:r>
      <w:r w:rsidR="00B31646" w:rsidRPr="00B31646">
        <w:rPr>
          <w:rStyle w:val="FootnoteReference"/>
        </w:rPr>
        <w:t xml:space="preserve"> </w:t>
      </w:r>
    </w:p>
    <w:p w14:paraId="683E0475" w14:textId="1776347B" w:rsidR="008D08A9" w:rsidRDefault="00013D0A" w:rsidP="009F5DE5">
      <w:pPr>
        <w:pStyle w:val="BodyText2"/>
        <w:jc w:val="both"/>
      </w:pPr>
      <w:bookmarkStart w:id="30" w:name="_Ref508635160"/>
      <w:bookmarkStart w:id="31" w:name="_Ref500922521"/>
      <w:r w:rsidRPr="007D489E">
        <w:rPr>
          <w:i/>
        </w:rPr>
        <w:t>related individual</w:t>
      </w:r>
      <w:r>
        <w:t xml:space="preserve"> of an </w:t>
      </w:r>
      <w:r w:rsidRPr="00CE1D30">
        <w:t xml:space="preserve">ADI </w:t>
      </w:r>
      <w:r w:rsidR="00BB2B14">
        <w:t>mean</w:t>
      </w:r>
      <w:r w:rsidR="00BB2B14" w:rsidRPr="007D489E">
        <w:t xml:space="preserve">s </w:t>
      </w:r>
      <w:r w:rsidR="00C95A42">
        <w:t xml:space="preserve">a </w:t>
      </w:r>
      <w:r w:rsidRPr="0065410F">
        <w:t>senior manager</w:t>
      </w:r>
      <w:r w:rsidR="00C5301A">
        <w:t xml:space="preserve"> of the ADI</w:t>
      </w:r>
      <w:r w:rsidRPr="007D489E">
        <w:t>,</w:t>
      </w:r>
      <w:r w:rsidRPr="00A62763">
        <w:t xml:space="preserve"> </w:t>
      </w:r>
      <w:r w:rsidR="00C95A42" w:rsidRPr="00E63FB0">
        <w:t>an</w:t>
      </w:r>
      <w:r w:rsidR="00C95A42" w:rsidRPr="00A62763">
        <w:t xml:space="preserve"> </w:t>
      </w:r>
      <w:r w:rsidRPr="007D489E">
        <w:t>individual</w:t>
      </w:r>
      <w:r w:rsidR="00C95A42">
        <w:t xml:space="preserve"> who is</w:t>
      </w:r>
      <w:r w:rsidRPr="007D489E">
        <w:t xml:space="preserve"> </w:t>
      </w:r>
      <w:r w:rsidR="00BB2B14">
        <w:t>a</w:t>
      </w:r>
      <w:r w:rsidRPr="007D489E">
        <w:t xml:space="preserve"> </w:t>
      </w:r>
      <w:r w:rsidRPr="00E63FB0">
        <w:t>Board</w:t>
      </w:r>
      <w:r w:rsidR="00BB2B14">
        <w:t xml:space="preserve"> member</w:t>
      </w:r>
      <w:r w:rsidR="00C5301A">
        <w:rPr>
          <w:b/>
        </w:rPr>
        <w:t xml:space="preserve"> </w:t>
      </w:r>
      <w:r w:rsidR="00C5301A" w:rsidRPr="007D489E">
        <w:t xml:space="preserve">of </w:t>
      </w:r>
      <w:r w:rsidR="00321A76">
        <w:t>the</w:t>
      </w:r>
      <w:r w:rsidR="00C5301A" w:rsidRPr="007D489E">
        <w:t xml:space="preserve"> ADI</w:t>
      </w:r>
      <w:r w:rsidRPr="00A62763">
        <w:t xml:space="preserve"> </w:t>
      </w:r>
      <w:r w:rsidRPr="007D489E">
        <w:t>or any other individual that is likely to have direct or indirect control over the ADI</w:t>
      </w:r>
      <w:r w:rsidR="00475DC3">
        <w:t>,</w:t>
      </w:r>
      <w:r w:rsidRPr="007D489E">
        <w:t xml:space="preserve"> </w:t>
      </w:r>
      <w:r w:rsidR="00CD75F4">
        <w:t xml:space="preserve">the ADI’s </w:t>
      </w:r>
      <w:r w:rsidRPr="007D489E">
        <w:t>senior manage</w:t>
      </w:r>
      <w:r w:rsidR="009A325B">
        <w:t>ment</w:t>
      </w:r>
      <w:r w:rsidR="00CD75F4">
        <w:t xml:space="preserve"> or the ADI’s </w:t>
      </w:r>
      <w:r w:rsidR="005C2AC4">
        <w:t>Board</w:t>
      </w:r>
      <w:r w:rsidR="00A86FC8">
        <w:t xml:space="preserve">; </w:t>
      </w:r>
    </w:p>
    <w:p w14:paraId="5F4BDEB1" w14:textId="145B79A2" w:rsidR="00A86FC8" w:rsidRDefault="008D08A9" w:rsidP="009F5DE5">
      <w:pPr>
        <w:pStyle w:val="BodyText2"/>
        <w:jc w:val="both"/>
      </w:pPr>
      <w:r w:rsidRPr="0017384A">
        <w:rPr>
          <w:i/>
        </w:rPr>
        <w:t>step-in risk entity</w:t>
      </w:r>
      <w:r w:rsidRPr="0017384A">
        <w:t xml:space="preserve"> </w:t>
      </w:r>
      <w:r w:rsidR="000D5165">
        <w:t>means</w:t>
      </w:r>
      <w:r w:rsidRPr="0017384A">
        <w:t xml:space="preserve"> an entity </w:t>
      </w:r>
      <w:r w:rsidR="007B3251">
        <w:t>to</w:t>
      </w:r>
      <w:r w:rsidRPr="0017384A">
        <w:t xml:space="preserve"> which an ADI is likely to provide support beyond any legal or contractual obligatio</w:t>
      </w:r>
      <w:r w:rsidRPr="00365DB5">
        <w:t>n</w:t>
      </w:r>
      <w:r w:rsidR="00195079">
        <w:t xml:space="preserve"> to do so</w:t>
      </w:r>
      <w:r w:rsidRPr="006F05CC">
        <w:t>;</w:t>
      </w:r>
      <w:r w:rsidR="00964C48">
        <w:t xml:space="preserve"> </w:t>
      </w:r>
      <w:r w:rsidR="00A86FC8" w:rsidRPr="008D08A9">
        <w:t>and</w:t>
      </w:r>
      <w:bookmarkEnd w:id="30"/>
    </w:p>
    <w:p w14:paraId="7C222F3F" w14:textId="0E9325AF" w:rsidR="00013D0A" w:rsidRDefault="00A86FC8" w:rsidP="009F5DE5">
      <w:pPr>
        <w:pStyle w:val="BodyText2"/>
        <w:jc w:val="both"/>
      </w:pPr>
      <w:r>
        <w:rPr>
          <w:i/>
        </w:rPr>
        <w:t xml:space="preserve">substantial </w:t>
      </w:r>
      <w:r w:rsidR="00C2478D">
        <w:rPr>
          <w:i/>
        </w:rPr>
        <w:t>shareholder</w:t>
      </w:r>
      <w:r w:rsidR="006F4E0D">
        <w:rPr>
          <w:i/>
        </w:rPr>
        <w:t xml:space="preserve"> </w:t>
      </w:r>
      <w:r w:rsidR="00F81669">
        <w:t>means</w:t>
      </w:r>
      <w:r w:rsidR="00C2478D">
        <w:t xml:space="preserve"> </w:t>
      </w:r>
      <w:r w:rsidR="00C2478D" w:rsidRPr="00365DB5">
        <w:t>a</w:t>
      </w:r>
      <w:r w:rsidR="001B3534" w:rsidRPr="00365DB5">
        <w:t xml:space="preserve"> person</w:t>
      </w:r>
      <w:r w:rsidR="00533210">
        <w:rPr>
          <w:rStyle w:val="FootnoteReference"/>
        </w:rPr>
        <w:t xml:space="preserve"> </w:t>
      </w:r>
      <w:r w:rsidR="00533210">
        <w:t xml:space="preserve">or entity </w:t>
      </w:r>
      <w:r w:rsidR="00C2478D">
        <w:t>which has a substantial holding</w:t>
      </w:r>
      <w:r w:rsidR="00321A76">
        <w:t xml:space="preserve"> </w:t>
      </w:r>
      <w:r w:rsidR="009D4A93">
        <w:t>in the ADI, where ‘substantial holding’ has the</w:t>
      </w:r>
      <w:r w:rsidR="00321A76">
        <w:t xml:space="preserve"> meaning</w:t>
      </w:r>
      <w:r w:rsidR="00502313">
        <w:t xml:space="preserve"> given</w:t>
      </w:r>
      <w:r w:rsidR="009D4A93">
        <w:t xml:space="preserve"> in</w:t>
      </w:r>
      <w:r w:rsidR="00321A76">
        <w:t xml:space="preserve"> section 9 </w:t>
      </w:r>
      <w:r w:rsidR="001C2CBF">
        <w:t xml:space="preserve">of </w:t>
      </w:r>
      <w:r w:rsidR="00321A76">
        <w:t xml:space="preserve">the </w:t>
      </w:r>
      <w:r w:rsidR="00321A76" w:rsidRPr="00F54549">
        <w:t>Corporations Act</w:t>
      </w:r>
      <w:r w:rsidR="00321A76" w:rsidRPr="0065410F">
        <w:rPr>
          <w:i/>
        </w:rPr>
        <w:t xml:space="preserve"> </w:t>
      </w:r>
      <w:r w:rsidR="009D4A93">
        <w:t xml:space="preserve">but </w:t>
      </w:r>
      <w:r w:rsidR="00585082">
        <w:t xml:space="preserve">is </w:t>
      </w:r>
      <w:r w:rsidR="009D4A93">
        <w:t>read as if it referred to 10 per cent or more of the total number of votes attached to voting shares instead of 5 per cent or more</w:t>
      </w:r>
      <w:r w:rsidR="006F4E0D">
        <w:t>.</w:t>
      </w:r>
      <w:bookmarkEnd w:id="31"/>
    </w:p>
    <w:p w14:paraId="3044765B" w14:textId="5F98CB9C" w:rsidR="00B31CE3" w:rsidRDefault="00B31CE3" w:rsidP="00365DB5">
      <w:pPr>
        <w:pStyle w:val="BodyText1"/>
      </w:pPr>
      <w:r>
        <w:t xml:space="preserve">A </w:t>
      </w:r>
      <w:r w:rsidRPr="00EC64F5">
        <w:rPr>
          <w:i/>
        </w:rPr>
        <w:t>dealing with a related entity</w:t>
      </w:r>
      <w:r>
        <w:t xml:space="preserve"> includes, but is not limited to, on- and off-balance sheet credit transactions, support arrangements, asset purchases and sales, service contracts, leasing agreements, derivatives transactions, acquisition of real property, provisions, restructuring and write-offs.</w:t>
      </w:r>
    </w:p>
    <w:p w14:paraId="57AD3232" w14:textId="77777777" w:rsidR="003D12D6" w:rsidRDefault="003D12D6" w:rsidP="003D12D6">
      <w:pPr>
        <w:pStyle w:val="Heading1"/>
        <w:jc w:val="both"/>
      </w:pPr>
      <w:bookmarkStart w:id="32" w:name="_Toc13750294"/>
      <w:bookmarkStart w:id="33" w:name="_Toc13837398"/>
      <w:bookmarkStart w:id="34" w:name="_Toc17118654"/>
      <w:r>
        <w:lastRenderedPageBreak/>
        <w:t>Adjustments and exclusions</w:t>
      </w:r>
      <w:bookmarkEnd w:id="32"/>
      <w:bookmarkEnd w:id="33"/>
      <w:bookmarkEnd w:id="34"/>
    </w:p>
    <w:p w14:paraId="2A6B7C4F" w14:textId="70977C4C" w:rsidR="003D12D6" w:rsidRDefault="003D12D6" w:rsidP="003D12D6">
      <w:pPr>
        <w:pStyle w:val="BodyText1"/>
      </w:pPr>
      <w:r>
        <w:t>APRA may adjust or exclude a specific prudential requirement in this Prudential Standard in relation to one or more specified ADIs.</w:t>
      </w:r>
      <w:r>
        <w:rPr>
          <w:rStyle w:val="FootnoteReference"/>
        </w:rPr>
        <w:footnoteReference w:id="4"/>
      </w:r>
    </w:p>
    <w:p w14:paraId="788CBBDC" w14:textId="77777777" w:rsidR="003D12D6" w:rsidRDefault="003D12D6" w:rsidP="003D12D6">
      <w:pPr>
        <w:pStyle w:val="Heading1"/>
        <w:jc w:val="both"/>
      </w:pPr>
      <w:bookmarkStart w:id="35" w:name="_Toc13750295"/>
      <w:bookmarkStart w:id="36" w:name="_Toc13837399"/>
      <w:bookmarkStart w:id="37" w:name="_Toc17118655"/>
      <w:r>
        <w:t>Previous exercise of discretion</w:t>
      </w:r>
      <w:bookmarkEnd w:id="35"/>
      <w:bookmarkEnd w:id="36"/>
      <w:bookmarkEnd w:id="37"/>
    </w:p>
    <w:p w14:paraId="00D714DD" w14:textId="4A0FECF8" w:rsidR="003D12D6" w:rsidRDefault="003D12D6" w:rsidP="00F54549">
      <w:pPr>
        <w:pStyle w:val="BodyText1"/>
      </w:pPr>
      <w:r>
        <w:t>An ADI must contact APRA if it seeks to place reliance, for the purposes of complying with this Prudential Standard, on a previous exemption or other exercise of discretion by APRA under a previous version of this Prudential Standard.</w:t>
      </w:r>
    </w:p>
    <w:p w14:paraId="50C4DC6D" w14:textId="582A8E50" w:rsidR="009717D2" w:rsidRPr="006F229B" w:rsidRDefault="009717D2" w:rsidP="009F5DE5">
      <w:pPr>
        <w:pStyle w:val="Heading1"/>
        <w:jc w:val="both"/>
      </w:pPr>
      <w:bookmarkStart w:id="38" w:name="_Toc13750296"/>
      <w:bookmarkStart w:id="39" w:name="_Toc13837400"/>
      <w:bookmarkStart w:id="40" w:name="_Toc17118656"/>
      <w:r>
        <w:t xml:space="preserve">The </w:t>
      </w:r>
      <w:r w:rsidRPr="00B31CE3">
        <w:t>role</w:t>
      </w:r>
      <w:r>
        <w:t xml:space="preserve"> of the Board</w:t>
      </w:r>
      <w:bookmarkEnd w:id="38"/>
      <w:bookmarkEnd w:id="39"/>
      <w:bookmarkEnd w:id="40"/>
    </w:p>
    <w:p w14:paraId="436DB29A" w14:textId="283431BC" w:rsidR="009717D2" w:rsidRPr="006F05CC" w:rsidRDefault="009717D2" w:rsidP="009F5DE5">
      <w:pPr>
        <w:pStyle w:val="BodyText1"/>
      </w:pPr>
      <w:bookmarkStart w:id="41" w:name="_Ref505589500"/>
      <w:r>
        <w:t xml:space="preserve">The Board of an ADI is </w:t>
      </w:r>
      <w:r w:rsidR="002510C1">
        <w:t xml:space="preserve">ultimately </w:t>
      </w:r>
      <w:r>
        <w:t xml:space="preserve">responsible for oversight of the ADI’s </w:t>
      </w:r>
      <w:r w:rsidR="00CB51D5">
        <w:t>associations with</w:t>
      </w:r>
      <w:r>
        <w:t xml:space="preserve"> its related entities and for approving policies governing </w:t>
      </w:r>
      <w:r w:rsidR="004F01F5">
        <w:t xml:space="preserve">the ADI’s </w:t>
      </w:r>
      <w:r>
        <w:t>dealings</w:t>
      </w:r>
      <w:r w:rsidR="00C3759D">
        <w:t xml:space="preserve"> and associations</w:t>
      </w:r>
      <w:r>
        <w:t xml:space="preserve"> with </w:t>
      </w:r>
      <w:r w:rsidR="004F01F5">
        <w:t xml:space="preserve">its </w:t>
      </w:r>
      <w:r>
        <w:t xml:space="preserve">related entities. The Board must </w:t>
      </w:r>
      <w:r w:rsidRPr="00E63FB0">
        <w:rPr>
          <w:b/>
        </w:rPr>
        <w:t>ensure</w:t>
      </w:r>
      <w:r>
        <w:t xml:space="preserve"> these policies are </w:t>
      </w:r>
      <w:r w:rsidRPr="006F05CC">
        <w:t>reviewed at least annually</w:t>
      </w:r>
      <w:r w:rsidR="00175BC5" w:rsidRPr="006F05CC">
        <w:t xml:space="preserve"> </w:t>
      </w:r>
      <w:r w:rsidRPr="006F05CC">
        <w:t>and that they remain adequate and appropriate for the ADI’s risk appetite, risk profile, capital</w:t>
      </w:r>
      <w:r w:rsidR="00216026" w:rsidRPr="006F05CC">
        <w:t>,</w:t>
      </w:r>
      <w:r w:rsidRPr="006F05CC">
        <w:t xml:space="preserve"> balance sheet size</w:t>
      </w:r>
      <w:r w:rsidR="00216026" w:rsidRPr="006F05CC">
        <w:t xml:space="preserve"> and the complexity of the ADI’s </w:t>
      </w:r>
      <w:r w:rsidR="00216026" w:rsidRPr="006F05CC">
        <w:rPr>
          <w:b/>
        </w:rPr>
        <w:t>group</w:t>
      </w:r>
      <w:r w:rsidRPr="006F05CC">
        <w:t>.</w:t>
      </w:r>
      <w:bookmarkEnd w:id="41"/>
    </w:p>
    <w:p w14:paraId="1921DD3A" w14:textId="2AFC184E" w:rsidR="00563313" w:rsidRPr="006F05CC" w:rsidRDefault="009717D2" w:rsidP="009F5DE5">
      <w:pPr>
        <w:pStyle w:val="Heading1"/>
        <w:jc w:val="both"/>
      </w:pPr>
      <w:bookmarkStart w:id="42" w:name="_Toc13750297"/>
      <w:bookmarkStart w:id="43" w:name="_Toc13837401"/>
      <w:bookmarkStart w:id="44" w:name="_Toc17118657"/>
      <w:r w:rsidRPr="006F05CC">
        <w:t xml:space="preserve">Control of </w:t>
      </w:r>
      <w:r w:rsidR="00172D30" w:rsidRPr="006F05CC">
        <w:t>risks arising from</w:t>
      </w:r>
      <w:r w:rsidR="00D12656" w:rsidRPr="006F05CC">
        <w:t xml:space="preserve"> related entities</w:t>
      </w:r>
      <w:bookmarkEnd w:id="42"/>
      <w:bookmarkEnd w:id="43"/>
      <w:bookmarkEnd w:id="44"/>
    </w:p>
    <w:p w14:paraId="2355DEC5" w14:textId="62C0A071" w:rsidR="0065306A" w:rsidRPr="006F05CC" w:rsidRDefault="0065306A" w:rsidP="009F5DE5">
      <w:pPr>
        <w:pStyle w:val="BodyText1"/>
      </w:pPr>
      <w:bookmarkStart w:id="45" w:name="_Ref507414548"/>
      <w:bookmarkStart w:id="46" w:name="_Ref507417491"/>
      <w:bookmarkStart w:id="47" w:name="_Ref507767296"/>
      <w:bookmarkStart w:id="48" w:name="_Ref505268904"/>
      <w:r w:rsidRPr="006F05CC">
        <w:t>An ADI</w:t>
      </w:r>
      <w:r w:rsidR="008B2F55" w:rsidRPr="006F05CC">
        <w:t xml:space="preserve">’s policies on </w:t>
      </w:r>
      <w:r w:rsidR="00C57CEE" w:rsidRPr="006F05CC">
        <w:t xml:space="preserve">dealings and associations with </w:t>
      </w:r>
      <w:r w:rsidR="008B2F55" w:rsidRPr="006F05CC">
        <w:t xml:space="preserve">related entities must </w:t>
      </w:r>
      <w:r w:rsidR="00A15FEC">
        <w:t>consider</w:t>
      </w:r>
      <w:r w:rsidR="008B2F55" w:rsidRPr="006F05CC">
        <w:t xml:space="preserve"> </w:t>
      </w:r>
      <w:r w:rsidR="00BC61AE" w:rsidRPr="006F05CC">
        <w:t>contagion</w:t>
      </w:r>
      <w:r w:rsidR="008B2F55" w:rsidRPr="006F05CC">
        <w:t xml:space="preserve"> risks</w:t>
      </w:r>
      <w:r w:rsidR="00714628" w:rsidRPr="006F05CC">
        <w:t xml:space="preserve"> to the ADI that arise</w:t>
      </w:r>
      <w:r w:rsidR="008B2F55" w:rsidRPr="006F05CC">
        <w:t xml:space="preserve"> from its group structure and related entities</w:t>
      </w:r>
      <w:r w:rsidR="00714628" w:rsidRPr="006F05CC">
        <w:t>,</w:t>
      </w:r>
      <w:r w:rsidR="008B2F55" w:rsidRPr="006F05CC">
        <w:t xml:space="preserve"> and form part of the ADI’s risk management strategy and </w:t>
      </w:r>
      <w:r w:rsidR="008B2F55" w:rsidRPr="006F05CC">
        <w:rPr>
          <w:b/>
        </w:rPr>
        <w:t>risk management framework</w:t>
      </w:r>
      <w:r w:rsidR="008B2F55" w:rsidRPr="006F05CC">
        <w:t xml:space="preserve"> required under </w:t>
      </w:r>
      <w:r w:rsidR="008B2F55" w:rsidRPr="006F05CC">
        <w:rPr>
          <w:i/>
        </w:rPr>
        <w:t>Prudential Standard CPS 220 Risk Management</w:t>
      </w:r>
      <w:r w:rsidR="008B2F55" w:rsidRPr="006F05CC">
        <w:t xml:space="preserve">. </w:t>
      </w:r>
      <w:r w:rsidR="00E921C8" w:rsidRPr="006F05CC">
        <w:t xml:space="preserve">An ADI must assess </w:t>
      </w:r>
      <w:r w:rsidR="00BC61AE" w:rsidRPr="006F05CC">
        <w:t>contagion</w:t>
      </w:r>
      <w:r w:rsidR="00E921C8" w:rsidRPr="006F05CC">
        <w:t xml:space="preserve"> risks</w:t>
      </w:r>
      <w:r w:rsidR="00BC61AE" w:rsidRPr="006F05CC">
        <w:t xml:space="preserve"> to the ADI</w:t>
      </w:r>
      <w:r w:rsidR="00E921C8" w:rsidRPr="006F05CC">
        <w:t xml:space="preserve"> on a regular basis</w:t>
      </w:r>
      <w:r w:rsidR="0002691B" w:rsidRPr="006F05CC">
        <w:t>,</w:t>
      </w:r>
      <w:r w:rsidR="00E921C8" w:rsidRPr="006F05CC">
        <w:t xml:space="preserve"> at least annually,</w:t>
      </w:r>
      <w:r w:rsidRPr="006F05CC">
        <w:t xml:space="preserve"> taking into consideration:</w:t>
      </w:r>
      <w:bookmarkEnd w:id="45"/>
      <w:bookmarkEnd w:id="46"/>
      <w:bookmarkEnd w:id="47"/>
    </w:p>
    <w:p w14:paraId="753F40FD" w14:textId="0AC895F6" w:rsidR="00EA2531" w:rsidRPr="006F05CC" w:rsidRDefault="00EA2531" w:rsidP="009F5DE5">
      <w:pPr>
        <w:pStyle w:val="BodyText2"/>
        <w:jc w:val="both"/>
      </w:pPr>
      <w:r w:rsidRPr="006F05CC">
        <w:t>the number and size of entities within its group and the complexity of the group structure;</w:t>
      </w:r>
    </w:p>
    <w:p w14:paraId="305001A9" w14:textId="77777777" w:rsidR="0065306A" w:rsidRPr="006F05CC" w:rsidRDefault="0065306A" w:rsidP="009F5DE5">
      <w:pPr>
        <w:pStyle w:val="BodyText2"/>
        <w:jc w:val="both"/>
      </w:pPr>
      <w:r w:rsidRPr="006F05CC">
        <w:t>the adequacy of systems, controls and risk management across the group;</w:t>
      </w:r>
    </w:p>
    <w:p w14:paraId="3DAC22C0" w14:textId="0646D7C2" w:rsidR="00EA2531" w:rsidRPr="006F05CC" w:rsidRDefault="00EA2531" w:rsidP="009F5DE5">
      <w:pPr>
        <w:pStyle w:val="BodyText2"/>
        <w:jc w:val="both"/>
      </w:pPr>
      <w:r w:rsidRPr="006F05CC">
        <w:t xml:space="preserve">the level of financial and operational interdependence across the group; </w:t>
      </w:r>
    </w:p>
    <w:p w14:paraId="085C7EEC" w14:textId="3E259AAB" w:rsidR="0065306A" w:rsidRPr="006F05CC" w:rsidRDefault="0065306A" w:rsidP="009F5DE5">
      <w:pPr>
        <w:pStyle w:val="BodyText2"/>
        <w:jc w:val="both"/>
      </w:pPr>
      <w:r w:rsidRPr="006F05CC">
        <w:t>whether other members of the group are regulated entities (i.e. regulated by APRA or by an equivalent prudential regulator overseas);</w:t>
      </w:r>
    </w:p>
    <w:p w14:paraId="121F14E8" w14:textId="2826A2C5" w:rsidR="00F472AB" w:rsidRPr="006F05CC" w:rsidRDefault="002472AA" w:rsidP="009F5DE5">
      <w:pPr>
        <w:pStyle w:val="BodyText2"/>
        <w:jc w:val="both"/>
      </w:pPr>
      <w:r w:rsidRPr="006F05CC">
        <w:t xml:space="preserve">whether the location of the ADI’s </w:t>
      </w:r>
      <w:r w:rsidR="0065410F" w:rsidRPr="006F05CC">
        <w:t>subsidiaries</w:t>
      </w:r>
      <w:r w:rsidRPr="006F05CC">
        <w:t xml:space="preserve"> undermines the ability</w:t>
      </w:r>
      <w:r w:rsidR="0065410F" w:rsidRPr="006F05CC">
        <w:t xml:space="preserve"> of</w:t>
      </w:r>
      <w:r w:rsidRPr="006F05CC">
        <w:t xml:space="preserve"> its subsidiaries to be resolved in a sound and timely manner</w:t>
      </w:r>
      <w:r w:rsidR="00F472AB" w:rsidRPr="006F05CC">
        <w:t>;</w:t>
      </w:r>
      <w:r w:rsidR="00387FD3" w:rsidRPr="006F05CC">
        <w:t xml:space="preserve"> and</w:t>
      </w:r>
    </w:p>
    <w:p w14:paraId="4C20450A" w14:textId="393D7E7B" w:rsidR="0065306A" w:rsidRPr="006F05CC" w:rsidRDefault="0065306A" w:rsidP="009F5DE5">
      <w:pPr>
        <w:pStyle w:val="BodyText2"/>
        <w:jc w:val="both"/>
      </w:pPr>
      <w:r w:rsidRPr="006F05CC">
        <w:t>badging</w:t>
      </w:r>
      <w:r w:rsidR="00405720" w:rsidRPr="006F05CC">
        <w:t xml:space="preserve"> and</w:t>
      </w:r>
      <w:r w:rsidRPr="006F05CC">
        <w:t xml:space="preserve"> product distribution</w:t>
      </w:r>
      <w:r w:rsidR="00DD4277" w:rsidRPr="006F05CC">
        <w:t xml:space="preserve"> </w:t>
      </w:r>
      <w:r w:rsidR="00405720" w:rsidRPr="006F05CC">
        <w:t xml:space="preserve">arrangements </w:t>
      </w:r>
      <w:r w:rsidRPr="006F05CC">
        <w:t>that might link the ADI</w:t>
      </w:r>
      <w:r w:rsidR="00CA79B3" w:rsidRPr="006F05CC">
        <w:t xml:space="preserve">’s reputation </w:t>
      </w:r>
      <w:r w:rsidR="00DD4277" w:rsidRPr="006F05CC">
        <w:t>to</w:t>
      </w:r>
      <w:r w:rsidR="007A4DFA" w:rsidRPr="006F05CC">
        <w:t xml:space="preserve"> other entities</w:t>
      </w:r>
      <w:r w:rsidR="00387FD3" w:rsidRPr="006F05CC">
        <w:t>.</w:t>
      </w:r>
    </w:p>
    <w:p w14:paraId="4330A6E1" w14:textId="12B7B71A" w:rsidR="00563313" w:rsidRPr="006F05CC" w:rsidRDefault="00563313" w:rsidP="009F5DE5">
      <w:pPr>
        <w:pStyle w:val="BodyText1"/>
      </w:pPr>
      <w:bookmarkStart w:id="49" w:name="_Ref506801107"/>
      <w:bookmarkStart w:id="50" w:name="_Ref507417393"/>
      <w:bookmarkEnd w:id="48"/>
      <w:r w:rsidRPr="006F05CC">
        <w:t>An ADI’s policies on</w:t>
      </w:r>
      <w:r w:rsidR="00C57CEE" w:rsidRPr="006F05CC">
        <w:t xml:space="preserve"> dealings and associations with</w:t>
      </w:r>
      <w:r w:rsidR="00985A56" w:rsidRPr="006F05CC">
        <w:t xml:space="preserve"> </w:t>
      </w:r>
      <w:r w:rsidRPr="006F05CC">
        <w:t>related</w:t>
      </w:r>
      <w:r w:rsidR="00985A56" w:rsidRPr="006F05CC">
        <w:t xml:space="preserve"> </w:t>
      </w:r>
      <w:r w:rsidRPr="006F05CC">
        <w:t>entit</w:t>
      </w:r>
      <w:r w:rsidR="00985A56" w:rsidRPr="006F05CC">
        <w:t>ies</w:t>
      </w:r>
      <w:r w:rsidRPr="006F05CC">
        <w:t xml:space="preserve"> must</w:t>
      </w:r>
      <w:r w:rsidR="00112E29" w:rsidRPr="006F05CC">
        <w:t xml:space="preserve"> be </w:t>
      </w:r>
      <w:r w:rsidR="00175BC5" w:rsidRPr="006F05CC">
        <w:t>based on an assessment of material risks to the ADI</w:t>
      </w:r>
      <w:r w:rsidR="0003414F" w:rsidRPr="006F05CC">
        <w:t xml:space="preserve"> </w:t>
      </w:r>
      <w:r w:rsidR="00112E29" w:rsidRPr="006F05CC">
        <w:t>and</w:t>
      </w:r>
      <w:r w:rsidR="008A60CE">
        <w:t>,</w:t>
      </w:r>
      <w:r w:rsidR="00112E29" w:rsidRPr="006F05CC">
        <w:t xml:space="preserve"> </w:t>
      </w:r>
      <w:r w:rsidRPr="006F05CC">
        <w:t xml:space="preserve">at a minimum, </w:t>
      </w:r>
      <w:r w:rsidR="008A60CE">
        <w:t>include</w:t>
      </w:r>
      <w:r w:rsidRPr="006F05CC">
        <w:t>:</w:t>
      </w:r>
      <w:bookmarkEnd w:id="49"/>
      <w:bookmarkEnd w:id="50"/>
    </w:p>
    <w:p w14:paraId="26685FE9" w14:textId="09332D24" w:rsidR="000F53D6" w:rsidRPr="006F05CC" w:rsidRDefault="000F53D6" w:rsidP="009F5DE5">
      <w:pPr>
        <w:pStyle w:val="BodyText2"/>
        <w:jc w:val="both"/>
      </w:pPr>
      <w:bookmarkStart w:id="51" w:name="_Ref506802026"/>
      <w:bookmarkStart w:id="52" w:name="_Ref506802094"/>
      <w:r w:rsidRPr="006F05CC">
        <w:lastRenderedPageBreak/>
        <w:t xml:space="preserve">a requirement that the ADI </w:t>
      </w:r>
      <w:r w:rsidR="00931E9E" w:rsidRPr="006F05CC">
        <w:t xml:space="preserve">deal with </w:t>
      </w:r>
      <w:r w:rsidRPr="006F05CC">
        <w:t>related entities on an arm’s-length basis and on market terms and conditions;</w:t>
      </w:r>
      <w:r w:rsidR="0002691B" w:rsidRPr="006F05CC" w:rsidDel="0002691B">
        <w:rPr>
          <w:rStyle w:val="FootnoteReference"/>
        </w:rPr>
        <w:t xml:space="preserve"> </w:t>
      </w:r>
    </w:p>
    <w:p w14:paraId="6A8B1086" w14:textId="01E02BCC" w:rsidR="00323A4B" w:rsidRPr="006F05CC" w:rsidRDefault="00A42261" w:rsidP="009F5DE5">
      <w:pPr>
        <w:pStyle w:val="BodyText2"/>
        <w:jc w:val="both"/>
      </w:pPr>
      <w:r w:rsidRPr="006F05CC">
        <w:t xml:space="preserve">limits </w:t>
      </w:r>
      <w:r w:rsidR="004F6522" w:rsidRPr="006F05CC">
        <w:t xml:space="preserve">on exposures to </w:t>
      </w:r>
      <w:r w:rsidRPr="006F05CC">
        <w:t xml:space="preserve">related entities at both an individual and aggregate level, which are determined </w:t>
      </w:r>
      <w:r w:rsidR="008A60CE">
        <w:t>having</w:t>
      </w:r>
      <w:r w:rsidR="008A60CE" w:rsidRPr="006F05CC">
        <w:t xml:space="preserve"> </w:t>
      </w:r>
      <w:r w:rsidRPr="006F05CC">
        <w:t>regard to</w:t>
      </w:r>
      <w:r w:rsidR="00323A4B" w:rsidRPr="006F05CC">
        <w:t>:</w:t>
      </w:r>
    </w:p>
    <w:p w14:paraId="487E5CE2" w14:textId="32E317BE" w:rsidR="00A42261" w:rsidRPr="006F05CC" w:rsidRDefault="00A42261" w:rsidP="009F5DE5">
      <w:pPr>
        <w:pStyle w:val="BodyText3"/>
        <w:jc w:val="both"/>
      </w:pPr>
      <w:r w:rsidRPr="006F05CC">
        <w:t>the level that would be approved for unrelated entities of a</w:t>
      </w:r>
      <w:r w:rsidR="00DA73F8" w:rsidRPr="006F05CC">
        <w:t xml:space="preserve">n </w:t>
      </w:r>
      <w:r w:rsidRPr="006F05CC">
        <w:t>equivalent credit status;</w:t>
      </w:r>
      <w:bookmarkEnd w:id="51"/>
      <w:bookmarkEnd w:id="52"/>
      <w:r w:rsidR="00323A4B" w:rsidRPr="006F05CC">
        <w:t xml:space="preserve"> and</w:t>
      </w:r>
    </w:p>
    <w:p w14:paraId="20D18657" w14:textId="61DB5A33" w:rsidR="00323A4B" w:rsidRPr="006F05CC" w:rsidRDefault="00323A4B" w:rsidP="009F5DE5">
      <w:pPr>
        <w:pStyle w:val="BodyText3"/>
        <w:jc w:val="both"/>
      </w:pPr>
      <w:r w:rsidRPr="006F05CC">
        <w:t>the impact on the ADI’s stand-alone capital and liquidity positions in the event of a failure of a related entity;</w:t>
      </w:r>
    </w:p>
    <w:p w14:paraId="32BE1E06" w14:textId="00F04579" w:rsidR="00A42261" w:rsidRPr="006F05CC" w:rsidRDefault="00A42261" w:rsidP="009F5DE5">
      <w:pPr>
        <w:pStyle w:val="BodyText2"/>
        <w:jc w:val="both"/>
      </w:pPr>
      <w:r w:rsidRPr="006F05CC">
        <w:t>the circumstances in</w:t>
      </w:r>
      <w:r w:rsidR="00E937BF" w:rsidRPr="006F05CC">
        <w:t xml:space="preserve"> which the</w:t>
      </w:r>
      <w:r w:rsidR="00AB6860" w:rsidRPr="006F05CC">
        <w:t xml:space="preserve"> limits</w:t>
      </w:r>
      <w:r w:rsidR="00E937BF" w:rsidRPr="006F05CC">
        <w:t xml:space="preserve"> relating to exposures and write-offs</w:t>
      </w:r>
      <w:r w:rsidRPr="006F05CC">
        <w:t xml:space="preserve"> may be exceeded and the authority and processes required for approving such excesses;</w:t>
      </w:r>
    </w:p>
    <w:p w14:paraId="4D793DBD" w14:textId="3A1FAE1A" w:rsidR="00DF6422" w:rsidRPr="006F05CC" w:rsidRDefault="00980E1D" w:rsidP="009F5DE5">
      <w:pPr>
        <w:pStyle w:val="BodyText2"/>
        <w:jc w:val="both"/>
      </w:pPr>
      <w:r w:rsidRPr="006F05CC">
        <w:t xml:space="preserve">the authority and processes required for </w:t>
      </w:r>
      <w:r w:rsidR="00DF6422" w:rsidRPr="006F05CC">
        <w:t>the approval</w:t>
      </w:r>
      <w:r w:rsidR="00DD4277" w:rsidRPr="006F05CC">
        <w:t xml:space="preserve"> and maintenance</w:t>
      </w:r>
      <w:r w:rsidR="00DF6422" w:rsidRPr="006F05CC">
        <w:t xml:space="preserve"> of group structures</w:t>
      </w:r>
      <w:r w:rsidR="004F1829" w:rsidRPr="006F05CC">
        <w:t xml:space="preserve">, where the ADI is the head of a group, </w:t>
      </w:r>
      <w:r w:rsidR="00C06824" w:rsidRPr="006F05CC">
        <w:t>and establishing and acquiring</w:t>
      </w:r>
      <w:r w:rsidR="00DF6422" w:rsidRPr="006F05CC">
        <w:t xml:space="preserve"> </w:t>
      </w:r>
      <w:r w:rsidR="00C06824" w:rsidRPr="006F05CC">
        <w:t>subsidiaries</w:t>
      </w:r>
      <w:r w:rsidR="00DF6422" w:rsidRPr="006F05CC">
        <w:t>;</w:t>
      </w:r>
    </w:p>
    <w:p w14:paraId="4FE5D70F" w14:textId="5788A841" w:rsidR="00A949D2" w:rsidRPr="006F05CC" w:rsidRDefault="009B6312" w:rsidP="009F5DE5">
      <w:pPr>
        <w:pStyle w:val="BodyText2"/>
        <w:jc w:val="both"/>
      </w:pPr>
      <w:r w:rsidRPr="006F05CC">
        <w:t xml:space="preserve">procedures to address risks </w:t>
      </w:r>
      <w:r w:rsidR="00DA73F8" w:rsidRPr="006F05CC">
        <w:t>arising</w:t>
      </w:r>
      <w:r w:rsidRPr="006F05CC">
        <w:t xml:space="preserve"> </w:t>
      </w:r>
      <w:r w:rsidR="00112E29" w:rsidRPr="006F05CC">
        <w:t xml:space="preserve">from </w:t>
      </w:r>
      <w:r w:rsidRPr="006F05CC">
        <w:t>participati</w:t>
      </w:r>
      <w:r w:rsidR="00DA73F8" w:rsidRPr="006F05CC">
        <w:t>on</w:t>
      </w:r>
      <w:r w:rsidRPr="006F05CC">
        <w:t xml:space="preserve"> </w:t>
      </w:r>
      <w:r w:rsidR="004510D3" w:rsidRPr="006F05CC">
        <w:t xml:space="preserve">in group operations (refer to paragraphs </w:t>
      </w:r>
      <w:r w:rsidR="00B31CE3" w:rsidRPr="006F05CC">
        <w:fldChar w:fldCharType="begin"/>
      </w:r>
      <w:r w:rsidR="00B31CE3" w:rsidRPr="006F05CC">
        <w:instrText xml:space="preserve"> REF _Ref12434897 \r \h </w:instrText>
      </w:r>
      <w:r w:rsidR="00365DB5">
        <w:instrText xml:space="preserve"> \* MERGEFORMAT </w:instrText>
      </w:r>
      <w:r w:rsidR="00B31CE3" w:rsidRPr="006F05CC">
        <w:fldChar w:fldCharType="separate"/>
      </w:r>
      <w:r w:rsidR="008716B5">
        <w:t>27</w:t>
      </w:r>
      <w:r w:rsidR="00B31CE3" w:rsidRPr="006F05CC">
        <w:fldChar w:fldCharType="end"/>
      </w:r>
      <w:r w:rsidR="004510D3" w:rsidRPr="006F05CC">
        <w:t xml:space="preserve"> </w:t>
      </w:r>
      <w:r w:rsidR="00C65FB2" w:rsidRPr="006F05CC">
        <w:t>and</w:t>
      </w:r>
      <w:r w:rsidR="004510D3" w:rsidRPr="006F05CC">
        <w:t xml:space="preserve"> </w:t>
      </w:r>
      <w:r w:rsidR="00B31CE3" w:rsidRPr="006F05CC">
        <w:fldChar w:fldCharType="begin"/>
      </w:r>
      <w:r w:rsidR="00B31CE3" w:rsidRPr="006F05CC">
        <w:instrText xml:space="preserve"> REF _Ref12434902 \r \h </w:instrText>
      </w:r>
      <w:r w:rsidR="00365DB5">
        <w:instrText xml:space="preserve"> \* MERGEFORMAT </w:instrText>
      </w:r>
      <w:r w:rsidR="00B31CE3" w:rsidRPr="006F05CC">
        <w:fldChar w:fldCharType="separate"/>
      </w:r>
      <w:r w:rsidR="008716B5">
        <w:t>28</w:t>
      </w:r>
      <w:r w:rsidR="00B31CE3" w:rsidRPr="006F05CC">
        <w:fldChar w:fldCharType="end"/>
      </w:r>
      <w:r w:rsidR="004510D3" w:rsidRPr="006F05CC">
        <w:t xml:space="preserve"> of this Prudential Standard)</w:t>
      </w:r>
      <w:r w:rsidR="00394107" w:rsidRPr="006F05CC">
        <w:t>;</w:t>
      </w:r>
    </w:p>
    <w:p w14:paraId="1562EE8C" w14:textId="67A75BEF" w:rsidR="000F4972" w:rsidRPr="006F05CC" w:rsidRDefault="004510D3" w:rsidP="009F5DE5">
      <w:pPr>
        <w:pStyle w:val="BodyText2"/>
        <w:jc w:val="both"/>
      </w:pPr>
      <w:r w:rsidRPr="006F05CC">
        <w:t>procedures for resolving conflicts of interest arising from dealings with related entities</w:t>
      </w:r>
      <w:r w:rsidR="00D55A46" w:rsidRPr="006F05CC">
        <w:t>;</w:t>
      </w:r>
    </w:p>
    <w:p w14:paraId="629ED830" w14:textId="6F7C458E" w:rsidR="00115F86" w:rsidRPr="006F05CC" w:rsidRDefault="000E5E5B" w:rsidP="009F5DE5">
      <w:pPr>
        <w:pStyle w:val="BodyText2"/>
        <w:jc w:val="both"/>
      </w:pPr>
      <w:r w:rsidRPr="006F05CC">
        <w:t>processes</w:t>
      </w:r>
      <w:r w:rsidR="00394107" w:rsidRPr="006F05CC">
        <w:t xml:space="preserve"> to</w:t>
      </w:r>
      <w:r w:rsidRPr="006F05CC">
        <w:t xml:space="preserve"> ensure</w:t>
      </w:r>
      <w:r w:rsidR="00394107" w:rsidRPr="006F05CC">
        <w:t xml:space="preserve"> the transparency of third-party dealings </w:t>
      </w:r>
      <w:r w:rsidRPr="006F05CC">
        <w:t xml:space="preserve">that are </w:t>
      </w:r>
      <w:r w:rsidR="00405720" w:rsidRPr="006F05CC">
        <w:t xml:space="preserve">connected </w:t>
      </w:r>
      <w:r w:rsidR="00B111AC" w:rsidRPr="006F05CC">
        <w:t>with</w:t>
      </w:r>
      <w:r w:rsidR="00394107" w:rsidRPr="006F05CC">
        <w:t xml:space="preserve"> related entities</w:t>
      </w:r>
      <w:r w:rsidR="00115F86" w:rsidRPr="006F05CC">
        <w:t>; and</w:t>
      </w:r>
    </w:p>
    <w:p w14:paraId="3BE55D56" w14:textId="02616813" w:rsidR="00394107" w:rsidRPr="006F05CC" w:rsidRDefault="00115F86" w:rsidP="009F5DE5">
      <w:pPr>
        <w:pStyle w:val="BodyText2"/>
        <w:jc w:val="both"/>
      </w:pPr>
      <w:r w:rsidRPr="006F05CC">
        <w:t>procedures to address material risks to the ADI arising from the ADI distributing financial products of a</w:t>
      </w:r>
      <w:r w:rsidR="005176E4" w:rsidRPr="006F05CC">
        <w:t xml:space="preserve">nother counterparty </w:t>
      </w:r>
      <w:r w:rsidRPr="006F05CC">
        <w:t>and vice-versa.</w:t>
      </w:r>
    </w:p>
    <w:p w14:paraId="7C097FBB" w14:textId="233550B6" w:rsidR="00563313" w:rsidRPr="00563313" w:rsidRDefault="00C575F9" w:rsidP="009F5DE5">
      <w:pPr>
        <w:pStyle w:val="BodyText1"/>
      </w:pPr>
      <w:bookmarkStart w:id="53" w:name="_Ref500861444"/>
      <w:r>
        <w:t>An ADI’s Board must first approve the terms and conditions agreed to by an ADI in relation to dealings with its related entities that are not consistent with terms and conditions that would be negotiated with an unrelated entity with justifications fully and clearly documented in a register.</w:t>
      </w:r>
      <w:r w:rsidRPr="006F05CC" w:rsidDel="00C575F9">
        <w:t xml:space="preserve"> </w:t>
      </w:r>
      <w:bookmarkEnd w:id="53"/>
    </w:p>
    <w:p w14:paraId="13762578" w14:textId="77777777" w:rsidR="00563313" w:rsidRPr="00563313" w:rsidRDefault="00563313" w:rsidP="009F5DE5">
      <w:pPr>
        <w:pStyle w:val="BodyText1"/>
      </w:pPr>
      <w:r w:rsidRPr="00563313">
        <w:t>An ADI must not:</w:t>
      </w:r>
    </w:p>
    <w:p w14:paraId="36881BE0" w14:textId="43208386" w:rsidR="00563313" w:rsidRPr="006F05CC" w:rsidRDefault="00563313" w:rsidP="009F5DE5">
      <w:pPr>
        <w:pStyle w:val="BodyText2"/>
        <w:jc w:val="both"/>
      </w:pPr>
      <w:r w:rsidRPr="00563313">
        <w:t xml:space="preserve">have unlimited exposures to related entities either in aggregate or at an </w:t>
      </w:r>
      <w:r w:rsidRPr="006F05CC">
        <w:t>individual entity level; or</w:t>
      </w:r>
    </w:p>
    <w:p w14:paraId="1EA22B75" w14:textId="0C47894E" w:rsidR="00563313" w:rsidRPr="006F05CC" w:rsidRDefault="00563313" w:rsidP="009F5DE5">
      <w:pPr>
        <w:pStyle w:val="BodyText2"/>
        <w:jc w:val="both"/>
      </w:pPr>
      <w:r w:rsidRPr="006F05CC">
        <w:t>agree to cross-default provisions whereby a default by a related entity on an obligation</w:t>
      </w:r>
      <w:r w:rsidR="009A2E3C" w:rsidRPr="006F05CC">
        <w:t>,</w:t>
      </w:r>
      <w:r w:rsidRPr="006F05CC">
        <w:t xml:space="preserve"> whether financial or otherwise</w:t>
      </w:r>
      <w:r w:rsidR="009A2E3C" w:rsidRPr="006F05CC">
        <w:t>,</w:t>
      </w:r>
      <w:r w:rsidRPr="006F05CC">
        <w:t xml:space="preserve"> triggers or is deemed to trigger a default by the ADI </w:t>
      </w:r>
      <w:r w:rsidR="00585082">
        <w:t>o</w:t>
      </w:r>
      <w:r w:rsidRPr="006F05CC">
        <w:t>n its obligations.</w:t>
      </w:r>
    </w:p>
    <w:p w14:paraId="627CD203" w14:textId="7B70885B" w:rsidR="00CD1905" w:rsidRDefault="00CE67A5" w:rsidP="009F5DE5">
      <w:pPr>
        <w:pStyle w:val="BodyText1"/>
      </w:pPr>
      <w:bookmarkStart w:id="54" w:name="_Ref505596943"/>
      <w:bookmarkStart w:id="55" w:name="_Ref510686910"/>
      <w:bookmarkStart w:id="56" w:name="_Ref505589506"/>
      <w:bookmarkEnd w:id="54"/>
      <w:r w:rsidRPr="006F05CC">
        <w:t xml:space="preserve">An ADI must </w:t>
      </w:r>
      <w:r w:rsidR="007046C0" w:rsidRPr="006F05CC">
        <w:t xml:space="preserve">implement </w:t>
      </w:r>
      <w:r w:rsidRPr="006F05CC">
        <w:t>adequate systems and controls to identify, measure, monitor, manage and report exposures arising from dealings</w:t>
      </w:r>
      <w:r w:rsidRPr="00563313">
        <w:t xml:space="preserve"> with related entities</w:t>
      </w:r>
      <w:r w:rsidR="005C0112">
        <w:t xml:space="preserve"> and step-in risk entities</w:t>
      </w:r>
      <w:r w:rsidRPr="00563313">
        <w:t xml:space="preserve">. </w:t>
      </w:r>
      <w:r w:rsidR="00CD1905">
        <w:t xml:space="preserve">Where APRA is </w:t>
      </w:r>
      <w:r w:rsidR="003C5CC2">
        <w:t xml:space="preserve">not satisfied with the adequacy of the ADI’s systems and controls or is of the view that the ADI </w:t>
      </w:r>
      <w:r w:rsidR="00F6215C">
        <w:t>is exposed to</w:t>
      </w:r>
      <w:r w:rsidR="003C5CC2">
        <w:t xml:space="preserve"> </w:t>
      </w:r>
      <w:r w:rsidR="005E0A41">
        <w:t>substantial</w:t>
      </w:r>
      <w:r w:rsidR="003C5CC2">
        <w:t xml:space="preserve"> contagion</w:t>
      </w:r>
      <w:r w:rsidR="001C49D5">
        <w:t xml:space="preserve"> risk</w:t>
      </w:r>
      <w:r w:rsidR="003C5CC2">
        <w:t>, APRA may:</w:t>
      </w:r>
      <w:bookmarkEnd w:id="55"/>
    </w:p>
    <w:p w14:paraId="24976890" w14:textId="7404612C" w:rsidR="00691EDF" w:rsidRDefault="00650F4C" w:rsidP="009F5DE5">
      <w:pPr>
        <w:pStyle w:val="BodyText2"/>
        <w:jc w:val="both"/>
      </w:pPr>
      <w:r>
        <w:lastRenderedPageBreak/>
        <w:t>d</w:t>
      </w:r>
      <w:r w:rsidR="004553A3">
        <w:t xml:space="preserve">etermine </w:t>
      </w:r>
      <w:r w:rsidR="00691EDF">
        <w:t>higher</w:t>
      </w:r>
      <w:r w:rsidR="00920E1F">
        <w:t xml:space="preserve"> capital adequacy requirements including </w:t>
      </w:r>
      <w:r w:rsidR="00691EDF">
        <w:rPr>
          <w:b/>
        </w:rPr>
        <w:t xml:space="preserve">Prudential Capital Requirements </w:t>
      </w:r>
      <w:r w:rsidR="00691EDF" w:rsidRPr="00F92368">
        <w:t>(</w:t>
      </w:r>
      <w:r w:rsidR="00691EDF" w:rsidRPr="007750BB">
        <w:rPr>
          <w:b/>
        </w:rPr>
        <w:t>PCRs</w:t>
      </w:r>
      <w:r w:rsidR="00691EDF" w:rsidRPr="00E63FB0">
        <w:t>)</w:t>
      </w:r>
      <w:r>
        <w:t xml:space="preserve"> for the ADI</w:t>
      </w:r>
      <w:r w:rsidR="00691EDF">
        <w:t>;</w:t>
      </w:r>
    </w:p>
    <w:p w14:paraId="19D03A3A" w14:textId="6710CFCA" w:rsidR="00691EDF" w:rsidRDefault="00691EDF" w:rsidP="009F5DE5">
      <w:pPr>
        <w:pStyle w:val="BodyText2"/>
        <w:jc w:val="both"/>
      </w:pPr>
      <w:r>
        <w:t xml:space="preserve">require the </w:t>
      </w:r>
      <w:r w:rsidRPr="00563313">
        <w:t>ADI to establish additional internal controls</w:t>
      </w:r>
      <w:r>
        <w:t xml:space="preserve"> </w:t>
      </w:r>
      <w:r w:rsidR="00C41141">
        <w:t xml:space="preserve">or </w:t>
      </w:r>
      <w:r>
        <w:t xml:space="preserve">a more robust reporting mechanism; </w:t>
      </w:r>
      <w:r w:rsidR="00650F4C">
        <w:t>or</w:t>
      </w:r>
    </w:p>
    <w:p w14:paraId="453FDAE7" w14:textId="4F662B63" w:rsidR="006A7376" w:rsidRPr="006F46A1" w:rsidRDefault="00691EDF" w:rsidP="00302638">
      <w:pPr>
        <w:pStyle w:val="BodyText2"/>
        <w:jc w:val="both"/>
      </w:pPr>
      <w:r>
        <w:t xml:space="preserve">require </w:t>
      </w:r>
      <w:r w:rsidR="006A5715">
        <w:t>the</w:t>
      </w:r>
      <w:r>
        <w:t xml:space="preserve"> ADI</w:t>
      </w:r>
      <w:r w:rsidR="00465BBC">
        <w:t xml:space="preserve"> to take measures to reduce the level of</w:t>
      </w:r>
      <w:r>
        <w:t xml:space="preserve"> contagion risk</w:t>
      </w:r>
      <w:r w:rsidR="00077A2D">
        <w:t xml:space="preserve"> to its related entities</w:t>
      </w:r>
      <w:r w:rsidR="0075296E">
        <w:t xml:space="preserve"> or step-in risk entities</w:t>
      </w:r>
      <w:r>
        <w:t>.</w:t>
      </w:r>
      <w:bookmarkEnd w:id="56"/>
    </w:p>
    <w:p w14:paraId="090DA6F6" w14:textId="66E4BACF" w:rsidR="004640FA" w:rsidRDefault="00381FD7" w:rsidP="003D3C6E">
      <w:pPr>
        <w:pStyle w:val="BodyText1"/>
      </w:pPr>
      <w:bookmarkStart w:id="57" w:name="_Ref12435109"/>
      <w:bookmarkStart w:id="58" w:name="_Ref507407370"/>
      <w:bookmarkStart w:id="59" w:name="_Ref506993156"/>
      <w:r>
        <w:t xml:space="preserve">An ADI must meet </w:t>
      </w:r>
      <w:r w:rsidR="00BA0751">
        <w:t xml:space="preserve">the </w:t>
      </w:r>
      <w:r>
        <w:t>r</w:t>
      </w:r>
      <w:r w:rsidR="00556F1B">
        <w:t xml:space="preserve">equirements in relation to </w:t>
      </w:r>
      <w:r w:rsidR="002C69CB">
        <w:t xml:space="preserve">the </w:t>
      </w:r>
      <w:r w:rsidR="00556F1B">
        <w:t>identification</w:t>
      </w:r>
      <w:r w:rsidR="00F94F1F">
        <w:t>, measurement</w:t>
      </w:r>
      <w:r w:rsidR="00556F1B">
        <w:t xml:space="preserve"> and management of step-in risk </w:t>
      </w:r>
      <w:r>
        <w:t>as set out</w:t>
      </w:r>
      <w:r w:rsidR="00556F1B">
        <w:t xml:space="preserve"> in Attachment </w:t>
      </w:r>
      <w:r w:rsidR="00C912BB">
        <w:t>A</w:t>
      </w:r>
      <w:r w:rsidR="00556F1B">
        <w:t xml:space="preserve"> </w:t>
      </w:r>
      <w:r w:rsidR="00A070F6">
        <w:t>to</w:t>
      </w:r>
      <w:r w:rsidR="00556F1B">
        <w:t xml:space="preserve"> this Prudential Standard.</w:t>
      </w:r>
      <w:bookmarkEnd w:id="57"/>
    </w:p>
    <w:p w14:paraId="2DFCC15B" w14:textId="77777777" w:rsidR="00563313" w:rsidRPr="00563313" w:rsidRDefault="00563313" w:rsidP="009F5DE5">
      <w:pPr>
        <w:pStyle w:val="Heading1"/>
        <w:jc w:val="both"/>
      </w:pPr>
      <w:bookmarkStart w:id="60" w:name="_Toc13750298"/>
      <w:bookmarkStart w:id="61" w:name="_Toc13837402"/>
      <w:bookmarkStart w:id="62" w:name="_Toc17118658"/>
      <w:bookmarkEnd w:id="58"/>
      <w:bookmarkEnd w:id="59"/>
      <w:r w:rsidRPr="00563313">
        <w:t>Provision of support</w:t>
      </w:r>
      <w:bookmarkEnd w:id="60"/>
      <w:bookmarkEnd w:id="61"/>
      <w:bookmarkEnd w:id="62"/>
    </w:p>
    <w:p w14:paraId="7121019C" w14:textId="7DE48542" w:rsidR="00AA7D04" w:rsidRPr="002261E3" w:rsidRDefault="00F378ED" w:rsidP="009F5DE5">
      <w:pPr>
        <w:pStyle w:val="BodyText1"/>
      </w:pPr>
      <w:bookmarkStart w:id="63" w:name="_Ref12349384"/>
      <w:bookmarkStart w:id="64" w:name="_Ref505590612"/>
      <w:bookmarkStart w:id="65" w:name="_Ref506901637"/>
      <w:r>
        <w:t xml:space="preserve">An </w:t>
      </w:r>
      <w:r w:rsidR="00AA7D04" w:rsidRPr="002261E3">
        <w:t xml:space="preserve">ADI must not undertake any </w:t>
      </w:r>
      <w:r w:rsidR="00AA7D04" w:rsidRPr="00DA5AAC">
        <w:t xml:space="preserve">dealings with unrelated entities </w:t>
      </w:r>
      <w:r w:rsidR="00650F4C">
        <w:t xml:space="preserve">for </w:t>
      </w:r>
      <w:r w:rsidR="00AA7D04" w:rsidRPr="00DA5AAC">
        <w:t>the purpose of supporting the business of related entities.</w:t>
      </w:r>
      <w:bookmarkEnd w:id="63"/>
    </w:p>
    <w:p w14:paraId="5A3A8D18" w14:textId="4BD40FA1" w:rsidR="005946D3" w:rsidRDefault="00F0674F" w:rsidP="009F5DE5">
      <w:pPr>
        <w:pStyle w:val="BodyText1"/>
      </w:pPr>
      <w:bookmarkStart w:id="66" w:name="_Ref510712328"/>
      <w:r w:rsidRPr="001D0049">
        <w:t>An</w:t>
      </w:r>
      <w:r w:rsidRPr="002261E3">
        <w:t xml:space="preserve"> ADI must not provide support to related entities</w:t>
      </w:r>
      <w:r w:rsidR="00B111AC">
        <w:t>, and an ADI must not accept support from its related entities,</w:t>
      </w:r>
      <w:r w:rsidRPr="002261E3">
        <w:t xml:space="preserve"> </w:t>
      </w:r>
      <w:r w:rsidRPr="00DA5AAC">
        <w:t xml:space="preserve">unless </w:t>
      </w:r>
      <w:r w:rsidR="00940343">
        <w:t xml:space="preserve">such </w:t>
      </w:r>
      <w:r w:rsidRPr="00DA5AAC">
        <w:t xml:space="preserve">support is expressed clearly in legal </w:t>
      </w:r>
      <w:r w:rsidR="000C526E">
        <w:t>documentation,</w:t>
      </w:r>
      <w:r w:rsidRPr="00DA5AAC">
        <w:t xml:space="preserve"> </w:t>
      </w:r>
      <w:r w:rsidR="000C526E">
        <w:t>is fixed as to time and amount, and is</w:t>
      </w:r>
      <w:r w:rsidRPr="00DA5AAC">
        <w:t xml:space="preserve"> in accordance with </w:t>
      </w:r>
      <w:r w:rsidR="00650F4C">
        <w:t xml:space="preserve">the ADI’s policies and </w:t>
      </w:r>
      <w:r w:rsidRPr="00DA5AAC">
        <w:t xml:space="preserve">the prudential requirements set out in paragraphs </w:t>
      </w:r>
      <w:r w:rsidR="003C47DD">
        <w:fldChar w:fldCharType="begin"/>
      </w:r>
      <w:r w:rsidR="003C47DD">
        <w:instrText xml:space="preserve"> REF _Ref507414548 \r \h </w:instrText>
      </w:r>
      <w:r w:rsidR="003C47DD">
        <w:fldChar w:fldCharType="separate"/>
      </w:r>
      <w:r w:rsidR="008716B5">
        <w:t>13</w:t>
      </w:r>
      <w:r w:rsidR="003C47DD">
        <w:fldChar w:fldCharType="end"/>
      </w:r>
      <w:r w:rsidRPr="002261E3">
        <w:t xml:space="preserve"> to </w:t>
      </w:r>
      <w:r w:rsidR="00047221">
        <w:fldChar w:fldCharType="begin"/>
      </w:r>
      <w:r w:rsidR="00047221">
        <w:instrText xml:space="preserve"> REF _Ref510686910 \r \h </w:instrText>
      </w:r>
      <w:r w:rsidR="00047221">
        <w:fldChar w:fldCharType="separate"/>
      </w:r>
      <w:r w:rsidR="008716B5">
        <w:t>17</w:t>
      </w:r>
      <w:r w:rsidR="00047221">
        <w:fldChar w:fldCharType="end"/>
      </w:r>
      <w:r w:rsidR="00846FD3">
        <w:t xml:space="preserve"> </w:t>
      </w:r>
      <w:r w:rsidRPr="002261E3">
        <w:t>of this Prudential Standard</w:t>
      </w:r>
      <w:r>
        <w:t>.</w:t>
      </w:r>
      <w:r w:rsidR="009B0855">
        <w:rPr>
          <w:rStyle w:val="FootnoteReference"/>
        </w:rPr>
        <w:footnoteReference w:id="5"/>
      </w:r>
      <w:bookmarkEnd w:id="66"/>
    </w:p>
    <w:p w14:paraId="6E7CA9EA" w14:textId="34AC7CBF" w:rsidR="00381FD7" w:rsidRDefault="00515540" w:rsidP="009F5DE5">
      <w:pPr>
        <w:pStyle w:val="BodyText1"/>
        <w:numPr>
          <w:ilvl w:val="0"/>
          <w:numId w:val="3"/>
        </w:numPr>
      </w:pPr>
      <w:bookmarkStart w:id="68" w:name="_Ref484098170"/>
      <w:bookmarkEnd w:id="64"/>
      <w:bookmarkEnd w:id="65"/>
      <w:r>
        <w:t>An ADI must satisfy APRA, upon request, that when it purchases assets</w:t>
      </w:r>
      <w:r w:rsidR="00D24BF0">
        <w:t xml:space="preserve"> from</w:t>
      </w:r>
      <w:r>
        <w:t xml:space="preserve"> or securities or other forms of liabilities issued by a related entity, or sells assets and securities to a related entity, that these activities do not constitute the ADI providing capital</w:t>
      </w:r>
      <w:r w:rsidR="00DC2344">
        <w:t xml:space="preserve"> </w:t>
      </w:r>
      <w:r>
        <w:t xml:space="preserve">support to the related entity. APRA may require an ADI to deduct from </w:t>
      </w:r>
      <w:r>
        <w:rPr>
          <w:b/>
        </w:rPr>
        <w:t>Common Equity Tier 1 Capital</w:t>
      </w:r>
      <w:r>
        <w:t xml:space="preserve"> the value of</w:t>
      </w:r>
      <w:r>
        <w:rPr>
          <w:b/>
        </w:rPr>
        <w:t xml:space="preserve"> </w:t>
      </w:r>
      <w:r>
        <w:t>assets</w:t>
      </w:r>
      <w:r w:rsidR="00A12247">
        <w:t>,</w:t>
      </w:r>
      <w:r>
        <w:t xml:space="preserve"> securities or other liabilities where APRA </w:t>
      </w:r>
      <w:r w:rsidR="00650F4C">
        <w:t xml:space="preserve">is not satisfied that the </w:t>
      </w:r>
      <w:r w:rsidR="00A60662">
        <w:t xml:space="preserve">activities do not constitute the provision of </w:t>
      </w:r>
      <w:r>
        <w:t>capital support.</w:t>
      </w:r>
      <w:r w:rsidR="001C10AC">
        <w:t xml:space="preserve"> </w:t>
      </w:r>
    </w:p>
    <w:p w14:paraId="33697381" w14:textId="583A702B" w:rsidR="00515540" w:rsidRDefault="00381FD7" w:rsidP="009F5DE5">
      <w:pPr>
        <w:pStyle w:val="BodyText1"/>
      </w:pPr>
      <w:r>
        <w:t xml:space="preserve">An ADI must meet </w:t>
      </w:r>
      <w:r w:rsidR="00CA42FC">
        <w:t xml:space="preserve">the </w:t>
      </w:r>
      <w:r w:rsidR="00493A44">
        <w:t>r</w:t>
      </w:r>
      <w:r w:rsidR="001C10AC">
        <w:t xml:space="preserve">equirements </w:t>
      </w:r>
      <w:r w:rsidR="00A60662">
        <w:t xml:space="preserve">in Attachment B to this Prudential Standard </w:t>
      </w:r>
      <w:r w:rsidR="001C10AC">
        <w:t xml:space="preserve">in relation to </w:t>
      </w:r>
      <w:r w:rsidR="009A6AF7">
        <w:t xml:space="preserve">the </w:t>
      </w:r>
      <w:r w:rsidR="001C10AC">
        <w:t>provision of liquidity facilities to funds management vehicles.</w:t>
      </w:r>
    </w:p>
    <w:p w14:paraId="14A5DB12" w14:textId="54EE1815" w:rsidR="00563313" w:rsidRDefault="00563313" w:rsidP="009F5DE5">
      <w:pPr>
        <w:pStyle w:val="BodyText1"/>
      </w:pPr>
      <w:bookmarkStart w:id="69" w:name="_Ref10791178"/>
      <w:r w:rsidRPr="00563313">
        <w:t xml:space="preserve">A foreign ADI </w:t>
      </w:r>
      <w:r w:rsidR="00BD09D4">
        <w:t>must not</w:t>
      </w:r>
      <w:r w:rsidR="0040787F">
        <w:t xml:space="preserve"> </w:t>
      </w:r>
      <w:r w:rsidRPr="00563313">
        <w:t>provide support to its subsidiaries operating in Australia</w:t>
      </w:r>
      <w:r w:rsidR="007C6F55">
        <w:t xml:space="preserve">, and a foreign ADI must not accept support from its subsidiaries operating in Australia, </w:t>
      </w:r>
      <w:r w:rsidR="00BD09D4">
        <w:t xml:space="preserve">unless </w:t>
      </w:r>
      <w:r w:rsidR="00BC79E2">
        <w:t xml:space="preserve">such </w:t>
      </w:r>
      <w:r w:rsidR="00227E58">
        <w:t>support is expressed clearly in legal documentation and is fixed as to time and amount</w:t>
      </w:r>
      <w:r w:rsidRPr="00563313">
        <w:t xml:space="preserve">. </w:t>
      </w:r>
      <w:r w:rsidR="006566F7">
        <w:t>A</w:t>
      </w:r>
      <w:r w:rsidRPr="00563313">
        <w:t xml:space="preserve"> foreign ADI </w:t>
      </w:r>
      <w:r w:rsidR="006566F7">
        <w:t xml:space="preserve">that </w:t>
      </w:r>
      <w:r w:rsidRPr="00563313">
        <w:t xml:space="preserve">wishes to give a general guarantee </w:t>
      </w:r>
      <w:r w:rsidR="00017223">
        <w:t xml:space="preserve">over </w:t>
      </w:r>
      <w:r w:rsidR="00334D05">
        <w:t>the obligations</w:t>
      </w:r>
      <w:r w:rsidR="00437C87">
        <w:t xml:space="preserve"> of</w:t>
      </w:r>
      <w:r w:rsidRPr="00563313">
        <w:t xml:space="preserve"> its Australian subsidiaries must be able to demonstrate to APRA that </w:t>
      </w:r>
      <w:r w:rsidR="00434DA6">
        <w:t>its</w:t>
      </w:r>
      <w:r w:rsidR="00434DA6" w:rsidRPr="00563313">
        <w:t xml:space="preserve"> </w:t>
      </w:r>
      <w:r w:rsidRPr="00563313">
        <w:t>home supervisor is</w:t>
      </w:r>
      <w:r w:rsidR="006566F7">
        <w:t xml:space="preserve"> </w:t>
      </w:r>
      <w:r w:rsidRPr="00563313">
        <w:t>aware of the obligations and has no objection to the transaction.</w:t>
      </w:r>
      <w:bookmarkEnd w:id="68"/>
      <w:bookmarkEnd w:id="69"/>
    </w:p>
    <w:p w14:paraId="55E3E030" w14:textId="7E5DDAE8" w:rsidR="009141E2" w:rsidRDefault="009141E2" w:rsidP="009F5DE5">
      <w:pPr>
        <w:pStyle w:val="Heading1"/>
        <w:jc w:val="both"/>
      </w:pPr>
      <w:bookmarkStart w:id="70" w:name="_Toc13750299"/>
      <w:bookmarkStart w:id="71" w:name="_Toc13837403"/>
      <w:bookmarkStart w:id="72" w:name="_Toc17118659"/>
      <w:r>
        <w:t>Group badging</w:t>
      </w:r>
      <w:bookmarkStart w:id="73" w:name="_Ref484098649"/>
      <w:r w:rsidR="00D6731F">
        <w:t xml:space="preserve"> and disclosures</w:t>
      </w:r>
      <w:bookmarkEnd w:id="70"/>
      <w:bookmarkEnd w:id="71"/>
      <w:bookmarkEnd w:id="72"/>
      <w:bookmarkEnd w:id="73"/>
      <w:r>
        <w:t xml:space="preserve"> </w:t>
      </w:r>
    </w:p>
    <w:p w14:paraId="678AB6C2" w14:textId="614256E9" w:rsidR="002C2F99" w:rsidRDefault="002C2F99" w:rsidP="009F5DE5">
      <w:pPr>
        <w:pStyle w:val="BodyText1"/>
      </w:pPr>
      <w:bookmarkStart w:id="74" w:name="_Ref514684849"/>
      <w:r>
        <w:t xml:space="preserve">An ADI must not use a brand name in common with </w:t>
      </w:r>
      <w:r w:rsidR="00BD6501">
        <w:t xml:space="preserve">members of its </w:t>
      </w:r>
      <w:r w:rsidR="00BD6501" w:rsidRPr="00F54549">
        <w:rPr>
          <w:b/>
        </w:rPr>
        <w:t>conglomerate group</w:t>
      </w:r>
      <w:r>
        <w:t xml:space="preserve"> except where the ADI and group members </w:t>
      </w:r>
      <w:bookmarkEnd w:id="74"/>
      <w:r w:rsidR="004444F8" w:rsidRPr="00365DB5">
        <w:t xml:space="preserve">clearly and prominently disclose </w:t>
      </w:r>
      <w:r w:rsidR="00511ED7">
        <w:t xml:space="preserve">their roles and responsibilities </w:t>
      </w:r>
      <w:r w:rsidR="004444F8" w:rsidRPr="00365DB5">
        <w:t>i</w:t>
      </w:r>
      <w:r w:rsidR="00F63EA2" w:rsidRPr="00745C9D">
        <w:t xml:space="preserve">n order to reduce the risk of </w:t>
      </w:r>
      <w:r w:rsidR="00F63EA2" w:rsidRPr="00745C9D">
        <w:lastRenderedPageBreak/>
        <w:t>giving the impression</w:t>
      </w:r>
      <w:r w:rsidR="00F63EA2">
        <w:t xml:space="preserve"> </w:t>
      </w:r>
      <w:r w:rsidR="004444F8" w:rsidRPr="00745C9D">
        <w:t>that</w:t>
      </w:r>
      <w:r w:rsidR="004444F8">
        <w:t xml:space="preserve"> a non-ADI member of the group is an ADI, or that a group member is guaranteed or supported by an ADI in the group. </w:t>
      </w:r>
    </w:p>
    <w:p w14:paraId="7FDCB405" w14:textId="55F92F27" w:rsidR="002C2F99" w:rsidRDefault="002C2F99" w:rsidP="002C2F99">
      <w:pPr>
        <w:pStyle w:val="BodyText1"/>
      </w:pPr>
      <w:r>
        <w:t xml:space="preserve">Unless otherwise prohibited by the laws of a foreign jurisdiction, when there are financial transactions between an external counterparty and a member of the ADI’s group that uses a common brand name with the ADI, </w:t>
      </w:r>
      <w:r w:rsidR="00BD6501">
        <w:t xml:space="preserve">the ADI must ensure that </w:t>
      </w:r>
      <w:r>
        <w:t>disclosure to the external counterparty include</w:t>
      </w:r>
      <w:r w:rsidR="00EA2255">
        <w:t>s</w:t>
      </w:r>
      <w:r>
        <w:t xml:space="preserve"> that:</w:t>
      </w:r>
    </w:p>
    <w:p w14:paraId="50F31DE0" w14:textId="0799503D" w:rsidR="002C2F99" w:rsidRDefault="002C2F99" w:rsidP="002C2F99">
      <w:pPr>
        <w:pStyle w:val="BodyText2"/>
      </w:pPr>
      <w:r>
        <w:t xml:space="preserve">the group member with whom the counterparty is dealing is not an ADI </w:t>
      </w:r>
      <w:r w:rsidR="002214DE">
        <w:t>(where this is the case)</w:t>
      </w:r>
      <w:r>
        <w:t xml:space="preserve"> and that the member’s obligations do not represent deposits or other liabilities of the ADI in the group;</w:t>
      </w:r>
    </w:p>
    <w:p w14:paraId="19CDF02C" w14:textId="2C834F6C" w:rsidR="002C2F99" w:rsidRDefault="002C2F99" w:rsidP="002C2F99">
      <w:pPr>
        <w:pStyle w:val="BodyText2"/>
      </w:pPr>
      <w:r>
        <w:t>the ADI does not stand behind the group member, unless support is provided for in legal documentation (</w:t>
      </w:r>
      <w:r w:rsidR="00C65FB2">
        <w:t xml:space="preserve">refer to paragraphs </w:t>
      </w:r>
      <w:r w:rsidR="0077784E">
        <w:fldChar w:fldCharType="begin"/>
      </w:r>
      <w:r w:rsidR="0077784E">
        <w:instrText xml:space="preserve"> REF _Ref510712328 \r \h </w:instrText>
      </w:r>
      <w:r w:rsidR="0077784E">
        <w:fldChar w:fldCharType="separate"/>
      </w:r>
      <w:r w:rsidR="008716B5">
        <w:t>20</w:t>
      </w:r>
      <w:r w:rsidR="0077784E">
        <w:fldChar w:fldCharType="end"/>
      </w:r>
      <w:r>
        <w:t xml:space="preserve"> and </w:t>
      </w:r>
      <w:r w:rsidR="0077784E">
        <w:fldChar w:fldCharType="begin"/>
      </w:r>
      <w:r w:rsidR="0077784E">
        <w:instrText xml:space="preserve"> REF _Ref10791178 \r \h </w:instrText>
      </w:r>
      <w:r w:rsidR="0077784E">
        <w:fldChar w:fldCharType="separate"/>
      </w:r>
      <w:r w:rsidR="008716B5">
        <w:t>23</w:t>
      </w:r>
      <w:r w:rsidR="0077784E">
        <w:fldChar w:fldCharType="end"/>
      </w:r>
      <w:r>
        <w:t xml:space="preserve"> of this Prudential Standard). Where support </w:t>
      </w:r>
      <w:r w:rsidR="004D711A">
        <w:t xml:space="preserve">is </w:t>
      </w:r>
      <w:r>
        <w:t>provided</w:t>
      </w:r>
      <w:r w:rsidR="00A60662">
        <w:t xml:space="preserve"> for</w:t>
      </w:r>
      <w:r>
        <w:t xml:space="preserve">, the nature and limitations of the ADI’s obligations arising from its involvement </w:t>
      </w:r>
      <w:r w:rsidR="00A60662">
        <w:t xml:space="preserve">must </w:t>
      </w:r>
      <w:r>
        <w:t>be disclosed; and</w:t>
      </w:r>
    </w:p>
    <w:p w14:paraId="364C7CAA" w14:textId="7E44C3D2" w:rsidR="002C2F99" w:rsidRDefault="002C2F99" w:rsidP="00A976A6">
      <w:pPr>
        <w:pStyle w:val="BodyText2"/>
      </w:pPr>
      <w:r>
        <w:t xml:space="preserve">the investor is exposed to investment risk </w:t>
      </w:r>
      <w:r w:rsidRPr="00207C2B">
        <w:t>including possible delays in repayment and loss of income and princip</w:t>
      </w:r>
      <w:r>
        <w:t>al</w:t>
      </w:r>
      <w:r w:rsidRPr="00207C2B">
        <w:t xml:space="preserve"> invested</w:t>
      </w:r>
      <w:r w:rsidR="00A60662">
        <w:t>,</w:t>
      </w:r>
      <w:r>
        <w:t xml:space="preserve"> as relevant.</w:t>
      </w:r>
    </w:p>
    <w:p w14:paraId="7AA86C64" w14:textId="4F921122" w:rsidR="009141E2" w:rsidRDefault="009141E2" w:rsidP="009F5DE5">
      <w:pPr>
        <w:pStyle w:val="BodyText1"/>
      </w:pPr>
      <w:bookmarkStart w:id="75" w:name="_Ref12432994"/>
      <w:r>
        <w:t xml:space="preserve">APRA may require </w:t>
      </w:r>
      <w:r w:rsidR="00166C7C">
        <w:t xml:space="preserve">an </w:t>
      </w:r>
      <w:r w:rsidR="00321A76">
        <w:t xml:space="preserve">ADI </w:t>
      </w:r>
      <w:r w:rsidR="00725558">
        <w:t xml:space="preserve">to </w:t>
      </w:r>
      <w:r w:rsidR="00321A76">
        <w:t>not</w:t>
      </w:r>
      <w:r w:rsidR="005D59B7">
        <w:t xml:space="preserve"> </w:t>
      </w:r>
      <w:r w:rsidR="00321A76">
        <w:t>use a brand name in common with</w:t>
      </w:r>
      <w:r w:rsidR="00420AB2">
        <w:t xml:space="preserve"> a group member </w:t>
      </w:r>
      <w:r>
        <w:t>if that would give rise to a prudential concern having regard to the following factors:</w:t>
      </w:r>
      <w:bookmarkEnd w:id="75"/>
    </w:p>
    <w:p w14:paraId="2A532367" w14:textId="77777777" w:rsidR="009141E2" w:rsidRDefault="009141E2" w:rsidP="009F5DE5">
      <w:pPr>
        <w:pStyle w:val="BodyText2"/>
        <w:jc w:val="both"/>
      </w:pPr>
      <w:r>
        <w:t>the presence of appropriate disclosures;</w:t>
      </w:r>
    </w:p>
    <w:p w14:paraId="5281EF9F" w14:textId="43D5AA48" w:rsidR="009141E2" w:rsidRDefault="009141E2" w:rsidP="009F5DE5">
      <w:pPr>
        <w:pStyle w:val="BodyText2"/>
        <w:jc w:val="both"/>
      </w:pPr>
      <w:r>
        <w:t>the type of entit</w:t>
      </w:r>
      <w:r w:rsidR="00A070F6">
        <w:t>y</w:t>
      </w:r>
      <w:r>
        <w:t xml:space="preserve"> involved (whether </w:t>
      </w:r>
      <w:r w:rsidR="00484A77">
        <w:t xml:space="preserve">the </w:t>
      </w:r>
      <w:r w:rsidR="00A070F6">
        <w:t xml:space="preserve">group member </w:t>
      </w:r>
      <w:r w:rsidR="00484A77">
        <w:t xml:space="preserve">is </w:t>
      </w:r>
      <w:r>
        <w:t>regulated or unregulated);</w:t>
      </w:r>
    </w:p>
    <w:p w14:paraId="55F598CE" w14:textId="7697D6A4" w:rsidR="002C56CB" w:rsidRDefault="002C56CB" w:rsidP="009F5DE5">
      <w:pPr>
        <w:pStyle w:val="BodyText2"/>
        <w:jc w:val="both"/>
      </w:pPr>
      <w:r>
        <w:t>the</w:t>
      </w:r>
      <w:r w:rsidR="002B6325">
        <w:t xml:space="preserve"> </w:t>
      </w:r>
      <w:r w:rsidR="0060303B">
        <w:t>group member</w:t>
      </w:r>
      <w:r w:rsidR="002B6325">
        <w:t>’s risk profile</w:t>
      </w:r>
      <w:r w:rsidR="001246B8">
        <w:t xml:space="preserve">, </w:t>
      </w:r>
      <w:r w:rsidR="002B6325">
        <w:t>reputation</w:t>
      </w:r>
      <w:r w:rsidR="001246B8">
        <w:t xml:space="preserve"> and </w:t>
      </w:r>
      <w:r w:rsidR="00C2124E">
        <w:t>associations</w:t>
      </w:r>
      <w:r>
        <w:t>;</w:t>
      </w:r>
    </w:p>
    <w:p w14:paraId="5DD2925B" w14:textId="219220D3" w:rsidR="009141E2" w:rsidRDefault="009141E2" w:rsidP="009F5DE5">
      <w:pPr>
        <w:pStyle w:val="BodyText2"/>
        <w:jc w:val="both"/>
      </w:pPr>
      <w:r>
        <w:t xml:space="preserve">the manner in which various products and services are marketed; </w:t>
      </w:r>
    </w:p>
    <w:p w14:paraId="791BAC90" w14:textId="7546C5D8" w:rsidR="001246B8" w:rsidRDefault="009141E2" w:rsidP="009F5DE5">
      <w:pPr>
        <w:pStyle w:val="BodyText2"/>
        <w:jc w:val="both"/>
      </w:pPr>
      <w:r>
        <w:t>the types of customers involved</w:t>
      </w:r>
      <w:r w:rsidR="0060303B">
        <w:t xml:space="preserve"> with the group member</w:t>
      </w:r>
      <w:r w:rsidR="001246B8">
        <w:t>; and</w:t>
      </w:r>
    </w:p>
    <w:p w14:paraId="7245A6F7" w14:textId="4884F005" w:rsidR="009141E2" w:rsidRDefault="001246B8" w:rsidP="009F5DE5">
      <w:pPr>
        <w:pStyle w:val="BodyText2"/>
        <w:jc w:val="both"/>
      </w:pPr>
      <w:r>
        <w:t>other factors on a case-by-case basis.</w:t>
      </w:r>
    </w:p>
    <w:p w14:paraId="33E41CEE" w14:textId="7B92273D" w:rsidR="009141E2" w:rsidRPr="007D1C24" w:rsidRDefault="009141E2" w:rsidP="009F5DE5">
      <w:pPr>
        <w:pStyle w:val="Heading1"/>
        <w:jc w:val="both"/>
      </w:pPr>
      <w:bookmarkStart w:id="76" w:name="_Toc13750300"/>
      <w:bookmarkStart w:id="77" w:name="_Toc13837404"/>
      <w:bookmarkStart w:id="78" w:name="_Toc17118660"/>
      <w:r w:rsidRPr="007D1C24">
        <w:t>Participation in group operations</w:t>
      </w:r>
      <w:bookmarkEnd w:id="76"/>
      <w:bookmarkEnd w:id="77"/>
      <w:bookmarkEnd w:id="78"/>
    </w:p>
    <w:p w14:paraId="089F7157" w14:textId="74081E65" w:rsidR="006726C4" w:rsidRDefault="006726C4" w:rsidP="009F5DE5">
      <w:pPr>
        <w:pStyle w:val="BodyText1"/>
      </w:pPr>
      <w:bookmarkStart w:id="79" w:name="_Ref12434897"/>
      <w:bookmarkStart w:id="80" w:name="_Ref500861574"/>
      <w:r>
        <w:t>An ADI must establish policies and procedures to address risks posed to the ADI from participating in group operations including, but not limited to, sharing premises with other group members, centralising back-office functions or outsourcing services to other group members.</w:t>
      </w:r>
      <w:bookmarkEnd w:id="79"/>
    </w:p>
    <w:p w14:paraId="6E00EF2C" w14:textId="344BAF27" w:rsidR="004232F7" w:rsidRDefault="004232F7" w:rsidP="009F5DE5">
      <w:pPr>
        <w:pStyle w:val="BodyText1"/>
      </w:pPr>
      <w:bookmarkStart w:id="81" w:name="_Ref12434902"/>
      <w:r>
        <w:t>Where an ADI participates in group operations, the ADI must:</w:t>
      </w:r>
      <w:bookmarkEnd w:id="81"/>
    </w:p>
    <w:p w14:paraId="2731ED92" w14:textId="6FEE6BD1" w:rsidR="006726C4" w:rsidRDefault="006726C4" w:rsidP="009F5DE5">
      <w:pPr>
        <w:pStyle w:val="BodyText2"/>
        <w:jc w:val="both"/>
      </w:pPr>
      <w:r>
        <w:t>ensure that th</w:t>
      </w:r>
      <w:r w:rsidR="005E45A1">
        <w:t>o</w:t>
      </w:r>
      <w:r>
        <w:t>se operations do not adversely affect the safety and soundness of the ADI as a stand-alone entity;</w:t>
      </w:r>
    </w:p>
    <w:p w14:paraId="6F16F353" w14:textId="142EDBE5" w:rsidR="004232F7" w:rsidRDefault="007D1C24" w:rsidP="009F5DE5">
      <w:pPr>
        <w:pStyle w:val="BodyText2"/>
        <w:jc w:val="both"/>
      </w:pPr>
      <w:r>
        <w:t>b</w:t>
      </w:r>
      <w:r w:rsidR="004232F7">
        <w:t>e satisfied that any exposures generated are addressed by the ADI’s policies and procedures on participating in group operations;</w:t>
      </w:r>
    </w:p>
    <w:p w14:paraId="5E81AF43" w14:textId="49A1705A" w:rsidR="004232F7" w:rsidRDefault="004232F7" w:rsidP="009F5DE5">
      <w:pPr>
        <w:pStyle w:val="BodyText2"/>
        <w:jc w:val="both"/>
      </w:pPr>
      <w:r>
        <w:lastRenderedPageBreak/>
        <w:t>ensure dealings with other parties arising from participation in group operations are appropriately documented in w</w:t>
      </w:r>
      <w:r w:rsidR="007D1C24">
        <w:t>ritten service agreements;</w:t>
      </w:r>
      <w:r w:rsidR="007D1C24">
        <w:rPr>
          <w:rStyle w:val="FootnoteReference"/>
        </w:rPr>
        <w:footnoteReference w:id="6"/>
      </w:r>
    </w:p>
    <w:p w14:paraId="5C3EE600" w14:textId="28AB2AD6" w:rsidR="004232F7" w:rsidRDefault="004232F7" w:rsidP="009F5DE5">
      <w:pPr>
        <w:pStyle w:val="BodyText2"/>
        <w:jc w:val="both"/>
      </w:pPr>
      <w:r>
        <w:t xml:space="preserve">ensure there is a clear </w:t>
      </w:r>
      <w:r w:rsidR="005E45A1">
        <w:t xml:space="preserve">documented </w:t>
      </w:r>
      <w:r>
        <w:t xml:space="preserve">obligation for </w:t>
      </w:r>
      <w:r w:rsidR="0055574B">
        <w:t xml:space="preserve">a </w:t>
      </w:r>
      <w:r>
        <w:t xml:space="preserve">service provider to comply with </w:t>
      </w:r>
      <w:r w:rsidR="0055574B">
        <w:t xml:space="preserve">a </w:t>
      </w:r>
      <w:r>
        <w:t>direction given by APRA in relation to the operations of the ADI; and</w:t>
      </w:r>
    </w:p>
    <w:p w14:paraId="740A7C5E" w14:textId="14F5AC50" w:rsidR="004232F7" w:rsidRDefault="004232F7" w:rsidP="009F5DE5">
      <w:pPr>
        <w:pStyle w:val="BodyText2"/>
        <w:jc w:val="both"/>
      </w:pPr>
      <w:r>
        <w:t xml:space="preserve">ensure such operations </w:t>
      </w:r>
      <w:r w:rsidR="005119E2">
        <w:t>are not likely to lead</w:t>
      </w:r>
      <w:r>
        <w:t xml:space="preserve"> to confusion </w:t>
      </w:r>
      <w:r w:rsidR="005119E2">
        <w:t>for</w:t>
      </w:r>
      <w:r>
        <w:t xml:space="preserve"> customers about the respective roles and responsibilities of the ADI and the group member</w:t>
      </w:r>
      <w:r w:rsidR="007D1C24">
        <w:t>.</w:t>
      </w:r>
    </w:p>
    <w:p w14:paraId="33E138BC" w14:textId="3C27F6FC" w:rsidR="009141E2" w:rsidRDefault="00B12879" w:rsidP="009F5DE5">
      <w:pPr>
        <w:pStyle w:val="Heading1"/>
        <w:jc w:val="both"/>
      </w:pPr>
      <w:bookmarkStart w:id="82" w:name="_Toc13750301"/>
      <w:bookmarkStart w:id="83" w:name="_Toc13837405"/>
      <w:bookmarkStart w:id="84" w:name="_Toc17118661"/>
      <w:bookmarkEnd w:id="80"/>
      <w:r>
        <w:t>L</w:t>
      </w:r>
      <w:r w:rsidR="009141E2">
        <w:t xml:space="preserve">imits on </w:t>
      </w:r>
      <w:r w:rsidR="00483CA1">
        <w:t>exposures to related entities</w:t>
      </w:r>
      <w:bookmarkEnd w:id="82"/>
      <w:bookmarkEnd w:id="83"/>
      <w:bookmarkEnd w:id="84"/>
    </w:p>
    <w:p w14:paraId="624A628E" w14:textId="660AD207" w:rsidR="009141E2" w:rsidRDefault="00431EFF" w:rsidP="009F5DE5">
      <w:pPr>
        <w:pStyle w:val="BodyText1"/>
      </w:pPr>
      <w:bookmarkStart w:id="85" w:name="_Ref501447095"/>
      <w:bookmarkStart w:id="86" w:name="_Ref502673723"/>
      <w:bookmarkStart w:id="87" w:name="_Ref12350127"/>
      <w:r>
        <w:t>The exposures of a</w:t>
      </w:r>
      <w:r w:rsidR="009141E2">
        <w:t>n ADI</w:t>
      </w:r>
      <w:r w:rsidR="009F76AD">
        <w:t xml:space="preserve"> </w:t>
      </w:r>
      <w:r w:rsidR="009141E2">
        <w:t xml:space="preserve">to </w:t>
      </w:r>
      <w:r>
        <w:t xml:space="preserve">its </w:t>
      </w:r>
      <w:r w:rsidR="009141E2">
        <w:t xml:space="preserve">related entities </w:t>
      </w:r>
      <w:r w:rsidR="00DD2457">
        <w:t>must</w:t>
      </w:r>
      <w:r w:rsidR="00BA269E">
        <w:t xml:space="preserve"> </w:t>
      </w:r>
      <w:r>
        <w:t>not exceed</w:t>
      </w:r>
      <w:r w:rsidR="00CF4E45">
        <w:t xml:space="preserve"> the following limits</w:t>
      </w:r>
      <w:r w:rsidR="009141E2">
        <w:t>:</w:t>
      </w:r>
      <w:r w:rsidR="00CF4E45">
        <w:rPr>
          <w:rStyle w:val="FootnoteReference"/>
        </w:rPr>
        <w:footnoteReference w:id="7"/>
      </w:r>
      <w:bookmarkEnd w:id="85"/>
      <w:bookmarkEnd w:id="86"/>
      <w:bookmarkEnd w:id="87"/>
    </w:p>
    <w:p w14:paraId="5AB3CEC1" w14:textId="5AF1284B" w:rsidR="009141E2" w:rsidRDefault="009141E2" w:rsidP="009F5DE5">
      <w:pPr>
        <w:pStyle w:val="BodyText2"/>
        <w:jc w:val="both"/>
      </w:pPr>
      <w:r>
        <w:t xml:space="preserve">related ADIs </w:t>
      </w:r>
      <w:r w:rsidR="00321A76">
        <w:t>or overseas based equivalents</w:t>
      </w:r>
      <w:r>
        <w:t>:</w:t>
      </w:r>
    </w:p>
    <w:p w14:paraId="3F0FB4E7" w14:textId="70D5E388" w:rsidR="009141E2" w:rsidRDefault="009141E2" w:rsidP="009F5DE5">
      <w:pPr>
        <w:pStyle w:val="BodyText3"/>
        <w:jc w:val="both"/>
      </w:pPr>
      <w:r>
        <w:t xml:space="preserve">exposure to </w:t>
      </w:r>
      <w:r w:rsidR="00321A76">
        <w:t xml:space="preserve">an </w:t>
      </w:r>
      <w:r>
        <w:t>individual related ADI</w:t>
      </w:r>
      <w:r w:rsidR="00321A76">
        <w:t xml:space="preserve"> or overseas based equivalent</w:t>
      </w:r>
      <w:r>
        <w:t xml:space="preserve"> – </w:t>
      </w:r>
      <w:r w:rsidR="0065731C">
        <w:t>25</w:t>
      </w:r>
      <w:r>
        <w:t xml:space="preserve"> per cent of an ADI</w:t>
      </w:r>
      <w:r w:rsidR="00D476ED">
        <w:t xml:space="preserve">’s </w:t>
      </w:r>
      <w:r w:rsidR="00D476ED" w:rsidRPr="00F54549">
        <w:rPr>
          <w:b/>
        </w:rPr>
        <w:t>Tier 1 Capital</w:t>
      </w:r>
      <w:r>
        <w:t xml:space="preserve"> on a </w:t>
      </w:r>
      <w:r w:rsidRPr="00F54549">
        <w:t>Level 1 basis</w:t>
      </w:r>
      <w:r>
        <w:t>; and</w:t>
      </w:r>
    </w:p>
    <w:p w14:paraId="589BE63F" w14:textId="77D1FC22" w:rsidR="009141E2" w:rsidRDefault="009141E2" w:rsidP="009F5DE5">
      <w:pPr>
        <w:pStyle w:val="BodyText3"/>
        <w:jc w:val="both"/>
      </w:pPr>
      <w:r>
        <w:t>aggregate exposure to all related ADIs</w:t>
      </w:r>
      <w:r w:rsidR="00321A76">
        <w:t xml:space="preserve"> and overseas based equivalents</w:t>
      </w:r>
      <w:r>
        <w:t xml:space="preserve"> – </w:t>
      </w:r>
      <w:r w:rsidR="0065731C">
        <w:t>75</w:t>
      </w:r>
      <w:r>
        <w:t xml:space="preserve"> per cent of  an ADI</w:t>
      </w:r>
      <w:r w:rsidR="00D476ED">
        <w:t xml:space="preserve">’s Tier 1 Capital </w:t>
      </w:r>
      <w:r>
        <w:t>on a Level 1 basis;</w:t>
      </w:r>
      <w:r w:rsidR="00A070F6">
        <w:t xml:space="preserve"> and</w:t>
      </w:r>
    </w:p>
    <w:p w14:paraId="6FDCE10A" w14:textId="77777777" w:rsidR="009141E2" w:rsidRDefault="009141E2" w:rsidP="009F5DE5">
      <w:pPr>
        <w:pStyle w:val="BodyText2"/>
        <w:jc w:val="both"/>
      </w:pPr>
      <w:r>
        <w:t>other related entities:</w:t>
      </w:r>
    </w:p>
    <w:p w14:paraId="07B23AE4" w14:textId="6459452E" w:rsidR="009141E2" w:rsidRDefault="009141E2" w:rsidP="009F5DE5">
      <w:pPr>
        <w:pStyle w:val="BodyText3"/>
        <w:jc w:val="both"/>
      </w:pPr>
      <w:r>
        <w:t xml:space="preserve">exposure to </w:t>
      </w:r>
      <w:r w:rsidR="00930859">
        <w:t xml:space="preserve">an </w:t>
      </w:r>
      <w:r>
        <w:t xml:space="preserve">individual regulated related entity </w:t>
      </w:r>
      <w:r w:rsidR="00930859">
        <w:t>(</w:t>
      </w:r>
      <w:r>
        <w:t>other than a related ADI or related overseas-based equivalent</w:t>
      </w:r>
      <w:r w:rsidR="00930859">
        <w:t>)</w:t>
      </w:r>
      <w:r>
        <w:t xml:space="preserve"> – 25 per cent of an ADI</w:t>
      </w:r>
      <w:r w:rsidR="00D476ED">
        <w:t xml:space="preserve">’s Tier 1 Capital </w:t>
      </w:r>
      <w:r>
        <w:t>on a Level 1 basis;</w:t>
      </w:r>
    </w:p>
    <w:p w14:paraId="5B89F2DA" w14:textId="49AF6772" w:rsidR="009141E2" w:rsidRDefault="009141E2" w:rsidP="009F5DE5">
      <w:pPr>
        <w:pStyle w:val="BodyText3"/>
        <w:jc w:val="both"/>
      </w:pPr>
      <w:r>
        <w:t xml:space="preserve">exposure to </w:t>
      </w:r>
      <w:r w:rsidR="00930859">
        <w:t xml:space="preserve">an </w:t>
      </w:r>
      <w:r>
        <w:t>individual unregulated related entity</w:t>
      </w:r>
      <w:r w:rsidR="00B12879">
        <w:t xml:space="preserve"> </w:t>
      </w:r>
      <w:r>
        <w:t>– 15 per cent of an ADI</w:t>
      </w:r>
      <w:r w:rsidR="00D476ED">
        <w:t>’s Tier 1 Capital</w:t>
      </w:r>
      <w:r>
        <w:t xml:space="preserve"> on a Level 1 basis; and</w:t>
      </w:r>
    </w:p>
    <w:p w14:paraId="56366D9C" w14:textId="18308CED" w:rsidR="009141E2" w:rsidRDefault="009141E2" w:rsidP="009F5DE5">
      <w:pPr>
        <w:pStyle w:val="BodyText3"/>
        <w:jc w:val="both"/>
      </w:pPr>
      <w:r>
        <w:t>aggregate exposure to all related entities</w:t>
      </w:r>
      <w:r w:rsidR="003E059C">
        <w:t xml:space="preserve"> </w:t>
      </w:r>
      <w:r>
        <w:t>(other than related ADIs and related overseas-based equivalents) – 35 per cent of an ADI</w:t>
      </w:r>
      <w:r w:rsidR="009908C4">
        <w:t>’s Tier 1 Capital</w:t>
      </w:r>
      <w:r>
        <w:t xml:space="preserve"> on a Level 1 basis.</w:t>
      </w:r>
    </w:p>
    <w:p w14:paraId="51163283" w14:textId="199B2CC1" w:rsidR="004347E1" w:rsidRPr="004347E1" w:rsidRDefault="00F827BE" w:rsidP="004347E1">
      <w:pPr>
        <w:pStyle w:val="BodyText1"/>
        <w:numPr>
          <w:ilvl w:val="0"/>
          <w:numId w:val="3"/>
        </w:numPr>
        <w:rPr>
          <w:rStyle w:val="CommentReference"/>
          <w:sz w:val="24"/>
          <w:szCs w:val="24"/>
        </w:rPr>
      </w:pPr>
      <w:bookmarkStart w:id="88" w:name="_Ref502673803"/>
      <w:bookmarkStart w:id="89" w:name="_Ref505597118"/>
      <w:r>
        <w:t>A</w:t>
      </w:r>
      <w:r w:rsidR="00C21249">
        <w:t xml:space="preserve">n </w:t>
      </w:r>
      <w:r w:rsidR="00D019FE">
        <w:t>ADI’s exposure</w:t>
      </w:r>
      <w:r w:rsidR="00351ABB">
        <w:t xml:space="preserve"> to an </w:t>
      </w:r>
      <w:r w:rsidR="00B51C95">
        <w:t>ELE</w:t>
      </w:r>
      <w:r w:rsidR="00C21249">
        <w:t xml:space="preserve"> </w:t>
      </w:r>
      <w:r>
        <w:t xml:space="preserve">subsidiary </w:t>
      </w:r>
      <w:r w:rsidR="00D019FE">
        <w:t>is</w:t>
      </w:r>
      <w:r w:rsidR="00B51C95">
        <w:t xml:space="preserve"> not subject to the limits in paragraph </w:t>
      </w:r>
      <w:r w:rsidR="00C65FB2">
        <w:fldChar w:fldCharType="begin"/>
      </w:r>
      <w:r w:rsidR="00C65FB2">
        <w:instrText xml:space="preserve"> REF _Ref12350127 \r \h </w:instrText>
      </w:r>
      <w:r w:rsidR="00C65FB2">
        <w:fldChar w:fldCharType="separate"/>
      </w:r>
      <w:r w:rsidR="008716B5">
        <w:t>29</w:t>
      </w:r>
      <w:r w:rsidR="00C65FB2">
        <w:fldChar w:fldCharType="end"/>
      </w:r>
      <w:r w:rsidR="00B51C95">
        <w:t xml:space="preserve"> of this Prudential Standard</w:t>
      </w:r>
      <w:r w:rsidR="004347E1">
        <w:t xml:space="preserve"> or requirements in </w:t>
      </w:r>
      <w:r w:rsidR="004347E1" w:rsidRPr="00D31C81">
        <w:rPr>
          <w:i/>
        </w:rPr>
        <w:t xml:space="preserve">Prudential Standard APS 111 </w:t>
      </w:r>
      <w:r w:rsidR="004347E1" w:rsidRPr="00D31C81">
        <w:rPr>
          <w:i/>
        </w:rPr>
        <w:lastRenderedPageBreak/>
        <w:t>Capital Adequacy: Measurement of Capital</w:t>
      </w:r>
      <w:r w:rsidR="004347E1">
        <w:t xml:space="preserve"> (APS 111) relating to the treatment of investments in and capital support provided to an ADI’s subsidiaries.</w:t>
      </w:r>
      <w:r w:rsidR="004347E1">
        <w:rPr>
          <w:rStyle w:val="FootnoteReference"/>
        </w:rPr>
        <w:footnoteReference w:id="8"/>
      </w:r>
      <w:r w:rsidR="004347E1" w:rsidDel="004347E1">
        <w:rPr>
          <w:rStyle w:val="CommentReference"/>
        </w:rPr>
        <w:t xml:space="preserve"> </w:t>
      </w:r>
    </w:p>
    <w:p w14:paraId="13F7CFC4" w14:textId="7110949E" w:rsidR="00F827BE" w:rsidRDefault="004347E1" w:rsidP="009F5DE5">
      <w:pPr>
        <w:pStyle w:val="BodyText1"/>
      </w:pPr>
      <w:r>
        <w:t xml:space="preserve">An ADI must meet </w:t>
      </w:r>
      <w:r w:rsidR="005D6529">
        <w:t xml:space="preserve">the </w:t>
      </w:r>
      <w:r>
        <w:t xml:space="preserve">requirements in relation to its ELE subsidiaries as set out in Attachment </w:t>
      </w:r>
      <w:r w:rsidR="00C912BB">
        <w:t>C</w:t>
      </w:r>
      <w:r>
        <w:t xml:space="preserve"> </w:t>
      </w:r>
      <w:r w:rsidR="00566050">
        <w:t>to</w:t>
      </w:r>
      <w:r>
        <w:t xml:space="preserve"> this Prudential Standard.</w:t>
      </w:r>
    </w:p>
    <w:p w14:paraId="2ECE3F56" w14:textId="24226D8F" w:rsidR="005231FB" w:rsidRDefault="005231FB" w:rsidP="009F5DE5">
      <w:pPr>
        <w:pStyle w:val="BodyText1"/>
      </w:pPr>
      <w:r>
        <w:t>An ADI’s exposure</w:t>
      </w:r>
      <w:r w:rsidR="00C41141">
        <w:t>s</w:t>
      </w:r>
      <w:r>
        <w:t xml:space="preserve"> to the foreign parent of the ADI, the foreign parent’s overseas based subsidiaries and their directly owned non-ADI entities operating in Australia are required to </w:t>
      </w:r>
      <w:r w:rsidR="00C41141">
        <w:t xml:space="preserve">be within </w:t>
      </w:r>
      <w:r>
        <w:t xml:space="preserve">the limits in </w:t>
      </w:r>
      <w:r w:rsidRPr="00A07AD2">
        <w:rPr>
          <w:i/>
        </w:rPr>
        <w:t xml:space="preserve">Prudential Standard </w:t>
      </w:r>
      <w:r w:rsidRPr="00BB144C">
        <w:rPr>
          <w:i/>
        </w:rPr>
        <w:t>APS 221 Large Exposures</w:t>
      </w:r>
      <w:r w:rsidR="00C41141">
        <w:t xml:space="preserve"> (APS 221)</w:t>
      </w:r>
      <w:r w:rsidRPr="00B32BF1">
        <w:t>.</w:t>
      </w:r>
    </w:p>
    <w:p w14:paraId="140E78B5" w14:textId="0CBFF407" w:rsidR="009141E2" w:rsidRDefault="009141E2" w:rsidP="009F5DE5">
      <w:pPr>
        <w:pStyle w:val="BodyText1"/>
      </w:pPr>
      <w:bookmarkStart w:id="90" w:name="_Ref10791417"/>
      <w:r w:rsidRPr="00930859">
        <w:t>Notwithstanding</w:t>
      </w:r>
      <w:r>
        <w:t xml:space="preserve"> paragraph </w:t>
      </w:r>
      <w:r w:rsidR="00C65FB2">
        <w:fldChar w:fldCharType="begin"/>
      </w:r>
      <w:r w:rsidR="00C65FB2">
        <w:instrText xml:space="preserve"> REF _Ref12350127 \r \h </w:instrText>
      </w:r>
      <w:r w:rsidR="00C65FB2">
        <w:fldChar w:fldCharType="separate"/>
      </w:r>
      <w:r w:rsidR="008716B5">
        <w:t>29</w:t>
      </w:r>
      <w:r w:rsidR="00C65FB2">
        <w:fldChar w:fldCharType="end"/>
      </w:r>
      <w:r w:rsidR="00B90196">
        <w:t xml:space="preserve"> of this Prudential Standard</w:t>
      </w:r>
      <w:r>
        <w:t>, APRA may</w:t>
      </w:r>
      <w:r w:rsidR="00930859">
        <w:t xml:space="preserve"> </w:t>
      </w:r>
      <w:r>
        <w:t xml:space="preserve">set specific limits </w:t>
      </w:r>
      <w:r w:rsidR="00B63A6A">
        <w:t xml:space="preserve">in relation to </w:t>
      </w:r>
      <w:r>
        <w:t>an ADI’s</w:t>
      </w:r>
      <w:r w:rsidR="000E4DFE">
        <w:t xml:space="preserve"> </w:t>
      </w:r>
      <w:r>
        <w:t xml:space="preserve">exposure to </w:t>
      </w:r>
      <w:r w:rsidR="00E6429C">
        <w:t>one</w:t>
      </w:r>
      <w:r>
        <w:t xml:space="preserve"> or</w:t>
      </w:r>
      <w:r w:rsidR="00E6429C">
        <w:t xml:space="preserve"> more</w:t>
      </w:r>
      <w:r>
        <w:t xml:space="preserve"> </w:t>
      </w:r>
      <w:r w:rsidR="00D04589">
        <w:t>related entities</w:t>
      </w:r>
      <w:r w:rsidR="00930859">
        <w:t xml:space="preserve"> </w:t>
      </w:r>
      <w:r>
        <w:t>having regard to the ADI’s individual circumstances.</w:t>
      </w:r>
      <w:bookmarkEnd w:id="88"/>
      <w:bookmarkEnd w:id="89"/>
      <w:bookmarkEnd w:id="90"/>
    </w:p>
    <w:p w14:paraId="60C79411" w14:textId="77777777" w:rsidR="008B6219" w:rsidRDefault="008B6219" w:rsidP="009F5DE5">
      <w:pPr>
        <w:pStyle w:val="Heading1"/>
        <w:jc w:val="both"/>
      </w:pPr>
      <w:bookmarkStart w:id="91" w:name="_Toc13750302"/>
      <w:bookmarkStart w:id="92" w:name="_Toc13837406"/>
      <w:bookmarkStart w:id="93" w:name="_Toc17118662"/>
      <w:r>
        <w:t>Measuring exposures to related entities</w:t>
      </w:r>
      <w:bookmarkEnd w:id="91"/>
      <w:bookmarkEnd w:id="92"/>
      <w:bookmarkEnd w:id="93"/>
    </w:p>
    <w:p w14:paraId="638843CA" w14:textId="4765CCA7" w:rsidR="008B6219" w:rsidRDefault="008B6219" w:rsidP="009F5DE5">
      <w:pPr>
        <w:pStyle w:val="BodyText1"/>
      </w:pPr>
      <w:bookmarkStart w:id="94" w:name="_Ref502674704"/>
      <w:bookmarkStart w:id="95" w:name="_Ref12455287"/>
      <w:r>
        <w:t>An ADI’s</w:t>
      </w:r>
      <w:r w:rsidR="000E4DFE">
        <w:t xml:space="preserve"> </w:t>
      </w:r>
      <w:r>
        <w:t>exposure to a related entity is the aggregate of all claims, commitments and contingent liabilities arising from on- and off-balance sheet transactions in both the banking and trading books with the related entity</w:t>
      </w:r>
      <w:bookmarkEnd w:id="94"/>
      <w:r w:rsidR="00D04589">
        <w:t>,</w:t>
      </w:r>
      <w:r w:rsidR="00B70337">
        <w:t xml:space="preserve"> </w:t>
      </w:r>
      <w:r w:rsidR="00954C40">
        <w:t xml:space="preserve">and </w:t>
      </w:r>
      <w:r w:rsidR="00DF4D95">
        <w:t xml:space="preserve">must be </w:t>
      </w:r>
      <w:r w:rsidR="00B70337">
        <w:t xml:space="preserve">measured in accordance with Attachment A </w:t>
      </w:r>
      <w:r w:rsidR="00566050">
        <w:t>to</w:t>
      </w:r>
      <w:r w:rsidR="00B70337">
        <w:t xml:space="preserve"> APS 221</w:t>
      </w:r>
      <w:r w:rsidR="00FF01DB">
        <w:t>.</w:t>
      </w:r>
      <w:bookmarkEnd w:id="95"/>
    </w:p>
    <w:p w14:paraId="174E81E2" w14:textId="03786BFB" w:rsidR="00541A1E" w:rsidRDefault="008B6219" w:rsidP="009F5DE5">
      <w:pPr>
        <w:pStyle w:val="BodyText1"/>
      </w:pPr>
      <w:r>
        <w:t>An ADI’s</w:t>
      </w:r>
      <w:r w:rsidR="000E4DFE">
        <w:t xml:space="preserve"> </w:t>
      </w:r>
      <w:r>
        <w:t xml:space="preserve">exposure to a regulated related entity </w:t>
      </w:r>
      <w:r w:rsidR="00FB6BB5">
        <w:t>must be</w:t>
      </w:r>
      <w:r>
        <w:t xml:space="preserve"> measured in accordance with paragraph </w:t>
      </w:r>
      <w:r w:rsidR="00541011">
        <w:fldChar w:fldCharType="begin"/>
      </w:r>
      <w:r w:rsidR="00541011">
        <w:instrText xml:space="preserve"> REF _Ref12455287 \r \h </w:instrText>
      </w:r>
      <w:r w:rsidR="00541011">
        <w:fldChar w:fldCharType="separate"/>
      </w:r>
      <w:r w:rsidR="008716B5">
        <w:t>34</w:t>
      </w:r>
      <w:r w:rsidR="00541011">
        <w:fldChar w:fldCharType="end"/>
      </w:r>
      <w:r>
        <w:t xml:space="preserve"> </w:t>
      </w:r>
      <w:r w:rsidR="00566050">
        <w:t xml:space="preserve">of this Prudential Standard </w:t>
      </w:r>
      <w:r>
        <w:t xml:space="preserve">and </w:t>
      </w:r>
      <w:r w:rsidR="00FB6BB5">
        <w:t xml:space="preserve">must </w:t>
      </w:r>
      <w:r>
        <w:t>include any equity exposure</w:t>
      </w:r>
      <w:r w:rsidR="00D04589">
        <w:t>s</w:t>
      </w:r>
      <w:r w:rsidR="00F32E8F">
        <w:t xml:space="preserve"> and capital support </w:t>
      </w:r>
      <w:r>
        <w:t xml:space="preserve">provided to the regulated related entity (including </w:t>
      </w:r>
      <w:r w:rsidR="00A84BA4">
        <w:t xml:space="preserve">any </w:t>
      </w:r>
      <w:r>
        <w:t>off-balance sheet exposure arising from</w:t>
      </w:r>
      <w:r w:rsidR="00A84BA4">
        <w:t xml:space="preserve"> </w:t>
      </w:r>
      <w:r>
        <w:t>guarantee of capital instrument</w:t>
      </w:r>
      <w:r w:rsidR="00A84BA4">
        <w:t>s</w:t>
      </w:r>
      <w:r>
        <w:t xml:space="preserve"> issued by the related entity) that has not been deducted from the ADI’s Level 1 capital for capital adequacy purposes.</w:t>
      </w:r>
    </w:p>
    <w:p w14:paraId="13F3CAE5" w14:textId="052EF0BE" w:rsidR="00F67593" w:rsidRDefault="00F67593" w:rsidP="009F5DE5">
      <w:pPr>
        <w:pStyle w:val="BodyText1"/>
      </w:pPr>
      <w:r w:rsidRPr="00F67593">
        <w:t xml:space="preserve">Where </w:t>
      </w:r>
      <w:r w:rsidR="00BD053A">
        <w:t>an</w:t>
      </w:r>
      <w:r w:rsidR="00BD053A" w:rsidRPr="00F67593">
        <w:t xml:space="preserve"> </w:t>
      </w:r>
      <w:r w:rsidRPr="00F67593">
        <w:t xml:space="preserve">ADI </w:t>
      </w:r>
      <w:r w:rsidR="00D31C81">
        <w:t>is required to</w:t>
      </w:r>
      <w:r w:rsidRPr="00F67593">
        <w:t xml:space="preserve"> </w:t>
      </w:r>
      <w:r w:rsidR="00D31C81">
        <w:t>apply the look</w:t>
      </w:r>
      <w:r w:rsidR="00351F69">
        <w:t>-</w:t>
      </w:r>
      <w:r w:rsidR="00D31C81">
        <w:t>through requirement</w:t>
      </w:r>
      <w:r w:rsidR="004F5AB5">
        <w:t xml:space="preserve"> </w:t>
      </w:r>
      <w:r w:rsidR="00D31C81">
        <w:t xml:space="preserve">in Attachment A </w:t>
      </w:r>
      <w:r w:rsidR="00134551">
        <w:t xml:space="preserve">to </w:t>
      </w:r>
      <w:r w:rsidR="00D31C81">
        <w:t xml:space="preserve">APS 221 for an exposure to a structured vehicle </w:t>
      </w:r>
      <w:r w:rsidR="00A732FB">
        <w:t xml:space="preserve">that is a related entity </w:t>
      </w:r>
      <w:r w:rsidR="00D31C81">
        <w:t>and the ADI has an exposure to an underlying asset that is a</w:t>
      </w:r>
      <w:r w:rsidR="00A732FB">
        <w:t>nother</w:t>
      </w:r>
      <w:r w:rsidR="00D31C81">
        <w:t xml:space="preserve"> related entity of the ADI, t</w:t>
      </w:r>
      <w:r w:rsidRPr="00F67593">
        <w:t xml:space="preserve">he ADI must recognise </w:t>
      </w:r>
      <w:r w:rsidR="007965BE">
        <w:t>all of these</w:t>
      </w:r>
      <w:r w:rsidR="007965BE" w:rsidRPr="00F67593">
        <w:t xml:space="preserve"> </w:t>
      </w:r>
      <w:r w:rsidRPr="00F67593">
        <w:t>exposure</w:t>
      </w:r>
      <w:r w:rsidR="007965BE">
        <w:t>s</w:t>
      </w:r>
      <w:r w:rsidRPr="00F67593">
        <w:t xml:space="preserve"> under the limits in paragraph </w:t>
      </w:r>
      <w:r w:rsidR="00541011">
        <w:fldChar w:fldCharType="begin"/>
      </w:r>
      <w:r w:rsidR="00541011">
        <w:instrText xml:space="preserve"> REF _Ref12350127 \r \h </w:instrText>
      </w:r>
      <w:r w:rsidR="00541011">
        <w:fldChar w:fldCharType="separate"/>
      </w:r>
      <w:r w:rsidR="008716B5">
        <w:t>29</w:t>
      </w:r>
      <w:r w:rsidR="00541011">
        <w:fldChar w:fldCharType="end"/>
      </w:r>
      <w:r w:rsidRPr="00F67593">
        <w:t xml:space="preserve"> of this Prudential Standard.</w:t>
      </w:r>
    </w:p>
    <w:p w14:paraId="000C2DED" w14:textId="3E84FADA" w:rsidR="008B6219" w:rsidRDefault="008B6219" w:rsidP="009F5DE5">
      <w:pPr>
        <w:pStyle w:val="BodyText1"/>
        <w:keepNext/>
      </w:pPr>
      <w:bookmarkStart w:id="96" w:name="_Ref502675575"/>
      <w:r w:rsidRPr="003A3EAD">
        <w:t>An</w:t>
      </w:r>
      <w:r>
        <w:t xml:space="preserve"> ADI’s</w:t>
      </w:r>
      <w:r w:rsidR="000E4DFE">
        <w:t xml:space="preserve"> </w:t>
      </w:r>
      <w:r>
        <w:t xml:space="preserve">exposure to a related entity </w:t>
      </w:r>
      <w:bookmarkEnd w:id="96"/>
      <w:r w:rsidR="003A3EAD">
        <w:t xml:space="preserve">excludes </w:t>
      </w:r>
      <w:r w:rsidR="00CF1149">
        <w:t xml:space="preserve">the </w:t>
      </w:r>
      <w:r w:rsidR="003A3EAD">
        <w:t>exposures</w:t>
      </w:r>
      <w:r w:rsidR="00FF01DB">
        <w:t xml:space="preserve"> </w:t>
      </w:r>
      <w:r w:rsidR="00CF1149">
        <w:t xml:space="preserve">specified in </w:t>
      </w:r>
      <w:r w:rsidR="00CD5F4B">
        <w:t xml:space="preserve">paragraph 18 of </w:t>
      </w:r>
      <w:r w:rsidR="00FF01DB">
        <w:t>APS 221</w:t>
      </w:r>
      <w:r w:rsidR="00982C2F">
        <w:t>.</w:t>
      </w:r>
    </w:p>
    <w:p w14:paraId="0D5F840D" w14:textId="2748B694" w:rsidR="009141E2" w:rsidRDefault="009141E2" w:rsidP="009F5DE5">
      <w:pPr>
        <w:pStyle w:val="Heading1"/>
        <w:jc w:val="both"/>
      </w:pPr>
      <w:bookmarkStart w:id="97" w:name="_Toc13750303"/>
      <w:bookmarkStart w:id="98" w:name="_Toc13837407"/>
      <w:bookmarkStart w:id="99" w:name="_Toc17118663"/>
      <w:r>
        <w:t xml:space="preserve">Prior </w:t>
      </w:r>
      <w:r w:rsidR="00293F82">
        <w:t xml:space="preserve">notification </w:t>
      </w:r>
      <w:r>
        <w:t>requirements</w:t>
      </w:r>
      <w:bookmarkEnd w:id="97"/>
      <w:bookmarkEnd w:id="98"/>
      <w:bookmarkEnd w:id="99"/>
    </w:p>
    <w:p w14:paraId="24599ED9" w14:textId="5210AF2E" w:rsidR="009141E2" w:rsidRDefault="009141E2" w:rsidP="009F5DE5">
      <w:pPr>
        <w:pStyle w:val="BodyText1"/>
      </w:pPr>
      <w:bookmarkStart w:id="100" w:name="_Ref505268031"/>
      <w:r>
        <w:t xml:space="preserve">An ADI must </w:t>
      </w:r>
      <w:r w:rsidR="00293F82">
        <w:t>notify</w:t>
      </w:r>
      <w:r>
        <w:t xml:space="preserve"> APRA </w:t>
      </w:r>
      <w:r w:rsidR="00C7580B">
        <w:t>prior to</w:t>
      </w:r>
      <w:r>
        <w:t>:</w:t>
      </w:r>
      <w:bookmarkEnd w:id="100"/>
    </w:p>
    <w:p w14:paraId="1D2FA02F" w14:textId="157AFF08" w:rsidR="009141E2" w:rsidRDefault="009141E2" w:rsidP="009F5DE5">
      <w:pPr>
        <w:pStyle w:val="BodyText2"/>
        <w:jc w:val="both"/>
      </w:pPr>
      <w:r>
        <w:t>establishing or acquiring</w:t>
      </w:r>
      <w:r w:rsidR="00930859">
        <w:t xml:space="preserve"> </w:t>
      </w:r>
      <w:r w:rsidR="00516DD0">
        <w:t xml:space="preserve">a </w:t>
      </w:r>
      <w:r>
        <w:t xml:space="preserve">subsidiary other than an entity which is to be used purely as a special purpose vehicle </w:t>
      </w:r>
      <w:r w:rsidR="00C7580B">
        <w:t>to provide finance to</w:t>
      </w:r>
      <w:r>
        <w:t xml:space="preserve"> the ADI;</w:t>
      </w:r>
    </w:p>
    <w:p w14:paraId="4720EB23" w14:textId="5D908A59" w:rsidR="009141E2" w:rsidRPr="003E114D" w:rsidRDefault="009141E2" w:rsidP="009F5DE5">
      <w:pPr>
        <w:pStyle w:val="BodyText2"/>
        <w:jc w:val="both"/>
      </w:pPr>
      <w:r w:rsidRPr="006F46A1">
        <w:t xml:space="preserve">committing to any proposal to acquire (whether directly or indirectly) </w:t>
      </w:r>
      <w:r w:rsidR="004B7C21">
        <w:t>greater than, or equal to,</w:t>
      </w:r>
      <w:r w:rsidRPr="006F46A1">
        <w:t xml:space="preserve"> 20 per cent of </w:t>
      </w:r>
      <w:r w:rsidR="006A7DD5">
        <w:t xml:space="preserve">the </w:t>
      </w:r>
      <w:r w:rsidRPr="006F46A1">
        <w:t>equity interest in an entity;</w:t>
      </w:r>
      <w:r w:rsidR="000C526E">
        <w:t xml:space="preserve"> </w:t>
      </w:r>
      <w:r w:rsidR="00CF1149">
        <w:t>or</w:t>
      </w:r>
    </w:p>
    <w:p w14:paraId="5FFADF2F" w14:textId="3951F599" w:rsidR="00894209" w:rsidRDefault="0037132C" w:rsidP="009F5DE5">
      <w:pPr>
        <w:pStyle w:val="BodyText2"/>
        <w:jc w:val="both"/>
      </w:pPr>
      <w:r>
        <w:lastRenderedPageBreak/>
        <w:t>committing to any proposed exposure to a related entity that is greater than, or equal to, 10 per cent of the ADI’s Tier 1 Capital.</w:t>
      </w:r>
    </w:p>
    <w:p w14:paraId="14E25E70" w14:textId="3DB6DFD0" w:rsidR="00107E3A" w:rsidRDefault="003357B8" w:rsidP="009F5DE5">
      <w:pPr>
        <w:pStyle w:val="BodyText1"/>
      </w:pPr>
      <w:r>
        <w:t>APRA may require an ADI to not proceed</w:t>
      </w:r>
      <w:r w:rsidR="00293F82">
        <w:t xml:space="preserve"> with</w:t>
      </w:r>
      <w:r w:rsidR="008C0C3E">
        <w:t xml:space="preserve"> </w:t>
      </w:r>
      <w:r w:rsidR="001E6ED4">
        <w:t>a transaction</w:t>
      </w:r>
      <w:r w:rsidR="0037132C">
        <w:t xml:space="preserve"> </w:t>
      </w:r>
      <w:r w:rsidR="00293F82">
        <w:t xml:space="preserve">that has been subject to the </w:t>
      </w:r>
      <w:r w:rsidR="00FE40D1">
        <w:t xml:space="preserve">prior notification </w:t>
      </w:r>
      <w:r w:rsidR="00293F82">
        <w:t xml:space="preserve">requirements in paragraph </w:t>
      </w:r>
      <w:r w:rsidR="0077784E">
        <w:fldChar w:fldCharType="begin"/>
      </w:r>
      <w:r w:rsidR="0077784E">
        <w:instrText xml:space="preserve"> REF _Ref505268031 \r \h </w:instrText>
      </w:r>
      <w:r w:rsidR="0077784E">
        <w:fldChar w:fldCharType="separate"/>
      </w:r>
      <w:r w:rsidR="008716B5">
        <w:t>38</w:t>
      </w:r>
      <w:r w:rsidR="0077784E">
        <w:fldChar w:fldCharType="end"/>
      </w:r>
      <w:r w:rsidR="00293F82">
        <w:t xml:space="preserve"> of this Prudential Standard</w:t>
      </w:r>
      <w:r w:rsidR="008C0C3E">
        <w:t xml:space="preserve">, or impose prudential conditions </w:t>
      </w:r>
      <w:r w:rsidR="00BD27E9">
        <w:t xml:space="preserve">on the transaction </w:t>
      </w:r>
      <w:r w:rsidR="008C0C3E">
        <w:t xml:space="preserve">or higher capital adequacy requirements on the </w:t>
      </w:r>
      <w:r w:rsidR="00BD27E9">
        <w:t>exposure</w:t>
      </w:r>
      <w:r w:rsidR="008C0C3E">
        <w:t>, if</w:t>
      </w:r>
      <w:r w:rsidR="000F4972">
        <w:t xml:space="preserve"> APRA is not satisfied with the ADI’s </w:t>
      </w:r>
      <w:r w:rsidR="00A24F38">
        <w:t>risk assessment</w:t>
      </w:r>
      <w:r w:rsidR="000F4972">
        <w:t>.</w:t>
      </w:r>
      <w:r w:rsidR="00107E3A">
        <w:t xml:space="preserve"> </w:t>
      </w:r>
      <w:r w:rsidR="00274D93">
        <w:t xml:space="preserve">Factors that </w:t>
      </w:r>
      <w:r w:rsidR="00107E3A">
        <w:t>APRA</w:t>
      </w:r>
      <w:r w:rsidR="00274D93">
        <w:t xml:space="preserve"> </w:t>
      </w:r>
      <w:r w:rsidR="00107E3A">
        <w:t>will</w:t>
      </w:r>
      <w:r w:rsidR="00274D93">
        <w:t xml:space="preserve"> consider include</w:t>
      </w:r>
      <w:r w:rsidR="00F46004">
        <w:t>,</w:t>
      </w:r>
      <w:r w:rsidR="00274D93">
        <w:t xml:space="preserve"> but are not limited to</w:t>
      </w:r>
      <w:r w:rsidR="00107E3A">
        <w:t>:</w:t>
      </w:r>
    </w:p>
    <w:p w14:paraId="0BFF893F" w14:textId="2BB4F8AB" w:rsidR="00293F82" w:rsidRPr="00117F27" w:rsidRDefault="00107E3A" w:rsidP="009F5DE5">
      <w:pPr>
        <w:pStyle w:val="BodyText2"/>
        <w:jc w:val="both"/>
      </w:pPr>
      <w:r w:rsidRPr="00117F27">
        <w:t xml:space="preserve">the ADI’s assessment </w:t>
      </w:r>
      <w:r w:rsidR="000F4972">
        <w:t xml:space="preserve">of </w:t>
      </w:r>
      <w:r w:rsidR="00A501DC">
        <w:t xml:space="preserve">the factors in paragraph </w:t>
      </w:r>
      <w:r w:rsidR="0077784E">
        <w:fldChar w:fldCharType="begin"/>
      </w:r>
      <w:r w:rsidR="0077784E">
        <w:instrText xml:space="preserve"> REF _Ref507414548 \r \h </w:instrText>
      </w:r>
      <w:r w:rsidR="0077784E">
        <w:fldChar w:fldCharType="separate"/>
      </w:r>
      <w:r w:rsidR="008716B5">
        <w:t>13</w:t>
      </w:r>
      <w:r w:rsidR="0077784E">
        <w:fldChar w:fldCharType="end"/>
      </w:r>
      <w:r w:rsidR="00A501DC">
        <w:t xml:space="preserve"> of </w:t>
      </w:r>
      <w:r w:rsidR="000F4972">
        <w:t>this Prudential Standard</w:t>
      </w:r>
      <w:r w:rsidR="004F132E">
        <w:t>;</w:t>
      </w:r>
    </w:p>
    <w:p w14:paraId="40DD09C9" w14:textId="7C08F013" w:rsidR="008D698A" w:rsidRPr="00216026" w:rsidRDefault="009E3D84" w:rsidP="009F5DE5">
      <w:pPr>
        <w:pStyle w:val="BodyText2"/>
        <w:jc w:val="both"/>
      </w:pPr>
      <w:r w:rsidRPr="00CB51D5">
        <w:t xml:space="preserve">the adequacy of the </w:t>
      </w:r>
      <w:r w:rsidR="0036545D" w:rsidRPr="00CB51D5">
        <w:t>ADI</w:t>
      </w:r>
      <w:r w:rsidRPr="00CB51D5">
        <w:t>’s s</w:t>
      </w:r>
      <w:r w:rsidRPr="00E63FB0">
        <w:t>ystems, controls and resources to identify, measure, monitor, manage and report</w:t>
      </w:r>
      <w:r w:rsidR="0036545D" w:rsidRPr="00CB51D5">
        <w:t xml:space="preserve"> exposures </w:t>
      </w:r>
      <w:r w:rsidR="00274D93" w:rsidRPr="00CB51D5">
        <w:t>and risks</w:t>
      </w:r>
      <w:r w:rsidR="00A72E06" w:rsidRPr="00CB51D5">
        <w:t xml:space="preserve"> </w:t>
      </w:r>
      <w:r w:rsidR="0036545D" w:rsidRPr="00CB51D5">
        <w:t xml:space="preserve">arising from </w:t>
      </w:r>
      <w:r w:rsidR="00274D93" w:rsidRPr="00CB51D5">
        <w:t xml:space="preserve">the </w:t>
      </w:r>
      <w:r w:rsidRPr="00216026">
        <w:t>activity</w:t>
      </w:r>
      <w:r w:rsidR="00AF0718" w:rsidRPr="00216026">
        <w:t>;</w:t>
      </w:r>
      <w:r w:rsidR="00C41141">
        <w:t xml:space="preserve"> and</w:t>
      </w:r>
    </w:p>
    <w:p w14:paraId="0495E25A" w14:textId="3F12B50A" w:rsidR="003357B8" w:rsidRDefault="003357B8" w:rsidP="009F5DE5">
      <w:pPr>
        <w:pStyle w:val="BodyText2"/>
        <w:jc w:val="both"/>
      </w:pPr>
      <w:r w:rsidRPr="000E399D">
        <w:t xml:space="preserve">whether the </w:t>
      </w:r>
      <w:r w:rsidR="003F4D9F">
        <w:t xml:space="preserve">transaction </w:t>
      </w:r>
      <w:r w:rsidR="004B5BB1" w:rsidRPr="00E63FB0">
        <w:t>exposes the ADI to</w:t>
      </w:r>
      <w:r w:rsidR="008D698A" w:rsidRPr="00E63FB0">
        <w:t xml:space="preserve"> </w:t>
      </w:r>
      <w:r w:rsidR="00735D29">
        <w:t>substantial contagion</w:t>
      </w:r>
      <w:r w:rsidR="008D698A" w:rsidRPr="00E63FB0">
        <w:t xml:space="preserve"> risks or hinders </w:t>
      </w:r>
      <w:r w:rsidR="006173B1">
        <w:t>effective</w:t>
      </w:r>
      <w:r w:rsidR="008D698A" w:rsidRPr="00E63FB0">
        <w:t xml:space="preserve"> supervision.</w:t>
      </w:r>
    </w:p>
    <w:p w14:paraId="5819B4BB" w14:textId="633FE127" w:rsidR="00396577" w:rsidRPr="00117F27" w:rsidRDefault="00396577" w:rsidP="009F5DE5">
      <w:pPr>
        <w:pStyle w:val="BodyText1"/>
      </w:pPr>
      <w:r w:rsidRPr="00396577">
        <w:t xml:space="preserve">APRA may determine that an ADI is not required to notify APRA </w:t>
      </w:r>
      <w:r>
        <w:t xml:space="preserve">prior to committing to proposed </w:t>
      </w:r>
      <w:r w:rsidR="003F4D9F">
        <w:t>transactions</w:t>
      </w:r>
      <w:r w:rsidRPr="00396577">
        <w:t xml:space="preserve"> that are below a specified threshold, having regard to the robustness of the ADI’s risk management framework</w:t>
      </w:r>
      <w:r>
        <w:t>.</w:t>
      </w:r>
    </w:p>
    <w:p w14:paraId="6E2B71D2" w14:textId="31ECD72B" w:rsidR="009141E2" w:rsidRDefault="009141E2" w:rsidP="009F5DE5">
      <w:pPr>
        <w:pStyle w:val="Heading1"/>
        <w:jc w:val="both"/>
      </w:pPr>
      <w:bookmarkStart w:id="101" w:name="_Toc13750304"/>
      <w:bookmarkStart w:id="102" w:name="_Toc13837408"/>
      <w:bookmarkStart w:id="103" w:name="_Toc17118664"/>
      <w:r>
        <w:t>Notification requirements</w:t>
      </w:r>
      <w:bookmarkEnd w:id="101"/>
      <w:bookmarkEnd w:id="102"/>
      <w:bookmarkEnd w:id="103"/>
    </w:p>
    <w:p w14:paraId="13BA6DF8" w14:textId="038F5A1F" w:rsidR="009141E2" w:rsidRDefault="009141E2" w:rsidP="009F5DE5">
      <w:pPr>
        <w:pStyle w:val="BodyText1"/>
      </w:pPr>
      <w:r>
        <w:t>An ADI must notify APRA</w:t>
      </w:r>
      <w:r w:rsidR="00185EE2">
        <w:t xml:space="preserve"> immediately</w:t>
      </w:r>
      <w:r>
        <w:t xml:space="preserve"> of any breach of the limits in paragraph </w:t>
      </w:r>
      <w:r w:rsidR="00541011">
        <w:fldChar w:fldCharType="begin"/>
      </w:r>
      <w:r w:rsidR="00541011">
        <w:instrText xml:space="preserve"> REF _Ref12350127 \r \h </w:instrText>
      </w:r>
      <w:r w:rsidR="00541011">
        <w:fldChar w:fldCharType="separate"/>
      </w:r>
      <w:r w:rsidR="008716B5">
        <w:t>29</w:t>
      </w:r>
      <w:r w:rsidR="00541011">
        <w:fldChar w:fldCharType="end"/>
      </w:r>
      <w:r w:rsidR="00185EE2">
        <w:t xml:space="preserve"> of this Prudential </w:t>
      </w:r>
      <w:r w:rsidR="00185EE2" w:rsidRPr="007A5478">
        <w:t>Standard</w:t>
      </w:r>
      <w:r w:rsidRPr="007A5478">
        <w:t xml:space="preserve"> or other specific limits imposed by APRA under paragraph </w:t>
      </w:r>
      <w:r w:rsidR="00541011">
        <w:fldChar w:fldCharType="begin"/>
      </w:r>
      <w:r w:rsidR="00541011">
        <w:instrText xml:space="preserve"> REF _Ref10791417 \r \h </w:instrText>
      </w:r>
      <w:r w:rsidR="00541011">
        <w:fldChar w:fldCharType="separate"/>
      </w:r>
      <w:r w:rsidR="008716B5">
        <w:t>33</w:t>
      </w:r>
      <w:r w:rsidR="00541011">
        <w:fldChar w:fldCharType="end"/>
      </w:r>
      <w:r w:rsidR="00185EE2" w:rsidRPr="007A5478">
        <w:t xml:space="preserve"> of this Prudential Standard</w:t>
      </w:r>
      <w:r>
        <w:t>, including</w:t>
      </w:r>
      <w:r w:rsidR="00185EE2">
        <w:t xml:space="preserve"> how the breach arose and</w:t>
      </w:r>
      <w:r>
        <w:t xml:space="preserve"> remedial actions taken or planned to deal with the breach.</w:t>
      </w:r>
      <w:r w:rsidR="00495557">
        <w:rPr>
          <w:rStyle w:val="FootnoteReference"/>
        </w:rPr>
        <w:footnoteReference w:id="9"/>
      </w:r>
    </w:p>
    <w:p w14:paraId="72196D20" w14:textId="2B921308" w:rsidR="009141E2" w:rsidRDefault="009141E2" w:rsidP="009F5DE5">
      <w:pPr>
        <w:pStyle w:val="BodyText1"/>
      </w:pPr>
      <w:r>
        <w:t xml:space="preserve">An ADI must </w:t>
      </w:r>
      <w:r w:rsidR="008110BE">
        <w:t xml:space="preserve">notify APRA regarding </w:t>
      </w:r>
      <w:r>
        <w:t xml:space="preserve">any equity investments that are not subject to the prior </w:t>
      </w:r>
      <w:r w:rsidR="00A72E06">
        <w:t xml:space="preserve">notification </w:t>
      </w:r>
      <w:r>
        <w:t xml:space="preserve">requirements set out in paragraph </w:t>
      </w:r>
      <w:r w:rsidR="00541011">
        <w:fldChar w:fldCharType="begin"/>
      </w:r>
      <w:r w:rsidR="00541011">
        <w:instrText xml:space="preserve"> REF _Ref505268031 \r \h </w:instrText>
      </w:r>
      <w:r w:rsidR="00541011">
        <w:fldChar w:fldCharType="separate"/>
      </w:r>
      <w:r w:rsidR="008716B5">
        <w:t>38</w:t>
      </w:r>
      <w:r w:rsidR="00541011">
        <w:fldChar w:fldCharType="end"/>
      </w:r>
      <w:r w:rsidR="00B90196">
        <w:t xml:space="preserve"> of this Prudential Standard</w:t>
      </w:r>
      <w:r>
        <w:t>, within three months of undertaking the investment.</w:t>
      </w:r>
    </w:p>
    <w:p w14:paraId="48EBFF55" w14:textId="39A636C5" w:rsidR="009141E2" w:rsidRDefault="009141E2" w:rsidP="009F5DE5">
      <w:pPr>
        <w:pStyle w:val="BodyText1"/>
      </w:pPr>
      <w:r>
        <w:t>An ADI must notify APRA</w:t>
      </w:r>
      <w:r w:rsidR="00CD4196">
        <w:t xml:space="preserve"> immediately </w:t>
      </w:r>
      <w:r w:rsidR="001F50F5">
        <w:t>after it becomes aware</w:t>
      </w:r>
      <w:r>
        <w:t xml:space="preserve"> of any circumstances</w:t>
      </w:r>
      <w:r w:rsidR="001C2E2A">
        <w:t xml:space="preserve"> </w:t>
      </w:r>
      <w:r>
        <w:t xml:space="preserve">that might reasonably be seen as having a material impact </w:t>
      </w:r>
      <w:r w:rsidR="00C945BA">
        <w:t xml:space="preserve">or </w:t>
      </w:r>
      <w:r>
        <w:t>potentially adverse consequences for an ADI in the group or for the overall group</w:t>
      </w:r>
      <w:r w:rsidR="001F50F5">
        <w:t xml:space="preserve">. This </w:t>
      </w:r>
      <w:r w:rsidR="00D33553">
        <w:t>includes, but is not limited to</w:t>
      </w:r>
      <w:r w:rsidR="006D3260">
        <w:t>,</w:t>
      </w:r>
      <w:r w:rsidR="00CF24BC">
        <w:t xml:space="preserve"> </w:t>
      </w:r>
      <w:r w:rsidR="00BD27E9">
        <w:t xml:space="preserve">material changes in the structure of a group which is headed by the ADI and </w:t>
      </w:r>
      <w:r w:rsidR="001F50F5">
        <w:t xml:space="preserve">a significant breach of, or material </w:t>
      </w:r>
      <w:r w:rsidR="0047323E">
        <w:t>changes in</w:t>
      </w:r>
      <w:r w:rsidR="001F50F5">
        <w:t>, the ADI’s policies on dealings with related entities</w:t>
      </w:r>
      <w:r w:rsidR="0047323E">
        <w:t>.</w:t>
      </w:r>
    </w:p>
    <w:p w14:paraId="0EC573C8" w14:textId="7B99200D" w:rsidR="00B16D37" w:rsidRDefault="00B16D37" w:rsidP="009F5DE5">
      <w:pPr>
        <w:pStyle w:val="Heading1"/>
        <w:jc w:val="both"/>
      </w:pPr>
      <w:bookmarkStart w:id="104" w:name="_Toc13750305"/>
      <w:bookmarkStart w:id="105" w:name="_Toc13837409"/>
      <w:bookmarkStart w:id="106" w:name="_Toc17118665"/>
      <w:r>
        <w:t>Approval requirements</w:t>
      </w:r>
      <w:bookmarkEnd w:id="104"/>
      <w:bookmarkEnd w:id="105"/>
      <w:bookmarkEnd w:id="106"/>
    </w:p>
    <w:p w14:paraId="47F76F9C" w14:textId="65D92E6D" w:rsidR="00B16D37" w:rsidRDefault="00B16D37" w:rsidP="009F5DE5">
      <w:pPr>
        <w:pStyle w:val="BodyText1"/>
      </w:pPr>
      <w:bookmarkStart w:id="107" w:name="_Ref509859952"/>
      <w:r>
        <w:t xml:space="preserve">An ADI must obtain approval from APRA prior to undertaking any proposed exposures in excess of the limits set out in paragraph </w:t>
      </w:r>
      <w:r>
        <w:rPr>
          <w:highlight w:val="yellow"/>
        </w:rPr>
        <w:fldChar w:fldCharType="begin"/>
      </w:r>
      <w:r>
        <w:instrText xml:space="preserve"> REF _Ref502673723 \r \h </w:instrText>
      </w:r>
      <w:r>
        <w:rPr>
          <w:highlight w:val="yellow"/>
        </w:rPr>
        <w:instrText xml:space="preserve"> \* MERGEFORMAT </w:instrText>
      </w:r>
      <w:r>
        <w:rPr>
          <w:highlight w:val="yellow"/>
        </w:rPr>
      </w:r>
      <w:r>
        <w:rPr>
          <w:highlight w:val="yellow"/>
        </w:rPr>
        <w:fldChar w:fldCharType="separate"/>
      </w:r>
      <w:r w:rsidR="008716B5">
        <w:t>29</w:t>
      </w:r>
      <w:r>
        <w:rPr>
          <w:highlight w:val="yellow"/>
        </w:rPr>
        <w:fldChar w:fldCharType="end"/>
      </w:r>
      <w:r>
        <w:t xml:space="preserve"> of this Prudential Standard or </w:t>
      </w:r>
      <w:r w:rsidR="00181835">
        <w:t xml:space="preserve">any </w:t>
      </w:r>
      <w:r>
        <w:t xml:space="preserve">specific limit imposed by APRA under paragraph </w:t>
      </w:r>
      <w:r w:rsidR="00541011">
        <w:fldChar w:fldCharType="begin"/>
      </w:r>
      <w:r w:rsidR="00541011">
        <w:instrText xml:space="preserve"> REF _Ref10791417 \r \h </w:instrText>
      </w:r>
      <w:r w:rsidR="00541011">
        <w:fldChar w:fldCharType="separate"/>
      </w:r>
      <w:r w:rsidR="008716B5">
        <w:t>33</w:t>
      </w:r>
      <w:r w:rsidR="00541011">
        <w:fldChar w:fldCharType="end"/>
      </w:r>
      <w:r>
        <w:t xml:space="preserve"> of this Prudential Standard. </w:t>
      </w:r>
      <w:r w:rsidR="004515A0">
        <w:t xml:space="preserve">APRA </w:t>
      </w:r>
      <w:r>
        <w:t xml:space="preserve">will only grant </w:t>
      </w:r>
      <w:r w:rsidR="004515A0">
        <w:t xml:space="preserve">such approval </w:t>
      </w:r>
      <w:r>
        <w:t xml:space="preserve">on an exceptions basis </w:t>
      </w:r>
      <w:r>
        <w:lastRenderedPageBreak/>
        <w:t>taking into consideration the individual circumstances of the ADI and the ADI’s assessment of:</w:t>
      </w:r>
      <w:bookmarkEnd w:id="107"/>
    </w:p>
    <w:p w14:paraId="7A819719" w14:textId="131C5EEF" w:rsidR="00B16D37" w:rsidRDefault="00B16D37" w:rsidP="009F5DE5">
      <w:pPr>
        <w:pStyle w:val="BodyText2"/>
        <w:jc w:val="both"/>
      </w:pPr>
      <w:r>
        <w:t xml:space="preserve">the contagion risks involved with exceeding the limits (including the factors in paragraph </w:t>
      </w:r>
      <w:r w:rsidR="00860F29">
        <w:fldChar w:fldCharType="begin"/>
      </w:r>
      <w:r w:rsidR="00860F29">
        <w:instrText xml:space="preserve"> REF _Ref507414548 \r \h </w:instrText>
      </w:r>
      <w:r w:rsidR="00860F29">
        <w:fldChar w:fldCharType="separate"/>
      </w:r>
      <w:r w:rsidR="008716B5">
        <w:t>13</w:t>
      </w:r>
      <w:r w:rsidR="00860F29">
        <w:fldChar w:fldCharType="end"/>
      </w:r>
      <w:r w:rsidR="00541011">
        <w:t xml:space="preserve"> </w:t>
      </w:r>
      <w:r>
        <w:t>of this Prudential Standard) and why the proposed exposures will not unreasonably expose the ADI to excessive risk; and</w:t>
      </w:r>
    </w:p>
    <w:p w14:paraId="588E9BB5" w14:textId="708178FE" w:rsidR="00B16D37" w:rsidRDefault="00B16D37" w:rsidP="009F5DE5">
      <w:pPr>
        <w:pStyle w:val="BodyText2"/>
        <w:jc w:val="both"/>
      </w:pPr>
      <w:r>
        <w:t xml:space="preserve">how the proposed exposures are consistent with its policies </w:t>
      </w:r>
      <w:r w:rsidR="003F4D9F">
        <w:t xml:space="preserve">on </w:t>
      </w:r>
      <w:r>
        <w:t>related entities.</w:t>
      </w:r>
    </w:p>
    <w:p w14:paraId="5B0F91F4" w14:textId="5A225F79" w:rsidR="00185EE2" w:rsidRDefault="00B16D37" w:rsidP="00C728F3">
      <w:pPr>
        <w:pStyle w:val="BodyText1"/>
      </w:pPr>
      <w:r>
        <w:t xml:space="preserve">An ADI must obtain approval from APRA prior to the establishment or acquisition of a </w:t>
      </w:r>
      <w:r w:rsidR="00A732FB">
        <w:t xml:space="preserve">regulated </w:t>
      </w:r>
      <w:r w:rsidR="00D34D23">
        <w:t xml:space="preserve">entity, branch or </w:t>
      </w:r>
      <w:r w:rsidR="00A732FB">
        <w:t>presence domestically or overseas</w:t>
      </w:r>
      <w:r>
        <w:t>.</w:t>
      </w:r>
    </w:p>
    <w:p w14:paraId="3894E870" w14:textId="77777777" w:rsidR="00DD3DE9" w:rsidRDefault="00DD3DE9" w:rsidP="009F5DE5">
      <w:pPr>
        <w:pStyle w:val="BodyText1"/>
        <w:numPr>
          <w:ilvl w:val="0"/>
          <w:numId w:val="0"/>
        </w:numPr>
      </w:pPr>
    </w:p>
    <w:p w14:paraId="4A7862F8" w14:textId="77777777" w:rsidR="00175BC5" w:rsidRDefault="00175BC5" w:rsidP="009F5DE5">
      <w:pPr>
        <w:pStyle w:val="BodyText1"/>
        <w:numPr>
          <w:ilvl w:val="0"/>
          <w:numId w:val="0"/>
        </w:numPr>
        <w:sectPr w:rsidR="00175BC5" w:rsidSect="000D63A8">
          <w:footerReference w:type="default" r:id="rId18"/>
          <w:pgSz w:w="11906" w:h="16838" w:code="9"/>
          <w:pgMar w:top="1440" w:right="1797" w:bottom="1440" w:left="1797" w:header="709" w:footer="709" w:gutter="0"/>
          <w:cols w:space="708"/>
          <w:docGrid w:linePitch="360"/>
        </w:sectPr>
      </w:pPr>
    </w:p>
    <w:p w14:paraId="3D52B749" w14:textId="44D70109" w:rsidR="0055304B" w:rsidRPr="008A1CED" w:rsidRDefault="0055304B" w:rsidP="0055304B">
      <w:pPr>
        <w:pStyle w:val="Heading2"/>
      </w:pPr>
      <w:bookmarkStart w:id="108" w:name="_Toc13750306"/>
      <w:bookmarkStart w:id="109" w:name="_Toc13837410"/>
      <w:bookmarkStart w:id="110" w:name="_Toc17118666"/>
      <w:r w:rsidRPr="008A1CED">
        <w:lastRenderedPageBreak/>
        <w:t xml:space="preserve">Attachment </w:t>
      </w:r>
      <w:r>
        <w:rPr>
          <w:rStyle w:val="Attachmentfieldtext"/>
        </w:rPr>
        <w:t>A</w:t>
      </w:r>
      <w:r w:rsidR="00154FFA">
        <w:rPr>
          <w:rStyle w:val="Attachmentfieldtext"/>
        </w:rPr>
        <w:t xml:space="preserve"> </w:t>
      </w:r>
      <w:r w:rsidRPr="008A1CED">
        <w:t>—</w:t>
      </w:r>
      <w:r w:rsidR="00154FFA">
        <w:t xml:space="preserve"> </w:t>
      </w:r>
      <w:r w:rsidRPr="008A1CED">
        <w:t>Step-in risk</w:t>
      </w:r>
      <w:bookmarkEnd w:id="108"/>
      <w:bookmarkEnd w:id="109"/>
      <w:bookmarkEnd w:id="110"/>
    </w:p>
    <w:p w14:paraId="294E3626" w14:textId="2CCA4B92" w:rsidR="0055304B" w:rsidRDefault="00860F29" w:rsidP="0055304B">
      <w:pPr>
        <w:pStyle w:val="BodyText1"/>
        <w:numPr>
          <w:ilvl w:val="0"/>
          <w:numId w:val="6"/>
        </w:numPr>
      </w:pPr>
      <w:r>
        <w:t>A</w:t>
      </w:r>
      <w:r w:rsidR="00B26C91">
        <w:t xml:space="preserve">n ADI </w:t>
      </w:r>
      <w:r w:rsidR="0055304B">
        <w:t xml:space="preserve">must maintain a risk appetite statement and strategy for managing its associations and dealings with step-in risk entities. </w:t>
      </w:r>
    </w:p>
    <w:p w14:paraId="38802659" w14:textId="77777777" w:rsidR="0055304B" w:rsidRDefault="0055304B" w:rsidP="0055304B">
      <w:pPr>
        <w:pStyle w:val="BodyText1"/>
        <w:numPr>
          <w:ilvl w:val="0"/>
          <w:numId w:val="6"/>
        </w:numPr>
      </w:pPr>
      <w:r w:rsidRPr="00563313">
        <w:t xml:space="preserve">An ADI must </w:t>
      </w:r>
      <w:r>
        <w:t>have</w:t>
      </w:r>
      <w:r w:rsidRPr="00563313">
        <w:t xml:space="preserve"> adequate systems and controls</w:t>
      </w:r>
      <w:r>
        <w:t xml:space="preserve"> in place</w:t>
      </w:r>
      <w:r w:rsidRPr="00563313">
        <w:t xml:space="preserve"> to identify, </w:t>
      </w:r>
      <w:r>
        <w:t>measure,</w:t>
      </w:r>
      <w:r w:rsidRPr="00563313">
        <w:t xml:space="preserve"> monitor</w:t>
      </w:r>
      <w:r>
        <w:t>, manage and report</w:t>
      </w:r>
      <w:r w:rsidRPr="00563313">
        <w:t xml:space="preserve"> exposures arising from dealings with </w:t>
      </w:r>
      <w:r>
        <w:t>step-in risk entities</w:t>
      </w:r>
      <w:r w:rsidRPr="00563313">
        <w:t>.</w:t>
      </w:r>
    </w:p>
    <w:p w14:paraId="274BF64E" w14:textId="651E262E" w:rsidR="0055304B" w:rsidRDefault="0055304B" w:rsidP="0055304B">
      <w:pPr>
        <w:pStyle w:val="BodyText1"/>
      </w:pPr>
      <w:r>
        <w:t xml:space="preserve">An ADI must identify an entity which exposes the ADI to step-in risk. In identifying step-in risk entities, the factors that an ADI </w:t>
      </w:r>
      <w:r w:rsidR="008610CA">
        <w:t>must</w:t>
      </w:r>
      <w:r>
        <w:t xml:space="preserve"> consider include, but are not limited to:</w:t>
      </w:r>
    </w:p>
    <w:p w14:paraId="2834DD3D" w14:textId="50AB95FD" w:rsidR="0055304B" w:rsidRDefault="0055304B" w:rsidP="0055304B">
      <w:pPr>
        <w:pStyle w:val="BodyText2"/>
      </w:pPr>
      <w:r>
        <w:t xml:space="preserve">the nature and extent of </w:t>
      </w:r>
      <w:r w:rsidR="009F1C72">
        <w:t xml:space="preserve">the </w:t>
      </w:r>
      <w:r>
        <w:t>ADI’s sponsorship of the entity, including whether the ADI manages or advises the entity, places its securities into the market</w:t>
      </w:r>
      <w:r w:rsidR="001158C3">
        <w:t>,</w:t>
      </w:r>
      <w:r>
        <w:t xml:space="preserve"> or provides the entity with liquidity facilities or credit enhancements;</w:t>
      </w:r>
    </w:p>
    <w:p w14:paraId="0F182AE8" w14:textId="77777777" w:rsidR="0055304B" w:rsidRDefault="0055304B" w:rsidP="0055304B">
      <w:pPr>
        <w:pStyle w:val="BodyText2"/>
      </w:pPr>
      <w:r>
        <w:t>whether investors expect the ADI to support the entity during a stress scenario;</w:t>
      </w:r>
    </w:p>
    <w:p w14:paraId="2D32AD2C" w14:textId="10DFD8DC" w:rsidR="0055304B" w:rsidRDefault="0055304B" w:rsidP="0055304B">
      <w:pPr>
        <w:pStyle w:val="BodyText2"/>
      </w:pPr>
      <w:r>
        <w:t xml:space="preserve">whether business arrangements with the entity </w:t>
      </w:r>
      <w:r w:rsidR="00955FFB">
        <w:t xml:space="preserve">(e.g. distributing or marketing of the other entity’s products) </w:t>
      </w:r>
      <w:r>
        <w:t>expose the ADI to reputational contagion;</w:t>
      </w:r>
    </w:p>
    <w:p w14:paraId="0C2A2EE1" w14:textId="77777777" w:rsidR="0055304B" w:rsidRDefault="0055304B" w:rsidP="0055304B">
      <w:pPr>
        <w:pStyle w:val="BodyText2"/>
      </w:pPr>
      <w:r>
        <w:t>whether the entity has a limited capacity to access liquidity when facing an unanticipated increase in redemption requests;</w:t>
      </w:r>
    </w:p>
    <w:p w14:paraId="49552290" w14:textId="77777777" w:rsidR="0055304B" w:rsidRDefault="0055304B" w:rsidP="0055304B">
      <w:pPr>
        <w:pStyle w:val="BodyText2"/>
      </w:pPr>
      <w:r>
        <w:t xml:space="preserve">whether the ADI is a major provider of assets, or is perceived to be a major provider of assets, or other financial services to the entity; </w:t>
      </w:r>
    </w:p>
    <w:p w14:paraId="621BCA53" w14:textId="77777777" w:rsidR="0055304B" w:rsidRDefault="0055304B" w:rsidP="0055304B">
      <w:pPr>
        <w:pStyle w:val="BodyText2"/>
      </w:pPr>
      <w:r>
        <w:t>whether the entity carries the ADI’s brand; and</w:t>
      </w:r>
    </w:p>
    <w:p w14:paraId="5F2DAE16" w14:textId="040182ED" w:rsidR="0055304B" w:rsidRDefault="0055304B" w:rsidP="0055304B">
      <w:pPr>
        <w:pStyle w:val="BodyText2"/>
      </w:pPr>
      <w:r>
        <w:t xml:space="preserve">whether there have been past instances of the entity receiving support from the ADI beyond the ADI’s legal </w:t>
      </w:r>
      <w:r w:rsidR="008D6D16">
        <w:t xml:space="preserve">or contractual </w:t>
      </w:r>
      <w:r>
        <w:t xml:space="preserve">obligation. </w:t>
      </w:r>
    </w:p>
    <w:p w14:paraId="767C7D52" w14:textId="61A5FE99" w:rsidR="0055304B" w:rsidRDefault="0055304B" w:rsidP="0055304B">
      <w:pPr>
        <w:pStyle w:val="BodyText1"/>
        <w:numPr>
          <w:ilvl w:val="0"/>
          <w:numId w:val="3"/>
        </w:numPr>
      </w:pPr>
      <w:r>
        <w:t xml:space="preserve">Where an ADI has identified a step-in risk entity, the ADI </w:t>
      </w:r>
      <w:r w:rsidR="00FE5C47">
        <w:t xml:space="preserve">must </w:t>
      </w:r>
      <w:r>
        <w:t xml:space="preserve">determine the materiality of the step-in risk through an assessment of the potential impact on the </w:t>
      </w:r>
      <w:r w:rsidRPr="00F0153C">
        <w:t>capital and liquidity</w:t>
      </w:r>
      <w:r>
        <w:t xml:space="preserve"> of the ADI if it were to step-in to support the entity. </w:t>
      </w:r>
    </w:p>
    <w:p w14:paraId="20E0B23F" w14:textId="77777777" w:rsidR="0055304B" w:rsidRDefault="0055304B" w:rsidP="0055304B">
      <w:pPr>
        <w:pStyle w:val="BodyText1"/>
        <w:numPr>
          <w:ilvl w:val="0"/>
          <w:numId w:val="0"/>
        </w:numPr>
        <w:ind w:left="567"/>
      </w:pPr>
    </w:p>
    <w:p w14:paraId="6722CD50" w14:textId="77777777" w:rsidR="0055304B" w:rsidRPr="007D2D7F" w:rsidRDefault="0055304B" w:rsidP="0055304B">
      <w:pPr>
        <w:jc w:val="both"/>
      </w:pPr>
    </w:p>
    <w:p w14:paraId="363119DF" w14:textId="77777777" w:rsidR="0055304B" w:rsidRDefault="0055304B">
      <w:pPr>
        <w:rPr>
          <w:rFonts w:asciiTheme="majorHAnsi" w:eastAsia="Times New Roman" w:hAnsiTheme="majorHAnsi" w:cs="Arial"/>
          <w:b/>
          <w:bCs/>
          <w:sz w:val="32"/>
        </w:rPr>
      </w:pPr>
      <w:r>
        <w:br w:type="page"/>
      </w:r>
    </w:p>
    <w:p w14:paraId="3F74129F" w14:textId="198A5D25" w:rsidR="0055304B" w:rsidRDefault="0055304B" w:rsidP="0055304B">
      <w:pPr>
        <w:pStyle w:val="Heading2"/>
        <w:jc w:val="both"/>
      </w:pPr>
      <w:bookmarkStart w:id="111" w:name="_Toc13750307"/>
      <w:bookmarkStart w:id="112" w:name="_Toc13837411"/>
      <w:bookmarkStart w:id="113" w:name="_Toc17118667"/>
      <w:r>
        <w:lastRenderedPageBreak/>
        <w:t xml:space="preserve">Attachment </w:t>
      </w:r>
      <w:r>
        <w:rPr>
          <w:rStyle w:val="Attachmentfieldtext"/>
        </w:rPr>
        <w:t>B</w:t>
      </w:r>
      <w:r w:rsidR="003B20B1">
        <w:rPr>
          <w:rStyle w:val="Attachmentfieldtext"/>
        </w:rPr>
        <w:t xml:space="preserve"> </w:t>
      </w:r>
      <w:r>
        <w:t>—</w:t>
      </w:r>
      <w:r w:rsidR="003B20B1">
        <w:t xml:space="preserve"> </w:t>
      </w:r>
      <w:r>
        <w:t>Funds management</w:t>
      </w:r>
      <w:bookmarkEnd w:id="111"/>
      <w:bookmarkEnd w:id="112"/>
      <w:bookmarkEnd w:id="113"/>
    </w:p>
    <w:p w14:paraId="62FB25EA" w14:textId="4949B688" w:rsidR="0055304B" w:rsidRDefault="0055304B" w:rsidP="003F0BCC">
      <w:pPr>
        <w:pStyle w:val="BodyText1"/>
        <w:numPr>
          <w:ilvl w:val="0"/>
          <w:numId w:val="24"/>
        </w:numPr>
      </w:pPr>
      <w:r>
        <w:t xml:space="preserve">The requirements in this Attachment apply to an ADI’s associations with a funds management vehicle that is a related entity of the ADI. Where an ADI has an exposure to a funds management vehicle that is an unrelated entity, the ADI </w:t>
      </w:r>
      <w:r w:rsidR="003B20B1">
        <w:t>must</w:t>
      </w:r>
      <w:r>
        <w:t xml:space="preserve"> meet the requirements in APS 221 with respect to exposure limits and look-through requirements for structured vehicles.</w:t>
      </w:r>
    </w:p>
    <w:p w14:paraId="57EA7F23" w14:textId="77777777" w:rsidR="0055304B" w:rsidRPr="00EB4F29" w:rsidRDefault="0055304B" w:rsidP="0055304B">
      <w:pPr>
        <w:pStyle w:val="Heading4"/>
        <w:jc w:val="both"/>
        <w:rPr>
          <w:rFonts w:asciiTheme="majorHAnsi" w:hAnsiTheme="majorHAnsi" w:cstheme="majorHAnsi"/>
          <w:sz w:val="24"/>
        </w:rPr>
      </w:pPr>
      <w:r w:rsidRPr="00EB4F29">
        <w:rPr>
          <w:rFonts w:asciiTheme="majorHAnsi" w:hAnsiTheme="majorHAnsi" w:cstheme="majorHAnsi"/>
          <w:sz w:val="24"/>
        </w:rPr>
        <w:t>Separation</w:t>
      </w:r>
    </w:p>
    <w:p w14:paraId="5A1C4897" w14:textId="77777777" w:rsidR="0055304B" w:rsidRPr="00A04335" w:rsidRDefault="0055304B" w:rsidP="0055304B">
      <w:pPr>
        <w:pStyle w:val="BodyText1"/>
      </w:pPr>
      <w:r w:rsidRPr="004F5AB5">
        <w:t>An ADI must not act as a manager, responsible entity, approved trustee, trustee or any similar role in relation to funds management.</w:t>
      </w:r>
    </w:p>
    <w:p w14:paraId="0A19B1C2" w14:textId="77777777" w:rsidR="0055304B" w:rsidRDefault="0055304B" w:rsidP="0055304B">
      <w:pPr>
        <w:pStyle w:val="BodyText1"/>
      </w:pPr>
      <w:r>
        <w:t>An ADI must deal with a funds management vehicle and its investors on an arm’s- length basis and on market terms and conditions.</w:t>
      </w:r>
    </w:p>
    <w:p w14:paraId="16C51E58" w14:textId="77777777" w:rsidR="0055304B" w:rsidRDefault="0055304B" w:rsidP="0055304B">
      <w:pPr>
        <w:pStyle w:val="BodyText1"/>
      </w:pPr>
      <w:bookmarkStart w:id="114" w:name="_Ref12456653"/>
      <w:r>
        <w:t>An ADI must not:</w:t>
      </w:r>
      <w:bookmarkEnd w:id="114"/>
    </w:p>
    <w:p w14:paraId="2329D8A8" w14:textId="768F2D5C" w:rsidR="0055304B" w:rsidRDefault="0055304B" w:rsidP="0055304B">
      <w:pPr>
        <w:pStyle w:val="BodyText2"/>
        <w:jc w:val="both"/>
      </w:pPr>
      <w:r>
        <w:t>have any ownership or beneficial interest in a funds management vehicle;</w:t>
      </w:r>
      <w:r w:rsidR="00C94F26">
        <w:rPr>
          <w:rStyle w:val="FootnoteReference"/>
        </w:rPr>
        <w:footnoteReference w:id="10"/>
      </w:r>
      <w:r>
        <w:t xml:space="preserve"> </w:t>
      </w:r>
      <w:r w:rsidR="00FB60C5">
        <w:t>or</w:t>
      </w:r>
    </w:p>
    <w:p w14:paraId="176971D6" w14:textId="264F3A44" w:rsidR="0055304B" w:rsidRDefault="0055304B" w:rsidP="0055304B">
      <w:pPr>
        <w:pStyle w:val="BodyText2"/>
        <w:jc w:val="both"/>
      </w:pPr>
      <w:r>
        <w:t>allow any of the ADI’s directors, officers or employees to sit on the Board of a funds management vehicle unless the Board is made up of at least four members. The ADI may be represented by one director on a Board of four to six directors and by no more than two directors on a Board of seven or more directors.</w:t>
      </w:r>
    </w:p>
    <w:p w14:paraId="4340D930" w14:textId="4E9B521B" w:rsidR="0055304B" w:rsidRDefault="0055304B" w:rsidP="0055304B">
      <w:pPr>
        <w:pStyle w:val="BodyText1"/>
      </w:pPr>
      <w:r>
        <w:t xml:space="preserve">The requirements in paragraph </w:t>
      </w:r>
      <w:r w:rsidR="003C47DD">
        <w:fldChar w:fldCharType="begin"/>
      </w:r>
      <w:r w:rsidR="003C47DD">
        <w:instrText xml:space="preserve"> REF _Ref12456653 \r \h </w:instrText>
      </w:r>
      <w:r w:rsidR="003C47DD">
        <w:fldChar w:fldCharType="separate"/>
      </w:r>
      <w:r w:rsidR="008716B5">
        <w:t>4</w:t>
      </w:r>
      <w:r w:rsidR="003C47DD">
        <w:fldChar w:fldCharType="end"/>
      </w:r>
      <w:r>
        <w:t xml:space="preserve"> do not apply to</w:t>
      </w:r>
      <w:r w:rsidR="00375889">
        <w:t xml:space="preserve"> an ADI’s </w:t>
      </w:r>
      <w:r w:rsidR="000333E2">
        <w:t>ownership or beneficial interest in, or seats on the Board of:</w:t>
      </w:r>
    </w:p>
    <w:p w14:paraId="29D8D3FD" w14:textId="77777777" w:rsidR="0055304B" w:rsidRDefault="0055304B" w:rsidP="0055304B">
      <w:pPr>
        <w:pStyle w:val="BodyText2"/>
        <w:jc w:val="both"/>
      </w:pPr>
      <w:r>
        <w:t>a custodian;</w:t>
      </w:r>
    </w:p>
    <w:p w14:paraId="7E496AAC" w14:textId="0950BD79" w:rsidR="0055304B" w:rsidRDefault="0055304B" w:rsidP="0055304B">
      <w:pPr>
        <w:pStyle w:val="BodyText2"/>
        <w:jc w:val="both"/>
      </w:pPr>
      <w:r>
        <w:t xml:space="preserve">a life insurance company and its statutory funds regulated by APRA or </w:t>
      </w:r>
      <w:r w:rsidR="002347D0">
        <w:t xml:space="preserve">an </w:t>
      </w:r>
      <w:r>
        <w:t>equivalent regulator overseas;</w:t>
      </w:r>
    </w:p>
    <w:p w14:paraId="618E398D" w14:textId="77777777" w:rsidR="0055304B" w:rsidRDefault="0055304B" w:rsidP="0055304B">
      <w:pPr>
        <w:pStyle w:val="BodyText2"/>
        <w:jc w:val="both"/>
      </w:pPr>
      <w:r>
        <w:t xml:space="preserve">an RSE licensee or custodian established under provisions of the </w:t>
      </w:r>
      <w:r>
        <w:rPr>
          <w:i/>
        </w:rPr>
        <w:t>Superannuation Industry (Supervision) Act 1993</w:t>
      </w:r>
      <w:r>
        <w:t xml:space="preserve"> or equivalent legislation overseas;</w:t>
      </w:r>
    </w:p>
    <w:p w14:paraId="2842B3CF" w14:textId="41E61F16" w:rsidR="0055304B" w:rsidRDefault="00C61F37" w:rsidP="0055304B">
      <w:pPr>
        <w:pStyle w:val="BodyText2"/>
        <w:jc w:val="both"/>
      </w:pPr>
      <w:r w:rsidRPr="00C61F37">
        <w:t xml:space="preserve">a licensed trustee company of a common fund, within the meaning of Chapter 5D of the </w:t>
      </w:r>
      <w:r w:rsidRPr="00C61F37">
        <w:rPr>
          <w:iCs/>
        </w:rPr>
        <w:t>Corporations Act</w:t>
      </w:r>
      <w:r w:rsidR="0055304B">
        <w:t>; or</w:t>
      </w:r>
    </w:p>
    <w:p w14:paraId="21F8E105" w14:textId="04AA3AA2" w:rsidR="0055304B" w:rsidRDefault="0055304B" w:rsidP="0055304B">
      <w:pPr>
        <w:pStyle w:val="BodyText2"/>
        <w:jc w:val="both"/>
      </w:pPr>
      <w:r>
        <w:t xml:space="preserve">a responsible entity of a managed investment scheme, within the meaning of section 9 of the </w:t>
      </w:r>
      <w:r w:rsidRPr="00F54549">
        <w:t>Corporations Act</w:t>
      </w:r>
      <w:r>
        <w:t>, or similar entities registered under like statutory provisions overseas.</w:t>
      </w:r>
    </w:p>
    <w:p w14:paraId="63DD47F8" w14:textId="77777777" w:rsidR="0055304B" w:rsidRPr="00EB4F29" w:rsidRDefault="0055304B" w:rsidP="0055304B">
      <w:pPr>
        <w:pStyle w:val="Heading4"/>
        <w:jc w:val="both"/>
        <w:rPr>
          <w:rFonts w:asciiTheme="majorHAnsi" w:hAnsiTheme="majorHAnsi" w:cstheme="majorHAnsi"/>
          <w:sz w:val="24"/>
        </w:rPr>
      </w:pPr>
      <w:r w:rsidRPr="00EB4F29">
        <w:rPr>
          <w:rFonts w:asciiTheme="majorHAnsi" w:hAnsiTheme="majorHAnsi" w:cstheme="majorHAnsi"/>
          <w:sz w:val="24"/>
        </w:rPr>
        <w:lastRenderedPageBreak/>
        <w:t>Purchase of securities</w:t>
      </w:r>
    </w:p>
    <w:p w14:paraId="3B1ED60D" w14:textId="77777777" w:rsidR="0055304B" w:rsidRDefault="0055304B" w:rsidP="0055304B">
      <w:pPr>
        <w:pStyle w:val="BodyText1"/>
      </w:pPr>
      <w:r>
        <w:t>An ADI must not purchase more than 20 per cent of the outstanding value of a funds management vehicle’s securities unless the purchase arises as part of an underwriting agreement.</w:t>
      </w:r>
    </w:p>
    <w:p w14:paraId="29068C36" w14:textId="77777777" w:rsidR="0055304B" w:rsidRPr="00EB4F29" w:rsidRDefault="0055304B" w:rsidP="0055304B">
      <w:pPr>
        <w:pStyle w:val="Heading4"/>
        <w:jc w:val="both"/>
        <w:rPr>
          <w:rFonts w:asciiTheme="majorHAnsi" w:hAnsiTheme="majorHAnsi" w:cstheme="majorHAnsi"/>
          <w:sz w:val="24"/>
        </w:rPr>
      </w:pPr>
      <w:r w:rsidRPr="00EB4F29">
        <w:rPr>
          <w:rFonts w:asciiTheme="majorHAnsi" w:hAnsiTheme="majorHAnsi" w:cstheme="majorHAnsi"/>
          <w:sz w:val="24"/>
        </w:rPr>
        <w:t>Liquidity facilities</w:t>
      </w:r>
    </w:p>
    <w:p w14:paraId="7B3DC523" w14:textId="77777777" w:rsidR="0055304B" w:rsidRDefault="0055304B" w:rsidP="0055304B">
      <w:pPr>
        <w:pStyle w:val="BodyText1"/>
      </w:pPr>
      <w:r>
        <w:t>An ADI must deduct the value of a liquidity facility provided to a funds management vehicle, from the ADI’s Common Equity Tier 1 Capital, if any of the following conditions are met:</w:t>
      </w:r>
    </w:p>
    <w:p w14:paraId="0BC0C189" w14:textId="77777777" w:rsidR="0055304B" w:rsidRDefault="0055304B" w:rsidP="0055304B">
      <w:pPr>
        <w:pStyle w:val="BodyText2"/>
        <w:jc w:val="both"/>
      </w:pPr>
      <w:r>
        <w:t>the facility is able to be drawn upon to fund additional assets held by the vehicle, to acquire assets of the vehicle, to fund the final scheduled repayment of investors or to cover against dilution of seller’s risk (e.g. the cancellation of assets or breach of warranties);</w:t>
      </w:r>
    </w:p>
    <w:p w14:paraId="7CCD54F2" w14:textId="77777777" w:rsidR="0055304B" w:rsidRDefault="0055304B" w:rsidP="0055304B">
      <w:pPr>
        <w:pStyle w:val="BodyText2"/>
        <w:jc w:val="both"/>
      </w:pPr>
      <w:r>
        <w:t>the repayments of the facility to the ADI are subordinated to the interests of investors; or</w:t>
      </w:r>
    </w:p>
    <w:p w14:paraId="6C40C03F" w14:textId="77777777" w:rsidR="0055304B" w:rsidRDefault="0055304B" w:rsidP="0055304B">
      <w:pPr>
        <w:pStyle w:val="BodyText2"/>
        <w:jc w:val="both"/>
      </w:pPr>
      <w:r>
        <w:t>the facility is provided without another facility being provided by an unrelated entity to the funds management vehicle, unless the ADI provides a liquidity facility that covers less than 10 per cent of outstanding securities and is used for the purpose of:</w:t>
      </w:r>
    </w:p>
    <w:p w14:paraId="0B1C264E" w14:textId="77777777" w:rsidR="0055304B" w:rsidRDefault="0055304B" w:rsidP="0055304B">
      <w:pPr>
        <w:pStyle w:val="BodyText3"/>
        <w:jc w:val="both"/>
      </w:pPr>
      <w:r>
        <w:t>providing short-term funding for smoothing time differences in payment flows (excluding the retirement of securities at maturity or on roll-overs);</w:t>
      </w:r>
    </w:p>
    <w:p w14:paraId="51F623B9" w14:textId="77777777" w:rsidR="0055304B" w:rsidRDefault="0055304B" w:rsidP="0055304B">
      <w:pPr>
        <w:pStyle w:val="BodyText3"/>
        <w:jc w:val="both"/>
      </w:pPr>
      <w:r>
        <w:t>meeting margin payments on futures transactions; or</w:t>
      </w:r>
    </w:p>
    <w:p w14:paraId="6AC5628C" w14:textId="77777777" w:rsidR="0055304B" w:rsidRDefault="0055304B" w:rsidP="0055304B">
      <w:pPr>
        <w:pStyle w:val="BodyText3"/>
        <w:jc w:val="both"/>
      </w:pPr>
      <w:r>
        <w:t>covering delays in settling asset transactions involving the vehicle.</w:t>
      </w:r>
    </w:p>
    <w:p w14:paraId="316275BE" w14:textId="77777777" w:rsidR="0055304B" w:rsidRPr="00EB4F29" w:rsidRDefault="0055304B" w:rsidP="0055304B">
      <w:pPr>
        <w:pStyle w:val="Heading4"/>
        <w:jc w:val="both"/>
        <w:rPr>
          <w:rFonts w:asciiTheme="majorHAnsi" w:hAnsiTheme="majorHAnsi" w:cstheme="majorHAnsi"/>
          <w:sz w:val="24"/>
        </w:rPr>
      </w:pPr>
      <w:r w:rsidRPr="00EB4F29">
        <w:rPr>
          <w:rFonts w:asciiTheme="majorHAnsi" w:hAnsiTheme="majorHAnsi" w:cstheme="majorHAnsi"/>
          <w:sz w:val="24"/>
        </w:rPr>
        <w:t>Underwriting of funds management vehicles</w:t>
      </w:r>
    </w:p>
    <w:p w14:paraId="294BCE9F" w14:textId="77777777" w:rsidR="0055304B" w:rsidRDefault="0055304B" w:rsidP="0055304B">
      <w:pPr>
        <w:pStyle w:val="BodyText1"/>
      </w:pPr>
      <w:r>
        <w:t>An ADI that acts as an underwriter or committed dealer for the issue of securities by a funds management vehicle must deduct the value of the facility from the ADI’s Common Equity Tier 1 Capital if:</w:t>
      </w:r>
    </w:p>
    <w:p w14:paraId="5C426002" w14:textId="77777777" w:rsidR="0055304B" w:rsidRDefault="0055304B" w:rsidP="0055304B">
      <w:pPr>
        <w:pStyle w:val="BodyText2"/>
        <w:jc w:val="both"/>
      </w:pPr>
      <w:r>
        <w:t xml:space="preserve">the funds management vehicle does not have an express right to select an alternative party to provide the facility; </w:t>
      </w:r>
    </w:p>
    <w:p w14:paraId="796A1A0B" w14:textId="77777777" w:rsidR="0055304B" w:rsidRDefault="0055304B" w:rsidP="0055304B">
      <w:pPr>
        <w:pStyle w:val="BodyText2"/>
        <w:jc w:val="both"/>
      </w:pPr>
      <w:r>
        <w:t>the ADI does not have the ability to withhold payment, and to terminate the facility if necessary, upon the occurrence of events which would materially and negatively impact the soundness of the ADI; and</w:t>
      </w:r>
    </w:p>
    <w:p w14:paraId="767618B8" w14:textId="11981B77" w:rsidR="0055304B" w:rsidRDefault="0055304B" w:rsidP="0055304B">
      <w:pPr>
        <w:pStyle w:val="BodyText2"/>
        <w:jc w:val="both"/>
      </w:pPr>
      <w:r>
        <w:t xml:space="preserve">the ADI underwrites </w:t>
      </w:r>
      <w:r w:rsidR="00BD6501">
        <w:t>a significant proportion of</w:t>
      </w:r>
      <w:r>
        <w:t xml:space="preserve"> the issue of securities and </w:t>
      </w:r>
      <w:r w:rsidR="00FA40F6">
        <w:t xml:space="preserve">either </w:t>
      </w:r>
      <w:r>
        <w:t>of the following conditions exist:</w:t>
      </w:r>
    </w:p>
    <w:p w14:paraId="2B9F4D72" w14:textId="77777777" w:rsidR="0055304B" w:rsidRDefault="0055304B" w:rsidP="0055304B">
      <w:pPr>
        <w:pStyle w:val="BodyText3"/>
        <w:jc w:val="both"/>
      </w:pPr>
      <w:r>
        <w:t>the ADI cannot demonstrate its ability in placing securities of the type underwritten; or</w:t>
      </w:r>
    </w:p>
    <w:p w14:paraId="196AD8F8" w14:textId="77777777" w:rsidR="0055304B" w:rsidRDefault="0055304B" w:rsidP="0055304B">
      <w:pPr>
        <w:pStyle w:val="BodyText3"/>
        <w:jc w:val="both"/>
      </w:pPr>
      <w:r>
        <w:lastRenderedPageBreak/>
        <w:t>the amount of the ADI’s aggregate commitment under all underwriting facilities as sole dealer is more than 20 per cent of the ADI’s Tier 1 Capital.</w:t>
      </w:r>
    </w:p>
    <w:p w14:paraId="331271AB" w14:textId="487B1832" w:rsidR="0055304B" w:rsidRDefault="0055304B" w:rsidP="0055304B">
      <w:pPr>
        <w:pStyle w:val="BodyText1"/>
      </w:pPr>
      <w:r>
        <w:t xml:space="preserve">An ADI that underwrites the issue of securities by a funds management vehicle must not hold </w:t>
      </w:r>
      <w:r w:rsidR="00605700">
        <w:t>more than</w:t>
      </w:r>
      <w:r>
        <w:t xml:space="preserve"> 20 per cent of the outstanding value of a funds management vehicle’s securities after two months of the underwriting agreement’s commencement</w:t>
      </w:r>
      <w:r w:rsidR="00A215B9">
        <w:t xml:space="preserve">. </w:t>
      </w:r>
      <w:r w:rsidR="00944059">
        <w:t xml:space="preserve">Additionally, </w:t>
      </w:r>
      <w:r w:rsidR="00615A44">
        <w:t xml:space="preserve">from </w:t>
      </w:r>
      <w:r w:rsidR="00A215B9">
        <w:t xml:space="preserve">two months </w:t>
      </w:r>
      <w:r w:rsidR="00615A44">
        <w:t xml:space="preserve">after </w:t>
      </w:r>
      <w:r w:rsidR="00A215B9">
        <w:t>the underwriting agreement’s commence</w:t>
      </w:r>
      <w:r w:rsidR="00844390">
        <w:t>ment</w:t>
      </w:r>
      <w:r w:rsidR="00A215B9">
        <w:t>, any</w:t>
      </w:r>
      <w:r w:rsidR="00DC2344">
        <w:t xml:space="preserve"> exposure</w:t>
      </w:r>
      <w:r w:rsidR="00A215B9">
        <w:t xml:space="preserve"> </w:t>
      </w:r>
      <w:r w:rsidR="00DC2344">
        <w:t>over this amount</w:t>
      </w:r>
      <w:r w:rsidR="00A215B9">
        <w:t xml:space="preserve"> must be deducted from </w:t>
      </w:r>
      <w:r w:rsidR="00B109A4">
        <w:t xml:space="preserve">Common Equity </w:t>
      </w:r>
      <w:r w:rsidR="00A215B9">
        <w:t>Tier 1 Capital.</w:t>
      </w:r>
    </w:p>
    <w:p w14:paraId="659F8336" w14:textId="77777777" w:rsidR="0055304B" w:rsidRDefault="0055304B" w:rsidP="0055304B">
      <w:pPr>
        <w:pStyle w:val="Heading2"/>
        <w:jc w:val="both"/>
        <w:sectPr w:rsidR="0055304B" w:rsidSect="000D63A8">
          <w:footerReference w:type="default" r:id="rId19"/>
          <w:pgSz w:w="11906" w:h="16838" w:code="9"/>
          <w:pgMar w:top="1440" w:right="1797" w:bottom="1440" w:left="1797" w:header="709" w:footer="709" w:gutter="0"/>
          <w:cols w:space="708"/>
          <w:docGrid w:linePitch="360"/>
        </w:sectPr>
      </w:pPr>
      <w:r>
        <w:br w:type="page"/>
      </w:r>
    </w:p>
    <w:p w14:paraId="1DE0AECE" w14:textId="5D4E24F7" w:rsidR="007D2D7F" w:rsidRDefault="00B10B8A">
      <w:pPr>
        <w:pStyle w:val="Heading2"/>
        <w:jc w:val="both"/>
      </w:pPr>
      <w:bookmarkStart w:id="115" w:name="_Toc13750308"/>
      <w:bookmarkStart w:id="116" w:name="_Toc13837412"/>
      <w:bookmarkStart w:id="117" w:name="_Toc17118668"/>
      <w:r>
        <w:lastRenderedPageBreak/>
        <w:t>A</w:t>
      </w:r>
      <w:r w:rsidR="00881FF4">
        <w:t xml:space="preserve">ttachment </w:t>
      </w:r>
      <w:r w:rsidR="0055304B" w:rsidRPr="00365DB5">
        <w:t>C</w:t>
      </w:r>
      <w:r w:rsidR="00154FFA">
        <w:t xml:space="preserve"> </w:t>
      </w:r>
      <w:r w:rsidR="00501BD1">
        <w:t>—</w:t>
      </w:r>
      <w:r w:rsidR="00154FFA">
        <w:t xml:space="preserve"> </w:t>
      </w:r>
      <w:r w:rsidR="000B7C3B">
        <w:t>Extended Licensed Entity</w:t>
      </w:r>
      <w:bookmarkEnd w:id="115"/>
      <w:bookmarkEnd w:id="116"/>
      <w:bookmarkEnd w:id="117"/>
    </w:p>
    <w:p w14:paraId="4D4D0EE0" w14:textId="3876F513" w:rsidR="00B3620D" w:rsidRPr="00430A72" w:rsidRDefault="008162A8" w:rsidP="009F5DE5">
      <w:pPr>
        <w:pStyle w:val="BodyText1"/>
        <w:numPr>
          <w:ilvl w:val="0"/>
          <w:numId w:val="10"/>
        </w:numPr>
      </w:pPr>
      <w:r>
        <w:t>A</w:t>
      </w:r>
      <w:r w:rsidR="00B3620D" w:rsidRPr="00430A72">
        <w:t xml:space="preserve">n </w:t>
      </w:r>
      <w:smartTag w:uri="urn:schemas-microsoft-com:office:smarttags" w:element="stockticker">
        <w:r w:rsidR="00B3620D" w:rsidRPr="00430A72">
          <w:t>ADI</w:t>
        </w:r>
      </w:smartTag>
      <w:r w:rsidR="00B3620D" w:rsidRPr="00430A72">
        <w:t xml:space="preserve"> </w:t>
      </w:r>
      <w:r w:rsidRPr="00D31C81">
        <w:rPr>
          <w:rFonts w:eastAsiaTheme="minorHAnsi" w:cs="Arial"/>
          <w:szCs w:val="20"/>
          <w:lang w:eastAsia="en-US"/>
        </w:rPr>
        <w:t>must obtain approval from APRA to treat one or more of its subsidiaries as consolidated with the ADI itself, to form an ELE for prudential and reporting purposes.</w:t>
      </w:r>
      <w:r w:rsidR="00A36346" w:rsidRPr="00430A72">
        <w:rPr>
          <w:vertAlign w:val="superscript"/>
        </w:rPr>
        <w:footnoteReference w:id="11"/>
      </w:r>
      <w:r w:rsidRPr="00D31C81">
        <w:rPr>
          <w:rFonts w:eastAsiaTheme="minorHAnsi" w:cs="Arial"/>
          <w:szCs w:val="20"/>
          <w:lang w:eastAsia="en-US"/>
        </w:rPr>
        <w:t xml:space="preserve"> </w:t>
      </w:r>
    </w:p>
    <w:p w14:paraId="5B56756E" w14:textId="418BCCBE" w:rsidR="008162A8" w:rsidRPr="008162A8" w:rsidRDefault="008176B8" w:rsidP="00A62763">
      <w:pPr>
        <w:pStyle w:val="BodyText1"/>
        <w:rPr>
          <w:rFonts w:eastAsiaTheme="minorHAnsi" w:cs="Arial"/>
          <w:szCs w:val="20"/>
          <w:lang w:eastAsia="en-US"/>
        </w:rPr>
      </w:pPr>
      <w:r>
        <w:t xml:space="preserve">An ELE </w:t>
      </w:r>
      <w:r w:rsidR="008162A8">
        <w:t xml:space="preserve">subsidiary that no longer meets the criteria </w:t>
      </w:r>
      <w:r w:rsidR="003C1ECE">
        <w:t xml:space="preserve">in paragraph </w:t>
      </w:r>
      <w:r w:rsidR="000B22E7">
        <w:fldChar w:fldCharType="begin"/>
      </w:r>
      <w:r w:rsidR="000B22E7">
        <w:instrText xml:space="preserve"> REF _Ref507666150 \r \h </w:instrText>
      </w:r>
      <w:r w:rsidR="000B22E7">
        <w:fldChar w:fldCharType="separate"/>
      </w:r>
      <w:r w:rsidR="008716B5">
        <w:t>3</w:t>
      </w:r>
      <w:r w:rsidR="000B22E7">
        <w:fldChar w:fldCharType="end"/>
      </w:r>
      <w:r w:rsidR="003C1ECE">
        <w:t xml:space="preserve"> </w:t>
      </w:r>
      <w:r w:rsidR="00C5134B">
        <w:t>of</w:t>
      </w:r>
      <w:r w:rsidR="003C1ECE">
        <w:t xml:space="preserve"> this Attachment </w:t>
      </w:r>
      <w:r w:rsidR="008162A8">
        <w:t xml:space="preserve">will cease to form part of the ELE and must be treated as a non-ELE related entity of the ADI. </w:t>
      </w:r>
      <w:r w:rsidR="00A36346" w:rsidRPr="008162A8">
        <w:rPr>
          <w:rFonts w:cs="Arial"/>
          <w:szCs w:val="20"/>
        </w:rPr>
        <w:t xml:space="preserve">An ADI must inform APRA as </w:t>
      </w:r>
      <w:r w:rsidR="00A36346">
        <w:rPr>
          <w:rFonts w:cs="Arial"/>
          <w:szCs w:val="20"/>
        </w:rPr>
        <w:t xml:space="preserve">soon as it becomes aware that an ELE subsidiary </w:t>
      </w:r>
      <w:r w:rsidR="00A36346" w:rsidRPr="008162A8">
        <w:rPr>
          <w:rFonts w:cs="Arial"/>
          <w:szCs w:val="20"/>
        </w:rPr>
        <w:t>is likely to or no longer satisfies the criteria set out in this Attachment.</w:t>
      </w:r>
    </w:p>
    <w:p w14:paraId="63E0E137" w14:textId="27931C39" w:rsidR="00B3620D" w:rsidRPr="00430A72" w:rsidRDefault="008162A8" w:rsidP="009F5DE5">
      <w:pPr>
        <w:pStyle w:val="BodyText1"/>
      </w:pPr>
      <w:bookmarkStart w:id="118" w:name="_Ref507666150"/>
      <w:r>
        <w:t>In order for a subsidiary to be eligible to be consolidated with the ADI itself to form an ELE</w:t>
      </w:r>
      <w:r w:rsidR="00B3620D" w:rsidRPr="00430A72">
        <w:t>:</w:t>
      </w:r>
      <w:bookmarkEnd w:id="118"/>
    </w:p>
    <w:p w14:paraId="51AE8D19" w14:textId="5299F205" w:rsidR="008162A8" w:rsidRDefault="00B3620D" w:rsidP="009F5DE5">
      <w:pPr>
        <w:pStyle w:val="BodyText2"/>
        <w:jc w:val="both"/>
      </w:pPr>
      <w:r w:rsidRPr="00430A72">
        <w:t>the subsidiary</w:t>
      </w:r>
      <w:r w:rsidR="008162A8">
        <w:t xml:space="preserve"> must:</w:t>
      </w:r>
    </w:p>
    <w:p w14:paraId="0CBA10F3" w14:textId="79A76CCA" w:rsidR="00D636C6" w:rsidRDefault="00D636C6" w:rsidP="009F5DE5">
      <w:pPr>
        <w:pStyle w:val="BodyText3"/>
        <w:jc w:val="both"/>
      </w:pPr>
      <w:r>
        <w:t>be incorporated in Australia unless the subsidiary</w:t>
      </w:r>
      <w:r w:rsidR="00E6429C">
        <w:t xml:space="preserve"> has been established to</w:t>
      </w:r>
      <w:r>
        <w:t xml:space="preserve"> borrow on behalf of the ADI</w:t>
      </w:r>
      <w:r w:rsidR="000367CF">
        <w:t xml:space="preserve"> and continues to restrict its activities to solely borrowing on behalf of the ADI</w:t>
      </w:r>
      <w:r>
        <w:t xml:space="preserve">; </w:t>
      </w:r>
    </w:p>
    <w:p w14:paraId="452CD771" w14:textId="3A068752" w:rsidR="00B3620D" w:rsidRDefault="008162A8" w:rsidP="009F5DE5">
      <w:pPr>
        <w:pStyle w:val="BodyText3"/>
        <w:jc w:val="both"/>
      </w:pPr>
      <w:r>
        <w:t xml:space="preserve">be </w:t>
      </w:r>
      <w:r w:rsidR="00B3620D" w:rsidRPr="00430A72">
        <w:t xml:space="preserve">wholly owned by the ADI, and the Board of the subsidiary </w:t>
      </w:r>
      <w:r w:rsidR="0026676F">
        <w:t>must be</w:t>
      </w:r>
      <w:r w:rsidR="00B3620D" w:rsidRPr="00430A72">
        <w:t xml:space="preserve"> composed entirely of members of the ADI’s Board or senior management;</w:t>
      </w:r>
    </w:p>
    <w:p w14:paraId="65FC0DA3" w14:textId="505ED332" w:rsidR="008162A8" w:rsidRPr="00D636C6" w:rsidRDefault="008162A8" w:rsidP="009F5DE5">
      <w:pPr>
        <w:pStyle w:val="BodyText3"/>
        <w:jc w:val="both"/>
        <w:rPr>
          <w:lang w:eastAsia="en-US"/>
        </w:rPr>
      </w:pPr>
      <w:r>
        <w:rPr>
          <w:lang w:eastAsia="en-US"/>
        </w:rPr>
        <w:t>not be an entity regulated directly by APRA or by an equivalent regulator overseas;</w:t>
      </w:r>
    </w:p>
    <w:p w14:paraId="2CE08860" w14:textId="2B3A6234" w:rsidR="008162A8" w:rsidRDefault="008162A8" w:rsidP="009F5DE5">
      <w:pPr>
        <w:pStyle w:val="BodyText3"/>
        <w:jc w:val="both"/>
        <w:rPr>
          <w:rFonts w:eastAsiaTheme="minorHAnsi"/>
          <w:lang w:eastAsia="en-US"/>
        </w:rPr>
      </w:pPr>
      <w:r>
        <w:rPr>
          <w:rFonts w:eastAsiaTheme="minorHAnsi"/>
          <w:lang w:eastAsia="en-US"/>
        </w:rPr>
        <w:t xml:space="preserve">not </w:t>
      </w:r>
      <w:r>
        <w:t xml:space="preserve">undertake any business that the ADI is prevented from conducting </w:t>
      </w:r>
      <w:r w:rsidR="002A2F45">
        <w:t xml:space="preserve">under </w:t>
      </w:r>
      <w:r>
        <w:t xml:space="preserve">the </w:t>
      </w:r>
      <w:r w:rsidRPr="002A2F45">
        <w:t>Banking Act</w:t>
      </w:r>
      <w:r>
        <w:t>;</w:t>
      </w:r>
    </w:p>
    <w:p w14:paraId="3A43187D" w14:textId="25001CC5" w:rsidR="008162A8" w:rsidRPr="00E63FB0" w:rsidRDefault="008162A8" w:rsidP="009F5DE5">
      <w:pPr>
        <w:pStyle w:val="BodyText3"/>
        <w:jc w:val="both"/>
        <w:rPr>
          <w:rFonts w:eastAsiaTheme="minorHAnsi"/>
          <w:lang w:eastAsia="en-US"/>
        </w:rPr>
      </w:pPr>
      <w:r>
        <w:t>not be structured, or undertake business, for the purpose of circumventing APRA’s prudential or reporting requirements;</w:t>
      </w:r>
      <w:r w:rsidR="00AF7490">
        <w:t xml:space="preserve"> and</w:t>
      </w:r>
    </w:p>
    <w:p w14:paraId="6D96ED76" w14:textId="0051B979" w:rsidR="008162A8" w:rsidRPr="00430A72" w:rsidRDefault="005A47C4" w:rsidP="009F5DE5">
      <w:pPr>
        <w:pStyle w:val="BodyText3"/>
        <w:jc w:val="both"/>
      </w:pPr>
      <w:r>
        <w:rPr>
          <w:rFonts w:cs="Arial"/>
          <w:szCs w:val="20"/>
        </w:rPr>
        <w:t xml:space="preserve">not undertake borrowings from, or establish liabilities (either </w:t>
      </w:r>
      <w:r w:rsidR="00E0414A">
        <w:rPr>
          <w:rFonts w:cs="Arial"/>
          <w:szCs w:val="20"/>
        </w:rPr>
        <w:t>on- </w:t>
      </w:r>
      <w:r>
        <w:rPr>
          <w:rFonts w:cs="Arial"/>
          <w:szCs w:val="20"/>
        </w:rPr>
        <w:t>or off-balance sheet)</w:t>
      </w:r>
      <w:r w:rsidR="00C073F0">
        <w:rPr>
          <w:rFonts w:cs="Arial"/>
          <w:szCs w:val="20"/>
        </w:rPr>
        <w:t xml:space="preserve"> </w:t>
      </w:r>
      <w:r>
        <w:rPr>
          <w:rFonts w:cs="Arial"/>
          <w:szCs w:val="20"/>
        </w:rPr>
        <w:t>to</w:t>
      </w:r>
      <w:r w:rsidR="00C073F0">
        <w:rPr>
          <w:rFonts w:cs="Arial"/>
          <w:szCs w:val="20"/>
        </w:rPr>
        <w:t xml:space="preserve">, </w:t>
      </w:r>
      <w:r>
        <w:rPr>
          <w:rFonts w:cs="Arial"/>
          <w:szCs w:val="20"/>
        </w:rPr>
        <w:t xml:space="preserve">entities other than the ADI, except where the subsidiary </w:t>
      </w:r>
      <w:r w:rsidR="00E6429C">
        <w:rPr>
          <w:rFonts w:cs="Arial"/>
          <w:szCs w:val="20"/>
        </w:rPr>
        <w:t xml:space="preserve">has been established to </w:t>
      </w:r>
      <w:r>
        <w:rPr>
          <w:rFonts w:cs="Arial"/>
          <w:szCs w:val="20"/>
        </w:rPr>
        <w:t xml:space="preserve">borrow on behalf of the ADI, and all funds are on-lent directly to the ADI. Taxation liabilities, employee entitlements, administration and operating expenses of the subsidiary are </w:t>
      </w:r>
      <w:r w:rsidR="0076195C">
        <w:rPr>
          <w:rFonts w:cs="Arial"/>
          <w:szCs w:val="20"/>
        </w:rPr>
        <w:t xml:space="preserve">excluded </w:t>
      </w:r>
      <w:r>
        <w:rPr>
          <w:rFonts w:cs="Arial"/>
          <w:szCs w:val="20"/>
        </w:rPr>
        <w:t>from this requirement;</w:t>
      </w:r>
      <w:r w:rsidR="008176B8">
        <w:rPr>
          <w:rFonts w:cs="Arial"/>
          <w:szCs w:val="20"/>
        </w:rPr>
        <w:t xml:space="preserve"> and</w:t>
      </w:r>
    </w:p>
    <w:p w14:paraId="246CF7CA" w14:textId="77777777" w:rsidR="005A47C4" w:rsidRDefault="00B3620D" w:rsidP="009F5DE5">
      <w:pPr>
        <w:pStyle w:val="BodyText2"/>
        <w:jc w:val="both"/>
      </w:pPr>
      <w:r w:rsidRPr="00430A72">
        <w:t xml:space="preserve">the ADI </w:t>
      </w:r>
      <w:r w:rsidR="005A47C4">
        <w:t>must:</w:t>
      </w:r>
    </w:p>
    <w:p w14:paraId="6451E96F" w14:textId="48AE3F7B" w:rsidR="00B3620D" w:rsidRPr="00430A72" w:rsidRDefault="005A47C4" w:rsidP="009F5DE5">
      <w:pPr>
        <w:pStyle w:val="BodyText3"/>
        <w:jc w:val="both"/>
      </w:pPr>
      <w:r>
        <w:t>have</w:t>
      </w:r>
      <w:r w:rsidR="00B3620D" w:rsidRPr="00430A72">
        <w:t xml:space="preserve"> complete information on the individual assets, liabilities and off-balance sheet positions of the subsidiary. The ADI must have access to the stand-alone accounting records of the subsidiary, and must be </w:t>
      </w:r>
      <w:r w:rsidR="00B3620D" w:rsidRPr="00430A72">
        <w:lastRenderedPageBreak/>
        <w:t>able to provide APRA with full and unfettered access to those records and any other information</w:t>
      </w:r>
      <w:r>
        <w:t>,</w:t>
      </w:r>
      <w:r w:rsidR="00B3620D" w:rsidRPr="00430A72">
        <w:t xml:space="preserve"> at any time;</w:t>
      </w:r>
    </w:p>
    <w:p w14:paraId="357529EE" w14:textId="2AC7D20A" w:rsidR="00B3620D" w:rsidRPr="00430A72" w:rsidRDefault="005A47C4" w:rsidP="009F5DE5">
      <w:pPr>
        <w:pStyle w:val="BodyText3"/>
        <w:jc w:val="both"/>
      </w:pPr>
      <w:r>
        <w:t xml:space="preserve">have </w:t>
      </w:r>
      <w:r w:rsidR="00B3620D" w:rsidRPr="00430A72">
        <w:t xml:space="preserve">unrestricted control over the composition of the subsidiary’s assets and liabilities. </w:t>
      </w:r>
      <w:r w:rsidR="008D685B">
        <w:t xml:space="preserve">The </w:t>
      </w:r>
      <w:r w:rsidR="00B3620D" w:rsidRPr="00430A72">
        <w:t>ADI must demonstrate to APRA that there are n</w:t>
      </w:r>
      <w:r w:rsidR="00CD63C7">
        <w:t>o legal or regulatory barriers</w:t>
      </w:r>
      <w:r w:rsidR="00712846">
        <w:t>, or any other material risks,</w:t>
      </w:r>
      <w:r w:rsidR="00CD63C7">
        <w:t xml:space="preserve"> </w:t>
      </w:r>
      <w:r w:rsidR="00B3620D" w:rsidRPr="00430A72">
        <w:t xml:space="preserve">to the transfer of any assets or funds </w:t>
      </w:r>
      <w:r w:rsidR="0073584D">
        <w:t xml:space="preserve">including assets or funds of underlying subsidiaries </w:t>
      </w:r>
      <w:r w:rsidR="00B3620D" w:rsidRPr="00430A72">
        <w:t>back to the ADI. There must be no legal obstacle to the ADI instituting a wind-up of the subsidiary</w:t>
      </w:r>
      <w:r w:rsidR="00C916D9">
        <w:t>, or</w:t>
      </w:r>
      <w:r w:rsidR="0073584D">
        <w:t xml:space="preserve"> any</w:t>
      </w:r>
      <w:r w:rsidR="00C916D9">
        <w:t xml:space="preserve"> underlying subsidiaries,</w:t>
      </w:r>
      <w:r w:rsidR="00B3620D" w:rsidRPr="00430A72">
        <w:t xml:space="preserve"> at any time and placing the remaining assets on the balance sheet of the ADI;</w:t>
      </w:r>
    </w:p>
    <w:p w14:paraId="6AD66ACC" w14:textId="5774DE0B" w:rsidR="00B3620D" w:rsidRDefault="008176B8" w:rsidP="009F5DE5">
      <w:pPr>
        <w:pStyle w:val="BodyText3"/>
        <w:jc w:val="both"/>
      </w:pPr>
      <w:r>
        <w:t>manage the assets,</w:t>
      </w:r>
      <w:r w:rsidR="00B3620D" w:rsidRPr="00430A72">
        <w:t xml:space="preserve"> liabilities</w:t>
      </w:r>
      <w:r>
        <w:t xml:space="preserve"> and off-balance sheet business</w:t>
      </w:r>
      <w:r w:rsidR="00B3620D" w:rsidRPr="00430A72">
        <w:t xml:space="preserve"> of the subsidiary as part of its internal management practices. This includes reporting structures, accounting processes, audit arrangements and risk management and measurement systems. The ADI’s risk management processes, management information systems and internal controls must be applied to the operations of the subsidiary. </w:t>
      </w:r>
      <w:r w:rsidR="00740744">
        <w:t>S</w:t>
      </w:r>
      <w:r w:rsidR="00B3620D" w:rsidRPr="00430A72">
        <w:t>enior management of the ADI must monitor the operations of the subsidiary to the same extent as the operations of the ADI itself. Systems for monitoring and control over the subsidiary must be included within the internal and external audit programs of the ADI</w:t>
      </w:r>
      <w:r w:rsidR="00FA6365">
        <w:t>;</w:t>
      </w:r>
      <w:r w:rsidR="00C21CA6">
        <w:t xml:space="preserve"> and</w:t>
      </w:r>
    </w:p>
    <w:p w14:paraId="7B5B69F8" w14:textId="3C127751" w:rsidR="00447DD8" w:rsidRDefault="00780959" w:rsidP="009F5DE5">
      <w:pPr>
        <w:pStyle w:val="BodyText3"/>
        <w:jc w:val="both"/>
      </w:pPr>
      <w:r>
        <w:t>satisfy</w:t>
      </w:r>
      <w:r w:rsidR="00FA6365">
        <w:t xml:space="preserve"> APRA that the number</w:t>
      </w:r>
      <w:r w:rsidR="00447DD8">
        <w:t xml:space="preserve"> and size of subsidiaries on an individual and aggregate basis </w:t>
      </w:r>
      <w:r w:rsidR="002F03AD">
        <w:t>proposed to be included</w:t>
      </w:r>
      <w:r w:rsidR="00111CF0">
        <w:t>, or currently included,</w:t>
      </w:r>
      <w:r w:rsidR="00447DD8">
        <w:t xml:space="preserve"> in the ELE does not undermine</w:t>
      </w:r>
      <w:r w:rsidR="00A05514">
        <w:t xml:space="preserve"> the ability</w:t>
      </w:r>
      <w:r w:rsidR="00447DD8">
        <w:t>:</w:t>
      </w:r>
    </w:p>
    <w:p w14:paraId="08C168D9" w14:textId="236F2FDD" w:rsidR="00B12DB2" w:rsidRDefault="00447DD8" w:rsidP="009F5DE5">
      <w:pPr>
        <w:pStyle w:val="BodyText4"/>
        <w:jc w:val="both"/>
      </w:pPr>
      <w:r>
        <w:t>of the ADI</w:t>
      </w:r>
      <w:r w:rsidR="00B12DB2">
        <w:t xml:space="preserve"> and </w:t>
      </w:r>
      <w:r w:rsidR="0073584D">
        <w:t xml:space="preserve">the </w:t>
      </w:r>
      <w:r w:rsidR="00B12DB2">
        <w:t>subsidiaries</w:t>
      </w:r>
      <w:r>
        <w:t xml:space="preserve"> to be managed </w:t>
      </w:r>
      <w:r w:rsidR="00B12DB2">
        <w:t xml:space="preserve">and resolved </w:t>
      </w:r>
      <w:r>
        <w:t>in a sound</w:t>
      </w:r>
      <w:r w:rsidR="00DC559A">
        <w:t xml:space="preserve"> and timely </w:t>
      </w:r>
      <w:r>
        <w:t>ma</w:t>
      </w:r>
      <w:r w:rsidR="00DC559A">
        <w:t>nn</w:t>
      </w:r>
      <w:r>
        <w:t>er;</w:t>
      </w:r>
      <w:r w:rsidR="0030778D">
        <w:t xml:space="preserve"> and</w:t>
      </w:r>
    </w:p>
    <w:p w14:paraId="4F2FC247" w14:textId="6D346A50" w:rsidR="00FA6365" w:rsidRDefault="00447DD8" w:rsidP="009F5DE5">
      <w:pPr>
        <w:pStyle w:val="BodyText4"/>
        <w:jc w:val="both"/>
      </w:pPr>
      <w:r>
        <w:t>for APRA to assess the soundness of the AD</w:t>
      </w:r>
      <w:r w:rsidR="00A36346">
        <w:t>I as a stand-alone legal entity.</w:t>
      </w:r>
    </w:p>
    <w:p w14:paraId="367DE7B7" w14:textId="318DAEEA" w:rsidR="007A5478" w:rsidRDefault="0039415B" w:rsidP="009F5DE5">
      <w:pPr>
        <w:pStyle w:val="BodyText1"/>
      </w:pPr>
      <w:bookmarkStart w:id="119" w:name="_Ref182276476"/>
      <w:bookmarkEnd w:id="119"/>
      <w:r>
        <w:t xml:space="preserve">Where an ADI seeks to </w:t>
      </w:r>
      <w:r w:rsidR="00780959">
        <w:t xml:space="preserve">include a </w:t>
      </w:r>
      <w:r w:rsidR="007D4DF9">
        <w:t>non-operating holding company (</w:t>
      </w:r>
      <w:r w:rsidR="007E5B16">
        <w:t>NOHC</w:t>
      </w:r>
      <w:r w:rsidR="00455C39">
        <w:t>)</w:t>
      </w:r>
      <w:r>
        <w:t xml:space="preserve"> as part of its ELE</w:t>
      </w:r>
      <w:r w:rsidR="007F650C">
        <w:t xml:space="preserve">, </w:t>
      </w:r>
      <w:r w:rsidR="009F0D5D">
        <w:t xml:space="preserve">the ADI may also include the NOHC’s </w:t>
      </w:r>
      <w:r w:rsidR="007F650C">
        <w:t xml:space="preserve">subsidiaries </w:t>
      </w:r>
      <w:r w:rsidR="009F0D5D">
        <w:t xml:space="preserve">as part of the ELE provided these subsidiaries meet the requirements in this Attachment. However, only the first level of subsidiaries below a NOHC are eligible </w:t>
      </w:r>
      <w:r w:rsidR="00E97036">
        <w:t>to be treated as part of</w:t>
      </w:r>
      <w:r w:rsidR="009F0D5D">
        <w:t xml:space="preserve"> the ELE.</w:t>
      </w:r>
    </w:p>
    <w:p w14:paraId="3F0B67F1" w14:textId="0450C55A" w:rsidR="005A0DE2" w:rsidRPr="007D2D7F" w:rsidRDefault="00BE04EF" w:rsidP="00365DB5">
      <w:pPr>
        <w:pStyle w:val="BodyText1"/>
      </w:pPr>
      <w:r>
        <w:t>In assessing whether a subsidiary should</w:t>
      </w:r>
      <w:r w:rsidR="00AE4E3B">
        <w:t xml:space="preserve"> </w:t>
      </w:r>
      <w:r>
        <w:t>form part of an ELE, APRA will have regard to the requirements in this Attachment, as well as the substance and form of the subsidiary and its relationship with the ADI. APRA may</w:t>
      </w:r>
      <w:r w:rsidR="00896043">
        <w:t>, at its discretion,</w:t>
      </w:r>
      <w:r>
        <w:t xml:space="preserve"> require an ADI to provide additional information, including the provision of </w:t>
      </w:r>
      <w:r w:rsidR="00896043">
        <w:t>an accounting or legal opinion, on any of the requirements in this Attachment</w:t>
      </w:r>
      <w:r w:rsidR="00AE4E3B">
        <w:t xml:space="preserve"> or deem that a subsidiary is no longer eligible to form part of an ELE</w:t>
      </w:r>
      <w:r w:rsidR="00B26C91">
        <w:t>.</w:t>
      </w:r>
    </w:p>
    <w:sectPr w:rsidR="005A0DE2" w:rsidRPr="007D2D7F" w:rsidSect="000D63A8">
      <w:footerReference w:type="default" r:id="rId20"/>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E04B8" w14:textId="77777777" w:rsidR="00255710" w:rsidRDefault="00255710" w:rsidP="006A6A52">
      <w:pPr>
        <w:spacing w:after="0"/>
      </w:pPr>
      <w:r>
        <w:separator/>
      </w:r>
    </w:p>
  </w:endnote>
  <w:endnote w:type="continuationSeparator" w:id="0">
    <w:p w14:paraId="2AD7A733" w14:textId="77777777" w:rsidR="00255710" w:rsidRDefault="00255710" w:rsidP="006A6A52">
      <w:pPr>
        <w:spacing w:after="0"/>
      </w:pPr>
      <w:r>
        <w:continuationSeparator/>
      </w:r>
    </w:p>
  </w:endnote>
  <w:endnote w:type="continuationNotice" w:id="1">
    <w:p w14:paraId="6B3796D9" w14:textId="77777777" w:rsidR="00255710" w:rsidRDefault="0025571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IN OT Light">
    <w:altName w:val="MV Boli"/>
    <w:panose1 w:val="020B0504020201010104"/>
    <w:charset w:val="00"/>
    <w:family w:val="swiss"/>
    <w:pitch w:val="variable"/>
    <w:sig w:usb0="800000EF" w:usb1="4000A47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E0380" w14:textId="66B58474" w:rsidR="00C06B42" w:rsidRPr="00842FBD" w:rsidRDefault="00C06B42" w:rsidP="00842FBD">
    <w:pPr>
      <w:pStyle w:val="Footer"/>
    </w:pPr>
    <w:r>
      <w:rPr>
        <w:noProof/>
      </w:rPr>
      <w:fldChar w:fldCharType="begin"/>
    </w:r>
    <w:r>
      <w:rPr>
        <w:noProof/>
      </w:rPr>
      <w:instrText xml:space="preserve"> STYLEREF  "PS No. field text"  \* MERGEFORMAT </w:instrText>
    </w:r>
    <w:r>
      <w:rPr>
        <w:noProof/>
      </w:rPr>
      <w:fldChar w:fldCharType="separate"/>
    </w:r>
    <w:r w:rsidR="001F38C7">
      <w:rPr>
        <w:noProof/>
      </w:rPr>
      <w:t>APS 222</w:t>
    </w:r>
    <w:r>
      <w:rPr>
        <w:noProof/>
      </w:rPr>
      <w:fldChar w:fldCharType="end"/>
    </w:r>
    <w:r>
      <w:t xml:space="preserve"> - </w:t>
    </w:r>
    <w:r>
      <w:fldChar w:fldCharType="begin"/>
    </w:r>
    <w:r>
      <w:instrText xml:space="preserve"> PAGE  </w:instrText>
    </w:r>
    <w:r>
      <w:fldChar w:fldCharType="separate"/>
    </w:r>
    <w:r w:rsidR="0057791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F6B58" w14:textId="2958A577" w:rsidR="00255710" w:rsidRPr="00842FBD" w:rsidRDefault="00255710" w:rsidP="00842FBD">
    <w:pPr>
      <w:pStyle w:val="Footer"/>
    </w:pPr>
    <w:r>
      <w:rPr>
        <w:noProof/>
      </w:rPr>
      <w:fldChar w:fldCharType="begin"/>
    </w:r>
    <w:r>
      <w:rPr>
        <w:noProof/>
      </w:rPr>
      <w:instrText xml:space="preserve"> STYLEREF  "PS No. field text"  \* MERGEFORMAT </w:instrText>
    </w:r>
    <w:r>
      <w:rPr>
        <w:noProof/>
      </w:rPr>
      <w:fldChar w:fldCharType="separate"/>
    </w:r>
    <w:r w:rsidR="001F38C7">
      <w:rPr>
        <w:noProof/>
      </w:rPr>
      <w:t>APS 222</w:t>
    </w:r>
    <w:r>
      <w:rPr>
        <w:noProof/>
      </w:rPr>
      <w:fldChar w:fldCharType="end"/>
    </w:r>
    <w:r>
      <w:t xml:space="preserve"> – </w:t>
    </w:r>
    <w:r w:rsidRPr="00842FBD">
      <w:fldChar w:fldCharType="begin"/>
    </w:r>
    <w:r w:rsidRPr="00842FBD">
      <w:instrText xml:space="preserve"> PAGE </w:instrText>
    </w:r>
    <w:r w:rsidRPr="00842FBD">
      <w:fldChar w:fldCharType="separate"/>
    </w:r>
    <w:r w:rsidR="00577911">
      <w:rPr>
        <w:noProof/>
      </w:rPr>
      <w:t>3</w:t>
    </w:r>
    <w:r w:rsidRPr="00842FB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95B06" w14:textId="697A2E26" w:rsidR="00255710" w:rsidRPr="00842FBD" w:rsidRDefault="00255710" w:rsidP="00842FBD">
    <w:pPr>
      <w:pStyle w:val="Footer"/>
    </w:pPr>
    <w:r>
      <w:rPr>
        <w:noProof/>
      </w:rPr>
      <w:fldChar w:fldCharType="begin"/>
    </w:r>
    <w:r>
      <w:rPr>
        <w:noProof/>
      </w:rPr>
      <w:instrText xml:space="preserve"> STYLEREF  "PS No. field text"  \* MERGEFORMAT </w:instrText>
    </w:r>
    <w:r>
      <w:rPr>
        <w:noProof/>
      </w:rPr>
      <w:fldChar w:fldCharType="separate"/>
    </w:r>
    <w:r w:rsidR="001F38C7">
      <w:rPr>
        <w:noProof/>
      </w:rPr>
      <w:t>APS 222</w:t>
    </w:r>
    <w:r>
      <w:rPr>
        <w:noProof/>
      </w:rPr>
      <w:fldChar w:fldCharType="end"/>
    </w:r>
    <w:r>
      <w:rPr>
        <w:noProof/>
      </w:rPr>
      <w:t xml:space="preserve"> Attachment A</w:t>
    </w:r>
    <w:r>
      <w:t xml:space="preserve"> – </w:t>
    </w:r>
    <w:r w:rsidRPr="00842FBD">
      <w:fldChar w:fldCharType="begin"/>
    </w:r>
    <w:r w:rsidRPr="00842FBD">
      <w:instrText xml:space="preserve"> PAGE </w:instrText>
    </w:r>
    <w:r w:rsidRPr="00842FBD">
      <w:fldChar w:fldCharType="separate"/>
    </w:r>
    <w:r w:rsidR="00577911">
      <w:rPr>
        <w:noProof/>
      </w:rPr>
      <w:t>16</w:t>
    </w:r>
    <w:r w:rsidRPr="00842FBD">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17F4" w14:textId="5E0164A7" w:rsidR="00255710" w:rsidRPr="00842FBD" w:rsidRDefault="00255710" w:rsidP="00842FBD">
    <w:pPr>
      <w:pStyle w:val="Footer"/>
    </w:pPr>
    <w:r>
      <w:rPr>
        <w:noProof/>
      </w:rPr>
      <w:fldChar w:fldCharType="begin"/>
    </w:r>
    <w:r>
      <w:rPr>
        <w:noProof/>
      </w:rPr>
      <w:instrText xml:space="preserve"> STYLEREF  "PS No. field text"  \* MERGEFORMAT </w:instrText>
    </w:r>
    <w:r>
      <w:rPr>
        <w:noProof/>
      </w:rPr>
      <w:fldChar w:fldCharType="separate"/>
    </w:r>
    <w:r w:rsidR="001F38C7">
      <w:rPr>
        <w:noProof/>
      </w:rPr>
      <w:t>APS 222</w:t>
    </w:r>
    <w:r>
      <w:rPr>
        <w:noProof/>
      </w:rPr>
      <w:fldChar w:fldCharType="end"/>
    </w:r>
    <w:r>
      <w:rPr>
        <w:noProof/>
      </w:rPr>
      <w:t xml:space="preserve"> Attachment C</w:t>
    </w:r>
    <w:r>
      <w:t xml:space="preserve"> – </w:t>
    </w:r>
    <w:r w:rsidRPr="00842FBD">
      <w:fldChar w:fldCharType="begin"/>
    </w:r>
    <w:r w:rsidRPr="00842FBD">
      <w:instrText xml:space="preserve"> PAGE </w:instrText>
    </w:r>
    <w:r w:rsidRPr="00842FBD">
      <w:fldChar w:fldCharType="separate"/>
    </w:r>
    <w:r w:rsidR="00577911">
      <w:rPr>
        <w:noProof/>
      </w:rPr>
      <w:t>18</w:t>
    </w:r>
    <w:r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AEC2E" w14:textId="77777777" w:rsidR="00255710" w:rsidRDefault="00255710" w:rsidP="006A6A52">
      <w:pPr>
        <w:spacing w:after="0"/>
      </w:pPr>
      <w:r>
        <w:separator/>
      </w:r>
    </w:p>
  </w:footnote>
  <w:footnote w:type="continuationSeparator" w:id="0">
    <w:p w14:paraId="3628038C" w14:textId="77777777" w:rsidR="00255710" w:rsidRDefault="00255710" w:rsidP="006A6A52">
      <w:pPr>
        <w:spacing w:after="0"/>
      </w:pPr>
      <w:r>
        <w:continuationSeparator/>
      </w:r>
    </w:p>
  </w:footnote>
  <w:footnote w:type="continuationNotice" w:id="1">
    <w:p w14:paraId="455D884C" w14:textId="77777777" w:rsidR="00255710" w:rsidRDefault="00255710">
      <w:pPr>
        <w:spacing w:after="0"/>
      </w:pPr>
    </w:p>
  </w:footnote>
  <w:footnote w:id="2">
    <w:p w14:paraId="3A2D9E38" w14:textId="77777777" w:rsidR="00255710" w:rsidRDefault="00255710" w:rsidP="00D20C3A">
      <w:pPr>
        <w:pStyle w:val="FootnoteText"/>
      </w:pPr>
      <w:r>
        <w:rPr>
          <w:rStyle w:val="FootnoteReference"/>
        </w:rPr>
        <w:footnoteRef/>
      </w:r>
      <w:r>
        <w:t xml:space="preserve"> </w:t>
      </w:r>
      <w:r>
        <w:tab/>
        <w:t>A reference to the Board in the case of a foreign ADI, is a reference to the senior officer outside Australia.</w:t>
      </w:r>
    </w:p>
  </w:footnote>
  <w:footnote w:id="3">
    <w:p w14:paraId="3E225F2F" w14:textId="44FB122E" w:rsidR="00255710" w:rsidRDefault="00255710">
      <w:pPr>
        <w:pStyle w:val="FootnoteText"/>
      </w:pPr>
      <w:r>
        <w:rPr>
          <w:rStyle w:val="FootnoteReference"/>
        </w:rPr>
        <w:footnoteRef/>
      </w:r>
      <w:r>
        <w:t xml:space="preserve"> </w:t>
      </w:r>
      <w:r>
        <w:tab/>
      </w:r>
      <w:r w:rsidRPr="00CB22C3">
        <w:t>A funds management vehicle holds assets and issues securities to (or receives funds from) investors in order to facilitate funds management activities</w:t>
      </w:r>
      <w:r>
        <w:t>.</w:t>
      </w:r>
    </w:p>
  </w:footnote>
  <w:footnote w:id="4">
    <w:p w14:paraId="23F498EF" w14:textId="77777777" w:rsidR="00255710" w:rsidRDefault="00255710" w:rsidP="003D12D6">
      <w:pPr>
        <w:pStyle w:val="FootnoteText"/>
      </w:pPr>
      <w:r>
        <w:rPr>
          <w:rStyle w:val="FootnoteReference"/>
        </w:rPr>
        <w:footnoteRef/>
      </w:r>
      <w:r>
        <w:t xml:space="preserve"> </w:t>
      </w:r>
      <w:r>
        <w:tab/>
      </w:r>
      <w:r w:rsidRPr="00920F77">
        <w:t xml:space="preserve">Refer to subsection 11AF(2) of the </w:t>
      </w:r>
      <w:r>
        <w:t xml:space="preserve">Banking </w:t>
      </w:r>
      <w:r w:rsidRPr="00920F77">
        <w:t>Act.</w:t>
      </w:r>
    </w:p>
  </w:footnote>
  <w:footnote w:id="5">
    <w:p w14:paraId="361BE2A5" w14:textId="63B41BA6" w:rsidR="00255710" w:rsidRDefault="00255710">
      <w:pPr>
        <w:pStyle w:val="FootnoteText"/>
      </w:pPr>
      <w:r>
        <w:rPr>
          <w:rStyle w:val="FootnoteReference"/>
        </w:rPr>
        <w:footnoteRef/>
      </w:r>
      <w:r>
        <w:t xml:space="preserve"> </w:t>
      </w:r>
      <w:r>
        <w:tab/>
        <w:t>For the avoidance of doubt, p</w:t>
      </w:r>
      <w:r w:rsidRPr="00655DA3">
        <w:t>aragrap</w:t>
      </w:r>
      <w:bookmarkStart w:id="67" w:name="_Hlt22533836"/>
      <w:r w:rsidRPr="00655DA3">
        <w:t>h</w:t>
      </w:r>
      <w:bookmarkEnd w:id="67"/>
      <w:r w:rsidRPr="00655DA3">
        <w:t xml:space="preserve"> </w:t>
      </w:r>
      <w:r>
        <w:fldChar w:fldCharType="begin"/>
      </w:r>
      <w:r>
        <w:instrText xml:space="preserve"> REF _Ref510712328 \r \h </w:instrText>
      </w:r>
      <w:r>
        <w:fldChar w:fldCharType="separate"/>
      </w:r>
      <w:r>
        <w:t>20</w:t>
      </w:r>
      <w:r>
        <w:fldChar w:fldCharType="end"/>
      </w:r>
      <w:r w:rsidRPr="00EC2A96">
        <w:t xml:space="preserve"> al</w:t>
      </w:r>
      <w:r>
        <w:t xml:space="preserve">so applies to provision of support by a </w:t>
      </w:r>
      <w:r>
        <w:rPr>
          <w:b/>
        </w:rPr>
        <w:t>f</w:t>
      </w:r>
      <w:r w:rsidRPr="00E63FB0">
        <w:rPr>
          <w:b/>
        </w:rPr>
        <w:t>oreign-owned ADI</w:t>
      </w:r>
      <w:r>
        <w:t xml:space="preserve"> to non-ADI entities operating in Australia directly owned by the ADI’s foreign parent or by the parent’s subsidiaries (and </w:t>
      </w:r>
      <w:r w:rsidRPr="0045178E">
        <w:t>vice versa</w:t>
      </w:r>
      <w:r>
        <w:t>).</w:t>
      </w:r>
    </w:p>
  </w:footnote>
  <w:footnote w:id="6">
    <w:p w14:paraId="0C862AED" w14:textId="712421BE" w:rsidR="00255710" w:rsidRDefault="00255710">
      <w:pPr>
        <w:pStyle w:val="FootnoteText"/>
      </w:pPr>
      <w:r>
        <w:rPr>
          <w:rStyle w:val="FootnoteReference"/>
        </w:rPr>
        <w:footnoteRef/>
      </w:r>
      <w:r>
        <w:t xml:space="preserve"> </w:t>
      </w:r>
      <w:r>
        <w:tab/>
        <w:t>O</w:t>
      </w:r>
      <w:r w:rsidRPr="007D1C24">
        <w:t xml:space="preserve">utsourcing of the ADI’s material business activities to a related entity must satisfy the prudential requirements set out in </w:t>
      </w:r>
      <w:r w:rsidRPr="00E63FB0">
        <w:rPr>
          <w:i/>
        </w:rPr>
        <w:t>Prudential Standard CPS 231 Outsourcing</w:t>
      </w:r>
      <w:r>
        <w:t>.</w:t>
      </w:r>
    </w:p>
  </w:footnote>
  <w:footnote w:id="7">
    <w:p w14:paraId="4E76057C" w14:textId="6DEFE83E" w:rsidR="00255710" w:rsidRDefault="00255710">
      <w:pPr>
        <w:pStyle w:val="FootnoteText"/>
      </w:pPr>
      <w:r>
        <w:rPr>
          <w:rStyle w:val="FootnoteReference"/>
        </w:rPr>
        <w:footnoteRef/>
      </w:r>
      <w:r>
        <w:t xml:space="preserve"> </w:t>
      </w:r>
      <w:r>
        <w:tab/>
        <w:t xml:space="preserve">These limits are measured against an ADI’s or </w:t>
      </w:r>
      <w:r w:rsidRPr="0057367F">
        <w:t>ELE’s</w:t>
      </w:r>
      <w:r>
        <w:t xml:space="preserve"> Level 1 capital calculated in accordance with </w:t>
      </w:r>
      <w:r w:rsidRPr="00365DB5">
        <w:rPr>
          <w:i/>
        </w:rPr>
        <w:t>Prudential Standard APS 111 Capital Adequacy: Measurement of Capital</w:t>
      </w:r>
      <w:r>
        <w:t xml:space="preserve"> as appropriate. </w:t>
      </w:r>
      <w:r w:rsidRPr="00944B24">
        <w:t xml:space="preserve">None of these limits should be taken to permit transactions or exposures which are otherwise prohibited by any Prudential Standard. The large exposure limits in paragraph 30 of </w:t>
      </w:r>
      <w:r w:rsidRPr="00A07AD2">
        <w:rPr>
          <w:i/>
        </w:rPr>
        <w:t xml:space="preserve">Prudential Standard </w:t>
      </w:r>
      <w:r w:rsidRPr="00BB144C">
        <w:rPr>
          <w:i/>
        </w:rPr>
        <w:t>APS 221 Large Exposures</w:t>
      </w:r>
      <w:r w:rsidRPr="000777D6">
        <w:t xml:space="preserve"> </w:t>
      </w:r>
      <w:r w:rsidRPr="00944B24">
        <w:t>do not apply to the exposures of an ADI to its related entities when this paragraph applies</w:t>
      </w:r>
      <w:r>
        <w:t>.</w:t>
      </w:r>
    </w:p>
  </w:footnote>
  <w:footnote w:id="8">
    <w:p w14:paraId="54360022" w14:textId="1E2266D4" w:rsidR="00255710" w:rsidRDefault="00255710">
      <w:pPr>
        <w:pStyle w:val="FootnoteText"/>
      </w:pPr>
      <w:r>
        <w:rPr>
          <w:rStyle w:val="FootnoteReference"/>
        </w:rPr>
        <w:footnoteRef/>
      </w:r>
      <w:r>
        <w:t xml:space="preserve"> </w:t>
      </w:r>
      <w:r>
        <w:tab/>
        <w:t xml:space="preserve">Refer to paragraph 8 of Attachment D </w:t>
      </w:r>
      <w:r w:rsidR="008559CB">
        <w:t xml:space="preserve">to </w:t>
      </w:r>
      <w:r>
        <w:t xml:space="preserve">APS 111 on equity holdings and other capital support provided to financial institutions. </w:t>
      </w:r>
    </w:p>
  </w:footnote>
  <w:footnote w:id="9">
    <w:p w14:paraId="7F4CAEF0" w14:textId="7792B869" w:rsidR="00255710" w:rsidRDefault="00255710">
      <w:pPr>
        <w:pStyle w:val="FootnoteText"/>
      </w:pPr>
      <w:r>
        <w:rPr>
          <w:rStyle w:val="FootnoteReference"/>
        </w:rPr>
        <w:footnoteRef/>
      </w:r>
      <w:r>
        <w:t xml:space="preserve"> </w:t>
      </w:r>
      <w:r>
        <w:tab/>
        <w:t xml:space="preserve">This does not apply to an exposure for which </w:t>
      </w:r>
      <w:r w:rsidRPr="00495557">
        <w:t>APRA has provide</w:t>
      </w:r>
      <w:r>
        <w:t>d an approval under paragraph</w:t>
      </w:r>
      <w:r w:rsidRPr="00495557">
        <w:t xml:space="preserve"> </w:t>
      </w:r>
      <w:r>
        <w:fldChar w:fldCharType="begin"/>
      </w:r>
      <w:r>
        <w:instrText xml:space="preserve"> REF _Ref509859952 \r \h </w:instrText>
      </w:r>
      <w:r>
        <w:fldChar w:fldCharType="separate"/>
      </w:r>
      <w:r>
        <w:t>44</w:t>
      </w:r>
      <w:r>
        <w:fldChar w:fldCharType="end"/>
      </w:r>
      <w:r>
        <w:t xml:space="preserve"> of </w:t>
      </w:r>
      <w:r w:rsidRPr="00495557">
        <w:t>this Prudential Standard</w:t>
      </w:r>
      <w:r>
        <w:t>.</w:t>
      </w:r>
    </w:p>
  </w:footnote>
  <w:footnote w:id="10">
    <w:p w14:paraId="1C030B39" w14:textId="0F5E13BF" w:rsidR="00255710" w:rsidRDefault="00255710">
      <w:pPr>
        <w:pStyle w:val="FootnoteText"/>
      </w:pPr>
      <w:r>
        <w:rPr>
          <w:rStyle w:val="FootnoteReference"/>
        </w:rPr>
        <w:footnoteRef/>
      </w:r>
      <w:r>
        <w:t xml:space="preserve"> </w:t>
      </w:r>
      <w:r>
        <w:tab/>
        <w:t xml:space="preserve">For the avoidance of doubt, this does not apply to purchases of a fund management vehicle’s securities, which must comply with paragraph 6 of this Attachment. </w:t>
      </w:r>
    </w:p>
  </w:footnote>
  <w:footnote w:id="11">
    <w:p w14:paraId="13D27CBB" w14:textId="77777777" w:rsidR="00255710" w:rsidRDefault="00255710" w:rsidP="00A36346">
      <w:pPr>
        <w:pStyle w:val="FootnoteText"/>
      </w:pPr>
      <w:r>
        <w:rPr>
          <w:rStyle w:val="FootnoteReference"/>
        </w:rPr>
        <w:footnoteRef/>
      </w:r>
      <w:r>
        <w:t xml:space="preserve"> </w:t>
      </w:r>
      <w:r>
        <w:tab/>
        <w:t xml:space="preserve">For the avoidance of doubt, a reference to an </w:t>
      </w:r>
      <w:smartTag w:uri="urn:schemas-microsoft-com:office:smarttags" w:element="stockticker">
        <w:r>
          <w:t>ADI</w:t>
        </w:r>
      </w:smartTag>
      <w:r>
        <w:t xml:space="preserve"> in this Attachment means an </w:t>
      </w:r>
      <w:smartTag w:uri="urn:schemas-microsoft-com:office:smarttags" w:element="stockticker">
        <w:r>
          <w:t>ADI</w:t>
        </w:r>
      </w:smartTag>
      <w:r>
        <w:t xml:space="preserve"> as defined in section 5 of the Banking Act, rather than an ELE.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156"/>
      <w:gridCol w:w="4156"/>
    </w:tblGrid>
    <w:tr w:rsidR="00255710" w14:paraId="1E9BD636" w14:textId="77777777" w:rsidTr="000D63A8">
      <w:tc>
        <w:tcPr>
          <w:tcW w:w="4264" w:type="dxa"/>
          <w:tcBorders>
            <w:top w:val="nil"/>
            <w:left w:val="nil"/>
            <w:bottom w:val="nil"/>
            <w:right w:val="nil"/>
          </w:tcBorders>
        </w:tcPr>
        <w:p w14:paraId="386D0122" w14:textId="5741D536" w:rsidR="00255710" w:rsidRDefault="00255710" w:rsidP="002604D4">
          <w:pPr>
            <w:pStyle w:val="Header"/>
            <w:jc w:val="left"/>
          </w:pPr>
        </w:p>
      </w:tc>
      <w:tc>
        <w:tcPr>
          <w:tcW w:w="4264" w:type="dxa"/>
          <w:tcBorders>
            <w:top w:val="nil"/>
            <w:left w:val="nil"/>
            <w:bottom w:val="nil"/>
            <w:right w:val="nil"/>
          </w:tcBorders>
        </w:tcPr>
        <w:p w14:paraId="48D14048" w14:textId="4EB15477" w:rsidR="00255710" w:rsidRPr="00BB144C" w:rsidRDefault="00255710" w:rsidP="00367382">
          <w:pPr>
            <w:pStyle w:val="Header"/>
            <w:rPr>
              <w:b w:val="0"/>
            </w:rPr>
          </w:pPr>
        </w:p>
      </w:tc>
    </w:tr>
  </w:tbl>
  <w:p w14:paraId="5B75971A" w14:textId="7737A1FE" w:rsidR="00255710" w:rsidRDefault="00255710" w:rsidP="002604D4">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145"/>
      <w:gridCol w:w="4167"/>
    </w:tblGrid>
    <w:tr w:rsidR="002604D4" w14:paraId="48A14DAE" w14:textId="77777777" w:rsidTr="000D63A8">
      <w:tc>
        <w:tcPr>
          <w:tcW w:w="4264" w:type="dxa"/>
          <w:tcBorders>
            <w:top w:val="nil"/>
            <w:left w:val="nil"/>
            <w:bottom w:val="nil"/>
            <w:right w:val="nil"/>
          </w:tcBorders>
        </w:tcPr>
        <w:p w14:paraId="611B4B1A" w14:textId="77777777" w:rsidR="002604D4" w:rsidRDefault="002604D4" w:rsidP="002604D4">
          <w:pPr>
            <w:pStyle w:val="Header"/>
            <w:jc w:val="left"/>
          </w:pPr>
        </w:p>
      </w:tc>
      <w:tc>
        <w:tcPr>
          <w:tcW w:w="4264" w:type="dxa"/>
          <w:tcBorders>
            <w:top w:val="nil"/>
            <w:left w:val="nil"/>
            <w:bottom w:val="nil"/>
            <w:right w:val="nil"/>
          </w:tcBorders>
        </w:tcPr>
        <w:p w14:paraId="6F1D0DA4" w14:textId="77777777" w:rsidR="002604D4" w:rsidRPr="00BB144C" w:rsidRDefault="002604D4" w:rsidP="00367382">
          <w:pPr>
            <w:pStyle w:val="Header"/>
            <w:rPr>
              <w:b w:val="0"/>
            </w:rPr>
          </w:pPr>
          <w:r>
            <w:rPr>
              <w:b w:val="0"/>
            </w:rPr>
            <w:t>January 2022</w:t>
          </w:r>
        </w:p>
      </w:tc>
    </w:tr>
  </w:tbl>
  <w:p w14:paraId="6F2DE4D9" w14:textId="77777777" w:rsidR="002604D4" w:rsidRDefault="002604D4" w:rsidP="002604D4">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D110C6"/>
    <w:multiLevelType w:val="hybridMultilevel"/>
    <w:tmpl w:val="79E84A96"/>
    <w:lvl w:ilvl="0" w:tplc="2D661BFC">
      <w:start w:val="1"/>
      <w:numFmt w:val="lowerRoman"/>
      <w:lvlText w:val="(%1)"/>
      <w:lvlJc w:val="left"/>
      <w:pPr>
        <w:tabs>
          <w:tab w:val="num" w:pos="1701"/>
        </w:tabs>
        <w:ind w:left="1701" w:hanging="56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6463545"/>
    <w:multiLevelType w:val="multilevel"/>
    <w:tmpl w:val="1BA8524A"/>
    <w:lvl w:ilvl="0">
      <w:start w:val="1"/>
      <w:numFmt w:val="decimal"/>
      <w:pStyle w:val="BodyText1"/>
      <w:lvlText w:val="%1."/>
      <w:lvlJc w:val="left"/>
      <w:pPr>
        <w:tabs>
          <w:tab w:val="num" w:pos="567"/>
        </w:tabs>
        <w:ind w:left="567" w:hanging="567"/>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BodyText2"/>
      <w:lvlText w:val="(%2)"/>
      <w:lvlJc w:val="left"/>
      <w:pPr>
        <w:tabs>
          <w:tab w:val="num" w:pos="1134"/>
        </w:tabs>
        <w:ind w:left="1134" w:hanging="567"/>
      </w:pPr>
      <w:rPr>
        <w:rFonts w:hint="default"/>
        <w:i w:val="0"/>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EEC7344"/>
    <w:multiLevelType w:val="hybridMultilevel"/>
    <w:tmpl w:val="AA16A480"/>
    <w:lvl w:ilvl="0" w:tplc="F8509FEC">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4E334B"/>
    <w:multiLevelType w:val="hybridMultilevel"/>
    <w:tmpl w:val="E2E4C5D8"/>
    <w:lvl w:ilvl="0" w:tplc="F8DCB7CE">
      <w:numFmt w:val="bullet"/>
      <w:lvlText w:val="-"/>
      <w:lvlJc w:val="left"/>
      <w:pPr>
        <w:ind w:left="420" w:hanging="360"/>
      </w:pPr>
      <w:rPr>
        <w:rFonts w:ascii="Times New Roman" w:eastAsia="Times New Roman"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5" w15:restartNumberingAfterBreak="0">
    <w:nsid w:val="2C6E2E20"/>
    <w:multiLevelType w:val="hybridMultilevel"/>
    <w:tmpl w:val="4B4AAFE2"/>
    <w:lvl w:ilvl="0" w:tplc="BEE615B2">
      <w:start w:val="1"/>
      <w:numFmt w:val="bullet"/>
      <w:pStyle w:val="BULLET1"/>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3100082A"/>
    <w:multiLevelType w:val="multilevel"/>
    <w:tmpl w:val="C8DAEFBA"/>
    <w:lvl w:ilvl="0">
      <w:start w:val="1"/>
      <w:numFmt w:val="upperRoman"/>
      <w:lvlText w:val="%1."/>
      <w:lvlJc w:val="right"/>
      <w:pPr>
        <w:tabs>
          <w:tab w:val="num" w:pos="567"/>
        </w:tabs>
        <w:ind w:left="567"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1A30243"/>
    <w:multiLevelType w:val="hybridMultilevel"/>
    <w:tmpl w:val="80CCAF68"/>
    <w:lvl w:ilvl="0" w:tplc="00B2F214">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8" w15:restartNumberingAfterBreak="0">
    <w:nsid w:val="33F86A28"/>
    <w:multiLevelType w:val="hybridMultilevel"/>
    <w:tmpl w:val="08002798"/>
    <w:lvl w:ilvl="0" w:tplc="CE3A0E5A">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A2C7C0A"/>
    <w:multiLevelType w:val="hybridMultilevel"/>
    <w:tmpl w:val="D7CE8698"/>
    <w:lvl w:ilvl="0" w:tplc="DEFCFD0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8D4A3D"/>
    <w:multiLevelType w:val="hybridMultilevel"/>
    <w:tmpl w:val="A29CE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C000C4"/>
    <w:multiLevelType w:val="multilevel"/>
    <w:tmpl w:val="189C9026"/>
    <w:lvl w:ilvl="0">
      <w:start w:val="1"/>
      <w:numFmt w:val="lowerRoman"/>
      <w:lvlText w:val="%1."/>
      <w:lvlJc w:val="right"/>
      <w:pPr>
        <w:tabs>
          <w:tab w:val="num" w:pos="567"/>
        </w:tabs>
        <w:ind w:left="567"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4" w15:restartNumberingAfterBreak="0">
    <w:nsid w:val="4A003137"/>
    <w:multiLevelType w:val="hybridMultilevel"/>
    <w:tmpl w:val="8CD2BA76"/>
    <w:lvl w:ilvl="0" w:tplc="2B46AB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656A53"/>
    <w:multiLevelType w:val="multilevel"/>
    <w:tmpl w:val="703C0D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D6576E"/>
    <w:multiLevelType w:val="hybridMultilevel"/>
    <w:tmpl w:val="0324CA02"/>
    <w:lvl w:ilvl="0" w:tplc="CCE27F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7509C0"/>
    <w:multiLevelType w:val="hybridMultilevel"/>
    <w:tmpl w:val="4DE82794"/>
    <w:lvl w:ilvl="0" w:tplc="01DCA736">
      <w:start w:val="3"/>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2"/>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6"/>
  </w:num>
  <w:num w:numId="15">
    <w:abstractNumId w:val="12"/>
  </w:num>
  <w:num w:numId="16">
    <w:abstractNumId w:val="18"/>
  </w:num>
  <w:num w:numId="17">
    <w:abstractNumId w:val="8"/>
  </w:num>
  <w:num w:numId="18">
    <w:abstractNumId w:val="10"/>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7"/>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14"/>
  </w:num>
  <w:num w:numId="28">
    <w:abstractNumId w:val="1"/>
  </w:num>
  <w:num w:numId="2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4239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30"/>
    <w:rsid w:val="0000183A"/>
    <w:rsid w:val="00001D43"/>
    <w:rsid w:val="00003CC6"/>
    <w:rsid w:val="000051D4"/>
    <w:rsid w:val="00005355"/>
    <w:rsid w:val="00005B23"/>
    <w:rsid w:val="0000672A"/>
    <w:rsid w:val="000076D1"/>
    <w:rsid w:val="000077D2"/>
    <w:rsid w:val="00010154"/>
    <w:rsid w:val="0001235D"/>
    <w:rsid w:val="0001266F"/>
    <w:rsid w:val="00012F6E"/>
    <w:rsid w:val="0001315A"/>
    <w:rsid w:val="00013D0A"/>
    <w:rsid w:val="00015424"/>
    <w:rsid w:val="000155C8"/>
    <w:rsid w:val="00016CC8"/>
    <w:rsid w:val="00017223"/>
    <w:rsid w:val="00017602"/>
    <w:rsid w:val="00021756"/>
    <w:rsid w:val="0002207F"/>
    <w:rsid w:val="00023020"/>
    <w:rsid w:val="00024B13"/>
    <w:rsid w:val="00024F86"/>
    <w:rsid w:val="00025074"/>
    <w:rsid w:val="00025EFA"/>
    <w:rsid w:val="00026384"/>
    <w:rsid w:val="0002691B"/>
    <w:rsid w:val="00027D77"/>
    <w:rsid w:val="00027EDA"/>
    <w:rsid w:val="0003006F"/>
    <w:rsid w:val="00030C9F"/>
    <w:rsid w:val="00030D2E"/>
    <w:rsid w:val="00031708"/>
    <w:rsid w:val="000333E2"/>
    <w:rsid w:val="000335BA"/>
    <w:rsid w:val="00033665"/>
    <w:rsid w:val="000340AE"/>
    <w:rsid w:val="0003414F"/>
    <w:rsid w:val="00034E9F"/>
    <w:rsid w:val="00034FFB"/>
    <w:rsid w:val="00035164"/>
    <w:rsid w:val="000359A3"/>
    <w:rsid w:val="00035D14"/>
    <w:rsid w:val="000367CF"/>
    <w:rsid w:val="00036814"/>
    <w:rsid w:val="00036B8D"/>
    <w:rsid w:val="00037041"/>
    <w:rsid w:val="0003734E"/>
    <w:rsid w:val="00037AB8"/>
    <w:rsid w:val="000408CD"/>
    <w:rsid w:val="00040C6E"/>
    <w:rsid w:val="00042788"/>
    <w:rsid w:val="0004355A"/>
    <w:rsid w:val="000459DE"/>
    <w:rsid w:val="00046071"/>
    <w:rsid w:val="000461E4"/>
    <w:rsid w:val="00046B42"/>
    <w:rsid w:val="00047221"/>
    <w:rsid w:val="00047AAD"/>
    <w:rsid w:val="00047BA4"/>
    <w:rsid w:val="000518B9"/>
    <w:rsid w:val="00053C99"/>
    <w:rsid w:val="0005594D"/>
    <w:rsid w:val="00055B00"/>
    <w:rsid w:val="00056F30"/>
    <w:rsid w:val="00057F67"/>
    <w:rsid w:val="00062247"/>
    <w:rsid w:val="00062963"/>
    <w:rsid w:val="0006337F"/>
    <w:rsid w:val="00065048"/>
    <w:rsid w:val="000652F5"/>
    <w:rsid w:val="000654FD"/>
    <w:rsid w:val="0006692F"/>
    <w:rsid w:val="0007040C"/>
    <w:rsid w:val="0007042F"/>
    <w:rsid w:val="00071F7C"/>
    <w:rsid w:val="0007357A"/>
    <w:rsid w:val="000735FE"/>
    <w:rsid w:val="00074B75"/>
    <w:rsid w:val="00075424"/>
    <w:rsid w:val="0007711B"/>
    <w:rsid w:val="000771C6"/>
    <w:rsid w:val="000777D6"/>
    <w:rsid w:val="00077A2D"/>
    <w:rsid w:val="0008096F"/>
    <w:rsid w:val="00081195"/>
    <w:rsid w:val="000828A8"/>
    <w:rsid w:val="0008304E"/>
    <w:rsid w:val="0008433F"/>
    <w:rsid w:val="00084E62"/>
    <w:rsid w:val="00084FEF"/>
    <w:rsid w:val="0008595A"/>
    <w:rsid w:val="00085CA5"/>
    <w:rsid w:val="00086658"/>
    <w:rsid w:val="00086B78"/>
    <w:rsid w:val="00087465"/>
    <w:rsid w:val="0008746C"/>
    <w:rsid w:val="00087D3E"/>
    <w:rsid w:val="00087EB6"/>
    <w:rsid w:val="00090E7D"/>
    <w:rsid w:val="0009107E"/>
    <w:rsid w:val="00091728"/>
    <w:rsid w:val="00091AB4"/>
    <w:rsid w:val="00091DF7"/>
    <w:rsid w:val="00092B35"/>
    <w:rsid w:val="00093C2F"/>
    <w:rsid w:val="000946EA"/>
    <w:rsid w:val="00094CEF"/>
    <w:rsid w:val="00094F02"/>
    <w:rsid w:val="000951F4"/>
    <w:rsid w:val="00095597"/>
    <w:rsid w:val="0009669F"/>
    <w:rsid w:val="00097A2E"/>
    <w:rsid w:val="00097DA8"/>
    <w:rsid w:val="00097FA9"/>
    <w:rsid w:val="000A02BC"/>
    <w:rsid w:val="000A03A9"/>
    <w:rsid w:val="000A0E5F"/>
    <w:rsid w:val="000A2565"/>
    <w:rsid w:val="000A2A3C"/>
    <w:rsid w:val="000A2DCB"/>
    <w:rsid w:val="000A2FBE"/>
    <w:rsid w:val="000A346D"/>
    <w:rsid w:val="000A3ED3"/>
    <w:rsid w:val="000A40B7"/>
    <w:rsid w:val="000A49A8"/>
    <w:rsid w:val="000A5A96"/>
    <w:rsid w:val="000A5E39"/>
    <w:rsid w:val="000A6EDF"/>
    <w:rsid w:val="000A74F1"/>
    <w:rsid w:val="000A7A2A"/>
    <w:rsid w:val="000A7A80"/>
    <w:rsid w:val="000A7F14"/>
    <w:rsid w:val="000B0986"/>
    <w:rsid w:val="000B131B"/>
    <w:rsid w:val="000B1D17"/>
    <w:rsid w:val="000B2049"/>
    <w:rsid w:val="000B2142"/>
    <w:rsid w:val="000B22E7"/>
    <w:rsid w:val="000B2560"/>
    <w:rsid w:val="000B265E"/>
    <w:rsid w:val="000B2C92"/>
    <w:rsid w:val="000B3720"/>
    <w:rsid w:val="000B41B8"/>
    <w:rsid w:val="000B4353"/>
    <w:rsid w:val="000B502D"/>
    <w:rsid w:val="000B647D"/>
    <w:rsid w:val="000B6B40"/>
    <w:rsid w:val="000B7823"/>
    <w:rsid w:val="000B7C3B"/>
    <w:rsid w:val="000B7C98"/>
    <w:rsid w:val="000C00B4"/>
    <w:rsid w:val="000C01C6"/>
    <w:rsid w:val="000C16A2"/>
    <w:rsid w:val="000C2097"/>
    <w:rsid w:val="000C2A78"/>
    <w:rsid w:val="000C3444"/>
    <w:rsid w:val="000C3B28"/>
    <w:rsid w:val="000C3CBA"/>
    <w:rsid w:val="000C526E"/>
    <w:rsid w:val="000C571F"/>
    <w:rsid w:val="000C63AA"/>
    <w:rsid w:val="000C6EB4"/>
    <w:rsid w:val="000D00E4"/>
    <w:rsid w:val="000D0368"/>
    <w:rsid w:val="000D0BA3"/>
    <w:rsid w:val="000D1F77"/>
    <w:rsid w:val="000D2146"/>
    <w:rsid w:val="000D2947"/>
    <w:rsid w:val="000D3212"/>
    <w:rsid w:val="000D3597"/>
    <w:rsid w:val="000D445D"/>
    <w:rsid w:val="000D4A45"/>
    <w:rsid w:val="000D5165"/>
    <w:rsid w:val="000D5EB4"/>
    <w:rsid w:val="000D63A8"/>
    <w:rsid w:val="000D63AB"/>
    <w:rsid w:val="000D6B81"/>
    <w:rsid w:val="000D6C82"/>
    <w:rsid w:val="000D7112"/>
    <w:rsid w:val="000D72D4"/>
    <w:rsid w:val="000D7A9C"/>
    <w:rsid w:val="000E1051"/>
    <w:rsid w:val="000E2963"/>
    <w:rsid w:val="000E311A"/>
    <w:rsid w:val="000E31BF"/>
    <w:rsid w:val="000E399D"/>
    <w:rsid w:val="000E3A2D"/>
    <w:rsid w:val="000E3CBB"/>
    <w:rsid w:val="000E4579"/>
    <w:rsid w:val="000E4DFE"/>
    <w:rsid w:val="000E4E35"/>
    <w:rsid w:val="000E51EF"/>
    <w:rsid w:val="000E5412"/>
    <w:rsid w:val="000E5490"/>
    <w:rsid w:val="000E5E5B"/>
    <w:rsid w:val="000E65D5"/>
    <w:rsid w:val="000E7C7C"/>
    <w:rsid w:val="000F04DF"/>
    <w:rsid w:val="000F07F1"/>
    <w:rsid w:val="000F19F4"/>
    <w:rsid w:val="000F1EB8"/>
    <w:rsid w:val="000F3A80"/>
    <w:rsid w:val="000F4972"/>
    <w:rsid w:val="000F53D6"/>
    <w:rsid w:val="000F54BC"/>
    <w:rsid w:val="000F602D"/>
    <w:rsid w:val="000F690D"/>
    <w:rsid w:val="000F7161"/>
    <w:rsid w:val="000F7403"/>
    <w:rsid w:val="000F784A"/>
    <w:rsid w:val="000F7F0A"/>
    <w:rsid w:val="00102E66"/>
    <w:rsid w:val="00103A3C"/>
    <w:rsid w:val="00103CA5"/>
    <w:rsid w:val="00103F08"/>
    <w:rsid w:val="0010400F"/>
    <w:rsid w:val="001041FF"/>
    <w:rsid w:val="00104509"/>
    <w:rsid w:val="00104ABC"/>
    <w:rsid w:val="00107E3A"/>
    <w:rsid w:val="00110917"/>
    <w:rsid w:val="001109FD"/>
    <w:rsid w:val="00110A0F"/>
    <w:rsid w:val="00110D4A"/>
    <w:rsid w:val="00110FCE"/>
    <w:rsid w:val="00111CF0"/>
    <w:rsid w:val="001128DF"/>
    <w:rsid w:val="00112B37"/>
    <w:rsid w:val="00112E29"/>
    <w:rsid w:val="001158C3"/>
    <w:rsid w:val="001158E1"/>
    <w:rsid w:val="00115F86"/>
    <w:rsid w:val="0011600B"/>
    <w:rsid w:val="00116936"/>
    <w:rsid w:val="00117749"/>
    <w:rsid w:val="00117F27"/>
    <w:rsid w:val="00120073"/>
    <w:rsid w:val="00121188"/>
    <w:rsid w:val="00121AC3"/>
    <w:rsid w:val="00123334"/>
    <w:rsid w:val="0012367F"/>
    <w:rsid w:val="0012400C"/>
    <w:rsid w:val="001246B8"/>
    <w:rsid w:val="001256A6"/>
    <w:rsid w:val="00125DC1"/>
    <w:rsid w:val="001260B2"/>
    <w:rsid w:val="0012683F"/>
    <w:rsid w:val="001277CC"/>
    <w:rsid w:val="001279D6"/>
    <w:rsid w:val="001305FF"/>
    <w:rsid w:val="0013237B"/>
    <w:rsid w:val="00132F58"/>
    <w:rsid w:val="001339F8"/>
    <w:rsid w:val="00133B7D"/>
    <w:rsid w:val="00134551"/>
    <w:rsid w:val="00134E2F"/>
    <w:rsid w:val="0013568D"/>
    <w:rsid w:val="00135809"/>
    <w:rsid w:val="00136285"/>
    <w:rsid w:val="001364FC"/>
    <w:rsid w:val="001401E0"/>
    <w:rsid w:val="0014042B"/>
    <w:rsid w:val="00140CC2"/>
    <w:rsid w:val="00141CA6"/>
    <w:rsid w:val="00142FEC"/>
    <w:rsid w:val="0014422A"/>
    <w:rsid w:val="001446BA"/>
    <w:rsid w:val="00144A47"/>
    <w:rsid w:val="001455FD"/>
    <w:rsid w:val="00145CEF"/>
    <w:rsid w:val="00145E5E"/>
    <w:rsid w:val="001467E2"/>
    <w:rsid w:val="00146C58"/>
    <w:rsid w:val="00147034"/>
    <w:rsid w:val="00147228"/>
    <w:rsid w:val="001472EF"/>
    <w:rsid w:val="00147BC1"/>
    <w:rsid w:val="00150B62"/>
    <w:rsid w:val="00150BC4"/>
    <w:rsid w:val="00150D39"/>
    <w:rsid w:val="0015191D"/>
    <w:rsid w:val="001525A2"/>
    <w:rsid w:val="001528C8"/>
    <w:rsid w:val="00152D1D"/>
    <w:rsid w:val="00153BC0"/>
    <w:rsid w:val="00153D85"/>
    <w:rsid w:val="0015499B"/>
    <w:rsid w:val="00154B8F"/>
    <w:rsid w:val="00154FFA"/>
    <w:rsid w:val="0015547B"/>
    <w:rsid w:val="001556FE"/>
    <w:rsid w:val="00155C32"/>
    <w:rsid w:val="00156F71"/>
    <w:rsid w:val="00156F7E"/>
    <w:rsid w:val="00157A61"/>
    <w:rsid w:val="00160249"/>
    <w:rsid w:val="0016057C"/>
    <w:rsid w:val="00161497"/>
    <w:rsid w:val="001619CB"/>
    <w:rsid w:val="00162C19"/>
    <w:rsid w:val="00162DEF"/>
    <w:rsid w:val="001641EA"/>
    <w:rsid w:val="00164E91"/>
    <w:rsid w:val="00166C7C"/>
    <w:rsid w:val="00166D3C"/>
    <w:rsid w:val="00167C55"/>
    <w:rsid w:val="00167CD3"/>
    <w:rsid w:val="0017046B"/>
    <w:rsid w:val="0017191F"/>
    <w:rsid w:val="00172049"/>
    <w:rsid w:val="00172D30"/>
    <w:rsid w:val="0017384A"/>
    <w:rsid w:val="00173A04"/>
    <w:rsid w:val="00174415"/>
    <w:rsid w:val="00175BC5"/>
    <w:rsid w:val="00176281"/>
    <w:rsid w:val="00176385"/>
    <w:rsid w:val="001771DC"/>
    <w:rsid w:val="00180506"/>
    <w:rsid w:val="001806B7"/>
    <w:rsid w:val="00181835"/>
    <w:rsid w:val="00181B5A"/>
    <w:rsid w:val="00182A3B"/>
    <w:rsid w:val="00182FA1"/>
    <w:rsid w:val="001846DD"/>
    <w:rsid w:val="00184B5E"/>
    <w:rsid w:val="00185088"/>
    <w:rsid w:val="00185EE2"/>
    <w:rsid w:val="00185F01"/>
    <w:rsid w:val="001874EC"/>
    <w:rsid w:val="00187B24"/>
    <w:rsid w:val="00187D42"/>
    <w:rsid w:val="00187E13"/>
    <w:rsid w:val="0019091C"/>
    <w:rsid w:val="00191FD2"/>
    <w:rsid w:val="00192DDA"/>
    <w:rsid w:val="00192FAD"/>
    <w:rsid w:val="0019458B"/>
    <w:rsid w:val="00194768"/>
    <w:rsid w:val="00195079"/>
    <w:rsid w:val="0019643C"/>
    <w:rsid w:val="00196940"/>
    <w:rsid w:val="001A00D4"/>
    <w:rsid w:val="001A0E16"/>
    <w:rsid w:val="001A173F"/>
    <w:rsid w:val="001A20B7"/>
    <w:rsid w:val="001A20DC"/>
    <w:rsid w:val="001A2269"/>
    <w:rsid w:val="001A4156"/>
    <w:rsid w:val="001A4F0D"/>
    <w:rsid w:val="001A5263"/>
    <w:rsid w:val="001A5FF9"/>
    <w:rsid w:val="001A7162"/>
    <w:rsid w:val="001A799F"/>
    <w:rsid w:val="001B069F"/>
    <w:rsid w:val="001B08F3"/>
    <w:rsid w:val="001B09C0"/>
    <w:rsid w:val="001B0AA5"/>
    <w:rsid w:val="001B0C3A"/>
    <w:rsid w:val="001B127F"/>
    <w:rsid w:val="001B1CF5"/>
    <w:rsid w:val="001B2BF6"/>
    <w:rsid w:val="001B3534"/>
    <w:rsid w:val="001B361D"/>
    <w:rsid w:val="001B513F"/>
    <w:rsid w:val="001B51DC"/>
    <w:rsid w:val="001B579F"/>
    <w:rsid w:val="001B5E75"/>
    <w:rsid w:val="001B686A"/>
    <w:rsid w:val="001B6914"/>
    <w:rsid w:val="001C0A9D"/>
    <w:rsid w:val="001C0B24"/>
    <w:rsid w:val="001C10AC"/>
    <w:rsid w:val="001C126B"/>
    <w:rsid w:val="001C1896"/>
    <w:rsid w:val="001C24AB"/>
    <w:rsid w:val="001C297B"/>
    <w:rsid w:val="001C2CBF"/>
    <w:rsid w:val="001C2E2A"/>
    <w:rsid w:val="001C3067"/>
    <w:rsid w:val="001C35FA"/>
    <w:rsid w:val="001C49D5"/>
    <w:rsid w:val="001C5168"/>
    <w:rsid w:val="001C5264"/>
    <w:rsid w:val="001C5674"/>
    <w:rsid w:val="001C5920"/>
    <w:rsid w:val="001C5AE4"/>
    <w:rsid w:val="001C617C"/>
    <w:rsid w:val="001C6E74"/>
    <w:rsid w:val="001C74DB"/>
    <w:rsid w:val="001C755C"/>
    <w:rsid w:val="001C76D4"/>
    <w:rsid w:val="001C7B55"/>
    <w:rsid w:val="001D0049"/>
    <w:rsid w:val="001D087A"/>
    <w:rsid w:val="001D1088"/>
    <w:rsid w:val="001D1656"/>
    <w:rsid w:val="001D327E"/>
    <w:rsid w:val="001D452C"/>
    <w:rsid w:val="001D4D6A"/>
    <w:rsid w:val="001D4F96"/>
    <w:rsid w:val="001D59CA"/>
    <w:rsid w:val="001D5BC7"/>
    <w:rsid w:val="001D600E"/>
    <w:rsid w:val="001D6606"/>
    <w:rsid w:val="001D6821"/>
    <w:rsid w:val="001D6907"/>
    <w:rsid w:val="001D7C43"/>
    <w:rsid w:val="001E0680"/>
    <w:rsid w:val="001E1B26"/>
    <w:rsid w:val="001E1D26"/>
    <w:rsid w:val="001E1EF4"/>
    <w:rsid w:val="001E227B"/>
    <w:rsid w:val="001E3A37"/>
    <w:rsid w:val="001E3BF6"/>
    <w:rsid w:val="001E472A"/>
    <w:rsid w:val="001E66CE"/>
    <w:rsid w:val="001E6ED4"/>
    <w:rsid w:val="001E7EA9"/>
    <w:rsid w:val="001F16D6"/>
    <w:rsid w:val="001F27FC"/>
    <w:rsid w:val="001F38C7"/>
    <w:rsid w:val="001F4238"/>
    <w:rsid w:val="001F50F5"/>
    <w:rsid w:val="001F6B8D"/>
    <w:rsid w:val="001F77C3"/>
    <w:rsid w:val="001F78FE"/>
    <w:rsid w:val="00200008"/>
    <w:rsid w:val="00200344"/>
    <w:rsid w:val="00200387"/>
    <w:rsid w:val="00202770"/>
    <w:rsid w:val="00202840"/>
    <w:rsid w:val="00203122"/>
    <w:rsid w:val="0020448F"/>
    <w:rsid w:val="002057D5"/>
    <w:rsid w:val="002079F4"/>
    <w:rsid w:val="00207C2B"/>
    <w:rsid w:val="0021049C"/>
    <w:rsid w:val="00210817"/>
    <w:rsid w:val="00211B59"/>
    <w:rsid w:val="00213816"/>
    <w:rsid w:val="00213847"/>
    <w:rsid w:val="00214D3A"/>
    <w:rsid w:val="00215AE1"/>
    <w:rsid w:val="00216026"/>
    <w:rsid w:val="0021638C"/>
    <w:rsid w:val="00217581"/>
    <w:rsid w:val="0022098F"/>
    <w:rsid w:val="00221010"/>
    <w:rsid w:val="002214DE"/>
    <w:rsid w:val="002221EA"/>
    <w:rsid w:val="00222EC4"/>
    <w:rsid w:val="00223058"/>
    <w:rsid w:val="00223275"/>
    <w:rsid w:val="00225763"/>
    <w:rsid w:val="00226041"/>
    <w:rsid w:val="002261E3"/>
    <w:rsid w:val="002262BC"/>
    <w:rsid w:val="002267FB"/>
    <w:rsid w:val="00226A40"/>
    <w:rsid w:val="00226DD0"/>
    <w:rsid w:val="00227CB9"/>
    <w:rsid w:val="00227E58"/>
    <w:rsid w:val="00230391"/>
    <w:rsid w:val="002305F1"/>
    <w:rsid w:val="0023089E"/>
    <w:rsid w:val="00230C27"/>
    <w:rsid w:val="00232F67"/>
    <w:rsid w:val="00232FE2"/>
    <w:rsid w:val="002337AC"/>
    <w:rsid w:val="002347B1"/>
    <w:rsid w:val="002347D0"/>
    <w:rsid w:val="00234D32"/>
    <w:rsid w:val="00234E68"/>
    <w:rsid w:val="0023575B"/>
    <w:rsid w:val="0023605D"/>
    <w:rsid w:val="00236242"/>
    <w:rsid w:val="00236709"/>
    <w:rsid w:val="00240899"/>
    <w:rsid w:val="002415D4"/>
    <w:rsid w:val="002436BF"/>
    <w:rsid w:val="00245F35"/>
    <w:rsid w:val="00246791"/>
    <w:rsid w:val="00246AE4"/>
    <w:rsid w:val="00246DA4"/>
    <w:rsid w:val="002472AA"/>
    <w:rsid w:val="00247A86"/>
    <w:rsid w:val="00247B43"/>
    <w:rsid w:val="00247FD1"/>
    <w:rsid w:val="002500F9"/>
    <w:rsid w:val="002503AF"/>
    <w:rsid w:val="002510C1"/>
    <w:rsid w:val="0025143F"/>
    <w:rsid w:val="00251521"/>
    <w:rsid w:val="00251AC8"/>
    <w:rsid w:val="00251FBD"/>
    <w:rsid w:val="00252990"/>
    <w:rsid w:val="00253513"/>
    <w:rsid w:val="00253B40"/>
    <w:rsid w:val="00254021"/>
    <w:rsid w:val="002543EC"/>
    <w:rsid w:val="00254E6C"/>
    <w:rsid w:val="00254EA9"/>
    <w:rsid w:val="00255568"/>
    <w:rsid w:val="00255710"/>
    <w:rsid w:val="0025592F"/>
    <w:rsid w:val="00255B3C"/>
    <w:rsid w:val="0025626E"/>
    <w:rsid w:val="002574A9"/>
    <w:rsid w:val="002604D4"/>
    <w:rsid w:val="0026108B"/>
    <w:rsid w:val="0026152E"/>
    <w:rsid w:val="00263970"/>
    <w:rsid w:val="00263CD6"/>
    <w:rsid w:val="00264CDF"/>
    <w:rsid w:val="00266549"/>
    <w:rsid w:val="0026676F"/>
    <w:rsid w:val="00266E17"/>
    <w:rsid w:val="00267B3E"/>
    <w:rsid w:val="00270246"/>
    <w:rsid w:val="00270665"/>
    <w:rsid w:val="00270AF7"/>
    <w:rsid w:val="00271FFE"/>
    <w:rsid w:val="00272C89"/>
    <w:rsid w:val="00272DF3"/>
    <w:rsid w:val="00273230"/>
    <w:rsid w:val="002733DE"/>
    <w:rsid w:val="002746C2"/>
    <w:rsid w:val="00274A8C"/>
    <w:rsid w:val="00274D93"/>
    <w:rsid w:val="0027602F"/>
    <w:rsid w:val="0027714B"/>
    <w:rsid w:val="00277ED9"/>
    <w:rsid w:val="00277FF5"/>
    <w:rsid w:val="00280E1F"/>
    <w:rsid w:val="00280F97"/>
    <w:rsid w:val="00281B91"/>
    <w:rsid w:val="00282BF9"/>
    <w:rsid w:val="00283567"/>
    <w:rsid w:val="0028359B"/>
    <w:rsid w:val="00283A90"/>
    <w:rsid w:val="00283BBA"/>
    <w:rsid w:val="002843CE"/>
    <w:rsid w:val="00284B33"/>
    <w:rsid w:val="00284CD5"/>
    <w:rsid w:val="00284EBC"/>
    <w:rsid w:val="0028511E"/>
    <w:rsid w:val="002861D0"/>
    <w:rsid w:val="00286F42"/>
    <w:rsid w:val="002871FF"/>
    <w:rsid w:val="00287F1A"/>
    <w:rsid w:val="00290AA7"/>
    <w:rsid w:val="00291079"/>
    <w:rsid w:val="00291E88"/>
    <w:rsid w:val="00292D69"/>
    <w:rsid w:val="0029389B"/>
    <w:rsid w:val="002939CF"/>
    <w:rsid w:val="00293F82"/>
    <w:rsid w:val="0029455F"/>
    <w:rsid w:val="0029461B"/>
    <w:rsid w:val="00295075"/>
    <w:rsid w:val="00295C6F"/>
    <w:rsid w:val="00295F58"/>
    <w:rsid w:val="002967C6"/>
    <w:rsid w:val="00297877"/>
    <w:rsid w:val="002A07F8"/>
    <w:rsid w:val="002A09DF"/>
    <w:rsid w:val="002A10A8"/>
    <w:rsid w:val="002A14BA"/>
    <w:rsid w:val="002A2F45"/>
    <w:rsid w:val="002A31FA"/>
    <w:rsid w:val="002A429F"/>
    <w:rsid w:val="002A44EF"/>
    <w:rsid w:val="002A5376"/>
    <w:rsid w:val="002A5449"/>
    <w:rsid w:val="002A545E"/>
    <w:rsid w:val="002A5ABE"/>
    <w:rsid w:val="002A5FF6"/>
    <w:rsid w:val="002A6AAC"/>
    <w:rsid w:val="002A6AF2"/>
    <w:rsid w:val="002A7B60"/>
    <w:rsid w:val="002A7F13"/>
    <w:rsid w:val="002B06F0"/>
    <w:rsid w:val="002B17B9"/>
    <w:rsid w:val="002B1D7D"/>
    <w:rsid w:val="002B2B1E"/>
    <w:rsid w:val="002B31A5"/>
    <w:rsid w:val="002B32C4"/>
    <w:rsid w:val="002B45F1"/>
    <w:rsid w:val="002B4D13"/>
    <w:rsid w:val="002B5215"/>
    <w:rsid w:val="002B6325"/>
    <w:rsid w:val="002B65F3"/>
    <w:rsid w:val="002B6C90"/>
    <w:rsid w:val="002B6E02"/>
    <w:rsid w:val="002B7227"/>
    <w:rsid w:val="002B72FF"/>
    <w:rsid w:val="002B79BE"/>
    <w:rsid w:val="002B7E70"/>
    <w:rsid w:val="002C0658"/>
    <w:rsid w:val="002C0E3B"/>
    <w:rsid w:val="002C2573"/>
    <w:rsid w:val="002C2E61"/>
    <w:rsid w:val="002C2F99"/>
    <w:rsid w:val="002C4BA9"/>
    <w:rsid w:val="002C56CB"/>
    <w:rsid w:val="002C5AD8"/>
    <w:rsid w:val="002C69CB"/>
    <w:rsid w:val="002C70AC"/>
    <w:rsid w:val="002C7263"/>
    <w:rsid w:val="002C7A46"/>
    <w:rsid w:val="002D020A"/>
    <w:rsid w:val="002D05AD"/>
    <w:rsid w:val="002D2A5B"/>
    <w:rsid w:val="002D38A6"/>
    <w:rsid w:val="002D4D16"/>
    <w:rsid w:val="002D5750"/>
    <w:rsid w:val="002D57EA"/>
    <w:rsid w:val="002D6591"/>
    <w:rsid w:val="002D6E3C"/>
    <w:rsid w:val="002D70EC"/>
    <w:rsid w:val="002D7FC6"/>
    <w:rsid w:val="002E074F"/>
    <w:rsid w:val="002E2099"/>
    <w:rsid w:val="002E2B41"/>
    <w:rsid w:val="002E373C"/>
    <w:rsid w:val="002E3881"/>
    <w:rsid w:val="002E3C72"/>
    <w:rsid w:val="002E3DF0"/>
    <w:rsid w:val="002E3FF5"/>
    <w:rsid w:val="002E40BB"/>
    <w:rsid w:val="002E50BA"/>
    <w:rsid w:val="002E520F"/>
    <w:rsid w:val="002E7583"/>
    <w:rsid w:val="002E7E69"/>
    <w:rsid w:val="002F0223"/>
    <w:rsid w:val="002F03AD"/>
    <w:rsid w:val="002F0B40"/>
    <w:rsid w:val="002F19E9"/>
    <w:rsid w:val="002F2021"/>
    <w:rsid w:val="002F26E2"/>
    <w:rsid w:val="002F4496"/>
    <w:rsid w:val="002F5767"/>
    <w:rsid w:val="002F5BBE"/>
    <w:rsid w:val="002F793B"/>
    <w:rsid w:val="002F7FCB"/>
    <w:rsid w:val="003008F0"/>
    <w:rsid w:val="00300AFC"/>
    <w:rsid w:val="0030130D"/>
    <w:rsid w:val="00301575"/>
    <w:rsid w:val="00301643"/>
    <w:rsid w:val="0030183F"/>
    <w:rsid w:val="00301906"/>
    <w:rsid w:val="00301A4E"/>
    <w:rsid w:val="003022BF"/>
    <w:rsid w:val="00302638"/>
    <w:rsid w:val="00302848"/>
    <w:rsid w:val="00302CAA"/>
    <w:rsid w:val="003031B6"/>
    <w:rsid w:val="00303FCE"/>
    <w:rsid w:val="00304E25"/>
    <w:rsid w:val="00305765"/>
    <w:rsid w:val="00306682"/>
    <w:rsid w:val="003073B4"/>
    <w:rsid w:val="0030778D"/>
    <w:rsid w:val="00307832"/>
    <w:rsid w:val="00307E72"/>
    <w:rsid w:val="00310AA4"/>
    <w:rsid w:val="00312393"/>
    <w:rsid w:val="003131F1"/>
    <w:rsid w:val="00313A0F"/>
    <w:rsid w:val="00314927"/>
    <w:rsid w:val="0031553F"/>
    <w:rsid w:val="00315AFB"/>
    <w:rsid w:val="00315DBB"/>
    <w:rsid w:val="00320136"/>
    <w:rsid w:val="00320A42"/>
    <w:rsid w:val="00320F4D"/>
    <w:rsid w:val="00320FDF"/>
    <w:rsid w:val="00321171"/>
    <w:rsid w:val="0032121C"/>
    <w:rsid w:val="00321A76"/>
    <w:rsid w:val="00321EC7"/>
    <w:rsid w:val="00321F80"/>
    <w:rsid w:val="0032228F"/>
    <w:rsid w:val="00323A4B"/>
    <w:rsid w:val="00324386"/>
    <w:rsid w:val="00324758"/>
    <w:rsid w:val="0032494C"/>
    <w:rsid w:val="00325F7B"/>
    <w:rsid w:val="0032694C"/>
    <w:rsid w:val="003269AD"/>
    <w:rsid w:val="00326D80"/>
    <w:rsid w:val="003278F5"/>
    <w:rsid w:val="00327EB1"/>
    <w:rsid w:val="003304F9"/>
    <w:rsid w:val="003317AE"/>
    <w:rsid w:val="0033185A"/>
    <w:rsid w:val="00332329"/>
    <w:rsid w:val="003325C8"/>
    <w:rsid w:val="0033265E"/>
    <w:rsid w:val="003329C9"/>
    <w:rsid w:val="00332C3C"/>
    <w:rsid w:val="00332E03"/>
    <w:rsid w:val="00333548"/>
    <w:rsid w:val="0033375F"/>
    <w:rsid w:val="00333AB8"/>
    <w:rsid w:val="00334313"/>
    <w:rsid w:val="0033432F"/>
    <w:rsid w:val="00334A39"/>
    <w:rsid w:val="00334D05"/>
    <w:rsid w:val="003351EA"/>
    <w:rsid w:val="003357B8"/>
    <w:rsid w:val="00336725"/>
    <w:rsid w:val="00337DC5"/>
    <w:rsid w:val="00337F92"/>
    <w:rsid w:val="0034196B"/>
    <w:rsid w:val="00341F8F"/>
    <w:rsid w:val="00342C1E"/>
    <w:rsid w:val="003438E0"/>
    <w:rsid w:val="00345320"/>
    <w:rsid w:val="00345BB7"/>
    <w:rsid w:val="0034612F"/>
    <w:rsid w:val="003461D3"/>
    <w:rsid w:val="00346EB6"/>
    <w:rsid w:val="003475C4"/>
    <w:rsid w:val="00347846"/>
    <w:rsid w:val="00351914"/>
    <w:rsid w:val="00351ABB"/>
    <w:rsid w:val="00351F69"/>
    <w:rsid w:val="003526C4"/>
    <w:rsid w:val="00352E58"/>
    <w:rsid w:val="00353B42"/>
    <w:rsid w:val="00354EDB"/>
    <w:rsid w:val="00355125"/>
    <w:rsid w:val="0035675C"/>
    <w:rsid w:val="00356C83"/>
    <w:rsid w:val="00356F4E"/>
    <w:rsid w:val="0035786D"/>
    <w:rsid w:val="003601B9"/>
    <w:rsid w:val="00360FE3"/>
    <w:rsid w:val="00361AE0"/>
    <w:rsid w:val="00364288"/>
    <w:rsid w:val="0036488B"/>
    <w:rsid w:val="0036545D"/>
    <w:rsid w:val="00365DB5"/>
    <w:rsid w:val="00367382"/>
    <w:rsid w:val="00370733"/>
    <w:rsid w:val="0037132C"/>
    <w:rsid w:val="0037141F"/>
    <w:rsid w:val="00372174"/>
    <w:rsid w:val="00372472"/>
    <w:rsid w:val="003730ED"/>
    <w:rsid w:val="0037343B"/>
    <w:rsid w:val="00373B4D"/>
    <w:rsid w:val="00374BFC"/>
    <w:rsid w:val="0037511C"/>
    <w:rsid w:val="00375270"/>
    <w:rsid w:val="00375889"/>
    <w:rsid w:val="0037630C"/>
    <w:rsid w:val="0037647F"/>
    <w:rsid w:val="00376CCE"/>
    <w:rsid w:val="00376CE9"/>
    <w:rsid w:val="00377816"/>
    <w:rsid w:val="00377DC2"/>
    <w:rsid w:val="003808A9"/>
    <w:rsid w:val="00380B49"/>
    <w:rsid w:val="00381C72"/>
    <w:rsid w:val="00381FD7"/>
    <w:rsid w:val="00383529"/>
    <w:rsid w:val="00383868"/>
    <w:rsid w:val="0038413F"/>
    <w:rsid w:val="00385801"/>
    <w:rsid w:val="00385B75"/>
    <w:rsid w:val="00385F66"/>
    <w:rsid w:val="00386DEE"/>
    <w:rsid w:val="00387472"/>
    <w:rsid w:val="0038776E"/>
    <w:rsid w:val="00387FD3"/>
    <w:rsid w:val="0039077E"/>
    <w:rsid w:val="00390A4B"/>
    <w:rsid w:val="003912BD"/>
    <w:rsid w:val="0039188E"/>
    <w:rsid w:val="00391AD7"/>
    <w:rsid w:val="00392386"/>
    <w:rsid w:val="003936EA"/>
    <w:rsid w:val="00393832"/>
    <w:rsid w:val="0039384B"/>
    <w:rsid w:val="003938E8"/>
    <w:rsid w:val="00393D7B"/>
    <w:rsid w:val="00393F37"/>
    <w:rsid w:val="00394107"/>
    <w:rsid w:val="0039415B"/>
    <w:rsid w:val="0039435E"/>
    <w:rsid w:val="00396577"/>
    <w:rsid w:val="00396C2C"/>
    <w:rsid w:val="0039709F"/>
    <w:rsid w:val="003971D1"/>
    <w:rsid w:val="00397EFF"/>
    <w:rsid w:val="003A01A5"/>
    <w:rsid w:val="003A0279"/>
    <w:rsid w:val="003A1270"/>
    <w:rsid w:val="003A195F"/>
    <w:rsid w:val="003A2452"/>
    <w:rsid w:val="003A24C5"/>
    <w:rsid w:val="003A34AA"/>
    <w:rsid w:val="003A3631"/>
    <w:rsid w:val="003A3A13"/>
    <w:rsid w:val="003A3EAD"/>
    <w:rsid w:val="003A3F1F"/>
    <w:rsid w:val="003A45BF"/>
    <w:rsid w:val="003A4771"/>
    <w:rsid w:val="003A48BB"/>
    <w:rsid w:val="003A5BA7"/>
    <w:rsid w:val="003A6334"/>
    <w:rsid w:val="003A6958"/>
    <w:rsid w:val="003A6AB6"/>
    <w:rsid w:val="003A6DF5"/>
    <w:rsid w:val="003A743E"/>
    <w:rsid w:val="003B166A"/>
    <w:rsid w:val="003B16F4"/>
    <w:rsid w:val="003B20B1"/>
    <w:rsid w:val="003B28E8"/>
    <w:rsid w:val="003B2FC5"/>
    <w:rsid w:val="003B3327"/>
    <w:rsid w:val="003B3D2C"/>
    <w:rsid w:val="003B52EB"/>
    <w:rsid w:val="003B5E3F"/>
    <w:rsid w:val="003B679A"/>
    <w:rsid w:val="003B74D6"/>
    <w:rsid w:val="003B75CA"/>
    <w:rsid w:val="003C01EF"/>
    <w:rsid w:val="003C03CF"/>
    <w:rsid w:val="003C1ECE"/>
    <w:rsid w:val="003C2409"/>
    <w:rsid w:val="003C2489"/>
    <w:rsid w:val="003C2615"/>
    <w:rsid w:val="003C2C2B"/>
    <w:rsid w:val="003C312F"/>
    <w:rsid w:val="003C3EA4"/>
    <w:rsid w:val="003C46D7"/>
    <w:rsid w:val="003C47DD"/>
    <w:rsid w:val="003C495D"/>
    <w:rsid w:val="003C4C47"/>
    <w:rsid w:val="003C4C60"/>
    <w:rsid w:val="003C50A1"/>
    <w:rsid w:val="003C57E4"/>
    <w:rsid w:val="003C5CC2"/>
    <w:rsid w:val="003C64B0"/>
    <w:rsid w:val="003C68FB"/>
    <w:rsid w:val="003C74B8"/>
    <w:rsid w:val="003C7556"/>
    <w:rsid w:val="003C7804"/>
    <w:rsid w:val="003D0CA0"/>
    <w:rsid w:val="003D12D6"/>
    <w:rsid w:val="003D284C"/>
    <w:rsid w:val="003D31FE"/>
    <w:rsid w:val="003D3414"/>
    <w:rsid w:val="003D3C6E"/>
    <w:rsid w:val="003D3E99"/>
    <w:rsid w:val="003D4831"/>
    <w:rsid w:val="003D4BC5"/>
    <w:rsid w:val="003D5032"/>
    <w:rsid w:val="003E059C"/>
    <w:rsid w:val="003E114D"/>
    <w:rsid w:val="003E229F"/>
    <w:rsid w:val="003E2314"/>
    <w:rsid w:val="003E25D5"/>
    <w:rsid w:val="003E2A81"/>
    <w:rsid w:val="003E33F2"/>
    <w:rsid w:val="003E3C30"/>
    <w:rsid w:val="003E435B"/>
    <w:rsid w:val="003E46F0"/>
    <w:rsid w:val="003E5C45"/>
    <w:rsid w:val="003E5E24"/>
    <w:rsid w:val="003E64BB"/>
    <w:rsid w:val="003E65A3"/>
    <w:rsid w:val="003E6D7B"/>
    <w:rsid w:val="003E7089"/>
    <w:rsid w:val="003E79DC"/>
    <w:rsid w:val="003F017A"/>
    <w:rsid w:val="003F056F"/>
    <w:rsid w:val="003F0778"/>
    <w:rsid w:val="003F0BCC"/>
    <w:rsid w:val="003F1454"/>
    <w:rsid w:val="003F2642"/>
    <w:rsid w:val="003F3B00"/>
    <w:rsid w:val="003F3F30"/>
    <w:rsid w:val="003F4D9F"/>
    <w:rsid w:val="003F5EA1"/>
    <w:rsid w:val="003F66B0"/>
    <w:rsid w:val="003F68EE"/>
    <w:rsid w:val="003F7C66"/>
    <w:rsid w:val="00400774"/>
    <w:rsid w:val="004008F6"/>
    <w:rsid w:val="004019A5"/>
    <w:rsid w:val="00402A46"/>
    <w:rsid w:val="004038E7"/>
    <w:rsid w:val="00403CB9"/>
    <w:rsid w:val="0040483D"/>
    <w:rsid w:val="00405720"/>
    <w:rsid w:val="00405B1A"/>
    <w:rsid w:val="00406461"/>
    <w:rsid w:val="004067E0"/>
    <w:rsid w:val="00406889"/>
    <w:rsid w:val="004073B5"/>
    <w:rsid w:val="00407517"/>
    <w:rsid w:val="0040787F"/>
    <w:rsid w:val="00407C42"/>
    <w:rsid w:val="00407E17"/>
    <w:rsid w:val="00410E7F"/>
    <w:rsid w:val="00410F8E"/>
    <w:rsid w:val="0041108C"/>
    <w:rsid w:val="00411174"/>
    <w:rsid w:val="0041123F"/>
    <w:rsid w:val="00411D25"/>
    <w:rsid w:val="0041208D"/>
    <w:rsid w:val="004120A6"/>
    <w:rsid w:val="00412D95"/>
    <w:rsid w:val="004132A4"/>
    <w:rsid w:val="004139E3"/>
    <w:rsid w:val="004149F9"/>
    <w:rsid w:val="004159BE"/>
    <w:rsid w:val="00417183"/>
    <w:rsid w:val="00417734"/>
    <w:rsid w:val="00417BBF"/>
    <w:rsid w:val="004200FF"/>
    <w:rsid w:val="00420AB2"/>
    <w:rsid w:val="00421571"/>
    <w:rsid w:val="00422695"/>
    <w:rsid w:val="00422A4E"/>
    <w:rsid w:val="00422BBD"/>
    <w:rsid w:val="00422CAD"/>
    <w:rsid w:val="00423091"/>
    <w:rsid w:val="004232F7"/>
    <w:rsid w:val="004235B5"/>
    <w:rsid w:val="00423794"/>
    <w:rsid w:val="00423ABD"/>
    <w:rsid w:val="00423F85"/>
    <w:rsid w:val="004308AB"/>
    <w:rsid w:val="0043136B"/>
    <w:rsid w:val="00431DD4"/>
    <w:rsid w:val="00431EFF"/>
    <w:rsid w:val="004323FD"/>
    <w:rsid w:val="0043385E"/>
    <w:rsid w:val="004347E1"/>
    <w:rsid w:val="004348C7"/>
    <w:rsid w:val="00434DA6"/>
    <w:rsid w:val="00436A54"/>
    <w:rsid w:val="00437C87"/>
    <w:rsid w:val="004409E1"/>
    <w:rsid w:val="0044139F"/>
    <w:rsid w:val="00441961"/>
    <w:rsid w:val="00441B86"/>
    <w:rsid w:val="00441D6C"/>
    <w:rsid w:val="004423EE"/>
    <w:rsid w:val="00442550"/>
    <w:rsid w:val="00442AB6"/>
    <w:rsid w:val="004444F8"/>
    <w:rsid w:val="0044529C"/>
    <w:rsid w:val="004454F7"/>
    <w:rsid w:val="00447324"/>
    <w:rsid w:val="00447DD8"/>
    <w:rsid w:val="0045003C"/>
    <w:rsid w:val="004510D3"/>
    <w:rsid w:val="0045130D"/>
    <w:rsid w:val="004515A0"/>
    <w:rsid w:val="0045178E"/>
    <w:rsid w:val="0045200E"/>
    <w:rsid w:val="004534CA"/>
    <w:rsid w:val="00453717"/>
    <w:rsid w:val="00453C73"/>
    <w:rsid w:val="00453E3A"/>
    <w:rsid w:val="004553A3"/>
    <w:rsid w:val="0045584B"/>
    <w:rsid w:val="004559BF"/>
    <w:rsid w:val="00455C39"/>
    <w:rsid w:val="004560E3"/>
    <w:rsid w:val="00456841"/>
    <w:rsid w:val="00456843"/>
    <w:rsid w:val="00456B0C"/>
    <w:rsid w:val="00457473"/>
    <w:rsid w:val="00457874"/>
    <w:rsid w:val="004604F6"/>
    <w:rsid w:val="00460C47"/>
    <w:rsid w:val="00463640"/>
    <w:rsid w:val="004640FA"/>
    <w:rsid w:val="00464BC0"/>
    <w:rsid w:val="00464E4D"/>
    <w:rsid w:val="0046596C"/>
    <w:rsid w:val="00465BBC"/>
    <w:rsid w:val="00467AC6"/>
    <w:rsid w:val="00470994"/>
    <w:rsid w:val="00470C8A"/>
    <w:rsid w:val="004721F1"/>
    <w:rsid w:val="0047323E"/>
    <w:rsid w:val="00473272"/>
    <w:rsid w:val="00473987"/>
    <w:rsid w:val="00473CCA"/>
    <w:rsid w:val="0047412C"/>
    <w:rsid w:val="004755E4"/>
    <w:rsid w:val="0047572E"/>
    <w:rsid w:val="00475DC3"/>
    <w:rsid w:val="00476C8B"/>
    <w:rsid w:val="00477078"/>
    <w:rsid w:val="004776D4"/>
    <w:rsid w:val="00477E42"/>
    <w:rsid w:val="0048040B"/>
    <w:rsid w:val="00480815"/>
    <w:rsid w:val="00480F86"/>
    <w:rsid w:val="00481C68"/>
    <w:rsid w:val="00481FAE"/>
    <w:rsid w:val="00482346"/>
    <w:rsid w:val="004824C0"/>
    <w:rsid w:val="00482781"/>
    <w:rsid w:val="00483CA1"/>
    <w:rsid w:val="004845CB"/>
    <w:rsid w:val="00484A77"/>
    <w:rsid w:val="0048511B"/>
    <w:rsid w:val="00485AA5"/>
    <w:rsid w:val="0048754C"/>
    <w:rsid w:val="00487C49"/>
    <w:rsid w:val="00487C6B"/>
    <w:rsid w:val="00491893"/>
    <w:rsid w:val="00491C84"/>
    <w:rsid w:val="00493416"/>
    <w:rsid w:val="004934F2"/>
    <w:rsid w:val="00493A44"/>
    <w:rsid w:val="00494EF7"/>
    <w:rsid w:val="00495557"/>
    <w:rsid w:val="0049717B"/>
    <w:rsid w:val="004A0225"/>
    <w:rsid w:val="004A0428"/>
    <w:rsid w:val="004A1342"/>
    <w:rsid w:val="004A1B86"/>
    <w:rsid w:val="004A3A08"/>
    <w:rsid w:val="004A3E80"/>
    <w:rsid w:val="004A404C"/>
    <w:rsid w:val="004A4362"/>
    <w:rsid w:val="004A5522"/>
    <w:rsid w:val="004A593E"/>
    <w:rsid w:val="004A6CAE"/>
    <w:rsid w:val="004A7DA1"/>
    <w:rsid w:val="004B1159"/>
    <w:rsid w:val="004B11C0"/>
    <w:rsid w:val="004B16C0"/>
    <w:rsid w:val="004B207A"/>
    <w:rsid w:val="004B301A"/>
    <w:rsid w:val="004B592E"/>
    <w:rsid w:val="004B5BB1"/>
    <w:rsid w:val="004B6370"/>
    <w:rsid w:val="004B69EA"/>
    <w:rsid w:val="004B6DAF"/>
    <w:rsid w:val="004B76C0"/>
    <w:rsid w:val="004B7782"/>
    <w:rsid w:val="004B795C"/>
    <w:rsid w:val="004B7A33"/>
    <w:rsid w:val="004B7C21"/>
    <w:rsid w:val="004C0AA1"/>
    <w:rsid w:val="004C1CE1"/>
    <w:rsid w:val="004C265C"/>
    <w:rsid w:val="004C2923"/>
    <w:rsid w:val="004C2BB0"/>
    <w:rsid w:val="004C2D72"/>
    <w:rsid w:val="004C3C57"/>
    <w:rsid w:val="004C3D07"/>
    <w:rsid w:val="004C4010"/>
    <w:rsid w:val="004C52A2"/>
    <w:rsid w:val="004C53A3"/>
    <w:rsid w:val="004C557F"/>
    <w:rsid w:val="004D002E"/>
    <w:rsid w:val="004D00D6"/>
    <w:rsid w:val="004D1338"/>
    <w:rsid w:val="004D1A37"/>
    <w:rsid w:val="004D20C5"/>
    <w:rsid w:val="004D20CA"/>
    <w:rsid w:val="004D21A0"/>
    <w:rsid w:val="004D24D0"/>
    <w:rsid w:val="004D27C1"/>
    <w:rsid w:val="004D2EEB"/>
    <w:rsid w:val="004D2F4A"/>
    <w:rsid w:val="004D3073"/>
    <w:rsid w:val="004D3668"/>
    <w:rsid w:val="004D4038"/>
    <w:rsid w:val="004D4D81"/>
    <w:rsid w:val="004D5035"/>
    <w:rsid w:val="004D53A5"/>
    <w:rsid w:val="004D54B6"/>
    <w:rsid w:val="004D56D1"/>
    <w:rsid w:val="004D5CDF"/>
    <w:rsid w:val="004D6517"/>
    <w:rsid w:val="004D711A"/>
    <w:rsid w:val="004E0689"/>
    <w:rsid w:val="004E07C7"/>
    <w:rsid w:val="004E0952"/>
    <w:rsid w:val="004E10B8"/>
    <w:rsid w:val="004E140F"/>
    <w:rsid w:val="004E1C4C"/>
    <w:rsid w:val="004E2922"/>
    <w:rsid w:val="004E38D2"/>
    <w:rsid w:val="004E3B4A"/>
    <w:rsid w:val="004E4011"/>
    <w:rsid w:val="004E419A"/>
    <w:rsid w:val="004E5134"/>
    <w:rsid w:val="004E5E71"/>
    <w:rsid w:val="004E6FA9"/>
    <w:rsid w:val="004E7594"/>
    <w:rsid w:val="004E7D2B"/>
    <w:rsid w:val="004F010A"/>
    <w:rsid w:val="004F01F5"/>
    <w:rsid w:val="004F0594"/>
    <w:rsid w:val="004F0EC5"/>
    <w:rsid w:val="004F0F9A"/>
    <w:rsid w:val="004F132E"/>
    <w:rsid w:val="004F1829"/>
    <w:rsid w:val="004F2AC1"/>
    <w:rsid w:val="004F2C4D"/>
    <w:rsid w:val="004F2D2C"/>
    <w:rsid w:val="004F3120"/>
    <w:rsid w:val="004F4244"/>
    <w:rsid w:val="004F4D47"/>
    <w:rsid w:val="004F5685"/>
    <w:rsid w:val="004F5906"/>
    <w:rsid w:val="004F5AB5"/>
    <w:rsid w:val="004F5CF7"/>
    <w:rsid w:val="004F60A4"/>
    <w:rsid w:val="004F6522"/>
    <w:rsid w:val="004F7268"/>
    <w:rsid w:val="004F7772"/>
    <w:rsid w:val="0050072F"/>
    <w:rsid w:val="00500FB2"/>
    <w:rsid w:val="00501097"/>
    <w:rsid w:val="00501BD1"/>
    <w:rsid w:val="00502313"/>
    <w:rsid w:val="005050E8"/>
    <w:rsid w:val="00506079"/>
    <w:rsid w:val="00506549"/>
    <w:rsid w:val="0050665A"/>
    <w:rsid w:val="00506715"/>
    <w:rsid w:val="00506B12"/>
    <w:rsid w:val="00506DC0"/>
    <w:rsid w:val="0050728D"/>
    <w:rsid w:val="00507E47"/>
    <w:rsid w:val="0051019B"/>
    <w:rsid w:val="00510228"/>
    <w:rsid w:val="00511109"/>
    <w:rsid w:val="005112AB"/>
    <w:rsid w:val="005119E2"/>
    <w:rsid w:val="00511ED7"/>
    <w:rsid w:val="00512270"/>
    <w:rsid w:val="005132A5"/>
    <w:rsid w:val="00514119"/>
    <w:rsid w:val="00514D11"/>
    <w:rsid w:val="00515540"/>
    <w:rsid w:val="00516DD0"/>
    <w:rsid w:val="005176E4"/>
    <w:rsid w:val="00517E22"/>
    <w:rsid w:val="00517EAD"/>
    <w:rsid w:val="00521673"/>
    <w:rsid w:val="005231FB"/>
    <w:rsid w:val="005233F4"/>
    <w:rsid w:val="00523F99"/>
    <w:rsid w:val="005242F9"/>
    <w:rsid w:val="0052430D"/>
    <w:rsid w:val="005254A5"/>
    <w:rsid w:val="00525A0E"/>
    <w:rsid w:val="00526B17"/>
    <w:rsid w:val="005316F3"/>
    <w:rsid w:val="005327ED"/>
    <w:rsid w:val="00532903"/>
    <w:rsid w:val="00533120"/>
    <w:rsid w:val="00533179"/>
    <w:rsid w:val="005331DF"/>
    <w:rsid w:val="00533210"/>
    <w:rsid w:val="00533536"/>
    <w:rsid w:val="0053440E"/>
    <w:rsid w:val="0053486E"/>
    <w:rsid w:val="00534B3A"/>
    <w:rsid w:val="00534E94"/>
    <w:rsid w:val="00534FFE"/>
    <w:rsid w:val="00535456"/>
    <w:rsid w:val="00536719"/>
    <w:rsid w:val="005371CE"/>
    <w:rsid w:val="00537BBA"/>
    <w:rsid w:val="00537C9F"/>
    <w:rsid w:val="005402F5"/>
    <w:rsid w:val="00541011"/>
    <w:rsid w:val="00541A1E"/>
    <w:rsid w:val="00543179"/>
    <w:rsid w:val="00544072"/>
    <w:rsid w:val="005446AB"/>
    <w:rsid w:val="005451C3"/>
    <w:rsid w:val="005456E7"/>
    <w:rsid w:val="00545AD2"/>
    <w:rsid w:val="0054693E"/>
    <w:rsid w:val="00546DDB"/>
    <w:rsid w:val="00547AE8"/>
    <w:rsid w:val="00547E61"/>
    <w:rsid w:val="005501BB"/>
    <w:rsid w:val="005508A1"/>
    <w:rsid w:val="005512A8"/>
    <w:rsid w:val="00551305"/>
    <w:rsid w:val="00551C22"/>
    <w:rsid w:val="005527D3"/>
    <w:rsid w:val="0055304B"/>
    <w:rsid w:val="0055362C"/>
    <w:rsid w:val="005536DB"/>
    <w:rsid w:val="0055389F"/>
    <w:rsid w:val="005540EB"/>
    <w:rsid w:val="0055505D"/>
    <w:rsid w:val="00555184"/>
    <w:rsid w:val="0055574B"/>
    <w:rsid w:val="00555E60"/>
    <w:rsid w:val="00556C4E"/>
    <w:rsid w:val="00556F1B"/>
    <w:rsid w:val="0055703F"/>
    <w:rsid w:val="00557796"/>
    <w:rsid w:val="00560142"/>
    <w:rsid w:val="005603C8"/>
    <w:rsid w:val="00561777"/>
    <w:rsid w:val="00561971"/>
    <w:rsid w:val="00562158"/>
    <w:rsid w:val="00562AEE"/>
    <w:rsid w:val="00563313"/>
    <w:rsid w:val="00563A34"/>
    <w:rsid w:val="00564C46"/>
    <w:rsid w:val="00565263"/>
    <w:rsid w:val="00565B9D"/>
    <w:rsid w:val="00566050"/>
    <w:rsid w:val="00566767"/>
    <w:rsid w:val="005669A7"/>
    <w:rsid w:val="00566EE2"/>
    <w:rsid w:val="0056787E"/>
    <w:rsid w:val="00570A83"/>
    <w:rsid w:val="00570A90"/>
    <w:rsid w:val="00570AF5"/>
    <w:rsid w:val="00571F8B"/>
    <w:rsid w:val="00572526"/>
    <w:rsid w:val="00572B6A"/>
    <w:rsid w:val="00573D11"/>
    <w:rsid w:val="00573D75"/>
    <w:rsid w:val="005748F4"/>
    <w:rsid w:val="00574FFB"/>
    <w:rsid w:val="0057516D"/>
    <w:rsid w:val="00575A46"/>
    <w:rsid w:val="00575A68"/>
    <w:rsid w:val="00576882"/>
    <w:rsid w:val="00577911"/>
    <w:rsid w:val="00577CE5"/>
    <w:rsid w:val="0058009E"/>
    <w:rsid w:val="005825DC"/>
    <w:rsid w:val="00583727"/>
    <w:rsid w:val="00584B6A"/>
    <w:rsid w:val="00585082"/>
    <w:rsid w:val="00585FAE"/>
    <w:rsid w:val="00586F59"/>
    <w:rsid w:val="00592FE1"/>
    <w:rsid w:val="005946D3"/>
    <w:rsid w:val="00595658"/>
    <w:rsid w:val="00595B94"/>
    <w:rsid w:val="00596E9A"/>
    <w:rsid w:val="005A0DE2"/>
    <w:rsid w:val="005A1B46"/>
    <w:rsid w:val="005A1E28"/>
    <w:rsid w:val="005A29DD"/>
    <w:rsid w:val="005A40BC"/>
    <w:rsid w:val="005A430A"/>
    <w:rsid w:val="005A47C4"/>
    <w:rsid w:val="005A555B"/>
    <w:rsid w:val="005A5E3E"/>
    <w:rsid w:val="005A63F1"/>
    <w:rsid w:val="005A7333"/>
    <w:rsid w:val="005A75C6"/>
    <w:rsid w:val="005B0626"/>
    <w:rsid w:val="005B07AF"/>
    <w:rsid w:val="005B0920"/>
    <w:rsid w:val="005B2A57"/>
    <w:rsid w:val="005B2B60"/>
    <w:rsid w:val="005B310C"/>
    <w:rsid w:val="005B31E9"/>
    <w:rsid w:val="005B570E"/>
    <w:rsid w:val="005B6C83"/>
    <w:rsid w:val="005B6DC2"/>
    <w:rsid w:val="005C0112"/>
    <w:rsid w:val="005C15A9"/>
    <w:rsid w:val="005C2A47"/>
    <w:rsid w:val="005C2AC4"/>
    <w:rsid w:val="005C305E"/>
    <w:rsid w:val="005C33D5"/>
    <w:rsid w:val="005C457E"/>
    <w:rsid w:val="005C5131"/>
    <w:rsid w:val="005C5B8D"/>
    <w:rsid w:val="005C6329"/>
    <w:rsid w:val="005C64B0"/>
    <w:rsid w:val="005C6B32"/>
    <w:rsid w:val="005C73CC"/>
    <w:rsid w:val="005C7A2D"/>
    <w:rsid w:val="005C7C1E"/>
    <w:rsid w:val="005C7D20"/>
    <w:rsid w:val="005D013C"/>
    <w:rsid w:val="005D071C"/>
    <w:rsid w:val="005D07DC"/>
    <w:rsid w:val="005D1F6B"/>
    <w:rsid w:val="005D238F"/>
    <w:rsid w:val="005D2F73"/>
    <w:rsid w:val="005D3026"/>
    <w:rsid w:val="005D38ED"/>
    <w:rsid w:val="005D392D"/>
    <w:rsid w:val="005D3A37"/>
    <w:rsid w:val="005D48C9"/>
    <w:rsid w:val="005D4952"/>
    <w:rsid w:val="005D4A65"/>
    <w:rsid w:val="005D5711"/>
    <w:rsid w:val="005D59B7"/>
    <w:rsid w:val="005D5AA9"/>
    <w:rsid w:val="005D5F25"/>
    <w:rsid w:val="005D6434"/>
    <w:rsid w:val="005D6529"/>
    <w:rsid w:val="005D68AB"/>
    <w:rsid w:val="005D6E3C"/>
    <w:rsid w:val="005D7B40"/>
    <w:rsid w:val="005E0292"/>
    <w:rsid w:val="005E0A41"/>
    <w:rsid w:val="005E1C23"/>
    <w:rsid w:val="005E1E75"/>
    <w:rsid w:val="005E1FDA"/>
    <w:rsid w:val="005E2A54"/>
    <w:rsid w:val="005E45A1"/>
    <w:rsid w:val="005E52AD"/>
    <w:rsid w:val="005E5663"/>
    <w:rsid w:val="005E5910"/>
    <w:rsid w:val="005E6F0D"/>
    <w:rsid w:val="005E6FC2"/>
    <w:rsid w:val="005E7334"/>
    <w:rsid w:val="005E7840"/>
    <w:rsid w:val="005E798B"/>
    <w:rsid w:val="005F0365"/>
    <w:rsid w:val="005F0395"/>
    <w:rsid w:val="005F0604"/>
    <w:rsid w:val="005F0823"/>
    <w:rsid w:val="005F1629"/>
    <w:rsid w:val="005F1CAC"/>
    <w:rsid w:val="005F1FEE"/>
    <w:rsid w:val="005F2001"/>
    <w:rsid w:val="005F2BDD"/>
    <w:rsid w:val="005F325F"/>
    <w:rsid w:val="005F3567"/>
    <w:rsid w:val="005F487D"/>
    <w:rsid w:val="005F5A06"/>
    <w:rsid w:val="005F631A"/>
    <w:rsid w:val="005F6519"/>
    <w:rsid w:val="005F6748"/>
    <w:rsid w:val="005F6F74"/>
    <w:rsid w:val="005F7C07"/>
    <w:rsid w:val="005F7CC2"/>
    <w:rsid w:val="006028B7"/>
    <w:rsid w:val="0060303B"/>
    <w:rsid w:val="00603959"/>
    <w:rsid w:val="006046E3"/>
    <w:rsid w:val="00604BDF"/>
    <w:rsid w:val="00605211"/>
    <w:rsid w:val="00605700"/>
    <w:rsid w:val="006063C2"/>
    <w:rsid w:val="00606C2F"/>
    <w:rsid w:val="0060737C"/>
    <w:rsid w:val="006112EB"/>
    <w:rsid w:val="00611697"/>
    <w:rsid w:val="006117BB"/>
    <w:rsid w:val="00611D7D"/>
    <w:rsid w:val="00611E97"/>
    <w:rsid w:val="00611FF1"/>
    <w:rsid w:val="006126EB"/>
    <w:rsid w:val="00612E87"/>
    <w:rsid w:val="0061310B"/>
    <w:rsid w:val="00613516"/>
    <w:rsid w:val="00613E09"/>
    <w:rsid w:val="00614A4C"/>
    <w:rsid w:val="00614A92"/>
    <w:rsid w:val="00614EB1"/>
    <w:rsid w:val="00615A44"/>
    <w:rsid w:val="006173B1"/>
    <w:rsid w:val="00617CF5"/>
    <w:rsid w:val="00617FF2"/>
    <w:rsid w:val="0062063B"/>
    <w:rsid w:val="00620869"/>
    <w:rsid w:val="00621450"/>
    <w:rsid w:val="00621701"/>
    <w:rsid w:val="00621945"/>
    <w:rsid w:val="00621E4F"/>
    <w:rsid w:val="00622480"/>
    <w:rsid w:val="00622C1D"/>
    <w:rsid w:val="00622EDB"/>
    <w:rsid w:val="00624FE8"/>
    <w:rsid w:val="00625D5A"/>
    <w:rsid w:val="0062697B"/>
    <w:rsid w:val="00626A62"/>
    <w:rsid w:val="00626B78"/>
    <w:rsid w:val="00626EC2"/>
    <w:rsid w:val="006272AD"/>
    <w:rsid w:val="0062771A"/>
    <w:rsid w:val="00627D3E"/>
    <w:rsid w:val="0063141B"/>
    <w:rsid w:val="0063191C"/>
    <w:rsid w:val="006324E6"/>
    <w:rsid w:val="0063467D"/>
    <w:rsid w:val="0063490A"/>
    <w:rsid w:val="00635AC5"/>
    <w:rsid w:val="00636D99"/>
    <w:rsid w:val="00637265"/>
    <w:rsid w:val="00637A0D"/>
    <w:rsid w:val="00641406"/>
    <w:rsid w:val="0064188F"/>
    <w:rsid w:val="00641BE8"/>
    <w:rsid w:val="00642703"/>
    <w:rsid w:val="00644731"/>
    <w:rsid w:val="00644A6D"/>
    <w:rsid w:val="00646F55"/>
    <w:rsid w:val="006476A7"/>
    <w:rsid w:val="00647A1E"/>
    <w:rsid w:val="00647D58"/>
    <w:rsid w:val="00647D65"/>
    <w:rsid w:val="006500B9"/>
    <w:rsid w:val="006502BD"/>
    <w:rsid w:val="00650C4F"/>
    <w:rsid w:val="00650F4C"/>
    <w:rsid w:val="00652155"/>
    <w:rsid w:val="006524FC"/>
    <w:rsid w:val="0065306A"/>
    <w:rsid w:val="0065410F"/>
    <w:rsid w:val="00654DC9"/>
    <w:rsid w:val="00654E37"/>
    <w:rsid w:val="006558A6"/>
    <w:rsid w:val="00655B9A"/>
    <w:rsid w:val="00656006"/>
    <w:rsid w:val="0065641D"/>
    <w:rsid w:val="006566F7"/>
    <w:rsid w:val="00656D42"/>
    <w:rsid w:val="00656EA9"/>
    <w:rsid w:val="00656EEB"/>
    <w:rsid w:val="0065731C"/>
    <w:rsid w:val="00660AC0"/>
    <w:rsid w:val="00660DF0"/>
    <w:rsid w:val="00661E25"/>
    <w:rsid w:val="00661F08"/>
    <w:rsid w:val="006621DD"/>
    <w:rsid w:val="0066238A"/>
    <w:rsid w:val="00662A4B"/>
    <w:rsid w:val="00662F5B"/>
    <w:rsid w:val="00663F81"/>
    <w:rsid w:val="006649B9"/>
    <w:rsid w:val="00665356"/>
    <w:rsid w:val="00666569"/>
    <w:rsid w:val="0066693B"/>
    <w:rsid w:val="00667ED1"/>
    <w:rsid w:val="00671BC9"/>
    <w:rsid w:val="006726C4"/>
    <w:rsid w:val="006728EB"/>
    <w:rsid w:val="00674902"/>
    <w:rsid w:val="00675412"/>
    <w:rsid w:val="00675511"/>
    <w:rsid w:val="00676B31"/>
    <w:rsid w:val="00676C0A"/>
    <w:rsid w:val="006777C5"/>
    <w:rsid w:val="0068063D"/>
    <w:rsid w:val="00681351"/>
    <w:rsid w:val="00681370"/>
    <w:rsid w:val="00681492"/>
    <w:rsid w:val="00682644"/>
    <w:rsid w:val="00682BD2"/>
    <w:rsid w:val="00683270"/>
    <w:rsid w:val="00683CB6"/>
    <w:rsid w:val="00683DFD"/>
    <w:rsid w:val="00684245"/>
    <w:rsid w:val="006842A5"/>
    <w:rsid w:val="006845F3"/>
    <w:rsid w:val="00684C63"/>
    <w:rsid w:val="00684F73"/>
    <w:rsid w:val="00686498"/>
    <w:rsid w:val="00686992"/>
    <w:rsid w:val="00687B65"/>
    <w:rsid w:val="00691B6B"/>
    <w:rsid w:val="00691EDF"/>
    <w:rsid w:val="00693120"/>
    <w:rsid w:val="00693429"/>
    <w:rsid w:val="0069452F"/>
    <w:rsid w:val="00694C03"/>
    <w:rsid w:val="00695181"/>
    <w:rsid w:val="006954E0"/>
    <w:rsid w:val="0069551C"/>
    <w:rsid w:val="0069626B"/>
    <w:rsid w:val="00696E43"/>
    <w:rsid w:val="006978A0"/>
    <w:rsid w:val="00697E0C"/>
    <w:rsid w:val="006A07CD"/>
    <w:rsid w:val="006A1D4E"/>
    <w:rsid w:val="006A1E28"/>
    <w:rsid w:val="006A42A2"/>
    <w:rsid w:val="006A4FC6"/>
    <w:rsid w:val="006A545E"/>
    <w:rsid w:val="006A5715"/>
    <w:rsid w:val="006A6164"/>
    <w:rsid w:val="006A638A"/>
    <w:rsid w:val="006A6A52"/>
    <w:rsid w:val="006A6AC1"/>
    <w:rsid w:val="006A6E7B"/>
    <w:rsid w:val="006A7376"/>
    <w:rsid w:val="006A7B27"/>
    <w:rsid w:val="006A7DD5"/>
    <w:rsid w:val="006B0EC7"/>
    <w:rsid w:val="006B1496"/>
    <w:rsid w:val="006B1D3F"/>
    <w:rsid w:val="006B275D"/>
    <w:rsid w:val="006B4006"/>
    <w:rsid w:val="006B408E"/>
    <w:rsid w:val="006B4C94"/>
    <w:rsid w:val="006B4CFB"/>
    <w:rsid w:val="006B5941"/>
    <w:rsid w:val="006B5EC9"/>
    <w:rsid w:val="006B5F73"/>
    <w:rsid w:val="006B6F80"/>
    <w:rsid w:val="006B7B79"/>
    <w:rsid w:val="006C06E6"/>
    <w:rsid w:val="006C0DDE"/>
    <w:rsid w:val="006C17E1"/>
    <w:rsid w:val="006C221E"/>
    <w:rsid w:val="006C2249"/>
    <w:rsid w:val="006C2C97"/>
    <w:rsid w:val="006C309D"/>
    <w:rsid w:val="006C386D"/>
    <w:rsid w:val="006C3BE7"/>
    <w:rsid w:val="006C5BC7"/>
    <w:rsid w:val="006C7213"/>
    <w:rsid w:val="006C73D4"/>
    <w:rsid w:val="006C7C08"/>
    <w:rsid w:val="006D00E7"/>
    <w:rsid w:val="006D05AD"/>
    <w:rsid w:val="006D0614"/>
    <w:rsid w:val="006D1740"/>
    <w:rsid w:val="006D1F27"/>
    <w:rsid w:val="006D20B6"/>
    <w:rsid w:val="006D3260"/>
    <w:rsid w:val="006D3531"/>
    <w:rsid w:val="006D36A6"/>
    <w:rsid w:val="006D39B6"/>
    <w:rsid w:val="006D409C"/>
    <w:rsid w:val="006D5049"/>
    <w:rsid w:val="006D569F"/>
    <w:rsid w:val="006D5A98"/>
    <w:rsid w:val="006D5F32"/>
    <w:rsid w:val="006D652B"/>
    <w:rsid w:val="006D6EA0"/>
    <w:rsid w:val="006D6F4D"/>
    <w:rsid w:val="006E07BD"/>
    <w:rsid w:val="006E085F"/>
    <w:rsid w:val="006E0A90"/>
    <w:rsid w:val="006E1B01"/>
    <w:rsid w:val="006E25AC"/>
    <w:rsid w:val="006E28E0"/>
    <w:rsid w:val="006E2951"/>
    <w:rsid w:val="006E3120"/>
    <w:rsid w:val="006E404C"/>
    <w:rsid w:val="006E4CB7"/>
    <w:rsid w:val="006E5DD8"/>
    <w:rsid w:val="006E7056"/>
    <w:rsid w:val="006E7086"/>
    <w:rsid w:val="006F00A4"/>
    <w:rsid w:val="006F03AD"/>
    <w:rsid w:val="006F05CC"/>
    <w:rsid w:val="006F1008"/>
    <w:rsid w:val="006F151F"/>
    <w:rsid w:val="006F20BD"/>
    <w:rsid w:val="006F2112"/>
    <w:rsid w:val="006F230E"/>
    <w:rsid w:val="006F36EB"/>
    <w:rsid w:val="006F36FA"/>
    <w:rsid w:val="006F3C7E"/>
    <w:rsid w:val="006F46A1"/>
    <w:rsid w:val="006F4ADB"/>
    <w:rsid w:val="006F4E0D"/>
    <w:rsid w:val="006F5D3F"/>
    <w:rsid w:val="006F67C8"/>
    <w:rsid w:val="006F6BC4"/>
    <w:rsid w:val="007003F7"/>
    <w:rsid w:val="00700AFE"/>
    <w:rsid w:val="007014EE"/>
    <w:rsid w:val="0070173D"/>
    <w:rsid w:val="00701819"/>
    <w:rsid w:val="0070278A"/>
    <w:rsid w:val="00702997"/>
    <w:rsid w:val="007031F4"/>
    <w:rsid w:val="007039CE"/>
    <w:rsid w:val="007046C0"/>
    <w:rsid w:val="00705BD5"/>
    <w:rsid w:val="0070633F"/>
    <w:rsid w:val="007071EB"/>
    <w:rsid w:val="007079DC"/>
    <w:rsid w:val="00707A4C"/>
    <w:rsid w:val="00710151"/>
    <w:rsid w:val="00710690"/>
    <w:rsid w:val="00710C18"/>
    <w:rsid w:val="007112BF"/>
    <w:rsid w:val="00711741"/>
    <w:rsid w:val="00712186"/>
    <w:rsid w:val="00712399"/>
    <w:rsid w:val="00712846"/>
    <w:rsid w:val="0071292E"/>
    <w:rsid w:val="0071320F"/>
    <w:rsid w:val="00713B8C"/>
    <w:rsid w:val="00713BAC"/>
    <w:rsid w:val="00713CA2"/>
    <w:rsid w:val="00713CB5"/>
    <w:rsid w:val="0071417A"/>
    <w:rsid w:val="007142E0"/>
    <w:rsid w:val="0071430E"/>
    <w:rsid w:val="00714455"/>
    <w:rsid w:val="007145CA"/>
    <w:rsid w:val="00714628"/>
    <w:rsid w:val="00714C23"/>
    <w:rsid w:val="007150B4"/>
    <w:rsid w:val="00715C33"/>
    <w:rsid w:val="00716263"/>
    <w:rsid w:val="00716B95"/>
    <w:rsid w:val="00716F4C"/>
    <w:rsid w:val="007203A3"/>
    <w:rsid w:val="00721749"/>
    <w:rsid w:val="00721D9B"/>
    <w:rsid w:val="00722958"/>
    <w:rsid w:val="00723036"/>
    <w:rsid w:val="0072338E"/>
    <w:rsid w:val="00723C49"/>
    <w:rsid w:val="00725558"/>
    <w:rsid w:val="007256BA"/>
    <w:rsid w:val="00725AA6"/>
    <w:rsid w:val="00725C74"/>
    <w:rsid w:val="007263F4"/>
    <w:rsid w:val="00730641"/>
    <w:rsid w:val="00731761"/>
    <w:rsid w:val="00732549"/>
    <w:rsid w:val="007328A7"/>
    <w:rsid w:val="00733241"/>
    <w:rsid w:val="007336A5"/>
    <w:rsid w:val="007343BE"/>
    <w:rsid w:val="007348FA"/>
    <w:rsid w:val="00735455"/>
    <w:rsid w:val="0073584D"/>
    <w:rsid w:val="00735D29"/>
    <w:rsid w:val="00735D47"/>
    <w:rsid w:val="0073625B"/>
    <w:rsid w:val="00737B77"/>
    <w:rsid w:val="00740744"/>
    <w:rsid w:val="00740D85"/>
    <w:rsid w:val="00741037"/>
    <w:rsid w:val="007414BE"/>
    <w:rsid w:val="00742279"/>
    <w:rsid w:val="00742914"/>
    <w:rsid w:val="00742FD0"/>
    <w:rsid w:val="0074538F"/>
    <w:rsid w:val="00745B81"/>
    <w:rsid w:val="00745C9D"/>
    <w:rsid w:val="007471EC"/>
    <w:rsid w:val="00747D35"/>
    <w:rsid w:val="00750FD4"/>
    <w:rsid w:val="007517EA"/>
    <w:rsid w:val="00751F5C"/>
    <w:rsid w:val="0075296E"/>
    <w:rsid w:val="00752F88"/>
    <w:rsid w:val="0075356B"/>
    <w:rsid w:val="0075387F"/>
    <w:rsid w:val="00753A55"/>
    <w:rsid w:val="00753FA5"/>
    <w:rsid w:val="007542FE"/>
    <w:rsid w:val="00754833"/>
    <w:rsid w:val="00754D4F"/>
    <w:rsid w:val="00755028"/>
    <w:rsid w:val="007568B1"/>
    <w:rsid w:val="00756F46"/>
    <w:rsid w:val="00757DF4"/>
    <w:rsid w:val="00757F31"/>
    <w:rsid w:val="00757F70"/>
    <w:rsid w:val="007602F7"/>
    <w:rsid w:val="0076195C"/>
    <w:rsid w:val="0076227E"/>
    <w:rsid w:val="007625D3"/>
    <w:rsid w:val="00762911"/>
    <w:rsid w:val="0076358B"/>
    <w:rsid w:val="007635DF"/>
    <w:rsid w:val="0076546C"/>
    <w:rsid w:val="0076579A"/>
    <w:rsid w:val="0076592F"/>
    <w:rsid w:val="0076638C"/>
    <w:rsid w:val="007670FE"/>
    <w:rsid w:val="0076751F"/>
    <w:rsid w:val="00771599"/>
    <w:rsid w:val="007718E1"/>
    <w:rsid w:val="007724FA"/>
    <w:rsid w:val="007745AE"/>
    <w:rsid w:val="00774A31"/>
    <w:rsid w:val="00774BFC"/>
    <w:rsid w:val="00775F92"/>
    <w:rsid w:val="007760CD"/>
    <w:rsid w:val="00776357"/>
    <w:rsid w:val="007768AF"/>
    <w:rsid w:val="00776D66"/>
    <w:rsid w:val="00777113"/>
    <w:rsid w:val="0077784E"/>
    <w:rsid w:val="007779EB"/>
    <w:rsid w:val="00777ACD"/>
    <w:rsid w:val="00777F02"/>
    <w:rsid w:val="00780959"/>
    <w:rsid w:val="00781ECC"/>
    <w:rsid w:val="0078235D"/>
    <w:rsid w:val="00782921"/>
    <w:rsid w:val="007832C7"/>
    <w:rsid w:val="00783D21"/>
    <w:rsid w:val="00785200"/>
    <w:rsid w:val="00785D3C"/>
    <w:rsid w:val="0078617B"/>
    <w:rsid w:val="00786226"/>
    <w:rsid w:val="007863FB"/>
    <w:rsid w:val="0078672F"/>
    <w:rsid w:val="00786C7E"/>
    <w:rsid w:val="00787BE9"/>
    <w:rsid w:val="00787FA9"/>
    <w:rsid w:val="00790F63"/>
    <w:rsid w:val="007916BC"/>
    <w:rsid w:val="007918C4"/>
    <w:rsid w:val="00791A30"/>
    <w:rsid w:val="0079388D"/>
    <w:rsid w:val="0079428D"/>
    <w:rsid w:val="007949C9"/>
    <w:rsid w:val="00794BC4"/>
    <w:rsid w:val="0079581D"/>
    <w:rsid w:val="00795989"/>
    <w:rsid w:val="00795BB9"/>
    <w:rsid w:val="0079659B"/>
    <w:rsid w:val="007965BE"/>
    <w:rsid w:val="00797335"/>
    <w:rsid w:val="007974C1"/>
    <w:rsid w:val="0079750A"/>
    <w:rsid w:val="007A00F9"/>
    <w:rsid w:val="007A02B0"/>
    <w:rsid w:val="007A0A8C"/>
    <w:rsid w:val="007A0C4D"/>
    <w:rsid w:val="007A10A8"/>
    <w:rsid w:val="007A1A2B"/>
    <w:rsid w:val="007A1B64"/>
    <w:rsid w:val="007A1C82"/>
    <w:rsid w:val="007A27A7"/>
    <w:rsid w:val="007A2B5C"/>
    <w:rsid w:val="007A33E6"/>
    <w:rsid w:val="007A3F98"/>
    <w:rsid w:val="007A4A6F"/>
    <w:rsid w:val="007A4D50"/>
    <w:rsid w:val="007A4DFA"/>
    <w:rsid w:val="007A53AC"/>
    <w:rsid w:val="007A5478"/>
    <w:rsid w:val="007A7424"/>
    <w:rsid w:val="007B1A59"/>
    <w:rsid w:val="007B2970"/>
    <w:rsid w:val="007B2C13"/>
    <w:rsid w:val="007B3251"/>
    <w:rsid w:val="007B4304"/>
    <w:rsid w:val="007B4649"/>
    <w:rsid w:val="007B5286"/>
    <w:rsid w:val="007B61A1"/>
    <w:rsid w:val="007B625A"/>
    <w:rsid w:val="007B6CEF"/>
    <w:rsid w:val="007C2017"/>
    <w:rsid w:val="007C30DB"/>
    <w:rsid w:val="007C3693"/>
    <w:rsid w:val="007C4555"/>
    <w:rsid w:val="007C4AE8"/>
    <w:rsid w:val="007C4D60"/>
    <w:rsid w:val="007C54B4"/>
    <w:rsid w:val="007C5EE1"/>
    <w:rsid w:val="007C6F55"/>
    <w:rsid w:val="007C752E"/>
    <w:rsid w:val="007C76DA"/>
    <w:rsid w:val="007C7D0A"/>
    <w:rsid w:val="007D0428"/>
    <w:rsid w:val="007D1C24"/>
    <w:rsid w:val="007D23E4"/>
    <w:rsid w:val="007D2D7F"/>
    <w:rsid w:val="007D30D0"/>
    <w:rsid w:val="007D3429"/>
    <w:rsid w:val="007D448F"/>
    <w:rsid w:val="007D489E"/>
    <w:rsid w:val="007D4DF9"/>
    <w:rsid w:val="007D506E"/>
    <w:rsid w:val="007D5BE0"/>
    <w:rsid w:val="007D676A"/>
    <w:rsid w:val="007D6982"/>
    <w:rsid w:val="007D6C6D"/>
    <w:rsid w:val="007D6DF5"/>
    <w:rsid w:val="007D7201"/>
    <w:rsid w:val="007D7826"/>
    <w:rsid w:val="007E116B"/>
    <w:rsid w:val="007E13FF"/>
    <w:rsid w:val="007E2F12"/>
    <w:rsid w:val="007E5110"/>
    <w:rsid w:val="007E561E"/>
    <w:rsid w:val="007E5B16"/>
    <w:rsid w:val="007E5DE3"/>
    <w:rsid w:val="007E631D"/>
    <w:rsid w:val="007E7779"/>
    <w:rsid w:val="007E77EA"/>
    <w:rsid w:val="007E7C33"/>
    <w:rsid w:val="007F0FC1"/>
    <w:rsid w:val="007F1493"/>
    <w:rsid w:val="007F249B"/>
    <w:rsid w:val="007F250E"/>
    <w:rsid w:val="007F2630"/>
    <w:rsid w:val="007F2B4B"/>
    <w:rsid w:val="007F32B6"/>
    <w:rsid w:val="007F3762"/>
    <w:rsid w:val="007F4490"/>
    <w:rsid w:val="007F5F07"/>
    <w:rsid w:val="007F63F1"/>
    <w:rsid w:val="007F650C"/>
    <w:rsid w:val="007F7688"/>
    <w:rsid w:val="00800BC5"/>
    <w:rsid w:val="00800E20"/>
    <w:rsid w:val="00800F52"/>
    <w:rsid w:val="008029BB"/>
    <w:rsid w:val="00802DD2"/>
    <w:rsid w:val="0080333F"/>
    <w:rsid w:val="00803655"/>
    <w:rsid w:val="00804574"/>
    <w:rsid w:val="008045B7"/>
    <w:rsid w:val="00805147"/>
    <w:rsid w:val="008053CE"/>
    <w:rsid w:val="00805D47"/>
    <w:rsid w:val="00805E11"/>
    <w:rsid w:val="008065EE"/>
    <w:rsid w:val="008110BE"/>
    <w:rsid w:val="00812364"/>
    <w:rsid w:val="00812E9A"/>
    <w:rsid w:val="008139DF"/>
    <w:rsid w:val="00813B76"/>
    <w:rsid w:val="00813E56"/>
    <w:rsid w:val="00814540"/>
    <w:rsid w:val="00815350"/>
    <w:rsid w:val="008162A8"/>
    <w:rsid w:val="008165C0"/>
    <w:rsid w:val="008165F2"/>
    <w:rsid w:val="008176B8"/>
    <w:rsid w:val="00817DF0"/>
    <w:rsid w:val="00823D7B"/>
    <w:rsid w:val="008257B3"/>
    <w:rsid w:val="00825A29"/>
    <w:rsid w:val="00826379"/>
    <w:rsid w:val="00826FE1"/>
    <w:rsid w:val="008273AF"/>
    <w:rsid w:val="00827612"/>
    <w:rsid w:val="00830439"/>
    <w:rsid w:val="008304F7"/>
    <w:rsid w:val="00831387"/>
    <w:rsid w:val="008321E8"/>
    <w:rsid w:val="00832FAD"/>
    <w:rsid w:val="00833685"/>
    <w:rsid w:val="0083377D"/>
    <w:rsid w:val="00833BB2"/>
    <w:rsid w:val="00833D72"/>
    <w:rsid w:val="008349E5"/>
    <w:rsid w:val="00836B3E"/>
    <w:rsid w:val="00836F5D"/>
    <w:rsid w:val="00840A96"/>
    <w:rsid w:val="00841B89"/>
    <w:rsid w:val="00842852"/>
    <w:rsid w:val="00842E90"/>
    <w:rsid w:val="00842FBD"/>
    <w:rsid w:val="008437C0"/>
    <w:rsid w:val="0084414F"/>
    <w:rsid w:val="00844390"/>
    <w:rsid w:val="00844883"/>
    <w:rsid w:val="00844F1D"/>
    <w:rsid w:val="00845148"/>
    <w:rsid w:val="00846FA8"/>
    <w:rsid w:val="00846FD3"/>
    <w:rsid w:val="00847D38"/>
    <w:rsid w:val="00850041"/>
    <w:rsid w:val="008522F8"/>
    <w:rsid w:val="00854779"/>
    <w:rsid w:val="008550CD"/>
    <w:rsid w:val="008559CB"/>
    <w:rsid w:val="00855A7D"/>
    <w:rsid w:val="0085664A"/>
    <w:rsid w:val="00856665"/>
    <w:rsid w:val="00857460"/>
    <w:rsid w:val="0085793E"/>
    <w:rsid w:val="00857994"/>
    <w:rsid w:val="00860A55"/>
    <w:rsid w:val="00860F29"/>
    <w:rsid w:val="008610CA"/>
    <w:rsid w:val="008613D8"/>
    <w:rsid w:val="0086194F"/>
    <w:rsid w:val="0086206B"/>
    <w:rsid w:val="008631FE"/>
    <w:rsid w:val="00863830"/>
    <w:rsid w:val="00864ACF"/>
    <w:rsid w:val="00865623"/>
    <w:rsid w:val="0086570E"/>
    <w:rsid w:val="0086671D"/>
    <w:rsid w:val="0086685C"/>
    <w:rsid w:val="00866D7C"/>
    <w:rsid w:val="00867092"/>
    <w:rsid w:val="00867329"/>
    <w:rsid w:val="0087009B"/>
    <w:rsid w:val="00870A48"/>
    <w:rsid w:val="008710D4"/>
    <w:rsid w:val="008716B5"/>
    <w:rsid w:val="00871832"/>
    <w:rsid w:val="00871CB1"/>
    <w:rsid w:val="0087377D"/>
    <w:rsid w:val="00873A9C"/>
    <w:rsid w:val="008742B2"/>
    <w:rsid w:val="008768DE"/>
    <w:rsid w:val="00876AE9"/>
    <w:rsid w:val="008770CC"/>
    <w:rsid w:val="00881FF4"/>
    <w:rsid w:val="008838E1"/>
    <w:rsid w:val="00883D6D"/>
    <w:rsid w:val="008856BC"/>
    <w:rsid w:val="00886EAA"/>
    <w:rsid w:val="00887222"/>
    <w:rsid w:val="008878B4"/>
    <w:rsid w:val="00887B89"/>
    <w:rsid w:val="00890590"/>
    <w:rsid w:val="00891255"/>
    <w:rsid w:val="0089214C"/>
    <w:rsid w:val="0089228A"/>
    <w:rsid w:val="008925E1"/>
    <w:rsid w:val="00892A30"/>
    <w:rsid w:val="008934CC"/>
    <w:rsid w:val="00893D2B"/>
    <w:rsid w:val="00894209"/>
    <w:rsid w:val="00894633"/>
    <w:rsid w:val="008947C2"/>
    <w:rsid w:val="00895257"/>
    <w:rsid w:val="00896043"/>
    <w:rsid w:val="0089636D"/>
    <w:rsid w:val="0089656D"/>
    <w:rsid w:val="008969C4"/>
    <w:rsid w:val="008A020E"/>
    <w:rsid w:val="008A07AC"/>
    <w:rsid w:val="008A1CED"/>
    <w:rsid w:val="008A2300"/>
    <w:rsid w:val="008A2787"/>
    <w:rsid w:val="008A3AD1"/>
    <w:rsid w:val="008A5237"/>
    <w:rsid w:val="008A541F"/>
    <w:rsid w:val="008A60CE"/>
    <w:rsid w:val="008A6BDD"/>
    <w:rsid w:val="008A6DF6"/>
    <w:rsid w:val="008A71B6"/>
    <w:rsid w:val="008A732C"/>
    <w:rsid w:val="008A7513"/>
    <w:rsid w:val="008A7B56"/>
    <w:rsid w:val="008B11F2"/>
    <w:rsid w:val="008B13E7"/>
    <w:rsid w:val="008B19C4"/>
    <w:rsid w:val="008B1F04"/>
    <w:rsid w:val="008B21C6"/>
    <w:rsid w:val="008B2A78"/>
    <w:rsid w:val="008B2F55"/>
    <w:rsid w:val="008B3066"/>
    <w:rsid w:val="008B4BB5"/>
    <w:rsid w:val="008B6219"/>
    <w:rsid w:val="008B6809"/>
    <w:rsid w:val="008C07A9"/>
    <w:rsid w:val="008C0843"/>
    <w:rsid w:val="008C0C3E"/>
    <w:rsid w:val="008C0E9E"/>
    <w:rsid w:val="008C11D7"/>
    <w:rsid w:val="008C1614"/>
    <w:rsid w:val="008C1F92"/>
    <w:rsid w:val="008C3111"/>
    <w:rsid w:val="008C3A6D"/>
    <w:rsid w:val="008C3D9F"/>
    <w:rsid w:val="008C4593"/>
    <w:rsid w:val="008C4788"/>
    <w:rsid w:val="008C4E94"/>
    <w:rsid w:val="008C514A"/>
    <w:rsid w:val="008C62A2"/>
    <w:rsid w:val="008C68BB"/>
    <w:rsid w:val="008C70F3"/>
    <w:rsid w:val="008C73CE"/>
    <w:rsid w:val="008C764E"/>
    <w:rsid w:val="008C778E"/>
    <w:rsid w:val="008D08A9"/>
    <w:rsid w:val="008D095C"/>
    <w:rsid w:val="008D0C4C"/>
    <w:rsid w:val="008D0FF6"/>
    <w:rsid w:val="008D4293"/>
    <w:rsid w:val="008D48AE"/>
    <w:rsid w:val="008D4E53"/>
    <w:rsid w:val="008D5276"/>
    <w:rsid w:val="008D5F63"/>
    <w:rsid w:val="008D685B"/>
    <w:rsid w:val="008D698A"/>
    <w:rsid w:val="008D6A79"/>
    <w:rsid w:val="008D6D16"/>
    <w:rsid w:val="008D76C5"/>
    <w:rsid w:val="008E03BC"/>
    <w:rsid w:val="008E04F9"/>
    <w:rsid w:val="008E0803"/>
    <w:rsid w:val="008E1AE5"/>
    <w:rsid w:val="008E2566"/>
    <w:rsid w:val="008E2691"/>
    <w:rsid w:val="008E2A5C"/>
    <w:rsid w:val="008E370A"/>
    <w:rsid w:val="008E4731"/>
    <w:rsid w:val="008E5995"/>
    <w:rsid w:val="008E5EF4"/>
    <w:rsid w:val="008E69F3"/>
    <w:rsid w:val="008F0442"/>
    <w:rsid w:val="008F0C3B"/>
    <w:rsid w:val="008F1E2C"/>
    <w:rsid w:val="008F2A14"/>
    <w:rsid w:val="008F2BFC"/>
    <w:rsid w:val="008F305E"/>
    <w:rsid w:val="008F327F"/>
    <w:rsid w:val="008F341D"/>
    <w:rsid w:val="008F47A8"/>
    <w:rsid w:val="008F4DBC"/>
    <w:rsid w:val="008F4FB0"/>
    <w:rsid w:val="008F5FDD"/>
    <w:rsid w:val="008F678D"/>
    <w:rsid w:val="008F6A9B"/>
    <w:rsid w:val="00903650"/>
    <w:rsid w:val="009039A7"/>
    <w:rsid w:val="009044D3"/>
    <w:rsid w:val="00904AA8"/>
    <w:rsid w:val="009053B2"/>
    <w:rsid w:val="009065F5"/>
    <w:rsid w:val="0090758B"/>
    <w:rsid w:val="0091019D"/>
    <w:rsid w:val="009101E1"/>
    <w:rsid w:val="009118A7"/>
    <w:rsid w:val="00911B5C"/>
    <w:rsid w:val="00912F31"/>
    <w:rsid w:val="009141E2"/>
    <w:rsid w:val="0091437E"/>
    <w:rsid w:val="009144EC"/>
    <w:rsid w:val="00914D1B"/>
    <w:rsid w:val="009152EC"/>
    <w:rsid w:val="00915352"/>
    <w:rsid w:val="009166D6"/>
    <w:rsid w:val="00916FE8"/>
    <w:rsid w:val="009173B6"/>
    <w:rsid w:val="00917E15"/>
    <w:rsid w:val="00917ECD"/>
    <w:rsid w:val="00920E1F"/>
    <w:rsid w:val="009216E7"/>
    <w:rsid w:val="00921B6C"/>
    <w:rsid w:val="0092227A"/>
    <w:rsid w:val="009222CA"/>
    <w:rsid w:val="009222F8"/>
    <w:rsid w:val="00923C86"/>
    <w:rsid w:val="00924BEC"/>
    <w:rsid w:val="00924D81"/>
    <w:rsid w:val="009257B3"/>
    <w:rsid w:val="00926010"/>
    <w:rsid w:val="0092669A"/>
    <w:rsid w:val="00926731"/>
    <w:rsid w:val="00926B4F"/>
    <w:rsid w:val="00926E7D"/>
    <w:rsid w:val="00927017"/>
    <w:rsid w:val="009273C3"/>
    <w:rsid w:val="00930859"/>
    <w:rsid w:val="009311F9"/>
    <w:rsid w:val="00931578"/>
    <w:rsid w:val="0093158C"/>
    <w:rsid w:val="00931B12"/>
    <w:rsid w:val="00931E9E"/>
    <w:rsid w:val="0093278D"/>
    <w:rsid w:val="0093321B"/>
    <w:rsid w:val="0093341F"/>
    <w:rsid w:val="00933572"/>
    <w:rsid w:val="00933C73"/>
    <w:rsid w:val="00934B84"/>
    <w:rsid w:val="00934F0D"/>
    <w:rsid w:val="009356D8"/>
    <w:rsid w:val="00935B6F"/>
    <w:rsid w:val="0093741C"/>
    <w:rsid w:val="00937439"/>
    <w:rsid w:val="00940343"/>
    <w:rsid w:val="00940D21"/>
    <w:rsid w:val="00941923"/>
    <w:rsid w:val="009420E7"/>
    <w:rsid w:val="009426C5"/>
    <w:rsid w:val="00942971"/>
    <w:rsid w:val="00943B5D"/>
    <w:rsid w:val="00943CE0"/>
    <w:rsid w:val="00944059"/>
    <w:rsid w:val="00944B24"/>
    <w:rsid w:val="009451C8"/>
    <w:rsid w:val="009468ED"/>
    <w:rsid w:val="0094690C"/>
    <w:rsid w:val="00946C46"/>
    <w:rsid w:val="009470A2"/>
    <w:rsid w:val="00947F05"/>
    <w:rsid w:val="00951077"/>
    <w:rsid w:val="009514FD"/>
    <w:rsid w:val="009520DC"/>
    <w:rsid w:val="00952CE4"/>
    <w:rsid w:val="00953BC7"/>
    <w:rsid w:val="00954060"/>
    <w:rsid w:val="00954291"/>
    <w:rsid w:val="009549A5"/>
    <w:rsid w:val="00954C40"/>
    <w:rsid w:val="00955B53"/>
    <w:rsid w:val="00955FFB"/>
    <w:rsid w:val="009560D6"/>
    <w:rsid w:val="00956546"/>
    <w:rsid w:val="009566FE"/>
    <w:rsid w:val="00956F1D"/>
    <w:rsid w:val="00957141"/>
    <w:rsid w:val="00957333"/>
    <w:rsid w:val="009574B2"/>
    <w:rsid w:val="009575F1"/>
    <w:rsid w:val="009579B7"/>
    <w:rsid w:val="00960AEC"/>
    <w:rsid w:val="009617C0"/>
    <w:rsid w:val="00962172"/>
    <w:rsid w:val="00962DC9"/>
    <w:rsid w:val="009635BB"/>
    <w:rsid w:val="00963D3C"/>
    <w:rsid w:val="0096412B"/>
    <w:rsid w:val="00964C48"/>
    <w:rsid w:val="00964D11"/>
    <w:rsid w:val="0096638E"/>
    <w:rsid w:val="00966B8D"/>
    <w:rsid w:val="00966FED"/>
    <w:rsid w:val="009676F4"/>
    <w:rsid w:val="00967A5F"/>
    <w:rsid w:val="00967D7B"/>
    <w:rsid w:val="00970764"/>
    <w:rsid w:val="00970A54"/>
    <w:rsid w:val="00970BA8"/>
    <w:rsid w:val="00971180"/>
    <w:rsid w:val="009717D2"/>
    <w:rsid w:val="009718A3"/>
    <w:rsid w:val="00971971"/>
    <w:rsid w:val="009727F9"/>
    <w:rsid w:val="009747AA"/>
    <w:rsid w:val="00974ABB"/>
    <w:rsid w:val="009765EA"/>
    <w:rsid w:val="00976C24"/>
    <w:rsid w:val="00976DD6"/>
    <w:rsid w:val="00976E40"/>
    <w:rsid w:val="0097733E"/>
    <w:rsid w:val="00980E1D"/>
    <w:rsid w:val="0098158A"/>
    <w:rsid w:val="00981855"/>
    <w:rsid w:val="00981E37"/>
    <w:rsid w:val="0098266E"/>
    <w:rsid w:val="00982C2F"/>
    <w:rsid w:val="0098302B"/>
    <w:rsid w:val="00983973"/>
    <w:rsid w:val="00983BBC"/>
    <w:rsid w:val="009840B6"/>
    <w:rsid w:val="00984858"/>
    <w:rsid w:val="009859E9"/>
    <w:rsid w:val="00985A56"/>
    <w:rsid w:val="009865C4"/>
    <w:rsid w:val="00986CAE"/>
    <w:rsid w:val="009871EF"/>
    <w:rsid w:val="009871FB"/>
    <w:rsid w:val="00987ADF"/>
    <w:rsid w:val="009908C4"/>
    <w:rsid w:val="0099099B"/>
    <w:rsid w:val="009909C7"/>
    <w:rsid w:val="00990C7B"/>
    <w:rsid w:val="00991081"/>
    <w:rsid w:val="009912EB"/>
    <w:rsid w:val="009913E0"/>
    <w:rsid w:val="00992E16"/>
    <w:rsid w:val="0099339D"/>
    <w:rsid w:val="009936A7"/>
    <w:rsid w:val="00993D73"/>
    <w:rsid w:val="00994239"/>
    <w:rsid w:val="009950CA"/>
    <w:rsid w:val="009961F8"/>
    <w:rsid w:val="00996AA1"/>
    <w:rsid w:val="009A02BF"/>
    <w:rsid w:val="009A02CC"/>
    <w:rsid w:val="009A0719"/>
    <w:rsid w:val="009A08D0"/>
    <w:rsid w:val="009A1368"/>
    <w:rsid w:val="009A1584"/>
    <w:rsid w:val="009A1D74"/>
    <w:rsid w:val="009A1E14"/>
    <w:rsid w:val="009A2B79"/>
    <w:rsid w:val="009A2E3C"/>
    <w:rsid w:val="009A325B"/>
    <w:rsid w:val="009A3BBF"/>
    <w:rsid w:val="009A4B6E"/>
    <w:rsid w:val="009A5B17"/>
    <w:rsid w:val="009A5B49"/>
    <w:rsid w:val="009A6356"/>
    <w:rsid w:val="009A6739"/>
    <w:rsid w:val="009A6A90"/>
    <w:rsid w:val="009A6AF7"/>
    <w:rsid w:val="009A79F3"/>
    <w:rsid w:val="009B0855"/>
    <w:rsid w:val="009B0A33"/>
    <w:rsid w:val="009B28A5"/>
    <w:rsid w:val="009B2A28"/>
    <w:rsid w:val="009B3B86"/>
    <w:rsid w:val="009B4511"/>
    <w:rsid w:val="009B576E"/>
    <w:rsid w:val="009B6212"/>
    <w:rsid w:val="009B6312"/>
    <w:rsid w:val="009B6900"/>
    <w:rsid w:val="009B7D3D"/>
    <w:rsid w:val="009C080C"/>
    <w:rsid w:val="009C18DC"/>
    <w:rsid w:val="009C261C"/>
    <w:rsid w:val="009C3235"/>
    <w:rsid w:val="009C3BE7"/>
    <w:rsid w:val="009C3CEC"/>
    <w:rsid w:val="009C3E9A"/>
    <w:rsid w:val="009C47F2"/>
    <w:rsid w:val="009C5140"/>
    <w:rsid w:val="009C5368"/>
    <w:rsid w:val="009C62A9"/>
    <w:rsid w:val="009C6745"/>
    <w:rsid w:val="009C6EF9"/>
    <w:rsid w:val="009C77A0"/>
    <w:rsid w:val="009D0008"/>
    <w:rsid w:val="009D0255"/>
    <w:rsid w:val="009D090F"/>
    <w:rsid w:val="009D0E53"/>
    <w:rsid w:val="009D128C"/>
    <w:rsid w:val="009D212B"/>
    <w:rsid w:val="009D2802"/>
    <w:rsid w:val="009D2C89"/>
    <w:rsid w:val="009D2F9A"/>
    <w:rsid w:val="009D318D"/>
    <w:rsid w:val="009D32BA"/>
    <w:rsid w:val="009D335E"/>
    <w:rsid w:val="009D3D42"/>
    <w:rsid w:val="009D3F4E"/>
    <w:rsid w:val="009D467A"/>
    <w:rsid w:val="009D4A93"/>
    <w:rsid w:val="009D57BE"/>
    <w:rsid w:val="009D585A"/>
    <w:rsid w:val="009D5F6F"/>
    <w:rsid w:val="009D69AB"/>
    <w:rsid w:val="009D7BDB"/>
    <w:rsid w:val="009E0E05"/>
    <w:rsid w:val="009E0F69"/>
    <w:rsid w:val="009E2E92"/>
    <w:rsid w:val="009E3A45"/>
    <w:rsid w:val="009E3D84"/>
    <w:rsid w:val="009E650C"/>
    <w:rsid w:val="009E6D27"/>
    <w:rsid w:val="009E6E10"/>
    <w:rsid w:val="009E6E7B"/>
    <w:rsid w:val="009E741A"/>
    <w:rsid w:val="009E74B2"/>
    <w:rsid w:val="009E76B1"/>
    <w:rsid w:val="009E7C78"/>
    <w:rsid w:val="009E7D54"/>
    <w:rsid w:val="009F0418"/>
    <w:rsid w:val="009F0D5D"/>
    <w:rsid w:val="009F1BFA"/>
    <w:rsid w:val="009F1C72"/>
    <w:rsid w:val="009F2CD9"/>
    <w:rsid w:val="009F359F"/>
    <w:rsid w:val="009F3680"/>
    <w:rsid w:val="009F36DC"/>
    <w:rsid w:val="009F426E"/>
    <w:rsid w:val="009F438B"/>
    <w:rsid w:val="009F43C6"/>
    <w:rsid w:val="009F4CEC"/>
    <w:rsid w:val="009F4D6F"/>
    <w:rsid w:val="009F541C"/>
    <w:rsid w:val="009F5ADB"/>
    <w:rsid w:val="009F5DE5"/>
    <w:rsid w:val="009F5EDB"/>
    <w:rsid w:val="009F6AE1"/>
    <w:rsid w:val="009F7699"/>
    <w:rsid w:val="009F76AD"/>
    <w:rsid w:val="009F7B12"/>
    <w:rsid w:val="00A003C9"/>
    <w:rsid w:val="00A0068B"/>
    <w:rsid w:val="00A01B20"/>
    <w:rsid w:val="00A0341C"/>
    <w:rsid w:val="00A04335"/>
    <w:rsid w:val="00A04A20"/>
    <w:rsid w:val="00A05514"/>
    <w:rsid w:val="00A05CFE"/>
    <w:rsid w:val="00A0640D"/>
    <w:rsid w:val="00A06A1C"/>
    <w:rsid w:val="00A06AC0"/>
    <w:rsid w:val="00A06B30"/>
    <w:rsid w:val="00A06E70"/>
    <w:rsid w:val="00A070F6"/>
    <w:rsid w:val="00A072BA"/>
    <w:rsid w:val="00A07707"/>
    <w:rsid w:val="00A11D8E"/>
    <w:rsid w:val="00A12078"/>
    <w:rsid w:val="00A120AE"/>
    <w:rsid w:val="00A12247"/>
    <w:rsid w:val="00A12492"/>
    <w:rsid w:val="00A127B2"/>
    <w:rsid w:val="00A13267"/>
    <w:rsid w:val="00A1363A"/>
    <w:rsid w:val="00A13B8D"/>
    <w:rsid w:val="00A13F38"/>
    <w:rsid w:val="00A15634"/>
    <w:rsid w:val="00A15EFF"/>
    <w:rsid w:val="00A15FEC"/>
    <w:rsid w:val="00A162FA"/>
    <w:rsid w:val="00A16C12"/>
    <w:rsid w:val="00A17E7F"/>
    <w:rsid w:val="00A20A61"/>
    <w:rsid w:val="00A20BDD"/>
    <w:rsid w:val="00A20DEA"/>
    <w:rsid w:val="00A215B9"/>
    <w:rsid w:val="00A21C96"/>
    <w:rsid w:val="00A222E4"/>
    <w:rsid w:val="00A227FA"/>
    <w:rsid w:val="00A23174"/>
    <w:rsid w:val="00A238A6"/>
    <w:rsid w:val="00A24F38"/>
    <w:rsid w:val="00A255A6"/>
    <w:rsid w:val="00A2580E"/>
    <w:rsid w:val="00A26EC3"/>
    <w:rsid w:val="00A2716B"/>
    <w:rsid w:val="00A271AD"/>
    <w:rsid w:val="00A303D7"/>
    <w:rsid w:val="00A30AB5"/>
    <w:rsid w:val="00A32C7A"/>
    <w:rsid w:val="00A352C2"/>
    <w:rsid w:val="00A35717"/>
    <w:rsid w:val="00A35DC9"/>
    <w:rsid w:val="00A36346"/>
    <w:rsid w:val="00A363DB"/>
    <w:rsid w:val="00A36CC1"/>
    <w:rsid w:val="00A372AF"/>
    <w:rsid w:val="00A37863"/>
    <w:rsid w:val="00A379F3"/>
    <w:rsid w:val="00A4011F"/>
    <w:rsid w:val="00A401E4"/>
    <w:rsid w:val="00A404BD"/>
    <w:rsid w:val="00A41D1B"/>
    <w:rsid w:val="00A41DB5"/>
    <w:rsid w:val="00A42261"/>
    <w:rsid w:val="00A42D7F"/>
    <w:rsid w:val="00A43129"/>
    <w:rsid w:val="00A43DEB"/>
    <w:rsid w:val="00A43EF4"/>
    <w:rsid w:val="00A4431D"/>
    <w:rsid w:val="00A451B3"/>
    <w:rsid w:val="00A4575B"/>
    <w:rsid w:val="00A45D10"/>
    <w:rsid w:val="00A4688C"/>
    <w:rsid w:val="00A476B1"/>
    <w:rsid w:val="00A47C6C"/>
    <w:rsid w:val="00A50106"/>
    <w:rsid w:val="00A501DC"/>
    <w:rsid w:val="00A50372"/>
    <w:rsid w:val="00A50A85"/>
    <w:rsid w:val="00A50D80"/>
    <w:rsid w:val="00A5159D"/>
    <w:rsid w:val="00A52C5C"/>
    <w:rsid w:val="00A53458"/>
    <w:rsid w:val="00A53FD0"/>
    <w:rsid w:val="00A5433E"/>
    <w:rsid w:val="00A54B28"/>
    <w:rsid w:val="00A54CDD"/>
    <w:rsid w:val="00A552E2"/>
    <w:rsid w:val="00A553F2"/>
    <w:rsid w:val="00A55C1E"/>
    <w:rsid w:val="00A568E7"/>
    <w:rsid w:val="00A57531"/>
    <w:rsid w:val="00A60662"/>
    <w:rsid w:val="00A616F4"/>
    <w:rsid w:val="00A62763"/>
    <w:rsid w:val="00A63A2B"/>
    <w:rsid w:val="00A63F13"/>
    <w:rsid w:val="00A66F42"/>
    <w:rsid w:val="00A67B61"/>
    <w:rsid w:val="00A67C0E"/>
    <w:rsid w:val="00A67CC3"/>
    <w:rsid w:val="00A711FA"/>
    <w:rsid w:val="00A71488"/>
    <w:rsid w:val="00A72BE4"/>
    <w:rsid w:val="00A72E06"/>
    <w:rsid w:val="00A732FB"/>
    <w:rsid w:val="00A73456"/>
    <w:rsid w:val="00A73562"/>
    <w:rsid w:val="00A74241"/>
    <w:rsid w:val="00A74624"/>
    <w:rsid w:val="00A753D2"/>
    <w:rsid w:val="00A75A6D"/>
    <w:rsid w:val="00A76D3D"/>
    <w:rsid w:val="00A773E1"/>
    <w:rsid w:val="00A778D3"/>
    <w:rsid w:val="00A77E9E"/>
    <w:rsid w:val="00A800F4"/>
    <w:rsid w:val="00A8025A"/>
    <w:rsid w:val="00A8064E"/>
    <w:rsid w:val="00A816C2"/>
    <w:rsid w:val="00A819FB"/>
    <w:rsid w:val="00A827B5"/>
    <w:rsid w:val="00A8280D"/>
    <w:rsid w:val="00A8363D"/>
    <w:rsid w:val="00A83DAC"/>
    <w:rsid w:val="00A8440F"/>
    <w:rsid w:val="00A84BA4"/>
    <w:rsid w:val="00A84C2B"/>
    <w:rsid w:val="00A8571C"/>
    <w:rsid w:val="00A85C1E"/>
    <w:rsid w:val="00A85C55"/>
    <w:rsid w:val="00A8681F"/>
    <w:rsid w:val="00A86AC3"/>
    <w:rsid w:val="00A86FC8"/>
    <w:rsid w:val="00A87091"/>
    <w:rsid w:val="00A870AE"/>
    <w:rsid w:val="00A877DB"/>
    <w:rsid w:val="00A879C5"/>
    <w:rsid w:val="00A90440"/>
    <w:rsid w:val="00A90968"/>
    <w:rsid w:val="00A90C11"/>
    <w:rsid w:val="00A90CC0"/>
    <w:rsid w:val="00A90E25"/>
    <w:rsid w:val="00A921EB"/>
    <w:rsid w:val="00A9251B"/>
    <w:rsid w:val="00A928D7"/>
    <w:rsid w:val="00A92C99"/>
    <w:rsid w:val="00A93C95"/>
    <w:rsid w:val="00A9498A"/>
    <w:rsid w:val="00A949D2"/>
    <w:rsid w:val="00A94EE0"/>
    <w:rsid w:val="00A95332"/>
    <w:rsid w:val="00A976A6"/>
    <w:rsid w:val="00A97802"/>
    <w:rsid w:val="00AA0521"/>
    <w:rsid w:val="00AA1ADC"/>
    <w:rsid w:val="00AA2905"/>
    <w:rsid w:val="00AA2C02"/>
    <w:rsid w:val="00AA3B32"/>
    <w:rsid w:val="00AA3FD8"/>
    <w:rsid w:val="00AA4768"/>
    <w:rsid w:val="00AA58F3"/>
    <w:rsid w:val="00AA74DB"/>
    <w:rsid w:val="00AA77BD"/>
    <w:rsid w:val="00AA7D04"/>
    <w:rsid w:val="00AB0042"/>
    <w:rsid w:val="00AB010C"/>
    <w:rsid w:val="00AB061D"/>
    <w:rsid w:val="00AB147F"/>
    <w:rsid w:val="00AB171C"/>
    <w:rsid w:val="00AB1E27"/>
    <w:rsid w:val="00AB23CE"/>
    <w:rsid w:val="00AB3936"/>
    <w:rsid w:val="00AB3A18"/>
    <w:rsid w:val="00AB4430"/>
    <w:rsid w:val="00AB4504"/>
    <w:rsid w:val="00AB4A9D"/>
    <w:rsid w:val="00AB61F6"/>
    <w:rsid w:val="00AB6860"/>
    <w:rsid w:val="00AB6FE5"/>
    <w:rsid w:val="00AB7470"/>
    <w:rsid w:val="00AB7EB2"/>
    <w:rsid w:val="00AC0710"/>
    <w:rsid w:val="00AC150C"/>
    <w:rsid w:val="00AC24EB"/>
    <w:rsid w:val="00AC2517"/>
    <w:rsid w:val="00AC279D"/>
    <w:rsid w:val="00AC2858"/>
    <w:rsid w:val="00AC2868"/>
    <w:rsid w:val="00AC28A9"/>
    <w:rsid w:val="00AC2CCD"/>
    <w:rsid w:val="00AC393E"/>
    <w:rsid w:val="00AC3B8C"/>
    <w:rsid w:val="00AC3B8E"/>
    <w:rsid w:val="00AC454B"/>
    <w:rsid w:val="00AC45C6"/>
    <w:rsid w:val="00AC5AAC"/>
    <w:rsid w:val="00AD0EFD"/>
    <w:rsid w:val="00AD0FE9"/>
    <w:rsid w:val="00AD1AD1"/>
    <w:rsid w:val="00AD1F9F"/>
    <w:rsid w:val="00AD2684"/>
    <w:rsid w:val="00AD284B"/>
    <w:rsid w:val="00AD3721"/>
    <w:rsid w:val="00AD3B1C"/>
    <w:rsid w:val="00AD4C5F"/>
    <w:rsid w:val="00AD5D84"/>
    <w:rsid w:val="00AD6B6B"/>
    <w:rsid w:val="00AD794F"/>
    <w:rsid w:val="00AE03FD"/>
    <w:rsid w:val="00AE1650"/>
    <w:rsid w:val="00AE27A1"/>
    <w:rsid w:val="00AE2AD6"/>
    <w:rsid w:val="00AE37A8"/>
    <w:rsid w:val="00AE3B3A"/>
    <w:rsid w:val="00AE4C6F"/>
    <w:rsid w:val="00AE4E3B"/>
    <w:rsid w:val="00AE5D4A"/>
    <w:rsid w:val="00AE6CFE"/>
    <w:rsid w:val="00AF0718"/>
    <w:rsid w:val="00AF0F41"/>
    <w:rsid w:val="00AF106D"/>
    <w:rsid w:val="00AF12DA"/>
    <w:rsid w:val="00AF1568"/>
    <w:rsid w:val="00AF1700"/>
    <w:rsid w:val="00AF178C"/>
    <w:rsid w:val="00AF1AA2"/>
    <w:rsid w:val="00AF1B32"/>
    <w:rsid w:val="00AF1D92"/>
    <w:rsid w:val="00AF21EE"/>
    <w:rsid w:val="00AF242F"/>
    <w:rsid w:val="00AF3E67"/>
    <w:rsid w:val="00AF47B0"/>
    <w:rsid w:val="00AF4B85"/>
    <w:rsid w:val="00AF4BE7"/>
    <w:rsid w:val="00AF4FC2"/>
    <w:rsid w:val="00AF54E2"/>
    <w:rsid w:val="00AF5930"/>
    <w:rsid w:val="00AF5E35"/>
    <w:rsid w:val="00AF6A14"/>
    <w:rsid w:val="00AF6FBE"/>
    <w:rsid w:val="00AF7490"/>
    <w:rsid w:val="00B04B20"/>
    <w:rsid w:val="00B04E90"/>
    <w:rsid w:val="00B075CD"/>
    <w:rsid w:val="00B07628"/>
    <w:rsid w:val="00B10527"/>
    <w:rsid w:val="00B10992"/>
    <w:rsid w:val="00B109A4"/>
    <w:rsid w:val="00B10B19"/>
    <w:rsid w:val="00B10B8A"/>
    <w:rsid w:val="00B10EBD"/>
    <w:rsid w:val="00B111AC"/>
    <w:rsid w:val="00B11AB5"/>
    <w:rsid w:val="00B12879"/>
    <w:rsid w:val="00B12ADF"/>
    <w:rsid w:val="00B12DB2"/>
    <w:rsid w:val="00B12F0D"/>
    <w:rsid w:val="00B131F4"/>
    <w:rsid w:val="00B1380C"/>
    <w:rsid w:val="00B14532"/>
    <w:rsid w:val="00B158B1"/>
    <w:rsid w:val="00B15ABF"/>
    <w:rsid w:val="00B16ABD"/>
    <w:rsid w:val="00B16D37"/>
    <w:rsid w:val="00B16F2F"/>
    <w:rsid w:val="00B17204"/>
    <w:rsid w:val="00B17909"/>
    <w:rsid w:val="00B17B01"/>
    <w:rsid w:val="00B2017B"/>
    <w:rsid w:val="00B20908"/>
    <w:rsid w:val="00B212B5"/>
    <w:rsid w:val="00B2387A"/>
    <w:rsid w:val="00B24383"/>
    <w:rsid w:val="00B24EC1"/>
    <w:rsid w:val="00B25352"/>
    <w:rsid w:val="00B25379"/>
    <w:rsid w:val="00B25B9E"/>
    <w:rsid w:val="00B25D51"/>
    <w:rsid w:val="00B26C91"/>
    <w:rsid w:val="00B26F15"/>
    <w:rsid w:val="00B27418"/>
    <w:rsid w:val="00B31646"/>
    <w:rsid w:val="00B31CE3"/>
    <w:rsid w:val="00B32F2D"/>
    <w:rsid w:val="00B34068"/>
    <w:rsid w:val="00B34667"/>
    <w:rsid w:val="00B35CC1"/>
    <w:rsid w:val="00B3620D"/>
    <w:rsid w:val="00B402AF"/>
    <w:rsid w:val="00B40C95"/>
    <w:rsid w:val="00B40D33"/>
    <w:rsid w:val="00B410EE"/>
    <w:rsid w:val="00B41456"/>
    <w:rsid w:val="00B41C17"/>
    <w:rsid w:val="00B42E67"/>
    <w:rsid w:val="00B43731"/>
    <w:rsid w:val="00B450BE"/>
    <w:rsid w:val="00B457F9"/>
    <w:rsid w:val="00B464CF"/>
    <w:rsid w:val="00B472D1"/>
    <w:rsid w:val="00B473A9"/>
    <w:rsid w:val="00B47414"/>
    <w:rsid w:val="00B47BD7"/>
    <w:rsid w:val="00B5064A"/>
    <w:rsid w:val="00B50A73"/>
    <w:rsid w:val="00B50C28"/>
    <w:rsid w:val="00B50E0B"/>
    <w:rsid w:val="00B50E3A"/>
    <w:rsid w:val="00B51C95"/>
    <w:rsid w:val="00B520EA"/>
    <w:rsid w:val="00B52563"/>
    <w:rsid w:val="00B52898"/>
    <w:rsid w:val="00B52C88"/>
    <w:rsid w:val="00B52D4B"/>
    <w:rsid w:val="00B53ACB"/>
    <w:rsid w:val="00B55AC0"/>
    <w:rsid w:val="00B55B2E"/>
    <w:rsid w:val="00B55C9D"/>
    <w:rsid w:val="00B56001"/>
    <w:rsid w:val="00B560DF"/>
    <w:rsid w:val="00B575FD"/>
    <w:rsid w:val="00B57632"/>
    <w:rsid w:val="00B6056C"/>
    <w:rsid w:val="00B6068B"/>
    <w:rsid w:val="00B61845"/>
    <w:rsid w:val="00B61B28"/>
    <w:rsid w:val="00B62FE9"/>
    <w:rsid w:val="00B63152"/>
    <w:rsid w:val="00B6360F"/>
    <w:rsid w:val="00B63A6A"/>
    <w:rsid w:val="00B64BC6"/>
    <w:rsid w:val="00B66AA8"/>
    <w:rsid w:val="00B67609"/>
    <w:rsid w:val="00B67AC9"/>
    <w:rsid w:val="00B67D42"/>
    <w:rsid w:val="00B67DC6"/>
    <w:rsid w:val="00B70337"/>
    <w:rsid w:val="00B70685"/>
    <w:rsid w:val="00B713F1"/>
    <w:rsid w:val="00B73A5E"/>
    <w:rsid w:val="00B74910"/>
    <w:rsid w:val="00B75417"/>
    <w:rsid w:val="00B76579"/>
    <w:rsid w:val="00B766FA"/>
    <w:rsid w:val="00B770DB"/>
    <w:rsid w:val="00B7752C"/>
    <w:rsid w:val="00B80624"/>
    <w:rsid w:val="00B80A75"/>
    <w:rsid w:val="00B82DD6"/>
    <w:rsid w:val="00B833DB"/>
    <w:rsid w:val="00B834EC"/>
    <w:rsid w:val="00B8465A"/>
    <w:rsid w:val="00B84A48"/>
    <w:rsid w:val="00B84AF4"/>
    <w:rsid w:val="00B8528F"/>
    <w:rsid w:val="00B857D0"/>
    <w:rsid w:val="00B8582D"/>
    <w:rsid w:val="00B85C48"/>
    <w:rsid w:val="00B869AD"/>
    <w:rsid w:val="00B872F5"/>
    <w:rsid w:val="00B87827"/>
    <w:rsid w:val="00B87DD1"/>
    <w:rsid w:val="00B90196"/>
    <w:rsid w:val="00B90CAA"/>
    <w:rsid w:val="00B92526"/>
    <w:rsid w:val="00B92BEC"/>
    <w:rsid w:val="00B95071"/>
    <w:rsid w:val="00B95896"/>
    <w:rsid w:val="00B95CB5"/>
    <w:rsid w:val="00B9623E"/>
    <w:rsid w:val="00B971DD"/>
    <w:rsid w:val="00B979E6"/>
    <w:rsid w:val="00BA0645"/>
    <w:rsid w:val="00BA0751"/>
    <w:rsid w:val="00BA1278"/>
    <w:rsid w:val="00BA17B4"/>
    <w:rsid w:val="00BA269E"/>
    <w:rsid w:val="00BA2B3A"/>
    <w:rsid w:val="00BA2E25"/>
    <w:rsid w:val="00BA379B"/>
    <w:rsid w:val="00BA3DA2"/>
    <w:rsid w:val="00BA41F2"/>
    <w:rsid w:val="00BA444A"/>
    <w:rsid w:val="00BA4C45"/>
    <w:rsid w:val="00BA4D56"/>
    <w:rsid w:val="00BA4FC7"/>
    <w:rsid w:val="00BA561F"/>
    <w:rsid w:val="00BA69B7"/>
    <w:rsid w:val="00BA6D10"/>
    <w:rsid w:val="00BA7283"/>
    <w:rsid w:val="00BA7BCA"/>
    <w:rsid w:val="00BB01E2"/>
    <w:rsid w:val="00BB0248"/>
    <w:rsid w:val="00BB144C"/>
    <w:rsid w:val="00BB16D9"/>
    <w:rsid w:val="00BB16F1"/>
    <w:rsid w:val="00BB23D5"/>
    <w:rsid w:val="00BB2B14"/>
    <w:rsid w:val="00BB2D89"/>
    <w:rsid w:val="00BB2FE9"/>
    <w:rsid w:val="00BB46AC"/>
    <w:rsid w:val="00BB53A5"/>
    <w:rsid w:val="00BB6F31"/>
    <w:rsid w:val="00BB700A"/>
    <w:rsid w:val="00BB75F2"/>
    <w:rsid w:val="00BB7679"/>
    <w:rsid w:val="00BB79FC"/>
    <w:rsid w:val="00BB7E5D"/>
    <w:rsid w:val="00BC0AB8"/>
    <w:rsid w:val="00BC0DEC"/>
    <w:rsid w:val="00BC1795"/>
    <w:rsid w:val="00BC2D08"/>
    <w:rsid w:val="00BC32AA"/>
    <w:rsid w:val="00BC33B9"/>
    <w:rsid w:val="00BC34C8"/>
    <w:rsid w:val="00BC3673"/>
    <w:rsid w:val="00BC3C86"/>
    <w:rsid w:val="00BC3ECE"/>
    <w:rsid w:val="00BC4D0E"/>
    <w:rsid w:val="00BC4F5B"/>
    <w:rsid w:val="00BC5561"/>
    <w:rsid w:val="00BC61AE"/>
    <w:rsid w:val="00BC677A"/>
    <w:rsid w:val="00BC6D7B"/>
    <w:rsid w:val="00BC6D97"/>
    <w:rsid w:val="00BC79E2"/>
    <w:rsid w:val="00BC7AB2"/>
    <w:rsid w:val="00BC7B2E"/>
    <w:rsid w:val="00BD00EC"/>
    <w:rsid w:val="00BD0215"/>
    <w:rsid w:val="00BD053A"/>
    <w:rsid w:val="00BD09D4"/>
    <w:rsid w:val="00BD0A9A"/>
    <w:rsid w:val="00BD0BAF"/>
    <w:rsid w:val="00BD108F"/>
    <w:rsid w:val="00BD21EF"/>
    <w:rsid w:val="00BD27E9"/>
    <w:rsid w:val="00BD3303"/>
    <w:rsid w:val="00BD3B8E"/>
    <w:rsid w:val="00BD40BF"/>
    <w:rsid w:val="00BD4719"/>
    <w:rsid w:val="00BD493E"/>
    <w:rsid w:val="00BD51D4"/>
    <w:rsid w:val="00BD5718"/>
    <w:rsid w:val="00BD5A17"/>
    <w:rsid w:val="00BD5AE0"/>
    <w:rsid w:val="00BD6501"/>
    <w:rsid w:val="00BD7F70"/>
    <w:rsid w:val="00BE04EF"/>
    <w:rsid w:val="00BE1DA7"/>
    <w:rsid w:val="00BE20B5"/>
    <w:rsid w:val="00BE3112"/>
    <w:rsid w:val="00BE375D"/>
    <w:rsid w:val="00BE3F27"/>
    <w:rsid w:val="00BE40DB"/>
    <w:rsid w:val="00BE41FA"/>
    <w:rsid w:val="00BE48E8"/>
    <w:rsid w:val="00BE515A"/>
    <w:rsid w:val="00BE59F9"/>
    <w:rsid w:val="00BE6655"/>
    <w:rsid w:val="00BE6A52"/>
    <w:rsid w:val="00BF0EE3"/>
    <w:rsid w:val="00BF2279"/>
    <w:rsid w:val="00BF2DB5"/>
    <w:rsid w:val="00BF34F4"/>
    <w:rsid w:val="00BF5D23"/>
    <w:rsid w:val="00BF61E8"/>
    <w:rsid w:val="00BF6CDF"/>
    <w:rsid w:val="00BF74CB"/>
    <w:rsid w:val="00BF775E"/>
    <w:rsid w:val="00BF7DB7"/>
    <w:rsid w:val="00C0022E"/>
    <w:rsid w:val="00C0120F"/>
    <w:rsid w:val="00C01E21"/>
    <w:rsid w:val="00C02AA8"/>
    <w:rsid w:val="00C02B22"/>
    <w:rsid w:val="00C0302C"/>
    <w:rsid w:val="00C03AB1"/>
    <w:rsid w:val="00C03CD7"/>
    <w:rsid w:val="00C03CEC"/>
    <w:rsid w:val="00C053B2"/>
    <w:rsid w:val="00C05577"/>
    <w:rsid w:val="00C065E8"/>
    <w:rsid w:val="00C06824"/>
    <w:rsid w:val="00C06B42"/>
    <w:rsid w:val="00C073F0"/>
    <w:rsid w:val="00C1065C"/>
    <w:rsid w:val="00C107E8"/>
    <w:rsid w:val="00C10A16"/>
    <w:rsid w:val="00C10D95"/>
    <w:rsid w:val="00C11440"/>
    <w:rsid w:val="00C11A5B"/>
    <w:rsid w:val="00C1233A"/>
    <w:rsid w:val="00C12C8D"/>
    <w:rsid w:val="00C12D77"/>
    <w:rsid w:val="00C13F4A"/>
    <w:rsid w:val="00C14367"/>
    <w:rsid w:val="00C150F5"/>
    <w:rsid w:val="00C15C4F"/>
    <w:rsid w:val="00C1657E"/>
    <w:rsid w:val="00C16945"/>
    <w:rsid w:val="00C178D3"/>
    <w:rsid w:val="00C178E8"/>
    <w:rsid w:val="00C179AF"/>
    <w:rsid w:val="00C21249"/>
    <w:rsid w:val="00C2124E"/>
    <w:rsid w:val="00C21826"/>
    <w:rsid w:val="00C2197A"/>
    <w:rsid w:val="00C21A2A"/>
    <w:rsid w:val="00C21CA6"/>
    <w:rsid w:val="00C22BE4"/>
    <w:rsid w:val="00C2300F"/>
    <w:rsid w:val="00C23566"/>
    <w:rsid w:val="00C244CB"/>
    <w:rsid w:val="00C2478D"/>
    <w:rsid w:val="00C24F69"/>
    <w:rsid w:val="00C2627D"/>
    <w:rsid w:val="00C264E0"/>
    <w:rsid w:val="00C2651B"/>
    <w:rsid w:val="00C26721"/>
    <w:rsid w:val="00C26D8E"/>
    <w:rsid w:val="00C26F2E"/>
    <w:rsid w:val="00C272D6"/>
    <w:rsid w:val="00C302FA"/>
    <w:rsid w:val="00C30627"/>
    <w:rsid w:val="00C31386"/>
    <w:rsid w:val="00C32C04"/>
    <w:rsid w:val="00C33A4C"/>
    <w:rsid w:val="00C34060"/>
    <w:rsid w:val="00C345FD"/>
    <w:rsid w:val="00C364A3"/>
    <w:rsid w:val="00C369C8"/>
    <w:rsid w:val="00C36A9A"/>
    <w:rsid w:val="00C3747B"/>
    <w:rsid w:val="00C3759D"/>
    <w:rsid w:val="00C3790A"/>
    <w:rsid w:val="00C410F3"/>
    <w:rsid w:val="00C41141"/>
    <w:rsid w:val="00C42A0E"/>
    <w:rsid w:val="00C4314B"/>
    <w:rsid w:val="00C432B1"/>
    <w:rsid w:val="00C435A7"/>
    <w:rsid w:val="00C43E80"/>
    <w:rsid w:val="00C4400F"/>
    <w:rsid w:val="00C46EF9"/>
    <w:rsid w:val="00C5134B"/>
    <w:rsid w:val="00C51DFC"/>
    <w:rsid w:val="00C52B2B"/>
    <w:rsid w:val="00C52E81"/>
    <w:rsid w:val="00C52F74"/>
    <w:rsid w:val="00C5301A"/>
    <w:rsid w:val="00C53115"/>
    <w:rsid w:val="00C5321B"/>
    <w:rsid w:val="00C5333B"/>
    <w:rsid w:val="00C534EB"/>
    <w:rsid w:val="00C54608"/>
    <w:rsid w:val="00C54F74"/>
    <w:rsid w:val="00C5686C"/>
    <w:rsid w:val="00C56AE8"/>
    <w:rsid w:val="00C56C52"/>
    <w:rsid w:val="00C5739D"/>
    <w:rsid w:val="00C575F9"/>
    <w:rsid w:val="00C5781A"/>
    <w:rsid w:val="00C579D4"/>
    <w:rsid w:val="00C57CEE"/>
    <w:rsid w:val="00C60107"/>
    <w:rsid w:val="00C60536"/>
    <w:rsid w:val="00C61815"/>
    <w:rsid w:val="00C61C02"/>
    <w:rsid w:val="00C61F37"/>
    <w:rsid w:val="00C62645"/>
    <w:rsid w:val="00C62AB5"/>
    <w:rsid w:val="00C62FD1"/>
    <w:rsid w:val="00C633D7"/>
    <w:rsid w:val="00C63740"/>
    <w:rsid w:val="00C63EC3"/>
    <w:rsid w:val="00C64664"/>
    <w:rsid w:val="00C646A6"/>
    <w:rsid w:val="00C65171"/>
    <w:rsid w:val="00C65FB2"/>
    <w:rsid w:val="00C673D3"/>
    <w:rsid w:val="00C6788C"/>
    <w:rsid w:val="00C67A76"/>
    <w:rsid w:val="00C700D3"/>
    <w:rsid w:val="00C7033F"/>
    <w:rsid w:val="00C70A8E"/>
    <w:rsid w:val="00C70C49"/>
    <w:rsid w:val="00C70C7F"/>
    <w:rsid w:val="00C728F3"/>
    <w:rsid w:val="00C732B5"/>
    <w:rsid w:val="00C73BC0"/>
    <w:rsid w:val="00C73FF1"/>
    <w:rsid w:val="00C7411C"/>
    <w:rsid w:val="00C744E8"/>
    <w:rsid w:val="00C74819"/>
    <w:rsid w:val="00C74869"/>
    <w:rsid w:val="00C75297"/>
    <w:rsid w:val="00C753BE"/>
    <w:rsid w:val="00C7580B"/>
    <w:rsid w:val="00C75D9B"/>
    <w:rsid w:val="00C7737F"/>
    <w:rsid w:val="00C80547"/>
    <w:rsid w:val="00C806CA"/>
    <w:rsid w:val="00C81681"/>
    <w:rsid w:val="00C816FF"/>
    <w:rsid w:val="00C825A0"/>
    <w:rsid w:val="00C827CA"/>
    <w:rsid w:val="00C83919"/>
    <w:rsid w:val="00C84626"/>
    <w:rsid w:val="00C8492D"/>
    <w:rsid w:val="00C849D4"/>
    <w:rsid w:val="00C84C30"/>
    <w:rsid w:val="00C862BF"/>
    <w:rsid w:val="00C86748"/>
    <w:rsid w:val="00C87999"/>
    <w:rsid w:val="00C87D0B"/>
    <w:rsid w:val="00C90353"/>
    <w:rsid w:val="00C90B02"/>
    <w:rsid w:val="00C90C93"/>
    <w:rsid w:val="00C90DD7"/>
    <w:rsid w:val="00C90F7D"/>
    <w:rsid w:val="00C912BB"/>
    <w:rsid w:val="00C9141D"/>
    <w:rsid w:val="00C916D9"/>
    <w:rsid w:val="00C91713"/>
    <w:rsid w:val="00C9189D"/>
    <w:rsid w:val="00C91D13"/>
    <w:rsid w:val="00C92986"/>
    <w:rsid w:val="00C93074"/>
    <w:rsid w:val="00C9445C"/>
    <w:rsid w:val="00C945BA"/>
    <w:rsid w:val="00C948D6"/>
    <w:rsid w:val="00C94923"/>
    <w:rsid w:val="00C94BB8"/>
    <w:rsid w:val="00C94CFD"/>
    <w:rsid w:val="00C94F26"/>
    <w:rsid w:val="00C9532E"/>
    <w:rsid w:val="00C95A42"/>
    <w:rsid w:val="00C95BA7"/>
    <w:rsid w:val="00C9723B"/>
    <w:rsid w:val="00C97BA9"/>
    <w:rsid w:val="00CA0975"/>
    <w:rsid w:val="00CA0EDC"/>
    <w:rsid w:val="00CA1349"/>
    <w:rsid w:val="00CA1978"/>
    <w:rsid w:val="00CA1E7D"/>
    <w:rsid w:val="00CA2784"/>
    <w:rsid w:val="00CA2956"/>
    <w:rsid w:val="00CA3419"/>
    <w:rsid w:val="00CA388C"/>
    <w:rsid w:val="00CA42FC"/>
    <w:rsid w:val="00CA5BD5"/>
    <w:rsid w:val="00CA5E00"/>
    <w:rsid w:val="00CA6032"/>
    <w:rsid w:val="00CA6CB3"/>
    <w:rsid w:val="00CA79B3"/>
    <w:rsid w:val="00CB0302"/>
    <w:rsid w:val="00CB098C"/>
    <w:rsid w:val="00CB09E0"/>
    <w:rsid w:val="00CB0B98"/>
    <w:rsid w:val="00CB10E5"/>
    <w:rsid w:val="00CB185B"/>
    <w:rsid w:val="00CB22C3"/>
    <w:rsid w:val="00CB3126"/>
    <w:rsid w:val="00CB3167"/>
    <w:rsid w:val="00CB3255"/>
    <w:rsid w:val="00CB3CCE"/>
    <w:rsid w:val="00CB3CF7"/>
    <w:rsid w:val="00CB4A4B"/>
    <w:rsid w:val="00CB4CA7"/>
    <w:rsid w:val="00CB4D2E"/>
    <w:rsid w:val="00CB51D5"/>
    <w:rsid w:val="00CB63B8"/>
    <w:rsid w:val="00CB65D1"/>
    <w:rsid w:val="00CB6891"/>
    <w:rsid w:val="00CB7762"/>
    <w:rsid w:val="00CC1741"/>
    <w:rsid w:val="00CC3402"/>
    <w:rsid w:val="00CC4F07"/>
    <w:rsid w:val="00CC532D"/>
    <w:rsid w:val="00CC6C17"/>
    <w:rsid w:val="00CC6EBA"/>
    <w:rsid w:val="00CC7278"/>
    <w:rsid w:val="00CD1905"/>
    <w:rsid w:val="00CD2758"/>
    <w:rsid w:val="00CD3A67"/>
    <w:rsid w:val="00CD4196"/>
    <w:rsid w:val="00CD41BD"/>
    <w:rsid w:val="00CD4670"/>
    <w:rsid w:val="00CD583F"/>
    <w:rsid w:val="00CD5F4B"/>
    <w:rsid w:val="00CD63C7"/>
    <w:rsid w:val="00CD66DD"/>
    <w:rsid w:val="00CD724B"/>
    <w:rsid w:val="00CD75F4"/>
    <w:rsid w:val="00CD781A"/>
    <w:rsid w:val="00CE01B1"/>
    <w:rsid w:val="00CE06E3"/>
    <w:rsid w:val="00CE13ED"/>
    <w:rsid w:val="00CE1D30"/>
    <w:rsid w:val="00CE2465"/>
    <w:rsid w:val="00CE26EC"/>
    <w:rsid w:val="00CE3A10"/>
    <w:rsid w:val="00CE4FDB"/>
    <w:rsid w:val="00CE61D5"/>
    <w:rsid w:val="00CE67A5"/>
    <w:rsid w:val="00CE77DD"/>
    <w:rsid w:val="00CE7C21"/>
    <w:rsid w:val="00CE7C22"/>
    <w:rsid w:val="00CE7D6A"/>
    <w:rsid w:val="00CE7F57"/>
    <w:rsid w:val="00CF0188"/>
    <w:rsid w:val="00CF1149"/>
    <w:rsid w:val="00CF1721"/>
    <w:rsid w:val="00CF22BD"/>
    <w:rsid w:val="00CF24BC"/>
    <w:rsid w:val="00CF26D3"/>
    <w:rsid w:val="00CF2B46"/>
    <w:rsid w:val="00CF2F51"/>
    <w:rsid w:val="00CF3560"/>
    <w:rsid w:val="00CF4A63"/>
    <w:rsid w:val="00CF4E45"/>
    <w:rsid w:val="00CF51AA"/>
    <w:rsid w:val="00CF553E"/>
    <w:rsid w:val="00CF5599"/>
    <w:rsid w:val="00CF57F2"/>
    <w:rsid w:val="00CF6EAF"/>
    <w:rsid w:val="00CF7D25"/>
    <w:rsid w:val="00D00AE0"/>
    <w:rsid w:val="00D00B5C"/>
    <w:rsid w:val="00D00F6D"/>
    <w:rsid w:val="00D01427"/>
    <w:rsid w:val="00D019FE"/>
    <w:rsid w:val="00D01FC8"/>
    <w:rsid w:val="00D024A2"/>
    <w:rsid w:val="00D03791"/>
    <w:rsid w:val="00D03F6F"/>
    <w:rsid w:val="00D04589"/>
    <w:rsid w:val="00D05FE7"/>
    <w:rsid w:val="00D07991"/>
    <w:rsid w:val="00D07C31"/>
    <w:rsid w:val="00D102DF"/>
    <w:rsid w:val="00D124EA"/>
    <w:rsid w:val="00D12656"/>
    <w:rsid w:val="00D12F46"/>
    <w:rsid w:val="00D13EF3"/>
    <w:rsid w:val="00D143A8"/>
    <w:rsid w:val="00D14CE9"/>
    <w:rsid w:val="00D14FC5"/>
    <w:rsid w:val="00D15675"/>
    <w:rsid w:val="00D16161"/>
    <w:rsid w:val="00D16910"/>
    <w:rsid w:val="00D20C08"/>
    <w:rsid w:val="00D20C3A"/>
    <w:rsid w:val="00D20E28"/>
    <w:rsid w:val="00D20FD7"/>
    <w:rsid w:val="00D211B5"/>
    <w:rsid w:val="00D22147"/>
    <w:rsid w:val="00D22894"/>
    <w:rsid w:val="00D22CEA"/>
    <w:rsid w:val="00D231AA"/>
    <w:rsid w:val="00D231D2"/>
    <w:rsid w:val="00D238AA"/>
    <w:rsid w:val="00D23C5E"/>
    <w:rsid w:val="00D24BF0"/>
    <w:rsid w:val="00D24DA1"/>
    <w:rsid w:val="00D25AC8"/>
    <w:rsid w:val="00D25BDF"/>
    <w:rsid w:val="00D26C5D"/>
    <w:rsid w:val="00D26D5A"/>
    <w:rsid w:val="00D278A4"/>
    <w:rsid w:val="00D30277"/>
    <w:rsid w:val="00D303B0"/>
    <w:rsid w:val="00D30A31"/>
    <w:rsid w:val="00D30E5C"/>
    <w:rsid w:val="00D31C81"/>
    <w:rsid w:val="00D3278A"/>
    <w:rsid w:val="00D328A6"/>
    <w:rsid w:val="00D32C73"/>
    <w:rsid w:val="00D33553"/>
    <w:rsid w:val="00D33A5E"/>
    <w:rsid w:val="00D33C3F"/>
    <w:rsid w:val="00D33E88"/>
    <w:rsid w:val="00D343D2"/>
    <w:rsid w:val="00D344B9"/>
    <w:rsid w:val="00D34D23"/>
    <w:rsid w:val="00D34F9B"/>
    <w:rsid w:val="00D34FF7"/>
    <w:rsid w:val="00D41AB8"/>
    <w:rsid w:val="00D41BED"/>
    <w:rsid w:val="00D41DB2"/>
    <w:rsid w:val="00D41EA1"/>
    <w:rsid w:val="00D421D6"/>
    <w:rsid w:val="00D42394"/>
    <w:rsid w:val="00D4282E"/>
    <w:rsid w:val="00D42B75"/>
    <w:rsid w:val="00D42F1D"/>
    <w:rsid w:val="00D43F0A"/>
    <w:rsid w:val="00D458E6"/>
    <w:rsid w:val="00D46E8A"/>
    <w:rsid w:val="00D47051"/>
    <w:rsid w:val="00D476ED"/>
    <w:rsid w:val="00D47BF4"/>
    <w:rsid w:val="00D47DAC"/>
    <w:rsid w:val="00D5024C"/>
    <w:rsid w:val="00D50711"/>
    <w:rsid w:val="00D50712"/>
    <w:rsid w:val="00D5077E"/>
    <w:rsid w:val="00D50954"/>
    <w:rsid w:val="00D5170E"/>
    <w:rsid w:val="00D51F0D"/>
    <w:rsid w:val="00D52D56"/>
    <w:rsid w:val="00D52F1A"/>
    <w:rsid w:val="00D52F76"/>
    <w:rsid w:val="00D5395D"/>
    <w:rsid w:val="00D53EE2"/>
    <w:rsid w:val="00D54B03"/>
    <w:rsid w:val="00D55268"/>
    <w:rsid w:val="00D55A46"/>
    <w:rsid w:val="00D56364"/>
    <w:rsid w:val="00D56761"/>
    <w:rsid w:val="00D56833"/>
    <w:rsid w:val="00D5720F"/>
    <w:rsid w:val="00D5758E"/>
    <w:rsid w:val="00D600DC"/>
    <w:rsid w:val="00D606CB"/>
    <w:rsid w:val="00D61419"/>
    <w:rsid w:val="00D61C0E"/>
    <w:rsid w:val="00D61C72"/>
    <w:rsid w:val="00D61EB3"/>
    <w:rsid w:val="00D624B2"/>
    <w:rsid w:val="00D628CA"/>
    <w:rsid w:val="00D62EFA"/>
    <w:rsid w:val="00D636C6"/>
    <w:rsid w:val="00D63FD9"/>
    <w:rsid w:val="00D64906"/>
    <w:rsid w:val="00D64B83"/>
    <w:rsid w:val="00D66599"/>
    <w:rsid w:val="00D66CAD"/>
    <w:rsid w:val="00D6731F"/>
    <w:rsid w:val="00D703C5"/>
    <w:rsid w:val="00D71185"/>
    <w:rsid w:val="00D72105"/>
    <w:rsid w:val="00D72FF4"/>
    <w:rsid w:val="00D73BD6"/>
    <w:rsid w:val="00D73DDA"/>
    <w:rsid w:val="00D754FF"/>
    <w:rsid w:val="00D80099"/>
    <w:rsid w:val="00D81DA0"/>
    <w:rsid w:val="00D828BF"/>
    <w:rsid w:val="00D82B9C"/>
    <w:rsid w:val="00D82E7F"/>
    <w:rsid w:val="00D834AF"/>
    <w:rsid w:val="00D83DFF"/>
    <w:rsid w:val="00D851DC"/>
    <w:rsid w:val="00D857C7"/>
    <w:rsid w:val="00D867D7"/>
    <w:rsid w:val="00D877A5"/>
    <w:rsid w:val="00D87CBE"/>
    <w:rsid w:val="00D90801"/>
    <w:rsid w:val="00D90C20"/>
    <w:rsid w:val="00D90DD8"/>
    <w:rsid w:val="00D91903"/>
    <w:rsid w:val="00D93025"/>
    <w:rsid w:val="00D93F47"/>
    <w:rsid w:val="00D94694"/>
    <w:rsid w:val="00D94E8F"/>
    <w:rsid w:val="00D953F9"/>
    <w:rsid w:val="00D95461"/>
    <w:rsid w:val="00D95DCE"/>
    <w:rsid w:val="00D960AC"/>
    <w:rsid w:val="00D9638B"/>
    <w:rsid w:val="00D96DE1"/>
    <w:rsid w:val="00D9700A"/>
    <w:rsid w:val="00D9701A"/>
    <w:rsid w:val="00D97A8D"/>
    <w:rsid w:val="00DA0BBF"/>
    <w:rsid w:val="00DA1D9E"/>
    <w:rsid w:val="00DA1E7A"/>
    <w:rsid w:val="00DA243D"/>
    <w:rsid w:val="00DA2DBB"/>
    <w:rsid w:val="00DA2FD0"/>
    <w:rsid w:val="00DA352E"/>
    <w:rsid w:val="00DA3651"/>
    <w:rsid w:val="00DA36D0"/>
    <w:rsid w:val="00DA3741"/>
    <w:rsid w:val="00DA41DC"/>
    <w:rsid w:val="00DA48A9"/>
    <w:rsid w:val="00DA4A4F"/>
    <w:rsid w:val="00DA50B9"/>
    <w:rsid w:val="00DA5AAC"/>
    <w:rsid w:val="00DA716F"/>
    <w:rsid w:val="00DA71BA"/>
    <w:rsid w:val="00DA73F8"/>
    <w:rsid w:val="00DB017C"/>
    <w:rsid w:val="00DB0FEC"/>
    <w:rsid w:val="00DB1672"/>
    <w:rsid w:val="00DB229B"/>
    <w:rsid w:val="00DB24F4"/>
    <w:rsid w:val="00DB47FD"/>
    <w:rsid w:val="00DB4A36"/>
    <w:rsid w:val="00DB4DE2"/>
    <w:rsid w:val="00DB4E27"/>
    <w:rsid w:val="00DB6377"/>
    <w:rsid w:val="00DB6AB8"/>
    <w:rsid w:val="00DB6BAD"/>
    <w:rsid w:val="00DB7251"/>
    <w:rsid w:val="00DC0B1C"/>
    <w:rsid w:val="00DC0EFB"/>
    <w:rsid w:val="00DC1DCC"/>
    <w:rsid w:val="00DC1EC3"/>
    <w:rsid w:val="00DC2344"/>
    <w:rsid w:val="00DC2439"/>
    <w:rsid w:val="00DC26E6"/>
    <w:rsid w:val="00DC2959"/>
    <w:rsid w:val="00DC2D62"/>
    <w:rsid w:val="00DC3C91"/>
    <w:rsid w:val="00DC4174"/>
    <w:rsid w:val="00DC4BA4"/>
    <w:rsid w:val="00DC52E3"/>
    <w:rsid w:val="00DC559A"/>
    <w:rsid w:val="00DC6739"/>
    <w:rsid w:val="00DC74C2"/>
    <w:rsid w:val="00DC74D9"/>
    <w:rsid w:val="00DC7662"/>
    <w:rsid w:val="00DC7993"/>
    <w:rsid w:val="00DD004C"/>
    <w:rsid w:val="00DD0903"/>
    <w:rsid w:val="00DD1566"/>
    <w:rsid w:val="00DD18AE"/>
    <w:rsid w:val="00DD1BB1"/>
    <w:rsid w:val="00DD2457"/>
    <w:rsid w:val="00DD27A9"/>
    <w:rsid w:val="00DD3AEE"/>
    <w:rsid w:val="00DD3DE9"/>
    <w:rsid w:val="00DD4277"/>
    <w:rsid w:val="00DD430D"/>
    <w:rsid w:val="00DD49E7"/>
    <w:rsid w:val="00DD4C74"/>
    <w:rsid w:val="00DD4F64"/>
    <w:rsid w:val="00DD5D52"/>
    <w:rsid w:val="00DD6B1A"/>
    <w:rsid w:val="00DE0062"/>
    <w:rsid w:val="00DE05E7"/>
    <w:rsid w:val="00DE0B76"/>
    <w:rsid w:val="00DE145F"/>
    <w:rsid w:val="00DE164D"/>
    <w:rsid w:val="00DE17C2"/>
    <w:rsid w:val="00DE204F"/>
    <w:rsid w:val="00DE3174"/>
    <w:rsid w:val="00DE3E52"/>
    <w:rsid w:val="00DE4406"/>
    <w:rsid w:val="00DE4D0A"/>
    <w:rsid w:val="00DE571D"/>
    <w:rsid w:val="00DE5935"/>
    <w:rsid w:val="00DE5A67"/>
    <w:rsid w:val="00DE6BA6"/>
    <w:rsid w:val="00DE6CA8"/>
    <w:rsid w:val="00DE6E2E"/>
    <w:rsid w:val="00DE7443"/>
    <w:rsid w:val="00DE771B"/>
    <w:rsid w:val="00DF217E"/>
    <w:rsid w:val="00DF301C"/>
    <w:rsid w:val="00DF4509"/>
    <w:rsid w:val="00DF4D95"/>
    <w:rsid w:val="00DF539C"/>
    <w:rsid w:val="00DF6228"/>
    <w:rsid w:val="00DF6422"/>
    <w:rsid w:val="00E00056"/>
    <w:rsid w:val="00E0095F"/>
    <w:rsid w:val="00E00E55"/>
    <w:rsid w:val="00E010CD"/>
    <w:rsid w:val="00E0199C"/>
    <w:rsid w:val="00E0414A"/>
    <w:rsid w:val="00E05252"/>
    <w:rsid w:val="00E05945"/>
    <w:rsid w:val="00E05971"/>
    <w:rsid w:val="00E05A07"/>
    <w:rsid w:val="00E05BAA"/>
    <w:rsid w:val="00E05BC3"/>
    <w:rsid w:val="00E063E7"/>
    <w:rsid w:val="00E06C0A"/>
    <w:rsid w:val="00E0789C"/>
    <w:rsid w:val="00E07F40"/>
    <w:rsid w:val="00E10707"/>
    <w:rsid w:val="00E107E4"/>
    <w:rsid w:val="00E10886"/>
    <w:rsid w:val="00E10E69"/>
    <w:rsid w:val="00E13CEE"/>
    <w:rsid w:val="00E14496"/>
    <w:rsid w:val="00E14ECF"/>
    <w:rsid w:val="00E15153"/>
    <w:rsid w:val="00E15497"/>
    <w:rsid w:val="00E16AF6"/>
    <w:rsid w:val="00E16DD9"/>
    <w:rsid w:val="00E16E5E"/>
    <w:rsid w:val="00E171D8"/>
    <w:rsid w:val="00E17DD8"/>
    <w:rsid w:val="00E201A8"/>
    <w:rsid w:val="00E2118E"/>
    <w:rsid w:val="00E21F34"/>
    <w:rsid w:val="00E22417"/>
    <w:rsid w:val="00E2293F"/>
    <w:rsid w:val="00E24098"/>
    <w:rsid w:val="00E24DAE"/>
    <w:rsid w:val="00E25415"/>
    <w:rsid w:val="00E2562E"/>
    <w:rsid w:val="00E27BC6"/>
    <w:rsid w:val="00E30383"/>
    <w:rsid w:val="00E30B01"/>
    <w:rsid w:val="00E31194"/>
    <w:rsid w:val="00E318CC"/>
    <w:rsid w:val="00E31B33"/>
    <w:rsid w:val="00E333B2"/>
    <w:rsid w:val="00E3421B"/>
    <w:rsid w:val="00E34EF5"/>
    <w:rsid w:val="00E3562A"/>
    <w:rsid w:val="00E37AF1"/>
    <w:rsid w:val="00E37D9D"/>
    <w:rsid w:val="00E401A3"/>
    <w:rsid w:val="00E40FE9"/>
    <w:rsid w:val="00E4158B"/>
    <w:rsid w:val="00E41977"/>
    <w:rsid w:val="00E41BCC"/>
    <w:rsid w:val="00E41DA2"/>
    <w:rsid w:val="00E42420"/>
    <w:rsid w:val="00E43A4F"/>
    <w:rsid w:val="00E43D26"/>
    <w:rsid w:val="00E43D8F"/>
    <w:rsid w:val="00E44C0F"/>
    <w:rsid w:val="00E45E19"/>
    <w:rsid w:val="00E4622A"/>
    <w:rsid w:val="00E46C5B"/>
    <w:rsid w:val="00E47A4F"/>
    <w:rsid w:val="00E50659"/>
    <w:rsid w:val="00E50755"/>
    <w:rsid w:val="00E50A12"/>
    <w:rsid w:val="00E51840"/>
    <w:rsid w:val="00E53195"/>
    <w:rsid w:val="00E53377"/>
    <w:rsid w:val="00E54C69"/>
    <w:rsid w:val="00E5558F"/>
    <w:rsid w:val="00E5650A"/>
    <w:rsid w:val="00E5686D"/>
    <w:rsid w:val="00E56931"/>
    <w:rsid w:val="00E57982"/>
    <w:rsid w:val="00E57AA8"/>
    <w:rsid w:val="00E57B84"/>
    <w:rsid w:val="00E602E6"/>
    <w:rsid w:val="00E60DF4"/>
    <w:rsid w:val="00E617B6"/>
    <w:rsid w:val="00E618B9"/>
    <w:rsid w:val="00E6198A"/>
    <w:rsid w:val="00E629A2"/>
    <w:rsid w:val="00E63433"/>
    <w:rsid w:val="00E63A2E"/>
    <w:rsid w:val="00E63FA2"/>
    <w:rsid w:val="00E63FB0"/>
    <w:rsid w:val="00E64221"/>
    <w:rsid w:val="00E6429C"/>
    <w:rsid w:val="00E64541"/>
    <w:rsid w:val="00E6586C"/>
    <w:rsid w:val="00E66324"/>
    <w:rsid w:val="00E66B5F"/>
    <w:rsid w:val="00E67802"/>
    <w:rsid w:val="00E67CA3"/>
    <w:rsid w:val="00E707B2"/>
    <w:rsid w:val="00E70ABE"/>
    <w:rsid w:val="00E70B59"/>
    <w:rsid w:val="00E70FC3"/>
    <w:rsid w:val="00E71040"/>
    <w:rsid w:val="00E715C6"/>
    <w:rsid w:val="00E722C6"/>
    <w:rsid w:val="00E73273"/>
    <w:rsid w:val="00E7405D"/>
    <w:rsid w:val="00E74076"/>
    <w:rsid w:val="00E75047"/>
    <w:rsid w:val="00E779AB"/>
    <w:rsid w:val="00E800BB"/>
    <w:rsid w:val="00E801E4"/>
    <w:rsid w:val="00E82746"/>
    <w:rsid w:val="00E83A76"/>
    <w:rsid w:val="00E84894"/>
    <w:rsid w:val="00E85B86"/>
    <w:rsid w:val="00E8619E"/>
    <w:rsid w:val="00E9009C"/>
    <w:rsid w:val="00E90508"/>
    <w:rsid w:val="00E90C89"/>
    <w:rsid w:val="00E91379"/>
    <w:rsid w:val="00E921C8"/>
    <w:rsid w:val="00E937BF"/>
    <w:rsid w:val="00E94004"/>
    <w:rsid w:val="00E94FB6"/>
    <w:rsid w:val="00E95A30"/>
    <w:rsid w:val="00E96B6D"/>
    <w:rsid w:val="00E96F6F"/>
    <w:rsid w:val="00E97036"/>
    <w:rsid w:val="00EA04B4"/>
    <w:rsid w:val="00EA05C6"/>
    <w:rsid w:val="00EA0798"/>
    <w:rsid w:val="00EA0BC4"/>
    <w:rsid w:val="00EA2255"/>
    <w:rsid w:val="00EA24EC"/>
    <w:rsid w:val="00EA2531"/>
    <w:rsid w:val="00EA2778"/>
    <w:rsid w:val="00EA2BC2"/>
    <w:rsid w:val="00EA3219"/>
    <w:rsid w:val="00EA339E"/>
    <w:rsid w:val="00EA33A0"/>
    <w:rsid w:val="00EA37C7"/>
    <w:rsid w:val="00EA3B3F"/>
    <w:rsid w:val="00EA3BB1"/>
    <w:rsid w:val="00EA3C7E"/>
    <w:rsid w:val="00EA3F31"/>
    <w:rsid w:val="00EA7A9F"/>
    <w:rsid w:val="00EB167C"/>
    <w:rsid w:val="00EB183D"/>
    <w:rsid w:val="00EB3067"/>
    <w:rsid w:val="00EB3EAF"/>
    <w:rsid w:val="00EB4690"/>
    <w:rsid w:val="00EB4E6A"/>
    <w:rsid w:val="00EB4F0C"/>
    <w:rsid w:val="00EB4F29"/>
    <w:rsid w:val="00EB7733"/>
    <w:rsid w:val="00EC003A"/>
    <w:rsid w:val="00EC12A3"/>
    <w:rsid w:val="00EC151B"/>
    <w:rsid w:val="00EC1764"/>
    <w:rsid w:val="00EC17C2"/>
    <w:rsid w:val="00EC1D27"/>
    <w:rsid w:val="00EC1FF1"/>
    <w:rsid w:val="00EC2E55"/>
    <w:rsid w:val="00EC40AF"/>
    <w:rsid w:val="00EC456E"/>
    <w:rsid w:val="00EC5653"/>
    <w:rsid w:val="00EC5B93"/>
    <w:rsid w:val="00EC5DFA"/>
    <w:rsid w:val="00EC5EBE"/>
    <w:rsid w:val="00EC61E0"/>
    <w:rsid w:val="00EC6371"/>
    <w:rsid w:val="00EC64F5"/>
    <w:rsid w:val="00EC691B"/>
    <w:rsid w:val="00EC6F2B"/>
    <w:rsid w:val="00EC7238"/>
    <w:rsid w:val="00EC75EA"/>
    <w:rsid w:val="00EC7F8C"/>
    <w:rsid w:val="00ED15F7"/>
    <w:rsid w:val="00ED1DFF"/>
    <w:rsid w:val="00ED2280"/>
    <w:rsid w:val="00ED36E7"/>
    <w:rsid w:val="00ED3729"/>
    <w:rsid w:val="00ED4951"/>
    <w:rsid w:val="00ED57B8"/>
    <w:rsid w:val="00ED5DB3"/>
    <w:rsid w:val="00ED6CF8"/>
    <w:rsid w:val="00EE0446"/>
    <w:rsid w:val="00EE297A"/>
    <w:rsid w:val="00EE2DAF"/>
    <w:rsid w:val="00EE3F54"/>
    <w:rsid w:val="00EE4749"/>
    <w:rsid w:val="00EE4934"/>
    <w:rsid w:val="00EE4BF5"/>
    <w:rsid w:val="00EE4E7C"/>
    <w:rsid w:val="00EE525C"/>
    <w:rsid w:val="00EE5546"/>
    <w:rsid w:val="00EE5647"/>
    <w:rsid w:val="00EE5F21"/>
    <w:rsid w:val="00EE5FE4"/>
    <w:rsid w:val="00EF08C4"/>
    <w:rsid w:val="00EF1359"/>
    <w:rsid w:val="00EF166C"/>
    <w:rsid w:val="00EF1716"/>
    <w:rsid w:val="00EF25B3"/>
    <w:rsid w:val="00EF2C3F"/>
    <w:rsid w:val="00EF456C"/>
    <w:rsid w:val="00EF5413"/>
    <w:rsid w:val="00EF564C"/>
    <w:rsid w:val="00EF7517"/>
    <w:rsid w:val="00EF7923"/>
    <w:rsid w:val="00F00FB5"/>
    <w:rsid w:val="00F014D8"/>
    <w:rsid w:val="00F0153C"/>
    <w:rsid w:val="00F024BF"/>
    <w:rsid w:val="00F02C63"/>
    <w:rsid w:val="00F034AC"/>
    <w:rsid w:val="00F03ED0"/>
    <w:rsid w:val="00F052E0"/>
    <w:rsid w:val="00F0674D"/>
    <w:rsid w:val="00F0674F"/>
    <w:rsid w:val="00F079F3"/>
    <w:rsid w:val="00F07B47"/>
    <w:rsid w:val="00F10DFD"/>
    <w:rsid w:val="00F11487"/>
    <w:rsid w:val="00F116CC"/>
    <w:rsid w:val="00F11E79"/>
    <w:rsid w:val="00F14606"/>
    <w:rsid w:val="00F1668D"/>
    <w:rsid w:val="00F168B4"/>
    <w:rsid w:val="00F16D00"/>
    <w:rsid w:val="00F16D46"/>
    <w:rsid w:val="00F16DE2"/>
    <w:rsid w:val="00F2034B"/>
    <w:rsid w:val="00F210F9"/>
    <w:rsid w:val="00F21D21"/>
    <w:rsid w:val="00F223FD"/>
    <w:rsid w:val="00F2276C"/>
    <w:rsid w:val="00F22A2E"/>
    <w:rsid w:val="00F23420"/>
    <w:rsid w:val="00F24AB6"/>
    <w:rsid w:val="00F25C4F"/>
    <w:rsid w:val="00F266E5"/>
    <w:rsid w:val="00F26CB9"/>
    <w:rsid w:val="00F2714D"/>
    <w:rsid w:val="00F2746F"/>
    <w:rsid w:val="00F3108A"/>
    <w:rsid w:val="00F31611"/>
    <w:rsid w:val="00F31C21"/>
    <w:rsid w:val="00F32E8F"/>
    <w:rsid w:val="00F33210"/>
    <w:rsid w:val="00F34330"/>
    <w:rsid w:val="00F34B14"/>
    <w:rsid w:val="00F37646"/>
    <w:rsid w:val="00F378ED"/>
    <w:rsid w:val="00F403E5"/>
    <w:rsid w:val="00F40914"/>
    <w:rsid w:val="00F41E4B"/>
    <w:rsid w:val="00F42CA0"/>
    <w:rsid w:val="00F44F08"/>
    <w:rsid w:val="00F45405"/>
    <w:rsid w:val="00F4566B"/>
    <w:rsid w:val="00F4579C"/>
    <w:rsid w:val="00F46004"/>
    <w:rsid w:val="00F469D4"/>
    <w:rsid w:val="00F472AB"/>
    <w:rsid w:val="00F50F0F"/>
    <w:rsid w:val="00F52430"/>
    <w:rsid w:val="00F532F2"/>
    <w:rsid w:val="00F54144"/>
    <w:rsid w:val="00F54549"/>
    <w:rsid w:val="00F60B44"/>
    <w:rsid w:val="00F617A1"/>
    <w:rsid w:val="00F61993"/>
    <w:rsid w:val="00F61D29"/>
    <w:rsid w:val="00F6215C"/>
    <w:rsid w:val="00F6240A"/>
    <w:rsid w:val="00F62780"/>
    <w:rsid w:val="00F6295D"/>
    <w:rsid w:val="00F630C3"/>
    <w:rsid w:val="00F639BE"/>
    <w:rsid w:val="00F63EA2"/>
    <w:rsid w:val="00F6431E"/>
    <w:rsid w:val="00F645B9"/>
    <w:rsid w:val="00F65F0B"/>
    <w:rsid w:val="00F67593"/>
    <w:rsid w:val="00F6776E"/>
    <w:rsid w:val="00F67963"/>
    <w:rsid w:val="00F67969"/>
    <w:rsid w:val="00F71360"/>
    <w:rsid w:val="00F714A8"/>
    <w:rsid w:val="00F726D5"/>
    <w:rsid w:val="00F7273D"/>
    <w:rsid w:val="00F72FE0"/>
    <w:rsid w:val="00F7307A"/>
    <w:rsid w:val="00F7316A"/>
    <w:rsid w:val="00F7359D"/>
    <w:rsid w:val="00F7389C"/>
    <w:rsid w:val="00F75973"/>
    <w:rsid w:val="00F7706D"/>
    <w:rsid w:val="00F77465"/>
    <w:rsid w:val="00F81669"/>
    <w:rsid w:val="00F81DDA"/>
    <w:rsid w:val="00F827BE"/>
    <w:rsid w:val="00F83436"/>
    <w:rsid w:val="00F83F99"/>
    <w:rsid w:val="00F84C16"/>
    <w:rsid w:val="00F8506E"/>
    <w:rsid w:val="00F8593F"/>
    <w:rsid w:val="00F85C60"/>
    <w:rsid w:val="00F86281"/>
    <w:rsid w:val="00F909D8"/>
    <w:rsid w:val="00F913C3"/>
    <w:rsid w:val="00F92368"/>
    <w:rsid w:val="00F925D3"/>
    <w:rsid w:val="00F926CB"/>
    <w:rsid w:val="00F9290E"/>
    <w:rsid w:val="00F93652"/>
    <w:rsid w:val="00F94F1F"/>
    <w:rsid w:val="00F975DC"/>
    <w:rsid w:val="00F97800"/>
    <w:rsid w:val="00FA04C4"/>
    <w:rsid w:val="00FA0732"/>
    <w:rsid w:val="00FA07C6"/>
    <w:rsid w:val="00FA110C"/>
    <w:rsid w:val="00FA13C7"/>
    <w:rsid w:val="00FA19E7"/>
    <w:rsid w:val="00FA2137"/>
    <w:rsid w:val="00FA40F6"/>
    <w:rsid w:val="00FA41D4"/>
    <w:rsid w:val="00FA4425"/>
    <w:rsid w:val="00FA46FC"/>
    <w:rsid w:val="00FA4C9A"/>
    <w:rsid w:val="00FA5345"/>
    <w:rsid w:val="00FA6054"/>
    <w:rsid w:val="00FA6365"/>
    <w:rsid w:val="00FA6E04"/>
    <w:rsid w:val="00FB3414"/>
    <w:rsid w:val="00FB3E76"/>
    <w:rsid w:val="00FB4DA6"/>
    <w:rsid w:val="00FB4EFF"/>
    <w:rsid w:val="00FB5081"/>
    <w:rsid w:val="00FB50EF"/>
    <w:rsid w:val="00FB5B99"/>
    <w:rsid w:val="00FB60C5"/>
    <w:rsid w:val="00FB62E8"/>
    <w:rsid w:val="00FB6BB5"/>
    <w:rsid w:val="00FB7340"/>
    <w:rsid w:val="00FB74A8"/>
    <w:rsid w:val="00FB78DA"/>
    <w:rsid w:val="00FC054D"/>
    <w:rsid w:val="00FC2C33"/>
    <w:rsid w:val="00FC3374"/>
    <w:rsid w:val="00FC3FBC"/>
    <w:rsid w:val="00FC6733"/>
    <w:rsid w:val="00FC7C60"/>
    <w:rsid w:val="00FC7EDE"/>
    <w:rsid w:val="00FD025A"/>
    <w:rsid w:val="00FD06E6"/>
    <w:rsid w:val="00FD0B6E"/>
    <w:rsid w:val="00FD142C"/>
    <w:rsid w:val="00FD220E"/>
    <w:rsid w:val="00FD24DA"/>
    <w:rsid w:val="00FD3B61"/>
    <w:rsid w:val="00FD4814"/>
    <w:rsid w:val="00FD65F2"/>
    <w:rsid w:val="00FD7556"/>
    <w:rsid w:val="00FE0746"/>
    <w:rsid w:val="00FE0891"/>
    <w:rsid w:val="00FE096E"/>
    <w:rsid w:val="00FE12DF"/>
    <w:rsid w:val="00FE1891"/>
    <w:rsid w:val="00FE18CA"/>
    <w:rsid w:val="00FE1AE3"/>
    <w:rsid w:val="00FE2BC3"/>
    <w:rsid w:val="00FE34C2"/>
    <w:rsid w:val="00FE3A58"/>
    <w:rsid w:val="00FE3CCA"/>
    <w:rsid w:val="00FE3DD9"/>
    <w:rsid w:val="00FE40D1"/>
    <w:rsid w:val="00FE51AA"/>
    <w:rsid w:val="00FE56F9"/>
    <w:rsid w:val="00FE596A"/>
    <w:rsid w:val="00FE5C47"/>
    <w:rsid w:val="00FE6E93"/>
    <w:rsid w:val="00FE7354"/>
    <w:rsid w:val="00FE796D"/>
    <w:rsid w:val="00FF01DB"/>
    <w:rsid w:val="00FF0A37"/>
    <w:rsid w:val="00FF0F1C"/>
    <w:rsid w:val="00FF1610"/>
    <w:rsid w:val="00FF1947"/>
    <w:rsid w:val="00FF1D19"/>
    <w:rsid w:val="00FF20D8"/>
    <w:rsid w:val="00FF2E1D"/>
    <w:rsid w:val="00FF2E22"/>
    <w:rsid w:val="00FF4928"/>
    <w:rsid w:val="00FF4B77"/>
    <w:rsid w:val="00FF4BC1"/>
    <w:rsid w:val="00FF4F7A"/>
    <w:rsid w:val="00FF513E"/>
    <w:rsid w:val="00FF5247"/>
    <w:rsid w:val="00FF5886"/>
    <w:rsid w:val="00FF59B8"/>
    <w:rsid w:val="00FF5EA8"/>
    <w:rsid w:val="00FF6238"/>
    <w:rsid w:val="00FF63BC"/>
    <w:rsid w:val="00FF7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23937"/>
    <o:shapelayout v:ext="edit">
      <o:idmap v:ext="edit" data="1"/>
    </o:shapelayout>
  </w:shapeDefaults>
  <w:decimalSymbol w:val="."/>
  <w:listSeparator w:val=","/>
  <w14:docId w14:val="5FC1A15F"/>
  <w15:docId w15:val="{56EFFC20-DBDC-4901-B89E-78CE6F16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49"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56D42"/>
    <w:pPr>
      <w:numPr>
        <w:ilvl w:val="1"/>
        <w:numId w:val="4"/>
      </w:numPr>
    </w:pPr>
  </w:style>
  <w:style w:type="character" w:customStyle="1" w:styleId="BodyText2Char">
    <w:name w:val="Body Text 2 Char"/>
    <w:basedOn w:val="DefaultParagraphFont"/>
    <w:link w:val="BodyText2"/>
    <w:rsid w:val="00656D42"/>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1"/>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1"/>
    <w:rsid w:val="00E83A76"/>
    <w:rPr>
      <w:b/>
    </w:rPr>
  </w:style>
  <w:style w:type="paragraph" w:styleId="FootnoteText">
    <w:name w:val="footnote text"/>
    <w:basedOn w:val="Normal"/>
    <w:link w:val="FootnoteTextChar"/>
    <w:rsid w:val="00E83A76"/>
    <w:pPr>
      <w:spacing w:after="0"/>
      <w:ind w:left="567" w:hanging="567"/>
      <w:jc w:val="both"/>
    </w:pPr>
    <w:rPr>
      <w:sz w:val="20"/>
    </w:rPr>
  </w:style>
  <w:style w:type="character" w:customStyle="1" w:styleId="FootnoteTextChar">
    <w:name w:val="Footnote Text Char"/>
    <w:basedOn w:val="DefaultParagraphFont"/>
    <w:link w:val="FootnoteText"/>
    <w:rsid w:val="00E83A76"/>
    <w:rPr>
      <w:sz w:val="20"/>
    </w:rPr>
  </w:style>
  <w:style w:type="character" w:styleId="FootnoteReference">
    <w:name w:val="footnote reference"/>
    <w:basedOn w:val="DefaultParagraphFont"/>
    <w:qFormat/>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2"/>
      </w:numPr>
    </w:pPr>
    <w:rPr>
      <w:rFonts w:eastAsia="Times New Roman"/>
      <w:szCs w:val="26"/>
    </w:rPr>
  </w:style>
  <w:style w:type="paragraph" w:customStyle="1" w:styleId="BodyText1">
    <w:name w:val="Body Text 1"/>
    <w:basedOn w:val="Normal"/>
    <w:link w:val="BodyText1Char"/>
    <w:qFormat/>
    <w:rsid w:val="00E07F40"/>
    <w:pPr>
      <w:numPr>
        <w:numId w:val="4"/>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4"/>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4"/>
      </w:numPr>
    </w:pPr>
  </w:style>
  <w:style w:type="paragraph" w:styleId="BodyText">
    <w:name w:val="Body Text"/>
    <w:basedOn w:val="Normal"/>
    <w:link w:val="BodyTextChar"/>
    <w:rsid w:val="007A4D50"/>
    <w:pPr>
      <w:spacing w:after="120"/>
    </w:pPr>
    <w:rPr>
      <w:rFonts w:eastAsia="Times New Roman"/>
    </w:rPr>
  </w:style>
  <w:style w:type="character" w:customStyle="1" w:styleId="BodyTextChar">
    <w:name w:val="Body Text Char"/>
    <w:basedOn w:val="DefaultParagraphFont"/>
    <w:link w:val="BodyText"/>
    <w:rsid w:val="007A4D50"/>
    <w:rPr>
      <w:rFonts w:eastAsia="Times New Roman"/>
    </w:rPr>
  </w:style>
  <w:style w:type="character" w:styleId="CommentReference">
    <w:name w:val="annotation reference"/>
    <w:basedOn w:val="DefaultParagraphFont"/>
    <w:semiHidden/>
    <w:rsid w:val="007145CA"/>
    <w:rPr>
      <w:sz w:val="16"/>
      <w:szCs w:val="16"/>
    </w:rPr>
  </w:style>
  <w:style w:type="paragraph" w:styleId="CommentText">
    <w:name w:val="annotation text"/>
    <w:basedOn w:val="Normal"/>
    <w:link w:val="CommentTextChar"/>
    <w:semiHidden/>
    <w:rsid w:val="007145CA"/>
    <w:pPr>
      <w:spacing w:after="0"/>
    </w:pPr>
    <w:rPr>
      <w:rFonts w:eastAsia="Times New Roman"/>
      <w:sz w:val="20"/>
      <w:szCs w:val="20"/>
    </w:rPr>
  </w:style>
  <w:style w:type="character" w:customStyle="1" w:styleId="CommentTextChar">
    <w:name w:val="Comment Text Char"/>
    <w:basedOn w:val="DefaultParagraphFont"/>
    <w:link w:val="CommentText"/>
    <w:semiHidden/>
    <w:rsid w:val="007145CA"/>
    <w:rPr>
      <w:rFonts w:eastAsia="Times New Roman"/>
      <w:sz w:val="20"/>
      <w:szCs w:val="20"/>
    </w:rPr>
  </w:style>
  <w:style w:type="paragraph" w:styleId="CommentSubject">
    <w:name w:val="annotation subject"/>
    <w:basedOn w:val="CommentText"/>
    <w:next w:val="CommentText"/>
    <w:link w:val="CommentSubjectChar"/>
    <w:uiPriority w:val="49"/>
    <w:semiHidden/>
    <w:unhideWhenUsed/>
    <w:rsid w:val="00575A46"/>
    <w:pPr>
      <w:spacing w:after="240"/>
    </w:pPr>
    <w:rPr>
      <w:rFonts w:eastAsia="Calibri"/>
      <w:b/>
      <w:bCs/>
    </w:rPr>
  </w:style>
  <w:style w:type="character" w:customStyle="1" w:styleId="CommentSubjectChar">
    <w:name w:val="Comment Subject Char"/>
    <w:basedOn w:val="CommentTextChar"/>
    <w:link w:val="CommentSubject"/>
    <w:uiPriority w:val="49"/>
    <w:semiHidden/>
    <w:rsid w:val="00575A46"/>
    <w:rPr>
      <w:rFonts w:eastAsia="Times New Roman"/>
      <w:b/>
      <w:bCs/>
      <w:sz w:val="20"/>
      <w:szCs w:val="20"/>
    </w:rPr>
  </w:style>
  <w:style w:type="paragraph" w:customStyle="1" w:styleId="Default">
    <w:name w:val="Default"/>
    <w:rsid w:val="00270246"/>
    <w:pPr>
      <w:autoSpaceDE w:val="0"/>
      <w:autoSpaceDN w:val="0"/>
      <w:adjustRightInd w:val="0"/>
      <w:spacing w:after="0"/>
    </w:pPr>
    <w:rPr>
      <w:color w:val="000000"/>
    </w:rPr>
  </w:style>
  <w:style w:type="paragraph" w:styleId="ListParagraph">
    <w:name w:val="List Paragraph"/>
    <w:basedOn w:val="Normal"/>
    <w:uiPriority w:val="34"/>
    <w:qFormat/>
    <w:rsid w:val="003A34AA"/>
    <w:pPr>
      <w:spacing w:before="100" w:beforeAutospacing="1" w:after="100" w:afterAutospacing="1"/>
    </w:pPr>
    <w:rPr>
      <w:rFonts w:eastAsia="Times New Roman"/>
    </w:rPr>
  </w:style>
  <w:style w:type="paragraph" w:customStyle="1" w:styleId="FooterPageOdd">
    <w:name w:val="FooterPageOdd"/>
    <w:basedOn w:val="Footer"/>
    <w:rsid w:val="00B52898"/>
    <w:pPr>
      <w:tabs>
        <w:tab w:val="clear" w:pos="4513"/>
        <w:tab w:val="clear" w:pos="9026"/>
        <w:tab w:val="center" w:pos="4153"/>
        <w:tab w:val="right" w:pos="8306"/>
      </w:tabs>
      <w:spacing w:after="0"/>
    </w:pPr>
    <w:rPr>
      <w:rFonts w:ascii="Arial" w:eastAsia="Times New Roman" w:hAnsi="Arial"/>
      <w:b w:val="0"/>
      <w:sz w:val="22"/>
    </w:rPr>
  </w:style>
  <w:style w:type="character" w:customStyle="1" w:styleId="BULLET1Char">
    <w:name w:val="BULLET 1 Char"/>
    <w:basedOn w:val="DefaultParagraphFont"/>
    <w:link w:val="BULLET1"/>
    <w:locked/>
    <w:rsid w:val="008162A8"/>
    <w:rPr>
      <w:rFonts w:ascii="Arial" w:eastAsiaTheme="minorEastAsia" w:hAnsi="Arial" w:cstheme="minorBidi"/>
    </w:rPr>
  </w:style>
  <w:style w:type="paragraph" w:customStyle="1" w:styleId="BULLET1">
    <w:name w:val="BULLET 1"/>
    <w:basedOn w:val="Normal"/>
    <w:link w:val="BULLET1Char"/>
    <w:qFormat/>
    <w:rsid w:val="008162A8"/>
    <w:pPr>
      <w:numPr>
        <w:numId w:val="5"/>
      </w:numPr>
      <w:jc w:val="both"/>
    </w:pPr>
    <w:rPr>
      <w:rFonts w:ascii="Arial" w:eastAsiaTheme="minorEastAsia" w:hAnsi="Arial" w:cstheme="minorBidi"/>
    </w:rPr>
  </w:style>
  <w:style w:type="paragraph" w:styleId="Revision">
    <w:name w:val="Revision"/>
    <w:hidden/>
    <w:uiPriority w:val="99"/>
    <w:semiHidden/>
    <w:rsid w:val="007D1C24"/>
    <w:pPr>
      <w:spacing w:after="0"/>
    </w:pPr>
  </w:style>
  <w:style w:type="character" w:styleId="FollowedHyperlink">
    <w:name w:val="FollowedHyperlink"/>
    <w:basedOn w:val="DefaultParagraphFont"/>
    <w:uiPriority w:val="49"/>
    <w:semiHidden/>
    <w:unhideWhenUsed/>
    <w:rsid w:val="00970BA8"/>
    <w:rPr>
      <w:color w:val="919191" w:themeColor="followedHyperlink"/>
      <w:u w:val="single"/>
    </w:rPr>
  </w:style>
  <w:style w:type="paragraph" w:styleId="NormalWeb">
    <w:name w:val="Normal (Web)"/>
    <w:basedOn w:val="Normal"/>
    <w:uiPriority w:val="99"/>
    <w:semiHidden/>
    <w:unhideWhenUsed/>
    <w:rsid w:val="006C3BE7"/>
    <w:pPr>
      <w:spacing w:before="100" w:beforeAutospacing="1" w:after="100" w:afterAutospacing="1"/>
    </w:pPr>
    <w:rPr>
      <w:rFonts w:eastAsia="Times New Roman"/>
    </w:rPr>
  </w:style>
  <w:style w:type="paragraph" w:customStyle="1" w:styleId="APRANORMAL">
    <w:name w:val="APRA NORMAL"/>
    <w:basedOn w:val="Normal"/>
    <w:link w:val="APRANORMALChar"/>
    <w:qFormat/>
    <w:rsid w:val="00E50A12"/>
    <w:rPr>
      <w:rFonts w:ascii="DIN OT Light" w:eastAsiaTheme="minorHAnsi" w:hAnsi="DIN OT Light"/>
      <w:sz w:val="22"/>
      <w:szCs w:val="22"/>
      <w:lang w:val="en-GB" w:eastAsia="en-US"/>
    </w:rPr>
  </w:style>
  <w:style w:type="character" w:customStyle="1" w:styleId="APRANORMALChar">
    <w:name w:val="APRA NORMAL Char"/>
    <w:basedOn w:val="DefaultParagraphFont"/>
    <w:link w:val="APRANORMAL"/>
    <w:rsid w:val="00E50A12"/>
    <w:rPr>
      <w:rFonts w:ascii="DIN OT Light" w:eastAsiaTheme="minorHAnsi" w:hAnsi="DIN OT Light"/>
      <w:sz w:val="22"/>
      <w:szCs w:val="22"/>
      <w:lang w:val="en-GB" w:eastAsia="en-US"/>
    </w:rPr>
  </w:style>
  <w:style w:type="paragraph" w:customStyle="1" w:styleId="ActTitle">
    <w:name w:val="Act Title"/>
    <w:basedOn w:val="Normal"/>
    <w:next w:val="IntroTo"/>
    <w:rsid w:val="009A1584"/>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9A1584"/>
    <w:pPr>
      <w:spacing w:after="0"/>
      <w:ind w:left="720" w:hanging="720"/>
    </w:pPr>
    <w:rPr>
      <w:rFonts w:eastAsia="Times New Roman"/>
      <w:szCs w:val="20"/>
      <w:lang w:eastAsia="en-US"/>
    </w:rPr>
  </w:style>
  <w:style w:type="paragraph" w:customStyle="1" w:styleId="IH">
    <w:name w:val="IH"/>
    <w:aliases w:val="Interpretation heading"/>
    <w:basedOn w:val="Normal"/>
    <w:next w:val="Normal"/>
    <w:rsid w:val="009A1584"/>
    <w:pPr>
      <w:keepNext/>
      <w:spacing w:before="480" w:after="0"/>
      <w:ind w:left="964" w:hanging="964"/>
    </w:pPr>
    <w:rPr>
      <w:rFonts w:ascii="Arial" w:eastAsia="Times New Roman" w:hAnsi="Arial"/>
      <w:b/>
      <w:lang w:eastAsia="en-US"/>
    </w:rPr>
  </w:style>
  <w:style w:type="paragraph" w:customStyle="1" w:styleId="IP">
    <w:name w:val="IP"/>
    <w:aliases w:val="Interpretation paragraph"/>
    <w:basedOn w:val="Normal"/>
    <w:next w:val="Normal"/>
    <w:rsid w:val="009A1584"/>
    <w:pPr>
      <w:keepNext/>
      <w:tabs>
        <w:tab w:val="right" w:pos="794"/>
      </w:tabs>
      <w:spacing w:before="120" w:after="0" w:line="260" w:lineRule="exact"/>
      <w:ind w:left="964" w:hanging="964"/>
      <w:jc w:val="both"/>
    </w:pPr>
    <w:rPr>
      <w:rFonts w:eastAsia="Times New Roman"/>
      <w:lang w:eastAsia="en-US"/>
    </w:rPr>
  </w:style>
  <w:style w:type="paragraph" w:customStyle="1" w:styleId="AS">
    <w:name w:val="AS"/>
    <w:aliases w:val="Schedule title Amendment"/>
    <w:basedOn w:val="Normal"/>
    <w:next w:val="ASref"/>
    <w:rsid w:val="009A1584"/>
    <w:pPr>
      <w:keepNext/>
      <w:autoSpaceDE w:val="0"/>
      <w:autoSpaceDN w:val="0"/>
      <w:spacing w:before="480" w:after="0"/>
      <w:ind w:left="2410" w:hanging="2410"/>
    </w:pPr>
    <w:rPr>
      <w:rFonts w:ascii="Arial" w:eastAsia="Times New Roman" w:hAnsi="Arial" w:cs="Arial"/>
      <w:b/>
      <w:bCs/>
      <w:sz w:val="32"/>
      <w:szCs w:val="32"/>
    </w:rPr>
  </w:style>
  <w:style w:type="paragraph" w:customStyle="1" w:styleId="ASref">
    <w:name w:val="AS ref"/>
    <w:basedOn w:val="Normal"/>
    <w:next w:val="Normal"/>
    <w:rsid w:val="009A1584"/>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No">
    <w:name w:val="CharSchNo"/>
    <w:basedOn w:val="DefaultParagraphFont"/>
    <w:rsid w:val="009A1584"/>
  </w:style>
  <w:style w:type="character" w:customStyle="1" w:styleId="CharSchText">
    <w:name w:val="CharSchText"/>
    <w:basedOn w:val="DefaultParagraphFont"/>
    <w:rsid w:val="009A1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7530">
      <w:bodyDiv w:val="1"/>
      <w:marLeft w:val="0"/>
      <w:marRight w:val="0"/>
      <w:marTop w:val="0"/>
      <w:marBottom w:val="0"/>
      <w:divBdr>
        <w:top w:val="none" w:sz="0" w:space="0" w:color="auto"/>
        <w:left w:val="none" w:sz="0" w:space="0" w:color="auto"/>
        <w:bottom w:val="none" w:sz="0" w:space="0" w:color="auto"/>
        <w:right w:val="none" w:sz="0" w:space="0" w:color="auto"/>
      </w:divBdr>
    </w:div>
    <w:div w:id="125438834">
      <w:bodyDiv w:val="1"/>
      <w:marLeft w:val="0"/>
      <w:marRight w:val="0"/>
      <w:marTop w:val="0"/>
      <w:marBottom w:val="0"/>
      <w:divBdr>
        <w:top w:val="none" w:sz="0" w:space="0" w:color="auto"/>
        <w:left w:val="none" w:sz="0" w:space="0" w:color="auto"/>
        <w:bottom w:val="none" w:sz="0" w:space="0" w:color="auto"/>
        <w:right w:val="none" w:sz="0" w:space="0" w:color="auto"/>
      </w:divBdr>
    </w:div>
    <w:div w:id="290135443">
      <w:bodyDiv w:val="1"/>
      <w:marLeft w:val="0"/>
      <w:marRight w:val="0"/>
      <w:marTop w:val="0"/>
      <w:marBottom w:val="0"/>
      <w:divBdr>
        <w:top w:val="none" w:sz="0" w:space="0" w:color="auto"/>
        <w:left w:val="none" w:sz="0" w:space="0" w:color="auto"/>
        <w:bottom w:val="none" w:sz="0" w:space="0" w:color="auto"/>
        <w:right w:val="none" w:sz="0" w:space="0" w:color="auto"/>
      </w:divBdr>
    </w:div>
    <w:div w:id="389773807">
      <w:bodyDiv w:val="1"/>
      <w:marLeft w:val="0"/>
      <w:marRight w:val="0"/>
      <w:marTop w:val="0"/>
      <w:marBottom w:val="0"/>
      <w:divBdr>
        <w:top w:val="none" w:sz="0" w:space="0" w:color="auto"/>
        <w:left w:val="none" w:sz="0" w:space="0" w:color="auto"/>
        <w:bottom w:val="none" w:sz="0" w:space="0" w:color="auto"/>
        <w:right w:val="none" w:sz="0" w:space="0" w:color="auto"/>
      </w:divBdr>
    </w:div>
    <w:div w:id="411780785">
      <w:bodyDiv w:val="1"/>
      <w:marLeft w:val="0"/>
      <w:marRight w:val="0"/>
      <w:marTop w:val="0"/>
      <w:marBottom w:val="0"/>
      <w:divBdr>
        <w:top w:val="none" w:sz="0" w:space="0" w:color="auto"/>
        <w:left w:val="none" w:sz="0" w:space="0" w:color="auto"/>
        <w:bottom w:val="none" w:sz="0" w:space="0" w:color="auto"/>
        <w:right w:val="none" w:sz="0" w:space="0" w:color="auto"/>
      </w:divBdr>
    </w:div>
    <w:div w:id="441188389">
      <w:bodyDiv w:val="1"/>
      <w:marLeft w:val="0"/>
      <w:marRight w:val="0"/>
      <w:marTop w:val="0"/>
      <w:marBottom w:val="0"/>
      <w:divBdr>
        <w:top w:val="none" w:sz="0" w:space="0" w:color="auto"/>
        <w:left w:val="none" w:sz="0" w:space="0" w:color="auto"/>
        <w:bottom w:val="none" w:sz="0" w:space="0" w:color="auto"/>
        <w:right w:val="none" w:sz="0" w:space="0" w:color="auto"/>
      </w:divBdr>
    </w:div>
    <w:div w:id="605161829">
      <w:bodyDiv w:val="1"/>
      <w:marLeft w:val="0"/>
      <w:marRight w:val="0"/>
      <w:marTop w:val="0"/>
      <w:marBottom w:val="0"/>
      <w:divBdr>
        <w:top w:val="none" w:sz="0" w:space="0" w:color="auto"/>
        <w:left w:val="none" w:sz="0" w:space="0" w:color="auto"/>
        <w:bottom w:val="none" w:sz="0" w:space="0" w:color="auto"/>
        <w:right w:val="none" w:sz="0" w:space="0" w:color="auto"/>
      </w:divBdr>
    </w:div>
    <w:div w:id="714156936">
      <w:bodyDiv w:val="1"/>
      <w:marLeft w:val="0"/>
      <w:marRight w:val="0"/>
      <w:marTop w:val="0"/>
      <w:marBottom w:val="0"/>
      <w:divBdr>
        <w:top w:val="none" w:sz="0" w:space="0" w:color="auto"/>
        <w:left w:val="none" w:sz="0" w:space="0" w:color="auto"/>
        <w:bottom w:val="none" w:sz="0" w:space="0" w:color="auto"/>
        <w:right w:val="none" w:sz="0" w:space="0" w:color="auto"/>
      </w:divBdr>
    </w:div>
    <w:div w:id="741948296">
      <w:bodyDiv w:val="1"/>
      <w:marLeft w:val="0"/>
      <w:marRight w:val="0"/>
      <w:marTop w:val="0"/>
      <w:marBottom w:val="0"/>
      <w:divBdr>
        <w:top w:val="none" w:sz="0" w:space="0" w:color="auto"/>
        <w:left w:val="none" w:sz="0" w:space="0" w:color="auto"/>
        <w:bottom w:val="none" w:sz="0" w:space="0" w:color="auto"/>
        <w:right w:val="none" w:sz="0" w:space="0" w:color="auto"/>
      </w:divBdr>
    </w:div>
    <w:div w:id="792865487">
      <w:bodyDiv w:val="1"/>
      <w:marLeft w:val="0"/>
      <w:marRight w:val="0"/>
      <w:marTop w:val="0"/>
      <w:marBottom w:val="0"/>
      <w:divBdr>
        <w:top w:val="none" w:sz="0" w:space="0" w:color="auto"/>
        <w:left w:val="none" w:sz="0" w:space="0" w:color="auto"/>
        <w:bottom w:val="none" w:sz="0" w:space="0" w:color="auto"/>
        <w:right w:val="none" w:sz="0" w:space="0" w:color="auto"/>
      </w:divBdr>
      <w:divsChild>
        <w:div w:id="1643921600">
          <w:marLeft w:val="0"/>
          <w:marRight w:val="0"/>
          <w:marTop w:val="0"/>
          <w:marBottom w:val="0"/>
          <w:divBdr>
            <w:top w:val="none" w:sz="0" w:space="0" w:color="auto"/>
            <w:left w:val="none" w:sz="0" w:space="0" w:color="auto"/>
            <w:bottom w:val="none" w:sz="0" w:space="0" w:color="auto"/>
            <w:right w:val="none" w:sz="0" w:space="0" w:color="auto"/>
          </w:divBdr>
          <w:divsChild>
            <w:div w:id="1002661741">
              <w:marLeft w:val="0"/>
              <w:marRight w:val="0"/>
              <w:marTop w:val="0"/>
              <w:marBottom w:val="0"/>
              <w:divBdr>
                <w:top w:val="none" w:sz="0" w:space="0" w:color="auto"/>
                <w:left w:val="none" w:sz="0" w:space="0" w:color="auto"/>
                <w:bottom w:val="none" w:sz="0" w:space="0" w:color="auto"/>
                <w:right w:val="none" w:sz="0" w:space="0" w:color="auto"/>
              </w:divBdr>
              <w:divsChild>
                <w:div w:id="1354918097">
                  <w:marLeft w:val="0"/>
                  <w:marRight w:val="0"/>
                  <w:marTop w:val="0"/>
                  <w:marBottom w:val="0"/>
                  <w:divBdr>
                    <w:top w:val="none" w:sz="0" w:space="0" w:color="auto"/>
                    <w:left w:val="none" w:sz="0" w:space="0" w:color="auto"/>
                    <w:bottom w:val="none" w:sz="0" w:space="0" w:color="auto"/>
                    <w:right w:val="none" w:sz="0" w:space="0" w:color="auto"/>
                  </w:divBdr>
                  <w:divsChild>
                    <w:div w:id="812258581">
                      <w:marLeft w:val="0"/>
                      <w:marRight w:val="0"/>
                      <w:marTop w:val="0"/>
                      <w:marBottom w:val="0"/>
                      <w:divBdr>
                        <w:top w:val="none" w:sz="0" w:space="0" w:color="auto"/>
                        <w:left w:val="none" w:sz="0" w:space="0" w:color="auto"/>
                        <w:bottom w:val="none" w:sz="0" w:space="0" w:color="auto"/>
                        <w:right w:val="none" w:sz="0" w:space="0" w:color="auto"/>
                      </w:divBdr>
                      <w:divsChild>
                        <w:div w:id="981539189">
                          <w:marLeft w:val="0"/>
                          <w:marRight w:val="0"/>
                          <w:marTop w:val="0"/>
                          <w:marBottom w:val="0"/>
                          <w:divBdr>
                            <w:top w:val="none" w:sz="0" w:space="0" w:color="auto"/>
                            <w:left w:val="none" w:sz="0" w:space="0" w:color="auto"/>
                            <w:bottom w:val="none" w:sz="0" w:space="0" w:color="auto"/>
                            <w:right w:val="none" w:sz="0" w:space="0" w:color="auto"/>
                          </w:divBdr>
                          <w:divsChild>
                            <w:div w:id="1884246827">
                              <w:marLeft w:val="0"/>
                              <w:marRight w:val="0"/>
                              <w:marTop w:val="0"/>
                              <w:marBottom w:val="0"/>
                              <w:divBdr>
                                <w:top w:val="none" w:sz="0" w:space="0" w:color="auto"/>
                                <w:left w:val="none" w:sz="0" w:space="0" w:color="auto"/>
                                <w:bottom w:val="none" w:sz="0" w:space="0" w:color="auto"/>
                                <w:right w:val="none" w:sz="0" w:space="0" w:color="auto"/>
                              </w:divBdr>
                              <w:divsChild>
                                <w:div w:id="555091781">
                                  <w:marLeft w:val="0"/>
                                  <w:marRight w:val="0"/>
                                  <w:marTop w:val="0"/>
                                  <w:marBottom w:val="0"/>
                                  <w:divBdr>
                                    <w:top w:val="none" w:sz="0" w:space="0" w:color="auto"/>
                                    <w:left w:val="none" w:sz="0" w:space="0" w:color="auto"/>
                                    <w:bottom w:val="none" w:sz="0" w:space="0" w:color="auto"/>
                                    <w:right w:val="none" w:sz="0" w:space="0" w:color="auto"/>
                                  </w:divBdr>
                                  <w:divsChild>
                                    <w:div w:id="204367490">
                                      <w:marLeft w:val="0"/>
                                      <w:marRight w:val="0"/>
                                      <w:marTop w:val="0"/>
                                      <w:marBottom w:val="0"/>
                                      <w:divBdr>
                                        <w:top w:val="none" w:sz="0" w:space="0" w:color="auto"/>
                                        <w:left w:val="none" w:sz="0" w:space="0" w:color="auto"/>
                                        <w:bottom w:val="none" w:sz="0" w:space="0" w:color="auto"/>
                                        <w:right w:val="none" w:sz="0" w:space="0" w:color="auto"/>
                                      </w:divBdr>
                                      <w:divsChild>
                                        <w:div w:id="163396452">
                                          <w:marLeft w:val="0"/>
                                          <w:marRight w:val="0"/>
                                          <w:marTop w:val="0"/>
                                          <w:marBottom w:val="0"/>
                                          <w:divBdr>
                                            <w:top w:val="none" w:sz="0" w:space="0" w:color="auto"/>
                                            <w:left w:val="none" w:sz="0" w:space="0" w:color="auto"/>
                                            <w:bottom w:val="none" w:sz="0" w:space="0" w:color="auto"/>
                                            <w:right w:val="none" w:sz="0" w:space="0" w:color="auto"/>
                                          </w:divBdr>
                                          <w:divsChild>
                                            <w:div w:id="566494001">
                                              <w:marLeft w:val="0"/>
                                              <w:marRight w:val="0"/>
                                              <w:marTop w:val="0"/>
                                              <w:marBottom w:val="0"/>
                                              <w:divBdr>
                                                <w:top w:val="none" w:sz="0" w:space="0" w:color="auto"/>
                                                <w:left w:val="none" w:sz="0" w:space="0" w:color="auto"/>
                                                <w:bottom w:val="none" w:sz="0" w:space="0" w:color="auto"/>
                                                <w:right w:val="none" w:sz="0" w:space="0" w:color="auto"/>
                                              </w:divBdr>
                                              <w:divsChild>
                                                <w:div w:id="680741003">
                                                  <w:marLeft w:val="0"/>
                                                  <w:marRight w:val="0"/>
                                                  <w:marTop w:val="0"/>
                                                  <w:marBottom w:val="0"/>
                                                  <w:divBdr>
                                                    <w:top w:val="none" w:sz="0" w:space="0" w:color="auto"/>
                                                    <w:left w:val="none" w:sz="0" w:space="0" w:color="auto"/>
                                                    <w:bottom w:val="none" w:sz="0" w:space="0" w:color="auto"/>
                                                    <w:right w:val="none" w:sz="0" w:space="0" w:color="auto"/>
                                                  </w:divBdr>
                                                  <w:divsChild>
                                                    <w:div w:id="273633567">
                                                      <w:marLeft w:val="0"/>
                                                      <w:marRight w:val="0"/>
                                                      <w:marTop w:val="0"/>
                                                      <w:marBottom w:val="0"/>
                                                      <w:divBdr>
                                                        <w:top w:val="none" w:sz="0" w:space="0" w:color="auto"/>
                                                        <w:left w:val="none" w:sz="0" w:space="0" w:color="auto"/>
                                                        <w:bottom w:val="none" w:sz="0" w:space="0" w:color="auto"/>
                                                        <w:right w:val="none" w:sz="0" w:space="0" w:color="auto"/>
                                                      </w:divBdr>
                                                      <w:divsChild>
                                                        <w:div w:id="2217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309793">
      <w:bodyDiv w:val="1"/>
      <w:marLeft w:val="0"/>
      <w:marRight w:val="0"/>
      <w:marTop w:val="0"/>
      <w:marBottom w:val="0"/>
      <w:divBdr>
        <w:top w:val="none" w:sz="0" w:space="0" w:color="auto"/>
        <w:left w:val="none" w:sz="0" w:space="0" w:color="auto"/>
        <w:bottom w:val="none" w:sz="0" w:space="0" w:color="auto"/>
        <w:right w:val="none" w:sz="0" w:space="0" w:color="auto"/>
      </w:divBdr>
    </w:div>
    <w:div w:id="804080685">
      <w:bodyDiv w:val="1"/>
      <w:marLeft w:val="0"/>
      <w:marRight w:val="0"/>
      <w:marTop w:val="0"/>
      <w:marBottom w:val="0"/>
      <w:divBdr>
        <w:top w:val="none" w:sz="0" w:space="0" w:color="auto"/>
        <w:left w:val="none" w:sz="0" w:space="0" w:color="auto"/>
        <w:bottom w:val="none" w:sz="0" w:space="0" w:color="auto"/>
        <w:right w:val="none" w:sz="0" w:space="0" w:color="auto"/>
      </w:divBdr>
    </w:div>
    <w:div w:id="976833709">
      <w:bodyDiv w:val="1"/>
      <w:marLeft w:val="0"/>
      <w:marRight w:val="0"/>
      <w:marTop w:val="0"/>
      <w:marBottom w:val="0"/>
      <w:divBdr>
        <w:top w:val="none" w:sz="0" w:space="0" w:color="auto"/>
        <w:left w:val="none" w:sz="0" w:space="0" w:color="auto"/>
        <w:bottom w:val="none" w:sz="0" w:space="0" w:color="auto"/>
        <w:right w:val="none" w:sz="0" w:space="0" w:color="auto"/>
      </w:divBdr>
    </w:div>
    <w:div w:id="1190680979">
      <w:bodyDiv w:val="1"/>
      <w:marLeft w:val="0"/>
      <w:marRight w:val="0"/>
      <w:marTop w:val="0"/>
      <w:marBottom w:val="0"/>
      <w:divBdr>
        <w:top w:val="none" w:sz="0" w:space="0" w:color="auto"/>
        <w:left w:val="none" w:sz="0" w:space="0" w:color="auto"/>
        <w:bottom w:val="none" w:sz="0" w:space="0" w:color="auto"/>
        <w:right w:val="none" w:sz="0" w:space="0" w:color="auto"/>
      </w:divBdr>
    </w:div>
    <w:div w:id="1217089669">
      <w:bodyDiv w:val="1"/>
      <w:marLeft w:val="0"/>
      <w:marRight w:val="0"/>
      <w:marTop w:val="0"/>
      <w:marBottom w:val="0"/>
      <w:divBdr>
        <w:top w:val="none" w:sz="0" w:space="0" w:color="auto"/>
        <w:left w:val="none" w:sz="0" w:space="0" w:color="auto"/>
        <w:bottom w:val="none" w:sz="0" w:space="0" w:color="auto"/>
        <w:right w:val="none" w:sz="0" w:space="0" w:color="auto"/>
      </w:divBdr>
    </w:div>
    <w:div w:id="1269192454">
      <w:bodyDiv w:val="1"/>
      <w:marLeft w:val="0"/>
      <w:marRight w:val="0"/>
      <w:marTop w:val="0"/>
      <w:marBottom w:val="0"/>
      <w:divBdr>
        <w:top w:val="none" w:sz="0" w:space="0" w:color="auto"/>
        <w:left w:val="none" w:sz="0" w:space="0" w:color="auto"/>
        <w:bottom w:val="none" w:sz="0" w:space="0" w:color="auto"/>
        <w:right w:val="none" w:sz="0" w:space="0" w:color="auto"/>
      </w:divBdr>
    </w:div>
    <w:div w:id="1353334479">
      <w:bodyDiv w:val="1"/>
      <w:marLeft w:val="0"/>
      <w:marRight w:val="0"/>
      <w:marTop w:val="0"/>
      <w:marBottom w:val="0"/>
      <w:divBdr>
        <w:top w:val="none" w:sz="0" w:space="0" w:color="auto"/>
        <w:left w:val="none" w:sz="0" w:space="0" w:color="auto"/>
        <w:bottom w:val="none" w:sz="0" w:space="0" w:color="auto"/>
        <w:right w:val="none" w:sz="0" w:space="0" w:color="auto"/>
      </w:divBdr>
    </w:div>
    <w:div w:id="1712878375">
      <w:bodyDiv w:val="1"/>
      <w:marLeft w:val="0"/>
      <w:marRight w:val="0"/>
      <w:marTop w:val="0"/>
      <w:marBottom w:val="0"/>
      <w:divBdr>
        <w:top w:val="none" w:sz="0" w:space="0" w:color="auto"/>
        <w:left w:val="none" w:sz="0" w:space="0" w:color="auto"/>
        <w:bottom w:val="none" w:sz="0" w:space="0" w:color="auto"/>
        <w:right w:val="none" w:sz="0" w:space="0" w:color="auto"/>
      </w:divBdr>
      <w:divsChild>
        <w:div w:id="73476138">
          <w:marLeft w:val="0"/>
          <w:marRight w:val="0"/>
          <w:marTop w:val="0"/>
          <w:marBottom w:val="0"/>
          <w:divBdr>
            <w:top w:val="none" w:sz="0" w:space="0" w:color="auto"/>
            <w:left w:val="none" w:sz="0" w:space="0" w:color="auto"/>
            <w:bottom w:val="none" w:sz="0" w:space="0" w:color="auto"/>
            <w:right w:val="none" w:sz="0" w:space="0" w:color="auto"/>
          </w:divBdr>
          <w:divsChild>
            <w:div w:id="196699183">
              <w:marLeft w:val="0"/>
              <w:marRight w:val="0"/>
              <w:marTop w:val="0"/>
              <w:marBottom w:val="0"/>
              <w:divBdr>
                <w:top w:val="none" w:sz="0" w:space="0" w:color="auto"/>
                <w:left w:val="none" w:sz="0" w:space="0" w:color="auto"/>
                <w:bottom w:val="none" w:sz="0" w:space="0" w:color="auto"/>
                <w:right w:val="none" w:sz="0" w:space="0" w:color="auto"/>
              </w:divBdr>
              <w:divsChild>
                <w:div w:id="1334144952">
                  <w:marLeft w:val="0"/>
                  <w:marRight w:val="0"/>
                  <w:marTop w:val="0"/>
                  <w:marBottom w:val="0"/>
                  <w:divBdr>
                    <w:top w:val="none" w:sz="0" w:space="0" w:color="auto"/>
                    <w:left w:val="none" w:sz="0" w:space="0" w:color="auto"/>
                    <w:bottom w:val="none" w:sz="0" w:space="0" w:color="auto"/>
                    <w:right w:val="none" w:sz="0" w:space="0" w:color="auto"/>
                  </w:divBdr>
                  <w:divsChild>
                    <w:div w:id="1602907799">
                      <w:marLeft w:val="0"/>
                      <w:marRight w:val="0"/>
                      <w:marTop w:val="0"/>
                      <w:marBottom w:val="0"/>
                      <w:divBdr>
                        <w:top w:val="none" w:sz="0" w:space="0" w:color="auto"/>
                        <w:left w:val="none" w:sz="0" w:space="0" w:color="auto"/>
                        <w:bottom w:val="none" w:sz="0" w:space="0" w:color="auto"/>
                        <w:right w:val="none" w:sz="0" w:space="0" w:color="auto"/>
                      </w:divBdr>
                      <w:divsChild>
                        <w:div w:id="942492386">
                          <w:marLeft w:val="0"/>
                          <w:marRight w:val="0"/>
                          <w:marTop w:val="0"/>
                          <w:marBottom w:val="0"/>
                          <w:divBdr>
                            <w:top w:val="none" w:sz="0" w:space="0" w:color="auto"/>
                            <w:left w:val="none" w:sz="0" w:space="0" w:color="auto"/>
                            <w:bottom w:val="none" w:sz="0" w:space="0" w:color="auto"/>
                            <w:right w:val="none" w:sz="0" w:space="0" w:color="auto"/>
                          </w:divBdr>
                          <w:divsChild>
                            <w:div w:id="710957457">
                              <w:marLeft w:val="0"/>
                              <w:marRight w:val="0"/>
                              <w:marTop w:val="0"/>
                              <w:marBottom w:val="0"/>
                              <w:divBdr>
                                <w:top w:val="none" w:sz="0" w:space="0" w:color="auto"/>
                                <w:left w:val="none" w:sz="0" w:space="0" w:color="auto"/>
                                <w:bottom w:val="none" w:sz="0" w:space="0" w:color="auto"/>
                                <w:right w:val="none" w:sz="0" w:space="0" w:color="auto"/>
                              </w:divBdr>
                              <w:divsChild>
                                <w:div w:id="253756060">
                                  <w:marLeft w:val="0"/>
                                  <w:marRight w:val="0"/>
                                  <w:marTop w:val="0"/>
                                  <w:marBottom w:val="0"/>
                                  <w:divBdr>
                                    <w:top w:val="none" w:sz="0" w:space="0" w:color="auto"/>
                                    <w:left w:val="none" w:sz="0" w:space="0" w:color="auto"/>
                                    <w:bottom w:val="none" w:sz="0" w:space="0" w:color="auto"/>
                                    <w:right w:val="none" w:sz="0" w:space="0" w:color="auto"/>
                                  </w:divBdr>
                                  <w:divsChild>
                                    <w:div w:id="904873442">
                                      <w:marLeft w:val="0"/>
                                      <w:marRight w:val="0"/>
                                      <w:marTop w:val="0"/>
                                      <w:marBottom w:val="0"/>
                                      <w:divBdr>
                                        <w:top w:val="none" w:sz="0" w:space="0" w:color="auto"/>
                                        <w:left w:val="none" w:sz="0" w:space="0" w:color="auto"/>
                                        <w:bottom w:val="none" w:sz="0" w:space="0" w:color="auto"/>
                                        <w:right w:val="none" w:sz="0" w:space="0" w:color="auto"/>
                                      </w:divBdr>
                                      <w:divsChild>
                                        <w:div w:id="1544126438">
                                          <w:marLeft w:val="0"/>
                                          <w:marRight w:val="0"/>
                                          <w:marTop w:val="0"/>
                                          <w:marBottom w:val="0"/>
                                          <w:divBdr>
                                            <w:top w:val="none" w:sz="0" w:space="0" w:color="auto"/>
                                            <w:left w:val="none" w:sz="0" w:space="0" w:color="auto"/>
                                            <w:bottom w:val="none" w:sz="0" w:space="0" w:color="auto"/>
                                            <w:right w:val="none" w:sz="0" w:space="0" w:color="auto"/>
                                          </w:divBdr>
                                          <w:divsChild>
                                            <w:div w:id="654142817">
                                              <w:marLeft w:val="0"/>
                                              <w:marRight w:val="0"/>
                                              <w:marTop w:val="0"/>
                                              <w:marBottom w:val="0"/>
                                              <w:divBdr>
                                                <w:top w:val="none" w:sz="0" w:space="0" w:color="auto"/>
                                                <w:left w:val="none" w:sz="0" w:space="0" w:color="auto"/>
                                                <w:bottom w:val="none" w:sz="0" w:space="0" w:color="auto"/>
                                                <w:right w:val="none" w:sz="0" w:space="0" w:color="auto"/>
                                              </w:divBdr>
                                              <w:divsChild>
                                                <w:div w:id="2078241137">
                                                  <w:marLeft w:val="0"/>
                                                  <w:marRight w:val="0"/>
                                                  <w:marTop w:val="0"/>
                                                  <w:marBottom w:val="0"/>
                                                  <w:divBdr>
                                                    <w:top w:val="none" w:sz="0" w:space="0" w:color="auto"/>
                                                    <w:left w:val="none" w:sz="0" w:space="0" w:color="auto"/>
                                                    <w:bottom w:val="none" w:sz="0" w:space="0" w:color="auto"/>
                                                    <w:right w:val="none" w:sz="0" w:space="0" w:color="auto"/>
                                                  </w:divBdr>
                                                  <w:divsChild>
                                                    <w:div w:id="2100325894">
                                                      <w:marLeft w:val="0"/>
                                                      <w:marRight w:val="0"/>
                                                      <w:marTop w:val="0"/>
                                                      <w:marBottom w:val="0"/>
                                                      <w:divBdr>
                                                        <w:top w:val="none" w:sz="0" w:space="0" w:color="auto"/>
                                                        <w:left w:val="none" w:sz="0" w:space="0" w:color="auto"/>
                                                        <w:bottom w:val="none" w:sz="0" w:space="0" w:color="auto"/>
                                                        <w:right w:val="none" w:sz="0" w:space="0" w:color="auto"/>
                                                      </w:divBdr>
                                                      <w:divsChild>
                                                        <w:div w:id="12516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4483664">
      <w:bodyDiv w:val="1"/>
      <w:marLeft w:val="0"/>
      <w:marRight w:val="0"/>
      <w:marTop w:val="0"/>
      <w:marBottom w:val="0"/>
      <w:divBdr>
        <w:top w:val="none" w:sz="0" w:space="0" w:color="auto"/>
        <w:left w:val="none" w:sz="0" w:space="0" w:color="auto"/>
        <w:bottom w:val="none" w:sz="0" w:space="0" w:color="auto"/>
        <w:right w:val="none" w:sz="0" w:space="0" w:color="auto"/>
      </w:divBdr>
    </w:div>
    <w:div w:id="20427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Prudential policy development</TermName>
          <TermId xmlns="http://schemas.microsoft.com/office/infopath/2007/PartnerControls">4cf81ba0-32a2-4f8f-8216-9e632903331b</TermId>
        </TermInfo>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m2df5fdf6d1643b4a596982762bb3d00 xmlns="814d62cb-2db6-4c25-ab62-b9075facbc11">
      <Terms xmlns="http://schemas.microsoft.com/office/infopath/2007/PartnerControls"/>
    </m2df5fdf6d1643b4a596982762bb3d0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Related Parties </APRAKeywords>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109</Value>
      <Value>142</Value>
      <Value>26</Value>
      <Value>136</Value>
      <Value>24</Value>
      <Value>134</Value>
      <Value>58</Value>
      <Value>19</Value>
      <Value>93</Value>
      <Value>10</Value>
      <Value>158</Value>
      <Value>83</Value>
      <Value>229</Value>
      <Value>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f284b4f8578a44cfae4f67a86df81119 xmlns="814d62cb-2db6-4c25-ab62-b9075facbc11">
      <Terms xmlns="http://schemas.microsoft.com/office/infopath/2007/PartnerControls"/>
    </f284b4f8578a44cfae4f67a86df81119>
    <l003ee8eff60461aa1bd0027aba92ea4 xmlns="814d62cb-2db6-4c25-ab62-b9075facbc11">
      <Terms xmlns="http://schemas.microsoft.com/office/infopath/2007/PartnerControls"/>
    </l003ee8eff60461aa1bd0027aba92ea4>
    <APRADescription xmlns="814d62cb-2db6-4c25-ab62-b9075facbc11">Prudential Standard APS 222 Associations with Related Entities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2020</TermName>
          <TermId xmlns="http://schemas.microsoft.com/office/infopath/2007/PartnerControls">29ca90e3-c619-4296-b1bf-6e33e4d24a28</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5JENXJJSCC7A-445999044-11373</_dlc_DocId>
    <_dlc_DocIdUrl xmlns="814d62cb-2db6-4c25-ab62-b9075facbc11">
      <Url>https://im/teams/LEGAL/_layouts/15/DocIdRedir.aspx?ID=5JENXJJSCC7A-445999044-11373</Url>
      <Description>5JENXJJSCC7A-445999044-11373</Description>
    </_dlc_DocIdUrl>
    <APRAMeetingDate xmlns="814d62cb-2db6-4c25-ab62-b9075facbc11" xsi:nil="true"/>
    <APRAMeetingNumber xmlns="814d62cb-2db6-4c25-ab62-b9075facbc11"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A931E-CA2F-4484-8FB3-FDD70CA75C2B}">
  <ds:schemaRefs>
    <ds:schemaRef ds:uri="Microsoft.SharePoint.Taxonomy.ContentTypeSync"/>
  </ds:schemaRefs>
</ds:datastoreItem>
</file>

<file path=customXml/itemProps2.xml><?xml version="1.0" encoding="utf-8"?>
<ds:datastoreItem xmlns:ds="http://schemas.openxmlformats.org/officeDocument/2006/customXml" ds:itemID="{B690898D-D98F-4D0B-A88C-C0BF835A1045}">
  <ds:schemaRefs>
    <ds:schemaRef ds:uri="http://schemas.microsoft.com/sharepoint/v3/contenttype/forms"/>
  </ds:schemaRefs>
</ds:datastoreItem>
</file>

<file path=customXml/itemProps3.xml><?xml version="1.0" encoding="utf-8"?>
<ds:datastoreItem xmlns:ds="http://schemas.openxmlformats.org/officeDocument/2006/customXml" ds:itemID="{834FACA5-FF25-44EB-9F22-13BC540CEFF1}">
  <ds:schemaRefs>
    <ds:schemaRef ds:uri="http://purl.org/dc/elements/1.1/"/>
    <ds:schemaRef ds:uri="http://purl.org/dc/terms/"/>
    <ds:schemaRef ds:uri="http://schemas.microsoft.com/office/infopath/2007/PartnerControls"/>
    <ds:schemaRef ds:uri="http://www.w3.org/XML/1998/namespace"/>
    <ds:schemaRef ds:uri="http://purl.org/dc/dcmitype/"/>
    <ds:schemaRef ds:uri="http://schemas.microsoft.com/office/2006/documentManagement/types"/>
    <ds:schemaRef ds:uri="http://schemas.microsoft.com/office/2006/metadata/properties"/>
    <ds:schemaRef ds:uri="814d62cb-2db6-4c25-ab62-b9075facbc11"/>
    <ds:schemaRef ds:uri="http://schemas.openxmlformats.org/package/2006/metadata/core-properties"/>
  </ds:schemaRefs>
</ds:datastoreItem>
</file>

<file path=customXml/itemProps4.xml><?xml version="1.0" encoding="utf-8"?>
<ds:datastoreItem xmlns:ds="http://schemas.openxmlformats.org/officeDocument/2006/customXml" ds:itemID="{B63DD59C-6A2A-4939-9493-8490C42A3001}">
  <ds:schemaRefs>
    <ds:schemaRef ds:uri="http://schemas.microsoft.com/sharepoint/events"/>
  </ds:schemaRefs>
</ds:datastoreItem>
</file>

<file path=customXml/itemProps5.xml><?xml version="1.0" encoding="utf-8"?>
<ds:datastoreItem xmlns:ds="http://schemas.openxmlformats.org/officeDocument/2006/customXml" ds:itemID="{C563D62F-E4F0-462B-A870-6A5311D0A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A4AAB15-FDC5-4277-B685-B5A3D32C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5603</Words>
  <Characters>28805</Characters>
  <Application>Microsoft Office Word</Application>
  <DocSecurity>0</DocSecurity>
  <Lines>612</Lines>
  <Paragraphs>294</Paragraphs>
  <ScaleCrop>false</ScaleCrop>
  <HeadingPairs>
    <vt:vector size="2" baseType="variant">
      <vt:variant>
        <vt:lpstr>Title</vt:lpstr>
      </vt:variant>
      <vt:variant>
        <vt:i4>1</vt:i4>
      </vt:variant>
    </vt:vector>
  </HeadingPairs>
  <TitlesOfParts>
    <vt:vector size="1" baseType="lpstr">
      <vt:lpstr>APS 222 - prudential standard edits</vt:lpstr>
    </vt:vector>
  </TitlesOfParts>
  <Company>APRA</Company>
  <LinksUpToDate>false</LinksUpToDate>
  <CharactersWithSpaces>34114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7 of 2020 - APS 222</dc:title>
  <dc:subject/>
  <dc:creator>Pham, Antony</dc:creator>
  <cp:keywords>[SEC=OFFICIAL]</cp:keywords>
  <dc:description/>
  <cp:lastModifiedBy>Michalis, Toni</cp:lastModifiedBy>
  <cp:revision>2</cp:revision>
  <cp:lastPrinted>2019-07-30T01:02:00Z</cp:lastPrinted>
  <dcterms:created xsi:type="dcterms:W3CDTF">2020-12-08T23:10:00Z</dcterms:created>
  <dcterms:modified xsi:type="dcterms:W3CDTF">2020-12-08T23:10:00Z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InsertionValue">
    <vt:lpwstr>OFFICIAL</vt:lpwstr>
  </property>
  <property fmtid="{D5CDD505-2E9C-101B-9397-08002B2CF9AE}" pid="7" name="PM_Originator_Hash_SHA1">
    <vt:lpwstr>C3AD57350F36D8E1BD75F8F67CB06D435C9C43CA</vt:lpwstr>
  </property>
  <property fmtid="{D5CDD505-2E9C-101B-9397-08002B2CF9AE}" pid="8" name="PM_Hash_Version">
    <vt:lpwstr>2018.0</vt:lpwstr>
  </property>
  <property fmtid="{D5CDD505-2E9C-101B-9397-08002B2CF9AE}" pid="9" name="PM_Hash_Salt">
    <vt:lpwstr>1A52B367284B716A2DB2D3863D304D76</vt:lpwstr>
  </property>
  <property fmtid="{D5CDD505-2E9C-101B-9397-08002B2CF9AE}" pid="10" name="PM_Hash_SHA1">
    <vt:lpwstr>287279DED7FD5C796A27DDA9FFD8E27D8C489DEF</vt:lpwstr>
  </property>
  <property fmtid="{D5CDD505-2E9C-101B-9397-08002B2CF9AE}" pid="11" name="PM_SecurityClassification_Prev">
    <vt:lpwstr>OFFICIAL</vt:lpwstr>
  </property>
  <property fmtid="{D5CDD505-2E9C-101B-9397-08002B2CF9AE}" pid="12" name="PM_Qualifier_Prev">
    <vt:lpwstr/>
  </property>
  <property fmtid="{D5CDD505-2E9C-101B-9397-08002B2CF9AE}" pid="13" name="PM_Hash_Salt_Prev">
    <vt:lpwstr>D9ED735C014261DA789948E5D9733A00</vt:lpwstr>
  </property>
  <property fmtid="{D5CDD505-2E9C-101B-9397-08002B2CF9AE}" pid="14" name="PM_Caveats_Count">
    <vt:lpwstr>0</vt:lpwstr>
  </property>
  <property fmtid="{D5CDD505-2E9C-101B-9397-08002B2CF9AE}" pid="15" name="PM_ProtectiveMarkingImage_Header">
    <vt:lpwstr>C:\Program Files\Common Files\janusNET Shared\janusSEAL\Images\DocumentSlashBlue.png</vt:lpwstr>
  </property>
  <property fmtid="{D5CDD505-2E9C-101B-9397-08002B2CF9AE}" pid="16" name="PM_ProtectiveMarkingValue_Header">
    <vt:lpwstr>OFFICIAL</vt:lpwstr>
  </property>
  <property fmtid="{D5CDD505-2E9C-101B-9397-08002B2CF9AE}" pid="17" name="PM_ProtectiveMarkingValue_Footer">
    <vt:lpwstr>OFFICIAL</vt:lpwstr>
  </property>
  <property fmtid="{D5CDD505-2E9C-101B-9397-08002B2CF9AE}" pid="18" name="PM_ProtectiveMarkingImage_Footer">
    <vt:lpwstr>C:\Program Files\Common Files\janusNET Shared\janusSEAL\Images\DocumentSlashBlue.png</vt:lpwstr>
  </property>
  <property fmtid="{D5CDD505-2E9C-101B-9397-08002B2CF9AE}" pid="19" name="PM_Namespace">
    <vt:lpwstr>gov.au</vt:lpwstr>
  </property>
  <property fmtid="{D5CDD505-2E9C-101B-9397-08002B2CF9AE}" pid="20" name="PM_Version">
    <vt:lpwstr>2018.3</vt:lpwstr>
  </property>
  <property fmtid="{D5CDD505-2E9C-101B-9397-08002B2CF9AE}" pid="21" name="PM_Originating_FileId">
    <vt:lpwstr>9CDD4A8A38FF4D3681F9F9DB8CFE362E</vt:lpwstr>
  </property>
  <property fmtid="{D5CDD505-2E9C-101B-9397-08002B2CF9AE}" pid="22" name="PM_OriginationTimeStamp">
    <vt:lpwstr>2020-12-08T23:09:34Z</vt:lpwstr>
  </property>
  <property fmtid="{D5CDD505-2E9C-101B-9397-08002B2CF9AE}" pid="23" name="PM_MinimumSecurityClassification">
    <vt:lpwstr/>
  </property>
  <property fmtid="{D5CDD505-2E9C-101B-9397-08002B2CF9AE}" pid="24" name="ContentTypeId">
    <vt:lpwstr>0x0101008CA7A4F8331B45C7B0D3158B4994D0CA0200577EC0F5A1FBFC498F9A8436B963F8A6</vt:lpwstr>
  </property>
  <property fmtid="{D5CDD505-2E9C-101B-9397-08002B2CF9AE}" pid="25" name="APRACostCentre">
    <vt:lpwstr>158;#PAD300|98bbdbe4-d019-48eb-87c4-aa31a7f2f98f;#24;#Legal - ADI|652d8d2a-ab45-47b4-ac6e-fe6ac9299b39;#26;#Legal - Insurance: General|8229dc1a-d7f2-47b2-844a-b026fed0c13d;#93;#Legal - Insurance: Health|21611e62-d688-4f0d-8807-02701cc43699;#83;#Legal - Insurance: Life|56f18b50-6605-4f3f-97e3-cad1cb5394e0;#134;#Legal - Superannuation|cce3181d-fd23-4eee-94d3-c66abc2350cf;#4;#Legal - Resolution ＆ Corporate|696624b1-19f4-47b2-a07b-57868a922a96</vt:lpwstr>
  </property>
  <property fmtid="{D5CDD505-2E9C-101B-9397-08002B2CF9AE}" pid="26" name="IT system type">
    <vt:lpwstr/>
  </property>
  <property fmtid="{D5CDD505-2E9C-101B-9397-08002B2CF9AE}" pid="27" name="APRACategory">
    <vt:lpwstr/>
  </property>
  <property fmtid="{D5CDD505-2E9C-101B-9397-08002B2CF9AE}" pid="28" name="APRAPeerGroup">
    <vt:lpwstr/>
  </property>
  <property fmtid="{D5CDD505-2E9C-101B-9397-08002B2CF9AE}" pid="29" name="APRADocumentType">
    <vt:lpwstr>142;#Prudential standard|6ce5a155-9ab2-41e3-9b2a-5baab4b7f1d1;#58;#Legal instrument|71fd6ed3-d6d6-4975-ba99-bfe45802e734</vt:lpwstr>
  </property>
  <property fmtid="{D5CDD505-2E9C-101B-9397-08002B2CF9AE}" pid="30" name="APRAStatus">
    <vt:lpwstr>19;#Final|84d6b2d0-8498-4d62-bf46-bab38babbe9e</vt:lpwstr>
  </property>
  <property fmtid="{D5CDD505-2E9C-101B-9397-08002B2CF9AE}" pid="31" name="APRAPRSG">
    <vt:lpwstr/>
  </property>
  <property fmtid="{D5CDD505-2E9C-101B-9397-08002B2CF9AE}" pid="32" name="APRAReportingGroup">
    <vt:lpwstr/>
  </property>
  <property fmtid="{D5CDD505-2E9C-101B-9397-08002B2CF9AE}" pid="33" name="APRAEntityAdviceSupport">
    <vt:lpwstr/>
  </property>
  <property fmtid="{D5CDD505-2E9C-101B-9397-08002B2CF9AE}" pid="34" name="APRATemplateType">
    <vt:lpwstr>23;#Policy|f1d41970-be64-43ea-8d6f-300cb1384ee7</vt:lpwstr>
  </property>
  <property fmtid="{D5CDD505-2E9C-101B-9397-08002B2CF9AE}" pid="35" name="APRAYear">
    <vt:lpwstr>229;#2020|29ca90e3-c619-4296-b1bf-6e33e4d24a28</vt:lpwstr>
  </property>
  <property fmtid="{D5CDD505-2E9C-101B-9397-08002B2CF9AE}" pid="36" name="APRAIndustry">
    <vt:lpwstr/>
  </property>
  <property fmtid="{D5CDD505-2E9C-101B-9397-08002B2CF9AE}" pid="37" name="APRALegislation">
    <vt:lpwstr/>
  </property>
  <property fmtid="{D5CDD505-2E9C-101B-9397-08002B2CF9AE}" pid="38" name="APRAExternalOrganisation">
    <vt:lpwstr/>
  </property>
  <property fmtid="{D5CDD505-2E9C-101B-9397-08002B2CF9AE}" pid="39" name="APRAIRTR">
    <vt:lpwstr/>
  </property>
  <property fmtid="{D5CDD505-2E9C-101B-9397-08002B2CF9AE}" pid="40" name="APRAPeriod">
    <vt:lpwstr/>
  </property>
  <property fmtid="{D5CDD505-2E9C-101B-9397-08002B2CF9AE}" pid="41" name="RecordPoint_WorkflowType">
    <vt:lpwstr>ActiveSubmitStub</vt:lpwstr>
  </property>
  <property fmtid="{D5CDD505-2E9C-101B-9397-08002B2CF9AE}" pid="42" name="RecordPoint_ActiveItemSiteId">
    <vt:lpwstr>{88691c01-5bbb-4215-adc0-66cb7065b0af}</vt:lpwstr>
  </property>
  <property fmtid="{D5CDD505-2E9C-101B-9397-08002B2CF9AE}" pid="43" name="RecordPoint_ActiveItemListId">
    <vt:lpwstr>{0e59e171-09d8-4401-800a-327154450cb3}</vt:lpwstr>
  </property>
  <property fmtid="{D5CDD505-2E9C-101B-9397-08002B2CF9AE}" pid="44" name="RecordPoint_ActiveItemWebId">
    <vt:lpwstr>{75a71c27-8d66-4282-ae60-1bfc22a83be1}</vt:lpwstr>
  </property>
  <property fmtid="{D5CDD505-2E9C-101B-9397-08002B2CF9AE}" pid="45" name="_docset_NoMedatataSyncRequired">
    <vt:lpwstr>False</vt:lpwstr>
  </property>
  <property fmtid="{D5CDD505-2E9C-101B-9397-08002B2CF9AE}" pid="46" name="IsLocked">
    <vt:lpwstr>False</vt:lpwstr>
  </property>
  <property fmtid="{D5CDD505-2E9C-101B-9397-08002B2CF9AE}" pid="47" name="RecordPoint_SubmissionDate">
    <vt:lpwstr/>
  </property>
  <property fmtid="{D5CDD505-2E9C-101B-9397-08002B2CF9AE}" pid="48" name="RecordPoint_ActiveItemMoved">
    <vt:lpwstr/>
  </property>
  <property fmtid="{D5CDD505-2E9C-101B-9397-08002B2CF9AE}" pid="49" name="RecordPoint_RecordFormat">
    <vt:lpwstr/>
  </property>
  <property fmtid="{D5CDD505-2E9C-101B-9397-08002B2CF9AE}" pid="50" name="_dlc_DocIdItemGuid">
    <vt:lpwstr>d22ad5e1-1b21-421d-9c77-2c727d23624b</vt:lpwstr>
  </property>
  <property fmtid="{D5CDD505-2E9C-101B-9397-08002B2CF9AE}" pid="51" name="RecordPoint_ActiveItemUniqueId">
    <vt:lpwstr>{d22ad5e1-1b21-421d-9c77-2c727d23624b}</vt:lpwstr>
  </property>
  <property fmtid="{D5CDD505-2E9C-101B-9397-08002B2CF9AE}" pid="52" name="RecordPoint_RecordNumberSubmitted">
    <vt:lpwstr/>
  </property>
  <property fmtid="{D5CDD505-2E9C-101B-9397-08002B2CF9AE}" pid="53" name="APRAActivity">
    <vt:lpwstr>136;#Prudential policy development|4cf81ba0-32a2-4f8f-8216-9e632903331b;#10;#Registration|390476ce-d76d-4e8d-905f-28e32d2df127;#109;#Statutory instrument|fe68928c-5a9c-4caf-bc8c-6c18cedcb17f</vt:lpwstr>
  </property>
  <property fmtid="{D5CDD505-2E9C-101B-9397-08002B2CF9AE}" pid="54" name="RecordPoint_SubmissionCompleted">
    <vt:lpwstr/>
  </property>
  <property fmtid="{D5CDD505-2E9C-101B-9397-08002B2CF9AE}" pid="55" name="PM_Note">
    <vt:lpwstr/>
  </property>
  <property fmtid="{D5CDD505-2E9C-101B-9397-08002B2CF9AE}" pid="56" name="PM_Markers">
    <vt:lpwstr/>
  </property>
</Properties>
</file>