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6940" w14:textId="7A013A73" w:rsidR="00A45B36" w:rsidRDefault="00A45B36" w:rsidP="00A45B36">
      <w:pPr>
        <w:rPr>
          <w:rFonts w:ascii="Times New Roman" w:eastAsia="Times New Roman" w:hAnsi="Times New Roman"/>
          <w:color w:val="000000"/>
          <w:sz w:val="20"/>
          <w:szCs w:val="20"/>
          <w:lang w:val="en-US" w:eastAsia="en-AU"/>
        </w:rPr>
      </w:pPr>
      <w:bookmarkStart w:id="0" w:name="_Toc168113228"/>
      <w:bookmarkStart w:id="1" w:name="OLE_LINK1"/>
      <w:r>
        <w:rPr>
          <w:rFonts w:ascii="Times New Roman" w:eastAsia="Times New Roman" w:hAnsi="Times New Roman"/>
          <w:noProof/>
          <w:color w:val="000000"/>
          <w:sz w:val="20"/>
          <w:szCs w:val="20"/>
          <w:lang w:eastAsia="en-AU"/>
        </w:rPr>
        <w:drawing>
          <wp:inline distT="0" distB="0" distL="0" distR="0" wp14:anchorId="1E9EA923" wp14:editId="4FDD5B37">
            <wp:extent cx="1463040" cy="1097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040" cy="1097280"/>
                    </a:xfrm>
                    <a:prstGeom prst="rect">
                      <a:avLst/>
                    </a:prstGeom>
                    <a:noFill/>
                    <a:ln>
                      <a:noFill/>
                    </a:ln>
                  </pic:spPr>
                </pic:pic>
              </a:graphicData>
            </a:graphic>
          </wp:inline>
        </w:drawing>
      </w:r>
    </w:p>
    <w:p w14:paraId="6191854E" w14:textId="77777777" w:rsidR="00A45B36" w:rsidRDefault="00A45B36" w:rsidP="00A45B36">
      <w:pPr>
        <w:spacing w:before="480"/>
        <w:rPr>
          <w:rFonts w:ascii="Arial" w:eastAsia="Times New Roman" w:hAnsi="Arial" w:cs="Arial"/>
          <w:b/>
          <w:bCs/>
          <w:color w:val="000000"/>
          <w:sz w:val="40"/>
          <w:szCs w:val="40"/>
        </w:rPr>
      </w:pPr>
      <w:r>
        <w:rPr>
          <w:rFonts w:ascii="Arial" w:eastAsia="Times New Roman" w:hAnsi="Arial" w:cs="Arial"/>
          <w:b/>
          <w:bCs/>
          <w:color w:val="000000"/>
          <w:sz w:val="40"/>
          <w:szCs w:val="40"/>
        </w:rPr>
        <w:t xml:space="preserve">Financial Sector (Collection of Data) (reporting standard) determination No. 10 of 2021 </w:t>
      </w:r>
    </w:p>
    <w:p w14:paraId="26B3DF00" w14:textId="77777777" w:rsidR="00A45B36" w:rsidRDefault="00A45B36" w:rsidP="00A45B36">
      <w:pPr>
        <w:spacing w:before="480"/>
        <w:jc w:val="both"/>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Reporting Standard ARS 722.0 ABS/RBA Derivatives </w:t>
      </w:r>
    </w:p>
    <w:p w14:paraId="5D7EB86C" w14:textId="77777777" w:rsidR="00A45B36" w:rsidRDefault="00A45B36" w:rsidP="00A45B36">
      <w:pPr>
        <w:pBdr>
          <w:bottom w:val="single" w:sz="4" w:space="3" w:color="auto"/>
        </w:pBdr>
        <w:spacing w:before="480" w:after="240"/>
        <w:rPr>
          <w:rFonts w:ascii="Arial" w:eastAsia="Times New Roman" w:hAnsi="Arial"/>
          <w:i/>
          <w:iCs/>
          <w:color w:val="000000"/>
          <w:sz w:val="28"/>
          <w:szCs w:val="20"/>
          <w:lang w:eastAsia="en-AU"/>
        </w:rPr>
      </w:pPr>
      <w:r>
        <w:rPr>
          <w:rFonts w:ascii="Arial" w:eastAsia="Times New Roman" w:hAnsi="Arial"/>
          <w:i/>
          <w:iCs/>
          <w:color w:val="000000"/>
          <w:sz w:val="28"/>
          <w:szCs w:val="20"/>
          <w:lang w:eastAsia="en-AU"/>
        </w:rPr>
        <w:t>Financial Sector (Collection of Data) Act 2001</w:t>
      </w:r>
    </w:p>
    <w:p w14:paraId="6175F4A1" w14:textId="77777777" w:rsidR="00A45B36" w:rsidRDefault="00A45B36" w:rsidP="00A45B36">
      <w:pPr>
        <w:ind w:left="720" w:hanging="720"/>
        <w:rPr>
          <w:rFonts w:ascii="Times New Roman" w:eastAsia="Times New Roman" w:hAnsi="Times New Roman"/>
          <w:color w:val="000000"/>
          <w:sz w:val="24"/>
          <w:szCs w:val="20"/>
        </w:rPr>
      </w:pPr>
    </w:p>
    <w:p w14:paraId="0536A5D3" w14:textId="77777777" w:rsidR="00A45B36" w:rsidRDefault="00A45B36" w:rsidP="00A45B36">
      <w:pPr>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I, Alison Bliss, delegate of APRA, </w:t>
      </w:r>
      <w:r>
        <w:rPr>
          <w:rFonts w:ascii="Times New Roman" w:eastAsia="Times New Roman" w:hAnsi="Times New Roman"/>
          <w:color w:val="000000"/>
          <w:sz w:val="24"/>
          <w:szCs w:val="24"/>
        </w:rPr>
        <w:t xml:space="preserve">under paragraph 13(1)(a) of the </w:t>
      </w:r>
      <w:r>
        <w:rPr>
          <w:rFonts w:ascii="Times New Roman" w:eastAsia="Times New Roman" w:hAnsi="Times New Roman"/>
          <w:i/>
          <w:color w:val="000000"/>
          <w:sz w:val="24"/>
          <w:szCs w:val="24"/>
        </w:rPr>
        <w:t>Financial Sector (Collection of Data) Act 2001</w:t>
      </w:r>
      <w:r>
        <w:rPr>
          <w:rFonts w:ascii="Times New Roman" w:eastAsia="Times New Roman" w:hAnsi="Times New Roman"/>
          <w:color w:val="000000"/>
          <w:sz w:val="24"/>
          <w:szCs w:val="24"/>
        </w:rPr>
        <w:t xml:space="preserve"> (the Act) </w:t>
      </w:r>
      <w:r>
        <w:rPr>
          <w:rFonts w:ascii="Times New Roman" w:eastAsia="Times New Roman" w:hAnsi="Times New Roman"/>
          <w:i/>
          <w:color w:val="000000"/>
          <w:sz w:val="24"/>
          <w:szCs w:val="24"/>
        </w:rPr>
        <w:t>DETERMINE Reporting Standard ARS 722.0 ABS/RBA Derivatives,</w:t>
      </w:r>
      <w:r>
        <w:rPr>
          <w:rFonts w:ascii="Times New Roman" w:eastAsia="Times New Roman" w:hAnsi="Times New Roman"/>
          <w:color w:val="000000"/>
          <w:sz w:val="24"/>
          <w:szCs w:val="24"/>
        </w:rPr>
        <w:t xml:space="preserve"> in the form set out in the Schedule, which applies to the financial sector entities to the extent provided in paragraph 4 of the reporting standard. </w:t>
      </w:r>
    </w:p>
    <w:p w14:paraId="1C844142" w14:textId="77777777" w:rsidR="00A45B36" w:rsidRDefault="00A45B36" w:rsidP="00A45B36">
      <w:pPr>
        <w:ind w:left="709" w:hanging="709"/>
        <w:jc w:val="both"/>
        <w:rPr>
          <w:rFonts w:ascii="Times New Roman" w:eastAsia="Times New Roman" w:hAnsi="Times New Roman"/>
          <w:color w:val="000000"/>
          <w:sz w:val="24"/>
          <w:szCs w:val="24"/>
        </w:rPr>
      </w:pPr>
    </w:p>
    <w:p w14:paraId="18C83DE5"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on 31 March 2021. </w:t>
      </w:r>
    </w:p>
    <w:p w14:paraId="54FB4784" w14:textId="77777777" w:rsidR="00A45B36" w:rsidRDefault="00A45B36" w:rsidP="00A45B36">
      <w:pPr>
        <w:jc w:val="both"/>
        <w:rPr>
          <w:rFonts w:ascii="Times New Roman" w:eastAsia="Times New Roman" w:hAnsi="Times New Roman"/>
          <w:sz w:val="24"/>
          <w:szCs w:val="24"/>
          <w:lang w:val="en-US" w:eastAsia="en-AU"/>
        </w:rPr>
      </w:pPr>
    </w:p>
    <w:p w14:paraId="46F37E2D"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This instrument commences on 31 March 2021.</w:t>
      </w:r>
    </w:p>
    <w:p w14:paraId="063C5B6B" w14:textId="77777777" w:rsidR="00A45B36" w:rsidRDefault="00A45B36" w:rsidP="00A45B36">
      <w:pPr>
        <w:jc w:val="both"/>
        <w:rPr>
          <w:rFonts w:ascii="Times New Roman" w:eastAsia="Times New Roman" w:hAnsi="Times New Roman"/>
          <w:sz w:val="24"/>
          <w:szCs w:val="24"/>
          <w:lang w:val="en-US" w:eastAsia="en-AU"/>
        </w:rPr>
      </w:pPr>
    </w:p>
    <w:p w14:paraId="548BCDE5"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Dated: 22 March 2021</w:t>
      </w:r>
    </w:p>
    <w:p w14:paraId="1266A29C" w14:textId="77777777" w:rsidR="00A45B36" w:rsidRDefault="00A45B36" w:rsidP="00A45B36">
      <w:pPr>
        <w:jc w:val="both"/>
        <w:rPr>
          <w:rFonts w:ascii="Times New Roman" w:eastAsia="Times New Roman" w:hAnsi="Times New Roman"/>
          <w:i/>
          <w:sz w:val="24"/>
          <w:szCs w:val="24"/>
          <w:lang w:val="en-US" w:eastAsia="en-AU"/>
        </w:rPr>
      </w:pPr>
    </w:p>
    <w:p w14:paraId="0678FB0A" w14:textId="4F9260AD" w:rsidR="00A45B36" w:rsidRDefault="00B6130B" w:rsidP="00A45B36">
      <w:pPr>
        <w:jc w:val="both"/>
        <w:rPr>
          <w:rFonts w:ascii="Times New Roman" w:eastAsia="Times New Roman" w:hAnsi="Times New Roman"/>
          <w:color w:val="000000"/>
          <w:sz w:val="24"/>
          <w:szCs w:val="24"/>
          <w:lang w:val="en-US" w:eastAsia="en-AU"/>
        </w:rPr>
      </w:pPr>
      <w:r>
        <w:rPr>
          <w:rFonts w:ascii="Times New Roman" w:eastAsia="Times New Roman" w:hAnsi="Times New Roman"/>
          <w:color w:val="000000"/>
          <w:sz w:val="24"/>
          <w:szCs w:val="24"/>
          <w:lang w:val="en-US" w:eastAsia="en-AU"/>
        </w:rPr>
        <w:t>[Signed]</w:t>
      </w:r>
      <w:bookmarkStart w:id="2" w:name="_GoBack"/>
      <w:bookmarkEnd w:id="2"/>
    </w:p>
    <w:p w14:paraId="6A43633B" w14:textId="77777777" w:rsidR="00A45B36" w:rsidRDefault="00A45B36" w:rsidP="00A45B36">
      <w:pPr>
        <w:jc w:val="both"/>
        <w:rPr>
          <w:rFonts w:ascii="Times New Roman" w:eastAsia="Times New Roman" w:hAnsi="Times New Roman"/>
          <w:sz w:val="24"/>
          <w:szCs w:val="24"/>
          <w:lang w:val="en-US" w:eastAsia="en-AU"/>
        </w:rPr>
      </w:pPr>
    </w:p>
    <w:p w14:paraId="3642BBE8"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Alison Bliss</w:t>
      </w:r>
    </w:p>
    <w:p w14:paraId="392F7538"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General Manager</w:t>
      </w:r>
    </w:p>
    <w:p w14:paraId="6CB0B930" w14:textId="77777777" w:rsidR="00A45B36" w:rsidRDefault="00A45B36" w:rsidP="00A45B36">
      <w:pPr>
        <w:jc w:val="both"/>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Data Analytics and Insights Division</w:t>
      </w:r>
    </w:p>
    <w:p w14:paraId="52BD4A17" w14:textId="77777777" w:rsidR="00A45B36" w:rsidRDefault="00A45B36" w:rsidP="00A45B36">
      <w:pPr>
        <w:jc w:val="both"/>
        <w:rPr>
          <w:rFonts w:ascii="Times New Roman" w:eastAsia="Times New Roman" w:hAnsi="Times New Roman"/>
          <w:sz w:val="24"/>
          <w:szCs w:val="24"/>
          <w:lang w:val="en-US" w:eastAsia="en-AU"/>
        </w:rPr>
      </w:pPr>
    </w:p>
    <w:p w14:paraId="42D044AC" w14:textId="77777777" w:rsidR="00A45B36" w:rsidRDefault="00A45B36" w:rsidP="00A45B36">
      <w:pPr>
        <w:jc w:val="both"/>
        <w:rPr>
          <w:rFonts w:ascii="Times New Roman" w:eastAsia="Times New Roman" w:hAnsi="Times New Roman"/>
          <w:b/>
          <w:color w:val="000000"/>
          <w:sz w:val="24"/>
          <w:szCs w:val="24"/>
          <w:lang w:val="en-US" w:eastAsia="en-AU"/>
        </w:rPr>
      </w:pPr>
    </w:p>
    <w:p w14:paraId="4AE75F0A" w14:textId="77777777" w:rsidR="00A45B36" w:rsidRDefault="00A45B36" w:rsidP="00A45B36">
      <w:pPr>
        <w:jc w:val="both"/>
        <w:rPr>
          <w:rFonts w:ascii="Times New Roman" w:eastAsia="Times New Roman" w:hAnsi="Times New Roman"/>
          <w:b/>
          <w:color w:val="000000"/>
          <w:sz w:val="24"/>
          <w:szCs w:val="24"/>
          <w:lang w:val="en-US" w:eastAsia="en-AU"/>
        </w:rPr>
      </w:pPr>
    </w:p>
    <w:p w14:paraId="2935D355" w14:textId="77777777" w:rsidR="00A45B36" w:rsidRDefault="00A45B36" w:rsidP="00A45B36">
      <w:pPr>
        <w:jc w:val="both"/>
        <w:rPr>
          <w:rFonts w:ascii="Times New Roman" w:eastAsia="Times New Roman" w:hAnsi="Times New Roman"/>
          <w:b/>
          <w:sz w:val="24"/>
          <w:szCs w:val="24"/>
          <w:lang w:val="en-US" w:eastAsia="en-AU"/>
        </w:rPr>
      </w:pPr>
      <w:r>
        <w:rPr>
          <w:rFonts w:ascii="Times New Roman" w:eastAsia="Times New Roman" w:hAnsi="Times New Roman"/>
          <w:b/>
          <w:color w:val="000000"/>
          <w:sz w:val="24"/>
          <w:szCs w:val="24"/>
          <w:lang w:val="en-US" w:eastAsia="en-AU"/>
        </w:rPr>
        <w:t>Interpretation</w:t>
      </w:r>
    </w:p>
    <w:p w14:paraId="10F92F69" w14:textId="77777777" w:rsidR="00A45B36" w:rsidRDefault="00A45B36" w:rsidP="00A45B36">
      <w:pPr>
        <w:keepNext/>
        <w:tabs>
          <w:tab w:val="right" w:pos="794"/>
        </w:tabs>
        <w:spacing w:before="240" w:line="260" w:lineRule="exact"/>
        <w:ind w:left="964" w:hanging="96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this Determination:</w:t>
      </w:r>
    </w:p>
    <w:p w14:paraId="429C8638" w14:textId="77777777" w:rsidR="00A45B36" w:rsidRDefault="00A45B36" w:rsidP="00A45B36">
      <w:pPr>
        <w:spacing w:before="120"/>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APRA</w:t>
      </w:r>
      <w:r>
        <w:rPr>
          <w:rFonts w:ascii="Times New Roman" w:eastAsia="Times New Roman" w:hAnsi="Times New Roman"/>
          <w:color w:val="000000"/>
          <w:sz w:val="24"/>
          <w:szCs w:val="24"/>
        </w:rPr>
        <w:t xml:space="preserve"> means the Australian Prudential Regulation Authority.</w:t>
      </w:r>
    </w:p>
    <w:p w14:paraId="09D5D93B" w14:textId="77777777" w:rsidR="00A45B36" w:rsidRDefault="00A45B36" w:rsidP="00A45B36">
      <w:pPr>
        <w:spacing w:before="120"/>
        <w:ind w:left="720" w:hanging="720"/>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financial sector entity</w:t>
      </w:r>
      <w:r>
        <w:rPr>
          <w:rFonts w:ascii="Times New Roman" w:eastAsia="Times New Roman" w:hAnsi="Times New Roman"/>
          <w:color w:val="000000"/>
          <w:sz w:val="24"/>
          <w:szCs w:val="24"/>
        </w:rPr>
        <w:t xml:space="preserve"> has the meaning given by section 5 of the Act. </w:t>
      </w:r>
    </w:p>
    <w:p w14:paraId="6BFB5977" w14:textId="77777777" w:rsidR="00A45B36" w:rsidRDefault="00A45B36" w:rsidP="00A45B36">
      <w:pPr>
        <w:spacing w:before="240"/>
        <w:ind w:left="720" w:hanging="720"/>
        <w:jc w:val="both"/>
        <w:rPr>
          <w:rFonts w:ascii="Times New Roman" w:eastAsia="Times New Roman" w:hAnsi="Times New Roman"/>
          <w:color w:val="000000"/>
          <w:sz w:val="24"/>
          <w:szCs w:val="24"/>
        </w:rPr>
      </w:pPr>
    </w:p>
    <w:p w14:paraId="24A40A71" w14:textId="77777777" w:rsidR="00A45B36" w:rsidRDefault="00A45B36" w:rsidP="00A45B36">
      <w:pPr>
        <w:keepNext/>
        <w:autoSpaceDE w:val="0"/>
        <w:autoSpaceDN w:val="0"/>
        <w:spacing w:before="480"/>
        <w:rPr>
          <w:rFonts w:ascii="Arial" w:eastAsia="Times New Roman" w:hAnsi="Arial" w:cs="Arial"/>
          <w:b/>
          <w:bCs/>
          <w:color w:val="000000"/>
          <w:sz w:val="32"/>
          <w:szCs w:val="32"/>
          <w:lang w:eastAsia="en-AU"/>
        </w:rPr>
      </w:pPr>
      <w:r>
        <w:rPr>
          <w:rFonts w:ascii="Arial" w:eastAsia="Times New Roman" w:hAnsi="Arial" w:cs="Arial"/>
          <w:b/>
          <w:bCs/>
          <w:color w:val="000000"/>
          <w:sz w:val="32"/>
          <w:szCs w:val="32"/>
          <w:lang w:eastAsia="en-AU"/>
        </w:rPr>
        <w:lastRenderedPageBreak/>
        <w:t xml:space="preserve">Schedule </w:t>
      </w:r>
    </w:p>
    <w:p w14:paraId="44314D38" w14:textId="77777777" w:rsidR="00A45B36" w:rsidRDefault="00A45B36" w:rsidP="00A45B36">
      <w:pPr>
        <w:keepNext/>
        <w:autoSpaceDE w:val="0"/>
        <w:autoSpaceDN w:val="0"/>
        <w:spacing w:before="60" w:line="200" w:lineRule="exact"/>
        <w:rPr>
          <w:rFonts w:ascii="Arial" w:eastAsia="Times New Roman" w:hAnsi="Arial" w:cs="Arial"/>
          <w:color w:val="000000"/>
          <w:sz w:val="18"/>
          <w:szCs w:val="18"/>
          <w:lang w:eastAsia="en-AU"/>
        </w:rPr>
      </w:pPr>
    </w:p>
    <w:p w14:paraId="326C31B7" w14:textId="77777777" w:rsidR="00A45B36" w:rsidRDefault="00A45B36" w:rsidP="00A45B36">
      <w:pPr>
        <w:tabs>
          <w:tab w:val="center" w:pos="4320"/>
          <w:tab w:val="right" w:pos="8640"/>
        </w:tabs>
        <w:jc w:val="both"/>
        <w:rPr>
          <w:rFonts w:ascii="Times New Roman" w:eastAsia="Times New Roman" w:hAnsi="Times New Roman"/>
          <w:bCs/>
          <w:sz w:val="24"/>
          <w:szCs w:val="24"/>
          <w:lang w:val="en-US" w:eastAsia="en-AU"/>
        </w:rPr>
      </w:pPr>
      <w:r>
        <w:rPr>
          <w:rFonts w:ascii="Times New Roman" w:eastAsia="Times New Roman" w:hAnsi="Times New Roman"/>
          <w:i/>
          <w:sz w:val="24"/>
          <w:szCs w:val="20"/>
          <w:lang w:val="en-US" w:eastAsia="en-AU"/>
        </w:rPr>
        <w:t xml:space="preserve">Reporting Standard ARS 722.0 ABS/RBA Derivatives </w:t>
      </w:r>
      <w:r>
        <w:rPr>
          <w:rFonts w:ascii="Times New Roman" w:eastAsia="Times New Roman" w:hAnsi="Times New Roman"/>
          <w:bCs/>
          <w:sz w:val="24"/>
          <w:szCs w:val="24"/>
          <w:lang w:val="en-US" w:eastAsia="en-AU"/>
        </w:rPr>
        <w:t>comprises the document commencing on the following page.</w:t>
      </w:r>
      <w:bookmarkEnd w:id="0"/>
    </w:p>
    <w:p w14:paraId="7BBC012F" w14:textId="77777777" w:rsidR="00A45B36" w:rsidRDefault="00A45B36" w:rsidP="00A45B36"/>
    <w:p w14:paraId="59F4C6A0" w14:textId="77777777" w:rsidR="00A45B36" w:rsidRDefault="00A45B36" w:rsidP="00233FEA">
      <w:pPr>
        <w:rPr>
          <w:rFonts w:eastAsia="Times"/>
          <w:szCs w:val="20"/>
        </w:rPr>
        <w:sectPr w:rsidR="00A45B36" w:rsidSect="00827642">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492AF47C" w14:textId="47D1E2C0" w:rsidR="00233FEA" w:rsidRPr="00AB4984" w:rsidRDefault="00DB36F0" w:rsidP="00233FEA">
      <w:pPr>
        <w:rPr>
          <w:rFonts w:eastAsia="Times"/>
          <w:szCs w:val="20"/>
        </w:rPr>
      </w:pPr>
      <w:r>
        <w:rPr>
          <w:rFonts w:eastAsia="Times"/>
          <w:noProof/>
          <w:szCs w:val="20"/>
          <w:lang w:eastAsia="en-AU"/>
        </w:rPr>
        <w:lastRenderedPageBreak/>
        <w:drawing>
          <wp:inline distT="0" distB="0" distL="0" distR="0" wp14:anchorId="22AF020C" wp14:editId="4D23FBFC">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FF22253" w14:textId="77777777" w:rsidR="00233FEA" w:rsidRPr="00AB4984" w:rsidRDefault="00233FEA" w:rsidP="00233FEA">
      <w:pPr>
        <w:rPr>
          <w:rFonts w:eastAsia="Times"/>
          <w:szCs w:val="20"/>
        </w:rPr>
      </w:pPr>
    </w:p>
    <w:p w14:paraId="571B857F" w14:textId="77777777" w:rsidR="00233FEA" w:rsidRPr="00AB4984" w:rsidRDefault="00233FEA" w:rsidP="00233FEA">
      <w:pPr>
        <w:spacing w:before="120" w:after="360"/>
        <w:rPr>
          <w:rFonts w:ascii="Arial" w:eastAsia="Times New Roman" w:hAnsi="Arial" w:cs="Arial"/>
          <w:b/>
          <w:sz w:val="40"/>
          <w:szCs w:val="40"/>
          <w:lang w:eastAsia="en-AU"/>
        </w:rPr>
      </w:pPr>
      <w:r w:rsidRPr="00AB4984">
        <w:rPr>
          <w:rFonts w:ascii="Arial" w:eastAsia="Times New Roman" w:hAnsi="Arial" w:cs="Arial"/>
          <w:b/>
          <w:sz w:val="40"/>
          <w:szCs w:val="40"/>
          <w:lang w:eastAsia="en-AU"/>
        </w:rPr>
        <w:t xml:space="preserve">Reporting Standard ARS </w:t>
      </w:r>
      <w:r>
        <w:rPr>
          <w:rFonts w:ascii="Arial" w:eastAsia="Times New Roman" w:hAnsi="Arial" w:cs="Arial"/>
          <w:b/>
          <w:sz w:val="40"/>
          <w:szCs w:val="40"/>
          <w:lang w:eastAsia="en-AU"/>
        </w:rPr>
        <w:t>722.0</w:t>
      </w:r>
    </w:p>
    <w:p w14:paraId="55DD2D94" w14:textId="77777777" w:rsidR="00233FEA" w:rsidRPr="00AB4984" w:rsidRDefault="00233FEA" w:rsidP="00233FEA">
      <w:pPr>
        <w:spacing w:before="120" w:after="360"/>
        <w:rPr>
          <w:rFonts w:ascii="Times New Roman" w:eastAsia="Times New Roman" w:hAnsi="Times New Roman"/>
          <w:iCs/>
          <w:lang w:val="x-none"/>
        </w:rPr>
      </w:pPr>
      <w:bookmarkStart w:id="3" w:name="_Toc256519851"/>
      <w:r w:rsidRPr="00AB4984">
        <w:rPr>
          <w:rFonts w:ascii="Arial" w:eastAsia="Times New Roman" w:hAnsi="Arial" w:cs="Arial"/>
          <w:b/>
          <w:sz w:val="40"/>
          <w:szCs w:val="40"/>
          <w:lang w:eastAsia="en-AU"/>
        </w:rPr>
        <w:t xml:space="preserve">ABS/RBA </w:t>
      </w:r>
      <w:r>
        <w:rPr>
          <w:rFonts w:ascii="Arial" w:eastAsia="Times New Roman" w:hAnsi="Arial" w:cs="Arial"/>
          <w:b/>
          <w:sz w:val="40"/>
          <w:szCs w:val="40"/>
          <w:lang w:eastAsia="en-AU"/>
        </w:rPr>
        <w:t>Derivatives</w:t>
      </w:r>
    </w:p>
    <w:bookmarkEnd w:id="3"/>
    <w:p w14:paraId="212A7BCE" w14:textId="77777777" w:rsidR="00233FEA" w:rsidRPr="00CD6287" w:rsidRDefault="00233FEA" w:rsidP="00233FEA">
      <w:pPr>
        <w:spacing w:before="120" w:after="360"/>
        <w:rPr>
          <w:rFonts w:ascii="Arial" w:eastAsia="Times" w:hAnsi="Arial" w:cs="Arial"/>
          <w:b/>
          <w:sz w:val="32"/>
          <w:szCs w:val="32"/>
        </w:rPr>
      </w:pPr>
      <w:r w:rsidRPr="00CD6287">
        <w:rPr>
          <w:rFonts w:ascii="Arial" w:eastAsia="Times" w:hAnsi="Arial" w:cs="Arial"/>
          <w:b/>
          <w:sz w:val="32"/>
          <w:szCs w:val="32"/>
        </w:rPr>
        <w:t>Objective of this Reporting Standard</w:t>
      </w:r>
    </w:p>
    <w:p w14:paraId="75DC5D08" w14:textId="4A55631D" w:rsidR="00233FEA" w:rsidRPr="00FA329B" w:rsidRDefault="00233FEA" w:rsidP="00233FE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sidRPr="00FA329B">
        <w:rPr>
          <w:rFonts w:ascii="Times New Roman" w:eastAsia="Times" w:hAnsi="Times New Roman"/>
          <w:sz w:val="24"/>
          <w:szCs w:val="24"/>
        </w:rPr>
        <w:t xml:space="preserve">This Reporting Standard </w:t>
      </w:r>
      <w:bookmarkStart w:id="4" w:name="_Hlk66125316"/>
      <w:r w:rsidRPr="00FA329B">
        <w:rPr>
          <w:rFonts w:ascii="Times New Roman" w:eastAsia="Times" w:hAnsi="Times New Roman"/>
          <w:sz w:val="24"/>
          <w:szCs w:val="24"/>
        </w:rPr>
        <w:t xml:space="preserve">outlines the requirements for the provision of information to APRA relating to an authorised deposit-taking institution’s </w:t>
      </w:r>
      <w:r w:rsidR="00593326" w:rsidRPr="00E97C10">
        <w:rPr>
          <w:rFonts w:ascii="Times New Roman" w:eastAsia="Times" w:hAnsi="Times New Roman"/>
          <w:i/>
          <w:sz w:val="24"/>
          <w:szCs w:val="24"/>
        </w:rPr>
        <w:t xml:space="preserve">2008 </w:t>
      </w:r>
      <w:r w:rsidRPr="00FA329B">
        <w:rPr>
          <w:rFonts w:ascii="Times New Roman" w:hAnsi="Times New Roman"/>
          <w:i/>
          <w:sz w:val="24"/>
          <w:szCs w:val="24"/>
        </w:rPr>
        <w:t>System of National Accounts</w:t>
      </w:r>
      <w:r w:rsidRPr="00FA329B">
        <w:rPr>
          <w:rFonts w:ascii="Times New Roman" w:hAnsi="Times New Roman"/>
          <w:sz w:val="24"/>
          <w:szCs w:val="24"/>
        </w:rPr>
        <w:t xml:space="preserve"> (SNA</w:t>
      </w:r>
      <w:r w:rsidR="00593326">
        <w:rPr>
          <w:rFonts w:ascii="Times New Roman" w:hAnsi="Times New Roman"/>
          <w:sz w:val="24"/>
          <w:szCs w:val="24"/>
        </w:rPr>
        <w:t>08</w:t>
      </w:r>
      <w:r w:rsidRPr="00FA329B">
        <w:rPr>
          <w:rFonts w:ascii="Times New Roman" w:hAnsi="Times New Roman"/>
          <w:sz w:val="24"/>
          <w:szCs w:val="24"/>
        </w:rPr>
        <w:t xml:space="preserve">) / </w:t>
      </w:r>
      <w:r w:rsidRPr="00FA329B">
        <w:rPr>
          <w:rFonts w:ascii="Times New Roman" w:hAnsi="Times New Roman"/>
          <w:i/>
          <w:sz w:val="24"/>
          <w:szCs w:val="24"/>
        </w:rPr>
        <w:t>Balance of Payments Manual 6</w:t>
      </w:r>
      <w:r w:rsidRPr="00FA329B">
        <w:rPr>
          <w:rFonts w:ascii="Times New Roman" w:hAnsi="Times New Roman"/>
          <w:sz w:val="24"/>
          <w:szCs w:val="24"/>
        </w:rPr>
        <w:t xml:space="preserve"> (BPM 6) derivatives</w:t>
      </w:r>
      <w:bookmarkEnd w:id="4"/>
      <w:r w:rsidRPr="00FA329B">
        <w:rPr>
          <w:rFonts w:ascii="Times New Roman" w:eastAsia="Times" w:hAnsi="Times New Roman"/>
          <w:sz w:val="24"/>
          <w:szCs w:val="24"/>
        </w:rPr>
        <w:t>.</w:t>
      </w:r>
    </w:p>
    <w:p w14:paraId="21E9FBE3" w14:textId="77777777" w:rsidR="00233FEA" w:rsidRPr="00FA329B" w:rsidRDefault="00233FEA" w:rsidP="00233FE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2870F03C" w14:textId="77777777" w:rsidR="00233FEA" w:rsidRPr="00FA329B" w:rsidRDefault="00233FEA" w:rsidP="00233FE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sidRPr="00FA329B">
        <w:rPr>
          <w:rFonts w:ascii="Times New Roman" w:eastAsia="Times" w:hAnsi="Times New Roman"/>
          <w:sz w:val="24"/>
          <w:szCs w:val="24"/>
        </w:rPr>
        <w:t xml:space="preserve">It includes </w:t>
      </w:r>
      <w:r w:rsidRPr="00FA329B">
        <w:rPr>
          <w:rFonts w:ascii="Times New Roman" w:eastAsia="Times" w:hAnsi="Times New Roman"/>
          <w:i/>
          <w:sz w:val="24"/>
          <w:szCs w:val="24"/>
        </w:rPr>
        <w:t>Reporting</w:t>
      </w:r>
      <w:r w:rsidRPr="00FA329B">
        <w:rPr>
          <w:rFonts w:ascii="Times New Roman" w:eastAsia="Times" w:hAnsi="Times New Roman"/>
          <w:sz w:val="24"/>
          <w:szCs w:val="24"/>
        </w:rPr>
        <w:t xml:space="preserve"> </w:t>
      </w:r>
      <w:r w:rsidRPr="00FA329B">
        <w:rPr>
          <w:rFonts w:ascii="Times New Roman" w:eastAsia="Times" w:hAnsi="Times New Roman"/>
          <w:i/>
          <w:sz w:val="24"/>
          <w:szCs w:val="24"/>
        </w:rPr>
        <w:t xml:space="preserve">Form ARF 722.0 ABS/RBA Derivatives </w:t>
      </w:r>
      <w:r w:rsidRPr="00FA329B">
        <w:rPr>
          <w:rFonts w:ascii="Times New Roman" w:eastAsia="Times" w:hAnsi="Times New Roman"/>
          <w:sz w:val="24"/>
          <w:szCs w:val="24"/>
        </w:rPr>
        <w:t>and the associated specific instructions.</w:t>
      </w:r>
    </w:p>
    <w:p w14:paraId="0FBCED31" w14:textId="77777777" w:rsidR="00233FEA" w:rsidRPr="00CD6287" w:rsidRDefault="00233FEA" w:rsidP="00233FE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5DE4178A" w14:textId="77777777" w:rsidR="00233FEA" w:rsidRDefault="00233FEA" w:rsidP="00233FEA">
      <w:pPr>
        <w:pStyle w:val="D2Aform"/>
      </w:pPr>
      <w:bookmarkStart w:id="5" w:name="_Toc256519850"/>
    </w:p>
    <w:p w14:paraId="1267DF74" w14:textId="77777777" w:rsidR="00233FEA" w:rsidRPr="00FA329B" w:rsidRDefault="00233FEA" w:rsidP="00FA329B">
      <w:pPr>
        <w:pStyle w:val="Heading2"/>
        <w:rPr>
          <w:b w:val="0"/>
          <w:bCs w:val="0"/>
        </w:rPr>
      </w:pPr>
      <w:r w:rsidRPr="00D11A90">
        <w:t>Authority</w:t>
      </w:r>
      <w:bookmarkEnd w:id="5"/>
    </w:p>
    <w:p w14:paraId="35F42235" w14:textId="77777777" w:rsidR="00233FEA" w:rsidRPr="00FA329B" w:rsidRDefault="00233FEA" w:rsidP="00233FEA">
      <w:pPr>
        <w:numPr>
          <w:ilvl w:val="0"/>
          <w:numId w:val="3"/>
        </w:numPr>
        <w:spacing w:before="240" w:after="240"/>
        <w:jc w:val="both"/>
        <w:rPr>
          <w:rFonts w:ascii="Times New Roman" w:eastAsia="Times New Roman" w:hAnsi="Times New Roman"/>
          <w:iCs/>
          <w:sz w:val="24"/>
          <w:szCs w:val="24"/>
          <w:lang w:val="x-none"/>
        </w:rPr>
      </w:pPr>
      <w:bookmarkStart w:id="6" w:name="_Ref42506849"/>
      <w:r w:rsidRPr="00FA329B">
        <w:rPr>
          <w:rFonts w:ascii="Times New Roman" w:eastAsia="Times New Roman" w:hAnsi="Times New Roman"/>
          <w:iCs/>
          <w:sz w:val="24"/>
          <w:szCs w:val="24"/>
          <w:lang w:val="x-none"/>
        </w:rPr>
        <w:t xml:space="preserve">This Reporting Standard is made under section 13 of the </w:t>
      </w:r>
      <w:r w:rsidRPr="00FA329B">
        <w:rPr>
          <w:rFonts w:ascii="Times New Roman" w:eastAsia="Times New Roman" w:hAnsi="Times New Roman"/>
          <w:i/>
          <w:iCs/>
          <w:sz w:val="24"/>
          <w:szCs w:val="24"/>
          <w:lang w:val="x-none"/>
        </w:rPr>
        <w:t>Financial Sector (Collection of Data) Act 2001</w:t>
      </w:r>
      <w:r w:rsidRPr="00FA329B">
        <w:rPr>
          <w:rFonts w:ascii="Times New Roman" w:eastAsia="Times New Roman" w:hAnsi="Times New Roman"/>
          <w:iCs/>
          <w:sz w:val="24"/>
          <w:szCs w:val="24"/>
          <w:lang w:val="x-none"/>
        </w:rPr>
        <w:t>.</w:t>
      </w:r>
      <w:bookmarkEnd w:id="6"/>
    </w:p>
    <w:p w14:paraId="71D12684" w14:textId="77777777" w:rsidR="00233FEA" w:rsidRPr="003B3E1C" w:rsidRDefault="00233FEA" w:rsidP="00FA329B">
      <w:pPr>
        <w:pStyle w:val="Heading2"/>
      </w:pPr>
      <w:r w:rsidRPr="003B3E1C">
        <w:t>Purpose</w:t>
      </w:r>
    </w:p>
    <w:p w14:paraId="7FBF78EE" w14:textId="77777777" w:rsidR="00233FEA" w:rsidRPr="00FA329B" w:rsidRDefault="00233FEA" w:rsidP="00233FEA">
      <w:pPr>
        <w:numPr>
          <w:ilvl w:val="0"/>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 xml:space="preserve">Information collected </w:t>
      </w:r>
      <w:r w:rsidRPr="00FA329B">
        <w:rPr>
          <w:rFonts w:ascii="Times New Roman"/>
          <w:sz w:val="24"/>
          <w:szCs w:val="23"/>
        </w:rPr>
        <w:t xml:space="preserve">by </w:t>
      </w:r>
      <w:r w:rsidRPr="00FA329B">
        <w:rPr>
          <w:rFonts w:ascii="Times New Roman"/>
          <w:i/>
          <w:sz w:val="24"/>
          <w:szCs w:val="23"/>
        </w:rPr>
        <w:t>Reporting Form ARF</w:t>
      </w:r>
      <w:r w:rsidRPr="00FA329B">
        <w:rPr>
          <w:rFonts w:ascii="Times New Roman"/>
          <w:i/>
          <w:sz w:val="24"/>
          <w:szCs w:val="23"/>
        </w:rPr>
        <w:t> </w:t>
      </w:r>
      <w:r w:rsidRPr="00FA329B">
        <w:rPr>
          <w:rFonts w:ascii="Times New Roman" w:eastAsia="Times" w:hAnsi="Times New Roman"/>
          <w:i/>
          <w:sz w:val="24"/>
          <w:szCs w:val="23"/>
        </w:rPr>
        <w:t xml:space="preserve">722.0 ABS/RBA Derivatives </w:t>
      </w:r>
      <w:r w:rsidRPr="00FA329B">
        <w:rPr>
          <w:rFonts w:ascii="Times New Roman"/>
          <w:sz w:val="24"/>
          <w:szCs w:val="23"/>
        </w:rPr>
        <w:t>(ARF</w:t>
      </w:r>
      <w:r w:rsidRPr="00FA329B">
        <w:rPr>
          <w:rFonts w:ascii="Times New Roman"/>
          <w:sz w:val="24"/>
          <w:szCs w:val="23"/>
        </w:rPr>
        <w:t> </w:t>
      </w:r>
      <w:r w:rsidRPr="00FA329B">
        <w:rPr>
          <w:rFonts w:ascii="Times New Roman"/>
          <w:sz w:val="24"/>
          <w:szCs w:val="23"/>
        </w:rPr>
        <w:t>722.0)</w:t>
      </w:r>
      <w:r w:rsidRPr="00FA329B">
        <w:rPr>
          <w:rFonts w:ascii="Times New Roman"/>
          <w:spacing w:val="18"/>
          <w:sz w:val="24"/>
          <w:szCs w:val="23"/>
        </w:rPr>
        <w:t xml:space="preserve"> </w:t>
      </w:r>
      <w:r w:rsidRPr="00FA329B">
        <w:rPr>
          <w:rFonts w:ascii="Times New Roman" w:eastAsia="Times New Roman" w:hAnsi="Times New Roman"/>
          <w:iCs/>
          <w:sz w:val="24"/>
          <w:szCs w:val="23"/>
          <w:lang w:val="x-none"/>
        </w:rPr>
        <w:t xml:space="preserve">is used by </w:t>
      </w:r>
      <w:r w:rsidRPr="00FA329B">
        <w:rPr>
          <w:rFonts w:ascii="Times New Roman" w:eastAsia="Times New Roman" w:hAnsi="Times New Roman"/>
          <w:iCs/>
          <w:sz w:val="24"/>
          <w:szCs w:val="23"/>
        </w:rPr>
        <w:t xml:space="preserve">the </w:t>
      </w:r>
      <w:r w:rsidRPr="00FA329B">
        <w:rPr>
          <w:rFonts w:ascii="Times New Roman" w:eastAsia="Times New Roman" w:hAnsi="Times New Roman"/>
          <w:b/>
          <w:i/>
          <w:iCs/>
          <w:sz w:val="24"/>
          <w:szCs w:val="23"/>
        </w:rPr>
        <w:t>ABS</w:t>
      </w:r>
      <w:r w:rsidRPr="00FA329B">
        <w:rPr>
          <w:rFonts w:ascii="Times New Roman" w:eastAsia="Times New Roman" w:hAnsi="Times New Roman"/>
          <w:iCs/>
          <w:sz w:val="24"/>
          <w:szCs w:val="23"/>
        </w:rPr>
        <w:t xml:space="preserve"> and </w:t>
      </w:r>
      <w:r w:rsidRPr="00FA329B">
        <w:rPr>
          <w:rFonts w:ascii="Times New Roman" w:eastAsia="Times New Roman" w:hAnsi="Times New Roman"/>
          <w:b/>
          <w:i/>
          <w:iCs/>
          <w:sz w:val="24"/>
          <w:szCs w:val="23"/>
        </w:rPr>
        <w:t>RBA</w:t>
      </w:r>
      <w:r w:rsidRPr="00FA329B">
        <w:rPr>
          <w:rFonts w:ascii="Times New Roman" w:eastAsia="Times New Roman" w:hAnsi="Times New Roman"/>
          <w:iCs/>
          <w:sz w:val="24"/>
          <w:szCs w:val="23"/>
        </w:rPr>
        <w:t xml:space="preserve"> </w:t>
      </w:r>
      <w:r w:rsidRPr="00FA329B">
        <w:rPr>
          <w:rFonts w:ascii="Times New Roman" w:hAnsi="Times New Roman"/>
          <w:sz w:val="24"/>
          <w:szCs w:val="23"/>
        </w:rPr>
        <w:t>for various purposes, including the compilation of Australia’s National Accounts</w:t>
      </w:r>
      <w:r w:rsidRPr="00FA329B">
        <w:rPr>
          <w:rFonts w:ascii="Times New Roman" w:eastAsia="Times New Roman" w:hAnsi="Times New Roman"/>
          <w:iCs/>
          <w:sz w:val="24"/>
          <w:szCs w:val="23"/>
        </w:rPr>
        <w:t>.</w:t>
      </w:r>
      <w:r>
        <w:rPr>
          <w:rFonts w:ascii="Times New Roman" w:eastAsia="Times New Roman" w:hAnsi="Times New Roman"/>
          <w:iCs/>
          <w:sz w:val="24"/>
          <w:szCs w:val="23"/>
        </w:rPr>
        <w:t xml:space="preserve"> This information may also be used by APRA for prudential and publication purposes. </w:t>
      </w:r>
    </w:p>
    <w:p w14:paraId="6F8F40B6" w14:textId="77777777" w:rsidR="00233FEA" w:rsidRPr="00FA329B" w:rsidRDefault="00233FEA" w:rsidP="00233FEA">
      <w:pPr>
        <w:numPr>
          <w:ilvl w:val="0"/>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rPr>
        <w:t xml:space="preserve">This Reporting Standard is an Economic and Financial Statistics (EFS) Reporting Standard for the purposes of paragraph 3 of </w:t>
      </w:r>
      <w:r w:rsidRPr="00FA329B">
        <w:rPr>
          <w:rFonts w:ascii="Times New Roman" w:eastAsia="Times New Roman" w:hAnsi="Times New Roman"/>
          <w:i/>
          <w:iCs/>
          <w:sz w:val="24"/>
          <w:szCs w:val="23"/>
        </w:rPr>
        <w:t xml:space="preserve">Reporting Standard ARS 701.0 ABS/RBA Definitions for the EFS Collection </w:t>
      </w:r>
      <w:r w:rsidRPr="00FA329B">
        <w:rPr>
          <w:rFonts w:ascii="Times New Roman" w:eastAsia="Times New Roman" w:hAnsi="Times New Roman"/>
          <w:iCs/>
          <w:sz w:val="24"/>
          <w:szCs w:val="23"/>
        </w:rPr>
        <w:t>(ARS 701.0)</w:t>
      </w:r>
      <w:r w:rsidRPr="00FA329B">
        <w:rPr>
          <w:rFonts w:ascii="Times New Roman" w:eastAsia="Times New Roman" w:hAnsi="Times New Roman"/>
          <w:i/>
          <w:iCs/>
          <w:sz w:val="24"/>
          <w:szCs w:val="23"/>
        </w:rPr>
        <w:t>.</w:t>
      </w:r>
    </w:p>
    <w:p w14:paraId="65B288DD" w14:textId="77777777" w:rsidR="00233FEA" w:rsidRPr="003B3E1C" w:rsidRDefault="00233FEA" w:rsidP="00FA329B">
      <w:pPr>
        <w:pStyle w:val="Heading2"/>
      </w:pPr>
      <w:r w:rsidRPr="003B3E1C">
        <w:t>Application and commencement</w:t>
      </w:r>
    </w:p>
    <w:p w14:paraId="0D398524" w14:textId="1393C9E1" w:rsidR="00233FEA" w:rsidRDefault="00233FEA" w:rsidP="00233FEA">
      <w:pPr>
        <w:numPr>
          <w:ilvl w:val="0"/>
          <w:numId w:val="3"/>
        </w:numPr>
        <w:spacing w:before="240" w:after="240"/>
        <w:jc w:val="both"/>
        <w:rPr>
          <w:rFonts w:ascii="Times New Roman" w:eastAsia="Times New Roman" w:hAnsi="Times New Roman"/>
          <w:iCs/>
          <w:sz w:val="24"/>
          <w:szCs w:val="23"/>
        </w:rPr>
      </w:pPr>
      <w:r w:rsidRPr="00FA329B">
        <w:rPr>
          <w:rFonts w:ascii="Times New Roman" w:eastAsia="Times New Roman" w:hAnsi="Times New Roman"/>
          <w:iCs/>
          <w:sz w:val="24"/>
          <w:szCs w:val="23"/>
        </w:rPr>
        <w:t>This Reporting Standard applies to</w:t>
      </w:r>
      <w:r>
        <w:rPr>
          <w:rFonts w:ascii="Times New Roman" w:eastAsia="Times New Roman" w:hAnsi="Times New Roman"/>
          <w:iCs/>
          <w:sz w:val="24"/>
          <w:szCs w:val="23"/>
        </w:rPr>
        <w:t xml:space="preserve"> an</w:t>
      </w:r>
      <w:r w:rsidRPr="00FA329B">
        <w:rPr>
          <w:rFonts w:ascii="Times New Roman" w:eastAsia="Times New Roman" w:hAnsi="Times New Roman"/>
          <w:iCs/>
          <w:sz w:val="24"/>
          <w:szCs w:val="23"/>
        </w:rPr>
        <w:t xml:space="preserve"> </w:t>
      </w:r>
      <w:r w:rsidRPr="00FA329B">
        <w:rPr>
          <w:rFonts w:ascii="Times New Roman" w:eastAsia="Times New Roman" w:hAnsi="Times New Roman"/>
          <w:b/>
          <w:i/>
          <w:iCs/>
          <w:sz w:val="24"/>
          <w:szCs w:val="23"/>
        </w:rPr>
        <w:t xml:space="preserve">authorised deposit-taking institution </w:t>
      </w:r>
      <w:r w:rsidRPr="00FA329B">
        <w:rPr>
          <w:rFonts w:ascii="Times New Roman" w:eastAsia="Times New Roman" w:hAnsi="Times New Roman"/>
          <w:iCs/>
          <w:sz w:val="24"/>
          <w:szCs w:val="23"/>
        </w:rPr>
        <w:t>(</w:t>
      </w:r>
      <w:r w:rsidRPr="00FA329B">
        <w:rPr>
          <w:rFonts w:ascii="Times New Roman" w:eastAsia="Times New Roman" w:hAnsi="Times New Roman"/>
          <w:b/>
          <w:i/>
          <w:iCs/>
          <w:sz w:val="24"/>
          <w:szCs w:val="23"/>
        </w:rPr>
        <w:t>ADI</w:t>
      </w:r>
      <w:r w:rsidRPr="00FA329B">
        <w:rPr>
          <w:rFonts w:ascii="Times New Roman" w:eastAsia="Times New Roman" w:hAnsi="Times New Roman"/>
          <w:iCs/>
          <w:sz w:val="24"/>
          <w:szCs w:val="23"/>
        </w:rPr>
        <w:t xml:space="preserve">) </w:t>
      </w:r>
      <w:r>
        <w:rPr>
          <w:rFonts w:ascii="Times New Roman" w:eastAsia="Times New Roman" w:hAnsi="Times New Roman"/>
          <w:iCs/>
          <w:sz w:val="24"/>
          <w:szCs w:val="23"/>
        </w:rPr>
        <w:t>as set out in the table below.</w:t>
      </w:r>
    </w:p>
    <w:tbl>
      <w:tblPr>
        <w:tblW w:w="3477" w:type="pct"/>
        <w:tblInd w:w="1408" w:type="dxa"/>
        <w:tblCellMar>
          <w:left w:w="0" w:type="dxa"/>
          <w:right w:w="0" w:type="dxa"/>
        </w:tblCellMar>
        <w:tblLook w:val="04A0" w:firstRow="1" w:lastRow="0" w:firstColumn="1" w:lastColumn="0" w:noHBand="0" w:noVBand="1"/>
      </w:tblPr>
      <w:tblGrid>
        <w:gridCol w:w="3258"/>
        <w:gridCol w:w="3005"/>
      </w:tblGrid>
      <w:tr w:rsidR="00233FEA" w14:paraId="0307E079" w14:textId="77777777" w:rsidTr="00FA329B">
        <w:trPr>
          <w:trHeight w:val="354"/>
        </w:trPr>
        <w:tc>
          <w:tcPr>
            <w:tcW w:w="2601" w:type="pct"/>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72B57D68" w14:textId="77777777" w:rsidR="00233FEA" w:rsidRPr="00FA329B" w:rsidRDefault="00233FEA" w:rsidP="003167DC">
            <w:pPr>
              <w:spacing w:after="120"/>
              <w:jc w:val="center"/>
              <w:rPr>
                <w:rFonts w:ascii="&amp;quot" w:hAnsi="&amp;quot"/>
                <w:color w:val="000000"/>
                <w:sz w:val="24"/>
                <w:szCs w:val="24"/>
                <w:lang w:eastAsia="en-AU"/>
              </w:rPr>
            </w:pPr>
            <w:r w:rsidRPr="00FA329B">
              <w:rPr>
                <w:rFonts w:ascii="&amp;quot" w:hAnsi="&amp;quot"/>
                <w:b/>
                <w:bCs/>
                <w:color w:val="000000"/>
                <w:sz w:val="24"/>
                <w:szCs w:val="24"/>
              </w:rPr>
              <w:t>Class of financial institution</w:t>
            </w:r>
          </w:p>
        </w:tc>
        <w:tc>
          <w:tcPr>
            <w:tcW w:w="2399" w:type="pct"/>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798FBFD" w14:textId="77777777" w:rsidR="00233FEA" w:rsidRPr="00FA329B" w:rsidRDefault="00233FEA" w:rsidP="003167DC">
            <w:pPr>
              <w:spacing w:after="120"/>
              <w:jc w:val="center"/>
              <w:rPr>
                <w:rFonts w:ascii="&amp;quot" w:hAnsi="&amp;quot"/>
                <w:color w:val="000000"/>
                <w:sz w:val="24"/>
                <w:szCs w:val="24"/>
              </w:rPr>
            </w:pPr>
            <w:r w:rsidRPr="00FA329B">
              <w:rPr>
                <w:rFonts w:ascii="&amp;quot" w:hAnsi="&amp;quot"/>
                <w:b/>
                <w:bCs/>
                <w:color w:val="000000"/>
                <w:sz w:val="24"/>
                <w:szCs w:val="24"/>
              </w:rPr>
              <w:t>ARF 722.0</w:t>
            </w:r>
          </w:p>
        </w:tc>
      </w:tr>
      <w:tr w:rsidR="00233FEA" w14:paraId="0A7E9EE2" w14:textId="77777777" w:rsidTr="00FA329B">
        <w:tc>
          <w:tcPr>
            <w:tcW w:w="26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3B20FA" w14:textId="77777777" w:rsidR="00233FEA" w:rsidRPr="00FA329B" w:rsidRDefault="00233FEA" w:rsidP="00FA329B">
            <w:pPr>
              <w:spacing w:after="120"/>
              <w:rPr>
                <w:rFonts w:ascii="&amp;quot" w:hAnsi="&amp;quot"/>
                <w:color w:val="000000"/>
                <w:sz w:val="24"/>
                <w:szCs w:val="24"/>
              </w:rPr>
            </w:pPr>
            <w:r w:rsidRPr="00FA329B">
              <w:rPr>
                <w:rFonts w:ascii="&amp;quot" w:hAnsi="&amp;quot"/>
                <w:b/>
                <w:bCs/>
                <w:i/>
                <w:iCs/>
                <w:color w:val="000000"/>
                <w:sz w:val="24"/>
                <w:szCs w:val="24"/>
              </w:rPr>
              <w:t>ADI Derivatives Reporting Category A</w:t>
            </w:r>
          </w:p>
        </w:tc>
        <w:tc>
          <w:tcPr>
            <w:tcW w:w="23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6CF84E" w14:textId="77777777" w:rsidR="00233FEA" w:rsidRPr="00FA329B" w:rsidRDefault="00233FEA" w:rsidP="003167DC">
            <w:pPr>
              <w:spacing w:after="120"/>
              <w:jc w:val="center"/>
              <w:rPr>
                <w:rFonts w:ascii="&amp;quot" w:hAnsi="&amp;quot"/>
                <w:color w:val="000000"/>
                <w:sz w:val="24"/>
                <w:szCs w:val="24"/>
              </w:rPr>
            </w:pPr>
            <w:r w:rsidRPr="00FA329B">
              <w:rPr>
                <w:rFonts w:ascii="&amp;quot" w:hAnsi="&amp;quot"/>
                <w:color w:val="000000"/>
                <w:sz w:val="24"/>
                <w:szCs w:val="24"/>
              </w:rPr>
              <w:t>Yes</w:t>
            </w:r>
          </w:p>
        </w:tc>
      </w:tr>
      <w:tr w:rsidR="00233FEA" w14:paraId="2F52C58F" w14:textId="77777777" w:rsidTr="00FA329B">
        <w:tc>
          <w:tcPr>
            <w:tcW w:w="260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A1EFB6" w14:textId="77777777" w:rsidR="00233FEA" w:rsidRPr="00FA329B" w:rsidRDefault="00233FEA" w:rsidP="00FA329B">
            <w:pPr>
              <w:spacing w:after="120"/>
              <w:rPr>
                <w:rFonts w:ascii="&amp;quot" w:hAnsi="&amp;quot"/>
                <w:color w:val="000000"/>
                <w:sz w:val="24"/>
                <w:szCs w:val="24"/>
              </w:rPr>
            </w:pPr>
            <w:r w:rsidRPr="00FA329B">
              <w:rPr>
                <w:rFonts w:ascii="&amp;quot" w:hAnsi="&amp;quot"/>
                <w:b/>
                <w:bCs/>
                <w:i/>
                <w:iCs/>
                <w:color w:val="000000"/>
                <w:sz w:val="24"/>
                <w:szCs w:val="24"/>
              </w:rPr>
              <w:lastRenderedPageBreak/>
              <w:t>ADI Derivatives Reporting Category B</w:t>
            </w:r>
          </w:p>
        </w:tc>
        <w:tc>
          <w:tcPr>
            <w:tcW w:w="23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75E803" w14:textId="77777777" w:rsidR="00233FEA" w:rsidRPr="00FA329B" w:rsidRDefault="00233FEA" w:rsidP="003167DC">
            <w:pPr>
              <w:spacing w:after="120"/>
              <w:jc w:val="center"/>
              <w:rPr>
                <w:rFonts w:ascii="&amp;quot" w:hAnsi="&amp;quot"/>
                <w:color w:val="000000"/>
                <w:sz w:val="24"/>
                <w:szCs w:val="24"/>
              </w:rPr>
            </w:pPr>
            <w:r w:rsidRPr="00FA329B">
              <w:rPr>
                <w:rFonts w:ascii="&amp;quot" w:hAnsi="&amp;quot"/>
                <w:color w:val="000000"/>
                <w:sz w:val="24"/>
                <w:szCs w:val="24"/>
              </w:rPr>
              <w:t>No</w:t>
            </w:r>
          </w:p>
        </w:tc>
      </w:tr>
    </w:tbl>
    <w:p w14:paraId="6500AA76" w14:textId="3018C5FC" w:rsidR="00233FEA" w:rsidRPr="00FA329B" w:rsidRDefault="00233FEA" w:rsidP="00FA329B">
      <w:pPr>
        <w:spacing w:before="240" w:after="240"/>
        <w:jc w:val="both"/>
      </w:pPr>
    </w:p>
    <w:p w14:paraId="65984FCD" w14:textId="19E91FCE" w:rsidR="00233FEA" w:rsidRPr="00FA329B" w:rsidRDefault="00233FEA" w:rsidP="00FA329B">
      <w:pPr>
        <w:pStyle w:val="ListParagraph"/>
        <w:numPr>
          <w:ilvl w:val="0"/>
          <w:numId w:val="3"/>
        </w:numPr>
        <w:rPr>
          <w:rFonts w:ascii="Times New Roman" w:hAnsi="Times New Roman"/>
          <w:sz w:val="24"/>
          <w:szCs w:val="24"/>
        </w:rPr>
      </w:pPr>
      <w:r w:rsidRPr="00FA329B">
        <w:rPr>
          <w:rFonts w:ascii="Times New Roman" w:hAnsi="Times New Roman"/>
          <w:sz w:val="24"/>
          <w:szCs w:val="24"/>
        </w:rPr>
        <w:t xml:space="preserve">This Reporting Standard applies for </w:t>
      </w:r>
      <w:r w:rsidRPr="00FA329B">
        <w:rPr>
          <w:rFonts w:ascii="Times New Roman" w:hAnsi="Times New Roman"/>
          <w:b/>
          <w:i/>
          <w:sz w:val="24"/>
          <w:szCs w:val="24"/>
        </w:rPr>
        <w:t>reporting periods</w:t>
      </w:r>
      <w:r w:rsidRPr="00FA329B">
        <w:rPr>
          <w:rFonts w:ascii="Times New Roman" w:hAnsi="Times New Roman"/>
          <w:sz w:val="24"/>
          <w:szCs w:val="24"/>
        </w:rPr>
        <w:t xml:space="preserve"> ending on or after </w:t>
      </w:r>
      <w:r w:rsidR="00314B50">
        <w:rPr>
          <w:rFonts w:ascii="Times New Roman" w:hAnsi="Times New Roman"/>
          <w:sz w:val="24"/>
          <w:szCs w:val="24"/>
        </w:rPr>
        <w:t>31 March 2021</w:t>
      </w:r>
      <w:r w:rsidRPr="00FA329B">
        <w:rPr>
          <w:rFonts w:ascii="Times New Roman" w:hAnsi="Times New Roman"/>
          <w:sz w:val="24"/>
          <w:szCs w:val="24"/>
        </w:rPr>
        <w:t>.</w:t>
      </w:r>
    </w:p>
    <w:p w14:paraId="1F3A4AA2" w14:textId="77777777" w:rsidR="00233FEA" w:rsidRPr="003B3E1C" w:rsidRDefault="00233FEA" w:rsidP="00FA329B">
      <w:pPr>
        <w:pStyle w:val="Heading2"/>
      </w:pPr>
      <w:r w:rsidRPr="003B3E1C">
        <w:t xml:space="preserve">Information </w:t>
      </w:r>
      <w:r w:rsidRPr="00F12451">
        <w:t>required</w:t>
      </w:r>
    </w:p>
    <w:p w14:paraId="1A4DF68E" w14:textId="08E16D16" w:rsidR="00233FEA" w:rsidRPr="00FA329B" w:rsidRDefault="00233FEA" w:rsidP="00233FEA">
      <w:pPr>
        <w:numPr>
          <w:ilvl w:val="0"/>
          <w:numId w:val="3"/>
        </w:numPr>
        <w:spacing w:before="240" w:after="240"/>
        <w:jc w:val="both"/>
        <w:rPr>
          <w:rFonts w:ascii="Times New Roman" w:eastAsia="Times New Roman" w:hAnsi="Times New Roman"/>
          <w:iCs/>
          <w:sz w:val="24"/>
          <w:szCs w:val="24"/>
        </w:rPr>
      </w:pPr>
      <w:r w:rsidRPr="00FA329B">
        <w:rPr>
          <w:rFonts w:ascii="Times New Roman" w:eastAsia="Times New Roman" w:hAnsi="Times New Roman"/>
          <w:iCs/>
          <w:sz w:val="24"/>
          <w:szCs w:val="24"/>
          <w:lang w:val="x-none"/>
        </w:rPr>
        <w:t xml:space="preserve">An </w:t>
      </w:r>
      <w:r w:rsidRPr="00FA329B">
        <w:rPr>
          <w:rFonts w:ascii="Times New Roman" w:eastAsia="Times New Roman" w:hAnsi="Times New Roman"/>
          <w:b/>
          <w:i/>
          <w:iCs/>
          <w:sz w:val="24"/>
          <w:szCs w:val="24"/>
          <w:lang w:val="x-none"/>
        </w:rPr>
        <w:t>ADI</w:t>
      </w:r>
      <w:r w:rsidRPr="00FA329B">
        <w:rPr>
          <w:rFonts w:ascii="Times New Roman" w:eastAsia="Times New Roman" w:hAnsi="Times New Roman"/>
          <w:b/>
          <w:i/>
          <w:iCs/>
          <w:sz w:val="24"/>
          <w:szCs w:val="24"/>
        </w:rPr>
        <w:t xml:space="preserve"> </w:t>
      </w:r>
      <w:r>
        <w:rPr>
          <w:rFonts w:ascii="Times New Roman" w:eastAsia="Times New Roman" w:hAnsi="Times New Roman"/>
          <w:iCs/>
          <w:sz w:val="24"/>
          <w:szCs w:val="24"/>
        </w:rPr>
        <w:t xml:space="preserve">to which this Reporting Standard applies </w:t>
      </w:r>
      <w:r w:rsidRPr="00FA329B">
        <w:rPr>
          <w:rFonts w:ascii="Times New Roman" w:eastAsia="Times New Roman" w:hAnsi="Times New Roman"/>
          <w:iCs/>
          <w:sz w:val="24"/>
          <w:szCs w:val="24"/>
        </w:rPr>
        <w:t xml:space="preserve">must provide </w:t>
      </w:r>
      <w:r w:rsidRPr="00FA329B">
        <w:rPr>
          <w:rFonts w:ascii="Times New Roman" w:eastAsia="Times New Roman" w:hAnsi="Times New Roman"/>
          <w:b/>
          <w:i/>
          <w:iCs/>
          <w:sz w:val="24"/>
          <w:szCs w:val="24"/>
        </w:rPr>
        <w:t xml:space="preserve">APRA </w:t>
      </w:r>
      <w:r w:rsidRPr="00FA329B">
        <w:rPr>
          <w:rFonts w:ascii="Times New Roman" w:eastAsia="Times New Roman" w:hAnsi="Times New Roman"/>
          <w:iCs/>
          <w:sz w:val="24"/>
          <w:szCs w:val="24"/>
        </w:rPr>
        <w:t xml:space="preserve">with the information required by ARF 722.0 for each </w:t>
      </w:r>
      <w:r w:rsidRPr="00FA329B">
        <w:rPr>
          <w:rFonts w:ascii="Times New Roman" w:eastAsia="Times New Roman" w:hAnsi="Times New Roman"/>
          <w:b/>
          <w:i/>
          <w:iCs/>
          <w:sz w:val="24"/>
          <w:szCs w:val="24"/>
        </w:rPr>
        <w:t>reporting period</w:t>
      </w:r>
      <w:r w:rsidRPr="00FA329B">
        <w:rPr>
          <w:rFonts w:ascii="Times New Roman" w:eastAsia="Times New Roman" w:hAnsi="Times New Roman"/>
          <w:iCs/>
          <w:sz w:val="24"/>
          <w:szCs w:val="24"/>
        </w:rPr>
        <w:t xml:space="preserve"> at a </w:t>
      </w:r>
      <w:r w:rsidRPr="00FA329B">
        <w:rPr>
          <w:rFonts w:ascii="Times New Roman" w:eastAsia="Times New Roman" w:hAnsi="Times New Roman"/>
          <w:b/>
          <w:i/>
          <w:iCs/>
          <w:sz w:val="24"/>
          <w:szCs w:val="24"/>
        </w:rPr>
        <w:t xml:space="preserve">domestic books </w:t>
      </w:r>
      <w:r w:rsidRPr="00FA329B">
        <w:rPr>
          <w:rFonts w:ascii="Times New Roman" w:eastAsia="Times New Roman" w:hAnsi="Times New Roman"/>
          <w:iCs/>
          <w:sz w:val="24"/>
          <w:szCs w:val="24"/>
        </w:rPr>
        <w:t>consolidation.</w:t>
      </w:r>
    </w:p>
    <w:p w14:paraId="3BF866ED" w14:textId="77777777" w:rsidR="00233FEA" w:rsidRPr="003B3E1C" w:rsidRDefault="00233FEA" w:rsidP="00FA329B">
      <w:pPr>
        <w:pStyle w:val="Heading2"/>
      </w:pPr>
      <w:r w:rsidRPr="003B3E1C">
        <w:t>Method of submission</w:t>
      </w:r>
    </w:p>
    <w:p w14:paraId="11F16E6D" w14:textId="5AF77F41" w:rsidR="00233FEA" w:rsidRPr="00FA329B" w:rsidRDefault="00E97C10" w:rsidP="00E97C10">
      <w:pPr>
        <w:numPr>
          <w:ilvl w:val="0"/>
          <w:numId w:val="3"/>
        </w:numPr>
        <w:spacing w:before="240" w:after="240"/>
        <w:jc w:val="both"/>
        <w:rPr>
          <w:sz w:val="20"/>
          <w:szCs w:val="20"/>
        </w:rPr>
      </w:pPr>
      <w:r w:rsidRPr="00E97C10">
        <w:rPr>
          <w:rFonts w:ascii="Times New Roman" w:eastAsia="Times New Roman" w:hAnsi="Times New Roman"/>
          <w:iCs/>
          <w:sz w:val="24"/>
          <w:szCs w:val="24"/>
          <w:lang w:val="en-US"/>
        </w:rPr>
        <w:t xml:space="preserve">The information required by this Reporting Standard must be given to </w:t>
      </w:r>
      <w:r w:rsidRPr="00E97C10">
        <w:rPr>
          <w:rFonts w:ascii="Times New Roman" w:eastAsia="Times New Roman" w:hAnsi="Times New Roman"/>
          <w:b/>
          <w:i/>
          <w:iCs/>
          <w:sz w:val="24"/>
          <w:szCs w:val="24"/>
          <w:lang w:val="en-US"/>
        </w:rPr>
        <w:t>APRA</w:t>
      </w:r>
      <w:r w:rsidRPr="00E97C10">
        <w:rPr>
          <w:rFonts w:ascii="Times New Roman" w:eastAsia="Times New Roman" w:hAnsi="Times New Roman"/>
          <w:iCs/>
          <w:sz w:val="24"/>
          <w:szCs w:val="24"/>
          <w:lang w:val="en-US"/>
        </w:rPr>
        <w:t xml:space="preserve"> in electronic format using an electronic method available on </w:t>
      </w:r>
      <w:r w:rsidRPr="00E97C10">
        <w:rPr>
          <w:rFonts w:ascii="Times New Roman" w:eastAsia="Times New Roman" w:hAnsi="Times New Roman"/>
          <w:b/>
          <w:i/>
          <w:iCs/>
          <w:sz w:val="24"/>
          <w:szCs w:val="24"/>
          <w:lang w:val="en-US"/>
        </w:rPr>
        <w:t>APRA</w:t>
      </w:r>
      <w:r w:rsidRPr="00E97C10">
        <w:rPr>
          <w:rFonts w:ascii="Times New Roman" w:eastAsia="Times New Roman" w:hAnsi="Times New Roman"/>
          <w:iCs/>
          <w:sz w:val="24"/>
          <w:szCs w:val="24"/>
          <w:lang w:val="en-US"/>
        </w:rPr>
        <w:t xml:space="preserve">’s website or by a method notified by </w:t>
      </w:r>
      <w:r w:rsidRPr="00E97C10">
        <w:rPr>
          <w:rFonts w:ascii="Times New Roman" w:eastAsia="Times New Roman" w:hAnsi="Times New Roman"/>
          <w:b/>
          <w:i/>
          <w:iCs/>
          <w:sz w:val="24"/>
          <w:szCs w:val="24"/>
          <w:lang w:val="en-US"/>
        </w:rPr>
        <w:t>APRA</w:t>
      </w:r>
      <w:r w:rsidRPr="00E97C10">
        <w:rPr>
          <w:rFonts w:ascii="Times New Roman" w:eastAsia="Times New Roman" w:hAnsi="Times New Roman"/>
          <w:iCs/>
          <w:sz w:val="24"/>
          <w:szCs w:val="24"/>
          <w:lang w:val="en-US"/>
        </w:rPr>
        <w:t xml:space="preserve"> prior to submission</w:t>
      </w:r>
      <w:r w:rsidR="00233FEA" w:rsidRPr="00FA329B">
        <w:rPr>
          <w:rFonts w:ascii="Times New Roman" w:eastAsia="Times New Roman" w:hAnsi="Times New Roman"/>
          <w:iCs/>
          <w:sz w:val="24"/>
          <w:szCs w:val="24"/>
        </w:rPr>
        <w:t>.</w:t>
      </w:r>
      <w:r w:rsidR="00233FEA" w:rsidRPr="00FA329B">
        <w:rPr>
          <w:rFonts w:ascii="Times New Roman" w:hAnsi="Times New Roman"/>
          <w:sz w:val="20"/>
          <w:szCs w:val="20"/>
        </w:rPr>
        <w:t xml:space="preserve"> </w:t>
      </w:r>
    </w:p>
    <w:p w14:paraId="76261806" w14:textId="096FECEE" w:rsidR="00233FEA" w:rsidRPr="00FA329B" w:rsidRDefault="00233FEA" w:rsidP="00FA329B">
      <w:pPr>
        <w:pStyle w:val="Heading2"/>
        <w:rPr>
          <w:b w:val="0"/>
          <w:bCs w:val="0"/>
        </w:rPr>
      </w:pPr>
      <w:r w:rsidRPr="00FA329B">
        <w:t>Reporting periods and due dates</w:t>
      </w:r>
    </w:p>
    <w:p w14:paraId="2E748283" w14:textId="3F6AFCD8" w:rsidR="00233FEA" w:rsidRPr="00FA329B" w:rsidRDefault="00233FEA" w:rsidP="00233FEA">
      <w:pPr>
        <w:numPr>
          <w:ilvl w:val="0"/>
          <w:numId w:val="3"/>
        </w:numPr>
        <w:spacing w:after="240"/>
        <w:jc w:val="both"/>
        <w:rPr>
          <w:rFonts w:ascii="Times New Roman" w:eastAsia="Times New Roman" w:hAnsi="Times New Roman"/>
          <w:iCs/>
          <w:sz w:val="24"/>
          <w:szCs w:val="23"/>
          <w:lang w:val="x-none"/>
        </w:rPr>
      </w:pPr>
      <w:bookmarkStart w:id="7" w:name="_Ref188416538"/>
      <w:bookmarkStart w:id="8" w:name="_Ref391456739"/>
      <w:bookmarkStart w:id="9" w:name="_Ref349587044"/>
      <w:bookmarkStart w:id="10" w:name="_Ref351559533"/>
      <w:r w:rsidRPr="00FA329B">
        <w:rPr>
          <w:rFonts w:ascii="Times New Roman" w:eastAsia="Times New Roman" w:hAnsi="Times New Roman"/>
          <w:iCs/>
          <w:sz w:val="24"/>
          <w:szCs w:val="23"/>
        </w:rPr>
        <w:t xml:space="preserve">The information required by this Reporting Standard must be provided in respect of each quarter ended 31 March, 30 June, 30 September and 31 December by an </w:t>
      </w:r>
      <w:r w:rsidRPr="00FA329B">
        <w:rPr>
          <w:rFonts w:ascii="Times New Roman" w:eastAsia="Times New Roman" w:hAnsi="Times New Roman"/>
          <w:b/>
          <w:i/>
          <w:iCs/>
          <w:sz w:val="24"/>
          <w:szCs w:val="23"/>
        </w:rPr>
        <w:t xml:space="preserve">ADI </w:t>
      </w:r>
      <w:r w:rsidRPr="00FA329B">
        <w:rPr>
          <w:rFonts w:ascii="Times New Roman" w:eastAsia="Times New Roman" w:hAnsi="Times New Roman"/>
          <w:iCs/>
          <w:sz w:val="24"/>
          <w:szCs w:val="23"/>
        </w:rPr>
        <w:t>to which this Reporting Standard applies under paragraph 4.</w:t>
      </w:r>
    </w:p>
    <w:p w14:paraId="46BF9775" w14:textId="365564FE" w:rsidR="00233FEA" w:rsidRPr="00FA329B" w:rsidRDefault="00233FEA" w:rsidP="00233FEA">
      <w:pPr>
        <w:numPr>
          <w:ilvl w:val="0"/>
          <w:numId w:val="3"/>
        </w:numPr>
        <w:spacing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 xml:space="preserve">The information required by this Reporting Standard must be provided to </w:t>
      </w:r>
      <w:r w:rsidRPr="00FA329B">
        <w:rPr>
          <w:rFonts w:ascii="Times New Roman" w:eastAsia="Times New Roman" w:hAnsi="Times New Roman"/>
          <w:b/>
          <w:i/>
          <w:iCs/>
          <w:sz w:val="24"/>
          <w:szCs w:val="23"/>
          <w:lang w:val="x-none"/>
        </w:rPr>
        <w:t>APRA</w:t>
      </w:r>
      <w:r w:rsidRPr="00FA329B">
        <w:rPr>
          <w:rFonts w:ascii="Times New Roman" w:eastAsia="Times New Roman" w:hAnsi="Times New Roman"/>
          <w:iCs/>
          <w:sz w:val="24"/>
          <w:szCs w:val="23"/>
          <w:lang w:val="x-none"/>
        </w:rPr>
        <w:t xml:space="preserve"> within </w:t>
      </w:r>
      <w:r w:rsidRPr="00FA329B">
        <w:rPr>
          <w:rFonts w:ascii="Times New Roman" w:eastAsia="Times New Roman" w:hAnsi="Times New Roman"/>
          <w:iCs/>
          <w:sz w:val="24"/>
          <w:szCs w:val="23"/>
        </w:rPr>
        <w:t>28</w:t>
      </w:r>
      <w:r w:rsidRPr="00FA329B">
        <w:rPr>
          <w:rFonts w:ascii="Times New Roman" w:eastAsia="Times New Roman" w:hAnsi="Times New Roman"/>
          <w:iCs/>
          <w:sz w:val="24"/>
          <w:szCs w:val="23"/>
          <w:lang w:val="x-none"/>
        </w:rPr>
        <w:t xml:space="preserve"> calendar days after the end of the </w:t>
      </w:r>
      <w:r w:rsidRPr="00FA329B">
        <w:rPr>
          <w:rFonts w:ascii="Times New Roman" w:eastAsia="Times New Roman" w:hAnsi="Times New Roman"/>
          <w:b/>
          <w:i/>
          <w:iCs/>
          <w:sz w:val="24"/>
          <w:szCs w:val="23"/>
          <w:lang w:val="x-none"/>
        </w:rPr>
        <w:t>reporting period</w:t>
      </w:r>
      <w:r w:rsidRPr="00FA329B">
        <w:rPr>
          <w:rFonts w:ascii="Times New Roman" w:eastAsia="Times New Roman" w:hAnsi="Times New Roman"/>
          <w:iCs/>
          <w:sz w:val="24"/>
          <w:szCs w:val="23"/>
          <w:lang w:val="x-none"/>
        </w:rPr>
        <w:t xml:space="preserve"> to which the information relates</w:t>
      </w:r>
      <w:r w:rsidRPr="00FA329B">
        <w:rPr>
          <w:rFonts w:ascii="Times New Roman" w:eastAsia="Times New Roman" w:hAnsi="Times New Roman"/>
          <w:iCs/>
          <w:sz w:val="24"/>
          <w:szCs w:val="23"/>
        </w:rPr>
        <w:t>.</w:t>
      </w:r>
      <w:r w:rsidRPr="00FA329B">
        <w:rPr>
          <w:rFonts w:ascii="Times New Roman" w:eastAsia="Times New Roman" w:hAnsi="Times New Roman"/>
          <w:iCs/>
          <w:sz w:val="24"/>
          <w:szCs w:val="23"/>
          <w:vertAlign w:val="superscript"/>
          <w:lang w:val="x-none"/>
        </w:rPr>
        <w:footnoteReference w:id="2"/>
      </w:r>
      <w:bookmarkEnd w:id="7"/>
    </w:p>
    <w:p w14:paraId="3F22425D" w14:textId="5DE5A8D4" w:rsidR="00233FEA" w:rsidRPr="00FA329B" w:rsidRDefault="00233FEA" w:rsidP="00233FEA">
      <w:pPr>
        <w:numPr>
          <w:ilvl w:val="0"/>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b/>
          <w:i/>
          <w:iCs/>
          <w:sz w:val="24"/>
          <w:szCs w:val="23"/>
          <w:lang w:val="x-none"/>
        </w:rPr>
        <w:t>APRA</w:t>
      </w:r>
      <w:r w:rsidRPr="00FA329B">
        <w:rPr>
          <w:rFonts w:ascii="Times New Roman" w:eastAsia="Times New Roman" w:hAnsi="Times New Roman"/>
          <w:iCs/>
          <w:sz w:val="24"/>
          <w:szCs w:val="23"/>
          <w:lang w:val="x-none"/>
        </w:rPr>
        <w:t xml:space="preserve"> may, by notice in writing, change the </w:t>
      </w:r>
      <w:r w:rsidRPr="00FA329B">
        <w:rPr>
          <w:rFonts w:ascii="Times New Roman" w:eastAsia="Times New Roman" w:hAnsi="Times New Roman"/>
          <w:b/>
          <w:i/>
          <w:iCs/>
          <w:sz w:val="24"/>
          <w:szCs w:val="23"/>
          <w:lang w:val="x-none"/>
        </w:rPr>
        <w:t>reporting periods</w:t>
      </w:r>
      <w:r w:rsidRPr="00FA329B">
        <w:rPr>
          <w:rFonts w:ascii="Times New Roman" w:eastAsia="Times New Roman" w:hAnsi="Times New Roman"/>
          <w:iCs/>
          <w:sz w:val="24"/>
          <w:szCs w:val="23"/>
          <w:lang w:val="x-none"/>
        </w:rPr>
        <w:t xml:space="preserve">, or specified </w:t>
      </w:r>
      <w:r w:rsidRPr="00FA329B">
        <w:rPr>
          <w:rFonts w:ascii="Times New Roman" w:eastAsia="Times New Roman" w:hAnsi="Times New Roman"/>
          <w:b/>
          <w:i/>
          <w:iCs/>
          <w:sz w:val="24"/>
          <w:szCs w:val="23"/>
          <w:lang w:val="x-none"/>
        </w:rPr>
        <w:t>reporting periods</w:t>
      </w:r>
      <w:r w:rsidRPr="00FA329B">
        <w:rPr>
          <w:rFonts w:ascii="Times New Roman" w:eastAsia="Times New Roman" w:hAnsi="Times New Roman"/>
          <w:iCs/>
          <w:sz w:val="24"/>
          <w:szCs w:val="23"/>
          <w:lang w:val="x-none"/>
        </w:rPr>
        <w:t xml:space="preserve">, for a particular </w:t>
      </w:r>
      <w:r w:rsidRPr="00FA329B">
        <w:rPr>
          <w:rFonts w:ascii="Times New Roman" w:eastAsia="Times New Roman" w:hAnsi="Times New Roman"/>
          <w:b/>
          <w:i/>
          <w:iCs/>
          <w:sz w:val="24"/>
          <w:szCs w:val="23"/>
          <w:lang w:val="x-none"/>
        </w:rPr>
        <w:t>ADI</w:t>
      </w:r>
      <w:r w:rsidRPr="00FA329B">
        <w:rPr>
          <w:rFonts w:ascii="Times New Roman" w:eastAsia="Times New Roman" w:hAnsi="Times New Roman"/>
          <w:iCs/>
          <w:sz w:val="24"/>
          <w:szCs w:val="23"/>
          <w:lang w:val="x-none"/>
        </w:rPr>
        <w:t>, to require it to provide the information required by this Reporting Standard more frequently, or less frequently, having regard to:</w:t>
      </w:r>
      <w:bookmarkEnd w:id="8"/>
    </w:p>
    <w:p w14:paraId="2058C1FA" w14:textId="32F439A2" w:rsidR="00233FEA" w:rsidRPr="00FA329B" w:rsidRDefault="00233FEA" w:rsidP="00233FEA">
      <w:pPr>
        <w:numPr>
          <w:ilvl w:val="1"/>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 xml:space="preserve">the particular circumstances of the </w:t>
      </w:r>
      <w:r w:rsidRPr="00FA329B">
        <w:rPr>
          <w:rFonts w:ascii="Times New Roman" w:eastAsia="Times New Roman" w:hAnsi="Times New Roman"/>
          <w:b/>
          <w:i/>
          <w:iCs/>
          <w:sz w:val="24"/>
          <w:szCs w:val="23"/>
          <w:lang w:val="x-none"/>
        </w:rPr>
        <w:t>ADI</w:t>
      </w:r>
      <w:r w:rsidRPr="00FA329B">
        <w:rPr>
          <w:rFonts w:ascii="Times New Roman" w:eastAsia="Times New Roman" w:hAnsi="Times New Roman"/>
          <w:iCs/>
          <w:sz w:val="24"/>
          <w:szCs w:val="23"/>
          <w:lang w:val="x-none"/>
        </w:rPr>
        <w:t>;</w:t>
      </w:r>
      <w:r w:rsidRPr="00FA329B">
        <w:rPr>
          <w:rFonts w:ascii="Times New Roman" w:eastAsia="Times New Roman" w:hAnsi="Times New Roman"/>
          <w:iCs/>
          <w:sz w:val="24"/>
          <w:szCs w:val="23"/>
        </w:rPr>
        <w:t xml:space="preserve"> and</w:t>
      </w:r>
    </w:p>
    <w:p w14:paraId="081665A5" w14:textId="77777777" w:rsidR="00233FEA" w:rsidRPr="00FA329B" w:rsidRDefault="00233FEA" w:rsidP="00233FEA">
      <w:pPr>
        <w:numPr>
          <w:ilvl w:val="1"/>
          <w:numId w:val="3"/>
        </w:numPr>
        <w:spacing w:before="240" w:after="240"/>
        <w:jc w:val="both"/>
        <w:rPr>
          <w:rFonts w:ascii="Times New Roman" w:eastAsia="Times New Roman" w:hAnsi="Times New Roman"/>
          <w:iCs/>
          <w:sz w:val="24"/>
          <w:szCs w:val="23"/>
          <w:lang w:val="x-none"/>
        </w:rPr>
      </w:pPr>
      <w:proofErr w:type="spellStart"/>
      <w:r w:rsidRPr="00FA329B">
        <w:rPr>
          <w:rFonts w:ascii="Times New Roman" w:eastAsia="Times New Roman" w:hAnsi="Times New Roman"/>
          <w:iCs/>
          <w:sz w:val="24"/>
          <w:szCs w:val="23"/>
        </w:rPr>
        <w:t>t</w:t>
      </w:r>
      <w:r w:rsidRPr="00FA329B">
        <w:rPr>
          <w:rFonts w:ascii="Times New Roman" w:eastAsia="Times New Roman" w:hAnsi="Times New Roman"/>
          <w:iCs/>
          <w:sz w:val="24"/>
          <w:szCs w:val="23"/>
          <w:lang w:val="x-none"/>
        </w:rPr>
        <w:t>he</w:t>
      </w:r>
      <w:proofErr w:type="spellEnd"/>
      <w:r w:rsidRPr="00FA329B">
        <w:rPr>
          <w:rFonts w:ascii="Times New Roman" w:eastAsia="Times New Roman" w:hAnsi="Times New Roman"/>
          <w:iCs/>
          <w:sz w:val="24"/>
          <w:szCs w:val="23"/>
          <w:lang w:val="x-none"/>
        </w:rPr>
        <w:t xml:space="preserve"> extent to which the information is required for the purposes of the </w:t>
      </w:r>
      <w:r w:rsidRPr="00FA329B">
        <w:rPr>
          <w:rFonts w:ascii="Times New Roman" w:eastAsia="Times New Roman" w:hAnsi="Times New Roman"/>
          <w:b/>
          <w:i/>
          <w:iCs/>
          <w:sz w:val="24"/>
          <w:szCs w:val="23"/>
        </w:rPr>
        <w:t>ABS</w:t>
      </w:r>
      <w:r w:rsidRPr="00FA329B">
        <w:rPr>
          <w:rFonts w:ascii="Times New Roman" w:eastAsia="Times New Roman" w:hAnsi="Times New Roman"/>
          <w:iCs/>
          <w:sz w:val="24"/>
          <w:szCs w:val="23"/>
        </w:rPr>
        <w:t xml:space="preserve"> or </w:t>
      </w:r>
      <w:r w:rsidRPr="00FA329B">
        <w:rPr>
          <w:rFonts w:ascii="Times New Roman" w:eastAsia="Times New Roman" w:hAnsi="Times New Roman"/>
          <w:b/>
          <w:i/>
          <w:iCs/>
          <w:sz w:val="24"/>
          <w:szCs w:val="23"/>
        </w:rPr>
        <w:t>RBA</w:t>
      </w:r>
      <w:r w:rsidRPr="00FA329B">
        <w:rPr>
          <w:rFonts w:ascii="Times New Roman" w:eastAsia="Times New Roman" w:hAnsi="Times New Roman"/>
          <w:iCs/>
          <w:sz w:val="24"/>
          <w:szCs w:val="23"/>
          <w:lang w:val="x-none"/>
        </w:rPr>
        <w:t xml:space="preserve">. </w:t>
      </w:r>
    </w:p>
    <w:p w14:paraId="5E462BE7" w14:textId="361EF88C" w:rsidR="00233FEA" w:rsidRPr="00FA329B" w:rsidRDefault="00233FEA" w:rsidP="00233FEA">
      <w:pPr>
        <w:keepNext/>
        <w:keepLines/>
        <w:numPr>
          <w:ilvl w:val="0"/>
          <w:numId w:val="3"/>
        </w:numPr>
        <w:spacing w:before="120" w:after="240"/>
        <w:jc w:val="both"/>
        <w:outlineLvl w:val="2"/>
        <w:rPr>
          <w:rFonts w:ascii="Arial" w:eastAsia="Times New Roman" w:hAnsi="Arial"/>
          <w:b/>
          <w:bCs/>
          <w:color w:val="000000"/>
          <w:sz w:val="24"/>
          <w:szCs w:val="23"/>
        </w:rPr>
      </w:pPr>
      <w:r w:rsidRPr="00FA329B">
        <w:rPr>
          <w:rFonts w:ascii="Times New Roman" w:eastAsia="Times New Roman" w:hAnsi="Times New Roman"/>
          <w:b/>
          <w:i/>
          <w:iCs/>
          <w:sz w:val="24"/>
          <w:szCs w:val="23"/>
          <w:lang w:val="x-none"/>
        </w:rPr>
        <w:lastRenderedPageBreak/>
        <w:t>APRA</w:t>
      </w:r>
      <w:r w:rsidRPr="00FA329B">
        <w:rPr>
          <w:rFonts w:ascii="Times New Roman" w:eastAsia="Times New Roman" w:hAnsi="Times New Roman"/>
          <w:iCs/>
          <w:sz w:val="24"/>
          <w:szCs w:val="23"/>
          <w:lang w:val="x-none"/>
        </w:rPr>
        <w:t xml:space="preserve"> may grant an </w:t>
      </w:r>
      <w:r w:rsidRPr="00FA329B">
        <w:rPr>
          <w:rFonts w:ascii="Times New Roman" w:eastAsia="Times New Roman" w:hAnsi="Times New Roman"/>
          <w:b/>
          <w:i/>
          <w:iCs/>
          <w:sz w:val="24"/>
          <w:szCs w:val="23"/>
          <w:lang w:val="x-none"/>
        </w:rPr>
        <w:t>ADI</w:t>
      </w:r>
      <w:r w:rsidRPr="00FA329B">
        <w:rPr>
          <w:rFonts w:ascii="Times New Roman" w:eastAsia="Times New Roman" w:hAnsi="Times New Roman"/>
          <w:iCs/>
          <w:sz w:val="24"/>
          <w:szCs w:val="23"/>
          <w:lang w:val="x-none"/>
        </w:rPr>
        <w:t xml:space="preserve"> an extension of a </w:t>
      </w:r>
      <w:r w:rsidRPr="00FA329B">
        <w:rPr>
          <w:rFonts w:ascii="Times New Roman" w:eastAsia="Times New Roman" w:hAnsi="Times New Roman"/>
          <w:b/>
          <w:i/>
          <w:iCs/>
          <w:sz w:val="24"/>
          <w:szCs w:val="23"/>
          <w:lang w:val="x-none"/>
        </w:rPr>
        <w:t>due date</w:t>
      </w:r>
      <w:r w:rsidRPr="00FA329B">
        <w:rPr>
          <w:rFonts w:ascii="Times New Roman" w:eastAsia="Times New Roman" w:hAnsi="Times New Roman"/>
          <w:iCs/>
          <w:sz w:val="24"/>
          <w:szCs w:val="23"/>
          <w:lang w:val="x-none"/>
        </w:rPr>
        <w:t xml:space="preserve">, in writing, in which case the new </w:t>
      </w:r>
      <w:r w:rsidRPr="00FA329B">
        <w:rPr>
          <w:rFonts w:ascii="Times New Roman" w:eastAsia="Times New Roman" w:hAnsi="Times New Roman"/>
          <w:b/>
          <w:i/>
          <w:iCs/>
          <w:sz w:val="24"/>
          <w:szCs w:val="23"/>
          <w:lang w:val="x-none"/>
        </w:rPr>
        <w:t>due date</w:t>
      </w:r>
      <w:r w:rsidRPr="00FA329B">
        <w:rPr>
          <w:rFonts w:ascii="Times New Roman" w:eastAsia="Times New Roman" w:hAnsi="Times New Roman"/>
          <w:iCs/>
          <w:sz w:val="24"/>
          <w:szCs w:val="23"/>
          <w:lang w:val="x-none"/>
        </w:rPr>
        <w:t xml:space="preserve"> for the provision of the information will be the </w:t>
      </w:r>
      <w:r w:rsidR="00615FE9" w:rsidRPr="00615FE9">
        <w:rPr>
          <w:rFonts w:ascii="Times New Roman" w:eastAsia="Times New Roman" w:hAnsi="Times New Roman"/>
          <w:b/>
          <w:i/>
          <w:iCs/>
          <w:sz w:val="24"/>
          <w:szCs w:val="23"/>
        </w:rPr>
        <w:t xml:space="preserve">due </w:t>
      </w:r>
      <w:r w:rsidRPr="00615FE9">
        <w:rPr>
          <w:rFonts w:ascii="Times New Roman" w:eastAsia="Times New Roman" w:hAnsi="Times New Roman"/>
          <w:b/>
          <w:i/>
          <w:iCs/>
          <w:sz w:val="24"/>
          <w:szCs w:val="23"/>
          <w:lang w:val="x-none"/>
        </w:rPr>
        <w:t>date</w:t>
      </w:r>
      <w:r w:rsidRPr="00FA329B">
        <w:rPr>
          <w:rFonts w:ascii="Times New Roman" w:eastAsia="Times New Roman" w:hAnsi="Times New Roman"/>
          <w:iCs/>
          <w:sz w:val="24"/>
          <w:szCs w:val="23"/>
          <w:lang w:val="x-none"/>
        </w:rPr>
        <w:t xml:space="preserve"> </w:t>
      </w:r>
      <w:r w:rsidR="00615FE9">
        <w:rPr>
          <w:rFonts w:ascii="Times New Roman" w:eastAsia="Times New Roman" w:hAnsi="Times New Roman"/>
          <w:iCs/>
          <w:sz w:val="24"/>
          <w:szCs w:val="23"/>
        </w:rPr>
        <w:t xml:space="preserve">specified </w:t>
      </w:r>
      <w:r w:rsidRPr="00FA329B">
        <w:rPr>
          <w:rFonts w:ascii="Times New Roman" w:eastAsia="Times New Roman" w:hAnsi="Times New Roman"/>
          <w:iCs/>
          <w:sz w:val="24"/>
          <w:szCs w:val="23"/>
          <w:lang w:val="x-none"/>
        </w:rPr>
        <w:t>on the notice of extension.</w:t>
      </w:r>
      <w:bookmarkEnd w:id="9"/>
      <w:bookmarkEnd w:id="10"/>
    </w:p>
    <w:p w14:paraId="450F2944" w14:textId="77777777" w:rsidR="00233FEA" w:rsidRPr="003B3E1C" w:rsidRDefault="00233FEA" w:rsidP="00FA329B">
      <w:pPr>
        <w:pStyle w:val="Heading2"/>
      </w:pPr>
      <w:r w:rsidRPr="003B3E1C">
        <w:t>Quality control and assurance</w:t>
      </w:r>
    </w:p>
    <w:p w14:paraId="5D28D030" w14:textId="75C45B95" w:rsidR="00233FEA" w:rsidRPr="00FA329B" w:rsidRDefault="00233FEA" w:rsidP="00FA329B">
      <w:pPr>
        <w:keepNext/>
        <w:keepLines/>
        <w:numPr>
          <w:ilvl w:val="0"/>
          <w:numId w:val="3"/>
        </w:numPr>
        <w:spacing w:before="120" w:after="240"/>
        <w:jc w:val="both"/>
        <w:outlineLvl w:val="2"/>
        <w:rPr>
          <w:rFonts w:ascii="Times New Roman" w:eastAsia="Times New Roman" w:hAnsi="Times New Roman"/>
          <w:iCs/>
          <w:sz w:val="24"/>
          <w:szCs w:val="23"/>
        </w:rPr>
      </w:pPr>
      <w:r w:rsidRPr="00FA329B">
        <w:rPr>
          <w:rFonts w:ascii="Times New Roman" w:eastAsia="Times New Roman" w:hAnsi="Times New Roman"/>
          <w:iCs/>
          <w:sz w:val="24"/>
          <w:szCs w:val="23"/>
        </w:rPr>
        <w:t xml:space="preserve">The information provided by the </w:t>
      </w:r>
      <w:r w:rsidRPr="00FA329B">
        <w:rPr>
          <w:rFonts w:ascii="Times New Roman" w:eastAsia="Times New Roman" w:hAnsi="Times New Roman"/>
          <w:b/>
          <w:i/>
          <w:iCs/>
          <w:sz w:val="24"/>
          <w:szCs w:val="23"/>
        </w:rPr>
        <w:t>ADI</w:t>
      </w:r>
      <w:r w:rsidRPr="00FA329B">
        <w:rPr>
          <w:rFonts w:ascii="Times New Roman" w:eastAsia="Times New Roman" w:hAnsi="Times New Roman"/>
          <w:iCs/>
          <w:sz w:val="24"/>
          <w:szCs w:val="23"/>
        </w:rPr>
        <w:t xml:space="preserve"> under this </w:t>
      </w:r>
      <w:r w:rsidRPr="00FA329B">
        <w:rPr>
          <w:rFonts w:ascii="Times New Roman" w:eastAsia="Times New Roman" w:hAnsi="Times New Roman"/>
          <w:sz w:val="24"/>
          <w:szCs w:val="23"/>
          <w:lang w:eastAsia="en-AU"/>
        </w:rPr>
        <w:t xml:space="preserve">Reporting Standard is subject to the requirements set out in </w:t>
      </w:r>
      <w:r w:rsidRPr="00FA329B">
        <w:rPr>
          <w:rFonts w:ascii="Times New Roman" w:eastAsia="Times New Roman" w:hAnsi="Times New Roman"/>
          <w:i/>
          <w:sz w:val="24"/>
          <w:szCs w:val="23"/>
          <w:lang w:eastAsia="en-AU"/>
        </w:rPr>
        <w:t>Reporting Practice Guide RPG 702.0 ABS/RBA Data Quality for the EFS Collection</w:t>
      </w:r>
      <w:r w:rsidR="0005752D">
        <w:rPr>
          <w:rFonts w:ascii="Times New Roman" w:eastAsia="Times New Roman" w:hAnsi="Times New Roman"/>
          <w:sz w:val="24"/>
          <w:szCs w:val="23"/>
          <w:lang w:eastAsia="en-AU"/>
        </w:rPr>
        <w:t xml:space="preserve"> (RPG 702.0)</w:t>
      </w:r>
      <w:r w:rsidRPr="00FA329B">
        <w:rPr>
          <w:rFonts w:ascii="Times New Roman" w:eastAsia="Times New Roman" w:hAnsi="Times New Roman"/>
          <w:i/>
          <w:sz w:val="24"/>
          <w:szCs w:val="23"/>
          <w:lang w:eastAsia="en-AU"/>
        </w:rPr>
        <w:t xml:space="preserve">. </w:t>
      </w:r>
      <w:r w:rsidRPr="00FA329B">
        <w:rPr>
          <w:rFonts w:ascii="Times New Roman" w:eastAsia="Times New Roman" w:hAnsi="Times New Roman"/>
          <w:iCs/>
          <w:sz w:val="24"/>
          <w:szCs w:val="23"/>
          <w:lang w:val="x-none"/>
        </w:rPr>
        <w:t xml:space="preserve">The series listed in this Reporting Standard are classified as standard data </w:t>
      </w:r>
      <w:r w:rsidRPr="00FA329B">
        <w:rPr>
          <w:rFonts w:ascii="Times New Roman" w:eastAsia="Times New Roman" w:hAnsi="Times New Roman"/>
          <w:iCs/>
          <w:sz w:val="24"/>
          <w:szCs w:val="23"/>
        </w:rPr>
        <w:t>items for the purposes of RPG 702.0 and the data quality benchmarks set out in Appendix A of RPG 702.0.</w:t>
      </w:r>
    </w:p>
    <w:p w14:paraId="01C79F7A" w14:textId="77777777" w:rsidR="00233FEA" w:rsidRPr="00C662B4" w:rsidRDefault="00233FEA" w:rsidP="00FA329B">
      <w:pPr>
        <w:pStyle w:val="Heading2"/>
      </w:pPr>
      <w:r w:rsidRPr="00C662B4">
        <w:t>Authorisation</w:t>
      </w:r>
    </w:p>
    <w:p w14:paraId="623DBD39" w14:textId="60381A0E" w:rsidR="00233FEA" w:rsidRPr="00FA329B" w:rsidRDefault="0005752D" w:rsidP="00233FEA">
      <w:pPr>
        <w:numPr>
          <w:ilvl w:val="0"/>
          <w:numId w:val="3"/>
        </w:numPr>
        <w:spacing w:before="240" w:after="240"/>
        <w:jc w:val="both"/>
        <w:rPr>
          <w:rFonts w:ascii="Arial" w:eastAsia="Times New Roman" w:hAnsi="Arial"/>
          <w:b/>
          <w:bCs/>
          <w:color w:val="000000"/>
          <w:sz w:val="24"/>
          <w:szCs w:val="23"/>
          <w:lang w:val="x-none"/>
        </w:rPr>
      </w:pPr>
      <w:r w:rsidRPr="003F7B49">
        <w:rPr>
          <w:rFonts w:ascii="Times New Roman" w:eastAsia="Times New Roman" w:hAnsi="Times New Roman"/>
          <w:sz w:val="24"/>
          <w:szCs w:val="20"/>
          <w:lang w:eastAsia="en-AU"/>
        </w:rPr>
        <w:t xml:space="preserve">When an officer or agent of an </w:t>
      </w:r>
      <w:r w:rsidRPr="0005752D">
        <w:rPr>
          <w:rFonts w:ascii="Times New Roman" w:eastAsia="Times New Roman" w:hAnsi="Times New Roman"/>
          <w:b/>
          <w:i/>
          <w:sz w:val="24"/>
          <w:szCs w:val="20"/>
          <w:lang w:eastAsia="en-AU"/>
        </w:rPr>
        <w:t>ADI</w:t>
      </w:r>
      <w:r w:rsidRPr="003F7B49">
        <w:rPr>
          <w:rFonts w:ascii="Times New Roman" w:eastAsia="Times New Roman" w:hAnsi="Times New Roman"/>
          <w:sz w:val="24"/>
          <w:szCs w:val="20"/>
          <w:lang w:eastAsia="en-AU"/>
        </w:rPr>
        <w:t xml:space="preserve"> submits information under this Reporting Standard using a method notified by </w:t>
      </w:r>
      <w:r w:rsidRPr="0005752D">
        <w:rPr>
          <w:rFonts w:ascii="Times New Roman" w:eastAsia="Times New Roman" w:hAnsi="Times New Roman"/>
          <w:b/>
          <w:i/>
          <w:sz w:val="24"/>
          <w:szCs w:val="20"/>
          <w:lang w:eastAsia="en-AU"/>
        </w:rPr>
        <w:t>APRA</w:t>
      </w:r>
      <w:r w:rsidRPr="003F7B49">
        <w:rPr>
          <w:rFonts w:ascii="Times New Roman" w:eastAsia="Times New Roman" w:hAnsi="Times New Roman"/>
          <w:sz w:val="24"/>
          <w:szCs w:val="20"/>
          <w:lang w:eastAsia="en-AU"/>
        </w:rPr>
        <w:t>, the officer or agent must digitally sign the relevant information using a digital certificate acceptable to</w:t>
      </w:r>
      <w:r w:rsidRPr="0005752D">
        <w:rPr>
          <w:rFonts w:ascii="Times New Roman" w:eastAsia="Times New Roman" w:hAnsi="Times New Roman"/>
          <w:b/>
          <w:i/>
          <w:sz w:val="24"/>
          <w:szCs w:val="20"/>
          <w:lang w:eastAsia="en-AU"/>
        </w:rPr>
        <w:t xml:space="preserve"> APRA</w:t>
      </w:r>
      <w:r w:rsidR="00233FEA" w:rsidRPr="00FA329B">
        <w:rPr>
          <w:rFonts w:ascii="Times New Roman" w:eastAsia="Times New Roman" w:hAnsi="Times New Roman"/>
          <w:iCs/>
          <w:sz w:val="24"/>
          <w:szCs w:val="23"/>
          <w:lang w:val="x-none"/>
        </w:rPr>
        <w:t>.</w:t>
      </w:r>
    </w:p>
    <w:p w14:paraId="75910C7F" w14:textId="77777777" w:rsidR="00233FEA" w:rsidRPr="003B3E1C" w:rsidRDefault="00233FEA" w:rsidP="00FA329B">
      <w:pPr>
        <w:pStyle w:val="Heading2"/>
      </w:pPr>
      <w:r w:rsidRPr="003B3E1C">
        <w:t>Minor alterations to forms and instructions</w:t>
      </w:r>
    </w:p>
    <w:p w14:paraId="58995E58" w14:textId="77777777" w:rsidR="00233FEA" w:rsidRPr="00FA329B" w:rsidRDefault="00233FEA" w:rsidP="00233FEA">
      <w:pPr>
        <w:numPr>
          <w:ilvl w:val="0"/>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b/>
          <w:i/>
          <w:iCs/>
          <w:sz w:val="24"/>
          <w:szCs w:val="23"/>
          <w:lang w:val="x-none"/>
        </w:rPr>
        <w:t>APRA</w:t>
      </w:r>
      <w:r w:rsidRPr="00FA329B">
        <w:rPr>
          <w:rFonts w:ascii="Times New Roman" w:eastAsia="Times New Roman" w:hAnsi="Times New Roman"/>
          <w:iCs/>
          <w:sz w:val="24"/>
          <w:szCs w:val="23"/>
          <w:lang w:val="x-none"/>
        </w:rPr>
        <w:t xml:space="preserve"> may make minor variations to:</w:t>
      </w:r>
    </w:p>
    <w:p w14:paraId="0EC539B4" w14:textId="77777777" w:rsidR="00233FEA" w:rsidRPr="00FA329B" w:rsidRDefault="00233FEA" w:rsidP="00233FEA">
      <w:pPr>
        <w:numPr>
          <w:ilvl w:val="1"/>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 xml:space="preserve">a form that is part of this </w:t>
      </w:r>
      <w:r w:rsidRPr="00FA329B">
        <w:rPr>
          <w:rFonts w:ascii="Times New Roman" w:eastAsia="Times New Roman" w:hAnsi="Times New Roman"/>
          <w:iCs/>
          <w:sz w:val="24"/>
          <w:szCs w:val="23"/>
        </w:rPr>
        <w:t>R</w:t>
      </w:r>
      <w:proofErr w:type="spellStart"/>
      <w:r w:rsidRPr="00FA329B">
        <w:rPr>
          <w:rFonts w:ascii="Times New Roman" w:eastAsia="Times New Roman" w:hAnsi="Times New Roman"/>
          <w:iCs/>
          <w:sz w:val="24"/>
          <w:szCs w:val="23"/>
          <w:lang w:val="x-none"/>
        </w:rPr>
        <w:t>eporting</w:t>
      </w:r>
      <w:proofErr w:type="spellEnd"/>
      <w:r w:rsidRPr="00FA329B">
        <w:rPr>
          <w:rFonts w:ascii="Times New Roman" w:eastAsia="Times New Roman" w:hAnsi="Times New Roman"/>
          <w:iCs/>
          <w:sz w:val="24"/>
          <w:szCs w:val="23"/>
          <w:lang w:val="x-none"/>
        </w:rPr>
        <w:t xml:space="preserve"> </w:t>
      </w:r>
      <w:r w:rsidRPr="00FA329B">
        <w:rPr>
          <w:rFonts w:ascii="Times New Roman" w:eastAsia="Times New Roman" w:hAnsi="Times New Roman"/>
          <w:iCs/>
          <w:sz w:val="24"/>
          <w:szCs w:val="23"/>
        </w:rPr>
        <w:t>S</w:t>
      </w:r>
      <w:proofErr w:type="spellStart"/>
      <w:r w:rsidRPr="00FA329B">
        <w:rPr>
          <w:rFonts w:ascii="Times New Roman" w:eastAsia="Times New Roman" w:hAnsi="Times New Roman"/>
          <w:iCs/>
          <w:sz w:val="24"/>
          <w:szCs w:val="23"/>
          <w:lang w:val="x-none"/>
        </w:rPr>
        <w:t>tandard</w:t>
      </w:r>
      <w:proofErr w:type="spellEnd"/>
      <w:r w:rsidRPr="00FA329B">
        <w:rPr>
          <w:rFonts w:ascii="Times New Roman" w:eastAsia="Times New Roman" w:hAnsi="Times New Roman"/>
          <w:iCs/>
          <w:sz w:val="24"/>
          <w:szCs w:val="23"/>
          <w:lang w:val="x-none"/>
        </w:rPr>
        <w:t>, and the instructions to such a form, to correct technical, programming or logical errors, inconsistencies or anomalies; or</w:t>
      </w:r>
    </w:p>
    <w:p w14:paraId="3F4358CD" w14:textId="77777777" w:rsidR="00233FEA" w:rsidRPr="00FA329B" w:rsidRDefault="00233FEA" w:rsidP="00233FEA">
      <w:pPr>
        <w:numPr>
          <w:ilvl w:val="1"/>
          <w:numId w:val="3"/>
        </w:numPr>
        <w:spacing w:before="240"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the instructions to a form, to clarify their application to the form</w:t>
      </w:r>
    </w:p>
    <w:p w14:paraId="15B282F9" w14:textId="77777777" w:rsidR="00233FEA" w:rsidRPr="00FA329B" w:rsidRDefault="00233FEA" w:rsidP="00233FEA">
      <w:pPr>
        <w:spacing w:before="240" w:after="240"/>
        <w:ind w:left="567"/>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without changing any substantive requirement in the form or instructions.</w:t>
      </w:r>
    </w:p>
    <w:p w14:paraId="7C573D68" w14:textId="2F400F76" w:rsidR="00233FEA" w:rsidRPr="00FA329B" w:rsidRDefault="00233FEA" w:rsidP="00233FEA">
      <w:pPr>
        <w:numPr>
          <w:ilvl w:val="0"/>
          <w:numId w:val="3"/>
        </w:numPr>
        <w:spacing w:before="240" w:after="240"/>
        <w:jc w:val="both"/>
        <w:rPr>
          <w:rFonts w:ascii="Arial" w:eastAsia="Times New Roman" w:hAnsi="Arial" w:cs="Arial"/>
          <w:b/>
          <w:bCs/>
          <w:sz w:val="24"/>
          <w:szCs w:val="23"/>
          <w:lang w:eastAsia="en-AU"/>
        </w:rPr>
      </w:pPr>
      <w:r w:rsidRPr="00FA329B">
        <w:rPr>
          <w:rFonts w:ascii="Times New Roman" w:eastAsia="Times New Roman" w:hAnsi="Times New Roman"/>
          <w:iCs/>
          <w:sz w:val="24"/>
          <w:szCs w:val="23"/>
          <w:lang w:val="x-none"/>
        </w:rPr>
        <w:t xml:space="preserve">If </w:t>
      </w:r>
      <w:r w:rsidRPr="00FA329B">
        <w:rPr>
          <w:rFonts w:ascii="Times New Roman" w:eastAsia="Times New Roman" w:hAnsi="Times New Roman"/>
          <w:b/>
          <w:i/>
          <w:iCs/>
          <w:sz w:val="24"/>
          <w:szCs w:val="23"/>
          <w:lang w:val="x-none"/>
        </w:rPr>
        <w:t>APRA</w:t>
      </w:r>
      <w:r w:rsidRPr="00FA329B">
        <w:rPr>
          <w:rFonts w:ascii="Times New Roman" w:eastAsia="Times New Roman" w:hAnsi="Times New Roman"/>
          <w:iCs/>
          <w:sz w:val="24"/>
          <w:szCs w:val="23"/>
          <w:lang w:val="x-none"/>
        </w:rPr>
        <w:t xml:space="preserve"> makes such a variation it must notify in writing each </w:t>
      </w:r>
      <w:r w:rsidRPr="00FA329B">
        <w:rPr>
          <w:rFonts w:ascii="Times New Roman" w:eastAsia="Times New Roman" w:hAnsi="Times New Roman"/>
          <w:b/>
          <w:i/>
          <w:iCs/>
          <w:sz w:val="24"/>
          <w:szCs w:val="23"/>
          <w:lang w:val="x-none"/>
        </w:rPr>
        <w:t>ADI</w:t>
      </w:r>
      <w:r w:rsidRPr="00FA329B">
        <w:rPr>
          <w:rFonts w:ascii="Times New Roman" w:eastAsia="Times New Roman" w:hAnsi="Times New Roman"/>
          <w:iCs/>
          <w:sz w:val="24"/>
          <w:szCs w:val="23"/>
          <w:lang w:val="x-none"/>
        </w:rPr>
        <w:t xml:space="preserve"> that is required to report under this </w:t>
      </w:r>
      <w:r w:rsidRPr="00FA329B">
        <w:rPr>
          <w:rFonts w:ascii="Times New Roman" w:eastAsia="Times New Roman" w:hAnsi="Times New Roman"/>
          <w:iCs/>
          <w:sz w:val="24"/>
          <w:szCs w:val="23"/>
        </w:rPr>
        <w:t>R</w:t>
      </w:r>
      <w:proofErr w:type="spellStart"/>
      <w:r w:rsidRPr="00FA329B">
        <w:rPr>
          <w:rFonts w:ascii="Times New Roman" w:eastAsia="Times New Roman" w:hAnsi="Times New Roman"/>
          <w:iCs/>
          <w:sz w:val="24"/>
          <w:szCs w:val="23"/>
          <w:lang w:val="x-none"/>
        </w:rPr>
        <w:t>eporting</w:t>
      </w:r>
      <w:proofErr w:type="spellEnd"/>
      <w:r w:rsidRPr="00FA329B">
        <w:rPr>
          <w:rFonts w:ascii="Times New Roman" w:eastAsia="Times New Roman" w:hAnsi="Times New Roman"/>
          <w:iCs/>
          <w:sz w:val="24"/>
          <w:szCs w:val="23"/>
          <w:lang w:val="x-none"/>
        </w:rPr>
        <w:t xml:space="preserve"> </w:t>
      </w:r>
      <w:r w:rsidRPr="00FA329B">
        <w:rPr>
          <w:rFonts w:ascii="Times New Roman" w:eastAsia="Times New Roman" w:hAnsi="Times New Roman"/>
          <w:iCs/>
          <w:sz w:val="24"/>
          <w:szCs w:val="23"/>
        </w:rPr>
        <w:t>S</w:t>
      </w:r>
      <w:proofErr w:type="spellStart"/>
      <w:r w:rsidRPr="00FA329B">
        <w:rPr>
          <w:rFonts w:ascii="Times New Roman" w:eastAsia="Times New Roman" w:hAnsi="Times New Roman"/>
          <w:iCs/>
          <w:sz w:val="24"/>
          <w:szCs w:val="23"/>
          <w:lang w:val="x-none"/>
        </w:rPr>
        <w:t>tandard</w:t>
      </w:r>
      <w:proofErr w:type="spellEnd"/>
      <w:r w:rsidRPr="00FA329B">
        <w:rPr>
          <w:rFonts w:ascii="Times New Roman" w:eastAsia="Times New Roman" w:hAnsi="Times New Roman"/>
          <w:iCs/>
          <w:sz w:val="24"/>
          <w:szCs w:val="23"/>
          <w:lang w:val="x-none"/>
        </w:rPr>
        <w:t>.</w:t>
      </w:r>
    </w:p>
    <w:p w14:paraId="39DBAC67" w14:textId="77777777" w:rsidR="00233FEA" w:rsidRPr="003B3E1C" w:rsidRDefault="00233FEA" w:rsidP="00FA329B">
      <w:pPr>
        <w:pStyle w:val="Heading2"/>
      </w:pPr>
      <w:r w:rsidRPr="003B3E1C">
        <w:t xml:space="preserve">Interpretation </w:t>
      </w:r>
    </w:p>
    <w:p w14:paraId="3B71BB5E" w14:textId="77777777" w:rsidR="00233FEA" w:rsidRPr="00FA329B" w:rsidRDefault="00233FEA" w:rsidP="001354FB">
      <w:pPr>
        <w:numPr>
          <w:ilvl w:val="0"/>
          <w:numId w:val="3"/>
        </w:numPr>
        <w:autoSpaceDE w:val="0"/>
        <w:autoSpaceDN w:val="0"/>
        <w:adjustRightInd w:val="0"/>
        <w:spacing w:after="240"/>
        <w:jc w:val="both"/>
        <w:rPr>
          <w:rFonts w:ascii="Times New Roman" w:eastAsia="Times New Roman" w:hAnsi="Times New Roman"/>
          <w:iCs/>
          <w:sz w:val="24"/>
          <w:szCs w:val="23"/>
          <w:lang w:val="x-none"/>
        </w:rPr>
      </w:pPr>
      <w:r w:rsidRPr="00FA329B">
        <w:rPr>
          <w:rFonts w:ascii="Times New Roman" w:eastAsia="Times New Roman" w:hAnsi="Times New Roman"/>
          <w:iCs/>
          <w:sz w:val="24"/>
          <w:szCs w:val="23"/>
          <w:lang w:val="x-none"/>
        </w:rPr>
        <w:t>Terms that are defined in ARS 701.0 appear in bold and italics in this Reporting Standard.</w:t>
      </w:r>
    </w:p>
    <w:p w14:paraId="152DD7B9" w14:textId="77777777" w:rsidR="00233FEA" w:rsidRPr="00FA329B" w:rsidRDefault="00233FEA" w:rsidP="001354FB">
      <w:pPr>
        <w:numPr>
          <w:ilvl w:val="0"/>
          <w:numId w:val="3"/>
        </w:numPr>
        <w:autoSpaceDE w:val="0"/>
        <w:autoSpaceDN w:val="0"/>
        <w:adjustRightInd w:val="0"/>
        <w:spacing w:after="240"/>
        <w:jc w:val="both"/>
        <w:rPr>
          <w:rFonts w:ascii="Times New Roman" w:hAnsi="Times New Roman"/>
          <w:color w:val="000000"/>
          <w:sz w:val="24"/>
          <w:szCs w:val="23"/>
          <w:lang w:eastAsia="en-AU"/>
        </w:rPr>
      </w:pPr>
      <w:r w:rsidRPr="00FA329B">
        <w:rPr>
          <w:rFonts w:ascii="Times New Roman" w:hAnsi="Times New Roman"/>
          <w:color w:val="000000"/>
          <w:sz w:val="24"/>
          <w:szCs w:val="23"/>
          <w:lang w:eastAsia="en-AU"/>
        </w:rPr>
        <w:t xml:space="preserve">In this Reporting Standard: </w:t>
      </w:r>
    </w:p>
    <w:p w14:paraId="1AB98E21" w14:textId="7A00454D" w:rsidR="00233FEA" w:rsidRPr="004D3CA5" w:rsidRDefault="00233FEA" w:rsidP="00233FEA">
      <w:pPr>
        <w:pStyle w:val="Default"/>
        <w:ind w:left="560"/>
        <w:jc w:val="both"/>
        <w:rPr>
          <w:szCs w:val="23"/>
        </w:rPr>
      </w:pPr>
      <w:r w:rsidRPr="00FA329B">
        <w:rPr>
          <w:b/>
          <w:bCs/>
          <w:i/>
          <w:iCs/>
          <w:szCs w:val="23"/>
        </w:rPr>
        <w:t xml:space="preserve">due date </w:t>
      </w:r>
      <w:r w:rsidRPr="00FA329B">
        <w:rPr>
          <w:szCs w:val="23"/>
        </w:rPr>
        <w:t xml:space="preserve">means the last day of the 28 calendar days </w:t>
      </w:r>
      <w:r w:rsidRPr="004D3CA5">
        <w:rPr>
          <w:szCs w:val="23"/>
        </w:rPr>
        <w:t>provided for in paragraph 9 or, if applicable, the date on a notice of extension given under paragraph 11.</w:t>
      </w:r>
    </w:p>
    <w:p w14:paraId="5B8E4B1F" w14:textId="4C57F47B" w:rsidR="00233FEA" w:rsidRDefault="00233FEA" w:rsidP="00233FEA">
      <w:pPr>
        <w:spacing w:before="240" w:after="240"/>
        <w:ind w:left="567"/>
        <w:jc w:val="both"/>
        <w:rPr>
          <w:rFonts w:ascii="Times New Roman" w:hAnsi="Times New Roman"/>
          <w:bCs/>
          <w:iCs/>
          <w:color w:val="000000"/>
          <w:sz w:val="24"/>
          <w:szCs w:val="23"/>
          <w:lang w:eastAsia="en-AU"/>
        </w:rPr>
      </w:pPr>
      <w:r w:rsidRPr="004D3CA5">
        <w:rPr>
          <w:rFonts w:ascii="Times New Roman" w:hAnsi="Times New Roman"/>
          <w:b/>
          <w:bCs/>
          <w:i/>
          <w:iCs/>
          <w:color w:val="000000"/>
          <w:sz w:val="24"/>
          <w:szCs w:val="23"/>
          <w:lang w:eastAsia="en-AU"/>
        </w:rPr>
        <w:t xml:space="preserve">reporting period </w:t>
      </w:r>
      <w:r w:rsidRPr="004D3CA5">
        <w:rPr>
          <w:rFonts w:ascii="Times New Roman" w:hAnsi="Times New Roman"/>
          <w:bCs/>
          <w:iCs/>
          <w:color w:val="000000"/>
          <w:sz w:val="24"/>
          <w:szCs w:val="23"/>
          <w:lang w:eastAsia="en-AU"/>
        </w:rPr>
        <w:t>means a quarter ended 31 March, 30 June, 30 September or 31 December as provided for in paragraph 8 or, if applicable, the date on a notice given under paragraph 10.</w:t>
      </w:r>
    </w:p>
    <w:p w14:paraId="654AE1E1" w14:textId="227315F8" w:rsidR="0005752D" w:rsidRPr="0005752D" w:rsidRDefault="0005752D" w:rsidP="00233FEA">
      <w:pPr>
        <w:spacing w:before="240" w:after="240"/>
        <w:ind w:left="567"/>
        <w:jc w:val="both"/>
        <w:rPr>
          <w:rFonts w:ascii="Times New Roman" w:hAnsi="Times New Roman"/>
          <w:bCs/>
          <w:iCs/>
          <w:color w:val="000000"/>
          <w:sz w:val="24"/>
          <w:szCs w:val="23"/>
          <w:lang w:eastAsia="en-AU"/>
        </w:rPr>
      </w:pPr>
      <w:r w:rsidRPr="0005752D">
        <w:rPr>
          <w:rFonts w:ascii="Times New Roman" w:eastAsia="Times New Roman" w:hAnsi="Times New Roman"/>
          <w:b/>
          <w:i/>
          <w:sz w:val="24"/>
          <w:szCs w:val="23"/>
          <w:lang w:eastAsia="en-AU"/>
        </w:rPr>
        <w:t>Reporting Practice Guide RPG 702.0 ABS/RBA Data Quality for the EFS Collection</w:t>
      </w:r>
      <w:r w:rsidRPr="0005752D">
        <w:rPr>
          <w:rFonts w:ascii="Times New Roman" w:eastAsia="Times New Roman" w:hAnsi="Times New Roman"/>
          <w:b/>
          <w:sz w:val="24"/>
          <w:szCs w:val="23"/>
          <w:lang w:eastAsia="en-AU"/>
        </w:rPr>
        <w:t xml:space="preserve"> </w:t>
      </w:r>
      <w:r w:rsidRPr="0005752D">
        <w:rPr>
          <w:rFonts w:ascii="Times New Roman" w:eastAsia="Times New Roman" w:hAnsi="Times New Roman"/>
          <w:b/>
          <w:i/>
          <w:sz w:val="24"/>
          <w:szCs w:val="23"/>
          <w:lang w:eastAsia="en-AU"/>
        </w:rPr>
        <w:t>(RPG 702.0)</w:t>
      </w:r>
      <w:r>
        <w:rPr>
          <w:rFonts w:ascii="Times New Roman" w:eastAsia="Times New Roman" w:hAnsi="Times New Roman"/>
          <w:sz w:val="24"/>
          <w:szCs w:val="23"/>
          <w:lang w:eastAsia="en-AU"/>
        </w:rPr>
        <w:t xml:space="preserve"> means the version of RPG 702.0 </w:t>
      </w:r>
      <w:r w:rsidRPr="003F7B49">
        <w:rPr>
          <w:rFonts w:ascii="Times New Roman" w:eastAsia="Times New Roman" w:hAnsi="Times New Roman"/>
          <w:bCs/>
          <w:sz w:val="24"/>
          <w:szCs w:val="24"/>
          <w:lang w:eastAsia="en-AU"/>
        </w:rPr>
        <w:t>that exists as at the commencement of this Reporting Standard</w:t>
      </w:r>
      <w:r>
        <w:rPr>
          <w:rFonts w:ascii="Times New Roman" w:eastAsia="Times New Roman" w:hAnsi="Times New Roman"/>
          <w:bCs/>
          <w:sz w:val="24"/>
          <w:szCs w:val="24"/>
          <w:lang w:eastAsia="en-AU"/>
        </w:rPr>
        <w:t>.</w:t>
      </w:r>
    </w:p>
    <w:p w14:paraId="7CE4DADF" w14:textId="38EE9656" w:rsidR="00233FEA" w:rsidRPr="00FA329B" w:rsidRDefault="00233FEA" w:rsidP="00FA329B">
      <w:pPr>
        <w:ind w:left="567"/>
        <w:jc w:val="both"/>
        <w:rPr>
          <w:rFonts w:ascii="Times New Roman" w:eastAsia="Times New Roman" w:hAnsi="Times New Roman"/>
          <w:iCs/>
          <w:sz w:val="24"/>
          <w:szCs w:val="23"/>
        </w:rPr>
      </w:pPr>
      <w:r>
        <w:rPr>
          <w:rFonts w:ascii="Times New Roman" w:hAnsi="Times New Roman"/>
          <w:b/>
          <w:bCs/>
          <w:i/>
          <w:iCs/>
          <w:color w:val="000000"/>
          <w:sz w:val="24"/>
          <w:szCs w:val="23"/>
          <w:lang w:eastAsia="en-AU"/>
        </w:rPr>
        <w:t xml:space="preserve">ADI Derivatives Reporting Category A </w:t>
      </w:r>
      <w:r>
        <w:rPr>
          <w:rFonts w:ascii="Times New Roman" w:hAnsi="Times New Roman"/>
          <w:bCs/>
          <w:iCs/>
          <w:color w:val="000000"/>
          <w:sz w:val="24"/>
          <w:szCs w:val="23"/>
          <w:lang w:eastAsia="en-AU"/>
        </w:rPr>
        <w:t xml:space="preserve">means </w:t>
      </w:r>
      <w:r w:rsidRPr="008D660F">
        <w:rPr>
          <w:rFonts w:ascii="Times New Roman" w:eastAsia="Times New Roman" w:hAnsi="Times New Roman"/>
          <w:iCs/>
          <w:sz w:val="24"/>
          <w:szCs w:val="23"/>
        </w:rPr>
        <w:t>Australia</w:t>
      </w:r>
      <w:r w:rsidR="00FA329B">
        <w:rPr>
          <w:rFonts w:ascii="Times New Roman" w:eastAsia="Times New Roman" w:hAnsi="Times New Roman"/>
          <w:iCs/>
          <w:sz w:val="24"/>
          <w:szCs w:val="23"/>
        </w:rPr>
        <w:t xml:space="preserve"> and</w:t>
      </w:r>
      <w:r w:rsidRPr="008D660F">
        <w:rPr>
          <w:rFonts w:ascii="Times New Roman" w:eastAsia="Times New Roman" w:hAnsi="Times New Roman"/>
          <w:iCs/>
          <w:sz w:val="24"/>
          <w:szCs w:val="23"/>
        </w:rPr>
        <w:t xml:space="preserve"> New Zealand Banking </w:t>
      </w:r>
      <w:r w:rsidR="00FA329B">
        <w:rPr>
          <w:rFonts w:ascii="Times New Roman" w:eastAsia="Times New Roman" w:hAnsi="Times New Roman"/>
          <w:iCs/>
          <w:sz w:val="24"/>
          <w:szCs w:val="23"/>
        </w:rPr>
        <w:t>Group Limited</w:t>
      </w:r>
      <w:r>
        <w:rPr>
          <w:rFonts w:ascii="Times New Roman" w:eastAsia="Times New Roman" w:hAnsi="Times New Roman"/>
          <w:iCs/>
          <w:sz w:val="24"/>
          <w:szCs w:val="23"/>
        </w:rPr>
        <w:t xml:space="preserve">, BNP Paribas, </w:t>
      </w:r>
      <w:r w:rsidRPr="008D660F">
        <w:rPr>
          <w:rFonts w:ascii="Times New Roman" w:eastAsia="Times New Roman" w:hAnsi="Times New Roman"/>
          <w:iCs/>
          <w:sz w:val="24"/>
          <w:szCs w:val="23"/>
        </w:rPr>
        <w:t>Citibank</w:t>
      </w:r>
      <w:r>
        <w:rPr>
          <w:rFonts w:ascii="Times New Roman" w:eastAsia="Times New Roman" w:hAnsi="Times New Roman"/>
          <w:iCs/>
          <w:sz w:val="24"/>
          <w:szCs w:val="23"/>
        </w:rPr>
        <w:t>,</w:t>
      </w:r>
      <w:r w:rsidRPr="008D660F">
        <w:rPr>
          <w:rFonts w:ascii="Times New Roman" w:eastAsia="Times New Roman" w:hAnsi="Times New Roman"/>
          <w:iCs/>
          <w:sz w:val="24"/>
          <w:szCs w:val="23"/>
        </w:rPr>
        <w:t xml:space="preserve"> N</w:t>
      </w:r>
      <w:r>
        <w:rPr>
          <w:rFonts w:ascii="Times New Roman" w:eastAsia="Times New Roman" w:hAnsi="Times New Roman"/>
          <w:iCs/>
          <w:sz w:val="24"/>
          <w:szCs w:val="23"/>
        </w:rPr>
        <w:t>.</w:t>
      </w:r>
      <w:r w:rsidRPr="008D660F">
        <w:rPr>
          <w:rFonts w:ascii="Times New Roman" w:eastAsia="Times New Roman" w:hAnsi="Times New Roman"/>
          <w:iCs/>
          <w:sz w:val="24"/>
          <w:szCs w:val="23"/>
        </w:rPr>
        <w:t>A</w:t>
      </w:r>
      <w:r>
        <w:rPr>
          <w:rFonts w:ascii="Times New Roman" w:eastAsia="Times New Roman" w:hAnsi="Times New Roman"/>
          <w:iCs/>
          <w:sz w:val="24"/>
          <w:szCs w:val="23"/>
        </w:rPr>
        <w:t xml:space="preserve">., </w:t>
      </w:r>
      <w:r w:rsidRPr="008D660F">
        <w:rPr>
          <w:rFonts w:ascii="Times New Roman" w:eastAsia="Times New Roman" w:hAnsi="Times New Roman"/>
          <w:iCs/>
          <w:sz w:val="24"/>
          <w:szCs w:val="23"/>
        </w:rPr>
        <w:t>Commonwealth Bank of Australia</w:t>
      </w:r>
      <w:r>
        <w:rPr>
          <w:rFonts w:ascii="Times New Roman" w:eastAsia="Times New Roman" w:hAnsi="Times New Roman"/>
          <w:iCs/>
          <w:sz w:val="24"/>
          <w:szCs w:val="23"/>
        </w:rPr>
        <w:t xml:space="preserve">, </w:t>
      </w:r>
      <w:r w:rsidRPr="008D660F">
        <w:rPr>
          <w:rFonts w:ascii="Times New Roman" w:eastAsia="Times New Roman" w:hAnsi="Times New Roman"/>
          <w:iCs/>
          <w:sz w:val="24"/>
          <w:szCs w:val="23"/>
        </w:rPr>
        <w:lastRenderedPageBreak/>
        <w:t xml:space="preserve">Deutsche Bank </w:t>
      </w:r>
      <w:proofErr w:type="spellStart"/>
      <w:r w:rsidRPr="005A5214">
        <w:rPr>
          <w:rFonts w:ascii="Times New Roman" w:eastAsia="Times New Roman" w:hAnsi="Times New Roman"/>
          <w:iCs/>
          <w:sz w:val="24"/>
          <w:szCs w:val="23"/>
        </w:rPr>
        <w:t>Aktiengessellschaft</w:t>
      </w:r>
      <w:proofErr w:type="spellEnd"/>
      <w:r>
        <w:rPr>
          <w:rFonts w:ascii="Times New Roman" w:eastAsia="Times New Roman" w:hAnsi="Times New Roman"/>
          <w:iCs/>
          <w:sz w:val="24"/>
          <w:szCs w:val="23"/>
        </w:rPr>
        <w:t xml:space="preserve">, </w:t>
      </w:r>
      <w:r w:rsidRPr="005A5214">
        <w:rPr>
          <w:rFonts w:ascii="Times New Roman" w:eastAsia="Times New Roman" w:hAnsi="Times New Roman"/>
          <w:iCs/>
          <w:sz w:val="24"/>
          <w:szCs w:val="23"/>
        </w:rPr>
        <w:t>The Hongkong and Shanghai Banking Corporation Limited</w:t>
      </w:r>
      <w:r>
        <w:rPr>
          <w:rFonts w:ascii="Times New Roman" w:eastAsia="Times New Roman" w:hAnsi="Times New Roman"/>
          <w:iCs/>
          <w:sz w:val="24"/>
          <w:szCs w:val="23"/>
        </w:rPr>
        <w:t xml:space="preserve">, </w:t>
      </w:r>
      <w:r w:rsidRPr="005A5214">
        <w:rPr>
          <w:rFonts w:ascii="Times New Roman" w:eastAsia="Times New Roman" w:hAnsi="Times New Roman"/>
          <w:iCs/>
          <w:sz w:val="24"/>
          <w:szCs w:val="23"/>
        </w:rPr>
        <w:t>JPMorgan Chase Bank, National Association</w:t>
      </w:r>
      <w:r>
        <w:rPr>
          <w:rFonts w:ascii="Times New Roman" w:eastAsia="Times New Roman" w:hAnsi="Times New Roman"/>
          <w:iCs/>
          <w:sz w:val="24"/>
          <w:szCs w:val="23"/>
        </w:rPr>
        <w:t xml:space="preserve">, </w:t>
      </w:r>
      <w:r w:rsidRPr="008D660F">
        <w:rPr>
          <w:rFonts w:ascii="Times New Roman" w:eastAsia="Times New Roman" w:hAnsi="Times New Roman"/>
          <w:iCs/>
          <w:sz w:val="24"/>
          <w:szCs w:val="23"/>
        </w:rPr>
        <w:t>Macquarie Bank</w:t>
      </w:r>
      <w:r>
        <w:rPr>
          <w:rFonts w:ascii="Times New Roman" w:eastAsia="Times New Roman" w:hAnsi="Times New Roman"/>
          <w:iCs/>
          <w:sz w:val="24"/>
          <w:szCs w:val="23"/>
        </w:rPr>
        <w:t xml:space="preserve"> Limited, </w:t>
      </w:r>
      <w:r w:rsidRPr="00F81C2E">
        <w:rPr>
          <w:rFonts w:ascii="Times New Roman" w:eastAsia="Times New Roman" w:hAnsi="Times New Roman"/>
          <w:iCs/>
          <w:sz w:val="24"/>
          <w:szCs w:val="23"/>
        </w:rPr>
        <w:t>MUFG Bank, Ltd.</w:t>
      </w:r>
      <w:r>
        <w:rPr>
          <w:rFonts w:ascii="Times New Roman" w:eastAsia="Times New Roman" w:hAnsi="Times New Roman"/>
          <w:iCs/>
          <w:sz w:val="24"/>
          <w:szCs w:val="23"/>
        </w:rPr>
        <w:t xml:space="preserve">, </w:t>
      </w:r>
      <w:r w:rsidRPr="008D660F">
        <w:rPr>
          <w:rFonts w:ascii="Times New Roman" w:eastAsia="Times New Roman" w:hAnsi="Times New Roman"/>
          <w:iCs/>
          <w:sz w:val="24"/>
          <w:szCs w:val="23"/>
        </w:rPr>
        <w:t>N</w:t>
      </w:r>
      <w:r>
        <w:rPr>
          <w:rFonts w:ascii="Times New Roman" w:eastAsia="Times New Roman" w:hAnsi="Times New Roman"/>
          <w:iCs/>
          <w:sz w:val="24"/>
          <w:szCs w:val="23"/>
        </w:rPr>
        <w:t xml:space="preserve">ational </w:t>
      </w:r>
      <w:r w:rsidRPr="008D660F">
        <w:rPr>
          <w:rFonts w:ascii="Times New Roman" w:eastAsia="Times New Roman" w:hAnsi="Times New Roman"/>
          <w:iCs/>
          <w:sz w:val="24"/>
          <w:szCs w:val="23"/>
        </w:rPr>
        <w:t>A</w:t>
      </w:r>
      <w:r>
        <w:rPr>
          <w:rFonts w:ascii="Times New Roman" w:eastAsia="Times New Roman" w:hAnsi="Times New Roman"/>
          <w:iCs/>
          <w:sz w:val="24"/>
          <w:szCs w:val="23"/>
        </w:rPr>
        <w:t xml:space="preserve">ustralia </w:t>
      </w:r>
      <w:r w:rsidRPr="008D660F">
        <w:rPr>
          <w:rFonts w:ascii="Times New Roman" w:eastAsia="Times New Roman" w:hAnsi="Times New Roman"/>
          <w:iCs/>
          <w:sz w:val="24"/>
          <w:szCs w:val="23"/>
        </w:rPr>
        <w:t>B</w:t>
      </w:r>
      <w:r>
        <w:rPr>
          <w:rFonts w:ascii="Times New Roman" w:eastAsia="Times New Roman" w:hAnsi="Times New Roman"/>
          <w:iCs/>
          <w:sz w:val="24"/>
          <w:szCs w:val="23"/>
        </w:rPr>
        <w:t>ank</w:t>
      </w:r>
      <w:r w:rsidRPr="008D660F">
        <w:rPr>
          <w:rFonts w:ascii="Times New Roman" w:eastAsia="Times New Roman" w:hAnsi="Times New Roman"/>
          <w:iCs/>
          <w:sz w:val="24"/>
          <w:szCs w:val="23"/>
        </w:rPr>
        <w:t xml:space="preserve"> Limited</w:t>
      </w:r>
      <w:r>
        <w:rPr>
          <w:rFonts w:ascii="Times New Roman" w:eastAsia="Times New Roman" w:hAnsi="Times New Roman"/>
          <w:iCs/>
          <w:sz w:val="24"/>
          <w:szCs w:val="23"/>
        </w:rPr>
        <w:t xml:space="preserve">, </w:t>
      </w:r>
      <w:r w:rsidRPr="008D660F">
        <w:rPr>
          <w:rFonts w:ascii="Times New Roman" w:eastAsia="Times New Roman" w:hAnsi="Times New Roman"/>
          <w:iCs/>
          <w:sz w:val="24"/>
          <w:szCs w:val="23"/>
        </w:rPr>
        <w:t>Sumitomo Mitsui Banking Corporation</w:t>
      </w:r>
      <w:r>
        <w:rPr>
          <w:rFonts w:ascii="Times New Roman" w:eastAsia="Times New Roman" w:hAnsi="Times New Roman"/>
          <w:iCs/>
          <w:sz w:val="24"/>
          <w:szCs w:val="23"/>
        </w:rPr>
        <w:t xml:space="preserve"> and </w:t>
      </w:r>
      <w:r w:rsidRPr="008D660F">
        <w:rPr>
          <w:rFonts w:ascii="Times New Roman" w:eastAsia="Times New Roman" w:hAnsi="Times New Roman"/>
          <w:iCs/>
          <w:sz w:val="24"/>
          <w:szCs w:val="23"/>
        </w:rPr>
        <w:t>Westpac Banking Corporation</w:t>
      </w:r>
      <w:r>
        <w:rPr>
          <w:rFonts w:ascii="Times New Roman" w:eastAsia="Times New Roman" w:hAnsi="Times New Roman"/>
          <w:iCs/>
          <w:sz w:val="24"/>
          <w:szCs w:val="23"/>
        </w:rPr>
        <w:t>.</w:t>
      </w:r>
    </w:p>
    <w:p w14:paraId="72AD8B74" w14:textId="77777777" w:rsidR="00233FEA" w:rsidRPr="00FA329B" w:rsidRDefault="00233FEA" w:rsidP="00233FEA">
      <w:pPr>
        <w:spacing w:before="240" w:after="240"/>
        <w:ind w:left="567"/>
        <w:jc w:val="both"/>
        <w:rPr>
          <w:rFonts w:ascii="Times New Roman" w:hAnsi="Times New Roman"/>
          <w:bCs/>
          <w:iCs/>
          <w:color w:val="000000"/>
          <w:sz w:val="24"/>
          <w:szCs w:val="23"/>
          <w:lang w:eastAsia="en-AU"/>
        </w:rPr>
      </w:pPr>
      <w:r w:rsidRPr="00FA329B">
        <w:rPr>
          <w:rFonts w:ascii="Times New Roman" w:hAnsi="Times New Roman"/>
          <w:b/>
          <w:bCs/>
          <w:i/>
          <w:iCs/>
          <w:color w:val="000000"/>
          <w:sz w:val="24"/>
          <w:szCs w:val="23"/>
          <w:lang w:eastAsia="en-AU"/>
        </w:rPr>
        <w:t xml:space="preserve">ADI Derivatives Reporting Category B </w:t>
      </w:r>
      <w:r>
        <w:rPr>
          <w:rFonts w:ascii="Times New Roman" w:hAnsi="Times New Roman"/>
          <w:bCs/>
          <w:iCs/>
          <w:color w:val="000000"/>
          <w:sz w:val="24"/>
          <w:szCs w:val="23"/>
          <w:lang w:eastAsia="en-AU"/>
        </w:rPr>
        <w:t xml:space="preserve">means </w:t>
      </w:r>
      <w:r>
        <w:rPr>
          <w:rFonts w:ascii="Times New Roman" w:hAnsi="Times New Roman"/>
          <w:b/>
          <w:bCs/>
          <w:i/>
          <w:iCs/>
          <w:color w:val="000000"/>
          <w:sz w:val="24"/>
          <w:szCs w:val="23"/>
          <w:lang w:eastAsia="en-AU"/>
        </w:rPr>
        <w:t>ADIs</w:t>
      </w:r>
      <w:r>
        <w:rPr>
          <w:rFonts w:ascii="Times New Roman" w:hAnsi="Times New Roman"/>
          <w:bCs/>
          <w:iCs/>
          <w:color w:val="000000"/>
          <w:sz w:val="24"/>
          <w:szCs w:val="23"/>
          <w:lang w:eastAsia="en-AU"/>
        </w:rPr>
        <w:t xml:space="preserve"> not in </w:t>
      </w:r>
      <w:r>
        <w:rPr>
          <w:rFonts w:ascii="Times New Roman" w:hAnsi="Times New Roman"/>
          <w:b/>
          <w:bCs/>
          <w:i/>
          <w:iCs/>
          <w:color w:val="000000"/>
          <w:sz w:val="24"/>
          <w:szCs w:val="23"/>
          <w:lang w:eastAsia="en-AU"/>
        </w:rPr>
        <w:t>ADI Derivatives Reporting Category A</w:t>
      </w:r>
      <w:r>
        <w:rPr>
          <w:rFonts w:ascii="Times New Roman" w:hAnsi="Times New Roman"/>
          <w:bCs/>
          <w:iCs/>
          <w:color w:val="000000"/>
          <w:sz w:val="24"/>
          <w:szCs w:val="23"/>
          <w:lang w:eastAsia="en-AU"/>
        </w:rPr>
        <w:t xml:space="preserve">. </w:t>
      </w:r>
    </w:p>
    <w:p w14:paraId="55154FC9" w14:textId="2DDD226E" w:rsidR="00233FEA" w:rsidRPr="003B3E1C" w:rsidRDefault="00233FEA" w:rsidP="00FA329B">
      <w:pPr>
        <w:spacing w:after="240"/>
        <w:jc w:val="both"/>
        <w:rPr>
          <w:rFonts w:ascii="Times New Roman" w:eastAsia="Times New Roman" w:hAnsi="Times New Roman"/>
          <w:iCs/>
          <w:sz w:val="23"/>
          <w:szCs w:val="23"/>
          <w:lang w:val="x-none"/>
        </w:rPr>
      </w:pPr>
    </w:p>
    <w:p w14:paraId="2DA2B946" w14:textId="77777777" w:rsidR="00233FEA" w:rsidRPr="00AB4984" w:rsidRDefault="00233FEA" w:rsidP="00233FEA">
      <w:pPr>
        <w:jc w:val="center"/>
        <w:rPr>
          <w:rFonts w:ascii="Arial" w:eastAsia="Times New Roman" w:hAnsi="Arial" w:cs="Arial"/>
          <w:b/>
          <w:bCs/>
          <w:sz w:val="32"/>
          <w:szCs w:val="32"/>
          <w:lang w:eastAsia="en-AU"/>
        </w:rPr>
        <w:sectPr w:rsidR="00233FEA" w:rsidRPr="00AB4984" w:rsidSect="00827642">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233FEA" w:rsidRPr="00024130" w14:paraId="63CEF309" w14:textId="77777777" w:rsidTr="003167DC">
        <w:trPr>
          <w:trHeight w:val="284"/>
        </w:trPr>
        <w:tc>
          <w:tcPr>
            <w:tcW w:w="13892" w:type="dxa"/>
            <w:shd w:val="clear" w:color="auto" w:fill="auto"/>
            <w:noWrap/>
            <w:vAlign w:val="bottom"/>
            <w:hideMark/>
          </w:tcPr>
          <w:bookmarkEnd w:id="1"/>
          <w:p w14:paraId="56AA7171" w14:textId="77777777" w:rsidR="00233FEA" w:rsidRPr="00A858E8" w:rsidRDefault="00233FEA" w:rsidP="003167DC">
            <w:pPr>
              <w:ind w:left="284"/>
              <w:jc w:val="center"/>
              <w:rPr>
                <w:rFonts w:ascii="Arial" w:eastAsia="Times New Roman" w:hAnsi="Arial" w:cs="Arial"/>
                <w:b/>
                <w:sz w:val="32"/>
                <w:szCs w:val="32"/>
                <w:lang w:eastAsia="en-AU"/>
              </w:rPr>
            </w:pPr>
            <w:r w:rsidRPr="00A858E8">
              <w:rPr>
                <w:rFonts w:ascii="Arial" w:eastAsia="Times New Roman" w:hAnsi="Arial" w:cs="Arial"/>
                <w:b/>
                <w:sz w:val="32"/>
                <w:szCs w:val="32"/>
                <w:lang w:eastAsia="en-AU"/>
              </w:rPr>
              <w:lastRenderedPageBreak/>
              <w:t>ARF_722_0: ABS/RBA Derivatives</w:t>
            </w:r>
          </w:p>
        </w:tc>
      </w:tr>
    </w:tbl>
    <w:p w14:paraId="154E8B32" w14:textId="77777777" w:rsidR="00233FEA" w:rsidRPr="00024130" w:rsidRDefault="00233FEA" w:rsidP="00233FEA">
      <w:pPr>
        <w:rPr>
          <w:rFonts w:ascii="Arial" w:eastAsia="Times New Roman" w:hAnsi="Arial" w:cs="Arial"/>
          <w:lang w:eastAsia="en-AU"/>
        </w:rPr>
      </w:pPr>
    </w:p>
    <w:tbl>
      <w:tblPr>
        <w:tblW w:w="13892" w:type="dxa"/>
        <w:tblInd w:w="108" w:type="dxa"/>
        <w:tblLayout w:type="fixed"/>
        <w:tblLook w:val="04A0" w:firstRow="1" w:lastRow="0" w:firstColumn="1" w:lastColumn="0" w:noHBand="0" w:noVBand="1"/>
      </w:tblPr>
      <w:tblGrid>
        <w:gridCol w:w="6946"/>
        <w:gridCol w:w="6946"/>
      </w:tblGrid>
      <w:tr w:rsidR="00233FEA" w:rsidRPr="00024130" w14:paraId="7526EC60" w14:textId="77777777" w:rsidTr="003167DC">
        <w:trPr>
          <w:trHeight w:val="317"/>
        </w:trPr>
        <w:tc>
          <w:tcPr>
            <w:tcW w:w="6946" w:type="dxa"/>
            <w:tcBorders>
              <w:top w:val="nil"/>
              <w:left w:val="nil"/>
              <w:bottom w:val="single" w:sz="4" w:space="0" w:color="auto"/>
              <w:right w:val="nil"/>
            </w:tcBorders>
            <w:vAlign w:val="bottom"/>
            <w:hideMark/>
          </w:tcPr>
          <w:p w14:paraId="013EB85D" w14:textId="77777777" w:rsidR="00233FEA" w:rsidRPr="00024130" w:rsidRDefault="00233FEA" w:rsidP="003167DC">
            <w:pPr>
              <w:rPr>
                <w:rFonts w:ascii="Arial" w:eastAsia="Times New Roman" w:hAnsi="Arial" w:cs="Arial"/>
                <w:b/>
                <w:lang w:eastAsia="en-AU"/>
              </w:rPr>
            </w:pPr>
            <w:r w:rsidRPr="00024130">
              <w:rPr>
                <w:rFonts w:ascii="Arial" w:eastAsia="Times New Roman" w:hAnsi="Arial" w:cs="Arial"/>
                <w:b/>
                <w:lang w:eastAsia="en-AU"/>
              </w:rPr>
              <w:t>Australian Business Number</w:t>
            </w:r>
          </w:p>
        </w:tc>
        <w:tc>
          <w:tcPr>
            <w:tcW w:w="6946" w:type="dxa"/>
            <w:tcBorders>
              <w:top w:val="nil"/>
              <w:left w:val="nil"/>
              <w:bottom w:val="single" w:sz="4" w:space="0" w:color="auto"/>
              <w:right w:val="nil"/>
            </w:tcBorders>
            <w:vAlign w:val="bottom"/>
            <w:hideMark/>
          </w:tcPr>
          <w:p w14:paraId="5E3367EE" w14:textId="77777777" w:rsidR="00233FEA" w:rsidRPr="00024130" w:rsidRDefault="00233FEA" w:rsidP="003167DC">
            <w:pPr>
              <w:rPr>
                <w:rFonts w:ascii="Arial" w:eastAsia="Times New Roman" w:hAnsi="Arial" w:cs="Arial"/>
                <w:b/>
                <w:lang w:eastAsia="en-AU"/>
              </w:rPr>
            </w:pPr>
            <w:r w:rsidRPr="00024130">
              <w:rPr>
                <w:rFonts w:ascii="Arial" w:eastAsia="Times New Roman" w:hAnsi="Arial" w:cs="Arial"/>
                <w:b/>
                <w:lang w:eastAsia="en-AU"/>
              </w:rPr>
              <w:t>Institution Name</w:t>
            </w:r>
          </w:p>
        </w:tc>
      </w:tr>
      <w:tr w:rsidR="00233FEA" w:rsidRPr="00024130" w14:paraId="4AD0218B" w14:textId="77777777" w:rsidTr="003167DC">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1471F26" w14:textId="77777777" w:rsidR="00233FEA" w:rsidRPr="00024130" w:rsidRDefault="00233FEA" w:rsidP="003167DC">
            <w:pPr>
              <w:rPr>
                <w:rFonts w:ascii="Arial" w:eastAsia="Times New Roman" w:hAnsi="Arial" w:cs="Arial"/>
                <w:lang w:eastAsia="en-AU"/>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082F3CF" w14:textId="77777777" w:rsidR="00233FEA" w:rsidRPr="00024130" w:rsidRDefault="00233FEA" w:rsidP="003167DC">
            <w:pPr>
              <w:rPr>
                <w:rFonts w:ascii="Arial" w:eastAsia="Times New Roman" w:hAnsi="Arial" w:cs="Arial"/>
                <w:lang w:eastAsia="en-AU"/>
              </w:rPr>
            </w:pPr>
          </w:p>
        </w:tc>
      </w:tr>
      <w:tr w:rsidR="00233FEA" w:rsidRPr="00024130" w14:paraId="7650FDA0" w14:textId="77777777" w:rsidTr="003167DC">
        <w:trPr>
          <w:trHeight w:val="317"/>
        </w:trPr>
        <w:tc>
          <w:tcPr>
            <w:tcW w:w="6946" w:type="dxa"/>
            <w:tcBorders>
              <w:top w:val="single" w:sz="4" w:space="0" w:color="auto"/>
              <w:left w:val="nil"/>
              <w:bottom w:val="single" w:sz="4" w:space="0" w:color="auto"/>
              <w:right w:val="nil"/>
            </w:tcBorders>
            <w:noWrap/>
            <w:vAlign w:val="bottom"/>
            <w:hideMark/>
          </w:tcPr>
          <w:p w14:paraId="2DA3A711" w14:textId="77777777" w:rsidR="00233FEA" w:rsidRPr="00024130" w:rsidRDefault="00233FEA" w:rsidP="003167DC">
            <w:pPr>
              <w:rPr>
                <w:rFonts w:ascii="Arial" w:eastAsia="Times New Roman" w:hAnsi="Arial" w:cs="Arial"/>
                <w:b/>
                <w:lang w:eastAsia="en-AU"/>
              </w:rPr>
            </w:pPr>
            <w:r w:rsidRPr="00024130">
              <w:rPr>
                <w:rFonts w:ascii="Arial" w:eastAsia="Times New Roman" w:hAnsi="Arial" w:cs="Arial"/>
                <w:b/>
                <w:lang w:eastAsia="en-AU"/>
              </w:rPr>
              <w:t>Reporting Period</w:t>
            </w:r>
          </w:p>
        </w:tc>
        <w:tc>
          <w:tcPr>
            <w:tcW w:w="6946" w:type="dxa"/>
            <w:tcBorders>
              <w:top w:val="single" w:sz="4" w:space="0" w:color="auto"/>
              <w:left w:val="nil"/>
              <w:bottom w:val="single" w:sz="4" w:space="0" w:color="auto"/>
              <w:right w:val="nil"/>
            </w:tcBorders>
            <w:noWrap/>
            <w:vAlign w:val="bottom"/>
            <w:hideMark/>
          </w:tcPr>
          <w:p w14:paraId="7A4CFB48" w14:textId="77777777" w:rsidR="00233FEA" w:rsidRPr="00024130" w:rsidRDefault="00233FEA" w:rsidP="003167DC">
            <w:pPr>
              <w:rPr>
                <w:rFonts w:ascii="Arial" w:eastAsia="Times New Roman" w:hAnsi="Arial" w:cs="Arial"/>
                <w:b/>
                <w:lang w:eastAsia="en-AU"/>
              </w:rPr>
            </w:pPr>
            <w:r w:rsidRPr="00024130">
              <w:rPr>
                <w:rFonts w:ascii="Arial" w:eastAsia="Times New Roman" w:hAnsi="Arial" w:cs="Arial"/>
                <w:b/>
                <w:lang w:eastAsia="en-AU"/>
              </w:rPr>
              <w:t>Scale Factor</w:t>
            </w:r>
          </w:p>
        </w:tc>
      </w:tr>
      <w:tr w:rsidR="00233FEA" w:rsidRPr="00024130" w14:paraId="7B66B5D2" w14:textId="77777777" w:rsidTr="003167DC">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C1EE8BA" w14:textId="77777777" w:rsidR="00233FEA" w:rsidRPr="00024130" w:rsidRDefault="00233FEA" w:rsidP="003167DC">
            <w:pPr>
              <w:rPr>
                <w:rFonts w:ascii="Arial" w:eastAsia="Times New Roman" w:hAnsi="Arial" w:cs="Arial"/>
                <w:lang w:eastAsia="en-AU"/>
              </w:rPr>
            </w:pPr>
            <w:r w:rsidRPr="00024130">
              <w:rPr>
                <w:rFonts w:ascii="Arial" w:eastAsia="Times New Roman" w:hAnsi="Arial" w:cs="Arial"/>
                <w:lang w:eastAsia="en-AU"/>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8D2D5F3" w14:textId="77777777" w:rsidR="00233FEA" w:rsidRPr="00024130" w:rsidRDefault="00233FEA" w:rsidP="003167DC">
            <w:pPr>
              <w:rPr>
                <w:rFonts w:ascii="Arial" w:eastAsia="Times New Roman" w:hAnsi="Arial" w:cs="Arial"/>
                <w:lang w:eastAsia="en-AU"/>
              </w:rPr>
            </w:pPr>
          </w:p>
        </w:tc>
      </w:tr>
      <w:tr w:rsidR="00233FEA" w:rsidRPr="00024130" w14:paraId="4F64A246" w14:textId="77777777" w:rsidTr="003167DC">
        <w:trPr>
          <w:trHeight w:val="317"/>
        </w:trPr>
        <w:tc>
          <w:tcPr>
            <w:tcW w:w="6946" w:type="dxa"/>
            <w:tcBorders>
              <w:top w:val="single" w:sz="4" w:space="0" w:color="auto"/>
              <w:bottom w:val="single" w:sz="4" w:space="0" w:color="auto"/>
            </w:tcBorders>
            <w:noWrap/>
            <w:vAlign w:val="bottom"/>
          </w:tcPr>
          <w:p w14:paraId="2E5A44BB" w14:textId="77777777" w:rsidR="00233FEA" w:rsidRPr="00024130" w:rsidRDefault="00233FEA" w:rsidP="003167DC">
            <w:pPr>
              <w:rPr>
                <w:rFonts w:ascii="Arial" w:eastAsia="Times New Roman" w:hAnsi="Arial" w:cs="Arial"/>
                <w:b/>
                <w:lang w:eastAsia="en-AU"/>
              </w:rPr>
            </w:pPr>
            <w:r w:rsidRPr="00024130">
              <w:rPr>
                <w:rFonts w:ascii="Arial" w:eastAsia="Times New Roman" w:hAnsi="Arial" w:cs="Arial"/>
                <w:b/>
                <w:lang w:eastAsia="en-AU"/>
              </w:rPr>
              <w:t>Reporting Consolidation</w:t>
            </w:r>
          </w:p>
        </w:tc>
        <w:tc>
          <w:tcPr>
            <w:tcW w:w="6946" w:type="dxa"/>
            <w:tcBorders>
              <w:top w:val="single" w:sz="4" w:space="0" w:color="auto"/>
            </w:tcBorders>
            <w:noWrap/>
            <w:vAlign w:val="bottom"/>
          </w:tcPr>
          <w:p w14:paraId="580B951F" w14:textId="77777777" w:rsidR="00233FEA" w:rsidRPr="00024130" w:rsidRDefault="00233FEA" w:rsidP="003167DC">
            <w:pPr>
              <w:rPr>
                <w:rFonts w:ascii="Arial" w:eastAsia="Times New Roman" w:hAnsi="Arial" w:cs="Arial"/>
                <w:lang w:eastAsia="en-AU"/>
              </w:rPr>
            </w:pPr>
          </w:p>
        </w:tc>
      </w:tr>
      <w:tr w:rsidR="00233FEA" w:rsidRPr="00024130" w14:paraId="0D4BC1FE" w14:textId="77777777" w:rsidTr="003167DC">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2B2335D" w14:textId="77777777" w:rsidR="00233FEA" w:rsidRPr="00024130" w:rsidRDefault="00233FEA" w:rsidP="003167DC">
            <w:pPr>
              <w:rPr>
                <w:rFonts w:ascii="Arial" w:eastAsia="Times New Roman" w:hAnsi="Arial" w:cs="Arial"/>
                <w:lang w:eastAsia="en-AU"/>
              </w:rPr>
            </w:pPr>
            <w:r w:rsidRPr="00024130">
              <w:rPr>
                <w:rFonts w:ascii="Arial" w:eastAsia="Times New Roman" w:hAnsi="Arial" w:cs="Arial"/>
                <w:lang w:eastAsia="en-AU"/>
              </w:rPr>
              <w:t>Domestic books</w:t>
            </w:r>
          </w:p>
        </w:tc>
        <w:tc>
          <w:tcPr>
            <w:tcW w:w="6946" w:type="dxa"/>
            <w:tcBorders>
              <w:left w:val="single" w:sz="4" w:space="0" w:color="auto"/>
            </w:tcBorders>
            <w:noWrap/>
            <w:vAlign w:val="bottom"/>
          </w:tcPr>
          <w:p w14:paraId="6969721D" w14:textId="77777777" w:rsidR="00233FEA" w:rsidRPr="00024130" w:rsidRDefault="00233FEA" w:rsidP="003167DC">
            <w:pPr>
              <w:rPr>
                <w:rFonts w:ascii="Arial" w:eastAsia="Times New Roman" w:hAnsi="Arial" w:cs="Arial"/>
                <w:lang w:eastAsia="en-AU"/>
              </w:rPr>
            </w:pPr>
          </w:p>
        </w:tc>
      </w:tr>
    </w:tbl>
    <w:p w14:paraId="2E5DDFA0" w14:textId="77777777" w:rsidR="00233FEA" w:rsidRDefault="00233FEA" w:rsidP="00233FEA">
      <w:pPr>
        <w:rPr>
          <w:rFonts w:ascii="Arial" w:eastAsia="Times New Roman" w:hAnsi="Arial" w:cs="Arial"/>
          <w:lang w:eastAsia="en-AU"/>
        </w:rPr>
      </w:pPr>
    </w:p>
    <w:p w14:paraId="6258D95C" w14:textId="77777777" w:rsidR="00233FEA" w:rsidRDefault="00233FEA" w:rsidP="00233FEA">
      <w:pPr>
        <w:rPr>
          <w:rFonts w:ascii="Arial" w:eastAsia="Times New Roman" w:hAnsi="Arial" w:cs="Arial"/>
          <w:lang w:eastAsia="en-AU"/>
        </w:rPr>
      </w:pPr>
    </w:p>
    <w:p w14:paraId="05978F45" w14:textId="77777777" w:rsidR="00233FEA" w:rsidRPr="00024130" w:rsidRDefault="00233FEA" w:rsidP="00233FEA">
      <w:pPr>
        <w:rPr>
          <w:rFonts w:ascii="Arial" w:eastAsia="Times New Roman" w:hAnsi="Arial" w:cs="Arial"/>
          <w:lang w:eastAsia="en-AU"/>
        </w:rPr>
      </w:pPr>
    </w:p>
    <w:p w14:paraId="225FEC50" w14:textId="77777777" w:rsidR="00233FEA" w:rsidRPr="003B3E1C" w:rsidRDefault="00233FEA" w:rsidP="00233FEA">
      <w:pPr>
        <w:rPr>
          <w:rFonts w:ascii="Arial" w:eastAsia="Times New Roman" w:hAnsi="Arial" w:cs="Arial"/>
          <w:sz w:val="23"/>
          <w:szCs w:val="23"/>
          <w:lang w:eastAsia="en-AU"/>
        </w:rPr>
      </w:pPr>
      <w:r w:rsidRPr="003B3E1C">
        <w:rPr>
          <w:rFonts w:ascii="Arial" w:eastAsia="Times New Roman" w:hAnsi="Arial" w:cs="Arial"/>
          <w:b/>
          <w:sz w:val="23"/>
          <w:szCs w:val="23"/>
          <w:lang w:eastAsia="en-AU"/>
        </w:rPr>
        <w:t>Section A: Derivatives with counterparties excluding clearing houses and central counterparties</w:t>
      </w:r>
    </w:p>
    <w:p w14:paraId="54F96CE9" w14:textId="77777777" w:rsidR="00233FEA" w:rsidRDefault="00233FEA" w:rsidP="00233FEA">
      <w:pPr>
        <w:rPr>
          <w:rFonts w:ascii="Arial" w:eastAsia="Times New Roman" w:hAnsi="Arial" w:cs="Arial"/>
          <w:b/>
          <w:u w:val="single"/>
          <w:lang w:eastAsia="en-AU"/>
        </w:rPr>
      </w:pPr>
    </w:p>
    <w:p w14:paraId="7FD41B28" w14:textId="77777777" w:rsidR="00233FEA" w:rsidRPr="003852DA" w:rsidRDefault="00233FEA" w:rsidP="00233FEA">
      <w:pPr>
        <w:numPr>
          <w:ilvl w:val="0"/>
          <w:numId w:val="15"/>
        </w:numPr>
        <w:rPr>
          <w:rFonts w:ascii="Arial" w:eastAsia="Times New Roman" w:hAnsi="Arial" w:cs="Arial"/>
          <w:b/>
          <w:szCs w:val="24"/>
          <w:lang w:eastAsia="en-AU"/>
        </w:rPr>
      </w:pPr>
      <w:r>
        <w:rPr>
          <w:rFonts w:ascii="Arial" w:eastAsia="Times New Roman" w:hAnsi="Arial" w:cs="Arial"/>
          <w:b/>
          <w:szCs w:val="24"/>
          <w:lang w:eastAsia="en-AU"/>
        </w:rPr>
        <w:t>Derivatives w</w:t>
      </w:r>
      <w:r w:rsidRPr="003852DA">
        <w:rPr>
          <w:rFonts w:ascii="Arial" w:eastAsia="Times New Roman" w:hAnsi="Arial" w:cs="Arial"/>
          <w:b/>
          <w:szCs w:val="24"/>
          <w:lang w:eastAsia="en-AU"/>
        </w:rPr>
        <w:t xml:space="preserve">ith gross positive </w:t>
      </w:r>
      <w:r>
        <w:rPr>
          <w:rFonts w:ascii="Arial" w:eastAsia="Times New Roman" w:hAnsi="Arial" w:cs="Arial"/>
          <w:b/>
          <w:szCs w:val="24"/>
          <w:lang w:eastAsia="en-AU"/>
        </w:rPr>
        <w:t xml:space="preserve">mark to </w:t>
      </w:r>
      <w:r w:rsidRPr="003852DA">
        <w:rPr>
          <w:rFonts w:ascii="Arial" w:eastAsia="Times New Roman" w:hAnsi="Arial" w:cs="Arial"/>
          <w:b/>
          <w:szCs w:val="24"/>
          <w:lang w:eastAsia="en-AU"/>
        </w:rPr>
        <w:t xml:space="preserve">market values </w:t>
      </w:r>
      <w:r>
        <w:rPr>
          <w:rFonts w:ascii="Arial" w:eastAsia="Times New Roman" w:hAnsi="Arial" w:cs="Arial"/>
          <w:b/>
          <w:szCs w:val="24"/>
          <w:lang w:eastAsia="en-AU"/>
        </w:rPr>
        <w:t>and</w:t>
      </w:r>
      <w:r w:rsidRPr="003852DA">
        <w:rPr>
          <w:rFonts w:ascii="Arial" w:eastAsia="Times New Roman" w:hAnsi="Arial" w:cs="Arial"/>
          <w:b/>
          <w:szCs w:val="24"/>
          <w:lang w:eastAsia="en-AU"/>
        </w:rPr>
        <w:t xml:space="preserve"> resident</w:t>
      </w:r>
      <w:r>
        <w:rPr>
          <w:rFonts w:ascii="Arial" w:eastAsia="Times New Roman" w:hAnsi="Arial" w:cs="Arial"/>
          <w:b/>
          <w:szCs w:val="24"/>
          <w:lang w:eastAsia="en-AU"/>
        </w:rPr>
        <w:t xml:space="preserve"> counterparties excluding clearing houses and central counterparties</w:t>
      </w:r>
    </w:p>
    <w:p w14:paraId="0722B8AF" w14:textId="77777777" w:rsidR="00233FEA" w:rsidRPr="000B17AB" w:rsidRDefault="00233FEA" w:rsidP="00233FEA">
      <w:pPr>
        <w:ind w:left="502"/>
        <w:rPr>
          <w:rFonts w:ascii="Arial" w:eastAsia="Times New Roman" w:hAnsi="Arial" w:cs="Arial"/>
          <w:lang w:eastAsia="en-AU"/>
        </w:rPr>
      </w:pPr>
    </w:p>
    <w:tbl>
      <w:tblPr>
        <w:tblW w:w="13906" w:type="dxa"/>
        <w:tblInd w:w="93" w:type="dxa"/>
        <w:tblLayout w:type="fixed"/>
        <w:tblLook w:val="04A0" w:firstRow="1" w:lastRow="0" w:firstColumn="1" w:lastColumn="0" w:noHBand="0" w:noVBand="1"/>
      </w:tblPr>
      <w:tblGrid>
        <w:gridCol w:w="2425"/>
        <w:gridCol w:w="1276"/>
        <w:gridCol w:w="1275"/>
        <w:gridCol w:w="1276"/>
        <w:gridCol w:w="1275"/>
        <w:gridCol w:w="1276"/>
        <w:gridCol w:w="1275"/>
        <w:gridCol w:w="1276"/>
        <w:gridCol w:w="1276"/>
        <w:gridCol w:w="1276"/>
      </w:tblGrid>
      <w:tr w:rsidR="00233FEA" w:rsidRPr="00024130" w14:paraId="6B07E450" w14:textId="77777777" w:rsidTr="00FA329B">
        <w:trPr>
          <w:trHeight w:val="317"/>
        </w:trPr>
        <w:tc>
          <w:tcPr>
            <w:tcW w:w="2425" w:type="dxa"/>
            <w:tcBorders>
              <w:top w:val="single" w:sz="4" w:space="0" w:color="auto"/>
              <w:left w:val="single" w:sz="4" w:space="0" w:color="auto"/>
              <w:right w:val="single" w:sz="4" w:space="0" w:color="auto"/>
            </w:tcBorders>
            <w:shd w:val="clear" w:color="auto" w:fill="auto"/>
            <w:vAlign w:val="bottom"/>
            <w:hideMark/>
          </w:tcPr>
          <w:p w14:paraId="5A13BB75"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Type of counterparty</w:t>
            </w:r>
          </w:p>
        </w:tc>
        <w:tc>
          <w:tcPr>
            <w:tcW w:w="1276" w:type="dxa"/>
            <w:tcBorders>
              <w:top w:val="single" w:sz="4" w:space="0" w:color="auto"/>
              <w:left w:val="single" w:sz="4" w:space="0" w:color="auto"/>
              <w:right w:val="single" w:sz="4" w:space="0" w:color="auto"/>
            </w:tcBorders>
            <w:shd w:val="clear" w:color="auto" w:fill="auto"/>
            <w:vAlign w:val="bottom"/>
            <w:hideMark/>
          </w:tcPr>
          <w:p w14:paraId="420B65F3"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Instrument type</w:t>
            </w:r>
          </w:p>
        </w:tc>
        <w:tc>
          <w:tcPr>
            <w:tcW w:w="2551" w:type="dxa"/>
            <w:gridSpan w:val="2"/>
            <w:tcBorders>
              <w:top w:val="single" w:sz="4" w:space="0" w:color="auto"/>
              <w:left w:val="nil"/>
              <w:right w:val="single" w:sz="4" w:space="0" w:color="auto"/>
            </w:tcBorders>
            <w:shd w:val="clear" w:color="auto" w:fill="auto"/>
            <w:vAlign w:val="bottom"/>
            <w:hideMark/>
          </w:tcPr>
          <w:p w14:paraId="4A52EB13" w14:textId="4CB89CC4" w:rsidR="00233FEA" w:rsidRPr="007B1051" w:rsidRDefault="00233FEA" w:rsidP="00240461">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 xml:space="preserve">Opening position: </w:t>
            </w:r>
            <w:r w:rsidR="00240461">
              <w:rPr>
                <w:rFonts w:ascii="Arial" w:eastAsia="Times New Roman" w:hAnsi="Arial" w:cs="Arial"/>
                <w:b/>
                <w:sz w:val="20"/>
                <w:szCs w:val="20"/>
                <w:lang w:eastAsia="en-AU"/>
              </w:rPr>
              <w:t>g</w:t>
            </w:r>
            <w:r w:rsidRPr="00024130">
              <w:rPr>
                <w:rFonts w:ascii="Arial" w:eastAsia="Times New Roman" w:hAnsi="Arial" w:cs="Arial"/>
                <w:b/>
                <w:sz w:val="20"/>
                <w:szCs w:val="20"/>
                <w:lang w:eastAsia="en-AU"/>
              </w:rPr>
              <w:t xml:space="preserve">ross positive </w:t>
            </w:r>
            <w:r>
              <w:rPr>
                <w:rFonts w:ascii="Arial" w:eastAsia="Times New Roman" w:hAnsi="Arial" w:cs="Arial"/>
                <w:b/>
                <w:sz w:val="20"/>
                <w:szCs w:val="20"/>
                <w:lang w:eastAsia="en-AU"/>
              </w:rPr>
              <w:t>mark to market value</w:t>
            </w:r>
          </w:p>
        </w:tc>
        <w:tc>
          <w:tcPr>
            <w:tcW w:w="2551" w:type="dxa"/>
            <w:gridSpan w:val="2"/>
            <w:tcBorders>
              <w:top w:val="single" w:sz="4" w:space="0" w:color="auto"/>
              <w:left w:val="single" w:sz="4" w:space="0" w:color="auto"/>
              <w:right w:val="single" w:sz="4" w:space="0" w:color="000000"/>
            </w:tcBorders>
            <w:vAlign w:val="bottom"/>
          </w:tcPr>
          <w:p w14:paraId="6A1122E6" w14:textId="77777777" w:rsidR="00233FEA" w:rsidRPr="005D2636" w:rsidRDefault="00233FEA" w:rsidP="003167DC">
            <w:pPr>
              <w:jc w:val="center"/>
              <w:rPr>
                <w:rFonts w:ascii="Arial" w:eastAsia="Times New Roman" w:hAnsi="Arial" w:cs="Arial"/>
                <w:b/>
                <w:sz w:val="20"/>
                <w:szCs w:val="20"/>
                <w:lang w:eastAsia="en-AU"/>
              </w:rPr>
            </w:pPr>
            <w:r w:rsidRPr="007B1051" w:rsidDel="00AC387B">
              <w:rPr>
                <w:rFonts w:ascii="Arial" w:eastAsia="Times New Roman" w:hAnsi="Arial" w:cs="Arial"/>
                <w:b/>
                <w:sz w:val="20"/>
                <w:szCs w:val="20"/>
                <w:lang w:eastAsia="en-AU"/>
              </w:rPr>
              <w:t xml:space="preserve"> </w:t>
            </w:r>
            <w:r w:rsidRPr="001D3200">
              <w:rPr>
                <w:rFonts w:ascii="Arial" w:eastAsia="Times New Roman" w:hAnsi="Arial" w:cs="Arial"/>
                <w:b/>
                <w:sz w:val="20"/>
                <w:szCs w:val="20"/>
                <w:lang w:eastAsia="en-AU"/>
              </w:rPr>
              <w:t>Transactions</w:t>
            </w:r>
          </w:p>
        </w:tc>
        <w:tc>
          <w:tcPr>
            <w:tcW w:w="2551" w:type="dxa"/>
            <w:gridSpan w:val="2"/>
            <w:tcBorders>
              <w:top w:val="single" w:sz="4" w:space="0" w:color="auto"/>
              <w:left w:val="nil"/>
              <w:right w:val="single" w:sz="4" w:space="0" w:color="000000"/>
            </w:tcBorders>
            <w:vAlign w:val="bottom"/>
          </w:tcPr>
          <w:p w14:paraId="2E74BA15" w14:textId="77777777" w:rsidR="00233FEA" w:rsidRPr="007B1051" w:rsidRDefault="00233FEA" w:rsidP="003167DC">
            <w:pPr>
              <w:jc w:val="center"/>
              <w:rPr>
                <w:rFonts w:ascii="Arial" w:eastAsia="Times New Roman" w:hAnsi="Arial" w:cs="Arial"/>
                <w:b/>
                <w:sz w:val="20"/>
                <w:szCs w:val="20"/>
                <w:lang w:eastAsia="en-AU"/>
              </w:rPr>
            </w:pPr>
            <w:r w:rsidRPr="007B1051" w:rsidDel="00AC387B">
              <w:rPr>
                <w:rFonts w:ascii="Arial" w:eastAsia="Times New Roman" w:hAnsi="Arial" w:cs="Arial"/>
                <w:b/>
                <w:sz w:val="20"/>
                <w:szCs w:val="20"/>
                <w:lang w:eastAsia="en-AU"/>
              </w:rPr>
              <w:t xml:space="preserve"> </w:t>
            </w:r>
            <w:r w:rsidRPr="007B1051">
              <w:rPr>
                <w:rFonts w:ascii="Arial" w:eastAsia="Times New Roman" w:hAnsi="Arial" w:cs="Arial"/>
                <w:b/>
                <w:sz w:val="20"/>
                <w:szCs w:val="20"/>
                <w:lang w:eastAsia="en-AU"/>
              </w:rPr>
              <w:t>Revaluations</w:t>
            </w:r>
          </w:p>
        </w:tc>
        <w:tc>
          <w:tcPr>
            <w:tcW w:w="2552" w:type="dxa"/>
            <w:gridSpan w:val="2"/>
            <w:tcBorders>
              <w:top w:val="single" w:sz="4" w:space="0" w:color="auto"/>
              <w:left w:val="single" w:sz="4" w:space="0" w:color="auto"/>
              <w:right w:val="single" w:sz="4" w:space="0" w:color="auto"/>
            </w:tcBorders>
            <w:vAlign w:val="bottom"/>
          </w:tcPr>
          <w:p w14:paraId="4F137A04" w14:textId="77777777" w:rsidR="00233FEA" w:rsidRPr="007B1051" w:rsidRDefault="00233FEA" w:rsidP="003167DC">
            <w:pPr>
              <w:jc w:val="center"/>
              <w:rPr>
                <w:rFonts w:ascii="Arial" w:eastAsia="Times New Roman" w:hAnsi="Arial" w:cs="Arial"/>
                <w:b/>
                <w:sz w:val="20"/>
                <w:szCs w:val="20"/>
                <w:lang w:eastAsia="en-AU"/>
              </w:rPr>
            </w:pPr>
          </w:p>
          <w:p w14:paraId="393CC2BF" w14:textId="6162EB7C" w:rsidR="00233FEA" w:rsidRPr="007B1051" w:rsidRDefault="00233FEA" w:rsidP="00240461">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 xml:space="preserve">Closing position: </w:t>
            </w:r>
            <w:r w:rsidR="00240461">
              <w:rPr>
                <w:rFonts w:ascii="Arial" w:eastAsia="Times New Roman" w:hAnsi="Arial" w:cs="Arial"/>
                <w:b/>
                <w:sz w:val="20"/>
                <w:szCs w:val="20"/>
                <w:lang w:eastAsia="en-AU"/>
              </w:rPr>
              <w:t>g</w:t>
            </w:r>
            <w:r w:rsidRPr="00024130">
              <w:rPr>
                <w:rFonts w:ascii="Arial" w:eastAsia="Times New Roman" w:hAnsi="Arial" w:cs="Arial"/>
                <w:b/>
                <w:sz w:val="20"/>
                <w:szCs w:val="20"/>
                <w:lang w:eastAsia="en-AU"/>
              </w:rPr>
              <w:t xml:space="preserve">ross positive </w:t>
            </w:r>
            <w:r>
              <w:rPr>
                <w:rFonts w:ascii="Arial" w:eastAsia="Times New Roman" w:hAnsi="Arial" w:cs="Arial"/>
                <w:b/>
                <w:sz w:val="20"/>
                <w:szCs w:val="20"/>
                <w:lang w:eastAsia="en-AU"/>
              </w:rPr>
              <w:t>mark to market value</w:t>
            </w:r>
          </w:p>
        </w:tc>
      </w:tr>
      <w:tr w:rsidR="00233FEA" w:rsidRPr="00024130" w14:paraId="6BDCDE5F" w14:textId="77777777" w:rsidTr="00FA329B">
        <w:trPr>
          <w:trHeight w:val="317"/>
        </w:trPr>
        <w:tc>
          <w:tcPr>
            <w:tcW w:w="2425" w:type="dxa"/>
            <w:tcBorders>
              <w:left w:val="single" w:sz="4" w:space="0" w:color="auto"/>
              <w:bottom w:val="single" w:sz="4" w:space="0" w:color="auto"/>
              <w:right w:val="single" w:sz="4" w:space="0" w:color="auto"/>
            </w:tcBorders>
            <w:shd w:val="clear" w:color="auto" w:fill="auto"/>
            <w:vAlign w:val="bottom"/>
            <w:hideMark/>
          </w:tcPr>
          <w:p w14:paraId="28CEC37B"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w:t>
            </w:r>
          </w:p>
        </w:tc>
        <w:tc>
          <w:tcPr>
            <w:tcW w:w="1276" w:type="dxa"/>
            <w:tcBorders>
              <w:left w:val="single" w:sz="4" w:space="0" w:color="auto"/>
              <w:bottom w:val="single" w:sz="4" w:space="0" w:color="auto"/>
              <w:right w:val="single" w:sz="4" w:space="0" w:color="auto"/>
            </w:tcBorders>
            <w:shd w:val="clear" w:color="auto" w:fill="auto"/>
            <w:vAlign w:val="bottom"/>
            <w:hideMark/>
          </w:tcPr>
          <w:p w14:paraId="1F2E0740"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r w:rsidRPr="00024130">
              <w:rPr>
                <w:rFonts w:ascii="Arial" w:eastAsia="Times New Roman" w:hAnsi="Arial" w:cs="Arial"/>
                <w:b/>
                <w:sz w:val="20"/>
                <w:szCs w:val="20"/>
                <w:lang w:eastAsia="en-AU"/>
              </w:rPr>
              <w:t>)</w:t>
            </w:r>
          </w:p>
        </w:tc>
        <w:tc>
          <w:tcPr>
            <w:tcW w:w="2551" w:type="dxa"/>
            <w:gridSpan w:val="2"/>
            <w:tcBorders>
              <w:left w:val="single" w:sz="4" w:space="0" w:color="auto"/>
              <w:bottom w:val="single" w:sz="4" w:space="0" w:color="auto"/>
              <w:right w:val="single" w:sz="4" w:space="0" w:color="auto"/>
            </w:tcBorders>
            <w:shd w:val="clear" w:color="auto" w:fill="auto"/>
            <w:vAlign w:val="bottom"/>
            <w:hideMark/>
          </w:tcPr>
          <w:p w14:paraId="43D8D341"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3</w:t>
            </w:r>
            <w:r w:rsidRPr="00024130">
              <w:rPr>
                <w:rFonts w:ascii="Arial" w:eastAsia="Times New Roman" w:hAnsi="Arial" w:cs="Arial"/>
                <w:b/>
                <w:sz w:val="20"/>
                <w:szCs w:val="20"/>
                <w:lang w:eastAsia="en-AU"/>
              </w:rPr>
              <w:t>)</w:t>
            </w:r>
          </w:p>
        </w:tc>
        <w:tc>
          <w:tcPr>
            <w:tcW w:w="2551" w:type="dxa"/>
            <w:gridSpan w:val="2"/>
            <w:tcBorders>
              <w:left w:val="single" w:sz="4" w:space="0" w:color="auto"/>
              <w:bottom w:val="single" w:sz="4" w:space="0" w:color="auto"/>
              <w:right w:val="single" w:sz="4" w:space="0" w:color="auto"/>
            </w:tcBorders>
            <w:vAlign w:val="bottom"/>
          </w:tcPr>
          <w:p w14:paraId="702D3682"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4</w:t>
            </w:r>
            <w:r w:rsidRPr="00024130">
              <w:rPr>
                <w:rFonts w:ascii="Arial" w:eastAsia="Times New Roman" w:hAnsi="Arial" w:cs="Arial"/>
                <w:b/>
                <w:sz w:val="20"/>
                <w:szCs w:val="20"/>
                <w:lang w:eastAsia="en-AU"/>
              </w:rPr>
              <w:t>)</w:t>
            </w:r>
          </w:p>
        </w:tc>
        <w:tc>
          <w:tcPr>
            <w:tcW w:w="2551" w:type="dxa"/>
            <w:gridSpan w:val="2"/>
            <w:tcBorders>
              <w:left w:val="single" w:sz="4" w:space="0" w:color="auto"/>
              <w:bottom w:val="single" w:sz="4" w:space="0" w:color="auto"/>
              <w:right w:val="single" w:sz="4" w:space="0" w:color="auto"/>
            </w:tcBorders>
            <w:vAlign w:val="bottom"/>
          </w:tcPr>
          <w:p w14:paraId="11910786"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5</w:t>
            </w:r>
            <w:r w:rsidRPr="00024130">
              <w:rPr>
                <w:rFonts w:ascii="Arial" w:eastAsia="Times New Roman" w:hAnsi="Arial" w:cs="Arial"/>
                <w:b/>
                <w:sz w:val="20"/>
                <w:szCs w:val="20"/>
                <w:lang w:eastAsia="en-AU"/>
              </w:rPr>
              <w:t>)</w:t>
            </w:r>
          </w:p>
        </w:tc>
        <w:tc>
          <w:tcPr>
            <w:tcW w:w="2552" w:type="dxa"/>
            <w:gridSpan w:val="2"/>
            <w:tcBorders>
              <w:left w:val="single" w:sz="4" w:space="0" w:color="auto"/>
              <w:bottom w:val="single" w:sz="4" w:space="0" w:color="auto"/>
              <w:right w:val="single" w:sz="4" w:space="0" w:color="auto"/>
            </w:tcBorders>
            <w:vAlign w:val="bottom"/>
          </w:tcPr>
          <w:p w14:paraId="03DA618C"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r>
      <w:tr w:rsidR="00233FEA" w:rsidRPr="00024130" w14:paraId="5F7D6CAB" w14:textId="77777777" w:rsidTr="003167DC">
        <w:trPr>
          <w:trHeight w:val="317"/>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tcPr>
          <w:p w14:paraId="134BCA4A" w14:textId="77777777" w:rsidR="00233FEA" w:rsidRDefault="00233FEA" w:rsidP="003167DC">
            <w:pPr>
              <w:jc w:val="center"/>
              <w:rPr>
                <w:rFonts w:ascii="Arial" w:eastAsia="Times New Roman" w:hAnsi="Arial" w:cs="Arial"/>
                <w:b/>
                <w:sz w:val="20"/>
                <w:szCs w:val="20"/>
                <w:lang w:eastAsia="en-AU"/>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D9C4263" w14:textId="77777777" w:rsidR="00233FEA" w:rsidRDefault="00233FEA" w:rsidP="003167DC">
            <w:pPr>
              <w:jc w:val="center"/>
              <w:rPr>
                <w:rFonts w:ascii="Arial" w:eastAsia="Times New Roman" w:hAnsi="Arial" w:cs="Arial"/>
                <w:b/>
                <w:sz w:val="20"/>
                <w:szCs w:val="20"/>
                <w:lang w:eastAsia="en-AU"/>
              </w:rPr>
            </w:pP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EABB112" w14:textId="77777777" w:rsidR="00233FEA" w:rsidRPr="00024130" w:rsidRDefault="00233FEA" w:rsidP="003167DC">
            <w:pPr>
              <w:jc w:val="center"/>
              <w:rPr>
                <w:rFonts w:ascii="Arial" w:eastAsia="Times New Roman" w:hAnsi="Arial" w:cs="Arial"/>
                <w:b/>
                <w:sz w:val="20"/>
                <w:szCs w:val="20"/>
                <w:lang w:eastAsia="en-AU"/>
              </w:rPr>
            </w:pPr>
          </w:p>
        </w:tc>
        <w:tc>
          <w:tcPr>
            <w:tcW w:w="2551" w:type="dxa"/>
            <w:gridSpan w:val="2"/>
            <w:tcBorders>
              <w:top w:val="single" w:sz="4" w:space="0" w:color="auto"/>
              <w:left w:val="single" w:sz="4" w:space="0" w:color="auto"/>
              <w:bottom w:val="single" w:sz="4" w:space="0" w:color="auto"/>
              <w:right w:val="single" w:sz="4" w:space="0" w:color="auto"/>
            </w:tcBorders>
            <w:vAlign w:val="bottom"/>
          </w:tcPr>
          <w:p w14:paraId="2BB4E8F7" w14:textId="77777777" w:rsidR="00233FEA" w:rsidRPr="00024130" w:rsidRDefault="00233FEA" w:rsidP="003167DC">
            <w:pPr>
              <w:jc w:val="center"/>
              <w:rPr>
                <w:rFonts w:ascii="Arial" w:eastAsia="Times New Roman" w:hAnsi="Arial" w:cs="Arial"/>
                <w:b/>
                <w:sz w:val="20"/>
                <w:szCs w:val="20"/>
                <w:lang w:eastAsia="en-AU"/>
              </w:rPr>
            </w:pPr>
          </w:p>
        </w:tc>
        <w:tc>
          <w:tcPr>
            <w:tcW w:w="2551" w:type="dxa"/>
            <w:gridSpan w:val="2"/>
            <w:tcBorders>
              <w:top w:val="single" w:sz="4" w:space="0" w:color="auto"/>
              <w:left w:val="single" w:sz="4" w:space="0" w:color="auto"/>
              <w:bottom w:val="single" w:sz="4" w:space="0" w:color="auto"/>
              <w:right w:val="single" w:sz="4" w:space="0" w:color="auto"/>
            </w:tcBorders>
            <w:vAlign w:val="bottom"/>
          </w:tcPr>
          <w:p w14:paraId="565A1502" w14:textId="77777777" w:rsidR="00233FEA" w:rsidRPr="00024130" w:rsidRDefault="00233FEA" w:rsidP="003167DC">
            <w:pPr>
              <w:jc w:val="center"/>
              <w:rPr>
                <w:rFonts w:ascii="Arial" w:eastAsia="Times New Roman" w:hAnsi="Arial" w:cs="Arial"/>
                <w:b/>
                <w:sz w:val="20"/>
                <w:szCs w:val="20"/>
                <w:lang w:eastAsia="en-AU"/>
              </w:rPr>
            </w:pPr>
          </w:p>
        </w:tc>
        <w:tc>
          <w:tcPr>
            <w:tcW w:w="2552" w:type="dxa"/>
            <w:gridSpan w:val="2"/>
            <w:tcBorders>
              <w:top w:val="single" w:sz="4" w:space="0" w:color="auto"/>
              <w:left w:val="single" w:sz="4" w:space="0" w:color="auto"/>
              <w:bottom w:val="single" w:sz="4" w:space="0" w:color="auto"/>
              <w:right w:val="single" w:sz="4" w:space="0" w:color="auto"/>
            </w:tcBorders>
            <w:vAlign w:val="bottom"/>
          </w:tcPr>
          <w:p w14:paraId="58E4E04A" w14:textId="77777777" w:rsidR="00233FEA" w:rsidRDefault="00233FEA" w:rsidP="003167DC">
            <w:pPr>
              <w:jc w:val="center"/>
              <w:rPr>
                <w:rFonts w:ascii="Arial" w:eastAsia="Times New Roman" w:hAnsi="Arial" w:cs="Arial"/>
                <w:b/>
                <w:sz w:val="20"/>
                <w:szCs w:val="20"/>
                <w:lang w:eastAsia="en-AU"/>
              </w:rPr>
            </w:pPr>
          </w:p>
        </w:tc>
      </w:tr>
      <w:tr w:rsidR="00233FEA" w:rsidRPr="00024130" w14:paraId="1D5C32D9" w14:textId="77777777" w:rsidTr="003167DC">
        <w:trPr>
          <w:gridAfter w:val="8"/>
          <w:wAfter w:w="10205" w:type="dxa"/>
          <w:trHeight w:val="317"/>
        </w:trPr>
        <w:tc>
          <w:tcPr>
            <w:tcW w:w="242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9BECAA3" w14:textId="2533693B"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Private non-financial investment funds</w:t>
            </w:r>
          </w:p>
        </w:tc>
        <w:tc>
          <w:tcPr>
            <w:tcW w:w="127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770CC58"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Options</w:t>
            </w:r>
          </w:p>
        </w:tc>
      </w:tr>
      <w:tr w:rsidR="00233FEA" w:rsidRPr="00024130" w14:paraId="01FF3401" w14:textId="77777777" w:rsidTr="003167DC">
        <w:trPr>
          <w:gridAfter w:val="8"/>
          <w:wAfter w:w="10205" w:type="dxa"/>
          <w:trHeight w:val="317"/>
        </w:trPr>
        <w:tc>
          <w:tcPr>
            <w:tcW w:w="242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517715E" w14:textId="6BE0D061"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Private non-financial corporations</w:t>
            </w:r>
          </w:p>
        </w:tc>
        <w:tc>
          <w:tcPr>
            <w:tcW w:w="127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F650861"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Forwards</w:t>
            </w:r>
          </w:p>
        </w:tc>
      </w:tr>
      <w:tr w:rsidR="00233FEA" w:rsidRPr="00024130" w14:paraId="2E12BC04" w14:textId="77777777" w:rsidTr="005D2636">
        <w:trPr>
          <w:trHeight w:val="317"/>
        </w:trPr>
        <w:tc>
          <w:tcPr>
            <w:tcW w:w="242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67AB7C5" w14:textId="63DBE003"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Private unincorporated businesses</w:t>
            </w:r>
          </w:p>
        </w:tc>
        <w:tc>
          <w:tcPr>
            <w:tcW w:w="1276"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CE8DD42"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Swaps</w:t>
            </w:r>
          </w:p>
        </w:tc>
        <w:tc>
          <w:tcPr>
            <w:tcW w:w="2551" w:type="dxa"/>
            <w:gridSpan w:val="2"/>
            <w:tcBorders>
              <w:left w:val="dotDash" w:sz="4" w:space="0" w:color="auto"/>
            </w:tcBorders>
            <w:shd w:val="clear" w:color="auto" w:fill="auto"/>
            <w:vAlign w:val="bottom"/>
          </w:tcPr>
          <w:p w14:paraId="2C7CEB8B"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4F6500AC"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70D7A3C4"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1BB29BE1"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051A818"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EA64A6F" w14:textId="2738949A"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State and Territory local government non- financial corporations</w:t>
            </w:r>
          </w:p>
        </w:tc>
        <w:tc>
          <w:tcPr>
            <w:tcW w:w="1276"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C825B8B"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Other</w:t>
            </w:r>
          </w:p>
        </w:tc>
        <w:tc>
          <w:tcPr>
            <w:tcW w:w="2551" w:type="dxa"/>
            <w:gridSpan w:val="2"/>
            <w:tcBorders>
              <w:left w:val="dotDash" w:sz="4" w:space="0" w:color="auto"/>
            </w:tcBorders>
            <w:shd w:val="clear" w:color="auto" w:fill="auto"/>
            <w:vAlign w:val="bottom"/>
          </w:tcPr>
          <w:p w14:paraId="6FFEA774"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76B03AE"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7F78EB78"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5CEE62D0"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0F29754" w14:textId="77777777" w:rsidTr="003167DC">
        <w:trPr>
          <w:gridAfter w:val="1"/>
          <w:wAfter w:w="1276" w:type="dxa"/>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7AA7517" w14:textId="367B34F0"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Commonwealth Government non-financial corporations</w:t>
            </w:r>
          </w:p>
        </w:tc>
        <w:tc>
          <w:tcPr>
            <w:tcW w:w="2551" w:type="dxa"/>
            <w:gridSpan w:val="2"/>
            <w:tcBorders>
              <w:left w:val="dotDash" w:sz="4" w:space="0" w:color="auto"/>
            </w:tcBorders>
            <w:shd w:val="clear" w:color="auto" w:fill="auto"/>
            <w:vAlign w:val="bottom"/>
          </w:tcPr>
          <w:p w14:paraId="015ABB11"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0C72823"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435B7998"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27548803"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BCA6DD9" w14:textId="77777777" w:rsidTr="005D2636">
        <w:trPr>
          <w:gridAfter w:val="1"/>
          <w:wAfter w:w="1276" w:type="dxa"/>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5A47338"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lastRenderedPageBreak/>
              <w:t>RBA</w:t>
            </w:r>
          </w:p>
        </w:tc>
        <w:tc>
          <w:tcPr>
            <w:tcW w:w="2551" w:type="dxa"/>
            <w:gridSpan w:val="2"/>
            <w:tcBorders>
              <w:left w:val="nil"/>
            </w:tcBorders>
            <w:shd w:val="clear" w:color="auto" w:fill="auto"/>
            <w:vAlign w:val="bottom"/>
          </w:tcPr>
          <w:p w14:paraId="30E4EF01"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59B1D406"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61FE225"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6033517F"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8071E4C" w14:textId="77777777" w:rsidTr="005D2636">
        <w:trPr>
          <w:gridAfter w:val="1"/>
          <w:wAfter w:w="1276" w:type="dxa"/>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FE4E937"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ADIs</w:t>
            </w:r>
          </w:p>
        </w:tc>
        <w:tc>
          <w:tcPr>
            <w:tcW w:w="2551" w:type="dxa"/>
            <w:gridSpan w:val="2"/>
            <w:tcBorders>
              <w:left w:val="nil"/>
            </w:tcBorders>
            <w:shd w:val="clear" w:color="auto" w:fill="auto"/>
            <w:vAlign w:val="bottom"/>
          </w:tcPr>
          <w:p w14:paraId="5BD38C1D"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5DB32A05"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3D5FFAD3"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262657E8"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BBC9B7A" w14:textId="77777777" w:rsidTr="005D2636">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4221A3C"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Registered financial corporations</w:t>
            </w:r>
          </w:p>
        </w:tc>
        <w:tc>
          <w:tcPr>
            <w:tcW w:w="1276" w:type="dxa"/>
            <w:tcBorders>
              <w:left w:val="dotDash" w:sz="4" w:space="0" w:color="auto"/>
            </w:tcBorders>
            <w:shd w:val="clear" w:color="auto" w:fill="auto"/>
            <w:noWrap/>
            <w:vAlign w:val="bottom"/>
          </w:tcPr>
          <w:p w14:paraId="1B55345C" w14:textId="77777777" w:rsidR="00233FEA" w:rsidRPr="00024130" w:rsidRDefault="00233FEA" w:rsidP="003167DC">
            <w:pPr>
              <w:jc w:val="center"/>
              <w:rPr>
                <w:rFonts w:ascii="Arial" w:eastAsia="Times New Roman" w:hAnsi="Arial" w:cs="Arial"/>
                <w:sz w:val="20"/>
                <w:szCs w:val="20"/>
                <w:lang w:eastAsia="en-AU"/>
              </w:rPr>
            </w:pPr>
          </w:p>
        </w:tc>
        <w:tc>
          <w:tcPr>
            <w:tcW w:w="2551" w:type="dxa"/>
            <w:gridSpan w:val="2"/>
            <w:tcBorders>
              <w:left w:val="nil"/>
            </w:tcBorders>
            <w:shd w:val="clear" w:color="auto" w:fill="auto"/>
            <w:vAlign w:val="bottom"/>
          </w:tcPr>
          <w:p w14:paraId="2EC6689E"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0CA83BE9"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2D0F0A33"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350714F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3EC14F91" w14:textId="77777777" w:rsidTr="003167DC">
        <w:trPr>
          <w:trHeight w:val="317"/>
        </w:trPr>
        <w:tc>
          <w:tcPr>
            <w:tcW w:w="2425" w:type="dxa"/>
            <w:tcBorders>
              <w:top w:val="dotDash" w:sz="4" w:space="0" w:color="auto"/>
              <w:left w:val="dotDash" w:sz="4" w:space="0" w:color="auto"/>
              <w:bottom w:val="dashed" w:sz="4" w:space="0" w:color="auto"/>
              <w:right w:val="single" w:sz="4" w:space="0" w:color="auto"/>
            </w:tcBorders>
            <w:shd w:val="clear" w:color="auto" w:fill="auto"/>
            <w:noWrap/>
            <w:vAlign w:val="bottom"/>
          </w:tcPr>
          <w:p w14:paraId="3DA57D4C"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Central borrowing authorities</w:t>
            </w:r>
          </w:p>
        </w:tc>
        <w:tc>
          <w:tcPr>
            <w:tcW w:w="1276" w:type="dxa"/>
            <w:tcBorders>
              <w:left w:val="dotDash" w:sz="4" w:space="0" w:color="auto"/>
            </w:tcBorders>
            <w:shd w:val="clear" w:color="auto" w:fill="auto"/>
            <w:noWrap/>
            <w:vAlign w:val="bottom"/>
          </w:tcPr>
          <w:p w14:paraId="10C4AEB2" w14:textId="77777777" w:rsidR="00233FEA" w:rsidRPr="00024130" w:rsidRDefault="00233FEA" w:rsidP="003167DC">
            <w:pPr>
              <w:jc w:val="center"/>
              <w:rPr>
                <w:rFonts w:ascii="Arial" w:eastAsia="Times New Roman" w:hAnsi="Arial" w:cs="Arial"/>
                <w:sz w:val="20"/>
                <w:szCs w:val="20"/>
                <w:lang w:eastAsia="en-AU"/>
              </w:rPr>
            </w:pPr>
          </w:p>
        </w:tc>
        <w:tc>
          <w:tcPr>
            <w:tcW w:w="2551" w:type="dxa"/>
            <w:gridSpan w:val="2"/>
            <w:tcBorders>
              <w:left w:val="nil"/>
            </w:tcBorders>
            <w:shd w:val="clear" w:color="auto" w:fill="auto"/>
            <w:vAlign w:val="bottom"/>
          </w:tcPr>
          <w:p w14:paraId="646E8D39"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002CA425"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4BA1CA26"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18D5022E"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D041709"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191631A3" w14:textId="77777777" w:rsidR="00233FEA" w:rsidRPr="009E3EFB" w:rsidRDefault="00233FEA" w:rsidP="003167DC">
            <w:pPr>
              <w:jc w:val="center"/>
              <w:rPr>
                <w:rFonts w:ascii="Arial" w:eastAsia="Times New Roman" w:hAnsi="Arial" w:cs="Arial"/>
                <w:sz w:val="20"/>
                <w:szCs w:val="20"/>
                <w:lang w:eastAsia="en-AU"/>
              </w:rPr>
            </w:pPr>
            <w:r w:rsidRPr="009E3EFB">
              <w:rPr>
                <w:rFonts w:ascii="Arial" w:eastAsia="Times New Roman" w:hAnsi="Arial" w:cs="Arial"/>
                <w:sz w:val="20"/>
                <w:szCs w:val="20"/>
                <w:lang w:eastAsia="en-AU"/>
              </w:rPr>
              <w:t>Insurance corporations</w:t>
            </w:r>
          </w:p>
        </w:tc>
        <w:tc>
          <w:tcPr>
            <w:tcW w:w="1276" w:type="dxa"/>
            <w:tcBorders>
              <w:left w:val="dashed" w:sz="4" w:space="0" w:color="auto"/>
            </w:tcBorders>
            <w:shd w:val="clear" w:color="auto" w:fill="auto"/>
            <w:noWrap/>
            <w:vAlign w:val="bottom"/>
          </w:tcPr>
          <w:p w14:paraId="037B0A64"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224A5F71"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A3C45F9"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55525B8"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7E94C986"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906FFE4"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10F489C4" w14:textId="77777777" w:rsidR="00233FEA" w:rsidRPr="009E3EFB" w:rsidRDefault="00233FEA" w:rsidP="003167DC">
            <w:pPr>
              <w:jc w:val="center"/>
              <w:rPr>
                <w:rFonts w:ascii="Arial" w:eastAsia="Times New Roman" w:hAnsi="Arial" w:cs="Arial"/>
                <w:sz w:val="20"/>
                <w:szCs w:val="20"/>
                <w:lang w:eastAsia="en-AU"/>
              </w:rPr>
            </w:pPr>
            <w:r w:rsidRPr="009E3EFB">
              <w:rPr>
                <w:rFonts w:ascii="Arial" w:eastAsia="Times New Roman" w:hAnsi="Arial" w:cs="Arial"/>
                <w:sz w:val="20"/>
                <w:szCs w:val="20"/>
                <w:lang w:eastAsia="en-AU"/>
              </w:rPr>
              <w:t>Superannuation funds</w:t>
            </w:r>
          </w:p>
        </w:tc>
        <w:tc>
          <w:tcPr>
            <w:tcW w:w="1276" w:type="dxa"/>
            <w:tcBorders>
              <w:left w:val="dashed" w:sz="4" w:space="0" w:color="auto"/>
            </w:tcBorders>
            <w:shd w:val="clear" w:color="auto" w:fill="auto"/>
            <w:noWrap/>
            <w:vAlign w:val="bottom"/>
          </w:tcPr>
          <w:p w14:paraId="1055E159"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49B2CF33"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6BC3B662"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4E38CC28"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73FCEC6D"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DE0759A"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2C93B60E" w14:textId="2FAAA5D1" w:rsidR="00233FEA" w:rsidRPr="009E3EFB" w:rsidRDefault="00233FEA" w:rsidP="003167DC">
            <w:pPr>
              <w:jc w:val="center"/>
              <w:rPr>
                <w:rFonts w:ascii="Arial" w:eastAsia="Times New Roman" w:hAnsi="Arial" w:cs="Arial"/>
                <w:sz w:val="20"/>
                <w:szCs w:val="20"/>
                <w:lang w:eastAsia="en-AU"/>
              </w:rPr>
            </w:pPr>
            <w:r w:rsidRPr="009E3EFB">
              <w:rPr>
                <w:rFonts w:ascii="Arial" w:eastAsia="Times New Roman" w:hAnsi="Arial" w:cs="Arial"/>
                <w:sz w:val="20"/>
                <w:szCs w:val="20"/>
                <w:lang w:eastAsia="en-AU"/>
              </w:rPr>
              <w:t xml:space="preserve"> Other </w:t>
            </w:r>
            <w:r>
              <w:rPr>
                <w:rFonts w:ascii="Arial" w:eastAsia="Times New Roman" w:hAnsi="Arial" w:cs="Arial"/>
                <w:sz w:val="20"/>
                <w:szCs w:val="20"/>
                <w:lang w:eastAsia="en-AU"/>
              </w:rPr>
              <w:t>f</w:t>
            </w:r>
            <w:r w:rsidRPr="009E3EFB">
              <w:rPr>
                <w:rFonts w:ascii="Arial" w:eastAsia="Times New Roman" w:hAnsi="Arial" w:cs="Arial"/>
                <w:sz w:val="20"/>
                <w:szCs w:val="20"/>
                <w:lang w:eastAsia="en-AU"/>
              </w:rPr>
              <w:t>inancial auxiliaries</w:t>
            </w:r>
          </w:p>
        </w:tc>
        <w:tc>
          <w:tcPr>
            <w:tcW w:w="1276" w:type="dxa"/>
            <w:tcBorders>
              <w:left w:val="dashed" w:sz="4" w:space="0" w:color="auto"/>
            </w:tcBorders>
            <w:shd w:val="clear" w:color="auto" w:fill="auto"/>
            <w:noWrap/>
            <w:vAlign w:val="bottom"/>
          </w:tcPr>
          <w:p w14:paraId="39BC03F7"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7CF0DC24"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3F3A40DF"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38D78527"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3F1BF05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888D506"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170C64AC" w14:textId="77777777" w:rsidR="00233FEA" w:rsidRPr="00024130" w:rsidRDefault="00233FEA" w:rsidP="003167DC">
            <w:pPr>
              <w:jc w:val="center"/>
              <w:rPr>
                <w:rFonts w:ascii="Arial" w:eastAsia="Times New Roman" w:hAnsi="Arial" w:cs="Arial"/>
                <w:sz w:val="20"/>
                <w:szCs w:val="20"/>
                <w:lang w:eastAsia="en-AU"/>
              </w:rPr>
            </w:pPr>
            <w:proofErr w:type="spellStart"/>
            <w:r w:rsidRPr="00024130">
              <w:rPr>
                <w:rFonts w:ascii="Arial" w:eastAsia="Times New Roman" w:hAnsi="Arial" w:cs="Arial"/>
                <w:sz w:val="20"/>
                <w:szCs w:val="20"/>
                <w:lang w:eastAsia="en-AU"/>
              </w:rPr>
              <w:t>Securitisers</w:t>
            </w:r>
            <w:proofErr w:type="spellEnd"/>
          </w:p>
        </w:tc>
        <w:tc>
          <w:tcPr>
            <w:tcW w:w="1276" w:type="dxa"/>
            <w:tcBorders>
              <w:left w:val="dashed" w:sz="4" w:space="0" w:color="auto"/>
            </w:tcBorders>
            <w:shd w:val="clear" w:color="auto" w:fill="auto"/>
            <w:noWrap/>
            <w:vAlign w:val="bottom"/>
          </w:tcPr>
          <w:p w14:paraId="517ED826"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0A371674"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7E652226"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08DC0CFC"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7CEAD8B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BE69458"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14611A6E"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Money</w:t>
            </w:r>
            <w:r w:rsidRPr="00024130">
              <w:rPr>
                <w:rFonts w:ascii="Arial" w:eastAsia="Times New Roman" w:hAnsi="Arial" w:cs="Arial"/>
                <w:sz w:val="20"/>
                <w:szCs w:val="20"/>
                <w:lang w:eastAsia="en-AU"/>
              </w:rPr>
              <w:noBreakHyphen/>
              <w:t>market investment funds</w:t>
            </w:r>
          </w:p>
        </w:tc>
        <w:tc>
          <w:tcPr>
            <w:tcW w:w="1276" w:type="dxa"/>
            <w:tcBorders>
              <w:left w:val="dashed" w:sz="4" w:space="0" w:color="auto"/>
            </w:tcBorders>
            <w:shd w:val="clear" w:color="auto" w:fill="auto"/>
            <w:noWrap/>
            <w:vAlign w:val="bottom"/>
          </w:tcPr>
          <w:p w14:paraId="6C3F99DE"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5EFEC46B"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6EC236ED"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2BC21E2E"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510C9CC2"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3C832108"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07D5D3F5"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Non</w:t>
            </w:r>
            <w:r w:rsidRPr="00024130">
              <w:rPr>
                <w:rFonts w:ascii="Arial" w:eastAsia="Times New Roman" w:hAnsi="Arial" w:cs="Arial"/>
                <w:sz w:val="20"/>
                <w:szCs w:val="20"/>
                <w:lang w:eastAsia="en-AU"/>
              </w:rPr>
              <w:noBreakHyphen/>
              <w:t>money</w:t>
            </w:r>
            <w:r w:rsidRPr="00024130">
              <w:rPr>
                <w:rFonts w:ascii="Arial" w:eastAsia="Times New Roman" w:hAnsi="Arial" w:cs="Arial"/>
                <w:sz w:val="20"/>
                <w:szCs w:val="20"/>
                <w:lang w:eastAsia="en-AU"/>
              </w:rPr>
              <w:noBreakHyphen/>
              <w:t>market financial investment funds</w:t>
            </w:r>
          </w:p>
        </w:tc>
        <w:tc>
          <w:tcPr>
            <w:tcW w:w="1276" w:type="dxa"/>
            <w:tcBorders>
              <w:left w:val="dashed" w:sz="4" w:space="0" w:color="auto"/>
            </w:tcBorders>
            <w:shd w:val="clear" w:color="auto" w:fill="auto"/>
            <w:noWrap/>
            <w:vAlign w:val="bottom"/>
          </w:tcPr>
          <w:p w14:paraId="31310558"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40A6C24E"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58791329"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37E0EA28"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4A83C75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E5E91B9"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0D97143D"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 xml:space="preserve">Financial institutions </w:t>
            </w:r>
            <w:proofErr w:type="spellStart"/>
            <w:r w:rsidRPr="00024130">
              <w:rPr>
                <w:rFonts w:ascii="Arial" w:eastAsia="Times New Roman" w:hAnsi="Arial" w:cs="Arial"/>
                <w:sz w:val="20"/>
                <w:szCs w:val="20"/>
                <w:lang w:eastAsia="en-AU"/>
              </w:rPr>
              <w:t>n.e.c.</w:t>
            </w:r>
            <w:proofErr w:type="spellEnd"/>
          </w:p>
        </w:tc>
        <w:tc>
          <w:tcPr>
            <w:tcW w:w="1276" w:type="dxa"/>
            <w:tcBorders>
              <w:left w:val="dashed" w:sz="4" w:space="0" w:color="auto"/>
            </w:tcBorders>
            <w:shd w:val="clear" w:color="auto" w:fill="auto"/>
            <w:noWrap/>
            <w:vAlign w:val="bottom"/>
          </w:tcPr>
          <w:p w14:paraId="77F023F3"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52A01F88"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63E680CA"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CE7C42A"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025D3FA0"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5DEEE3D" w14:textId="77777777" w:rsidTr="003167DC">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1D0953AF"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State, territory and local general government</w:t>
            </w:r>
            <w:r w:rsidRPr="00024130" w:rsidDel="003529ED">
              <w:rPr>
                <w:rFonts w:ascii="Arial" w:eastAsia="Times New Roman" w:hAnsi="Arial" w:cs="Arial"/>
                <w:sz w:val="20"/>
                <w:szCs w:val="20"/>
                <w:lang w:eastAsia="en-AU"/>
              </w:rPr>
              <w:t xml:space="preserve"> </w:t>
            </w:r>
          </w:p>
        </w:tc>
        <w:tc>
          <w:tcPr>
            <w:tcW w:w="1276" w:type="dxa"/>
            <w:tcBorders>
              <w:left w:val="dashed" w:sz="4" w:space="0" w:color="auto"/>
            </w:tcBorders>
            <w:shd w:val="clear" w:color="auto" w:fill="auto"/>
            <w:noWrap/>
            <w:vAlign w:val="bottom"/>
          </w:tcPr>
          <w:p w14:paraId="09DC1328"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shd w:val="clear" w:color="auto" w:fill="auto"/>
            <w:vAlign w:val="bottom"/>
          </w:tcPr>
          <w:p w14:paraId="5AD789F2"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19D3ED65"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7247056B"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29A7CFE3"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3E8C6229" w14:textId="77777777" w:rsidTr="00E97C10">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4666B88"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 xml:space="preserve">Commonwealth general government </w:t>
            </w:r>
          </w:p>
        </w:tc>
        <w:tc>
          <w:tcPr>
            <w:tcW w:w="1276" w:type="dxa"/>
            <w:tcBorders>
              <w:left w:val="dashed" w:sz="4" w:space="0" w:color="auto"/>
            </w:tcBorders>
            <w:shd w:val="clear" w:color="auto" w:fill="auto"/>
            <w:noWrap/>
            <w:vAlign w:val="bottom"/>
          </w:tcPr>
          <w:p w14:paraId="1838244A"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shd w:val="clear" w:color="auto" w:fill="auto"/>
            <w:vAlign w:val="bottom"/>
          </w:tcPr>
          <w:p w14:paraId="3CD4E34E"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4E20F88F"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61EC5BE4"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438E20C8"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DF18195" w14:textId="77777777" w:rsidTr="00E97C10">
        <w:trPr>
          <w:trHeight w:val="317"/>
        </w:trPr>
        <w:tc>
          <w:tcPr>
            <w:tcW w:w="2425" w:type="dxa"/>
            <w:tcBorders>
              <w:top w:val="dashed" w:sz="4" w:space="0" w:color="auto"/>
              <w:left w:val="dashed" w:sz="4" w:space="0" w:color="auto"/>
              <w:bottom w:val="dashed" w:sz="4" w:space="0" w:color="auto"/>
              <w:right w:val="dashed" w:sz="4" w:space="0" w:color="auto"/>
            </w:tcBorders>
            <w:shd w:val="clear" w:color="auto" w:fill="auto"/>
            <w:noWrap/>
            <w:vAlign w:val="bottom"/>
          </w:tcPr>
          <w:p w14:paraId="2A9EA001"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Other resident entities</w:t>
            </w:r>
          </w:p>
        </w:tc>
        <w:tc>
          <w:tcPr>
            <w:tcW w:w="1276" w:type="dxa"/>
            <w:tcBorders>
              <w:left w:val="dashed" w:sz="4" w:space="0" w:color="auto"/>
            </w:tcBorders>
            <w:shd w:val="clear" w:color="auto" w:fill="auto"/>
            <w:noWrap/>
            <w:vAlign w:val="bottom"/>
          </w:tcPr>
          <w:p w14:paraId="226D096D"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shd w:val="clear" w:color="auto" w:fill="auto"/>
            <w:vAlign w:val="bottom"/>
          </w:tcPr>
          <w:p w14:paraId="4C0F63E1"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left w:val="nil"/>
            </w:tcBorders>
            <w:vAlign w:val="bottom"/>
          </w:tcPr>
          <w:p w14:paraId="05777AF2"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vAlign w:val="bottom"/>
          </w:tcPr>
          <w:p w14:paraId="53B43EF9"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vAlign w:val="bottom"/>
          </w:tcPr>
          <w:p w14:paraId="44E0C4F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F13C754" w14:textId="77777777" w:rsidTr="00E97C10">
        <w:trPr>
          <w:trHeight w:val="317"/>
        </w:trPr>
        <w:tc>
          <w:tcPr>
            <w:tcW w:w="2425" w:type="dxa"/>
            <w:tcBorders>
              <w:top w:val="dashed" w:sz="4" w:space="0" w:color="auto"/>
            </w:tcBorders>
            <w:shd w:val="clear" w:color="auto" w:fill="auto"/>
            <w:noWrap/>
            <w:vAlign w:val="bottom"/>
          </w:tcPr>
          <w:p w14:paraId="35053E5F" w14:textId="77777777" w:rsidR="00233FEA" w:rsidRDefault="00233FEA" w:rsidP="003167DC">
            <w:pPr>
              <w:jc w:val="center"/>
              <w:rPr>
                <w:rFonts w:ascii="Arial" w:eastAsia="Times New Roman" w:hAnsi="Arial" w:cs="Arial"/>
                <w:sz w:val="20"/>
                <w:szCs w:val="20"/>
                <w:lang w:eastAsia="en-AU"/>
              </w:rPr>
            </w:pPr>
          </w:p>
        </w:tc>
        <w:tc>
          <w:tcPr>
            <w:tcW w:w="1276" w:type="dxa"/>
            <w:shd w:val="clear" w:color="auto" w:fill="auto"/>
            <w:noWrap/>
            <w:vAlign w:val="bottom"/>
          </w:tcPr>
          <w:p w14:paraId="25368520"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bottom w:val="single" w:sz="4" w:space="0" w:color="auto"/>
            </w:tcBorders>
            <w:shd w:val="clear" w:color="auto" w:fill="auto"/>
            <w:vAlign w:val="bottom"/>
          </w:tcPr>
          <w:p w14:paraId="379DE276"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bottom w:val="single" w:sz="4" w:space="0" w:color="auto"/>
            </w:tcBorders>
            <w:vAlign w:val="bottom"/>
          </w:tcPr>
          <w:p w14:paraId="3F05876F"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bottom w:val="single" w:sz="4" w:space="0" w:color="auto"/>
            </w:tcBorders>
            <w:vAlign w:val="bottom"/>
          </w:tcPr>
          <w:p w14:paraId="52297A80"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tcBorders>
              <w:bottom w:val="single" w:sz="4" w:space="0" w:color="auto"/>
            </w:tcBorders>
            <w:vAlign w:val="bottom"/>
          </w:tcPr>
          <w:p w14:paraId="1C4D5DC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10C0EBE6" w14:textId="77777777" w:rsidTr="003167DC">
        <w:trPr>
          <w:trHeight w:val="510"/>
        </w:trPr>
        <w:tc>
          <w:tcPr>
            <w:tcW w:w="3701" w:type="dxa"/>
            <w:gridSpan w:val="2"/>
            <w:tcBorders>
              <w:right w:val="single" w:sz="4" w:space="0" w:color="auto"/>
            </w:tcBorders>
            <w:shd w:val="clear" w:color="auto" w:fill="auto"/>
            <w:noWrap/>
            <w:vAlign w:val="center"/>
          </w:tcPr>
          <w:p w14:paraId="14D2BD28" w14:textId="77777777" w:rsidR="00233FEA" w:rsidRPr="00024130" w:rsidRDefault="00233FEA" w:rsidP="003167DC">
            <w:pPr>
              <w:jc w:val="center"/>
              <w:rPr>
                <w:rFonts w:ascii="Arial" w:eastAsia="Times New Roman" w:hAnsi="Arial" w:cs="Arial"/>
                <w:color w:val="000000"/>
                <w:sz w:val="20"/>
                <w:szCs w:val="20"/>
                <w:lang w:eastAsia="en-AU"/>
              </w:rPr>
            </w:pPr>
            <w:r>
              <w:rPr>
                <w:rFonts w:ascii="Arial" w:eastAsia="Times New Roman" w:hAnsi="Arial" w:cs="Arial"/>
                <w:sz w:val="20"/>
                <w:szCs w:val="20"/>
                <w:lang w:eastAsia="en-AU"/>
              </w:rPr>
              <w:t>1.1. Total derivatives with a gross positive mark to market value</w:t>
            </w:r>
          </w:p>
        </w:tc>
        <w:tc>
          <w:tcPr>
            <w:tcW w:w="2551"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14:paraId="73AF60A0"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14:paraId="2A1AC3B3" w14:textId="77777777" w:rsidR="00233FEA" w:rsidRPr="00024130" w:rsidRDefault="00233FEA" w:rsidP="003167DC">
            <w:pPr>
              <w:jc w:val="center"/>
              <w:rPr>
                <w:rFonts w:ascii="Arial" w:eastAsia="Times New Roman" w:hAnsi="Arial" w:cs="Arial"/>
                <w:color w:val="000000"/>
                <w:sz w:val="20"/>
                <w:szCs w:val="20"/>
                <w:lang w:eastAsia="en-AU"/>
              </w:rPr>
            </w:pPr>
          </w:p>
        </w:tc>
        <w:tc>
          <w:tcPr>
            <w:tcW w:w="2551"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14:paraId="5FD28151" w14:textId="77777777" w:rsidR="00233FEA" w:rsidRPr="00024130" w:rsidRDefault="00233FEA" w:rsidP="003167DC">
            <w:pPr>
              <w:jc w:val="center"/>
              <w:rPr>
                <w:rFonts w:ascii="Arial" w:eastAsia="Times New Roman" w:hAnsi="Arial" w:cs="Arial"/>
                <w:color w:val="000000"/>
                <w:sz w:val="20"/>
                <w:szCs w:val="20"/>
                <w:lang w:eastAsia="en-AU"/>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14:paraId="29B7F1B8" w14:textId="77777777" w:rsidR="00233FEA" w:rsidRPr="00024130" w:rsidRDefault="00233FEA" w:rsidP="003167DC">
            <w:pPr>
              <w:jc w:val="center"/>
              <w:rPr>
                <w:rFonts w:ascii="Arial" w:eastAsia="Times New Roman" w:hAnsi="Arial" w:cs="Arial"/>
                <w:color w:val="000000"/>
                <w:sz w:val="20"/>
                <w:szCs w:val="20"/>
                <w:lang w:eastAsia="en-AU"/>
              </w:rPr>
            </w:pPr>
          </w:p>
        </w:tc>
      </w:tr>
    </w:tbl>
    <w:p w14:paraId="5426980B" w14:textId="77777777" w:rsidR="00233FEA" w:rsidRDefault="00233FEA" w:rsidP="00233FEA">
      <w:pPr>
        <w:rPr>
          <w:rFonts w:ascii="Arial" w:eastAsia="Times New Roman" w:hAnsi="Arial" w:cs="Arial"/>
          <w:b/>
          <w:szCs w:val="24"/>
          <w:u w:val="single"/>
          <w:lang w:eastAsia="en-AU"/>
        </w:rPr>
      </w:pPr>
    </w:p>
    <w:p w14:paraId="67A3AE64" w14:textId="77777777" w:rsidR="00233FEA" w:rsidRDefault="00233FEA" w:rsidP="00233FEA">
      <w:pPr>
        <w:rPr>
          <w:rFonts w:ascii="Arial" w:eastAsia="Times New Roman" w:hAnsi="Arial" w:cs="Arial"/>
          <w:b/>
          <w:u w:val="single"/>
          <w:lang w:eastAsia="en-AU"/>
        </w:rPr>
      </w:pPr>
    </w:p>
    <w:p w14:paraId="0D662EB6" w14:textId="77777777" w:rsidR="00233FEA" w:rsidRDefault="00233FEA" w:rsidP="00233FEA">
      <w:pPr>
        <w:rPr>
          <w:rFonts w:ascii="Arial" w:eastAsia="Times New Roman" w:hAnsi="Arial" w:cs="Arial"/>
          <w:b/>
          <w:u w:val="single"/>
          <w:lang w:eastAsia="en-AU"/>
        </w:rPr>
      </w:pPr>
    </w:p>
    <w:p w14:paraId="241AC3AD" w14:textId="77777777" w:rsidR="00233FEA" w:rsidRDefault="00233FEA" w:rsidP="00233FEA">
      <w:pPr>
        <w:rPr>
          <w:rFonts w:ascii="Arial" w:eastAsia="Times New Roman" w:hAnsi="Arial" w:cs="Arial"/>
          <w:b/>
          <w:u w:val="single"/>
          <w:lang w:eastAsia="en-AU"/>
        </w:rPr>
      </w:pPr>
    </w:p>
    <w:p w14:paraId="31D1893C" w14:textId="77777777" w:rsidR="00233FEA" w:rsidRDefault="00233FEA" w:rsidP="00233FEA">
      <w:pPr>
        <w:rPr>
          <w:rFonts w:ascii="Arial" w:eastAsia="Times New Roman" w:hAnsi="Arial" w:cs="Arial"/>
          <w:b/>
          <w:u w:val="single"/>
          <w:lang w:eastAsia="en-AU"/>
        </w:rPr>
      </w:pPr>
    </w:p>
    <w:p w14:paraId="4E8A7DEA" w14:textId="77777777" w:rsidR="00233FEA" w:rsidRDefault="00233FEA" w:rsidP="00233FEA">
      <w:pPr>
        <w:rPr>
          <w:rFonts w:ascii="Arial" w:eastAsia="Times New Roman" w:hAnsi="Arial" w:cs="Arial"/>
          <w:b/>
          <w:u w:val="single"/>
          <w:lang w:eastAsia="en-AU"/>
        </w:rPr>
      </w:pPr>
    </w:p>
    <w:p w14:paraId="320D5FE9" w14:textId="77777777" w:rsidR="00233FEA" w:rsidRDefault="00233FEA" w:rsidP="00233FEA">
      <w:pPr>
        <w:rPr>
          <w:rFonts w:ascii="Arial" w:eastAsia="Times New Roman" w:hAnsi="Arial" w:cs="Arial"/>
          <w:b/>
          <w:u w:val="single"/>
          <w:lang w:eastAsia="en-AU"/>
        </w:rPr>
      </w:pPr>
    </w:p>
    <w:p w14:paraId="462548AF" w14:textId="77777777" w:rsidR="00233FEA" w:rsidRDefault="00233FEA" w:rsidP="00233FEA">
      <w:pPr>
        <w:rPr>
          <w:rFonts w:ascii="Arial" w:eastAsia="Times New Roman" w:hAnsi="Arial" w:cs="Arial"/>
          <w:b/>
          <w:u w:val="single"/>
          <w:lang w:eastAsia="en-AU"/>
        </w:rPr>
      </w:pPr>
    </w:p>
    <w:p w14:paraId="67091D58" w14:textId="77777777" w:rsidR="00233FEA" w:rsidRPr="003852DA" w:rsidRDefault="00233FEA" w:rsidP="00233FEA">
      <w:pPr>
        <w:numPr>
          <w:ilvl w:val="0"/>
          <w:numId w:val="15"/>
        </w:numPr>
        <w:rPr>
          <w:rFonts w:ascii="Arial" w:eastAsia="Times New Roman" w:hAnsi="Arial" w:cs="Arial"/>
          <w:b/>
          <w:szCs w:val="24"/>
          <w:lang w:eastAsia="en-AU"/>
        </w:rPr>
      </w:pPr>
      <w:r>
        <w:rPr>
          <w:rFonts w:ascii="Arial" w:eastAsia="Times New Roman" w:hAnsi="Arial" w:cs="Arial"/>
          <w:b/>
          <w:szCs w:val="24"/>
          <w:lang w:eastAsia="en-AU"/>
        </w:rPr>
        <w:lastRenderedPageBreak/>
        <w:t>Derivatives with</w:t>
      </w:r>
      <w:r w:rsidRPr="003852DA">
        <w:rPr>
          <w:rFonts w:ascii="Arial" w:eastAsia="Times New Roman" w:hAnsi="Arial" w:cs="Arial"/>
          <w:b/>
          <w:szCs w:val="24"/>
          <w:lang w:eastAsia="en-AU"/>
        </w:rPr>
        <w:t xml:space="preserve"> gross </w:t>
      </w:r>
      <w:r>
        <w:rPr>
          <w:rFonts w:ascii="Arial" w:eastAsia="Times New Roman" w:hAnsi="Arial" w:cs="Arial"/>
          <w:b/>
          <w:szCs w:val="24"/>
          <w:lang w:eastAsia="en-AU"/>
        </w:rPr>
        <w:t>negative</w:t>
      </w:r>
      <w:r w:rsidRPr="003852DA">
        <w:rPr>
          <w:rFonts w:ascii="Arial" w:eastAsia="Times New Roman" w:hAnsi="Arial" w:cs="Arial"/>
          <w:b/>
          <w:szCs w:val="24"/>
          <w:lang w:eastAsia="en-AU"/>
        </w:rPr>
        <w:t xml:space="preserve"> </w:t>
      </w:r>
      <w:r>
        <w:rPr>
          <w:rFonts w:ascii="Arial" w:eastAsia="Times New Roman" w:hAnsi="Arial" w:cs="Arial"/>
          <w:b/>
          <w:szCs w:val="24"/>
          <w:lang w:eastAsia="en-AU"/>
        </w:rPr>
        <w:t xml:space="preserve">mark to </w:t>
      </w:r>
      <w:r w:rsidRPr="003852DA">
        <w:rPr>
          <w:rFonts w:ascii="Arial" w:eastAsia="Times New Roman" w:hAnsi="Arial" w:cs="Arial"/>
          <w:b/>
          <w:szCs w:val="24"/>
          <w:lang w:eastAsia="en-AU"/>
        </w:rPr>
        <w:t xml:space="preserve">market values </w:t>
      </w:r>
      <w:r>
        <w:rPr>
          <w:rFonts w:ascii="Arial" w:eastAsia="Times New Roman" w:hAnsi="Arial" w:cs="Arial"/>
          <w:b/>
          <w:szCs w:val="24"/>
          <w:lang w:eastAsia="en-AU"/>
        </w:rPr>
        <w:t xml:space="preserve">and </w:t>
      </w:r>
      <w:r w:rsidRPr="00B34819">
        <w:rPr>
          <w:rFonts w:ascii="Arial" w:eastAsia="Times New Roman" w:hAnsi="Arial" w:cs="Arial"/>
          <w:b/>
          <w:szCs w:val="24"/>
          <w:lang w:eastAsia="en-AU"/>
        </w:rPr>
        <w:t>resident</w:t>
      </w:r>
      <w:r>
        <w:rPr>
          <w:rFonts w:ascii="Arial" w:eastAsia="Times New Roman" w:hAnsi="Arial" w:cs="Arial"/>
          <w:b/>
          <w:szCs w:val="24"/>
          <w:lang w:eastAsia="en-AU"/>
        </w:rPr>
        <w:t xml:space="preserve"> counterparties excluding clearing houses and central counterparties</w:t>
      </w:r>
      <w:r w:rsidRPr="003852DA">
        <w:rPr>
          <w:rFonts w:ascii="Arial" w:eastAsia="Times New Roman" w:hAnsi="Arial" w:cs="Arial"/>
          <w:b/>
          <w:szCs w:val="24"/>
          <w:lang w:eastAsia="en-AU"/>
        </w:rPr>
        <w:t xml:space="preserve"> </w:t>
      </w:r>
    </w:p>
    <w:p w14:paraId="63B7B62C" w14:textId="77777777" w:rsidR="00233FEA" w:rsidRPr="00024130" w:rsidRDefault="00233FEA" w:rsidP="00233FEA">
      <w:pPr>
        <w:rPr>
          <w:rFonts w:ascii="Arial" w:eastAsia="Times New Roman" w:hAnsi="Arial" w:cs="Arial"/>
          <w:lang w:eastAsia="en-AU"/>
        </w:rPr>
      </w:pPr>
    </w:p>
    <w:tbl>
      <w:tblPr>
        <w:tblW w:w="13907" w:type="dxa"/>
        <w:tblInd w:w="93" w:type="dxa"/>
        <w:tblLayout w:type="fixed"/>
        <w:tblLook w:val="04A0" w:firstRow="1" w:lastRow="0" w:firstColumn="1" w:lastColumn="0" w:noHBand="0" w:noVBand="1"/>
      </w:tblPr>
      <w:tblGrid>
        <w:gridCol w:w="2425"/>
        <w:gridCol w:w="1559"/>
        <w:gridCol w:w="2480"/>
        <w:gridCol w:w="2481"/>
        <w:gridCol w:w="2481"/>
        <w:gridCol w:w="2481"/>
      </w:tblGrid>
      <w:tr w:rsidR="00233FEA" w:rsidRPr="00024130" w14:paraId="11E7C164" w14:textId="77777777" w:rsidTr="005D2636">
        <w:trPr>
          <w:trHeight w:val="317"/>
        </w:trPr>
        <w:tc>
          <w:tcPr>
            <w:tcW w:w="2425" w:type="dxa"/>
            <w:tcBorders>
              <w:top w:val="single" w:sz="4" w:space="0" w:color="auto"/>
              <w:left w:val="single" w:sz="4" w:space="0" w:color="auto"/>
              <w:right w:val="single" w:sz="4" w:space="0" w:color="auto"/>
            </w:tcBorders>
            <w:shd w:val="clear" w:color="auto" w:fill="auto"/>
            <w:vAlign w:val="bottom"/>
            <w:hideMark/>
          </w:tcPr>
          <w:p w14:paraId="19D4A3D5"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Type of counterparty</w:t>
            </w:r>
          </w:p>
        </w:tc>
        <w:tc>
          <w:tcPr>
            <w:tcW w:w="1559" w:type="dxa"/>
            <w:tcBorders>
              <w:top w:val="single" w:sz="4" w:space="0" w:color="auto"/>
              <w:left w:val="single" w:sz="4" w:space="0" w:color="auto"/>
              <w:right w:val="single" w:sz="4" w:space="0" w:color="auto"/>
            </w:tcBorders>
            <w:shd w:val="clear" w:color="auto" w:fill="auto"/>
            <w:vAlign w:val="bottom"/>
            <w:hideMark/>
          </w:tcPr>
          <w:p w14:paraId="0D9DE0CC"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Instrument type</w:t>
            </w:r>
          </w:p>
        </w:tc>
        <w:tc>
          <w:tcPr>
            <w:tcW w:w="2480" w:type="dxa"/>
            <w:tcBorders>
              <w:top w:val="single" w:sz="4" w:space="0" w:color="auto"/>
              <w:left w:val="nil"/>
              <w:right w:val="single" w:sz="4" w:space="0" w:color="auto"/>
            </w:tcBorders>
            <w:shd w:val="clear" w:color="auto" w:fill="auto"/>
            <w:vAlign w:val="bottom"/>
            <w:hideMark/>
          </w:tcPr>
          <w:p w14:paraId="7CC5B158" w14:textId="2AF0DD8C" w:rsidR="00233FEA" w:rsidRPr="007B1051" w:rsidRDefault="00233FEA" w:rsidP="00240461">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Opening position: </w:t>
            </w:r>
            <w:r w:rsidR="00240461">
              <w:rPr>
                <w:rFonts w:ascii="Arial" w:eastAsia="Times New Roman" w:hAnsi="Arial" w:cs="Arial"/>
                <w:b/>
                <w:sz w:val="20"/>
                <w:szCs w:val="20"/>
                <w:lang w:eastAsia="en-AU"/>
              </w:rPr>
              <w:t>g</w:t>
            </w:r>
            <w:r>
              <w:rPr>
                <w:rFonts w:ascii="Arial" w:eastAsia="Times New Roman" w:hAnsi="Arial" w:cs="Arial"/>
                <w:b/>
                <w:sz w:val="20"/>
                <w:szCs w:val="20"/>
                <w:lang w:eastAsia="en-AU"/>
              </w:rPr>
              <w:t>ross negative mark to market value</w:t>
            </w:r>
          </w:p>
        </w:tc>
        <w:tc>
          <w:tcPr>
            <w:tcW w:w="2481" w:type="dxa"/>
            <w:tcBorders>
              <w:top w:val="single" w:sz="4" w:space="0" w:color="auto"/>
              <w:left w:val="single" w:sz="4" w:space="0" w:color="auto"/>
              <w:right w:val="single" w:sz="4" w:space="0" w:color="000000"/>
            </w:tcBorders>
            <w:vAlign w:val="bottom"/>
          </w:tcPr>
          <w:p w14:paraId="473188DC" w14:textId="77777777" w:rsidR="00233FEA" w:rsidRPr="007B1051" w:rsidRDefault="00233FEA" w:rsidP="003167DC">
            <w:pPr>
              <w:jc w:val="center"/>
              <w:rPr>
                <w:rFonts w:ascii="Arial" w:eastAsia="Times New Roman" w:hAnsi="Arial" w:cs="Arial"/>
                <w:b/>
                <w:sz w:val="20"/>
                <w:szCs w:val="20"/>
                <w:lang w:eastAsia="en-AU"/>
              </w:rPr>
            </w:pPr>
            <w:r w:rsidRPr="007B1051" w:rsidDel="00AC387B">
              <w:rPr>
                <w:rFonts w:ascii="Arial" w:eastAsia="Times New Roman" w:hAnsi="Arial" w:cs="Arial"/>
                <w:b/>
                <w:sz w:val="20"/>
                <w:szCs w:val="20"/>
                <w:lang w:eastAsia="en-AU"/>
              </w:rPr>
              <w:t xml:space="preserve"> </w:t>
            </w:r>
            <w:r>
              <w:rPr>
                <w:rFonts w:ascii="Arial" w:eastAsia="Times New Roman" w:hAnsi="Arial" w:cs="Arial"/>
                <w:b/>
                <w:sz w:val="20"/>
                <w:szCs w:val="20"/>
                <w:lang w:eastAsia="en-AU"/>
              </w:rPr>
              <w:t>T</w:t>
            </w:r>
            <w:r w:rsidRPr="00EA230B">
              <w:rPr>
                <w:rFonts w:ascii="Arial" w:eastAsia="Times New Roman" w:hAnsi="Arial" w:cs="Arial"/>
                <w:b/>
                <w:sz w:val="20"/>
                <w:szCs w:val="20"/>
                <w:lang w:eastAsia="en-AU"/>
              </w:rPr>
              <w:t>ransaction</w:t>
            </w:r>
            <w:r w:rsidRPr="001D3200">
              <w:rPr>
                <w:rFonts w:ascii="Arial" w:eastAsia="Times New Roman" w:hAnsi="Arial" w:cs="Arial"/>
                <w:b/>
                <w:sz w:val="20"/>
                <w:szCs w:val="20"/>
                <w:lang w:eastAsia="en-AU"/>
              </w:rPr>
              <w:t>s</w:t>
            </w:r>
          </w:p>
        </w:tc>
        <w:tc>
          <w:tcPr>
            <w:tcW w:w="2481" w:type="dxa"/>
            <w:tcBorders>
              <w:top w:val="single" w:sz="4" w:space="0" w:color="auto"/>
              <w:left w:val="nil"/>
              <w:right w:val="single" w:sz="4" w:space="0" w:color="000000"/>
            </w:tcBorders>
            <w:vAlign w:val="bottom"/>
          </w:tcPr>
          <w:p w14:paraId="525C3E8E" w14:textId="77777777" w:rsidR="00233FEA" w:rsidRPr="007B1051" w:rsidRDefault="00233FEA" w:rsidP="003167DC">
            <w:pPr>
              <w:jc w:val="center"/>
              <w:rPr>
                <w:rFonts w:ascii="Arial" w:eastAsia="Times New Roman" w:hAnsi="Arial" w:cs="Arial"/>
                <w:b/>
                <w:sz w:val="20"/>
                <w:szCs w:val="20"/>
                <w:lang w:eastAsia="en-AU"/>
              </w:rPr>
            </w:pPr>
            <w:r w:rsidRPr="007B1051" w:rsidDel="00AC387B">
              <w:rPr>
                <w:rFonts w:ascii="Arial" w:eastAsia="Times New Roman" w:hAnsi="Arial" w:cs="Arial"/>
                <w:b/>
                <w:sz w:val="20"/>
                <w:szCs w:val="20"/>
                <w:lang w:eastAsia="en-AU"/>
              </w:rPr>
              <w:t xml:space="preserve"> </w:t>
            </w:r>
            <w:r w:rsidRPr="007B1051">
              <w:rPr>
                <w:rFonts w:ascii="Arial" w:eastAsia="Times New Roman" w:hAnsi="Arial" w:cs="Arial"/>
                <w:b/>
                <w:sz w:val="20"/>
                <w:szCs w:val="20"/>
                <w:lang w:eastAsia="en-AU"/>
              </w:rPr>
              <w:t>Revaluations</w:t>
            </w:r>
          </w:p>
        </w:tc>
        <w:tc>
          <w:tcPr>
            <w:tcW w:w="2481" w:type="dxa"/>
            <w:tcBorders>
              <w:top w:val="single" w:sz="4" w:space="0" w:color="auto"/>
              <w:left w:val="single" w:sz="4" w:space="0" w:color="auto"/>
              <w:right w:val="single" w:sz="4" w:space="0" w:color="auto"/>
            </w:tcBorders>
            <w:vAlign w:val="bottom"/>
          </w:tcPr>
          <w:p w14:paraId="37D8B73C" w14:textId="77777777" w:rsidR="00233FEA" w:rsidRPr="007B1051" w:rsidRDefault="00233FEA" w:rsidP="003167DC">
            <w:pPr>
              <w:jc w:val="center"/>
              <w:rPr>
                <w:rFonts w:ascii="Arial" w:eastAsia="Times New Roman" w:hAnsi="Arial" w:cs="Arial"/>
                <w:b/>
                <w:sz w:val="20"/>
                <w:szCs w:val="20"/>
                <w:lang w:eastAsia="en-AU"/>
              </w:rPr>
            </w:pPr>
          </w:p>
          <w:p w14:paraId="0FFA56FC" w14:textId="7570141B" w:rsidR="00233FEA" w:rsidRPr="007B1051" w:rsidRDefault="00233FEA" w:rsidP="00240461">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Closing position: </w:t>
            </w:r>
            <w:r w:rsidR="00240461">
              <w:rPr>
                <w:rFonts w:ascii="Arial" w:eastAsia="Times New Roman" w:hAnsi="Arial" w:cs="Arial"/>
                <w:b/>
                <w:sz w:val="20"/>
                <w:szCs w:val="20"/>
                <w:lang w:eastAsia="en-AU"/>
              </w:rPr>
              <w:t>g</w:t>
            </w:r>
            <w:r>
              <w:rPr>
                <w:rFonts w:ascii="Arial" w:eastAsia="Times New Roman" w:hAnsi="Arial" w:cs="Arial"/>
                <w:b/>
                <w:sz w:val="20"/>
                <w:szCs w:val="20"/>
                <w:lang w:eastAsia="en-AU"/>
              </w:rPr>
              <w:t>ross negative</w:t>
            </w:r>
            <w:r w:rsidRPr="00024130">
              <w:rPr>
                <w:rFonts w:ascii="Arial" w:eastAsia="Times New Roman" w:hAnsi="Arial" w:cs="Arial"/>
                <w:b/>
                <w:sz w:val="20"/>
                <w:szCs w:val="20"/>
                <w:lang w:eastAsia="en-AU"/>
              </w:rPr>
              <w:t xml:space="preserve"> </w:t>
            </w:r>
            <w:r>
              <w:rPr>
                <w:rFonts w:ascii="Arial" w:eastAsia="Times New Roman" w:hAnsi="Arial" w:cs="Arial"/>
                <w:b/>
                <w:sz w:val="20"/>
                <w:szCs w:val="20"/>
                <w:lang w:eastAsia="en-AU"/>
              </w:rPr>
              <w:t>mark to market value</w:t>
            </w:r>
          </w:p>
        </w:tc>
      </w:tr>
      <w:tr w:rsidR="00233FEA" w:rsidRPr="00024130" w14:paraId="21734334" w14:textId="77777777" w:rsidTr="005D2636">
        <w:trPr>
          <w:trHeight w:val="317"/>
        </w:trPr>
        <w:tc>
          <w:tcPr>
            <w:tcW w:w="2425" w:type="dxa"/>
            <w:tcBorders>
              <w:left w:val="single" w:sz="4" w:space="0" w:color="auto"/>
              <w:bottom w:val="single" w:sz="4" w:space="0" w:color="auto"/>
              <w:right w:val="single" w:sz="4" w:space="0" w:color="auto"/>
            </w:tcBorders>
            <w:shd w:val="clear" w:color="auto" w:fill="auto"/>
            <w:vAlign w:val="bottom"/>
            <w:hideMark/>
          </w:tcPr>
          <w:p w14:paraId="02F2C384"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(1)</w:t>
            </w:r>
          </w:p>
        </w:tc>
        <w:tc>
          <w:tcPr>
            <w:tcW w:w="1559" w:type="dxa"/>
            <w:tcBorders>
              <w:left w:val="single" w:sz="4" w:space="0" w:color="auto"/>
              <w:bottom w:val="single" w:sz="4" w:space="0" w:color="auto"/>
              <w:right w:val="single" w:sz="4" w:space="0" w:color="auto"/>
            </w:tcBorders>
            <w:shd w:val="clear" w:color="auto" w:fill="auto"/>
            <w:vAlign w:val="bottom"/>
            <w:hideMark/>
          </w:tcPr>
          <w:p w14:paraId="36435C8C"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r w:rsidRPr="00024130">
              <w:rPr>
                <w:rFonts w:ascii="Arial" w:eastAsia="Times New Roman" w:hAnsi="Arial" w:cs="Arial"/>
                <w:b/>
                <w:sz w:val="20"/>
                <w:szCs w:val="20"/>
                <w:lang w:eastAsia="en-AU"/>
              </w:rPr>
              <w:t>)</w:t>
            </w:r>
          </w:p>
        </w:tc>
        <w:tc>
          <w:tcPr>
            <w:tcW w:w="2480" w:type="dxa"/>
            <w:tcBorders>
              <w:left w:val="single" w:sz="4" w:space="0" w:color="auto"/>
              <w:bottom w:val="single" w:sz="4" w:space="0" w:color="auto"/>
              <w:right w:val="single" w:sz="4" w:space="0" w:color="auto"/>
            </w:tcBorders>
            <w:shd w:val="clear" w:color="auto" w:fill="auto"/>
            <w:vAlign w:val="bottom"/>
            <w:hideMark/>
          </w:tcPr>
          <w:p w14:paraId="5142262D"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3</w:t>
            </w:r>
            <w:r w:rsidRPr="00024130">
              <w:rPr>
                <w:rFonts w:ascii="Arial" w:eastAsia="Times New Roman" w:hAnsi="Arial" w:cs="Arial"/>
                <w:b/>
                <w:sz w:val="20"/>
                <w:szCs w:val="20"/>
                <w:lang w:eastAsia="en-AU"/>
              </w:rPr>
              <w:t>)</w:t>
            </w:r>
          </w:p>
        </w:tc>
        <w:tc>
          <w:tcPr>
            <w:tcW w:w="2481" w:type="dxa"/>
            <w:tcBorders>
              <w:left w:val="single" w:sz="4" w:space="0" w:color="auto"/>
              <w:bottom w:val="single" w:sz="4" w:space="0" w:color="auto"/>
              <w:right w:val="single" w:sz="4" w:space="0" w:color="auto"/>
            </w:tcBorders>
            <w:vAlign w:val="bottom"/>
          </w:tcPr>
          <w:p w14:paraId="71BF697B"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4</w:t>
            </w:r>
            <w:r w:rsidRPr="00024130">
              <w:rPr>
                <w:rFonts w:ascii="Arial" w:eastAsia="Times New Roman" w:hAnsi="Arial" w:cs="Arial"/>
                <w:b/>
                <w:sz w:val="20"/>
                <w:szCs w:val="20"/>
                <w:lang w:eastAsia="en-AU"/>
              </w:rPr>
              <w:t>)</w:t>
            </w:r>
          </w:p>
        </w:tc>
        <w:tc>
          <w:tcPr>
            <w:tcW w:w="2481" w:type="dxa"/>
            <w:tcBorders>
              <w:left w:val="single" w:sz="4" w:space="0" w:color="auto"/>
              <w:bottom w:val="single" w:sz="4" w:space="0" w:color="auto"/>
              <w:right w:val="single" w:sz="4" w:space="0" w:color="auto"/>
            </w:tcBorders>
            <w:vAlign w:val="bottom"/>
          </w:tcPr>
          <w:p w14:paraId="573E8B6B"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5</w:t>
            </w:r>
            <w:r w:rsidRPr="00024130">
              <w:rPr>
                <w:rFonts w:ascii="Arial" w:eastAsia="Times New Roman" w:hAnsi="Arial" w:cs="Arial"/>
                <w:b/>
                <w:sz w:val="20"/>
                <w:szCs w:val="20"/>
                <w:lang w:eastAsia="en-AU"/>
              </w:rPr>
              <w:t>)</w:t>
            </w:r>
          </w:p>
        </w:tc>
        <w:tc>
          <w:tcPr>
            <w:tcW w:w="2481" w:type="dxa"/>
            <w:tcBorders>
              <w:left w:val="single" w:sz="4" w:space="0" w:color="auto"/>
              <w:bottom w:val="single" w:sz="4" w:space="0" w:color="auto"/>
              <w:right w:val="single" w:sz="4" w:space="0" w:color="auto"/>
            </w:tcBorders>
            <w:vAlign w:val="bottom"/>
          </w:tcPr>
          <w:p w14:paraId="15776BE7"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r>
      <w:tr w:rsidR="00233FEA" w:rsidRPr="00024130" w14:paraId="1C33BC57" w14:textId="77777777" w:rsidTr="003167DC">
        <w:trPr>
          <w:trHeight w:val="317"/>
        </w:trPr>
        <w:tc>
          <w:tcPr>
            <w:tcW w:w="2425" w:type="dxa"/>
            <w:tcBorders>
              <w:top w:val="single" w:sz="4" w:space="0" w:color="auto"/>
              <w:left w:val="single" w:sz="4" w:space="0" w:color="auto"/>
              <w:bottom w:val="single" w:sz="4" w:space="0" w:color="auto"/>
              <w:right w:val="single" w:sz="4" w:space="0" w:color="auto"/>
            </w:tcBorders>
            <w:shd w:val="clear" w:color="auto" w:fill="auto"/>
            <w:vAlign w:val="bottom"/>
          </w:tcPr>
          <w:p w14:paraId="5DE5E3E7" w14:textId="77777777" w:rsidR="00233FEA" w:rsidRPr="00024130" w:rsidRDefault="00233FEA" w:rsidP="003167DC">
            <w:pPr>
              <w:jc w:val="center"/>
              <w:rPr>
                <w:rFonts w:ascii="Arial" w:eastAsia="Times New Roman" w:hAnsi="Arial" w:cs="Arial"/>
                <w:b/>
                <w:sz w:val="20"/>
                <w:szCs w:val="20"/>
                <w:lang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764EFBB" w14:textId="77777777" w:rsidR="00233FEA" w:rsidRDefault="00233FEA" w:rsidP="003167DC">
            <w:pPr>
              <w:jc w:val="center"/>
              <w:rPr>
                <w:rFonts w:ascii="Arial" w:eastAsia="Times New Roman" w:hAnsi="Arial" w:cs="Arial"/>
                <w:b/>
                <w:sz w:val="20"/>
                <w:szCs w:val="20"/>
                <w:lang w:eastAsia="en-AU"/>
              </w:rPr>
            </w:pPr>
          </w:p>
        </w:tc>
        <w:tc>
          <w:tcPr>
            <w:tcW w:w="2480" w:type="dxa"/>
            <w:tcBorders>
              <w:top w:val="single" w:sz="4" w:space="0" w:color="auto"/>
              <w:left w:val="single" w:sz="4" w:space="0" w:color="auto"/>
              <w:bottom w:val="single" w:sz="4" w:space="0" w:color="auto"/>
              <w:right w:val="single" w:sz="4" w:space="0" w:color="auto"/>
            </w:tcBorders>
            <w:shd w:val="clear" w:color="auto" w:fill="auto"/>
            <w:vAlign w:val="bottom"/>
          </w:tcPr>
          <w:p w14:paraId="564DB877" w14:textId="77777777" w:rsidR="00233FEA" w:rsidRPr="00024130" w:rsidRDefault="00233FEA" w:rsidP="003167DC">
            <w:pPr>
              <w:jc w:val="center"/>
              <w:rPr>
                <w:rFonts w:ascii="Arial" w:eastAsia="Times New Roman" w:hAnsi="Arial" w:cs="Arial"/>
                <w:b/>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vAlign w:val="bottom"/>
          </w:tcPr>
          <w:p w14:paraId="7EAA9DC5" w14:textId="77777777" w:rsidR="00233FEA" w:rsidRPr="00024130" w:rsidRDefault="00233FEA" w:rsidP="003167DC">
            <w:pPr>
              <w:jc w:val="center"/>
              <w:rPr>
                <w:rFonts w:ascii="Arial" w:eastAsia="Times New Roman" w:hAnsi="Arial" w:cs="Arial"/>
                <w:b/>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vAlign w:val="bottom"/>
          </w:tcPr>
          <w:p w14:paraId="72738806" w14:textId="77777777" w:rsidR="00233FEA" w:rsidRPr="00024130" w:rsidRDefault="00233FEA" w:rsidP="003167DC">
            <w:pPr>
              <w:jc w:val="center"/>
              <w:rPr>
                <w:rFonts w:ascii="Arial" w:eastAsia="Times New Roman" w:hAnsi="Arial" w:cs="Arial"/>
                <w:b/>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vAlign w:val="bottom"/>
          </w:tcPr>
          <w:p w14:paraId="553638F4" w14:textId="77777777" w:rsidR="00233FEA" w:rsidRDefault="00233FEA" w:rsidP="003167DC">
            <w:pPr>
              <w:jc w:val="center"/>
              <w:rPr>
                <w:rFonts w:ascii="Arial" w:eastAsia="Times New Roman" w:hAnsi="Arial" w:cs="Arial"/>
                <w:b/>
                <w:sz w:val="20"/>
                <w:szCs w:val="20"/>
                <w:lang w:eastAsia="en-AU"/>
              </w:rPr>
            </w:pPr>
          </w:p>
        </w:tc>
      </w:tr>
      <w:tr w:rsidR="00233FEA" w:rsidRPr="00024130" w14:paraId="08ADB2CE" w14:textId="77777777" w:rsidTr="003167DC">
        <w:trPr>
          <w:trHeight w:val="317"/>
        </w:trPr>
        <w:tc>
          <w:tcPr>
            <w:tcW w:w="242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7CD04F7"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 xml:space="preserve">Private non-financial </w:t>
            </w:r>
            <w:r>
              <w:rPr>
                <w:rFonts w:ascii="Arial" w:eastAsia="Times New Roman" w:hAnsi="Arial" w:cs="Arial"/>
                <w:sz w:val="20"/>
                <w:szCs w:val="20"/>
                <w:lang w:eastAsia="en-AU"/>
              </w:rPr>
              <w:t>investment funds</w:t>
            </w:r>
          </w:p>
        </w:tc>
        <w:tc>
          <w:tcPr>
            <w:tcW w:w="155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F442369"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Options</w:t>
            </w:r>
          </w:p>
        </w:tc>
        <w:tc>
          <w:tcPr>
            <w:tcW w:w="2480" w:type="dxa"/>
            <w:tcBorders>
              <w:top w:val="single" w:sz="4" w:space="0" w:color="auto"/>
              <w:left w:val="dotDash" w:sz="4" w:space="0" w:color="auto"/>
            </w:tcBorders>
            <w:shd w:val="clear" w:color="auto" w:fill="auto"/>
            <w:vAlign w:val="bottom"/>
          </w:tcPr>
          <w:p w14:paraId="540F6F6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tcBorders>
            <w:vAlign w:val="bottom"/>
          </w:tcPr>
          <w:p w14:paraId="6F3095D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tcBorders>
            <w:vAlign w:val="bottom"/>
          </w:tcPr>
          <w:p w14:paraId="35F1E68C"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tcBorders>
            <w:vAlign w:val="bottom"/>
          </w:tcPr>
          <w:p w14:paraId="1C266998"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4137466"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AB1405D" w14:textId="40A81978"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Private non-financial corporations</w:t>
            </w:r>
          </w:p>
        </w:tc>
        <w:tc>
          <w:tcPr>
            <w:tcW w:w="155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CFED3C0"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Forwards</w:t>
            </w:r>
          </w:p>
        </w:tc>
        <w:tc>
          <w:tcPr>
            <w:tcW w:w="2480" w:type="dxa"/>
            <w:tcBorders>
              <w:left w:val="dotDash" w:sz="4" w:space="0" w:color="auto"/>
            </w:tcBorders>
            <w:shd w:val="clear" w:color="auto" w:fill="auto"/>
            <w:vAlign w:val="bottom"/>
          </w:tcPr>
          <w:p w14:paraId="670E4DC8"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ACAD41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23829F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FADA803"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1FD45AFE"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96549E4"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Private unincorporated businesses</w:t>
            </w:r>
          </w:p>
        </w:tc>
        <w:tc>
          <w:tcPr>
            <w:tcW w:w="155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DD08BB0"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Swaps</w:t>
            </w:r>
          </w:p>
        </w:tc>
        <w:tc>
          <w:tcPr>
            <w:tcW w:w="2480" w:type="dxa"/>
            <w:tcBorders>
              <w:left w:val="dotDash" w:sz="4" w:space="0" w:color="auto"/>
            </w:tcBorders>
            <w:shd w:val="clear" w:color="auto" w:fill="auto"/>
            <w:vAlign w:val="bottom"/>
          </w:tcPr>
          <w:p w14:paraId="448BD34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3360E42"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0BCDD94A"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315A12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88762D5"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0B385A3" w14:textId="0BE5E292"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State and territory local government non-financial corporations</w:t>
            </w:r>
          </w:p>
        </w:tc>
        <w:tc>
          <w:tcPr>
            <w:tcW w:w="155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21A7D01"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Other</w:t>
            </w:r>
          </w:p>
        </w:tc>
        <w:tc>
          <w:tcPr>
            <w:tcW w:w="2480" w:type="dxa"/>
            <w:tcBorders>
              <w:left w:val="dotDash" w:sz="4" w:space="0" w:color="auto"/>
            </w:tcBorders>
            <w:shd w:val="clear" w:color="auto" w:fill="auto"/>
            <w:vAlign w:val="bottom"/>
          </w:tcPr>
          <w:p w14:paraId="7D3A7171"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61EF369"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C6CEA9F"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971A9AE"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8933A3F"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CE7716E" w14:textId="0D31A394"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Commonwealth government non-financial corporations</w:t>
            </w:r>
          </w:p>
        </w:tc>
        <w:tc>
          <w:tcPr>
            <w:tcW w:w="1559" w:type="dxa"/>
            <w:tcBorders>
              <w:top w:val="dotDash" w:sz="4" w:space="0" w:color="auto"/>
              <w:left w:val="dotDash" w:sz="4" w:space="0" w:color="auto"/>
            </w:tcBorders>
            <w:shd w:val="clear" w:color="auto" w:fill="auto"/>
            <w:noWrap/>
            <w:vAlign w:val="bottom"/>
          </w:tcPr>
          <w:p w14:paraId="25F73997" w14:textId="77777777" w:rsidR="00233FEA" w:rsidRPr="00024130" w:rsidRDefault="00233FEA" w:rsidP="003167DC">
            <w:pPr>
              <w:jc w:val="center"/>
              <w:rPr>
                <w:rFonts w:ascii="Arial" w:eastAsia="Times New Roman" w:hAnsi="Arial" w:cs="Arial"/>
                <w:sz w:val="20"/>
                <w:szCs w:val="20"/>
                <w:lang w:eastAsia="en-AU"/>
              </w:rPr>
            </w:pPr>
          </w:p>
        </w:tc>
        <w:tc>
          <w:tcPr>
            <w:tcW w:w="2480" w:type="dxa"/>
            <w:shd w:val="clear" w:color="auto" w:fill="auto"/>
            <w:vAlign w:val="bottom"/>
          </w:tcPr>
          <w:p w14:paraId="18692B47"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15ADF8F8"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E35021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29DBE1D"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0F1505B"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32E6951"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RBA</w:t>
            </w:r>
          </w:p>
        </w:tc>
        <w:tc>
          <w:tcPr>
            <w:tcW w:w="1559" w:type="dxa"/>
            <w:tcBorders>
              <w:left w:val="dotDash" w:sz="4" w:space="0" w:color="auto"/>
            </w:tcBorders>
            <w:shd w:val="clear" w:color="auto" w:fill="auto"/>
            <w:noWrap/>
            <w:vAlign w:val="bottom"/>
          </w:tcPr>
          <w:p w14:paraId="468B0784"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5EAC2A8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0DE8FD4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3E4A2E8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3EE84D7B"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1FFCDBE"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4A4A9BE"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ADIs</w:t>
            </w:r>
          </w:p>
        </w:tc>
        <w:tc>
          <w:tcPr>
            <w:tcW w:w="1559" w:type="dxa"/>
            <w:tcBorders>
              <w:left w:val="dotDash" w:sz="4" w:space="0" w:color="auto"/>
            </w:tcBorders>
            <w:shd w:val="clear" w:color="auto" w:fill="auto"/>
            <w:noWrap/>
            <w:vAlign w:val="bottom"/>
          </w:tcPr>
          <w:p w14:paraId="6C10D36F"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5C8C3B7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0AD12A1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15490F4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EDCA702"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2F8AA38"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D84DFF2"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Registered financial corporations</w:t>
            </w:r>
          </w:p>
        </w:tc>
        <w:tc>
          <w:tcPr>
            <w:tcW w:w="1559" w:type="dxa"/>
            <w:tcBorders>
              <w:left w:val="dotDash" w:sz="4" w:space="0" w:color="auto"/>
            </w:tcBorders>
            <w:shd w:val="clear" w:color="auto" w:fill="auto"/>
            <w:noWrap/>
            <w:vAlign w:val="bottom"/>
          </w:tcPr>
          <w:p w14:paraId="5D900C4C"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7A34A116"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014D542"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A462004"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F470786"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634007D"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8A72100"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Central borrowing authorities</w:t>
            </w:r>
          </w:p>
        </w:tc>
        <w:tc>
          <w:tcPr>
            <w:tcW w:w="1559" w:type="dxa"/>
            <w:tcBorders>
              <w:left w:val="dotDash" w:sz="4" w:space="0" w:color="auto"/>
            </w:tcBorders>
            <w:shd w:val="clear" w:color="auto" w:fill="auto"/>
            <w:noWrap/>
            <w:vAlign w:val="bottom"/>
          </w:tcPr>
          <w:p w14:paraId="3EA9E41A"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16A090E4"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8E32D5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E4ED9B1"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2021D8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979CDC1"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4038E94"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Insurance corporations</w:t>
            </w:r>
          </w:p>
        </w:tc>
        <w:tc>
          <w:tcPr>
            <w:tcW w:w="1559" w:type="dxa"/>
            <w:tcBorders>
              <w:left w:val="dotDash" w:sz="4" w:space="0" w:color="auto"/>
            </w:tcBorders>
            <w:shd w:val="clear" w:color="auto" w:fill="auto"/>
            <w:noWrap/>
            <w:vAlign w:val="bottom"/>
          </w:tcPr>
          <w:p w14:paraId="2781B56F"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361A2BD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51143CE"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263081C"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C3ADE95"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8D8A21A"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0D70D80"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Superannuation funds</w:t>
            </w:r>
          </w:p>
        </w:tc>
        <w:tc>
          <w:tcPr>
            <w:tcW w:w="1559" w:type="dxa"/>
            <w:tcBorders>
              <w:left w:val="dotDash" w:sz="4" w:space="0" w:color="auto"/>
            </w:tcBorders>
            <w:shd w:val="clear" w:color="auto" w:fill="auto"/>
            <w:noWrap/>
            <w:vAlign w:val="bottom"/>
          </w:tcPr>
          <w:p w14:paraId="752DBDAA"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76D21E9C"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5ED509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C3A805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B59387B"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BCC7064"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9CF63A2" w14:textId="6E5B97E0"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Other </w:t>
            </w:r>
            <w:r w:rsidR="00F77471">
              <w:rPr>
                <w:rFonts w:ascii="Arial" w:eastAsia="Times New Roman" w:hAnsi="Arial" w:cs="Arial"/>
                <w:sz w:val="20"/>
                <w:szCs w:val="20"/>
                <w:lang w:eastAsia="en-AU"/>
              </w:rPr>
              <w:t>f</w:t>
            </w:r>
            <w:r w:rsidRPr="00024130">
              <w:rPr>
                <w:rFonts w:ascii="Arial" w:eastAsia="Times New Roman" w:hAnsi="Arial" w:cs="Arial"/>
                <w:sz w:val="20"/>
                <w:szCs w:val="20"/>
                <w:lang w:eastAsia="en-AU"/>
              </w:rPr>
              <w:t>inancial auxiliaries</w:t>
            </w:r>
          </w:p>
        </w:tc>
        <w:tc>
          <w:tcPr>
            <w:tcW w:w="1559" w:type="dxa"/>
            <w:tcBorders>
              <w:left w:val="dotDash" w:sz="4" w:space="0" w:color="auto"/>
            </w:tcBorders>
            <w:shd w:val="clear" w:color="auto" w:fill="auto"/>
            <w:noWrap/>
            <w:vAlign w:val="bottom"/>
          </w:tcPr>
          <w:p w14:paraId="242E33CA"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1B85A2A1"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0BCB09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11CF49E1"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851F90E"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3322B29"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D009228" w14:textId="77777777" w:rsidR="00233FEA" w:rsidRPr="00024130" w:rsidRDefault="00233FEA" w:rsidP="003167DC">
            <w:pPr>
              <w:jc w:val="center"/>
              <w:rPr>
                <w:rFonts w:ascii="Arial" w:eastAsia="Times New Roman" w:hAnsi="Arial" w:cs="Arial"/>
                <w:sz w:val="20"/>
                <w:szCs w:val="20"/>
                <w:lang w:eastAsia="en-AU"/>
              </w:rPr>
            </w:pPr>
            <w:proofErr w:type="spellStart"/>
            <w:r w:rsidRPr="00024130">
              <w:rPr>
                <w:rFonts w:ascii="Arial" w:eastAsia="Times New Roman" w:hAnsi="Arial" w:cs="Arial"/>
                <w:sz w:val="20"/>
                <w:szCs w:val="20"/>
                <w:lang w:eastAsia="en-AU"/>
              </w:rPr>
              <w:t>Securitisers</w:t>
            </w:r>
            <w:proofErr w:type="spellEnd"/>
          </w:p>
        </w:tc>
        <w:tc>
          <w:tcPr>
            <w:tcW w:w="1559" w:type="dxa"/>
            <w:tcBorders>
              <w:left w:val="dotDash" w:sz="4" w:space="0" w:color="auto"/>
            </w:tcBorders>
            <w:shd w:val="clear" w:color="auto" w:fill="auto"/>
            <w:noWrap/>
            <w:vAlign w:val="bottom"/>
          </w:tcPr>
          <w:p w14:paraId="29F3DC9A"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0B62D22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92492E1"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3B23BFD8"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5838FD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3AE0852"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6AE87A1"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Money</w:t>
            </w:r>
            <w:r w:rsidRPr="00024130">
              <w:rPr>
                <w:rFonts w:ascii="Arial" w:eastAsia="Times New Roman" w:hAnsi="Arial" w:cs="Arial"/>
                <w:sz w:val="20"/>
                <w:szCs w:val="20"/>
                <w:lang w:eastAsia="en-AU"/>
              </w:rPr>
              <w:noBreakHyphen/>
              <w:t>market investment funds</w:t>
            </w:r>
          </w:p>
        </w:tc>
        <w:tc>
          <w:tcPr>
            <w:tcW w:w="1559" w:type="dxa"/>
            <w:tcBorders>
              <w:left w:val="dotDash" w:sz="4" w:space="0" w:color="auto"/>
            </w:tcBorders>
            <w:shd w:val="clear" w:color="auto" w:fill="auto"/>
            <w:noWrap/>
            <w:vAlign w:val="bottom"/>
          </w:tcPr>
          <w:p w14:paraId="60960D1F"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778242BD"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B473CC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6F287C3"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314F20E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CEFD829"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68219CB"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lastRenderedPageBreak/>
              <w:t>Non</w:t>
            </w:r>
            <w:r w:rsidRPr="00024130">
              <w:rPr>
                <w:rFonts w:ascii="Arial" w:eastAsia="Times New Roman" w:hAnsi="Arial" w:cs="Arial"/>
                <w:sz w:val="20"/>
                <w:szCs w:val="20"/>
                <w:lang w:eastAsia="en-AU"/>
              </w:rPr>
              <w:noBreakHyphen/>
              <w:t>money</w:t>
            </w:r>
            <w:r w:rsidRPr="00024130">
              <w:rPr>
                <w:rFonts w:ascii="Arial" w:eastAsia="Times New Roman" w:hAnsi="Arial" w:cs="Arial"/>
                <w:sz w:val="20"/>
                <w:szCs w:val="20"/>
                <w:lang w:eastAsia="en-AU"/>
              </w:rPr>
              <w:noBreakHyphen/>
              <w:t>market financial investment funds</w:t>
            </w:r>
          </w:p>
        </w:tc>
        <w:tc>
          <w:tcPr>
            <w:tcW w:w="1559" w:type="dxa"/>
            <w:tcBorders>
              <w:left w:val="dotDash" w:sz="4" w:space="0" w:color="auto"/>
            </w:tcBorders>
            <w:shd w:val="clear" w:color="auto" w:fill="auto"/>
            <w:noWrap/>
            <w:vAlign w:val="bottom"/>
          </w:tcPr>
          <w:p w14:paraId="482438B8"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30A0B89F"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0D77412"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048C94E2"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0385A60"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D5AE98F"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8447B15"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 xml:space="preserve">Financial institutions </w:t>
            </w:r>
            <w:proofErr w:type="spellStart"/>
            <w:r w:rsidRPr="00024130">
              <w:rPr>
                <w:rFonts w:ascii="Arial" w:eastAsia="Times New Roman" w:hAnsi="Arial" w:cs="Arial"/>
                <w:sz w:val="20"/>
                <w:szCs w:val="20"/>
                <w:lang w:eastAsia="en-AU"/>
              </w:rPr>
              <w:t>n.e.c.</w:t>
            </w:r>
            <w:proofErr w:type="spellEnd"/>
          </w:p>
        </w:tc>
        <w:tc>
          <w:tcPr>
            <w:tcW w:w="1559" w:type="dxa"/>
            <w:tcBorders>
              <w:left w:val="dotDash" w:sz="4" w:space="0" w:color="auto"/>
            </w:tcBorders>
            <w:shd w:val="clear" w:color="auto" w:fill="auto"/>
            <w:noWrap/>
            <w:vAlign w:val="bottom"/>
          </w:tcPr>
          <w:p w14:paraId="46329478"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1D76902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8849908"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41EFAD96"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2E319A1"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C63DC7C"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3BF1C5F"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State, territory and local general government</w:t>
            </w:r>
            <w:r w:rsidRPr="00024130" w:rsidDel="003529ED">
              <w:rPr>
                <w:rFonts w:ascii="Arial" w:eastAsia="Times New Roman" w:hAnsi="Arial" w:cs="Arial"/>
                <w:sz w:val="20"/>
                <w:szCs w:val="20"/>
                <w:lang w:eastAsia="en-AU"/>
              </w:rPr>
              <w:t xml:space="preserve"> </w:t>
            </w:r>
          </w:p>
        </w:tc>
        <w:tc>
          <w:tcPr>
            <w:tcW w:w="1559" w:type="dxa"/>
            <w:tcBorders>
              <w:left w:val="dotDash" w:sz="4" w:space="0" w:color="auto"/>
            </w:tcBorders>
            <w:shd w:val="clear" w:color="auto" w:fill="auto"/>
            <w:noWrap/>
            <w:vAlign w:val="bottom"/>
          </w:tcPr>
          <w:p w14:paraId="75B02114"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00F201C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F3B703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064D7D13"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5C40795"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3390F5F"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E0E5678"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 xml:space="preserve">Commonwealth general government </w:t>
            </w:r>
          </w:p>
        </w:tc>
        <w:tc>
          <w:tcPr>
            <w:tcW w:w="1559" w:type="dxa"/>
            <w:tcBorders>
              <w:left w:val="dotDash" w:sz="4" w:space="0" w:color="auto"/>
            </w:tcBorders>
            <w:shd w:val="clear" w:color="auto" w:fill="auto"/>
            <w:noWrap/>
            <w:vAlign w:val="bottom"/>
          </w:tcPr>
          <w:p w14:paraId="5717EFC4"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4C56188E"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1DF8DE13"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6F6C344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51D61AE"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1F485BD0" w14:textId="77777777" w:rsidTr="003167DC">
        <w:trPr>
          <w:trHeight w:val="317"/>
        </w:trPr>
        <w:tc>
          <w:tcPr>
            <w:tcW w:w="242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F0FB46F"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Other resident entities</w:t>
            </w:r>
          </w:p>
        </w:tc>
        <w:tc>
          <w:tcPr>
            <w:tcW w:w="1559" w:type="dxa"/>
            <w:tcBorders>
              <w:left w:val="dotDash" w:sz="4" w:space="0" w:color="auto"/>
            </w:tcBorders>
            <w:shd w:val="clear" w:color="auto" w:fill="auto"/>
            <w:noWrap/>
            <w:vAlign w:val="bottom"/>
          </w:tcPr>
          <w:p w14:paraId="4889E928"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shd w:val="clear" w:color="auto" w:fill="auto"/>
            <w:vAlign w:val="bottom"/>
          </w:tcPr>
          <w:p w14:paraId="6DC26D7C"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56EF1299"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2CA96ECB"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vAlign w:val="bottom"/>
          </w:tcPr>
          <w:p w14:paraId="7B0C3B35"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56FF0CD" w14:textId="77777777" w:rsidTr="003167DC">
        <w:trPr>
          <w:trHeight w:val="317"/>
        </w:trPr>
        <w:tc>
          <w:tcPr>
            <w:tcW w:w="2425" w:type="dxa"/>
            <w:tcBorders>
              <w:top w:val="dotDash" w:sz="4" w:space="0" w:color="auto"/>
            </w:tcBorders>
            <w:shd w:val="clear" w:color="auto" w:fill="auto"/>
            <w:noWrap/>
            <w:vAlign w:val="bottom"/>
          </w:tcPr>
          <w:p w14:paraId="35F70245" w14:textId="77777777" w:rsidR="00233FEA" w:rsidRDefault="00233FEA" w:rsidP="003167DC">
            <w:pPr>
              <w:jc w:val="center"/>
              <w:rPr>
                <w:rFonts w:ascii="Arial" w:eastAsia="Times New Roman" w:hAnsi="Arial" w:cs="Arial"/>
                <w:sz w:val="20"/>
                <w:szCs w:val="20"/>
                <w:lang w:eastAsia="en-AU"/>
              </w:rPr>
            </w:pPr>
          </w:p>
        </w:tc>
        <w:tc>
          <w:tcPr>
            <w:tcW w:w="1559" w:type="dxa"/>
            <w:shd w:val="clear" w:color="auto" w:fill="auto"/>
            <w:noWrap/>
            <w:vAlign w:val="bottom"/>
          </w:tcPr>
          <w:p w14:paraId="601EE463" w14:textId="77777777" w:rsidR="00233FEA" w:rsidRPr="00024130" w:rsidRDefault="00233FEA" w:rsidP="003167DC">
            <w:pPr>
              <w:jc w:val="center"/>
              <w:rPr>
                <w:rFonts w:ascii="Arial" w:eastAsia="Times New Roman" w:hAnsi="Arial" w:cs="Arial"/>
                <w:color w:val="000000"/>
                <w:sz w:val="20"/>
                <w:szCs w:val="20"/>
                <w:lang w:eastAsia="en-AU"/>
              </w:rPr>
            </w:pPr>
          </w:p>
        </w:tc>
        <w:tc>
          <w:tcPr>
            <w:tcW w:w="2480" w:type="dxa"/>
            <w:tcBorders>
              <w:bottom w:val="single" w:sz="4" w:space="0" w:color="auto"/>
            </w:tcBorders>
            <w:shd w:val="clear" w:color="auto" w:fill="auto"/>
            <w:vAlign w:val="bottom"/>
          </w:tcPr>
          <w:p w14:paraId="1C2C8335"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bottom w:val="single" w:sz="4" w:space="0" w:color="auto"/>
            </w:tcBorders>
            <w:vAlign w:val="bottom"/>
          </w:tcPr>
          <w:p w14:paraId="72B2488A"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bottom w:val="single" w:sz="4" w:space="0" w:color="auto"/>
            </w:tcBorders>
            <w:vAlign w:val="bottom"/>
          </w:tcPr>
          <w:p w14:paraId="3C95D07E"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bottom w:val="single" w:sz="4" w:space="0" w:color="auto"/>
            </w:tcBorders>
            <w:vAlign w:val="bottom"/>
          </w:tcPr>
          <w:p w14:paraId="5A6C3D13"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1C6C947" w14:textId="77777777" w:rsidTr="003167DC">
        <w:trPr>
          <w:trHeight w:val="567"/>
        </w:trPr>
        <w:tc>
          <w:tcPr>
            <w:tcW w:w="3984" w:type="dxa"/>
            <w:gridSpan w:val="2"/>
            <w:tcBorders>
              <w:right w:val="single" w:sz="4" w:space="0" w:color="auto"/>
            </w:tcBorders>
            <w:shd w:val="clear" w:color="auto" w:fill="auto"/>
            <w:noWrap/>
            <w:vAlign w:val="center"/>
          </w:tcPr>
          <w:p w14:paraId="3275955B" w14:textId="77777777" w:rsidR="00233FEA" w:rsidRPr="00024130" w:rsidRDefault="00233FEA" w:rsidP="003167DC">
            <w:pPr>
              <w:jc w:val="center"/>
              <w:rPr>
                <w:rFonts w:ascii="Arial" w:eastAsia="Times New Roman" w:hAnsi="Arial" w:cs="Arial"/>
                <w:color w:val="000000"/>
                <w:sz w:val="20"/>
                <w:szCs w:val="20"/>
                <w:lang w:eastAsia="en-AU"/>
              </w:rPr>
            </w:pPr>
            <w:r>
              <w:rPr>
                <w:rFonts w:ascii="Arial" w:eastAsia="Times New Roman" w:hAnsi="Arial" w:cs="Arial"/>
                <w:sz w:val="20"/>
                <w:szCs w:val="20"/>
                <w:lang w:eastAsia="en-AU"/>
              </w:rPr>
              <w:t>2.1. Total derivatives with a gross negative mark to market value</w:t>
            </w:r>
          </w:p>
        </w:tc>
        <w:tc>
          <w:tcPr>
            <w:tcW w:w="2480" w:type="dxa"/>
            <w:tcBorders>
              <w:top w:val="single" w:sz="4" w:space="0" w:color="auto"/>
              <w:left w:val="single" w:sz="4" w:space="0" w:color="auto"/>
              <w:bottom w:val="single" w:sz="4" w:space="0" w:color="auto"/>
              <w:right w:val="single" w:sz="4" w:space="0" w:color="auto"/>
            </w:tcBorders>
            <w:shd w:val="clear" w:color="auto" w:fill="D9D9D9"/>
            <w:vAlign w:val="bottom"/>
          </w:tcPr>
          <w:p w14:paraId="63EF9654"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shd w:val="clear" w:color="auto" w:fill="D9D9D9"/>
            <w:vAlign w:val="bottom"/>
          </w:tcPr>
          <w:p w14:paraId="7966FF49"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shd w:val="clear" w:color="auto" w:fill="D9D9D9"/>
            <w:vAlign w:val="bottom"/>
          </w:tcPr>
          <w:p w14:paraId="7F5C8D80" w14:textId="77777777" w:rsidR="00233FEA" w:rsidRPr="00024130" w:rsidRDefault="00233FEA" w:rsidP="003167DC">
            <w:pPr>
              <w:jc w:val="center"/>
              <w:rPr>
                <w:rFonts w:ascii="Arial" w:eastAsia="Times New Roman" w:hAnsi="Arial" w:cs="Arial"/>
                <w:color w:val="000000"/>
                <w:sz w:val="20"/>
                <w:szCs w:val="20"/>
                <w:lang w:eastAsia="en-AU"/>
              </w:rPr>
            </w:pPr>
          </w:p>
        </w:tc>
        <w:tc>
          <w:tcPr>
            <w:tcW w:w="2481" w:type="dxa"/>
            <w:tcBorders>
              <w:top w:val="single" w:sz="4" w:space="0" w:color="auto"/>
              <w:left w:val="single" w:sz="4" w:space="0" w:color="auto"/>
              <w:bottom w:val="single" w:sz="4" w:space="0" w:color="auto"/>
              <w:right w:val="single" w:sz="4" w:space="0" w:color="auto"/>
            </w:tcBorders>
            <w:shd w:val="clear" w:color="auto" w:fill="D9D9D9"/>
            <w:vAlign w:val="bottom"/>
          </w:tcPr>
          <w:p w14:paraId="1CAD5C9E" w14:textId="77777777" w:rsidR="00233FEA" w:rsidRPr="00024130" w:rsidRDefault="00233FEA" w:rsidP="003167DC">
            <w:pPr>
              <w:jc w:val="center"/>
              <w:rPr>
                <w:rFonts w:ascii="Arial" w:eastAsia="Times New Roman" w:hAnsi="Arial" w:cs="Arial"/>
                <w:color w:val="000000"/>
                <w:sz w:val="20"/>
                <w:szCs w:val="20"/>
                <w:lang w:eastAsia="en-AU"/>
              </w:rPr>
            </w:pPr>
          </w:p>
        </w:tc>
      </w:tr>
    </w:tbl>
    <w:p w14:paraId="02248542" w14:textId="77777777" w:rsidR="00233FEA" w:rsidRDefault="00233FEA" w:rsidP="00233FEA">
      <w:pPr>
        <w:rPr>
          <w:rFonts w:ascii="Arial" w:eastAsia="Times New Roman" w:hAnsi="Arial" w:cs="Arial"/>
          <w:b/>
          <w:lang w:eastAsia="en-AU"/>
        </w:rPr>
      </w:pPr>
    </w:p>
    <w:p w14:paraId="51620D2B" w14:textId="77777777" w:rsidR="00233FEA" w:rsidRDefault="00233FEA" w:rsidP="00233FEA">
      <w:pPr>
        <w:numPr>
          <w:ilvl w:val="0"/>
          <w:numId w:val="15"/>
        </w:numPr>
        <w:rPr>
          <w:rFonts w:ascii="Arial" w:eastAsia="Times New Roman" w:hAnsi="Arial" w:cs="Arial"/>
          <w:lang w:eastAsia="en-AU"/>
        </w:rPr>
      </w:pPr>
      <w:r>
        <w:rPr>
          <w:rFonts w:ascii="Arial" w:eastAsia="Times New Roman" w:hAnsi="Arial" w:cs="Arial"/>
          <w:b/>
          <w:szCs w:val="24"/>
          <w:lang w:eastAsia="en-AU"/>
        </w:rPr>
        <w:t>Derivatives with</w:t>
      </w:r>
      <w:r w:rsidRPr="00024130">
        <w:rPr>
          <w:rFonts w:ascii="Arial" w:eastAsia="Times New Roman" w:hAnsi="Arial" w:cs="Arial"/>
          <w:b/>
          <w:szCs w:val="24"/>
          <w:lang w:eastAsia="en-AU"/>
        </w:rPr>
        <w:t xml:space="preserve"> gross positive </w:t>
      </w:r>
      <w:r>
        <w:rPr>
          <w:rFonts w:ascii="Arial" w:eastAsia="Times New Roman" w:hAnsi="Arial" w:cs="Arial"/>
          <w:b/>
          <w:szCs w:val="24"/>
          <w:lang w:eastAsia="en-AU"/>
        </w:rPr>
        <w:t>mark to market values and non-resident counterparties excluding clearing houses and central counterparties</w:t>
      </w:r>
    </w:p>
    <w:tbl>
      <w:tblPr>
        <w:tblW w:w="13765" w:type="dxa"/>
        <w:tblInd w:w="93" w:type="dxa"/>
        <w:tblLayout w:type="fixed"/>
        <w:tblLook w:val="04A0" w:firstRow="1" w:lastRow="0" w:firstColumn="1" w:lastColumn="0" w:noHBand="0" w:noVBand="1"/>
      </w:tblPr>
      <w:tblGrid>
        <w:gridCol w:w="1911"/>
        <w:gridCol w:w="2268"/>
        <w:gridCol w:w="1508"/>
        <w:gridCol w:w="1983"/>
        <w:gridCol w:w="1984"/>
        <w:gridCol w:w="1843"/>
        <w:gridCol w:w="2268"/>
      </w:tblGrid>
      <w:tr w:rsidR="00233FEA" w:rsidRPr="00024130" w14:paraId="4517FF8C" w14:textId="77777777" w:rsidTr="005D2636">
        <w:trPr>
          <w:trHeight w:val="312"/>
        </w:trPr>
        <w:tc>
          <w:tcPr>
            <w:tcW w:w="1911" w:type="dxa"/>
            <w:vMerge w:val="restart"/>
            <w:tcBorders>
              <w:top w:val="single" w:sz="4" w:space="0" w:color="auto"/>
              <w:left w:val="single" w:sz="4" w:space="0" w:color="auto"/>
              <w:right w:val="single" w:sz="4" w:space="0" w:color="auto"/>
            </w:tcBorders>
            <w:shd w:val="clear" w:color="auto" w:fill="auto"/>
            <w:vAlign w:val="bottom"/>
          </w:tcPr>
          <w:p w14:paraId="4A0BDDB9" w14:textId="77777777" w:rsidR="00233FEA" w:rsidRPr="005D5C83"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Country of non-resident debtor</w:t>
            </w:r>
          </w:p>
        </w:tc>
        <w:tc>
          <w:tcPr>
            <w:tcW w:w="2268" w:type="dxa"/>
            <w:vMerge w:val="restart"/>
            <w:tcBorders>
              <w:top w:val="single" w:sz="4" w:space="0" w:color="auto"/>
              <w:left w:val="nil"/>
              <w:right w:val="single" w:sz="4" w:space="0" w:color="auto"/>
            </w:tcBorders>
            <w:shd w:val="clear" w:color="auto" w:fill="auto"/>
            <w:vAlign w:val="bottom"/>
          </w:tcPr>
          <w:p w14:paraId="4445CD49" w14:textId="67C03E40" w:rsidR="00233FEA" w:rsidRPr="000473B7"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 xml:space="preserve">Opening position: </w:t>
            </w:r>
            <w:r w:rsidR="00240461">
              <w:rPr>
                <w:rFonts w:ascii="Arial" w:eastAsia="Times New Roman" w:hAnsi="Arial" w:cs="Arial"/>
                <w:b/>
                <w:sz w:val="20"/>
                <w:szCs w:val="20"/>
                <w:lang w:eastAsia="en-AU"/>
              </w:rPr>
              <w:t>g</w:t>
            </w:r>
            <w:r w:rsidRPr="005D5C83">
              <w:rPr>
                <w:rFonts w:ascii="Arial" w:eastAsia="Times New Roman" w:hAnsi="Arial" w:cs="Arial"/>
                <w:b/>
                <w:sz w:val="20"/>
                <w:szCs w:val="20"/>
                <w:lang w:eastAsia="en-AU"/>
              </w:rPr>
              <w:t xml:space="preserve">ross positive </w:t>
            </w:r>
            <w:r w:rsidRPr="000473B7">
              <w:rPr>
                <w:rFonts w:ascii="Arial" w:eastAsia="Times New Roman" w:hAnsi="Arial" w:cs="Arial"/>
                <w:b/>
                <w:sz w:val="20"/>
                <w:szCs w:val="20"/>
                <w:lang w:eastAsia="en-AU"/>
              </w:rPr>
              <w:t>mark to market value</w:t>
            </w:r>
          </w:p>
        </w:tc>
        <w:tc>
          <w:tcPr>
            <w:tcW w:w="1508" w:type="dxa"/>
            <w:vMerge w:val="restart"/>
            <w:tcBorders>
              <w:top w:val="single" w:sz="4" w:space="0" w:color="auto"/>
              <w:left w:val="single" w:sz="4" w:space="0" w:color="auto"/>
              <w:right w:val="single" w:sz="4" w:space="0" w:color="auto"/>
            </w:tcBorders>
            <w:vAlign w:val="bottom"/>
          </w:tcPr>
          <w:p w14:paraId="44E14382" w14:textId="77777777" w:rsidR="00233FEA" w:rsidRPr="000473B7" w:rsidRDefault="00233FEA" w:rsidP="003167DC">
            <w:pPr>
              <w:jc w:val="center"/>
              <w:rPr>
                <w:rFonts w:ascii="Arial" w:eastAsia="Times New Roman" w:hAnsi="Arial" w:cs="Arial"/>
                <w:b/>
                <w:sz w:val="20"/>
                <w:szCs w:val="20"/>
                <w:lang w:eastAsia="en-AU"/>
              </w:rPr>
            </w:pPr>
            <w:r w:rsidRPr="000473B7">
              <w:rPr>
                <w:rFonts w:ascii="Arial" w:eastAsia="Times New Roman" w:hAnsi="Arial" w:cs="Arial"/>
                <w:b/>
                <w:sz w:val="20"/>
                <w:szCs w:val="20"/>
                <w:lang w:eastAsia="en-AU"/>
              </w:rPr>
              <w:t xml:space="preserve"> </w:t>
            </w:r>
          </w:p>
          <w:p w14:paraId="10E7B1D7" w14:textId="77777777" w:rsidR="00233FEA" w:rsidRPr="000473B7" w:rsidRDefault="00233FEA" w:rsidP="003167DC">
            <w:pPr>
              <w:jc w:val="center"/>
              <w:rPr>
                <w:rFonts w:ascii="Arial" w:eastAsia="Times New Roman" w:hAnsi="Arial" w:cs="Arial"/>
                <w:b/>
                <w:sz w:val="20"/>
                <w:szCs w:val="20"/>
                <w:lang w:eastAsia="en-AU"/>
              </w:rPr>
            </w:pPr>
            <w:r w:rsidRPr="000473B7">
              <w:rPr>
                <w:rFonts w:ascii="Arial" w:eastAsia="Times New Roman" w:hAnsi="Arial" w:cs="Arial"/>
                <w:b/>
                <w:sz w:val="20"/>
                <w:szCs w:val="20"/>
                <w:lang w:eastAsia="en-AU"/>
              </w:rPr>
              <w:t>Transactions</w:t>
            </w:r>
          </w:p>
        </w:tc>
        <w:tc>
          <w:tcPr>
            <w:tcW w:w="5810" w:type="dxa"/>
            <w:gridSpan w:val="3"/>
            <w:tcBorders>
              <w:top w:val="single" w:sz="4" w:space="0" w:color="auto"/>
              <w:left w:val="single" w:sz="4" w:space="0" w:color="auto"/>
              <w:bottom w:val="single" w:sz="4" w:space="0" w:color="auto"/>
              <w:right w:val="single" w:sz="4" w:space="0" w:color="auto"/>
            </w:tcBorders>
            <w:vAlign w:val="bottom"/>
          </w:tcPr>
          <w:p w14:paraId="239E2FE4" w14:textId="1F07EFB1" w:rsidR="00233FEA" w:rsidRPr="005D5C83"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Valuation and o</w:t>
            </w:r>
            <w:r w:rsidRPr="000473B7">
              <w:rPr>
                <w:rFonts w:ascii="Arial" w:eastAsia="Times New Roman" w:hAnsi="Arial" w:cs="Arial"/>
                <w:b/>
                <w:sz w:val="20"/>
                <w:szCs w:val="20"/>
                <w:lang w:eastAsia="en-AU"/>
              </w:rPr>
              <w:t>ther changes</w:t>
            </w:r>
          </w:p>
        </w:tc>
        <w:tc>
          <w:tcPr>
            <w:tcW w:w="2268" w:type="dxa"/>
            <w:vMerge w:val="restart"/>
            <w:tcBorders>
              <w:top w:val="single" w:sz="4" w:space="0" w:color="auto"/>
              <w:left w:val="single" w:sz="4" w:space="0" w:color="auto"/>
              <w:right w:val="single" w:sz="4" w:space="0" w:color="auto"/>
            </w:tcBorders>
            <w:vAlign w:val="bottom"/>
          </w:tcPr>
          <w:p w14:paraId="06A00CCE" w14:textId="55211390" w:rsidR="00233FEA" w:rsidRPr="000473B7" w:rsidRDefault="00233FEA" w:rsidP="00240461">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 xml:space="preserve">Closing position: </w:t>
            </w:r>
            <w:r w:rsidR="00240461">
              <w:rPr>
                <w:rFonts w:ascii="Arial" w:eastAsia="Times New Roman" w:hAnsi="Arial" w:cs="Arial"/>
                <w:b/>
                <w:sz w:val="20"/>
                <w:szCs w:val="20"/>
                <w:lang w:eastAsia="en-AU"/>
              </w:rPr>
              <w:t>g</w:t>
            </w:r>
            <w:r w:rsidRPr="005D5C83">
              <w:rPr>
                <w:rFonts w:ascii="Arial" w:eastAsia="Times New Roman" w:hAnsi="Arial" w:cs="Arial"/>
                <w:b/>
                <w:sz w:val="20"/>
                <w:szCs w:val="20"/>
                <w:lang w:eastAsia="en-AU"/>
              </w:rPr>
              <w:t xml:space="preserve">ross positive </w:t>
            </w:r>
            <w:r w:rsidRPr="000473B7">
              <w:rPr>
                <w:rFonts w:ascii="Arial" w:eastAsia="Times New Roman" w:hAnsi="Arial" w:cs="Arial"/>
                <w:b/>
                <w:sz w:val="20"/>
                <w:szCs w:val="20"/>
                <w:lang w:eastAsia="en-AU"/>
              </w:rPr>
              <w:t>mark to market value</w:t>
            </w:r>
          </w:p>
        </w:tc>
      </w:tr>
      <w:tr w:rsidR="00233FEA" w:rsidRPr="00024130" w14:paraId="00719A3E" w14:textId="77777777" w:rsidTr="005D2636">
        <w:trPr>
          <w:trHeight w:val="1041"/>
        </w:trPr>
        <w:tc>
          <w:tcPr>
            <w:tcW w:w="1911" w:type="dxa"/>
            <w:vMerge/>
            <w:tcBorders>
              <w:top w:val="single" w:sz="4" w:space="0" w:color="auto"/>
              <w:left w:val="single" w:sz="4" w:space="0" w:color="auto"/>
              <w:right w:val="single" w:sz="4" w:space="0" w:color="auto"/>
            </w:tcBorders>
            <w:shd w:val="clear" w:color="auto" w:fill="auto"/>
            <w:vAlign w:val="center"/>
          </w:tcPr>
          <w:p w14:paraId="44B366FD" w14:textId="77777777" w:rsidR="00233FEA" w:rsidRPr="00024130" w:rsidRDefault="00233FEA" w:rsidP="003167DC">
            <w:pPr>
              <w:jc w:val="center"/>
              <w:rPr>
                <w:rFonts w:ascii="Arial" w:eastAsia="Times New Roman" w:hAnsi="Arial" w:cs="Arial"/>
                <w:b/>
                <w:sz w:val="20"/>
                <w:szCs w:val="20"/>
                <w:lang w:eastAsia="en-AU"/>
              </w:rPr>
            </w:pPr>
          </w:p>
        </w:tc>
        <w:tc>
          <w:tcPr>
            <w:tcW w:w="2268" w:type="dxa"/>
            <w:vMerge/>
            <w:tcBorders>
              <w:top w:val="single" w:sz="4" w:space="0" w:color="auto"/>
              <w:left w:val="nil"/>
              <w:right w:val="single" w:sz="4" w:space="0" w:color="auto"/>
            </w:tcBorders>
            <w:shd w:val="clear" w:color="auto" w:fill="auto"/>
            <w:vAlign w:val="center"/>
          </w:tcPr>
          <w:p w14:paraId="3182DC8A" w14:textId="77777777" w:rsidR="00233FEA" w:rsidRPr="00024130" w:rsidRDefault="00233FEA" w:rsidP="003167DC">
            <w:pPr>
              <w:jc w:val="center"/>
              <w:rPr>
                <w:rFonts w:ascii="Arial" w:eastAsia="Times New Roman" w:hAnsi="Arial" w:cs="Arial"/>
                <w:b/>
                <w:sz w:val="20"/>
                <w:szCs w:val="20"/>
                <w:lang w:eastAsia="en-AU"/>
              </w:rPr>
            </w:pPr>
          </w:p>
        </w:tc>
        <w:tc>
          <w:tcPr>
            <w:tcW w:w="1508" w:type="dxa"/>
            <w:vMerge/>
            <w:tcBorders>
              <w:top w:val="single" w:sz="4" w:space="0" w:color="auto"/>
              <w:left w:val="single" w:sz="4" w:space="0" w:color="auto"/>
              <w:right w:val="single" w:sz="4" w:space="0" w:color="auto"/>
            </w:tcBorders>
            <w:vAlign w:val="center"/>
          </w:tcPr>
          <w:p w14:paraId="045371CE" w14:textId="77777777" w:rsidR="00233FEA" w:rsidRPr="00024130" w:rsidRDefault="00233FEA" w:rsidP="003167DC">
            <w:pPr>
              <w:jc w:val="center"/>
              <w:rPr>
                <w:rFonts w:ascii="Arial" w:eastAsia="Times New Roman" w:hAnsi="Arial" w:cs="Arial"/>
                <w:b/>
                <w:sz w:val="20"/>
                <w:szCs w:val="20"/>
                <w:lang w:eastAsia="en-AU"/>
              </w:rPr>
            </w:pPr>
          </w:p>
        </w:tc>
        <w:tc>
          <w:tcPr>
            <w:tcW w:w="1983" w:type="dxa"/>
            <w:tcBorders>
              <w:top w:val="single" w:sz="4" w:space="0" w:color="auto"/>
              <w:left w:val="single" w:sz="4" w:space="0" w:color="auto"/>
              <w:right w:val="single" w:sz="4" w:space="0" w:color="auto"/>
            </w:tcBorders>
            <w:vAlign w:val="bottom"/>
          </w:tcPr>
          <w:p w14:paraId="10418CE2" w14:textId="77777777" w:rsidR="00233FEA" w:rsidRPr="000473B7"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Market value changes</w:t>
            </w:r>
          </w:p>
        </w:tc>
        <w:tc>
          <w:tcPr>
            <w:tcW w:w="1984" w:type="dxa"/>
            <w:tcBorders>
              <w:top w:val="single" w:sz="4" w:space="0" w:color="auto"/>
              <w:left w:val="single" w:sz="4" w:space="0" w:color="auto"/>
              <w:right w:val="single" w:sz="4" w:space="0" w:color="auto"/>
            </w:tcBorders>
            <w:vAlign w:val="bottom"/>
          </w:tcPr>
          <w:p w14:paraId="3DC6718D" w14:textId="77777777" w:rsidR="00233FEA" w:rsidRPr="000473B7" w:rsidRDefault="00233FEA" w:rsidP="003167DC">
            <w:pPr>
              <w:jc w:val="center"/>
              <w:rPr>
                <w:rFonts w:ascii="Arial" w:eastAsia="Times New Roman" w:hAnsi="Arial" w:cs="Arial"/>
                <w:b/>
                <w:sz w:val="20"/>
                <w:szCs w:val="20"/>
                <w:lang w:eastAsia="en-AU"/>
              </w:rPr>
            </w:pPr>
            <w:r w:rsidRPr="000473B7">
              <w:rPr>
                <w:rFonts w:ascii="Arial" w:eastAsia="Times New Roman" w:hAnsi="Arial" w:cs="Arial"/>
                <w:b/>
                <w:sz w:val="20"/>
                <w:szCs w:val="20"/>
                <w:lang w:eastAsia="en-AU"/>
              </w:rPr>
              <w:t>Exchange rate variations</w:t>
            </w:r>
          </w:p>
        </w:tc>
        <w:tc>
          <w:tcPr>
            <w:tcW w:w="1843" w:type="dxa"/>
            <w:tcBorders>
              <w:top w:val="single" w:sz="4" w:space="0" w:color="auto"/>
              <w:left w:val="single" w:sz="4" w:space="0" w:color="auto"/>
              <w:right w:val="single" w:sz="4" w:space="0" w:color="auto"/>
            </w:tcBorders>
            <w:vAlign w:val="bottom"/>
          </w:tcPr>
          <w:p w14:paraId="00FEF196" w14:textId="4F96C4EC" w:rsidR="00233FEA" w:rsidRPr="005D5C83"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Other changes</w:t>
            </w:r>
          </w:p>
        </w:tc>
        <w:tc>
          <w:tcPr>
            <w:tcW w:w="2268" w:type="dxa"/>
            <w:vMerge/>
            <w:tcBorders>
              <w:left w:val="single" w:sz="4" w:space="0" w:color="auto"/>
              <w:right w:val="single" w:sz="4" w:space="0" w:color="auto"/>
            </w:tcBorders>
            <w:vAlign w:val="center"/>
          </w:tcPr>
          <w:p w14:paraId="4F86C648"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C385E9D" w14:textId="77777777" w:rsidTr="005D2636">
        <w:trPr>
          <w:trHeight w:val="312"/>
        </w:trPr>
        <w:tc>
          <w:tcPr>
            <w:tcW w:w="1911" w:type="dxa"/>
            <w:tcBorders>
              <w:left w:val="single" w:sz="4" w:space="0" w:color="auto"/>
              <w:bottom w:val="single" w:sz="4" w:space="0" w:color="auto"/>
              <w:right w:val="single" w:sz="4" w:space="0" w:color="auto"/>
            </w:tcBorders>
            <w:shd w:val="clear" w:color="auto" w:fill="auto"/>
            <w:vAlign w:val="bottom"/>
          </w:tcPr>
          <w:p w14:paraId="2136F28D"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w:t>
            </w:r>
          </w:p>
        </w:tc>
        <w:tc>
          <w:tcPr>
            <w:tcW w:w="2268" w:type="dxa"/>
            <w:tcBorders>
              <w:left w:val="single" w:sz="4" w:space="0" w:color="auto"/>
              <w:bottom w:val="single" w:sz="4" w:space="0" w:color="auto"/>
              <w:right w:val="single" w:sz="4" w:space="0" w:color="auto"/>
            </w:tcBorders>
            <w:shd w:val="clear" w:color="auto" w:fill="auto"/>
            <w:vAlign w:val="bottom"/>
          </w:tcPr>
          <w:p w14:paraId="5403BD46"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p>
        </w:tc>
        <w:tc>
          <w:tcPr>
            <w:tcW w:w="1508" w:type="dxa"/>
            <w:tcBorders>
              <w:left w:val="single" w:sz="4" w:space="0" w:color="auto"/>
              <w:bottom w:val="single" w:sz="4" w:space="0" w:color="auto"/>
              <w:right w:val="single" w:sz="4" w:space="0" w:color="auto"/>
            </w:tcBorders>
            <w:vAlign w:val="bottom"/>
          </w:tcPr>
          <w:p w14:paraId="2E8118A9"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p>
        </w:tc>
        <w:tc>
          <w:tcPr>
            <w:tcW w:w="1983" w:type="dxa"/>
            <w:tcBorders>
              <w:left w:val="single" w:sz="4" w:space="0" w:color="auto"/>
              <w:bottom w:val="single" w:sz="4" w:space="0" w:color="auto"/>
              <w:right w:val="single" w:sz="4" w:space="0" w:color="auto"/>
            </w:tcBorders>
            <w:vAlign w:val="bottom"/>
          </w:tcPr>
          <w:p w14:paraId="299BCEAF"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(4)</w:t>
            </w:r>
          </w:p>
        </w:tc>
        <w:tc>
          <w:tcPr>
            <w:tcW w:w="1984" w:type="dxa"/>
            <w:tcBorders>
              <w:left w:val="single" w:sz="4" w:space="0" w:color="auto"/>
              <w:bottom w:val="single" w:sz="4" w:space="0" w:color="auto"/>
              <w:right w:val="single" w:sz="4" w:space="0" w:color="auto"/>
            </w:tcBorders>
            <w:vAlign w:val="bottom"/>
          </w:tcPr>
          <w:p w14:paraId="5954C765"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(5)</w:t>
            </w:r>
          </w:p>
        </w:tc>
        <w:tc>
          <w:tcPr>
            <w:tcW w:w="1843" w:type="dxa"/>
            <w:tcBorders>
              <w:left w:val="single" w:sz="4" w:space="0" w:color="auto"/>
              <w:bottom w:val="single" w:sz="4" w:space="0" w:color="auto"/>
              <w:right w:val="single" w:sz="4" w:space="0" w:color="auto"/>
            </w:tcBorders>
            <w:vAlign w:val="bottom"/>
          </w:tcPr>
          <w:p w14:paraId="247253E5"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c>
          <w:tcPr>
            <w:tcW w:w="2268" w:type="dxa"/>
            <w:tcBorders>
              <w:left w:val="single" w:sz="4" w:space="0" w:color="auto"/>
              <w:bottom w:val="single" w:sz="4" w:space="0" w:color="auto"/>
              <w:right w:val="single" w:sz="4" w:space="0" w:color="auto"/>
            </w:tcBorders>
            <w:vAlign w:val="bottom"/>
          </w:tcPr>
          <w:p w14:paraId="510948BD"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r>
      <w:tr w:rsidR="00233FEA" w:rsidRPr="00024130" w14:paraId="3955D7C9" w14:textId="77777777" w:rsidTr="003167DC">
        <w:trPr>
          <w:trHeight w:val="312"/>
        </w:trPr>
        <w:tc>
          <w:tcPr>
            <w:tcW w:w="1911" w:type="dxa"/>
            <w:tcBorders>
              <w:top w:val="single" w:sz="4" w:space="0" w:color="auto"/>
              <w:left w:val="single" w:sz="4" w:space="0" w:color="auto"/>
              <w:bottom w:val="single" w:sz="4" w:space="0" w:color="auto"/>
              <w:right w:val="single" w:sz="4" w:space="0" w:color="auto"/>
            </w:tcBorders>
            <w:shd w:val="clear" w:color="auto" w:fill="auto"/>
            <w:vAlign w:val="bottom"/>
          </w:tcPr>
          <w:p w14:paraId="499292B6" w14:textId="77777777" w:rsidR="00233FEA" w:rsidRDefault="00233FEA" w:rsidP="003167DC">
            <w:pPr>
              <w:jc w:val="center"/>
              <w:rPr>
                <w:rFonts w:ascii="Arial" w:eastAsia="Times New Roman" w:hAnsi="Arial" w:cs="Arial"/>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7133CB1"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top w:val="single" w:sz="4" w:space="0" w:color="auto"/>
              <w:left w:val="single" w:sz="4" w:space="0" w:color="auto"/>
              <w:bottom w:val="single" w:sz="4" w:space="0" w:color="auto"/>
              <w:right w:val="single" w:sz="4" w:space="0" w:color="auto"/>
            </w:tcBorders>
            <w:vAlign w:val="bottom"/>
          </w:tcPr>
          <w:p w14:paraId="580C0D58" w14:textId="77777777" w:rsidR="00233FEA" w:rsidRPr="00024130" w:rsidRDefault="00233FEA" w:rsidP="003167DC">
            <w:pPr>
              <w:jc w:val="center"/>
              <w:rPr>
                <w:rFonts w:ascii="Arial" w:eastAsia="Times New Roman" w:hAnsi="Arial" w:cs="Arial"/>
                <w:b/>
                <w:sz w:val="20"/>
                <w:szCs w:val="20"/>
                <w:lang w:eastAsia="en-AU"/>
              </w:rPr>
            </w:pPr>
          </w:p>
        </w:tc>
        <w:tc>
          <w:tcPr>
            <w:tcW w:w="1983" w:type="dxa"/>
            <w:tcBorders>
              <w:top w:val="single" w:sz="4" w:space="0" w:color="auto"/>
              <w:left w:val="single" w:sz="4" w:space="0" w:color="auto"/>
              <w:bottom w:val="single" w:sz="4" w:space="0" w:color="auto"/>
              <w:right w:val="single" w:sz="4" w:space="0" w:color="auto"/>
            </w:tcBorders>
            <w:vAlign w:val="bottom"/>
          </w:tcPr>
          <w:p w14:paraId="6168C7E7"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top w:val="single" w:sz="4" w:space="0" w:color="auto"/>
              <w:left w:val="single" w:sz="4" w:space="0" w:color="auto"/>
              <w:bottom w:val="single" w:sz="4" w:space="0" w:color="auto"/>
              <w:right w:val="single" w:sz="4" w:space="0" w:color="auto"/>
            </w:tcBorders>
            <w:vAlign w:val="bottom"/>
          </w:tcPr>
          <w:p w14:paraId="0BC9C815"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top w:val="single" w:sz="4" w:space="0" w:color="auto"/>
              <w:left w:val="single" w:sz="4" w:space="0" w:color="auto"/>
              <w:bottom w:val="single" w:sz="4" w:space="0" w:color="auto"/>
              <w:right w:val="single" w:sz="4" w:space="0" w:color="auto"/>
            </w:tcBorders>
            <w:vAlign w:val="bottom"/>
          </w:tcPr>
          <w:p w14:paraId="570D74F7"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vAlign w:val="bottom"/>
          </w:tcPr>
          <w:p w14:paraId="3A4D0F6F"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09438CEB" w14:textId="77777777" w:rsidTr="003167DC">
        <w:trPr>
          <w:trHeight w:val="312"/>
        </w:trPr>
        <w:tc>
          <w:tcPr>
            <w:tcW w:w="1911" w:type="dxa"/>
            <w:tcBorders>
              <w:top w:val="single" w:sz="4" w:space="0" w:color="auto"/>
              <w:left w:val="dashed" w:sz="4" w:space="0" w:color="auto"/>
              <w:bottom w:val="dashed" w:sz="4" w:space="0" w:color="auto"/>
              <w:right w:val="dashed" w:sz="4" w:space="0" w:color="auto"/>
            </w:tcBorders>
            <w:shd w:val="clear" w:color="auto" w:fill="auto"/>
            <w:vAlign w:val="bottom"/>
          </w:tcPr>
          <w:p w14:paraId="2D441848" w14:textId="77777777" w:rsidR="00233FEA" w:rsidRPr="00C11FC2"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Country list </w:t>
            </w:r>
          </w:p>
        </w:tc>
        <w:tc>
          <w:tcPr>
            <w:tcW w:w="2268" w:type="dxa"/>
            <w:tcBorders>
              <w:top w:val="single" w:sz="4" w:space="0" w:color="auto"/>
              <w:left w:val="dashed" w:sz="4" w:space="0" w:color="auto"/>
            </w:tcBorders>
            <w:shd w:val="clear" w:color="auto" w:fill="auto"/>
            <w:vAlign w:val="bottom"/>
          </w:tcPr>
          <w:p w14:paraId="286448F7"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top w:val="single" w:sz="4" w:space="0" w:color="auto"/>
            </w:tcBorders>
            <w:vAlign w:val="bottom"/>
          </w:tcPr>
          <w:p w14:paraId="2A4FF829" w14:textId="77777777" w:rsidR="00233FEA" w:rsidRPr="00024130" w:rsidRDefault="00233FEA" w:rsidP="003167DC">
            <w:pPr>
              <w:jc w:val="center"/>
              <w:rPr>
                <w:rFonts w:ascii="Arial" w:eastAsia="Times New Roman" w:hAnsi="Arial" w:cs="Arial"/>
                <w:b/>
                <w:sz w:val="20"/>
                <w:szCs w:val="20"/>
                <w:lang w:eastAsia="en-AU"/>
              </w:rPr>
            </w:pPr>
          </w:p>
        </w:tc>
        <w:tc>
          <w:tcPr>
            <w:tcW w:w="1983" w:type="dxa"/>
            <w:tcBorders>
              <w:top w:val="single" w:sz="4" w:space="0" w:color="auto"/>
            </w:tcBorders>
            <w:vAlign w:val="bottom"/>
          </w:tcPr>
          <w:p w14:paraId="58EFFADC"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top w:val="single" w:sz="4" w:space="0" w:color="auto"/>
            </w:tcBorders>
            <w:vAlign w:val="bottom"/>
          </w:tcPr>
          <w:p w14:paraId="0977AC15"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top w:val="single" w:sz="4" w:space="0" w:color="auto"/>
            </w:tcBorders>
            <w:vAlign w:val="bottom"/>
          </w:tcPr>
          <w:p w14:paraId="4F115328"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top w:val="single" w:sz="4" w:space="0" w:color="auto"/>
            </w:tcBorders>
            <w:vAlign w:val="bottom"/>
          </w:tcPr>
          <w:p w14:paraId="66B001D7"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0BF0CA8" w14:textId="77777777" w:rsidTr="003167DC">
        <w:trPr>
          <w:trHeight w:val="312"/>
        </w:trPr>
        <w:tc>
          <w:tcPr>
            <w:tcW w:w="1911" w:type="dxa"/>
            <w:tcBorders>
              <w:top w:val="dashed" w:sz="4" w:space="0" w:color="auto"/>
              <w:left w:val="dashed" w:sz="4" w:space="0" w:color="auto"/>
              <w:bottom w:val="dashed" w:sz="4" w:space="0" w:color="auto"/>
              <w:right w:val="dashed" w:sz="4" w:space="0" w:color="auto"/>
            </w:tcBorders>
            <w:shd w:val="clear" w:color="auto" w:fill="auto"/>
            <w:vAlign w:val="bottom"/>
          </w:tcPr>
          <w:p w14:paraId="7F81D7DA"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Afghanistan </w:t>
            </w:r>
          </w:p>
        </w:tc>
        <w:tc>
          <w:tcPr>
            <w:tcW w:w="2268" w:type="dxa"/>
            <w:tcBorders>
              <w:left w:val="dashed" w:sz="4" w:space="0" w:color="auto"/>
            </w:tcBorders>
            <w:shd w:val="clear" w:color="auto" w:fill="auto"/>
            <w:vAlign w:val="bottom"/>
          </w:tcPr>
          <w:p w14:paraId="3342C726"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23DEC783" w14:textId="77777777" w:rsidR="00233FEA" w:rsidRPr="00024130" w:rsidRDefault="00233FEA" w:rsidP="003167DC">
            <w:pPr>
              <w:jc w:val="center"/>
              <w:rPr>
                <w:rFonts w:ascii="Arial" w:eastAsia="Times New Roman" w:hAnsi="Arial" w:cs="Arial"/>
                <w:b/>
                <w:sz w:val="20"/>
                <w:szCs w:val="20"/>
                <w:lang w:eastAsia="en-AU"/>
              </w:rPr>
            </w:pPr>
          </w:p>
        </w:tc>
        <w:tc>
          <w:tcPr>
            <w:tcW w:w="1983" w:type="dxa"/>
            <w:vAlign w:val="bottom"/>
          </w:tcPr>
          <w:p w14:paraId="3498A3BD"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5ECE5782"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2D000BDE"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75D3FDDD" w14:textId="77777777" w:rsidR="00233FEA" w:rsidRPr="005D5C83" w:rsidRDefault="00233FEA" w:rsidP="003167DC">
            <w:pPr>
              <w:jc w:val="center"/>
              <w:rPr>
                <w:rFonts w:ascii="Arial" w:eastAsia="Times New Roman" w:hAnsi="Arial" w:cs="Arial"/>
                <w:b/>
                <w:sz w:val="20"/>
                <w:szCs w:val="20"/>
                <w:lang w:eastAsia="en-AU"/>
              </w:rPr>
            </w:pPr>
          </w:p>
        </w:tc>
      </w:tr>
      <w:tr w:rsidR="00233FEA" w:rsidRPr="00024130" w14:paraId="42FEE217" w14:textId="77777777" w:rsidTr="003167DC">
        <w:trPr>
          <w:trHeight w:val="312"/>
        </w:trPr>
        <w:tc>
          <w:tcPr>
            <w:tcW w:w="1911" w:type="dxa"/>
            <w:tcBorders>
              <w:top w:val="dashed" w:sz="4" w:space="0" w:color="auto"/>
              <w:left w:val="dashed" w:sz="4" w:space="0" w:color="auto"/>
              <w:bottom w:val="dashed" w:sz="4" w:space="0" w:color="auto"/>
              <w:right w:val="dashed" w:sz="4" w:space="0" w:color="auto"/>
            </w:tcBorders>
            <w:shd w:val="clear" w:color="auto" w:fill="auto"/>
            <w:vAlign w:val="bottom"/>
          </w:tcPr>
          <w:p w14:paraId="1C556F29"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Albania</w:t>
            </w:r>
          </w:p>
        </w:tc>
        <w:tc>
          <w:tcPr>
            <w:tcW w:w="2268" w:type="dxa"/>
            <w:tcBorders>
              <w:left w:val="dashed" w:sz="4" w:space="0" w:color="auto"/>
            </w:tcBorders>
            <w:shd w:val="clear" w:color="auto" w:fill="auto"/>
            <w:vAlign w:val="bottom"/>
          </w:tcPr>
          <w:p w14:paraId="1496417A"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635AA708" w14:textId="77777777" w:rsidR="00233FEA" w:rsidRPr="00024130" w:rsidRDefault="00233FEA" w:rsidP="003167DC">
            <w:pPr>
              <w:jc w:val="center"/>
              <w:rPr>
                <w:rFonts w:ascii="Arial" w:eastAsia="Times New Roman" w:hAnsi="Arial" w:cs="Arial"/>
                <w:b/>
                <w:sz w:val="20"/>
                <w:szCs w:val="20"/>
                <w:lang w:eastAsia="en-AU"/>
              </w:rPr>
            </w:pPr>
          </w:p>
        </w:tc>
        <w:tc>
          <w:tcPr>
            <w:tcW w:w="1983" w:type="dxa"/>
            <w:vAlign w:val="bottom"/>
          </w:tcPr>
          <w:p w14:paraId="27C6C336"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0F3BB846"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01191E1D"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3BA4F95B"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73DE7F7" w14:textId="77777777" w:rsidTr="003167DC">
        <w:trPr>
          <w:trHeight w:val="312"/>
        </w:trPr>
        <w:tc>
          <w:tcPr>
            <w:tcW w:w="1911" w:type="dxa"/>
            <w:tcBorders>
              <w:top w:val="dashed" w:sz="4" w:space="0" w:color="auto"/>
              <w:left w:val="dashed" w:sz="4" w:space="0" w:color="auto"/>
              <w:bottom w:val="dashed" w:sz="4" w:space="0" w:color="auto"/>
              <w:right w:val="dashed" w:sz="4" w:space="0" w:color="auto"/>
            </w:tcBorders>
            <w:shd w:val="clear" w:color="auto" w:fill="auto"/>
            <w:vAlign w:val="bottom"/>
          </w:tcPr>
          <w:p w14:paraId="47345CFA" w14:textId="77777777" w:rsidR="00233FEA" w:rsidRPr="00C11FC2" w:rsidRDefault="00233FEA" w:rsidP="003167DC">
            <w:pPr>
              <w:jc w:val="center"/>
              <w:rPr>
                <w:rFonts w:ascii="Wingdings 3" w:eastAsia="Times New Roman" w:hAnsi="Wingdings 3" w:cs="Arial"/>
                <w:sz w:val="20"/>
                <w:szCs w:val="20"/>
                <w:lang w:eastAsia="en-AU"/>
              </w:rPr>
            </w:pPr>
            <w:r>
              <w:rPr>
                <w:rFonts w:ascii="Wingdings 3" w:eastAsia="Times New Roman" w:hAnsi="Wingdings 3" w:cs="Arial"/>
                <w:sz w:val="20"/>
                <w:szCs w:val="20"/>
                <w:lang w:eastAsia="en-AU"/>
              </w:rPr>
              <w:t></w:t>
            </w:r>
          </w:p>
        </w:tc>
        <w:tc>
          <w:tcPr>
            <w:tcW w:w="2268" w:type="dxa"/>
            <w:tcBorders>
              <w:left w:val="dashed" w:sz="4" w:space="0" w:color="auto"/>
            </w:tcBorders>
            <w:shd w:val="clear" w:color="auto" w:fill="auto"/>
            <w:vAlign w:val="bottom"/>
          </w:tcPr>
          <w:p w14:paraId="3EDFCDBE"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2AE4D395" w14:textId="77777777" w:rsidR="00233FEA" w:rsidRPr="00024130" w:rsidRDefault="00233FEA" w:rsidP="003167DC">
            <w:pPr>
              <w:jc w:val="center"/>
              <w:rPr>
                <w:rFonts w:ascii="Arial" w:eastAsia="Times New Roman" w:hAnsi="Arial" w:cs="Arial"/>
                <w:b/>
                <w:sz w:val="20"/>
                <w:szCs w:val="20"/>
                <w:lang w:eastAsia="en-AU"/>
              </w:rPr>
            </w:pPr>
          </w:p>
        </w:tc>
        <w:tc>
          <w:tcPr>
            <w:tcW w:w="1983" w:type="dxa"/>
            <w:vAlign w:val="bottom"/>
          </w:tcPr>
          <w:p w14:paraId="2795C1A3"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37326122"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22C523CE"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7FFB5020"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5498CBD1" w14:textId="77777777" w:rsidTr="003167DC">
        <w:trPr>
          <w:trHeight w:val="312"/>
        </w:trPr>
        <w:tc>
          <w:tcPr>
            <w:tcW w:w="1911" w:type="dxa"/>
            <w:tcBorders>
              <w:top w:val="dashed" w:sz="4" w:space="0" w:color="auto"/>
              <w:left w:val="dashed" w:sz="4" w:space="0" w:color="auto"/>
              <w:bottom w:val="dashed" w:sz="4" w:space="0" w:color="auto"/>
              <w:right w:val="dashed" w:sz="4" w:space="0" w:color="auto"/>
            </w:tcBorders>
            <w:shd w:val="clear" w:color="auto" w:fill="auto"/>
            <w:vAlign w:val="bottom"/>
          </w:tcPr>
          <w:p w14:paraId="4CF8D0D0" w14:textId="77777777" w:rsidR="00233FEA" w:rsidRDefault="00233FEA" w:rsidP="003167DC">
            <w:pPr>
              <w:jc w:val="center"/>
              <w:rPr>
                <w:rFonts w:ascii="Wingdings 3" w:eastAsia="Times New Roman" w:hAnsi="Wingdings 3" w:cs="Arial"/>
                <w:sz w:val="20"/>
                <w:szCs w:val="20"/>
                <w:lang w:eastAsia="en-AU"/>
              </w:rPr>
            </w:pPr>
          </w:p>
        </w:tc>
        <w:tc>
          <w:tcPr>
            <w:tcW w:w="2268" w:type="dxa"/>
            <w:tcBorders>
              <w:left w:val="dashed" w:sz="4" w:space="0" w:color="auto"/>
            </w:tcBorders>
            <w:shd w:val="clear" w:color="auto" w:fill="auto"/>
            <w:vAlign w:val="bottom"/>
          </w:tcPr>
          <w:p w14:paraId="006F8C7D"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526D517B" w14:textId="77777777" w:rsidR="00233FEA" w:rsidRPr="00024130" w:rsidRDefault="00233FEA" w:rsidP="003167DC">
            <w:pPr>
              <w:jc w:val="center"/>
              <w:rPr>
                <w:rFonts w:ascii="Arial" w:eastAsia="Times New Roman" w:hAnsi="Arial" w:cs="Arial"/>
                <w:b/>
                <w:sz w:val="20"/>
                <w:szCs w:val="20"/>
                <w:lang w:eastAsia="en-AU"/>
              </w:rPr>
            </w:pPr>
          </w:p>
        </w:tc>
        <w:tc>
          <w:tcPr>
            <w:tcW w:w="1983" w:type="dxa"/>
            <w:vAlign w:val="bottom"/>
          </w:tcPr>
          <w:p w14:paraId="46DBACC2"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747F61F2"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55DD6817"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29EF18D7"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70BA6690" w14:textId="77777777" w:rsidTr="003167DC">
        <w:trPr>
          <w:trHeight w:val="312"/>
        </w:trPr>
        <w:tc>
          <w:tcPr>
            <w:tcW w:w="1911" w:type="dxa"/>
            <w:tcBorders>
              <w:top w:val="dashed" w:sz="4" w:space="0" w:color="auto"/>
            </w:tcBorders>
            <w:shd w:val="clear" w:color="auto" w:fill="auto"/>
            <w:vAlign w:val="bottom"/>
          </w:tcPr>
          <w:p w14:paraId="04CFF75B" w14:textId="77777777" w:rsidR="00233FEA" w:rsidRDefault="00233FEA" w:rsidP="003167DC">
            <w:pPr>
              <w:jc w:val="center"/>
              <w:rPr>
                <w:rFonts w:ascii="Wingdings 3" w:eastAsia="Times New Roman" w:hAnsi="Wingdings 3" w:cs="Arial"/>
                <w:sz w:val="20"/>
                <w:szCs w:val="20"/>
                <w:lang w:eastAsia="en-AU"/>
              </w:rPr>
            </w:pPr>
          </w:p>
        </w:tc>
        <w:tc>
          <w:tcPr>
            <w:tcW w:w="2268" w:type="dxa"/>
            <w:tcBorders>
              <w:bottom w:val="single" w:sz="4" w:space="0" w:color="auto"/>
            </w:tcBorders>
            <w:shd w:val="clear" w:color="auto" w:fill="auto"/>
            <w:vAlign w:val="bottom"/>
          </w:tcPr>
          <w:p w14:paraId="39511D26"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bottom w:val="single" w:sz="4" w:space="0" w:color="auto"/>
            </w:tcBorders>
            <w:vAlign w:val="bottom"/>
          </w:tcPr>
          <w:p w14:paraId="77D81265" w14:textId="77777777" w:rsidR="00233FEA" w:rsidRPr="00024130" w:rsidRDefault="00233FEA" w:rsidP="003167DC">
            <w:pPr>
              <w:jc w:val="center"/>
              <w:rPr>
                <w:rFonts w:ascii="Arial" w:eastAsia="Times New Roman" w:hAnsi="Arial" w:cs="Arial"/>
                <w:b/>
                <w:sz w:val="20"/>
                <w:szCs w:val="20"/>
                <w:lang w:eastAsia="en-AU"/>
              </w:rPr>
            </w:pPr>
          </w:p>
        </w:tc>
        <w:tc>
          <w:tcPr>
            <w:tcW w:w="1983" w:type="dxa"/>
            <w:tcBorders>
              <w:bottom w:val="single" w:sz="4" w:space="0" w:color="auto"/>
            </w:tcBorders>
            <w:vAlign w:val="bottom"/>
          </w:tcPr>
          <w:p w14:paraId="3746937E"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bottom w:val="single" w:sz="4" w:space="0" w:color="auto"/>
            </w:tcBorders>
            <w:vAlign w:val="bottom"/>
          </w:tcPr>
          <w:p w14:paraId="29952AB5"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bottom w:val="single" w:sz="4" w:space="0" w:color="auto"/>
            </w:tcBorders>
            <w:vAlign w:val="bottom"/>
          </w:tcPr>
          <w:p w14:paraId="5A9424BD"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bottom w:val="single" w:sz="4" w:space="0" w:color="auto"/>
            </w:tcBorders>
            <w:vAlign w:val="bottom"/>
          </w:tcPr>
          <w:p w14:paraId="00524F57"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5C052752" w14:textId="77777777" w:rsidTr="003167DC">
        <w:trPr>
          <w:trHeight w:val="312"/>
        </w:trPr>
        <w:tc>
          <w:tcPr>
            <w:tcW w:w="1911" w:type="dxa"/>
            <w:tcBorders>
              <w:right w:val="single" w:sz="4" w:space="0" w:color="auto"/>
            </w:tcBorders>
            <w:shd w:val="clear" w:color="auto" w:fill="auto"/>
            <w:vAlign w:val="bottom"/>
          </w:tcPr>
          <w:p w14:paraId="39FD97BA" w14:textId="77777777" w:rsidR="00233FEA" w:rsidRPr="00B61A89"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3.1. </w:t>
            </w:r>
            <w:r w:rsidRPr="00B61A89">
              <w:rPr>
                <w:rFonts w:ascii="Arial" w:eastAsia="Times New Roman" w:hAnsi="Arial" w:cs="Arial"/>
                <w:sz w:val="20"/>
                <w:szCs w:val="20"/>
                <w:lang w:eastAsia="en-AU"/>
              </w:rPr>
              <w:t>T</w:t>
            </w:r>
            <w:r>
              <w:rPr>
                <w:rFonts w:ascii="Arial" w:eastAsia="Times New Roman" w:hAnsi="Arial" w:cs="Arial"/>
                <w:sz w:val="20"/>
                <w:szCs w:val="20"/>
                <w:lang w:eastAsia="en-AU"/>
              </w:rPr>
              <w:t xml:space="preserve">otal derivatives with a gross positive </w:t>
            </w:r>
            <w:r>
              <w:rPr>
                <w:rFonts w:ascii="Arial" w:eastAsia="Times New Roman" w:hAnsi="Arial" w:cs="Arial"/>
                <w:sz w:val="20"/>
                <w:szCs w:val="20"/>
                <w:lang w:eastAsia="en-AU"/>
              </w:rPr>
              <w:lastRenderedPageBreak/>
              <w:t>mark to market value</w:t>
            </w:r>
          </w:p>
        </w:tc>
        <w:tc>
          <w:tcPr>
            <w:tcW w:w="2268" w:type="dxa"/>
            <w:tcBorders>
              <w:top w:val="single" w:sz="4" w:space="0" w:color="auto"/>
              <w:left w:val="single" w:sz="4" w:space="0" w:color="auto"/>
              <w:bottom w:val="single" w:sz="4" w:space="0" w:color="auto"/>
              <w:right w:val="single" w:sz="4" w:space="0" w:color="auto"/>
            </w:tcBorders>
            <w:shd w:val="clear" w:color="auto" w:fill="D9D9D9"/>
            <w:vAlign w:val="bottom"/>
          </w:tcPr>
          <w:p w14:paraId="50B294B5" w14:textId="77777777" w:rsidR="00233FEA" w:rsidRPr="00CE30F3" w:rsidRDefault="00233FEA" w:rsidP="003167DC">
            <w:pPr>
              <w:jc w:val="center"/>
              <w:rPr>
                <w:rFonts w:ascii="Arial" w:eastAsia="Times New Roman" w:hAnsi="Arial" w:cs="Arial"/>
                <w:sz w:val="20"/>
                <w:szCs w:val="20"/>
                <w:lang w:eastAsia="en-AU"/>
              </w:rPr>
            </w:pPr>
          </w:p>
        </w:tc>
        <w:tc>
          <w:tcPr>
            <w:tcW w:w="1508" w:type="dxa"/>
            <w:tcBorders>
              <w:top w:val="single" w:sz="4" w:space="0" w:color="auto"/>
              <w:left w:val="single" w:sz="4" w:space="0" w:color="auto"/>
              <w:bottom w:val="single" w:sz="4" w:space="0" w:color="auto"/>
              <w:right w:val="single" w:sz="4" w:space="0" w:color="auto"/>
            </w:tcBorders>
            <w:shd w:val="clear" w:color="auto" w:fill="D9D9D9"/>
            <w:vAlign w:val="bottom"/>
          </w:tcPr>
          <w:p w14:paraId="6DFFD14C" w14:textId="77777777" w:rsidR="00233FEA" w:rsidRPr="00024130" w:rsidRDefault="00233FEA" w:rsidP="003167DC">
            <w:pPr>
              <w:jc w:val="center"/>
              <w:rPr>
                <w:rFonts w:ascii="Arial" w:eastAsia="Times New Roman" w:hAnsi="Arial" w:cs="Arial"/>
                <w:b/>
                <w:sz w:val="20"/>
                <w:szCs w:val="20"/>
                <w:lang w:eastAsia="en-AU"/>
              </w:rPr>
            </w:pPr>
          </w:p>
        </w:tc>
        <w:tc>
          <w:tcPr>
            <w:tcW w:w="1983" w:type="dxa"/>
            <w:tcBorders>
              <w:top w:val="single" w:sz="4" w:space="0" w:color="auto"/>
              <w:left w:val="single" w:sz="4" w:space="0" w:color="auto"/>
              <w:bottom w:val="single" w:sz="4" w:space="0" w:color="auto"/>
              <w:right w:val="single" w:sz="4" w:space="0" w:color="auto"/>
            </w:tcBorders>
            <w:shd w:val="clear" w:color="auto" w:fill="D9D9D9"/>
            <w:vAlign w:val="bottom"/>
          </w:tcPr>
          <w:p w14:paraId="0A0D3FE2"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top w:val="single" w:sz="4" w:space="0" w:color="auto"/>
              <w:left w:val="single" w:sz="4" w:space="0" w:color="auto"/>
              <w:bottom w:val="single" w:sz="4" w:space="0" w:color="auto"/>
              <w:right w:val="single" w:sz="4" w:space="0" w:color="auto"/>
            </w:tcBorders>
            <w:shd w:val="clear" w:color="auto" w:fill="D9D9D9"/>
            <w:vAlign w:val="bottom"/>
          </w:tcPr>
          <w:p w14:paraId="39586A8A"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top w:val="single" w:sz="4" w:space="0" w:color="auto"/>
              <w:left w:val="single" w:sz="4" w:space="0" w:color="auto"/>
              <w:bottom w:val="single" w:sz="4" w:space="0" w:color="auto"/>
              <w:right w:val="single" w:sz="4" w:space="0" w:color="auto"/>
            </w:tcBorders>
            <w:shd w:val="clear" w:color="auto" w:fill="D9D9D9"/>
            <w:vAlign w:val="bottom"/>
          </w:tcPr>
          <w:p w14:paraId="0FFBF4C5"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D9D9D9"/>
            <w:vAlign w:val="bottom"/>
          </w:tcPr>
          <w:p w14:paraId="4FE9EBBA" w14:textId="77777777" w:rsidR="00233FEA" w:rsidRPr="00024130" w:rsidRDefault="00233FEA" w:rsidP="003167DC">
            <w:pPr>
              <w:jc w:val="center"/>
              <w:rPr>
                <w:rFonts w:ascii="Arial" w:eastAsia="Times New Roman" w:hAnsi="Arial" w:cs="Arial"/>
                <w:b/>
                <w:sz w:val="20"/>
                <w:szCs w:val="20"/>
                <w:lang w:eastAsia="en-AU"/>
              </w:rPr>
            </w:pPr>
          </w:p>
        </w:tc>
      </w:tr>
    </w:tbl>
    <w:p w14:paraId="4CC24C14" w14:textId="77777777" w:rsidR="00233FEA" w:rsidRDefault="00233FEA" w:rsidP="00233FEA">
      <w:pPr>
        <w:rPr>
          <w:rFonts w:ascii="Arial" w:eastAsia="Times New Roman" w:hAnsi="Arial" w:cs="Arial"/>
          <w:b/>
          <w:u w:val="single"/>
          <w:lang w:eastAsia="en-AU"/>
        </w:rPr>
      </w:pPr>
    </w:p>
    <w:p w14:paraId="38361601" w14:textId="77777777" w:rsidR="00233FEA" w:rsidRPr="00B2296D" w:rsidRDefault="00233FEA" w:rsidP="00233FEA">
      <w:pPr>
        <w:numPr>
          <w:ilvl w:val="0"/>
          <w:numId w:val="15"/>
        </w:numPr>
        <w:rPr>
          <w:rFonts w:ascii="Arial" w:eastAsia="Times New Roman" w:hAnsi="Arial" w:cs="Arial"/>
          <w:lang w:eastAsia="en-AU"/>
        </w:rPr>
      </w:pPr>
      <w:r>
        <w:rPr>
          <w:rFonts w:ascii="Arial" w:eastAsia="Times New Roman" w:hAnsi="Arial" w:cs="Arial"/>
          <w:b/>
          <w:szCs w:val="24"/>
          <w:lang w:eastAsia="en-AU"/>
        </w:rPr>
        <w:t>Derivatives with</w:t>
      </w:r>
      <w:r w:rsidRPr="00B2296D">
        <w:rPr>
          <w:rFonts w:ascii="Arial" w:eastAsia="Times New Roman" w:hAnsi="Arial" w:cs="Arial"/>
          <w:b/>
          <w:szCs w:val="24"/>
          <w:lang w:eastAsia="en-AU"/>
        </w:rPr>
        <w:t xml:space="preserve"> gross negative mark to market value</w:t>
      </w:r>
      <w:r>
        <w:rPr>
          <w:rFonts w:ascii="Arial" w:eastAsia="Times New Roman" w:hAnsi="Arial" w:cs="Arial"/>
          <w:b/>
          <w:szCs w:val="24"/>
          <w:lang w:eastAsia="en-AU"/>
        </w:rPr>
        <w:t>s</w:t>
      </w:r>
      <w:r w:rsidRPr="00B2296D">
        <w:rPr>
          <w:rFonts w:ascii="Arial" w:eastAsia="Times New Roman" w:hAnsi="Arial" w:cs="Arial"/>
          <w:b/>
          <w:szCs w:val="24"/>
          <w:lang w:eastAsia="en-AU"/>
        </w:rPr>
        <w:t xml:space="preserve"> </w:t>
      </w:r>
      <w:r>
        <w:rPr>
          <w:rFonts w:ascii="Arial" w:eastAsia="Times New Roman" w:hAnsi="Arial" w:cs="Arial"/>
          <w:b/>
          <w:szCs w:val="24"/>
          <w:lang w:eastAsia="en-AU"/>
        </w:rPr>
        <w:t xml:space="preserve">and </w:t>
      </w:r>
      <w:r w:rsidRPr="00B2296D">
        <w:rPr>
          <w:rFonts w:ascii="Arial" w:eastAsia="Times New Roman" w:hAnsi="Arial" w:cs="Arial"/>
          <w:b/>
          <w:szCs w:val="24"/>
          <w:lang w:eastAsia="en-AU"/>
        </w:rPr>
        <w:t>non-resident counterpart</w:t>
      </w:r>
      <w:r>
        <w:rPr>
          <w:rFonts w:ascii="Arial" w:eastAsia="Times New Roman" w:hAnsi="Arial" w:cs="Arial"/>
          <w:b/>
          <w:szCs w:val="24"/>
          <w:lang w:eastAsia="en-AU"/>
        </w:rPr>
        <w:t>ies excluding clearing houses and central counterparties</w:t>
      </w:r>
      <w:r w:rsidRPr="00B2296D">
        <w:rPr>
          <w:rFonts w:ascii="Arial" w:eastAsia="Times New Roman" w:hAnsi="Arial" w:cs="Arial"/>
          <w:b/>
          <w:szCs w:val="24"/>
          <w:lang w:eastAsia="en-AU"/>
        </w:rPr>
        <w:t xml:space="preserve"> </w:t>
      </w:r>
    </w:p>
    <w:p w14:paraId="0DF6E5DB" w14:textId="77777777" w:rsidR="00233FEA" w:rsidRDefault="00233FEA" w:rsidP="00233FEA">
      <w:pPr>
        <w:rPr>
          <w:rFonts w:ascii="Arial" w:eastAsia="Times New Roman" w:hAnsi="Arial" w:cs="Arial"/>
          <w:lang w:eastAsia="en-AU"/>
        </w:rPr>
      </w:pPr>
    </w:p>
    <w:tbl>
      <w:tblPr>
        <w:tblW w:w="13765" w:type="dxa"/>
        <w:tblInd w:w="93" w:type="dxa"/>
        <w:tblLayout w:type="fixed"/>
        <w:tblLook w:val="04A0" w:firstRow="1" w:lastRow="0" w:firstColumn="1" w:lastColumn="0" w:noHBand="0" w:noVBand="1"/>
      </w:tblPr>
      <w:tblGrid>
        <w:gridCol w:w="1909"/>
        <w:gridCol w:w="2268"/>
        <w:gridCol w:w="1508"/>
        <w:gridCol w:w="1985"/>
        <w:gridCol w:w="1984"/>
        <w:gridCol w:w="1843"/>
        <w:gridCol w:w="2268"/>
      </w:tblGrid>
      <w:tr w:rsidR="00233FEA" w:rsidRPr="00024130" w14:paraId="5ABE8BA9" w14:textId="77777777" w:rsidTr="005D2636">
        <w:trPr>
          <w:trHeight w:val="317"/>
        </w:trPr>
        <w:tc>
          <w:tcPr>
            <w:tcW w:w="1909" w:type="dxa"/>
            <w:vMerge w:val="restart"/>
            <w:tcBorders>
              <w:top w:val="single" w:sz="4" w:space="0" w:color="auto"/>
              <w:left w:val="single" w:sz="4" w:space="0" w:color="auto"/>
              <w:right w:val="single" w:sz="4" w:space="0" w:color="auto"/>
            </w:tcBorders>
            <w:shd w:val="clear" w:color="auto" w:fill="auto"/>
            <w:vAlign w:val="bottom"/>
          </w:tcPr>
          <w:p w14:paraId="53DCAC98" w14:textId="77777777" w:rsidR="00233FEA" w:rsidRPr="005D5C83"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Country of non-resident debtor</w:t>
            </w:r>
          </w:p>
        </w:tc>
        <w:tc>
          <w:tcPr>
            <w:tcW w:w="2268" w:type="dxa"/>
            <w:vMerge w:val="restart"/>
            <w:tcBorders>
              <w:top w:val="single" w:sz="4" w:space="0" w:color="auto"/>
              <w:left w:val="nil"/>
              <w:right w:val="single" w:sz="4" w:space="0" w:color="auto"/>
            </w:tcBorders>
            <w:shd w:val="clear" w:color="auto" w:fill="auto"/>
            <w:vAlign w:val="bottom"/>
          </w:tcPr>
          <w:p w14:paraId="53D6193C" w14:textId="70F84DE1" w:rsidR="00233FEA" w:rsidRPr="005D5C83" w:rsidRDefault="00233FEA" w:rsidP="00240461">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 xml:space="preserve">Opening position: </w:t>
            </w:r>
            <w:r w:rsidR="00240461">
              <w:rPr>
                <w:rFonts w:ascii="Arial" w:eastAsia="Times New Roman" w:hAnsi="Arial" w:cs="Arial"/>
                <w:b/>
                <w:sz w:val="20"/>
                <w:szCs w:val="20"/>
                <w:lang w:eastAsia="en-AU"/>
              </w:rPr>
              <w:t>g</w:t>
            </w:r>
            <w:r w:rsidRPr="005D5C83">
              <w:rPr>
                <w:rFonts w:ascii="Arial" w:eastAsia="Times New Roman" w:hAnsi="Arial" w:cs="Arial"/>
                <w:b/>
                <w:sz w:val="20"/>
                <w:szCs w:val="20"/>
                <w:lang w:eastAsia="en-AU"/>
              </w:rPr>
              <w:t>ross negative mark to market value</w:t>
            </w:r>
          </w:p>
        </w:tc>
        <w:tc>
          <w:tcPr>
            <w:tcW w:w="1508" w:type="dxa"/>
            <w:vMerge w:val="restart"/>
            <w:tcBorders>
              <w:top w:val="single" w:sz="4" w:space="0" w:color="auto"/>
              <w:left w:val="single" w:sz="4" w:space="0" w:color="auto"/>
              <w:right w:val="single" w:sz="4" w:space="0" w:color="auto"/>
            </w:tcBorders>
            <w:vAlign w:val="bottom"/>
          </w:tcPr>
          <w:p w14:paraId="579300B7" w14:textId="77777777" w:rsidR="00233FEA" w:rsidRPr="005D5C83"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 xml:space="preserve"> </w:t>
            </w:r>
          </w:p>
          <w:p w14:paraId="3D8F583A" w14:textId="77777777" w:rsidR="00233FEA" w:rsidRPr="000473B7" w:rsidRDefault="00233FEA" w:rsidP="003167DC">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Transactions</w:t>
            </w:r>
          </w:p>
        </w:tc>
        <w:tc>
          <w:tcPr>
            <w:tcW w:w="5812" w:type="dxa"/>
            <w:gridSpan w:val="3"/>
            <w:tcBorders>
              <w:top w:val="single" w:sz="4" w:space="0" w:color="auto"/>
              <w:left w:val="single" w:sz="4" w:space="0" w:color="auto"/>
              <w:bottom w:val="single" w:sz="4" w:space="0" w:color="auto"/>
              <w:right w:val="single" w:sz="4" w:space="0" w:color="auto"/>
            </w:tcBorders>
            <w:vAlign w:val="bottom"/>
          </w:tcPr>
          <w:p w14:paraId="3F388A8D" w14:textId="358C8282"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Valuation and other changes</w:t>
            </w:r>
          </w:p>
        </w:tc>
        <w:tc>
          <w:tcPr>
            <w:tcW w:w="2268" w:type="dxa"/>
            <w:vMerge w:val="restart"/>
            <w:tcBorders>
              <w:top w:val="single" w:sz="4" w:space="0" w:color="auto"/>
              <w:left w:val="single" w:sz="4" w:space="0" w:color="auto"/>
              <w:right w:val="single" w:sz="4" w:space="0" w:color="auto"/>
            </w:tcBorders>
            <w:vAlign w:val="bottom"/>
          </w:tcPr>
          <w:p w14:paraId="7728291F" w14:textId="00D0B763" w:rsidR="00233FEA" w:rsidRPr="005D5C83" w:rsidRDefault="00233FEA" w:rsidP="00240461">
            <w:pPr>
              <w:jc w:val="center"/>
              <w:rPr>
                <w:rFonts w:ascii="Arial" w:eastAsia="Times New Roman" w:hAnsi="Arial" w:cs="Arial"/>
                <w:b/>
                <w:sz w:val="20"/>
                <w:szCs w:val="20"/>
                <w:lang w:eastAsia="en-AU"/>
              </w:rPr>
            </w:pPr>
            <w:r w:rsidRPr="005D5C83">
              <w:rPr>
                <w:rFonts w:ascii="Arial" w:eastAsia="Times New Roman" w:hAnsi="Arial" w:cs="Arial"/>
                <w:b/>
                <w:sz w:val="20"/>
                <w:szCs w:val="20"/>
                <w:lang w:eastAsia="en-AU"/>
              </w:rPr>
              <w:t xml:space="preserve">Closing position: </w:t>
            </w:r>
            <w:r w:rsidR="00240461">
              <w:rPr>
                <w:rFonts w:ascii="Arial" w:eastAsia="Times New Roman" w:hAnsi="Arial" w:cs="Arial"/>
                <w:b/>
                <w:sz w:val="20"/>
                <w:szCs w:val="20"/>
                <w:lang w:eastAsia="en-AU"/>
              </w:rPr>
              <w:t>g</w:t>
            </w:r>
            <w:r w:rsidRPr="005D5C83">
              <w:rPr>
                <w:rFonts w:ascii="Arial" w:eastAsia="Times New Roman" w:hAnsi="Arial" w:cs="Arial"/>
                <w:b/>
                <w:sz w:val="20"/>
                <w:szCs w:val="20"/>
                <w:lang w:eastAsia="en-AU"/>
              </w:rPr>
              <w:t>ross negative mark to market value</w:t>
            </w:r>
          </w:p>
        </w:tc>
      </w:tr>
      <w:tr w:rsidR="00233FEA" w:rsidRPr="00024130" w14:paraId="1037B4D9" w14:textId="77777777" w:rsidTr="005D2636">
        <w:trPr>
          <w:trHeight w:val="1032"/>
        </w:trPr>
        <w:tc>
          <w:tcPr>
            <w:tcW w:w="1909" w:type="dxa"/>
            <w:vMerge/>
            <w:tcBorders>
              <w:top w:val="single" w:sz="4" w:space="0" w:color="auto"/>
              <w:left w:val="single" w:sz="4" w:space="0" w:color="auto"/>
              <w:right w:val="single" w:sz="4" w:space="0" w:color="auto"/>
            </w:tcBorders>
            <w:shd w:val="clear" w:color="auto" w:fill="auto"/>
            <w:vAlign w:val="center"/>
          </w:tcPr>
          <w:p w14:paraId="5B00C6E8" w14:textId="77777777" w:rsidR="00233FEA" w:rsidRPr="00024130" w:rsidRDefault="00233FEA" w:rsidP="003167DC">
            <w:pPr>
              <w:jc w:val="center"/>
              <w:rPr>
                <w:rFonts w:ascii="Arial" w:eastAsia="Times New Roman" w:hAnsi="Arial" w:cs="Arial"/>
                <w:b/>
                <w:sz w:val="20"/>
                <w:szCs w:val="20"/>
                <w:lang w:eastAsia="en-AU"/>
              </w:rPr>
            </w:pPr>
          </w:p>
        </w:tc>
        <w:tc>
          <w:tcPr>
            <w:tcW w:w="2268" w:type="dxa"/>
            <w:vMerge/>
            <w:tcBorders>
              <w:top w:val="single" w:sz="4" w:space="0" w:color="auto"/>
              <w:left w:val="nil"/>
              <w:right w:val="single" w:sz="4" w:space="0" w:color="auto"/>
            </w:tcBorders>
            <w:shd w:val="clear" w:color="auto" w:fill="auto"/>
            <w:vAlign w:val="center"/>
          </w:tcPr>
          <w:p w14:paraId="47DB9D6E" w14:textId="77777777" w:rsidR="00233FEA" w:rsidRPr="00024130" w:rsidRDefault="00233FEA" w:rsidP="003167DC">
            <w:pPr>
              <w:jc w:val="center"/>
              <w:rPr>
                <w:rFonts w:ascii="Arial" w:eastAsia="Times New Roman" w:hAnsi="Arial" w:cs="Arial"/>
                <w:b/>
                <w:sz w:val="20"/>
                <w:szCs w:val="20"/>
                <w:lang w:eastAsia="en-AU"/>
              </w:rPr>
            </w:pPr>
          </w:p>
        </w:tc>
        <w:tc>
          <w:tcPr>
            <w:tcW w:w="1508" w:type="dxa"/>
            <w:vMerge/>
            <w:tcBorders>
              <w:top w:val="single" w:sz="4" w:space="0" w:color="auto"/>
              <w:left w:val="single" w:sz="4" w:space="0" w:color="auto"/>
              <w:right w:val="single" w:sz="4" w:space="0" w:color="auto"/>
            </w:tcBorders>
            <w:vAlign w:val="center"/>
          </w:tcPr>
          <w:p w14:paraId="4F33550F" w14:textId="77777777" w:rsidR="00233FEA" w:rsidRPr="00024130" w:rsidRDefault="00233FEA" w:rsidP="003167DC">
            <w:pPr>
              <w:jc w:val="center"/>
              <w:rPr>
                <w:rFonts w:ascii="Arial" w:eastAsia="Times New Roman" w:hAnsi="Arial" w:cs="Arial"/>
                <w:b/>
                <w:sz w:val="20"/>
                <w:szCs w:val="20"/>
                <w:lang w:eastAsia="en-AU"/>
              </w:rPr>
            </w:pPr>
          </w:p>
        </w:tc>
        <w:tc>
          <w:tcPr>
            <w:tcW w:w="1985" w:type="dxa"/>
            <w:tcBorders>
              <w:top w:val="single" w:sz="4" w:space="0" w:color="auto"/>
              <w:left w:val="single" w:sz="4" w:space="0" w:color="auto"/>
              <w:right w:val="single" w:sz="4" w:space="0" w:color="auto"/>
            </w:tcBorders>
            <w:vAlign w:val="bottom"/>
          </w:tcPr>
          <w:p w14:paraId="7F5300F4"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Market value changes</w:t>
            </w:r>
          </w:p>
        </w:tc>
        <w:tc>
          <w:tcPr>
            <w:tcW w:w="1984" w:type="dxa"/>
            <w:tcBorders>
              <w:top w:val="single" w:sz="4" w:space="0" w:color="auto"/>
              <w:left w:val="single" w:sz="4" w:space="0" w:color="auto"/>
              <w:right w:val="single" w:sz="4" w:space="0" w:color="auto"/>
            </w:tcBorders>
            <w:vAlign w:val="bottom"/>
          </w:tcPr>
          <w:p w14:paraId="2E588F0C"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Exchange rate variations</w:t>
            </w:r>
          </w:p>
        </w:tc>
        <w:tc>
          <w:tcPr>
            <w:tcW w:w="1843" w:type="dxa"/>
            <w:tcBorders>
              <w:top w:val="single" w:sz="4" w:space="0" w:color="auto"/>
              <w:left w:val="single" w:sz="4" w:space="0" w:color="auto"/>
              <w:right w:val="single" w:sz="4" w:space="0" w:color="auto"/>
            </w:tcBorders>
            <w:vAlign w:val="bottom"/>
          </w:tcPr>
          <w:p w14:paraId="16748352" w14:textId="4478880F"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Other changes</w:t>
            </w:r>
          </w:p>
        </w:tc>
        <w:tc>
          <w:tcPr>
            <w:tcW w:w="2268" w:type="dxa"/>
            <w:vMerge/>
            <w:tcBorders>
              <w:left w:val="single" w:sz="4" w:space="0" w:color="auto"/>
              <w:right w:val="single" w:sz="4" w:space="0" w:color="auto"/>
            </w:tcBorders>
            <w:vAlign w:val="center"/>
          </w:tcPr>
          <w:p w14:paraId="0EDEB0F7"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749803F5" w14:textId="77777777" w:rsidTr="005D2636">
        <w:trPr>
          <w:trHeight w:val="317"/>
        </w:trPr>
        <w:tc>
          <w:tcPr>
            <w:tcW w:w="1909" w:type="dxa"/>
            <w:tcBorders>
              <w:left w:val="single" w:sz="4" w:space="0" w:color="auto"/>
              <w:bottom w:val="single" w:sz="4" w:space="0" w:color="auto"/>
              <w:right w:val="single" w:sz="4" w:space="0" w:color="auto"/>
            </w:tcBorders>
            <w:shd w:val="clear" w:color="auto" w:fill="auto"/>
            <w:vAlign w:val="bottom"/>
          </w:tcPr>
          <w:p w14:paraId="44219663"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w:t>
            </w:r>
          </w:p>
        </w:tc>
        <w:tc>
          <w:tcPr>
            <w:tcW w:w="2268" w:type="dxa"/>
            <w:tcBorders>
              <w:left w:val="single" w:sz="4" w:space="0" w:color="auto"/>
              <w:bottom w:val="single" w:sz="4" w:space="0" w:color="auto"/>
              <w:right w:val="single" w:sz="4" w:space="0" w:color="auto"/>
            </w:tcBorders>
            <w:shd w:val="clear" w:color="auto" w:fill="auto"/>
            <w:vAlign w:val="bottom"/>
          </w:tcPr>
          <w:p w14:paraId="57933E96"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p>
        </w:tc>
        <w:tc>
          <w:tcPr>
            <w:tcW w:w="1508" w:type="dxa"/>
            <w:tcBorders>
              <w:left w:val="single" w:sz="4" w:space="0" w:color="auto"/>
              <w:bottom w:val="single" w:sz="4" w:space="0" w:color="auto"/>
              <w:right w:val="single" w:sz="4" w:space="0" w:color="auto"/>
            </w:tcBorders>
            <w:vAlign w:val="bottom"/>
          </w:tcPr>
          <w:p w14:paraId="46D4EC8A"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p>
        </w:tc>
        <w:tc>
          <w:tcPr>
            <w:tcW w:w="1985" w:type="dxa"/>
            <w:tcBorders>
              <w:left w:val="single" w:sz="4" w:space="0" w:color="auto"/>
              <w:bottom w:val="single" w:sz="4" w:space="0" w:color="auto"/>
              <w:right w:val="single" w:sz="4" w:space="0" w:color="auto"/>
            </w:tcBorders>
            <w:vAlign w:val="bottom"/>
          </w:tcPr>
          <w:p w14:paraId="7183411F"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(4)          </w:t>
            </w:r>
          </w:p>
        </w:tc>
        <w:tc>
          <w:tcPr>
            <w:tcW w:w="1984" w:type="dxa"/>
            <w:tcBorders>
              <w:left w:val="single" w:sz="4" w:space="0" w:color="auto"/>
              <w:bottom w:val="single" w:sz="4" w:space="0" w:color="auto"/>
              <w:right w:val="single" w:sz="4" w:space="0" w:color="auto"/>
            </w:tcBorders>
            <w:vAlign w:val="bottom"/>
          </w:tcPr>
          <w:p w14:paraId="53663E0B"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(5)</w:t>
            </w:r>
          </w:p>
        </w:tc>
        <w:tc>
          <w:tcPr>
            <w:tcW w:w="1843" w:type="dxa"/>
            <w:tcBorders>
              <w:left w:val="single" w:sz="4" w:space="0" w:color="auto"/>
              <w:bottom w:val="single" w:sz="4" w:space="0" w:color="auto"/>
              <w:right w:val="single" w:sz="4" w:space="0" w:color="auto"/>
            </w:tcBorders>
            <w:vAlign w:val="bottom"/>
          </w:tcPr>
          <w:p w14:paraId="14670889"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c>
          <w:tcPr>
            <w:tcW w:w="2268" w:type="dxa"/>
            <w:tcBorders>
              <w:left w:val="single" w:sz="4" w:space="0" w:color="auto"/>
              <w:bottom w:val="single" w:sz="4" w:space="0" w:color="auto"/>
              <w:right w:val="single" w:sz="4" w:space="0" w:color="auto"/>
            </w:tcBorders>
            <w:vAlign w:val="bottom"/>
          </w:tcPr>
          <w:p w14:paraId="4FBF2FC2"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r>
      <w:tr w:rsidR="00233FEA" w:rsidRPr="00024130" w14:paraId="79B755D4" w14:textId="77777777" w:rsidTr="003167DC">
        <w:trPr>
          <w:trHeight w:val="317"/>
        </w:trPr>
        <w:tc>
          <w:tcPr>
            <w:tcW w:w="1909" w:type="dxa"/>
            <w:tcBorders>
              <w:top w:val="single" w:sz="4" w:space="0" w:color="auto"/>
              <w:left w:val="single" w:sz="4" w:space="0" w:color="auto"/>
              <w:bottom w:val="single" w:sz="4" w:space="0" w:color="auto"/>
              <w:right w:val="single" w:sz="4" w:space="0" w:color="auto"/>
            </w:tcBorders>
            <w:shd w:val="clear" w:color="auto" w:fill="auto"/>
            <w:vAlign w:val="bottom"/>
          </w:tcPr>
          <w:p w14:paraId="06DCD015" w14:textId="77777777" w:rsidR="00233FEA" w:rsidRDefault="00233FEA" w:rsidP="003167DC">
            <w:pPr>
              <w:jc w:val="center"/>
              <w:rPr>
                <w:rFonts w:ascii="Arial" w:eastAsia="Times New Roman" w:hAnsi="Arial" w:cs="Arial"/>
                <w:b/>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602775B1" w14:textId="77777777" w:rsidR="00233FEA" w:rsidRDefault="00233FEA" w:rsidP="003167DC">
            <w:pPr>
              <w:jc w:val="center"/>
              <w:rPr>
                <w:rFonts w:ascii="Arial" w:eastAsia="Times New Roman" w:hAnsi="Arial" w:cs="Arial"/>
                <w:b/>
                <w:sz w:val="20"/>
                <w:szCs w:val="20"/>
                <w:lang w:eastAsia="en-AU"/>
              </w:rPr>
            </w:pPr>
          </w:p>
        </w:tc>
        <w:tc>
          <w:tcPr>
            <w:tcW w:w="1508" w:type="dxa"/>
            <w:tcBorders>
              <w:top w:val="single" w:sz="4" w:space="0" w:color="auto"/>
              <w:left w:val="single" w:sz="4" w:space="0" w:color="auto"/>
              <w:bottom w:val="single" w:sz="4" w:space="0" w:color="auto"/>
              <w:right w:val="single" w:sz="4" w:space="0" w:color="auto"/>
            </w:tcBorders>
            <w:vAlign w:val="bottom"/>
          </w:tcPr>
          <w:p w14:paraId="64DAECC0" w14:textId="77777777" w:rsidR="00233FEA" w:rsidRDefault="00233FEA" w:rsidP="003167DC">
            <w:pPr>
              <w:jc w:val="center"/>
              <w:rPr>
                <w:rFonts w:ascii="Arial" w:eastAsia="Times New Roman" w:hAnsi="Arial" w:cs="Arial"/>
                <w:b/>
                <w:sz w:val="20"/>
                <w:szCs w:val="20"/>
                <w:lang w:eastAsia="en-AU"/>
              </w:rPr>
            </w:pPr>
          </w:p>
        </w:tc>
        <w:tc>
          <w:tcPr>
            <w:tcW w:w="1985" w:type="dxa"/>
            <w:tcBorders>
              <w:top w:val="single" w:sz="4" w:space="0" w:color="auto"/>
              <w:left w:val="single" w:sz="4" w:space="0" w:color="auto"/>
              <w:bottom w:val="single" w:sz="4" w:space="0" w:color="auto"/>
              <w:right w:val="single" w:sz="4" w:space="0" w:color="auto"/>
            </w:tcBorders>
            <w:vAlign w:val="bottom"/>
          </w:tcPr>
          <w:p w14:paraId="3DB97FB4" w14:textId="77777777" w:rsidR="00233FEA" w:rsidRDefault="00233FEA" w:rsidP="003167DC">
            <w:pPr>
              <w:jc w:val="center"/>
              <w:rPr>
                <w:rFonts w:ascii="Arial" w:eastAsia="Times New Roman" w:hAnsi="Arial" w:cs="Arial"/>
                <w:b/>
                <w:sz w:val="20"/>
                <w:szCs w:val="20"/>
                <w:lang w:eastAsia="en-AU"/>
              </w:rPr>
            </w:pPr>
          </w:p>
        </w:tc>
        <w:tc>
          <w:tcPr>
            <w:tcW w:w="1984" w:type="dxa"/>
            <w:tcBorders>
              <w:top w:val="single" w:sz="4" w:space="0" w:color="auto"/>
              <w:left w:val="single" w:sz="4" w:space="0" w:color="auto"/>
              <w:bottom w:val="single" w:sz="4" w:space="0" w:color="auto"/>
              <w:right w:val="single" w:sz="4" w:space="0" w:color="auto"/>
            </w:tcBorders>
            <w:vAlign w:val="bottom"/>
          </w:tcPr>
          <w:p w14:paraId="10650332" w14:textId="77777777" w:rsidR="00233FEA" w:rsidRDefault="00233FEA" w:rsidP="003167DC">
            <w:pPr>
              <w:jc w:val="center"/>
              <w:rPr>
                <w:rFonts w:ascii="Arial" w:eastAsia="Times New Roman" w:hAnsi="Arial" w:cs="Arial"/>
                <w:b/>
                <w:sz w:val="20"/>
                <w:szCs w:val="20"/>
                <w:lang w:eastAsia="en-AU"/>
              </w:rPr>
            </w:pPr>
          </w:p>
        </w:tc>
        <w:tc>
          <w:tcPr>
            <w:tcW w:w="1843" w:type="dxa"/>
            <w:tcBorders>
              <w:top w:val="single" w:sz="4" w:space="0" w:color="auto"/>
              <w:left w:val="single" w:sz="4" w:space="0" w:color="auto"/>
              <w:bottom w:val="single" w:sz="4" w:space="0" w:color="auto"/>
              <w:right w:val="single" w:sz="4" w:space="0" w:color="auto"/>
            </w:tcBorders>
            <w:vAlign w:val="bottom"/>
          </w:tcPr>
          <w:p w14:paraId="0E3850BC" w14:textId="77777777" w:rsidR="00233FEA" w:rsidRDefault="00233FEA" w:rsidP="003167DC">
            <w:pPr>
              <w:jc w:val="center"/>
              <w:rPr>
                <w:rFonts w:ascii="Arial" w:eastAsia="Times New Roman" w:hAnsi="Arial" w:cs="Arial"/>
                <w:b/>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vAlign w:val="bottom"/>
          </w:tcPr>
          <w:p w14:paraId="217DFF49" w14:textId="77777777" w:rsidR="00233FEA" w:rsidRDefault="00233FEA" w:rsidP="003167DC">
            <w:pPr>
              <w:jc w:val="center"/>
              <w:rPr>
                <w:rFonts w:ascii="Arial" w:eastAsia="Times New Roman" w:hAnsi="Arial" w:cs="Arial"/>
                <w:b/>
                <w:sz w:val="20"/>
                <w:szCs w:val="20"/>
                <w:lang w:eastAsia="en-AU"/>
              </w:rPr>
            </w:pPr>
          </w:p>
        </w:tc>
      </w:tr>
      <w:tr w:rsidR="00233FEA" w:rsidRPr="00024130" w14:paraId="16444DB6" w14:textId="77777777" w:rsidTr="003167DC">
        <w:trPr>
          <w:trHeight w:val="317"/>
        </w:trPr>
        <w:tc>
          <w:tcPr>
            <w:tcW w:w="1909" w:type="dxa"/>
            <w:tcBorders>
              <w:top w:val="single" w:sz="4" w:space="0" w:color="auto"/>
              <w:left w:val="dashed" w:sz="4" w:space="0" w:color="auto"/>
              <w:bottom w:val="dashed" w:sz="4" w:space="0" w:color="auto"/>
              <w:right w:val="dotDash" w:sz="4" w:space="0" w:color="auto"/>
            </w:tcBorders>
            <w:shd w:val="clear" w:color="auto" w:fill="auto"/>
            <w:vAlign w:val="bottom"/>
          </w:tcPr>
          <w:p w14:paraId="09649CB5" w14:textId="77777777" w:rsidR="00233FEA" w:rsidRPr="00C11FC2"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Country list </w:t>
            </w:r>
          </w:p>
        </w:tc>
        <w:tc>
          <w:tcPr>
            <w:tcW w:w="2268" w:type="dxa"/>
            <w:tcBorders>
              <w:top w:val="single" w:sz="4" w:space="0" w:color="auto"/>
              <w:left w:val="dotDash" w:sz="4" w:space="0" w:color="auto"/>
            </w:tcBorders>
            <w:shd w:val="clear" w:color="auto" w:fill="auto"/>
            <w:vAlign w:val="bottom"/>
          </w:tcPr>
          <w:p w14:paraId="73DC7470"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top w:val="single" w:sz="4" w:space="0" w:color="auto"/>
            </w:tcBorders>
            <w:vAlign w:val="bottom"/>
          </w:tcPr>
          <w:p w14:paraId="6B6BDEBA" w14:textId="77777777" w:rsidR="00233FEA" w:rsidRPr="00024130" w:rsidRDefault="00233FEA" w:rsidP="003167DC">
            <w:pPr>
              <w:jc w:val="center"/>
              <w:rPr>
                <w:rFonts w:ascii="Arial" w:eastAsia="Times New Roman" w:hAnsi="Arial" w:cs="Arial"/>
                <w:b/>
                <w:sz w:val="20"/>
                <w:szCs w:val="20"/>
                <w:lang w:eastAsia="en-AU"/>
              </w:rPr>
            </w:pPr>
          </w:p>
        </w:tc>
        <w:tc>
          <w:tcPr>
            <w:tcW w:w="1985" w:type="dxa"/>
            <w:tcBorders>
              <w:top w:val="single" w:sz="4" w:space="0" w:color="auto"/>
            </w:tcBorders>
            <w:vAlign w:val="bottom"/>
          </w:tcPr>
          <w:p w14:paraId="244C7118"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top w:val="single" w:sz="4" w:space="0" w:color="auto"/>
            </w:tcBorders>
            <w:vAlign w:val="bottom"/>
          </w:tcPr>
          <w:p w14:paraId="239B725F"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top w:val="single" w:sz="4" w:space="0" w:color="auto"/>
            </w:tcBorders>
            <w:vAlign w:val="bottom"/>
          </w:tcPr>
          <w:p w14:paraId="1D7F7963"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top w:val="single" w:sz="4" w:space="0" w:color="auto"/>
            </w:tcBorders>
            <w:vAlign w:val="bottom"/>
          </w:tcPr>
          <w:p w14:paraId="3E607A65"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4A92C7EC" w14:textId="77777777" w:rsidTr="003167DC">
        <w:trPr>
          <w:trHeight w:val="317"/>
        </w:trPr>
        <w:tc>
          <w:tcPr>
            <w:tcW w:w="1909" w:type="dxa"/>
            <w:tcBorders>
              <w:top w:val="dashed" w:sz="4" w:space="0" w:color="auto"/>
              <w:left w:val="dashed" w:sz="4" w:space="0" w:color="auto"/>
              <w:bottom w:val="dashed" w:sz="4" w:space="0" w:color="auto"/>
              <w:right w:val="dotDash" w:sz="4" w:space="0" w:color="auto"/>
            </w:tcBorders>
            <w:shd w:val="clear" w:color="auto" w:fill="auto"/>
            <w:vAlign w:val="bottom"/>
          </w:tcPr>
          <w:p w14:paraId="5565EA80"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Afghanistan </w:t>
            </w:r>
          </w:p>
        </w:tc>
        <w:tc>
          <w:tcPr>
            <w:tcW w:w="2268" w:type="dxa"/>
            <w:tcBorders>
              <w:left w:val="dotDash" w:sz="4" w:space="0" w:color="auto"/>
            </w:tcBorders>
            <w:shd w:val="clear" w:color="auto" w:fill="auto"/>
            <w:vAlign w:val="bottom"/>
          </w:tcPr>
          <w:p w14:paraId="41E210DC"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18AD9207" w14:textId="77777777" w:rsidR="00233FEA" w:rsidRPr="00024130" w:rsidRDefault="00233FEA" w:rsidP="003167DC">
            <w:pPr>
              <w:jc w:val="center"/>
              <w:rPr>
                <w:rFonts w:ascii="Arial" w:eastAsia="Times New Roman" w:hAnsi="Arial" w:cs="Arial"/>
                <w:b/>
                <w:sz w:val="20"/>
                <w:szCs w:val="20"/>
                <w:lang w:eastAsia="en-AU"/>
              </w:rPr>
            </w:pPr>
          </w:p>
        </w:tc>
        <w:tc>
          <w:tcPr>
            <w:tcW w:w="1985" w:type="dxa"/>
            <w:vAlign w:val="bottom"/>
          </w:tcPr>
          <w:p w14:paraId="55C7E2AB"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704FA8F0"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3B10F1D4"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141A2890"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8D1A1B0" w14:textId="77777777" w:rsidTr="003167DC">
        <w:trPr>
          <w:trHeight w:val="317"/>
        </w:trPr>
        <w:tc>
          <w:tcPr>
            <w:tcW w:w="1909" w:type="dxa"/>
            <w:tcBorders>
              <w:top w:val="dashed" w:sz="4" w:space="0" w:color="auto"/>
              <w:left w:val="dashed" w:sz="4" w:space="0" w:color="auto"/>
              <w:bottom w:val="dashed" w:sz="4" w:space="0" w:color="auto"/>
              <w:right w:val="dotDash" w:sz="4" w:space="0" w:color="auto"/>
            </w:tcBorders>
            <w:shd w:val="clear" w:color="auto" w:fill="auto"/>
            <w:vAlign w:val="bottom"/>
          </w:tcPr>
          <w:p w14:paraId="7C0C77A1"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Albania</w:t>
            </w:r>
          </w:p>
        </w:tc>
        <w:tc>
          <w:tcPr>
            <w:tcW w:w="2268" w:type="dxa"/>
            <w:tcBorders>
              <w:left w:val="dotDash" w:sz="4" w:space="0" w:color="auto"/>
            </w:tcBorders>
            <w:shd w:val="clear" w:color="auto" w:fill="auto"/>
            <w:vAlign w:val="bottom"/>
          </w:tcPr>
          <w:p w14:paraId="055665F6"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5E923541" w14:textId="77777777" w:rsidR="00233FEA" w:rsidRPr="00024130" w:rsidRDefault="00233FEA" w:rsidP="003167DC">
            <w:pPr>
              <w:jc w:val="center"/>
              <w:rPr>
                <w:rFonts w:ascii="Arial" w:eastAsia="Times New Roman" w:hAnsi="Arial" w:cs="Arial"/>
                <w:b/>
                <w:sz w:val="20"/>
                <w:szCs w:val="20"/>
                <w:lang w:eastAsia="en-AU"/>
              </w:rPr>
            </w:pPr>
          </w:p>
        </w:tc>
        <w:tc>
          <w:tcPr>
            <w:tcW w:w="1985" w:type="dxa"/>
            <w:vAlign w:val="bottom"/>
          </w:tcPr>
          <w:p w14:paraId="2A11E2DE"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0B3939D7"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2D6CA2C1"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3BACA20D"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4A155747" w14:textId="77777777" w:rsidTr="003167DC">
        <w:trPr>
          <w:trHeight w:val="317"/>
        </w:trPr>
        <w:tc>
          <w:tcPr>
            <w:tcW w:w="1909" w:type="dxa"/>
            <w:tcBorders>
              <w:top w:val="dashed" w:sz="4" w:space="0" w:color="auto"/>
              <w:left w:val="dashed" w:sz="4" w:space="0" w:color="auto"/>
              <w:bottom w:val="dashed" w:sz="4" w:space="0" w:color="auto"/>
              <w:right w:val="dotDash" w:sz="4" w:space="0" w:color="auto"/>
            </w:tcBorders>
            <w:shd w:val="clear" w:color="auto" w:fill="auto"/>
            <w:vAlign w:val="bottom"/>
          </w:tcPr>
          <w:p w14:paraId="4D34DC64" w14:textId="77777777" w:rsidR="00233FEA" w:rsidRPr="00C11FC2" w:rsidRDefault="00233FEA" w:rsidP="003167DC">
            <w:pPr>
              <w:jc w:val="center"/>
              <w:rPr>
                <w:rFonts w:ascii="Wingdings 3" w:eastAsia="Times New Roman" w:hAnsi="Wingdings 3" w:cs="Arial"/>
                <w:sz w:val="20"/>
                <w:szCs w:val="20"/>
                <w:lang w:eastAsia="en-AU"/>
              </w:rPr>
            </w:pPr>
            <w:r>
              <w:rPr>
                <w:rFonts w:ascii="Wingdings 3" w:eastAsia="Times New Roman" w:hAnsi="Wingdings 3" w:cs="Arial"/>
                <w:sz w:val="20"/>
                <w:szCs w:val="20"/>
                <w:lang w:eastAsia="en-AU"/>
              </w:rPr>
              <w:t></w:t>
            </w:r>
          </w:p>
        </w:tc>
        <w:tc>
          <w:tcPr>
            <w:tcW w:w="2268" w:type="dxa"/>
            <w:tcBorders>
              <w:left w:val="dotDash" w:sz="4" w:space="0" w:color="auto"/>
            </w:tcBorders>
            <w:shd w:val="clear" w:color="auto" w:fill="auto"/>
            <w:vAlign w:val="bottom"/>
          </w:tcPr>
          <w:p w14:paraId="7FF7C10A"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5EB59F3B" w14:textId="77777777" w:rsidR="00233FEA" w:rsidRPr="00024130" w:rsidRDefault="00233FEA" w:rsidP="003167DC">
            <w:pPr>
              <w:jc w:val="center"/>
              <w:rPr>
                <w:rFonts w:ascii="Arial" w:eastAsia="Times New Roman" w:hAnsi="Arial" w:cs="Arial"/>
                <w:b/>
                <w:sz w:val="20"/>
                <w:szCs w:val="20"/>
                <w:lang w:eastAsia="en-AU"/>
              </w:rPr>
            </w:pPr>
          </w:p>
        </w:tc>
        <w:tc>
          <w:tcPr>
            <w:tcW w:w="1985" w:type="dxa"/>
            <w:vAlign w:val="bottom"/>
          </w:tcPr>
          <w:p w14:paraId="78AA8B59"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41B0CB45"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3672EC4F"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71E06F28"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EC52EE4" w14:textId="77777777" w:rsidTr="003167DC">
        <w:trPr>
          <w:trHeight w:val="317"/>
        </w:trPr>
        <w:tc>
          <w:tcPr>
            <w:tcW w:w="1909" w:type="dxa"/>
            <w:tcBorders>
              <w:top w:val="dashed" w:sz="4" w:space="0" w:color="auto"/>
              <w:left w:val="dashed" w:sz="4" w:space="0" w:color="auto"/>
              <w:bottom w:val="dashed" w:sz="4" w:space="0" w:color="auto"/>
              <w:right w:val="dotDash" w:sz="4" w:space="0" w:color="auto"/>
            </w:tcBorders>
            <w:shd w:val="clear" w:color="auto" w:fill="auto"/>
            <w:vAlign w:val="bottom"/>
          </w:tcPr>
          <w:p w14:paraId="2FC2217A" w14:textId="77777777" w:rsidR="00233FEA" w:rsidRDefault="00233FEA" w:rsidP="003167DC">
            <w:pPr>
              <w:jc w:val="center"/>
              <w:rPr>
                <w:rFonts w:ascii="Wingdings 3" w:eastAsia="Times New Roman" w:hAnsi="Wingdings 3" w:cs="Arial"/>
                <w:sz w:val="20"/>
                <w:szCs w:val="20"/>
                <w:lang w:eastAsia="en-AU"/>
              </w:rPr>
            </w:pPr>
          </w:p>
        </w:tc>
        <w:tc>
          <w:tcPr>
            <w:tcW w:w="2268" w:type="dxa"/>
            <w:tcBorders>
              <w:left w:val="dotDash" w:sz="4" w:space="0" w:color="auto"/>
            </w:tcBorders>
            <w:shd w:val="clear" w:color="auto" w:fill="auto"/>
            <w:vAlign w:val="bottom"/>
          </w:tcPr>
          <w:p w14:paraId="458B0143" w14:textId="77777777" w:rsidR="00233FEA" w:rsidRPr="00024130" w:rsidRDefault="00233FEA" w:rsidP="003167DC">
            <w:pPr>
              <w:jc w:val="center"/>
              <w:rPr>
                <w:rFonts w:ascii="Arial" w:eastAsia="Times New Roman" w:hAnsi="Arial" w:cs="Arial"/>
                <w:b/>
                <w:sz w:val="20"/>
                <w:szCs w:val="20"/>
                <w:lang w:eastAsia="en-AU"/>
              </w:rPr>
            </w:pPr>
          </w:p>
        </w:tc>
        <w:tc>
          <w:tcPr>
            <w:tcW w:w="1508" w:type="dxa"/>
            <w:vAlign w:val="bottom"/>
          </w:tcPr>
          <w:p w14:paraId="00BC4D2C" w14:textId="77777777" w:rsidR="00233FEA" w:rsidRPr="00024130" w:rsidRDefault="00233FEA" w:rsidP="003167DC">
            <w:pPr>
              <w:jc w:val="center"/>
              <w:rPr>
                <w:rFonts w:ascii="Arial" w:eastAsia="Times New Roman" w:hAnsi="Arial" w:cs="Arial"/>
                <w:b/>
                <w:sz w:val="20"/>
                <w:szCs w:val="20"/>
                <w:lang w:eastAsia="en-AU"/>
              </w:rPr>
            </w:pPr>
          </w:p>
        </w:tc>
        <w:tc>
          <w:tcPr>
            <w:tcW w:w="1985" w:type="dxa"/>
            <w:vAlign w:val="bottom"/>
          </w:tcPr>
          <w:p w14:paraId="52E93EB1" w14:textId="77777777" w:rsidR="00233FEA" w:rsidRPr="00024130" w:rsidRDefault="00233FEA" w:rsidP="003167DC">
            <w:pPr>
              <w:jc w:val="center"/>
              <w:rPr>
                <w:rFonts w:ascii="Arial" w:eastAsia="Times New Roman" w:hAnsi="Arial" w:cs="Arial"/>
                <w:b/>
                <w:sz w:val="20"/>
                <w:szCs w:val="20"/>
                <w:lang w:eastAsia="en-AU"/>
              </w:rPr>
            </w:pPr>
          </w:p>
        </w:tc>
        <w:tc>
          <w:tcPr>
            <w:tcW w:w="1984" w:type="dxa"/>
            <w:vAlign w:val="bottom"/>
          </w:tcPr>
          <w:p w14:paraId="5916DE7F" w14:textId="77777777" w:rsidR="00233FEA" w:rsidRPr="00024130" w:rsidRDefault="00233FEA" w:rsidP="003167DC">
            <w:pPr>
              <w:jc w:val="center"/>
              <w:rPr>
                <w:rFonts w:ascii="Arial" w:eastAsia="Times New Roman" w:hAnsi="Arial" w:cs="Arial"/>
                <w:b/>
                <w:sz w:val="20"/>
                <w:szCs w:val="20"/>
                <w:lang w:eastAsia="en-AU"/>
              </w:rPr>
            </w:pPr>
          </w:p>
        </w:tc>
        <w:tc>
          <w:tcPr>
            <w:tcW w:w="1843" w:type="dxa"/>
            <w:vAlign w:val="bottom"/>
          </w:tcPr>
          <w:p w14:paraId="5D629D67" w14:textId="77777777" w:rsidR="00233FEA" w:rsidRPr="00024130" w:rsidRDefault="00233FEA" w:rsidP="003167DC">
            <w:pPr>
              <w:jc w:val="center"/>
              <w:rPr>
                <w:rFonts w:ascii="Arial" w:eastAsia="Times New Roman" w:hAnsi="Arial" w:cs="Arial"/>
                <w:b/>
                <w:sz w:val="20"/>
                <w:szCs w:val="20"/>
                <w:lang w:eastAsia="en-AU"/>
              </w:rPr>
            </w:pPr>
          </w:p>
        </w:tc>
        <w:tc>
          <w:tcPr>
            <w:tcW w:w="2268" w:type="dxa"/>
            <w:vAlign w:val="bottom"/>
          </w:tcPr>
          <w:p w14:paraId="2B3D6E82"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68629EA4" w14:textId="77777777" w:rsidTr="003167DC">
        <w:trPr>
          <w:trHeight w:val="317"/>
        </w:trPr>
        <w:tc>
          <w:tcPr>
            <w:tcW w:w="1909" w:type="dxa"/>
            <w:tcBorders>
              <w:top w:val="dashed" w:sz="4" w:space="0" w:color="auto"/>
            </w:tcBorders>
            <w:shd w:val="clear" w:color="auto" w:fill="auto"/>
            <w:vAlign w:val="bottom"/>
          </w:tcPr>
          <w:p w14:paraId="1DA4CD7A" w14:textId="77777777" w:rsidR="00233FEA" w:rsidRDefault="00233FEA" w:rsidP="003167DC">
            <w:pPr>
              <w:jc w:val="center"/>
              <w:rPr>
                <w:rFonts w:ascii="Wingdings 3" w:eastAsia="Times New Roman" w:hAnsi="Wingdings 3" w:cs="Arial"/>
                <w:sz w:val="20"/>
                <w:szCs w:val="20"/>
                <w:lang w:eastAsia="en-AU"/>
              </w:rPr>
            </w:pPr>
          </w:p>
        </w:tc>
        <w:tc>
          <w:tcPr>
            <w:tcW w:w="2268" w:type="dxa"/>
            <w:tcBorders>
              <w:bottom w:val="single" w:sz="4" w:space="0" w:color="auto"/>
            </w:tcBorders>
            <w:shd w:val="clear" w:color="auto" w:fill="auto"/>
            <w:vAlign w:val="bottom"/>
          </w:tcPr>
          <w:p w14:paraId="566B837B"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bottom w:val="single" w:sz="4" w:space="0" w:color="auto"/>
            </w:tcBorders>
            <w:vAlign w:val="bottom"/>
          </w:tcPr>
          <w:p w14:paraId="759FEE6E" w14:textId="77777777" w:rsidR="00233FEA" w:rsidRPr="00024130" w:rsidRDefault="00233FEA" w:rsidP="003167DC">
            <w:pPr>
              <w:jc w:val="center"/>
              <w:rPr>
                <w:rFonts w:ascii="Arial" w:eastAsia="Times New Roman" w:hAnsi="Arial" w:cs="Arial"/>
                <w:b/>
                <w:sz w:val="20"/>
                <w:szCs w:val="20"/>
                <w:lang w:eastAsia="en-AU"/>
              </w:rPr>
            </w:pPr>
          </w:p>
        </w:tc>
        <w:tc>
          <w:tcPr>
            <w:tcW w:w="1985" w:type="dxa"/>
            <w:tcBorders>
              <w:bottom w:val="single" w:sz="4" w:space="0" w:color="auto"/>
            </w:tcBorders>
            <w:vAlign w:val="bottom"/>
          </w:tcPr>
          <w:p w14:paraId="138AEF9E"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bottom w:val="single" w:sz="4" w:space="0" w:color="auto"/>
            </w:tcBorders>
            <w:vAlign w:val="bottom"/>
          </w:tcPr>
          <w:p w14:paraId="54174B67"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bottom w:val="single" w:sz="4" w:space="0" w:color="auto"/>
            </w:tcBorders>
            <w:vAlign w:val="bottom"/>
          </w:tcPr>
          <w:p w14:paraId="1CB48171"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bottom w:val="single" w:sz="4" w:space="0" w:color="auto"/>
            </w:tcBorders>
            <w:vAlign w:val="bottom"/>
          </w:tcPr>
          <w:p w14:paraId="53D6896B" w14:textId="77777777" w:rsidR="00233FEA" w:rsidRPr="00024130" w:rsidRDefault="00233FEA" w:rsidP="003167DC">
            <w:pPr>
              <w:jc w:val="center"/>
              <w:rPr>
                <w:rFonts w:ascii="Arial" w:eastAsia="Times New Roman" w:hAnsi="Arial" w:cs="Arial"/>
                <w:b/>
                <w:sz w:val="20"/>
                <w:szCs w:val="20"/>
                <w:lang w:eastAsia="en-AU"/>
              </w:rPr>
            </w:pPr>
          </w:p>
        </w:tc>
      </w:tr>
      <w:tr w:rsidR="00233FEA" w:rsidRPr="00024130" w14:paraId="25F5305A" w14:textId="77777777" w:rsidTr="003167DC">
        <w:trPr>
          <w:trHeight w:val="317"/>
        </w:trPr>
        <w:tc>
          <w:tcPr>
            <w:tcW w:w="1909" w:type="dxa"/>
            <w:tcBorders>
              <w:right w:val="single" w:sz="4" w:space="0" w:color="auto"/>
            </w:tcBorders>
            <w:shd w:val="clear" w:color="auto" w:fill="FFFFFF"/>
            <w:vAlign w:val="bottom"/>
          </w:tcPr>
          <w:p w14:paraId="2A6CF270" w14:textId="77777777" w:rsidR="00233FEA" w:rsidRPr="00B61A89"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4.1. Total derivatives with a gross negative mark to market value</w:t>
            </w:r>
          </w:p>
        </w:tc>
        <w:tc>
          <w:tcPr>
            <w:tcW w:w="2268" w:type="dxa"/>
            <w:tcBorders>
              <w:top w:val="single" w:sz="4" w:space="0" w:color="auto"/>
              <w:left w:val="single" w:sz="4" w:space="0" w:color="auto"/>
              <w:bottom w:val="single" w:sz="4" w:space="0" w:color="auto"/>
              <w:right w:val="single" w:sz="4" w:space="0" w:color="auto"/>
            </w:tcBorders>
            <w:shd w:val="clear" w:color="auto" w:fill="D9D9D9"/>
            <w:vAlign w:val="bottom"/>
          </w:tcPr>
          <w:p w14:paraId="309D8C01" w14:textId="77777777" w:rsidR="00233FEA" w:rsidRPr="00024130" w:rsidRDefault="00233FEA" w:rsidP="003167DC">
            <w:pPr>
              <w:jc w:val="center"/>
              <w:rPr>
                <w:rFonts w:ascii="Arial" w:eastAsia="Times New Roman" w:hAnsi="Arial" w:cs="Arial"/>
                <w:b/>
                <w:sz w:val="20"/>
                <w:szCs w:val="20"/>
                <w:lang w:eastAsia="en-AU"/>
              </w:rPr>
            </w:pPr>
          </w:p>
        </w:tc>
        <w:tc>
          <w:tcPr>
            <w:tcW w:w="1508" w:type="dxa"/>
            <w:tcBorders>
              <w:top w:val="single" w:sz="4" w:space="0" w:color="auto"/>
              <w:left w:val="single" w:sz="4" w:space="0" w:color="auto"/>
              <w:bottom w:val="single" w:sz="4" w:space="0" w:color="auto"/>
              <w:right w:val="single" w:sz="4" w:space="0" w:color="auto"/>
            </w:tcBorders>
            <w:shd w:val="clear" w:color="auto" w:fill="D9D9D9"/>
            <w:vAlign w:val="bottom"/>
          </w:tcPr>
          <w:p w14:paraId="2710C99F" w14:textId="77777777" w:rsidR="00233FEA" w:rsidRPr="00024130" w:rsidRDefault="00233FEA" w:rsidP="003167DC">
            <w:pPr>
              <w:jc w:val="center"/>
              <w:rPr>
                <w:rFonts w:ascii="Arial" w:eastAsia="Times New Roman" w:hAnsi="Arial" w:cs="Arial"/>
                <w:b/>
                <w:sz w:val="20"/>
                <w:szCs w:val="20"/>
                <w:lang w:eastAsia="en-AU"/>
              </w:rPr>
            </w:pPr>
          </w:p>
        </w:tc>
        <w:tc>
          <w:tcPr>
            <w:tcW w:w="1985" w:type="dxa"/>
            <w:tcBorders>
              <w:top w:val="single" w:sz="4" w:space="0" w:color="auto"/>
              <w:left w:val="single" w:sz="4" w:space="0" w:color="auto"/>
              <w:bottom w:val="single" w:sz="4" w:space="0" w:color="auto"/>
              <w:right w:val="single" w:sz="4" w:space="0" w:color="auto"/>
            </w:tcBorders>
            <w:shd w:val="clear" w:color="auto" w:fill="D9D9D9"/>
            <w:vAlign w:val="bottom"/>
          </w:tcPr>
          <w:p w14:paraId="4A13A8A3" w14:textId="77777777" w:rsidR="00233FEA" w:rsidRPr="00024130" w:rsidRDefault="00233FEA" w:rsidP="003167DC">
            <w:pPr>
              <w:jc w:val="center"/>
              <w:rPr>
                <w:rFonts w:ascii="Arial" w:eastAsia="Times New Roman" w:hAnsi="Arial" w:cs="Arial"/>
                <w:b/>
                <w:sz w:val="20"/>
                <w:szCs w:val="20"/>
                <w:lang w:eastAsia="en-AU"/>
              </w:rPr>
            </w:pPr>
          </w:p>
        </w:tc>
        <w:tc>
          <w:tcPr>
            <w:tcW w:w="1984" w:type="dxa"/>
            <w:tcBorders>
              <w:top w:val="single" w:sz="4" w:space="0" w:color="auto"/>
              <w:left w:val="single" w:sz="4" w:space="0" w:color="auto"/>
              <w:bottom w:val="single" w:sz="4" w:space="0" w:color="auto"/>
              <w:right w:val="single" w:sz="4" w:space="0" w:color="auto"/>
            </w:tcBorders>
            <w:shd w:val="clear" w:color="auto" w:fill="D9D9D9"/>
            <w:vAlign w:val="bottom"/>
          </w:tcPr>
          <w:p w14:paraId="6F3940D1" w14:textId="77777777" w:rsidR="00233FEA" w:rsidRPr="00024130" w:rsidRDefault="00233FEA" w:rsidP="003167DC">
            <w:pPr>
              <w:jc w:val="center"/>
              <w:rPr>
                <w:rFonts w:ascii="Arial" w:eastAsia="Times New Roman" w:hAnsi="Arial" w:cs="Arial"/>
                <w:b/>
                <w:sz w:val="20"/>
                <w:szCs w:val="20"/>
                <w:lang w:eastAsia="en-AU"/>
              </w:rPr>
            </w:pPr>
          </w:p>
        </w:tc>
        <w:tc>
          <w:tcPr>
            <w:tcW w:w="1843" w:type="dxa"/>
            <w:tcBorders>
              <w:top w:val="single" w:sz="4" w:space="0" w:color="auto"/>
              <w:left w:val="single" w:sz="4" w:space="0" w:color="auto"/>
              <w:bottom w:val="single" w:sz="4" w:space="0" w:color="auto"/>
              <w:right w:val="single" w:sz="4" w:space="0" w:color="auto"/>
            </w:tcBorders>
            <w:shd w:val="clear" w:color="auto" w:fill="D9D9D9"/>
            <w:vAlign w:val="bottom"/>
          </w:tcPr>
          <w:p w14:paraId="02787655" w14:textId="77777777" w:rsidR="00233FEA" w:rsidRPr="00024130" w:rsidRDefault="00233FEA" w:rsidP="003167DC">
            <w:pPr>
              <w:jc w:val="center"/>
              <w:rPr>
                <w:rFonts w:ascii="Arial" w:eastAsia="Times New Roman" w:hAnsi="Arial" w:cs="Arial"/>
                <w:b/>
                <w:sz w:val="20"/>
                <w:szCs w:val="2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D9D9D9"/>
            <w:vAlign w:val="bottom"/>
          </w:tcPr>
          <w:p w14:paraId="62605DA3" w14:textId="77777777" w:rsidR="00233FEA" w:rsidRPr="00024130" w:rsidRDefault="00233FEA" w:rsidP="003167DC">
            <w:pPr>
              <w:jc w:val="center"/>
              <w:rPr>
                <w:rFonts w:ascii="Arial" w:eastAsia="Times New Roman" w:hAnsi="Arial" w:cs="Arial"/>
                <w:b/>
                <w:sz w:val="20"/>
                <w:szCs w:val="20"/>
                <w:lang w:eastAsia="en-AU"/>
              </w:rPr>
            </w:pPr>
          </w:p>
        </w:tc>
      </w:tr>
    </w:tbl>
    <w:p w14:paraId="4A4CBA05" w14:textId="6B03BEC0" w:rsidR="003167DC" w:rsidRDefault="003167DC" w:rsidP="00233FEA">
      <w:pPr>
        <w:rPr>
          <w:rFonts w:ascii="Arial" w:eastAsia="Times New Roman" w:hAnsi="Arial" w:cs="Arial"/>
          <w:lang w:eastAsia="en-AU"/>
        </w:rPr>
      </w:pPr>
    </w:p>
    <w:p w14:paraId="5CBD0598" w14:textId="6F36F7D3" w:rsidR="00233FEA" w:rsidRPr="003B3E1C" w:rsidRDefault="003167DC" w:rsidP="00233FEA">
      <w:pPr>
        <w:rPr>
          <w:rFonts w:ascii="Arial" w:eastAsia="Times New Roman" w:hAnsi="Arial" w:cs="Arial"/>
          <w:sz w:val="23"/>
          <w:szCs w:val="23"/>
          <w:lang w:eastAsia="en-AU"/>
        </w:rPr>
      </w:pPr>
      <w:r>
        <w:rPr>
          <w:rFonts w:ascii="Arial" w:eastAsia="Times New Roman" w:hAnsi="Arial" w:cs="Arial"/>
          <w:lang w:eastAsia="en-AU"/>
        </w:rPr>
        <w:br w:type="page"/>
      </w:r>
      <w:r w:rsidR="00233FEA" w:rsidRPr="003B3E1C">
        <w:rPr>
          <w:rFonts w:ascii="Arial" w:eastAsia="Times New Roman" w:hAnsi="Arial" w:cs="Arial"/>
          <w:b/>
          <w:sz w:val="23"/>
          <w:szCs w:val="23"/>
          <w:lang w:eastAsia="en-AU"/>
        </w:rPr>
        <w:lastRenderedPageBreak/>
        <w:t xml:space="preserve">Section </w:t>
      </w:r>
      <w:r w:rsidR="00233FEA">
        <w:rPr>
          <w:rFonts w:ascii="Arial" w:eastAsia="Times New Roman" w:hAnsi="Arial" w:cs="Arial"/>
          <w:b/>
          <w:sz w:val="23"/>
          <w:szCs w:val="23"/>
          <w:lang w:eastAsia="en-AU"/>
        </w:rPr>
        <w:t>B</w:t>
      </w:r>
      <w:r w:rsidR="00233FEA" w:rsidRPr="003B3E1C">
        <w:rPr>
          <w:rFonts w:ascii="Arial" w:eastAsia="Times New Roman" w:hAnsi="Arial" w:cs="Arial"/>
          <w:b/>
          <w:sz w:val="23"/>
          <w:szCs w:val="23"/>
          <w:lang w:eastAsia="en-AU"/>
        </w:rPr>
        <w:t>: Derivatives with clearing houses and central counterparties that are margined</w:t>
      </w:r>
    </w:p>
    <w:p w14:paraId="5A8C79D9" w14:textId="77777777" w:rsidR="00233FEA" w:rsidRDefault="00233FEA" w:rsidP="00233FEA">
      <w:pPr>
        <w:rPr>
          <w:rFonts w:ascii="Arial" w:eastAsia="Times New Roman" w:hAnsi="Arial" w:cs="Arial"/>
          <w:lang w:eastAsia="en-AU"/>
        </w:rPr>
      </w:pPr>
    </w:p>
    <w:p w14:paraId="5A2B6DAB" w14:textId="77777777" w:rsidR="00233FEA" w:rsidRPr="003852DA" w:rsidRDefault="00233FEA" w:rsidP="00233FEA">
      <w:pPr>
        <w:numPr>
          <w:ilvl w:val="0"/>
          <w:numId w:val="15"/>
        </w:numPr>
        <w:rPr>
          <w:rFonts w:ascii="Arial" w:eastAsia="Times New Roman" w:hAnsi="Arial" w:cs="Arial"/>
          <w:b/>
          <w:szCs w:val="24"/>
          <w:lang w:eastAsia="en-AU"/>
        </w:rPr>
      </w:pPr>
      <w:r>
        <w:rPr>
          <w:rFonts w:ascii="Arial" w:eastAsia="Times New Roman" w:hAnsi="Arial" w:cs="Arial"/>
          <w:b/>
          <w:szCs w:val="24"/>
          <w:lang w:eastAsia="en-AU"/>
        </w:rPr>
        <w:t>Derivatives with resident and non-resident clearing houses and central counterparties that are margined</w:t>
      </w:r>
    </w:p>
    <w:p w14:paraId="4F1B3248" w14:textId="77777777" w:rsidR="00233FEA" w:rsidRPr="00024130" w:rsidRDefault="00233FEA" w:rsidP="00233FEA">
      <w:pPr>
        <w:rPr>
          <w:rFonts w:ascii="Arial" w:eastAsia="Times New Roman" w:hAnsi="Arial" w:cs="Arial"/>
          <w:lang w:eastAsia="en-AU"/>
        </w:rPr>
      </w:pPr>
    </w:p>
    <w:tbl>
      <w:tblPr>
        <w:tblW w:w="14171" w:type="dxa"/>
        <w:tblLayout w:type="fixed"/>
        <w:tblLook w:val="04A0" w:firstRow="1" w:lastRow="0" w:firstColumn="1" w:lastColumn="0" w:noHBand="0" w:noVBand="1"/>
      </w:tblPr>
      <w:tblGrid>
        <w:gridCol w:w="1247"/>
        <w:gridCol w:w="1304"/>
        <w:gridCol w:w="1162"/>
        <w:gridCol w:w="1162"/>
        <w:gridCol w:w="1162"/>
        <w:gridCol w:w="1162"/>
        <w:gridCol w:w="1162"/>
        <w:gridCol w:w="1162"/>
        <w:gridCol w:w="1162"/>
        <w:gridCol w:w="1162"/>
        <w:gridCol w:w="1162"/>
        <w:gridCol w:w="1162"/>
      </w:tblGrid>
      <w:tr w:rsidR="00233FEA" w:rsidRPr="00024130" w14:paraId="48FF1DEE" w14:textId="77777777" w:rsidTr="005D2636">
        <w:trPr>
          <w:trHeight w:val="315"/>
        </w:trPr>
        <w:tc>
          <w:tcPr>
            <w:tcW w:w="1247" w:type="dxa"/>
            <w:tcBorders>
              <w:top w:val="single" w:sz="4" w:space="0" w:color="auto"/>
              <w:left w:val="single" w:sz="4" w:space="0" w:color="auto"/>
              <w:right w:val="single" w:sz="4" w:space="0" w:color="auto"/>
            </w:tcBorders>
            <w:vAlign w:val="bottom"/>
          </w:tcPr>
          <w:p w14:paraId="6164C2FB"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Country of clearing house and central counterparty</w:t>
            </w:r>
          </w:p>
        </w:tc>
        <w:tc>
          <w:tcPr>
            <w:tcW w:w="1304" w:type="dxa"/>
            <w:tcBorders>
              <w:top w:val="single" w:sz="4" w:space="0" w:color="auto"/>
              <w:left w:val="single" w:sz="4" w:space="0" w:color="auto"/>
              <w:right w:val="single" w:sz="4" w:space="0" w:color="auto"/>
            </w:tcBorders>
            <w:shd w:val="clear" w:color="auto" w:fill="auto"/>
            <w:vAlign w:val="bottom"/>
            <w:hideMark/>
          </w:tcPr>
          <w:p w14:paraId="7198F451"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Instrument type</w:t>
            </w:r>
          </w:p>
        </w:tc>
        <w:tc>
          <w:tcPr>
            <w:tcW w:w="1162" w:type="dxa"/>
            <w:tcBorders>
              <w:top w:val="single" w:sz="4" w:space="0" w:color="auto"/>
              <w:left w:val="nil"/>
              <w:right w:val="single" w:sz="4" w:space="0" w:color="000000"/>
            </w:tcBorders>
            <w:shd w:val="clear" w:color="auto" w:fill="auto"/>
            <w:vAlign w:val="bottom"/>
            <w:hideMark/>
          </w:tcPr>
          <w:p w14:paraId="13E1BF2A"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Net opening position</w:t>
            </w:r>
          </w:p>
        </w:tc>
        <w:tc>
          <w:tcPr>
            <w:tcW w:w="1162" w:type="dxa"/>
            <w:tcBorders>
              <w:top w:val="single" w:sz="4" w:space="0" w:color="auto"/>
              <w:left w:val="single" w:sz="4" w:space="0" w:color="auto"/>
              <w:right w:val="single" w:sz="4" w:space="0" w:color="auto"/>
            </w:tcBorders>
            <w:vAlign w:val="bottom"/>
          </w:tcPr>
          <w:p w14:paraId="566F6BEC"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Opening</w:t>
            </w:r>
            <w:r w:rsidRPr="007B1051">
              <w:rPr>
                <w:rFonts w:ascii="Arial" w:eastAsia="Times New Roman" w:hAnsi="Arial" w:cs="Arial"/>
                <w:b/>
                <w:sz w:val="20"/>
                <w:szCs w:val="20"/>
                <w:lang w:eastAsia="en-AU"/>
              </w:rPr>
              <w:t xml:space="preserve">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positive</w:t>
            </w:r>
          </w:p>
        </w:tc>
        <w:tc>
          <w:tcPr>
            <w:tcW w:w="1162" w:type="dxa"/>
            <w:tcBorders>
              <w:top w:val="single" w:sz="4" w:space="0" w:color="auto"/>
              <w:left w:val="single" w:sz="4" w:space="0" w:color="auto"/>
              <w:right w:val="single" w:sz="4" w:space="0" w:color="auto"/>
            </w:tcBorders>
            <w:vAlign w:val="bottom"/>
          </w:tcPr>
          <w:p w14:paraId="0B8C2962"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Opening </w:t>
            </w:r>
            <w:r w:rsidRPr="007B1051">
              <w:rPr>
                <w:rFonts w:ascii="Arial" w:eastAsia="Times New Roman" w:hAnsi="Arial" w:cs="Arial"/>
                <w:b/>
                <w:sz w:val="20"/>
                <w:szCs w:val="20"/>
                <w:lang w:eastAsia="en-AU"/>
              </w:rPr>
              <w:t>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negative</w:t>
            </w:r>
          </w:p>
        </w:tc>
        <w:tc>
          <w:tcPr>
            <w:tcW w:w="1162" w:type="dxa"/>
            <w:tcBorders>
              <w:top w:val="single" w:sz="4" w:space="0" w:color="auto"/>
              <w:left w:val="single" w:sz="4" w:space="0" w:color="auto"/>
              <w:right w:val="single" w:sz="4" w:space="0" w:color="auto"/>
            </w:tcBorders>
            <w:vAlign w:val="bottom"/>
          </w:tcPr>
          <w:p w14:paraId="1B1C569E"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 xml:space="preserve">Net </w:t>
            </w:r>
            <w:r w:rsidRPr="00E05B1B">
              <w:rPr>
                <w:rFonts w:ascii="Arial" w:eastAsia="Times New Roman" w:hAnsi="Arial" w:cs="Arial"/>
                <w:b/>
                <w:sz w:val="20"/>
                <w:szCs w:val="20"/>
                <w:lang w:eastAsia="en-AU"/>
              </w:rPr>
              <w:t>transactions</w:t>
            </w:r>
          </w:p>
        </w:tc>
        <w:tc>
          <w:tcPr>
            <w:tcW w:w="1162" w:type="dxa"/>
            <w:tcBorders>
              <w:top w:val="single" w:sz="4" w:space="0" w:color="auto"/>
              <w:left w:val="single" w:sz="4" w:space="0" w:color="auto"/>
              <w:right w:val="single" w:sz="4" w:space="0" w:color="auto"/>
            </w:tcBorders>
            <w:vAlign w:val="bottom"/>
          </w:tcPr>
          <w:p w14:paraId="29339FDA" w14:textId="77777777" w:rsidR="00233FEA" w:rsidRDefault="00233FEA" w:rsidP="003167DC">
            <w:pPr>
              <w:jc w:val="center"/>
              <w:rPr>
                <w:rFonts w:ascii="Arial" w:eastAsia="Times New Roman" w:hAnsi="Arial" w:cs="Arial"/>
                <w:b/>
                <w:sz w:val="20"/>
                <w:szCs w:val="20"/>
                <w:lang w:eastAsia="en-AU"/>
              </w:rPr>
            </w:pPr>
          </w:p>
          <w:p w14:paraId="3C88275E"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Market value changes</w:t>
            </w:r>
          </w:p>
        </w:tc>
        <w:tc>
          <w:tcPr>
            <w:tcW w:w="1162" w:type="dxa"/>
            <w:tcBorders>
              <w:top w:val="single" w:sz="4" w:space="0" w:color="auto"/>
              <w:left w:val="single" w:sz="4" w:space="0" w:color="auto"/>
              <w:right w:val="single" w:sz="4" w:space="0" w:color="auto"/>
            </w:tcBorders>
            <w:vAlign w:val="bottom"/>
          </w:tcPr>
          <w:p w14:paraId="4E5B0B54"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Exchange rate variations</w:t>
            </w:r>
          </w:p>
        </w:tc>
        <w:tc>
          <w:tcPr>
            <w:tcW w:w="1162" w:type="dxa"/>
            <w:tcBorders>
              <w:top w:val="single" w:sz="4" w:space="0" w:color="auto"/>
              <w:left w:val="single" w:sz="4" w:space="0" w:color="auto"/>
              <w:right w:val="single" w:sz="4" w:space="0" w:color="auto"/>
            </w:tcBorders>
            <w:vAlign w:val="bottom"/>
          </w:tcPr>
          <w:p w14:paraId="15CE689D"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Other changes</w:t>
            </w:r>
          </w:p>
        </w:tc>
        <w:tc>
          <w:tcPr>
            <w:tcW w:w="1162" w:type="dxa"/>
            <w:tcBorders>
              <w:top w:val="single" w:sz="4" w:space="0" w:color="auto"/>
              <w:left w:val="single" w:sz="4" w:space="0" w:color="auto"/>
              <w:right w:val="single" w:sz="4" w:space="0" w:color="auto"/>
            </w:tcBorders>
            <w:vAlign w:val="bottom"/>
          </w:tcPr>
          <w:p w14:paraId="2A90135F"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Net closing position</w:t>
            </w:r>
          </w:p>
        </w:tc>
        <w:tc>
          <w:tcPr>
            <w:tcW w:w="1162" w:type="dxa"/>
            <w:tcBorders>
              <w:top w:val="single" w:sz="4" w:space="0" w:color="auto"/>
              <w:left w:val="single" w:sz="4" w:space="0" w:color="auto"/>
              <w:right w:val="single" w:sz="4" w:space="0" w:color="auto"/>
            </w:tcBorders>
            <w:vAlign w:val="bottom"/>
          </w:tcPr>
          <w:p w14:paraId="7443F029"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Closing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positive</w:t>
            </w:r>
          </w:p>
        </w:tc>
        <w:tc>
          <w:tcPr>
            <w:tcW w:w="1162" w:type="dxa"/>
            <w:tcBorders>
              <w:top w:val="single" w:sz="4" w:space="0" w:color="auto"/>
              <w:left w:val="single" w:sz="4" w:space="0" w:color="auto"/>
              <w:right w:val="single" w:sz="4" w:space="0" w:color="auto"/>
            </w:tcBorders>
            <w:vAlign w:val="bottom"/>
          </w:tcPr>
          <w:p w14:paraId="6D614E20"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Closing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negative</w:t>
            </w:r>
          </w:p>
        </w:tc>
      </w:tr>
      <w:tr w:rsidR="00233FEA" w:rsidRPr="00024130" w14:paraId="3EE1C9D6" w14:textId="77777777" w:rsidTr="005D2636">
        <w:trPr>
          <w:trHeight w:val="315"/>
        </w:trPr>
        <w:tc>
          <w:tcPr>
            <w:tcW w:w="1247" w:type="dxa"/>
            <w:tcBorders>
              <w:left w:val="single" w:sz="4" w:space="0" w:color="auto"/>
              <w:bottom w:val="single" w:sz="4" w:space="0" w:color="auto"/>
              <w:right w:val="single" w:sz="4" w:space="0" w:color="auto"/>
            </w:tcBorders>
            <w:vAlign w:val="bottom"/>
          </w:tcPr>
          <w:p w14:paraId="7E2C1A7C"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(1)</w:t>
            </w:r>
          </w:p>
        </w:tc>
        <w:tc>
          <w:tcPr>
            <w:tcW w:w="1304" w:type="dxa"/>
            <w:tcBorders>
              <w:left w:val="single" w:sz="4" w:space="0" w:color="auto"/>
              <w:bottom w:val="single" w:sz="4" w:space="0" w:color="auto"/>
              <w:right w:val="single" w:sz="4" w:space="0" w:color="auto"/>
            </w:tcBorders>
            <w:shd w:val="clear" w:color="auto" w:fill="auto"/>
            <w:vAlign w:val="bottom"/>
            <w:hideMark/>
          </w:tcPr>
          <w:p w14:paraId="7D00FDE1"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p>
        </w:tc>
        <w:tc>
          <w:tcPr>
            <w:tcW w:w="1162" w:type="dxa"/>
            <w:tcBorders>
              <w:left w:val="single" w:sz="4" w:space="0" w:color="auto"/>
              <w:bottom w:val="single" w:sz="4" w:space="0" w:color="auto"/>
              <w:right w:val="single" w:sz="4" w:space="0" w:color="auto"/>
            </w:tcBorders>
            <w:shd w:val="clear" w:color="auto" w:fill="auto"/>
            <w:vAlign w:val="bottom"/>
            <w:hideMark/>
          </w:tcPr>
          <w:p w14:paraId="2A18A43D"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r w:rsidRPr="00024130">
              <w:rPr>
                <w:rFonts w:ascii="Arial" w:eastAsia="Times New Roman" w:hAnsi="Arial" w:cs="Arial"/>
                <w:b/>
                <w:sz w:val="20"/>
                <w:szCs w:val="20"/>
                <w:lang w:eastAsia="en-AU"/>
              </w:rPr>
              <w:t>)</w:t>
            </w:r>
          </w:p>
        </w:tc>
        <w:tc>
          <w:tcPr>
            <w:tcW w:w="1162" w:type="dxa"/>
            <w:tcBorders>
              <w:left w:val="single" w:sz="4" w:space="0" w:color="auto"/>
              <w:bottom w:val="single" w:sz="4" w:space="0" w:color="auto"/>
              <w:right w:val="single" w:sz="4" w:space="0" w:color="auto"/>
            </w:tcBorders>
            <w:vAlign w:val="bottom"/>
          </w:tcPr>
          <w:p w14:paraId="0E61899C"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4</w:t>
            </w:r>
            <w:r w:rsidRPr="00024130">
              <w:rPr>
                <w:rFonts w:ascii="Arial" w:eastAsia="Times New Roman" w:hAnsi="Arial" w:cs="Arial"/>
                <w:b/>
                <w:sz w:val="20"/>
                <w:szCs w:val="20"/>
                <w:lang w:eastAsia="en-AU"/>
              </w:rPr>
              <w:t>)</w:t>
            </w:r>
          </w:p>
        </w:tc>
        <w:tc>
          <w:tcPr>
            <w:tcW w:w="1162" w:type="dxa"/>
            <w:tcBorders>
              <w:left w:val="single" w:sz="4" w:space="0" w:color="auto"/>
              <w:bottom w:val="single" w:sz="4" w:space="0" w:color="auto"/>
              <w:right w:val="single" w:sz="4" w:space="0" w:color="auto"/>
            </w:tcBorders>
            <w:vAlign w:val="bottom"/>
          </w:tcPr>
          <w:p w14:paraId="4EE8EA28"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(5)</w:t>
            </w:r>
          </w:p>
        </w:tc>
        <w:tc>
          <w:tcPr>
            <w:tcW w:w="1162" w:type="dxa"/>
            <w:tcBorders>
              <w:left w:val="single" w:sz="4" w:space="0" w:color="auto"/>
              <w:bottom w:val="single" w:sz="4" w:space="0" w:color="auto"/>
              <w:right w:val="single" w:sz="4" w:space="0" w:color="auto"/>
            </w:tcBorders>
            <w:vAlign w:val="bottom"/>
          </w:tcPr>
          <w:p w14:paraId="586BDB1E"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c>
          <w:tcPr>
            <w:tcW w:w="1162" w:type="dxa"/>
            <w:tcBorders>
              <w:left w:val="single" w:sz="4" w:space="0" w:color="auto"/>
              <w:bottom w:val="single" w:sz="4" w:space="0" w:color="auto"/>
              <w:right w:val="single" w:sz="4" w:space="0" w:color="auto"/>
            </w:tcBorders>
            <w:vAlign w:val="bottom"/>
          </w:tcPr>
          <w:p w14:paraId="3CC1FEE4"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c>
          <w:tcPr>
            <w:tcW w:w="1162" w:type="dxa"/>
            <w:tcBorders>
              <w:left w:val="single" w:sz="4" w:space="0" w:color="auto"/>
              <w:bottom w:val="single" w:sz="4" w:space="0" w:color="auto"/>
              <w:right w:val="single" w:sz="4" w:space="0" w:color="auto"/>
            </w:tcBorders>
            <w:vAlign w:val="bottom"/>
          </w:tcPr>
          <w:p w14:paraId="795C475E"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(8)</w:t>
            </w:r>
          </w:p>
        </w:tc>
        <w:tc>
          <w:tcPr>
            <w:tcW w:w="1162" w:type="dxa"/>
            <w:tcBorders>
              <w:left w:val="single" w:sz="4" w:space="0" w:color="auto"/>
              <w:bottom w:val="single" w:sz="4" w:space="0" w:color="auto"/>
              <w:right w:val="single" w:sz="4" w:space="0" w:color="auto"/>
            </w:tcBorders>
            <w:vAlign w:val="bottom"/>
          </w:tcPr>
          <w:p w14:paraId="642AD97B"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(9)</w:t>
            </w:r>
          </w:p>
        </w:tc>
        <w:tc>
          <w:tcPr>
            <w:tcW w:w="1162" w:type="dxa"/>
            <w:tcBorders>
              <w:left w:val="single" w:sz="4" w:space="0" w:color="auto"/>
              <w:bottom w:val="single" w:sz="4" w:space="0" w:color="auto"/>
              <w:right w:val="single" w:sz="4" w:space="0" w:color="auto"/>
            </w:tcBorders>
            <w:vAlign w:val="bottom"/>
          </w:tcPr>
          <w:p w14:paraId="5AE63918"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(10)</w:t>
            </w:r>
          </w:p>
        </w:tc>
        <w:tc>
          <w:tcPr>
            <w:tcW w:w="1162" w:type="dxa"/>
            <w:tcBorders>
              <w:left w:val="single" w:sz="4" w:space="0" w:color="auto"/>
              <w:bottom w:val="single" w:sz="4" w:space="0" w:color="auto"/>
              <w:right w:val="single" w:sz="4" w:space="0" w:color="auto"/>
            </w:tcBorders>
            <w:vAlign w:val="bottom"/>
          </w:tcPr>
          <w:p w14:paraId="4D293FC2"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(11)</w:t>
            </w:r>
          </w:p>
        </w:tc>
        <w:tc>
          <w:tcPr>
            <w:tcW w:w="1162" w:type="dxa"/>
            <w:tcBorders>
              <w:left w:val="single" w:sz="4" w:space="0" w:color="auto"/>
              <w:bottom w:val="single" w:sz="4" w:space="0" w:color="auto"/>
              <w:right w:val="single" w:sz="4" w:space="0" w:color="auto"/>
            </w:tcBorders>
            <w:vAlign w:val="bottom"/>
          </w:tcPr>
          <w:p w14:paraId="427FE0D9"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(12)</w:t>
            </w:r>
          </w:p>
        </w:tc>
      </w:tr>
      <w:tr w:rsidR="00233FEA" w:rsidRPr="00024130" w14:paraId="38C76BB4" w14:textId="77777777" w:rsidTr="003167DC">
        <w:trPr>
          <w:trHeight w:val="315"/>
        </w:trPr>
        <w:tc>
          <w:tcPr>
            <w:tcW w:w="1247" w:type="dxa"/>
            <w:tcBorders>
              <w:top w:val="single" w:sz="4" w:space="0" w:color="auto"/>
              <w:left w:val="single" w:sz="4" w:space="0" w:color="auto"/>
              <w:bottom w:val="single" w:sz="4" w:space="0" w:color="auto"/>
              <w:right w:val="single" w:sz="4" w:space="0" w:color="auto"/>
            </w:tcBorders>
            <w:vAlign w:val="bottom"/>
          </w:tcPr>
          <w:p w14:paraId="7708EAE2" w14:textId="77777777" w:rsidR="00233FEA" w:rsidRDefault="00233FEA" w:rsidP="003167DC">
            <w:pPr>
              <w:jc w:val="center"/>
              <w:rPr>
                <w:rFonts w:ascii="Arial" w:eastAsia="Times New Roman" w:hAnsi="Arial" w:cs="Arial"/>
                <w:b/>
                <w:sz w:val="20"/>
                <w:szCs w:val="20"/>
                <w:lang w:eastAsia="en-AU"/>
              </w:rPr>
            </w:pPr>
          </w:p>
        </w:tc>
        <w:tc>
          <w:tcPr>
            <w:tcW w:w="1304" w:type="dxa"/>
            <w:tcBorders>
              <w:top w:val="single" w:sz="4" w:space="0" w:color="auto"/>
              <w:left w:val="single" w:sz="4" w:space="0" w:color="auto"/>
              <w:bottom w:val="single" w:sz="4" w:space="0" w:color="auto"/>
              <w:right w:val="single" w:sz="4" w:space="0" w:color="auto"/>
            </w:tcBorders>
            <w:shd w:val="clear" w:color="auto" w:fill="auto"/>
            <w:vAlign w:val="bottom"/>
          </w:tcPr>
          <w:p w14:paraId="2C27DFA2"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auto"/>
            <w:vAlign w:val="bottom"/>
          </w:tcPr>
          <w:p w14:paraId="10BB0353" w14:textId="77777777" w:rsidR="00233FEA" w:rsidRPr="00024130"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717B46D7"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21598F15"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03D2DE8A"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4BB019AA"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3DD57E2D"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42566202"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06FAC284"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5D0508FC"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25368CE1" w14:textId="77777777" w:rsidR="00233FEA" w:rsidRDefault="00233FEA" w:rsidP="003167DC">
            <w:pPr>
              <w:jc w:val="center"/>
              <w:rPr>
                <w:rFonts w:ascii="Arial" w:eastAsia="Times New Roman" w:hAnsi="Arial" w:cs="Arial"/>
                <w:b/>
                <w:sz w:val="20"/>
                <w:szCs w:val="20"/>
                <w:lang w:eastAsia="en-AU"/>
              </w:rPr>
            </w:pPr>
          </w:p>
        </w:tc>
      </w:tr>
      <w:tr w:rsidR="00233FEA" w:rsidRPr="00024130" w14:paraId="06B91BB3" w14:textId="77777777" w:rsidTr="003167DC">
        <w:trPr>
          <w:trHeight w:val="315"/>
        </w:trPr>
        <w:tc>
          <w:tcPr>
            <w:tcW w:w="1247" w:type="dxa"/>
            <w:tcBorders>
              <w:top w:val="single" w:sz="4" w:space="0" w:color="auto"/>
              <w:left w:val="dotDash" w:sz="4" w:space="0" w:color="auto"/>
              <w:bottom w:val="dotDash" w:sz="4" w:space="0" w:color="auto"/>
              <w:right w:val="dotDash" w:sz="4" w:space="0" w:color="auto"/>
            </w:tcBorders>
            <w:vAlign w:val="bottom"/>
          </w:tcPr>
          <w:p w14:paraId="557BBBAB" w14:textId="77777777" w:rsidR="00233FEA" w:rsidRPr="00C11FC2"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Country list</w:t>
            </w:r>
          </w:p>
        </w:tc>
        <w:tc>
          <w:tcPr>
            <w:tcW w:w="130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6DB82D0"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Options</w:t>
            </w:r>
          </w:p>
        </w:tc>
        <w:tc>
          <w:tcPr>
            <w:tcW w:w="1162" w:type="dxa"/>
            <w:tcBorders>
              <w:top w:val="single" w:sz="4" w:space="0" w:color="auto"/>
              <w:left w:val="dotDash" w:sz="4" w:space="0" w:color="auto"/>
            </w:tcBorders>
            <w:shd w:val="clear" w:color="auto" w:fill="auto"/>
            <w:vAlign w:val="bottom"/>
          </w:tcPr>
          <w:p w14:paraId="2E362A6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6F06484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5F108E5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193237E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3697D35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7993877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2BC00E4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01EFDEE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6A473775"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492760CB"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8B4EBDE" w14:textId="77777777" w:rsidTr="003167DC">
        <w:trPr>
          <w:trHeight w:val="315"/>
        </w:trPr>
        <w:tc>
          <w:tcPr>
            <w:tcW w:w="1247" w:type="dxa"/>
            <w:tcBorders>
              <w:top w:val="dotDash" w:sz="4" w:space="0" w:color="auto"/>
              <w:left w:val="dotDash" w:sz="4" w:space="0" w:color="auto"/>
              <w:bottom w:val="dotDash" w:sz="4" w:space="0" w:color="auto"/>
              <w:right w:val="dotDash" w:sz="4" w:space="0" w:color="auto"/>
            </w:tcBorders>
            <w:vAlign w:val="bottom"/>
          </w:tcPr>
          <w:p w14:paraId="06684E3D"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Afghanistan</w:t>
            </w:r>
          </w:p>
        </w:tc>
        <w:tc>
          <w:tcPr>
            <w:tcW w:w="130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A8E3414"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Forwards</w:t>
            </w:r>
          </w:p>
        </w:tc>
        <w:tc>
          <w:tcPr>
            <w:tcW w:w="1162" w:type="dxa"/>
            <w:tcBorders>
              <w:left w:val="dotDash" w:sz="4" w:space="0" w:color="auto"/>
            </w:tcBorders>
            <w:shd w:val="clear" w:color="auto" w:fill="auto"/>
            <w:vAlign w:val="bottom"/>
          </w:tcPr>
          <w:p w14:paraId="6C70CCC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3E6C4B74"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5B97694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5AAF5F60"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4EACCC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0EBDCAA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214278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7A3D7574"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2CFD64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A5D4F39"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5D537FB" w14:textId="77777777" w:rsidTr="003167DC">
        <w:trPr>
          <w:trHeight w:val="315"/>
        </w:trPr>
        <w:tc>
          <w:tcPr>
            <w:tcW w:w="1247" w:type="dxa"/>
            <w:tcBorders>
              <w:top w:val="dotDash" w:sz="4" w:space="0" w:color="auto"/>
              <w:left w:val="dotDash" w:sz="4" w:space="0" w:color="auto"/>
              <w:bottom w:val="dashed" w:sz="4" w:space="0" w:color="auto"/>
              <w:right w:val="dotDash" w:sz="4" w:space="0" w:color="auto"/>
            </w:tcBorders>
            <w:vAlign w:val="bottom"/>
          </w:tcPr>
          <w:p w14:paraId="1FC952EE"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Albania</w:t>
            </w:r>
          </w:p>
        </w:tc>
        <w:tc>
          <w:tcPr>
            <w:tcW w:w="1304" w:type="dxa"/>
            <w:tcBorders>
              <w:top w:val="dotDash" w:sz="4" w:space="0" w:color="auto"/>
              <w:left w:val="dotDash" w:sz="4" w:space="0" w:color="auto"/>
              <w:bottom w:val="dashed" w:sz="4" w:space="0" w:color="auto"/>
              <w:right w:val="dotDash" w:sz="4" w:space="0" w:color="auto"/>
            </w:tcBorders>
            <w:shd w:val="clear" w:color="auto" w:fill="auto"/>
            <w:noWrap/>
            <w:vAlign w:val="bottom"/>
          </w:tcPr>
          <w:p w14:paraId="097F3F8B"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Swaps</w:t>
            </w:r>
          </w:p>
        </w:tc>
        <w:tc>
          <w:tcPr>
            <w:tcW w:w="1162" w:type="dxa"/>
            <w:tcBorders>
              <w:left w:val="dotDash" w:sz="4" w:space="0" w:color="auto"/>
            </w:tcBorders>
            <w:shd w:val="clear" w:color="auto" w:fill="auto"/>
            <w:vAlign w:val="bottom"/>
          </w:tcPr>
          <w:p w14:paraId="71B56B1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57DB63D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693332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81E7AD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345C81B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5BE95F5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2FB4AD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D7424A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0BAFEE9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77620135"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1004E09B" w14:textId="77777777" w:rsidTr="003167DC">
        <w:trPr>
          <w:trHeight w:val="315"/>
        </w:trPr>
        <w:tc>
          <w:tcPr>
            <w:tcW w:w="1247" w:type="dxa"/>
            <w:tcBorders>
              <w:top w:val="dashed" w:sz="4" w:space="0" w:color="auto"/>
              <w:left w:val="dashed" w:sz="4" w:space="0" w:color="auto"/>
              <w:bottom w:val="dashed" w:sz="4" w:space="0" w:color="auto"/>
              <w:right w:val="dashed" w:sz="4" w:space="0" w:color="auto"/>
            </w:tcBorders>
            <w:vAlign w:val="bottom"/>
          </w:tcPr>
          <w:p w14:paraId="5FD1570C" w14:textId="77777777" w:rsidR="00233FEA" w:rsidRPr="00C11FC2" w:rsidRDefault="00233FEA" w:rsidP="003167DC">
            <w:pPr>
              <w:jc w:val="center"/>
              <w:rPr>
                <w:rFonts w:ascii="Wingdings 3" w:eastAsia="Times New Roman" w:hAnsi="Wingdings 3" w:cs="Arial"/>
                <w:sz w:val="20"/>
                <w:szCs w:val="20"/>
                <w:lang w:eastAsia="en-AU"/>
              </w:rPr>
            </w:pPr>
            <w:r>
              <w:rPr>
                <w:rFonts w:ascii="Wingdings 3" w:eastAsia="Times New Roman" w:hAnsi="Wingdings 3" w:cs="Arial"/>
                <w:sz w:val="20"/>
                <w:szCs w:val="20"/>
                <w:lang w:eastAsia="en-AU"/>
              </w:rPr>
              <w:t></w:t>
            </w:r>
          </w:p>
        </w:tc>
        <w:tc>
          <w:tcPr>
            <w:tcW w:w="1304"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D055068"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Other</w:t>
            </w:r>
          </w:p>
        </w:tc>
        <w:tc>
          <w:tcPr>
            <w:tcW w:w="1162" w:type="dxa"/>
            <w:tcBorders>
              <w:left w:val="dashed" w:sz="4" w:space="0" w:color="auto"/>
            </w:tcBorders>
            <w:shd w:val="clear" w:color="auto" w:fill="auto"/>
            <w:vAlign w:val="bottom"/>
          </w:tcPr>
          <w:p w14:paraId="4FEA98F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75FA5CC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0C6D2A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068B402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728236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49E40CF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4CD1A5E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1D5C69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131440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7A0AEBCC"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21E5CFB" w14:textId="77777777" w:rsidTr="003167DC">
        <w:trPr>
          <w:trHeight w:val="315"/>
        </w:trPr>
        <w:tc>
          <w:tcPr>
            <w:tcW w:w="1247" w:type="dxa"/>
            <w:tcBorders>
              <w:top w:val="dashed" w:sz="4" w:space="0" w:color="auto"/>
              <w:left w:val="dashed" w:sz="4" w:space="0" w:color="auto"/>
              <w:bottom w:val="dashed" w:sz="4" w:space="0" w:color="auto"/>
              <w:right w:val="dashed" w:sz="4" w:space="0" w:color="auto"/>
            </w:tcBorders>
            <w:vAlign w:val="bottom"/>
          </w:tcPr>
          <w:p w14:paraId="26295893" w14:textId="77777777" w:rsidR="00233FEA" w:rsidRDefault="00233FEA" w:rsidP="003167DC">
            <w:pPr>
              <w:jc w:val="center"/>
              <w:rPr>
                <w:rFonts w:ascii="Wingdings 3" w:eastAsia="Times New Roman" w:hAnsi="Wingdings 3" w:cs="Arial"/>
                <w:sz w:val="20"/>
                <w:szCs w:val="20"/>
                <w:lang w:eastAsia="en-AU"/>
              </w:rPr>
            </w:pPr>
          </w:p>
        </w:tc>
        <w:tc>
          <w:tcPr>
            <w:tcW w:w="1304" w:type="dxa"/>
            <w:tcBorders>
              <w:top w:val="dashed" w:sz="4" w:space="0" w:color="auto"/>
              <w:left w:val="dashed" w:sz="4" w:space="0" w:color="auto"/>
            </w:tcBorders>
            <w:shd w:val="clear" w:color="auto" w:fill="auto"/>
            <w:noWrap/>
            <w:vAlign w:val="bottom"/>
          </w:tcPr>
          <w:p w14:paraId="1B37D712" w14:textId="77777777" w:rsidR="00233FEA" w:rsidRDefault="00233FEA" w:rsidP="003167DC">
            <w:pPr>
              <w:jc w:val="center"/>
              <w:rPr>
                <w:rFonts w:ascii="Arial" w:eastAsia="Times New Roman" w:hAnsi="Arial" w:cs="Arial"/>
                <w:sz w:val="20"/>
                <w:szCs w:val="20"/>
                <w:lang w:eastAsia="en-AU"/>
              </w:rPr>
            </w:pPr>
          </w:p>
        </w:tc>
        <w:tc>
          <w:tcPr>
            <w:tcW w:w="1162" w:type="dxa"/>
            <w:shd w:val="clear" w:color="auto" w:fill="auto"/>
            <w:vAlign w:val="bottom"/>
          </w:tcPr>
          <w:p w14:paraId="484294F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3D58E5B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671D3E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7DC369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4628071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08A5DAD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5DC88AB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717EAC4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3A40E2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67C02A29"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0B0EFC30" w14:textId="77777777" w:rsidTr="003167DC">
        <w:trPr>
          <w:trHeight w:val="315"/>
        </w:trPr>
        <w:tc>
          <w:tcPr>
            <w:tcW w:w="1247" w:type="dxa"/>
            <w:tcBorders>
              <w:top w:val="dashed" w:sz="4" w:space="0" w:color="auto"/>
            </w:tcBorders>
            <w:vAlign w:val="bottom"/>
          </w:tcPr>
          <w:p w14:paraId="71E1ED36" w14:textId="77777777" w:rsidR="00233FEA" w:rsidRDefault="00233FEA" w:rsidP="003167DC">
            <w:pPr>
              <w:jc w:val="center"/>
              <w:rPr>
                <w:rFonts w:ascii="Wingdings 3" w:eastAsia="Times New Roman" w:hAnsi="Wingdings 3" w:cs="Arial"/>
                <w:sz w:val="20"/>
                <w:szCs w:val="20"/>
                <w:lang w:eastAsia="en-AU"/>
              </w:rPr>
            </w:pPr>
          </w:p>
        </w:tc>
        <w:tc>
          <w:tcPr>
            <w:tcW w:w="1304" w:type="dxa"/>
            <w:shd w:val="clear" w:color="auto" w:fill="auto"/>
            <w:noWrap/>
            <w:vAlign w:val="bottom"/>
          </w:tcPr>
          <w:p w14:paraId="03561D44" w14:textId="77777777" w:rsidR="00233FEA" w:rsidRDefault="00233FEA" w:rsidP="003167DC">
            <w:pPr>
              <w:jc w:val="center"/>
              <w:rPr>
                <w:rFonts w:ascii="Arial" w:eastAsia="Times New Roman" w:hAnsi="Arial" w:cs="Arial"/>
                <w:sz w:val="20"/>
                <w:szCs w:val="20"/>
                <w:lang w:eastAsia="en-AU"/>
              </w:rPr>
            </w:pPr>
          </w:p>
        </w:tc>
        <w:tc>
          <w:tcPr>
            <w:tcW w:w="1162" w:type="dxa"/>
            <w:tcBorders>
              <w:bottom w:val="single" w:sz="4" w:space="0" w:color="auto"/>
            </w:tcBorders>
            <w:shd w:val="clear" w:color="auto" w:fill="auto"/>
            <w:vAlign w:val="bottom"/>
          </w:tcPr>
          <w:p w14:paraId="19AD7BD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2F75B60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51D54E8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7F33B53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7DBCD79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50A70A54"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33440FF5"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552502D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07EBE8D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004FA8E5"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7D17A0B" w14:textId="77777777" w:rsidTr="003167DC">
        <w:trPr>
          <w:trHeight w:val="315"/>
        </w:trPr>
        <w:tc>
          <w:tcPr>
            <w:tcW w:w="2551" w:type="dxa"/>
            <w:gridSpan w:val="2"/>
            <w:tcBorders>
              <w:right w:val="single" w:sz="4" w:space="0" w:color="auto"/>
            </w:tcBorders>
            <w:shd w:val="clear" w:color="auto" w:fill="auto"/>
            <w:vAlign w:val="bottom"/>
          </w:tcPr>
          <w:p w14:paraId="58ED6A3F"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5.1. Total derivatives that are margined</w:t>
            </w: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2711CC9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70E1B17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1D62E7F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7668F92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342BC0B0"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0D8BE04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4A28C4E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1917F24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46B70F8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77DC41B3" w14:textId="77777777" w:rsidR="00233FEA" w:rsidRPr="00024130" w:rsidRDefault="00233FEA" w:rsidP="003167DC">
            <w:pPr>
              <w:jc w:val="center"/>
              <w:rPr>
                <w:rFonts w:ascii="Arial" w:eastAsia="Times New Roman" w:hAnsi="Arial" w:cs="Arial"/>
                <w:color w:val="000000"/>
                <w:sz w:val="20"/>
                <w:szCs w:val="20"/>
                <w:lang w:eastAsia="en-AU"/>
              </w:rPr>
            </w:pPr>
          </w:p>
        </w:tc>
      </w:tr>
    </w:tbl>
    <w:p w14:paraId="1A43E851" w14:textId="77777777" w:rsidR="00233FEA" w:rsidRDefault="00233FEA" w:rsidP="00233FEA"/>
    <w:p w14:paraId="3A34299E" w14:textId="77777777" w:rsidR="00233FEA" w:rsidRDefault="00233FEA" w:rsidP="00233FEA">
      <w:pPr>
        <w:rPr>
          <w:rFonts w:ascii="Arial" w:eastAsia="Times New Roman" w:hAnsi="Arial" w:cs="Arial"/>
          <w:b/>
          <w:sz w:val="24"/>
          <w:szCs w:val="24"/>
          <w:lang w:eastAsia="en-AU"/>
        </w:rPr>
      </w:pPr>
    </w:p>
    <w:p w14:paraId="7E2D6318" w14:textId="77777777" w:rsidR="00233FEA" w:rsidRDefault="00233FEA" w:rsidP="00233FEA">
      <w:pPr>
        <w:rPr>
          <w:rFonts w:ascii="Arial" w:eastAsia="Times New Roman" w:hAnsi="Arial" w:cs="Arial"/>
          <w:b/>
          <w:sz w:val="23"/>
          <w:szCs w:val="23"/>
          <w:lang w:eastAsia="en-AU"/>
        </w:rPr>
      </w:pPr>
    </w:p>
    <w:p w14:paraId="2E3F819C" w14:textId="77777777" w:rsidR="00233FEA" w:rsidRDefault="00233FEA" w:rsidP="00233FEA">
      <w:pPr>
        <w:rPr>
          <w:rFonts w:ascii="Arial" w:eastAsia="Times New Roman" w:hAnsi="Arial" w:cs="Arial"/>
          <w:b/>
          <w:sz w:val="23"/>
          <w:szCs w:val="23"/>
          <w:lang w:eastAsia="en-AU"/>
        </w:rPr>
      </w:pPr>
    </w:p>
    <w:p w14:paraId="555C1B1B" w14:textId="77777777" w:rsidR="00233FEA" w:rsidRDefault="00233FEA" w:rsidP="00233FEA">
      <w:pPr>
        <w:rPr>
          <w:rFonts w:ascii="Arial" w:eastAsia="Times New Roman" w:hAnsi="Arial" w:cs="Arial"/>
          <w:b/>
          <w:sz w:val="23"/>
          <w:szCs w:val="23"/>
          <w:lang w:eastAsia="en-AU"/>
        </w:rPr>
      </w:pPr>
    </w:p>
    <w:p w14:paraId="4988C80E" w14:textId="77777777" w:rsidR="00233FEA" w:rsidRDefault="00233FEA" w:rsidP="00233FEA">
      <w:pPr>
        <w:rPr>
          <w:rFonts w:ascii="Arial" w:eastAsia="Times New Roman" w:hAnsi="Arial" w:cs="Arial"/>
          <w:b/>
          <w:sz w:val="23"/>
          <w:szCs w:val="23"/>
          <w:lang w:eastAsia="en-AU"/>
        </w:rPr>
      </w:pPr>
    </w:p>
    <w:p w14:paraId="1F6F947C" w14:textId="77777777" w:rsidR="00233FEA" w:rsidRDefault="00233FEA" w:rsidP="00233FEA">
      <w:pPr>
        <w:rPr>
          <w:rFonts w:ascii="Arial" w:eastAsia="Times New Roman" w:hAnsi="Arial" w:cs="Arial"/>
          <w:b/>
          <w:sz w:val="23"/>
          <w:szCs w:val="23"/>
          <w:lang w:eastAsia="en-AU"/>
        </w:rPr>
      </w:pPr>
    </w:p>
    <w:p w14:paraId="16A012E5" w14:textId="77777777" w:rsidR="00233FEA" w:rsidRDefault="00233FEA" w:rsidP="00233FEA">
      <w:pPr>
        <w:rPr>
          <w:rFonts w:ascii="Arial" w:eastAsia="Times New Roman" w:hAnsi="Arial" w:cs="Arial"/>
          <w:b/>
          <w:sz w:val="23"/>
          <w:szCs w:val="23"/>
          <w:lang w:eastAsia="en-AU"/>
        </w:rPr>
      </w:pPr>
    </w:p>
    <w:p w14:paraId="1601975D" w14:textId="77777777" w:rsidR="00233FEA" w:rsidRDefault="00233FEA" w:rsidP="00233FEA">
      <w:pPr>
        <w:rPr>
          <w:rFonts w:ascii="Arial" w:eastAsia="Times New Roman" w:hAnsi="Arial" w:cs="Arial"/>
          <w:b/>
          <w:sz w:val="23"/>
          <w:szCs w:val="23"/>
          <w:lang w:eastAsia="en-AU"/>
        </w:rPr>
      </w:pPr>
    </w:p>
    <w:p w14:paraId="561878CA" w14:textId="77777777" w:rsidR="00233FEA" w:rsidRDefault="00233FEA" w:rsidP="00233FEA">
      <w:pPr>
        <w:rPr>
          <w:rFonts w:ascii="Arial" w:eastAsia="Times New Roman" w:hAnsi="Arial" w:cs="Arial"/>
          <w:b/>
          <w:sz w:val="23"/>
          <w:szCs w:val="23"/>
          <w:lang w:eastAsia="en-AU"/>
        </w:rPr>
      </w:pPr>
    </w:p>
    <w:p w14:paraId="03DECB75" w14:textId="77777777" w:rsidR="00233FEA" w:rsidRDefault="00233FEA" w:rsidP="00233FEA">
      <w:pPr>
        <w:rPr>
          <w:rFonts w:ascii="Arial" w:eastAsia="Times New Roman" w:hAnsi="Arial" w:cs="Arial"/>
          <w:b/>
          <w:sz w:val="23"/>
          <w:szCs w:val="23"/>
          <w:lang w:eastAsia="en-AU"/>
        </w:rPr>
      </w:pPr>
    </w:p>
    <w:p w14:paraId="152FF477" w14:textId="77777777" w:rsidR="00233FEA" w:rsidRDefault="00233FEA" w:rsidP="00233FEA">
      <w:pPr>
        <w:rPr>
          <w:rFonts w:ascii="Arial" w:eastAsia="Times New Roman" w:hAnsi="Arial" w:cs="Arial"/>
          <w:b/>
          <w:sz w:val="23"/>
          <w:szCs w:val="23"/>
          <w:lang w:eastAsia="en-AU"/>
        </w:rPr>
      </w:pPr>
    </w:p>
    <w:p w14:paraId="6BC22C1B" w14:textId="77777777" w:rsidR="00233FEA" w:rsidRPr="003B3E1C" w:rsidRDefault="00233FEA" w:rsidP="00233FEA">
      <w:pPr>
        <w:rPr>
          <w:rFonts w:ascii="Arial" w:eastAsia="Times New Roman" w:hAnsi="Arial" w:cs="Arial"/>
          <w:sz w:val="23"/>
          <w:szCs w:val="23"/>
          <w:lang w:eastAsia="en-AU"/>
        </w:rPr>
      </w:pPr>
      <w:r w:rsidRPr="003B3E1C">
        <w:rPr>
          <w:rFonts w:ascii="Arial" w:eastAsia="Times New Roman" w:hAnsi="Arial" w:cs="Arial"/>
          <w:b/>
          <w:sz w:val="23"/>
          <w:szCs w:val="23"/>
          <w:lang w:eastAsia="en-AU"/>
        </w:rPr>
        <w:lastRenderedPageBreak/>
        <w:t xml:space="preserve">Section </w:t>
      </w:r>
      <w:r>
        <w:rPr>
          <w:rFonts w:ascii="Arial" w:eastAsia="Times New Roman" w:hAnsi="Arial" w:cs="Arial"/>
          <w:b/>
          <w:sz w:val="23"/>
          <w:szCs w:val="23"/>
          <w:lang w:eastAsia="en-AU"/>
        </w:rPr>
        <w:t>C</w:t>
      </w:r>
      <w:r w:rsidRPr="003B3E1C">
        <w:rPr>
          <w:rFonts w:ascii="Arial" w:eastAsia="Times New Roman" w:hAnsi="Arial" w:cs="Arial"/>
          <w:b/>
          <w:sz w:val="23"/>
          <w:szCs w:val="23"/>
          <w:lang w:eastAsia="en-AU"/>
        </w:rPr>
        <w:t>: Derivatives with clearing houses and central counterparties that are not margined</w:t>
      </w:r>
    </w:p>
    <w:p w14:paraId="1322EE77" w14:textId="77777777" w:rsidR="00233FEA" w:rsidRDefault="00233FEA" w:rsidP="00233FEA">
      <w:pPr>
        <w:rPr>
          <w:rFonts w:ascii="Arial" w:eastAsia="Times New Roman" w:hAnsi="Arial" w:cs="Arial"/>
          <w:lang w:eastAsia="en-AU"/>
        </w:rPr>
      </w:pPr>
    </w:p>
    <w:p w14:paraId="3E22F903" w14:textId="77777777" w:rsidR="00233FEA" w:rsidRPr="003852DA" w:rsidRDefault="00233FEA" w:rsidP="00233FEA">
      <w:pPr>
        <w:numPr>
          <w:ilvl w:val="0"/>
          <w:numId w:val="15"/>
        </w:numPr>
        <w:rPr>
          <w:rFonts w:ascii="Arial" w:eastAsia="Times New Roman" w:hAnsi="Arial" w:cs="Arial"/>
          <w:b/>
          <w:szCs w:val="24"/>
          <w:lang w:eastAsia="en-AU"/>
        </w:rPr>
      </w:pPr>
      <w:r>
        <w:rPr>
          <w:rFonts w:ascii="Arial" w:eastAsia="Times New Roman" w:hAnsi="Arial" w:cs="Arial"/>
          <w:b/>
          <w:szCs w:val="24"/>
          <w:lang w:eastAsia="en-AU"/>
        </w:rPr>
        <w:t>Derivatives with resident and non-resident clearing houses and central counterparties that are not margined</w:t>
      </w:r>
    </w:p>
    <w:p w14:paraId="5EB7C141" w14:textId="77777777" w:rsidR="00233FEA" w:rsidRPr="00024130" w:rsidRDefault="00233FEA" w:rsidP="00233FEA">
      <w:pPr>
        <w:rPr>
          <w:rFonts w:ascii="Arial" w:eastAsia="Times New Roman" w:hAnsi="Arial" w:cs="Arial"/>
          <w:lang w:eastAsia="en-AU"/>
        </w:rPr>
      </w:pPr>
    </w:p>
    <w:tbl>
      <w:tblPr>
        <w:tblW w:w="14171" w:type="dxa"/>
        <w:tblLayout w:type="fixed"/>
        <w:tblLook w:val="04A0" w:firstRow="1" w:lastRow="0" w:firstColumn="1" w:lastColumn="0" w:noHBand="0" w:noVBand="1"/>
      </w:tblPr>
      <w:tblGrid>
        <w:gridCol w:w="1247"/>
        <w:gridCol w:w="1304"/>
        <w:gridCol w:w="1162"/>
        <w:gridCol w:w="1162"/>
        <w:gridCol w:w="1162"/>
        <w:gridCol w:w="1162"/>
        <w:gridCol w:w="1162"/>
        <w:gridCol w:w="1162"/>
        <w:gridCol w:w="1162"/>
        <w:gridCol w:w="1162"/>
        <w:gridCol w:w="1162"/>
        <w:gridCol w:w="1162"/>
      </w:tblGrid>
      <w:tr w:rsidR="00233FEA" w:rsidRPr="00024130" w14:paraId="5B87A771" w14:textId="77777777" w:rsidTr="005D2636">
        <w:trPr>
          <w:trHeight w:val="315"/>
        </w:trPr>
        <w:tc>
          <w:tcPr>
            <w:tcW w:w="1247" w:type="dxa"/>
            <w:tcBorders>
              <w:top w:val="single" w:sz="4" w:space="0" w:color="auto"/>
              <w:left w:val="single" w:sz="4" w:space="0" w:color="auto"/>
              <w:right w:val="single" w:sz="4" w:space="0" w:color="auto"/>
            </w:tcBorders>
            <w:vAlign w:val="bottom"/>
          </w:tcPr>
          <w:p w14:paraId="4A7DBA4C" w14:textId="6218142C" w:rsidR="00233FEA" w:rsidRPr="007B1051" w:rsidRDefault="00233FEA" w:rsidP="00D413FA">
            <w:pPr>
              <w:jc w:val="center"/>
              <w:rPr>
                <w:rFonts w:ascii="Arial" w:eastAsia="Times New Roman" w:hAnsi="Arial" w:cs="Arial"/>
                <w:b/>
                <w:sz w:val="20"/>
                <w:szCs w:val="20"/>
                <w:lang w:eastAsia="en-AU"/>
              </w:rPr>
            </w:pPr>
            <w:r>
              <w:rPr>
                <w:rFonts w:ascii="Arial" w:eastAsia="Times New Roman" w:hAnsi="Arial" w:cs="Arial"/>
                <w:b/>
                <w:sz w:val="20"/>
                <w:szCs w:val="20"/>
                <w:lang w:eastAsia="en-AU"/>
              </w:rPr>
              <w:t>Country of clearing house and central counterparty</w:t>
            </w:r>
          </w:p>
        </w:tc>
        <w:tc>
          <w:tcPr>
            <w:tcW w:w="1304" w:type="dxa"/>
            <w:tcBorders>
              <w:top w:val="single" w:sz="4" w:space="0" w:color="auto"/>
              <w:left w:val="single" w:sz="4" w:space="0" w:color="auto"/>
              <w:right w:val="single" w:sz="4" w:space="0" w:color="auto"/>
            </w:tcBorders>
            <w:shd w:val="clear" w:color="auto" w:fill="auto"/>
            <w:vAlign w:val="bottom"/>
            <w:hideMark/>
          </w:tcPr>
          <w:p w14:paraId="5460CDB9"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Instrument type</w:t>
            </w:r>
          </w:p>
        </w:tc>
        <w:tc>
          <w:tcPr>
            <w:tcW w:w="1162" w:type="dxa"/>
            <w:tcBorders>
              <w:top w:val="single" w:sz="4" w:space="0" w:color="auto"/>
              <w:left w:val="nil"/>
              <w:right w:val="single" w:sz="4" w:space="0" w:color="000000"/>
            </w:tcBorders>
            <w:shd w:val="clear" w:color="auto" w:fill="auto"/>
            <w:vAlign w:val="bottom"/>
            <w:hideMark/>
          </w:tcPr>
          <w:p w14:paraId="20C1236D"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Net opening position</w:t>
            </w:r>
          </w:p>
        </w:tc>
        <w:tc>
          <w:tcPr>
            <w:tcW w:w="1162" w:type="dxa"/>
            <w:tcBorders>
              <w:top w:val="single" w:sz="4" w:space="0" w:color="auto"/>
              <w:left w:val="single" w:sz="4" w:space="0" w:color="auto"/>
              <w:right w:val="single" w:sz="4" w:space="0" w:color="auto"/>
            </w:tcBorders>
            <w:vAlign w:val="bottom"/>
          </w:tcPr>
          <w:p w14:paraId="2C78D1AF"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Opening</w:t>
            </w:r>
            <w:r w:rsidRPr="007B1051">
              <w:rPr>
                <w:rFonts w:ascii="Arial" w:eastAsia="Times New Roman" w:hAnsi="Arial" w:cs="Arial"/>
                <w:b/>
                <w:sz w:val="20"/>
                <w:szCs w:val="20"/>
                <w:lang w:eastAsia="en-AU"/>
              </w:rPr>
              <w:t xml:space="preserve">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positive</w:t>
            </w:r>
          </w:p>
        </w:tc>
        <w:tc>
          <w:tcPr>
            <w:tcW w:w="1162" w:type="dxa"/>
            <w:tcBorders>
              <w:top w:val="single" w:sz="4" w:space="0" w:color="auto"/>
              <w:left w:val="single" w:sz="4" w:space="0" w:color="auto"/>
              <w:right w:val="single" w:sz="4" w:space="0" w:color="auto"/>
            </w:tcBorders>
            <w:vAlign w:val="bottom"/>
          </w:tcPr>
          <w:p w14:paraId="3210EC2F"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Opening </w:t>
            </w:r>
            <w:r w:rsidRPr="007B1051">
              <w:rPr>
                <w:rFonts w:ascii="Arial" w:eastAsia="Times New Roman" w:hAnsi="Arial" w:cs="Arial"/>
                <w:b/>
                <w:sz w:val="20"/>
                <w:szCs w:val="20"/>
                <w:lang w:eastAsia="en-AU"/>
              </w:rPr>
              <w:t>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negative</w:t>
            </w:r>
          </w:p>
        </w:tc>
        <w:tc>
          <w:tcPr>
            <w:tcW w:w="1162" w:type="dxa"/>
            <w:tcBorders>
              <w:top w:val="single" w:sz="4" w:space="0" w:color="auto"/>
              <w:left w:val="single" w:sz="4" w:space="0" w:color="auto"/>
              <w:right w:val="single" w:sz="4" w:space="0" w:color="auto"/>
            </w:tcBorders>
            <w:vAlign w:val="bottom"/>
          </w:tcPr>
          <w:p w14:paraId="4E419719" w14:textId="77777777" w:rsidR="00233FEA" w:rsidRPr="007B1051" w:rsidRDefault="00233FEA" w:rsidP="003167DC">
            <w:pPr>
              <w:jc w:val="center"/>
              <w:rPr>
                <w:rFonts w:ascii="Arial" w:eastAsia="Times New Roman" w:hAnsi="Arial" w:cs="Arial"/>
                <w:b/>
                <w:sz w:val="20"/>
                <w:szCs w:val="20"/>
                <w:lang w:eastAsia="en-AU"/>
              </w:rPr>
            </w:pPr>
            <w:r w:rsidRPr="007B1051" w:rsidDel="00AC387B">
              <w:rPr>
                <w:rFonts w:ascii="Arial" w:eastAsia="Times New Roman" w:hAnsi="Arial" w:cs="Arial"/>
                <w:b/>
                <w:sz w:val="20"/>
                <w:szCs w:val="20"/>
                <w:lang w:eastAsia="en-AU"/>
              </w:rPr>
              <w:t xml:space="preserve"> </w:t>
            </w:r>
            <w:r w:rsidRPr="007B1051">
              <w:rPr>
                <w:rFonts w:ascii="Arial" w:eastAsia="Times New Roman" w:hAnsi="Arial" w:cs="Arial"/>
                <w:b/>
                <w:sz w:val="20"/>
                <w:szCs w:val="20"/>
                <w:lang w:eastAsia="en-AU"/>
              </w:rPr>
              <w:t xml:space="preserve">Net </w:t>
            </w:r>
            <w:r w:rsidRPr="00E05B1B">
              <w:rPr>
                <w:rFonts w:ascii="Arial" w:eastAsia="Times New Roman" w:hAnsi="Arial" w:cs="Arial"/>
                <w:b/>
                <w:sz w:val="20"/>
                <w:szCs w:val="20"/>
                <w:lang w:eastAsia="en-AU"/>
              </w:rPr>
              <w:t>transactions</w:t>
            </w:r>
          </w:p>
        </w:tc>
        <w:tc>
          <w:tcPr>
            <w:tcW w:w="1162" w:type="dxa"/>
            <w:tcBorders>
              <w:top w:val="single" w:sz="4" w:space="0" w:color="auto"/>
              <w:left w:val="single" w:sz="4" w:space="0" w:color="auto"/>
              <w:right w:val="single" w:sz="4" w:space="0" w:color="auto"/>
            </w:tcBorders>
            <w:vAlign w:val="bottom"/>
          </w:tcPr>
          <w:p w14:paraId="454E739F"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 xml:space="preserve"> </w:t>
            </w:r>
          </w:p>
          <w:p w14:paraId="6DB676EC"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Market value changes</w:t>
            </w:r>
          </w:p>
        </w:tc>
        <w:tc>
          <w:tcPr>
            <w:tcW w:w="1162" w:type="dxa"/>
            <w:tcBorders>
              <w:top w:val="single" w:sz="4" w:space="0" w:color="auto"/>
              <w:left w:val="single" w:sz="4" w:space="0" w:color="auto"/>
              <w:right w:val="single" w:sz="4" w:space="0" w:color="auto"/>
            </w:tcBorders>
            <w:vAlign w:val="bottom"/>
          </w:tcPr>
          <w:p w14:paraId="0BFD259D"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Exchange rate variations</w:t>
            </w:r>
          </w:p>
        </w:tc>
        <w:tc>
          <w:tcPr>
            <w:tcW w:w="1162" w:type="dxa"/>
            <w:tcBorders>
              <w:top w:val="single" w:sz="4" w:space="0" w:color="auto"/>
              <w:left w:val="single" w:sz="4" w:space="0" w:color="auto"/>
              <w:right w:val="single" w:sz="4" w:space="0" w:color="auto"/>
            </w:tcBorders>
            <w:vAlign w:val="bottom"/>
          </w:tcPr>
          <w:p w14:paraId="09989E7A" w14:textId="77777777" w:rsidR="00233FEA" w:rsidRPr="007B1051"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Other changes</w:t>
            </w:r>
          </w:p>
        </w:tc>
        <w:tc>
          <w:tcPr>
            <w:tcW w:w="1162" w:type="dxa"/>
            <w:tcBorders>
              <w:top w:val="single" w:sz="4" w:space="0" w:color="auto"/>
              <w:left w:val="single" w:sz="4" w:space="0" w:color="auto"/>
              <w:right w:val="single" w:sz="4" w:space="0" w:color="auto"/>
            </w:tcBorders>
            <w:vAlign w:val="bottom"/>
          </w:tcPr>
          <w:p w14:paraId="3F0468C4"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Net closing position</w:t>
            </w:r>
          </w:p>
        </w:tc>
        <w:tc>
          <w:tcPr>
            <w:tcW w:w="1162" w:type="dxa"/>
            <w:tcBorders>
              <w:top w:val="single" w:sz="4" w:space="0" w:color="auto"/>
              <w:left w:val="single" w:sz="4" w:space="0" w:color="auto"/>
              <w:right w:val="single" w:sz="4" w:space="0" w:color="auto"/>
            </w:tcBorders>
            <w:vAlign w:val="bottom"/>
          </w:tcPr>
          <w:p w14:paraId="2733F4C1"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Closing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positive</w:t>
            </w:r>
          </w:p>
        </w:tc>
        <w:tc>
          <w:tcPr>
            <w:tcW w:w="1162" w:type="dxa"/>
            <w:tcBorders>
              <w:top w:val="single" w:sz="4" w:space="0" w:color="auto"/>
              <w:left w:val="single" w:sz="4" w:space="0" w:color="auto"/>
              <w:right w:val="single" w:sz="4" w:space="0" w:color="auto"/>
            </w:tcBorders>
            <w:vAlign w:val="bottom"/>
          </w:tcPr>
          <w:p w14:paraId="0F4169E1" w14:textId="77777777" w:rsidR="00233FEA" w:rsidRPr="007B1051" w:rsidRDefault="00233FEA" w:rsidP="003167DC">
            <w:pPr>
              <w:jc w:val="center"/>
              <w:rPr>
                <w:rFonts w:ascii="Arial" w:eastAsia="Times New Roman" w:hAnsi="Arial" w:cs="Arial"/>
                <w:b/>
                <w:sz w:val="20"/>
                <w:szCs w:val="20"/>
                <w:lang w:eastAsia="en-AU"/>
              </w:rPr>
            </w:pPr>
            <w:r w:rsidRPr="007B1051">
              <w:rPr>
                <w:rFonts w:ascii="Arial" w:eastAsia="Times New Roman" w:hAnsi="Arial" w:cs="Arial"/>
                <w:b/>
                <w:sz w:val="20"/>
                <w:szCs w:val="20"/>
                <w:lang w:eastAsia="en-AU"/>
              </w:rPr>
              <w:t>Closing position</w:t>
            </w:r>
            <w:r>
              <w:rPr>
                <w:rFonts w:ascii="Arial" w:eastAsia="Times New Roman" w:hAnsi="Arial" w:cs="Arial"/>
                <w:b/>
                <w:sz w:val="20"/>
                <w:szCs w:val="20"/>
                <w:lang w:eastAsia="en-AU"/>
              </w:rPr>
              <w:t>:</w:t>
            </w:r>
            <w:r w:rsidRPr="00235771">
              <w:rPr>
                <w:rFonts w:ascii="Arial" w:eastAsia="Times New Roman" w:hAnsi="Arial" w:cs="Arial"/>
                <w:b/>
                <w:i/>
                <w:sz w:val="20"/>
                <w:szCs w:val="20"/>
                <w:lang w:eastAsia="en-AU"/>
              </w:rPr>
              <w:t xml:space="preserve"> of which</w:t>
            </w:r>
            <w:r w:rsidRPr="007B1051">
              <w:rPr>
                <w:rFonts w:ascii="Arial" w:eastAsia="Times New Roman" w:hAnsi="Arial" w:cs="Arial"/>
                <w:b/>
                <w:sz w:val="20"/>
                <w:szCs w:val="20"/>
                <w:lang w:eastAsia="en-AU"/>
              </w:rPr>
              <w:t xml:space="preserve"> gross negative</w:t>
            </w:r>
          </w:p>
        </w:tc>
      </w:tr>
      <w:tr w:rsidR="00233FEA" w:rsidRPr="00024130" w14:paraId="29635DFC" w14:textId="77777777" w:rsidTr="005D2636">
        <w:trPr>
          <w:trHeight w:val="315"/>
        </w:trPr>
        <w:tc>
          <w:tcPr>
            <w:tcW w:w="1247" w:type="dxa"/>
            <w:tcBorders>
              <w:left w:val="single" w:sz="4" w:space="0" w:color="auto"/>
              <w:bottom w:val="single" w:sz="4" w:space="0" w:color="auto"/>
              <w:right w:val="single" w:sz="4" w:space="0" w:color="auto"/>
            </w:tcBorders>
            <w:vAlign w:val="center"/>
          </w:tcPr>
          <w:p w14:paraId="7E2F778F"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(1)</w:t>
            </w:r>
          </w:p>
        </w:tc>
        <w:tc>
          <w:tcPr>
            <w:tcW w:w="1304" w:type="dxa"/>
            <w:tcBorders>
              <w:left w:val="single" w:sz="4" w:space="0" w:color="auto"/>
              <w:bottom w:val="single" w:sz="4" w:space="0" w:color="auto"/>
              <w:right w:val="single" w:sz="4" w:space="0" w:color="auto"/>
            </w:tcBorders>
            <w:shd w:val="clear" w:color="auto" w:fill="auto"/>
            <w:vAlign w:val="center"/>
            <w:hideMark/>
          </w:tcPr>
          <w:p w14:paraId="7E0A9D29"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p>
        </w:tc>
        <w:tc>
          <w:tcPr>
            <w:tcW w:w="1162" w:type="dxa"/>
            <w:tcBorders>
              <w:left w:val="single" w:sz="4" w:space="0" w:color="auto"/>
              <w:bottom w:val="single" w:sz="4" w:space="0" w:color="auto"/>
              <w:right w:val="single" w:sz="4" w:space="0" w:color="auto"/>
            </w:tcBorders>
            <w:shd w:val="clear" w:color="auto" w:fill="auto"/>
            <w:vAlign w:val="center"/>
            <w:hideMark/>
          </w:tcPr>
          <w:p w14:paraId="783C239B"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r w:rsidRPr="00024130">
              <w:rPr>
                <w:rFonts w:ascii="Arial" w:eastAsia="Times New Roman" w:hAnsi="Arial" w:cs="Arial"/>
                <w:b/>
                <w:sz w:val="20"/>
                <w:szCs w:val="20"/>
                <w:lang w:eastAsia="en-AU"/>
              </w:rPr>
              <w:t>)</w:t>
            </w:r>
          </w:p>
        </w:tc>
        <w:tc>
          <w:tcPr>
            <w:tcW w:w="1162" w:type="dxa"/>
            <w:tcBorders>
              <w:left w:val="single" w:sz="4" w:space="0" w:color="auto"/>
              <w:bottom w:val="single" w:sz="4" w:space="0" w:color="auto"/>
              <w:right w:val="single" w:sz="4" w:space="0" w:color="auto"/>
            </w:tcBorders>
            <w:vAlign w:val="center"/>
          </w:tcPr>
          <w:p w14:paraId="362ED8EF"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w:t>
            </w:r>
            <w:r>
              <w:rPr>
                <w:rFonts w:ascii="Arial" w:eastAsia="Times New Roman" w:hAnsi="Arial" w:cs="Arial"/>
                <w:b/>
                <w:sz w:val="20"/>
                <w:szCs w:val="20"/>
                <w:lang w:eastAsia="en-AU"/>
              </w:rPr>
              <w:t>4</w:t>
            </w:r>
            <w:r w:rsidRPr="00024130">
              <w:rPr>
                <w:rFonts w:ascii="Arial" w:eastAsia="Times New Roman" w:hAnsi="Arial" w:cs="Arial"/>
                <w:b/>
                <w:sz w:val="20"/>
                <w:szCs w:val="20"/>
                <w:lang w:eastAsia="en-AU"/>
              </w:rPr>
              <w:t>)</w:t>
            </w:r>
          </w:p>
        </w:tc>
        <w:tc>
          <w:tcPr>
            <w:tcW w:w="1162" w:type="dxa"/>
            <w:tcBorders>
              <w:left w:val="single" w:sz="4" w:space="0" w:color="auto"/>
              <w:bottom w:val="single" w:sz="4" w:space="0" w:color="auto"/>
              <w:right w:val="single" w:sz="4" w:space="0" w:color="auto"/>
            </w:tcBorders>
            <w:vAlign w:val="center"/>
          </w:tcPr>
          <w:p w14:paraId="3E452AC2"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(5)</w:t>
            </w:r>
          </w:p>
        </w:tc>
        <w:tc>
          <w:tcPr>
            <w:tcW w:w="1162" w:type="dxa"/>
            <w:tcBorders>
              <w:left w:val="single" w:sz="4" w:space="0" w:color="auto"/>
              <w:bottom w:val="single" w:sz="4" w:space="0" w:color="auto"/>
              <w:right w:val="single" w:sz="4" w:space="0" w:color="auto"/>
            </w:tcBorders>
            <w:vAlign w:val="center"/>
          </w:tcPr>
          <w:p w14:paraId="7E861775"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c>
          <w:tcPr>
            <w:tcW w:w="1162" w:type="dxa"/>
            <w:tcBorders>
              <w:left w:val="single" w:sz="4" w:space="0" w:color="auto"/>
              <w:bottom w:val="single" w:sz="4" w:space="0" w:color="auto"/>
              <w:right w:val="single" w:sz="4" w:space="0" w:color="auto"/>
            </w:tcBorders>
            <w:vAlign w:val="center"/>
          </w:tcPr>
          <w:p w14:paraId="793EF28A"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c>
          <w:tcPr>
            <w:tcW w:w="1162" w:type="dxa"/>
            <w:tcBorders>
              <w:left w:val="single" w:sz="4" w:space="0" w:color="auto"/>
              <w:bottom w:val="single" w:sz="4" w:space="0" w:color="auto"/>
              <w:right w:val="single" w:sz="4" w:space="0" w:color="auto"/>
            </w:tcBorders>
            <w:vAlign w:val="center"/>
          </w:tcPr>
          <w:p w14:paraId="7EEB8EE4"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(8)</w:t>
            </w:r>
          </w:p>
        </w:tc>
        <w:tc>
          <w:tcPr>
            <w:tcW w:w="1162" w:type="dxa"/>
            <w:tcBorders>
              <w:left w:val="single" w:sz="4" w:space="0" w:color="auto"/>
              <w:bottom w:val="single" w:sz="4" w:space="0" w:color="auto"/>
              <w:right w:val="single" w:sz="4" w:space="0" w:color="auto"/>
            </w:tcBorders>
            <w:vAlign w:val="center"/>
          </w:tcPr>
          <w:p w14:paraId="2DD5BD49"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(9)</w:t>
            </w:r>
          </w:p>
        </w:tc>
        <w:tc>
          <w:tcPr>
            <w:tcW w:w="1162" w:type="dxa"/>
            <w:tcBorders>
              <w:left w:val="single" w:sz="4" w:space="0" w:color="auto"/>
              <w:bottom w:val="single" w:sz="4" w:space="0" w:color="auto"/>
              <w:right w:val="single" w:sz="4" w:space="0" w:color="auto"/>
            </w:tcBorders>
            <w:vAlign w:val="center"/>
          </w:tcPr>
          <w:p w14:paraId="7BCB681E"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(10)</w:t>
            </w:r>
          </w:p>
        </w:tc>
        <w:tc>
          <w:tcPr>
            <w:tcW w:w="1162" w:type="dxa"/>
            <w:tcBorders>
              <w:left w:val="single" w:sz="4" w:space="0" w:color="auto"/>
              <w:bottom w:val="single" w:sz="4" w:space="0" w:color="auto"/>
              <w:right w:val="single" w:sz="4" w:space="0" w:color="auto"/>
            </w:tcBorders>
            <w:vAlign w:val="center"/>
          </w:tcPr>
          <w:p w14:paraId="4566357E"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(11)</w:t>
            </w:r>
          </w:p>
        </w:tc>
        <w:tc>
          <w:tcPr>
            <w:tcW w:w="1162" w:type="dxa"/>
            <w:tcBorders>
              <w:left w:val="single" w:sz="4" w:space="0" w:color="auto"/>
              <w:bottom w:val="single" w:sz="4" w:space="0" w:color="auto"/>
              <w:right w:val="single" w:sz="4" w:space="0" w:color="auto"/>
            </w:tcBorders>
            <w:vAlign w:val="center"/>
          </w:tcPr>
          <w:p w14:paraId="7D1F0081" w14:textId="77777777" w:rsidR="00233FEA"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(12)</w:t>
            </w:r>
          </w:p>
        </w:tc>
      </w:tr>
      <w:tr w:rsidR="00233FEA" w:rsidRPr="00024130" w14:paraId="72742EA1" w14:textId="77777777" w:rsidTr="003167DC">
        <w:trPr>
          <w:trHeight w:val="315"/>
        </w:trPr>
        <w:tc>
          <w:tcPr>
            <w:tcW w:w="1247" w:type="dxa"/>
            <w:tcBorders>
              <w:top w:val="single" w:sz="4" w:space="0" w:color="auto"/>
              <w:left w:val="single" w:sz="4" w:space="0" w:color="auto"/>
              <w:bottom w:val="single" w:sz="4" w:space="0" w:color="auto"/>
              <w:right w:val="single" w:sz="4" w:space="0" w:color="auto"/>
            </w:tcBorders>
            <w:vAlign w:val="bottom"/>
          </w:tcPr>
          <w:p w14:paraId="64194F9B" w14:textId="77777777" w:rsidR="00233FEA" w:rsidRDefault="00233FEA" w:rsidP="003167DC">
            <w:pPr>
              <w:jc w:val="center"/>
              <w:rPr>
                <w:rFonts w:ascii="Arial" w:eastAsia="Times New Roman" w:hAnsi="Arial" w:cs="Arial"/>
                <w:b/>
                <w:sz w:val="20"/>
                <w:szCs w:val="20"/>
                <w:lang w:eastAsia="en-AU"/>
              </w:rPr>
            </w:pPr>
          </w:p>
        </w:tc>
        <w:tc>
          <w:tcPr>
            <w:tcW w:w="1304" w:type="dxa"/>
            <w:tcBorders>
              <w:top w:val="single" w:sz="4" w:space="0" w:color="auto"/>
              <w:left w:val="single" w:sz="4" w:space="0" w:color="auto"/>
              <w:bottom w:val="single" w:sz="4" w:space="0" w:color="auto"/>
              <w:right w:val="single" w:sz="4" w:space="0" w:color="auto"/>
            </w:tcBorders>
            <w:shd w:val="clear" w:color="auto" w:fill="auto"/>
            <w:vAlign w:val="bottom"/>
          </w:tcPr>
          <w:p w14:paraId="3A0FDCF4"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auto"/>
            <w:vAlign w:val="bottom"/>
          </w:tcPr>
          <w:p w14:paraId="0D9C48D9" w14:textId="77777777" w:rsidR="00233FEA" w:rsidRPr="00024130"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3FA355E5"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7822FA58"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70EAFF19"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0249491D"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508687B8"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541181CD"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3EAD6BCA"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1E0D07D1" w14:textId="77777777" w:rsidR="00233FEA" w:rsidRDefault="00233FEA" w:rsidP="003167DC">
            <w:pPr>
              <w:jc w:val="center"/>
              <w:rPr>
                <w:rFonts w:ascii="Arial" w:eastAsia="Times New Roman" w:hAnsi="Arial" w:cs="Arial"/>
                <w:b/>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vAlign w:val="bottom"/>
          </w:tcPr>
          <w:p w14:paraId="74F191D2" w14:textId="77777777" w:rsidR="00233FEA" w:rsidRDefault="00233FEA" w:rsidP="003167DC">
            <w:pPr>
              <w:jc w:val="center"/>
              <w:rPr>
                <w:rFonts w:ascii="Arial" w:eastAsia="Times New Roman" w:hAnsi="Arial" w:cs="Arial"/>
                <w:b/>
                <w:sz w:val="20"/>
                <w:szCs w:val="20"/>
                <w:lang w:eastAsia="en-AU"/>
              </w:rPr>
            </w:pPr>
          </w:p>
        </w:tc>
      </w:tr>
      <w:tr w:rsidR="00233FEA" w:rsidRPr="00024130" w14:paraId="71D7B0D7" w14:textId="77777777" w:rsidTr="003167DC">
        <w:trPr>
          <w:trHeight w:val="315"/>
        </w:trPr>
        <w:tc>
          <w:tcPr>
            <w:tcW w:w="1247" w:type="dxa"/>
            <w:tcBorders>
              <w:top w:val="single" w:sz="4" w:space="0" w:color="auto"/>
              <w:left w:val="dotDash" w:sz="4" w:space="0" w:color="auto"/>
              <w:bottom w:val="dotDash" w:sz="4" w:space="0" w:color="auto"/>
              <w:right w:val="dotDash" w:sz="4" w:space="0" w:color="auto"/>
            </w:tcBorders>
            <w:vAlign w:val="bottom"/>
          </w:tcPr>
          <w:p w14:paraId="6E2DD4BD" w14:textId="77777777" w:rsidR="00233FEA" w:rsidRPr="00C11FC2"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Country list </w:t>
            </w:r>
          </w:p>
        </w:tc>
        <w:tc>
          <w:tcPr>
            <w:tcW w:w="1304"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F475968"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Options</w:t>
            </w:r>
          </w:p>
        </w:tc>
        <w:tc>
          <w:tcPr>
            <w:tcW w:w="1162" w:type="dxa"/>
            <w:tcBorders>
              <w:top w:val="single" w:sz="4" w:space="0" w:color="auto"/>
              <w:left w:val="dotDash" w:sz="4" w:space="0" w:color="auto"/>
            </w:tcBorders>
            <w:shd w:val="clear" w:color="auto" w:fill="auto"/>
            <w:vAlign w:val="bottom"/>
          </w:tcPr>
          <w:p w14:paraId="1F3DE9A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2538D9A0"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1101869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vAlign w:val="bottom"/>
          </w:tcPr>
          <w:p w14:paraId="029478C4"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14E9B5F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64F7B35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0DA891F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16F547E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5AD4ADE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tcBorders>
          </w:tcPr>
          <w:p w14:paraId="2C206537"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72F039FF" w14:textId="77777777" w:rsidTr="003167DC">
        <w:trPr>
          <w:trHeight w:val="315"/>
        </w:trPr>
        <w:tc>
          <w:tcPr>
            <w:tcW w:w="1247" w:type="dxa"/>
            <w:tcBorders>
              <w:top w:val="dotDash" w:sz="4" w:space="0" w:color="auto"/>
              <w:left w:val="dotDash" w:sz="4" w:space="0" w:color="auto"/>
              <w:bottom w:val="dotDash" w:sz="4" w:space="0" w:color="auto"/>
              <w:right w:val="dotDash" w:sz="4" w:space="0" w:color="auto"/>
            </w:tcBorders>
            <w:vAlign w:val="bottom"/>
          </w:tcPr>
          <w:p w14:paraId="7AA81B58"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Afghanistan </w:t>
            </w:r>
          </w:p>
        </w:tc>
        <w:tc>
          <w:tcPr>
            <w:tcW w:w="1304"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E2DE6E6"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Forwards</w:t>
            </w:r>
          </w:p>
        </w:tc>
        <w:tc>
          <w:tcPr>
            <w:tcW w:w="1162" w:type="dxa"/>
            <w:tcBorders>
              <w:left w:val="dotDash" w:sz="4" w:space="0" w:color="auto"/>
            </w:tcBorders>
            <w:shd w:val="clear" w:color="auto" w:fill="auto"/>
            <w:vAlign w:val="bottom"/>
          </w:tcPr>
          <w:p w14:paraId="61FFB6A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A0E3DB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F627FA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00C8124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1671AA6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1A3C46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2B2A09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9C771A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360A725"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1DF8F589"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53CCBEC" w14:textId="77777777" w:rsidTr="003167DC">
        <w:trPr>
          <w:trHeight w:val="315"/>
        </w:trPr>
        <w:tc>
          <w:tcPr>
            <w:tcW w:w="1247" w:type="dxa"/>
            <w:tcBorders>
              <w:top w:val="dotDash" w:sz="4" w:space="0" w:color="auto"/>
              <w:left w:val="dotDash" w:sz="4" w:space="0" w:color="auto"/>
              <w:bottom w:val="dashed" w:sz="4" w:space="0" w:color="auto"/>
              <w:right w:val="dotDash" w:sz="4" w:space="0" w:color="auto"/>
            </w:tcBorders>
            <w:vAlign w:val="bottom"/>
          </w:tcPr>
          <w:p w14:paraId="04EDD271"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Albania</w:t>
            </w:r>
          </w:p>
        </w:tc>
        <w:tc>
          <w:tcPr>
            <w:tcW w:w="1304" w:type="dxa"/>
            <w:tcBorders>
              <w:top w:val="dotDash" w:sz="4" w:space="0" w:color="auto"/>
              <w:left w:val="dotDash" w:sz="4" w:space="0" w:color="auto"/>
              <w:bottom w:val="dashed" w:sz="4" w:space="0" w:color="auto"/>
              <w:right w:val="dotDash" w:sz="4" w:space="0" w:color="auto"/>
            </w:tcBorders>
            <w:shd w:val="clear" w:color="auto" w:fill="auto"/>
            <w:noWrap/>
            <w:vAlign w:val="bottom"/>
          </w:tcPr>
          <w:p w14:paraId="32AEF49F"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Swaps</w:t>
            </w:r>
          </w:p>
        </w:tc>
        <w:tc>
          <w:tcPr>
            <w:tcW w:w="1162" w:type="dxa"/>
            <w:tcBorders>
              <w:left w:val="dotDash" w:sz="4" w:space="0" w:color="auto"/>
            </w:tcBorders>
            <w:shd w:val="clear" w:color="auto" w:fill="auto"/>
            <w:vAlign w:val="bottom"/>
          </w:tcPr>
          <w:p w14:paraId="7CEB3AB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67399A0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7D8283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A8B75A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432CB5C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546325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1105088C"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0925A26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03D3FE1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6C7ACC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208E553A" w14:textId="77777777" w:rsidTr="003167DC">
        <w:trPr>
          <w:trHeight w:val="315"/>
        </w:trPr>
        <w:tc>
          <w:tcPr>
            <w:tcW w:w="1247" w:type="dxa"/>
            <w:tcBorders>
              <w:top w:val="dashed" w:sz="4" w:space="0" w:color="auto"/>
              <w:left w:val="dashed" w:sz="4" w:space="0" w:color="auto"/>
              <w:bottom w:val="dashed" w:sz="4" w:space="0" w:color="auto"/>
              <w:right w:val="dashed" w:sz="4" w:space="0" w:color="auto"/>
            </w:tcBorders>
            <w:vAlign w:val="bottom"/>
          </w:tcPr>
          <w:p w14:paraId="68681764" w14:textId="77777777" w:rsidR="00233FEA" w:rsidRPr="00C11FC2" w:rsidRDefault="00233FEA" w:rsidP="003167DC">
            <w:pPr>
              <w:jc w:val="center"/>
              <w:rPr>
                <w:rFonts w:ascii="Wingdings 3" w:eastAsia="Times New Roman" w:hAnsi="Wingdings 3" w:cs="Arial"/>
                <w:sz w:val="20"/>
                <w:szCs w:val="20"/>
                <w:lang w:eastAsia="en-AU"/>
              </w:rPr>
            </w:pPr>
            <w:r>
              <w:rPr>
                <w:rFonts w:ascii="Wingdings 3" w:eastAsia="Times New Roman" w:hAnsi="Wingdings 3" w:cs="Arial"/>
                <w:sz w:val="20"/>
                <w:szCs w:val="20"/>
                <w:lang w:eastAsia="en-AU"/>
              </w:rPr>
              <w:t></w:t>
            </w:r>
          </w:p>
        </w:tc>
        <w:tc>
          <w:tcPr>
            <w:tcW w:w="1304"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C563E6D" w14:textId="77777777" w:rsidR="00233FEA" w:rsidRPr="00024130"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Other </w:t>
            </w:r>
          </w:p>
        </w:tc>
        <w:tc>
          <w:tcPr>
            <w:tcW w:w="1162" w:type="dxa"/>
            <w:tcBorders>
              <w:left w:val="dashed" w:sz="4" w:space="0" w:color="auto"/>
            </w:tcBorders>
            <w:shd w:val="clear" w:color="auto" w:fill="auto"/>
            <w:vAlign w:val="bottom"/>
          </w:tcPr>
          <w:p w14:paraId="13A5D96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5C921D5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6C7D1D3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16D61202"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2D7DA08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4784580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B31B71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D4AEB0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E27C31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1674F958"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56AA4F54" w14:textId="77777777" w:rsidTr="003167DC">
        <w:trPr>
          <w:trHeight w:val="315"/>
        </w:trPr>
        <w:tc>
          <w:tcPr>
            <w:tcW w:w="1247" w:type="dxa"/>
            <w:tcBorders>
              <w:top w:val="dashed" w:sz="4" w:space="0" w:color="auto"/>
              <w:left w:val="dashed" w:sz="4" w:space="0" w:color="auto"/>
              <w:bottom w:val="dashed" w:sz="4" w:space="0" w:color="auto"/>
              <w:right w:val="dashed" w:sz="4" w:space="0" w:color="auto"/>
            </w:tcBorders>
            <w:vAlign w:val="bottom"/>
          </w:tcPr>
          <w:p w14:paraId="0F6844A6" w14:textId="77777777" w:rsidR="00233FEA" w:rsidRDefault="00233FEA" w:rsidP="003167DC">
            <w:pPr>
              <w:jc w:val="center"/>
              <w:rPr>
                <w:rFonts w:ascii="Wingdings 3" w:eastAsia="Times New Roman" w:hAnsi="Wingdings 3" w:cs="Arial"/>
                <w:sz w:val="20"/>
                <w:szCs w:val="20"/>
                <w:lang w:eastAsia="en-AU"/>
              </w:rPr>
            </w:pPr>
          </w:p>
        </w:tc>
        <w:tc>
          <w:tcPr>
            <w:tcW w:w="1304" w:type="dxa"/>
            <w:tcBorders>
              <w:top w:val="dashed" w:sz="4" w:space="0" w:color="auto"/>
              <w:left w:val="dashed" w:sz="4" w:space="0" w:color="auto"/>
            </w:tcBorders>
            <w:shd w:val="clear" w:color="auto" w:fill="auto"/>
            <w:noWrap/>
            <w:vAlign w:val="bottom"/>
          </w:tcPr>
          <w:p w14:paraId="2E1E5F16" w14:textId="77777777" w:rsidR="00233FEA" w:rsidRDefault="00233FEA" w:rsidP="003167DC">
            <w:pPr>
              <w:jc w:val="center"/>
              <w:rPr>
                <w:rFonts w:ascii="Arial" w:eastAsia="Times New Roman" w:hAnsi="Arial" w:cs="Arial"/>
                <w:sz w:val="20"/>
                <w:szCs w:val="20"/>
                <w:lang w:eastAsia="en-AU"/>
              </w:rPr>
            </w:pPr>
          </w:p>
        </w:tc>
        <w:tc>
          <w:tcPr>
            <w:tcW w:w="1162" w:type="dxa"/>
            <w:shd w:val="clear" w:color="auto" w:fill="auto"/>
            <w:vAlign w:val="bottom"/>
          </w:tcPr>
          <w:p w14:paraId="5E328D1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545C34E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0665190"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vAlign w:val="bottom"/>
          </w:tcPr>
          <w:p w14:paraId="205404B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52469137"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83DBA8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732AAFAD"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47A274D0"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E6817D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Pr>
          <w:p w14:paraId="3A68845A"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61F21B94" w14:textId="77777777" w:rsidTr="003167DC">
        <w:trPr>
          <w:trHeight w:val="315"/>
        </w:trPr>
        <w:tc>
          <w:tcPr>
            <w:tcW w:w="1247" w:type="dxa"/>
            <w:tcBorders>
              <w:top w:val="dashed" w:sz="4" w:space="0" w:color="auto"/>
            </w:tcBorders>
            <w:vAlign w:val="bottom"/>
          </w:tcPr>
          <w:p w14:paraId="5EB2332A" w14:textId="77777777" w:rsidR="00233FEA" w:rsidRDefault="00233FEA" w:rsidP="003167DC">
            <w:pPr>
              <w:jc w:val="center"/>
              <w:rPr>
                <w:rFonts w:ascii="Wingdings 3" w:eastAsia="Times New Roman" w:hAnsi="Wingdings 3" w:cs="Arial"/>
                <w:sz w:val="20"/>
                <w:szCs w:val="20"/>
                <w:lang w:eastAsia="en-AU"/>
              </w:rPr>
            </w:pPr>
          </w:p>
        </w:tc>
        <w:tc>
          <w:tcPr>
            <w:tcW w:w="1304" w:type="dxa"/>
            <w:shd w:val="clear" w:color="auto" w:fill="auto"/>
            <w:noWrap/>
            <w:vAlign w:val="bottom"/>
          </w:tcPr>
          <w:p w14:paraId="7561B071" w14:textId="77777777" w:rsidR="00233FEA" w:rsidRDefault="00233FEA" w:rsidP="003167DC">
            <w:pPr>
              <w:jc w:val="center"/>
              <w:rPr>
                <w:rFonts w:ascii="Arial" w:eastAsia="Times New Roman" w:hAnsi="Arial" w:cs="Arial"/>
                <w:sz w:val="20"/>
                <w:szCs w:val="20"/>
                <w:lang w:eastAsia="en-AU"/>
              </w:rPr>
            </w:pPr>
          </w:p>
        </w:tc>
        <w:tc>
          <w:tcPr>
            <w:tcW w:w="1162" w:type="dxa"/>
            <w:tcBorders>
              <w:bottom w:val="single" w:sz="4" w:space="0" w:color="auto"/>
            </w:tcBorders>
            <w:shd w:val="clear" w:color="auto" w:fill="auto"/>
            <w:vAlign w:val="bottom"/>
          </w:tcPr>
          <w:p w14:paraId="3FBAC54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7B2E1F2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336E4BD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vAlign w:val="bottom"/>
          </w:tcPr>
          <w:p w14:paraId="2960A9A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7C598C76"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126E836E"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34B4D07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17AEB70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24B0782A"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bottom w:val="single" w:sz="4" w:space="0" w:color="auto"/>
            </w:tcBorders>
          </w:tcPr>
          <w:p w14:paraId="20FE96F6" w14:textId="77777777" w:rsidR="00233FEA" w:rsidRPr="00024130" w:rsidRDefault="00233FEA" w:rsidP="003167DC">
            <w:pPr>
              <w:jc w:val="center"/>
              <w:rPr>
                <w:rFonts w:ascii="Arial" w:eastAsia="Times New Roman" w:hAnsi="Arial" w:cs="Arial"/>
                <w:color w:val="000000"/>
                <w:sz w:val="20"/>
                <w:szCs w:val="20"/>
                <w:lang w:eastAsia="en-AU"/>
              </w:rPr>
            </w:pPr>
          </w:p>
        </w:tc>
      </w:tr>
      <w:tr w:rsidR="00233FEA" w:rsidRPr="00024130" w14:paraId="4E8A157B" w14:textId="77777777" w:rsidTr="003167DC">
        <w:trPr>
          <w:trHeight w:val="315"/>
        </w:trPr>
        <w:tc>
          <w:tcPr>
            <w:tcW w:w="2551" w:type="dxa"/>
            <w:gridSpan w:val="2"/>
            <w:tcBorders>
              <w:right w:val="single" w:sz="4" w:space="0" w:color="auto"/>
            </w:tcBorders>
            <w:vAlign w:val="bottom"/>
          </w:tcPr>
          <w:p w14:paraId="2018F028"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6.1. Total derivatives that are not margined</w:t>
            </w: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77C1FDE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6835884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68BA59EB"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vAlign w:val="bottom"/>
          </w:tcPr>
          <w:p w14:paraId="501880CF"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57126961"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78618274"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4FD6A2A3"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782A22D9"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0387E4A8" w14:textId="77777777" w:rsidR="00233FEA" w:rsidRPr="00024130" w:rsidRDefault="00233FEA" w:rsidP="003167DC">
            <w:pPr>
              <w:jc w:val="center"/>
              <w:rPr>
                <w:rFonts w:ascii="Arial" w:eastAsia="Times New Roman" w:hAnsi="Arial" w:cs="Arial"/>
                <w:color w:val="000000"/>
                <w:sz w:val="20"/>
                <w:szCs w:val="20"/>
                <w:lang w:eastAsia="en-AU"/>
              </w:rPr>
            </w:pPr>
          </w:p>
        </w:tc>
        <w:tc>
          <w:tcPr>
            <w:tcW w:w="1162" w:type="dxa"/>
            <w:tcBorders>
              <w:top w:val="single" w:sz="4" w:space="0" w:color="auto"/>
              <w:left w:val="single" w:sz="4" w:space="0" w:color="auto"/>
              <w:bottom w:val="single" w:sz="4" w:space="0" w:color="auto"/>
              <w:right w:val="single" w:sz="4" w:space="0" w:color="auto"/>
            </w:tcBorders>
            <w:shd w:val="clear" w:color="auto" w:fill="D9D9D9"/>
          </w:tcPr>
          <w:p w14:paraId="0F5BC465" w14:textId="77777777" w:rsidR="00233FEA" w:rsidRPr="00024130" w:rsidRDefault="00233FEA" w:rsidP="003167DC">
            <w:pPr>
              <w:jc w:val="center"/>
              <w:rPr>
                <w:rFonts w:ascii="Arial" w:eastAsia="Times New Roman" w:hAnsi="Arial" w:cs="Arial"/>
                <w:color w:val="000000"/>
                <w:sz w:val="20"/>
                <w:szCs w:val="20"/>
                <w:lang w:eastAsia="en-AU"/>
              </w:rPr>
            </w:pPr>
          </w:p>
        </w:tc>
      </w:tr>
    </w:tbl>
    <w:p w14:paraId="2266F1C4" w14:textId="77777777" w:rsidR="00233FEA" w:rsidRDefault="00233FEA" w:rsidP="00233FEA">
      <w:pPr>
        <w:rPr>
          <w:rFonts w:ascii="Arial" w:eastAsia="Times New Roman" w:hAnsi="Arial" w:cs="Arial"/>
          <w:b/>
          <w:u w:val="single"/>
          <w:lang w:eastAsia="en-AU"/>
        </w:rPr>
      </w:pPr>
    </w:p>
    <w:p w14:paraId="6255BD20" w14:textId="77777777" w:rsidR="00233FEA" w:rsidRDefault="00233FEA" w:rsidP="00233FEA">
      <w:pPr>
        <w:rPr>
          <w:rFonts w:ascii="Arial" w:eastAsia="Times New Roman" w:hAnsi="Arial" w:cs="Arial"/>
          <w:b/>
          <w:u w:val="single"/>
          <w:lang w:eastAsia="en-AU"/>
        </w:rPr>
      </w:pPr>
    </w:p>
    <w:p w14:paraId="0E455510" w14:textId="77777777" w:rsidR="00233FEA" w:rsidRDefault="00233FEA" w:rsidP="00233FEA">
      <w:pPr>
        <w:rPr>
          <w:rFonts w:ascii="Arial" w:eastAsia="Times New Roman" w:hAnsi="Arial" w:cs="Arial"/>
          <w:b/>
          <w:sz w:val="24"/>
          <w:szCs w:val="24"/>
          <w:lang w:eastAsia="en-AU"/>
        </w:rPr>
      </w:pPr>
    </w:p>
    <w:p w14:paraId="14DCF186" w14:textId="77777777" w:rsidR="00233FEA" w:rsidRDefault="00233FEA" w:rsidP="00233FEA">
      <w:pPr>
        <w:rPr>
          <w:rFonts w:ascii="Arial" w:eastAsia="Times New Roman" w:hAnsi="Arial" w:cs="Arial"/>
          <w:b/>
          <w:sz w:val="24"/>
          <w:szCs w:val="24"/>
          <w:lang w:eastAsia="en-AU"/>
        </w:rPr>
      </w:pPr>
    </w:p>
    <w:p w14:paraId="7B2A69AF" w14:textId="77777777" w:rsidR="00233FEA" w:rsidRDefault="00233FEA" w:rsidP="00233FEA">
      <w:pPr>
        <w:rPr>
          <w:rFonts w:ascii="Arial" w:eastAsia="Times New Roman" w:hAnsi="Arial" w:cs="Arial"/>
          <w:b/>
          <w:sz w:val="24"/>
          <w:szCs w:val="24"/>
          <w:lang w:eastAsia="en-AU"/>
        </w:rPr>
      </w:pPr>
    </w:p>
    <w:p w14:paraId="25254DC5" w14:textId="77777777" w:rsidR="00233FEA" w:rsidRDefault="00233FEA" w:rsidP="00233FEA">
      <w:pPr>
        <w:rPr>
          <w:rFonts w:ascii="Arial" w:eastAsia="Times New Roman" w:hAnsi="Arial" w:cs="Arial"/>
          <w:b/>
          <w:sz w:val="24"/>
          <w:szCs w:val="24"/>
          <w:lang w:eastAsia="en-AU"/>
        </w:rPr>
      </w:pPr>
    </w:p>
    <w:p w14:paraId="23254753" w14:textId="77777777" w:rsidR="00233FEA" w:rsidRDefault="00233FEA" w:rsidP="00233FEA">
      <w:pPr>
        <w:rPr>
          <w:rFonts w:ascii="Arial" w:eastAsia="Times New Roman" w:hAnsi="Arial" w:cs="Arial"/>
          <w:b/>
          <w:sz w:val="24"/>
          <w:szCs w:val="24"/>
          <w:lang w:eastAsia="en-AU"/>
        </w:rPr>
      </w:pPr>
    </w:p>
    <w:p w14:paraId="682DFCF0" w14:textId="77777777" w:rsidR="00233FEA" w:rsidRDefault="00233FEA" w:rsidP="00233FEA">
      <w:pPr>
        <w:rPr>
          <w:rFonts w:ascii="Arial" w:eastAsia="Times New Roman" w:hAnsi="Arial" w:cs="Arial"/>
          <w:b/>
          <w:sz w:val="24"/>
          <w:szCs w:val="24"/>
          <w:lang w:eastAsia="en-AU"/>
        </w:rPr>
      </w:pPr>
    </w:p>
    <w:p w14:paraId="474D6F75" w14:textId="77777777" w:rsidR="00233FEA" w:rsidRDefault="00233FEA" w:rsidP="00233FEA">
      <w:pPr>
        <w:rPr>
          <w:rFonts w:ascii="Arial" w:eastAsia="Times New Roman" w:hAnsi="Arial" w:cs="Arial"/>
          <w:b/>
          <w:sz w:val="24"/>
          <w:szCs w:val="24"/>
          <w:lang w:eastAsia="en-AU"/>
        </w:rPr>
      </w:pPr>
    </w:p>
    <w:p w14:paraId="00B9C768" w14:textId="77777777" w:rsidR="00233FEA" w:rsidRDefault="00233FEA" w:rsidP="00233FEA">
      <w:pPr>
        <w:rPr>
          <w:rFonts w:ascii="Arial" w:eastAsia="Times New Roman" w:hAnsi="Arial" w:cs="Arial"/>
          <w:b/>
          <w:sz w:val="24"/>
          <w:szCs w:val="24"/>
          <w:lang w:eastAsia="en-AU"/>
        </w:rPr>
      </w:pPr>
    </w:p>
    <w:p w14:paraId="72238378" w14:textId="77777777" w:rsidR="00233FEA" w:rsidRPr="003B3E1C" w:rsidRDefault="00233FEA" w:rsidP="00233FEA">
      <w:pPr>
        <w:rPr>
          <w:rFonts w:ascii="Arial" w:eastAsia="Times New Roman" w:hAnsi="Arial" w:cs="Arial"/>
          <w:b/>
          <w:sz w:val="23"/>
          <w:szCs w:val="23"/>
          <w:lang w:eastAsia="en-AU"/>
        </w:rPr>
      </w:pPr>
      <w:r w:rsidRPr="003B3E1C">
        <w:rPr>
          <w:rFonts w:ascii="Arial" w:eastAsia="Times New Roman" w:hAnsi="Arial" w:cs="Arial"/>
          <w:b/>
          <w:sz w:val="23"/>
          <w:szCs w:val="23"/>
          <w:lang w:eastAsia="en-AU"/>
        </w:rPr>
        <w:t xml:space="preserve">Section </w:t>
      </w:r>
      <w:r>
        <w:rPr>
          <w:rFonts w:ascii="Arial" w:eastAsia="Times New Roman" w:hAnsi="Arial" w:cs="Arial"/>
          <w:b/>
          <w:sz w:val="23"/>
          <w:szCs w:val="23"/>
          <w:lang w:eastAsia="en-AU"/>
        </w:rPr>
        <w:t>D</w:t>
      </w:r>
      <w:r w:rsidRPr="003B3E1C">
        <w:rPr>
          <w:rFonts w:ascii="Arial" w:eastAsia="Times New Roman" w:hAnsi="Arial" w:cs="Arial"/>
          <w:b/>
          <w:sz w:val="23"/>
          <w:szCs w:val="23"/>
          <w:lang w:eastAsia="en-AU"/>
        </w:rPr>
        <w:t>: Derivatives with all non-resident counterparties</w:t>
      </w:r>
    </w:p>
    <w:p w14:paraId="5777969E" w14:textId="77777777" w:rsidR="00233FEA" w:rsidRDefault="00233FEA" w:rsidP="00233FEA">
      <w:pPr>
        <w:rPr>
          <w:rFonts w:ascii="Arial" w:eastAsia="Times New Roman" w:hAnsi="Arial" w:cs="Arial"/>
          <w:b/>
          <w:lang w:eastAsia="en-AU"/>
        </w:rPr>
      </w:pPr>
    </w:p>
    <w:p w14:paraId="21DA12BA" w14:textId="77777777" w:rsidR="00233FEA" w:rsidRPr="009D2D17" w:rsidRDefault="00233FEA" w:rsidP="00233FEA">
      <w:pPr>
        <w:numPr>
          <w:ilvl w:val="0"/>
          <w:numId w:val="15"/>
        </w:numPr>
        <w:rPr>
          <w:rFonts w:ascii="Arial" w:eastAsia="Times New Roman" w:hAnsi="Arial" w:cs="Arial"/>
          <w:b/>
          <w:lang w:eastAsia="en-AU"/>
        </w:rPr>
      </w:pPr>
      <w:r w:rsidRPr="009D2D17">
        <w:rPr>
          <w:rFonts w:ascii="Arial" w:eastAsia="Times New Roman" w:hAnsi="Arial" w:cs="Arial"/>
          <w:b/>
          <w:lang w:eastAsia="en-AU"/>
        </w:rPr>
        <w:lastRenderedPageBreak/>
        <w:t>Derivatives with closing gross positive mark to market values and non-resident counterparties, by currency and residual maturity (including clearing houses and central counterparties)</w:t>
      </w:r>
    </w:p>
    <w:p w14:paraId="460D2F8E" w14:textId="77777777" w:rsidR="00233FEA" w:rsidRDefault="00233FEA" w:rsidP="00233FEA">
      <w:pPr>
        <w:rPr>
          <w:rFonts w:ascii="Arial" w:eastAsia="Times New Roman" w:hAnsi="Arial" w:cs="Arial"/>
          <w:lang w:eastAsia="en-AU"/>
        </w:rPr>
      </w:pPr>
    </w:p>
    <w:tbl>
      <w:tblPr>
        <w:tblW w:w="1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041"/>
        <w:gridCol w:w="2041"/>
        <w:gridCol w:w="2041"/>
        <w:gridCol w:w="2041"/>
        <w:gridCol w:w="2041"/>
        <w:gridCol w:w="2041"/>
      </w:tblGrid>
      <w:tr w:rsidR="00233FEA" w:rsidRPr="00EE3D6D" w14:paraId="4468BCA4" w14:textId="77777777" w:rsidTr="00E97C10">
        <w:trPr>
          <w:trHeight w:val="283"/>
        </w:trPr>
        <w:tc>
          <w:tcPr>
            <w:tcW w:w="1914" w:type="dxa"/>
            <w:tcBorders>
              <w:top w:val="nil"/>
              <w:left w:val="nil"/>
              <w:bottom w:val="single" w:sz="4" w:space="0" w:color="auto"/>
            </w:tcBorders>
            <w:shd w:val="clear" w:color="auto" w:fill="auto"/>
            <w:vAlign w:val="center"/>
          </w:tcPr>
          <w:p w14:paraId="02E62717" w14:textId="77777777" w:rsidR="00233FEA" w:rsidRPr="00EE3D6D" w:rsidRDefault="00233FEA" w:rsidP="003167DC">
            <w:pPr>
              <w:jc w:val="center"/>
              <w:rPr>
                <w:rFonts w:ascii="Arial" w:eastAsia="Times New Roman" w:hAnsi="Arial" w:cs="Arial"/>
                <w:b/>
                <w:sz w:val="20"/>
                <w:szCs w:val="20"/>
                <w:lang w:eastAsia="en-AU"/>
              </w:rPr>
            </w:pPr>
          </w:p>
        </w:tc>
        <w:tc>
          <w:tcPr>
            <w:tcW w:w="10205" w:type="dxa"/>
            <w:gridSpan w:val="5"/>
            <w:tcBorders>
              <w:bottom w:val="single" w:sz="4" w:space="0" w:color="auto"/>
            </w:tcBorders>
            <w:shd w:val="clear" w:color="auto" w:fill="auto"/>
            <w:vAlign w:val="center"/>
          </w:tcPr>
          <w:p w14:paraId="5276624A"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Residual maturity of contract</w:t>
            </w:r>
            <w:r>
              <w:rPr>
                <w:rFonts w:ascii="Arial" w:eastAsia="Times New Roman" w:hAnsi="Arial" w:cs="Arial"/>
                <w:b/>
                <w:sz w:val="20"/>
                <w:szCs w:val="20"/>
                <w:lang w:eastAsia="en-AU"/>
              </w:rPr>
              <w:t xml:space="preserve"> ($AUD)</w:t>
            </w:r>
          </w:p>
        </w:tc>
        <w:tc>
          <w:tcPr>
            <w:tcW w:w="2041" w:type="dxa"/>
            <w:tcBorders>
              <w:top w:val="nil"/>
              <w:bottom w:val="single" w:sz="4" w:space="0" w:color="auto"/>
              <w:right w:val="nil"/>
            </w:tcBorders>
            <w:shd w:val="clear" w:color="auto" w:fill="auto"/>
            <w:vAlign w:val="center"/>
          </w:tcPr>
          <w:p w14:paraId="22A58EEC" w14:textId="77777777" w:rsidR="00233FEA" w:rsidRPr="00EE3D6D" w:rsidRDefault="00233FEA" w:rsidP="003167DC">
            <w:pPr>
              <w:jc w:val="center"/>
              <w:rPr>
                <w:rFonts w:ascii="Arial" w:eastAsia="Times New Roman" w:hAnsi="Arial" w:cs="Arial"/>
                <w:b/>
                <w:sz w:val="20"/>
                <w:szCs w:val="20"/>
                <w:lang w:eastAsia="en-AU"/>
              </w:rPr>
            </w:pPr>
          </w:p>
        </w:tc>
      </w:tr>
      <w:tr w:rsidR="00233FEA" w:rsidRPr="00EE3D6D" w14:paraId="3840256F" w14:textId="77777777" w:rsidTr="005D2636">
        <w:trPr>
          <w:trHeight w:val="283"/>
        </w:trPr>
        <w:tc>
          <w:tcPr>
            <w:tcW w:w="1914" w:type="dxa"/>
            <w:tcBorders>
              <w:bottom w:val="nil"/>
            </w:tcBorders>
            <w:shd w:val="clear" w:color="auto" w:fill="auto"/>
            <w:vAlign w:val="bottom"/>
          </w:tcPr>
          <w:p w14:paraId="0119AF4E" w14:textId="77777777" w:rsidR="00233FEA" w:rsidRDefault="00233FEA" w:rsidP="003167DC">
            <w:pPr>
              <w:jc w:val="center"/>
              <w:rPr>
                <w:rFonts w:ascii="Arial" w:eastAsia="Times New Roman" w:hAnsi="Arial" w:cs="Arial"/>
                <w:b/>
                <w:sz w:val="20"/>
                <w:szCs w:val="20"/>
                <w:lang w:eastAsia="en-AU"/>
              </w:rPr>
            </w:pPr>
          </w:p>
          <w:p w14:paraId="51670100" w14:textId="77777777" w:rsidR="00233FEA" w:rsidRPr="00EE3D6D"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Currency of closing position</w:t>
            </w:r>
          </w:p>
        </w:tc>
        <w:tc>
          <w:tcPr>
            <w:tcW w:w="2041" w:type="dxa"/>
            <w:tcBorders>
              <w:bottom w:val="nil"/>
            </w:tcBorders>
            <w:shd w:val="clear" w:color="auto" w:fill="auto"/>
            <w:vAlign w:val="bottom"/>
          </w:tcPr>
          <w:p w14:paraId="779E49A5"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&lt;= 90 days</w:t>
            </w:r>
          </w:p>
        </w:tc>
        <w:tc>
          <w:tcPr>
            <w:tcW w:w="2041" w:type="dxa"/>
            <w:tcBorders>
              <w:bottom w:val="nil"/>
            </w:tcBorders>
            <w:shd w:val="clear" w:color="auto" w:fill="auto"/>
            <w:vAlign w:val="bottom"/>
          </w:tcPr>
          <w:p w14:paraId="0E7C32C9"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&gt;90 days &lt;= 6 months</w:t>
            </w:r>
          </w:p>
        </w:tc>
        <w:tc>
          <w:tcPr>
            <w:tcW w:w="2041" w:type="dxa"/>
            <w:tcBorders>
              <w:bottom w:val="nil"/>
            </w:tcBorders>
            <w:shd w:val="clear" w:color="auto" w:fill="auto"/>
            <w:vAlign w:val="bottom"/>
          </w:tcPr>
          <w:p w14:paraId="4DB4F59A"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&gt;6</w:t>
            </w:r>
            <w:r>
              <w:rPr>
                <w:rFonts w:ascii="Arial" w:eastAsia="Times New Roman" w:hAnsi="Arial" w:cs="Arial"/>
                <w:b/>
                <w:sz w:val="20"/>
                <w:szCs w:val="20"/>
                <w:lang w:eastAsia="en-AU"/>
              </w:rPr>
              <w:t xml:space="preserve"> </w:t>
            </w:r>
            <w:r w:rsidRPr="00EE3D6D">
              <w:rPr>
                <w:rFonts w:ascii="Arial" w:eastAsia="Times New Roman" w:hAnsi="Arial" w:cs="Arial"/>
                <w:b/>
                <w:sz w:val="20"/>
                <w:szCs w:val="20"/>
                <w:lang w:eastAsia="en-AU"/>
              </w:rPr>
              <w:t>months &lt;= 1year</w:t>
            </w:r>
          </w:p>
        </w:tc>
        <w:tc>
          <w:tcPr>
            <w:tcW w:w="2041" w:type="dxa"/>
            <w:tcBorders>
              <w:bottom w:val="nil"/>
            </w:tcBorders>
            <w:shd w:val="clear" w:color="auto" w:fill="auto"/>
            <w:vAlign w:val="bottom"/>
          </w:tcPr>
          <w:p w14:paraId="323EF1B5"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&gt;1 year &lt;=5 years</w:t>
            </w:r>
          </w:p>
        </w:tc>
        <w:tc>
          <w:tcPr>
            <w:tcW w:w="2041" w:type="dxa"/>
            <w:tcBorders>
              <w:bottom w:val="nil"/>
            </w:tcBorders>
            <w:shd w:val="clear" w:color="auto" w:fill="auto"/>
            <w:vAlign w:val="bottom"/>
          </w:tcPr>
          <w:p w14:paraId="33CB81A6"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&gt;5 years</w:t>
            </w:r>
          </w:p>
        </w:tc>
        <w:tc>
          <w:tcPr>
            <w:tcW w:w="2041" w:type="dxa"/>
            <w:tcBorders>
              <w:bottom w:val="nil"/>
            </w:tcBorders>
            <w:shd w:val="clear" w:color="auto" w:fill="auto"/>
            <w:vAlign w:val="bottom"/>
          </w:tcPr>
          <w:p w14:paraId="21398F6E"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Total</w:t>
            </w:r>
          </w:p>
        </w:tc>
      </w:tr>
      <w:tr w:rsidR="00233FEA" w:rsidRPr="00EE3D6D" w14:paraId="42E2D4C6" w14:textId="77777777" w:rsidTr="005D2636">
        <w:trPr>
          <w:trHeight w:val="283"/>
        </w:trPr>
        <w:tc>
          <w:tcPr>
            <w:tcW w:w="1914" w:type="dxa"/>
            <w:tcBorders>
              <w:top w:val="nil"/>
            </w:tcBorders>
            <w:shd w:val="clear" w:color="auto" w:fill="auto"/>
            <w:vAlign w:val="center"/>
          </w:tcPr>
          <w:p w14:paraId="0FE8EF3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b/>
                <w:sz w:val="20"/>
                <w:szCs w:val="20"/>
                <w:lang w:eastAsia="en-AU"/>
              </w:rPr>
              <w:t>(1</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762CD26F" w14:textId="77777777" w:rsidR="00233FEA" w:rsidRPr="006B7C97" w:rsidRDefault="00233FEA" w:rsidP="003167DC">
            <w:pPr>
              <w:jc w:val="center"/>
              <w:rPr>
                <w:rFonts w:ascii="Arial" w:eastAsia="Times New Roman" w:hAnsi="Arial" w:cs="Arial"/>
                <w:b/>
                <w:sz w:val="20"/>
                <w:szCs w:val="20"/>
                <w:lang w:eastAsia="en-AU"/>
              </w:rPr>
            </w:pPr>
            <w:r w:rsidRPr="006B7C97">
              <w:rPr>
                <w:rFonts w:ascii="Arial" w:eastAsia="Times New Roman" w:hAnsi="Arial" w:cs="Arial"/>
                <w:b/>
                <w:sz w:val="20"/>
                <w:szCs w:val="20"/>
                <w:lang w:eastAsia="en-AU"/>
              </w:rPr>
              <w:t>(</w:t>
            </w:r>
            <w:r>
              <w:rPr>
                <w:rFonts w:ascii="Arial" w:eastAsia="Times New Roman" w:hAnsi="Arial" w:cs="Arial"/>
                <w:b/>
                <w:sz w:val="20"/>
                <w:szCs w:val="20"/>
                <w:lang w:eastAsia="en-AU"/>
              </w:rPr>
              <w:t>2</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3091EFE6" w14:textId="77777777" w:rsidR="00233FEA" w:rsidRPr="006B7C97" w:rsidRDefault="00233FEA" w:rsidP="003167DC">
            <w:pPr>
              <w:jc w:val="center"/>
              <w:rPr>
                <w:rFonts w:ascii="Arial" w:eastAsia="Times New Roman" w:hAnsi="Arial" w:cs="Arial"/>
                <w:b/>
                <w:sz w:val="20"/>
                <w:szCs w:val="20"/>
                <w:lang w:eastAsia="en-AU"/>
              </w:rPr>
            </w:pPr>
            <w:r w:rsidRPr="006B7C97">
              <w:rPr>
                <w:rFonts w:ascii="Arial" w:eastAsia="Times New Roman" w:hAnsi="Arial" w:cs="Arial"/>
                <w:b/>
                <w:sz w:val="20"/>
                <w:szCs w:val="20"/>
                <w:lang w:eastAsia="en-AU"/>
              </w:rPr>
              <w:t>(</w:t>
            </w:r>
            <w:r>
              <w:rPr>
                <w:rFonts w:ascii="Arial" w:eastAsia="Times New Roman" w:hAnsi="Arial" w:cs="Arial"/>
                <w:b/>
                <w:sz w:val="20"/>
                <w:szCs w:val="20"/>
                <w:lang w:eastAsia="en-AU"/>
              </w:rPr>
              <w:t>3</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69AD22E5" w14:textId="77777777" w:rsidR="00233FEA" w:rsidRPr="006B7C97" w:rsidRDefault="00233FEA" w:rsidP="003167DC">
            <w:pPr>
              <w:jc w:val="center"/>
              <w:rPr>
                <w:rFonts w:ascii="Arial" w:eastAsia="Times New Roman" w:hAnsi="Arial" w:cs="Arial"/>
                <w:b/>
                <w:sz w:val="20"/>
                <w:szCs w:val="20"/>
                <w:lang w:eastAsia="en-AU"/>
              </w:rPr>
            </w:pPr>
            <w:r w:rsidRPr="006B7C97">
              <w:rPr>
                <w:rFonts w:ascii="Arial" w:eastAsia="Times New Roman" w:hAnsi="Arial" w:cs="Arial"/>
                <w:b/>
                <w:sz w:val="20"/>
                <w:szCs w:val="20"/>
                <w:lang w:eastAsia="en-AU"/>
              </w:rPr>
              <w:t>(</w:t>
            </w:r>
            <w:r>
              <w:rPr>
                <w:rFonts w:ascii="Arial" w:eastAsia="Times New Roman" w:hAnsi="Arial" w:cs="Arial"/>
                <w:b/>
                <w:sz w:val="20"/>
                <w:szCs w:val="20"/>
                <w:lang w:eastAsia="en-AU"/>
              </w:rPr>
              <w:t>4</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32208AF3" w14:textId="77777777" w:rsidR="00233FEA" w:rsidRPr="006B7C97" w:rsidRDefault="00233FEA" w:rsidP="003167DC">
            <w:pPr>
              <w:jc w:val="center"/>
              <w:rPr>
                <w:rFonts w:ascii="Arial" w:eastAsia="Times New Roman" w:hAnsi="Arial" w:cs="Arial"/>
                <w:b/>
                <w:sz w:val="20"/>
                <w:szCs w:val="20"/>
                <w:lang w:eastAsia="en-AU"/>
              </w:rPr>
            </w:pPr>
            <w:r w:rsidRPr="006B7C97">
              <w:rPr>
                <w:rFonts w:ascii="Arial" w:eastAsia="Times New Roman" w:hAnsi="Arial" w:cs="Arial"/>
                <w:b/>
                <w:sz w:val="20"/>
                <w:szCs w:val="20"/>
                <w:lang w:eastAsia="en-AU"/>
              </w:rPr>
              <w:t>(</w:t>
            </w:r>
            <w:r>
              <w:rPr>
                <w:rFonts w:ascii="Arial" w:eastAsia="Times New Roman" w:hAnsi="Arial" w:cs="Arial"/>
                <w:b/>
                <w:sz w:val="20"/>
                <w:szCs w:val="20"/>
                <w:lang w:eastAsia="en-AU"/>
              </w:rPr>
              <w:t>5</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257F6B5D" w14:textId="77777777" w:rsidR="00233FEA" w:rsidRPr="006B7C97" w:rsidRDefault="00233FEA" w:rsidP="003167DC">
            <w:pPr>
              <w:jc w:val="center"/>
              <w:rPr>
                <w:rFonts w:ascii="Arial" w:eastAsia="Times New Roman" w:hAnsi="Arial" w:cs="Arial"/>
                <w:b/>
                <w:sz w:val="20"/>
                <w:szCs w:val="20"/>
                <w:lang w:eastAsia="en-AU"/>
              </w:rPr>
            </w:pPr>
            <w:r w:rsidRPr="006B7C97">
              <w:rPr>
                <w:rFonts w:ascii="Arial" w:eastAsia="Times New Roman" w:hAnsi="Arial" w:cs="Arial"/>
                <w:b/>
                <w:sz w:val="20"/>
                <w:szCs w:val="20"/>
                <w:lang w:eastAsia="en-AU"/>
              </w:rPr>
              <w:t>(</w:t>
            </w:r>
            <w:r>
              <w:rPr>
                <w:rFonts w:ascii="Arial" w:eastAsia="Times New Roman" w:hAnsi="Arial" w:cs="Arial"/>
                <w:b/>
                <w:sz w:val="20"/>
                <w:szCs w:val="20"/>
                <w:lang w:eastAsia="en-AU"/>
              </w:rPr>
              <w:t>6</w:t>
            </w:r>
            <w:r w:rsidRPr="006B7C97">
              <w:rPr>
                <w:rFonts w:ascii="Arial" w:eastAsia="Times New Roman" w:hAnsi="Arial" w:cs="Arial"/>
                <w:b/>
                <w:sz w:val="20"/>
                <w:szCs w:val="20"/>
                <w:lang w:eastAsia="en-AU"/>
              </w:rPr>
              <w:t>)</w:t>
            </w:r>
          </w:p>
        </w:tc>
        <w:tc>
          <w:tcPr>
            <w:tcW w:w="2041" w:type="dxa"/>
            <w:tcBorders>
              <w:top w:val="nil"/>
            </w:tcBorders>
            <w:shd w:val="clear" w:color="auto" w:fill="auto"/>
            <w:vAlign w:val="center"/>
          </w:tcPr>
          <w:p w14:paraId="24469585" w14:textId="77777777" w:rsidR="00233FEA" w:rsidRPr="006B7C97"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r>
      <w:tr w:rsidR="00233FEA" w:rsidRPr="00EE3D6D" w14:paraId="693FB7AA" w14:textId="77777777" w:rsidTr="003167DC">
        <w:trPr>
          <w:trHeight w:val="283"/>
        </w:trPr>
        <w:tc>
          <w:tcPr>
            <w:tcW w:w="1914" w:type="dxa"/>
            <w:tcBorders>
              <w:bottom w:val="single" w:sz="4" w:space="0" w:color="auto"/>
            </w:tcBorders>
            <w:shd w:val="clear" w:color="auto" w:fill="auto"/>
            <w:vAlign w:val="bottom"/>
          </w:tcPr>
          <w:p w14:paraId="13099862" w14:textId="77777777" w:rsidR="00233FEA"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auto"/>
            <w:vAlign w:val="bottom"/>
          </w:tcPr>
          <w:p w14:paraId="7227A304" w14:textId="77777777" w:rsidR="00233FEA" w:rsidRPr="006B7C97"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auto"/>
            <w:vAlign w:val="bottom"/>
          </w:tcPr>
          <w:p w14:paraId="75A5D23A" w14:textId="77777777" w:rsidR="00233FEA" w:rsidRPr="006B7C97"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auto"/>
            <w:vAlign w:val="bottom"/>
          </w:tcPr>
          <w:p w14:paraId="757EEBFC" w14:textId="77777777" w:rsidR="00233FEA" w:rsidRPr="006B7C97"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auto"/>
            <w:vAlign w:val="bottom"/>
          </w:tcPr>
          <w:p w14:paraId="21301890" w14:textId="77777777" w:rsidR="00233FEA" w:rsidRPr="006B7C97"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auto"/>
            <w:vAlign w:val="bottom"/>
          </w:tcPr>
          <w:p w14:paraId="4D2B0316" w14:textId="77777777" w:rsidR="00233FEA" w:rsidRPr="006B7C97" w:rsidRDefault="00233FEA" w:rsidP="003167DC">
            <w:pPr>
              <w:jc w:val="center"/>
              <w:rPr>
                <w:rFonts w:ascii="Arial" w:eastAsia="Times New Roman" w:hAnsi="Arial" w:cs="Arial"/>
                <w:b/>
                <w:sz w:val="20"/>
                <w:szCs w:val="20"/>
                <w:lang w:eastAsia="en-AU"/>
              </w:rPr>
            </w:pPr>
          </w:p>
        </w:tc>
        <w:tc>
          <w:tcPr>
            <w:tcW w:w="2041" w:type="dxa"/>
            <w:tcBorders>
              <w:bottom w:val="single" w:sz="4" w:space="0" w:color="auto"/>
            </w:tcBorders>
            <w:shd w:val="clear" w:color="auto" w:fill="BFBFBF"/>
            <w:vAlign w:val="bottom"/>
          </w:tcPr>
          <w:p w14:paraId="0622345E" w14:textId="77777777" w:rsidR="00233FEA" w:rsidRDefault="00233FEA" w:rsidP="003167DC">
            <w:pPr>
              <w:jc w:val="center"/>
              <w:rPr>
                <w:rFonts w:ascii="Arial" w:eastAsia="Times New Roman" w:hAnsi="Arial" w:cs="Arial"/>
                <w:b/>
                <w:sz w:val="20"/>
                <w:szCs w:val="20"/>
                <w:lang w:eastAsia="en-AU"/>
              </w:rPr>
            </w:pPr>
          </w:p>
        </w:tc>
      </w:tr>
      <w:tr w:rsidR="00233FEA" w:rsidRPr="00EE3D6D" w14:paraId="5A228F29" w14:textId="77777777" w:rsidTr="003167DC">
        <w:trPr>
          <w:trHeight w:val="283"/>
        </w:trPr>
        <w:tc>
          <w:tcPr>
            <w:tcW w:w="1914" w:type="dxa"/>
            <w:tcBorders>
              <w:left w:val="dotDash" w:sz="4" w:space="0" w:color="auto"/>
              <w:bottom w:val="dotDash" w:sz="4" w:space="0" w:color="auto"/>
              <w:right w:val="dotDash" w:sz="4" w:space="0" w:color="auto"/>
            </w:tcBorders>
            <w:shd w:val="clear" w:color="auto" w:fill="auto"/>
            <w:vAlign w:val="center"/>
          </w:tcPr>
          <w:p w14:paraId="4C75D377"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AUD</w:t>
            </w:r>
          </w:p>
        </w:tc>
        <w:tc>
          <w:tcPr>
            <w:tcW w:w="2041" w:type="dxa"/>
            <w:tcBorders>
              <w:left w:val="dotDash" w:sz="4" w:space="0" w:color="auto"/>
              <w:bottom w:val="nil"/>
              <w:right w:val="nil"/>
            </w:tcBorders>
            <w:shd w:val="clear" w:color="auto" w:fill="FFFFFF"/>
            <w:vAlign w:val="bottom"/>
          </w:tcPr>
          <w:p w14:paraId="5F3E6CD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left w:val="nil"/>
              <w:bottom w:val="nil"/>
              <w:right w:val="nil"/>
            </w:tcBorders>
            <w:shd w:val="clear" w:color="auto" w:fill="FFFFFF"/>
            <w:vAlign w:val="bottom"/>
          </w:tcPr>
          <w:p w14:paraId="78E29AE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left w:val="nil"/>
              <w:bottom w:val="nil"/>
              <w:right w:val="nil"/>
            </w:tcBorders>
            <w:shd w:val="clear" w:color="auto" w:fill="FFFFFF"/>
            <w:vAlign w:val="bottom"/>
          </w:tcPr>
          <w:p w14:paraId="285D29C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left w:val="nil"/>
              <w:bottom w:val="nil"/>
              <w:right w:val="nil"/>
            </w:tcBorders>
            <w:shd w:val="clear" w:color="auto" w:fill="FFFFFF"/>
            <w:vAlign w:val="bottom"/>
          </w:tcPr>
          <w:p w14:paraId="191837AC"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left w:val="nil"/>
              <w:bottom w:val="nil"/>
              <w:right w:val="nil"/>
            </w:tcBorders>
            <w:shd w:val="clear" w:color="auto" w:fill="FFFFFF"/>
            <w:vAlign w:val="bottom"/>
          </w:tcPr>
          <w:p w14:paraId="511C7170"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left w:val="nil"/>
              <w:bottom w:val="nil"/>
              <w:right w:val="nil"/>
            </w:tcBorders>
            <w:shd w:val="clear" w:color="auto" w:fill="FFFFFF"/>
            <w:vAlign w:val="bottom"/>
          </w:tcPr>
          <w:p w14:paraId="4B38B91E"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3DF76E86"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7ADAFADF"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USD</w:t>
            </w:r>
          </w:p>
        </w:tc>
        <w:tc>
          <w:tcPr>
            <w:tcW w:w="2041" w:type="dxa"/>
            <w:tcBorders>
              <w:top w:val="nil"/>
              <w:left w:val="dotDash" w:sz="4" w:space="0" w:color="auto"/>
              <w:bottom w:val="nil"/>
              <w:right w:val="nil"/>
            </w:tcBorders>
            <w:shd w:val="clear" w:color="auto" w:fill="FFFFFF"/>
            <w:vAlign w:val="bottom"/>
          </w:tcPr>
          <w:p w14:paraId="3DD73B31"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5069C26"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9A10D0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27CF03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E17B2A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E2CF673"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B7BA06A"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5857CEDD"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GBP</w:t>
            </w:r>
          </w:p>
        </w:tc>
        <w:tc>
          <w:tcPr>
            <w:tcW w:w="2041" w:type="dxa"/>
            <w:tcBorders>
              <w:top w:val="nil"/>
              <w:left w:val="dotDash" w:sz="4" w:space="0" w:color="auto"/>
              <w:bottom w:val="nil"/>
              <w:right w:val="nil"/>
            </w:tcBorders>
            <w:shd w:val="clear" w:color="auto" w:fill="FFFFFF"/>
            <w:vAlign w:val="bottom"/>
          </w:tcPr>
          <w:p w14:paraId="3BA7D95D"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314A9FE6"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6E50F9A"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C9440A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E80A82D"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8C07CAB"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546072C5"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20C5B264"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JPY</w:t>
            </w:r>
          </w:p>
        </w:tc>
        <w:tc>
          <w:tcPr>
            <w:tcW w:w="2041" w:type="dxa"/>
            <w:tcBorders>
              <w:top w:val="nil"/>
              <w:left w:val="dotDash" w:sz="4" w:space="0" w:color="auto"/>
              <w:bottom w:val="nil"/>
              <w:right w:val="nil"/>
            </w:tcBorders>
            <w:shd w:val="clear" w:color="auto" w:fill="FFFFFF"/>
            <w:vAlign w:val="bottom"/>
          </w:tcPr>
          <w:p w14:paraId="5B595C6D"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E3BA0FC"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09B9FCB"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D4DE3B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025F3CC"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B068671"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641BFBE9"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131FD00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EUR</w:t>
            </w:r>
          </w:p>
        </w:tc>
        <w:tc>
          <w:tcPr>
            <w:tcW w:w="2041" w:type="dxa"/>
            <w:tcBorders>
              <w:top w:val="nil"/>
              <w:left w:val="dotDash" w:sz="4" w:space="0" w:color="auto"/>
              <w:bottom w:val="nil"/>
              <w:right w:val="nil"/>
            </w:tcBorders>
            <w:shd w:val="clear" w:color="auto" w:fill="FFFFFF"/>
            <w:vAlign w:val="bottom"/>
          </w:tcPr>
          <w:p w14:paraId="467B611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647DDEA"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E18FC7A"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F9A9D1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988CA0E"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FBC4125"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71C4A6E3"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209C00D3"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CHF</w:t>
            </w:r>
          </w:p>
        </w:tc>
        <w:tc>
          <w:tcPr>
            <w:tcW w:w="2041" w:type="dxa"/>
            <w:tcBorders>
              <w:top w:val="nil"/>
              <w:left w:val="dotDash" w:sz="4" w:space="0" w:color="auto"/>
              <w:bottom w:val="nil"/>
              <w:right w:val="nil"/>
            </w:tcBorders>
            <w:shd w:val="clear" w:color="auto" w:fill="FFFFFF"/>
            <w:vAlign w:val="bottom"/>
          </w:tcPr>
          <w:p w14:paraId="1BD856B4"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582E5C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9B5A11E"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7F2BA9C"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5EDF42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4BC2AD8"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9639752"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20434D93" w14:textId="77777777" w:rsidR="00233FEA" w:rsidRPr="00EE3D6D" w:rsidRDefault="00233FEA" w:rsidP="003167DC">
            <w:pPr>
              <w:jc w:val="center"/>
              <w:rPr>
                <w:rFonts w:ascii="Arial" w:eastAsia="Times New Roman" w:hAnsi="Arial" w:cs="Arial"/>
                <w:sz w:val="20"/>
                <w:szCs w:val="20"/>
                <w:lang w:eastAsia="en-AU"/>
              </w:rPr>
            </w:pPr>
            <w:r>
              <w:rPr>
                <w:rFonts w:ascii="Arial" w:hAnsi="Arial" w:cs="Arial"/>
                <w:sz w:val="20"/>
                <w:szCs w:val="20"/>
              </w:rPr>
              <w:t>RMB</w:t>
            </w:r>
          </w:p>
        </w:tc>
        <w:tc>
          <w:tcPr>
            <w:tcW w:w="2041" w:type="dxa"/>
            <w:tcBorders>
              <w:top w:val="nil"/>
              <w:left w:val="dotDash" w:sz="4" w:space="0" w:color="auto"/>
              <w:bottom w:val="nil"/>
              <w:right w:val="nil"/>
            </w:tcBorders>
            <w:shd w:val="clear" w:color="auto" w:fill="FFFFFF"/>
            <w:vAlign w:val="bottom"/>
          </w:tcPr>
          <w:p w14:paraId="5103C4A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89C737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5058D0B"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100B46B"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316230C"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34B4359"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D037F45"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4CB0E8D3"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KRW</w:t>
            </w:r>
          </w:p>
        </w:tc>
        <w:tc>
          <w:tcPr>
            <w:tcW w:w="2041" w:type="dxa"/>
            <w:tcBorders>
              <w:top w:val="nil"/>
              <w:left w:val="dotDash" w:sz="4" w:space="0" w:color="auto"/>
              <w:bottom w:val="nil"/>
              <w:right w:val="nil"/>
            </w:tcBorders>
            <w:shd w:val="clear" w:color="auto" w:fill="FFFFFF"/>
            <w:vAlign w:val="bottom"/>
          </w:tcPr>
          <w:p w14:paraId="39E0BDCB"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DDDF81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783D1BD"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71226D7"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E68BE26"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353B2EA"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40D0F31F"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5A363FC0"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NZD</w:t>
            </w:r>
          </w:p>
        </w:tc>
        <w:tc>
          <w:tcPr>
            <w:tcW w:w="2041" w:type="dxa"/>
            <w:tcBorders>
              <w:top w:val="nil"/>
              <w:left w:val="dotDash" w:sz="4" w:space="0" w:color="auto"/>
              <w:bottom w:val="nil"/>
              <w:right w:val="nil"/>
            </w:tcBorders>
            <w:shd w:val="clear" w:color="auto" w:fill="FFFFFF"/>
            <w:vAlign w:val="bottom"/>
          </w:tcPr>
          <w:p w14:paraId="6E387FBD"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889717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BD1D897"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C6ED8D8"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381B4F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207D05A"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2D87269F"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2B0BD1B7"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INR</w:t>
            </w:r>
          </w:p>
        </w:tc>
        <w:tc>
          <w:tcPr>
            <w:tcW w:w="2041" w:type="dxa"/>
            <w:tcBorders>
              <w:top w:val="nil"/>
              <w:left w:val="dotDash" w:sz="4" w:space="0" w:color="auto"/>
              <w:bottom w:val="nil"/>
              <w:right w:val="nil"/>
            </w:tcBorders>
            <w:shd w:val="clear" w:color="auto" w:fill="FFFFFF"/>
            <w:vAlign w:val="bottom"/>
          </w:tcPr>
          <w:p w14:paraId="7F793111"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75C6657"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ECEF98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547E61E"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253F59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A00D8BA"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52012C92"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34E16D7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ZAR</w:t>
            </w:r>
          </w:p>
        </w:tc>
        <w:tc>
          <w:tcPr>
            <w:tcW w:w="2041" w:type="dxa"/>
            <w:tcBorders>
              <w:top w:val="nil"/>
              <w:left w:val="dotDash" w:sz="4" w:space="0" w:color="auto"/>
              <w:bottom w:val="nil"/>
              <w:right w:val="nil"/>
            </w:tcBorders>
            <w:shd w:val="clear" w:color="auto" w:fill="FFFFFF"/>
            <w:vAlign w:val="bottom"/>
          </w:tcPr>
          <w:p w14:paraId="47304D0F"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3091D74"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FBBBF49"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0A62CAF"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20D1543"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AF55D18"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83559CC"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1217C87D"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CAD</w:t>
            </w:r>
          </w:p>
        </w:tc>
        <w:tc>
          <w:tcPr>
            <w:tcW w:w="2041" w:type="dxa"/>
            <w:tcBorders>
              <w:top w:val="nil"/>
              <w:left w:val="dotDash" w:sz="4" w:space="0" w:color="auto"/>
              <w:bottom w:val="nil"/>
              <w:right w:val="nil"/>
            </w:tcBorders>
            <w:shd w:val="clear" w:color="auto" w:fill="FFFFFF"/>
            <w:vAlign w:val="bottom"/>
          </w:tcPr>
          <w:p w14:paraId="35732905"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1DF974D8"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060435A6"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A8AD71A"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6B6AEA51"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FAC1883"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26D4C15" w14:textId="77777777" w:rsidTr="003167DC">
        <w:trPr>
          <w:trHeight w:val="283"/>
        </w:trPr>
        <w:tc>
          <w:tcPr>
            <w:tcW w:w="1914" w:type="dxa"/>
            <w:tcBorders>
              <w:top w:val="dotDash" w:sz="4" w:space="0" w:color="auto"/>
              <w:left w:val="dotDash" w:sz="4" w:space="0" w:color="auto"/>
              <w:bottom w:val="dotDash" w:sz="4" w:space="0" w:color="auto"/>
              <w:right w:val="dotDash" w:sz="4" w:space="0" w:color="auto"/>
            </w:tcBorders>
            <w:shd w:val="clear" w:color="auto" w:fill="auto"/>
            <w:vAlign w:val="center"/>
          </w:tcPr>
          <w:p w14:paraId="01C2927F" w14:textId="77777777" w:rsidR="00233FEA" w:rsidRPr="00EE3D6D" w:rsidRDefault="00233FEA" w:rsidP="003167DC">
            <w:pPr>
              <w:jc w:val="center"/>
              <w:rPr>
                <w:rFonts w:ascii="Arial" w:eastAsia="Times New Roman" w:hAnsi="Arial" w:cs="Arial"/>
                <w:sz w:val="20"/>
                <w:szCs w:val="20"/>
                <w:lang w:eastAsia="en-AU"/>
              </w:rPr>
            </w:pPr>
            <w:r w:rsidRPr="00EE3D6D">
              <w:rPr>
                <w:rFonts w:ascii="Arial" w:eastAsia="Times New Roman" w:hAnsi="Arial" w:cs="Arial"/>
                <w:sz w:val="20"/>
                <w:szCs w:val="20"/>
                <w:lang w:eastAsia="en-AU"/>
              </w:rPr>
              <w:t>Other</w:t>
            </w:r>
          </w:p>
        </w:tc>
        <w:tc>
          <w:tcPr>
            <w:tcW w:w="2041" w:type="dxa"/>
            <w:tcBorders>
              <w:top w:val="nil"/>
              <w:left w:val="dotDash" w:sz="4" w:space="0" w:color="auto"/>
              <w:bottom w:val="nil"/>
              <w:right w:val="nil"/>
            </w:tcBorders>
            <w:shd w:val="clear" w:color="auto" w:fill="FFFFFF"/>
            <w:vAlign w:val="bottom"/>
          </w:tcPr>
          <w:p w14:paraId="207ACC2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21F5FE76"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752FB1A2"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1BE799B"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434BFC8F" w14:textId="77777777" w:rsidR="00233FEA" w:rsidRPr="00EE3D6D" w:rsidRDefault="00233FEA" w:rsidP="003167DC">
            <w:pPr>
              <w:jc w:val="center"/>
              <w:rPr>
                <w:rFonts w:ascii="Arial" w:eastAsia="Times New Roman" w:hAnsi="Arial" w:cs="Arial"/>
                <w:sz w:val="20"/>
                <w:szCs w:val="20"/>
                <w:lang w:eastAsia="en-AU"/>
              </w:rPr>
            </w:pPr>
          </w:p>
        </w:tc>
        <w:tc>
          <w:tcPr>
            <w:tcW w:w="2041" w:type="dxa"/>
            <w:tcBorders>
              <w:top w:val="nil"/>
              <w:left w:val="nil"/>
              <w:bottom w:val="nil"/>
              <w:right w:val="nil"/>
            </w:tcBorders>
            <w:shd w:val="clear" w:color="auto" w:fill="FFFFFF"/>
            <w:vAlign w:val="bottom"/>
          </w:tcPr>
          <w:p w14:paraId="5524DE34" w14:textId="77777777" w:rsidR="00233FEA" w:rsidRPr="00EE3D6D" w:rsidRDefault="00233FEA" w:rsidP="003167DC">
            <w:pPr>
              <w:jc w:val="center"/>
              <w:rPr>
                <w:rFonts w:ascii="Arial" w:eastAsia="Times New Roman" w:hAnsi="Arial" w:cs="Arial"/>
                <w:sz w:val="20"/>
                <w:szCs w:val="20"/>
                <w:lang w:eastAsia="en-AU"/>
              </w:rPr>
            </w:pPr>
          </w:p>
        </w:tc>
      </w:tr>
    </w:tbl>
    <w:p w14:paraId="360C7747" w14:textId="77777777" w:rsidR="00233FEA" w:rsidRDefault="00233FEA" w:rsidP="00233FEA">
      <w:pPr>
        <w:rPr>
          <w:rFonts w:ascii="Arial" w:eastAsia="Times New Roman" w:hAnsi="Arial" w:cs="Arial"/>
          <w:lang w:eastAsia="en-AU"/>
        </w:rPr>
      </w:pPr>
    </w:p>
    <w:p w14:paraId="1748BABC" w14:textId="77777777" w:rsidR="00233FEA" w:rsidRDefault="00233FEA" w:rsidP="00233FEA">
      <w:pPr>
        <w:rPr>
          <w:rFonts w:ascii="Arial" w:eastAsia="Times New Roman" w:hAnsi="Arial" w:cs="Arial"/>
          <w:b/>
          <w:u w:val="single"/>
          <w:lang w:eastAsia="en-AU"/>
        </w:rPr>
      </w:pPr>
    </w:p>
    <w:p w14:paraId="5C3083E7" w14:textId="77777777" w:rsidR="00233FEA" w:rsidRDefault="00233FEA" w:rsidP="00233FEA">
      <w:pPr>
        <w:ind w:left="360"/>
        <w:rPr>
          <w:rFonts w:ascii="Arial" w:eastAsia="Times New Roman" w:hAnsi="Arial" w:cs="Arial"/>
          <w:lang w:eastAsia="en-AU"/>
        </w:rPr>
      </w:pPr>
    </w:p>
    <w:p w14:paraId="4C412B4E" w14:textId="77777777" w:rsidR="00233FEA" w:rsidRDefault="00233FEA" w:rsidP="00233FEA">
      <w:pPr>
        <w:ind w:left="360"/>
        <w:rPr>
          <w:rFonts w:ascii="Arial" w:eastAsia="Times New Roman" w:hAnsi="Arial" w:cs="Arial"/>
          <w:lang w:eastAsia="en-AU"/>
        </w:rPr>
      </w:pPr>
    </w:p>
    <w:p w14:paraId="7B2728DF" w14:textId="77777777" w:rsidR="00233FEA" w:rsidRDefault="00233FEA" w:rsidP="00233FEA">
      <w:pPr>
        <w:ind w:left="360"/>
        <w:rPr>
          <w:rFonts w:ascii="Arial" w:eastAsia="Times New Roman" w:hAnsi="Arial" w:cs="Arial"/>
          <w:lang w:eastAsia="en-AU"/>
        </w:rPr>
      </w:pPr>
    </w:p>
    <w:p w14:paraId="2857F58A" w14:textId="77777777" w:rsidR="00233FEA" w:rsidRDefault="00233FEA" w:rsidP="00233FEA">
      <w:pPr>
        <w:ind w:left="360"/>
        <w:rPr>
          <w:rFonts w:ascii="Arial" w:eastAsia="Times New Roman" w:hAnsi="Arial" w:cs="Arial"/>
          <w:lang w:eastAsia="en-AU"/>
        </w:rPr>
      </w:pPr>
    </w:p>
    <w:p w14:paraId="517372CB" w14:textId="77777777" w:rsidR="00233FEA" w:rsidRDefault="00233FEA" w:rsidP="00233FEA">
      <w:pPr>
        <w:ind w:left="360"/>
        <w:rPr>
          <w:rFonts w:ascii="Arial" w:eastAsia="Times New Roman" w:hAnsi="Arial" w:cs="Arial"/>
          <w:lang w:eastAsia="en-AU"/>
        </w:rPr>
      </w:pPr>
    </w:p>
    <w:p w14:paraId="5507B069" w14:textId="77777777" w:rsidR="00233FEA" w:rsidRDefault="00233FEA" w:rsidP="00233FEA">
      <w:pPr>
        <w:rPr>
          <w:rFonts w:ascii="Arial" w:eastAsia="Times New Roman" w:hAnsi="Arial" w:cs="Arial"/>
          <w:lang w:eastAsia="en-AU"/>
        </w:rPr>
      </w:pPr>
    </w:p>
    <w:p w14:paraId="23077DBE" w14:textId="77777777" w:rsidR="00233FEA" w:rsidRPr="00B2296D" w:rsidRDefault="00233FEA" w:rsidP="00233FEA">
      <w:pPr>
        <w:rPr>
          <w:rFonts w:ascii="Arial" w:eastAsia="Times New Roman" w:hAnsi="Arial" w:cs="Arial"/>
          <w:lang w:eastAsia="en-AU"/>
        </w:rPr>
      </w:pPr>
    </w:p>
    <w:p w14:paraId="716FB471" w14:textId="77777777" w:rsidR="00233FEA" w:rsidRPr="003A10F0" w:rsidRDefault="00233FEA" w:rsidP="00233FEA">
      <w:pPr>
        <w:numPr>
          <w:ilvl w:val="0"/>
          <w:numId w:val="15"/>
        </w:numPr>
        <w:rPr>
          <w:rFonts w:ascii="Arial" w:eastAsia="Times New Roman" w:hAnsi="Arial" w:cs="Arial"/>
          <w:b/>
          <w:lang w:eastAsia="en-AU"/>
        </w:rPr>
      </w:pPr>
      <w:r>
        <w:rPr>
          <w:rFonts w:ascii="Arial" w:eastAsia="Times New Roman" w:hAnsi="Arial" w:cs="Arial"/>
          <w:b/>
          <w:lang w:eastAsia="en-AU"/>
        </w:rPr>
        <w:t>Derivatives w</w:t>
      </w:r>
      <w:r w:rsidRPr="00A97578">
        <w:rPr>
          <w:rFonts w:ascii="Arial" w:eastAsia="Times New Roman" w:hAnsi="Arial" w:cs="Arial"/>
          <w:b/>
          <w:lang w:eastAsia="en-AU"/>
        </w:rPr>
        <w:t>ith closing gross negative mark to market value</w:t>
      </w:r>
      <w:r>
        <w:rPr>
          <w:rFonts w:ascii="Arial" w:eastAsia="Times New Roman" w:hAnsi="Arial" w:cs="Arial"/>
          <w:b/>
          <w:lang w:eastAsia="en-AU"/>
        </w:rPr>
        <w:t>s</w:t>
      </w:r>
      <w:r w:rsidRPr="00A97578">
        <w:rPr>
          <w:rFonts w:ascii="Arial" w:eastAsia="Times New Roman" w:hAnsi="Arial" w:cs="Arial"/>
          <w:b/>
          <w:lang w:eastAsia="en-AU"/>
        </w:rPr>
        <w:t xml:space="preserve"> and non-resident counterpart</w:t>
      </w:r>
      <w:r>
        <w:rPr>
          <w:rFonts w:ascii="Arial" w:eastAsia="Times New Roman" w:hAnsi="Arial" w:cs="Arial"/>
          <w:b/>
          <w:lang w:eastAsia="en-AU"/>
        </w:rPr>
        <w:t>ies</w:t>
      </w:r>
      <w:r w:rsidRPr="00A97578">
        <w:rPr>
          <w:rFonts w:ascii="Arial" w:eastAsia="Times New Roman" w:hAnsi="Arial" w:cs="Arial"/>
          <w:b/>
          <w:lang w:eastAsia="en-AU"/>
        </w:rPr>
        <w:t>, by</w:t>
      </w:r>
      <w:r>
        <w:rPr>
          <w:rFonts w:ascii="Arial" w:eastAsia="Times New Roman" w:hAnsi="Arial" w:cs="Arial"/>
          <w:b/>
          <w:lang w:eastAsia="en-AU"/>
        </w:rPr>
        <w:t xml:space="preserve"> currency and residual maturity (including </w:t>
      </w:r>
      <w:r w:rsidRPr="009D2D17">
        <w:rPr>
          <w:rFonts w:ascii="Arial" w:eastAsia="Times New Roman" w:hAnsi="Arial" w:cs="Arial"/>
          <w:b/>
          <w:lang w:eastAsia="en-AU"/>
        </w:rPr>
        <w:t>clearing houses and central counterparties</w:t>
      </w:r>
      <w:r>
        <w:rPr>
          <w:rFonts w:ascii="Arial" w:eastAsia="Times New Roman" w:hAnsi="Arial" w:cs="Arial"/>
          <w:b/>
          <w:lang w:eastAsia="en-AU"/>
        </w:rPr>
        <w:t>)</w:t>
      </w:r>
    </w:p>
    <w:p w14:paraId="656A4BC2" w14:textId="77777777" w:rsidR="00233FEA" w:rsidRDefault="00233FEA" w:rsidP="00233FEA">
      <w:pPr>
        <w:ind w:left="502"/>
        <w:rPr>
          <w:rFonts w:ascii="Arial" w:eastAsia="Times New Roman" w:hAnsi="Arial" w:cs="Arial"/>
          <w:lang w:eastAsia="en-AU"/>
        </w:rPr>
      </w:pPr>
    </w:p>
    <w:p w14:paraId="39E9434B" w14:textId="77777777" w:rsidR="00233FEA" w:rsidRDefault="00233FEA" w:rsidP="00233FEA">
      <w:pPr>
        <w:rPr>
          <w:rFonts w:ascii="Arial" w:eastAsia="Times New Roman" w:hAnsi="Arial" w:cs="Arial"/>
          <w:lang w:eastAsia="en-AU"/>
        </w:rPr>
      </w:pPr>
    </w:p>
    <w:tbl>
      <w:tblPr>
        <w:tblW w:w="1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2013"/>
        <w:gridCol w:w="1984"/>
        <w:gridCol w:w="2013"/>
        <w:gridCol w:w="2013"/>
        <w:gridCol w:w="2013"/>
        <w:gridCol w:w="2018"/>
      </w:tblGrid>
      <w:tr w:rsidR="00233FEA" w:rsidRPr="00EE3D6D" w14:paraId="2BCB78E8" w14:textId="77777777" w:rsidTr="00E97C10">
        <w:trPr>
          <w:trHeight w:val="283"/>
        </w:trPr>
        <w:tc>
          <w:tcPr>
            <w:tcW w:w="2023" w:type="dxa"/>
            <w:tcBorders>
              <w:top w:val="nil"/>
              <w:left w:val="nil"/>
              <w:bottom w:val="single" w:sz="4" w:space="0" w:color="auto"/>
            </w:tcBorders>
            <w:shd w:val="clear" w:color="auto" w:fill="auto"/>
            <w:vAlign w:val="center"/>
          </w:tcPr>
          <w:p w14:paraId="44C76AB7" w14:textId="77777777" w:rsidR="00233FEA" w:rsidRPr="00EE3D6D" w:rsidRDefault="00233FEA" w:rsidP="003167DC">
            <w:pPr>
              <w:jc w:val="center"/>
              <w:rPr>
                <w:rFonts w:ascii="Arial" w:eastAsia="Times New Roman" w:hAnsi="Arial" w:cs="Arial"/>
                <w:b/>
                <w:sz w:val="20"/>
                <w:szCs w:val="20"/>
                <w:lang w:eastAsia="en-AU"/>
              </w:rPr>
            </w:pPr>
          </w:p>
        </w:tc>
        <w:tc>
          <w:tcPr>
            <w:tcW w:w="10036" w:type="dxa"/>
            <w:gridSpan w:val="5"/>
            <w:tcBorders>
              <w:bottom w:val="single" w:sz="4" w:space="0" w:color="auto"/>
            </w:tcBorders>
            <w:shd w:val="clear" w:color="auto" w:fill="auto"/>
            <w:vAlign w:val="center"/>
          </w:tcPr>
          <w:p w14:paraId="3155B97C"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Residual maturity of contract</w:t>
            </w:r>
            <w:r>
              <w:rPr>
                <w:rFonts w:ascii="Arial" w:eastAsia="Times New Roman" w:hAnsi="Arial" w:cs="Arial"/>
                <w:b/>
                <w:sz w:val="20"/>
                <w:szCs w:val="20"/>
                <w:lang w:eastAsia="en-AU"/>
              </w:rPr>
              <w:t xml:space="preserve"> ($AUD)</w:t>
            </w:r>
          </w:p>
        </w:tc>
        <w:tc>
          <w:tcPr>
            <w:tcW w:w="2018" w:type="dxa"/>
            <w:tcBorders>
              <w:top w:val="nil"/>
              <w:bottom w:val="single" w:sz="4" w:space="0" w:color="auto"/>
              <w:right w:val="nil"/>
            </w:tcBorders>
            <w:shd w:val="clear" w:color="auto" w:fill="auto"/>
            <w:vAlign w:val="center"/>
          </w:tcPr>
          <w:p w14:paraId="40B99D11" w14:textId="77777777" w:rsidR="00233FEA" w:rsidRPr="00EE3D6D" w:rsidRDefault="00233FEA" w:rsidP="003167DC">
            <w:pPr>
              <w:jc w:val="center"/>
              <w:rPr>
                <w:rFonts w:ascii="Arial" w:eastAsia="Times New Roman" w:hAnsi="Arial" w:cs="Arial"/>
                <w:b/>
                <w:sz w:val="20"/>
                <w:szCs w:val="20"/>
                <w:lang w:eastAsia="en-AU"/>
              </w:rPr>
            </w:pPr>
          </w:p>
        </w:tc>
      </w:tr>
      <w:tr w:rsidR="00233FEA" w:rsidRPr="00EE3D6D" w14:paraId="43DF5862" w14:textId="77777777" w:rsidTr="005D2636">
        <w:tc>
          <w:tcPr>
            <w:tcW w:w="2023" w:type="dxa"/>
            <w:tcBorders>
              <w:bottom w:val="nil"/>
            </w:tcBorders>
            <w:shd w:val="clear" w:color="auto" w:fill="auto"/>
            <w:vAlign w:val="bottom"/>
          </w:tcPr>
          <w:p w14:paraId="37EA2D0E" w14:textId="77777777" w:rsidR="00233FEA" w:rsidRDefault="00233FEA" w:rsidP="003167DC">
            <w:pPr>
              <w:jc w:val="center"/>
              <w:rPr>
                <w:rFonts w:ascii="Arial" w:eastAsia="Times New Roman" w:hAnsi="Arial" w:cs="Arial"/>
                <w:b/>
                <w:sz w:val="20"/>
                <w:szCs w:val="20"/>
                <w:lang w:eastAsia="en-AU"/>
              </w:rPr>
            </w:pPr>
          </w:p>
          <w:p w14:paraId="2DCF4495" w14:textId="77777777" w:rsidR="00233FEA" w:rsidRPr="00EE3D6D"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Currency of closing position</w:t>
            </w:r>
          </w:p>
        </w:tc>
        <w:tc>
          <w:tcPr>
            <w:tcW w:w="2013" w:type="dxa"/>
            <w:tcBorders>
              <w:bottom w:val="nil"/>
            </w:tcBorders>
            <w:shd w:val="clear" w:color="auto" w:fill="auto"/>
            <w:vAlign w:val="bottom"/>
          </w:tcPr>
          <w:p w14:paraId="0386E173"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&lt;= 90 days</w:t>
            </w:r>
          </w:p>
        </w:tc>
        <w:tc>
          <w:tcPr>
            <w:tcW w:w="1984" w:type="dxa"/>
            <w:tcBorders>
              <w:bottom w:val="nil"/>
            </w:tcBorders>
            <w:shd w:val="clear" w:color="auto" w:fill="auto"/>
            <w:vAlign w:val="bottom"/>
          </w:tcPr>
          <w:p w14:paraId="688399AB"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&gt;90 days &lt;= 6 months</w:t>
            </w:r>
          </w:p>
        </w:tc>
        <w:tc>
          <w:tcPr>
            <w:tcW w:w="2013" w:type="dxa"/>
            <w:tcBorders>
              <w:bottom w:val="nil"/>
            </w:tcBorders>
            <w:shd w:val="clear" w:color="auto" w:fill="auto"/>
            <w:vAlign w:val="bottom"/>
          </w:tcPr>
          <w:p w14:paraId="1BAB2B5C"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&gt;6</w:t>
            </w:r>
            <w:r>
              <w:rPr>
                <w:rFonts w:ascii="Arial" w:eastAsia="Times New Roman" w:hAnsi="Arial" w:cs="Arial"/>
                <w:b/>
                <w:sz w:val="20"/>
                <w:szCs w:val="20"/>
                <w:lang w:eastAsia="en-AU"/>
              </w:rPr>
              <w:t xml:space="preserve"> </w:t>
            </w:r>
            <w:r w:rsidRPr="00EE3D6D">
              <w:rPr>
                <w:rFonts w:ascii="Arial" w:eastAsia="Times New Roman" w:hAnsi="Arial" w:cs="Arial"/>
                <w:b/>
                <w:sz w:val="20"/>
                <w:szCs w:val="20"/>
                <w:lang w:eastAsia="en-AU"/>
              </w:rPr>
              <w:t>months &lt;= 1year</w:t>
            </w:r>
          </w:p>
        </w:tc>
        <w:tc>
          <w:tcPr>
            <w:tcW w:w="2013" w:type="dxa"/>
            <w:tcBorders>
              <w:bottom w:val="nil"/>
            </w:tcBorders>
            <w:shd w:val="clear" w:color="auto" w:fill="auto"/>
            <w:vAlign w:val="bottom"/>
          </w:tcPr>
          <w:p w14:paraId="10AB3407"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&gt;1 year &lt;=5 years</w:t>
            </w:r>
          </w:p>
        </w:tc>
        <w:tc>
          <w:tcPr>
            <w:tcW w:w="2013" w:type="dxa"/>
            <w:tcBorders>
              <w:bottom w:val="nil"/>
            </w:tcBorders>
            <w:shd w:val="clear" w:color="auto" w:fill="auto"/>
            <w:vAlign w:val="bottom"/>
          </w:tcPr>
          <w:p w14:paraId="12F7AE96" w14:textId="77777777" w:rsidR="00233FEA" w:rsidRPr="00EE3D6D" w:rsidRDefault="00233FEA" w:rsidP="003167DC">
            <w:pPr>
              <w:jc w:val="center"/>
              <w:rPr>
                <w:rFonts w:ascii="Arial" w:eastAsia="Times New Roman" w:hAnsi="Arial" w:cs="Arial"/>
                <w:b/>
                <w:sz w:val="20"/>
                <w:szCs w:val="20"/>
                <w:lang w:eastAsia="en-AU"/>
              </w:rPr>
            </w:pPr>
            <w:r w:rsidRPr="00EE3D6D">
              <w:rPr>
                <w:rFonts w:ascii="Arial" w:eastAsia="Times New Roman" w:hAnsi="Arial" w:cs="Arial"/>
                <w:b/>
                <w:sz w:val="20"/>
                <w:szCs w:val="20"/>
                <w:lang w:eastAsia="en-AU"/>
              </w:rPr>
              <w:t>&gt;5 years</w:t>
            </w:r>
          </w:p>
        </w:tc>
        <w:tc>
          <w:tcPr>
            <w:tcW w:w="2018" w:type="dxa"/>
            <w:tcBorders>
              <w:bottom w:val="nil"/>
            </w:tcBorders>
            <w:shd w:val="clear" w:color="auto" w:fill="auto"/>
            <w:vAlign w:val="bottom"/>
          </w:tcPr>
          <w:p w14:paraId="42F17341" w14:textId="77777777" w:rsidR="00233FEA" w:rsidRPr="00EE3D6D"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Total</w:t>
            </w:r>
          </w:p>
        </w:tc>
      </w:tr>
      <w:tr w:rsidR="00233FEA" w:rsidRPr="00EE3D6D" w14:paraId="422655C1" w14:textId="77777777" w:rsidTr="005D2636">
        <w:trPr>
          <w:trHeight w:val="283"/>
        </w:trPr>
        <w:tc>
          <w:tcPr>
            <w:tcW w:w="2023" w:type="dxa"/>
            <w:tcBorders>
              <w:top w:val="nil"/>
              <w:bottom w:val="single" w:sz="4" w:space="0" w:color="auto"/>
            </w:tcBorders>
            <w:shd w:val="clear" w:color="auto" w:fill="auto"/>
            <w:vAlign w:val="center"/>
          </w:tcPr>
          <w:p w14:paraId="6A4E8449"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b/>
                <w:sz w:val="20"/>
                <w:szCs w:val="20"/>
                <w:lang w:eastAsia="en-AU"/>
              </w:rPr>
              <w:t>(1)</w:t>
            </w:r>
          </w:p>
        </w:tc>
        <w:tc>
          <w:tcPr>
            <w:tcW w:w="2013" w:type="dxa"/>
            <w:tcBorders>
              <w:top w:val="nil"/>
              <w:bottom w:val="single" w:sz="4" w:space="0" w:color="auto"/>
            </w:tcBorders>
            <w:shd w:val="clear" w:color="auto" w:fill="auto"/>
            <w:vAlign w:val="center"/>
          </w:tcPr>
          <w:p w14:paraId="6135D8CE"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(2)</w:t>
            </w:r>
          </w:p>
        </w:tc>
        <w:tc>
          <w:tcPr>
            <w:tcW w:w="1984" w:type="dxa"/>
            <w:tcBorders>
              <w:top w:val="nil"/>
            </w:tcBorders>
            <w:shd w:val="clear" w:color="auto" w:fill="auto"/>
            <w:vAlign w:val="center"/>
          </w:tcPr>
          <w:p w14:paraId="69CB5371"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p>
        </w:tc>
        <w:tc>
          <w:tcPr>
            <w:tcW w:w="2013" w:type="dxa"/>
            <w:tcBorders>
              <w:top w:val="nil"/>
            </w:tcBorders>
            <w:shd w:val="clear" w:color="auto" w:fill="auto"/>
            <w:vAlign w:val="center"/>
          </w:tcPr>
          <w:p w14:paraId="384CF283"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(4)</w:t>
            </w:r>
          </w:p>
        </w:tc>
        <w:tc>
          <w:tcPr>
            <w:tcW w:w="2013" w:type="dxa"/>
            <w:tcBorders>
              <w:top w:val="nil"/>
            </w:tcBorders>
            <w:shd w:val="clear" w:color="auto" w:fill="auto"/>
            <w:vAlign w:val="center"/>
          </w:tcPr>
          <w:p w14:paraId="7B006AF8"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(5)</w:t>
            </w:r>
          </w:p>
        </w:tc>
        <w:tc>
          <w:tcPr>
            <w:tcW w:w="2013" w:type="dxa"/>
            <w:tcBorders>
              <w:top w:val="nil"/>
            </w:tcBorders>
            <w:shd w:val="clear" w:color="auto" w:fill="auto"/>
            <w:vAlign w:val="center"/>
          </w:tcPr>
          <w:p w14:paraId="5A14B510"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(6)</w:t>
            </w:r>
          </w:p>
        </w:tc>
        <w:tc>
          <w:tcPr>
            <w:tcW w:w="2018" w:type="dxa"/>
            <w:tcBorders>
              <w:top w:val="nil"/>
            </w:tcBorders>
            <w:shd w:val="clear" w:color="auto" w:fill="auto"/>
            <w:vAlign w:val="center"/>
          </w:tcPr>
          <w:p w14:paraId="67730226" w14:textId="77777777" w:rsidR="00233FEA" w:rsidRPr="001D058E"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(7)</w:t>
            </w:r>
          </w:p>
        </w:tc>
      </w:tr>
      <w:tr w:rsidR="00233FEA" w:rsidRPr="00EE3D6D" w14:paraId="00DA6823" w14:textId="77777777" w:rsidTr="003167DC">
        <w:trPr>
          <w:trHeight w:val="283"/>
        </w:trPr>
        <w:tc>
          <w:tcPr>
            <w:tcW w:w="2023" w:type="dxa"/>
            <w:tcBorders>
              <w:bottom w:val="single" w:sz="4" w:space="0" w:color="auto"/>
            </w:tcBorders>
            <w:shd w:val="clear" w:color="auto" w:fill="auto"/>
          </w:tcPr>
          <w:p w14:paraId="53B4A0CF" w14:textId="77777777" w:rsidR="00233FEA" w:rsidRDefault="00233FEA" w:rsidP="003167DC">
            <w:pPr>
              <w:jc w:val="center"/>
              <w:rPr>
                <w:rFonts w:ascii="Arial" w:eastAsia="Times New Roman" w:hAnsi="Arial" w:cs="Arial"/>
                <w:b/>
                <w:sz w:val="20"/>
                <w:szCs w:val="20"/>
                <w:lang w:eastAsia="en-AU"/>
              </w:rPr>
            </w:pPr>
          </w:p>
        </w:tc>
        <w:tc>
          <w:tcPr>
            <w:tcW w:w="2013" w:type="dxa"/>
            <w:tcBorders>
              <w:bottom w:val="single" w:sz="4" w:space="0" w:color="auto"/>
            </w:tcBorders>
            <w:shd w:val="clear" w:color="auto" w:fill="auto"/>
          </w:tcPr>
          <w:p w14:paraId="5389FAEB" w14:textId="77777777" w:rsidR="00233FEA" w:rsidRDefault="00233FEA" w:rsidP="003167DC">
            <w:pPr>
              <w:jc w:val="center"/>
              <w:rPr>
                <w:rFonts w:ascii="Arial" w:eastAsia="Times New Roman" w:hAnsi="Arial" w:cs="Arial"/>
                <w:b/>
                <w:sz w:val="20"/>
                <w:szCs w:val="20"/>
                <w:lang w:eastAsia="en-AU"/>
              </w:rPr>
            </w:pPr>
          </w:p>
        </w:tc>
        <w:tc>
          <w:tcPr>
            <w:tcW w:w="1984" w:type="dxa"/>
            <w:tcBorders>
              <w:bottom w:val="single" w:sz="4" w:space="0" w:color="auto"/>
            </w:tcBorders>
            <w:shd w:val="clear" w:color="auto" w:fill="auto"/>
          </w:tcPr>
          <w:p w14:paraId="6F6BDB6A" w14:textId="77777777" w:rsidR="00233FEA" w:rsidRDefault="00233FEA" w:rsidP="003167DC">
            <w:pPr>
              <w:jc w:val="center"/>
              <w:rPr>
                <w:rFonts w:ascii="Arial" w:eastAsia="Times New Roman" w:hAnsi="Arial" w:cs="Arial"/>
                <w:b/>
                <w:sz w:val="20"/>
                <w:szCs w:val="20"/>
                <w:lang w:eastAsia="en-AU"/>
              </w:rPr>
            </w:pPr>
          </w:p>
        </w:tc>
        <w:tc>
          <w:tcPr>
            <w:tcW w:w="2013" w:type="dxa"/>
            <w:tcBorders>
              <w:bottom w:val="single" w:sz="4" w:space="0" w:color="auto"/>
            </w:tcBorders>
            <w:shd w:val="clear" w:color="auto" w:fill="auto"/>
          </w:tcPr>
          <w:p w14:paraId="17CD6DBE" w14:textId="77777777" w:rsidR="00233FEA" w:rsidRDefault="00233FEA" w:rsidP="003167DC">
            <w:pPr>
              <w:jc w:val="center"/>
              <w:rPr>
                <w:rFonts w:ascii="Arial" w:eastAsia="Times New Roman" w:hAnsi="Arial" w:cs="Arial"/>
                <w:b/>
                <w:sz w:val="20"/>
                <w:szCs w:val="20"/>
                <w:lang w:eastAsia="en-AU"/>
              </w:rPr>
            </w:pPr>
          </w:p>
        </w:tc>
        <w:tc>
          <w:tcPr>
            <w:tcW w:w="2013" w:type="dxa"/>
            <w:tcBorders>
              <w:bottom w:val="single" w:sz="4" w:space="0" w:color="auto"/>
            </w:tcBorders>
            <w:shd w:val="clear" w:color="auto" w:fill="auto"/>
          </w:tcPr>
          <w:p w14:paraId="3EF7CBCB" w14:textId="77777777" w:rsidR="00233FEA" w:rsidRDefault="00233FEA" w:rsidP="003167DC">
            <w:pPr>
              <w:jc w:val="center"/>
              <w:rPr>
                <w:rFonts w:ascii="Arial" w:eastAsia="Times New Roman" w:hAnsi="Arial" w:cs="Arial"/>
                <w:b/>
                <w:sz w:val="20"/>
                <w:szCs w:val="20"/>
                <w:lang w:eastAsia="en-AU"/>
              </w:rPr>
            </w:pPr>
          </w:p>
        </w:tc>
        <w:tc>
          <w:tcPr>
            <w:tcW w:w="2013" w:type="dxa"/>
            <w:tcBorders>
              <w:bottom w:val="single" w:sz="4" w:space="0" w:color="auto"/>
            </w:tcBorders>
            <w:shd w:val="clear" w:color="auto" w:fill="auto"/>
          </w:tcPr>
          <w:p w14:paraId="4352064F" w14:textId="77777777" w:rsidR="00233FEA" w:rsidRDefault="00233FEA" w:rsidP="003167DC">
            <w:pPr>
              <w:jc w:val="center"/>
              <w:rPr>
                <w:rFonts w:ascii="Arial" w:eastAsia="Times New Roman" w:hAnsi="Arial" w:cs="Arial"/>
                <w:b/>
                <w:sz w:val="20"/>
                <w:szCs w:val="20"/>
                <w:lang w:eastAsia="en-AU"/>
              </w:rPr>
            </w:pPr>
          </w:p>
        </w:tc>
        <w:tc>
          <w:tcPr>
            <w:tcW w:w="2018" w:type="dxa"/>
            <w:tcBorders>
              <w:bottom w:val="single" w:sz="4" w:space="0" w:color="auto"/>
            </w:tcBorders>
            <w:shd w:val="clear" w:color="auto" w:fill="BFBFBF"/>
          </w:tcPr>
          <w:p w14:paraId="3CC8DD31" w14:textId="77777777" w:rsidR="00233FEA" w:rsidRDefault="00233FEA" w:rsidP="003167DC">
            <w:pPr>
              <w:tabs>
                <w:tab w:val="left" w:pos="180"/>
              </w:tabs>
              <w:rPr>
                <w:rFonts w:ascii="Arial" w:eastAsia="Times New Roman" w:hAnsi="Arial" w:cs="Arial"/>
                <w:b/>
                <w:sz w:val="20"/>
                <w:szCs w:val="20"/>
                <w:lang w:eastAsia="en-AU"/>
              </w:rPr>
            </w:pPr>
            <w:r>
              <w:rPr>
                <w:rFonts w:ascii="Arial" w:eastAsia="Times New Roman" w:hAnsi="Arial" w:cs="Arial"/>
                <w:b/>
                <w:sz w:val="20"/>
                <w:szCs w:val="20"/>
                <w:lang w:eastAsia="en-AU"/>
              </w:rPr>
              <w:tab/>
            </w:r>
          </w:p>
        </w:tc>
      </w:tr>
      <w:tr w:rsidR="00233FEA" w:rsidRPr="00EE3D6D" w14:paraId="116C8A31" w14:textId="77777777" w:rsidTr="003167DC">
        <w:trPr>
          <w:trHeight w:val="283"/>
        </w:trPr>
        <w:tc>
          <w:tcPr>
            <w:tcW w:w="2023" w:type="dxa"/>
            <w:tcBorders>
              <w:top w:val="single" w:sz="4" w:space="0" w:color="auto"/>
              <w:left w:val="dashed" w:sz="4" w:space="0" w:color="auto"/>
              <w:bottom w:val="dashed" w:sz="4" w:space="0" w:color="auto"/>
              <w:right w:val="dashed" w:sz="4" w:space="0" w:color="auto"/>
            </w:tcBorders>
            <w:shd w:val="clear" w:color="auto" w:fill="auto"/>
            <w:vAlign w:val="center"/>
          </w:tcPr>
          <w:p w14:paraId="55D9B73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AUD</w:t>
            </w:r>
          </w:p>
        </w:tc>
        <w:tc>
          <w:tcPr>
            <w:tcW w:w="2013" w:type="dxa"/>
            <w:tcBorders>
              <w:top w:val="single" w:sz="4" w:space="0" w:color="auto"/>
              <w:left w:val="dashed" w:sz="4" w:space="0" w:color="auto"/>
              <w:bottom w:val="nil"/>
              <w:right w:val="nil"/>
            </w:tcBorders>
            <w:shd w:val="clear" w:color="auto" w:fill="auto"/>
          </w:tcPr>
          <w:p w14:paraId="1C55C0A6"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left w:val="nil"/>
              <w:bottom w:val="nil"/>
              <w:right w:val="nil"/>
            </w:tcBorders>
            <w:shd w:val="clear" w:color="auto" w:fill="auto"/>
          </w:tcPr>
          <w:p w14:paraId="20CC6A30"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left w:val="nil"/>
              <w:bottom w:val="nil"/>
              <w:right w:val="nil"/>
            </w:tcBorders>
            <w:shd w:val="clear" w:color="auto" w:fill="auto"/>
          </w:tcPr>
          <w:p w14:paraId="5D126AA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left w:val="nil"/>
              <w:bottom w:val="nil"/>
              <w:right w:val="nil"/>
            </w:tcBorders>
            <w:shd w:val="clear" w:color="auto" w:fill="auto"/>
          </w:tcPr>
          <w:p w14:paraId="2692AA37"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left w:val="nil"/>
              <w:bottom w:val="nil"/>
              <w:right w:val="nil"/>
            </w:tcBorders>
            <w:shd w:val="clear" w:color="auto" w:fill="auto"/>
          </w:tcPr>
          <w:p w14:paraId="6398CB22"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left w:val="nil"/>
              <w:bottom w:val="nil"/>
              <w:right w:val="nil"/>
            </w:tcBorders>
            <w:shd w:val="clear" w:color="auto" w:fill="auto"/>
          </w:tcPr>
          <w:p w14:paraId="77B5B84E"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7867FB1"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0BFE250A"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USD</w:t>
            </w:r>
          </w:p>
        </w:tc>
        <w:tc>
          <w:tcPr>
            <w:tcW w:w="2013" w:type="dxa"/>
            <w:tcBorders>
              <w:top w:val="nil"/>
              <w:left w:val="dashed" w:sz="4" w:space="0" w:color="auto"/>
              <w:bottom w:val="nil"/>
              <w:right w:val="nil"/>
            </w:tcBorders>
            <w:shd w:val="clear" w:color="auto" w:fill="auto"/>
          </w:tcPr>
          <w:p w14:paraId="2FDF9CB1"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308B04A6"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03E1FAE"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4A524C13"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523D4407"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13679331"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76A838E3"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4DDD685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GBP</w:t>
            </w:r>
          </w:p>
        </w:tc>
        <w:tc>
          <w:tcPr>
            <w:tcW w:w="2013" w:type="dxa"/>
            <w:tcBorders>
              <w:top w:val="nil"/>
              <w:left w:val="dashed" w:sz="4" w:space="0" w:color="auto"/>
              <w:bottom w:val="nil"/>
              <w:right w:val="nil"/>
            </w:tcBorders>
            <w:shd w:val="clear" w:color="auto" w:fill="auto"/>
          </w:tcPr>
          <w:p w14:paraId="41F7BC0D"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57F60348"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13E8C2B7"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382ACFC"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27333CD4"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73B15F76"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488D3B59"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2E9B4298"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JPY</w:t>
            </w:r>
          </w:p>
        </w:tc>
        <w:tc>
          <w:tcPr>
            <w:tcW w:w="2013" w:type="dxa"/>
            <w:tcBorders>
              <w:top w:val="nil"/>
              <w:left w:val="dashed" w:sz="4" w:space="0" w:color="auto"/>
              <w:bottom w:val="nil"/>
              <w:right w:val="nil"/>
            </w:tcBorders>
            <w:shd w:val="clear" w:color="auto" w:fill="auto"/>
          </w:tcPr>
          <w:p w14:paraId="15568AE0"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341A7C0E"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7160644"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22FB4F1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1E16373E"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55521219"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2B03BFD9"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6D2A9F3E"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EUR</w:t>
            </w:r>
          </w:p>
        </w:tc>
        <w:tc>
          <w:tcPr>
            <w:tcW w:w="2013" w:type="dxa"/>
            <w:tcBorders>
              <w:top w:val="nil"/>
              <w:left w:val="dashed" w:sz="4" w:space="0" w:color="auto"/>
              <w:bottom w:val="nil"/>
              <w:right w:val="nil"/>
            </w:tcBorders>
            <w:shd w:val="clear" w:color="auto" w:fill="auto"/>
          </w:tcPr>
          <w:p w14:paraId="172C0C88"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0FE96C64"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08EFE78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69236E0"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25033D9"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39E1EB11"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14585C9"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49E3A50C"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CHF</w:t>
            </w:r>
          </w:p>
        </w:tc>
        <w:tc>
          <w:tcPr>
            <w:tcW w:w="2013" w:type="dxa"/>
            <w:tcBorders>
              <w:top w:val="nil"/>
              <w:left w:val="dashed" w:sz="4" w:space="0" w:color="auto"/>
              <w:bottom w:val="nil"/>
              <w:right w:val="nil"/>
            </w:tcBorders>
            <w:shd w:val="clear" w:color="auto" w:fill="auto"/>
          </w:tcPr>
          <w:p w14:paraId="3D3FA68F"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4DE596B0"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BD2B680"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5DB0412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4DC0BB0E"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75D4D6E8"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21B9D20"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632A1B1A" w14:textId="77777777" w:rsidR="00233FEA" w:rsidRPr="00EE3D6D" w:rsidRDefault="00233FEA" w:rsidP="003167DC">
            <w:pPr>
              <w:jc w:val="center"/>
              <w:rPr>
                <w:rFonts w:ascii="Arial" w:eastAsia="Times New Roman" w:hAnsi="Arial" w:cs="Arial"/>
                <w:sz w:val="20"/>
                <w:szCs w:val="20"/>
                <w:lang w:eastAsia="en-AU"/>
              </w:rPr>
            </w:pPr>
            <w:r>
              <w:rPr>
                <w:rFonts w:ascii="Arial" w:hAnsi="Arial" w:cs="Arial"/>
                <w:sz w:val="20"/>
                <w:szCs w:val="20"/>
              </w:rPr>
              <w:t>RMB</w:t>
            </w:r>
          </w:p>
        </w:tc>
        <w:tc>
          <w:tcPr>
            <w:tcW w:w="2013" w:type="dxa"/>
            <w:tcBorders>
              <w:top w:val="nil"/>
              <w:left w:val="dashed" w:sz="4" w:space="0" w:color="auto"/>
              <w:bottom w:val="nil"/>
              <w:right w:val="nil"/>
            </w:tcBorders>
            <w:shd w:val="clear" w:color="auto" w:fill="auto"/>
          </w:tcPr>
          <w:p w14:paraId="615E9F4B"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0611E64D"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7BCDA95"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231A7254"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48A0BF15"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59CF55CE"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CCF5319"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78678D91"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KRW</w:t>
            </w:r>
          </w:p>
        </w:tc>
        <w:tc>
          <w:tcPr>
            <w:tcW w:w="2013" w:type="dxa"/>
            <w:tcBorders>
              <w:top w:val="nil"/>
              <w:left w:val="dashed" w:sz="4" w:space="0" w:color="auto"/>
              <w:bottom w:val="nil"/>
              <w:right w:val="nil"/>
            </w:tcBorders>
            <w:shd w:val="clear" w:color="auto" w:fill="auto"/>
          </w:tcPr>
          <w:p w14:paraId="37AEF5AE"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4E13E44F"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C2A8B34"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372B484C"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12814F93"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05D66437"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EFA38F4"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08B393A4"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NZD</w:t>
            </w:r>
          </w:p>
        </w:tc>
        <w:tc>
          <w:tcPr>
            <w:tcW w:w="2013" w:type="dxa"/>
            <w:tcBorders>
              <w:top w:val="nil"/>
              <w:left w:val="dashed" w:sz="4" w:space="0" w:color="auto"/>
              <w:bottom w:val="nil"/>
              <w:right w:val="nil"/>
            </w:tcBorders>
            <w:shd w:val="clear" w:color="auto" w:fill="auto"/>
          </w:tcPr>
          <w:p w14:paraId="6C33BED6"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182D03CB"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11F73387"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53807F0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03965091"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389D8B6A"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58D175DE"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30679B25"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INR</w:t>
            </w:r>
          </w:p>
        </w:tc>
        <w:tc>
          <w:tcPr>
            <w:tcW w:w="2013" w:type="dxa"/>
            <w:tcBorders>
              <w:top w:val="nil"/>
              <w:left w:val="dashed" w:sz="4" w:space="0" w:color="auto"/>
              <w:bottom w:val="nil"/>
              <w:right w:val="nil"/>
            </w:tcBorders>
            <w:shd w:val="clear" w:color="auto" w:fill="auto"/>
          </w:tcPr>
          <w:p w14:paraId="11B79E41"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4C3EE5D9"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2404A58D"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14FE564"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51201EFE"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5851E52B"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8EBB6B5"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76A397EB"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ZAR</w:t>
            </w:r>
          </w:p>
        </w:tc>
        <w:tc>
          <w:tcPr>
            <w:tcW w:w="2013" w:type="dxa"/>
            <w:tcBorders>
              <w:top w:val="nil"/>
              <w:left w:val="dashed" w:sz="4" w:space="0" w:color="auto"/>
              <w:bottom w:val="nil"/>
              <w:right w:val="nil"/>
            </w:tcBorders>
            <w:shd w:val="clear" w:color="auto" w:fill="auto"/>
          </w:tcPr>
          <w:p w14:paraId="7D07FD24"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36874823"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EE73C81"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0809203F"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6126BC45"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2611836D"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0A7C8F79"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vAlign w:val="center"/>
          </w:tcPr>
          <w:p w14:paraId="55CCE384" w14:textId="77777777" w:rsidR="00233FEA" w:rsidRPr="00EE3D6D"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CAD</w:t>
            </w:r>
          </w:p>
        </w:tc>
        <w:tc>
          <w:tcPr>
            <w:tcW w:w="2013" w:type="dxa"/>
            <w:tcBorders>
              <w:top w:val="nil"/>
              <w:left w:val="dashed" w:sz="4" w:space="0" w:color="auto"/>
              <w:bottom w:val="nil"/>
              <w:right w:val="nil"/>
            </w:tcBorders>
            <w:shd w:val="clear" w:color="auto" w:fill="auto"/>
          </w:tcPr>
          <w:p w14:paraId="30412DC6"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4F85D135"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5BB7B4A5"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319A0857"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7D3EC8BE"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6CA82ABD" w14:textId="77777777" w:rsidR="00233FEA" w:rsidRPr="00EE3D6D" w:rsidRDefault="00233FEA" w:rsidP="003167DC">
            <w:pPr>
              <w:jc w:val="center"/>
              <w:rPr>
                <w:rFonts w:ascii="Arial" w:eastAsia="Times New Roman" w:hAnsi="Arial" w:cs="Arial"/>
                <w:sz w:val="20"/>
                <w:szCs w:val="20"/>
                <w:lang w:eastAsia="en-AU"/>
              </w:rPr>
            </w:pPr>
          </w:p>
        </w:tc>
      </w:tr>
      <w:tr w:rsidR="00233FEA" w:rsidRPr="00EE3D6D" w14:paraId="18C2E6E5" w14:textId="77777777" w:rsidTr="003167DC">
        <w:trPr>
          <w:trHeight w:val="283"/>
        </w:trPr>
        <w:tc>
          <w:tcPr>
            <w:tcW w:w="2023" w:type="dxa"/>
            <w:tcBorders>
              <w:top w:val="dashed" w:sz="4" w:space="0" w:color="auto"/>
              <w:left w:val="dashed" w:sz="4" w:space="0" w:color="auto"/>
              <w:bottom w:val="dashed" w:sz="4" w:space="0" w:color="auto"/>
              <w:right w:val="dashed" w:sz="4" w:space="0" w:color="auto"/>
            </w:tcBorders>
            <w:shd w:val="clear" w:color="auto" w:fill="auto"/>
          </w:tcPr>
          <w:p w14:paraId="6798BD57" w14:textId="77777777" w:rsidR="00233FEA" w:rsidRPr="00EE3D6D" w:rsidRDefault="00233FEA" w:rsidP="003167DC">
            <w:pPr>
              <w:jc w:val="center"/>
              <w:rPr>
                <w:rFonts w:ascii="Arial" w:eastAsia="Times New Roman" w:hAnsi="Arial" w:cs="Arial"/>
                <w:sz w:val="20"/>
                <w:szCs w:val="20"/>
                <w:lang w:eastAsia="en-AU"/>
              </w:rPr>
            </w:pPr>
            <w:r w:rsidRPr="00EE3D6D">
              <w:rPr>
                <w:rFonts w:ascii="Arial" w:eastAsia="Times New Roman" w:hAnsi="Arial" w:cs="Arial"/>
                <w:sz w:val="20"/>
                <w:szCs w:val="20"/>
                <w:lang w:eastAsia="en-AU"/>
              </w:rPr>
              <w:t>Other</w:t>
            </w:r>
          </w:p>
        </w:tc>
        <w:tc>
          <w:tcPr>
            <w:tcW w:w="2013" w:type="dxa"/>
            <w:tcBorders>
              <w:top w:val="nil"/>
              <w:left w:val="dashed" w:sz="4" w:space="0" w:color="auto"/>
              <w:bottom w:val="nil"/>
              <w:right w:val="nil"/>
            </w:tcBorders>
            <w:shd w:val="clear" w:color="auto" w:fill="auto"/>
          </w:tcPr>
          <w:p w14:paraId="69A4AF22" w14:textId="77777777" w:rsidR="00233FEA" w:rsidRPr="00EE3D6D" w:rsidRDefault="00233FEA" w:rsidP="003167DC">
            <w:pPr>
              <w:jc w:val="center"/>
              <w:rPr>
                <w:rFonts w:ascii="Arial" w:eastAsia="Times New Roman" w:hAnsi="Arial" w:cs="Arial"/>
                <w:sz w:val="20"/>
                <w:szCs w:val="20"/>
                <w:lang w:eastAsia="en-AU"/>
              </w:rPr>
            </w:pPr>
          </w:p>
        </w:tc>
        <w:tc>
          <w:tcPr>
            <w:tcW w:w="1984" w:type="dxa"/>
            <w:tcBorders>
              <w:top w:val="nil"/>
              <w:left w:val="nil"/>
              <w:bottom w:val="nil"/>
              <w:right w:val="nil"/>
            </w:tcBorders>
            <w:shd w:val="clear" w:color="auto" w:fill="auto"/>
          </w:tcPr>
          <w:p w14:paraId="6DDFA735"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381E7FC2"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051817B6" w14:textId="77777777" w:rsidR="00233FEA" w:rsidRPr="00EE3D6D" w:rsidRDefault="00233FEA" w:rsidP="003167DC">
            <w:pPr>
              <w:jc w:val="center"/>
              <w:rPr>
                <w:rFonts w:ascii="Arial" w:eastAsia="Times New Roman" w:hAnsi="Arial" w:cs="Arial"/>
                <w:sz w:val="20"/>
                <w:szCs w:val="20"/>
                <w:lang w:eastAsia="en-AU"/>
              </w:rPr>
            </w:pPr>
          </w:p>
        </w:tc>
        <w:tc>
          <w:tcPr>
            <w:tcW w:w="2013" w:type="dxa"/>
            <w:tcBorders>
              <w:top w:val="nil"/>
              <w:left w:val="nil"/>
              <w:bottom w:val="nil"/>
              <w:right w:val="nil"/>
            </w:tcBorders>
            <w:shd w:val="clear" w:color="auto" w:fill="auto"/>
          </w:tcPr>
          <w:p w14:paraId="0852599E" w14:textId="77777777" w:rsidR="00233FEA" w:rsidRPr="00EE3D6D" w:rsidRDefault="00233FEA" w:rsidP="003167DC">
            <w:pPr>
              <w:jc w:val="center"/>
              <w:rPr>
                <w:rFonts w:ascii="Arial" w:eastAsia="Times New Roman" w:hAnsi="Arial" w:cs="Arial"/>
                <w:sz w:val="20"/>
                <w:szCs w:val="20"/>
                <w:lang w:eastAsia="en-AU"/>
              </w:rPr>
            </w:pPr>
          </w:p>
        </w:tc>
        <w:tc>
          <w:tcPr>
            <w:tcW w:w="2018" w:type="dxa"/>
            <w:tcBorders>
              <w:top w:val="nil"/>
              <w:left w:val="nil"/>
              <w:bottom w:val="nil"/>
              <w:right w:val="nil"/>
            </w:tcBorders>
            <w:shd w:val="clear" w:color="auto" w:fill="auto"/>
          </w:tcPr>
          <w:p w14:paraId="5A44B439" w14:textId="77777777" w:rsidR="00233FEA" w:rsidRPr="00EE3D6D" w:rsidRDefault="00233FEA" w:rsidP="003167DC">
            <w:pPr>
              <w:jc w:val="center"/>
              <w:rPr>
                <w:rFonts w:ascii="Arial" w:eastAsia="Times New Roman" w:hAnsi="Arial" w:cs="Arial"/>
                <w:sz w:val="20"/>
                <w:szCs w:val="20"/>
                <w:lang w:eastAsia="en-AU"/>
              </w:rPr>
            </w:pPr>
          </w:p>
        </w:tc>
      </w:tr>
    </w:tbl>
    <w:p w14:paraId="0820A028" w14:textId="77777777" w:rsidR="00233FEA" w:rsidRDefault="00233FEA" w:rsidP="00233FEA">
      <w:pPr>
        <w:rPr>
          <w:rFonts w:ascii="Arial" w:hAnsi="Arial" w:cs="Arial"/>
          <w:b/>
        </w:rPr>
      </w:pPr>
    </w:p>
    <w:p w14:paraId="66ACE483" w14:textId="77777777" w:rsidR="00233FEA" w:rsidRDefault="00233FEA" w:rsidP="00233FEA">
      <w:pPr>
        <w:spacing w:after="240"/>
        <w:jc w:val="both"/>
        <w:outlineLvl w:val="0"/>
        <w:rPr>
          <w:rFonts w:ascii="Arial" w:hAnsi="Arial" w:cs="Arial"/>
          <w:b/>
          <w:sz w:val="40"/>
          <w:szCs w:val="40"/>
        </w:rPr>
      </w:pPr>
    </w:p>
    <w:p w14:paraId="11C76875" w14:textId="77777777" w:rsidR="00233FEA" w:rsidRDefault="00233FEA" w:rsidP="00233FEA">
      <w:pPr>
        <w:rPr>
          <w:rFonts w:ascii="Arial" w:eastAsia="Times New Roman" w:hAnsi="Arial" w:cs="Arial"/>
          <w:b/>
          <w:sz w:val="23"/>
          <w:szCs w:val="23"/>
          <w:lang w:eastAsia="en-AU"/>
        </w:rPr>
      </w:pPr>
    </w:p>
    <w:p w14:paraId="29FF1571" w14:textId="77777777" w:rsidR="00233FEA" w:rsidRDefault="00233FEA" w:rsidP="00233FEA">
      <w:pPr>
        <w:rPr>
          <w:rFonts w:ascii="Arial" w:eastAsia="Times New Roman" w:hAnsi="Arial" w:cs="Arial"/>
          <w:b/>
          <w:sz w:val="23"/>
          <w:szCs w:val="23"/>
          <w:lang w:eastAsia="en-AU"/>
        </w:rPr>
      </w:pPr>
    </w:p>
    <w:p w14:paraId="39E647B9" w14:textId="77777777" w:rsidR="00233FEA" w:rsidRDefault="00233FEA" w:rsidP="00233FEA">
      <w:pPr>
        <w:rPr>
          <w:rFonts w:ascii="Arial" w:eastAsia="Times New Roman" w:hAnsi="Arial" w:cs="Arial"/>
          <w:b/>
          <w:sz w:val="23"/>
          <w:szCs w:val="23"/>
          <w:lang w:eastAsia="en-AU"/>
        </w:rPr>
      </w:pPr>
    </w:p>
    <w:p w14:paraId="525A5C79" w14:textId="77777777" w:rsidR="00233FEA" w:rsidRDefault="00233FEA" w:rsidP="00233FEA">
      <w:pPr>
        <w:rPr>
          <w:rFonts w:ascii="Arial" w:eastAsia="Times New Roman" w:hAnsi="Arial" w:cs="Arial"/>
          <w:b/>
          <w:sz w:val="23"/>
          <w:szCs w:val="23"/>
          <w:lang w:eastAsia="en-AU"/>
        </w:rPr>
      </w:pPr>
    </w:p>
    <w:p w14:paraId="6F9A66BF" w14:textId="77777777" w:rsidR="00233FEA" w:rsidRDefault="00233FEA" w:rsidP="00233FEA">
      <w:pPr>
        <w:rPr>
          <w:rFonts w:ascii="Arial" w:eastAsia="Times New Roman" w:hAnsi="Arial" w:cs="Arial"/>
          <w:b/>
          <w:sz w:val="23"/>
          <w:szCs w:val="23"/>
          <w:lang w:eastAsia="en-AU"/>
        </w:rPr>
      </w:pPr>
    </w:p>
    <w:p w14:paraId="11649098" w14:textId="77777777" w:rsidR="00233FEA" w:rsidRDefault="00233FEA" w:rsidP="00233FEA">
      <w:pPr>
        <w:rPr>
          <w:rFonts w:ascii="Arial" w:eastAsia="Times New Roman" w:hAnsi="Arial" w:cs="Arial"/>
          <w:b/>
          <w:sz w:val="23"/>
          <w:szCs w:val="23"/>
          <w:lang w:eastAsia="en-AU"/>
        </w:rPr>
      </w:pPr>
    </w:p>
    <w:p w14:paraId="5A0BDD93" w14:textId="77777777" w:rsidR="00233FEA" w:rsidRPr="003B3E1C" w:rsidRDefault="00233FEA" w:rsidP="00233FEA">
      <w:pPr>
        <w:rPr>
          <w:rFonts w:ascii="Arial" w:eastAsia="Times New Roman" w:hAnsi="Arial" w:cs="Arial"/>
          <w:b/>
          <w:sz w:val="23"/>
          <w:szCs w:val="23"/>
          <w:lang w:eastAsia="en-AU"/>
        </w:rPr>
      </w:pPr>
      <w:r>
        <w:rPr>
          <w:rFonts w:ascii="Arial" w:eastAsia="Times New Roman" w:hAnsi="Arial" w:cs="Arial"/>
          <w:b/>
          <w:sz w:val="23"/>
          <w:szCs w:val="23"/>
          <w:lang w:eastAsia="en-AU"/>
        </w:rPr>
        <w:t>Section E</w:t>
      </w:r>
      <w:r w:rsidRPr="003B3E1C">
        <w:rPr>
          <w:rFonts w:ascii="Arial" w:eastAsia="Times New Roman" w:hAnsi="Arial" w:cs="Arial"/>
          <w:b/>
          <w:sz w:val="23"/>
          <w:szCs w:val="23"/>
          <w:lang w:eastAsia="en-AU"/>
        </w:rPr>
        <w:t xml:space="preserve">: Futures </w:t>
      </w:r>
    </w:p>
    <w:p w14:paraId="14403FC0" w14:textId="77777777" w:rsidR="00233FEA" w:rsidRDefault="00233FEA" w:rsidP="00233FEA">
      <w:pPr>
        <w:rPr>
          <w:rFonts w:ascii="Arial" w:eastAsia="Times New Roman" w:hAnsi="Arial" w:cs="Arial"/>
          <w:lang w:eastAsia="en-AU"/>
        </w:rPr>
      </w:pPr>
    </w:p>
    <w:p w14:paraId="7FDA5913" w14:textId="77777777" w:rsidR="00233FEA" w:rsidRPr="00A74596" w:rsidRDefault="00233FEA" w:rsidP="00233FEA">
      <w:pPr>
        <w:numPr>
          <w:ilvl w:val="0"/>
          <w:numId w:val="15"/>
        </w:numPr>
        <w:rPr>
          <w:rFonts w:ascii="Arial" w:eastAsia="Times New Roman" w:hAnsi="Arial" w:cs="Arial"/>
          <w:lang w:eastAsia="en-AU"/>
        </w:rPr>
      </w:pPr>
      <w:r>
        <w:rPr>
          <w:rFonts w:ascii="Arial" w:eastAsia="Times New Roman" w:hAnsi="Arial" w:cs="Arial"/>
          <w:b/>
          <w:lang w:eastAsia="en-AU"/>
        </w:rPr>
        <w:lastRenderedPageBreak/>
        <w:t>Futures with resident and non-resident counterparties</w:t>
      </w:r>
    </w:p>
    <w:p w14:paraId="7698342C" w14:textId="77777777" w:rsidR="00233FEA" w:rsidRDefault="00233FEA" w:rsidP="00233FEA">
      <w:pPr>
        <w:rPr>
          <w:rFonts w:ascii="Arial" w:eastAsia="Times New Roman" w:hAnsi="Arial" w:cs="Arial"/>
          <w:b/>
          <w:lang w:eastAsia="en-AU"/>
        </w:rPr>
      </w:pPr>
    </w:p>
    <w:tbl>
      <w:tblPr>
        <w:tblW w:w="13849" w:type="dxa"/>
        <w:tblInd w:w="108" w:type="dxa"/>
        <w:tblLayout w:type="fixed"/>
        <w:tblLook w:val="04A0" w:firstRow="1" w:lastRow="0" w:firstColumn="1" w:lastColumn="0" w:noHBand="0" w:noVBand="1"/>
      </w:tblPr>
      <w:tblGrid>
        <w:gridCol w:w="3462"/>
        <w:gridCol w:w="3462"/>
        <w:gridCol w:w="3462"/>
        <w:gridCol w:w="3463"/>
      </w:tblGrid>
      <w:tr w:rsidR="00233FEA" w:rsidRPr="00024130" w14:paraId="071BF3A1" w14:textId="77777777" w:rsidTr="005D2636">
        <w:trPr>
          <w:trHeight w:val="746"/>
        </w:trPr>
        <w:tc>
          <w:tcPr>
            <w:tcW w:w="3462" w:type="dxa"/>
            <w:tcBorders>
              <w:top w:val="single" w:sz="4" w:space="0" w:color="auto"/>
              <w:left w:val="single" w:sz="4" w:space="0" w:color="auto"/>
              <w:right w:val="nil"/>
            </w:tcBorders>
            <w:shd w:val="clear" w:color="auto" w:fill="auto"/>
            <w:noWrap/>
            <w:vAlign w:val="bottom"/>
            <w:hideMark/>
          </w:tcPr>
          <w:p w14:paraId="48166901" w14:textId="77777777" w:rsidR="00233FEA" w:rsidRPr="00D50DEA" w:rsidRDefault="00233FEA" w:rsidP="003167DC">
            <w:pPr>
              <w:jc w:val="center"/>
              <w:rPr>
                <w:rFonts w:ascii="Arial" w:eastAsia="Times New Roman" w:hAnsi="Arial" w:cs="Arial"/>
                <w:b/>
                <w:sz w:val="20"/>
                <w:szCs w:val="20"/>
                <w:lang w:eastAsia="en-AU"/>
              </w:rPr>
            </w:pPr>
            <w:r w:rsidRPr="00D50DEA">
              <w:rPr>
                <w:rFonts w:ascii="Arial" w:eastAsia="Times New Roman" w:hAnsi="Arial" w:cs="Arial"/>
                <w:b/>
                <w:sz w:val="20"/>
                <w:szCs w:val="20"/>
                <w:lang w:eastAsia="en-AU"/>
              </w:rPr>
              <w:t xml:space="preserve">Country of exchange </w:t>
            </w:r>
          </w:p>
        </w:tc>
        <w:tc>
          <w:tcPr>
            <w:tcW w:w="3462" w:type="dxa"/>
            <w:tcBorders>
              <w:top w:val="single" w:sz="4" w:space="0" w:color="auto"/>
              <w:left w:val="single" w:sz="4" w:space="0" w:color="auto"/>
              <w:right w:val="single" w:sz="4" w:space="0" w:color="auto"/>
            </w:tcBorders>
            <w:shd w:val="clear" w:color="auto" w:fill="auto"/>
            <w:vAlign w:val="bottom"/>
            <w:hideMark/>
          </w:tcPr>
          <w:p w14:paraId="1EC7304B"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Net transactions during the period</w:t>
            </w:r>
          </w:p>
        </w:tc>
        <w:tc>
          <w:tcPr>
            <w:tcW w:w="3462" w:type="dxa"/>
            <w:tcBorders>
              <w:top w:val="single" w:sz="4" w:space="0" w:color="auto"/>
              <w:left w:val="nil"/>
              <w:right w:val="single" w:sz="4" w:space="0" w:color="auto"/>
            </w:tcBorders>
            <w:shd w:val="clear" w:color="auto" w:fill="auto"/>
            <w:vAlign w:val="bottom"/>
            <w:hideMark/>
          </w:tcPr>
          <w:p w14:paraId="5A947A6C"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 xml:space="preserve">Revaluations </w:t>
            </w:r>
            <w:r>
              <w:rPr>
                <w:rFonts w:ascii="Arial" w:eastAsia="Times New Roman" w:hAnsi="Arial" w:cs="Arial"/>
                <w:b/>
                <w:sz w:val="20"/>
                <w:szCs w:val="20"/>
                <w:lang w:eastAsia="en-AU"/>
              </w:rPr>
              <w:t xml:space="preserve">with </w:t>
            </w:r>
            <w:proofErr w:type="gramStart"/>
            <w:r>
              <w:rPr>
                <w:rFonts w:ascii="Arial" w:eastAsia="Times New Roman" w:hAnsi="Arial" w:cs="Arial"/>
                <w:b/>
                <w:sz w:val="20"/>
                <w:szCs w:val="20"/>
                <w:lang w:eastAsia="en-AU"/>
              </w:rPr>
              <w:t>gross  positive</w:t>
            </w:r>
            <w:proofErr w:type="gramEnd"/>
            <w:r>
              <w:rPr>
                <w:rFonts w:ascii="Arial" w:eastAsia="Times New Roman" w:hAnsi="Arial" w:cs="Arial"/>
                <w:b/>
                <w:sz w:val="20"/>
                <w:szCs w:val="20"/>
                <w:lang w:eastAsia="en-AU"/>
              </w:rPr>
              <w:t xml:space="preserve"> value </w:t>
            </w:r>
            <w:r w:rsidRPr="00024130">
              <w:rPr>
                <w:rFonts w:ascii="Arial" w:eastAsia="Times New Roman" w:hAnsi="Arial" w:cs="Arial"/>
                <w:b/>
                <w:sz w:val="20"/>
                <w:szCs w:val="20"/>
                <w:lang w:eastAsia="en-AU"/>
              </w:rPr>
              <w:t>during the period</w:t>
            </w:r>
          </w:p>
        </w:tc>
        <w:tc>
          <w:tcPr>
            <w:tcW w:w="3463" w:type="dxa"/>
            <w:tcBorders>
              <w:top w:val="single" w:sz="4" w:space="0" w:color="auto"/>
              <w:left w:val="nil"/>
              <w:right w:val="single" w:sz="4" w:space="0" w:color="auto"/>
            </w:tcBorders>
            <w:vAlign w:val="bottom"/>
          </w:tcPr>
          <w:p w14:paraId="0D295E86"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 xml:space="preserve">Revaluations </w:t>
            </w:r>
            <w:r>
              <w:rPr>
                <w:rFonts w:ascii="Arial" w:eastAsia="Times New Roman" w:hAnsi="Arial" w:cs="Arial"/>
                <w:b/>
                <w:sz w:val="20"/>
                <w:szCs w:val="20"/>
                <w:lang w:eastAsia="en-AU"/>
              </w:rPr>
              <w:t xml:space="preserve">with gross negative value </w:t>
            </w:r>
            <w:r w:rsidRPr="00024130">
              <w:rPr>
                <w:rFonts w:ascii="Arial" w:eastAsia="Times New Roman" w:hAnsi="Arial" w:cs="Arial"/>
                <w:b/>
                <w:sz w:val="20"/>
                <w:szCs w:val="20"/>
                <w:lang w:eastAsia="en-AU"/>
              </w:rPr>
              <w:t>during the period</w:t>
            </w:r>
          </w:p>
        </w:tc>
      </w:tr>
      <w:tr w:rsidR="00233FEA" w:rsidRPr="00024130" w14:paraId="2178C414" w14:textId="77777777" w:rsidTr="005D2636">
        <w:trPr>
          <w:trHeight w:val="323"/>
        </w:trPr>
        <w:tc>
          <w:tcPr>
            <w:tcW w:w="3462" w:type="dxa"/>
            <w:tcBorders>
              <w:left w:val="single" w:sz="4" w:space="0" w:color="auto"/>
              <w:bottom w:val="single" w:sz="4" w:space="0" w:color="auto"/>
              <w:right w:val="nil"/>
            </w:tcBorders>
            <w:shd w:val="clear" w:color="auto" w:fill="auto"/>
            <w:noWrap/>
            <w:vAlign w:val="bottom"/>
            <w:hideMark/>
          </w:tcPr>
          <w:p w14:paraId="565E1CC3" w14:textId="77777777" w:rsidR="00233FEA" w:rsidRPr="00024130" w:rsidRDefault="00233FEA" w:rsidP="003167DC">
            <w:pPr>
              <w:jc w:val="center"/>
              <w:rPr>
                <w:rFonts w:ascii="Arial" w:eastAsia="Times New Roman" w:hAnsi="Arial" w:cs="Arial"/>
                <w:sz w:val="20"/>
                <w:szCs w:val="20"/>
                <w:lang w:eastAsia="en-AU"/>
              </w:rPr>
            </w:pPr>
            <w:r w:rsidRPr="00024130">
              <w:rPr>
                <w:rFonts w:ascii="Arial" w:eastAsia="Times New Roman" w:hAnsi="Arial" w:cs="Arial"/>
                <w:b/>
                <w:sz w:val="20"/>
                <w:szCs w:val="20"/>
                <w:lang w:eastAsia="en-AU"/>
              </w:rPr>
              <w:t>(1)</w:t>
            </w:r>
          </w:p>
        </w:tc>
        <w:tc>
          <w:tcPr>
            <w:tcW w:w="3462" w:type="dxa"/>
            <w:tcBorders>
              <w:left w:val="single" w:sz="4" w:space="0" w:color="auto"/>
              <w:bottom w:val="single" w:sz="4" w:space="0" w:color="auto"/>
              <w:right w:val="single" w:sz="4" w:space="0" w:color="auto"/>
            </w:tcBorders>
            <w:shd w:val="clear" w:color="auto" w:fill="auto"/>
            <w:vAlign w:val="bottom"/>
          </w:tcPr>
          <w:p w14:paraId="7382444C" w14:textId="77777777" w:rsidR="00233FEA" w:rsidRPr="00024130" w:rsidRDefault="00233FEA" w:rsidP="003167DC">
            <w:pPr>
              <w:jc w:val="center"/>
              <w:rPr>
                <w:rFonts w:ascii="Arial" w:eastAsia="Times New Roman" w:hAnsi="Arial" w:cs="Arial"/>
                <w:b/>
                <w:sz w:val="20"/>
                <w:szCs w:val="20"/>
                <w:lang w:eastAsia="en-AU"/>
              </w:rPr>
            </w:pPr>
            <w:r w:rsidRPr="00024130">
              <w:rPr>
                <w:rFonts w:ascii="Arial" w:eastAsia="Times New Roman" w:hAnsi="Arial" w:cs="Arial"/>
                <w:b/>
                <w:sz w:val="20"/>
                <w:szCs w:val="20"/>
                <w:lang w:eastAsia="en-AU"/>
              </w:rPr>
              <w:t>(2)</w:t>
            </w:r>
          </w:p>
        </w:tc>
        <w:tc>
          <w:tcPr>
            <w:tcW w:w="3462" w:type="dxa"/>
            <w:tcBorders>
              <w:left w:val="nil"/>
              <w:bottom w:val="single" w:sz="4" w:space="0" w:color="auto"/>
              <w:right w:val="single" w:sz="4" w:space="0" w:color="auto"/>
            </w:tcBorders>
            <w:shd w:val="clear" w:color="auto" w:fill="auto"/>
            <w:vAlign w:val="bottom"/>
          </w:tcPr>
          <w:p w14:paraId="6783012E"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(3)</w:t>
            </w:r>
          </w:p>
        </w:tc>
        <w:tc>
          <w:tcPr>
            <w:tcW w:w="3463" w:type="dxa"/>
            <w:tcBorders>
              <w:left w:val="nil"/>
              <w:bottom w:val="single" w:sz="4" w:space="0" w:color="auto"/>
              <w:right w:val="single" w:sz="4" w:space="0" w:color="auto"/>
            </w:tcBorders>
            <w:vAlign w:val="bottom"/>
          </w:tcPr>
          <w:p w14:paraId="27D13F5E" w14:textId="77777777" w:rsidR="00233FEA" w:rsidRPr="00024130" w:rsidRDefault="00233FEA" w:rsidP="003167DC">
            <w:pPr>
              <w:jc w:val="center"/>
              <w:rPr>
                <w:rFonts w:ascii="Arial" w:eastAsia="Times New Roman" w:hAnsi="Arial" w:cs="Arial"/>
                <w:b/>
                <w:sz w:val="20"/>
                <w:szCs w:val="20"/>
                <w:lang w:eastAsia="en-AU"/>
              </w:rPr>
            </w:pPr>
            <w:r>
              <w:rPr>
                <w:rFonts w:ascii="Arial" w:eastAsia="Times New Roman" w:hAnsi="Arial" w:cs="Arial"/>
                <w:b/>
                <w:sz w:val="20"/>
                <w:szCs w:val="20"/>
                <w:lang w:eastAsia="en-AU"/>
              </w:rPr>
              <w:t>(4)</w:t>
            </w:r>
          </w:p>
        </w:tc>
      </w:tr>
      <w:tr w:rsidR="00233FEA" w:rsidRPr="00024130" w14:paraId="72A3F2B7" w14:textId="77777777" w:rsidTr="003167DC">
        <w:trPr>
          <w:trHeight w:val="323"/>
        </w:trPr>
        <w:tc>
          <w:tcPr>
            <w:tcW w:w="3462" w:type="dxa"/>
            <w:tcBorders>
              <w:top w:val="single" w:sz="4" w:space="0" w:color="auto"/>
              <w:left w:val="single" w:sz="4" w:space="0" w:color="auto"/>
              <w:bottom w:val="single" w:sz="4" w:space="0" w:color="auto"/>
              <w:right w:val="nil"/>
            </w:tcBorders>
            <w:shd w:val="clear" w:color="auto" w:fill="auto"/>
            <w:noWrap/>
            <w:vAlign w:val="bottom"/>
          </w:tcPr>
          <w:p w14:paraId="3106FF52" w14:textId="77777777" w:rsidR="00233FEA" w:rsidRPr="00024130" w:rsidRDefault="00233FEA" w:rsidP="003167DC">
            <w:pPr>
              <w:jc w:val="center"/>
              <w:rPr>
                <w:rFonts w:ascii="Arial" w:eastAsia="Times New Roman" w:hAnsi="Arial" w:cs="Arial"/>
                <w:sz w:val="20"/>
                <w:szCs w:val="20"/>
                <w:lang w:eastAsia="en-AU"/>
              </w:rPr>
            </w:pPr>
          </w:p>
        </w:tc>
        <w:tc>
          <w:tcPr>
            <w:tcW w:w="3462" w:type="dxa"/>
            <w:tcBorders>
              <w:top w:val="single" w:sz="4" w:space="0" w:color="auto"/>
              <w:left w:val="single" w:sz="4" w:space="0" w:color="auto"/>
              <w:bottom w:val="single" w:sz="4" w:space="0" w:color="auto"/>
              <w:right w:val="single" w:sz="4" w:space="0" w:color="auto"/>
            </w:tcBorders>
            <w:shd w:val="clear" w:color="auto" w:fill="auto"/>
            <w:vAlign w:val="bottom"/>
          </w:tcPr>
          <w:p w14:paraId="747DAE46" w14:textId="77777777" w:rsidR="00233FEA" w:rsidRPr="00024130" w:rsidRDefault="00233FEA" w:rsidP="003167DC">
            <w:pPr>
              <w:jc w:val="center"/>
              <w:rPr>
                <w:rFonts w:ascii="Arial" w:eastAsia="Times New Roman" w:hAnsi="Arial" w:cs="Arial"/>
                <w:b/>
                <w:sz w:val="20"/>
                <w:szCs w:val="20"/>
                <w:lang w:eastAsia="en-AU"/>
              </w:rPr>
            </w:pPr>
          </w:p>
        </w:tc>
        <w:tc>
          <w:tcPr>
            <w:tcW w:w="3462" w:type="dxa"/>
            <w:tcBorders>
              <w:top w:val="single" w:sz="4" w:space="0" w:color="auto"/>
              <w:left w:val="nil"/>
              <w:bottom w:val="single" w:sz="4" w:space="0" w:color="auto"/>
              <w:right w:val="single" w:sz="4" w:space="0" w:color="auto"/>
            </w:tcBorders>
            <w:shd w:val="clear" w:color="auto" w:fill="auto"/>
            <w:vAlign w:val="bottom"/>
          </w:tcPr>
          <w:p w14:paraId="1493AA32" w14:textId="77777777" w:rsidR="00233FEA" w:rsidRPr="00024130" w:rsidRDefault="00233FEA" w:rsidP="003167DC">
            <w:pPr>
              <w:jc w:val="center"/>
              <w:rPr>
                <w:rFonts w:ascii="Arial" w:eastAsia="Times New Roman" w:hAnsi="Arial" w:cs="Arial"/>
                <w:b/>
                <w:sz w:val="20"/>
                <w:szCs w:val="20"/>
                <w:lang w:eastAsia="en-AU"/>
              </w:rPr>
            </w:pPr>
          </w:p>
        </w:tc>
        <w:tc>
          <w:tcPr>
            <w:tcW w:w="3463" w:type="dxa"/>
            <w:tcBorders>
              <w:top w:val="single" w:sz="4" w:space="0" w:color="auto"/>
              <w:left w:val="nil"/>
              <w:bottom w:val="single" w:sz="4" w:space="0" w:color="auto"/>
              <w:right w:val="single" w:sz="4" w:space="0" w:color="auto"/>
            </w:tcBorders>
            <w:vAlign w:val="bottom"/>
          </w:tcPr>
          <w:p w14:paraId="7FF4EFE4" w14:textId="77777777" w:rsidR="00233FEA" w:rsidRDefault="00233FEA" w:rsidP="003167DC">
            <w:pPr>
              <w:jc w:val="center"/>
              <w:rPr>
                <w:rFonts w:ascii="Arial" w:eastAsia="Times New Roman" w:hAnsi="Arial" w:cs="Arial"/>
                <w:b/>
                <w:sz w:val="20"/>
                <w:szCs w:val="20"/>
                <w:lang w:eastAsia="en-AU"/>
              </w:rPr>
            </w:pPr>
          </w:p>
        </w:tc>
      </w:tr>
      <w:tr w:rsidR="00233FEA" w:rsidRPr="00024130" w14:paraId="6E26DBBD" w14:textId="77777777" w:rsidTr="003167DC">
        <w:trPr>
          <w:trHeight w:val="323"/>
        </w:trPr>
        <w:tc>
          <w:tcPr>
            <w:tcW w:w="3462" w:type="dxa"/>
            <w:tcBorders>
              <w:top w:val="single" w:sz="4" w:space="0" w:color="auto"/>
              <w:left w:val="dashed" w:sz="4" w:space="0" w:color="auto"/>
              <w:bottom w:val="dashed" w:sz="4" w:space="0" w:color="auto"/>
              <w:right w:val="dashed" w:sz="4" w:space="0" w:color="auto"/>
            </w:tcBorders>
            <w:shd w:val="clear" w:color="auto" w:fill="auto"/>
            <w:noWrap/>
            <w:vAlign w:val="bottom"/>
          </w:tcPr>
          <w:p w14:paraId="16A33E1C" w14:textId="77777777" w:rsidR="00233FEA" w:rsidRPr="00D50D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Country list </w:t>
            </w:r>
          </w:p>
        </w:tc>
        <w:tc>
          <w:tcPr>
            <w:tcW w:w="3462" w:type="dxa"/>
            <w:tcBorders>
              <w:top w:val="single" w:sz="4" w:space="0" w:color="auto"/>
              <w:left w:val="dashed" w:sz="4" w:space="0" w:color="auto"/>
            </w:tcBorders>
            <w:shd w:val="clear" w:color="auto" w:fill="FFFFFF"/>
            <w:noWrap/>
            <w:vAlign w:val="bottom"/>
          </w:tcPr>
          <w:p w14:paraId="0F9273BE" w14:textId="77777777" w:rsidR="00233FEA" w:rsidRPr="00024130" w:rsidRDefault="00233FEA" w:rsidP="003167DC">
            <w:pPr>
              <w:jc w:val="center"/>
              <w:rPr>
                <w:rFonts w:ascii="Arial" w:eastAsia="Times New Roman" w:hAnsi="Arial" w:cs="Arial"/>
                <w:sz w:val="24"/>
                <w:szCs w:val="24"/>
                <w:lang w:eastAsia="en-AU"/>
              </w:rPr>
            </w:pPr>
          </w:p>
        </w:tc>
        <w:tc>
          <w:tcPr>
            <w:tcW w:w="3462" w:type="dxa"/>
            <w:tcBorders>
              <w:top w:val="single" w:sz="4" w:space="0" w:color="auto"/>
            </w:tcBorders>
            <w:shd w:val="clear" w:color="auto" w:fill="FFFFFF"/>
            <w:noWrap/>
            <w:vAlign w:val="bottom"/>
          </w:tcPr>
          <w:p w14:paraId="006F0303" w14:textId="77777777" w:rsidR="00233FEA" w:rsidRPr="00024130" w:rsidRDefault="00233FEA" w:rsidP="003167DC">
            <w:pPr>
              <w:jc w:val="center"/>
              <w:rPr>
                <w:rFonts w:ascii="Arial" w:eastAsia="Times New Roman" w:hAnsi="Arial" w:cs="Arial"/>
                <w:iCs/>
                <w:sz w:val="24"/>
                <w:szCs w:val="24"/>
                <w:lang w:eastAsia="en-AU"/>
              </w:rPr>
            </w:pPr>
          </w:p>
        </w:tc>
        <w:tc>
          <w:tcPr>
            <w:tcW w:w="3463" w:type="dxa"/>
            <w:tcBorders>
              <w:top w:val="single" w:sz="4" w:space="0" w:color="auto"/>
            </w:tcBorders>
            <w:shd w:val="clear" w:color="auto" w:fill="FFFFFF"/>
            <w:vAlign w:val="bottom"/>
          </w:tcPr>
          <w:p w14:paraId="3DD34C67" w14:textId="77777777" w:rsidR="00233FEA" w:rsidRPr="00024130" w:rsidRDefault="00233FEA" w:rsidP="003167DC">
            <w:pPr>
              <w:jc w:val="center"/>
              <w:rPr>
                <w:rFonts w:ascii="Arial" w:eastAsia="Times New Roman" w:hAnsi="Arial" w:cs="Arial"/>
                <w:iCs/>
                <w:sz w:val="24"/>
                <w:szCs w:val="24"/>
                <w:lang w:eastAsia="en-AU"/>
              </w:rPr>
            </w:pPr>
          </w:p>
        </w:tc>
      </w:tr>
      <w:tr w:rsidR="00233FEA" w:rsidRPr="00024130" w14:paraId="07FC3173" w14:textId="77777777" w:rsidTr="003167DC">
        <w:trPr>
          <w:trHeight w:val="323"/>
        </w:trPr>
        <w:tc>
          <w:tcPr>
            <w:tcW w:w="3462" w:type="dxa"/>
            <w:tcBorders>
              <w:top w:val="dashed" w:sz="4" w:space="0" w:color="auto"/>
              <w:left w:val="dashed" w:sz="4" w:space="0" w:color="auto"/>
              <w:bottom w:val="dashed" w:sz="4" w:space="0" w:color="auto"/>
              <w:right w:val="dashed" w:sz="4" w:space="0" w:color="auto"/>
            </w:tcBorders>
            <w:shd w:val="clear" w:color="auto" w:fill="auto"/>
            <w:noWrap/>
            <w:vAlign w:val="bottom"/>
          </w:tcPr>
          <w:p w14:paraId="63C8E289" w14:textId="77777777" w:rsidR="00233FEA" w:rsidRPr="00D50DEA" w:rsidDel="00B66CF4"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 xml:space="preserve">Afghanistan </w:t>
            </w:r>
          </w:p>
        </w:tc>
        <w:tc>
          <w:tcPr>
            <w:tcW w:w="3462" w:type="dxa"/>
            <w:tcBorders>
              <w:left w:val="dashed" w:sz="4" w:space="0" w:color="auto"/>
            </w:tcBorders>
            <w:shd w:val="clear" w:color="auto" w:fill="FFFFFF"/>
            <w:noWrap/>
            <w:vAlign w:val="bottom"/>
          </w:tcPr>
          <w:p w14:paraId="2CA78BCB" w14:textId="77777777" w:rsidR="00233FEA" w:rsidRPr="00D50DEA" w:rsidRDefault="00233FEA" w:rsidP="003167DC">
            <w:pPr>
              <w:jc w:val="center"/>
              <w:rPr>
                <w:rFonts w:ascii="Arial" w:eastAsia="Times New Roman" w:hAnsi="Arial" w:cs="Arial"/>
                <w:sz w:val="20"/>
                <w:szCs w:val="20"/>
                <w:lang w:eastAsia="en-AU"/>
              </w:rPr>
            </w:pPr>
          </w:p>
        </w:tc>
        <w:tc>
          <w:tcPr>
            <w:tcW w:w="3462" w:type="dxa"/>
            <w:shd w:val="clear" w:color="auto" w:fill="FFFFFF"/>
            <w:noWrap/>
            <w:vAlign w:val="bottom"/>
          </w:tcPr>
          <w:p w14:paraId="32AAC569" w14:textId="77777777" w:rsidR="00233FEA" w:rsidRPr="00024130" w:rsidRDefault="00233FEA" w:rsidP="003167DC">
            <w:pPr>
              <w:jc w:val="center"/>
              <w:rPr>
                <w:rFonts w:ascii="Arial" w:eastAsia="Times New Roman" w:hAnsi="Arial" w:cs="Arial"/>
                <w:iCs/>
                <w:sz w:val="24"/>
                <w:szCs w:val="24"/>
                <w:lang w:eastAsia="en-AU"/>
              </w:rPr>
            </w:pPr>
          </w:p>
        </w:tc>
        <w:tc>
          <w:tcPr>
            <w:tcW w:w="3463" w:type="dxa"/>
            <w:shd w:val="clear" w:color="auto" w:fill="FFFFFF"/>
            <w:vAlign w:val="bottom"/>
          </w:tcPr>
          <w:p w14:paraId="5C641EBD" w14:textId="77777777" w:rsidR="00233FEA" w:rsidRPr="00024130" w:rsidRDefault="00233FEA" w:rsidP="003167DC">
            <w:pPr>
              <w:jc w:val="center"/>
              <w:rPr>
                <w:rFonts w:ascii="Arial" w:eastAsia="Times New Roman" w:hAnsi="Arial" w:cs="Arial"/>
                <w:iCs/>
                <w:sz w:val="24"/>
                <w:szCs w:val="24"/>
                <w:lang w:eastAsia="en-AU"/>
              </w:rPr>
            </w:pPr>
          </w:p>
        </w:tc>
      </w:tr>
      <w:tr w:rsidR="00233FEA" w:rsidRPr="00024130" w14:paraId="1BD5D9CC" w14:textId="77777777" w:rsidTr="003167DC">
        <w:trPr>
          <w:trHeight w:val="323"/>
        </w:trPr>
        <w:tc>
          <w:tcPr>
            <w:tcW w:w="3462"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101B4C2" w14:textId="77777777" w:rsidR="00233FEA" w:rsidRDefault="00233FEA" w:rsidP="003167DC">
            <w:pPr>
              <w:jc w:val="center"/>
              <w:rPr>
                <w:rFonts w:ascii="Arial" w:eastAsia="Times New Roman" w:hAnsi="Arial" w:cs="Arial"/>
                <w:sz w:val="20"/>
                <w:szCs w:val="20"/>
                <w:lang w:eastAsia="en-AU"/>
              </w:rPr>
            </w:pPr>
            <w:r>
              <w:rPr>
                <w:rFonts w:ascii="Arial" w:eastAsia="Times New Roman" w:hAnsi="Arial" w:cs="Arial"/>
                <w:sz w:val="20"/>
                <w:szCs w:val="20"/>
                <w:lang w:eastAsia="en-AU"/>
              </w:rPr>
              <w:t>Albania</w:t>
            </w:r>
          </w:p>
        </w:tc>
        <w:tc>
          <w:tcPr>
            <w:tcW w:w="3462" w:type="dxa"/>
            <w:tcBorders>
              <w:left w:val="dashed" w:sz="4" w:space="0" w:color="auto"/>
            </w:tcBorders>
            <w:shd w:val="clear" w:color="auto" w:fill="FFFFFF"/>
            <w:noWrap/>
            <w:vAlign w:val="bottom"/>
          </w:tcPr>
          <w:p w14:paraId="69806837" w14:textId="77777777" w:rsidR="00233FEA" w:rsidRPr="00D50DEA" w:rsidRDefault="00233FEA" w:rsidP="003167DC">
            <w:pPr>
              <w:jc w:val="center"/>
              <w:rPr>
                <w:rFonts w:ascii="Arial" w:eastAsia="Times New Roman" w:hAnsi="Arial" w:cs="Arial"/>
                <w:sz w:val="20"/>
                <w:szCs w:val="20"/>
                <w:lang w:eastAsia="en-AU"/>
              </w:rPr>
            </w:pPr>
          </w:p>
        </w:tc>
        <w:tc>
          <w:tcPr>
            <w:tcW w:w="3462" w:type="dxa"/>
            <w:shd w:val="clear" w:color="auto" w:fill="FFFFFF"/>
            <w:noWrap/>
            <w:vAlign w:val="bottom"/>
          </w:tcPr>
          <w:p w14:paraId="7E2AFBFD" w14:textId="77777777" w:rsidR="00233FEA" w:rsidRPr="00024130" w:rsidRDefault="00233FEA" w:rsidP="003167DC">
            <w:pPr>
              <w:jc w:val="center"/>
              <w:rPr>
                <w:rFonts w:ascii="Arial" w:eastAsia="Times New Roman" w:hAnsi="Arial" w:cs="Arial"/>
                <w:iCs/>
                <w:sz w:val="24"/>
                <w:szCs w:val="24"/>
                <w:lang w:eastAsia="en-AU"/>
              </w:rPr>
            </w:pPr>
          </w:p>
        </w:tc>
        <w:tc>
          <w:tcPr>
            <w:tcW w:w="3463" w:type="dxa"/>
            <w:shd w:val="clear" w:color="auto" w:fill="FFFFFF"/>
            <w:vAlign w:val="bottom"/>
          </w:tcPr>
          <w:p w14:paraId="52121C55" w14:textId="77777777" w:rsidR="00233FEA" w:rsidRPr="00024130" w:rsidRDefault="00233FEA" w:rsidP="003167DC">
            <w:pPr>
              <w:jc w:val="center"/>
              <w:rPr>
                <w:rFonts w:ascii="Arial" w:eastAsia="Times New Roman" w:hAnsi="Arial" w:cs="Arial"/>
                <w:iCs/>
                <w:sz w:val="24"/>
                <w:szCs w:val="24"/>
                <w:lang w:eastAsia="en-AU"/>
              </w:rPr>
            </w:pPr>
          </w:p>
        </w:tc>
      </w:tr>
      <w:tr w:rsidR="00233FEA" w:rsidRPr="00024130" w14:paraId="379F426C" w14:textId="77777777" w:rsidTr="003167DC">
        <w:trPr>
          <w:trHeight w:val="323"/>
        </w:trPr>
        <w:tc>
          <w:tcPr>
            <w:tcW w:w="3462"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61136AE" w14:textId="77777777" w:rsidR="00233FEA" w:rsidRDefault="00233FEA" w:rsidP="003167DC">
            <w:pPr>
              <w:jc w:val="center"/>
              <w:rPr>
                <w:rFonts w:ascii="Arial" w:eastAsia="Times New Roman" w:hAnsi="Arial" w:cs="Arial"/>
                <w:sz w:val="20"/>
                <w:szCs w:val="20"/>
                <w:lang w:eastAsia="en-AU"/>
              </w:rPr>
            </w:pPr>
            <w:r>
              <w:rPr>
                <w:rFonts w:ascii="Wingdings 3" w:eastAsia="Times New Roman" w:hAnsi="Wingdings 3" w:cs="Arial"/>
                <w:sz w:val="20"/>
                <w:szCs w:val="20"/>
                <w:lang w:eastAsia="en-AU"/>
              </w:rPr>
              <w:t></w:t>
            </w:r>
          </w:p>
        </w:tc>
        <w:tc>
          <w:tcPr>
            <w:tcW w:w="3462" w:type="dxa"/>
            <w:tcBorders>
              <w:left w:val="dashed" w:sz="4" w:space="0" w:color="auto"/>
            </w:tcBorders>
            <w:shd w:val="clear" w:color="auto" w:fill="FFFFFF"/>
            <w:noWrap/>
            <w:vAlign w:val="bottom"/>
          </w:tcPr>
          <w:p w14:paraId="0D6BADAC" w14:textId="77777777" w:rsidR="00233FEA" w:rsidRPr="00024130" w:rsidRDefault="00233FEA" w:rsidP="003167DC">
            <w:pPr>
              <w:jc w:val="center"/>
              <w:rPr>
                <w:rFonts w:ascii="Arial" w:eastAsia="Times New Roman" w:hAnsi="Arial" w:cs="Arial"/>
                <w:sz w:val="24"/>
                <w:szCs w:val="24"/>
                <w:lang w:eastAsia="en-AU"/>
              </w:rPr>
            </w:pPr>
          </w:p>
        </w:tc>
        <w:tc>
          <w:tcPr>
            <w:tcW w:w="3462" w:type="dxa"/>
            <w:shd w:val="clear" w:color="auto" w:fill="FFFFFF"/>
            <w:noWrap/>
            <w:vAlign w:val="bottom"/>
          </w:tcPr>
          <w:p w14:paraId="76F247B8" w14:textId="77777777" w:rsidR="00233FEA" w:rsidRPr="00024130" w:rsidRDefault="00233FEA" w:rsidP="003167DC">
            <w:pPr>
              <w:jc w:val="center"/>
              <w:rPr>
                <w:rFonts w:ascii="Arial" w:eastAsia="Times New Roman" w:hAnsi="Arial" w:cs="Arial"/>
                <w:iCs/>
                <w:sz w:val="24"/>
                <w:szCs w:val="24"/>
                <w:lang w:eastAsia="en-AU"/>
              </w:rPr>
            </w:pPr>
          </w:p>
        </w:tc>
        <w:tc>
          <w:tcPr>
            <w:tcW w:w="3463" w:type="dxa"/>
            <w:shd w:val="clear" w:color="auto" w:fill="FFFFFF"/>
            <w:vAlign w:val="bottom"/>
          </w:tcPr>
          <w:p w14:paraId="47B64C70" w14:textId="77777777" w:rsidR="00233FEA" w:rsidRPr="00024130" w:rsidRDefault="00233FEA" w:rsidP="003167DC">
            <w:pPr>
              <w:jc w:val="center"/>
              <w:rPr>
                <w:rFonts w:ascii="Arial" w:eastAsia="Times New Roman" w:hAnsi="Arial" w:cs="Arial"/>
                <w:iCs/>
                <w:sz w:val="24"/>
                <w:szCs w:val="24"/>
                <w:lang w:eastAsia="en-AU"/>
              </w:rPr>
            </w:pPr>
          </w:p>
        </w:tc>
      </w:tr>
      <w:tr w:rsidR="00233FEA" w:rsidRPr="00024130" w14:paraId="10D42BAB" w14:textId="77777777" w:rsidTr="003167DC">
        <w:trPr>
          <w:trHeight w:val="323"/>
        </w:trPr>
        <w:tc>
          <w:tcPr>
            <w:tcW w:w="3462" w:type="dxa"/>
            <w:tcBorders>
              <w:top w:val="dashed" w:sz="4" w:space="0" w:color="auto"/>
              <w:left w:val="dashed" w:sz="4" w:space="0" w:color="auto"/>
              <w:bottom w:val="dashed" w:sz="4" w:space="0" w:color="auto"/>
              <w:right w:val="dashed" w:sz="4" w:space="0" w:color="auto"/>
            </w:tcBorders>
            <w:shd w:val="clear" w:color="auto" w:fill="auto"/>
            <w:noWrap/>
            <w:vAlign w:val="bottom"/>
          </w:tcPr>
          <w:p w14:paraId="73C40BFD" w14:textId="77777777" w:rsidR="00233FEA" w:rsidRDefault="00233FEA" w:rsidP="003167DC">
            <w:pPr>
              <w:jc w:val="center"/>
              <w:rPr>
                <w:rFonts w:ascii="Arial" w:eastAsia="Times New Roman" w:hAnsi="Arial" w:cs="Arial"/>
                <w:sz w:val="20"/>
                <w:szCs w:val="20"/>
                <w:lang w:eastAsia="en-AU"/>
              </w:rPr>
            </w:pPr>
          </w:p>
        </w:tc>
        <w:tc>
          <w:tcPr>
            <w:tcW w:w="3462" w:type="dxa"/>
            <w:tcBorders>
              <w:left w:val="dashed" w:sz="4" w:space="0" w:color="auto"/>
            </w:tcBorders>
            <w:shd w:val="clear" w:color="auto" w:fill="FFFFFF"/>
            <w:noWrap/>
            <w:vAlign w:val="bottom"/>
          </w:tcPr>
          <w:p w14:paraId="430CD22F" w14:textId="77777777" w:rsidR="00233FEA" w:rsidRDefault="00233FEA" w:rsidP="003167DC">
            <w:pPr>
              <w:jc w:val="center"/>
              <w:rPr>
                <w:rFonts w:ascii="Arial" w:eastAsia="Times New Roman" w:hAnsi="Arial" w:cs="Arial"/>
                <w:sz w:val="24"/>
                <w:szCs w:val="24"/>
                <w:lang w:eastAsia="en-AU"/>
              </w:rPr>
            </w:pPr>
          </w:p>
          <w:p w14:paraId="5DE836DB" w14:textId="77777777" w:rsidR="00233FEA" w:rsidRPr="00024130" w:rsidRDefault="00233FEA" w:rsidP="003167DC">
            <w:pPr>
              <w:rPr>
                <w:rFonts w:ascii="Arial" w:eastAsia="Times New Roman" w:hAnsi="Arial" w:cs="Arial"/>
                <w:sz w:val="24"/>
                <w:szCs w:val="24"/>
                <w:lang w:eastAsia="en-AU"/>
              </w:rPr>
            </w:pPr>
          </w:p>
        </w:tc>
        <w:tc>
          <w:tcPr>
            <w:tcW w:w="3462" w:type="dxa"/>
            <w:shd w:val="clear" w:color="auto" w:fill="FFFFFF"/>
            <w:noWrap/>
            <w:vAlign w:val="bottom"/>
          </w:tcPr>
          <w:p w14:paraId="308D4AF9" w14:textId="77777777" w:rsidR="00233FEA" w:rsidRPr="00024130" w:rsidRDefault="00233FEA" w:rsidP="003167DC">
            <w:pPr>
              <w:jc w:val="center"/>
              <w:rPr>
                <w:rFonts w:ascii="Arial" w:eastAsia="Times New Roman" w:hAnsi="Arial" w:cs="Arial"/>
                <w:iCs/>
                <w:sz w:val="24"/>
                <w:szCs w:val="24"/>
                <w:lang w:eastAsia="en-AU"/>
              </w:rPr>
            </w:pPr>
          </w:p>
        </w:tc>
        <w:tc>
          <w:tcPr>
            <w:tcW w:w="3463" w:type="dxa"/>
            <w:shd w:val="clear" w:color="auto" w:fill="FFFFFF"/>
            <w:vAlign w:val="bottom"/>
          </w:tcPr>
          <w:p w14:paraId="3781FD03" w14:textId="77777777" w:rsidR="00233FEA" w:rsidRPr="00024130" w:rsidRDefault="00233FEA" w:rsidP="003167DC">
            <w:pPr>
              <w:jc w:val="center"/>
              <w:rPr>
                <w:rFonts w:ascii="Arial" w:eastAsia="Times New Roman" w:hAnsi="Arial" w:cs="Arial"/>
                <w:iCs/>
                <w:sz w:val="24"/>
                <w:szCs w:val="24"/>
                <w:lang w:eastAsia="en-AU"/>
              </w:rPr>
            </w:pPr>
          </w:p>
        </w:tc>
      </w:tr>
    </w:tbl>
    <w:p w14:paraId="369BEEDA" w14:textId="77777777" w:rsidR="00233FEA" w:rsidRDefault="00233FEA" w:rsidP="00233FEA">
      <w:pPr>
        <w:rPr>
          <w:rFonts w:ascii="Arial" w:eastAsia="Times New Roman" w:hAnsi="Arial" w:cs="Arial"/>
          <w:b/>
          <w:lang w:eastAsia="en-AU"/>
        </w:rPr>
      </w:pPr>
    </w:p>
    <w:p w14:paraId="1726EFB9" w14:textId="77777777" w:rsidR="00233FEA" w:rsidRPr="00D50DEA" w:rsidRDefault="00233FEA" w:rsidP="00233FEA">
      <w:pPr>
        <w:rPr>
          <w:rFonts w:ascii="Arial" w:eastAsia="Times New Roman" w:hAnsi="Arial" w:cs="Arial"/>
          <w:lang w:eastAsia="en-AU"/>
        </w:rPr>
      </w:pPr>
    </w:p>
    <w:p w14:paraId="52BF8AB9" w14:textId="77777777" w:rsidR="003167DC" w:rsidRDefault="003167DC">
      <w:pPr>
        <w:rPr>
          <w:rFonts w:ascii="Arial" w:eastAsia="Times New Roman" w:hAnsi="Arial" w:cs="Arial"/>
          <w:b/>
          <w:sz w:val="23"/>
          <w:szCs w:val="23"/>
          <w:lang w:eastAsia="en-AU"/>
        </w:rPr>
      </w:pPr>
    </w:p>
    <w:p w14:paraId="611BEDBE" w14:textId="77777777" w:rsidR="000C04FD" w:rsidRPr="000104B3" w:rsidRDefault="003167DC" w:rsidP="000C04FD">
      <w:pPr>
        <w:rPr>
          <w:rFonts w:ascii="Arial" w:eastAsia="Times New Roman" w:hAnsi="Arial" w:cs="Arial"/>
          <w:b/>
          <w:sz w:val="23"/>
          <w:szCs w:val="23"/>
          <w:lang w:eastAsia="en-AU"/>
        </w:rPr>
      </w:pPr>
      <w:r>
        <w:rPr>
          <w:rFonts w:ascii="Arial" w:eastAsia="Times New Roman" w:hAnsi="Arial" w:cs="Arial"/>
          <w:b/>
          <w:sz w:val="23"/>
          <w:szCs w:val="23"/>
          <w:lang w:eastAsia="en-AU"/>
        </w:rPr>
        <w:br w:type="page"/>
      </w:r>
      <w:r w:rsidR="000C04FD">
        <w:rPr>
          <w:rFonts w:ascii="Arial" w:hAnsi="Arial" w:cs="Arial"/>
          <w:b/>
          <w:sz w:val="40"/>
          <w:szCs w:val="40"/>
        </w:rPr>
        <w:lastRenderedPageBreak/>
        <w:t xml:space="preserve"> </w:t>
      </w:r>
      <w:r w:rsidR="000C04FD" w:rsidRPr="00903D38">
        <w:rPr>
          <w:rFonts w:ascii="Arial" w:eastAsia="Times New Roman" w:hAnsi="Arial" w:cs="Arial"/>
          <w:b/>
          <w:sz w:val="23"/>
          <w:szCs w:val="23"/>
          <w:lang w:eastAsia="en-AU"/>
        </w:rPr>
        <w:t>Section</w:t>
      </w:r>
      <w:r w:rsidR="000C04FD" w:rsidRPr="000104B3">
        <w:rPr>
          <w:rFonts w:ascii="Arial" w:eastAsia="Times New Roman" w:hAnsi="Arial" w:cs="Arial"/>
          <w:b/>
          <w:sz w:val="23"/>
          <w:szCs w:val="23"/>
          <w:lang w:eastAsia="en-AU"/>
        </w:rPr>
        <w:t xml:space="preserve"> </w:t>
      </w:r>
      <w:r w:rsidR="000C04FD">
        <w:rPr>
          <w:rFonts w:ascii="Arial" w:eastAsia="Times New Roman" w:hAnsi="Arial" w:cs="Arial"/>
          <w:b/>
          <w:sz w:val="23"/>
          <w:szCs w:val="23"/>
          <w:lang w:eastAsia="en-AU"/>
        </w:rPr>
        <w:t>F</w:t>
      </w:r>
      <w:r w:rsidR="000C04FD" w:rsidRPr="000104B3">
        <w:rPr>
          <w:rFonts w:ascii="Arial" w:eastAsia="Times New Roman" w:hAnsi="Arial" w:cs="Arial"/>
          <w:b/>
          <w:sz w:val="23"/>
          <w:szCs w:val="23"/>
          <w:lang w:eastAsia="en-AU"/>
        </w:rPr>
        <w:t xml:space="preserve">: </w:t>
      </w:r>
      <w:r w:rsidR="000C04FD" w:rsidRPr="00903D38">
        <w:rPr>
          <w:rFonts w:ascii="Arial" w:eastAsia="Times New Roman" w:hAnsi="Arial" w:cs="Arial"/>
          <w:b/>
          <w:sz w:val="23"/>
          <w:szCs w:val="23"/>
          <w:lang w:eastAsia="en-AU"/>
        </w:rPr>
        <w:t>Adjustments</w:t>
      </w:r>
    </w:p>
    <w:p w14:paraId="077C759B" w14:textId="77777777" w:rsidR="000C04FD" w:rsidRPr="000104B3" w:rsidRDefault="000C04FD" w:rsidP="000C04FD">
      <w:pPr>
        <w:numPr>
          <w:ilvl w:val="0"/>
          <w:numId w:val="15"/>
        </w:numPr>
        <w:spacing w:after="240"/>
        <w:jc w:val="both"/>
        <w:outlineLvl w:val="0"/>
        <w:rPr>
          <w:rFonts w:ascii="Arial" w:eastAsia="Times New Roman" w:hAnsi="Arial" w:cs="Arial"/>
          <w:b/>
          <w:lang w:eastAsia="en-AU"/>
        </w:rPr>
      </w:pPr>
      <w:r w:rsidRPr="000104B3">
        <w:rPr>
          <w:rFonts w:ascii="Arial" w:eastAsia="Times New Roman" w:hAnsi="Arial" w:cs="Arial"/>
          <w:b/>
          <w:lang w:eastAsia="en-AU"/>
        </w:rPr>
        <w:t>Counterparty</w:t>
      </w:r>
      <w:r>
        <w:rPr>
          <w:rFonts w:ascii="Arial" w:eastAsia="Times New Roman" w:hAnsi="Arial" w:cs="Arial"/>
          <w:b/>
          <w:lang w:eastAsia="en-AU"/>
        </w:rPr>
        <w:t xml:space="preserve"> and portfolio-</w:t>
      </w:r>
      <w:r w:rsidRPr="000104B3">
        <w:rPr>
          <w:rFonts w:ascii="Arial" w:eastAsia="Times New Roman" w:hAnsi="Arial" w:cs="Arial"/>
          <w:b/>
          <w:lang w:eastAsia="en-AU"/>
        </w:rPr>
        <w:t>level adjustments</w:t>
      </w:r>
    </w:p>
    <w:tbl>
      <w:tblPr>
        <w:tblW w:w="0" w:type="auto"/>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9"/>
        <w:gridCol w:w="3544"/>
      </w:tblGrid>
      <w:tr w:rsidR="000C04FD" w:rsidRPr="00E60EFA" w14:paraId="1FC7B947" w14:textId="77777777" w:rsidTr="00FA329B">
        <w:trPr>
          <w:trHeight w:val="370"/>
        </w:trPr>
        <w:tc>
          <w:tcPr>
            <w:tcW w:w="7119" w:type="dxa"/>
            <w:tcBorders>
              <w:bottom w:val="nil"/>
            </w:tcBorders>
            <w:vAlign w:val="bottom"/>
          </w:tcPr>
          <w:p w14:paraId="4CB87E25" w14:textId="77777777" w:rsidR="000C04FD" w:rsidRPr="00F56F5D" w:rsidRDefault="000C04FD" w:rsidP="00FA329B">
            <w:pPr>
              <w:jc w:val="center"/>
              <w:outlineLvl w:val="0"/>
              <w:rPr>
                <w:rFonts w:ascii="Arial" w:hAnsi="Arial" w:cs="Arial"/>
                <w:b/>
                <w:sz w:val="20"/>
                <w:szCs w:val="20"/>
              </w:rPr>
            </w:pPr>
            <w:r w:rsidRPr="00F56F5D">
              <w:rPr>
                <w:rFonts w:ascii="Arial" w:hAnsi="Arial" w:cs="Arial"/>
                <w:b/>
                <w:sz w:val="20"/>
                <w:szCs w:val="20"/>
              </w:rPr>
              <w:t>Type of counterparty</w:t>
            </w:r>
          </w:p>
        </w:tc>
        <w:tc>
          <w:tcPr>
            <w:tcW w:w="3544" w:type="dxa"/>
            <w:tcBorders>
              <w:bottom w:val="nil"/>
            </w:tcBorders>
            <w:vAlign w:val="bottom"/>
          </w:tcPr>
          <w:p w14:paraId="5CCC2C2E" w14:textId="77777777" w:rsidR="000C04FD" w:rsidRPr="005D5C83" w:rsidRDefault="000C04FD" w:rsidP="00FA329B">
            <w:pPr>
              <w:jc w:val="center"/>
              <w:outlineLvl w:val="0"/>
              <w:rPr>
                <w:rFonts w:ascii="Arial" w:hAnsi="Arial" w:cs="Arial"/>
                <w:b/>
                <w:sz w:val="20"/>
                <w:szCs w:val="20"/>
              </w:rPr>
            </w:pPr>
            <w:r w:rsidRPr="005D5C83">
              <w:rPr>
                <w:rFonts w:ascii="Arial" w:hAnsi="Arial" w:cs="Arial"/>
                <w:b/>
                <w:sz w:val="20"/>
                <w:szCs w:val="20"/>
              </w:rPr>
              <w:t>Adjustment amount</w:t>
            </w:r>
          </w:p>
        </w:tc>
      </w:tr>
      <w:tr w:rsidR="000C04FD" w:rsidRPr="00E60EFA" w14:paraId="24F7B4E9" w14:textId="77777777" w:rsidTr="00FA329B">
        <w:tc>
          <w:tcPr>
            <w:tcW w:w="7119" w:type="dxa"/>
            <w:tcBorders>
              <w:top w:val="nil"/>
            </w:tcBorders>
          </w:tcPr>
          <w:p w14:paraId="4C1BA718" w14:textId="77777777" w:rsidR="000C04FD" w:rsidRDefault="000C04FD" w:rsidP="00FA329B">
            <w:pPr>
              <w:jc w:val="center"/>
              <w:outlineLvl w:val="0"/>
              <w:rPr>
                <w:rFonts w:ascii="Arial" w:hAnsi="Arial" w:cs="Arial"/>
                <w:b/>
                <w:sz w:val="20"/>
                <w:szCs w:val="20"/>
              </w:rPr>
            </w:pPr>
            <w:r w:rsidRPr="00250379">
              <w:rPr>
                <w:rFonts w:ascii="Arial" w:hAnsi="Arial" w:cs="Arial"/>
                <w:b/>
                <w:sz w:val="20"/>
                <w:szCs w:val="20"/>
              </w:rPr>
              <w:t>(1)</w:t>
            </w:r>
          </w:p>
        </w:tc>
        <w:tc>
          <w:tcPr>
            <w:tcW w:w="3544" w:type="dxa"/>
            <w:tcBorders>
              <w:top w:val="nil"/>
            </w:tcBorders>
          </w:tcPr>
          <w:p w14:paraId="5BE61670" w14:textId="77777777" w:rsidR="000C04FD" w:rsidRDefault="000C04FD" w:rsidP="00FA329B">
            <w:pPr>
              <w:jc w:val="center"/>
              <w:outlineLvl w:val="0"/>
              <w:rPr>
                <w:rFonts w:ascii="Arial" w:hAnsi="Arial" w:cs="Arial"/>
                <w:b/>
                <w:sz w:val="20"/>
                <w:szCs w:val="20"/>
              </w:rPr>
            </w:pPr>
            <w:r>
              <w:rPr>
                <w:rFonts w:ascii="Arial" w:hAnsi="Arial" w:cs="Arial"/>
                <w:b/>
                <w:sz w:val="20"/>
                <w:szCs w:val="20"/>
              </w:rPr>
              <w:t>(2)</w:t>
            </w:r>
          </w:p>
        </w:tc>
      </w:tr>
      <w:tr w:rsidR="000C04FD" w:rsidRPr="00E60EFA" w14:paraId="28C70D64" w14:textId="77777777" w:rsidTr="00FA329B">
        <w:tc>
          <w:tcPr>
            <w:tcW w:w="7119" w:type="dxa"/>
          </w:tcPr>
          <w:p w14:paraId="4DE4098A" w14:textId="77777777" w:rsidR="000C04FD" w:rsidRPr="008474D3" w:rsidRDefault="000C04FD" w:rsidP="00FA329B">
            <w:pPr>
              <w:spacing w:after="240"/>
              <w:jc w:val="both"/>
              <w:outlineLvl w:val="0"/>
              <w:rPr>
                <w:rFonts w:ascii="Arial" w:hAnsi="Arial" w:cs="Arial"/>
                <w:b/>
                <w:sz w:val="20"/>
                <w:szCs w:val="20"/>
              </w:rPr>
            </w:pPr>
          </w:p>
        </w:tc>
        <w:tc>
          <w:tcPr>
            <w:tcW w:w="3544" w:type="dxa"/>
            <w:tcBorders>
              <w:bottom w:val="single" w:sz="4" w:space="0" w:color="auto"/>
            </w:tcBorders>
          </w:tcPr>
          <w:p w14:paraId="404EC421" w14:textId="77777777" w:rsidR="000C04FD" w:rsidRPr="008474D3" w:rsidRDefault="000C04FD" w:rsidP="00FA329B">
            <w:pPr>
              <w:spacing w:after="240"/>
              <w:jc w:val="both"/>
              <w:outlineLvl w:val="0"/>
              <w:rPr>
                <w:rFonts w:ascii="Arial" w:hAnsi="Arial" w:cs="Arial"/>
                <w:b/>
                <w:sz w:val="20"/>
                <w:szCs w:val="20"/>
              </w:rPr>
            </w:pPr>
          </w:p>
        </w:tc>
      </w:tr>
      <w:tr w:rsidR="000C04FD" w:rsidRPr="00E60EFA" w14:paraId="3A9E8F98" w14:textId="77777777" w:rsidTr="00FA329B">
        <w:trPr>
          <w:trHeight w:val="187"/>
        </w:trPr>
        <w:tc>
          <w:tcPr>
            <w:tcW w:w="7119" w:type="dxa"/>
            <w:tcBorders>
              <w:top w:val="single" w:sz="4" w:space="0" w:color="auto"/>
              <w:left w:val="dotDash" w:sz="4" w:space="0" w:color="auto"/>
              <w:bottom w:val="dotDash" w:sz="4" w:space="0" w:color="auto"/>
              <w:right w:val="dotDash" w:sz="4" w:space="0" w:color="auto"/>
            </w:tcBorders>
            <w:shd w:val="clear" w:color="auto" w:fill="auto"/>
            <w:vAlign w:val="bottom"/>
          </w:tcPr>
          <w:p w14:paraId="77598247" w14:textId="50CAD991" w:rsidR="000C04FD" w:rsidRDefault="00D413FA" w:rsidP="00D413FA">
            <w:pPr>
              <w:jc w:val="center"/>
              <w:outlineLvl w:val="0"/>
              <w:rPr>
                <w:rFonts w:ascii="Arial" w:hAnsi="Arial" w:cs="Arial"/>
                <w:b/>
                <w:sz w:val="20"/>
                <w:szCs w:val="20"/>
              </w:rPr>
            </w:pPr>
            <w:r>
              <w:rPr>
                <w:rFonts w:ascii="Arial" w:eastAsia="Times New Roman" w:hAnsi="Arial" w:cs="Arial"/>
                <w:sz w:val="20"/>
                <w:szCs w:val="20"/>
                <w:lang w:eastAsia="en-AU"/>
              </w:rPr>
              <w:t>P</w:t>
            </w:r>
            <w:r w:rsidR="000C04FD" w:rsidRPr="00024130">
              <w:rPr>
                <w:rFonts w:ascii="Arial" w:eastAsia="Times New Roman" w:hAnsi="Arial" w:cs="Arial"/>
                <w:sz w:val="20"/>
                <w:szCs w:val="20"/>
                <w:lang w:eastAsia="en-AU"/>
              </w:rPr>
              <w:t xml:space="preserve">rivate non-financial </w:t>
            </w:r>
            <w:r w:rsidR="000C04FD">
              <w:rPr>
                <w:rFonts w:ascii="Arial" w:eastAsia="Times New Roman" w:hAnsi="Arial" w:cs="Arial"/>
                <w:sz w:val="20"/>
                <w:szCs w:val="20"/>
                <w:lang w:eastAsia="en-AU"/>
              </w:rPr>
              <w:t>investment funds</w:t>
            </w:r>
          </w:p>
        </w:tc>
        <w:tc>
          <w:tcPr>
            <w:tcW w:w="3544" w:type="dxa"/>
            <w:tcBorders>
              <w:bottom w:val="nil"/>
              <w:right w:val="nil"/>
            </w:tcBorders>
          </w:tcPr>
          <w:p w14:paraId="3FE7CC8A" w14:textId="77777777" w:rsidR="000C04FD" w:rsidRDefault="000C04FD" w:rsidP="00FA329B">
            <w:pPr>
              <w:spacing w:after="240"/>
              <w:jc w:val="both"/>
              <w:outlineLvl w:val="0"/>
              <w:rPr>
                <w:rFonts w:ascii="Arial" w:hAnsi="Arial" w:cs="Arial"/>
                <w:b/>
                <w:sz w:val="20"/>
                <w:szCs w:val="20"/>
              </w:rPr>
            </w:pPr>
          </w:p>
        </w:tc>
      </w:tr>
      <w:tr w:rsidR="000C04FD" w:rsidRPr="00024130" w14:paraId="3C86C063"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FF77C4E" w14:textId="11095F1A" w:rsidR="000C04FD"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P</w:t>
            </w:r>
            <w:r w:rsidR="000C04FD">
              <w:rPr>
                <w:rFonts w:ascii="Arial" w:eastAsia="Times New Roman" w:hAnsi="Arial" w:cs="Arial"/>
                <w:sz w:val="20"/>
                <w:szCs w:val="20"/>
                <w:lang w:eastAsia="en-AU"/>
              </w:rPr>
              <w:t>rivate non-financial corporations</w:t>
            </w:r>
          </w:p>
        </w:tc>
        <w:tc>
          <w:tcPr>
            <w:tcW w:w="3544" w:type="dxa"/>
            <w:tcBorders>
              <w:left w:val="dotDash" w:sz="4" w:space="0" w:color="auto"/>
            </w:tcBorders>
          </w:tcPr>
          <w:p w14:paraId="04689E1F" w14:textId="77777777" w:rsidR="000C04FD" w:rsidRDefault="000C04FD" w:rsidP="00FA329B">
            <w:pPr>
              <w:jc w:val="center"/>
              <w:rPr>
                <w:rFonts w:ascii="Arial" w:eastAsia="Times New Roman" w:hAnsi="Arial" w:cs="Arial"/>
                <w:sz w:val="20"/>
                <w:szCs w:val="20"/>
                <w:lang w:eastAsia="en-AU"/>
              </w:rPr>
            </w:pPr>
          </w:p>
        </w:tc>
      </w:tr>
      <w:tr w:rsidR="000C04FD" w:rsidRPr="00024130" w14:paraId="242881C1"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88F677D" w14:textId="2F92309A" w:rsidR="000C04FD"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P</w:t>
            </w:r>
            <w:r w:rsidR="000C04FD">
              <w:rPr>
                <w:rFonts w:ascii="Arial" w:eastAsia="Times New Roman" w:hAnsi="Arial" w:cs="Arial"/>
                <w:sz w:val="20"/>
                <w:szCs w:val="20"/>
                <w:lang w:eastAsia="en-AU"/>
              </w:rPr>
              <w:t>rivate unincorporated businesses</w:t>
            </w:r>
          </w:p>
        </w:tc>
        <w:tc>
          <w:tcPr>
            <w:tcW w:w="3544" w:type="dxa"/>
            <w:tcBorders>
              <w:left w:val="dotDash" w:sz="4" w:space="0" w:color="auto"/>
            </w:tcBorders>
          </w:tcPr>
          <w:p w14:paraId="5081F1DD" w14:textId="77777777" w:rsidR="000C04FD" w:rsidRDefault="000C04FD" w:rsidP="00FA329B">
            <w:pPr>
              <w:jc w:val="center"/>
              <w:rPr>
                <w:rFonts w:ascii="Arial" w:eastAsia="Times New Roman" w:hAnsi="Arial" w:cs="Arial"/>
                <w:sz w:val="20"/>
                <w:szCs w:val="20"/>
                <w:lang w:eastAsia="en-AU"/>
              </w:rPr>
            </w:pPr>
          </w:p>
        </w:tc>
      </w:tr>
      <w:tr w:rsidR="000C04FD" w:rsidRPr="00024130" w14:paraId="57EEBC19"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106941E" w14:textId="165F5AB7" w:rsidR="000C04FD"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S</w:t>
            </w:r>
            <w:r w:rsidR="000C04FD">
              <w:rPr>
                <w:rFonts w:ascii="Arial" w:eastAsia="Times New Roman" w:hAnsi="Arial" w:cs="Arial"/>
                <w:sz w:val="20"/>
                <w:szCs w:val="20"/>
                <w:lang w:eastAsia="en-AU"/>
              </w:rPr>
              <w:t>tate and territory local government non-financial corporations</w:t>
            </w:r>
          </w:p>
        </w:tc>
        <w:tc>
          <w:tcPr>
            <w:tcW w:w="3544" w:type="dxa"/>
            <w:tcBorders>
              <w:left w:val="dotDash" w:sz="4" w:space="0" w:color="auto"/>
            </w:tcBorders>
          </w:tcPr>
          <w:p w14:paraId="346D15EC" w14:textId="77777777" w:rsidR="000C04FD" w:rsidRDefault="000C04FD" w:rsidP="00FA329B">
            <w:pPr>
              <w:jc w:val="center"/>
              <w:rPr>
                <w:rFonts w:ascii="Arial" w:eastAsia="Times New Roman" w:hAnsi="Arial" w:cs="Arial"/>
                <w:sz w:val="20"/>
                <w:szCs w:val="20"/>
                <w:lang w:eastAsia="en-AU"/>
              </w:rPr>
            </w:pPr>
          </w:p>
        </w:tc>
      </w:tr>
      <w:tr w:rsidR="000C04FD" w:rsidRPr="00024130" w14:paraId="26EC417F"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CB30237" w14:textId="6327DEFE" w:rsidR="000C04FD" w:rsidRDefault="000C04FD" w:rsidP="00FA329B">
            <w:pPr>
              <w:jc w:val="center"/>
              <w:rPr>
                <w:rFonts w:ascii="Arial" w:eastAsia="Times New Roman" w:hAnsi="Arial" w:cs="Arial"/>
                <w:sz w:val="20"/>
                <w:szCs w:val="20"/>
                <w:lang w:eastAsia="en-AU"/>
              </w:rPr>
            </w:pPr>
            <w:r>
              <w:rPr>
                <w:rFonts w:ascii="Arial" w:eastAsia="Times New Roman" w:hAnsi="Arial" w:cs="Arial"/>
                <w:sz w:val="20"/>
                <w:szCs w:val="20"/>
                <w:lang w:eastAsia="en-AU"/>
              </w:rPr>
              <w:t>Commonwealth government non-financial corporations</w:t>
            </w:r>
          </w:p>
        </w:tc>
        <w:tc>
          <w:tcPr>
            <w:tcW w:w="3544" w:type="dxa"/>
            <w:tcBorders>
              <w:left w:val="dotDash" w:sz="4" w:space="0" w:color="auto"/>
            </w:tcBorders>
          </w:tcPr>
          <w:p w14:paraId="7A68F0D6" w14:textId="77777777" w:rsidR="000C04FD" w:rsidRDefault="000C04FD" w:rsidP="00FA329B">
            <w:pPr>
              <w:jc w:val="center"/>
              <w:rPr>
                <w:rFonts w:ascii="Arial" w:eastAsia="Times New Roman" w:hAnsi="Arial" w:cs="Arial"/>
                <w:sz w:val="20"/>
                <w:szCs w:val="20"/>
                <w:lang w:eastAsia="en-AU"/>
              </w:rPr>
            </w:pPr>
          </w:p>
        </w:tc>
      </w:tr>
      <w:tr w:rsidR="000C04FD" w:rsidRPr="00024130" w14:paraId="39421E00"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0997370" w14:textId="77777777" w:rsidR="000C04FD" w:rsidRPr="00024130" w:rsidRDefault="000C04FD" w:rsidP="00FA329B">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RBA</w:t>
            </w:r>
          </w:p>
        </w:tc>
        <w:tc>
          <w:tcPr>
            <w:tcW w:w="3544" w:type="dxa"/>
            <w:tcBorders>
              <w:left w:val="dotDash" w:sz="4" w:space="0" w:color="auto"/>
            </w:tcBorders>
          </w:tcPr>
          <w:p w14:paraId="29EE6269"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6F1DDADB"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885C742" w14:textId="0BA29F2D" w:rsidR="000C04FD" w:rsidRDefault="000C04FD" w:rsidP="00FA329B">
            <w:pPr>
              <w:jc w:val="center"/>
              <w:rPr>
                <w:rFonts w:ascii="Arial" w:eastAsia="Times New Roman" w:hAnsi="Arial" w:cs="Arial"/>
                <w:sz w:val="20"/>
                <w:szCs w:val="20"/>
                <w:lang w:eastAsia="en-AU"/>
              </w:rPr>
            </w:pPr>
            <w:r>
              <w:rPr>
                <w:rFonts w:ascii="Arial" w:eastAsia="Times New Roman" w:hAnsi="Arial" w:cs="Arial"/>
                <w:sz w:val="20"/>
                <w:szCs w:val="20"/>
                <w:lang w:eastAsia="en-AU"/>
              </w:rPr>
              <w:t>ADIs</w:t>
            </w:r>
          </w:p>
        </w:tc>
        <w:tc>
          <w:tcPr>
            <w:tcW w:w="3544" w:type="dxa"/>
            <w:tcBorders>
              <w:left w:val="dotDash" w:sz="4" w:space="0" w:color="auto"/>
            </w:tcBorders>
          </w:tcPr>
          <w:p w14:paraId="7F39FFF8" w14:textId="77777777" w:rsidR="000C04FD" w:rsidRDefault="000C04FD" w:rsidP="00FA329B">
            <w:pPr>
              <w:jc w:val="center"/>
              <w:rPr>
                <w:rFonts w:ascii="Arial" w:eastAsia="Times New Roman" w:hAnsi="Arial" w:cs="Arial"/>
                <w:sz w:val="20"/>
                <w:szCs w:val="20"/>
                <w:lang w:eastAsia="en-AU"/>
              </w:rPr>
            </w:pPr>
          </w:p>
        </w:tc>
      </w:tr>
      <w:tr w:rsidR="000C04FD" w:rsidRPr="00024130" w14:paraId="64C132A7"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761F6DF" w14:textId="28C940AB"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R</w:t>
            </w:r>
            <w:r w:rsidR="000C04FD" w:rsidRPr="00024130">
              <w:rPr>
                <w:rFonts w:ascii="Arial" w:eastAsia="Times New Roman" w:hAnsi="Arial" w:cs="Arial"/>
                <w:sz w:val="20"/>
                <w:szCs w:val="20"/>
                <w:lang w:eastAsia="en-AU"/>
              </w:rPr>
              <w:t>egistered financial corporations</w:t>
            </w:r>
          </w:p>
        </w:tc>
        <w:tc>
          <w:tcPr>
            <w:tcW w:w="3544" w:type="dxa"/>
            <w:tcBorders>
              <w:left w:val="dotDash" w:sz="4" w:space="0" w:color="auto"/>
            </w:tcBorders>
          </w:tcPr>
          <w:p w14:paraId="3448B7D5"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015287FF"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2C12D6C" w14:textId="4BC2AD12"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C</w:t>
            </w:r>
            <w:r w:rsidR="000C04FD" w:rsidRPr="00024130">
              <w:rPr>
                <w:rFonts w:ascii="Arial" w:eastAsia="Times New Roman" w:hAnsi="Arial" w:cs="Arial"/>
                <w:sz w:val="20"/>
                <w:szCs w:val="20"/>
                <w:lang w:eastAsia="en-AU"/>
              </w:rPr>
              <w:t>entral borrowing authorities</w:t>
            </w:r>
          </w:p>
        </w:tc>
        <w:tc>
          <w:tcPr>
            <w:tcW w:w="3544" w:type="dxa"/>
            <w:tcBorders>
              <w:left w:val="dotDash" w:sz="4" w:space="0" w:color="auto"/>
            </w:tcBorders>
          </w:tcPr>
          <w:p w14:paraId="27F872A2"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7E4BFD38"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637FEA1" w14:textId="06767A49"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I</w:t>
            </w:r>
            <w:r w:rsidR="000C04FD" w:rsidRPr="00024130">
              <w:rPr>
                <w:rFonts w:ascii="Arial" w:eastAsia="Times New Roman" w:hAnsi="Arial" w:cs="Arial"/>
                <w:sz w:val="20"/>
                <w:szCs w:val="20"/>
                <w:lang w:eastAsia="en-AU"/>
              </w:rPr>
              <w:t>nsurance corporations</w:t>
            </w:r>
          </w:p>
        </w:tc>
        <w:tc>
          <w:tcPr>
            <w:tcW w:w="3544" w:type="dxa"/>
            <w:tcBorders>
              <w:left w:val="dotDash" w:sz="4" w:space="0" w:color="auto"/>
            </w:tcBorders>
          </w:tcPr>
          <w:p w14:paraId="3D303AC9"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21384CFF"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43E4322" w14:textId="0A3E07D5"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S</w:t>
            </w:r>
            <w:r w:rsidR="000C04FD" w:rsidRPr="00024130">
              <w:rPr>
                <w:rFonts w:ascii="Arial" w:eastAsia="Times New Roman" w:hAnsi="Arial" w:cs="Arial"/>
                <w:sz w:val="20"/>
                <w:szCs w:val="20"/>
                <w:lang w:eastAsia="en-AU"/>
              </w:rPr>
              <w:t>uperannuation funds</w:t>
            </w:r>
          </w:p>
        </w:tc>
        <w:tc>
          <w:tcPr>
            <w:tcW w:w="3544" w:type="dxa"/>
            <w:tcBorders>
              <w:left w:val="dotDash" w:sz="4" w:space="0" w:color="auto"/>
            </w:tcBorders>
          </w:tcPr>
          <w:p w14:paraId="23A23782"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3D9E3B9F"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7EE9327" w14:textId="08BF2A88" w:rsidR="000C04FD" w:rsidRDefault="000C04FD"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Other f</w:t>
            </w:r>
            <w:r w:rsidRPr="00024130">
              <w:rPr>
                <w:rFonts w:ascii="Arial" w:eastAsia="Times New Roman" w:hAnsi="Arial" w:cs="Arial"/>
                <w:sz w:val="20"/>
                <w:szCs w:val="20"/>
                <w:lang w:eastAsia="en-AU"/>
              </w:rPr>
              <w:t>inancial auxiliaries</w:t>
            </w:r>
            <w:r>
              <w:rPr>
                <w:rFonts w:ascii="Arial" w:eastAsia="Times New Roman" w:hAnsi="Arial" w:cs="Arial"/>
                <w:sz w:val="20"/>
                <w:szCs w:val="20"/>
                <w:lang w:eastAsia="en-AU"/>
              </w:rPr>
              <w:t xml:space="preserve"> excluding clearing houses and central counterparties</w:t>
            </w:r>
          </w:p>
        </w:tc>
        <w:tc>
          <w:tcPr>
            <w:tcW w:w="3544" w:type="dxa"/>
            <w:tcBorders>
              <w:left w:val="dotDash" w:sz="4" w:space="0" w:color="auto"/>
            </w:tcBorders>
          </w:tcPr>
          <w:p w14:paraId="669001B4" w14:textId="77777777" w:rsidR="000C04FD" w:rsidRDefault="000C04FD" w:rsidP="00FA329B">
            <w:pPr>
              <w:jc w:val="center"/>
              <w:rPr>
                <w:rFonts w:ascii="Arial" w:eastAsia="Times New Roman" w:hAnsi="Arial" w:cs="Arial"/>
                <w:sz w:val="20"/>
                <w:szCs w:val="20"/>
                <w:lang w:eastAsia="en-AU"/>
              </w:rPr>
            </w:pPr>
          </w:p>
        </w:tc>
      </w:tr>
      <w:tr w:rsidR="000C04FD" w:rsidRPr="00024130" w14:paraId="19E2E3A7"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A620572" w14:textId="28CF6711" w:rsidR="000C04FD" w:rsidRPr="00024130" w:rsidRDefault="00240461" w:rsidP="00240461">
            <w:pPr>
              <w:jc w:val="center"/>
              <w:rPr>
                <w:rFonts w:ascii="Arial" w:eastAsia="Times New Roman" w:hAnsi="Arial" w:cs="Arial"/>
                <w:sz w:val="20"/>
                <w:szCs w:val="20"/>
                <w:lang w:eastAsia="en-AU"/>
              </w:rPr>
            </w:pPr>
            <w:proofErr w:type="spellStart"/>
            <w:r>
              <w:rPr>
                <w:rFonts w:ascii="Arial" w:eastAsia="Times New Roman" w:hAnsi="Arial" w:cs="Arial"/>
                <w:sz w:val="20"/>
                <w:szCs w:val="20"/>
                <w:lang w:eastAsia="en-AU"/>
              </w:rPr>
              <w:t>S</w:t>
            </w:r>
            <w:r w:rsidR="000C04FD" w:rsidRPr="00024130">
              <w:rPr>
                <w:rFonts w:ascii="Arial" w:eastAsia="Times New Roman" w:hAnsi="Arial" w:cs="Arial"/>
                <w:sz w:val="20"/>
                <w:szCs w:val="20"/>
                <w:lang w:eastAsia="en-AU"/>
              </w:rPr>
              <w:t>ecuritisers</w:t>
            </w:r>
            <w:proofErr w:type="spellEnd"/>
          </w:p>
        </w:tc>
        <w:tc>
          <w:tcPr>
            <w:tcW w:w="3544" w:type="dxa"/>
            <w:tcBorders>
              <w:left w:val="dotDash" w:sz="4" w:space="0" w:color="auto"/>
            </w:tcBorders>
          </w:tcPr>
          <w:p w14:paraId="1D77D995"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61BB15B0"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30442BD3" w14:textId="37B1D1D7"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M</w:t>
            </w:r>
            <w:r w:rsidR="000C04FD" w:rsidRPr="00024130">
              <w:rPr>
                <w:rFonts w:ascii="Arial" w:eastAsia="Times New Roman" w:hAnsi="Arial" w:cs="Arial"/>
                <w:sz w:val="20"/>
                <w:szCs w:val="20"/>
                <w:lang w:eastAsia="en-AU"/>
              </w:rPr>
              <w:t>oney</w:t>
            </w:r>
            <w:r w:rsidR="000C04FD" w:rsidRPr="00024130">
              <w:rPr>
                <w:rFonts w:ascii="Arial" w:eastAsia="Times New Roman" w:hAnsi="Arial" w:cs="Arial"/>
                <w:sz w:val="20"/>
                <w:szCs w:val="20"/>
                <w:lang w:eastAsia="en-AU"/>
              </w:rPr>
              <w:noBreakHyphen/>
              <w:t>market investment funds</w:t>
            </w:r>
          </w:p>
        </w:tc>
        <w:tc>
          <w:tcPr>
            <w:tcW w:w="3544" w:type="dxa"/>
            <w:tcBorders>
              <w:left w:val="dotDash" w:sz="4" w:space="0" w:color="auto"/>
            </w:tcBorders>
          </w:tcPr>
          <w:p w14:paraId="4252134C"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585E11E6"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13BDAED" w14:textId="3BCBF6B4"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N</w:t>
            </w:r>
            <w:r w:rsidR="000C04FD" w:rsidRPr="00024130">
              <w:rPr>
                <w:rFonts w:ascii="Arial" w:eastAsia="Times New Roman" w:hAnsi="Arial" w:cs="Arial"/>
                <w:sz w:val="20"/>
                <w:szCs w:val="20"/>
                <w:lang w:eastAsia="en-AU"/>
              </w:rPr>
              <w:t>on</w:t>
            </w:r>
            <w:r w:rsidR="000C04FD" w:rsidRPr="00024130">
              <w:rPr>
                <w:rFonts w:ascii="Arial" w:eastAsia="Times New Roman" w:hAnsi="Arial" w:cs="Arial"/>
                <w:sz w:val="20"/>
                <w:szCs w:val="20"/>
                <w:lang w:eastAsia="en-AU"/>
              </w:rPr>
              <w:noBreakHyphen/>
              <w:t>money</w:t>
            </w:r>
            <w:r w:rsidR="000C04FD" w:rsidRPr="00024130">
              <w:rPr>
                <w:rFonts w:ascii="Arial" w:eastAsia="Times New Roman" w:hAnsi="Arial" w:cs="Arial"/>
                <w:sz w:val="20"/>
                <w:szCs w:val="20"/>
                <w:lang w:eastAsia="en-AU"/>
              </w:rPr>
              <w:noBreakHyphen/>
              <w:t>market financial investment funds</w:t>
            </w:r>
          </w:p>
        </w:tc>
        <w:tc>
          <w:tcPr>
            <w:tcW w:w="3544" w:type="dxa"/>
            <w:tcBorders>
              <w:left w:val="dotDash" w:sz="4" w:space="0" w:color="auto"/>
            </w:tcBorders>
          </w:tcPr>
          <w:p w14:paraId="504A95B5"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217E290D"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BE199E5" w14:textId="1AC429D0"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F</w:t>
            </w:r>
            <w:r w:rsidR="000C04FD" w:rsidRPr="00024130">
              <w:rPr>
                <w:rFonts w:ascii="Arial" w:eastAsia="Times New Roman" w:hAnsi="Arial" w:cs="Arial"/>
                <w:sz w:val="20"/>
                <w:szCs w:val="20"/>
                <w:lang w:eastAsia="en-AU"/>
              </w:rPr>
              <w:t xml:space="preserve">inancial institutions </w:t>
            </w:r>
            <w:proofErr w:type="spellStart"/>
            <w:r w:rsidR="000C04FD" w:rsidRPr="00024130">
              <w:rPr>
                <w:rFonts w:ascii="Arial" w:eastAsia="Times New Roman" w:hAnsi="Arial" w:cs="Arial"/>
                <w:sz w:val="20"/>
                <w:szCs w:val="20"/>
                <w:lang w:eastAsia="en-AU"/>
              </w:rPr>
              <w:t>n.e.c.</w:t>
            </w:r>
            <w:proofErr w:type="spellEnd"/>
          </w:p>
        </w:tc>
        <w:tc>
          <w:tcPr>
            <w:tcW w:w="3544" w:type="dxa"/>
            <w:tcBorders>
              <w:left w:val="dotDash" w:sz="4" w:space="0" w:color="auto"/>
            </w:tcBorders>
          </w:tcPr>
          <w:p w14:paraId="08D9AAE8"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6E300F52"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FF995FC" w14:textId="7284E2E8"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S</w:t>
            </w:r>
            <w:r w:rsidR="000C04FD" w:rsidRPr="00024130">
              <w:rPr>
                <w:rFonts w:ascii="Arial" w:eastAsia="Times New Roman" w:hAnsi="Arial" w:cs="Arial"/>
                <w:sz w:val="20"/>
                <w:szCs w:val="20"/>
                <w:lang w:eastAsia="en-AU"/>
              </w:rPr>
              <w:t>tate, territory and local general government</w:t>
            </w:r>
            <w:r w:rsidR="000C04FD" w:rsidRPr="00024130" w:rsidDel="003529ED">
              <w:rPr>
                <w:rFonts w:ascii="Arial" w:eastAsia="Times New Roman" w:hAnsi="Arial" w:cs="Arial"/>
                <w:sz w:val="20"/>
                <w:szCs w:val="20"/>
                <w:lang w:eastAsia="en-AU"/>
              </w:rPr>
              <w:t xml:space="preserve"> </w:t>
            </w:r>
          </w:p>
        </w:tc>
        <w:tc>
          <w:tcPr>
            <w:tcW w:w="3544" w:type="dxa"/>
            <w:tcBorders>
              <w:left w:val="dotDash" w:sz="4" w:space="0" w:color="auto"/>
            </w:tcBorders>
          </w:tcPr>
          <w:p w14:paraId="24FBE294"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696949E4"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4C8A889" w14:textId="77777777" w:rsidR="000C04FD" w:rsidRPr="00024130" w:rsidRDefault="000C04FD" w:rsidP="00FA329B">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Commonwealth general government</w:t>
            </w:r>
          </w:p>
        </w:tc>
        <w:tc>
          <w:tcPr>
            <w:tcW w:w="3544" w:type="dxa"/>
            <w:tcBorders>
              <w:left w:val="dotDash" w:sz="4" w:space="0" w:color="auto"/>
            </w:tcBorders>
          </w:tcPr>
          <w:p w14:paraId="60F67166" w14:textId="77777777" w:rsidR="000C04FD" w:rsidRDefault="000C04FD" w:rsidP="00FA329B">
            <w:pPr>
              <w:jc w:val="center"/>
              <w:rPr>
                <w:rFonts w:ascii="Arial" w:eastAsia="Times New Roman" w:hAnsi="Arial" w:cs="Arial"/>
                <w:sz w:val="20"/>
                <w:szCs w:val="20"/>
                <w:lang w:eastAsia="en-AU"/>
              </w:rPr>
            </w:pPr>
          </w:p>
        </w:tc>
      </w:tr>
      <w:tr w:rsidR="000C04FD" w:rsidRPr="00024130" w14:paraId="40D5C96F"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744A8FE" w14:textId="6F01D005" w:rsidR="000C04FD" w:rsidRPr="00024130" w:rsidRDefault="00240461" w:rsidP="00240461">
            <w:pPr>
              <w:jc w:val="center"/>
              <w:rPr>
                <w:rFonts w:ascii="Arial" w:eastAsia="Times New Roman" w:hAnsi="Arial" w:cs="Arial"/>
                <w:sz w:val="20"/>
                <w:szCs w:val="20"/>
                <w:lang w:eastAsia="en-AU"/>
              </w:rPr>
            </w:pPr>
            <w:r>
              <w:rPr>
                <w:rFonts w:ascii="Arial" w:eastAsia="Times New Roman" w:hAnsi="Arial" w:cs="Arial"/>
                <w:sz w:val="20"/>
                <w:szCs w:val="20"/>
                <w:lang w:eastAsia="en-AU"/>
              </w:rPr>
              <w:t>C</w:t>
            </w:r>
            <w:r w:rsidR="000C04FD">
              <w:rPr>
                <w:rFonts w:ascii="Arial" w:eastAsia="Times New Roman" w:hAnsi="Arial" w:cs="Arial"/>
                <w:sz w:val="20"/>
                <w:szCs w:val="20"/>
                <w:lang w:eastAsia="en-AU"/>
              </w:rPr>
              <w:t>learing houses and central counterparties</w:t>
            </w:r>
          </w:p>
        </w:tc>
        <w:tc>
          <w:tcPr>
            <w:tcW w:w="3544" w:type="dxa"/>
            <w:tcBorders>
              <w:left w:val="dotDash" w:sz="4" w:space="0" w:color="auto"/>
            </w:tcBorders>
          </w:tcPr>
          <w:p w14:paraId="7013C0BB"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0F62A519"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49D78C5" w14:textId="77777777" w:rsidR="000C04FD" w:rsidRPr="00024130" w:rsidRDefault="000C04FD" w:rsidP="00FA329B">
            <w:pPr>
              <w:jc w:val="center"/>
              <w:rPr>
                <w:rFonts w:ascii="Arial" w:eastAsia="Times New Roman" w:hAnsi="Arial" w:cs="Arial"/>
                <w:sz w:val="20"/>
                <w:szCs w:val="20"/>
                <w:lang w:eastAsia="en-AU"/>
              </w:rPr>
            </w:pPr>
            <w:r w:rsidRPr="00024130">
              <w:rPr>
                <w:rFonts w:ascii="Arial" w:eastAsia="Times New Roman" w:hAnsi="Arial" w:cs="Arial"/>
                <w:sz w:val="20"/>
                <w:szCs w:val="20"/>
                <w:lang w:eastAsia="en-AU"/>
              </w:rPr>
              <w:t>Other resident entities</w:t>
            </w:r>
          </w:p>
        </w:tc>
        <w:tc>
          <w:tcPr>
            <w:tcW w:w="3544" w:type="dxa"/>
            <w:tcBorders>
              <w:left w:val="dotDash" w:sz="4" w:space="0" w:color="auto"/>
            </w:tcBorders>
          </w:tcPr>
          <w:p w14:paraId="082F086B" w14:textId="77777777" w:rsidR="000C04FD" w:rsidRPr="00024130" w:rsidRDefault="000C04FD" w:rsidP="00FA329B">
            <w:pPr>
              <w:jc w:val="center"/>
              <w:rPr>
                <w:rFonts w:ascii="Arial" w:eastAsia="Times New Roman" w:hAnsi="Arial" w:cs="Arial"/>
                <w:sz w:val="20"/>
                <w:szCs w:val="20"/>
                <w:lang w:eastAsia="en-AU"/>
              </w:rPr>
            </w:pPr>
          </w:p>
        </w:tc>
      </w:tr>
      <w:tr w:rsidR="000C04FD" w:rsidRPr="00024130" w14:paraId="75D61B5D"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top w:val="dotDash" w:sz="4" w:space="0" w:color="auto"/>
            </w:tcBorders>
            <w:shd w:val="clear" w:color="auto" w:fill="auto"/>
            <w:noWrap/>
            <w:vAlign w:val="bottom"/>
          </w:tcPr>
          <w:p w14:paraId="56647AB6" w14:textId="77777777" w:rsidR="000C04FD" w:rsidRPr="00024130" w:rsidRDefault="000C04FD" w:rsidP="00FA329B">
            <w:pPr>
              <w:jc w:val="center"/>
              <w:rPr>
                <w:rFonts w:ascii="Arial" w:eastAsia="Times New Roman" w:hAnsi="Arial" w:cs="Arial"/>
                <w:sz w:val="20"/>
                <w:szCs w:val="20"/>
                <w:lang w:eastAsia="en-AU"/>
              </w:rPr>
            </w:pPr>
          </w:p>
        </w:tc>
        <w:tc>
          <w:tcPr>
            <w:tcW w:w="3544" w:type="dxa"/>
            <w:tcBorders>
              <w:bottom w:val="single" w:sz="4" w:space="0" w:color="auto"/>
            </w:tcBorders>
          </w:tcPr>
          <w:p w14:paraId="67C46EA8" w14:textId="77777777" w:rsidR="000C04FD" w:rsidRDefault="000C04FD" w:rsidP="00FA329B">
            <w:pPr>
              <w:jc w:val="center"/>
              <w:rPr>
                <w:rFonts w:ascii="Arial" w:eastAsia="Times New Roman" w:hAnsi="Arial" w:cs="Arial"/>
                <w:sz w:val="20"/>
                <w:szCs w:val="20"/>
                <w:lang w:eastAsia="en-AU"/>
              </w:rPr>
            </w:pPr>
          </w:p>
        </w:tc>
      </w:tr>
      <w:tr w:rsidR="000C04FD" w:rsidRPr="00024130" w14:paraId="6F0CC65A"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right w:val="single" w:sz="4" w:space="0" w:color="auto"/>
            </w:tcBorders>
            <w:shd w:val="clear" w:color="auto" w:fill="auto"/>
            <w:noWrap/>
            <w:vAlign w:val="bottom"/>
          </w:tcPr>
          <w:p w14:paraId="31E4B40D" w14:textId="77777777" w:rsidR="000C04FD" w:rsidRPr="000104B3" w:rsidRDefault="000C04FD" w:rsidP="00FA329B">
            <w:pPr>
              <w:rPr>
                <w:rFonts w:ascii="Arial" w:eastAsia="Times New Roman" w:hAnsi="Arial" w:cs="Arial"/>
                <w:sz w:val="20"/>
                <w:szCs w:val="20"/>
                <w:highlight w:val="yellow"/>
                <w:lang w:eastAsia="en-AU"/>
              </w:rPr>
            </w:pPr>
            <w:r w:rsidRPr="00B34819">
              <w:rPr>
                <w:rFonts w:ascii="Arial" w:eastAsia="Times New Roman" w:hAnsi="Arial" w:cs="Arial"/>
                <w:sz w:val="20"/>
                <w:szCs w:val="20"/>
                <w:lang w:eastAsia="en-AU"/>
              </w:rPr>
              <w:lastRenderedPageBreak/>
              <w:t>10.1. N</w:t>
            </w:r>
            <w:r w:rsidRPr="000C04FD">
              <w:rPr>
                <w:rFonts w:ascii="Arial" w:eastAsia="Times New Roman" w:hAnsi="Arial" w:cs="Arial"/>
                <w:sz w:val="20"/>
                <w:szCs w:val="20"/>
                <w:lang w:eastAsia="en-AU"/>
              </w:rPr>
              <w:t>on-residents</w:t>
            </w:r>
          </w:p>
        </w:tc>
        <w:tc>
          <w:tcPr>
            <w:tcW w:w="3544" w:type="dxa"/>
            <w:tcBorders>
              <w:top w:val="single" w:sz="4" w:space="0" w:color="auto"/>
              <w:left w:val="single" w:sz="4" w:space="0" w:color="auto"/>
              <w:bottom w:val="single" w:sz="4" w:space="0" w:color="auto"/>
              <w:right w:val="single" w:sz="4" w:space="0" w:color="auto"/>
            </w:tcBorders>
          </w:tcPr>
          <w:p w14:paraId="2DDC148A" w14:textId="77777777" w:rsidR="000C04FD" w:rsidRPr="000104B3" w:rsidRDefault="000C04FD" w:rsidP="00FA329B">
            <w:pPr>
              <w:rPr>
                <w:rFonts w:ascii="Arial" w:eastAsia="Times New Roman" w:hAnsi="Arial" w:cs="Arial"/>
                <w:sz w:val="20"/>
                <w:szCs w:val="20"/>
                <w:highlight w:val="yellow"/>
                <w:lang w:eastAsia="en-AU"/>
              </w:rPr>
            </w:pPr>
          </w:p>
        </w:tc>
      </w:tr>
      <w:tr w:rsidR="000C04FD" w:rsidRPr="00024130" w14:paraId="53AA2020"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right w:val="single" w:sz="4" w:space="0" w:color="auto"/>
            </w:tcBorders>
            <w:shd w:val="clear" w:color="auto" w:fill="auto"/>
            <w:noWrap/>
            <w:vAlign w:val="bottom"/>
          </w:tcPr>
          <w:p w14:paraId="58224AD4" w14:textId="77777777" w:rsidR="000C04FD" w:rsidRDefault="000C04FD" w:rsidP="00FA329B">
            <w:pPr>
              <w:ind w:left="720"/>
              <w:rPr>
                <w:rFonts w:ascii="Arial" w:eastAsia="Times New Roman" w:hAnsi="Arial" w:cs="Arial"/>
                <w:sz w:val="20"/>
                <w:szCs w:val="20"/>
                <w:lang w:eastAsia="en-AU"/>
              </w:rPr>
            </w:pPr>
            <w:r>
              <w:rPr>
                <w:rFonts w:ascii="Arial" w:eastAsia="Times New Roman" w:hAnsi="Arial" w:cs="Arial"/>
                <w:sz w:val="20"/>
                <w:szCs w:val="20"/>
                <w:lang w:eastAsia="en-AU"/>
              </w:rPr>
              <w:t xml:space="preserve">10.1.1. </w:t>
            </w:r>
            <w:r>
              <w:rPr>
                <w:rFonts w:ascii="Arial" w:eastAsia="Times New Roman" w:hAnsi="Arial" w:cs="Arial"/>
                <w:i/>
                <w:sz w:val="20"/>
                <w:szCs w:val="20"/>
                <w:lang w:eastAsia="en-AU"/>
              </w:rPr>
              <w:t>of which:</w:t>
            </w:r>
            <w:r>
              <w:rPr>
                <w:rFonts w:ascii="Arial" w:eastAsia="Times New Roman" w:hAnsi="Arial" w:cs="Arial"/>
                <w:sz w:val="20"/>
                <w:szCs w:val="20"/>
                <w:lang w:eastAsia="en-AU"/>
              </w:rPr>
              <w:t xml:space="preserve"> Non-resident clearing houses and central counterparties</w:t>
            </w:r>
          </w:p>
        </w:tc>
        <w:tc>
          <w:tcPr>
            <w:tcW w:w="3544" w:type="dxa"/>
            <w:tcBorders>
              <w:top w:val="single" w:sz="4" w:space="0" w:color="auto"/>
              <w:left w:val="single" w:sz="4" w:space="0" w:color="auto"/>
              <w:bottom w:val="single" w:sz="4" w:space="0" w:color="auto"/>
              <w:right w:val="single" w:sz="4" w:space="0" w:color="auto"/>
            </w:tcBorders>
          </w:tcPr>
          <w:p w14:paraId="369D82A7" w14:textId="77777777" w:rsidR="000C04FD" w:rsidRDefault="000C04FD" w:rsidP="00FA329B">
            <w:pPr>
              <w:rPr>
                <w:rFonts w:ascii="Arial" w:eastAsia="Times New Roman" w:hAnsi="Arial" w:cs="Arial"/>
                <w:sz w:val="20"/>
                <w:szCs w:val="20"/>
                <w:lang w:eastAsia="en-AU"/>
              </w:rPr>
            </w:pPr>
          </w:p>
        </w:tc>
      </w:tr>
      <w:tr w:rsidR="000C04FD" w:rsidRPr="00024130" w14:paraId="45B6CF59"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right w:val="single" w:sz="4" w:space="0" w:color="auto"/>
            </w:tcBorders>
            <w:shd w:val="clear" w:color="auto" w:fill="auto"/>
            <w:noWrap/>
            <w:vAlign w:val="bottom"/>
          </w:tcPr>
          <w:p w14:paraId="409F5533" w14:textId="77777777" w:rsidR="000C04FD" w:rsidRDefault="000C04FD" w:rsidP="00FA329B">
            <w:pPr>
              <w:rPr>
                <w:rFonts w:ascii="Arial" w:eastAsia="Times New Roman" w:hAnsi="Arial" w:cs="Arial"/>
                <w:sz w:val="20"/>
                <w:szCs w:val="20"/>
                <w:lang w:eastAsia="en-AU"/>
              </w:rPr>
            </w:pPr>
            <w:r>
              <w:rPr>
                <w:rFonts w:ascii="Arial" w:eastAsia="Times New Roman" w:hAnsi="Arial" w:cs="Arial"/>
                <w:sz w:val="20"/>
                <w:szCs w:val="20"/>
                <w:lang w:eastAsia="en-AU"/>
              </w:rPr>
              <w:t>10.2 Portfolio adjustments</w:t>
            </w:r>
          </w:p>
        </w:tc>
        <w:tc>
          <w:tcPr>
            <w:tcW w:w="3544" w:type="dxa"/>
            <w:tcBorders>
              <w:top w:val="single" w:sz="4" w:space="0" w:color="auto"/>
              <w:left w:val="single" w:sz="4" w:space="0" w:color="auto"/>
              <w:bottom w:val="single" w:sz="4" w:space="0" w:color="auto"/>
              <w:right w:val="single" w:sz="4" w:space="0" w:color="auto"/>
            </w:tcBorders>
          </w:tcPr>
          <w:p w14:paraId="3B945CBF" w14:textId="77777777" w:rsidR="000C04FD" w:rsidRDefault="000C04FD" w:rsidP="00FA329B">
            <w:pPr>
              <w:rPr>
                <w:rFonts w:ascii="Arial" w:eastAsia="Times New Roman" w:hAnsi="Arial" w:cs="Arial"/>
                <w:sz w:val="20"/>
                <w:szCs w:val="20"/>
                <w:lang w:eastAsia="en-AU"/>
              </w:rPr>
            </w:pPr>
          </w:p>
        </w:tc>
      </w:tr>
      <w:tr w:rsidR="000C04FD" w:rsidRPr="00024130" w14:paraId="79978A86" w14:textId="77777777" w:rsidTr="00FA32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7119" w:type="dxa"/>
            <w:tcBorders>
              <w:right w:val="single" w:sz="4" w:space="0" w:color="auto"/>
            </w:tcBorders>
            <w:shd w:val="clear" w:color="auto" w:fill="auto"/>
            <w:noWrap/>
            <w:vAlign w:val="bottom"/>
          </w:tcPr>
          <w:p w14:paraId="113D5982" w14:textId="77777777" w:rsidR="000C04FD" w:rsidRDefault="000C04FD" w:rsidP="00FA329B">
            <w:pPr>
              <w:rPr>
                <w:rFonts w:ascii="Arial" w:eastAsia="Times New Roman" w:hAnsi="Arial" w:cs="Arial"/>
                <w:sz w:val="20"/>
                <w:szCs w:val="20"/>
                <w:lang w:eastAsia="en-AU"/>
              </w:rPr>
            </w:pPr>
            <w:r>
              <w:rPr>
                <w:rFonts w:ascii="Arial" w:eastAsia="Times New Roman" w:hAnsi="Arial" w:cs="Arial"/>
                <w:sz w:val="20"/>
                <w:szCs w:val="20"/>
                <w:lang w:eastAsia="en-AU"/>
              </w:rPr>
              <w:t>10.3 Total adjustments</w:t>
            </w:r>
          </w:p>
        </w:tc>
        <w:tc>
          <w:tcPr>
            <w:tcW w:w="3544" w:type="dxa"/>
            <w:tcBorders>
              <w:top w:val="single" w:sz="4" w:space="0" w:color="auto"/>
              <w:left w:val="single" w:sz="4" w:space="0" w:color="auto"/>
              <w:bottom w:val="single" w:sz="4" w:space="0" w:color="auto"/>
              <w:right w:val="single" w:sz="4" w:space="0" w:color="auto"/>
            </w:tcBorders>
            <w:shd w:val="clear" w:color="auto" w:fill="BFBFBF"/>
          </w:tcPr>
          <w:p w14:paraId="799F9156" w14:textId="77777777" w:rsidR="000C04FD" w:rsidRDefault="000C04FD" w:rsidP="00FA329B">
            <w:pPr>
              <w:rPr>
                <w:rFonts w:ascii="Arial" w:eastAsia="Times New Roman" w:hAnsi="Arial" w:cs="Arial"/>
                <w:sz w:val="20"/>
                <w:szCs w:val="20"/>
                <w:lang w:eastAsia="en-AU"/>
              </w:rPr>
            </w:pPr>
          </w:p>
        </w:tc>
      </w:tr>
    </w:tbl>
    <w:p w14:paraId="09F48706" w14:textId="42F621AE" w:rsidR="00233FEA" w:rsidRDefault="00233FEA" w:rsidP="000C04FD">
      <w:pPr>
        <w:rPr>
          <w:rFonts w:ascii="Arial" w:hAnsi="Arial" w:cs="Arial"/>
          <w:b/>
          <w:sz w:val="40"/>
          <w:szCs w:val="40"/>
        </w:rPr>
        <w:sectPr w:rsidR="00233FEA" w:rsidSect="00A06640">
          <w:headerReference w:type="default" r:id="rId20"/>
          <w:footerReference w:type="default" r:id="rId21"/>
          <w:footnotePr>
            <w:numRestart w:val="eachSect"/>
          </w:footnotePr>
          <w:pgSz w:w="16838" w:h="11906" w:orient="landscape" w:code="9"/>
          <w:pgMar w:top="1440" w:right="1440" w:bottom="1440" w:left="1440" w:header="709" w:footer="709" w:gutter="0"/>
          <w:pgNumType w:start="1"/>
          <w:cols w:space="708"/>
          <w:docGrid w:linePitch="360"/>
        </w:sectPr>
      </w:pPr>
    </w:p>
    <w:p w14:paraId="04ECB358" w14:textId="77777777" w:rsidR="00233FEA" w:rsidRPr="00C215C4" w:rsidRDefault="00233FEA" w:rsidP="00233FEA">
      <w:pPr>
        <w:spacing w:after="240"/>
        <w:jc w:val="both"/>
        <w:outlineLvl w:val="0"/>
        <w:rPr>
          <w:rFonts w:ascii="Arial" w:hAnsi="Arial" w:cs="Arial"/>
          <w:b/>
          <w:sz w:val="40"/>
          <w:szCs w:val="40"/>
        </w:rPr>
      </w:pPr>
      <w:r w:rsidRPr="00AB4984">
        <w:rPr>
          <w:rFonts w:ascii="Arial" w:hAnsi="Arial" w:cs="Arial"/>
          <w:b/>
          <w:sz w:val="40"/>
          <w:szCs w:val="40"/>
        </w:rPr>
        <w:lastRenderedPageBreak/>
        <w:t xml:space="preserve">Reporting Form ARF </w:t>
      </w:r>
      <w:r>
        <w:rPr>
          <w:rFonts w:ascii="Arial" w:hAnsi="Arial" w:cs="Arial"/>
          <w:b/>
          <w:sz w:val="40"/>
          <w:szCs w:val="40"/>
        </w:rPr>
        <w:t>722.0</w:t>
      </w:r>
    </w:p>
    <w:p w14:paraId="07A8F95C" w14:textId="77777777" w:rsidR="00233FEA" w:rsidRPr="00AB4984" w:rsidRDefault="00233FEA" w:rsidP="00233FEA">
      <w:pPr>
        <w:spacing w:before="360" w:after="240"/>
        <w:jc w:val="both"/>
        <w:outlineLvl w:val="0"/>
        <w:rPr>
          <w:rFonts w:ascii="Arial" w:hAnsi="Arial" w:cs="Arial"/>
          <w:b/>
          <w:sz w:val="40"/>
          <w:szCs w:val="40"/>
        </w:rPr>
      </w:pPr>
      <w:r w:rsidRPr="00AB4984">
        <w:rPr>
          <w:rFonts w:ascii="Arial" w:hAnsi="Arial" w:cs="Arial"/>
          <w:b/>
          <w:sz w:val="40"/>
          <w:szCs w:val="40"/>
        </w:rPr>
        <w:t xml:space="preserve">ABS/RBA </w:t>
      </w:r>
      <w:r w:rsidRPr="005D5C83">
        <w:rPr>
          <w:rFonts w:ascii="Arial" w:hAnsi="Arial" w:cs="Arial"/>
          <w:b/>
          <w:sz w:val="40"/>
          <w:szCs w:val="40"/>
        </w:rPr>
        <w:t>Derivatives</w:t>
      </w:r>
    </w:p>
    <w:p w14:paraId="7872EF59" w14:textId="77777777" w:rsidR="00233FEA" w:rsidRPr="00847D28" w:rsidRDefault="00233FEA" w:rsidP="00233FEA">
      <w:pPr>
        <w:spacing w:before="360" w:after="240"/>
        <w:jc w:val="both"/>
        <w:outlineLvl w:val="0"/>
        <w:rPr>
          <w:rFonts w:ascii="Arial" w:hAnsi="Arial" w:cs="Arial"/>
          <w:b/>
          <w:sz w:val="32"/>
          <w:szCs w:val="40"/>
        </w:rPr>
      </w:pPr>
      <w:r w:rsidRPr="00847D28">
        <w:rPr>
          <w:rFonts w:ascii="Arial" w:hAnsi="Arial" w:cs="Arial"/>
          <w:b/>
          <w:sz w:val="32"/>
          <w:szCs w:val="40"/>
        </w:rPr>
        <w:t>Instructions</w:t>
      </w:r>
    </w:p>
    <w:p w14:paraId="6C551A9F" w14:textId="2701B327" w:rsidR="00233FEA" w:rsidRPr="00FA329B" w:rsidRDefault="00233FEA" w:rsidP="00233FEA">
      <w:pPr>
        <w:spacing w:after="240"/>
        <w:jc w:val="both"/>
        <w:rPr>
          <w:rFonts w:ascii="Times New Roman" w:hAnsi="Times New Roman"/>
          <w:sz w:val="24"/>
          <w:szCs w:val="23"/>
        </w:rPr>
      </w:pPr>
      <w:r w:rsidRPr="00FA329B">
        <w:rPr>
          <w:rFonts w:ascii="Times New Roman" w:hAnsi="Times New Roman"/>
          <w:sz w:val="24"/>
          <w:szCs w:val="23"/>
        </w:rPr>
        <w:t xml:space="preserve">These instructions assist completion of </w:t>
      </w:r>
      <w:r w:rsidRPr="00FA329B">
        <w:rPr>
          <w:rFonts w:ascii="Times New Roman" w:hAnsi="Times New Roman"/>
          <w:i/>
          <w:sz w:val="24"/>
          <w:szCs w:val="23"/>
        </w:rPr>
        <w:t xml:space="preserve">Reporting Form ARF 722.0 ABS/RBA Derivatives </w:t>
      </w:r>
      <w:r w:rsidRPr="00FA329B">
        <w:rPr>
          <w:rFonts w:ascii="Times New Roman" w:hAnsi="Times New Roman"/>
          <w:sz w:val="24"/>
          <w:szCs w:val="23"/>
        </w:rPr>
        <w:t xml:space="preserve">(ARF 722.0). ARF 722.0 collects information relating to the positions and transactions of </w:t>
      </w:r>
      <w:r w:rsidR="00FA329B">
        <w:rPr>
          <w:rFonts w:ascii="Times New Roman" w:hAnsi="Times New Roman"/>
          <w:b/>
          <w:i/>
          <w:sz w:val="24"/>
          <w:szCs w:val="23"/>
        </w:rPr>
        <w:t>a</w:t>
      </w:r>
      <w:r w:rsidRPr="00FA329B">
        <w:rPr>
          <w:rFonts w:ascii="Times New Roman" w:hAnsi="Times New Roman"/>
          <w:b/>
          <w:i/>
          <w:sz w:val="24"/>
          <w:szCs w:val="23"/>
        </w:rPr>
        <w:t xml:space="preserve">uthorised deposit-taking institutions (ADIs)’s </w:t>
      </w:r>
      <w:r w:rsidRPr="00FA329B">
        <w:rPr>
          <w:rFonts w:ascii="Times New Roman" w:hAnsi="Times New Roman"/>
          <w:sz w:val="24"/>
          <w:szCs w:val="23"/>
        </w:rPr>
        <w:t>SNA / BPM6</w:t>
      </w:r>
      <w:r w:rsidRPr="00FA329B">
        <w:rPr>
          <w:rFonts w:ascii="Times New Roman" w:hAnsi="Times New Roman"/>
          <w:b/>
          <w:i/>
          <w:sz w:val="24"/>
          <w:szCs w:val="23"/>
        </w:rPr>
        <w:t xml:space="preserve"> derivatives</w:t>
      </w:r>
      <w:r w:rsidRPr="00FA329B">
        <w:rPr>
          <w:rFonts w:ascii="Times New Roman" w:hAnsi="Times New Roman"/>
          <w:sz w:val="24"/>
          <w:szCs w:val="23"/>
        </w:rPr>
        <w:t>.</w:t>
      </w:r>
    </w:p>
    <w:p w14:paraId="17EB382E" w14:textId="0742B08B" w:rsidR="00233FEA" w:rsidRPr="00FA329B" w:rsidRDefault="00233FEA" w:rsidP="00233FEA">
      <w:pPr>
        <w:spacing w:after="240"/>
        <w:jc w:val="both"/>
        <w:rPr>
          <w:rFonts w:ascii="Times New Roman" w:hAnsi="Times New Roman"/>
          <w:sz w:val="24"/>
          <w:szCs w:val="23"/>
        </w:rPr>
      </w:pPr>
      <w:r w:rsidRPr="00FA329B">
        <w:rPr>
          <w:rFonts w:ascii="Times New Roman" w:hAnsi="Times New Roman"/>
          <w:sz w:val="24"/>
          <w:szCs w:val="23"/>
        </w:rPr>
        <w:t xml:space="preserve">For the purposes of </w:t>
      </w:r>
      <w:r w:rsidR="00144D62">
        <w:rPr>
          <w:rFonts w:ascii="Times New Roman" w:hAnsi="Times New Roman"/>
          <w:sz w:val="24"/>
          <w:szCs w:val="23"/>
        </w:rPr>
        <w:t>reporting under</w:t>
      </w:r>
      <w:r w:rsidR="00144D62" w:rsidRPr="00FA329B">
        <w:rPr>
          <w:rFonts w:ascii="Times New Roman" w:hAnsi="Times New Roman"/>
          <w:sz w:val="24"/>
          <w:szCs w:val="23"/>
        </w:rPr>
        <w:t xml:space="preserve"> </w:t>
      </w:r>
      <w:r w:rsidRPr="00FA329B">
        <w:rPr>
          <w:rFonts w:ascii="Times New Roman" w:hAnsi="Times New Roman"/>
          <w:sz w:val="24"/>
          <w:szCs w:val="23"/>
        </w:rPr>
        <w:t xml:space="preserve">ARF 722.0, </w:t>
      </w:r>
      <w:r w:rsidRPr="00FA329B">
        <w:rPr>
          <w:rFonts w:ascii="Times New Roman" w:hAnsi="Times New Roman"/>
          <w:b/>
          <w:i/>
          <w:sz w:val="24"/>
          <w:szCs w:val="23"/>
        </w:rPr>
        <w:t>derivatives</w:t>
      </w:r>
      <w:r w:rsidRPr="00FA329B">
        <w:rPr>
          <w:rFonts w:ascii="Times New Roman" w:hAnsi="Times New Roman"/>
          <w:sz w:val="24"/>
          <w:szCs w:val="23"/>
        </w:rPr>
        <w:t xml:space="preserve"> exclude employee stock options.</w:t>
      </w:r>
      <w:r w:rsidR="007F7BE3">
        <w:rPr>
          <w:rStyle w:val="FootnoteReference"/>
          <w:rFonts w:ascii="Times New Roman" w:hAnsi="Times New Roman"/>
          <w:sz w:val="24"/>
          <w:szCs w:val="23"/>
        </w:rPr>
        <w:footnoteReference w:id="3"/>
      </w:r>
      <w:r w:rsidRPr="00FA329B">
        <w:rPr>
          <w:rFonts w:ascii="Times New Roman" w:hAnsi="Times New Roman"/>
          <w:sz w:val="24"/>
          <w:szCs w:val="23"/>
        </w:rPr>
        <w:t xml:space="preserve"> </w:t>
      </w:r>
    </w:p>
    <w:p w14:paraId="35D6FE46" w14:textId="77777777"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sz w:val="24"/>
          <w:szCs w:val="23"/>
        </w:rPr>
        <w:t xml:space="preserve">Information reported in ARF 722.0 is required primarily for the purposes of the </w:t>
      </w:r>
      <w:r w:rsidRPr="00FA329B">
        <w:rPr>
          <w:rFonts w:ascii="Times New Roman" w:hAnsi="Times New Roman"/>
          <w:b/>
          <w:i/>
          <w:sz w:val="24"/>
          <w:szCs w:val="23"/>
        </w:rPr>
        <w:t>ABS</w:t>
      </w:r>
      <w:r w:rsidRPr="00FA329B">
        <w:rPr>
          <w:rFonts w:ascii="Times New Roman" w:hAnsi="Times New Roman"/>
          <w:sz w:val="24"/>
          <w:szCs w:val="23"/>
        </w:rPr>
        <w:t xml:space="preserve">. The information is required for various purposes, including the compilation of Australia’s National Accounts. The information may also be used by the </w:t>
      </w:r>
      <w:r w:rsidRPr="00FA329B">
        <w:rPr>
          <w:rFonts w:ascii="Times New Roman" w:hAnsi="Times New Roman"/>
          <w:b/>
          <w:i/>
          <w:sz w:val="24"/>
          <w:szCs w:val="23"/>
        </w:rPr>
        <w:t>RBA</w:t>
      </w:r>
      <w:r w:rsidRPr="00FA329B">
        <w:rPr>
          <w:rFonts w:ascii="Times New Roman" w:hAnsi="Times New Roman"/>
          <w:sz w:val="24"/>
          <w:szCs w:val="23"/>
        </w:rPr>
        <w:t xml:space="preserve"> and </w:t>
      </w:r>
      <w:r w:rsidRPr="00FA329B">
        <w:rPr>
          <w:rFonts w:ascii="Times New Roman" w:hAnsi="Times New Roman"/>
          <w:b/>
          <w:i/>
          <w:sz w:val="24"/>
          <w:szCs w:val="23"/>
        </w:rPr>
        <w:t xml:space="preserve">APRA </w:t>
      </w:r>
      <w:r w:rsidRPr="00FA329B">
        <w:rPr>
          <w:rFonts w:ascii="Times New Roman" w:hAnsi="Times New Roman"/>
          <w:sz w:val="24"/>
          <w:szCs w:val="23"/>
        </w:rPr>
        <w:t xml:space="preserve">for prudential, policy and/or publication purposes. </w:t>
      </w:r>
    </w:p>
    <w:p w14:paraId="13E59ACD" w14:textId="77777777" w:rsidR="00233FEA" w:rsidRPr="003B3E1C" w:rsidRDefault="00233FEA" w:rsidP="00FA329B">
      <w:pPr>
        <w:pStyle w:val="Heading2"/>
      </w:pPr>
      <w:r w:rsidRPr="003B3E1C">
        <w:t xml:space="preserve">Reporting level </w:t>
      </w:r>
    </w:p>
    <w:p w14:paraId="6A705601" w14:textId="31378BCD" w:rsidR="00233FEA" w:rsidRPr="00FA329B" w:rsidRDefault="00233FEA" w:rsidP="00233FEA">
      <w:pPr>
        <w:spacing w:after="240"/>
        <w:jc w:val="both"/>
        <w:rPr>
          <w:rFonts w:ascii="Times New Roman" w:hAnsi="Times New Roman"/>
          <w:sz w:val="24"/>
          <w:szCs w:val="23"/>
        </w:rPr>
      </w:pPr>
      <w:r w:rsidRPr="00FA329B">
        <w:rPr>
          <w:rFonts w:ascii="Times New Roman" w:hAnsi="Times New Roman"/>
          <w:sz w:val="24"/>
          <w:szCs w:val="23"/>
        </w:rPr>
        <w:t>ARF 722.0</w:t>
      </w:r>
      <w:r w:rsidRPr="00FA329B">
        <w:rPr>
          <w:rFonts w:ascii="Times New Roman" w:hAnsi="Times New Roman"/>
          <w:i/>
          <w:sz w:val="24"/>
          <w:szCs w:val="23"/>
        </w:rPr>
        <w:t xml:space="preserve"> </w:t>
      </w:r>
      <w:r w:rsidRPr="00FA329B">
        <w:rPr>
          <w:rFonts w:ascii="Times New Roman" w:hAnsi="Times New Roman"/>
          <w:sz w:val="24"/>
          <w:szCs w:val="23"/>
        </w:rPr>
        <w:t xml:space="preserve">must be completed for each </w:t>
      </w:r>
      <w:r w:rsidRPr="00FA329B">
        <w:rPr>
          <w:rFonts w:ascii="Times New Roman" w:hAnsi="Times New Roman"/>
          <w:b/>
          <w:i/>
          <w:sz w:val="24"/>
          <w:szCs w:val="23"/>
        </w:rPr>
        <w:t xml:space="preserve">ADI </w:t>
      </w:r>
      <w:r w:rsidRPr="00FA329B">
        <w:rPr>
          <w:rFonts w:ascii="Times New Roman" w:hAnsi="Times New Roman"/>
          <w:sz w:val="24"/>
          <w:szCs w:val="23"/>
        </w:rPr>
        <w:t>to which this Reporting Standard applies under paragraph 4</w:t>
      </w:r>
      <w:r w:rsidRPr="00FA329B">
        <w:rPr>
          <w:rFonts w:ascii="Times New Roman" w:hAnsi="Times New Roman"/>
          <w:i/>
          <w:sz w:val="24"/>
          <w:szCs w:val="23"/>
        </w:rPr>
        <w:t>.</w:t>
      </w:r>
      <w:r w:rsidRPr="00FA329B">
        <w:rPr>
          <w:rFonts w:ascii="Times New Roman" w:hAnsi="Times New Roman"/>
          <w:b/>
          <w:i/>
          <w:sz w:val="24"/>
          <w:szCs w:val="23"/>
        </w:rPr>
        <w:t xml:space="preserve">  </w:t>
      </w:r>
    </w:p>
    <w:p w14:paraId="72A052A8" w14:textId="77777777" w:rsidR="00233FEA" w:rsidRPr="003B3E1C" w:rsidRDefault="00233FEA" w:rsidP="00FA329B">
      <w:pPr>
        <w:pStyle w:val="Heading2"/>
      </w:pPr>
      <w:r w:rsidRPr="003B3E1C">
        <w:t>Reporting basis and unit of measurement</w:t>
      </w:r>
    </w:p>
    <w:p w14:paraId="0B8FDF43" w14:textId="77777777" w:rsidR="00233FEA" w:rsidRPr="00FA329B" w:rsidRDefault="00233FEA" w:rsidP="00233FEA">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These instructions specify the reporting basis and unit of measurement that applies to each item.  </w:t>
      </w:r>
    </w:p>
    <w:p w14:paraId="2974B3EE" w14:textId="77777777" w:rsidR="00233FEA" w:rsidRPr="00FA329B" w:rsidRDefault="00233FEA" w:rsidP="00233FEA">
      <w:pPr>
        <w:autoSpaceDE w:val="0"/>
        <w:autoSpaceDN w:val="0"/>
        <w:adjustRightInd w:val="0"/>
        <w:jc w:val="both"/>
        <w:rPr>
          <w:rFonts w:ascii="Times New Roman" w:hAnsi="Times New Roman"/>
          <w:bCs/>
          <w:sz w:val="24"/>
          <w:szCs w:val="23"/>
        </w:rPr>
      </w:pPr>
    </w:p>
    <w:p w14:paraId="7D2779D7" w14:textId="77777777"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sz w:val="24"/>
          <w:szCs w:val="23"/>
        </w:rPr>
        <w:t xml:space="preserve">For reporting purposes, unless specified otherwise, data are to be entered as a positive number. </w:t>
      </w:r>
    </w:p>
    <w:p w14:paraId="6E7A18C6" w14:textId="77777777" w:rsidR="00233FEA" w:rsidRPr="00FA329B" w:rsidRDefault="00233FEA" w:rsidP="00233FEA">
      <w:pPr>
        <w:autoSpaceDE w:val="0"/>
        <w:autoSpaceDN w:val="0"/>
        <w:adjustRightInd w:val="0"/>
        <w:jc w:val="both"/>
        <w:rPr>
          <w:rFonts w:ascii="Times New Roman" w:hAnsi="Times New Roman"/>
          <w:sz w:val="24"/>
          <w:szCs w:val="23"/>
        </w:rPr>
      </w:pPr>
    </w:p>
    <w:p w14:paraId="5D1564E1" w14:textId="19CB5F9B" w:rsidR="00233FEA" w:rsidRPr="003B3E1C" w:rsidRDefault="00233FEA" w:rsidP="00233FEA">
      <w:pPr>
        <w:autoSpaceDE w:val="0"/>
        <w:autoSpaceDN w:val="0"/>
        <w:adjustRightInd w:val="0"/>
        <w:jc w:val="both"/>
        <w:rPr>
          <w:rFonts w:ascii="Times New Roman" w:hAnsi="Times New Roman"/>
          <w:bCs/>
          <w:sz w:val="23"/>
          <w:szCs w:val="23"/>
        </w:rPr>
      </w:pPr>
      <w:r w:rsidRPr="00FA329B">
        <w:rPr>
          <w:rFonts w:ascii="Times New Roman" w:hAnsi="Times New Roman"/>
          <w:bCs/>
          <w:sz w:val="24"/>
          <w:szCs w:val="23"/>
        </w:rPr>
        <w:t xml:space="preserve">This form requests details of </w:t>
      </w:r>
      <w:r w:rsidRPr="00FA329B">
        <w:rPr>
          <w:rFonts w:ascii="Times New Roman" w:hAnsi="Times New Roman"/>
          <w:b/>
          <w:bCs/>
          <w:i/>
          <w:sz w:val="24"/>
          <w:szCs w:val="23"/>
        </w:rPr>
        <w:t>derivatives</w:t>
      </w:r>
      <w:r w:rsidRPr="00FA329B">
        <w:rPr>
          <w:rFonts w:ascii="Times New Roman" w:hAnsi="Times New Roman"/>
          <w:bCs/>
          <w:sz w:val="24"/>
          <w:szCs w:val="23"/>
        </w:rPr>
        <w:t xml:space="preserve"> held by an </w:t>
      </w:r>
      <w:r w:rsidRPr="00FA329B">
        <w:rPr>
          <w:rFonts w:ascii="Times New Roman" w:hAnsi="Times New Roman"/>
          <w:b/>
          <w:bCs/>
          <w:i/>
          <w:sz w:val="24"/>
          <w:szCs w:val="23"/>
        </w:rPr>
        <w:t>ADI</w:t>
      </w:r>
      <w:r w:rsidRPr="00FA329B">
        <w:rPr>
          <w:rFonts w:ascii="Times New Roman" w:hAnsi="Times New Roman"/>
          <w:bCs/>
          <w:i/>
          <w:sz w:val="24"/>
          <w:szCs w:val="23"/>
        </w:rPr>
        <w:t xml:space="preserve"> </w:t>
      </w:r>
      <w:r w:rsidRPr="00FA329B">
        <w:rPr>
          <w:rFonts w:ascii="Times New Roman" w:hAnsi="Times New Roman"/>
          <w:bCs/>
          <w:sz w:val="24"/>
          <w:szCs w:val="23"/>
        </w:rPr>
        <w:t xml:space="preserve">in accordance with the </w:t>
      </w:r>
      <w:r w:rsidRPr="00FA329B">
        <w:rPr>
          <w:rFonts w:ascii="Times New Roman" w:hAnsi="Times New Roman"/>
          <w:bCs/>
          <w:i/>
          <w:sz w:val="24"/>
          <w:szCs w:val="23"/>
        </w:rPr>
        <w:t xml:space="preserve">2008 System of National Accounts and Balance of Payments Manual 6 </w:t>
      </w:r>
      <w:r w:rsidRPr="00FA329B">
        <w:rPr>
          <w:rFonts w:ascii="Times New Roman" w:hAnsi="Times New Roman"/>
          <w:bCs/>
          <w:sz w:val="24"/>
          <w:szCs w:val="23"/>
        </w:rPr>
        <w:t xml:space="preserve">concept of </w:t>
      </w:r>
      <w:r w:rsidRPr="00FA329B">
        <w:rPr>
          <w:rFonts w:ascii="Times New Roman" w:hAnsi="Times New Roman"/>
          <w:b/>
          <w:bCs/>
          <w:i/>
          <w:sz w:val="24"/>
          <w:szCs w:val="23"/>
        </w:rPr>
        <w:t>derivatives</w:t>
      </w:r>
      <w:r w:rsidRPr="00FA329B">
        <w:rPr>
          <w:rFonts w:ascii="Times New Roman" w:hAnsi="Times New Roman"/>
          <w:bCs/>
          <w:sz w:val="24"/>
          <w:szCs w:val="23"/>
        </w:rPr>
        <w:t xml:space="preserve"> as a financial instrument. The reporting basis is </w:t>
      </w:r>
      <w:r w:rsidRPr="00FA329B">
        <w:rPr>
          <w:rFonts w:ascii="Times New Roman" w:hAnsi="Times New Roman"/>
          <w:bCs/>
          <w:sz w:val="24"/>
          <w:szCs w:val="23"/>
          <w:u w:val="single"/>
        </w:rPr>
        <w:t>not</w:t>
      </w:r>
      <w:r w:rsidRPr="00FA329B">
        <w:rPr>
          <w:rFonts w:ascii="Times New Roman" w:hAnsi="Times New Roman"/>
          <w:bCs/>
          <w:sz w:val="24"/>
          <w:szCs w:val="23"/>
        </w:rPr>
        <w:t xml:space="preserve"> consistent with the Australian Accounting Standards.</w:t>
      </w:r>
      <w:r w:rsidRPr="00FA329B">
        <w:rPr>
          <w:rFonts w:ascii="Times New Roman" w:hAnsi="Times New Roman"/>
          <w:bCs/>
          <w:sz w:val="24"/>
          <w:szCs w:val="23"/>
        </w:rPr>
        <w:tab/>
      </w:r>
      <w:r w:rsidRPr="003B3E1C">
        <w:rPr>
          <w:rFonts w:ascii="Times New Roman" w:hAnsi="Times New Roman"/>
          <w:bCs/>
          <w:sz w:val="23"/>
          <w:szCs w:val="23"/>
        </w:rPr>
        <w:tab/>
      </w:r>
    </w:p>
    <w:p w14:paraId="18CBFCCF" w14:textId="77777777" w:rsidR="00233FEA" w:rsidRPr="003B3E1C" w:rsidRDefault="00233FEA" w:rsidP="00233FEA">
      <w:pPr>
        <w:autoSpaceDE w:val="0"/>
        <w:autoSpaceDN w:val="0"/>
        <w:adjustRightInd w:val="0"/>
        <w:jc w:val="both"/>
        <w:rPr>
          <w:rFonts w:ascii="Times New Roman" w:hAnsi="Times New Roman"/>
          <w:bCs/>
          <w:sz w:val="23"/>
          <w:szCs w:val="23"/>
          <w:u w:val="single"/>
        </w:rPr>
      </w:pPr>
    </w:p>
    <w:p w14:paraId="64AE4858" w14:textId="77777777" w:rsidR="00233FEA" w:rsidRPr="003B3E1C" w:rsidRDefault="00233FEA" w:rsidP="00FA329B">
      <w:pPr>
        <w:pStyle w:val="Heading2"/>
      </w:pPr>
      <w:r w:rsidRPr="003B3E1C">
        <w:t>Derivatives</w:t>
      </w:r>
    </w:p>
    <w:p w14:paraId="44E97659" w14:textId="77777777" w:rsidR="00233FEA" w:rsidRPr="00FA329B" w:rsidRDefault="00233FEA" w:rsidP="00233FEA">
      <w:pPr>
        <w:autoSpaceDE w:val="0"/>
        <w:autoSpaceDN w:val="0"/>
        <w:adjustRightInd w:val="0"/>
        <w:jc w:val="both"/>
        <w:rPr>
          <w:rFonts w:ascii="Times New Roman" w:hAnsi="Times New Roman"/>
          <w:bCs/>
          <w:i/>
          <w:sz w:val="24"/>
          <w:szCs w:val="23"/>
        </w:rPr>
      </w:pPr>
      <w:r w:rsidRPr="00FA329B">
        <w:rPr>
          <w:rFonts w:ascii="Times New Roman" w:hAnsi="Times New Roman"/>
          <w:b/>
          <w:bCs/>
          <w:i/>
          <w:sz w:val="24"/>
          <w:szCs w:val="23"/>
        </w:rPr>
        <w:t>Derivatives</w:t>
      </w:r>
      <w:r w:rsidRPr="00FA329B">
        <w:rPr>
          <w:rFonts w:ascii="Times New Roman" w:hAnsi="Times New Roman"/>
          <w:bCs/>
          <w:i/>
          <w:sz w:val="24"/>
          <w:szCs w:val="23"/>
        </w:rPr>
        <w:t xml:space="preserve"> </w:t>
      </w:r>
      <w:r w:rsidRPr="00FA329B">
        <w:rPr>
          <w:rFonts w:ascii="Times New Roman" w:hAnsi="Times New Roman"/>
          <w:bCs/>
          <w:sz w:val="24"/>
          <w:szCs w:val="23"/>
        </w:rPr>
        <w:t xml:space="preserve">should be reported as gross positions i.e. </w:t>
      </w:r>
      <w:r w:rsidRPr="00FA329B">
        <w:rPr>
          <w:rFonts w:ascii="Times New Roman" w:hAnsi="Times New Roman"/>
          <w:b/>
          <w:bCs/>
          <w:i/>
          <w:sz w:val="24"/>
          <w:szCs w:val="23"/>
        </w:rPr>
        <w:t xml:space="preserve">derivatives </w:t>
      </w:r>
      <w:r w:rsidRPr="00FA329B">
        <w:rPr>
          <w:rFonts w:ascii="Times New Roman" w:hAnsi="Times New Roman"/>
          <w:bCs/>
          <w:sz w:val="24"/>
          <w:szCs w:val="23"/>
        </w:rPr>
        <w:t xml:space="preserve">contracts should not be offset against each other. Opening and closing positions on a gross basis are to be reported as being in either a positive or negative position by counterparty. </w:t>
      </w:r>
    </w:p>
    <w:p w14:paraId="4B6E14EA" w14:textId="77777777" w:rsidR="00233FEA" w:rsidRPr="00FA329B" w:rsidRDefault="00233FEA" w:rsidP="00233FEA">
      <w:pPr>
        <w:autoSpaceDE w:val="0"/>
        <w:autoSpaceDN w:val="0"/>
        <w:adjustRightInd w:val="0"/>
        <w:jc w:val="both"/>
        <w:rPr>
          <w:rFonts w:ascii="Times New Roman" w:hAnsi="Times New Roman"/>
          <w:bCs/>
          <w:sz w:val="24"/>
          <w:szCs w:val="23"/>
          <w:u w:val="single"/>
        </w:rPr>
      </w:pPr>
    </w:p>
    <w:p w14:paraId="59253404" w14:textId="77777777" w:rsidR="00233FEA" w:rsidRPr="00FA329B" w:rsidRDefault="00233FEA" w:rsidP="00233FEA">
      <w:pPr>
        <w:autoSpaceDE w:val="0"/>
        <w:autoSpaceDN w:val="0"/>
        <w:adjustRightInd w:val="0"/>
        <w:jc w:val="both"/>
        <w:rPr>
          <w:rFonts w:ascii="Times New Roman" w:hAnsi="Times New Roman"/>
          <w:color w:val="000000"/>
          <w:sz w:val="24"/>
          <w:szCs w:val="23"/>
        </w:rPr>
      </w:pPr>
      <w:r w:rsidRPr="00FA329B">
        <w:rPr>
          <w:rFonts w:ascii="Times New Roman" w:hAnsi="Times New Roman"/>
          <w:bCs/>
          <w:iCs/>
          <w:sz w:val="24"/>
          <w:szCs w:val="23"/>
        </w:rPr>
        <w:t xml:space="preserve">When reporting gross positions of </w:t>
      </w:r>
      <w:r w:rsidRPr="00FA329B">
        <w:rPr>
          <w:rFonts w:ascii="Times New Roman" w:hAnsi="Times New Roman"/>
          <w:b/>
          <w:bCs/>
          <w:i/>
          <w:iCs/>
          <w:sz w:val="24"/>
          <w:szCs w:val="23"/>
        </w:rPr>
        <w:t>derivatives</w:t>
      </w:r>
      <w:r w:rsidRPr="00FA329B">
        <w:rPr>
          <w:rFonts w:ascii="Times New Roman" w:hAnsi="Times New Roman"/>
          <w:bCs/>
          <w:iCs/>
          <w:sz w:val="24"/>
          <w:szCs w:val="23"/>
        </w:rPr>
        <w:t xml:space="preserve"> with </w:t>
      </w:r>
      <w:r w:rsidRPr="00FA329B">
        <w:rPr>
          <w:rFonts w:ascii="Times New Roman" w:hAnsi="Times New Roman"/>
          <w:b/>
          <w:bCs/>
          <w:i/>
          <w:iCs/>
          <w:sz w:val="24"/>
          <w:szCs w:val="23"/>
        </w:rPr>
        <w:t>resident</w:t>
      </w:r>
      <w:r w:rsidRPr="00FA329B">
        <w:rPr>
          <w:rFonts w:ascii="Times New Roman" w:hAnsi="Times New Roman"/>
          <w:bCs/>
          <w:iCs/>
          <w:sz w:val="24"/>
          <w:szCs w:val="23"/>
        </w:rPr>
        <w:t xml:space="preserve"> or </w:t>
      </w:r>
      <w:r w:rsidRPr="00FA329B">
        <w:rPr>
          <w:rFonts w:ascii="Times New Roman" w:hAnsi="Times New Roman"/>
          <w:b/>
          <w:bCs/>
          <w:i/>
          <w:iCs/>
          <w:sz w:val="24"/>
          <w:szCs w:val="23"/>
        </w:rPr>
        <w:t>non-resident</w:t>
      </w:r>
      <w:r w:rsidRPr="00FA329B">
        <w:rPr>
          <w:rFonts w:ascii="Times New Roman" w:hAnsi="Times New Roman"/>
          <w:bCs/>
          <w:iCs/>
          <w:sz w:val="24"/>
          <w:szCs w:val="23"/>
        </w:rPr>
        <w:t xml:space="preserve"> counterparties, transactions</w:t>
      </w:r>
      <w:r w:rsidRPr="00FA329B">
        <w:rPr>
          <w:rFonts w:ascii="Times New Roman" w:hAnsi="Times New Roman"/>
          <w:b/>
          <w:bCs/>
          <w:i/>
          <w:iCs/>
          <w:sz w:val="24"/>
          <w:szCs w:val="23"/>
        </w:rPr>
        <w:t xml:space="preserve"> </w:t>
      </w:r>
      <w:r w:rsidRPr="00FA329B">
        <w:rPr>
          <w:rFonts w:ascii="Times New Roman" w:hAnsi="Times New Roman"/>
          <w:sz w:val="24"/>
          <w:szCs w:val="23"/>
        </w:rPr>
        <w:t>represent the settlement of the mark to market</w:t>
      </w:r>
      <w:r w:rsidRPr="00FA329B">
        <w:rPr>
          <w:rFonts w:ascii="Times New Roman" w:hAnsi="Times New Roman"/>
          <w:b/>
          <w:sz w:val="24"/>
          <w:szCs w:val="23"/>
        </w:rPr>
        <w:t xml:space="preserve"> </w:t>
      </w:r>
      <w:r w:rsidRPr="00FA329B">
        <w:rPr>
          <w:rFonts w:ascii="Times New Roman" w:hAnsi="Times New Roman"/>
          <w:sz w:val="24"/>
          <w:szCs w:val="23"/>
        </w:rPr>
        <w:t xml:space="preserve">positive or negative position. </w:t>
      </w:r>
      <w:r w:rsidRPr="00FA329B">
        <w:rPr>
          <w:rFonts w:ascii="Times New Roman" w:hAnsi="Times New Roman"/>
          <w:color w:val="000000"/>
          <w:sz w:val="24"/>
          <w:szCs w:val="23"/>
        </w:rPr>
        <w:t xml:space="preserve">Specifically, </w:t>
      </w:r>
      <w:r w:rsidRPr="00FA329B">
        <w:rPr>
          <w:rFonts w:ascii="Times New Roman" w:hAnsi="Times New Roman"/>
          <w:bCs/>
          <w:iCs/>
          <w:color w:val="000000"/>
          <w:sz w:val="24"/>
          <w:szCs w:val="23"/>
        </w:rPr>
        <w:t>transactions</w:t>
      </w:r>
      <w:r w:rsidRPr="00FA329B">
        <w:rPr>
          <w:rFonts w:ascii="Times New Roman" w:hAnsi="Times New Roman"/>
          <w:b/>
          <w:bCs/>
          <w:i/>
          <w:iCs/>
          <w:color w:val="000000"/>
          <w:sz w:val="24"/>
          <w:szCs w:val="23"/>
        </w:rPr>
        <w:t xml:space="preserve"> </w:t>
      </w:r>
      <w:r w:rsidRPr="00FA329B">
        <w:rPr>
          <w:rFonts w:ascii="Times New Roman" w:hAnsi="Times New Roman"/>
          <w:color w:val="000000"/>
          <w:sz w:val="24"/>
          <w:szCs w:val="23"/>
        </w:rPr>
        <w:t xml:space="preserve">in </w:t>
      </w:r>
      <w:r w:rsidRPr="00FA329B">
        <w:rPr>
          <w:rFonts w:ascii="Times New Roman" w:hAnsi="Times New Roman"/>
          <w:b/>
          <w:i/>
          <w:color w:val="000000"/>
          <w:sz w:val="24"/>
          <w:szCs w:val="23"/>
        </w:rPr>
        <w:t>derivatives</w:t>
      </w:r>
      <w:r w:rsidRPr="00FA329B">
        <w:rPr>
          <w:rFonts w:ascii="Times New Roman" w:hAnsi="Times New Roman"/>
          <w:color w:val="000000"/>
          <w:sz w:val="24"/>
          <w:szCs w:val="23"/>
        </w:rPr>
        <w:t xml:space="preserve"> represent the payment to initiate the contract less the payment to settle the contract within the quarter, and include associated cash flows such as </w:t>
      </w:r>
      <w:r w:rsidRPr="00FA329B">
        <w:rPr>
          <w:rFonts w:ascii="Times New Roman" w:hAnsi="Times New Roman"/>
          <w:color w:val="000000"/>
          <w:sz w:val="24"/>
          <w:szCs w:val="23"/>
        </w:rPr>
        <w:lastRenderedPageBreak/>
        <w:t xml:space="preserve">interest payments, premiums and non-repayable variation </w:t>
      </w:r>
      <w:r w:rsidRPr="00FA329B">
        <w:rPr>
          <w:rFonts w:ascii="Times New Roman" w:hAnsi="Times New Roman"/>
          <w:b/>
          <w:i/>
          <w:color w:val="000000"/>
          <w:sz w:val="24"/>
          <w:szCs w:val="23"/>
        </w:rPr>
        <w:t xml:space="preserve">margins </w:t>
      </w:r>
      <w:r w:rsidRPr="00FA329B">
        <w:rPr>
          <w:rFonts w:ascii="Times New Roman" w:hAnsi="Times New Roman"/>
          <w:color w:val="000000"/>
          <w:sz w:val="24"/>
          <w:szCs w:val="23"/>
        </w:rPr>
        <w:t xml:space="preserve">(where they are treated as settling the derivative). </w:t>
      </w:r>
    </w:p>
    <w:p w14:paraId="03496396" w14:textId="77777777" w:rsidR="00233FEA" w:rsidRPr="00FA329B" w:rsidRDefault="00233FEA" w:rsidP="00233FEA">
      <w:pPr>
        <w:autoSpaceDE w:val="0"/>
        <w:autoSpaceDN w:val="0"/>
        <w:adjustRightInd w:val="0"/>
        <w:jc w:val="both"/>
        <w:rPr>
          <w:rFonts w:ascii="Times New Roman" w:hAnsi="Times New Roman"/>
          <w:bCs/>
          <w:sz w:val="24"/>
          <w:szCs w:val="23"/>
          <w:u w:val="single"/>
        </w:rPr>
      </w:pPr>
    </w:p>
    <w:p w14:paraId="317E14B6" w14:textId="77777777" w:rsidR="00233FEA" w:rsidRPr="00FA329B" w:rsidRDefault="00233FEA" w:rsidP="00233FEA">
      <w:pPr>
        <w:autoSpaceDE w:val="0"/>
        <w:autoSpaceDN w:val="0"/>
        <w:adjustRightInd w:val="0"/>
        <w:jc w:val="both"/>
        <w:rPr>
          <w:rFonts w:ascii="Times New Roman" w:hAnsi="Times New Roman"/>
          <w:bCs/>
          <w:iCs/>
          <w:sz w:val="24"/>
          <w:szCs w:val="23"/>
        </w:rPr>
      </w:pPr>
    </w:p>
    <w:p w14:paraId="4CED4BD5" w14:textId="77777777" w:rsidR="00233FEA" w:rsidRPr="00FA329B" w:rsidRDefault="00233FEA" w:rsidP="00233FEA">
      <w:pPr>
        <w:autoSpaceDE w:val="0"/>
        <w:autoSpaceDN w:val="0"/>
        <w:adjustRightInd w:val="0"/>
        <w:jc w:val="both"/>
        <w:rPr>
          <w:rFonts w:ascii="Times New Roman" w:hAnsi="Times New Roman"/>
          <w:bCs/>
          <w:iCs/>
          <w:sz w:val="24"/>
          <w:szCs w:val="23"/>
        </w:rPr>
      </w:pPr>
    </w:p>
    <w:p w14:paraId="46830052" w14:textId="77777777" w:rsidR="00233FEA" w:rsidRPr="00FA329B" w:rsidRDefault="00233FEA" w:rsidP="00233FEA">
      <w:pPr>
        <w:autoSpaceDE w:val="0"/>
        <w:autoSpaceDN w:val="0"/>
        <w:adjustRightInd w:val="0"/>
        <w:jc w:val="both"/>
        <w:rPr>
          <w:rFonts w:ascii="Times New Roman" w:hAnsi="Times New Roman"/>
          <w:bCs/>
          <w:sz w:val="24"/>
          <w:szCs w:val="23"/>
          <w:u w:val="single"/>
        </w:rPr>
      </w:pPr>
      <w:r w:rsidRPr="00FA329B">
        <w:rPr>
          <w:rFonts w:ascii="Times New Roman" w:hAnsi="Times New Roman"/>
          <w:bCs/>
          <w:iCs/>
          <w:sz w:val="24"/>
          <w:szCs w:val="23"/>
        </w:rPr>
        <w:t xml:space="preserve">When reporting gross positions of </w:t>
      </w:r>
      <w:r w:rsidRPr="00FA329B">
        <w:rPr>
          <w:rFonts w:ascii="Times New Roman" w:hAnsi="Times New Roman"/>
          <w:b/>
          <w:bCs/>
          <w:i/>
          <w:iCs/>
          <w:sz w:val="24"/>
          <w:szCs w:val="23"/>
        </w:rPr>
        <w:t>derivatives</w:t>
      </w:r>
      <w:r w:rsidRPr="00FA329B">
        <w:rPr>
          <w:rFonts w:ascii="Times New Roman" w:hAnsi="Times New Roman"/>
          <w:bCs/>
          <w:iCs/>
          <w:sz w:val="24"/>
          <w:szCs w:val="23"/>
        </w:rPr>
        <w:t xml:space="preserve"> with </w:t>
      </w:r>
      <w:r w:rsidRPr="00FA329B">
        <w:rPr>
          <w:rFonts w:ascii="Times New Roman" w:hAnsi="Times New Roman"/>
          <w:b/>
          <w:bCs/>
          <w:i/>
          <w:iCs/>
          <w:sz w:val="24"/>
          <w:szCs w:val="23"/>
        </w:rPr>
        <w:t>resident</w:t>
      </w:r>
      <w:r w:rsidRPr="00FA329B">
        <w:rPr>
          <w:rFonts w:ascii="Times New Roman" w:hAnsi="Times New Roman"/>
          <w:bCs/>
          <w:iCs/>
          <w:sz w:val="24"/>
          <w:szCs w:val="23"/>
        </w:rPr>
        <w:t xml:space="preserve"> and </w:t>
      </w:r>
      <w:r w:rsidRPr="00FA329B">
        <w:rPr>
          <w:rFonts w:ascii="Times New Roman" w:hAnsi="Times New Roman"/>
          <w:b/>
          <w:bCs/>
          <w:i/>
          <w:iCs/>
          <w:sz w:val="24"/>
          <w:szCs w:val="23"/>
        </w:rPr>
        <w:t>non-resident</w:t>
      </w:r>
      <w:r w:rsidRPr="00FA329B">
        <w:rPr>
          <w:rFonts w:ascii="Times New Roman" w:hAnsi="Times New Roman"/>
          <w:bCs/>
          <w:iCs/>
          <w:sz w:val="24"/>
          <w:szCs w:val="23"/>
        </w:rPr>
        <w:t xml:space="preserve"> counterparties, </w:t>
      </w:r>
      <w:r w:rsidRPr="00E97C10">
        <w:rPr>
          <w:rFonts w:ascii="Times New Roman" w:hAnsi="Times New Roman"/>
          <w:b/>
          <w:bCs/>
          <w:i/>
          <w:iCs/>
          <w:color w:val="000000"/>
          <w:sz w:val="24"/>
          <w:szCs w:val="23"/>
        </w:rPr>
        <w:t xml:space="preserve">revaluations </w:t>
      </w:r>
      <w:r w:rsidRPr="00FA329B">
        <w:rPr>
          <w:rFonts w:ascii="Times New Roman" w:hAnsi="Times New Roman"/>
          <w:color w:val="000000"/>
          <w:sz w:val="24"/>
          <w:szCs w:val="23"/>
        </w:rPr>
        <w:t xml:space="preserve">represents the </w:t>
      </w:r>
      <w:r w:rsidRPr="00FA329B">
        <w:rPr>
          <w:rFonts w:ascii="Times New Roman" w:hAnsi="Times New Roman"/>
          <w:b/>
          <w:i/>
          <w:color w:val="000000"/>
          <w:sz w:val="24"/>
          <w:szCs w:val="23"/>
        </w:rPr>
        <w:t>holding gains and losses</w:t>
      </w:r>
      <w:r w:rsidRPr="00FA329B">
        <w:rPr>
          <w:rFonts w:ascii="Times New Roman" w:hAnsi="Times New Roman"/>
          <w:color w:val="000000"/>
          <w:sz w:val="24"/>
          <w:szCs w:val="23"/>
        </w:rPr>
        <w:t xml:space="preserve"> arising from changes in </w:t>
      </w:r>
      <w:r w:rsidRPr="00FA329B">
        <w:rPr>
          <w:rFonts w:ascii="Times New Roman" w:hAnsi="Times New Roman"/>
          <w:b/>
          <w:bCs/>
          <w:i/>
          <w:iCs/>
          <w:color w:val="000000"/>
          <w:sz w:val="24"/>
          <w:szCs w:val="23"/>
        </w:rPr>
        <w:t xml:space="preserve">market values </w:t>
      </w:r>
      <w:r w:rsidRPr="00FA329B">
        <w:rPr>
          <w:rFonts w:ascii="Times New Roman" w:hAnsi="Times New Roman"/>
          <w:color w:val="000000"/>
          <w:sz w:val="24"/>
          <w:szCs w:val="23"/>
        </w:rPr>
        <w:t xml:space="preserve">of the </w:t>
      </w:r>
      <w:r w:rsidRPr="00FA329B">
        <w:rPr>
          <w:rFonts w:ascii="Times New Roman" w:hAnsi="Times New Roman"/>
          <w:b/>
          <w:i/>
          <w:color w:val="000000"/>
          <w:sz w:val="24"/>
          <w:szCs w:val="23"/>
        </w:rPr>
        <w:t>derivatives</w:t>
      </w:r>
      <w:r w:rsidRPr="00FA329B">
        <w:rPr>
          <w:rFonts w:ascii="Times New Roman" w:hAnsi="Times New Roman"/>
          <w:color w:val="000000"/>
          <w:sz w:val="24"/>
          <w:szCs w:val="23"/>
        </w:rPr>
        <w:t xml:space="preserve"> and other changes that are not accounted for in transactions during the quarter.  </w:t>
      </w:r>
      <w:r w:rsidRPr="00E97C10">
        <w:rPr>
          <w:rFonts w:ascii="Times New Roman" w:hAnsi="Times New Roman"/>
          <w:b/>
          <w:i/>
          <w:color w:val="000000"/>
          <w:sz w:val="24"/>
          <w:szCs w:val="23"/>
        </w:rPr>
        <w:t>Revaluations</w:t>
      </w:r>
      <w:r w:rsidRPr="00FA329B">
        <w:rPr>
          <w:rFonts w:ascii="Times New Roman" w:hAnsi="Times New Roman"/>
          <w:color w:val="000000"/>
          <w:sz w:val="24"/>
          <w:szCs w:val="23"/>
        </w:rPr>
        <w:t xml:space="preserve"> are used to reconcile opening and closing positions</w:t>
      </w:r>
      <w:r w:rsidRPr="00FA329B">
        <w:rPr>
          <w:rFonts w:ascii="Times New Roman" w:hAnsi="Times New Roman"/>
          <w:sz w:val="24"/>
          <w:szCs w:val="23"/>
        </w:rPr>
        <w:t>.</w:t>
      </w:r>
    </w:p>
    <w:p w14:paraId="2AB030BE" w14:textId="77777777" w:rsidR="00233FEA" w:rsidRPr="00FA329B" w:rsidRDefault="00233FEA" w:rsidP="00233FEA">
      <w:pPr>
        <w:rPr>
          <w:rFonts w:ascii="Times New Roman" w:hAnsi="Times New Roman"/>
          <w:sz w:val="24"/>
          <w:szCs w:val="23"/>
        </w:rPr>
      </w:pPr>
    </w:p>
    <w:p w14:paraId="444AB287" w14:textId="2A1F78CE"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color w:val="000000"/>
          <w:sz w:val="24"/>
          <w:szCs w:val="23"/>
        </w:rPr>
        <w:t xml:space="preserve">If there is a discrepancy remaining between opening and closing positions, this will be mainly due to </w:t>
      </w:r>
      <w:r w:rsidRPr="00FA329B">
        <w:rPr>
          <w:rFonts w:ascii="Times New Roman" w:hAnsi="Times New Roman"/>
          <w:b/>
          <w:i/>
          <w:color w:val="000000"/>
          <w:sz w:val="24"/>
          <w:szCs w:val="23"/>
        </w:rPr>
        <w:t>derivatives</w:t>
      </w:r>
      <w:r w:rsidRPr="00FA329B">
        <w:rPr>
          <w:rFonts w:ascii="Times New Roman" w:hAnsi="Times New Roman"/>
          <w:color w:val="000000"/>
          <w:sz w:val="24"/>
          <w:szCs w:val="23"/>
        </w:rPr>
        <w:t xml:space="preserve"> that have changed from a gross positive</w:t>
      </w:r>
      <w:r w:rsidRPr="00FA329B">
        <w:rPr>
          <w:rFonts w:ascii="Times New Roman" w:hAnsi="Times New Roman"/>
          <w:b/>
          <w:i/>
          <w:color w:val="000000"/>
          <w:sz w:val="24"/>
          <w:szCs w:val="23"/>
        </w:rPr>
        <w:t xml:space="preserve"> </w:t>
      </w:r>
      <w:r w:rsidRPr="00FA329B">
        <w:rPr>
          <w:rFonts w:ascii="Times New Roman" w:hAnsi="Times New Roman"/>
          <w:color w:val="000000"/>
          <w:sz w:val="24"/>
          <w:szCs w:val="23"/>
        </w:rPr>
        <w:t>mark to market value position to a gross negative</w:t>
      </w:r>
      <w:r w:rsidRPr="00FA329B">
        <w:rPr>
          <w:rFonts w:ascii="Times New Roman" w:hAnsi="Times New Roman"/>
          <w:b/>
          <w:i/>
          <w:color w:val="000000"/>
          <w:sz w:val="24"/>
          <w:szCs w:val="23"/>
        </w:rPr>
        <w:t xml:space="preserve"> </w:t>
      </w:r>
      <w:r w:rsidRPr="00FA329B">
        <w:rPr>
          <w:rFonts w:ascii="Times New Roman" w:hAnsi="Times New Roman"/>
          <w:color w:val="000000"/>
          <w:sz w:val="24"/>
          <w:szCs w:val="23"/>
        </w:rPr>
        <w:t xml:space="preserve">mark to market value position during the quarter or vice versa (switching). Resolve this discrepancy by making the appropriate </w:t>
      </w:r>
      <w:r w:rsidR="00240461">
        <w:rPr>
          <w:rFonts w:ascii="Times New Roman" w:hAnsi="Times New Roman"/>
          <w:color w:val="000000"/>
          <w:sz w:val="24"/>
          <w:szCs w:val="23"/>
        </w:rPr>
        <w:t>amendment</w:t>
      </w:r>
      <w:r w:rsidR="00240461" w:rsidRPr="00FA329B">
        <w:rPr>
          <w:rFonts w:ascii="Times New Roman" w:hAnsi="Times New Roman"/>
          <w:color w:val="000000"/>
          <w:sz w:val="24"/>
          <w:szCs w:val="23"/>
        </w:rPr>
        <w:t xml:space="preserve"> </w:t>
      </w:r>
      <w:r w:rsidRPr="00FA329B">
        <w:rPr>
          <w:rFonts w:ascii="Times New Roman" w:hAnsi="Times New Roman"/>
          <w:color w:val="000000"/>
          <w:sz w:val="24"/>
          <w:szCs w:val="23"/>
        </w:rPr>
        <w:t xml:space="preserve">to </w:t>
      </w:r>
      <w:r w:rsidRPr="00E97C10">
        <w:rPr>
          <w:rFonts w:ascii="Times New Roman" w:hAnsi="Times New Roman"/>
          <w:b/>
          <w:i/>
          <w:color w:val="000000"/>
          <w:sz w:val="24"/>
          <w:szCs w:val="23"/>
        </w:rPr>
        <w:t>revaluations</w:t>
      </w:r>
      <w:r w:rsidRPr="00FA329B">
        <w:rPr>
          <w:rFonts w:ascii="Times New Roman" w:hAnsi="Times New Roman"/>
          <w:color w:val="000000"/>
          <w:sz w:val="24"/>
          <w:szCs w:val="23"/>
        </w:rPr>
        <w:t>.</w:t>
      </w:r>
    </w:p>
    <w:p w14:paraId="00AFC627" w14:textId="77777777" w:rsidR="00233FEA" w:rsidRPr="00FA329B" w:rsidRDefault="00233FEA" w:rsidP="00233FEA">
      <w:pPr>
        <w:autoSpaceDE w:val="0"/>
        <w:autoSpaceDN w:val="0"/>
        <w:adjustRightInd w:val="0"/>
        <w:jc w:val="both"/>
        <w:rPr>
          <w:rFonts w:ascii="Times New Roman" w:hAnsi="Times New Roman"/>
          <w:bCs/>
          <w:i/>
          <w:sz w:val="24"/>
          <w:szCs w:val="23"/>
          <w:u w:val="single"/>
        </w:rPr>
      </w:pPr>
    </w:p>
    <w:p w14:paraId="7251893A" w14:textId="77777777" w:rsidR="00233FEA" w:rsidRPr="00FA329B" w:rsidRDefault="00233FEA" w:rsidP="00233FEA">
      <w:pPr>
        <w:autoSpaceDE w:val="0"/>
        <w:autoSpaceDN w:val="0"/>
        <w:adjustRightInd w:val="0"/>
        <w:jc w:val="both"/>
        <w:rPr>
          <w:rFonts w:ascii="Times New Roman" w:hAnsi="Times New Roman"/>
          <w:bCs/>
          <w:i/>
          <w:sz w:val="24"/>
          <w:szCs w:val="23"/>
        </w:rPr>
      </w:pPr>
      <w:r w:rsidRPr="00FA329B">
        <w:rPr>
          <w:rFonts w:ascii="Times New Roman" w:hAnsi="Times New Roman"/>
          <w:bCs/>
          <w:sz w:val="24"/>
          <w:szCs w:val="23"/>
        </w:rPr>
        <w:t xml:space="preserve">For </w:t>
      </w:r>
      <w:r w:rsidRPr="00FA329B">
        <w:rPr>
          <w:rFonts w:ascii="Times New Roman" w:hAnsi="Times New Roman"/>
          <w:b/>
          <w:bCs/>
          <w:i/>
          <w:sz w:val="24"/>
          <w:szCs w:val="23"/>
        </w:rPr>
        <w:t>non-resident</w:t>
      </w:r>
      <w:r w:rsidRPr="00FA329B">
        <w:rPr>
          <w:rFonts w:ascii="Times New Roman" w:hAnsi="Times New Roman"/>
          <w:bCs/>
          <w:sz w:val="24"/>
          <w:szCs w:val="23"/>
        </w:rPr>
        <w:t xml:space="preserve"> </w:t>
      </w:r>
      <w:r w:rsidRPr="00FA329B">
        <w:rPr>
          <w:rFonts w:ascii="Times New Roman" w:hAnsi="Times New Roman"/>
          <w:b/>
          <w:bCs/>
          <w:i/>
          <w:sz w:val="24"/>
          <w:szCs w:val="23"/>
        </w:rPr>
        <w:t>derivatives</w:t>
      </w:r>
      <w:r w:rsidRPr="00FA329B">
        <w:rPr>
          <w:rFonts w:ascii="Times New Roman" w:hAnsi="Times New Roman"/>
          <w:bCs/>
          <w:i/>
          <w:sz w:val="24"/>
          <w:szCs w:val="23"/>
        </w:rPr>
        <w:t xml:space="preserve">, </w:t>
      </w:r>
      <w:r w:rsidRPr="00E97C10">
        <w:rPr>
          <w:rFonts w:ascii="Times New Roman" w:hAnsi="Times New Roman"/>
          <w:b/>
          <w:bCs/>
          <w:i/>
          <w:sz w:val="24"/>
          <w:szCs w:val="23"/>
        </w:rPr>
        <w:t>revaluations</w:t>
      </w:r>
      <w:r w:rsidRPr="00FA329B">
        <w:rPr>
          <w:rFonts w:ascii="Times New Roman" w:hAnsi="Times New Roman"/>
          <w:bCs/>
          <w:i/>
          <w:sz w:val="24"/>
          <w:szCs w:val="23"/>
        </w:rPr>
        <w:t xml:space="preserve"> </w:t>
      </w:r>
      <w:r w:rsidRPr="00FA329B">
        <w:rPr>
          <w:rFonts w:ascii="Times New Roman" w:hAnsi="Times New Roman"/>
          <w:bCs/>
          <w:sz w:val="24"/>
          <w:szCs w:val="23"/>
        </w:rPr>
        <w:t xml:space="preserve">are to be reported split into </w:t>
      </w:r>
      <w:r w:rsidRPr="00FA329B">
        <w:rPr>
          <w:rFonts w:ascii="Times New Roman" w:hAnsi="Times New Roman"/>
          <w:b/>
          <w:bCs/>
          <w:i/>
          <w:sz w:val="24"/>
          <w:szCs w:val="23"/>
        </w:rPr>
        <w:t>market value</w:t>
      </w:r>
      <w:r w:rsidRPr="00FA329B">
        <w:rPr>
          <w:rFonts w:ascii="Times New Roman" w:hAnsi="Times New Roman"/>
          <w:bCs/>
          <w:sz w:val="24"/>
          <w:szCs w:val="23"/>
        </w:rPr>
        <w:t xml:space="preserve"> changes, exchange rate variations and other changes. </w:t>
      </w:r>
    </w:p>
    <w:p w14:paraId="3D0A65B7" w14:textId="77777777" w:rsidR="00233FEA" w:rsidRPr="003B3E1C" w:rsidRDefault="00233FEA" w:rsidP="00233FEA">
      <w:pPr>
        <w:autoSpaceDE w:val="0"/>
        <w:autoSpaceDN w:val="0"/>
        <w:adjustRightInd w:val="0"/>
        <w:rPr>
          <w:rFonts w:ascii="Times New Roman" w:hAnsi="Times New Roman"/>
          <w:bCs/>
          <w:i/>
          <w:sz w:val="23"/>
          <w:szCs w:val="23"/>
          <w:u w:val="single"/>
        </w:rPr>
      </w:pPr>
    </w:p>
    <w:p w14:paraId="52ECF538" w14:textId="5A1EB3C8" w:rsidR="00233FEA" w:rsidRPr="003B3E1C" w:rsidRDefault="00233FEA" w:rsidP="00FA329B">
      <w:pPr>
        <w:pStyle w:val="Heading2"/>
      </w:pPr>
      <w:r w:rsidRPr="003B3E1C">
        <w:t xml:space="preserve">Clearing </w:t>
      </w:r>
      <w:r>
        <w:t>h</w:t>
      </w:r>
      <w:r w:rsidRPr="003B3E1C">
        <w:t>ouses and central counterparties</w:t>
      </w:r>
    </w:p>
    <w:p w14:paraId="74F4B151" w14:textId="77777777" w:rsidR="00233FEA" w:rsidRPr="00FA329B" w:rsidRDefault="00233FEA" w:rsidP="00233FEA">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Reporting of</w:t>
      </w:r>
      <w:r w:rsidRPr="00FA329B">
        <w:rPr>
          <w:rFonts w:ascii="Times New Roman" w:hAnsi="Times New Roman"/>
          <w:bCs/>
          <w:i/>
          <w:sz w:val="24"/>
          <w:szCs w:val="23"/>
        </w:rPr>
        <w:t xml:space="preserve"> </w:t>
      </w:r>
      <w:r w:rsidRPr="00FA329B">
        <w:rPr>
          <w:rFonts w:ascii="Times New Roman" w:hAnsi="Times New Roman"/>
          <w:bCs/>
          <w:sz w:val="24"/>
          <w:szCs w:val="23"/>
        </w:rPr>
        <w:t xml:space="preserve">net transactions and </w:t>
      </w:r>
      <w:r w:rsidRPr="00E97C10">
        <w:rPr>
          <w:rFonts w:ascii="Times New Roman" w:hAnsi="Times New Roman"/>
          <w:b/>
          <w:bCs/>
          <w:i/>
          <w:sz w:val="24"/>
          <w:szCs w:val="23"/>
        </w:rPr>
        <w:t>revaluations</w:t>
      </w:r>
      <w:r w:rsidRPr="00FA329B">
        <w:rPr>
          <w:rFonts w:ascii="Times New Roman" w:hAnsi="Times New Roman"/>
          <w:bCs/>
          <w:i/>
          <w:sz w:val="24"/>
          <w:szCs w:val="23"/>
        </w:rPr>
        <w:t xml:space="preserve"> </w:t>
      </w:r>
      <w:r w:rsidRPr="00FA329B">
        <w:rPr>
          <w:rFonts w:ascii="Times New Roman" w:hAnsi="Times New Roman"/>
          <w:bCs/>
          <w:sz w:val="24"/>
          <w:szCs w:val="23"/>
        </w:rPr>
        <w:t xml:space="preserve">are to be reported on a net basis when the counterparty is a </w:t>
      </w:r>
      <w:r w:rsidRPr="00FA329B">
        <w:rPr>
          <w:rFonts w:ascii="Times New Roman" w:hAnsi="Times New Roman"/>
          <w:b/>
          <w:bCs/>
          <w:i/>
          <w:sz w:val="24"/>
          <w:szCs w:val="23"/>
        </w:rPr>
        <w:t xml:space="preserve">clearing house </w:t>
      </w:r>
      <w:r w:rsidRPr="00FA329B">
        <w:rPr>
          <w:rFonts w:ascii="Times New Roman" w:hAnsi="Times New Roman"/>
          <w:bCs/>
          <w:sz w:val="24"/>
          <w:szCs w:val="23"/>
        </w:rPr>
        <w:t xml:space="preserve">or a </w:t>
      </w:r>
      <w:r w:rsidRPr="00FA329B">
        <w:rPr>
          <w:rFonts w:ascii="Times New Roman" w:hAnsi="Times New Roman"/>
          <w:b/>
          <w:bCs/>
          <w:i/>
          <w:sz w:val="24"/>
          <w:szCs w:val="23"/>
        </w:rPr>
        <w:t>central counterparty</w:t>
      </w:r>
      <w:r w:rsidRPr="00FA329B">
        <w:rPr>
          <w:rFonts w:ascii="Times New Roman" w:hAnsi="Times New Roman"/>
          <w:bCs/>
          <w:sz w:val="24"/>
          <w:szCs w:val="23"/>
        </w:rPr>
        <w:t xml:space="preserve">. </w:t>
      </w:r>
    </w:p>
    <w:p w14:paraId="6A435A86" w14:textId="77777777" w:rsidR="00233FEA" w:rsidRDefault="00233FEA" w:rsidP="00233FEA">
      <w:pPr>
        <w:autoSpaceDE w:val="0"/>
        <w:autoSpaceDN w:val="0"/>
        <w:adjustRightInd w:val="0"/>
        <w:jc w:val="both"/>
        <w:rPr>
          <w:rFonts w:ascii="Times New Roman" w:hAnsi="Times New Roman"/>
          <w:bCs/>
          <w:sz w:val="23"/>
          <w:szCs w:val="23"/>
        </w:rPr>
      </w:pPr>
    </w:p>
    <w:p w14:paraId="34F4A850" w14:textId="77777777" w:rsidR="00233FEA" w:rsidRDefault="00233FEA" w:rsidP="00FA329B">
      <w:pPr>
        <w:pStyle w:val="Heading2"/>
      </w:pPr>
      <w:r>
        <w:t>Margining</w:t>
      </w:r>
    </w:p>
    <w:p w14:paraId="2D3ECAEE" w14:textId="77777777" w:rsidR="00233FEA" w:rsidRPr="00FA329B" w:rsidRDefault="00233FEA" w:rsidP="00233FEA">
      <w:pPr>
        <w:autoSpaceDE w:val="0"/>
        <w:autoSpaceDN w:val="0"/>
        <w:adjustRightInd w:val="0"/>
        <w:rPr>
          <w:rFonts w:ascii="Times New Roman" w:hAnsi="Times New Roman"/>
          <w:color w:val="000000"/>
          <w:sz w:val="24"/>
          <w:szCs w:val="23"/>
          <w:lang w:eastAsia="en-AU"/>
        </w:rPr>
      </w:pPr>
      <w:r w:rsidRPr="00FA329B">
        <w:rPr>
          <w:rFonts w:ascii="Times New Roman" w:hAnsi="Times New Roman"/>
          <w:color w:val="000000"/>
          <w:sz w:val="24"/>
          <w:szCs w:val="23"/>
          <w:lang w:eastAsia="en-AU"/>
        </w:rPr>
        <w:t xml:space="preserve">If a </w:t>
      </w:r>
      <w:r w:rsidRPr="00FA329B">
        <w:rPr>
          <w:rFonts w:ascii="Times New Roman" w:hAnsi="Times New Roman"/>
          <w:b/>
          <w:i/>
          <w:color w:val="000000"/>
          <w:sz w:val="24"/>
          <w:szCs w:val="23"/>
          <w:lang w:eastAsia="en-AU"/>
        </w:rPr>
        <w:t xml:space="preserve">derivative </w:t>
      </w:r>
      <w:r w:rsidRPr="00FA329B">
        <w:rPr>
          <w:rFonts w:ascii="Times New Roman" w:hAnsi="Times New Roman"/>
          <w:color w:val="000000"/>
          <w:sz w:val="24"/>
          <w:szCs w:val="23"/>
          <w:lang w:eastAsia="en-AU"/>
        </w:rPr>
        <w:t xml:space="preserve">is </w:t>
      </w:r>
      <w:r w:rsidRPr="00FA329B">
        <w:rPr>
          <w:rFonts w:ascii="Times New Roman" w:hAnsi="Times New Roman"/>
          <w:b/>
          <w:i/>
          <w:color w:val="000000"/>
          <w:sz w:val="24"/>
          <w:szCs w:val="23"/>
          <w:lang w:eastAsia="en-AU"/>
        </w:rPr>
        <w:t>margined</w:t>
      </w:r>
      <w:r w:rsidRPr="00FA329B">
        <w:rPr>
          <w:rFonts w:ascii="Times New Roman" w:hAnsi="Times New Roman"/>
          <w:color w:val="000000"/>
          <w:sz w:val="24"/>
          <w:szCs w:val="23"/>
          <w:lang w:eastAsia="en-AU"/>
        </w:rPr>
        <w:t xml:space="preserve"> it means the variation </w:t>
      </w:r>
      <w:r w:rsidRPr="00FA329B">
        <w:rPr>
          <w:rFonts w:ascii="Times New Roman" w:hAnsi="Times New Roman"/>
          <w:b/>
          <w:i/>
          <w:color w:val="000000"/>
          <w:sz w:val="24"/>
          <w:szCs w:val="23"/>
          <w:lang w:eastAsia="en-AU"/>
        </w:rPr>
        <w:t>margin</w:t>
      </w:r>
      <w:r w:rsidRPr="00FA329B">
        <w:rPr>
          <w:rFonts w:ascii="Times New Roman" w:hAnsi="Times New Roman"/>
          <w:color w:val="000000"/>
          <w:sz w:val="24"/>
          <w:szCs w:val="23"/>
          <w:lang w:eastAsia="en-AU"/>
        </w:rPr>
        <w:t xml:space="preserve"> is netted against the </w:t>
      </w:r>
      <w:r w:rsidRPr="00FA329B">
        <w:rPr>
          <w:rFonts w:ascii="Times New Roman" w:hAnsi="Times New Roman"/>
          <w:b/>
          <w:i/>
          <w:color w:val="000000"/>
          <w:sz w:val="24"/>
          <w:szCs w:val="23"/>
          <w:lang w:eastAsia="en-AU"/>
        </w:rPr>
        <w:t>derivative</w:t>
      </w:r>
      <w:r w:rsidRPr="00FA329B">
        <w:rPr>
          <w:rFonts w:ascii="Times New Roman" w:hAnsi="Times New Roman"/>
          <w:color w:val="000000"/>
          <w:sz w:val="24"/>
          <w:szCs w:val="23"/>
          <w:lang w:eastAsia="en-AU"/>
        </w:rPr>
        <w:t>.</w:t>
      </w:r>
    </w:p>
    <w:p w14:paraId="5CFBDB49" w14:textId="77777777" w:rsidR="00233FEA" w:rsidRPr="00FA329B" w:rsidRDefault="00233FEA" w:rsidP="00233FEA">
      <w:pPr>
        <w:autoSpaceDE w:val="0"/>
        <w:autoSpaceDN w:val="0"/>
        <w:adjustRightInd w:val="0"/>
        <w:rPr>
          <w:rFonts w:ascii="Times New Roman" w:hAnsi="Times New Roman"/>
          <w:color w:val="000000"/>
          <w:sz w:val="24"/>
          <w:szCs w:val="23"/>
          <w:lang w:eastAsia="en-AU"/>
        </w:rPr>
      </w:pPr>
    </w:p>
    <w:p w14:paraId="45185CA8" w14:textId="16C09EC7" w:rsidR="00233FEA" w:rsidRPr="00FA329B" w:rsidRDefault="00233FEA" w:rsidP="00233FEA">
      <w:pPr>
        <w:autoSpaceDE w:val="0"/>
        <w:autoSpaceDN w:val="0"/>
        <w:adjustRightInd w:val="0"/>
        <w:rPr>
          <w:rFonts w:ascii="Times New Roman" w:hAnsi="Times New Roman"/>
          <w:color w:val="000000"/>
          <w:sz w:val="24"/>
          <w:szCs w:val="23"/>
          <w:lang w:eastAsia="en-AU"/>
        </w:rPr>
      </w:pPr>
      <w:r w:rsidRPr="00FA329B">
        <w:rPr>
          <w:rFonts w:ascii="Times New Roman" w:hAnsi="Times New Roman"/>
          <w:b/>
          <w:i/>
          <w:color w:val="000000"/>
          <w:sz w:val="24"/>
          <w:szCs w:val="23"/>
          <w:lang w:eastAsia="en-AU"/>
        </w:rPr>
        <w:t>Derivatives</w:t>
      </w:r>
      <w:r w:rsidRPr="00FA329B">
        <w:rPr>
          <w:rFonts w:ascii="Times New Roman" w:hAnsi="Times New Roman"/>
          <w:color w:val="000000"/>
          <w:sz w:val="24"/>
          <w:szCs w:val="23"/>
          <w:lang w:eastAsia="en-AU"/>
        </w:rPr>
        <w:t xml:space="preserve"> can be partially </w:t>
      </w:r>
      <w:r w:rsidRPr="00FA329B">
        <w:rPr>
          <w:rFonts w:ascii="Times New Roman" w:hAnsi="Times New Roman"/>
          <w:b/>
          <w:i/>
          <w:color w:val="000000"/>
          <w:sz w:val="24"/>
          <w:szCs w:val="23"/>
          <w:lang w:eastAsia="en-AU"/>
        </w:rPr>
        <w:t>margined</w:t>
      </w:r>
      <w:r w:rsidRPr="00FA329B">
        <w:rPr>
          <w:rFonts w:ascii="Times New Roman" w:hAnsi="Times New Roman"/>
          <w:color w:val="000000"/>
          <w:sz w:val="24"/>
          <w:szCs w:val="23"/>
          <w:lang w:eastAsia="en-AU"/>
        </w:rPr>
        <w:t xml:space="preserve"> due to timing differences </w:t>
      </w:r>
      <w:r w:rsidR="003167DC" w:rsidRPr="000104B3">
        <w:rPr>
          <w:rFonts w:ascii="Times New Roman" w:hAnsi="Times New Roman"/>
          <w:color w:val="000000"/>
          <w:sz w:val="24"/>
          <w:szCs w:val="24"/>
          <w:lang w:eastAsia="en-AU"/>
        </w:rPr>
        <w:t xml:space="preserve">and in situations where </w:t>
      </w:r>
      <w:r w:rsidR="003167DC" w:rsidRPr="000104B3">
        <w:rPr>
          <w:rFonts w:ascii="Times New Roman" w:hAnsi="Times New Roman"/>
          <w:b/>
          <w:i/>
          <w:color w:val="000000"/>
          <w:sz w:val="24"/>
          <w:szCs w:val="24"/>
          <w:lang w:eastAsia="en-AU"/>
        </w:rPr>
        <w:t>margin</w:t>
      </w:r>
      <w:r w:rsidR="003167DC" w:rsidRPr="000104B3">
        <w:rPr>
          <w:rFonts w:ascii="Times New Roman" w:hAnsi="Times New Roman"/>
          <w:color w:val="000000"/>
          <w:sz w:val="24"/>
          <w:szCs w:val="24"/>
          <w:lang w:eastAsia="en-AU"/>
        </w:rPr>
        <w:t xml:space="preserve"> payments are only required when </w:t>
      </w:r>
      <w:r w:rsidR="003167DC" w:rsidRPr="000104B3">
        <w:rPr>
          <w:rFonts w:ascii="Times New Roman" w:hAnsi="Times New Roman"/>
          <w:b/>
          <w:i/>
          <w:color w:val="000000"/>
          <w:sz w:val="24"/>
          <w:szCs w:val="24"/>
          <w:lang w:eastAsia="en-AU"/>
        </w:rPr>
        <w:t>margin</w:t>
      </w:r>
      <w:r w:rsidR="003167DC" w:rsidRPr="000104B3">
        <w:rPr>
          <w:rFonts w:ascii="Times New Roman" w:hAnsi="Times New Roman"/>
          <w:color w:val="000000"/>
          <w:sz w:val="24"/>
          <w:szCs w:val="24"/>
          <w:lang w:eastAsia="en-AU"/>
        </w:rPr>
        <w:t xml:space="preserve"> thresholds or specific criteria are met. If an agreement specifies that the variation </w:t>
      </w:r>
      <w:r w:rsidR="003167DC" w:rsidRPr="000104B3">
        <w:rPr>
          <w:rFonts w:ascii="Times New Roman" w:hAnsi="Times New Roman"/>
          <w:b/>
          <w:i/>
          <w:color w:val="000000"/>
          <w:sz w:val="24"/>
          <w:szCs w:val="24"/>
          <w:lang w:eastAsia="en-AU"/>
        </w:rPr>
        <w:t>margin</w:t>
      </w:r>
      <w:r w:rsidR="003167DC" w:rsidRPr="000104B3">
        <w:rPr>
          <w:rFonts w:ascii="Times New Roman" w:hAnsi="Times New Roman"/>
          <w:color w:val="000000"/>
          <w:sz w:val="24"/>
          <w:szCs w:val="24"/>
          <w:lang w:eastAsia="en-AU"/>
        </w:rPr>
        <w:t xml:space="preserve"> is to be used as settlement, then the </w:t>
      </w:r>
      <w:r w:rsidR="003167DC" w:rsidRPr="000104B3">
        <w:rPr>
          <w:rFonts w:ascii="Times New Roman" w:hAnsi="Times New Roman"/>
          <w:b/>
          <w:i/>
          <w:color w:val="000000"/>
          <w:sz w:val="24"/>
          <w:szCs w:val="24"/>
          <w:lang w:eastAsia="en-AU"/>
        </w:rPr>
        <w:t>derivative</w:t>
      </w:r>
      <w:r w:rsidR="003167DC" w:rsidRPr="000104B3">
        <w:rPr>
          <w:rFonts w:ascii="Times New Roman" w:hAnsi="Times New Roman"/>
          <w:color w:val="000000"/>
          <w:sz w:val="24"/>
          <w:szCs w:val="24"/>
          <w:lang w:eastAsia="en-AU"/>
        </w:rPr>
        <w:t xml:space="preserve"> is </w:t>
      </w:r>
      <w:r w:rsidR="003167DC" w:rsidRPr="000104B3">
        <w:rPr>
          <w:rFonts w:ascii="Times New Roman" w:hAnsi="Times New Roman"/>
          <w:b/>
          <w:i/>
          <w:color w:val="000000"/>
          <w:sz w:val="24"/>
          <w:szCs w:val="24"/>
          <w:lang w:eastAsia="en-AU"/>
        </w:rPr>
        <w:t>margined</w:t>
      </w:r>
      <w:r w:rsidR="003167DC" w:rsidRPr="000104B3">
        <w:rPr>
          <w:rFonts w:ascii="Times New Roman" w:hAnsi="Times New Roman"/>
          <w:color w:val="000000"/>
          <w:sz w:val="24"/>
          <w:szCs w:val="23"/>
          <w:lang w:eastAsia="en-AU"/>
        </w:rPr>
        <w:t xml:space="preserve">. </w:t>
      </w:r>
    </w:p>
    <w:p w14:paraId="52A76A67" w14:textId="77777777" w:rsidR="00233FEA" w:rsidRPr="00FA329B" w:rsidRDefault="00233FEA" w:rsidP="00233FEA">
      <w:pPr>
        <w:autoSpaceDE w:val="0"/>
        <w:autoSpaceDN w:val="0"/>
        <w:adjustRightInd w:val="0"/>
        <w:rPr>
          <w:rFonts w:ascii="Times New Roman" w:hAnsi="Times New Roman"/>
          <w:color w:val="000000"/>
          <w:sz w:val="24"/>
          <w:szCs w:val="23"/>
          <w:lang w:eastAsia="en-AU"/>
        </w:rPr>
      </w:pPr>
    </w:p>
    <w:p w14:paraId="7BA9D54B" w14:textId="23753B33" w:rsidR="00233FEA" w:rsidRPr="00FA329B" w:rsidRDefault="00233FEA" w:rsidP="00233FEA">
      <w:pPr>
        <w:autoSpaceDE w:val="0"/>
        <w:autoSpaceDN w:val="0"/>
        <w:adjustRightInd w:val="0"/>
        <w:rPr>
          <w:rFonts w:ascii="Times New Roman" w:hAnsi="Times New Roman"/>
          <w:color w:val="000000"/>
          <w:sz w:val="24"/>
          <w:szCs w:val="23"/>
          <w:lang w:eastAsia="en-AU"/>
        </w:rPr>
      </w:pPr>
      <w:r w:rsidRPr="00FA329B">
        <w:rPr>
          <w:rFonts w:ascii="Times New Roman" w:hAnsi="Times New Roman"/>
          <w:color w:val="000000"/>
          <w:sz w:val="24"/>
          <w:szCs w:val="23"/>
          <w:lang w:eastAsia="en-AU"/>
        </w:rPr>
        <w:t xml:space="preserve">If the variation </w:t>
      </w:r>
      <w:r w:rsidRPr="00FA329B">
        <w:rPr>
          <w:rFonts w:ascii="Times New Roman" w:hAnsi="Times New Roman"/>
          <w:b/>
          <w:i/>
          <w:color w:val="000000"/>
          <w:sz w:val="24"/>
          <w:szCs w:val="23"/>
          <w:lang w:eastAsia="en-AU"/>
        </w:rPr>
        <w:t xml:space="preserve">margin </w:t>
      </w:r>
      <w:r w:rsidRPr="00FA329B">
        <w:rPr>
          <w:rFonts w:ascii="Times New Roman" w:hAnsi="Times New Roman"/>
          <w:color w:val="000000"/>
          <w:sz w:val="24"/>
          <w:szCs w:val="23"/>
          <w:lang w:eastAsia="en-AU"/>
        </w:rPr>
        <w:t xml:space="preserve">is collateralised or the </w:t>
      </w:r>
      <w:r w:rsidRPr="00FA329B">
        <w:rPr>
          <w:rFonts w:ascii="Times New Roman" w:hAnsi="Times New Roman"/>
          <w:b/>
          <w:i/>
          <w:color w:val="000000"/>
          <w:sz w:val="24"/>
          <w:szCs w:val="23"/>
          <w:lang w:eastAsia="en-AU"/>
        </w:rPr>
        <w:t>derivative</w:t>
      </w:r>
      <w:r w:rsidRPr="00FA329B">
        <w:rPr>
          <w:rFonts w:ascii="Times New Roman" w:hAnsi="Times New Roman"/>
          <w:color w:val="000000"/>
          <w:sz w:val="24"/>
          <w:szCs w:val="23"/>
          <w:lang w:eastAsia="en-AU"/>
        </w:rPr>
        <w:t xml:space="preserve"> is not </w:t>
      </w:r>
      <w:r w:rsidRPr="00FA329B">
        <w:rPr>
          <w:rFonts w:ascii="Times New Roman" w:hAnsi="Times New Roman"/>
          <w:b/>
          <w:i/>
          <w:color w:val="000000"/>
          <w:sz w:val="24"/>
          <w:szCs w:val="23"/>
          <w:lang w:eastAsia="en-AU"/>
        </w:rPr>
        <w:t>margined</w:t>
      </w:r>
      <w:r w:rsidRPr="00FA329B">
        <w:rPr>
          <w:rFonts w:ascii="Times New Roman" w:hAnsi="Times New Roman"/>
          <w:color w:val="000000"/>
          <w:sz w:val="24"/>
          <w:szCs w:val="23"/>
          <w:lang w:eastAsia="en-AU"/>
        </w:rPr>
        <w:t xml:space="preserve"> at all, this means the variation margin is </w:t>
      </w:r>
      <w:r w:rsidRPr="00FA329B">
        <w:rPr>
          <w:rFonts w:ascii="Times New Roman" w:hAnsi="Times New Roman"/>
          <w:color w:val="000000"/>
          <w:sz w:val="24"/>
          <w:szCs w:val="23"/>
          <w:u w:val="single"/>
          <w:lang w:eastAsia="en-AU"/>
        </w:rPr>
        <w:t>not</w:t>
      </w:r>
      <w:r w:rsidRPr="00FA329B">
        <w:rPr>
          <w:rFonts w:ascii="Times New Roman" w:hAnsi="Times New Roman"/>
          <w:color w:val="000000"/>
          <w:sz w:val="24"/>
          <w:szCs w:val="23"/>
          <w:lang w:eastAsia="en-AU"/>
        </w:rPr>
        <w:t xml:space="preserve"> netted against the </w:t>
      </w:r>
      <w:r w:rsidRPr="00FA329B">
        <w:rPr>
          <w:rFonts w:ascii="Times New Roman" w:hAnsi="Times New Roman"/>
          <w:b/>
          <w:i/>
          <w:color w:val="000000"/>
          <w:sz w:val="24"/>
          <w:szCs w:val="23"/>
          <w:lang w:eastAsia="en-AU"/>
        </w:rPr>
        <w:t>derivative</w:t>
      </w:r>
      <w:r w:rsidRPr="00FA329B">
        <w:rPr>
          <w:rFonts w:ascii="Times New Roman" w:hAnsi="Times New Roman"/>
          <w:color w:val="000000"/>
          <w:sz w:val="24"/>
          <w:szCs w:val="23"/>
          <w:lang w:eastAsia="en-AU"/>
        </w:rPr>
        <w:t xml:space="preserve">. These </w:t>
      </w:r>
      <w:r w:rsidRPr="00FA329B">
        <w:rPr>
          <w:rFonts w:ascii="Times New Roman" w:hAnsi="Times New Roman"/>
          <w:b/>
          <w:i/>
          <w:color w:val="000000"/>
          <w:sz w:val="24"/>
          <w:szCs w:val="23"/>
          <w:lang w:eastAsia="en-AU"/>
        </w:rPr>
        <w:t xml:space="preserve">derivatives </w:t>
      </w:r>
      <w:r w:rsidRPr="00FA329B">
        <w:rPr>
          <w:rFonts w:ascii="Times New Roman" w:hAnsi="Times New Roman"/>
          <w:color w:val="000000"/>
          <w:sz w:val="24"/>
          <w:szCs w:val="23"/>
          <w:lang w:eastAsia="en-AU"/>
        </w:rPr>
        <w:t xml:space="preserve">should be reported as being </w:t>
      </w:r>
      <w:r w:rsidR="003167DC" w:rsidRPr="00FA329B">
        <w:rPr>
          <w:rFonts w:ascii="Times New Roman" w:hAnsi="Times New Roman"/>
          <w:color w:val="000000"/>
          <w:sz w:val="24"/>
          <w:szCs w:val="23"/>
          <w:lang w:eastAsia="en-AU"/>
        </w:rPr>
        <w:t>not</w:t>
      </w:r>
      <w:r w:rsidR="003167DC" w:rsidRPr="003167DC">
        <w:rPr>
          <w:rFonts w:ascii="Times New Roman" w:hAnsi="Times New Roman"/>
          <w:b/>
          <w:i/>
          <w:color w:val="000000"/>
          <w:sz w:val="24"/>
          <w:szCs w:val="23"/>
          <w:lang w:eastAsia="en-AU"/>
        </w:rPr>
        <w:t xml:space="preserve"> </w:t>
      </w:r>
      <w:r w:rsidRPr="00FA329B">
        <w:rPr>
          <w:rFonts w:ascii="Times New Roman" w:hAnsi="Times New Roman"/>
          <w:b/>
          <w:i/>
          <w:color w:val="000000"/>
          <w:sz w:val="24"/>
          <w:szCs w:val="23"/>
          <w:lang w:eastAsia="en-AU"/>
        </w:rPr>
        <w:t>margined</w:t>
      </w:r>
      <w:r w:rsidRPr="00FA329B">
        <w:rPr>
          <w:rFonts w:ascii="Times New Roman" w:hAnsi="Times New Roman"/>
          <w:color w:val="000000"/>
          <w:sz w:val="24"/>
          <w:szCs w:val="23"/>
          <w:lang w:eastAsia="en-AU"/>
        </w:rPr>
        <w:t xml:space="preserve">.  </w:t>
      </w:r>
    </w:p>
    <w:p w14:paraId="3D68A352" w14:textId="77777777" w:rsidR="00233FEA" w:rsidRPr="003B3E1C" w:rsidRDefault="00233FEA" w:rsidP="00233FEA">
      <w:pPr>
        <w:autoSpaceDE w:val="0"/>
        <w:autoSpaceDN w:val="0"/>
        <w:adjustRightInd w:val="0"/>
        <w:rPr>
          <w:rFonts w:ascii="Times New Roman" w:hAnsi="Times New Roman"/>
          <w:bCs/>
          <w:sz w:val="23"/>
          <w:szCs w:val="23"/>
        </w:rPr>
      </w:pPr>
    </w:p>
    <w:p w14:paraId="724E4B0A" w14:textId="77777777" w:rsidR="00233FEA" w:rsidRPr="003B3E1C" w:rsidRDefault="00233FEA" w:rsidP="00FA329B">
      <w:pPr>
        <w:pStyle w:val="Heading2"/>
      </w:pPr>
      <w:r w:rsidRPr="003B3E1C">
        <w:t>Futures</w:t>
      </w:r>
    </w:p>
    <w:p w14:paraId="182B892E" w14:textId="77777777" w:rsidR="00233FEA" w:rsidRPr="00FA329B" w:rsidRDefault="00233FEA" w:rsidP="00233FEA">
      <w:pPr>
        <w:pStyle w:val="Default"/>
        <w:jc w:val="both"/>
        <w:rPr>
          <w:color w:val="auto"/>
          <w:szCs w:val="23"/>
        </w:rPr>
      </w:pPr>
      <w:r w:rsidRPr="00FA329B">
        <w:rPr>
          <w:bCs/>
          <w:szCs w:val="23"/>
        </w:rPr>
        <w:t xml:space="preserve">Reporting of net transactions and </w:t>
      </w:r>
      <w:r w:rsidRPr="00E97C10">
        <w:rPr>
          <w:b/>
          <w:bCs/>
          <w:i/>
          <w:szCs w:val="23"/>
        </w:rPr>
        <w:t>revaluations</w:t>
      </w:r>
      <w:r w:rsidRPr="00FA329B">
        <w:rPr>
          <w:bCs/>
          <w:i/>
          <w:szCs w:val="23"/>
        </w:rPr>
        <w:t xml:space="preserve"> </w:t>
      </w:r>
      <w:r w:rsidRPr="00FA329B">
        <w:rPr>
          <w:bCs/>
          <w:szCs w:val="23"/>
        </w:rPr>
        <w:t xml:space="preserve">are to be reported on a net basis when the financial instrument is a future. </w:t>
      </w:r>
      <w:r w:rsidRPr="00FA329B">
        <w:rPr>
          <w:color w:val="auto"/>
          <w:szCs w:val="23"/>
        </w:rPr>
        <w:t xml:space="preserve">Futures should be reported only in item 9. </w:t>
      </w:r>
    </w:p>
    <w:p w14:paraId="593A5E4F" w14:textId="77777777" w:rsidR="00233FEA" w:rsidRPr="00FA329B" w:rsidRDefault="00233FEA" w:rsidP="00233FEA">
      <w:pPr>
        <w:autoSpaceDE w:val="0"/>
        <w:autoSpaceDN w:val="0"/>
        <w:adjustRightInd w:val="0"/>
        <w:rPr>
          <w:rFonts w:ascii="Times New Roman" w:hAnsi="Times New Roman"/>
          <w:sz w:val="24"/>
          <w:szCs w:val="23"/>
        </w:rPr>
      </w:pPr>
    </w:p>
    <w:p w14:paraId="2F40EA2C" w14:textId="77777777" w:rsidR="00233FEA" w:rsidRPr="00FA329B" w:rsidRDefault="00233FEA" w:rsidP="00233FEA">
      <w:pPr>
        <w:autoSpaceDE w:val="0"/>
        <w:autoSpaceDN w:val="0"/>
        <w:adjustRightInd w:val="0"/>
        <w:rPr>
          <w:rFonts w:ascii="Times New Roman" w:hAnsi="Times New Roman"/>
          <w:sz w:val="24"/>
          <w:szCs w:val="23"/>
        </w:rPr>
      </w:pPr>
      <w:r w:rsidRPr="00FA329B">
        <w:rPr>
          <w:rFonts w:ascii="Times New Roman" w:hAnsi="Times New Roman"/>
          <w:sz w:val="24"/>
          <w:szCs w:val="23"/>
        </w:rPr>
        <w:t xml:space="preserve">Futures are exchange-traded forward contracts. They have the following unique features: </w:t>
      </w:r>
    </w:p>
    <w:p w14:paraId="68645BEB" w14:textId="77777777" w:rsidR="00233FEA" w:rsidRPr="00FA329B" w:rsidRDefault="00233FEA" w:rsidP="00233FEA">
      <w:pPr>
        <w:autoSpaceDE w:val="0"/>
        <w:autoSpaceDN w:val="0"/>
        <w:adjustRightInd w:val="0"/>
        <w:rPr>
          <w:rFonts w:ascii="Times New Roman" w:hAnsi="Times New Roman"/>
          <w:sz w:val="24"/>
          <w:szCs w:val="23"/>
        </w:rPr>
      </w:pPr>
    </w:p>
    <w:p w14:paraId="6D274094" w14:textId="77777777" w:rsidR="00233FEA" w:rsidRPr="00FA329B" w:rsidRDefault="00233FEA" w:rsidP="00233FEA">
      <w:pPr>
        <w:pStyle w:val="ListParagraph"/>
        <w:numPr>
          <w:ilvl w:val="0"/>
          <w:numId w:val="12"/>
        </w:numPr>
        <w:autoSpaceDE w:val="0"/>
        <w:autoSpaceDN w:val="0"/>
        <w:adjustRightInd w:val="0"/>
        <w:spacing w:after="194"/>
        <w:contextualSpacing/>
        <w:rPr>
          <w:rFonts w:ascii="Times New Roman" w:hAnsi="Times New Roman"/>
          <w:sz w:val="24"/>
          <w:szCs w:val="23"/>
        </w:rPr>
      </w:pPr>
      <w:r w:rsidRPr="00FA329B">
        <w:rPr>
          <w:rFonts w:ascii="Times New Roman" w:hAnsi="Times New Roman"/>
          <w:sz w:val="24"/>
          <w:szCs w:val="23"/>
        </w:rPr>
        <w:t xml:space="preserve">they have a value of zero for the opening and closing positions as they are fully </w:t>
      </w:r>
      <w:r w:rsidRPr="00E97C10">
        <w:rPr>
          <w:rFonts w:ascii="Times New Roman" w:hAnsi="Times New Roman"/>
          <w:b/>
          <w:i/>
          <w:sz w:val="24"/>
          <w:szCs w:val="23"/>
        </w:rPr>
        <w:t>margined</w:t>
      </w:r>
      <w:r w:rsidRPr="00FA329B">
        <w:rPr>
          <w:rFonts w:ascii="Times New Roman" w:hAnsi="Times New Roman"/>
          <w:sz w:val="24"/>
          <w:szCs w:val="23"/>
        </w:rPr>
        <w:t xml:space="preserve"> (or settled) daily to square off any mark to market changes; </w:t>
      </w:r>
    </w:p>
    <w:p w14:paraId="15E5516C" w14:textId="77777777" w:rsidR="00233FEA" w:rsidRPr="00FA329B" w:rsidRDefault="00233FEA" w:rsidP="00233FEA">
      <w:pPr>
        <w:pStyle w:val="ListParagraph"/>
        <w:numPr>
          <w:ilvl w:val="0"/>
          <w:numId w:val="12"/>
        </w:numPr>
        <w:autoSpaceDE w:val="0"/>
        <w:autoSpaceDN w:val="0"/>
        <w:adjustRightInd w:val="0"/>
        <w:contextualSpacing/>
        <w:rPr>
          <w:rFonts w:ascii="Times New Roman" w:hAnsi="Times New Roman"/>
          <w:sz w:val="24"/>
          <w:szCs w:val="23"/>
        </w:rPr>
      </w:pPr>
      <w:r w:rsidRPr="00FA329B">
        <w:rPr>
          <w:rFonts w:ascii="Times New Roman" w:hAnsi="Times New Roman"/>
          <w:sz w:val="24"/>
          <w:szCs w:val="23"/>
        </w:rPr>
        <w:t xml:space="preserve">a reporting institution can have several contracts during a period with the exchange that are settled on a net basis. </w:t>
      </w:r>
    </w:p>
    <w:p w14:paraId="19716631" w14:textId="77777777" w:rsidR="00233FEA" w:rsidRPr="003B3E1C" w:rsidRDefault="00233FEA" w:rsidP="00FA329B">
      <w:pPr>
        <w:pStyle w:val="Heading2"/>
      </w:pPr>
      <w:r w:rsidRPr="003B3E1C">
        <w:lastRenderedPageBreak/>
        <w:t>Values</w:t>
      </w:r>
    </w:p>
    <w:p w14:paraId="2E6A23FE" w14:textId="77777777"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sz w:val="24"/>
          <w:szCs w:val="23"/>
        </w:rPr>
        <w:t xml:space="preserve">The valuation basis for all </w:t>
      </w:r>
      <w:r w:rsidRPr="00FA329B">
        <w:rPr>
          <w:rFonts w:ascii="Times New Roman" w:hAnsi="Times New Roman"/>
          <w:b/>
          <w:i/>
          <w:sz w:val="24"/>
          <w:szCs w:val="23"/>
        </w:rPr>
        <w:t>derivatives</w:t>
      </w:r>
      <w:r w:rsidRPr="00FA329B">
        <w:rPr>
          <w:rFonts w:ascii="Times New Roman" w:hAnsi="Times New Roman"/>
          <w:sz w:val="24"/>
          <w:szCs w:val="23"/>
        </w:rPr>
        <w:t xml:space="preserve"> reported on the ARF 722.0 is the </w:t>
      </w:r>
      <w:r w:rsidRPr="00FA329B">
        <w:rPr>
          <w:rFonts w:ascii="Times New Roman" w:hAnsi="Times New Roman"/>
          <w:b/>
          <w:i/>
          <w:sz w:val="24"/>
          <w:szCs w:val="23"/>
        </w:rPr>
        <w:t>market value</w:t>
      </w:r>
      <w:r w:rsidRPr="00FA329B">
        <w:rPr>
          <w:rFonts w:ascii="Times New Roman" w:hAnsi="Times New Roman"/>
          <w:sz w:val="24"/>
          <w:szCs w:val="23"/>
        </w:rPr>
        <w:t xml:space="preserve"> effective for the </w:t>
      </w:r>
      <w:r w:rsidRPr="00FA329B">
        <w:rPr>
          <w:rFonts w:ascii="Times New Roman" w:hAnsi="Times New Roman"/>
          <w:b/>
          <w:i/>
          <w:sz w:val="24"/>
          <w:szCs w:val="23"/>
        </w:rPr>
        <w:t>reporting period</w:t>
      </w:r>
      <w:r w:rsidRPr="00FA329B">
        <w:rPr>
          <w:rFonts w:ascii="Times New Roman" w:hAnsi="Times New Roman"/>
          <w:sz w:val="24"/>
          <w:szCs w:val="23"/>
        </w:rPr>
        <w:t xml:space="preserve">. Where denominated in foreign currency, </w:t>
      </w:r>
      <w:r w:rsidRPr="00FA329B">
        <w:rPr>
          <w:rFonts w:ascii="Times New Roman" w:hAnsi="Times New Roman"/>
          <w:b/>
          <w:i/>
          <w:sz w:val="24"/>
          <w:szCs w:val="23"/>
        </w:rPr>
        <w:t>market values</w:t>
      </w:r>
      <w:r w:rsidRPr="00FA329B">
        <w:rPr>
          <w:rFonts w:ascii="Times New Roman" w:hAnsi="Times New Roman"/>
          <w:sz w:val="24"/>
          <w:szCs w:val="23"/>
        </w:rPr>
        <w:t xml:space="preserve"> in foreign currency should be converted to AUD at the spot rate effective as at </w:t>
      </w:r>
      <w:r w:rsidRPr="00FA329B">
        <w:rPr>
          <w:rFonts w:ascii="Times New Roman" w:hAnsi="Times New Roman"/>
          <w:bCs/>
          <w:iCs/>
          <w:color w:val="000000"/>
          <w:sz w:val="24"/>
          <w:szCs w:val="23"/>
        </w:rPr>
        <w:t xml:space="preserve">the end of the </w:t>
      </w:r>
      <w:r w:rsidRPr="00FA329B">
        <w:rPr>
          <w:rFonts w:ascii="Times New Roman" w:hAnsi="Times New Roman"/>
          <w:b/>
          <w:bCs/>
          <w:i/>
          <w:iCs/>
          <w:color w:val="000000"/>
          <w:sz w:val="24"/>
          <w:szCs w:val="23"/>
        </w:rPr>
        <w:t>reporting period</w:t>
      </w:r>
      <w:r w:rsidRPr="00FA329B">
        <w:rPr>
          <w:rFonts w:ascii="Times New Roman" w:hAnsi="Times New Roman"/>
          <w:sz w:val="24"/>
          <w:szCs w:val="23"/>
        </w:rPr>
        <w:t xml:space="preserve">. The value of the underlying financial instrument should not be included, except as it relates to the </w:t>
      </w:r>
      <w:r w:rsidRPr="00FA329B">
        <w:rPr>
          <w:rFonts w:ascii="Times New Roman" w:hAnsi="Times New Roman"/>
          <w:b/>
          <w:i/>
          <w:sz w:val="24"/>
          <w:szCs w:val="23"/>
        </w:rPr>
        <w:t>market value</w:t>
      </w:r>
      <w:r w:rsidRPr="00FA329B">
        <w:rPr>
          <w:rFonts w:ascii="Times New Roman" w:hAnsi="Times New Roman"/>
          <w:sz w:val="24"/>
          <w:szCs w:val="23"/>
        </w:rPr>
        <w:t xml:space="preserve"> of the </w:t>
      </w:r>
      <w:r w:rsidRPr="00FA329B">
        <w:rPr>
          <w:rFonts w:ascii="Times New Roman" w:hAnsi="Times New Roman"/>
          <w:b/>
          <w:i/>
          <w:sz w:val="24"/>
          <w:szCs w:val="23"/>
        </w:rPr>
        <w:t>derivatives</w:t>
      </w:r>
      <w:r w:rsidRPr="00FA329B">
        <w:rPr>
          <w:rFonts w:ascii="Times New Roman" w:hAnsi="Times New Roman"/>
          <w:sz w:val="24"/>
          <w:szCs w:val="23"/>
        </w:rPr>
        <w:t xml:space="preserve">. </w:t>
      </w:r>
    </w:p>
    <w:p w14:paraId="38F397F9" w14:textId="77777777" w:rsidR="00233FEA" w:rsidRPr="00FA329B" w:rsidRDefault="00233FEA" w:rsidP="00233FEA">
      <w:pPr>
        <w:autoSpaceDE w:val="0"/>
        <w:autoSpaceDN w:val="0"/>
        <w:adjustRightInd w:val="0"/>
        <w:jc w:val="both"/>
        <w:rPr>
          <w:rFonts w:ascii="Times New Roman" w:hAnsi="Times New Roman"/>
          <w:sz w:val="24"/>
          <w:szCs w:val="23"/>
        </w:rPr>
      </w:pPr>
    </w:p>
    <w:p w14:paraId="7419F6FB" w14:textId="77777777"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sz w:val="24"/>
          <w:szCs w:val="23"/>
        </w:rPr>
        <w:t>Report values on ARF 722.0 as whole dollars.</w:t>
      </w:r>
    </w:p>
    <w:p w14:paraId="2324FEFC" w14:textId="77777777" w:rsidR="00233FEA" w:rsidRPr="003B3E1C" w:rsidRDefault="00233FEA" w:rsidP="00FA329B">
      <w:pPr>
        <w:pStyle w:val="Heading2"/>
      </w:pPr>
      <w:r w:rsidRPr="003B3E1C">
        <w:t>Standard Business Reporting (SBR)</w:t>
      </w:r>
    </w:p>
    <w:p w14:paraId="5D56D081" w14:textId="77777777" w:rsidR="00233FEA" w:rsidRPr="00FA329B" w:rsidRDefault="00233FEA" w:rsidP="00233FEA">
      <w:pPr>
        <w:autoSpaceDE w:val="0"/>
        <w:autoSpaceDN w:val="0"/>
        <w:adjustRightInd w:val="0"/>
        <w:jc w:val="both"/>
        <w:rPr>
          <w:rFonts w:ascii="Times New Roman" w:hAnsi="Times New Roman"/>
          <w:sz w:val="24"/>
          <w:szCs w:val="23"/>
        </w:rPr>
      </w:pPr>
      <w:r w:rsidRPr="00FA329B">
        <w:rPr>
          <w:rFonts w:ascii="Times New Roman" w:hAnsi="Times New Roman"/>
          <w:sz w:val="24"/>
          <w:szCs w:val="23"/>
        </w:rPr>
        <w:t>The accounting type (i.e. credit or debit) is stated for all monetary items and represents the natural accounting balance of the item collected.</w:t>
      </w:r>
    </w:p>
    <w:p w14:paraId="6689BF3A" w14:textId="77777777" w:rsidR="00233FEA" w:rsidRPr="00847D28" w:rsidRDefault="00233FEA" w:rsidP="00233FEA">
      <w:pPr>
        <w:autoSpaceDE w:val="0"/>
        <w:autoSpaceDN w:val="0"/>
        <w:adjustRightInd w:val="0"/>
        <w:jc w:val="both"/>
        <w:rPr>
          <w:rFonts w:ascii="Arial" w:hAnsi="Arial" w:cs="Arial"/>
          <w:b/>
          <w:sz w:val="23"/>
          <w:szCs w:val="23"/>
        </w:rPr>
      </w:pPr>
    </w:p>
    <w:p w14:paraId="4D79F028" w14:textId="77777777" w:rsidR="00233FEA" w:rsidRDefault="00233FEA" w:rsidP="00FA329B">
      <w:pPr>
        <w:pStyle w:val="Heading1"/>
      </w:pPr>
      <w:r w:rsidRPr="000473B7">
        <w:t>Specific</w:t>
      </w:r>
      <w:r w:rsidRPr="00AB4984">
        <w:t xml:space="preserve"> instructions</w:t>
      </w:r>
    </w:p>
    <w:p w14:paraId="59FF116F" w14:textId="77777777" w:rsidR="00233FEA" w:rsidRPr="00AB4984" w:rsidRDefault="00233FEA" w:rsidP="00233FEA">
      <w:pPr>
        <w:autoSpaceDE w:val="0"/>
        <w:autoSpaceDN w:val="0"/>
        <w:adjustRightInd w:val="0"/>
        <w:jc w:val="both"/>
        <w:rPr>
          <w:rFonts w:ascii="Arial" w:hAnsi="Arial" w:cs="Arial"/>
          <w:b/>
          <w:sz w:val="32"/>
          <w:szCs w:val="32"/>
        </w:rPr>
      </w:pPr>
    </w:p>
    <w:p w14:paraId="294CC689" w14:textId="524124CE" w:rsidR="00233FEA" w:rsidRPr="00FA329B" w:rsidRDefault="00233FEA" w:rsidP="00233FEA">
      <w:pPr>
        <w:spacing w:after="240"/>
        <w:jc w:val="both"/>
        <w:outlineLvl w:val="0"/>
        <w:rPr>
          <w:rFonts w:ascii="Times New Roman" w:hAnsi="Times New Roman"/>
          <w:sz w:val="24"/>
          <w:szCs w:val="23"/>
        </w:rPr>
      </w:pPr>
      <w:r w:rsidRPr="00FA329B">
        <w:rPr>
          <w:rFonts w:ascii="Times New Roman" w:hAnsi="Times New Roman"/>
          <w:sz w:val="24"/>
          <w:szCs w:val="23"/>
        </w:rPr>
        <w:t xml:space="preserve">Terms highlighted in </w:t>
      </w:r>
      <w:r w:rsidRPr="00FA329B">
        <w:rPr>
          <w:rFonts w:ascii="Times New Roman" w:hAnsi="Times New Roman"/>
          <w:b/>
          <w:i/>
          <w:sz w:val="24"/>
          <w:szCs w:val="23"/>
        </w:rPr>
        <w:t>bold italics</w:t>
      </w:r>
      <w:r w:rsidRPr="00FA329B">
        <w:rPr>
          <w:rFonts w:ascii="Times New Roman" w:hAnsi="Times New Roman"/>
          <w:sz w:val="24"/>
          <w:szCs w:val="23"/>
        </w:rPr>
        <w:t xml:space="preserve"> </w:t>
      </w:r>
      <w:r>
        <w:rPr>
          <w:rFonts w:ascii="Times New Roman" w:hAnsi="Times New Roman"/>
          <w:sz w:val="24"/>
          <w:szCs w:val="23"/>
        </w:rPr>
        <w:t xml:space="preserve">are defined in </w:t>
      </w:r>
      <w:r w:rsidRPr="00FA329B">
        <w:rPr>
          <w:rFonts w:ascii="Times New Roman" w:hAnsi="Times New Roman"/>
          <w:sz w:val="24"/>
          <w:szCs w:val="23"/>
        </w:rPr>
        <w:t>ARS 701.0.</w:t>
      </w:r>
    </w:p>
    <w:p w14:paraId="01694F3D" w14:textId="77777777" w:rsidR="00233FEA" w:rsidRPr="00FA329B" w:rsidRDefault="00233FEA" w:rsidP="00233FEA">
      <w:pPr>
        <w:spacing w:after="240"/>
        <w:jc w:val="both"/>
        <w:outlineLvl w:val="0"/>
        <w:rPr>
          <w:rFonts w:ascii="Times New Roman" w:hAnsi="Times New Roman"/>
          <w:sz w:val="24"/>
          <w:szCs w:val="23"/>
        </w:rPr>
      </w:pPr>
      <w:r w:rsidRPr="00FA329B">
        <w:rPr>
          <w:rFonts w:ascii="Times New Roman" w:hAnsi="Times New Roman"/>
          <w:sz w:val="24"/>
          <w:szCs w:val="23"/>
        </w:rPr>
        <w:t xml:space="preserve">All derived fields in the form are shaded in grey and are explained in words as a mathematical expression in these instructions.  </w:t>
      </w:r>
    </w:p>
    <w:p w14:paraId="401185FE" w14:textId="77777777" w:rsidR="00233FEA" w:rsidRPr="00FA329B" w:rsidRDefault="00233FEA" w:rsidP="00233FEA">
      <w:pPr>
        <w:spacing w:after="240"/>
        <w:jc w:val="both"/>
        <w:rPr>
          <w:rFonts w:ascii="Times New Roman" w:hAnsi="Times New Roman"/>
          <w:i/>
          <w:sz w:val="24"/>
          <w:szCs w:val="23"/>
        </w:rPr>
      </w:pPr>
      <w:r w:rsidRPr="00FA329B">
        <w:rPr>
          <w:rFonts w:ascii="Times New Roman" w:hAnsi="Times New Roman"/>
          <w:sz w:val="24"/>
          <w:szCs w:val="23"/>
        </w:rPr>
        <w:t>Examples included under ‘Include’ and ‘Exclude’ are examples and should not be taken as an exhaustive list of items to be included or excluded.</w:t>
      </w:r>
      <w:r w:rsidRPr="00FA329B">
        <w:rPr>
          <w:rFonts w:ascii="Times New Roman" w:hAnsi="Times New Roman"/>
          <w:i/>
          <w:sz w:val="24"/>
          <w:szCs w:val="23"/>
        </w:rPr>
        <w:t xml:space="preserve">  </w:t>
      </w:r>
    </w:p>
    <w:p w14:paraId="7B4E28E7" w14:textId="77777777" w:rsidR="00233FEA" w:rsidRPr="00FA329B" w:rsidRDefault="00233FEA" w:rsidP="00233FEA">
      <w:pPr>
        <w:spacing w:after="240"/>
        <w:jc w:val="both"/>
        <w:rPr>
          <w:rFonts w:ascii="Arial" w:hAnsi="Arial" w:cs="Arial"/>
          <w:b/>
          <w:sz w:val="24"/>
          <w:szCs w:val="23"/>
        </w:rPr>
      </w:pPr>
      <w:r w:rsidRPr="00FA329B">
        <w:rPr>
          <w:rFonts w:ascii="Arial" w:hAnsi="Arial" w:cs="Arial"/>
          <w:b/>
          <w:sz w:val="24"/>
          <w:szCs w:val="23"/>
        </w:rPr>
        <w:t xml:space="preserve">Section A: Derivatives </w:t>
      </w:r>
      <w:r w:rsidRPr="00FA329B">
        <w:rPr>
          <w:rFonts w:ascii="Arial" w:eastAsia="Times New Roman" w:hAnsi="Arial" w:cs="Arial"/>
          <w:b/>
          <w:sz w:val="24"/>
          <w:szCs w:val="23"/>
          <w:lang w:eastAsia="en-AU"/>
        </w:rPr>
        <w:t>with counterparties excluding clearing houses and central counterparties</w:t>
      </w:r>
      <w:r w:rsidRPr="00FA329B">
        <w:rPr>
          <w:rFonts w:ascii="Arial" w:hAnsi="Arial" w:cs="Arial"/>
          <w:b/>
          <w:sz w:val="24"/>
          <w:szCs w:val="23"/>
        </w:rPr>
        <w:t xml:space="preserve">  </w:t>
      </w:r>
    </w:p>
    <w:p w14:paraId="0084241A" w14:textId="77777777" w:rsidR="00233FEA" w:rsidRPr="00FA329B" w:rsidRDefault="00233FEA" w:rsidP="00FA329B">
      <w:pPr>
        <w:pStyle w:val="Heading3"/>
        <w:rPr>
          <w:b w:val="0"/>
        </w:rPr>
      </w:pPr>
      <w:r w:rsidRPr="00FA329B">
        <w:t>Derivatives with gross positive mark to market values and resident counterparties excluding clearing houses and central counterparties</w:t>
      </w:r>
    </w:p>
    <w:p w14:paraId="6869A86C" w14:textId="77777777" w:rsidR="00233FEA" w:rsidRPr="003B3E1C" w:rsidRDefault="00233FEA" w:rsidP="00233FEA">
      <w:pPr>
        <w:rPr>
          <w:rFonts w:ascii="Times New Roman" w:eastAsia="Times New Roman" w:hAnsi="Times New Roman"/>
          <w:b/>
          <w:sz w:val="23"/>
          <w:szCs w:val="23"/>
          <w:lang w:eastAsia="en-AU"/>
        </w:rPr>
      </w:pPr>
    </w:p>
    <w:p w14:paraId="386F332B" w14:textId="77777777" w:rsidR="00233FEA" w:rsidRPr="00FA329B" w:rsidRDefault="00233FEA" w:rsidP="00233FEA">
      <w:pPr>
        <w:spacing w:after="240"/>
        <w:jc w:val="both"/>
        <w:rPr>
          <w:rFonts w:ascii="Times New Roman" w:hAnsi="Times New Roman"/>
          <w:b/>
          <w:i/>
          <w:sz w:val="24"/>
          <w:szCs w:val="23"/>
        </w:rPr>
      </w:pPr>
      <w:r w:rsidRPr="00FA329B">
        <w:rPr>
          <w:rFonts w:ascii="Times New Roman" w:hAnsi="Times New Roman"/>
          <w:sz w:val="24"/>
          <w:szCs w:val="23"/>
        </w:rPr>
        <w:t xml:space="preserve">Item 1 collects information on the value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at the beginning and end of the </w:t>
      </w:r>
      <w:r w:rsidRPr="00FA329B">
        <w:rPr>
          <w:rFonts w:ascii="Times New Roman" w:hAnsi="Times New Roman"/>
          <w:b/>
          <w:i/>
          <w:sz w:val="24"/>
          <w:szCs w:val="23"/>
        </w:rPr>
        <w:t>reporting period</w:t>
      </w:r>
      <w:r w:rsidRPr="00FA329B">
        <w:rPr>
          <w:rFonts w:ascii="Times New Roman" w:hAnsi="Times New Roman"/>
          <w:sz w:val="24"/>
          <w:szCs w:val="23"/>
        </w:rPr>
        <w:t xml:space="preserve"> with </w:t>
      </w:r>
      <w:r w:rsidRPr="00FA329B">
        <w:rPr>
          <w:rFonts w:ascii="Times New Roman" w:hAnsi="Times New Roman"/>
          <w:b/>
          <w:i/>
          <w:sz w:val="24"/>
          <w:szCs w:val="23"/>
        </w:rPr>
        <w:t>resident</w:t>
      </w:r>
      <w:r w:rsidRPr="00FA329B">
        <w:rPr>
          <w:rFonts w:ascii="Times New Roman" w:hAnsi="Times New Roman"/>
          <w:sz w:val="24"/>
          <w:szCs w:val="23"/>
        </w:rPr>
        <w:t xml:space="preserve"> counterparties, excluding </w:t>
      </w:r>
      <w:r w:rsidRPr="00FA329B">
        <w:rPr>
          <w:rFonts w:ascii="Times New Roman" w:hAnsi="Times New Roman"/>
          <w:b/>
          <w:i/>
          <w:sz w:val="24"/>
          <w:szCs w:val="23"/>
        </w:rPr>
        <w:t>clearing houses and central counterparties</w:t>
      </w:r>
      <w:r w:rsidRPr="00FA329B">
        <w:rPr>
          <w:rFonts w:ascii="Times New Roman" w:hAnsi="Times New Roman"/>
          <w:sz w:val="24"/>
          <w:szCs w:val="23"/>
        </w:rPr>
        <w:t>.</w:t>
      </w:r>
      <w:r w:rsidRPr="00FA329B">
        <w:rPr>
          <w:rFonts w:ascii="Times New Roman" w:hAnsi="Times New Roman"/>
          <w:b/>
          <w:i/>
          <w:sz w:val="24"/>
          <w:szCs w:val="23"/>
        </w:rPr>
        <w:t xml:space="preserve"> </w:t>
      </w:r>
      <w:r w:rsidRPr="00FA329B">
        <w:rPr>
          <w:rFonts w:ascii="Times New Roman" w:hAnsi="Times New Roman"/>
          <w:sz w:val="24"/>
          <w:szCs w:val="23"/>
        </w:rPr>
        <w:t xml:space="preserve">It also collects movements in the value of holdings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due to transactions and </w:t>
      </w:r>
      <w:r w:rsidRPr="00E97C10">
        <w:rPr>
          <w:rFonts w:ascii="Times New Roman" w:hAnsi="Times New Roman"/>
          <w:b/>
          <w:i/>
          <w:sz w:val="24"/>
          <w:szCs w:val="23"/>
        </w:rPr>
        <w:t>revaluations</w:t>
      </w:r>
      <w:r w:rsidRPr="00FA329B">
        <w:rPr>
          <w:rFonts w:ascii="Times New Roman" w:hAnsi="Times New Roman"/>
          <w:sz w:val="24"/>
          <w:szCs w:val="23"/>
        </w:rPr>
        <w:t xml:space="preserve"> that occurred during the </w:t>
      </w:r>
      <w:r w:rsidRPr="00FA329B">
        <w:rPr>
          <w:rFonts w:ascii="Times New Roman" w:hAnsi="Times New Roman"/>
          <w:b/>
          <w:i/>
          <w:sz w:val="24"/>
          <w:szCs w:val="23"/>
        </w:rPr>
        <w:t xml:space="preserve">reporting period. </w:t>
      </w:r>
    </w:p>
    <w:p w14:paraId="1D0AC833" w14:textId="77777777" w:rsidR="00233FEA" w:rsidRPr="00FA329B" w:rsidRDefault="00233FEA" w:rsidP="00233FEA">
      <w:pPr>
        <w:pStyle w:val="Default"/>
        <w:jc w:val="both"/>
        <w:rPr>
          <w:color w:val="auto"/>
          <w:szCs w:val="23"/>
        </w:rPr>
      </w:pPr>
      <w:r w:rsidRPr="00FA329B">
        <w:rPr>
          <w:color w:val="auto"/>
          <w:szCs w:val="23"/>
        </w:rPr>
        <w:t xml:space="preserve">Futures should be excluded from this item, and reported only in item 9. </w:t>
      </w:r>
    </w:p>
    <w:p w14:paraId="41AEFC42" w14:textId="77777777" w:rsidR="00233FEA" w:rsidRPr="003B3E1C" w:rsidRDefault="00233FEA" w:rsidP="00233FEA">
      <w:pPr>
        <w:pStyle w:val="Default"/>
        <w:jc w:val="both"/>
        <w:rPr>
          <w:sz w:val="23"/>
          <w:szCs w:val="23"/>
        </w:rPr>
      </w:pPr>
    </w:p>
    <w:tbl>
      <w:tblPr>
        <w:tblW w:w="9071" w:type="dxa"/>
        <w:tblInd w:w="108" w:type="dxa"/>
        <w:tblLayout w:type="fixed"/>
        <w:tblLook w:val="04A0" w:firstRow="1" w:lastRow="0" w:firstColumn="1" w:lastColumn="0" w:noHBand="0" w:noVBand="1"/>
      </w:tblPr>
      <w:tblGrid>
        <w:gridCol w:w="1701"/>
        <w:gridCol w:w="7370"/>
      </w:tblGrid>
      <w:tr w:rsidR="00233FEA" w:rsidRPr="003B3E1C" w14:paraId="766C85EF"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71103E8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73A9C21"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type of counterparty (see List 1.1 for further details).</w:t>
            </w:r>
          </w:p>
          <w:p w14:paraId="3E84598F" w14:textId="77777777" w:rsidR="00233FEA" w:rsidRPr="00FA329B" w:rsidRDefault="00233FEA" w:rsidP="003167DC">
            <w:pPr>
              <w:autoSpaceDE w:val="0"/>
              <w:autoSpaceDN w:val="0"/>
              <w:adjustRightInd w:val="0"/>
              <w:jc w:val="both"/>
              <w:rPr>
                <w:rFonts w:ascii="Times New Roman" w:hAnsi="Times New Roman"/>
                <w:bCs/>
                <w:sz w:val="24"/>
                <w:szCs w:val="23"/>
              </w:rPr>
            </w:pPr>
          </w:p>
        </w:tc>
      </w:tr>
      <w:tr w:rsidR="00233FEA" w:rsidRPr="003B3E1C" w14:paraId="455F6D93"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3C5B0A8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BAEA0E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instrument type (see List 1.1 for further details). </w:t>
            </w:r>
          </w:p>
        </w:tc>
      </w:tr>
      <w:tr w:rsidR="00233FEA" w:rsidRPr="003B3E1C" w14:paraId="72836F34"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78FB67F5"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FD00DC0"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opening position</w:t>
            </w:r>
            <w:r w:rsidRPr="00FA329B">
              <w:rPr>
                <w:rFonts w:ascii="Times New Roman" w:hAnsi="Times New Roman"/>
                <w:bCs/>
                <w:i/>
                <w:sz w:val="24"/>
                <w:szCs w:val="23"/>
              </w:rPr>
              <w:t xml:space="preserve"> </w:t>
            </w:r>
            <w:r w:rsidRPr="00FA329B">
              <w:rPr>
                <w:rFonts w:ascii="Times New Roman" w:hAnsi="Times New Roman"/>
                <w:bCs/>
                <w:sz w:val="24"/>
                <w:szCs w:val="23"/>
              </w:rPr>
              <w:t>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p>
          <w:p w14:paraId="4BAC6062" w14:textId="77777777" w:rsidR="00233FEA" w:rsidRPr="00FA329B" w:rsidRDefault="00233FEA" w:rsidP="003167DC">
            <w:pPr>
              <w:autoSpaceDE w:val="0"/>
              <w:autoSpaceDN w:val="0"/>
              <w:adjustRightInd w:val="0"/>
              <w:jc w:val="both"/>
              <w:rPr>
                <w:rFonts w:ascii="Times New Roman" w:hAnsi="Times New Roman"/>
                <w:bCs/>
                <w:sz w:val="24"/>
                <w:szCs w:val="23"/>
              </w:rPr>
            </w:pPr>
          </w:p>
          <w:p w14:paraId="2EFA5D14"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55D19B0F" w14:textId="77777777" w:rsidR="00233FEA" w:rsidRPr="00FA329B" w:rsidRDefault="00233FEA" w:rsidP="003167DC">
            <w:pPr>
              <w:autoSpaceDE w:val="0"/>
              <w:autoSpaceDN w:val="0"/>
              <w:adjustRightInd w:val="0"/>
              <w:jc w:val="both"/>
              <w:rPr>
                <w:rFonts w:ascii="Times New Roman" w:hAnsi="Times New Roman"/>
                <w:bCs/>
                <w:sz w:val="24"/>
                <w:szCs w:val="23"/>
              </w:rPr>
            </w:pPr>
          </w:p>
          <w:p w14:paraId="653683A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 opening position should be the closing position of the previous quarter, that is, the mark to market value of </w:t>
            </w:r>
            <w:r w:rsidRPr="00FA329B">
              <w:rPr>
                <w:rFonts w:ascii="Times New Roman" w:hAnsi="Times New Roman"/>
                <w:b/>
                <w:bCs/>
                <w:i/>
                <w:sz w:val="24"/>
                <w:szCs w:val="23"/>
              </w:rPr>
              <w:t>derivatives</w:t>
            </w:r>
            <w:r w:rsidRPr="00FA329B">
              <w:rPr>
                <w:rFonts w:ascii="Times New Roman" w:hAnsi="Times New Roman"/>
                <w:bCs/>
                <w:sz w:val="24"/>
                <w:szCs w:val="23"/>
              </w:rPr>
              <w:t xml:space="preserve"> in a</w:t>
            </w:r>
            <w:r w:rsidRPr="00FA329B">
              <w:rPr>
                <w:rFonts w:ascii="Times New Roman" w:hAnsi="Times New Roman"/>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positions at the end of the previous quarter.</w:t>
            </w:r>
          </w:p>
          <w:p w14:paraId="7764E159" w14:textId="77777777" w:rsidR="00233FEA" w:rsidRPr="00FA329B" w:rsidRDefault="00233FEA" w:rsidP="003167DC">
            <w:pPr>
              <w:autoSpaceDE w:val="0"/>
              <w:autoSpaceDN w:val="0"/>
              <w:adjustRightInd w:val="0"/>
              <w:jc w:val="both"/>
              <w:rPr>
                <w:rFonts w:ascii="Times New Roman" w:hAnsi="Times New Roman"/>
                <w:bCs/>
                <w:sz w:val="24"/>
                <w:szCs w:val="23"/>
              </w:rPr>
            </w:pPr>
          </w:p>
          <w:p w14:paraId="74260B11"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1.1(3) is a derived item. Report the value of opening position</w:t>
            </w:r>
            <w:r w:rsidRPr="00FA329B">
              <w:rPr>
                <w:rFonts w:ascii="Times New Roman" w:hAnsi="Times New Roman"/>
                <w:b/>
                <w:bCs/>
                <w:i/>
                <w:sz w:val="24"/>
                <w:szCs w:val="23"/>
              </w:rPr>
              <w:t xml:space="preserve"> </w:t>
            </w:r>
            <w:r w:rsidRPr="00FA329B">
              <w:rPr>
                <w:rFonts w:ascii="Times New Roman" w:hAnsi="Times New Roman"/>
                <w:bCs/>
                <w:sz w:val="24"/>
                <w:szCs w:val="23"/>
              </w:rPr>
              <w:t>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1.1(3) as the sum of column 3.</w:t>
            </w:r>
          </w:p>
        </w:tc>
      </w:tr>
      <w:tr w:rsidR="00233FEA" w:rsidRPr="003B3E1C" w14:paraId="14B29357"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374E0A9D"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4"/>
              </w:rPr>
              <w:lastRenderedPageBreak/>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7F9F217" w14:textId="77777777" w:rsidR="00233FEA" w:rsidRPr="00FA329B" w:rsidRDefault="00233FEA" w:rsidP="003167DC">
            <w:pPr>
              <w:jc w:val="both"/>
              <w:rPr>
                <w:rFonts w:ascii="Times New Roman" w:hAnsi="Times New Roman"/>
                <w:sz w:val="24"/>
                <w:szCs w:val="23"/>
              </w:rPr>
            </w:pPr>
            <w:r w:rsidRPr="00FA329B">
              <w:rPr>
                <w:rFonts w:ascii="Times New Roman" w:hAnsi="Times New Roman"/>
                <w:bCs/>
                <w:sz w:val="24"/>
                <w:szCs w:val="23"/>
              </w:rPr>
              <w:t xml:space="preserve">Report the value of transactions. </w:t>
            </w:r>
          </w:p>
          <w:p w14:paraId="5AC93A04" w14:textId="77777777" w:rsidR="00233FEA" w:rsidRPr="00FA329B" w:rsidRDefault="00233FEA" w:rsidP="003167DC">
            <w:pPr>
              <w:jc w:val="both"/>
              <w:rPr>
                <w:rFonts w:ascii="Times New Roman" w:hAnsi="Times New Roman"/>
                <w:sz w:val="24"/>
                <w:szCs w:val="23"/>
              </w:rPr>
            </w:pPr>
          </w:p>
          <w:p w14:paraId="74C3873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4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0C281C8F" w14:textId="77777777" w:rsidR="00233FEA" w:rsidRPr="00FA329B" w:rsidRDefault="00233FEA" w:rsidP="003167DC">
            <w:pPr>
              <w:autoSpaceDE w:val="0"/>
              <w:autoSpaceDN w:val="0"/>
              <w:adjustRightInd w:val="0"/>
              <w:jc w:val="both"/>
              <w:rPr>
                <w:rFonts w:ascii="Times New Roman" w:hAnsi="Times New Roman"/>
                <w:bCs/>
                <w:sz w:val="24"/>
                <w:szCs w:val="23"/>
              </w:rPr>
            </w:pPr>
          </w:p>
          <w:p w14:paraId="79DC54E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1.1(4) is a derived item. Report the value of transactions</w:t>
            </w:r>
            <w:r w:rsidRPr="00FA329B">
              <w:rPr>
                <w:rFonts w:ascii="Times New Roman" w:hAnsi="Times New Roman"/>
                <w:b/>
                <w:bCs/>
                <w:i/>
                <w:sz w:val="24"/>
                <w:szCs w:val="23"/>
              </w:rPr>
              <w:t xml:space="preserve"> </w:t>
            </w:r>
            <w:r w:rsidRPr="00FA329B">
              <w:rPr>
                <w:rFonts w:ascii="Times New Roman" w:hAnsi="Times New Roman"/>
                <w:bCs/>
                <w:sz w:val="24"/>
                <w:szCs w:val="23"/>
              </w:rPr>
              <w:t>in item 1.1(4) as the sum of column 4.</w:t>
            </w:r>
          </w:p>
        </w:tc>
      </w:tr>
      <w:tr w:rsidR="00233FEA" w:rsidRPr="003B3E1C" w14:paraId="0B43B212"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21CB2DAD"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AA3FAC0" w14:textId="77777777" w:rsidR="00233FEA" w:rsidRPr="00FA329B" w:rsidRDefault="00233FEA" w:rsidP="003167DC">
            <w:pPr>
              <w:jc w:val="both"/>
              <w:rPr>
                <w:rFonts w:ascii="Times New Roman" w:hAnsi="Times New Roman"/>
                <w:sz w:val="24"/>
                <w:szCs w:val="23"/>
              </w:rPr>
            </w:pPr>
            <w:r w:rsidRPr="00FA329B">
              <w:rPr>
                <w:rFonts w:ascii="Times New Roman" w:hAnsi="Times New Roman"/>
                <w:bCs/>
                <w:sz w:val="24"/>
                <w:szCs w:val="23"/>
              </w:rPr>
              <w:t xml:space="preserve">Report the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w:t>
            </w:r>
          </w:p>
          <w:p w14:paraId="4FD7545E" w14:textId="77777777" w:rsidR="00233FEA" w:rsidRPr="00FA329B" w:rsidRDefault="00233FEA" w:rsidP="003167DC">
            <w:pPr>
              <w:jc w:val="both"/>
              <w:rPr>
                <w:rFonts w:ascii="Times New Roman" w:hAnsi="Times New Roman"/>
                <w:sz w:val="24"/>
                <w:szCs w:val="23"/>
              </w:rPr>
            </w:pPr>
          </w:p>
          <w:p w14:paraId="12CC71F8"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5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483CE613" w14:textId="77777777" w:rsidR="00233FEA" w:rsidRPr="00FA329B" w:rsidRDefault="00233FEA" w:rsidP="003167DC">
            <w:pPr>
              <w:autoSpaceDE w:val="0"/>
              <w:autoSpaceDN w:val="0"/>
              <w:adjustRightInd w:val="0"/>
              <w:jc w:val="both"/>
              <w:rPr>
                <w:rFonts w:ascii="Times New Roman" w:hAnsi="Times New Roman"/>
                <w:bCs/>
                <w:sz w:val="24"/>
                <w:szCs w:val="23"/>
              </w:rPr>
            </w:pPr>
          </w:p>
          <w:p w14:paraId="63533C78"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Item 1.1(5) is a derived item. Report the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in item 1.1(5) as the sum of column 5.</w:t>
            </w:r>
          </w:p>
        </w:tc>
      </w:tr>
      <w:tr w:rsidR="00233FEA" w:rsidRPr="003B3E1C" w14:paraId="3ED819BD"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3F131449"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9FE13C1"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value of the closing position 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p>
          <w:p w14:paraId="0348A7C9" w14:textId="77777777" w:rsidR="00233FEA" w:rsidRPr="00FA329B" w:rsidRDefault="00233FEA" w:rsidP="003167DC">
            <w:pPr>
              <w:autoSpaceDE w:val="0"/>
              <w:autoSpaceDN w:val="0"/>
              <w:adjustRightInd w:val="0"/>
              <w:jc w:val="both"/>
              <w:rPr>
                <w:rFonts w:ascii="Times New Roman" w:hAnsi="Times New Roman"/>
                <w:bCs/>
                <w:sz w:val="24"/>
                <w:szCs w:val="23"/>
              </w:rPr>
            </w:pPr>
          </w:p>
          <w:p w14:paraId="1559873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6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p w14:paraId="26A5F200" w14:textId="77777777" w:rsidR="00233FEA" w:rsidRPr="00FA329B" w:rsidRDefault="00233FEA" w:rsidP="003167DC">
            <w:pPr>
              <w:autoSpaceDE w:val="0"/>
              <w:autoSpaceDN w:val="0"/>
              <w:adjustRightInd w:val="0"/>
              <w:jc w:val="both"/>
              <w:rPr>
                <w:rFonts w:ascii="Times New Roman" w:hAnsi="Times New Roman"/>
                <w:bCs/>
                <w:sz w:val="24"/>
                <w:szCs w:val="23"/>
              </w:rPr>
            </w:pPr>
          </w:p>
          <w:p w14:paraId="4741B561"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1.1(6) is a derived item. Report the value of closing position 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1.1(6) as the sum of column 6.</w:t>
            </w:r>
          </w:p>
        </w:tc>
      </w:tr>
    </w:tbl>
    <w:p w14:paraId="036036CA" w14:textId="77777777" w:rsidR="00233FEA" w:rsidRPr="003B3E1C" w:rsidRDefault="00233FEA" w:rsidP="00233FEA">
      <w:pPr>
        <w:rPr>
          <w:rFonts w:ascii="Times New Roman" w:eastAsia="Times New Roman" w:hAnsi="Times New Roman"/>
          <w:b/>
          <w:sz w:val="23"/>
          <w:szCs w:val="23"/>
          <w:u w:val="single"/>
          <w:lang w:eastAsia="en-AU"/>
        </w:rPr>
      </w:pPr>
    </w:p>
    <w:p w14:paraId="3F19B61B" w14:textId="77777777" w:rsidR="00233FEA" w:rsidRPr="003B3E1C" w:rsidRDefault="00233FEA" w:rsidP="00233FEA">
      <w:pPr>
        <w:rPr>
          <w:rFonts w:ascii="Times New Roman" w:eastAsia="Times New Roman" w:hAnsi="Times New Roman"/>
          <w:b/>
          <w:sz w:val="23"/>
          <w:szCs w:val="23"/>
          <w:u w:val="single"/>
          <w:lang w:eastAsia="en-AU"/>
        </w:rPr>
      </w:pPr>
    </w:p>
    <w:p w14:paraId="586BFA6E" w14:textId="77777777" w:rsidR="00233FEA" w:rsidRPr="003B3E1C" w:rsidRDefault="00233FEA" w:rsidP="00FA329B">
      <w:pPr>
        <w:pStyle w:val="Heading3"/>
      </w:pPr>
      <w:r w:rsidRPr="003B3E1C">
        <w:t>Derivatives with gross negative mark to market values with resident counterparties excluding clearing houses and central counterparties</w:t>
      </w:r>
    </w:p>
    <w:p w14:paraId="417338E2" w14:textId="77777777" w:rsidR="00233FEA" w:rsidRPr="003B3E1C" w:rsidRDefault="00233FEA" w:rsidP="00233FEA">
      <w:pPr>
        <w:rPr>
          <w:rFonts w:ascii="Times New Roman" w:eastAsia="Times New Roman" w:hAnsi="Times New Roman"/>
          <w:b/>
          <w:sz w:val="23"/>
          <w:szCs w:val="23"/>
          <w:lang w:eastAsia="en-AU"/>
        </w:rPr>
      </w:pPr>
    </w:p>
    <w:p w14:paraId="7C5A17A8" w14:textId="77777777" w:rsidR="00233FEA" w:rsidRPr="00FA329B" w:rsidRDefault="00233FEA" w:rsidP="00233FEA">
      <w:pPr>
        <w:spacing w:after="240"/>
        <w:jc w:val="both"/>
        <w:rPr>
          <w:rFonts w:ascii="Times New Roman" w:hAnsi="Times New Roman"/>
          <w:b/>
          <w:i/>
          <w:sz w:val="24"/>
          <w:szCs w:val="23"/>
        </w:rPr>
      </w:pPr>
      <w:r w:rsidRPr="00FA329B">
        <w:rPr>
          <w:rFonts w:ascii="Times New Roman" w:hAnsi="Times New Roman"/>
          <w:sz w:val="24"/>
          <w:szCs w:val="23"/>
        </w:rPr>
        <w:t xml:space="preserve">Item 2 collects information on the value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at the beginning and end of the </w:t>
      </w:r>
      <w:r w:rsidRPr="00FA329B">
        <w:rPr>
          <w:rFonts w:ascii="Times New Roman" w:hAnsi="Times New Roman"/>
          <w:b/>
          <w:i/>
          <w:sz w:val="24"/>
          <w:szCs w:val="23"/>
        </w:rPr>
        <w:t>reporting period</w:t>
      </w:r>
      <w:r w:rsidRPr="00FA329B">
        <w:rPr>
          <w:rFonts w:ascii="Times New Roman" w:hAnsi="Times New Roman"/>
          <w:sz w:val="24"/>
          <w:szCs w:val="23"/>
        </w:rPr>
        <w:t xml:space="preserve"> with </w:t>
      </w:r>
      <w:r w:rsidRPr="00FA329B">
        <w:rPr>
          <w:rFonts w:ascii="Times New Roman" w:hAnsi="Times New Roman"/>
          <w:b/>
          <w:i/>
          <w:sz w:val="24"/>
          <w:szCs w:val="23"/>
        </w:rPr>
        <w:t>resident</w:t>
      </w:r>
      <w:r w:rsidRPr="00FA329B">
        <w:rPr>
          <w:rFonts w:ascii="Times New Roman" w:hAnsi="Times New Roman"/>
          <w:sz w:val="24"/>
          <w:szCs w:val="23"/>
        </w:rPr>
        <w:t xml:space="preserve"> counterparties, excluding </w:t>
      </w:r>
      <w:r w:rsidRPr="00FA329B">
        <w:rPr>
          <w:rFonts w:ascii="Times New Roman" w:hAnsi="Times New Roman"/>
          <w:b/>
          <w:i/>
          <w:sz w:val="24"/>
          <w:szCs w:val="23"/>
        </w:rPr>
        <w:t xml:space="preserve">clearing houses and central counterparties. </w:t>
      </w:r>
      <w:r w:rsidRPr="00FA329B">
        <w:rPr>
          <w:rFonts w:ascii="Times New Roman" w:hAnsi="Times New Roman"/>
          <w:sz w:val="24"/>
          <w:szCs w:val="23"/>
        </w:rPr>
        <w:t xml:space="preserve">It also collects movements in the value of holdings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due to transactions and </w:t>
      </w:r>
      <w:r w:rsidRPr="00E97C10">
        <w:rPr>
          <w:rFonts w:ascii="Times New Roman" w:hAnsi="Times New Roman"/>
          <w:b/>
          <w:i/>
          <w:sz w:val="24"/>
          <w:szCs w:val="23"/>
        </w:rPr>
        <w:t>revaluations</w:t>
      </w:r>
      <w:r w:rsidRPr="00FA329B">
        <w:rPr>
          <w:rFonts w:ascii="Times New Roman" w:hAnsi="Times New Roman"/>
          <w:sz w:val="24"/>
          <w:szCs w:val="23"/>
        </w:rPr>
        <w:t xml:space="preserve"> that occurred during the </w:t>
      </w:r>
      <w:r w:rsidRPr="00FA329B">
        <w:rPr>
          <w:rFonts w:ascii="Times New Roman" w:hAnsi="Times New Roman"/>
          <w:b/>
          <w:i/>
          <w:sz w:val="24"/>
          <w:szCs w:val="23"/>
        </w:rPr>
        <w:t xml:space="preserve">reporting period. </w:t>
      </w:r>
    </w:p>
    <w:p w14:paraId="274A74E7" w14:textId="77777777" w:rsidR="00233FEA" w:rsidRPr="00FA329B" w:rsidRDefault="00233FEA" w:rsidP="00233FEA">
      <w:pPr>
        <w:pStyle w:val="Default"/>
        <w:jc w:val="both"/>
        <w:rPr>
          <w:color w:val="auto"/>
          <w:szCs w:val="23"/>
        </w:rPr>
      </w:pPr>
      <w:r w:rsidRPr="00FA329B">
        <w:rPr>
          <w:color w:val="auto"/>
          <w:szCs w:val="23"/>
        </w:rPr>
        <w:t xml:space="preserve">Futures should be excluded from this item, and reported only in item 9. </w:t>
      </w:r>
    </w:p>
    <w:p w14:paraId="6E7398E8" w14:textId="77777777" w:rsidR="00233FEA" w:rsidRPr="00FA329B" w:rsidRDefault="00233FEA" w:rsidP="00233FEA">
      <w:pPr>
        <w:pStyle w:val="Default"/>
        <w:jc w:val="both"/>
        <w:rPr>
          <w:color w:val="auto"/>
          <w:szCs w:val="23"/>
        </w:rPr>
      </w:pPr>
    </w:p>
    <w:tbl>
      <w:tblPr>
        <w:tblW w:w="9071" w:type="dxa"/>
        <w:tblInd w:w="108" w:type="dxa"/>
        <w:tblLayout w:type="fixed"/>
        <w:tblLook w:val="04A0" w:firstRow="1" w:lastRow="0" w:firstColumn="1" w:lastColumn="0" w:noHBand="0" w:noVBand="1"/>
      </w:tblPr>
      <w:tblGrid>
        <w:gridCol w:w="1701"/>
        <w:gridCol w:w="7370"/>
      </w:tblGrid>
      <w:tr w:rsidR="00233FEA" w:rsidRPr="000473B7" w14:paraId="5DC18E0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3BDF81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9E25A5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type of counterparty (see List 1.1 for further details).</w:t>
            </w:r>
          </w:p>
          <w:p w14:paraId="4BB0EEAF" w14:textId="77777777" w:rsidR="00233FEA" w:rsidRPr="00FA329B" w:rsidRDefault="00233FEA" w:rsidP="003167DC">
            <w:pPr>
              <w:autoSpaceDE w:val="0"/>
              <w:autoSpaceDN w:val="0"/>
              <w:adjustRightInd w:val="0"/>
              <w:jc w:val="both"/>
              <w:rPr>
                <w:rFonts w:ascii="Times New Roman" w:hAnsi="Times New Roman"/>
                <w:bCs/>
                <w:sz w:val="24"/>
                <w:szCs w:val="23"/>
              </w:rPr>
            </w:pPr>
          </w:p>
        </w:tc>
      </w:tr>
      <w:tr w:rsidR="00233FEA" w:rsidRPr="000473B7" w14:paraId="6529273D"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573B129"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260585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instrument type (see List 1.1 for further details). </w:t>
            </w:r>
          </w:p>
        </w:tc>
      </w:tr>
      <w:tr w:rsidR="00233FEA" w:rsidRPr="000473B7" w14:paraId="735837F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76D34D1D"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342385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opening position</w:t>
            </w:r>
            <w:r w:rsidRPr="00FA329B">
              <w:rPr>
                <w:rFonts w:ascii="Times New Roman" w:hAnsi="Times New Roman"/>
                <w:bCs/>
                <w:i/>
                <w:sz w:val="24"/>
                <w:szCs w:val="23"/>
              </w:rPr>
              <w:t xml:space="preserve"> </w:t>
            </w:r>
            <w:r w:rsidRPr="00FA329B">
              <w:rPr>
                <w:rFonts w:ascii="Times New Roman" w:hAnsi="Times New Roman"/>
                <w:bCs/>
                <w:sz w:val="24"/>
                <w:szCs w:val="23"/>
              </w:rPr>
              <w:t>which results in a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p>
          <w:p w14:paraId="3E781D2D" w14:textId="77777777" w:rsidR="00233FEA" w:rsidRPr="00FA329B" w:rsidRDefault="00233FEA" w:rsidP="003167DC">
            <w:pPr>
              <w:autoSpaceDE w:val="0"/>
              <w:autoSpaceDN w:val="0"/>
              <w:adjustRightInd w:val="0"/>
              <w:jc w:val="both"/>
              <w:rPr>
                <w:rFonts w:ascii="Times New Roman" w:hAnsi="Times New Roman"/>
                <w:bCs/>
                <w:sz w:val="24"/>
                <w:szCs w:val="23"/>
              </w:rPr>
            </w:pPr>
          </w:p>
          <w:p w14:paraId="21040A56"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330D478E" w14:textId="77777777" w:rsidR="00233FEA" w:rsidRPr="00FA329B" w:rsidRDefault="00233FEA" w:rsidP="003167DC">
            <w:pPr>
              <w:autoSpaceDE w:val="0"/>
              <w:autoSpaceDN w:val="0"/>
              <w:adjustRightInd w:val="0"/>
              <w:jc w:val="both"/>
              <w:rPr>
                <w:rFonts w:ascii="Times New Roman" w:hAnsi="Times New Roman"/>
                <w:bCs/>
                <w:sz w:val="24"/>
                <w:szCs w:val="23"/>
              </w:rPr>
            </w:pPr>
          </w:p>
          <w:p w14:paraId="1F7EE2E9"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 opening position should be the closing position of the previous quarter, that is, the mark to market value of </w:t>
            </w:r>
            <w:r w:rsidRPr="00FA329B">
              <w:rPr>
                <w:rFonts w:ascii="Times New Roman" w:hAnsi="Times New Roman"/>
                <w:b/>
                <w:bCs/>
                <w:i/>
                <w:sz w:val="24"/>
                <w:szCs w:val="23"/>
              </w:rPr>
              <w:t>derivatives</w:t>
            </w:r>
            <w:r w:rsidRPr="00FA329B">
              <w:rPr>
                <w:rFonts w:ascii="Times New Roman" w:hAnsi="Times New Roman"/>
                <w:bCs/>
                <w:sz w:val="24"/>
                <w:szCs w:val="23"/>
              </w:rPr>
              <w:t xml:space="preserve"> in a</w:t>
            </w:r>
            <w:r w:rsidRPr="00FA329B">
              <w:rPr>
                <w:rFonts w:ascii="Times New Roman" w:hAnsi="Times New Roman"/>
                <w:bCs/>
                <w:i/>
                <w:sz w:val="24"/>
                <w:szCs w:val="23"/>
              </w:rPr>
              <w:t xml:space="preserve"> </w:t>
            </w:r>
            <w:r w:rsidRPr="00FA329B">
              <w:rPr>
                <w:rFonts w:ascii="Times New Roman" w:hAnsi="Times New Roman"/>
                <w:bCs/>
                <w:sz w:val="24"/>
                <w:szCs w:val="23"/>
              </w:rPr>
              <w:t>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positions at the end of the previous quarter.</w:t>
            </w:r>
          </w:p>
          <w:p w14:paraId="61D3D3B1" w14:textId="77777777" w:rsidR="00233FEA" w:rsidRPr="00FA329B" w:rsidRDefault="00233FEA" w:rsidP="003167DC">
            <w:pPr>
              <w:autoSpaceDE w:val="0"/>
              <w:autoSpaceDN w:val="0"/>
              <w:adjustRightInd w:val="0"/>
              <w:jc w:val="both"/>
              <w:rPr>
                <w:rFonts w:ascii="Times New Roman" w:hAnsi="Times New Roman"/>
                <w:bCs/>
                <w:sz w:val="24"/>
                <w:szCs w:val="23"/>
              </w:rPr>
            </w:pPr>
          </w:p>
          <w:p w14:paraId="166D1F58"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lastRenderedPageBreak/>
              <w:t>Item 2.1(3) is a derived item. Report the value of opening position</w:t>
            </w:r>
            <w:r w:rsidRPr="00FA329B">
              <w:rPr>
                <w:rFonts w:ascii="Times New Roman" w:hAnsi="Times New Roman"/>
                <w:b/>
                <w:bCs/>
                <w:i/>
                <w:sz w:val="24"/>
                <w:szCs w:val="23"/>
              </w:rPr>
              <w:t xml:space="preserve"> </w:t>
            </w:r>
            <w:r w:rsidRPr="00FA329B">
              <w:rPr>
                <w:rFonts w:ascii="Times New Roman" w:hAnsi="Times New Roman"/>
                <w:bCs/>
                <w:sz w:val="24"/>
                <w:szCs w:val="23"/>
              </w:rPr>
              <w:t>which results in a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2.1(3) as the sum of column 3.</w:t>
            </w:r>
          </w:p>
        </w:tc>
      </w:tr>
      <w:tr w:rsidR="00233FEA" w:rsidRPr="000473B7" w14:paraId="1D15CEE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A6856D4"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lastRenderedPageBreak/>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FD7B0CC" w14:textId="77777777" w:rsidR="00233FEA" w:rsidRPr="00FA329B" w:rsidRDefault="00233FEA" w:rsidP="003167DC">
            <w:pPr>
              <w:jc w:val="both"/>
              <w:rPr>
                <w:rFonts w:ascii="Times New Roman" w:hAnsi="Times New Roman"/>
                <w:sz w:val="24"/>
                <w:szCs w:val="23"/>
              </w:rPr>
            </w:pPr>
            <w:r w:rsidRPr="00FA329B">
              <w:rPr>
                <w:rFonts w:ascii="Times New Roman" w:hAnsi="Times New Roman"/>
                <w:bCs/>
                <w:sz w:val="24"/>
                <w:szCs w:val="23"/>
              </w:rPr>
              <w:t xml:space="preserve">Report the value of transactions. </w:t>
            </w:r>
          </w:p>
          <w:p w14:paraId="00A65B47" w14:textId="77777777" w:rsidR="00233FEA" w:rsidRPr="00FA329B" w:rsidRDefault="00233FEA" w:rsidP="003167DC">
            <w:pPr>
              <w:jc w:val="both"/>
              <w:rPr>
                <w:rFonts w:ascii="Times New Roman" w:hAnsi="Times New Roman"/>
                <w:sz w:val="24"/>
                <w:szCs w:val="23"/>
              </w:rPr>
            </w:pPr>
          </w:p>
          <w:p w14:paraId="09086C1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4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23286CA7" w14:textId="77777777" w:rsidR="00233FEA" w:rsidRPr="00FA329B" w:rsidRDefault="00233FEA" w:rsidP="003167DC">
            <w:pPr>
              <w:autoSpaceDE w:val="0"/>
              <w:autoSpaceDN w:val="0"/>
              <w:adjustRightInd w:val="0"/>
              <w:jc w:val="both"/>
              <w:rPr>
                <w:rFonts w:ascii="Times New Roman" w:hAnsi="Times New Roman"/>
                <w:bCs/>
                <w:sz w:val="24"/>
                <w:szCs w:val="23"/>
              </w:rPr>
            </w:pPr>
          </w:p>
          <w:p w14:paraId="60DD190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2.1(4) is a derived item. Report the value of transactions in item 2.1(4) as the sum of column 4.</w:t>
            </w:r>
          </w:p>
        </w:tc>
      </w:tr>
      <w:tr w:rsidR="00233FEA" w:rsidRPr="000473B7" w14:paraId="65EF4481"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8AFACFD"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68C58C7"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w:t>
            </w:r>
          </w:p>
          <w:p w14:paraId="41368F3A" w14:textId="77777777" w:rsidR="00233FEA" w:rsidRPr="00FA329B" w:rsidRDefault="00233FEA" w:rsidP="003167DC">
            <w:pPr>
              <w:jc w:val="both"/>
              <w:rPr>
                <w:rFonts w:ascii="Times New Roman" w:hAnsi="Times New Roman"/>
                <w:sz w:val="24"/>
                <w:szCs w:val="23"/>
              </w:rPr>
            </w:pPr>
          </w:p>
          <w:p w14:paraId="6521821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5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51891E13" w14:textId="77777777" w:rsidR="00233FEA" w:rsidRPr="00FA329B" w:rsidRDefault="00233FEA" w:rsidP="003167DC">
            <w:pPr>
              <w:autoSpaceDE w:val="0"/>
              <w:autoSpaceDN w:val="0"/>
              <w:adjustRightInd w:val="0"/>
              <w:jc w:val="both"/>
              <w:rPr>
                <w:rFonts w:ascii="Times New Roman" w:hAnsi="Times New Roman"/>
                <w:bCs/>
                <w:sz w:val="24"/>
                <w:szCs w:val="23"/>
              </w:rPr>
            </w:pPr>
          </w:p>
          <w:p w14:paraId="145397B2"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Item 2.1(5) is a derived item. Report the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in item 2.1(5) as the sum of column 5.</w:t>
            </w:r>
          </w:p>
        </w:tc>
      </w:tr>
      <w:tr w:rsidR="00233FEA" w:rsidRPr="000473B7" w14:paraId="067792C0"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723F596"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9914479"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value of the closing position which results in a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p>
          <w:p w14:paraId="44FCACA6" w14:textId="77777777" w:rsidR="00233FEA" w:rsidRPr="00FA329B" w:rsidRDefault="00233FEA" w:rsidP="003167DC">
            <w:pPr>
              <w:autoSpaceDE w:val="0"/>
              <w:autoSpaceDN w:val="0"/>
              <w:adjustRightInd w:val="0"/>
              <w:jc w:val="both"/>
              <w:rPr>
                <w:rFonts w:ascii="Times New Roman" w:hAnsi="Times New Roman"/>
                <w:bCs/>
                <w:sz w:val="24"/>
                <w:szCs w:val="23"/>
              </w:rPr>
            </w:pPr>
          </w:p>
          <w:p w14:paraId="2C783C3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6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p w14:paraId="1BAAD0A4" w14:textId="77777777" w:rsidR="00233FEA" w:rsidRPr="00FA329B" w:rsidRDefault="00233FEA" w:rsidP="003167DC">
            <w:pPr>
              <w:autoSpaceDE w:val="0"/>
              <w:autoSpaceDN w:val="0"/>
              <w:adjustRightInd w:val="0"/>
              <w:jc w:val="both"/>
              <w:rPr>
                <w:rFonts w:ascii="Times New Roman" w:hAnsi="Times New Roman"/>
                <w:bCs/>
                <w:sz w:val="24"/>
                <w:szCs w:val="23"/>
              </w:rPr>
            </w:pPr>
          </w:p>
          <w:p w14:paraId="0312E21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2.1(6) is a derived item. Report the value of closing position which results in a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2.1(6) as the sum of column 6.</w:t>
            </w:r>
          </w:p>
        </w:tc>
      </w:tr>
    </w:tbl>
    <w:p w14:paraId="34458ACC" w14:textId="77777777" w:rsidR="00233FEA" w:rsidRDefault="00233FEA" w:rsidP="00233FEA">
      <w:pPr>
        <w:rPr>
          <w:rFonts w:ascii="Times New Roman" w:eastAsia="Times New Roman" w:hAnsi="Times New Roman"/>
          <w:b/>
          <w:sz w:val="23"/>
          <w:szCs w:val="23"/>
          <w:u w:val="single"/>
          <w:lang w:eastAsia="en-AU"/>
        </w:rPr>
      </w:pPr>
    </w:p>
    <w:p w14:paraId="019D7F73" w14:textId="77777777" w:rsidR="00233FEA" w:rsidRPr="003B3E1C" w:rsidRDefault="00233FEA" w:rsidP="00FA329B">
      <w:pPr>
        <w:pStyle w:val="Heading3"/>
      </w:pPr>
      <w:r w:rsidRPr="003B3E1C">
        <w:t>Derivatives with gross positive mark to market values and non-resident counterparties excluding clearing houses and central counterparties</w:t>
      </w:r>
    </w:p>
    <w:p w14:paraId="122F1BD9" w14:textId="77777777" w:rsidR="00233FEA" w:rsidRPr="003B3E1C" w:rsidRDefault="00233FEA" w:rsidP="00233FEA">
      <w:pPr>
        <w:tabs>
          <w:tab w:val="left" w:pos="1630"/>
        </w:tabs>
        <w:ind w:left="720"/>
        <w:rPr>
          <w:rFonts w:ascii="Arial" w:eastAsia="Times New Roman" w:hAnsi="Arial" w:cs="Arial"/>
          <w:sz w:val="23"/>
          <w:szCs w:val="23"/>
          <w:lang w:eastAsia="en-AU"/>
        </w:rPr>
      </w:pPr>
      <w:r w:rsidRPr="003B3E1C">
        <w:rPr>
          <w:rFonts w:ascii="Arial" w:eastAsia="Times New Roman" w:hAnsi="Arial" w:cs="Arial"/>
          <w:sz w:val="23"/>
          <w:szCs w:val="23"/>
          <w:lang w:eastAsia="en-AU"/>
        </w:rPr>
        <w:tab/>
      </w:r>
    </w:p>
    <w:p w14:paraId="344C08BC" w14:textId="77777777" w:rsidR="00233FEA" w:rsidRPr="00FA329B" w:rsidRDefault="00233FEA" w:rsidP="00233FEA">
      <w:pPr>
        <w:jc w:val="both"/>
        <w:rPr>
          <w:rFonts w:ascii="Times New Roman" w:hAnsi="Times New Roman"/>
          <w:sz w:val="24"/>
          <w:szCs w:val="23"/>
        </w:rPr>
      </w:pPr>
      <w:r w:rsidRPr="00FA329B">
        <w:rPr>
          <w:rFonts w:ascii="Times New Roman" w:hAnsi="Times New Roman"/>
          <w:sz w:val="24"/>
          <w:szCs w:val="23"/>
        </w:rPr>
        <w:t xml:space="preserve">Item 3 collects information on the value of </w:t>
      </w:r>
      <w:r w:rsidRPr="00FA329B">
        <w:rPr>
          <w:rFonts w:ascii="Times New Roman" w:hAnsi="Times New Roman"/>
          <w:b/>
          <w:i/>
          <w:sz w:val="24"/>
          <w:szCs w:val="23"/>
        </w:rPr>
        <w:t>derivatives</w:t>
      </w:r>
      <w:r w:rsidRPr="00FA329B">
        <w:rPr>
          <w:rFonts w:ascii="Times New Roman" w:hAnsi="Times New Roman"/>
          <w:sz w:val="24"/>
          <w:szCs w:val="23"/>
        </w:rPr>
        <w:t xml:space="preserve"> with a gross positive</w:t>
      </w:r>
      <w:r w:rsidRPr="00FA329B">
        <w:rPr>
          <w:rFonts w:ascii="Times New Roman" w:hAnsi="Times New Roman"/>
          <w:b/>
          <w:i/>
          <w:sz w:val="24"/>
          <w:szCs w:val="23"/>
        </w:rPr>
        <w:t xml:space="preserve"> </w:t>
      </w:r>
      <w:r w:rsidRPr="00FA329B">
        <w:rPr>
          <w:rFonts w:ascii="Times New Roman" w:hAnsi="Times New Roman"/>
          <w:sz w:val="24"/>
          <w:szCs w:val="23"/>
        </w:rPr>
        <w:t xml:space="preserve">mark to market value at the beginning and end of the </w:t>
      </w:r>
      <w:r w:rsidRPr="00FA329B">
        <w:rPr>
          <w:rFonts w:ascii="Times New Roman" w:hAnsi="Times New Roman"/>
          <w:b/>
          <w:i/>
          <w:sz w:val="24"/>
          <w:szCs w:val="23"/>
        </w:rPr>
        <w:t xml:space="preserve">reporting period </w:t>
      </w:r>
      <w:r w:rsidRPr="00FA329B">
        <w:rPr>
          <w:rFonts w:ascii="Times New Roman" w:hAnsi="Times New Roman"/>
          <w:sz w:val="24"/>
          <w:szCs w:val="23"/>
        </w:rPr>
        <w:t xml:space="preserve">with </w:t>
      </w:r>
      <w:r w:rsidRPr="00FA329B">
        <w:rPr>
          <w:rFonts w:ascii="Times New Roman" w:hAnsi="Times New Roman"/>
          <w:b/>
          <w:i/>
          <w:sz w:val="24"/>
          <w:szCs w:val="23"/>
        </w:rPr>
        <w:t>non-resident</w:t>
      </w:r>
      <w:r w:rsidRPr="00FA329B">
        <w:rPr>
          <w:rFonts w:ascii="Times New Roman" w:hAnsi="Times New Roman"/>
          <w:sz w:val="24"/>
          <w:szCs w:val="23"/>
        </w:rPr>
        <w:t xml:space="preserve"> counterparties, excluding </w:t>
      </w:r>
      <w:r w:rsidRPr="00FA329B">
        <w:rPr>
          <w:rFonts w:ascii="Times New Roman" w:hAnsi="Times New Roman"/>
          <w:b/>
          <w:i/>
          <w:sz w:val="24"/>
          <w:szCs w:val="23"/>
        </w:rPr>
        <w:t>clearing houses and central counterparties,</w:t>
      </w:r>
      <w:r w:rsidRPr="00FA329B">
        <w:rPr>
          <w:rFonts w:ascii="Times New Roman" w:hAnsi="Times New Roman"/>
          <w:sz w:val="24"/>
          <w:szCs w:val="23"/>
        </w:rPr>
        <w:t xml:space="preserve"> by country. </w:t>
      </w:r>
    </w:p>
    <w:p w14:paraId="63F7DC6A" w14:textId="77777777" w:rsidR="00233FEA" w:rsidRPr="00FA329B" w:rsidRDefault="00233FEA" w:rsidP="00233FEA">
      <w:pPr>
        <w:jc w:val="both"/>
        <w:rPr>
          <w:rFonts w:ascii="Times New Roman" w:hAnsi="Times New Roman"/>
          <w:sz w:val="24"/>
          <w:szCs w:val="23"/>
        </w:rPr>
      </w:pPr>
    </w:p>
    <w:p w14:paraId="36CFB4F9" w14:textId="77777777" w:rsidR="00233FEA" w:rsidRPr="00FA329B" w:rsidRDefault="00233FEA" w:rsidP="00233FEA">
      <w:pPr>
        <w:jc w:val="both"/>
        <w:rPr>
          <w:rFonts w:ascii="Times New Roman" w:hAnsi="Times New Roman"/>
          <w:sz w:val="24"/>
          <w:szCs w:val="23"/>
        </w:rPr>
      </w:pPr>
      <w:r w:rsidRPr="00FA329B">
        <w:rPr>
          <w:rFonts w:ascii="Times New Roman" w:hAnsi="Times New Roman"/>
          <w:sz w:val="24"/>
          <w:szCs w:val="23"/>
        </w:rPr>
        <w:t xml:space="preserve">Item 3 also collects movements in the value of holdings of </w:t>
      </w:r>
      <w:r w:rsidRPr="00FA329B">
        <w:rPr>
          <w:rFonts w:ascii="Times New Roman" w:hAnsi="Times New Roman"/>
          <w:b/>
          <w:i/>
          <w:sz w:val="24"/>
          <w:szCs w:val="23"/>
        </w:rPr>
        <w:t>derivatives</w:t>
      </w:r>
      <w:r w:rsidRPr="00FA329B">
        <w:rPr>
          <w:rFonts w:ascii="Times New Roman" w:hAnsi="Times New Roman"/>
          <w:sz w:val="24"/>
          <w:szCs w:val="23"/>
        </w:rPr>
        <w:t xml:space="preserve"> with a gross positive mark to market value due to payments and receipts from,</w:t>
      </w:r>
      <w:r w:rsidRPr="00FA329B">
        <w:rPr>
          <w:rFonts w:ascii="Times New Roman" w:hAnsi="Times New Roman"/>
          <w:b/>
          <w:i/>
          <w:sz w:val="24"/>
          <w:szCs w:val="23"/>
        </w:rPr>
        <w:t xml:space="preserve"> </w:t>
      </w:r>
      <w:r w:rsidRPr="00FA329B">
        <w:rPr>
          <w:rFonts w:ascii="Times New Roman" w:hAnsi="Times New Roman"/>
          <w:sz w:val="24"/>
          <w:szCs w:val="23"/>
        </w:rPr>
        <w:t>and due to</w:t>
      </w:r>
      <w:r w:rsidRPr="00FA329B">
        <w:rPr>
          <w:rFonts w:ascii="Times New Roman" w:hAnsi="Times New Roman"/>
          <w:b/>
          <w:i/>
          <w:sz w:val="24"/>
          <w:szCs w:val="23"/>
        </w:rPr>
        <w:t xml:space="preserve"> </w:t>
      </w:r>
      <w:r w:rsidRPr="00FA329B">
        <w:rPr>
          <w:rFonts w:ascii="Times New Roman" w:hAnsi="Times New Roman"/>
          <w:sz w:val="24"/>
          <w:szCs w:val="23"/>
        </w:rPr>
        <w:t xml:space="preserve">transactions and </w:t>
      </w:r>
      <w:r w:rsidRPr="00FA329B">
        <w:rPr>
          <w:rFonts w:ascii="Times New Roman" w:hAnsi="Times New Roman"/>
          <w:b/>
          <w:i/>
          <w:sz w:val="24"/>
          <w:szCs w:val="23"/>
        </w:rPr>
        <w:t>market value</w:t>
      </w:r>
      <w:r w:rsidRPr="00FA329B">
        <w:rPr>
          <w:rFonts w:ascii="Times New Roman" w:hAnsi="Times New Roman"/>
          <w:sz w:val="24"/>
          <w:szCs w:val="23"/>
        </w:rPr>
        <w:t xml:space="preserve"> changes,</w:t>
      </w:r>
      <w:r w:rsidRPr="00FA329B">
        <w:rPr>
          <w:rFonts w:ascii="Times New Roman" w:hAnsi="Times New Roman"/>
          <w:b/>
          <w:i/>
          <w:sz w:val="24"/>
          <w:szCs w:val="23"/>
        </w:rPr>
        <w:t xml:space="preserve"> </w:t>
      </w:r>
      <w:r w:rsidRPr="00FA329B">
        <w:rPr>
          <w:rFonts w:ascii="Times New Roman" w:hAnsi="Times New Roman"/>
          <w:sz w:val="24"/>
          <w:szCs w:val="23"/>
        </w:rPr>
        <w:t>exchange rate variations</w:t>
      </w:r>
      <w:r w:rsidRPr="00FA329B">
        <w:rPr>
          <w:rFonts w:ascii="Times New Roman" w:hAnsi="Times New Roman"/>
          <w:b/>
          <w:i/>
          <w:sz w:val="24"/>
          <w:szCs w:val="23"/>
        </w:rPr>
        <w:t xml:space="preserve"> </w:t>
      </w:r>
      <w:r w:rsidRPr="00FA329B">
        <w:rPr>
          <w:rFonts w:ascii="Times New Roman" w:hAnsi="Times New Roman"/>
          <w:sz w:val="24"/>
          <w:szCs w:val="23"/>
        </w:rPr>
        <w:t xml:space="preserve">and other changes that occurred during the </w:t>
      </w:r>
      <w:r w:rsidRPr="00FA329B">
        <w:rPr>
          <w:rFonts w:ascii="Times New Roman" w:hAnsi="Times New Roman"/>
          <w:b/>
          <w:i/>
          <w:sz w:val="24"/>
          <w:szCs w:val="23"/>
        </w:rPr>
        <w:t>reporting period</w:t>
      </w:r>
      <w:r w:rsidRPr="00FA329B">
        <w:rPr>
          <w:rFonts w:ascii="Times New Roman" w:hAnsi="Times New Roman"/>
          <w:sz w:val="24"/>
          <w:szCs w:val="23"/>
        </w:rPr>
        <w:t>.</w:t>
      </w:r>
    </w:p>
    <w:p w14:paraId="595E8A2C" w14:textId="77777777" w:rsidR="00233FEA" w:rsidRPr="00FA329B" w:rsidRDefault="00233FEA" w:rsidP="00233FEA">
      <w:pPr>
        <w:pStyle w:val="Default"/>
        <w:jc w:val="both"/>
        <w:rPr>
          <w:color w:val="auto"/>
          <w:szCs w:val="23"/>
        </w:rPr>
      </w:pPr>
    </w:p>
    <w:p w14:paraId="1AE7B266" w14:textId="77777777" w:rsidR="00233FEA" w:rsidRPr="00FA329B" w:rsidRDefault="00233FEA" w:rsidP="00233FEA">
      <w:pPr>
        <w:pStyle w:val="Default"/>
        <w:jc w:val="both"/>
        <w:rPr>
          <w:color w:val="auto"/>
          <w:szCs w:val="23"/>
        </w:rPr>
      </w:pPr>
      <w:r w:rsidRPr="00FA329B">
        <w:rPr>
          <w:color w:val="auto"/>
          <w:szCs w:val="23"/>
        </w:rPr>
        <w:t xml:space="preserve">Futures should be excluded from this item, and reported only in item 9. </w:t>
      </w:r>
    </w:p>
    <w:p w14:paraId="45B3A28F" w14:textId="77777777" w:rsidR="00233FEA" w:rsidRPr="003B3E1C" w:rsidRDefault="00233FEA" w:rsidP="00233FEA">
      <w:pPr>
        <w:pStyle w:val="Default"/>
        <w:jc w:val="both"/>
        <w:rPr>
          <w:color w:val="auto"/>
          <w:sz w:val="23"/>
          <w:szCs w:val="23"/>
        </w:rPr>
      </w:pPr>
    </w:p>
    <w:tbl>
      <w:tblPr>
        <w:tblW w:w="9071" w:type="dxa"/>
        <w:tblInd w:w="108" w:type="dxa"/>
        <w:tblLayout w:type="fixed"/>
        <w:tblLook w:val="04A0" w:firstRow="1" w:lastRow="0" w:firstColumn="1" w:lastColumn="0" w:noHBand="0" w:noVBand="1"/>
      </w:tblPr>
      <w:tblGrid>
        <w:gridCol w:w="1701"/>
        <w:gridCol w:w="7370"/>
      </w:tblGrid>
      <w:tr w:rsidR="00233FEA" w:rsidRPr="003B3E1C" w14:paraId="0E3D26E0"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77027EF"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4B8C973" w14:textId="77777777" w:rsidR="00233FEA" w:rsidRPr="00FA329B" w:rsidRDefault="00233FEA" w:rsidP="003167DC">
            <w:pPr>
              <w:autoSpaceDE w:val="0"/>
              <w:autoSpaceDN w:val="0"/>
              <w:adjustRightInd w:val="0"/>
              <w:jc w:val="both"/>
              <w:rPr>
                <w:rFonts w:ascii="Times New Roman" w:hAnsi="Times New Roman"/>
                <w:color w:val="000000"/>
                <w:sz w:val="24"/>
                <w:szCs w:val="23"/>
              </w:rPr>
            </w:pPr>
            <w:r w:rsidRPr="00FA329B">
              <w:rPr>
                <w:rFonts w:ascii="Times New Roman" w:hAnsi="Times New Roman"/>
                <w:color w:val="000000"/>
                <w:sz w:val="24"/>
                <w:szCs w:val="23"/>
              </w:rPr>
              <w:t xml:space="preserve">Report the country in which the immediate </w:t>
            </w:r>
            <w:r w:rsidRPr="00FA329B">
              <w:rPr>
                <w:rFonts w:ascii="Times New Roman" w:hAnsi="Times New Roman"/>
                <w:b/>
                <w:i/>
                <w:color w:val="000000"/>
                <w:sz w:val="24"/>
                <w:szCs w:val="23"/>
              </w:rPr>
              <w:t>non-resident</w:t>
            </w:r>
            <w:r w:rsidRPr="00FA329B">
              <w:rPr>
                <w:rFonts w:ascii="Times New Roman" w:hAnsi="Times New Roman"/>
                <w:color w:val="000000"/>
                <w:sz w:val="24"/>
                <w:szCs w:val="23"/>
              </w:rPr>
              <w:t xml:space="preserve"> debtor resides.</w:t>
            </w:r>
          </w:p>
          <w:p w14:paraId="00152184" w14:textId="77777777" w:rsidR="00233FEA" w:rsidRPr="00FA329B" w:rsidRDefault="00233FEA" w:rsidP="003167DC">
            <w:pPr>
              <w:autoSpaceDE w:val="0"/>
              <w:autoSpaceDN w:val="0"/>
              <w:adjustRightInd w:val="0"/>
              <w:jc w:val="both"/>
              <w:rPr>
                <w:rFonts w:ascii="Times New Roman" w:hAnsi="Times New Roman"/>
                <w:color w:val="000000"/>
                <w:sz w:val="24"/>
                <w:szCs w:val="23"/>
              </w:rPr>
            </w:pPr>
          </w:p>
          <w:p w14:paraId="45B3652C"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 residency of a financial </w:t>
            </w:r>
            <w:r w:rsidRPr="00FA329B">
              <w:rPr>
                <w:rFonts w:ascii="Times New Roman" w:hAnsi="Times New Roman"/>
                <w:b/>
                <w:bCs/>
                <w:i/>
                <w:sz w:val="24"/>
                <w:szCs w:val="23"/>
              </w:rPr>
              <w:t>derivative</w:t>
            </w:r>
            <w:r w:rsidRPr="00FA329B">
              <w:rPr>
                <w:rFonts w:ascii="Times New Roman" w:hAnsi="Times New Roman"/>
                <w:bCs/>
                <w:sz w:val="24"/>
                <w:szCs w:val="23"/>
              </w:rPr>
              <w:t xml:space="preserve"> instrument is determined by the residence of the issuer rather than the country of issuance of the financial instrument itself.</w:t>
            </w:r>
          </w:p>
        </w:tc>
      </w:tr>
      <w:tr w:rsidR="00233FEA" w:rsidRPr="003B3E1C" w14:paraId="695F1EA7"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B0910FA"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5DD2A1B"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opening position for the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of </w:t>
            </w:r>
            <w:r w:rsidRPr="00FA329B">
              <w:rPr>
                <w:rFonts w:ascii="Times New Roman" w:hAnsi="Times New Roman"/>
                <w:b/>
                <w:bCs/>
                <w:i/>
                <w:sz w:val="24"/>
                <w:szCs w:val="23"/>
              </w:rPr>
              <w:t>derivatives</w:t>
            </w:r>
            <w:r w:rsidRPr="00FA329B">
              <w:rPr>
                <w:rFonts w:ascii="Times New Roman" w:hAnsi="Times New Roman"/>
                <w:bCs/>
                <w:sz w:val="24"/>
                <w:szCs w:val="23"/>
              </w:rPr>
              <w:t xml:space="preserve"> with </w:t>
            </w:r>
            <w:r w:rsidRPr="00FA329B">
              <w:rPr>
                <w:rFonts w:ascii="Times New Roman" w:hAnsi="Times New Roman"/>
                <w:b/>
                <w:bCs/>
                <w:i/>
                <w:sz w:val="24"/>
                <w:szCs w:val="23"/>
              </w:rPr>
              <w:t>non-resident</w:t>
            </w:r>
            <w:r w:rsidRPr="00FA329B">
              <w:rPr>
                <w:rFonts w:ascii="Times New Roman" w:hAnsi="Times New Roman"/>
                <w:bCs/>
                <w:sz w:val="24"/>
                <w:szCs w:val="23"/>
              </w:rPr>
              <w:t xml:space="preserve"> debtors.</w:t>
            </w:r>
          </w:p>
          <w:p w14:paraId="10A4F4C6" w14:textId="77777777" w:rsidR="00233FEA" w:rsidRPr="00FA329B" w:rsidRDefault="00233FEA" w:rsidP="003167DC">
            <w:pPr>
              <w:autoSpaceDE w:val="0"/>
              <w:autoSpaceDN w:val="0"/>
              <w:adjustRightInd w:val="0"/>
              <w:jc w:val="both"/>
              <w:rPr>
                <w:rFonts w:ascii="Times New Roman" w:hAnsi="Times New Roman"/>
                <w:bCs/>
                <w:sz w:val="24"/>
                <w:szCs w:val="23"/>
              </w:rPr>
            </w:pPr>
          </w:p>
          <w:p w14:paraId="234F14C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2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2BDD6073" w14:textId="77777777" w:rsidR="00233FEA" w:rsidRPr="00FA329B" w:rsidRDefault="00233FEA" w:rsidP="003167DC">
            <w:pPr>
              <w:autoSpaceDE w:val="0"/>
              <w:autoSpaceDN w:val="0"/>
              <w:adjustRightInd w:val="0"/>
              <w:jc w:val="both"/>
              <w:rPr>
                <w:rFonts w:ascii="Times New Roman" w:hAnsi="Times New Roman"/>
                <w:bCs/>
                <w:sz w:val="24"/>
                <w:szCs w:val="23"/>
              </w:rPr>
            </w:pPr>
          </w:p>
          <w:p w14:paraId="66C9F829"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lastRenderedPageBreak/>
              <w:t xml:space="preserve">The opening position should be the closing position of the previous quarter, that is, the mark to market value of </w:t>
            </w:r>
            <w:r w:rsidRPr="00FA329B">
              <w:rPr>
                <w:rFonts w:ascii="Times New Roman" w:hAnsi="Times New Roman"/>
                <w:b/>
                <w:bCs/>
                <w:i/>
                <w:sz w:val="24"/>
                <w:szCs w:val="23"/>
              </w:rPr>
              <w:t>derivatives</w:t>
            </w:r>
            <w:r w:rsidRPr="00FA329B">
              <w:rPr>
                <w:rFonts w:ascii="Times New Roman" w:hAnsi="Times New Roman"/>
                <w:bCs/>
                <w:sz w:val="24"/>
                <w:szCs w:val="23"/>
              </w:rPr>
              <w:t xml:space="preserve"> in a</w:t>
            </w:r>
            <w:r w:rsidRPr="00FA329B">
              <w:rPr>
                <w:rFonts w:ascii="Times New Roman" w:hAnsi="Times New Roman"/>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positions at the end of the previous quarter.</w:t>
            </w:r>
          </w:p>
          <w:p w14:paraId="6D423BAC" w14:textId="77777777" w:rsidR="00233FEA" w:rsidRPr="00FA329B" w:rsidRDefault="00233FEA" w:rsidP="003167DC">
            <w:pPr>
              <w:autoSpaceDE w:val="0"/>
              <w:autoSpaceDN w:val="0"/>
              <w:adjustRightInd w:val="0"/>
              <w:jc w:val="both"/>
              <w:rPr>
                <w:rFonts w:ascii="Times New Roman" w:hAnsi="Times New Roman"/>
                <w:bCs/>
                <w:sz w:val="24"/>
                <w:szCs w:val="23"/>
              </w:rPr>
            </w:pPr>
          </w:p>
          <w:p w14:paraId="20F81C3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3.1(2) is a derived item. Report the value of opening position</w:t>
            </w:r>
            <w:r w:rsidRPr="00FA329B">
              <w:rPr>
                <w:rFonts w:ascii="Times New Roman" w:hAnsi="Times New Roman"/>
                <w:b/>
                <w:bCs/>
                <w:i/>
                <w:sz w:val="24"/>
                <w:szCs w:val="23"/>
              </w:rPr>
              <w:t xml:space="preserve"> </w:t>
            </w:r>
            <w:r w:rsidRPr="00FA329B">
              <w:rPr>
                <w:rFonts w:ascii="Times New Roman" w:hAnsi="Times New Roman"/>
                <w:bCs/>
                <w:sz w:val="24"/>
                <w:szCs w:val="23"/>
              </w:rPr>
              <w:t>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3.1(2) as the sum of column 2.</w:t>
            </w:r>
          </w:p>
        </w:tc>
      </w:tr>
      <w:tr w:rsidR="00233FEA" w:rsidRPr="003B3E1C" w14:paraId="7D37C0F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127E11C"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lastRenderedPageBreak/>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1F3ACFC"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value of transactions</w:t>
            </w:r>
            <w:r w:rsidRPr="00FA329B">
              <w:rPr>
                <w:rFonts w:ascii="Times New Roman" w:hAnsi="Times New Roman"/>
                <w:b/>
                <w:bCs/>
                <w:i/>
                <w:sz w:val="24"/>
                <w:szCs w:val="23"/>
              </w:rPr>
              <w:t xml:space="preserve"> </w:t>
            </w:r>
            <w:r w:rsidRPr="00FA329B">
              <w:rPr>
                <w:rFonts w:ascii="Times New Roman" w:hAnsi="Times New Roman"/>
                <w:bCs/>
                <w:sz w:val="24"/>
                <w:szCs w:val="23"/>
              </w:rPr>
              <w:t>of</w:t>
            </w:r>
            <w:r w:rsidRPr="00FA329B">
              <w:rPr>
                <w:rFonts w:ascii="Times New Roman" w:hAnsi="Times New Roman"/>
                <w:b/>
                <w:bCs/>
                <w:i/>
                <w:sz w:val="24"/>
                <w:szCs w:val="23"/>
              </w:rPr>
              <w:t xml:space="preserve"> derivatives</w:t>
            </w:r>
            <w:r w:rsidRPr="00FA329B">
              <w:rPr>
                <w:rFonts w:ascii="Times New Roman" w:hAnsi="Times New Roman"/>
                <w:bCs/>
                <w:sz w:val="24"/>
                <w:szCs w:val="23"/>
              </w:rPr>
              <w:t xml:space="preserve"> with a gross </w:t>
            </w:r>
            <w:r w:rsidRPr="00FA329B">
              <w:rPr>
                <w:rFonts w:ascii="Times New Roman" w:hAnsi="Times New Roman"/>
                <w:sz w:val="24"/>
                <w:szCs w:val="23"/>
              </w:rPr>
              <w:t>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Cs/>
                <w:i/>
                <w:sz w:val="24"/>
                <w:szCs w:val="23"/>
              </w:rPr>
              <w:t xml:space="preserve"> and</w:t>
            </w:r>
            <w:r w:rsidRPr="00FA329B">
              <w:rPr>
                <w:rFonts w:ascii="Times New Roman" w:hAnsi="Times New Roman"/>
                <w:b/>
                <w:bCs/>
                <w:i/>
                <w:sz w:val="24"/>
                <w:szCs w:val="23"/>
              </w:rPr>
              <w:t xml:space="preserve"> non-resident </w:t>
            </w:r>
            <w:r w:rsidRPr="00FA329B">
              <w:rPr>
                <w:rFonts w:ascii="Times New Roman" w:hAnsi="Times New Roman"/>
                <w:bCs/>
                <w:sz w:val="24"/>
                <w:szCs w:val="23"/>
              </w:rPr>
              <w:t xml:space="preserve">counterparty. </w:t>
            </w:r>
          </w:p>
          <w:p w14:paraId="2C403A22" w14:textId="77777777" w:rsidR="00233FEA" w:rsidRPr="00FA329B" w:rsidRDefault="00233FEA" w:rsidP="003167DC">
            <w:pPr>
              <w:autoSpaceDE w:val="0"/>
              <w:autoSpaceDN w:val="0"/>
              <w:adjustRightInd w:val="0"/>
              <w:jc w:val="both"/>
              <w:rPr>
                <w:rFonts w:ascii="Times New Roman" w:hAnsi="Times New Roman"/>
                <w:bCs/>
                <w:sz w:val="24"/>
                <w:szCs w:val="23"/>
              </w:rPr>
            </w:pPr>
          </w:p>
          <w:p w14:paraId="3702EFA9"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06B100E9" w14:textId="77777777" w:rsidR="00233FEA" w:rsidRPr="00FA329B" w:rsidRDefault="00233FEA" w:rsidP="003167DC">
            <w:pPr>
              <w:autoSpaceDE w:val="0"/>
              <w:autoSpaceDN w:val="0"/>
              <w:adjustRightInd w:val="0"/>
              <w:jc w:val="both"/>
              <w:rPr>
                <w:rFonts w:ascii="Times New Roman" w:hAnsi="Times New Roman"/>
                <w:bCs/>
                <w:sz w:val="24"/>
                <w:szCs w:val="23"/>
              </w:rPr>
            </w:pPr>
          </w:p>
          <w:p w14:paraId="4F7CAE4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3.1(3) is a derived item. Report the value of in item 3.1(3) as the sum of column 3.</w:t>
            </w:r>
          </w:p>
        </w:tc>
      </w:tr>
      <w:tr w:rsidR="00233FEA" w:rsidRPr="003B3E1C" w14:paraId="3143302C"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EF3EE98"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 xml:space="preserve">Column 4 </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F153614"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w:t>
            </w:r>
            <w:r w:rsidRPr="00FA329B">
              <w:rPr>
                <w:rFonts w:ascii="Times New Roman" w:hAnsi="Times New Roman"/>
                <w:b/>
                <w:bCs/>
                <w:i/>
                <w:sz w:val="24"/>
                <w:szCs w:val="23"/>
              </w:rPr>
              <w:t xml:space="preserve"> </w:t>
            </w:r>
          </w:p>
          <w:p w14:paraId="7BC87694"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5479F96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4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66611AE9" w14:textId="77777777" w:rsidR="00233FEA" w:rsidRPr="00FA329B" w:rsidRDefault="00233FEA" w:rsidP="003167DC">
            <w:pPr>
              <w:autoSpaceDE w:val="0"/>
              <w:autoSpaceDN w:val="0"/>
              <w:adjustRightInd w:val="0"/>
              <w:jc w:val="both"/>
              <w:rPr>
                <w:rFonts w:ascii="Times New Roman" w:hAnsi="Times New Roman"/>
                <w:bCs/>
                <w:sz w:val="24"/>
                <w:szCs w:val="23"/>
              </w:rPr>
            </w:pPr>
          </w:p>
          <w:p w14:paraId="36525594" w14:textId="7420C602"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If there is a discrepancy remaining between opening and closing positions, this will be due to </w:t>
            </w:r>
            <w:r w:rsidRPr="00FA329B">
              <w:rPr>
                <w:rFonts w:ascii="Times New Roman" w:hAnsi="Times New Roman"/>
                <w:b/>
                <w:bCs/>
                <w:i/>
                <w:sz w:val="24"/>
                <w:szCs w:val="23"/>
              </w:rPr>
              <w:t>derivatives</w:t>
            </w:r>
            <w:r w:rsidRPr="00FA329B">
              <w:rPr>
                <w:rFonts w:ascii="Times New Roman" w:hAnsi="Times New Roman"/>
                <w:bCs/>
                <w:sz w:val="24"/>
                <w:szCs w:val="23"/>
              </w:rPr>
              <w:t xml:space="preserve"> that have changed from a gross positive mark to market value to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position during the quarter or vice versa. Resolve this discrepancy by making the appropriate a</w:t>
            </w:r>
            <w:r w:rsidR="00E90C5A">
              <w:rPr>
                <w:rFonts w:ascii="Times New Roman" w:hAnsi="Times New Roman"/>
                <w:bCs/>
                <w:sz w:val="24"/>
                <w:szCs w:val="23"/>
              </w:rPr>
              <w:t>mend</w:t>
            </w:r>
            <w:r w:rsidRPr="00FA329B">
              <w:rPr>
                <w:rFonts w:ascii="Times New Roman" w:hAnsi="Times New Roman"/>
                <w:bCs/>
                <w:sz w:val="24"/>
                <w:szCs w:val="23"/>
              </w:rPr>
              <w:t xml:space="preserve">ment to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w:t>
            </w:r>
          </w:p>
          <w:p w14:paraId="0FA9EF0D" w14:textId="77777777" w:rsidR="00233FEA" w:rsidRPr="00FA329B" w:rsidRDefault="00233FEA" w:rsidP="003167DC">
            <w:pPr>
              <w:autoSpaceDE w:val="0"/>
              <w:autoSpaceDN w:val="0"/>
              <w:adjustRightInd w:val="0"/>
              <w:jc w:val="both"/>
              <w:rPr>
                <w:rFonts w:ascii="Times New Roman" w:hAnsi="Times New Roman"/>
                <w:bCs/>
                <w:sz w:val="24"/>
                <w:szCs w:val="23"/>
              </w:rPr>
            </w:pPr>
          </w:p>
          <w:p w14:paraId="054488D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Item 3.1(4) is a derived item. Report the value of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 in item 3.1(4) as the sum of column 4.</w:t>
            </w:r>
          </w:p>
        </w:tc>
      </w:tr>
      <w:tr w:rsidR="00233FEA" w:rsidRPr="003B3E1C" w14:paraId="798D58CB"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799BD01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989EBF9"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value of exchange rate variations.</w:t>
            </w:r>
            <w:r w:rsidRPr="00FA329B">
              <w:rPr>
                <w:rFonts w:ascii="Times New Roman" w:hAnsi="Times New Roman"/>
                <w:b/>
                <w:bCs/>
                <w:i/>
                <w:sz w:val="24"/>
                <w:szCs w:val="23"/>
              </w:rPr>
              <w:t xml:space="preserve"> </w:t>
            </w:r>
          </w:p>
          <w:p w14:paraId="6B2E9A87"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75EB1C89"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5 during the </w:t>
            </w:r>
            <w:r w:rsidRPr="00FA329B">
              <w:rPr>
                <w:rFonts w:ascii="Times New Roman" w:hAnsi="Times New Roman"/>
                <w:b/>
                <w:bCs/>
                <w:i/>
                <w:sz w:val="24"/>
                <w:szCs w:val="23"/>
              </w:rPr>
              <w:t>reporting period</w:t>
            </w:r>
            <w:r w:rsidRPr="00FA329B">
              <w:rPr>
                <w:rFonts w:ascii="Times New Roman" w:hAnsi="Times New Roman"/>
                <w:bCs/>
                <w:sz w:val="24"/>
                <w:szCs w:val="23"/>
              </w:rPr>
              <w:t>.</w:t>
            </w:r>
            <w:r w:rsidRPr="00FA329B">
              <w:rPr>
                <w:rFonts w:ascii="Times New Roman" w:hAnsi="Times New Roman"/>
                <w:bCs/>
                <w:sz w:val="24"/>
                <w:szCs w:val="23"/>
              </w:rPr>
              <w:br/>
            </w:r>
          </w:p>
          <w:p w14:paraId="57B29866"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3.1(5) is a derived item. Report the value of exchange rate variations in item 3.1(5) as the sum of column 5.</w:t>
            </w:r>
          </w:p>
        </w:tc>
      </w:tr>
      <w:tr w:rsidR="00233FEA" w:rsidRPr="003B3E1C" w14:paraId="5A71530C"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E94587C"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C1366E2"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value of other changes.</w:t>
            </w:r>
            <w:r w:rsidRPr="00FA329B">
              <w:rPr>
                <w:rFonts w:ascii="Times New Roman" w:hAnsi="Times New Roman"/>
                <w:b/>
                <w:bCs/>
                <w:i/>
                <w:sz w:val="24"/>
                <w:szCs w:val="23"/>
              </w:rPr>
              <w:t xml:space="preserve"> </w:t>
            </w:r>
          </w:p>
          <w:p w14:paraId="6F5EE422"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2662EC1B"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6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3C08961C" w14:textId="77777777" w:rsidR="00233FEA" w:rsidRPr="00FA329B" w:rsidRDefault="00233FEA" w:rsidP="003167DC">
            <w:pPr>
              <w:autoSpaceDE w:val="0"/>
              <w:autoSpaceDN w:val="0"/>
              <w:adjustRightInd w:val="0"/>
              <w:jc w:val="both"/>
              <w:rPr>
                <w:rFonts w:ascii="Times New Roman" w:hAnsi="Times New Roman"/>
                <w:bCs/>
                <w:sz w:val="24"/>
                <w:szCs w:val="23"/>
              </w:rPr>
            </w:pPr>
          </w:p>
          <w:p w14:paraId="307382E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3.1(6) is a derived item. Report the value of other changes in item 3.1(6) as the sum of column 6.</w:t>
            </w:r>
          </w:p>
        </w:tc>
      </w:tr>
      <w:tr w:rsidR="00233FEA" w:rsidRPr="003B3E1C" w14:paraId="30B8D185"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88BD49E"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7688266"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of </w:t>
            </w:r>
            <w:r w:rsidRPr="00FA329B">
              <w:rPr>
                <w:rFonts w:ascii="Times New Roman" w:hAnsi="Times New Roman"/>
                <w:b/>
                <w:bCs/>
                <w:i/>
                <w:sz w:val="24"/>
                <w:szCs w:val="23"/>
              </w:rPr>
              <w:t>derivatives</w:t>
            </w:r>
            <w:r w:rsidRPr="00FA329B">
              <w:rPr>
                <w:rFonts w:ascii="Times New Roman" w:hAnsi="Times New Roman"/>
                <w:bCs/>
                <w:sz w:val="24"/>
                <w:szCs w:val="23"/>
              </w:rPr>
              <w:t xml:space="preserve"> with </w:t>
            </w:r>
            <w:r w:rsidRPr="00FA329B">
              <w:rPr>
                <w:rFonts w:ascii="Times New Roman" w:hAnsi="Times New Roman"/>
                <w:b/>
                <w:bCs/>
                <w:i/>
                <w:sz w:val="24"/>
                <w:szCs w:val="23"/>
              </w:rPr>
              <w:t>non-resident</w:t>
            </w:r>
            <w:r w:rsidRPr="00FA329B">
              <w:rPr>
                <w:rFonts w:ascii="Times New Roman" w:hAnsi="Times New Roman"/>
                <w:bCs/>
                <w:sz w:val="24"/>
                <w:szCs w:val="23"/>
              </w:rPr>
              <w:t xml:space="preserve"> debtors</w:t>
            </w:r>
            <w:r w:rsidRPr="00FA329B">
              <w:rPr>
                <w:rFonts w:ascii="Times New Roman" w:hAnsi="Times New Roman"/>
                <w:bCs/>
                <w:i/>
                <w:sz w:val="24"/>
                <w:szCs w:val="23"/>
              </w:rPr>
              <w:t>.</w:t>
            </w:r>
          </w:p>
          <w:p w14:paraId="3F5F4418" w14:textId="77777777" w:rsidR="00233FEA" w:rsidRPr="00FA329B" w:rsidRDefault="00233FEA" w:rsidP="003167DC">
            <w:pPr>
              <w:autoSpaceDE w:val="0"/>
              <w:autoSpaceDN w:val="0"/>
              <w:adjustRightInd w:val="0"/>
              <w:jc w:val="both"/>
              <w:rPr>
                <w:rFonts w:ascii="Times New Roman" w:hAnsi="Times New Roman"/>
                <w:bCs/>
                <w:sz w:val="24"/>
                <w:szCs w:val="23"/>
              </w:rPr>
            </w:pPr>
          </w:p>
          <w:p w14:paraId="44C419AC"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7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p w14:paraId="3219A3DE" w14:textId="77777777" w:rsidR="00233FEA" w:rsidRPr="00FA329B" w:rsidRDefault="00233FEA" w:rsidP="003167DC">
            <w:pPr>
              <w:autoSpaceDE w:val="0"/>
              <w:autoSpaceDN w:val="0"/>
              <w:adjustRightInd w:val="0"/>
              <w:jc w:val="both"/>
              <w:rPr>
                <w:rFonts w:ascii="Times New Roman" w:hAnsi="Times New Roman"/>
                <w:bCs/>
                <w:sz w:val="24"/>
                <w:szCs w:val="23"/>
              </w:rPr>
            </w:pPr>
          </w:p>
          <w:p w14:paraId="1CB040F6"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3.1(7) is a derived item. Report the value of closing position</w:t>
            </w:r>
            <w:r w:rsidRPr="00FA329B">
              <w:rPr>
                <w:rFonts w:ascii="Times New Roman" w:hAnsi="Times New Roman"/>
                <w:b/>
                <w:bCs/>
                <w:i/>
                <w:sz w:val="24"/>
                <w:szCs w:val="23"/>
              </w:rPr>
              <w:t xml:space="preserve"> </w:t>
            </w:r>
            <w:r w:rsidRPr="00FA329B">
              <w:rPr>
                <w:rFonts w:ascii="Times New Roman" w:hAnsi="Times New Roman"/>
                <w:bCs/>
                <w:sz w:val="24"/>
                <w:szCs w:val="23"/>
              </w:rPr>
              <w:t>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3.1(7) as the sum of column 7.</w:t>
            </w:r>
          </w:p>
        </w:tc>
      </w:tr>
    </w:tbl>
    <w:p w14:paraId="72C1B77B" w14:textId="77777777" w:rsidR="00233FEA" w:rsidRPr="003B3E1C" w:rsidRDefault="00233FEA" w:rsidP="00233FEA">
      <w:pPr>
        <w:autoSpaceDE w:val="0"/>
        <w:autoSpaceDN w:val="0"/>
        <w:adjustRightInd w:val="0"/>
        <w:jc w:val="both"/>
        <w:rPr>
          <w:rFonts w:ascii="Times New Roman" w:hAnsi="Times New Roman"/>
          <w:sz w:val="23"/>
          <w:szCs w:val="23"/>
        </w:rPr>
      </w:pPr>
    </w:p>
    <w:p w14:paraId="0CA8E1A6" w14:textId="072266DD" w:rsidR="00233FEA" w:rsidRPr="003B3E1C" w:rsidRDefault="00332435" w:rsidP="00FA329B">
      <w:pPr>
        <w:pStyle w:val="Heading3"/>
      </w:pPr>
      <w:r>
        <w:br w:type="page"/>
      </w:r>
      <w:r w:rsidR="00233FEA" w:rsidRPr="003B3E1C">
        <w:lastRenderedPageBreak/>
        <w:t>Derivatives with gro</w:t>
      </w:r>
      <w:r w:rsidR="00233FEA" w:rsidRPr="003B3E1C">
        <w:softHyphen/>
      </w:r>
      <w:r w:rsidR="00233FEA" w:rsidRPr="003B3E1C">
        <w:softHyphen/>
      </w:r>
      <w:r w:rsidR="00233FEA" w:rsidRPr="003B3E1C">
        <w:softHyphen/>
      </w:r>
      <w:r w:rsidR="00233FEA" w:rsidRPr="003B3E1C">
        <w:softHyphen/>
        <w:t>ss negative mark to market values and non-resident counterparties excluding clearing houses and central counterparties</w:t>
      </w:r>
    </w:p>
    <w:p w14:paraId="45E54970" w14:textId="77777777" w:rsidR="00233FEA" w:rsidRPr="003B3E1C" w:rsidRDefault="00233FEA" w:rsidP="00233FEA">
      <w:pPr>
        <w:rPr>
          <w:rFonts w:ascii="Arial" w:eastAsia="Times New Roman" w:hAnsi="Arial" w:cs="Arial"/>
          <w:b/>
          <w:sz w:val="23"/>
          <w:szCs w:val="23"/>
          <w:lang w:eastAsia="en-AU"/>
        </w:rPr>
      </w:pPr>
    </w:p>
    <w:p w14:paraId="083F2701" w14:textId="77777777" w:rsidR="00233FEA" w:rsidRPr="00FA329B" w:rsidRDefault="00233FEA" w:rsidP="00233FEA">
      <w:pPr>
        <w:jc w:val="both"/>
        <w:rPr>
          <w:rFonts w:ascii="Times New Roman" w:hAnsi="Times New Roman"/>
          <w:sz w:val="24"/>
          <w:szCs w:val="23"/>
        </w:rPr>
      </w:pPr>
      <w:r w:rsidRPr="00FA329B">
        <w:rPr>
          <w:rFonts w:ascii="Times New Roman" w:hAnsi="Times New Roman"/>
          <w:sz w:val="24"/>
          <w:szCs w:val="23"/>
        </w:rPr>
        <w:t xml:space="preserve">Item 4 collects information on the value of </w:t>
      </w:r>
      <w:r w:rsidRPr="00FA329B">
        <w:rPr>
          <w:rFonts w:ascii="Times New Roman" w:hAnsi="Times New Roman"/>
          <w:b/>
          <w:i/>
          <w:sz w:val="24"/>
          <w:szCs w:val="23"/>
        </w:rPr>
        <w:t>derivatives</w:t>
      </w:r>
      <w:r w:rsidRPr="00FA329B">
        <w:rPr>
          <w:rFonts w:ascii="Times New Roman" w:hAnsi="Times New Roman"/>
          <w:sz w:val="24"/>
          <w:szCs w:val="23"/>
        </w:rPr>
        <w:t xml:space="preserve"> with a gross negative</w:t>
      </w:r>
      <w:r w:rsidRPr="00FA329B">
        <w:rPr>
          <w:rFonts w:ascii="Times New Roman" w:hAnsi="Times New Roman"/>
          <w:b/>
          <w:i/>
          <w:sz w:val="24"/>
          <w:szCs w:val="23"/>
        </w:rPr>
        <w:t xml:space="preserve"> </w:t>
      </w:r>
      <w:r w:rsidRPr="00FA329B">
        <w:rPr>
          <w:rFonts w:ascii="Times New Roman" w:hAnsi="Times New Roman"/>
          <w:sz w:val="24"/>
          <w:szCs w:val="23"/>
        </w:rPr>
        <w:t xml:space="preserve">mark to market value at the beginning and end of the </w:t>
      </w:r>
      <w:r w:rsidRPr="00FA329B">
        <w:rPr>
          <w:rFonts w:ascii="Times New Roman" w:hAnsi="Times New Roman"/>
          <w:b/>
          <w:i/>
          <w:sz w:val="24"/>
          <w:szCs w:val="23"/>
        </w:rPr>
        <w:t xml:space="preserve">reporting period </w:t>
      </w:r>
      <w:r w:rsidRPr="00FA329B">
        <w:rPr>
          <w:rFonts w:ascii="Times New Roman" w:hAnsi="Times New Roman"/>
          <w:sz w:val="24"/>
          <w:szCs w:val="23"/>
        </w:rPr>
        <w:t xml:space="preserve">with </w:t>
      </w:r>
      <w:r w:rsidRPr="00FA329B">
        <w:rPr>
          <w:rFonts w:ascii="Times New Roman" w:hAnsi="Times New Roman"/>
          <w:b/>
          <w:i/>
          <w:sz w:val="24"/>
          <w:szCs w:val="23"/>
        </w:rPr>
        <w:t>non-resident</w:t>
      </w:r>
      <w:r w:rsidRPr="00FA329B">
        <w:rPr>
          <w:rFonts w:ascii="Times New Roman" w:hAnsi="Times New Roman"/>
          <w:sz w:val="24"/>
          <w:szCs w:val="23"/>
        </w:rPr>
        <w:t xml:space="preserve"> counterparties, excluding </w:t>
      </w:r>
      <w:r w:rsidRPr="00FA329B">
        <w:rPr>
          <w:rFonts w:ascii="Times New Roman" w:hAnsi="Times New Roman"/>
          <w:b/>
          <w:i/>
          <w:sz w:val="24"/>
          <w:szCs w:val="23"/>
        </w:rPr>
        <w:t>clearing houses and central counterparties</w:t>
      </w:r>
      <w:r w:rsidRPr="00FA329B">
        <w:rPr>
          <w:rFonts w:ascii="Times New Roman" w:hAnsi="Times New Roman"/>
          <w:sz w:val="24"/>
          <w:szCs w:val="23"/>
        </w:rPr>
        <w:t xml:space="preserve">. It also collects movements in the value of holdings of </w:t>
      </w:r>
      <w:r w:rsidRPr="00FA329B">
        <w:rPr>
          <w:rFonts w:ascii="Times New Roman" w:hAnsi="Times New Roman"/>
          <w:b/>
          <w:i/>
          <w:sz w:val="24"/>
          <w:szCs w:val="23"/>
        </w:rPr>
        <w:t>derivatives</w:t>
      </w:r>
      <w:r w:rsidRPr="00FA329B">
        <w:rPr>
          <w:rFonts w:ascii="Times New Roman" w:hAnsi="Times New Roman"/>
          <w:sz w:val="24"/>
          <w:szCs w:val="23"/>
        </w:rPr>
        <w:t xml:space="preserve"> with a gross negative</w:t>
      </w:r>
      <w:r w:rsidRPr="00FA329B">
        <w:rPr>
          <w:rFonts w:ascii="Times New Roman" w:hAnsi="Times New Roman"/>
          <w:b/>
          <w:i/>
          <w:sz w:val="24"/>
          <w:szCs w:val="23"/>
        </w:rPr>
        <w:t xml:space="preserve"> </w:t>
      </w:r>
      <w:r w:rsidRPr="00FA329B">
        <w:rPr>
          <w:rFonts w:ascii="Times New Roman" w:hAnsi="Times New Roman"/>
          <w:sz w:val="24"/>
          <w:szCs w:val="23"/>
        </w:rPr>
        <w:t>mark to market value due to payments and receipts from, and due to,</w:t>
      </w:r>
      <w:r w:rsidRPr="00FA329B">
        <w:rPr>
          <w:rFonts w:ascii="Times New Roman" w:hAnsi="Times New Roman"/>
          <w:b/>
          <w:i/>
          <w:sz w:val="24"/>
          <w:szCs w:val="23"/>
        </w:rPr>
        <w:t xml:space="preserve"> </w:t>
      </w:r>
      <w:r w:rsidRPr="00FA329B">
        <w:rPr>
          <w:rFonts w:ascii="Times New Roman" w:hAnsi="Times New Roman"/>
          <w:sz w:val="24"/>
          <w:szCs w:val="23"/>
        </w:rPr>
        <w:t xml:space="preserve">transactions and </w:t>
      </w:r>
      <w:r w:rsidRPr="00FA329B">
        <w:rPr>
          <w:rFonts w:ascii="Times New Roman" w:hAnsi="Times New Roman"/>
          <w:b/>
          <w:i/>
          <w:sz w:val="24"/>
          <w:szCs w:val="23"/>
        </w:rPr>
        <w:t>market value</w:t>
      </w:r>
      <w:r w:rsidRPr="00FA329B">
        <w:rPr>
          <w:rFonts w:ascii="Times New Roman" w:hAnsi="Times New Roman"/>
          <w:sz w:val="24"/>
          <w:szCs w:val="23"/>
        </w:rPr>
        <w:t xml:space="preserve"> changes, exchange rate variations and other changes</w:t>
      </w:r>
      <w:r w:rsidRPr="00FA329B">
        <w:rPr>
          <w:rFonts w:ascii="Times New Roman" w:hAnsi="Times New Roman"/>
          <w:b/>
          <w:i/>
          <w:sz w:val="24"/>
          <w:szCs w:val="23"/>
        </w:rPr>
        <w:t xml:space="preserve"> </w:t>
      </w:r>
      <w:r w:rsidRPr="00FA329B">
        <w:rPr>
          <w:rFonts w:ascii="Times New Roman" w:hAnsi="Times New Roman"/>
          <w:sz w:val="24"/>
          <w:szCs w:val="23"/>
        </w:rPr>
        <w:t xml:space="preserve">that occurred during the </w:t>
      </w:r>
      <w:r w:rsidRPr="00FA329B">
        <w:rPr>
          <w:rFonts w:ascii="Times New Roman" w:hAnsi="Times New Roman"/>
          <w:b/>
          <w:i/>
          <w:sz w:val="24"/>
          <w:szCs w:val="23"/>
        </w:rPr>
        <w:t>reporting period</w:t>
      </w:r>
      <w:r w:rsidRPr="00FA329B">
        <w:rPr>
          <w:rFonts w:ascii="Times New Roman" w:hAnsi="Times New Roman"/>
          <w:sz w:val="24"/>
          <w:szCs w:val="23"/>
        </w:rPr>
        <w:t>.</w:t>
      </w:r>
    </w:p>
    <w:p w14:paraId="79C8189E" w14:textId="77777777" w:rsidR="00233FEA" w:rsidRPr="00FA329B" w:rsidRDefault="00233FEA" w:rsidP="00233FEA">
      <w:pPr>
        <w:jc w:val="both"/>
        <w:rPr>
          <w:rFonts w:ascii="Times New Roman" w:hAnsi="Times New Roman"/>
          <w:sz w:val="24"/>
          <w:szCs w:val="23"/>
        </w:rPr>
      </w:pPr>
    </w:p>
    <w:p w14:paraId="0C655BA4" w14:textId="77777777" w:rsidR="00233FEA" w:rsidRPr="00FA329B" w:rsidRDefault="00233FEA" w:rsidP="00233FEA">
      <w:pPr>
        <w:jc w:val="both"/>
        <w:rPr>
          <w:rFonts w:ascii="Times New Roman" w:hAnsi="Times New Roman"/>
          <w:sz w:val="24"/>
          <w:szCs w:val="23"/>
        </w:rPr>
      </w:pPr>
      <w:r w:rsidRPr="00FA329B">
        <w:rPr>
          <w:rFonts w:ascii="Times New Roman" w:hAnsi="Times New Roman"/>
          <w:sz w:val="24"/>
          <w:szCs w:val="23"/>
        </w:rPr>
        <w:t>Futures should be excluded from this item, and reported only in item 9.</w:t>
      </w:r>
    </w:p>
    <w:p w14:paraId="72CAC111" w14:textId="713B59B5" w:rsidR="00233FEA" w:rsidRPr="003B3E1C" w:rsidRDefault="00233FEA" w:rsidP="00233FEA">
      <w:pPr>
        <w:pStyle w:val="Default"/>
        <w:jc w:val="both"/>
        <w:rPr>
          <w:color w:val="auto"/>
          <w:sz w:val="23"/>
          <w:szCs w:val="23"/>
        </w:rPr>
      </w:pPr>
    </w:p>
    <w:tbl>
      <w:tblPr>
        <w:tblW w:w="9071" w:type="dxa"/>
        <w:tblInd w:w="108" w:type="dxa"/>
        <w:tblLayout w:type="fixed"/>
        <w:tblLook w:val="04A0" w:firstRow="1" w:lastRow="0" w:firstColumn="1" w:lastColumn="0" w:noHBand="0" w:noVBand="1"/>
      </w:tblPr>
      <w:tblGrid>
        <w:gridCol w:w="1701"/>
        <w:gridCol w:w="7370"/>
      </w:tblGrid>
      <w:tr w:rsidR="00233FEA" w:rsidRPr="003B3E1C" w14:paraId="19ED02C8"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75DB06B"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045F3D5" w14:textId="77777777" w:rsidR="00233FEA" w:rsidRPr="00FA329B" w:rsidRDefault="00233FEA" w:rsidP="003167DC">
            <w:pPr>
              <w:autoSpaceDE w:val="0"/>
              <w:autoSpaceDN w:val="0"/>
              <w:adjustRightInd w:val="0"/>
              <w:jc w:val="both"/>
              <w:rPr>
                <w:rFonts w:ascii="Times New Roman" w:hAnsi="Times New Roman"/>
                <w:color w:val="000000"/>
                <w:sz w:val="24"/>
                <w:szCs w:val="23"/>
              </w:rPr>
            </w:pPr>
            <w:r w:rsidRPr="00FA329B">
              <w:rPr>
                <w:rFonts w:ascii="Times New Roman" w:hAnsi="Times New Roman"/>
                <w:color w:val="000000"/>
                <w:sz w:val="24"/>
                <w:szCs w:val="23"/>
              </w:rPr>
              <w:t xml:space="preserve">Report the country in which the immediate </w:t>
            </w:r>
            <w:r w:rsidRPr="00FA329B">
              <w:rPr>
                <w:rFonts w:ascii="Times New Roman" w:hAnsi="Times New Roman"/>
                <w:b/>
                <w:i/>
                <w:color w:val="000000"/>
                <w:sz w:val="24"/>
                <w:szCs w:val="23"/>
              </w:rPr>
              <w:t>non-resident</w:t>
            </w:r>
            <w:r w:rsidRPr="00FA329B">
              <w:rPr>
                <w:rFonts w:ascii="Times New Roman" w:hAnsi="Times New Roman"/>
                <w:color w:val="000000"/>
                <w:sz w:val="24"/>
                <w:szCs w:val="23"/>
              </w:rPr>
              <w:t xml:space="preserve"> debtor resides.</w:t>
            </w:r>
          </w:p>
          <w:p w14:paraId="66A7E8A0" w14:textId="77777777" w:rsidR="00233FEA" w:rsidRPr="00FA329B" w:rsidRDefault="00233FEA" w:rsidP="003167DC">
            <w:pPr>
              <w:autoSpaceDE w:val="0"/>
              <w:autoSpaceDN w:val="0"/>
              <w:adjustRightInd w:val="0"/>
              <w:jc w:val="both"/>
              <w:rPr>
                <w:rFonts w:ascii="Times New Roman" w:hAnsi="Times New Roman"/>
                <w:color w:val="000000"/>
                <w:sz w:val="24"/>
                <w:szCs w:val="23"/>
              </w:rPr>
            </w:pPr>
          </w:p>
          <w:p w14:paraId="52942F72"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 residency of a financial </w:t>
            </w:r>
            <w:r w:rsidRPr="00FA329B">
              <w:rPr>
                <w:rFonts w:ascii="Times New Roman" w:hAnsi="Times New Roman"/>
                <w:b/>
                <w:bCs/>
                <w:i/>
                <w:sz w:val="24"/>
                <w:szCs w:val="23"/>
              </w:rPr>
              <w:t>derivative</w:t>
            </w:r>
            <w:r w:rsidRPr="00FA329B">
              <w:rPr>
                <w:rFonts w:ascii="Times New Roman" w:hAnsi="Times New Roman"/>
                <w:bCs/>
                <w:sz w:val="24"/>
                <w:szCs w:val="23"/>
              </w:rPr>
              <w:t xml:space="preserve"> instrument is determined by the residence of the issuer rather than the country of issuance of the financial instrument itself.</w:t>
            </w:r>
          </w:p>
        </w:tc>
      </w:tr>
      <w:tr w:rsidR="00233FEA" w:rsidRPr="003B3E1C" w14:paraId="46F8C4AC"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4906862"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301342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opening position with gross </w:t>
            </w:r>
            <w:r w:rsidRPr="00FA329B">
              <w:rPr>
                <w:rFonts w:ascii="Times New Roman" w:hAnsi="Times New Roman"/>
                <w:sz w:val="24"/>
                <w:szCs w:val="23"/>
              </w:rPr>
              <w:t>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of </w:t>
            </w:r>
            <w:r w:rsidRPr="00FA329B">
              <w:rPr>
                <w:rFonts w:ascii="Times New Roman" w:hAnsi="Times New Roman"/>
                <w:b/>
                <w:bCs/>
                <w:i/>
                <w:sz w:val="24"/>
                <w:szCs w:val="23"/>
              </w:rPr>
              <w:t>derivatives</w:t>
            </w:r>
            <w:r w:rsidRPr="00FA329B">
              <w:rPr>
                <w:rFonts w:ascii="Times New Roman" w:hAnsi="Times New Roman"/>
                <w:bCs/>
                <w:sz w:val="24"/>
                <w:szCs w:val="23"/>
              </w:rPr>
              <w:t xml:space="preserve"> with </w:t>
            </w:r>
            <w:r w:rsidRPr="00FA329B">
              <w:rPr>
                <w:rFonts w:ascii="Times New Roman" w:hAnsi="Times New Roman"/>
                <w:b/>
                <w:bCs/>
                <w:i/>
                <w:sz w:val="24"/>
                <w:szCs w:val="23"/>
              </w:rPr>
              <w:t>non-resident</w:t>
            </w:r>
            <w:r w:rsidRPr="00FA329B">
              <w:rPr>
                <w:rFonts w:ascii="Times New Roman" w:hAnsi="Times New Roman"/>
                <w:bCs/>
                <w:sz w:val="24"/>
                <w:szCs w:val="23"/>
              </w:rPr>
              <w:t xml:space="preserve"> debtors.</w:t>
            </w:r>
          </w:p>
          <w:p w14:paraId="003A404B" w14:textId="77777777" w:rsidR="00233FEA" w:rsidRPr="00FA329B" w:rsidRDefault="00233FEA" w:rsidP="003167DC">
            <w:pPr>
              <w:autoSpaceDE w:val="0"/>
              <w:autoSpaceDN w:val="0"/>
              <w:adjustRightInd w:val="0"/>
              <w:jc w:val="both"/>
              <w:rPr>
                <w:rFonts w:ascii="Times New Roman" w:hAnsi="Times New Roman"/>
                <w:bCs/>
                <w:sz w:val="24"/>
                <w:szCs w:val="23"/>
              </w:rPr>
            </w:pPr>
          </w:p>
          <w:p w14:paraId="55C13059"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2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6F689B86" w14:textId="77777777" w:rsidR="00233FEA" w:rsidRPr="00FA329B" w:rsidRDefault="00233FEA" w:rsidP="003167DC">
            <w:pPr>
              <w:autoSpaceDE w:val="0"/>
              <w:autoSpaceDN w:val="0"/>
              <w:adjustRightInd w:val="0"/>
              <w:jc w:val="both"/>
              <w:rPr>
                <w:rFonts w:ascii="Times New Roman" w:hAnsi="Times New Roman"/>
                <w:bCs/>
                <w:sz w:val="24"/>
                <w:szCs w:val="23"/>
              </w:rPr>
            </w:pPr>
          </w:p>
          <w:p w14:paraId="1B236010"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The opening position should be the closing position of the previous quarter, that is, the mark to market value of </w:t>
            </w:r>
            <w:r w:rsidRPr="00FA329B">
              <w:rPr>
                <w:rFonts w:ascii="Times New Roman" w:hAnsi="Times New Roman"/>
                <w:b/>
                <w:bCs/>
                <w:i/>
                <w:sz w:val="24"/>
                <w:szCs w:val="23"/>
              </w:rPr>
              <w:t>derivatives</w:t>
            </w:r>
            <w:r w:rsidRPr="00FA329B">
              <w:rPr>
                <w:rFonts w:ascii="Times New Roman" w:hAnsi="Times New Roman"/>
                <w:bCs/>
                <w:sz w:val="24"/>
                <w:szCs w:val="23"/>
              </w:rPr>
              <w:t xml:space="preserve"> in a gross </w:t>
            </w:r>
            <w:r w:rsidRPr="00FA329B">
              <w:rPr>
                <w:rFonts w:ascii="Times New Roman" w:hAnsi="Times New Roman"/>
                <w:sz w:val="24"/>
                <w:szCs w:val="23"/>
              </w:rPr>
              <w:t>negative</w:t>
            </w:r>
            <w:r w:rsidRPr="00FA329B">
              <w:rPr>
                <w:rFonts w:ascii="Times New Roman" w:hAnsi="Times New Roman"/>
                <w:bCs/>
                <w:sz w:val="24"/>
                <w:szCs w:val="23"/>
              </w:rPr>
              <w:t xml:space="preserve"> mark to market value positions at the end of the previous quarter.</w:t>
            </w:r>
          </w:p>
          <w:p w14:paraId="37290D5F" w14:textId="77777777" w:rsidR="00233FEA" w:rsidRPr="00FA329B" w:rsidRDefault="00233FEA" w:rsidP="003167DC">
            <w:pPr>
              <w:autoSpaceDE w:val="0"/>
              <w:autoSpaceDN w:val="0"/>
              <w:adjustRightInd w:val="0"/>
              <w:jc w:val="both"/>
              <w:rPr>
                <w:rFonts w:ascii="Times New Roman" w:hAnsi="Times New Roman"/>
                <w:bCs/>
                <w:sz w:val="24"/>
                <w:szCs w:val="23"/>
              </w:rPr>
            </w:pPr>
          </w:p>
          <w:p w14:paraId="3CF2BAE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Item 4.1(2) is a derived item. Report the value of opening position which results in a gross </w:t>
            </w:r>
            <w:r w:rsidRPr="00FA329B">
              <w:rPr>
                <w:rFonts w:ascii="Times New Roman" w:hAnsi="Times New Roman"/>
                <w:sz w:val="24"/>
                <w:szCs w:val="23"/>
              </w:rPr>
              <w:t>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in item 4.1(2) as the sum of column 2.</w:t>
            </w:r>
          </w:p>
        </w:tc>
      </w:tr>
      <w:tr w:rsidR="00233FEA" w:rsidRPr="003B3E1C" w14:paraId="22EC0D39"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09DE063"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3B61100"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value of transactions</w:t>
            </w:r>
            <w:r w:rsidRPr="00FA329B">
              <w:rPr>
                <w:rFonts w:ascii="Times New Roman" w:hAnsi="Times New Roman"/>
                <w:b/>
                <w:bCs/>
                <w:i/>
                <w:sz w:val="24"/>
                <w:szCs w:val="23"/>
              </w:rPr>
              <w:t xml:space="preserve"> </w:t>
            </w:r>
            <w:r w:rsidRPr="00FA329B">
              <w:rPr>
                <w:rFonts w:ascii="Times New Roman" w:hAnsi="Times New Roman"/>
                <w:bCs/>
                <w:sz w:val="24"/>
                <w:szCs w:val="23"/>
              </w:rPr>
              <w:t xml:space="preserve">of </w:t>
            </w:r>
            <w:r w:rsidRPr="00FA329B">
              <w:rPr>
                <w:rFonts w:ascii="Times New Roman" w:hAnsi="Times New Roman"/>
                <w:b/>
                <w:bCs/>
                <w:i/>
                <w:sz w:val="24"/>
                <w:szCs w:val="23"/>
              </w:rPr>
              <w:t>derivatives</w:t>
            </w:r>
            <w:r w:rsidRPr="00FA329B">
              <w:rPr>
                <w:rFonts w:ascii="Times New Roman" w:hAnsi="Times New Roman"/>
                <w:bCs/>
                <w:sz w:val="24"/>
                <w:szCs w:val="23"/>
              </w:rPr>
              <w:t xml:space="preserve"> with a gross </w:t>
            </w:r>
            <w:r w:rsidRPr="00FA329B">
              <w:rPr>
                <w:rFonts w:ascii="Times New Roman" w:hAnsi="Times New Roman"/>
                <w:sz w:val="24"/>
                <w:szCs w:val="23"/>
              </w:rPr>
              <w:t>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Cs/>
                <w:i/>
                <w:sz w:val="24"/>
                <w:szCs w:val="23"/>
              </w:rPr>
              <w:t xml:space="preserve"> and</w:t>
            </w:r>
            <w:r w:rsidRPr="00FA329B">
              <w:rPr>
                <w:rFonts w:ascii="Times New Roman" w:hAnsi="Times New Roman"/>
                <w:b/>
                <w:bCs/>
                <w:i/>
                <w:sz w:val="24"/>
                <w:szCs w:val="23"/>
              </w:rPr>
              <w:t xml:space="preserve"> non-resident </w:t>
            </w:r>
            <w:r w:rsidRPr="00FA329B">
              <w:rPr>
                <w:rFonts w:ascii="Times New Roman" w:hAnsi="Times New Roman"/>
                <w:bCs/>
                <w:sz w:val="24"/>
                <w:szCs w:val="23"/>
              </w:rPr>
              <w:t xml:space="preserve">counterparty. </w:t>
            </w:r>
          </w:p>
          <w:p w14:paraId="0AB72171" w14:textId="77777777" w:rsidR="00233FEA" w:rsidRPr="00FA329B" w:rsidRDefault="00233FEA" w:rsidP="003167DC">
            <w:pPr>
              <w:autoSpaceDE w:val="0"/>
              <w:autoSpaceDN w:val="0"/>
              <w:adjustRightInd w:val="0"/>
              <w:jc w:val="both"/>
              <w:rPr>
                <w:rFonts w:ascii="Times New Roman" w:hAnsi="Times New Roman"/>
                <w:bCs/>
                <w:sz w:val="24"/>
                <w:szCs w:val="23"/>
              </w:rPr>
            </w:pPr>
          </w:p>
          <w:p w14:paraId="2E8AA9D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18A37DDF" w14:textId="77777777" w:rsidR="00233FEA" w:rsidRPr="00FA329B" w:rsidRDefault="00233FEA" w:rsidP="003167DC">
            <w:pPr>
              <w:autoSpaceDE w:val="0"/>
              <w:autoSpaceDN w:val="0"/>
              <w:adjustRightInd w:val="0"/>
              <w:jc w:val="both"/>
              <w:rPr>
                <w:rFonts w:ascii="Times New Roman" w:hAnsi="Times New Roman"/>
                <w:bCs/>
                <w:sz w:val="24"/>
                <w:szCs w:val="23"/>
              </w:rPr>
            </w:pPr>
          </w:p>
          <w:p w14:paraId="53208DC8"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4.1(3) is a derived item. Report the value of transactions</w:t>
            </w:r>
            <w:r w:rsidRPr="00FA329B">
              <w:rPr>
                <w:rFonts w:ascii="Times New Roman" w:hAnsi="Times New Roman"/>
                <w:b/>
                <w:bCs/>
                <w:i/>
                <w:sz w:val="24"/>
                <w:szCs w:val="23"/>
              </w:rPr>
              <w:t xml:space="preserve"> </w:t>
            </w:r>
            <w:r w:rsidRPr="00FA329B">
              <w:rPr>
                <w:rFonts w:ascii="Times New Roman" w:hAnsi="Times New Roman"/>
                <w:bCs/>
                <w:sz w:val="24"/>
                <w:szCs w:val="23"/>
              </w:rPr>
              <w:t>in item 4.1(3) as the sum of column 3.</w:t>
            </w:r>
          </w:p>
        </w:tc>
      </w:tr>
      <w:tr w:rsidR="00233FEA" w:rsidRPr="003B3E1C" w14:paraId="480DFB87"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4C3F5D5"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 xml:space="preserve">Column 4 </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CBADA12"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w:t>
            </w:r>
            <w:r w:rsidRPr="00FA329B">
              <w:rPr>
                <w:rFonts w:ascii="Times New Roman" w:hAnsi="Times New Roman"/>
                <w:b/>
                <w:bCs/>
                <w:i/>
                <w:sz w:val="24"/>
                <w:szCs w:val="23"/>
              </w:rPr>
              <w:t xml:space="preserve"> </w:t>
            </w:r>
          </w:p>
          <w:p w14:paraId="274CE1BF"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4B7D23F1"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4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1AD8C04D" w14:textId="77777777" w:rsidR="00233FEA" w:rsidRPr="00FA329B" w:rsidRDefault="00233FEA" w:rsidP="003167DC">
            <w:pPr>
              <w:autoSpaceDE w:val="0"/>
              <w:autoSpaceDN w:val="0"/>
              <w:adjustRightInd w:val="0"/>
              <w:jc w:val="both"/>
              <w:rPr>
                <w:rFonts w:ascii="Times New Roman" w:hAnsi="Times New Roman"/>
                <w:bCs/>
                <w:sz w:val="24"/>
                <w:szCs w:val="23"/>
              </w:rPr>
            </w:pPr>
          </w:p>
          <w:p w14:paraId="08560518" w14:textId="2859378F"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If there is a discrepancy remaining between opening and closing positions, this will be due to </w:t>
            </w:r>
            <w:r w:rsidRPr="00FA329B">
              <w:rPr>
                <w:rFonts w:ascii="Times New Roman" w:hAnsi="Times New Roman"/>
                <w:b/>
                <w:bCs/>
                <w:i/>
                <w:sz w:val="24"/>
                <w:szCs w:val="23"/>
              </w:rPr>
              <w:t>derivatives</w:t>
            </w:r>
            <w:r w:rsidRPr="00FA329B">
              <w:rPr>
                <w:rFonts w:ascii="Times New Roman" w:hAnsi="Times New Roman"/>
                <w:bCs/>
                <w:sz w:val="24"/>
                <w:szCs w:val="23"/>
              </w:rPr>
              <w:t xml:space="preserve"> that have changed from a gross positive mark to market value to gross negative mark to market value position during the quarter or vice versa. Resolve this discrepancy by making the appropriate a</w:t>
            </w:r>
            <w:r w:rsidR="00E90C5A">
              <w:rPr>
                <w:rFonts w:ascii="Times New Roman" w:hAnsi="Times New Roman"/>
                <w:bCs/>
                <w:sz w:val="24"/>
                <w:szCs w:val="23"/>
              </w:rPr>
              <w:t>mend</w:t>
            </w:r>
            <w:r w:rsidRPr="00FA329B">
              <w:rPr>
                <w:rFonts w:ascii="Times New Roman" w:hAnsi="Times New Roman"/>
                <w:bCs/>
                <w:sz w:val="24"/>
                <w:szCs w:val="23"/>
              </w:rPr>
              <w:t xml:space="preserve">ment to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w:t>
            </w:r>
          </w:p>
          <w:p w14:paraId="670E2942" w14:textId="77777777" w:rsidR="00233FEA" w:rsidRPr="00FA329B" w:rsidRDefault="00233FEA" w:rsidP="003167DC">
            <w:pPr>
              <w:autoSpaceDE w:val="0"/>
              <w:autoSpaceDN w:val="0"/>
              <w:adjustRightInd w:val="0"/>
              <w:jc w:val="both"/>
              <w:rPr>
                <w:rFonts w:ascii="Times New Roman" w:hAnsi="Times New Roman"/>
                <w:bCs/>
                <w:sz w:val="24"/>
                <w:szCs w:val="23"/>
              </w:rPr>
            </w:pPr>
          </w:p>
          <w:p w14:paraId="2551A404"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Item 4.1(4) is a derived item. Report the value of </w:t>
            </w:r>
            <w:r w:rsidRPr="00FA329B">
              <w:rPr>
                <w:rFonts w:ascii="Times New Roman" w:hAnsi="Times New Roman"/>
                <w:b/>
                <w:bCs/>
                <w:i/>
                <w:sz w:val="24"/>
                <w:szCs w:val="23"/>
              </w:rPr>
              <w:t xml:space="preserve">market value </w:t>
            </w:r>
            <w:r w:rsidRPr="00FA329B">
              <w:rPr>
                <w:rFonts w:ascii="Times New Roman" w:hAnsi="Times New Roman"/>
                <w:bCs/>
                <w:sz w:val="24"/>
                <w:szCs w:val="23"/>
              </w:rPr>
              <w:t>changes in item 4.1(4) as the sum of column 4.</w:t>
            </w:r>
          </w:p>
        </w:tc>
      </w:tr>
      <w:tr w:rsidR="00233FEA" w:rsidRPr="003B3E1C" w14:paraId="3739DEA2"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B774E39"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lastRenderedPageBreak/>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B00B4EE"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value of exchange rate variations.</w:t>
            </w:r>
            <w:r w:rsidRPr="00FA329B">
              <w:rPr>
                <w:rFonts w:ascii="Times New Roman" w:hAnsi="Times New Roman"/>
                <w:b/>
                <w:bCs/>
                <w:i/>
                <w:sz w:val="24"/>
                <w:szCs w:val="23"/>
              </w:rPr>
              <w:t xml:space="preserve"> </w:t>
            </w:r>
          </w:p>
          <w:p w14:paraId="3529C83B"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1EF35B00"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5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78F6C120" w14:textId="77777777" w:rsidR="00233FEA" w:rsidRPr="00FA329B" w:rsidRDefault="00233FEA" w:rsidP="003167DC">
            <w:pPr>
              <w:autoSpaceDE w:val="0"/>
              <w:autoSpaceDN w:val="0"/>
              <w:adjustRightInd w:val="0"/>
              <w:jc w:val="both"/>
              <w:rPr>
                <w:rFonts w:ascii="Times New Roman" w:hAnsi="Times New Roman"/>
                <w:bCs/>
                <w:sz w:val="24"/>
                <w:szCs w:val="23"/>
              </w:rPr>
            </w:pPr>
          </w:p>
          <w:p w14:paraId="2D5BD652"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4.1(5) is a derived item. Report the value of exchange rate variations in item 4.1(5) as the sum of column 5.</w:t>
            </w:r>
          </w:p>
        </w:tc>
      </w:tr>
      <w:tr w:rsidR="00233FEA" w:rsidRPr="003B3E1C" w14:paraId="1D5D59C4"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21EB455"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EF905A9"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Cs/>
                <w:sz w:val="24"/>
                <w:szCs w:val="23"/>
              </w:rPr>
              <w:t>Report the value of other changes.</w:t>
            </w:r>
            <w:r w:rsidRPr="00FA329B">
              <w:rPr>
                <w:rFonts w:ascii="Times New Roman" w:hAnsi="Times New Roman"/>
                <w:b/>
                <w:bCs/>
                <w:i/>
                <w:sz w:val="24"/>
                <w:szCs w:val="23"/>
              </w:rPr>
              <w:t xml:space="preserve"> </w:t>
            </w:r>
          </w:p>
          <w:p w14:paraId="225AE3A3"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13DBA362"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6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6C179ECC" w14:textId="77777777" w:rsidR="00233FEA" w:rsidRPr="00FA329B" w:rsidRDefault="00233FEA" w:rsidP="003167DC">
            <w:pPr>
              <w:autoSpaceDE w:val="0"/>
              <w:autoSpaceDN w:val="0"/>
              <w:adjustRightInd w:val="0"/>
              <w:jc w:val="both"/>
              <w:rPr>
                <w:rFonts w:ascii="Times New Roman" w:hAnsi="Times New Roman"/>
                <w:bCs/>
                <w:sz w:val="24"/>
                <w:szCs w:val="23"/>
              </w:rPr>
            </w:pPr>
          </w:p>
          <w:p w14:paraId="6133DAC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4.1(6) is a derived item. Report the value of other changes in item 4.1(6) as the sum of column 6.</w:t>
            </w:r>
          </w:p>
        </w:tc>
      </w:tr>
      <w:tr w:rsidR="00233FEA" w:rsidRPr="003B3E1C" w14:paraId="39236F64"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1497AA3"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AF28F2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closing position for gross </w:t>
            </w:r>
            <w:r w:rsidRPr="00FA329B">
              <w:rPr>
                <w:rFonts w:ascii="Times New Roman" w:hAnsi="Times New Roman"/>
                <w:sz w:val="24"/>
                <w:szCs w:val="23"/>
              </w:rPr>
              <w:t>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of </w:t>
            </w:r>
            <w:r w:rsidRPr="00FA329B">
              <w:rPr>
                <w:rFonts w:ascii="Times New Roman" w:hAnsi="Times New Roman"/>
                <w:b/>
                <w:bCs/>
                <w:i/>
                <w:sz w:val="24"/>
                <w:szCs w:val="23"/>
              </w:rPr>
              <w:t>derivatives</w:t>
            </w:r>
            <w:r w:rsidRPr="00FA329B">
              <w:rPr>
                <w:rFonts w:ascii="Times New Roman" w:hAnsi="Times New Roman"/>
                <w:bCs/>
                <w:sz w:val="24"/>
                <w:szCs w:val="23"/>
              </w:rPr>
              <w:t xml:space="preserve"> with </w:t>
            </w:r>
            <w:r w:rsidRPr="00FA329B">
              <w:rPr>
                <w:rFonts w:ascii="Times New Roman" w:hAnsi="Times New Roman"/>
                <w:b/>
                <w:bCs/>
                <w:i/>
                <w:sz w:val="24"/>
                <w:szCs w:val="23"/>
              </w:rPr>
              <w:t>non-resident</w:t>
            </w:r>
            <w:r w:rsidRPr="00FA329B">
              <w:rPr>
                <w:rFonts w:ascii="Times New Roman" w:hAnsi="Times New Roman"/>
                <w:bCs/>
                <w:sz w:val="24"/>
                <w:szCs w:val="23"/>
              </w:rPr>
              <w:t xml:space="preserve"> debtors</w:t>
            </w:r>
            <w:r w:rsidRPr="00FA329B">
              <w:rPr>
                <w:rFonts w:ascii="Times New Roman" w:hAnsi="Times New Roman"/>
                <w:bCs/>
                <w:i/>
                <w:sz w:val="24"/>
                <w:szCs w:val="23"/>
              </w:rPr>
              <w:t>.</w:t>
            </w:r>
          </w:p>
          <w:p w14:paraId="666B10D4" w14:textId="77777777" w:rsidR="00233FEA" w:rsidRPr="00FA329B" w:rsidRDefault="00233FEA" w:rsidP="003167DC">
            <w:pPr>
              <w:autoSpaceDE w:val="0"/>
              <w:autoSpaceDN w:val="0"/>
              <w:adjustRightInd w:val="0"/>
              <w:jc w:val="both"/>
              <w:rPr>
                <w:rFonts w:ascii="Times New Roman" w:hAnsi="Times New Roman"/>
                <w:bCs/>
                <w:sz w:val="24"/>
                <w:szCs w:val="23"/>
              </w:rPr>
            </w:pPr>
          </w:p>
          <w:p w14:paraId="3471754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7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p w14:paraId="7FADCE1B" w14:textId="77777777" w:rsidR="00233FEA" w:rsidRPr="00FA329B" w:rsidRDefault="00233FEA" w:rsidP="003167DC">
            <w:pPr>
              <w:autoSpaceDE w:val="0"/>
              <w:autoSpaceDN w:val="0"/>
              <w:adjustRightInd w:val="0"/>
              <w:jc w:val="both"/>
              <w:rPr>
                <w:rFonts w:ascii="Times New Roman" w:hAnsi="Times New Roman"/>
                <w:bCs/>
                <w:sz w:val="24"/>
                <w:szCs w:val="23"/>
              </w:rPr>
            </w:pPr>
          </w:p>
          <w:p w14:paraId="49C8D86B"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4.1(7) is a derived item. Report the value of closing position which results in a gross negative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4.1(7) as the sum of column 7.</w:t>
            </w:r>
          </w:p>
        </w:tc>
      </w:tr>
    </w:tbl>
    <w:p w14:paraId="54EACE85" w14:textId="77777777" w:rsidR="00233FEA" w:rsidRPr="003B3E1C" w:rsidRDefault="00233FEA" w:rsidP="00FA329B">
      <w:pPr>
        <w:pStyle w:val="Heading2"/>
      </w:pPr>
      <w:r w:rsidRPr="003B3E1C">
        <w:t xml:space="preserve">Section </w:t>
      </w:r>
      <w:r>
        <w:t>B</w:t>
      </w:r>
      <w:r w:rsidRPr="003B3E1C">
        <w:t xml:space="preserve">: </w:t>
      </w:r>
      <w:r w:rsidRPr="003B3E1C">
        <w:rPr>
          <w:lang w:eastAsia="en-AU"/>
        </w:rPr>
        <w:t xml:space="preserve"> Derivatives with clearing houses and central counterparties that are margined</w:t>
      </w:r>
    </w:p>
    <w:p w14:paraId="0C8A714B" w14:textId="77777777" w:rsidR="00233FEA" w:rsidRPr="003B3E1C" w:rsidRDefault="00233FEA" w:rsidP="00FA329B">
      <w:pPr>
        <w:pStyle w:val="Heading3"/>
      </w:pPr>
      <w:r w:rsidRPr="003B3E1C">
        <w:t>Derivatives with resident and non-resident clearing houses and central counterparties that are margined</w:t>
      </w:r>
    </w:p>
    <w:p w14:paraId="3628FA20" w14:textId="77777777" w:rsidR="00233FEA" w:rsidRPr="003B3E1C" w:rsidRDefault="00233FEA" w:rsidP="00233FEA">
      <w:pPr>
        <w:rPr>
          <w:rFonts w:ascii="Times New Roman" w:eastAsia="Times New Roman" w:hAnsi="Times New Roman"/>
          <w:b/>
          <w:sz w:val="23"/>
          <w:szCs w:val="23"/>
          <w:u w:val="single"/>
          <w:lang w:eastAsia="en-AU"/>
        </w:rPr>
      </w:pPr>
    </w:p>
    <w:p w14:paraId="5D107A16" w14:textId="77777777" w:rsidR="00233FEA" w:rsidRPr="00FA329B" w:rsidRDefault="00233FEA" w:rsidP="00233FEA">
      <w:pPr>
        <w:spacing w:after="240"/>
        <w:jc w:val="both"/>
        <w:rPr>
          <w:rFonts w:ascii="Times New Roman" w:eastAsia="Times New Roman" w:hAnsi="Times New Roman"/>
          <w:b/>
          <w:sz w:val="24"/>
          <w:szCs w:val="23"/>
          <w:u w:val="single"/>
          <w:lang w:eastAsia="en-AU"/>
        </w:rPr>
      </w:pPr>
      <w:r w:rsidRPr="00FA329B">
        <w:rPr>
          <w:rFonts w:ascii="Times New Roman" w:hAnsi="Times New Roman"/>
          <w:sz w:val="24"/>
          <w:szCs w:val="23"/>
        </w:rPr>
        <w:t xml:space="preserve">Item 5 collects information on the value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held with </w:t>
      </w:r>
      <w:r w:rsidRPr="00FA329B">
        <w:rPr>
          <w:rFonts w:ascii="Times New Roman" w:hAnsi="Times New Roman"/>
          <w:b/>
          <w:i/>
          <w:sz w:val="24"/>
          <w:szCs w:val="23"/>
        </w:rPr>
        <w:t>resident</w:t>
      </w:r>
      <w:r w:rsidRPr="00FA329B">
        <w:rPr>
          <w:rFonts w:ascii="Times New Roman" w:hAnsi="Times New Roman"/>
          <w:sz w:val="24"/>
          <w:szCs w:val="23"/>
        </w:rPr>
        <w:t xml:space="preserve"> and </w:t>
      </w:r>
      <w:r w:rsidRPr="00FA329B">
        <w:rPr>
          <w:rFonts w:ascii="Times New Roman" w:hAnsi="Times New Roman"/>
          <w:b/>
          <w:i/>
          <w:sz w:val="24"/>
          <w:szCs w:val="23"/>
        </w:rPr>
        <w:t xml:space="preserve">non-resident clearing houses and central counterparties </w:t>
      </w:r>
      <w:r w:rsidRPr="00FA329B">
        <w:rPr>
          <w:rFonts w:ascii="Times New Roman" w:hAnsi="Times New Roman"/>
          <w:sz w:val="24"/>
          <w:szCs w:val="23"/>
        </w:rPr>
        <w:t xml:space="preserve">that are </w:t>
      </w:r>
      <w:r w:rsidRPr="00E97C10">
        <w:rPr>
          <w:rFonts w:ascii="Times New Roman" w:hAnsi="Times New Roman"/>
          <w:b/>
          <w:i/>
          <w:sz w:val="24"/>
          <w:szCs w:val="23"/>
        </w:rPr>
        <w:t>margined</w:t>
      </w:r>
      <w:r w:rsidRPr="00FA329B">
        <w:rPr>
          <w:rFonts w:ascii="Times New Roman" w:hAnsi="Times New Roman"/>
          <w:sz w:val="24"/>
          <w:szCs w:val="23"/>
        </w:rPr>
        <w:t>.</w:t>
      </w:r>
      <w:r w:rsidRPr="00FA329B">
        <w:rPr>
          <w:rFonts w:ascii="Times New Roman" w:hAnsi="Times New Roman"/>
          <w:b/>
          <w:sz w:val="24"/>
          <w:szCs w:val="23"/>
        </w:rPr>
        <w:t xml:space="preserve"> </w:t>
      </w:r>
      <w:r w:rsidRPr="00FA329B">
        <w:rPr>
          <w:rFonts w:ascii="Times New Roman" w:hAnsi="Times New Roman"/>
          <w:sz w:val="24"/>
          <w:szCs w:val="23"/>
        </w:rPr>
        <w:t>It</w:t>
      </w:r>
      <w:r w:rsidRPr="00FA329B">
        <w:rPr>
          <w:rFonts w:ascii="Times New Roman" w:hAnsi="Times New Roman"/>
          <w:b/>
          <w:i/>
          <w:sz w:val="24"/>
          <w:szCs w:val="23"/>
        </w:rPr>
        <w:t xml:space="preserve"> </w:t>
      </w:r>
      <w:r w:rsidRPr="00FA329B">
        <w:rPr>
          <w:rFonts w:ascii="Times New Roman" w:hAnsi="Times New Roman"/>
          <w:sz w:val="24"/>
          <w:szCs w:val="23"/>
        </w:rPr>
        <w:t xml:space="preserve">collects information on the value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at the beginning and end of the </w:t>
      </w:r>
      <w:r w:rsidRPr="00FA329B">
        <w:rPr>
          <w:rFonts w:ascii="Times New Roman" w:hAnsi="Times New Roman"/>
          <w:b/>
          <w:i/>
          <w:sz w:val="24"/>
          <w:szCs w:val="23"/>
        </w:rPr>
        <w:t xml:space="preserve">reporting period, </w:t>
      </w:r>
      <w:r w:rsidRPr="00FA329B">
        <w:rPr>
          <w:rFonts w:ascii="Times New Roman" w:hAnsi="Times New Roman"/>
          <w:sz w:val="24"/>
          <w:szCs w:val="23"/>
        </w:rPr>
        <w:t xml:space="preserve">as well as movements in the value of holdings of </w:t>
      </w:r>
      <w:r w:rsidRPr="00FA329B">
        <w:rPr>
          <w:rFonts w:ascii="Times New Roman" w:hAnsi="Times New Roman"/>
          <w:b/>
          <w:i/>
          <w:sz w:val="24"/>
          <w:szCs w:val="23"/>
        </w:rPr>
        <w:t xml:space="preserve">derivatives </w:t>
      </w:r>
      <w:r w:rsidRPr="00FA329B">
        <w:rPr>
          <w:rFonts w:ascii="Times New Roman" w:hAnsi="Times New Roman"/>
          <w:sz w:val="24"/>
          <w:szCs w:val="23"/>
        </w:rPr>
        <w:t xml:space="preserve">due to net transactions and </w:t>
      </w:r>
      <w:r w:rsidRPr="00E97C10">
        <w:rPr>
          <w:rFonts w:ascii="Times New Roman" w:hAnsi="Times New Roman"/>
          <w:b/>
          <w:i/>
          <w:sz w:val="24"/>
          <w:szCs w:val="23"/>
        </w:rPr>
        <w:t>revaluations</w:t>
      </w:r>
      <w:r w:rsidRPr="00FA329B">
        <w:rPr>
          <w:rFonts w:ascii="Times New Roman" w:hAnsi="Times New Roman"/>
          <w:sz w:val="24"/>
          <w:szCs w:val="23"/>
        </w:rPr>
        <w:t xml:space="preserve"> that occurred during the </w:t>
      </w:r>
      <w:r w:rsidRPr="00FA329B">
        <w:rPr>
          <w:rFonts w:ascii="Times New Roman" w:hAnsi="Times New Roman"/>
          <w:b/>
          <w:i/>
          <w:sz w:val="24"/>
          <w:szCs w:val="23"/>
        </w:rPr>
        <w:t xml:space="preserve">reporting period. </w:t>
      </w:r>
      <w:r w:rsidRPr="00FA329B">
        <w:rPr>
          <w:rFonts w:ascii="Times New Roman" w:hAnsi="Times New Roman"/>
          <w:sz w:val="24"/>
          <w:szCs w:val="23"/>
        </w:rPr>
        <w:t>In Item 5, movement information does not have to be split by side, e.g. by gross positive or gross negative.</w:t>
      </w:r>
    </w:p>
    <w:p w14:paraId="5C287D60" w14:textId="77777777" w:rsidR="00233FEA" w:rsidRPr="00FA329B" w:rsidRDefault="00233FEA" w:rsidP="00233FEA">
      <w:pPr>
        <w:pStyle w:val="Default"/>
        <w:jc w:val="both"/>
        <w:rPr>
          <w:color w:val="auto"/>
          <w:szCs w:val="23"/>
        </w:rPr>
      </w:pPr>
      <w:r w:rsidRPr="00FA329B">
        <w:rPr>
          <w:color w:val="auto"/>
          <w:szCs w:val="23"/>
        </w:rPr>
        <w:t xml:space="preserve">Futures should be excluded from this item, and reported only in item 9. </w:t>
      </w:r>
    </w:p>
    <w:p w14:paraId="185EAE7C" w14:textId="77777777" w:rsidR="00233FEA" w:rsidRPr="00FA329B" w:rsidRDefault="00233FEA" w:rsidP="00233FEA">
      <w:pPr>
        <w:rPr>
          <w:rFonts w:ascii="Times New Roman" w:eastAsia="Times New Roman" w:hAnsi="Times New Roman"/>
          <w:b/>
          <w:sz w:val="24"/>
          <w:szCs w:val="23"/>
          <w:u w:val="single"/>
          <w:lang w:eastAsia="en-AU"/>
        </w:rPr>
      </w:pPr>
    </w:p>
    <w:tbl>
      <w:tblPr>
        <w:tblW w:w="9071" w:type="dxa"/>
        <w:tblInd w:w="108" w:type="dxa"/>
        <w:tblLayout w:type="fixed"/>
        <w:tblLook w:val="04A0" w:firstRow="1" w:lastRow="0" w:firstColumn="1" w:lastColumn="0" w:noHBand="0" w:noVBand="1"/>
      </w:tblPr>
      <w:tblGrid>
        <w:gridCol w:w="1701"/>
        <w:gridCol w:w="7370"/>
      </w:tblGrid>
      <w:tr w:rsidR="00233FEA" w:rsidRPr="00AD179D" w14:paraId="6D3317E5"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3588006"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53429C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country of the </w:t>
            </w:r>
            <w:r w:rsidRPr="00FA329B">
              <w:rPr>
                <w:rFonts w:ascii="Times New Roman" w:hAnsi="Times New Roman"/>
                <w:b/>
                <w:bCs/>
                <w:i/>
                <w:sz w:val="24"/>
                <w:szCs w:val="23"/>
              </w:rPr>
              <w:t>non-resident clearing house</w:t>
            </w:r>
            <w:r w:rsidRPr="00FA329B">
              <w:rPr>
                <w:rFonts w:ascii="Times New Roman" w:hAnsi="Times New Roman"/>
                <w:bCs/>
                <w:sz w:val="24"/>
                <w:szCs w:val="23"/>
              </w:rPr>
              <w:t>.</w:t>
            </w:r>
            <w:r w:rsidRPr="00FA329B">
              <w:rPr>
                <w:rFonts w:ascii="Times New Roman" w:hAnsi="Times New Roman"/>
                <w:b/>
                <w:bCs/>
                <w:i/>
                <w:sz w:val="24"/>
                <w:szCs w:val="23"/>
              </w:rPr>
              <w:t xml:space="preserve"> </w:t>
            </w:r>
            <w:r w:rsidRPr="00FA329B">
              <w:rPr>
                <w:rFonts w:ascii="Times New Roman" w:hAnsi="Times New Roman"/>
                <w:bCs/>
                <w:sz w:val="24"/>
                <w:szCs w:val="23"/>
              </w:rPr>
              <w:t xml:space="preserve">If the counterparty is a </w:t>
            </w:r>
            <w:r w:rsidRPr="00FA329B">
              <w:rPr>
                <w:rFonts w:ascii="Times New Roman" w:hAnsi="Times New Roman"/>
                <w:b/>
                <w:bCs/>
                <w:i/>
                <w:sz w:val="24"/>
                <w:szCs w:val="23"/>
              </w:rPr>
              <w:t>resident counterparty</w:t>
            </w:r>
            <w:r w:rsidRPr="00FA329B">
              <w:rPr>
                <w:rFonts w:ascii="Times New Roman" w:hAnsi="Times New Roman"/>
                <w:bCs/>
                <w:sz w:val="24"/>
                <w:szCs w:val="23"/>
              </w:rPr>
              <w:t xml:space="preserve">, report the country as Australia. </w:t>
            </w:r>
          </w:p>
        </w:tc>
      </w:tr>
      <w:tr w:rsidR="00233FEA" w:rsidRPr="00AD179D" w14:paraId="0E8E02F4"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C28A859"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ECF376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instrument type (see List 1.1 for type of instrument detail.)</w:t>
            </w:r>
          </w:p>
        </w:tc>
      </w:tr>
      <w:tr w:rsidR="00233FEA" w:rsidRPr="00AD179D" w14:paraId="1AAEECDC"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79140083"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F64926F" w14:textId="77777777" w:rsidR="00233FEA" w:rsidRPr="00FA329B" w:rsidRDefault="00233FEA" w:rsidP="003167DC">
            <w:pPr>
              <w:autoSpaceDE w:val="0"/>
              <w:autoSpaceDN w:val="0"/>
              <w:adjustRightInd w:val="0"/>
              <w:jc w:val="both"/>
              <w:rPr>
                <w:rFonts w:ascii="Times New Roman" w:hAnsi="Times New Roman"/>
                <w:bCs/>
                <w:i/>
                <w:sz w:val="24"/>
                <w:szCs w:val="23"/>
              </w:rPr>
            </w:pPr>
            <w:r w:rsidRPr="00FA329B">
              <w:rPr>
                <w:rFonts w:ascii="Times New Roman" w:hAnsi="Times New Roman"/>
                <w:bCs/>
                <w:sz w:val="24"/>
                <w:szCs w:val="23"/>
              </w:rPr>
              <w:t>Report the net opening position.</w:t>
            </w:r>
          </w:p>
          <w:p w14:paraId="20527515" w14:textId="77777777" w:rsidR="00233FEA" w:rsidRPr="00FA329B" w:rsidRDefault="00233FEA" w:rsidP="003167DC">
            <w:pPr>
              <w:autoSpaceDE w:val="0"/>
              <w:autoSpaceDN w:val="0"/>
              <w:adjustRightInd w:val="0"/>
              <w:jc w:val="both"/>
              <w:rPr>
                <w:rFonts w:ascii="Times New Roman" w:hAnsi="Times New Roman"/>
                <w:bCs/>
                <w:sz w:val="24"/>
                <w:szCs w:val="23"/>
              </w:rPr>
            </w:pPr>
          </w:p>
          <w:p w14:paraId="1662686B"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584C96C7" w14:textId="77777777" w:rsidR="00233FEA" w:rsidRPr="00FA329B" w:rsidRDefault="00233FEA" w:rsidP="003167DC">
            <w:pPr>
              <w:autoSpaceDE w:val="0"/>
              <w:autoSpaceDN w:val="0"/>
              <w:adjustRightInd w:val="0"/>
              <w:jc w:val="both"/>
              <w:rPr>
                <w:rFonts w:ascii="Times New Roman" w:hAnsi="Times New Roman"/>
                <w:bCs/>
                <w:sz w:val="24"/>
                <w:szCs w:val="23"/>
              </w:rPr>
            </w:pPr>
          </w:p>
          <w:p w14:paraId="0D413C31" w14:textId="77777777" w:rsidR="00233FEA" w:rsidRPr="00FA329B" w:rsidRDefault="00233FEA" w:rsidP="003167DC">
            <w:pPr>
              <w:autoSpaceDE w:val="0"/>
              <w:autoSpaceDN w:val="0"/>
              <w:adjustRightInd w:val="0"/>
              <w:jc w:val="both"/>
              <w:rPr>
                <w:rFonts w:ascii="Times New Roman" w:hAnsi="Times New Roman"/>
                <w:bCs/>
                <w:color w:val="FFC000"/>
                <w:sz w:val="24"/>
                <w:szCs w:val="23"/>
              </w:rPr>
            </w:pPr>
            <w:r w:rsidRPr="00FA329B">
              <w:rPr>
                <w:rFonts w:ascii="Times New Roman" w:hAnsi="Times New Roman"/>
                <w:bCs/>
                <w:sz w:val="24"/>
                <w:szCs w:val="23"/>
              </w:rPr>
              <w:t>Item 5.1(3) is a derived item. Report the value of the net opening position in item 5.1(3) as the sum of column 3. The value in item 5.1(3) should equal the value of item 5.1(4) less item 5.1(5).</w:t>
            </w:r>
          </w:p>
        </w:tc>
      </w:tr>
      <w:tr w:rsidR="00233FEA" w:rsidRPr="00AD179D" w14:paraId="612292D8"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3C16B38" w14:textId="77777777" w:rsidR="00233FEA" w:rsidRPr="00FA329B" w:rsidRDefault="00233FEA" w:rsidP="00332435">
            <w:pPr>
              <w:keepNext/>
              <w:spacing w:before="120" w:after="120"/>
              <w:rPr>
                <w:rFonts w:ascii="Times New Roman" w:hAnsi="Times New Roman"/>
                <w:b/>
                <w:sz w:val="24"/>
                <w:szCs w:val="23"/>
              </w:rPr>
            </w:pPr>
            <w:r w:rsidRPr="00FA329B">
              <w:rPr>
                <w:rFonts w:ascii="Times New Roman" w:hAnsi="Times New Roman"/>
                <w:b/>
                <w:sz w:val="24"/>
                <w:szCs w:val="23"/>
              </w:rPr>
              <w:lastRenderedPageBreak/>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E3B1F21" w14:textId="77777777" w:rsidR="00233FEA" w:rsidRPr="00FA329B" w:rsidRDefault="00233FEA" w:rsidP="00332435">
            <w:pPr>
              <w:keepNext/>
              <w:jc w:val="both"/>
              <w:rPr>
                <w:rFonts w:ascii="Times New Roman" w:hAnsi="Times New Roman"/>
                <w:bCs/>
                <w:sz w:val="24"/>
                <w:szCs w:val="23"/>
              </w:rPr>
            </w:pPr>
            <w:r w:rsidRPr="00FA329B">
              <w:rPr>
                <w:rFonts w:ascii="Times New Roman" w:hAnsi="Times New Roman"/>
                <w:bCs/>
                <w:sz w:val="24"/>
                <w:szCs w:val="23"/>
              </w:rPr>
              <w:t xml:space="preserve">Report the opening position, of which gross positive. </w:t>
            </w:r>
          </w:p>
          <w:p w14:paraId="6D262262" w14:textId="77777777" w:rsidR="00233FEA" w:rsidRPr="00FA329B" w:rsidRDefault="00233FEA" w:rsidP="00332435">
            <w:pPr>
              <w:keepNext/>
              <w:jc w:val="both"/>
              <w:rPr>
                <w:rFonts w:ascii="Times New Roman" w:hAnsi="Times New Roman"/>
                <w:sz w:val="24"/>
                <w:szCs w:val="23"/>
              </w:rPr>
            </w:pPr>
          </w:p>
          <w:p w14:paraId="6B01EAEE" w14:textId="77777777" w:rsidR="00233FEA" w:rsidRPr="00FA329B" w:rsidRDefault="00233FEA" w:rsidP="00332435">
            <w:pPr>
              <w:keepNext/>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4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439EAADD" w14:textId="77777777" w:rsidR="00233FEA" w:rsidRPr="00FA329B" w:rsidRDefault="00233FEA" w:rsidP="00332435">
            <w:pPr>
              <w:keepNext/>
              <w:autoSpaceDE w:val="0"/>
              <w:autoSpaceDN w:val="0"/>
              <w:adjustRightInd w:val="0"/>
              <w:jc w:val="both"/>
              <w:rPr>
                <w:rFonts w:ascii="Times New Roman" w:hAnsi="Times New Roman"/>
                <w:bCs/>
                <w:sz w:val="24"/>
                <w:szCs w:val="23"/>
              </w:rPr>
            </w:pPr>
          </w:p>
          <w:p w14:paraId="390DCA9C" w14:textId="77777777" w:rsidR="00233FEA" w:rsidRPr="00FA329B" w:rsidRDefault="00233FEA" w:rsidP="00332435">
            <w:pPr>
              <w:keepNext/>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5.1(4) is a derived item. Report the value of opening position</w:t>
            </w:r>
            <w:r w:rsidRPr="00FA329B">
              <w:rPr>
                <w:rFonts w:ascii="Times New Roman" w:hAnsi="Times New Roman"/>
                <w:b/>
                <w:bCs/>
                <w:i/>
                <w:sz w:val="24"/>
                <w:szCs w:val="23"/>
              </w:rPr>
              <w:t xml:space="preserve"> </w:t>
            </w:r>
            <w:r w:rsidRPr="00FA329B">
              <w:rPr>
                <w:rFonts w:ascii="Times New Roman" w:hAnsi="Times New Roman"/>
                <w:bCs/>
                <w:sz w:val="24"/>
                <w:szCs w:val="23"/>
              </w:rPr>
              <w:t>which results in a 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 in item 5.1(4) as the sum of column 4.</w:t>
            </w:r>
          </w:p>
        </w:tc>
      </w:tr>
      <w:tr w:rsidR="00233FEA" w:rsidRPr="00AD179D" w14:paraId="6CF99E46"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6684FF3"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ACFCAD5"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opening position, of which gross negative. </w:t>
            </w:r>
          </w:p>
          <w:p w14:paraId="40A53801" w14:textId="77777777" w:rsidR="00233FEA" w:rsidRPr="00FA329B" w:rsidRDefault="00233FEA" w:rsidP="003167DC">
            <w:pPr>
              <w:jc w:val="both"/>
              <w:rPr>
                <w:rFonts w:ascii="Times New Roman" w:hAnsi="Times New Roman"/>
                <w:sz w:val="24"/>
                <w:szCs w:val="23"/>
              </w:rPr>
            </w:pPr>
          </w:p>
          <w:p w14:paraId="1D624420"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5 as at the beginning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5DDC3738" w14:textId="77777777" w:rsidR="00233FEA" w:rsidRPr="00FA329B" w:rsidRDefault="00233FEA" w:rsidP="003167DC">
            <w:pPr>
              <w:jc w:val="both"/>
              <w:rPr>
                <w:rFonts w:ascii="Times New Roman" w:hAnsi="Times New Roman"/>
                <w:bCs/>
                <w:sz w:val="24"/>
                <w:szCs w:val="23"/>
              </w:rPr>
            </w:pPr>
          </w:p>
          <w:p w14:paraId="643F5701"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Item 5.1(5) is a derived item. Report the value of opening position which results in a gross negative mark to market value in item 5.1(5) as the sum of column 5.</w:t>
            </w:r>
          </w:p>
        </w:tc>
      </w:tr>
      <w:tr w:rsidR="00233FEA" w:rsidRPr="00AD179D" w14:paraId="47AB2939"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F39C643"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677C24C" w14:textId="77777777" w:rsidR="00233FEA" w:rsidRPr="00FA329B" w:rsidRDefault="00233FEA" w:rsidP="003167DC">
            <w:pPr>
              <w:jc w:val="both"/>
              <w:rPr>
                <w:rFonts w:ascii="Times New Roman" w:hAnsi="Times New Roman"/>
                <w:sz w:val="24"/>
                <w:szCs w:val="23"/>
              </w:rPr>
            </w:pPr>
            <w:r w:rsidRPr="00FA329B">
              <w:rPr>
                <w:rFonts w:ascii="Times New Roman" w:hAnsi="Times New Roman"/>
                <w:bCs/>
                <w:sz w:val="24"/>
                <w:szCs w:val="23"/>
              </w:rPr>
              <w:t xml:space="preserve">Report the value of net transactions. </w:t>
            </w:r>
          </w:p>
          <w:p w14:paraId="5B659BCC" w14:textId="77777777" w:rsidR="00233FEA" w:rsidRPr="00FA329B" w:rsidRDefault="00233FEA" w:rsidP="003167DC">
            <w:pPr>
              <w:jc w:val="both"/>
              <w:rPr>
                <w:rFonts w:ascii="Times New Roman" w:hAnsi="Times New Roman"/>
                <w:sz w:val="24"/>
                <w:szCs w:val="23"/>
              </w:rPr>
            </w:pPr>
          </w:p>
          <w:p w14:paraId="6D450E06" w14:textId="12FA51EA" w:rsidR="00233FEA" w:rsidRPr="00FA329B" w:rsidRDefault="00233FEA" w:rsidP="005D2636">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6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0D37E96E" w14:textId="77777777" w:rsidR="00233FEA" w:rsidRPr="00FA329B" w:rsidRDefault="00233FEA" w:rsidP="003167DC">
            <w:pPr>
              <w:autoSpaceDE w:val="0"/>
              <w:autoSpaceDN w:val="0"/>
              <w:adjustRightInd w:val="0"/>
              <w:jc w:val="both"/>
              <w:rPr>
                <w:rFonts w:ascii="Times New Roman" w:hAnsi="Times New Roman"/>
                <w:bCs/>
                <w:sz w:val="24"/>
                <w:szCs w:val="23"/>
              </w:rPr>
            </w:pPr>
          </w:p>
          <w:p w14:paraId="3502CE2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5.1(6) is a derived item. Report the value of net transactions in item 5.1(6) as the sum of column 6.</w:t>
            </w:r>
          </w:p>
        </w:tc>
      </w:tr>
      <w:tr w:rsidR="00233FEA" w:rsidRPr="00AD179D" w14:paraId="20198843"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C594A0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87890C1"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market value</w:t>
            </w:r>
            <w:r w:rsidRPr="00FA329B">
              <w:rPr>
                <w:rFonts w:ascii="Times New Roman" w:hAnsi="Times New Roman"/>
                <w:bCs/>
                <w:sz w:val="24"/>
                <w:szCs w:val="23"/>
              </w:rPr>
              <w:t xml:space="preserve"> changes. </w:t>
            </w:r>
          </w:p>
          <w:p w14:paraId="24562324" w14:textId="77777777" w:rsidR="00233FEA" w:rsidRPr="00FA329B" w:rsidRDefault="00233FEA" w:rsidP="003167DC">
            <w:pPr>
              <w:jc w:val="both"/>
              <w:rPr>
                <w:rFonts w:ascii="Times New Roman" w:hAnsi="Times New Roman"/>
                <w:sz w:val="24"/>
                <w:szCs w:val="23"/>
              </w:rPr>
            </w:pPr>
          </w:p>
          <w:p w14:paraId="19956D0E" w14:textId="3C33F84E" w:rsidR="00233FEA" w:rsidRPr="00FA329B" w:rsidRDefault="00233FEA" w:rsidP="005D2636">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7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148577D9" w14:textId="77777777" w:rsidR="00233FEA" w:rsidRPr="00FA329B" w:rsidRDefault="00233FEA" w:rsidP="003167DC">
            <w:pPr>
              <w:autoSpaceDE w:val="0"/>
              <w:autoSpaceDN w:val="0"/>
              <w:adjustRightInd w:val="0"/>
              <w:jc w:val="both"/>
              <w:rPr>
                <w:rFonts w:ascii="Times New Roman" w:hAnsi="Times New Roman"/>
                <w:bCs/>
                <w:sz w:val="24"/>
                <w:szCs w:val="23"/>
              </w:rPr>
            </w:pPr>
          </w:p>
          <w:p w14:paraId="5F53776D"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Item 5.1(7) is a derived item. Report the value of </w:t>
            </w:r>
            <w:r w:rsidRPr="00FA329B">
              <w:rPr>
                <w:rFonts w:ascii="Times New Roman" w:hAnsi="Times New Roman"/>
                <w:b/>
                <w:bCs/>
                <w:i/>
                <w:sz w:val="24"/>
                <w:szCs w:val="23"/>
              </w:rPr>
              <w:t>market value</w:t>
            </w:r>
            <w:r w:rsidRPr="00FA329B">
              <w:rPr>
                <w:rFonts w:ascii="Times New Roman" w:hAnsi="Times New Roman"/>
                <w:bCs/>
                <w:sz w:val="24"/>
                <w:szCs w:val="23"/>
              </w:rPr>
              <w:t xml:space="preserve"> changes in item 5.1(7) as the sum of column 7.</w:t>
            </w:r>
          </w:p>
        </w:tc>
      </w:tr>
      <w:tr w:rsidR="00233FEA" w:rsidRPr="00AD179D" w14:paraId="0EE289F3"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E8D28E4"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8</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8666F4B"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value of exchange rate variations. </w:t>
            </w:r>
          </w:p>
          <w:p w14:paraId="6CC8807C" w14:textId="77777777" w:rsidR="00233FEA" w:rsidRPr="00FA329B" w:rsidRDefault="00233FEA" w:rsidP="003167DC">
            <w:pPr>
              <w:jc w:val="both"/>
              <w:rPr>
                <w:rFonts w:ascii="Times New Roman" w:hAnsi="Times New Roman"/>
                <w:sz w:val="24"/>
                <w:szCs w:val="23"/>
              </w:rPr>
            </w:pPr>
          </w:p>
          <w:p w14:paraId="5B3F0A87" w14:textId="2DE56EDB" w:rsidR="00233FEA" w:rsidRPr="00FA329B" w:rsidRDefault="00233FEA" w:rsidP="005D2636">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8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1C83B9E2" w14:textId="77777777" w:rsidR="00233FEA" w:rsidRPr="00FA329B" w:rsidRDefault="00233FEA" w:rsidP="003167DC">
            <w:pPr>
              <w:autoSpaceDE w:val="0"/>
              <w:autoSpaceDN w:val="0"/>
              <w:adjustRightInd w:val="0"/>
              <w:jc w:val="both"/>
              <w:rPr>
                <w:rFonts w:ascii="Times New Roman" w:hAnsi="Times New Roman"/>
                <w:bCs/>
                <w:sz w:val="24"/>
                <w:szCs w:val="23"/>
              </w:rPr>
            </w:pPr>
          </w:p>
          <w:p w14:paraId="047EC89B"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Item 5.1(8) is a derived item. Report the value of exchange rate variations in item 5.1(8) as the sum of column 8.</w:t>
            </w:r>
          </w:p>
        </w:tc>
      </w:tr>
      <w:tr w:rsidR="00233FEA" w:rsidRPr="00AD179D" w14:paraId="78D8F9E2"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3D2E62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9</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CD331F7"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Report the value of other changes.</w:t>
            </w:r>
          </w:p>
          <w:p w14:paraId="7D30B07C" w14:textId="77777777" w:rsidR="00233FEA" w:rsidRPr="00FA329B" w:rsidRDefault="00233FEA" w:rsidP="003167DC">
            <w:pPr>
              <w:jc w:val="both"/>
              <w:rPr>
                <w:rFonts w:ascii="Times New Roman" w:hAnsi="Times New Roman"/>
                <w:sz w:val="24"/>
                <w:szCs w:val="23"/>
              </w:rPr>
            </w:pPr>
          </w:p>
          <w:p w14:paraId="1CD51420" w14:textId="10BD6630" w:rsidR="00233FEA" w:rsidRPr="00FA329B" w:rsidRDefault="00233FEA" w:rsidP="005D2636">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9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3571CE57" w14:textId="77777777" w:rsidR="00233FEA" w:rsidRPr="00FA329B" w:rsidRDefault="00233FEA" w:rsidP="003167DC">
            <w:pPr>
              <w:autoSpaceDE w:val="0"/>
              <w:autoSpaceDN w:val="0"/>
              <w:adjustRightInd w:val="0"/>
              <w:jc w:val="both"/>
              <w:rPr>
                <w:rFonts w:ascii="Times New Roman" w:hAnsi="Times New Roman"/>
                <w:bCs/>
                <w:sz w:val="24"/>
                <w:szCs w:val="23"/>
              </w:rPr>
            </w:pPr>
          </w:p>
          <w:p w14:paraId="6A05BAB7"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Item 5.1(9) is a derived item. Report the value of other changes in item 5.1(9) as the sum of column 9.</w:t>
            </w:r>
          </w:p>
        </w:tc>
      </w:tr>
      <w:tr w:rsidR="00233FEA" w:rsidRPr="00AD179D" w14:paraId="61D4F44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6F75986"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10</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A323E6C" w14:textId="77777777" w:rsidR="00233FEA" w:rsidRPr="00FA329B" w:rsidRDefault="00233FEA" w:rsidP="003167DC">
            <w:pPr>
              <w:autoSpaceDE w:val="0"/>
              <w:autoSpaceDN w:val="0"/>
              <w:adjustRightInd w:val="0"/>
              <w:jc w:val="both"/>
              <w:rPr>
                <w:rFonts w:ascii="Times New Roman" w:hAnsi="Times New Roman"/>
                <w:bCs/>
                <w:i/>
                <w:sz w:val="24"/>
                <w:szCs w:val="23"/>
              </w:rPr>
            </w:pPr>
            <w:r w:rsidRPr="00FA329B">
              <w:rPr>
                <w:rFonts w:ascii="Times New Roman" w:hAnsi="Times New Roman"/>
                <w:bCs/>
                <w:sz w:val="24"/>
                <w:szCs w:val="23"/>
              </w:rPr>
              <w:t>Report the net closing position.</w:t>
            </w:r>
            <w:r w:rsidRPr="00FA329B">
              <w:rPr>
                <w:rFonts w:ascii="Times New Roman" w:hAnsi="Times New Roman"/>
                <w:bCs/>
                <w:i/>
                <w:sz w:val="24"/>
                <w:szCs w:val="23"/>
              </w:rPr>
              <w:t xml:space="preserve"> </w:t>
            </w:r>
          </w:p>
          <w:p w14:paraId="04919FC9" w14:textId="77777777" w:rsidR="00233FEA" w:rsidRPr="00FA329B" w:rsidRDefault="00233FEA" w:rsidP="003167DC">
            <w:pPr>
              <w:autoSpaceDE w:val="0"/>
              <w:autoSpaceDN w:val="0"/>
              <w:adjustRightInd w:val="0"/>
              <w:jc w:val="both"/>
              <w:rPr>
                <w:rFonts w:ascii="Times New Roman" w:hAnsi="Times New Roman"/>
                <w:bCs/>
                <w:sz w:val="24"/>
                <w:szCs w:val="23"/>
              </w:rPr>
            </w:pPr>
          </w:p>
          <w:p w14:paraId="61ABA0BC"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10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1042276A" w14:textId="77777777" w:rsidR="00233FEA" w:rsidRPr="00FA329B" w:rsidRDefault="00233FEA" w:rsidP="003167DC">
            <w:pPr>
              <w:autoSpaceDE w:val="0"/>
              <w:autoSpaceDN w:val="0"/>
              <w:adjustRightInd w:val="0"/>
              <w:jc w:val="both"/>
              <w:rPr>
                <w:rFonts w:ascii="Times New Roman" w:hAnsi="Times New Roman"/>
                <w:bCs/>
                <w:sz w:val="24"/>
                <w:szCs w:val="23"/>
              </w:rPr>
            </w:pPr>
          </w:p>
          <w:p w14:paraId="123BD38C" w14:textId="2B12099C"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5.1(10) is a derived item. Report the value of the net closing position in item 5.1(10) as the sum of column 10. The value in item 5.1(10) should equal the value in item 5.1(11) less item 5.1(12).</w:t>
            </w:r>
          </w:p>
          <w:p w14:paraId="1C2F68D2" w14:textId="77777777" w:rsidR="00233FEA" w:rsidRPr="00FA329B" w:rsidRDefault="00233FEA" w:rsidP="003167DC">
            <w:pPr>
              <w:autoSpaceDE w:val="0"/>
              <w:autoSpaceDN w:val="0"/>
              <w:adjustRightInd w:val="0"/>
              <w:jc w:val="both"/>
              <w:rPr>
                <w:rFonts w:ascii="Times New Roman" w:hAnsi="Times New Roman"/>
                <w:bCs/>
                <w:sz w:val="24"/>
                <w:szCs w:val="23"/>
              </w:rPr>
            </w:pPr>
          </w:p>
        </w:tc>
      </w:tr>
      <w:tr w:rsidR="00233FEA" w:rsidRPr="00AD179D" w14:paraId="6B0F62F2"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1AC96F8"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5288B01"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closing position, of which gross positive. </w:t>
            </w:r>
          </w:p>
          <w:p w14:paraId="4F694FD9" w14:textId="77777777" w:rsidR="00233FEA" w:rsidRPr="00FA329B" w:rsidRDefault="00233FEA" w:rsidP="003167DC">
            <w:pPr>
              <w:jc w:val="both"/>
              <w:rPr>
                <w:rFonts w:ascii="Times New Roman" w:hAnsi="Times New Roman"/>
                <w:sz w:val="24"/>
                <w:szCs w:val="23"/>
              </w:rPr>
            </w:pPr>
          </w:p>
          <w:p w14:paraId="1629114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lastRenderedPageBreak/>
              <w:t>Reporting basis:</w:t>
            </w:r>
            <w:r w:rsidRPr="00FA329B">
              <w:rPr>
                <w:rFonts w:ascii="Times New Roman" w:hAnsi="Times New Roman"/>
                <w:bCs/>
                <w:sz w:val="24"/>
                <w:szCs w:val="23"/>
              </w:rPr>
              <w:t xml:space="preserve"> report column 11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w:t>
            </w:r>
          </w:p>
          <w:p w14:paraId="408965CE" w14:textId="77777777" w:rsidR="00233FEA" w:rsidRPr="00FA329B" w:rsidRDefault="00233FEA" w:rsidP="003167DC">
            <w:pPr>
              <w:autoSpaceDE w:val="0"/>
              <w:autoSpaceDN w:val="0"/>
              <w:adjustRightInd w:val="0"/>
              <w:jc w:val="both"/>
              <w:rPr>
                <w:rFonts w:ascii="Times New Roman" w:hAnsi="Times New Roman"/>
                <w:bCs/>
                <w:sz w:val="24"/>
                <w:szCs w:val="23"/>
              </w:rPr>
            </w:pPr>
          </w:p>
          <w:p w14:paraId="7213577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5.1(11) is a derived item. Report the value of closing position which results in a gross positive mark to market value</w:t>
            </w:r>
            <w:r w:rsidRPr="00FA329B">
              <w:rPr>
                <w:rFonts w:ascii="Times New Roman" w:hAnsi="Times New Roman"/>
                <w:bCs/>
                <w:i/>
                <w:sz w:val="24"/>
                <w:szCs w:val="23"/>
              </w:rPr>
              <w:t xml:space="preserve"> </w:t>
            </w:r>
            <w:r w:rsidRPr="00FA329B">
              <w:rPr>
                <w:rFonts w:ascii="Times New Roman" w:hAnsi="Times New Roman"/>
                <w:bCs/>
                <w:sz w:val="24"/>
                <w:szCs w:val="23"/>
              </w:rPr>
              <w:t>in item 5.1(11) as the sum of column 11.</w:t>
            </w:r>
          </w:p>
        </w:tc>
      </w:tr>
      <w:tr w:rsidR="00233FEA" w:rsidRPr="00AD179D" w14:paraId="4F227E4E"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853BB59"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lastRenderedPageBreak/>
              <w:t>Column 12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F4732A7" w14:textId="77777777" w:rsidR="00233FEA" w:rsidRPr="00FA329B" w:rsidRDefault="00233FEA" w:rsidP="003167DC">
            <w:pPr>
              <w:jc w:val="both"/>
              <w:rPr>
                <w:rFonts w:ascii="Times New Roman" w:hAnsi="Times New Roman"/>
                <w:bCs/>
                <w:sz w:val="24"/>
                <w:szCs w:val="23"/>
              </w:rPr>
            </w:pPr>
            <w:r w:rsidRPr="00FA329B">
              <w:rPr>
                <w:rFonts w:ascii="Times New Roman" w:hAnsi="Times New Roman"/>
                <w:bCs/>
                <w:sz w:val="24"/>
                <w:szCs w:val="23"/>
              </w:rPr>
              <w:t xml:space="preserve">Report the closing position, of which gross negative. </w:t>
            </w:r>
          </w:p>
          <w:p w14:paraId="796F0B07" w14:textId="77777777" w:rsidR="00233FEA" w:rsidRPr="00FA329B" w:rsidRDefault="00233FEA" w:rsidP="003167DC">
            <w:pPr>
              <w:jc w:val="both"/>
              <w:rPr>
                <w:rFonts w:ascii="Times New Roman" w:hAnsi="Times New Roman"/>
                <w:sz w:val="24"/>
                <w:szCs w:val="23"/>
              </w:rPr>
            </w:pPr>
          </w:p>
          <w:p w14:paraId="34070DFF" w14:textId="77777777" w:rsidR="00233FEA" w:rsidRPr="00FA329B" w:rsidRDefault="00233FEA" w:rsidP="003167DC">
            <w:pPr>
              <w:autoSpaceDE w:val="0"/>
              <w:autoSpaceDN w:val="0"/>
              <w:adjustRightInd w:val="0"/>
              <w:jc w:val="both"/>
              <w:rPr>
                <w:rFonts w:ascii="Times New Roman" w:hAnsi="Times New Roman"/>
                <w:b/>
                <w:bCs/>
                <w:i/>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12 as at the end of the </w:t>
            </w:r>
            <w:r w:rsidRPr="00FA329B">
              <w:rPr>
                <w:rFonts w:ascii="Times New Roman" w:hAnsi="Times New Roman"/>
                <w:b/>
                <w:bCs/>
                <w:i/>
                <w:sz w:val="24"/>
                <w:szCs w:val="23"/>
              </w:rPr>
              <w:t>reporting period</w:t>
            </w:r>
          </w:p>
          <w:p w14:paraId="0DB0AC42" w14:textId="77777777" w:rsidR="00233FEA" w:rsidRPr="00FA329B" w:rsidRDefault="00233FEA" w:rsidP="003167DC">
            <w:pPr>
              <w:autoSpaceDE w:val="0"/>
              <w:autoSpaceDN w:val="0"/>
              <w:adjustRightInd w:val="0"/>
              <w:jc w:val="both"/>
              <w:rPr>
                <w:rFonts w:ascii="Times New Roman" w:hAnsi="Times New Roman"/>
                <w:b/>
                <w:bCs/>
                <w:i/>
                <w:sz w:val="24"/>
                <w:szCs w:val="23"/>
              </w:rPr>
            </w:pPr>
          </w:p>
          <w:p w14:paraId="4DCD116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Item 5.1(12) is a derived item. Report the value of closing position which results in a gross negative mark to market value</w:t>
            </w:r>
            <w:r w:rsidRPr="00FA329B">
              <w:rPr>
                <w:rFonts w:ascii="Times New Roman" w:hAnsi="Times New Roman"/>
                <w:bCs/>
                <w:i/>
                <w:sz w:val="24"/>
                <w:szCs w:val="23"/>
              </w:rPr>
              <w:t xml:space="preserve"> </w:t>
            </w:r>
            <w:r w:rsidRPr="00FA329B">
              <w:rPr>
                <w:rFonts w:ascii="Times New Roman" w:hAnsi="Times New Roman"/>
                <w:bCs/>
                <w:sz w:val="24"/>
                <w:szCs w:val="23"/>
              </w:rPr>
              <w:t>in item 5.1(12) as the sum of column 12.</w:t>
            </w:r>
          </w:p>
        </w:tc>
      </w:tr>
    </w:tbl>
    <w:p w14:paraId="79544BE7" w14:textId="77777777" w:rsidR="00233FEA" w:rsidRDefault="00233FEA" w:rsidP="00233FEA">
      <w:pPr>
        <w:rPr>
          <w:rFonts w:ascii="Times New Roman" w:eastAsia="Times New Roman" w:hAnsi="Times New Roman"/>
          <w:b/>
          <w:sz w:val="23"/>
          <w:szCs w:val="23"/>
          <w:u w:val="single"/>
          <w:lang w:eastAsia="en-AU"/>
        </w:rPr>
      </w:pPr>
    </w:p>
    <w:p w14:paraId="7D1E2582" w14:textId="77777777" w:rsidR="00233FEA" w:rsidRPr="003B3E1C" w:rsidRDefault="00233FEA" w:rsidP="00FA329B">
      <w:pPr>
        <w:pStyle w:val="Heading2"/>
        <w:rPr>
          <w:lang w:eastAsia="en-AU"/>
        </w:rPr>
      </w:pPr>
      <w:r w:rsidRPr="003B3E1C">
        <w:t xml:space="preserve">Section </w:t>
      </w:r>
      <w:r>
        <w:t>C</w:t>
      </w:r>
      <w:r w:rsidRPr="003B3E1C">
        <w:t xml:space="preserve">: </w:t>
      </w:r>
      <w:r w:rsidRPr="003B3E1C">
        <w:rPr>
          <w:lang w:eastAsia="en-AU"/>
        </w:rPr>
        <w:t xml:space="preserve"> Derivatives with clearing houses and central counterparties that are not margined</w:t>
      </w:r>
    </w:p>
    <w:p w14:paraId="6302544B" w14:textId="77777777" w:rsidR="00233FEA" w:rsidRPr="003B3E1C" w:rsidRDefault="00233FEA" w:rsidP="00FA329B">
      <w:pPr>
        <w:pStyle w:val="Heading3"/>
      </w:pPr>
      <w:r w:rsidRPr="003B3E1C">
        <w:t>Derivatives with resident and non-resident clearing houses and central counterparties that are not margined</w:t>
      </w:r>
    </w:p>
    <w:p w14:paraId="6B68A533" w14:textId="77777777" w:rsidR="00233FEA" w:rsidRPr="003B3E1C" w:rsidRDefault="00233FEA" w:rsidP="00233FEA">
      <w:pPr>
        <w:rPr>
          <w:rFonts w:ascii="Times New Roman" w:eastAsia="Times New Roman" w:hAnsi="Times New Roman"/>
          <w:b/>
          <w:sz w:val="23"/>
          <w:szCs w:val="23"/>
          <w:u w:val="single"/>
          <w:lang w:eastAsia="en-AU"/>
        </w:rPr>
      </w:pPr>
    </w:p>
    <w:p w14:paraId="28967B35" w14:textId="77777777" w:rsidR="00233FEA" w:rsidRPr="00FA329B" w:rsidRDefault="00233FEA" w:rsidP="00233FEA">
      <w:pPr>
        <w:spacing w:after="240"/>
        <w:jc w:val="both"/>
        <w:rPr>
          <w:rFonts w:ascii="Times New Roman" w:eastAsia="Times New Roman" w:hAnsi="Times New Roman"/>
          <w:b/>
          <w:sz w:val="24"/>
          <w:szCs w:val="24"/>
          <w:u w:val="single"/>
          <w:lang w:eastAsia="en-AU"/>
        </w:rPr>
      </w:pPr>
      <w:r w:rsidRPr="00FA329B">
        <w:rPr>
          <w:rFonts w:ascii="Times New Roman" w:hAnsi="Times New Roman"/>
          <w:sz w:val="24"/>
          <w:szCs w:val="24"/>
        </w:rPr>
        <w:t xml:space="preserve">Item 6 collects information on the value of </w:t>
      </w:r>
      <w:r w:rsidRPr="00FA329B">
        <w:rPr>
          <w:rFonts w:ascii="Times New Roman" w:hAnsi="Times New Roman"/>
          <w:b/>
          <w:i/>
          <w:sz w:val="24"/>
          <w:szCs w:val="24"/>
        </w:rPr>
        <w:t xml:space="preserve">derivatives </w:t>
      </w:r>
      <w:r w:rsidRPr="00FA329B">
        <w:rPr>
          <w:rFonts w:ascii="Times New Roman" w:hAnsi="Times New Roman"/>
          <w:sz w:val="24"/>
          <w:szCs w:val="24"/>
        </w:rPr>
        <w:t xml:space="preserve">held with </w:t>
      </w:r>
      <w:r w:rsidRPr="00FA329B">
        <w:rPr>
          <w:rFonts w:ascii="Times New Roman" w:hAnsi="Times New Roman"/>
          <w:b/>
          <w:i/>
          <w:sz w:val="24"/>
          <w:szCs w:val="24"/>
        </w:rPr>
        <w:t>resident</w:t>
      </w:r>
      <w:r w:rsidRPr="00FA329B">
        <w:rPr>
          <w:rFonts w:ascii="Times New Roman" w:hAnsi="Times New Roman"/>
          <w:sz w:val="24"/>
          <w:szCs w:val="24"/>
        </w:rPr>
        <w:t xml:space="preserve"> and </w:t>
      </w:r>
      <w:r w:rsidRPr="00FA329B">
        <w:rPr>
          <w:rFonts w:ascii="Times New Roman" w:hAnsi="Times New Roman"/>
          <w:b/>
          <w:i/>
          <w:sz w:val="24"/>
          <w:szCs w:val="24"/>
        </w:rPr>
        <w:t xml:space="preserve">non-resident clearing houses and central counterparties </w:t>
      </w:r>
      <w:r w:rsidRPr="00FA329B">
        <w:rPr>
          <w:rFonts w:ascii="Times New Roman" w:hAnsi="Times New Roman"/>
          <w:sz w:val="24"/>
          <w:szCs w:val="24"/>
        </w:rPr>
        <w:t xml:space="preserve">that are not </w:t>
      </w:r>
      <w:r w:rsidRPr="00E97C10">
        <w:rPr>
          <w:rFonts w:ascii="Times New Roman" w:hAnsi="Times New Roman"/>
          <w:b/>
          <w:i/>
          <w:sz w:val="24"/>
          <w:szCs w:val="24"/>
        </w:rPr>
        <w:t>margined</w:t>
      </w:r>
      <w:r w:rsidRPr="00FA329B">
        <w:rPr>
          <w:rFonts w:ascii="Times New Roman" w:hAnsi="Times New Roman"/>
          <w:sz w:val="24"/>
          <w:szCs w:val="24"/>
        </w:rPr>
        <w:t>.</w:t>
      </w:r>
      <w:r w:rsidRPr="00FA329B">
        <w:rPr>
          <w:rFonts w:ascii="Times New Roman" w:hAnsi="Times New Roman"/>
          <w:b/>
          <w:sz w:val="24"/>
          <w:szCs w:val="24"/>
        </w:rPr>
        <w:t xml:space="preserve"> </w:t>
      </w:r>
      <w:r w:rsidRPr="00FA329B">
        <w:rPr>
          <w:rFonts w:ascii="Times New Roman" w:hAnsi="Times New Roman"/>
          <w:sz w:val="24"/>
          <w:szCs w:val="24"/>
        </w:rPr>
        <w:t>It</w:t>
      </w:r>
      <w:r w:rsidRPr="00FA329B">
        <w:rPr>
          <w:rFonts w:ascii="Times New Roman" w:hAnsi="Times New Roman"/>
          <w:b/>
          <w:i/>
          <w:sz w:val="24"/>
          <w:szCs w:val="24"/>
        </w:rPr>
        <w:t xml:space="preserve"> </w:t>
      </w:r>
      <w:r w:rsidRPr="00FA329B">
        <w:rPr>
          <w:rFonts w:ascii="Times New Roman" w:hAnsi="Times New Roman"/>
          <w:sz w:val="24"/>
          <w:szCs w:val="24"/>
        </w:rPr>
        <w:t xml:space="preserve">collects information on the value of </w:t>
      </w:r>
      <w:r w:rsidRPr="00FA329B">
        <w:rPr>
          <w:rFonts w:ascii="Times New Roman" w:hAnsi="Times New Roman"/>
          <w:b/>
          <w:i/>
          <w:sz w:val="24"/>
          <w:szCs w:val="24"/>
        </w:rPr>
        <w:t xml:space="preserve">derivatives </w:t>
      </w:r>
      <w:r w:rsidRPr="00FA329B">
        <w:rPr>
          <w:rFonts w:ascii="Times New Roman" w:hAnsi="Times New Roman"/>
          <w:sz w:val="24"/>
          <w:szCs w:val="24"/>
        </w:rPr>
        <w:t xml:space="preserve">at the beginning and end of the </w:t>
      </w:r>
      <w:r w:rsidRPr="00FA329B">
        <w:rPr>
          <w:rFonts w:ascii="Times New Roman" w:hAnsi="Times New Roman"/>
          <w:b/>
          <w:i/>
          <w:sz w:val="24"/>
          <w:szCs w:val="24"/>
        </w:rPr>
        <w:t xml:space="preserve">reporting period, </w:t>
      </w:r>
      <w:r w:rsidRPr="00FA329B">
        <w:rPr>
          <w:rFonts w:ascii="Times New Roman" w:hAnsi="Times New Roman"/>
          <w:sz w:val="24"/>
          <w:szCs w:val="24"/>
        </w:rPr>
        <w:t xml:space="preserve">as well as movements in the value of holdings of </w:t>
      </w:r>
      <w:r w:rsidRPr="00FA329B">
        <w:rPr>
          <w:rFonts w:ascii="Times New Roman" w:hAnsi="Times New Roman"/>
          <w:b/>
          <w:i/>
          <w:sz w:val="24"/>
          <w:szCs w:val="24"/>
        </w:rPr>
        <w:t xml:space="preserve">derivatives </w:t>
      </w:r>
      <w:r w:rsidRPr="00FA329B">
        <w:rPr>
          <w:rFonts w:ascii="Times New Roman" w:hAnsi="Times New Roman"/>
          <w:sz w:val="24"/>
          <w:szCs w:val="24"/>
        </w:rPr>
        <w:t xml:space="preserve">due to net transactions and </w:t>
      </w:r>
      <w:r w:rsidRPr="00E97C10">
        <w:rPr>
          <w:rFonts w:ascii="Times New Roman" w:hAnsi="Times New Roman"/>
          <w:b/>
          <w:i/>
          <w:sz w:val="24"/>
          <w:szCs w:val="24"/>
        </w:rPr>
        <w:t>revaluations</w:t>
      </w:r>
      <w:r w:rsidRPr="00FA329B">
        <w:rPr>
          <w:rFonts w:ascii="Times New Roman" w:hAnsi="Times New Roman"/>
          <w:sz w:val="24"/>
          <w:szCs w:val="24"/>
        </w:rPr>
        <w:t xml:space="preserve"> that occurred during the </w:t>
      </w:r>
      <w:r w:rsidRPr="00FA329B">
        <w:rPr>
          <w:rFonts w:ascii="Times New Roman" w:hAnsi="Times New Roman"/>
          <w:b/>
          <w:i/>
          <w:sz w:val="24"/>
          <w:szCs w:val="24"/>
        </w:rPr>
        <w:t xml:space="preserve">reporting period. </w:t>
      </w:r>
      <w:r w:rsidRPr="00FA329B">
        <w:rPr>
          <w:rFonts w:ascii="Times New Roman" w:hAnsi="Times New Roman"/>
          <w:sz w:val="24"/>
          <w:szCs w:val="24"/>
        </w:rPr>
        <w:t>In Item 6, movement information does not have to be split by side, e.g. by gross positive or gross negative.</w:t>
      </w:r>
    </w:p>
    <w:p w14:paraId="30016677" w14:textId="77777777" w:rsidR="00233FEA" w:rsidRPr="00FA329B" w:rsidRDefault="00233FEA" w:rsidP="00233FEA">
      <w:pPr>
        <w:pStyle w:val="Default"/>
        <w:jc w:val="both"/>
        <w:rPr>
          <w:color w:val="auto"/>
        </w:rPr>
      </w:pPr>
      <w:r w:rsidRPr="00FA329B">
        <w:rPr>
          <w:color w:val="auto"/>
        </w:rPr>
        <w:t xml:space="preserve">Futures should be excluded from this item, and reported only in item 9. </w:t>
      </w:r>
    </w:p>
    <w:p w14:paraId="40C49E46" w14:textId="77777777" w:rsidR="00233FEA" w:rsidRPr="00FA329B" w:rsidRDefault="00233FEA" w:rsidP="00233FEA">
      <w:pPr>
        <w:rPr>
          <w:rFonts w:ascii="Times New Roman" w:eastAsia="Times New Roman" w:hAnsi="Times New Roman"/>
          <w:b/>
          <w:sz w:val="24"/>
          <w:szCs w:val="24"/>
          <w:u w:val="single"/>
          <w:lang w:eastAsia="en-AU"/>
        </w:rPr>
      </w:pPr>
    </w:p>
    <w:tbl>
      <w:tblPr>
        <w:tblW w:w="9071" w:type="dxa"/>
        <w:tblInd w:w="108" w:type="dxa"/>
        <w:tblLayout w:type="fixed"/>
        <w:tblLook w:val="04A0" w:firstRow="1" w:lastRow="0" w:firstColumn="1" w:lastColumn="0" w:noHBand="0" w:noVBand="1"/>
      </w:tblPr>
      <w:tblGrid>
        <w:gridCol w:w="1701"/>
        <w:gridCol w:w="7370"/>
      </w:tblGrid>
      <w:tr w:rsidR="00233FEA" w:rsidRPr="00AD179D" w14:paraId="300C399E"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1F8C25D"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F4548F2"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Report the country of the </w:t>
            </w:r>
            <w:r w:rsidRPr="00FA329B">
              <w:rPr>
                <w:rFonts w:ascii="Times New Roman" w:hAnsi="Times New Roman"/>
                <w:b/>
                <w:bCs/>
                <w:i/>
                <w:sz w:val="24"/>
                <w:szCs w:val="24"/>
              </w:rPr>
              <w:t>non-resident clearing house</w:t>
            </w:r>
            <w:r w:rsidRPr="00FA329B">
              <w:rPr>
                <w:rFonts w:ascii="Times New Roman" w:hAnsi="Times New Roman"/>
                <w:bCs/>
                <w:sz w:val="24"/>
                <w:szCs w:val="24"/>
              </w:rPr>
              <w:t xml:space="preserve">. If the counterparty is a </w:t>
            </w:r>
            <w:r w:rsidRPr="00FA329B">
              <w:rPr>
                <w:rFonts w:ascii="Times New Roman" w:hAnsi="Times New Roman"/>
                <w:b/>
                <w:bCs/>
                <w:i/>
                <w:sz w:val="24"/>
                <w:szCs w:val="24"/>
              </w:rPr>
              <w:t xml:space="preserve">resident </w:t>
            </w:r>
            <w:r w:rsidRPr="00E97C10">
              <w:rPr>
                <w:rFonts w:ascii="Times New Roman" w:hAnsi="Times New Roman"/>
                <w:bCs/>
                <w:sz w:val="24"/>
                <w:szCs w:val="24"/>
              </w:rPr>
              <w:t>counterparty</w:t>
            </w:r>
            <w:r w:rsidRPr="0036047D">
              <w:rPr>
                <w:rFonts w:ascii="Times New Roman" w:hAnsi="Times New Roman"/>
                <w:bCs/>
                <w:sz w:val="24"/>
                <w:szCs w:val="24"/>
              </w:rPr>
              <w:t>,</w:t>
            </w:r>
            <w:r w:rsidRPr="00FA329B">
              <w:rPr>
                <w:rFonts w:ascii="Times New Roman" w:hAnsi="Times New Roman"/>
                <w:bCs/>
                <w:sz w:val="24"/>
                <w:szCs w:val="24"/>
              </w:rPr>
              <w:t xml:space="preserve"> report the country as Australia.  </w:t>
            </w:r>
          </w:p>
        </w:tc>
      </w:tr>
      <w:tr w:rsidR="00233FEA" w:rsidRPr="00AD179D" w14:paraId="50B19F85"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00B23BC"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666CC20"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Report the instrument type (see List 1.1 for type of instrument detail.)</w:t>
            </w:r>
          </w:p>
        </w:tc>
      </w:tr>
      <w:tr w:rsidR="00233FEA" w:rsidRPr="00AD179D" w14:paraId="3C8E8119"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9419E7D"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569EDD6" w14:textId="77777777" w:rsidR="00233FEA" w:rsidRPr="00FA329B" w:rsidRDefault="00233FEA" w:rsidP="003167DC">
            <w:pPr>
              <w:autoSpaceDE w:val="0"/>
              <w:autoSpaceDN w:val="0"/>
              <w:adjustRightInd w:val="0"/>
              <w:jc w:val="both"/>
              <w:rPr>
                <w:rFonts w:ascii="Times New Roman" w:hAnsi="Times New Roman"/>
                <w:bCs/>
                <w:i/>
                <w:sz w:val="24"/>
                <w:szCs w:val="24"/>
              </w:rPr>
            </w:pPr>
            <w:r w:rsidRPr="00FA329B">
              <w:rPr>
                <w:rFonts w:ascii="Times New Roman" w:hAnsi="Times New Roman"/>
                <w:bCs/>
                <w:sz w:val="24"/>
                <w:szCs w:val="24"/>
              </w:rPr>
              <w:t>Report the net opening position.</w:t>
            </w:r>
          </w:p>
          <w:p w14:paraId="7BD60F11" w14:textId="77777777" w:rsidR="00233FEA" w:rsidRPr="00FA329B" w:rsidRDefault="00233FEA" w:rsidP="003167DC">
            <w:pPr>
              <w:autoSpaceDE w:val="0"/>
              <w:autoSpaceDN w:val="0"/>
              <w:adjustRightInd w:val="0"/>
              <w:jc w:val="both"/>
              <w:rPr>
                <w:rFonts w:ascii="Times New Roman" w:hAnsi="Times New Roman"/>
                <w:bCs/>
                <w:sz w:val="24"/>
                <w:szCs w:val="24"/>
              </w:rPr>
            </w:pPr>
          </w:p>
          <w:p w14:paraId="5E0D07C5"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3 as at the beginning of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34EFEF80" w14:textId="77777777" w:rsidR="00233FEA" w:rsidRPr="00FA329B" w:rsidRDefault="00233FEA" w:rsidP="003167DC">
            <w:pPr>
              <w:autoSpaceDE w:val="0"/>
              <w:autoSpaceDN w:val="0"/>
              <w:adjustRightInd w:val="0"/>
              <w:jc w:val="both"/>
              <w:rPr>
                <w:rFonts w:ascii="Times New Roman" w:hAnsi="Times New Roman"/>
                <w:bCs/>
                <w:sz w:val="24"/>
                <w:szCs w:val="24"/>
              </w:rPr>
            </w:pPr>
          </w:p>
          <w:p w14:paraId="73C3E0A8"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6.1(3) is a derived item. Report the value of the net opening position in item 6.1(3) as the sum of column 3. The value in item 6.1(3) should equal the value of item 6.1(4) les item 6.1(5).</w:t>
            </w:r>
          </w:p>
        </w:tc>
      </w:tr>
      <w:tr w:rsidR="00233FEA" w:rsidRPr="00AD179D" w14:paraId="60ED6DB8"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1FB5D7F"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33E9A91"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 xml:space="preserve">Report the opening position, of which gross positive. </w:t>
            </w:r>
          </w:p>
          <w:p w14:paraId="73BC86D0" w14:textId="77777777" w:rsidR="00233FEA" w:rsidRPr="00FA329B" w:rsidRDefault="00233FEA" w:rsidP="003167DC">
            <w:pPr>
              <w:jc w:val="both"/>
              <w:rPr>
                <w:rFonts w:ascii="Times New Roman" w:hAnsi="Times New Roman"/>
                <w:sz w:val="24"/>
                <w:szCs w:val="24"/>
              </w:rPr>
            </w:pPr>
          </w:p>
          <w:p w14:paraId="228CC71C"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4 as at the beginning of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0DBF463B" w14:textId="77777777" w:rsidR="00233FEA" w:rsidRPr="00FA329B" w:rsidRDefault="00233FEA" w:rsidP="003167DC">
            <w:pPr>
              <w:autoSpaceDE w:val="0"/>
              <w:autoSpaceDN w:val="0"/>
              <w:adjustRightInd w:val="0"/>
              <w:jc w:val="both"/>
              <w:rPr>
                <w:rFonts w:ascii="Times New Roman" w:hAnsi="Times New Roman"/>
                <w:bCs/>
                <w:sz w:val="24"/>
                <w:szCs w:val="24"/>
              </w:rPr>
            </w:pPr>
          </w:p>
          <w:p w14:paraId="7DF5FCBA"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6.1(4) is a derived item. Report the value of opening position</w:t>
            </w:r>
            <w:r w:rsidRPr="00FA329B">
              <w:rPr>
                <w:rFonts w:ascii="Times New Roman" w:hAnsi="Times New Roman"/>
                <w:b/>
                <w:bCs/>
                <w:i/>
                <w:sz w:val="24"/>
                <w:szCs w:val="24"/>
              </w:rPr>
              <w:t xml:space="preserve"> </w:t>
            </w:r>
            <w:r w:rsidRPr="00FA329B">
              <w:rPr>
                <w:rFonts w:ascii="Times New Roman" w:hAnsi="Times New Roman"/>
                <w:bCs/>
                <w:sz w:val="24"/>
                <w:szCs w:val="24"/>
              </w:rPr>
              <w:t>which results in a gross positive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 in item 6.1(4) as the sum of column 4.</w:t>
            </w:r>
          </w:p>
        </w:tc>
      </w:tr>
      <w:tr w:rsidR="00233FEA" w:rsidRPr="00AD179D" w14:paraId="45586ECE"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F971951" w14:textId="77777777" w:rsidR="00233FEA" w:rsidRPr="00FA329B" w:rsidRDefault="00233FEA" w:rsidP="00332435">
            <w:pPr>
              <w:keepNext/>
              <w:spacing w:before="120" w:after="120"/>
              <w:rPr>
                <w:rFonts w:ascii="Times New Roman" w:hAnsi="Times New Roman"/>
                <w:b/>
                <w:sz w:val="24"/>
                <w:szCs w:val="24"/>
              </w:rPr>
            </w:pPr>
            <w:r w:rsidRPr="00FA329B">
              <w:rPr>
                <w:rFonts w:ascii="Times New Roman" w:hAnsi="Times New Roman"/>
                <w:b/>
                <w:sz w:val="24"/>
                <w:szCs w:val="24"/>
              </w:rPr>
              <w:lastRenderedPageBreak/>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2B2FA5D" w14:textId="77777777" w:rsidR="00233FEA" w:rsidRPr="00FA329B" w:rsidRDefault="00233FEA" w:rsidP="00332435">
            <w:pPr>
              <w:keepNext/>
              <w:jc w:val="both"/>
              <w:rPr>
                <w:rFonts w:ascii="Times New Roman" w:hAnsi="Times New Roman"/>
                <w:bCs/>
                <w:sz w:val="24"/>
                <w:szCs w:val="24"/>
              </w:rPr>
            </w:pPr>
            <w:r w:rsidRPr="00FA329B">
              <w:rPr>
                <w:rFonts w:ascii="Times New Roman" w:hAnsi="Times New Roman"/>
                <w:bCs/>
                <w:sz w:val="24"/>
                <w:szCs w:val="24"/>
              </w:rPr>
              <w:t xml:space="preserve">Report the opening position, of which gross negative. </w:t>
            </w:r>
          </w:p>
          <w:p w14:paraId="173B95A2" w14:textId="77777777" w:rsidR="00233FEA" w:rsidRPr="00FA329B" w:rsidRDefault="00233FEA" w:rsidP="00332435">
            <w:pPr>
              <w:keepNext/>
              <w:jc w:val="both"/>
              <w:rPr>
                <w:rFonts w:ascii="Times New Roman" w:hAnsi="Times New Roman"/>
                <w:sz w:val="24"/>
                <w:szCs w:val="24"/>
              </w:rPr>
            </w:pPr>
          </w:p>
          <w:p w14:paraId="63E82524" w14:textId="77777777" w:rsidR="00233FEA" w:rsidRPr="00FA329B" w:rsidRDefault="00233FEA" w:rsidP="00332435">
            <w:pPr>
              <w:keepNext/>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5 as at the beginning of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5BE5C63F" w14:textId="77777777" w:rsidR="00233FEA" w:rsidRPr="00FA329B" w:rsidRDefault="00233FEA" w:rsidP="00332435">
            <w:pPr>
              <w:keepNext/>
              <w:jc w:val="both"/>
              <w:rPr>
                <w:rFonts w:ascii="Times New Roman" w:hAnsi="Times New Roman"/>
                <w:bCs/>
                <w:sz w:val="24"/>
                <w:szCs w:val="24"/>
              </w:rPr>
            </w:pPr>
          </w:p>
          <w:p w14:paraId="18F33582" w14:textId="77777777" w:rsidR="00233FEA" w:rsidRPr="00FA329B" w:rsidRDefault="00233FEA" w:rsidP="00332435">
            <w:pPr>
              <w:keepNext/>
              <w:jc w:val="both"/>
              <w:rPr>
                <w:rFonts w:ascii="Times New Roman" w:hAnsi="Times New Roman"/>
                <w:bCs/>
                <w:sz w:val="24"/>
                <w:szCs w:val="24"/>
              </w:rPr>
            </w:pPr>
            <w:r w:rsidRPr="00FA329B">
              <w:rPr>
                <w:rFonts w:ascii="Times New Roman" w:hAnsi="Times New Roman"/>
                <w:bCs/>
                <w:sz w:val="24"/>
                <w:szCs w:val="24"/>
              </w:rPr>
              <w:t>Item 6.1(5) is a derived item. Report the value of opening position</w:t>
            </w:r>
            <w:r w:rsidRPr="00FA329B">
              <w:rPr>
                <w:rFonts w:ascii="Times New Roman" w:hAnsi="Times New Roman"/>
                <w:b/>
                <w:bCs/>
                <w:i/>
                <w:sz w:val="24"/>
                <w:szCs w:val="24"/>
              </w:rPr>
              <w:t xml:space="preserve"> </w:t>
            </w:r>
            <w:r w:rsidRPr="00FA329B">
              <w:rPr>
                <w:rFonts w:ascii="Times New Roman" w:hAnsi="Times New Roman"/>
                <w:bCs/>
                <w:sz w:val="24"/>
                <w:szCs w:val="24"/>
              </w:rPr>
              <w:t>which results in a gross 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 in item 6.1(5) as the sum of column 5.</w:t>
            </w:r>
          </w:p>
        </w:tc>
      </w:tr>
      <w:tr w:rsidR="00233FEA" w:rsidRPr="00AD179D" w14:paraId="01230104"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C9F9F9D"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2BB2E84" w14:textId="77777777" w:rsidR="00233FEA" w:rsidRPr="00FA329B" w:rsidRDefault="00233FEA" w:rsidP="003167DC">
            <w:pPr>
              <w:jc w:val="both"/>
              <w:rPr>
                <w:rFonts w:ascii="Times New Roman" w:hAnsi="Times New Roman"/>
                <w:sz w:val="24"/>
                <w:szCs w:val="24"/>
              </w:rPr>
            </w:pPr>
            <w:r w:rsidRPr="00FA329B">
              <w:rPr>
                <w:rFonts w:ascii="Times New Roman" w:hAnsi="Times New Roman"/>
                <w:bCs/>
                <w:sz w:val="24"/>
                <w:szCs w:val="24"/>
              </w:rPr>
              <w:t xml:space="preserve">Report the value of net transactions. </w:t>
            </w:r>
          </w:p>
          <w:p w14:paraId="21F447C2" w14:textId="77777777" w:rsidR="00233FEA" w:rsidRPr="00FA329B" w:rsidRDefault="00233FEA" w:rsidP="003167DC">
            <w:pPr>
              <w:jc w:val="both"/>
              <w:rPr>
                <w:rFonts w:ascii="Times New Roman" w:hAnsi="Times New Roman"/>
                <w:sz w:val="24"/>
                <w:szCs w:val="24"/>
              </w:rPr>
            </w:pPr>
          </w:p>
          <w:p w14:paraId="3371B418"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 xml:space="preserve">Reporting basis: </w:t>
            </w:r>
            <w:r w:rsidRPr="00FA329B">
              <w:rPr>
                <w:rFonts w:ascii="Times New Roman" w:hAnsi="Times New Roman"/>
                <w:bCs/>
                <w:sz w:val="24"/>
                <w:szCs w:val="24"/>
              </w:rPr>
              <w:t xml:space="preserve">report column 6 during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2C16D5A9" w14:textId="77777777" w:rsidR="00233FEA" w:rsidRPr="00FA329B" w:rsidRDefault="00233FEA" w:rsidP="003167DC">
            <w:pPr>
              <w:autoSpaceDE w:val="0"/>
              <w:autoSpaceDN w:val="0"/>
              <w:adjustRightInd w:val="0"/>
              <w:jc w:val="both"/>
              <w:rPr>
                <w:rFonts w:ascii="Times New Roman" w:hAnsi="Times New Roman"/>
                <w:bCs/>
                <w:sz w:val="24"/>
                <w:szCs w:val="24"/>
              </w:rPr>
            </w:pPr>
          </w:p>
          <w:p w14:paraId="6E8861F6" w14:textId="2F87A36E"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6.1(6) is a derived item. Report the value of net transactions in item 6.1(6) as the sum of column 6.</w:t>
            </w:r>
          </w:p>
        </w:tc>
      </w:tr>
      <w:tr w:rsidR="00233FEA" w:rsidRPr="00AD179D" w14:paraId="4689F36B"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6EA94F3"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0610558"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 xml:space="preserve">Report the value of </w:t>
            </w:r>
            <w:r w:rsidRPr="00FA329B">
              <w:rPr>
                <w:rFonts w:ascii="Times New Roman" w:hAnsi="Times New Roman"/>
                <w:b/>
                <w:bCs/>
                <w:i/>
                <w:sz w:val="24"/>
                <w:szCs w:val="24"/>
              </w:rPr>
              <w:t>market value</w:t>
            </w:r>
            <w:r w:rsidRPr="00FA329B">
              <w:rPr>
                <w:rFonts w:ascii="Times New Roman" w:hAnsi="Times New Roman"/>
                <w:bCs/>
                <w:sz w:val="24"/>
                <w:szCs w:val="24"/>
              </w:rPr>
              <w:t xml:space="preserve"> changes. </w:t>
            </w:r>
          </w:p>
          <w:p w14:paraId="0516E8D3" w14:textId="77777777" w:rsidR="00233FEA" w:rsidRPr="00FA329B" w:rsidRDefault="00233FEA" w:rsidP="003167DC">
            <w:pPr>
              <w:jc w:val="both"/>
              <w:rPr>
                <w:rFonts w:ascii="Times New Roman" w:hAnsi="Times New Roman"/>
                <w:sz w:val="24"/>
                <w:szCs w:val="24"/>
              </w:rPr>
            </w:pPr>
          </w:p>
          <w:p w14:paraId="5AEE90B0"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 xml:space="preserve">Reporting basis: </w:t>
            </w:r>
            <w:r w:rsidRPr="00FA329B">
              <w:rPr>
                <w:rFonts w:ascii="Times New Roman" w:hAnsi="Times New Roman"/>
                <w:bCs/>
                <w:sz w:val="24"/>
                <w:szCs w:val="24"/>
              </w:rPr>
              <w:t xml:space="preserve">report column 7 during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0D3185F5" w14:textId="77777777" w:rsidR="00233FEA" w:rsidRPr="00FA329B" w:rsidRDefault="00233FEA" w:rsidP="003167DC">
            <w:pPr>
              <w:autoSpaceDE w:val="0"/>
              <w:autoSpaceDN w:val="0"/>
              <w:adjustRightInd w:val="0"/>
              <w:jc w:val="both"/>
              <w:rPr>
                <w:rFonts w:ascii="Times New Roman" w:hAnsi="Times New Roman"/>
                <w:bCs/>
                <w:sz w:val="24"/>
                <w:szCs w:val="24"/>
              </w:rPr>
            </w:pPr>
          </w:p>
          <w:p w14:paraId="06996A26" w14:textId="4962C910"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 xml:space="preserve">Item 6.1(7) is a derived item. Report the value of </w:t>
            </w:r>
            <w:r w:rsidRPr="00FA329B">
              <w:rPr>
                <w:rFonts w:ascii="Times New Roman" w:hAnsi="Times New Roman"/>
                <w:b/>
                <w:bCs/>
                <w:i/>
                <w:sz w:val="24"/>
                <w:szCs w:val="24"/>
              </w:rPr>
              <w:t>market value</w:t>
            </w:r>
            <w:r w:rsidRPr="00FA329B">
              <w:rPr>
                <w:rFonts w:ascii="Times New Roman" w:hAnsi="Times New Roman"/>
                <w:bCs/>
                <w:sz w:val="24"/>
                <w:szCs w:val="24"/>
              </w:rPr>
              <w:t xml:space="preserve"> changes in item 6.1(7) as the sum of column 7.</w:t>
            </w:r>
          </w:p>
        </w:tc>
      </w:tr>
      <w:tr w:rsidR="00233FEA" w:rsidRPr="00AD179D" w14:paraId="1FF667D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54C31E1"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8</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7224EB1"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 xml:space="preserve">Report the value of exchange rate variations. </w:t>
            </w:r>
          </w:p>
          <w:p w14:paraId="0A31C0DC" w14:textId="77777777" w:rsidR="00233FEA" w:rsidRPr="00FA329B" w:rsidRDefault="00233FEA" w:rsidP="003167DC">
            <w:pPr>
              <w:jc w:val="both"/>
              <w:rPr>
                <w:rFonts w:ascii="Times New Roman" w:hAnsi="Times New Roman"/>
                <w:sz w:val="24"/>
                <w:szCs w:val="24"/>
              </w:rPr>
            </w:pPr>
          </w:p>
          <w:p w14:paraId="31C06242"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 xml:space="preserve">Reporting basis: </w:t>
            </w:r>
            <w:r w:rsidRPr="00FA329B">
              <w:rPr>
                <w:rFonts w:ascii="Times New Roman" w:hAnsi="Times New Roman"/>
                <w:bCs/>
                <w:sz w:val="24"/>
                <w:szCs w:val="24"/>
              </w:rPr>
              <w:t xml:space="preserve">report column 8 during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5D8ACBDA" w14:textId="3EC94F6F" w:rsidR="00233FEA" w:rsidRPr="00FA329B" w:rsidRDefault="00233FEA" w:rsidP="003167DC">
            <w:pPr>
              <w:autoSpaceDE w:val="0"/>
              <w:autoSpaceDN w:val="0"/>
              <w:adjustRightInd w:val="0"/>
              <w:jc w:val="both"/>
              <w:rPr>
                <w:rFonts w:ascii="Times New Roman" w:hAnsi="Times New Roman"/>
                <w:bCs/>
                <w:sz w:val="24"/>
                <w:szCs w:val="24"/>
              </w:rPr>
            </w:pPr>
          </w:p>
          <w:p w14:paraId="30BB63F4"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Item 6.1(8) is a derived item. Report the value of exchange rate variations in item 6.1(8) as the sum of column 8.</w:t>
            </w:r>
          </w:p>
        </w:tc>
      </w:tr>
      <w:tr w:rsidR="00233FEA" w:rsidRPr="00AD179D" w14:paraId="6941E20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4AFAD25D"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9</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3650E28"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Report the value of other changes.</w:t>
            </w:r>
          </w:p>
          <w:p w14:paraId="26DCDC3D" w14:textId="77777777" w:rsidR="00233FEA" w:rsidRPr="00FA329B" w:rsidRDefault="00233FEA" w:rsidP="003167DC">
            <w:pPr>
              <w:jc w:val="both"/>
              <w:rPr>
                <w:rFonts w:ascii="Times New Roman" w:hAnsi="Times New Roman"/>
                <w:sz w:val="24"/>
                <w:szCs w:val="24"/>
              </w:rPr>
            </w:pPr>
          </w:p>
          <w:p w14:paraId="01F9E37C"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 xml:space="preserve">Reporting basis: </w:t>
            </w:r>
            <w:r w:rsidRPr="00FA329B">
              <w:rPr>
                <w:rFonts w:ascii="Times New Roman" w:hAnsi="Times New Roman"/>
                <w:bCs/>
                <w:sz w:val="24"/>
                <w:szCs w:val="24"/>
              </w:rPr>
              <w:t xml:space="preserve">report column 9 during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6A98BEEC" w14:textId="77777777" w:rsidR="00233FEA" w:rsidRPr="00FA329B" w:rsidRDefault="00233FEA" w:rsidP="003167DC">
            <w:pPr>
              <w:autoSpaceDE w:val="0"/>
              <w:autoSpaceDN w:val="0"/>
              <w:adjustRightInd w:val="0"/>
              <w:jc w:val="both"/>
              <w:rPr>
                <w:rFonts w:ascii="Times New Roman" w:hAnsi="Times New Roman"/>
                <w:bCs/>
                <w:sz w:val="24"/>
                <w:szCs w:val="24"/>
              </w:rPr>
            </w:pPr>
          </w:p>
          <w:p w14:paraId="5DEFA2F6" w14:textId="77777777" w:rsidR="00233FEA" w:rsidRPr="00FA329B" w:rsidRDefault="00233FEA" w:rsidP="003167DC">
            <w:pPr>
              <w:autoSpaceDE w:val="0"/>
              <w:autoSpaceDN w:val="0"/>
              <w:adjustRightInd w:val="0"/>
              <w:jc w:val="both"/>
              <w:rPr>
                <w:rFonts w:ascii="Times New Roman" w:hAnsi="Times New Roman"/>
                <w:bCs/>
                <w:sz w:val="24"/>
                <w:szCs w:val="24"/>
              </w:rPr>
            </w:pPr>
          </w:p>
          <w:p w14:paraId="4D4B9FE5"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Item 6.1(9) is a derived item. Report the value of other changes in item 6.1(9) as the sum of column 9.</w:t>
            </w:r>
          </w:p>
        </w:tc>
      </w:tr>
      <w:tr w:rsidR="00233FEA" w:rsidRPr="00AD179D" w14:paraId="33AE058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F898F46"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10</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B4A2AA5" w14:textId="77777777" w:rsidR="00233FEA" w:rsidRPr="00FA329B" w:rsidRDefault="00233FEA" w:rsidP="003167DC">
            <w:pPr>
              <w:autoSpaceDE w:val="0"/>
              <w:autoSpaceDN w:val="0"/>
              <w:adjustRightInd w:val="0"/>
              <w:jc w:val="both"/>
              <w:rPr>
                <w:rFonts w:ascii="Times New Roman" w:hAnsi="Times New Roman"/>
                <w:bCs/>
                <w:i/>
                <w:sz w:val="24"/>
                <w:szCs w:val="24"/>
              </w:rPr>
            </w:pPr>
            <w:r w:rsidRPr="00FA329B">
              <w:rPr>
                <w:rFonts w:ascii="Times New Roman" w:hAnsi="Times New Roman"/>
                <w:bCs/>
                <w:sz w:val="24"/>
                <w:szCs w:val="24"/>
              </w:rPr>
              <w:t>Report the net closing position.</w:t>
            </w:r>
            <w:r w:rsidRPr="00FA329B">
              <w:rPr>
                <w:rFonts w:ascii="Times New Roman" w:hAnsi="Times New Roman"/>
                <w:bCs/>
                <w:i/>
                <w:sz w:val="24"/>
                <w:szCs w:val="24"/>
              </w:rPr>
              <w:t xml:space="preserve"> </w:t>
            </w:r>
          </w:p>
          <w:p w14:paraId="67530150" w14:textId="77777777" w:rsidR="00233FEA" w:rsidRPr="00FA329B" w:rsidRDefault="00233FEA" w:rsidP="003167DC">
            <w:pPr>
              <w:autoSpaceDE w:val="0"/>
              <w:autoSpaceDN w:val="0"/>
              <w:adjustRightInd w:val="0"/>
              <w:jc w:val="both"/>
              <w:rPr>
                <w:rFonts w:ascii="Times New Roman" w:hAnsi="Times New Roman"/>
                <w:bCs/>
                <w:sz w:val="24"/>
                <w:szCs w:val="24"/>
              </w:rPr>
            </w:pPr>
          </w:p>
          <w:p w14:paraId="76664030"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10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4BB96161" w14:textId="77777777" w:rsidR="00233FEA" w:rsidRPr="00FA329B" w:rsidRDefault="00233FEA" w:rsidP="003167DC">
            <w:pPr>
              <w:autoSpaceDE w:val="0"/>
              <w:autoSpaceDN w:val="0"/>
              <w:adjustRightInd w:val="0"/>
              <w:jc w:val="both"/>
              <w:rPr>
                <w:rFonts w:ascii="Times New Roman" w:hAnsi="Times New Roman"/>
                <w:bCs/>
                <w:sz w:val="24"/>
                <w:szCs w:val="24"/>
              </w:rPr>
            </w:pPr>
          </w:p>
          <w:p w14:paraId="5E3522EC" w14:textId="37E59923"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6.1(10) is a derived item. Report the value of the net closing position in item 6.1(10) as the sum of column 10. The value in item 6.1(10) should equal the value of item 6.1(11) less item 6.1(12).</w:t>
            </w:r>
          </w:p>
          <w:p w14:paraId="378991E0" w14:textId="77777777" w:rsidR="00233FEA" w:rsidRPr="00FA329B" w:rsidRDefault="00233FEA" w:rsidP="003167DC">
            <w:pPr>
              <w:autoSpaceDE w:val="0"/>
              <w:autoSpaceDN w:val="0"/>
              <w:adjustRightInd w:val="0"/>
              <w:jc w:val="both"/>
              <w:rPr>
                <w:rFonts w:ascii="Times New Roman" w:hAnsi="Times New Roman"/>
                <w:bCs/>
                <w:sz w:val="24"/>
                <w:szCs w:val="24"/>
              </w:rPr>
            </w:pPr>
          </w:p>
        </w:tc>
      </w:tr>
      <w:tr w:rsidR="00233FEA" w:rsidRPr="00AD179D" w14:paraId="38F1F111"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61807DB"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11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2F22C48" w14:textId="77777777" w:rsidR="00233FEA" w:rsidRPr="00FA329B" w:rsidRDefault="00233FEA" w:rsidP="003167DC">
            <w:pPr>
              <w:jc w:val="both"/>
              <w:rPr>
                <w:rFonts w:ascii="Times New Roman" w:hAnsi="Times New Roman"/>
                <w:bCs/>
                <w:sz w:val="24"/>
                <w:szCs w:val="24"/>
              </w:rPr>
            </w:pPr>
            <w:r w:rsidRPr="00FA329B">
              <w:rPr>
                <w:rFonts w:ascii="Times New Roman" w:hAnsi="Times New Roman"/>
                <w:bCs/>
                <w:sz w:val="24"/>
                <w:szCs w:val="24"/>
              </w:rPr>
              <w:t xml:space="preserve">Report the closing position, of which gross positive. </w:t>
            </w:r>
          </w:p>
          <w:p w14:paraId="2F99AA30" w14:textId="77777777" w:rsidR="00233FEA" w:rsidRPr="00FA329B" w:rsidRDefault="00233FEA" w:rsidP="003167DC">
            <w:pPr>
              <w:jc w:val="both"/>
              <w:rPr>
                <w:rFonts w:ascii="Times New Roman" w:hAnsi="Times New Roman"/>
                <w:sz w:val="24"/>
                <w:szCs w:val="24"/>
              </w:rPr>
            </w:pPr>
          </w:p>
          <w:p w14:paraId="3522B9B9"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11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w:t>
            </w:r>
          </w:p>
          <w:p w14:paraId="103BB039" w14:textId="77777777" w:rsidR="00233FEA" w:rsidRPr="00FA329B" w:rsidRDefault="00233FEA" w:rsidP="003167DC">
            <w:pPr>
              <w:autoSpaceDE w:val="0"/>
              <w:autoSpaceDN w:val="0"/>
              <w:adjustRightInd w:val="0"/>
              <w:jc w:val="both"/>
              <w:rPr>
                <w:rFonts w:ascii="Times New Roman" w:hAnsi="Times New Roman"/>
                <w:bCs/>
                <w:sz w:val="24"/>
                <w:szCs w:val="24"/>
              </w:rPr>
            </w:pPr>
          </w:p>
          <w:p w14:paraId="5CE42F28"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6.1(11) is a derived item. Report the value of closing position which results in a gross positive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 in item 6.1(11) as the sum of column 11.</w:t>
            </w:r>
          </w:p>
        </w:tc>
      </w:tr>
      <w:tr w:rsidR="00233FEA" w:rsidRPr="00AD179D" w14:paraId="5C97E318"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34B9E35B" w14:textId="77777777" w:rsidR="00233FEA" w:rsidRPr="00FA329B" w:rsidRDefault="00233FEA" w:rsidP="00332435">
            <w:pPr>
              <w:keepNext/>
              <w:spacing w:before="120" w:after="120"/>
              <w:rPr>
                <w:rFonts w:ascii="Times New Roman" w:hAnsi="Times New Roman"/>
                <w:b/>
                <w:sz w:val="24"/>
                <w:szCs w:val="24"/>
              </w:rPr>
            </w:pPr>
            <w:r w:rsidRPr="00FA329B">
              <w:rPr>
                <w:rFonts w:ascii="Times New Roman" w:hAnsi="Times New Roman"/>
                <w:b/>
                <w:sz w:val="24"/>
                <w:szCs w:val="24"/>
              </w:rPr>
              <w:lastRenderedPageBreak/>
              <w:t>Column 12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5A53ED27" w14:textId="77777777" w:rsidR="00233FEA" w:rsidRPr="00FA329B" w:rsidRDefault="00233FEA" w:rsidP="00332435">
            <w:pPr>
              <w:keepNext/>
              <w:jc w:val="both"/>
              <w:rPr>
                <w:rFonts w:ascii="Times New Roman" w:hAnsi="Times New Roman"/>
                <w:bCs/>
                <w:sz w:val="24"/>
                <w:szCs w:val="24"/>
              </w:rPr>
            </w:pPr>
            <w:r w:rsidRPr="00FA329B">
              <w:rPr>
                <w:rFonts w:ascii="Times New Roman" w:hAnsi="Times New Roman"/>
                <w:bCs/>
                <w:sz w:val="24"/>
                <w:szCs w:val="24"/>
              </w:rPr>
              <w:t xml:space="preserve">Report the closing position, of which gross negative. </w:t>
            </w:r>
          </w:p>
          <w:p w14:paraId="60BDDBDD" w14:textId="77777777" w:rsidR="00233FEA" w:rsidRPr="00FA329B" w:rsidRDefault="00233FEA" w:rsidP="00332435">
            <w:pPr>
              <w:keepNext/>
              <w:jc w:val="both"/>
              <w:rPr>
                <w:rFonts w:ascii="Times New Roman" w:hAnsi="Times New Roman"/>
                <w:sz w:val="24"/>
                <w:szCs w:val="24"/>
              </w:rPr>
            </w:pPr>
          </w:p>
          <w:p w14:paraId="6EA8A04C" w14:textId="77777777" w:rsidR="00233FEA" w:rsidRPr="00FA329B" w:rsidRDefault="00233FEA" w:rsidP="00332435">
            <w:pPr>
              <w:keepNext/>
              <w:autoSpaceDE w:val="0"/>
              <w:autoSpaceDN w:val="0"/>
              <w:adjustRightInd w:val="0"/>
              <w:jc w:val="both"/>
              <w:rPr>
                <w:rFonts w:ascii="Times New Roman" w:hAnsi="Times New Roman"/>
                <w:b/>
                <w:bCs/>
                <w:i/>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12 as at the end of the </w:t>
            </w:r>
            <w:r w:rsidRPr="00FA329B">
              <w:rPr>
                <w:rFonts w:ascii="Times New Roman" w:hAnsi="Times New Roman"/>
                <w:b/>
                <w:bCs/>
                <w:i/>
                <w:sz w:val="24"/>
                <w:szCs w:val="24"/>
              </w:rPr>
              <w:t>reporting period</w:t>
            </w:r>
          </w:p>
          <w:p w14:paraId="561A7CD8" w14:textId="77777777" w:rsidR="00233FEA" w:rsidRPr="00FA329B" w:rsidRDefault="00233FEA" w:rsidP="00332435">
            <w:pPr>
              <w:keepNext/>
              <w:autoSpaceDE w:val="0"/>
              <w:autoSpaceDN w:val="0"/>
              <w:adjustRightInd w:val="0"/>
              <w:jc w:val="both"/>
              <w:rPr>
                <w:rFonts w:ascii="Times New Roman" w:hAnsi="Times New Roman"/>
                <w:b/>
                <w:bCs/>
                <w:i/>
                <w:sz w:val="24"/>
                <w:szCs w:val="24"/>
              </w:rPr>
            </w:pPr>
          </w:p>
          <w:p w14:paraId="51344069" w14:textId="77777777" w:rsidR="00233FEA" w:rsidRPr="00FA329B" w:rsidRDefault="00233FEA" w:rsidP="00332435">
            <w:pPr>
              <w:keepNext/>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Item 6.1(12) is a derived item. Report the value of closing position which results in a gross 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 in item 6.1(12) as the sum of column 12.</w:t>
            </w:r>
          </w:p>
        </w:tc>
      </w:tr>
    </w:tbl>
    <w:p w14:paraId="34D59F02" w14:textId="77777777" w:rsidR="00233FEA" w:rsidRDefault="00233FEA" w:rsidP="00233FEA">
      <w:pPr>
        <w:rPr>
          <w:rFonts w:ascii="Arial" w:eastAsia="Times New Roman" w:hAnsi="Arial" w:cs="Arial"/>
          <w:b/>
          <w:sz w:val="23"/>
          <w:szCs w:val="23"/>
          <w:lang w:eastAsia="en-AU"/>
        </w:rPr>
      </w:pPr>
    </w:p>
    <w:p w14:paraId="0241DBEF" w14:textId="77777777" w:rsidR="00233FEA" w:rsidRDefault="00233FEA" w:rsidP="00FA329B">
      <w:pPr>
        <w:pStyle w:val="Heading2"/>
        <w:rPr>
          <w:lang w:eastAsia="en-AU"/>
        </w:rPr>
      </w:pPr>
      <w:r w:rsidRPr="003B3E1C">
        <w:rPr>
          <w:lang w:eastAsia="en-AU"/>
        </w:rPr>
        <w:t xml:space="preserve">Section </w:t>
      </w:r>
      <w:r>
        <w:rPr>
          <w:lang w:eastAsia="en-AU"/>
        </w:rPr>
        <w:t>D</w:t>
      </w:r>
      <w:r w:rsidRPr="003B3E1C">
        <w:rPr>
          <w:lang w:eastAsia="en-AU"/>
        </w:rPr>
        <w:t>: Derivatives with all non-resident counterparties</w:t>
      </w:r>
    </w:p>
    <w:p w14:paraId="5CD6B04A" w14:textId="2FDD4466" w:rsidR="00233FEA" w:rsidRPr="003B3E1C" w:rsidRDefault="00233FEA" w:rsidP="00FA329B">
      <w:pPr>
        <w:pStyle w:val="Heading3"/>
      </w:pPr>
      <w:r w:rsidRPr="003B3E1C">
        <w:t>Derivatives with closing gross positive mark to market values and non-resident counterparties, by currency and residual maturity (including clearing houses and central counterparties).</w:t>
      </w:r>
    </w:p>
    <w:p w14:paraId="3335F793" w14:textId="77777777" w:rsidR="00233FEA" w:rsidRPr="003B3E1C" w:rsidRDefault="00233FEA" w:rsidP="00233FEA">
      <w:pPr>
        <w:pStyle w:val="D2Aform"/>
        <w:rPr>
          <w:sz w:val="23"/>
          <w:szCs w:val="23"/>
        </w:rPr>
      </w:pPr>
    </w:p>
    <w:p w14:paraId="3867A36F" w14:textId="77777777" w:rsidR="00233FEA" w:rsidRPr="00FA329B" w:rsidRDefault="00233FEA" w:rsidP="00233FEA">
      <w:pPr>
        <w:pStyle w:val="D2Aform"/>
        <w:rPr>
          <w:rFonts w:ascii="Times New Roman" w:hAnsi="Times New Roman"/>
          <w:sz w:val="24"/>
          <w:szCs w:val="23"/>
        </w:rPr>
      </w:pPr>
      <w:r w:rsidRPr="00FA329B">
        <w:rPr>
          <w:rFonts w:ascii="Times New Roman" w:hAnsi="Times New Roman"/>
          <w:sz w:val="24"/>
          <w:szCs w:val="23"/>
        </w:rPr>
        <w:t xml:space="preserve">Item 7 collects information on the </w:t>
      </w:r>
      <w:r w:rsidRPr="00FA329B">
        <w:rPr>
          <w:rFonts w:ascii="Times New Roman" w:hAnsi="Times New Roman"/>
          <w:b/>
          <w:i/>
          <w:sz w:val="24"/>
          <w:szCs w:val="23"/>
        </w:rPr>
        <w:t>residual maturity</w:t>
      </w:r>
      <w:r w:rsidRPr="00FA329B">
        <w:rPr>
          <w:rFonts w:ascii="Times New Roman" w:hAnsi="Times New Roman"/>
          <w:sz w:val="24"/>
          <w:szCs w:val="23"/>
        </w:rPr>
        <w:t xml:space="preserve"> profile by selected currencies of </w:t>
      </w:r>
      <w:r w:rsidRPr="00FA329B">
        <w:rPr>
          <w:rFonts w:ascii="Times New Roman" w:hAnsi="Times New Roman"/>
          <w:b/>
          <w:i/>
          <w:sz w:val="24"/>
          <w:szCs w:val="23"/>
        </w:rPr>
        <w:t>derivatives</w:t>
      </w:r>
      <w:r w:rsidRPr="00FA329B">
        <w:rPr>
          <w:rFonts w:ascii="Times New Roman" w:hAnsi="Times New Roman"/>
          <w:sz w:val="24"/>
          <w:szCs w:val="23"/>
        </w:rPr>
        <w:t xml:space="preserve"> with a </w:t>
      </w:r>
      <w:r w:rsidRPr="00FA329B">
        <w:rPr>
          <w:rFonts w:ascii="Times New Roman" w:hAnsi="Times New Roman"/>
          <w:b/>
          <w:i/>
          <w:sz w:val="24"/>
          <w:szCs w:val="23"/>
        </w:rPr>
        <w:t>non-resident</w:t>
      </w:r>
      <w:r w:rsidRPr="00FA329B">
        <w:rPr>
          <w:rFonts w:ascii="Times New Roman" w:hAnsi="Times New Roman"/>
          <w:sz w:val="24"/>
          <w:szCs w:val="23"/>
        </w:rPr>
        <w:t xml:space="preserve"> counterparty. </w:t>
      </w:r>
    </w:p>
    <w:p w14:paraId="7AF5BBC7" w14:textId="77777777" w:rsidR="00233FEA" w:rsidRPr="00FA329B" w:rsidRDefault="00233FEA" w:rsidP="00233FEA">
      <w:pPr>
        <w:pStyle w:val="D2Aform"/>
        <w:rPr>
          <w:rFonts w:ascii="Times New Roman" w:hAnsi="Times New Roman"/>
          <w:sz w:val="24"/>
          <w:szCs w:val="23"/>
        </w:rPr>
      </w:pPr>
    </w:p>
    <w:p w14:paraId="4031B50F" w14:textId="77777777" w:rsidR="00233FEA" w:rsidRPr="00FA329B" w:rsidRDefault="00233FEA" w:rsidP="00233FEA">
      <w:pPr>
        <w:pStyle w:val="D2Aform"/>
        <w:rPr>
          <w:rFonts w:ascii="Times New Roman" w:hAnsi="Times New Roman" w:cs="Times New Roman"/>
          <w:color w:val="000000"/>
          <w:sz w:val="24"/>
          <w:szCs w:val="23"/>
        </w:rPr>
      </w:pPr>
      <w:r w:rsidRPr="00FA329B">
        <w:rPr>
          <w:rFonts w:ascii="Times New Roman" w:hAnsi="Times New Roman" w:cs="Times New Roman"/>
          <w:b/>
          <w:bCs/>
          <w:i/>
          <w:color w:val="000000"/>
          <w:sz w:val="24"/>
          <w:szCs w:val="23"/>
        </w:rPr>
        <w:t>Residual maturity</w:t>
      </w:r>
      <w:r w:rsidRPr="00FA329B">
        <w:rPr>
          <w:rFonts w:ascii="Times New Roman" w:hAnsi="Times New Roman" w:cs="Times New Roman"/>
          <w:b/>
          <w:bCs/>
          <w:color w:val="000000"/>
          <w:sz w:val="24"/>
          <w:szCs w:val="23"/>
        </w:rPr>
        <w:t xml:space="preserve"> </w:t>
      </w:r>
      <w:r w:rsidRPr="00FA329B">
        <w:rPr>
          <w:rFonts w:ascii="Times New Roman" w:hAnsi="Times New Roman" w:cs="Times New Roman"/>
          <w:color w:val="000000"/>
          <w:sz w:val="24"/>
          <w:szCs w:val="23"/>
        </w:rPr>
        <w:t xml:space="preserve">(of the closing positions for the quarter) refers to the time remaining until an asset or liability is due to be fully repaid. </w:t>
      </w:r>
      <w:r w:rsidRPr="00FA329B">
        <w:rPr>
          <w:rFonts w:ascii="Times New Roman" w:hAnsi="Times New Roman"/>
          <w:color w:val="000000"/>
          <w:sz w:val="24"/>
          <w:szCs w:val="23"/>
        </w:rPr>
        <w:t>Positions denominated in foreign currency should be converted to Australian dollars</w:t>
      </w:r>
      <w:r w:rsidRPr="00FA329B">
        <w:rPr>
          <w:rFonts w:ascii="Times New Roman" w:hAnsi="Times New Roman"/>
          <w:sz w:val="24"/>
          <w:szCs w:val="23"/>
        </w:rPr>
        <w:t xml:space="preserve"> as </w:t>
      </w:r>
      <w:r w:rsidRPr="00FA329B">
        <w:rPr>
          <w:rFonts w:ascii="Times New Roman" w:hAnsi="Times New Roman" w:cs="Times New Roman"/>
          <w:sz w:val="24"/>
          <w:szCs w:val="23"/>
        </w:rPr>
        <w:t xml:space="preserve">at </w:t>
      </w:r>
      <w:r w:rsidRPr="00FA329B">
        <w:rPr>
          <w:rFonts w:ascii="Times New Roman" w:hAnsi="Times New Roman" w:cs="Times New Roman"/>
          <w:bCs/>
          <w:iCs/>
          <w:color w:val="000000"/>
          <w:sz w:val="24"/>
          <w:szCs w:val="23"/>
        </w:rPr>
        <w:t xml:space="preserve">the end of the </w:t>
      </w:r>
      <w:r w:rsidRPr="00FA329B">
        <w:rPr>
          <w:rFonts w:ascii="Times New Roman" w:hAnsi="Times New Roman" w:cs="Times New Roman"/>
          <w:b/>
          <w:bCs/>
          <w:i/>
          <w:iCs/>
          <w:color w:val="000000"/>
          <w:sz w:val="24"/>
          <w:szCs w:val="23"/>
        </w:rPr>
        <w:t>reporting period</w:t>
      </w:r>
      <w:r w:rsidRPr="00FA329B">
        <w:rPr>
          <w:rFonts w:ascii="Times New Roman" w:hAnsi="Times New Roman" w:cs="Times New Roman"/>
          <w:bCs/>
          <w:iCs/>
          <w:color w:val="000000"/>
          <w:sz w:val="24"/>
          <w:szCs w:val="23"/>
        </w:rPr>
        <w:t>, and all values should be reported in Australian dollars</w:t>
      </w:r>
      <w:r w:rsidRPr="00FA329B">
        <w:rPr>
          <w:rFonts w:ascii="Times New Roman" w:hAnsi="Times New Roman"/>
          <w:b/>
          <w:bCs/>
          <w:i/>
          <w:iCs/>
          <w:color w:val="000000"/>
          <w:sz w:val="24"/>
          <w:szCs w:val="23"/>
        </w:rPr>
        <w:t>.</w:t>
      </w:r>
    </w:p>
    <w:p w14:paraId="4DFBCC5A" w14:textId="77777777" w:rsidR="00233FEA" w:rsidRPr="00FA329B" w:rsidRDefault="00233FEA" w:rsidP="00233FEA">
      <w:pPr>
        <w:pStyle w:val="D2Aform"/>
        <w:rPr>
          <w:rFonts w:ascii="Times New Roman" w:hAnsi="Times New Roman" w:cs="Times New Roman"/>
          <w:color w:val="000000"/>
          <w:sz w:val="24"/>
          <w:szCs w:val="23"/>
        </w:rPr>
      </w:pPr>
    </w:p>
    <w:p w14:paraId="4FDB729C" w14:textId="77777777" w:rsidR="00233FEA" w:rsidRPr="00FA329B" w:rsidRDefault="00233FEA" w:rsidP="00233FEA">
      <w:pPr>
        <w:jc w:val="both"/>
        <w:rPr>
          <w:sz w:val="24"/>
          <w:szCs w:val="23"/>
        </w:rPr>
      </w:pPr>
      <w:r w:rsidRPr="00FA329B">
        <w:rPr>
          <w:rFonts w:ascii="Times New Roman" w:hAnsi="Times New Roman"/>
          <w:sz w:val="24"/>
          <w:szCs w:val="23"/>
        </w:rPr>
        <w:t xml:space="preserve">Item 7 includes </w:t>
      </w:r>
      <w:r w:rsidRPr="00FA329B">
        <w:rPr>
          <w:rFonts w:ascii="Times New Roman" w:hAnsi="Times New Roman"/>
          <w:b/>
          <w:i/>
          <w:sz w:val="24"/>
          <w:szCs w:val="23"/>
        </w:rPr>
        <w:t>non-resident</w:t>
      </w:r>
      <w:r w:rsidRPr="00FA329B">
        <w:rPr>
          <w:rFonts w:ascii="Times New Roman" w:hAnsi="Times New Roman"/>
          <w:sz w:val="24"/>
          <w:szCs w:val="23"/>
        </w:rPr>
        <w:t xml:space="preserve"> </w:t>
      </w:r>
      <w:r w:rsidRPr="00FA329B">
        <w:rPr>
          <w:rFonts w:ascii="Times New Roman" w:hAnsi="Times New Roman"/>
          <w:b/>
          <w:i/>
          <w:sz w:val="24"/>
          <w:szCs w:val="23"/>
        </w:rPr>
        <w:t>clearing houses and central counterparties</w:t>
      </w:r>
      <w:r w:rsidRPr="00FA329B">
        <w:rPr>
          <w:rFonts w:ascii="Times New Roman" w:hAnsi="Times New Roman"/>
          <w:sz w:val="24"/>
          <w:szCs w:val="23"/>
        </w:rPr>
        <w:t>.</w:t>
      </w:r>
      <w:r w:rsidRPr="00FA329B">
        <w:rPr>
          <w:sz w:val="24"/>
        </w:rPr>
        <w:t xml:space="preserve"> </w:t>
      </w:r>
      <w:r w:rsidRPr="00FA329B">
        <w:rPr>
          <w:rFonts w:ascii="Times New Roman" w:hAnsi="Times New Roman"/>
          <w:sz w:val="24"/>
          <w:szCs w:val="23"/>
        </w:rPr>
        <w:t>Futures should be excluded from this item, and reported only in item 9.</w:t>
      </w:r>
    </w:p>
    <w:p w14:paraId="30C8A350" w14:textId="77777777" w:rsidR="00233FEA" w:rsidRPr="00FA329B" w:rsidRDefault="00233FEA" w:rsidP="00233FEA">
      <w:pPr>
        <w:autoSpaceDE w:val="0"/>
        <w:autoSpaceDN w:val="0"/>
        <w:adjustRightInd w:val="0"/>
        <w:jc w:val="both"/>
        <w:rPr>
          <w:rFonts w:ascii="Times New Roman" w:hAnsi="Times New Roman"/>
          <w:sz w:val="24"/>
          <w:szCs w:val="23"/>
        </w:rPr>
      </w:pPr>
    </w:p>
    <w:tbl>
      <w:tblPr>
        <w:tblW w:w="9071" w:type="dxa"/>
        <w:tblInd w:w="108" w:type="dxa"/>
        <w:tblLayout w:type="fixed"/>
        <w:tblLook w:val="04A0" w:firstRow="1" w:lastRow="0" w:firstColumn="1" w:lastColumn="0" w:noHBand="0" w:noVBand="1"/>
      </w:tblPr>
      <w:tblGrid>
        <w:gridCol w:w="1701"/>
        <w:gridCol w:w="7370"/>
      </w:tblGrid>
      <w:tr w:rsidR="00233FEA" w:rsidRPr="00D40F06" w14:paraId="11D2C6EB"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C2E0955"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D28D07B" w14:textId="0E4D8B0D" w:rsidR="00233FEA" w:rsidRPr="00FA329B" w:rsidRDefault="00233FEA" w:rsidP="00FA329B">
            <w:pPr>
              <w:autoSpaceDE w:val="0"/>
              <w:autoSpaceDN w:val="0"/>
              <w:adjustRightInd w:val="0"/>
              <w:jc w:val="both"/>
              <w:rPr>
                <w:rFonts w:ascii="Times New Roman" w:hAnsi="Times New Roman"/>
                <w:bCs/>
                <w:sz w:val="24"/>
                <w:szCs w:val="23"/>
              </w:rPr>
            </w:pPr>
            <w:r w:rsidRPr="00FA329B">
              <w:rPr>
                <w:rFonts w:ascii="Times New Roman" w:hAnsi="Times New Roman"/>
                <w:bCs/>
                <w:color w:val="000000"/>
                <w:sz w:val="24"/>
                <w:szCs w:val="23"/>
              </w:rPr>
              <w:t>Currency</w:t>
            </w:r>
            <w:r w:rsidRPr="00FA329B">
              <w:rPr>
                <w:rFonts w:ascii="Times New Roman" w:hAnsi="Times New Roman"/>
                <w:b/>
                <w:bCs/>
                <w:i/>
                <w:color w:val="000000"/>
                <w:sz w:val="24"/>
                <w:szCs w:val="23"/>
              </w:rPr>
              <w:t xml:space="preserve"> </w:t>
            </w:r>
            <w:r w:rsidRPr="00FA329B">
              <w:rPr>
                <w:rFonts w:ascii="Times New Roman" w:hAnsi="Times New Roman"/>
                <w:color w:val="000000"/>
                <w:sz w:val="24"/>
                <w:szCs w:val="23"/>
              </w:rPr>
              <w:t xml:space="preserve">(of the closing positions) refers to the currency in which the assets or liabilities are likely to be repaid </w:t>
            </w:r>
            <w:r w:rsidRPr="00FA329B">
              <w:rPr>
                <w:rFonts w:ascii="Times New Roman" w:hAnsi="Times New Roman"/>
                <w:bCs/>
                <w:sz w:val="24"/>
                <w:szCs w:val="23"/>
              </w:rPr>
              <w:t>(s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tc>
      </w:tr>
      <w:tr w:rsidR="00233FEA" w:rsidRPr="00D40F06" w14:paraId="6FC845E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E25DCBE"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D9247C7" w14:textId="0E2BB94E"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value of</w:t>
            </w:r>
            <w:r w:rsidRPr="00FA329B">
              <w:rPr>
                <w:rFonts w:ascii="Times New Roman" w:hAnsi="Times New Roman"/>
                <w:b/>
                <w:bCs/>
                <w:i/>
                <w:sz w:val="24"/>
                <w:szCs w:val="23"/>
              </w:rPr>
              <w:t xml:space="preserve"> 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where the </w:t>
            </w:r>
            <w:r w:rsidRPr="00FA329B">
              <w:rPr>
                <w:rFonts w:ascii="Times New Roman" w:hAnsi="Times New Roman"/>
                <w:b/>
                <w:bCs/>
                <w:i/>
                <w:sz w:val="24"/>
                <w:szCs w:val="23"/>
              </w:rPr>
              <w:t>residual term</w:t>
            </w:r>
            <w:r w:rsidRPr="00FA329B">
              <w:rPr>
                <w:rFonts w:ascii="Times New Roman" w:hAnsi="Times New Roman"/>
                <w:bCs/>
                <w:sz w:val="24"/>
                <w:szCs w:val="23"/>
              </w:rPr>
              <w:t xml:space="preserve"> to maturity is less than or equal to 90 days and the outstanding position is likely to be </w:t>
            </w:r>
            <w:r w:rsidR="00FA329B">
              <w:rPr>
                <w:rFonts w:ascii="Times New Roman" w:hAnsi="Times New Roman"/>
                <w:bCs/>
                <w:sz w:val="24"/>
                <w:szCs w:val="23"/>
              </w:rPr>
              <w:t>repaid in the selected currency</w:t>
            </w:r>
            <w:r w:rsidRPr="00FA329B">
              <w:rPr>
                <w:rFonts w:ascii="Times New Roman" w:hAnsi="Times New Roman"/>
                <w:bCs/>
                <w:sz w:val="24"/>
                <w:szCs w:val="23"/>
              </w:rPr>
              <w:t xml:space="preserve"> (s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p w14:paraId="1FD88692"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50AF4A7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2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tc>
      </w:tr>
      <w:tr w:rsidR="00233FEA" w:rsidRPr="00D40F06" w14:paraId="19BA119B"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712F12EC"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5F5DDBF" w14:textId="796F2098"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where the </w:t>
            </w:r>
            <w:r w:rsidRPr="00FA329B">
              <w:rPr>
                <w:rFonts w:ascii="Times New Roman" w:hAnsi="Times New Roman"/>
                <w:b/>
                <w:bCs/>
                <w:i/>
                <w:sz w:val="24"/>
                <w:szCs w:val="23"/>
              </w:rPr>
              <w:t>residual term</w:t>
            </w:r>
            <w:r w:rsidRPr="00FA329B">
              <w:rPr>
                <w:rFonts w:ascii="Times New Roman" w:hAnsi="Times New Roman"/>
                <w:bCs/>
                <w:sz w:val="24"/>
                <w:szCs w:val="23"/>
              </w:rPr>
              <w:t xml:space="preserve"> to maturity is more than 90 days and less than or equal to 6 months and the outstanding position is likely to be </w:t>
            </w:r>
            <w:r w:rsidR="00FA329B">
              <w:rPr>
                <w:rFonts w:ascii="Times New Roman" w:hAnsi="Times New Roman"/>
                <w:bCs/>
                <w:sz w:val="24"/>
                <w:szCs w:val="23"/>
              </w:rPr>
              <w:t>repaid in the selected currency</w:t>
            </w:r>
            <w:r w:rsidRPr="00FA329B">
              <w:rPr>
                <w:rFonts w:ascii="Times New Roman" w:hAnsi="Times New Roman"/>
                <w:bCs/>
                <w:sz w:val="24"/>
                <w:szCs w:val="23"/>
              </w:rPr>
              <w:t xml:space="preserve"> (s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p w14:paraId="3448C586"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66CE770D"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3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tc>
      </w:tr>
      <w:tr w:rsidR="00233FEA" w:rsidRPr="00D40F06" w14:paraId="6589BAC7"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2421FA8"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DC53A4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where the </w:t>
            </w:r>
            <w:r w:rsidRPr="00FA329B">
              <w:rPr>
                <w:rFonts w:ascii="Times New Roman" w:hAnsi="Times New Roman"/>
                <w:b/>
                <w:bCs/>
                <w:i/>
                <w:sz w:val="24"/>
                <w:szCs w:val="23"/>
              </w:rPr>
              <w:t>residual term</w:t>
            </w:r>
            <w:r w:rsidRPr="00FA329B">
              <w:rPr>
                <w:rFonts w:ascii="Times New Roman" w:hAnsi="Times New Roman"/>
                <w:bCs/>
                <w:sz w:val="24"/>
                <w:szCs w:val="23"/>
              </w:rPr>
              <w:t xml:space="preserve"> to maturity is more than 6 months and less than or equal to 1 year and the outstanding position is likely to be repaid in the selected currency. (see List 1.2 for further details.)</w:t>
            </w:r>
          </w:p>
          <w:p w14:paraId="6259DC95"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2C7026B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4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w:t>
            </w:r>
          </w:p>
        </w:tc>
      </w:tr>
      <w:tr w:rsidR="00233FEA" w:rsidRPr="00D40F06" w14:paraId="4E0B8AF8"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6FCF5A01" w14:textId="77777777" w:rsidR="00233FEA" w:rsidRPr="00FA329B" w:rsidRDefault="00233FEA" w:rsidP="00332435">
            <w:pPr>
              <w:keepNext/>
              <w:spacing w:before="120" w:after="120"/>
              <w:rPr>
                <w:rFonts w:ascii="Times New Roman" w:hAnsi="Times New Roman"/>
                <w:b/>
                <w:sz w:val="24"/>
                <w:szCs w:val="23"/>
              </w:rPr>
            </w:pPr>
            <w:r w:rsidRPr="00FA329B">
              <w:rPr>
                <w:rFonts w:ascii="Times New Roman" w:hAnsi="Times New Roman"/>
                <w:b/>
                <w:sz w:val="24"/>
                <w:szCs w:val="23"/>
              </w:rPr>
              <w:lastRenderedPageBreak/>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0BCBFEB" w14:textId="0D6BD2CD" w:rsidR="00233FEA" w:rsidRPr="00FA329B" w:rsidRDefault="00233FEA" w:rsidP="00332435">
            <w:pPr>
              <w:keepNext/>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where the </w:t>
            </w:r>
            <w:r w:rsidRPr="00FA329B">
              <w:rPr>
                <w:rFonts w:ascii="Times New Roman" w:hAnsi="Times New Roman"/>
                <w:b/>
                <w:bCs/>
                <w:i/>
                <w:sz w:val="24"/>
                <w:szCs w:val="23"/>
              </w:rPr>
              <w:t>residual term</w:t>
            </w:r>
            <w:r w:rsidRPr="00FA329B">
              <w:rPr>
                <w:rFonts w:ascii="Times New Roman" w:hAnsi="Times New Roman"/>
                <w:bCs/>
                <w:sz w:val="24"/>
                <w:szCs w:val="23"/>
              </w:rPr>
              <w:t xml:space="preserve"> to maturity is more than 1 year and less than or equal to 5 years and the outstanding position is likely to be </w:t>
            </w:r>
            <w:r w:rsidR="00FA329B">
              <w:rPr>
                <w:rFonts w:ascii="Times New Roman" w:hAnsi="Times New Roman"/>
                <w:bCs/>
                <w:sz w:val="24"/>
                <w:szCs w:val="23"/>
              </w:rPr>
              <w:t>repaid in the selected currency</w:t>
            </w:r>
            <w:r w:rsidRPr="00FA329B">
              <w:rPr>
                <w:rFonts w:ascii="Times New Roman" w:hAnsi="Times New Roman"/>
                <w:bCs/>
                <w:sz w:val="24"/>
                <w:szCs w:val="23"/>
              </w:rPr>
              <w:t xml:space="preserve"> (s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p w14:paraId="641B4F0B" w14:textId="77777777" w:rsidR="00233FEA" w:rsidRPr="00FA329B" w:rsidRDefault="00233FEA" w:rsidP="00332435">
            <w:pPr>
              <w:keepNext/>
              <w:autoSpaceDE w:val="0"/>
              <w:autoSpaceDN w:val="0"/>
              <w:adjustRightInd w:val="0"/>
              <w:jc w:val="both"/>
              <w:rPr>
                <w:rFonts w:ascii="Times New Roman" w:hAnsi="Times New Roman"/>
                <w:b/>
                <w:bCs/>
                <w:sz w:val="24"/>
                <w:szCs w:val="23"/>
              </w:rPr>
            </w:pPr>
          </w:p>
          <w:p w14:paraId="06B44D71" w14:textId="77777777" w:rsidR="00233FEA" w:rsidRPr="00FA329B" w:rsidRDefault="00233FEA" w:rsidP="00332435">
            <w:pPr>
              <w:keepNext/>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5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tc>
      </w:tr>
      <w:tr w:rsidR="00233FEA" w:rsidRPr="00D40F06" w14:paraId="20CC52A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BDF184C"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8B3EB09" w14:textId="49BAF6DC"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value of </w:t>
            </w:r>
            <w:r w:rsidRPr="00FA329B">
              <w:rPr>
                <w:rFonts w:ascii="Times New Roman" w:hAnsi="Times New Roman"/>
                <w:b/>
                <w:bCs/>
                <w:i/>
                <w:sz w:val="24"/>
                <w:szCs w:val="23"/>
              </w:rPr>
              <w:t xml:space="preserve">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 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where the </w:t>
            </w:r>
            <w:r w:rsidRPr="00FA329B">
              <w:rPr>
                <w:rFonts w:ascii="Times New Roman" w:hAnsi="Times New Roman"/>
                <w:b/>
                <w:bCs/>
                <w:i/>
                <w:sz w:val="24"/>
                <w:szCs w:val="23"/>
              </w:rPr>
              <w:t>residual term</w:t>
            </w:r>
            <w:r w:rsidRPr="00FA329B">
              <w:rPr>
                <w:rFonts w:ascii="Times New Roman" w:hAnsi="Times New Roman"/>
                <w:bCs/>
                <w:sz w:val="24"/>
                <w:szCs w:val="23"/>
              </w:rPr>
              <w:t xml:space="preserve"> to maturity is more than 5 years and the outstanding position is likely to be repaid in the selected currency (s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p w14:paraId="194C806E"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26E7AC5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6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w:t>
            </w:r>
          </w:p>
        </w:tc>
      </w:tr>
      <w:tr w:rsidR="00233FEA" w:rsidRPr="00D40F06" w14:paraId="65E12397"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98C064B"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6BDA5079" w14:textId="657D6781"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Column 7 is a derived item. Report the total value of </w:t>
            </w:r>
            <w:r w:rsidRPr="00FA329B">
              <w:rPr>
                <w:rFonts w:ascii="Times New Roman" w:hAnsi="Times New Roman"/>
                <w:b/>
                <w:bCs/>
                <w:i/>
                <w:sz w:val="24"/>
                <w:szCs w:val="23"/>
              </w:rPr>
              <w:t xml:space="preserve">derivatives </w:t>
            </w:r>
            <w:r w:rsidRPr="00FA329B">
              <w:rPr>
                <w:rFonts w:ascii="Times New Roman" w:hAnsi="Times New Roman"/>
                <w:bCs/>
                <w:sz w:val="24"/>
                <w:szCs w:val="23"/>
              </w:rPr>
              <w:t>with a</w:t>
            </w:r>
            <w:r w:rsidRPr="00FA329B">
              <w:rPr>
                <w:rFonts w:ascii="Times New Roman" w:hAnsi="Times New Roman"/>
                <w:b/>
                <w:bCs/>
                <w:i/>
                <w:sz w:val="24"/>
                <w:szCs w:val="23"/>
              </w:rPr>
              <w:t xml:space="preserve"> </w:t>
            </w:r>
            <w:r w:rsidRPr="00FA329B">
              <w:rPr>
                <w:rFonts w:ascii="Times New Roman" w:hAnsi="Times New Roman"/>
                <w:bCs/>
                <w:sz w:val="24"/>
                <w:szCs w:val="23"/>
              </w:rPr>
              <w:t>gross positive</w:t>
            </w:r>
            <w:r w:rsidRPr="00FA329B">
              <w:rPr>
                <w:rFonts w:ascii="Times New Roman" w:hAnsi="Times New Roman"/>
                <w:b/>
                <w:bCs/>
                <w:i/>
                <w:sz w:val="24"/>
                <w:szCs w:val="23"/>
              </w:rPr>
              <w:t xml:space="preserve"> </w:t>
            </w:r>
            <w:r w:rsidRPr="00FA329B">
              <w:rPr>
                <w:rFonts w:ascii="Times New Roman" w:hAnsi="Times New Roman"/>
                <w:bCs/>
                <w:sz w:val="24"/>
                <w:szCs w:val="23"/>
              </w:rPr>
              <w:t>mark to market value</w:t>
            </w:r>
            <w:r w:rsidRPr="00FA329B">
              <w:rPr>
                <w:rFonts w:ascii="Times New Roman" w:hAnsi="Times New Roman"/>
                <w:b/>
                <w:bCs/>
                <w:i/>
                <w:sz w:val="24"/>
                <w:szCs w:val="23"/>
              </w:rPr>
              <w:t xml:space="preserve"> </w:t>
            </w:r>
            <w:r w:rsidRPr="00FA329B">
              <w:rPr>
                <w:rFonts w:ascii="Times New Roman" w:hAnsi="Times New Roman"/>
                <w:bCs/>
                <w:sz w:val="24"/>
                <w:szCs w:val="23"/>
              </w:rPr>
              <w:t xml:space="preserve">and </w:t>
            </w:r>
            <w:r w:rsidRPr="00FA329B">
              <w:rPr>
                <w:rFonts w:ascii="Times New Roman" w:hAnsi="Times New Roman"/>
                <w:b/>
                <w:bCs/>
                <w:i/>
                <w:sz w:val="24"/>
                <w:szCs w:val="23"/>
              </w:rPr>
              <w:t xml:space="preserve">non-resident </w:t>
            </w:r>
            <w:r w:rsidRPr="00FA329B">
              <w:rPr>
                <w:rFonts w:ascii="Times New Roman" w:hAnsi="Times New Roman"/>
                <w:bCs/>
                <w:sz w:val="24"/>
                <w:szCs w:val="23"/>
              </w:rPr>
              <w:t xml:space="preserve">counterparty, as the sum of the selected currency of that row for column 2, column 3, </w:t>
            </w:r>
            <w:r w:rsidR="00FA329B">
              <w:rPr>
                <w:rFonts w:ascii="Times New Roman" w:hAnsi="Times New Roman"/>
                <w:bCs/>
                <w:sz w:val="24"/>
                <w:szCs w:val="23"/>
              </w:rPr>
              <w:t>column 4, column 5 and column 6</w:t>
            </w:r>
            <w:r w:rsidRPr="00FA329B">
              <w:rPr>
                <w:rFonts w:ascii="Times New Roman" w:hAnsi="Times New Roman"/>
                <w:bCs/>
                <w:sz w:val="24"/>
                <w:szCs w:val="23"/>
              </w:rPr>
              <w:t xml:space="preserve"> (s</w:t>
            </w:r>
            <w:r w:rsidR="00FA329B">
              <w:rPr>
                <w:rFonts w:ascii="Times New Roman" w:hAnsi="Times New Roman"/>
                <w:bCs/>
                <w:sz w:val="24"/>
                <w:szCs w:val="23"/>
              </w:rPr>
              <w:t>ee List 1.2 for further details</w:t>
            </w:r>
            <w:r w:rsidRPr="00FA329B">
              <w:rPr>
                <w:rFonts w:ascii="Times New Roman" w:hAnsi="Times New Roman"/>
                <w:bCs/>
                <w:sz w:val="24"/>
                <w:szCs w:val="23"/>
              </w:rPr>
              <w:t>)</w:t>
            </w:r>
            <w:r w:rsidR="00FA329B">
              <w:rPr>
                <w:rFonts w:ascii="Times New Roman" w:hAnsi="Times New Roman"/>
                <w:bCs/>
                <w:sz w:val="24"/>
                <w:szCs w:val="23"/>
              </w:rPr>
              <w:t>.</w:t>
            </w:r>
          </w:p>
          <w:p w14:paraId="314E1B02" w14:textId="77777777" w:rsidR="00233FEA" w:rsidRPr="00FA329B" w:rsidRDefault="00233FEA" w:rsidP="003167DC">
            <w:pPr>
              <w:autoSpaceDE w:val="0"/>
              <w:autoSpaceDN w:val="0"/>
              <w:adjustRightInd w:val="0"/>
              <w:jc w:val="both"/>
              <w:rPr>
                <w:rFonts w:ascii="Times New Roman" w:hAnsi="Times New Roman"/>
                <w:b/>
                <w:bCs/>
                <w:sz w:val="24"/>
                <w:szCs w:val="23"/>
              </w:rPr>
            </w:pPr>
          </w:p>
          <w:p w14:paraId="1C6EE8AE"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Reporting basis:</w:t>
            </w:r>
            <w:r w:rsidRPr="00FA329B">
              <w:rPr>
                <w:rFonts w:ascii="Times New Roman" w:hAnsi="Times New Roman"/>
                <w:bCs/>
                <w:sz w:val="24"/>
                <w:szCs w:val="23"/>
              </w:rPr>
              <w:t xml:space="preserve"> report column 7 as at the end of the </w:t>
            </w:r>
            <w:r w:rsidRPr="00FA329B">
              <w:rPr>
                <w:rFonts w:ascii="Times New Roman" w:hAnsi="Times New Roman"/>
                <w:b/>
                <w:bCs/>
                <w:i/>
                <w:sz w:val="24"/>
                <w:szCs w:val="23"/>
              </w:rPr>
              <w:t>reporting period</w:t>
            </w:r>
            <w:r w:rsidRPr="00FA329B">
              <w:rPr>
                <w:rFonts w:ascii="Times New Roman" w:hAnsi="Times New Roman"/>
                <w:bCs/>
                <w:sz w:val="24"/>
                <w:szCs w:val="23"/>
              </w:rPr>
              <w:t xml:space="preserve">. </w:t>
            </w:r>
          </w:p>
        </w:tc>
      </w:tr>
    </w:tbl>
    <w:p w14:paraId="1A476D9D" w14:textId="77777777" w:rsidR="00233FEA" w:rsidRPr="003B3E1C" w:rsidRDefault="00233FEA" w:rsidP="00233FEA">
      <w:pPr>
        <w:ind w:left="720"/>
        <w:rPr>
          <w:rFonts w:ascii="Arial" w:eastAsia="Times New Roman" w:hAnsi="Arial" w:cs="Arial"/>
          <w:sz w:val="23"/>
          <w:szCs w:val="23"/>
          <w:lang w:eastAsia="en-AU"/>
        </w:rPr>
      </w:pPr>
    </w:p>
    <w:p w14:paraId="4144D456" w14:textId="77777777" w:rsidR="00233FEA" w:rsidRPr="003B3E1C" w:rsidRDefault="00233FEA" w:rsidP="00FA329B">
      <w:pPr>
        <w:pStyle w:val="Heading3"/>
      </w:pPr>
      <w:r w:rsidRPr="003B3E1C">
        <w:t>Derivatives with closing gross negative mark to market values and non-resident counterparties, by currency and residual maturity (including clearing houses and central counterparties).</w:t>
      </w:r>
    </w:p>
    <w:p w14:paraId="0892B8D8" w14:textId="77777777" w:rsidR="00233FEA" w:rsidRPr="003B3E1C" w:rsidRDefault="00233FEA" w:rsidP="00233FEA">
      <w:pPr>
        <w:pStyle w:val="D2Aform"/>
        <w:rPr>
          <w:sz w:val="23"/>
          <w:szCs w:val="23"/>
        </w:rPr>
      </w:pPr>
    </w:p>
    <w:p w14:paraId="7FC9E286" w14:textId="77777777" w:rsidR="00233FEA" w:rsidRPr="00FA329B" w:rsidRDefault="00233FEA" w:rsidP="00233FEA">
      <w:pPr>
        <w:pStyle w:val="D2Aform"/>
        <w:rPr>
          <w:rFonts w:ascii="Times New Roman" w:hAnsi="Times New Roman"/>
          <w:sz w:val="24"/>
          <w:szCs w:val="24"/>
        </w:rPr>
      </w:pPr>
      <w:r w:rsidRPr="00FA329B">
        <w:rPr>
          <w:rFonts w:ascii="Times New Roman" w:hAnsi="Times New Roman"/>
          <w:sz w:val="24"/>
          <w:szCs w:val="24"/>
        </w:rPr>
        <w:t xml:space="preserve">Item 8 collects information on the </w:t>
      </w:r>
      <w:r w:rsidRPr="00FA329B">
        <w:rPr>
          <w:rFonts w:ascii="Times New Roman" w:hAnsi="Times New Roman"/>
          <w:b/>
          <w:i/>
          <w:sz w:val="24"/>
          <w:szCs w:val="24"/>
        </w:rPr>
        <w:t>residual maturity</w:t>
      </w:r>
      <w:r w:rsidRPr="00FA329B">
        <w:rPr>
          <w:rFonts w:ascii="Times New Roman" w:hAnsi="Times New Roman"/>
          <w:sz w:val="24"/>
          <w:szCs w:val="24"/>
        </w:rPr>
        <w:t xml:space="preserve"> profile by selected currencies of </w:t>
      </w:r>
      <w:r w:rsidRPr="00FA329B">
        <w:rPr>
          <w:rFonts w:ascii="Times New Roman" w:hAnsi="Times New Roman"/>
          <w:b/>
          <w:i/>
          <w:sz w:val="24"/>
          <w:szCs w:val="24"/>
        </w:rPr>
        <w:t>derivatives</w:t>
      </w:r>
      <w:r w:rsidRPr="00FA329B">
        <w:rPr>
          <w:rFonts w:ascii="Times New Roman" w:hAnsi="Times New Roman"/>
          <w:sz w:val="24"/>
          <w:szCs w:val="24"/>
        </w:rPr>
        <w:t xml:space="preserve"> with a </w:t>
      </w:r>
      <w:r w:rsidRPr="00FA329B">
        <w:rPr>
          <w:rFonts w:ascii="Times New Roman" w:hAnsi="Times New Roman"/>
          <w:b/>
          <w:i/>
          <w:sz w:val="24"/>
          <w:szCs w:val="24"/>
        </w:rPr>
        <w:t>non-resident</w:t>
      </w:r>
      <w:r w:rsidRPr="00FA329B">
        <w:rPr>
          <w:rFonts w:ascii="Times New Roman" w:hAnsi="Times New Roman"/>
          <w:sz w:val="24"/>
          <w:szCs w:val="24"/>
        </w:rPr>
        <w:t xml:space="preserve"> counterparty. </w:t>
      </w:r>
    </w:p>
    <w:p w14:paraId="7F042763" w14:textId="77777777" w:rsidR="00233FEA" w:rsidRPr="00FA329B" w:rsidRDefault="00233FEA" w:rsidP="00233FEA">
      <w:pPr>
        <w:pStyle w:val="D2Aform"/>
        <w:rPr>
          <w:rFonts w:ascii="Times New Roman" w:hAnsi="Times New Roman"/>
          <w:sz w:val="24"/>
          <w:szCs w:val="24"/>
        </w:rPr>
      </w:pPr>
    </w:p>
    <w:p w14:paraId="5D67F2C8" w14:textId="77777777" w:rsidR="00233FEA" w:rsidRPr="00FA329B" w:rsidRDefault="00233FEA" w:rsidP="00233FEA">
      <w:pPr>
        <w:pStyle w:val="D2Aform"/>
        <w:rPr>
          <w:rFonts w:ascii="Times New Roman" w:hAnsi="Times New Roman" w:cs="Times New Roman"/>
          <w:color w:val="000000"/>
          <w:sz w:val="24"/>
          <w:szCs w:val="24"/>
        </w:rPr>
      </w:pPr>
      <w:r w:rsidRPr="00FA329B">
        <w:rPr>
          <w:rFonts w:ascii="Times New Roman" w:hAnsi="Times New Roman" w:cs="Times New Roman"/>
          <w:b/>
          <w:bCs/>
          <w:i/>
          <w:color w:val="000000"/>
          <w:sz w:val="24"/>
          <w:szCs w:val="24"/>
        </w:rPr>
        <w:t>Residual maturity</w:t>
      </w:r>
      <w:r w:rsidRPr="00FA329B">
        <w:rPr>
          <w:rFonts w:ascii="Times New Roman" w:hAnsi="Times New Roman" w:cs="Times New Roman"/>
          <w:b/>
          <w:bCs/>
          <w:color w:val="000000"/>
          <w:sz w:val="24"/>
          <w:szCs w:val="24"/>
        </w:rPr>
        <w:t xml:space="preserve"> </w:t>
      </w:r>
      <w:r w:rsidRPr="00FA329B">
        <w:rPr>
          <w:rFonts w:ascii="Times New Roman" w:hAnsi="Times New Roman" w:cs="Times New Roman"/>
          <w:color w:val="000000"/>
          <w:sz w:val="24"/>
          <w:szCs w:val="24"/>
        </w:rPr>
        <w:t xml:space="preserve">(of the closing positions for the quarter) refers to the time remaining until an asset or liability is due to be fully repaid. </w:t>
      </w:r>
      <w:r w:rsidRPr="00FA329B">
        <w:rPr>
          <w:rFonts w:ascii="Times New Roman" w:hAnsi="Times New Roman"/>
          <w:color w:val="000000"/>
          <w:sz w:val="24"/>
          <w:szCs w:val="24"/>
        </w:rPr>
        <w:t>Positions denominated in foreign currency should be converted to Australian dollars</w:t>
      </w:r>
      <w:r w:rsidRPr="00FA329B">
        <w:rPr>
          <w:rFonts w:ascii="Times New Roman" w:hAnsi="Times New Roman"/>
          <w:sz w:val="24"/>
          <w:szCs w:val="24"/>
        </w:rPr>
        <w:t xml:space="preserve"> as </w:t>
      </w:r>
      <w:r w:rsidRPr="00FA329B">
        <w:rPr>
          <w:rFonts w:ascii="Times New Roman" w:hAnsi="Times New Roman" w:cs="Times New Roman"/>
          <w:sz w:val="24"/>
          <w:szCs w:val="24"/>
        </w:rPr>
        <w:t xml:space="preserve">at </w:t>
      </w:r>
      <w:r w:rsidRPr="00FA329B">
        <w:rPr>
          <w:rFonts w:ascii="Times New Roman" w:hAnsi="Times New Roman" w:cs="Times New Roman"/>
          <w:bCs/>
          <w:iCs/>
          <w:color w:val="000000"/>
          <w:sz w:val="24"/>
          <w:szCs w:val="24"/>
        </w:rPr>
        <w:t xml:space="preserve">the end of the </w:t>
      </w:r>
      <w:r w:rsidRPr="00FA329B">
        <w:rPr>
          <w:rFonts w:ascii="Times New Roman" w:hAnsi="Times New Roman" w:cs="Times New Roman"/>
          <w:b/>
          <w:bCs/>
          <w:i/>
          <w:iCs/>
          <w:color w:val="000000"/>
          <w:sz w:val="24"/>
          <w:szCs w:val="24"/>
        </w:rPr>
        <w:t>reporting period</w:t>
      </w:r>
      <w:r w:rsidRPr="00FA329B">
        <w:rPr>
          <w:rFonts w:ascii="Times New Roman" w:hAnsi="Times New Roman" w:cs="Times New Roman"/>
          <w:bCs/>
          <w:iCs/>
          <w:color w:val="000000"/>
          <w:sz w:val="24"/>
          <w:szCs w:val="24"/>
        </w:rPr>
        <w:t>, and all values should be reported in Australian dollars</w:t>
      </w:r>
      <w:r w:rsidRPr="00FA329B">
        <w:rPr>
          <w:rFonts w:ascii="Times New Roman" w:hAnsi="Times New Roman"/>
          <w:b/>
          <w:bCs/>
          <w:i/>
          <w:iCs/>
          <w:color w:val="000000"/>
          <w:sz w:val="24"/>
          <w:szCs w:val="24"/>
        </w:rPr>
        <w:t>.</w:t>
      </w:r>
    </w:p>
    <w:p w14:paraId="77D9B932" w14:textId="77777777" w:rsidR="00233FEA" w:rsidRPr="00FA329B" w:rsidRDefault="00233FEA" w:rsidP="00233FEA">
      <w:pPr>
        <w:pStyle w:val="D2Aform"/>
        <w:rPr>
          <w:rFonts w:ascii="Times New Roman" w:hAnsi="Times New Roman" w:cs="Times New Roman"/>
          <w:sz w:val="24"/>
          <w:szCs w:val="24"/>
        </w:rPr>
      </w:pPr>
    </w:p>
    <w:p w14:paraId="76A2AB7F" w14:textId="77777777" w:rsidR="00233FEA" w:rsidRPr="00FA329B" w:rsidRDefault="00233FEA" w:rsidP="00233FEA">
      <w:pPr>
        <w:jc w:val="both"/>
        <w:rPr>
          <w:rFonts w:ascii="Times New Roman" w:hAnsi="Times New Roman"/>
          <w:sz w:val="24"/>
          <w:szCs w:val="24"/>
        </w:rPr>
      </w:pPr>
      <w:r w:rsidRPr="00FA329B">
        <w:rPr>
          <w:rFonts w:ascii="Times New Roman" w:hAnsi="Times New Roman"/>
          <w:sz w:val="24"/>
          <w:szCs w:val="24"/>
        </w:rPr>
        <w:t xml:space="preserve">Item 8 includes </w:t>
      </w:r>
      <w:r w:rsidRPr="00FA329B">
        <w:rPr>
          <w:rFonts w:ascii="Times New Roman" w:hAnsi="Times New Roman"/>
          <w:b/>
          <w:i/>
          <w:sz w:val="24"/>
          <w:szCs w:val="24"/>
        </w:rPr>
        <w:t>non-resident clearing houses and central counterparties</w:t>
      </w:r>
      <w:r w:rsidRPr="00FA329B">
        <w:rPr>
          <w:rFonts w:ascii="Times New Roman" w:hAnsi="Times New Roman"/>
          <w:sz w:val="24"/>
          <w:szCs w:val="24"/>
        </w:rPr>
        <w:t>. Futures should be excluded from this item, and reported only in item 9.</w:t>
      </w:r>
    </w:p>
    <w:p w14:paraId="599A1C8C" w14:textId="77777777" w:rsidR="00233FEA" w:rsidRPr="00FA329B" w:rsidRDefault="00233FEA" w:rsidP="00233FEA">
      <w:pPr>
        <w:autoSpaceDE w:val="0"/>
        <w:autoSpaceDN w:val="0"/>
        <w:adjustRightInd w:val="0"/>
        <w:jc w:val="both"/>
        <w:rPr>
          <w:rFonts w:ascii="Times New Roman" w:hAnsi="Times New Roman"/>
          <w:sz w:val="24"/>
          <w:szCs w:val="24"/>
        </w:rPr>
      </w:pPr>
    </w:p>
    <w:tbl>
      <w:tblPr>
        <w:tblW w:w="9071" w:type="dxa"/>
        <w:tblInd w:w="108" w:type="dxa"/>
        <w:tblLayout w:type="fixed"/>
        <w:tblLook w:val="04A0" w:firstRow="1" w:lastRow="0" w:firstColumn="1" w:lastColumn="0" w:noHBand="0" w:noVBand="1"/>
      </w:tblPr>
      <w:tblGrid>
        <w:gridCol w:w="1701"/>
        <w:gridCol w:w="7370"/>
      </w:tblGrid>
      <w:tr w:rsidR="00233FEA" w:rsidRPr="00D40F06" w14:paraId="18FA44F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84618FB"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438FACD" w14:textId="1837363D" w:rsidR="00233FEA" w:rsidRPr="00FA329B" w:rsidRDefault="00233FEA" w:rsidP="00FA329B">
            <w:pPr>
              <w:autoSpaceDE w:val="0"/>
              <w:autoSpaceDN w:val="0"/>
              <w:adjustRightInd w:val="0"/>
              <w:jc w:val="both"/>
              <w:rPr>
                <w:rFonts w:ascii="Times New Roman" w:hAnsi="Times New Roman"/>
                <w:bCs/>
                <w:sz w:val="24"/>
                <w:szCs w:val="24"/>
              </w:rPr>
            </w:pPr>
            <w:r w:rsidRPr="00FA329B">
              <w:rPr>
                <w:rFonts w:ascii="Times New Roman" w:hAnsi="Times New Roman"/>
                <w:bCs/>
                <w:color w:val="000000"/>
                <w:sz w:val="24"/>
                <w:szCs w:val="24"/>
              </w:rPr>
              <w:t>Currency</w:t>
            </w:r>
            <w:r w:rsidRPr="00FA329B">
              <w:rPr>
                <w:rFonts w:ascii="Times New Roman" w:hAnsi="Times New Roman"/>
                <w:b/>
                <w:bCs/>
                <w:i/>
                <w:color w:val="000000"/>
                <w:sz w:val="24"/>
                <w:szCs w:val="24"/>
              </w:rPr>
              <w:t xml:space="preserve"> </w:t>
            </w:r>
            <w:r w:rsidRPr="00FA329B">
              <w:rPr>
                <w:rFonts w:ascii="Times New Roman" w:hAnsi="Times New Roman"/>
                <w:color w:val="000000"/>
                <w:sz w:val="24"/>
                <w:szCs w:val="24"/>
              </w:rPr>
              <w:t xml:space="preserve">(of the closing positions) refers to the currency in which the assets or liabilities are likely to be repaid. Positions denominated in foreign currency should be converted to Australian dollars </w:t>
            </w:r>
            <w:r w:rsidRPr="00FA329B">
              <w:rPr>
                <w:rFonts w:ascii="Times New Roman" w:hAnsi="Times New Roman"/>
                <w:sz w:val="24"/>
                <w:szCs w:val="24"/>
              </w:rPr>
              <w:t xml:space="preserve">as at </w:t>
            </w:r>
            <w:r w:rsidRPr="00FA329B">
              <w:rPr>
                <w:rFonts w:ascii="Times New Roman" w:hAnsi="Times New Roman"/>
                <w:bCs/>
                <w:iCs/>
                <w:color w:val="000000"/>
                <w:sz w:val="24"/>
                <w:szCs w:val="24"/>
              </w:rPr>
              <w:t xml:space="preserve">the end of the </w:t>
            </w:r>
            <w:r w:rsidRPr="00FA329B">
              <w:rPr>
                <w:rFonts w:ascii="Times New Roman" w:hAnsi="Times New Roman"/>
                <w:b/>
                <w:bCs/>
                <w:i/>
                <w:iCs/>
                <w:color w:val="000000"/>
                <w:sz w:val="24"/>
                <w:szCs w:val="24"/>
              </w:rPr>
              <w:t>reporting period</w:t>
            </w:r>
            <w:r w:rsidRPr="00FA329B">
              <w:rPr>
                <w:rFonts w:ascii="Times New Roman" w:hAnsi="Times New Roman"/>
                <w:color w:val="000000"/>
                <w:sz w:val="24"/>
                <w:szCs w:val="24"/>
              </w:rPr>
              <w:t xml:space="preserve"> </w:t>
            </w:r>
            <w:r w:rsidRPr="00FA329B">
              <w:rPr>
                <w:rFonts w:ascii="Times New Roman" w:hAnsi="Times New Roman"/>
                <w:bCs/>
                <w:sz w:val="24"/>
                <w:szCs w:val="24"/>
              </w:rPr>
              <w:t>(see List 1.2 for further details)</w:t>
            </w:r>
            <w:r w:rsidR="00FA329B">
              <w:rPr>
                <w:rFonts w:ascii="Times New Roman" w:hAnsi="Times New Roman"/>
                <w:bCs/>
                <w:sz w:val="24"/>
                <w:szCs w:val="24"/>
              </w:rPr>
              <w:t>.</w:t>
            </w:r>
          </w:p>
        </w:tc>
      </w:tr>
      <w:tr w:rsidR="00233FEA" w:rsidRPr="00D40F06" w14:paraId="263C5440"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43598CB"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27337964" w14:textId="5021AEFF"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Report the value of</w:t>
            </w:r>
            <w:r w:rsidRPr="00FA329B">
              <w:rPr>
                <w:rFonts w:ascii="Times New Roman" w:hAnsi="Times New Roman"/>
                <w:b/>
                <w:bCs/>
                <w:i/>
                <w:sz w:val="24"/>
                <w:szCs w:val="24"/>
              </w:rPr>
              <w:t xml:space="preserve"> derivatives </w:t>
            </w:r>
            <w:r w:rsidRPr="00FA329B">
              <w:rPr>
                <w:rFonts w:ascii="Times New Roman" w:hAnsi="Times New Roman"/>
                <w:bCs/>
                <w:sz w:val="24"/>
                <w:szCs w:val="24"/>
              </w:rPr>
              <w:t xml:space="preserve">with a 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 xml:space="preserve">counterparty, where the </w:t>
            </w:r>
            <w:r w:rsidRPr="00FA329B">
              <w:rPr>
                <w:rFonts w:ascii="Times New Roman" w:hAnsi="Times New Roman"/>
                <w:b/>
                <w:bCs/>
                <w:i/>
                <w:sz w:val="24"/>
                <w:szCs w:val="24"/>
              </w:rPr>
              <w:t>residual term</w:t>
            </w:r>
            <w:r w:rsidRPr="00FA329B">
              <w:rPr>
                <w:rFonts w:ascii="Times New Roman" w:hAnsi="Times New Roman"/>
                <w:bCs/>
                <w:sz w:val="24"/>
                <w:szCs w:val="24"/>
              </w:rPr>
              <w:t xml:space="preserve"> to maturity is less than or equal to 90 days and the outstanding position is likely to be repaid in the selected currency (see List 1.2 for further details)</w:t>
            </w:r>
            <w:r w:rsidR="00FA329B">
              <w:rPr>
                <w:rFonts w:ascii="Times New Roman" w:hAnsi="Times New Roman"/>
                <w:bCs/>
                <w:sz w:val="24"/>
                <w:szCs w:val="24"/>
              </w:rPr>
              <w:t>.</w:t>
            </w:r>
          </w:p>
          <w:p w14:paraId="7CC4BC67" w14:textId="77777777" w:rsidR="00233FEA" w:rsidRPr="00FA329B" w:rsidRDefault="00233FEA" w:rsidP="003167DC">
            <w:pPr>
              <w:autoSpaceDE w:val="0"/>
              <w:autoSpaceDN w:val="0"/>
              <w:adjustRightInd w:val="0"/>
              <w:jc w:val="both"/>
              <w:rPr>
                <w:rFonts w:ascii="Times New Roman" w:hAnsi="Times New Roman"/>
                <w:b/>
                <w:bCs/>
                <w:sz w:val="24"/>
                <w:szCs w:val="24"/>
              </w:rPr>
            </w:pPr>
          </w:p>
          <w:p w14:paraId="227CBBC6"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2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 xml:space="preserve">. </w:t>
            </w:r>
          </w:p>
        </w:tc>
      </w:tr>
      <w:tr w:rsidR="00233FEA" w:rsidRPr="00D40F06" w14:paraId="3CE3CEE2"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7378F35D" w14:textId="77777777" w:rsidR="00233FEA" w:rsidRPr="00FA329B" w:rsidRDefault="00233FEA" w:rsidP="00332435">
            <w:pPr>
              <w:keepNext/>
              <w:spacing w:before="120" w:after="120"/>
              <w:rPr>
                <w:rFonts w:ascii="Times New Roman" w:hAnsi="Times New Roman"/>
                <w:b/>
                <w:sz w:val="24"/>
                <w:szCs w:val="24"/>
              </w:rPr>
            </w:pPr>
            <w:r w:rsidRPr="00FA329B">
              <w:rPr>
                <w:rFonts w:ascii="Times New Roman" w:hAnsi="Times New Roman"/>
                <w:b/>
                <w:sz w:val="24"/>
                <w:szCs w:val="24"/>
              </w:rPr>
              <w:lastRenderedPageBreak/>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21D2802" w14:textId="725E800B" w:rsidR="00233FEA" w:rsidRPr="00FA329B" w:rsidRDefault="00233FEA" w:rsidP="00332435">
            <w:pPr>
              <w:keepNext/>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Report the value of </w:t>
            </w:r>
            <w:r w:rsidRPr="00FA329B">
              <w:rPr>
                <w:rFonts w:ascii="Times New Roman" w:hAnsi="Times New Roman"/>
                <w:b/>
                <w:bCs/>
                <w:i/>
                <w:sz w:val="24"/>
                <w:szCs w:val="24"/>
              </w:rPr>
              <w:t xml:space="preserve">derivatives </w:t>
            </w:r>
            <w:r w:rsidRPr="00FA329B">
              <w:rPr>
                <w:rFonts w:ascii="Times New Roman" w:hAnsi="Times New Roman"/>
                <w:bCs/>
                <w:sz w:val="24"/>
                <w:szCs w:val="24"/>
              </w:rPr>
              <w:t xml:space="preserve">with a 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 xml:space="preserve">counterparty, where the </w:t>
            </w:r>
            <w:r w:rsidRPr="00FA329B">
              <w:rPr>
                <w:rFonts w:ascii="Times New Roman" w:hAnsi="Times New Roman"/>
                <w:b/>
                <w:bCs/>
                <w:i/>
                <w:sz w:val="24"/>
                <w:szCs w:val="24"/>
              </w:rPr>
              <w:t>residual term</w:t>
            </w:r>
            <w:r w:rsidRPr="00FA329B">
              <w:rPr>
                <w:rFonts w:ascii="Times New Roman" w:hAnsi="Times New Roman"/>
                <w:bCs/>
                <w:sz w:val="24"/>
                <w:szCs w:val="24"/>
              </w:rPr>
              <w:t xml:space="preserve"> to maturity is more than 90 days and less than or equal to 6 months and the outstanding position is likely to be repaid in the selected currency (see List 1.2 for further details)</w:t>
            </w:r>
            <w:r w:rsidR="00FA329B">
              <w:rPr>
                <w:rFonts w:ascii="Times New Roman" w:hAnsi="Times New Roman"/>
                <w:bCs/>
                <w:sz w:val="24"/>
                <w:szCs w:val="24"/>
              </w:rPr>
              <w:t>.</w:t>
            </w:r>
          </w:p>
          <w:p w14:paraId="33947386" w14:textId="77777777" w:rsidR="00233FEA" w:rsidRPr="00FA329B" w:rsidRDefault="00233FEA" w:rsidP="00332435">
            <w:pPr>
              <w:keepNext/>
              <w:autoSpaceDE w:val="0"/>
              <w:autoSpaceDN w:val="0"/>
              <w:adjustRightInd w:val="0"/>
              <w:jc w:val="both"/>
              <w:rPr>
                <w:rFonts w:ascii="Times New Roman" w:hAnsi="Times New Roman"/>
                <w:b/>
                <w:bCs/>
                <w:sz w:val="24"/>
                <w:szCs w:val="24"/>
              </w:rPr>
            </w:pPr>
          </w:p>
          <w:p w14:paraId="6120A842" w14:textId="77777777" w:rsidR="00233FEA" w:rsidRPr="00FA329B" w:rsidRDefault="00233FEA" w:rsidP="00332435">
            <w:pPr>
              <w:keepNext/>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3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w:t>
            </w:r>
          </w:p>
        </w:tc>
      </w:tr>
      <w:tr w:rsidR="00233FEA" w:rsidRPr="00D40F06" w14:paraId="3EE3332C"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0A8484F4"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8ED37BF" w14:textId="790D0E1E"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Report the value of </w:t>
            </w:r>
            <w:r w:rsidRPr="00FA329B">
              <w:rPr>
                <w:rFonts w:ascii="Times New Roman" w:hAnsi="Times New Roman"/>
                <w:b/>
                <w:bCs/>
                <w:i/>
                <w:sz w:val="24"/>
                <w:szCs w:val="24"/>
              </w:rPr>
              <w:t xml:space="preserve">derivatives </w:t>
            </w:r>
            <w:r w:rsidRPr="00FA329B">
              <w:rPr>
                <w:rFonts w:ascii="Times New Roman" w:hAnsi="Times New Roman"/>
                <w:bCs/>
                <w:sz w:val="24"/>
                <w:szCs w:val="24"/>
              </w:rPr>
              <w:t>with a</w:t>
            </w:r>
            <w:r w:rsidRPr="00FA329B">
              <w:rPr>
                <w:rFonts w:ascii="Times New Roman" w:hAnsi="Times New Roman"/>
                <w:b/>
                <w:bCs/>
                <w:i/>
                <w:sz w:val="24"/>
                <w:szCs w:val="24"/>
              </w:rPr>
              <w:t xml:space="preserve"> </w:t>
            </w:r>
            <w:r w:rsidRPr="00FA329B">
              <w:rPr>
                <w:rFonts w:ascii="Times New Roman" w:hAnsi="Times New Roman"/>
                <w:bCs/>
                <w:sz w:val="24"/>
                <w:szCs w:val="24"/>
              </w:rPr>
              <w:t xml:space="preserve">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 xml:space="preserve">counterparty, where the </w:t>
            </w:r>
            <w:r w:rsidRPr="00FA329B">
              <w:rPr>
                <w:rFonts w:ascii="Times New Roman" w:hAnsi="Times New Roman"/>
                <w:b/>
                <w:bCs/>
                <w:i/>
                <w:sz w:val="24"/>
                <w:szCs w:val="24"/>
              </w:rPr>
              <w:t>residual term</w:t>
            </w:r>
            <w:r w:rsidRPr="00FA329B">
              <w:rPr>
                <w:rFonts w:ascii="Times New Roman" w:hAnsi="Times New Roman"/>
                <w:bCs/>
                <w:sz w:val="24"/>
                <w:szCs w:val="24"/>
              </w:rPr>
              <w:t xml:space="preserve"> to maturity is more than 6 months and less than or equal to 1 year and the outstanding position is likely to be repaid in the selected currency (see List 1.2 for further details)</w:t>
            </w:r>
            <w:r w:rsidR="00FA329B">
              <w:rPr>
                <w:rFonts w:ascii="Times New Roman" w:hAnsi="Times New Roman"/>
                <w:bCs/>
                <w:sz w:val="24"/>
                <w:szCs w:val="24"/>
              </w:rPr>
              <w:t>.</w:t>
            </w:r>
          </w:p>
          <w:p w14:paraId="5F804937" w14:textId="77777777" w:rsidR="00233FEA" w:rsidRPr="00FA329B" w:rsidRDefault="00233FEA" w:rsidP="003167DC">
            <w:pPr>
              <w:autoSpaceDE w:val="0"/>
              <w:autoSpaceDN w:val="0"/>
              <w:adjustRightInd w:val="0"/>
              <w:jc w:val="both"/>
              <w:rPr>
                <w:rFonts w:ascii="Times New Roman" w:hAnsi="Times New Roman"/>
                <w:b/>
                <w:bCs/>
                <w:sz w:val="24"/>
                <w:szCs w:val="24"/>
              </w:rPr>
            </w:pPr>
          </w:p>
          <w:p w14:paraId="5785B0F9"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4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 xml:space="preserve">. </w:t>
            </w:r>
          </w:p>
        </w:tc>
      </w:tr>
      <w:tr w:rsidR="00233FEA" w:rsidRPr="00D40F06" w14:paraId="6D31E24D"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D2EFC59"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5</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7E93A23E" w14:textId="5B4EFF34"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Report the value of </w:t>
            </w:r>
            <w:r w:rsidRPr="00FA329B">
              <w:rPr>
                <w:rFonts w:ascii="Times New Roman" w:hAnsi="Times New Roman"/>
                <w:b/>
                <w:bCs/>
                <w:i/>
                <w:sz w:val="24"/>
                <w:szCs w:val="24"/>
              </w:rPr>
              <w:t xml:space="preserve">derivatives </w:t>
            </w:r>
            <w:r w:rsidRPr="00FA329B">
              <w:rPr>
                <w:rFonts w:ascii="Times New Roman" w:hAnsi="Times New Roman"/>
                <w:bCs/>
                <w:sz w:val="24"/>
                <w:szCs w:val="24"/>
              </w:rPr>
              <w:t>with a</w:t>
            </w:r>
            <w:r w:rsidRPr="00FA329B">
              <w:rPr>
                <w:rFonts w:ascii="Times New Roman" w:hAnsi="Times New Roman"/>
                <w:b/>
                <w:bCs/>
                <w:i/>
                <w:sz w:val="24"/>
                <w:szCs w:val="24"/>
              </w:rPr>
              <w:t xml:space="preserve"> </w:t>
            </w:r>
            <w:r w:rsidRPr="00FA329B">
              <w:rPr>
                <w:rFonts w:ascii="Times New Roman" w:hAnsi="Times New Roman"/>
                <w:bCs/>
                <w:sz w:val="24"/>
                <w:szCs w:val="24"/>
              </w:rPr>
              <w:t xml:space="preserve">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 xml:space="preserve">counterparty, where the </w:t>
            </w:r>
            <w:r w:rsidRPr="00FA329B">
              <w:rPr>
                <w:rFonts w:ascii="Times New Roman" w:hAnsi="Times New Roman"/>
                <w:b/>
                <w:bCs/>
                <w:i/>
                <w:sz w:val="24"/>
                <w:szCs w:val="24"/>
              </w:rPr>
              <w:t>residual term</w:t>
            </w:r>
            <w:r w:rsidRPr="00FA329B">
              <w:rPr>
                <w:rFonts w:ascii="Times New Roman" w:hAnsi="Times New Roman"/>
                <w:bCs/>
                <w:sz w:val="24"/>
                <w:szCs w:val="24"/>
              </w:rPr>
              <w:t xml:space="preserve"> to maturity is more than 1 year and less than or equal to 5 years and the outstanding position is likely to be repaid in the selected currency (see List 1.2 for further details)</w:t>
            </w:r>
            <w:r w:rsidR="00FA329B">
              <w:rPr>
                <w:rFonts w:ascii="Times New Roman" w:hAnsi="Times New Roman"/>
                <w:bCs/>
                <w:sz w:val="24"/>
                <w:szCs w:val="24"/>
              </w:rPr>
              <w:t>.</w:t>
            </w:r>
          </w:p>
          <w:p w14:paraId="00C42268" w14:textId="77777777" w:rsidR="00233FEA" w:rsidRPr="00FA329B" w:rsidRDefault="00233FEA" w:rsidP="003167DC">
            <w:pPr>
              <w:autoSpaceDE w:val="0"/>
              <w:autoSpaceDN w:val="0"/>
              <w:adjustRightInd w:val="0"/>
              <w:jc w:val="both"/>
              <w:rPr>
                <w:rFonts w:ascii="Times New Roman" w:hAnsi="Times New Roman"/>
                <w:b/>
                <w:bCs/>
                <w:sz w:val="24"/>
                <w:szCs w:val="24"/>
              </w:rPr>
            </w:pPr>
          </w:p>
          <w:p w14:paraId="7F68A93F"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5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 xml:space="preserve">. </w:t>
            </w:r>
          </w:p>
        </w:tc>
      </w:tr>
      <w:tr w:rsidR="00233FEA" w:rsidRPr="00D40F06" w14:paraId="01848514"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2DC3987D"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6</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3BDB845" w14:textId="553AEDDD"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Report the value of </w:t>
            </w:r>
            <w:r w:rsidRPr="00FA329B">
              <w:rPr>
                <w:rFonts w:ascii="Times New Roman" w:hAnsi="Times New Roman"/>
                <w:b/>
                <w:bCs/>
                <w:i/>
                <w:sz w:val="24"/>
                <w:szCs w:val="24"/>
              </w:rPr>
              <w:t xml:space="preserve">derivatives </w:t>
            </w:r>
            <w:r w:rsidRPr="00FA329B">
              <w:rPr>
                <w:rFonts w:ascii="Times New Roman" w:hAnsi="Times New Roman"/>
                <w:bCs/>
                <w:sz w:val="24"/>
                <w:szCs w:val="24"/>
              </w:rPr>
              <w:t>with a</w:t>
            </w:r>
            <w:r w:rsidRPr="00FA329B">
              <w:rPr>
                <w:rFonts w:ascii="Times New Roman" w:hAnsi="Times New Roman"/>
                <w:b/>
                <w:bCs/>
                <w:i/>
                <w:sz w:val="24"/>
                <w:szCs w:val="24"/>
              </w:rPr>
              <w:t xml:space="preserve"> </w:t>
            </w:r>
            <w:r w:rsidRPr="00FA329B">
              <w:rPr>
                <w:rFonts w:ascii="Times New Roman" w:hAnsi="Times New Roman"/>
                <w:bCs/>
                <w:sz w:val="24"/>
                <w:szCs w:val="24"/>
              </w:rPr>
              <w:t xml:space="preserve">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 xml:space="preserve">counterparty, where the </w:t>
            </w:r>
            <w:r w:rsidRPr="00FA329B">
              <w:rPr>
                <w:rFonts w:ascii="Times New Roman" w:hAnsi="Times New Roman"/>
                <w:b/>
                <w:bCs/>
                <w:i/>
                <w:sz w:val="24"/>
                <w:szCs w:val="24"/>
              </w:rPr>
              <w:t>residual term</w:t>
            </w:r>
            <w:r w:rsidRPr="00FA329B">
              <w:rPr>
                <w:rFonts w:ascii="Times New Roman" w:hAnsi="Times New Roman"/>
                <w:bCs/>
                <w:sz w:val="24"/>
                <w:szCs w:val="24"/>
              </w:rPr>
              <w:t xml:space="preserve"> to maturity is more than 5 years and the outstanding position is likely to be repaid in the selected currency (see List 1.2 for further details)</w:t>
            </w:r>
            <w:r w:rsidR="00FA329B">
              <w:rPr>
                <w:rFonts w:ascii="Times New Roman" w:hAnsi="Times New Roman"/>
                <w:bCs/>
                <w:sz w:val="24"/>
                <w:szCs w:val="24"/>
              </w:rPr>
              <w:t>.</w:t>
            </w:r>
          </w:p>
          <w:p w14:paraId="60530622" w14:textId="77777777" w:rsidR="00233FEA" w:rsidRPr="00FA329B" w:rsidRDefault="00233FEA" w:rsidP="003167DC">
            <w:pPr>
              <w:autoSpaceDE w:val="0"/>
              <w:autoSpaceDN w:val="0"/>
              <w:adjustRightInd w:val="0"/>
              <w:jc w:val="both"/>
              <w:rPr>
                <w:rFonts w:ascii="Times New Roman" w:hAnsi="Times New Roman"/>
                <w:b/>
                <w:bCs/>
                <w:sz w:val="24"/>
                <w:szCs w:val="24"/>
              </w:rPr>
            </w:pPr>
          </w:p>
          <w:p w14:paraId="6C1F22BC"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6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 xml:space="preserve">. </w:t>
            </w:r>
          </w:p>
        </w:tc>
      </w:tr>
      <w:tr w:rsidR="00233FEA" w:rsidRPr="00D40F06" w14:paraId="0B50CB8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53F210A1" w14:textId="77777777" w:rsidR="00233FEA" w:rsidRPr="00FA329B" w:rsidRDefault="00233FEA" w:rsidP="003167DC">
            <w:pPr>
              <w:spacing w:before="120" w:after="120"/>
              <w:rPr>
                <w:rFonts w:ascii="Times New Roman" w:hAnsi="Times New Roman"/>
                <w:b/>
                <w:sz w:val="24"/>
                <w:szCs w:val="24"/>
              </w:rPr>
            </w:pPr>
            <w:r w:rsidRPr="00FA329B">
              <w:rPr>
                <w:rFonts w:ascii="Times New Roman" w:hAnsi="Times New Roman"/>
                <w:b/>
                <w:sz w:val="24"/>
                <w:szCs w:val="24"/>
              </w:rPr>
              <w:t>Column 7</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874CB75" w14:textId="7E417C5C"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Cs/>
                <w:sz w:val="24"/>
                <w:szCs w:val="24"/>
              </w:rPr>
              <w:t xml:space="preserve">Column 7 is a derived item. Report the total value of </w:t>
            </w:r>
            <w:r w:rsidRPr="00FA329B">
              <w:rPr>
                <w:rFonts w:ascii="Times New Roman" w:hAnsi="Times New Roman"/>
                <w:b/>
                <w:bCs/>
                <w:i/>
                <w:sz w:val="24"/>
                <w:szCs w:val="24"/>
              </w:rPr>
              <w:t xml:space="preserve">derivatives </w:t>
            </w:r>
            <w:r w:rsidRPr="00FA329B">
              <w:rPr>
                <w:rFonts w:ascii="Times New Roman" w:hAnsi="Times New Roman"/>
                <w:bCs/>
                <w:sz w:val="24"/>
                <w:szCs w:val="24"/>
              </w:rPr>
              <w:t>with a</w:t>
            </w:r>
            <w:r w:rsidRPr="00FA329B">
              <w:rPr>
                <w:rFonts w:ascii="Times New Roman" w:hAnsi="Times New Roman"/>
                <w:b/>
                <w:bCs/>
                <w:i/>
                <w:sz w:val="24"/>
                <w:szCs w:val="24"/>
              </w:rPr>
              <w:t xml:space="preserve"> </w:t>
            </w:r>
            <w:r w:rsidRPr="00FA329B">
              <w:rPr>
                <w:rFonts w:ascii="Times New Roman" w:hAnsi="Times New Roman"/>
                <w:bCs/>
                <w:sz w:val="24"/>
                <w:szCs w:val="24"/>
              </w:rPr>
              <w:t xml:space="preserve">gross </w:t>
            </w:r>
            <w:r w:rsidRPr="00FA329B">
              <w:rPr>
                <w:rFonts w:ascii="Times New Roman" w:hAnsi="Times New Roman"/>
                <w:sz w:val="24"/>
                <w:szCs w:val="24"/>
              </w:rPr>
              <w:t>negative</w:t>
            </w:r>
            <w:r w:rsidRPr="00FA329B">
              <w:rPr>
                <w:rFonts w:ascii="Times New Roman" w:hAnsi="Times New Roman"/>
                <w:b/>
                <w:bCs/>
                <w:i/>
                <w:sz w:val="24"/>
                <w:szCs w:val="24"/>
              </w:rPr>
              <w:t xml:space="preserve"> </w:t>
            </w:r>
            <w:r w:rsidRPr="00FA329B">
              <w:rPr>
                <w:rFonts w:ascii="Times New Roman" w:hAnsi="Times New Roman"/>
                <w:bCs/>
                <w:sz w:val="24"/>
                <w:szCs w:val="24"/>
              </w:rPr>
              <w:t>mark to market value</w:t>
            </w:r>
            <w:r w:rsidRPr="00FA329B">
              <w:rPr>
                <w:rFonts w:ascii="Times New Roman" w:hAnsi="Times New Roman"/>
                <w:b/>
                <w:bCs/>
                <w:i/>
                <w:sz w:val="24"/>
                <w:szCs w:val="24"/>
              </w:rPr>
              <w:t xml:space="preserve"> </w:t>
            </w:r>
            <w:r w:rsidRPr="00FA329B">
              <w:rPr>
                <w:rFonts w:ascii="Times New Roman" w:hAnsi="Times New Roman"/>
                <w:bCs/>
                <w:sz w:val="24"/>
                <w:szCs w:val="24"/>
              </w:rPr>
              <w:t>and</w:t>
            </w:r>
            <w:r w:rsidRPr="00FA329B">
              <w:rPr>
                <w:rFonts w:ascii="Times New Roman" w:hAnsi="Times New Roman"/>
                <w:b/>
                <w:bCs/>
                <w:i/>
                <w:sz w:val="24"/>
                <w:szCs w:val="24"/>
              </w:rPr>
              <w:t xml:space="preserve"> non-resident </w:t>
            </w:r>
            <w:r w:rsidRPr="00FA329B">
              <w:rPr>
                <w:rFonts w:ascii="Times New Roman" w:hAnsi="Times New Roman"/>
                <w:bCs/>
                <w:sz w:val="24"/>
                <w:szCs w:val="24"/>
              </w:rPr>
              <w:t>counterparty, as the sum of the selected currency of that row for column 2, column 3, column 4, column 5 and column 6 (see List 1.2 for further details)</w:t>
            </w:r>
            <w:r w:rsidR="00FA329B">
              <w:rPr>
                <w:rFonts w:ascii="Times New Roman" w:hAnsi="Times New Roman"/>
                <w:bCs/>
                <w:sz w:val="24"/>
                <w:szCs w:val="24"/>
              </w:rPr>
              <w:t>.</w:t>
            </w:r>
          </w:p>
          <w:p w14:paraId="03ADF3B7" w14:textId="77777777" w:rsidR="00233FEA" w:rsidRPr="00FA329B" w:rsidRDefault="00233FEA" w:rsidP="003167DC">
            <w:pPr>
              <w:autoSpaceDE w:val="0"/>
              <w:autoSpaceDN w:val="0"/>
              <w:adjustRightInd w:val="0"/>
              <w:jc w:val="both"/>
              <w:rPr>
                <w:rFonts w:ascii="Times New Roman" w:hAnsi="Times New Roman"/>
                <w:b/>
                <w:bCs/>
                <w:sz w:val="24"/>
                <w:szCs w:val="24"/>
              </w:rPr>
            </w:pPr>
          </w:p>
          <w:p w14:paraId="436B6D66" w14:textId="77777777" w:rsidR="00233FEA" w:rsidRPr="00FA329B" w:rsidRDefault="00233FEA" w:rsidP="003167DC">
            <w:pPr>
              <w:autoSpaceDE w:val="0"/>
              <w:autoSpaceDN w:val="0"/>
              <w:adjustRightInd w:val="0"/>
              <w:jc w:val="both"/>
              <w:rPr>
                <w:rFonts w:ascii="Times New Roman" w:hAnsi="Times New Roman"/>
                <w:bCs/>
                <w:sz w:val="24"/>
                <w:szCs w:val="24"/>
              </w:rPr>
            </w:pPr>
            <w:r w:rsidRPr="00FA329B">
              <w:rPr>
                <w:rFonts w:ascii="Times New Roman" w:hAnsi="Times New Roman"/>
                <w:b/>
                <w:bCs/>
                <w:sz w:val="24"/>
                <w:szCs w:val="24"/>
              </w:rPr>
              <w:t>Reporting basis:</w:t>
            </w:r>
            <w:r w:rsidRPr="00FA329B">
              <w:rPr>
                <w:rFonts w:ascii="Times New Roman" w:hAnsi="Times New Roman"/>
                <w:bCs/>
                <w:sz w:val="24"/>
                <w:szCs w:val="24"/>
              </w:rPr>
              <w:t xml:space="preserve"> report column 7 as at the end of the </w:t>
            </w:r>
            <w:r w:rsidRPr="00FA329B">
              <w:rPr>
                <w:rFonts w:ascii="Times New Roman" w:hAnsi="Times New Roman"/>
                <w:b/>
                <w:bCs/>
                <w:i/>
                <w:sz w:val="24"/>
                <w:szCs w:val="24"/>
              </w:rPr>
              <w:t>reporting period</w:t>
            </w:r>
            <w:r w:rsidRPr="00FA329B">
              <w:rPr>
                <w:rFonts w:ascii="Times New Roman" w:hAnsi="Times New Roman"/>
                <w:bCs/>
                <w:sz w:val="24"/>
                <w:szCs w:val="24"/>
              </w:rPr>
              <w:t>.</w:t>
            </w:r>
          </w:p>
        </w:tc>
      </w:tr>
    </w:tbl>
    <w:p w14:paraId="359DD6D6" w14:textId="77777777" w:rsidR="00233FEA" w:rsidRDefault="00233FEA" w:rsidP="00233FEA">
      <w:pPr>
        <w:autoSpaceDE w:val="0"/>
        <w:autoSpaceDN w:val="0"/>
        <w:adjustRightInd w:val="0"/>
        <w:jc w:val="both"/>
        <w:rPr>
          <w:rFonts w:ascii="Times New Roman" w:hAnsi="Times New Roman"/>
          <w:sz w:val="23"/>
          <w:szCs w:val="23"/>
        </w:rPr>
      </w:pPr>
    </w:p>
    <w:p w14:paraId="2946ABC7" w14:textId="3CC92EC2" w:rsidR="00233FEA" w:rsidRPr="003B3E1C" w:rsidRDefault="00EB01FF" w:rsidP="00FA329B">
      <w:pPr>
        <w:pStyle w:val="Heading2"/>
      </w:pPr>
      <w:r>
        <w:br w:type="page"/>
      </w:r>
      <w:r w:rsidR="00233FEA" w:rsidRPr="003B3E1C">
        <w:lastRenderedPageBreak/>
        <w:t xml:space="preserve">Section </w:t>
      </w:r>
      <w:r w:rsidR="00233FEA">
        <w:t>E</w:t>
      </w:r>
      <w:r w:rsidR="00233FEA" w:rsidRPr="003B3E1C">
        <w:t>: Futures</w:t>
      </w:r>
    </w:p>
    <w:p w14:paraId="1738CA89" w14:textId="77777777" w:rsidR="00233FEA" w:rsidRPr="00FA329B" w:rsidRDefault="00233FEA" w:rsidP="00233FEA">
      <w:pPr>
        <w:autoSpaceDE w:val="0"/>
        <w:autoSpaceDN w:val="0"/>
        <w:adjustRightInd w:val="0"/>
        <w:rPr>
          <w:rFonts w:ascii="Times New Roman" w:hAnsi="Times New Roman"/>
          <w:sz w:val="24"/>
          <w:szCs w:val="23"/>
        </w:rPr>
      </w:pPr>
      <w:r w:rsidRPr="00FA329B">
        <w:rPr>
          <w:rFonts w:ascii="Times New Roman" w:hAnsi="Times New Roman"/>
          <w:sz w:val="24"/>
          <w:szCs w:val="23"/>
        </w:rPr>
        <w:t>Section E collects information on futures.</w:t>
      </w:r>
    </w:p>
    <w:p w14:paraId="78BEAA0E" w14:textId="77777777" w:rsidR="00233FEA" w:rsidRPr="003B3E1C" w:rsidRDefault="00233FEA" w:rsidP="00233FEA">
      <w:pPr>
        <w:autoSpaceDE w:val="0"/>
        <w:autoSpaceDN w:val="0"/>
        <w:adjustRightInd w:val="0"/>
        <w:rPr>
          <w:rFonts w:ascii="Times New Roman" w:hAnsi="Times New Roman"/>
          <w:sz w:val="23"/>
          <w:szCs w:val="23"/>
        </w:rPr>
      </w:pPr>
    </w:p>
    <w:p w14:paraId="458ED572" w14:textId="77777777" w:rsidR="00233FEA" w:rsidRPr="003B3E1C" w:rsidRDefault="00233FEA" w:rsidP="00FA329B">
      <w:pPr>
        <w:pStyle w:val="Heading3"/>
      </w:pPr>
      <w:r w:rsidRPr="003B3E1C">
        <w:t>Futures with resident and non-resident counterparties</w:t>
      </w:r>
    </w:p>
    <w:p w14:paraId="139F41B8" w14:textId="77777777" w:rsidR="00233FEA" w:rsidRPr="003B3E1C" w:rsidRDefault="00233FEA" w:rsidP="00233FEA">
      <w:pPr>
        <w:ind w:firstLine="720"/>
        <w:jc w:val="both"/>
        <w:rPr>
          <w:rFonts w:ascii="Times New Roman" w:hAnsi="Times New Roman"/>
          <w:b/>
          <w:sz w:val="23"/>
          <w:szCs w:val="23"/>
          <w:u w:val="single"/>
        </w:rPr>
      </w:pPr>
    </w:p>
    <w:p w14:paraId="5FA8F85F" w14:textId="77777777" w:rsidR="00233FEA" w:rsidRPr="00FA329B" w:rsidRDefault="00233FEA" w:rsidP="00233FEA">
      <w:pPr>
        <w:jc w:val="both"/>
        <w:rPr>
          <w:rFonts w:ascii="Times New Roman" w:hAnsi="Times New Roman"/>
          <w:sz w:val="24"/>
          <w:szCs w:val="23"/>
        </w:rPr>
      </w:pPr>
      <w:r w:rsidRPr="00FA329B">
        <w:rPr>
          <w:rFonts w:ascii="Times New Roman" w:hAnsi="Times New Roman"/>
          <w:sz w:val="24"/>
          <w:szCs w:val="23"/>
        </w:rPr>
        <w:t xml:space="preserve">Item 9 collects information on movements in the value of futures due to net transactions and gross positive and gross negative </w:t>
      </w:r>
      <w:r w:rsidRPr="00E97C10">
        <w:rPr>
          <w:rFonts w:ascii="Times New Roman" w:hAnsi="Times New Roman"/>
          <w:b/>
          <w:i/>
          <w:sz w:val="24"/>
          <w:szCs w:val="23"/>
        </w:rPr>
        <w:t>revaluations</w:t>
      </w:r>
      <w:r w:rsidRPr="00FA329B">
        <w:rPr>
          <w:rFonts w:ascii="Times New Roman" w:hAnsi="Times New Roman"/>
          <w:sz w:val="24"/>
          <w:szCs w:val="23"/>
        </w:rPr>
        <w:t>.</w:t>
      </w:r>
    </w:p>
    <w:p w14:paraId="704D4E1E" w14:textId="77777777" w:rsidR="00233FEA" w:rsidRPr="00FA329B" w:rsidRDefault="00233FEA" w:rsidP="00233FEA">
      <w:pPr>
        <w:jc w:val="both"/>
        <w:rPr>
          <w:rFonts w:ascii="Times New Roman" w:hAnsi="Times New Roman"/>
          <w:sz w:val="24"/>
          <w:szCs w:val="23"/>
        </w:rPr>
      </w:pPr>
    </w:p>
    <w:p w14:paraId="796BC553" w14:textId="17E9E0E5" w:rsidR="00233FEA" w:rsidRPr="00FA329B" w:rsidRDefault="00233FEA" w:rsidP="00FA329B">
      <w:pPr>
        <w:jc w:val="both"/>
        <w:rPr>
          <w:rFonts w:ascii="Times New Roman" w:hAnsi="Times New Roman"/>
          <w:sz w:val="24"/>
          <w:szCs w:val="23"/>
        </w:rPr>
      </w:pPr>
      <w:r w:rsidRPr="00FA329B">
        <w:rPr>
          <w:rFonts w:ascii="Times New Roman" w:hAnsi="Times New Roman"/>
          <w:sz w:val="24"/>
          <w:szCs w:val="23"/>
        </w:rPr>
        <w:t xml:space="preserve">Report separately for </w:t>
      </w:r>
      <w:r w:rsidRPr="00FA329B">
        <w:rPr>
          <w:rFonts w:ascii="Times New Roman" w:hAnsi="Times New Roman"/>
          <w:b/>
          <w:i/>
          <w:sz w:val="24"/>
          <w:szCs w:val="23"/>
        </w:rPr>
        <w:t>resident</w:t>
      </w:r>
      <w:r w:rsidRPr="00FA329B">
        <w:rPr>
          <w:rFonts w:ascii="Times New Roman" w:hAnsi="Times New Roman"/>
          <w:sz w:val="24"/>
          <w:szCs w:val="23"/>
        </w:rPr>
        <w:t xml:space="preserve"> and </w:t>
      </w:r>
      <w:r w:rsidRPr="00FA329B">
        <w:rPr>
          <w:rFonts w:ascii="Times New Roman" w:hAnsi="Times New Roman"/>
          <w:b/>
          <w:i/>
          <w:sz w:val="24"/>
          <w:szCs w:val="23"/>
        </w:rPr>
        <w:t>non-resident</w:t>
      </w:r>
      <w:r w:rsidRPr="00FA329B">
        <w:rPr>
          <w:rFonts w:ascii="Times New Roman" w:hAnsi="Times New Roman"/>
          <w:sz w:val="24"/>
          <w:szCs w:val="23"/>
        </w:rPr>
        <w:t xml:space="preserve"> counterparties.</w:t>
      </w:r>
      <w:r w:rsidRPr="00FA329B">
        <w:rPr>
          <w:rFonts w:ascii="Times New Roman" w:hAnsi="Times New Roman"/>
          <w:b/>
          <w:i/>
          <w:sz w:val="24"/>
          <w:szCs w:val="23"/>
        </w:rPr>
        <w:t xml:space="preserve"> </w:t>
      </w:r>
      <w:r w:rsidRPr="00FA329B">
        <w:rPr>
          <w:rFonts w:ascii="Times New Roman" w:hAnsi="Times New Roman"/>
          <w:sz w:val="24"/>
          <w:szCs w:val="23"/>
        </w:rPr>
        <w:t>Resident means that the country of exchange is Australia.</w:t>
      </w:r>
    </w:p>
    <w:p w14:paraId="367E0913" w14:textId="77777777" w:rsidR="00233FEA" w:rsidRPr="00FA329B" w:rsidRDefault="00233FEA" w:rsidP="00233FEA">
      <w:pPr>
        <w:autoSpaceDE w:val="0"/>
        <w:autoSpaceDN w:val="0"/>
        <w:adjustRightInd w:val="0"/>
        <w:jc w:val="both"/>
        <w:rPr>
          <w:rFonts w:ascii="Times New Roman" w:hAnsi="Times New Roman"/>
          <w:bCs/>
          <w:sz w:val="24"/>
          <w:szCs w:val="23"/>
        </w:rPr>
      </w:pPr>
    </w:p>
    <w:tbl>
      <w:tblPr>
        <w:tblW w:w="9071" w:type="dxa"/>
        <w:tblInd w:w="108" w:type="dxa"/>
        <w:tblLayout w:type="fixed"/>
        <w:tblLook w:val="04A0" w:firstRow="1" w:lastRow="0" w:firstColumn="1" w:lastColumn="0" w:noHBand="0" w:noVBand="1"/>
      </w:tblPr>
      <w:tblGrid>
        <w:gridCol w:w="1701"/>
        <w:gridCol w:w="7370"/>
      </w:tblGrid>
      <w:tr w:rsidR="00233FEA" w:rsidRPr="00D40F06" w14:paraId="69F4730B"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tcPr>
          <w:p w14:paraId="1C2EE490"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4E0326CD" w14:textId="4A3BCFBC"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country of exchange. If the counterparty is a </w:t>
            </w:r>
            <w:r w:rsidRPr="00FA329B">
              <w:rPr>
                <w:rFonts w:ascii="Times New Roman" w:hAnsi="Times New Roman"/>
                <w:b/>
                <w:bCs/>
                <w:i/>
                <w:sz w:val="24"/>
                <w:szCs w:val="23"/>
              </w:rPr>
              <w:t xml:space="preserve">resident </w:t>
            </w:r>
            <w:r w:rsidRPr="00E97C10">
              <w:rPr>
                <w:rFonts w:ascii="Times New Roman" w:hAnsi="Times New Roman"/>
                <w:bCs/>
                <w:sz w:val="24"/>
                <w:szCs w:val="23"/>
              </w:rPr>
              <w:t>counterparty</w:t>
            </w:r>
            <w:r w:rsidRPr="0036047D">
              <w:rPr>
                <w:rFonts w:ascii="Times New Roman" w:hAnsi="Times New Roman"/>
                <w:bCs/>
                <w:sz w:val="24"/>
                <w:szCs w:val="23"/>
              </w:rPr>
              <w:t>,</w:t>
            </w:r>
            <w:r w:rsidRPr="00FA329B">
              <w:rPr>
                <w:rFonts w:ascii="Times New Roman" w:hAnsi="Times New Roman"/>
                <w:bCs/>
                <w:sz w:val="24"/>
                <w:szCs w:val="23"/>
              </w:rPr>
              <w:t xml:space="preserve"> report the country as Australia.  </w:t>
            </w:r>
          </w:p>
        </w:tc>
      </w:tr>
      <w:tr w:rsidR="00233FEA" w:rsidRPr="00D40F06" w14:paraId="659135AD"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EE4E67"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E42A45B"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Report the net transactions of futures.</w:t>
            </w:r>
          </w:p>
          <w:p w14:paraId="2DA7EFDB" w14:textId="77777777" w:rsidR="00233FEA" w:rsidRPr="00FA329B" w:rsidRDefault="00233FEA" w:rsidP="003167DC">
            <w:pPr>
              <w:autoSpaceDE w:val="0"/>
              <w:autoSpaceDN w:val="0"/>
              <w:adjustRightInd w:val="0"/>
              <w:jc w:val="both"/>
              <w:rPr>
                <w:rFonts w:ascii="Times New Roman" w:hAnsi="Times New Roman"/>
                <w:bCs/>
                <w:sz w:val="24"/>
                <w:szCs w:val="23"/>
              </w:rPr>
            </w:pPr>
          </w:p>
          <w:p w14:paraId="1EA97243"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2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tc>
      </w:tr>
      <w:tr w:rsidR="00233FEA" w:rsidRPr="00D40F06" w14:paraId="70EFA72F"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C516AD"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A03A2BF"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gross positive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of futures. </w:t>
            </w:r>
          </w:p>
          <w:p w14:paraId="38874032" w14:textId="77777777" w:rsidR="00233FEA" w:rsidRPr="00FA329B" w:rsidRDefault="00233FEA" w:rsidP="003167DC">
            <w:pPr>
              <w:jc w:val="both"/>
              <w:rPr>
                <w:rFonts w:ascii="Times New Roman" w:hAnsi="Times New Roman"/>
                <w:sz w:val="24"/>
                <w:szCs w:val="23"/>
              </w:rPr>
            </w:pPr>
          </w:p>
          <w:p w14:paraId="37B68A97"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3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tc>
      </w:tr>
      <w:tr w:rsidR="00233FEA" w:rsidRPr="00D40F06" w14:paraId="33C3F51A" w14:textId="77777777" w:rsidTr="003167D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4ED983B" w14:textId="77777777" w:rsidR="00233FEA" w:rsidRPr="00FA329B" w:rsidRDefault="00233FEA" w:rsidP="003167DC">
            <w:pPr>
              <w:spacing w:before="120" w:after="120"/>
              <w:rPr>
                <w:rFonts w:ascii="Times New Roman" w:hAnsi="Times New Roman"/>
                <w:b/>
                <w:sz w:val="24"/>
                <w:szCs w:val="23"/>
              </w:rPr>
            </w:pPr>
            <w:r w:rsidRPr="00FA329B">
              <w:rPr>
                <w:rFonts w:ascii="Times New Roman" w:hAnsi="Times New Roman"/>
                <w:b/>
                <w:sz w:val="24"/>
                <w:szCs w:val="23"/>
              </w:rPr>
              <w:t>Column 4</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9F5E77A"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Cs/>
                <w:sz w:val="24"/>
                <w:szCs w:val="23"/>
              </w:rPr>
              <w:t xml:space="preserve">Report the gross negative value of </w:t>
            </w:r>
            <w:r w:rsidRPr="00E97C10">
              <w:rPr>
                <w:rFonts w:ascii="Times New Roman" w:hAnsi="Times New Roman"/>
                <w:b/>
                <w:bCs/>
                <w:i/>
                <w:sz w:val="24"/>
                <w:szCs w:val="23"/>
              </w:rPr>
              <w:t>revaluations</w:t>
            </w:r>
            <w:r w:rsidRPr="00FA329B">
              <w:rPr>
                <w:rFonts w:ascii="Times New Roman" w:hAnsi="Times New Roman"/>
                <w:bCs/>
                <w:sz w:val="24"/>
                <w:szCs w:val="23"/>
              </w:rPr>
              <w:t xml:space="preserve"> of futures.</w:t>
            </w:r>
          </w:p>
          <w:p w14:paraId="09BDF736" w14:textId="77777777" w:rsidR="00233FEA" w:rsidRPr="00FA329B" w:rsidRDefault="00233FEA" w:rsidP="003167DC">
            <w:pPr>
              <w:jc w:val="both"/>
              <w:rPr>
                <w:rFonts w:ascii="Times New Roman" w:hAnsi="Times New Roman"/>
                <w:sz w:val="24"/>
                <w:szCs w:val="23"/>
              </w:rPr>
            </w:pPr>
          </w:p>
          <w:p w14:paraId="57C17575" w14:textId="77777777" w:rsidR="00233FEA" w:rsidRPr="00FA329B" w:rsidRDefault="00233FEA" w:rsidP="003167DC">
            <w:pPr>
              <w:autoSpaceDE w:val="0"/>
              <w:autoSpaceDN w:val="0"/>
              <w:adjustRightInd w:val="0"/>
              <w:jc w:val="both"/>
              <w:rPr>
                <w:rFonts w:ascii="Times New Roman" w:hAnsi="Times New Roman"/>
                <w:bCs/>
                <w:sz w:val="24"/>
                <w:szCs w:val="23"/>
              </w:rPr>
            </w:pPr>
            <w:r w:rsidRPr="00FA329B">
              <w:rPr>
                <w:rFonts w:ascii="Times New Roman" w:hAnsi="Times New Roman"/>
                <w:b/>
                <w:bCs/>
                <w:sz w:val="24"/>
                <w:szCs w:val="23"/>
              </w:rPr>
              <w:t xml:space="preserve">Reporting basis: </w:t>
            </w:r>
            <w:r w:rsidRPr="00FA329B">
              <w:rPr>
                <w:rFonts w:ascii="Times New Roman" w:hAnsi="Times New Roman"/>
                <w:bCs/>
                <w:sz w:val="24"/>
                <w:szCs w:val="23"/>
              </w:rPr>
              <w:t xml:space="preserve">report column 4 during the </w:t>
            </w:r>
            <w:r w:rsidRPr="00FA329B">
              <w:rPr>
                <w:rFonts w:ascii="Times New Roman" w:hAnsi="Times New Roman"/>
                <w:b/>
                <w:bCs/>
                <w:i/>
                <w:sz w:val="24"/>
                <w:szCs w:val="23"/>
              </w:rPr>
              <w:t>reporting period</w:t>
            </w:r>
            <w:r w:rsidRPr="00FA329B">
              <w:rPr>
                <w:rFonts w:ascii="Times New Roman" w:hAnsi="Times New Roman"/>
                <w:bCs/>
                <w:sz w:val="24"/>
                <w:szCs w:val="23"/>
              </w:rPr>
              <w:t>.</w:t>
            </w:r>
          </w:p>
        </w:tc>
      </w:tr>
    </w:tbl>
    <w:p w14:paraId="5D7C9829" w14:textId="77777777" w:rsidR="005D2636" w:rsidRDefault="005D2636" w:rsidP="00E90C5A">
      <w:pPr>
        <w:pStyle w:val="Heading2"/>
        <w:rPr>
          <w:sz w:val="23"/>
          <w:szCs w:val="23"/>
        </w:rPr>
      </w:pPr>
    </w:p>
    <w:p w14:paraId="6C27BA0F" w14:textId="46AD63BC" w:rsidR="00E90C5A" w:rsidRDefault="005D2636" w:rsidP="00E90C5A">
      <w:pPr>
        <w:pStyle w:val="Heading2"/>
      </w:pPr>
      <w:r>
        <w:rPr>
          <w:sz w:val="23"/>
          <w:szCs w:val="23"/>
        </w:rPr>
        <w:br w:type="page"/>
      </w:r>
      <w:r w:rsidR="00E90C5A">
        <w:rPr>
          <w:lang w:val="en-AU"/>
        </w:rPr>
        <w:lastRenderedPageBreak/>
        <w:t>Section F: Adjustments</w:t>
      </w:r>
    </w:p>
    <w:p w14:paraId="4B19CBCF" w14:textId="77777777" w:rsidR="00E90C5A" w:rsidRPr="000104B3" w:rsidRDefault="00E90C5A" w:rsidP="00E90C5A">
      <w:pPr>
        <w:autoSpaceDE w:val="0"/>
        <w:autoSpaceDN w:val="0"/>
        <w:adjustRightInd w:val="0"/>
        <w:rPr>
          <w:rFonts w:ascii="Times New Roman" w:hAnsi="Times New Roman"/>
          <w:sz w:val="24"/>
          <w:szCs w:val="23"/>
        </w:rPr>
      </w:pPr>
      <w:r w:rsidRPr="000104B3">
        <w:rPr>
          <w:rFonts w:ascii="Times New Roman" w:hAnsi="Times New Roman"/>
          <w:sz w:val="24"/>
          <w:szCs w:val="23"/>
        </w:rPr>
        <w:t>Section F collects information on adjustments.</w:t>
      </w:r>
    </w:p>
    <w:p w14:paraId="37AC8F81" w14:textId="77777777" w:rsidR="00E90C5A" w:rsidRPr="00AF0303" w:rsidRDefault="00E90C5A" w:rsidP="00E90C5A"/>
    <w:p w14:paraId="720A1064" w14:textId="77777777" w:rsidR="00E90C5A" w:rsidRDefault="00E90C5A" w:rsidP="00E90C5A">
      <w:pPr>
        <w:pStyle w:val="Heading3"/>
      </w:pPr>
      <w:r>
        <w:t>Counterparty-level adjustments</w:t>
      </w:r>
    </w:p>
    <w:p w14:paraId="0723C5F1" w14:textId="77777777" w:rsidR="00E90C5A" w:rsidRPr="000104B3" w:rsidRDefault="00E90C5A" w:rsidP="00E90C5A">
      <w:pPr>
        <w:rPr>
          <w:lang w:eastAsia="en-AU"/>
        </w:rPr>
      </w:pPr>
    </w:p>
    <w:p w14:paraId="026D5A8A" w14:textId="77777777" w:rsidR="00E90C5A" w:rsidRDefault="00E90C5A" w:rsidP="00E90C5A">
      <w:pPr>
        <w:jc w:val="both"/>
        <w:rPr>
          <w:rFonts w:ascii="Times New Roman" w:hAnsi="Times New Roman"/>
          <w:sz w:val="24"/>
          <w:szCs w:val="23"/>
        </w:rPr>
      </w:pPr>
      <w:r w:rsidRPr="000104B3">
        <w:rPr>
          <w:rFonts w:ascii="Times New Roman" w:hAnsi="Times New Roman"/>
          <w:sz w:val="24"/>
          <w:szCs w:val="23"/>
        </w:rPr>
        <w:t xml:space="preserve">Item 10 collects information on adjustments in the value of derivatives made by the reporting entity across different counterparty types and at the book-level. </w:t>
      </w:r>
    </w:p>
    <w:p w14:paraId="38370526" w14:textId="77777777" w:rsidR="00E90C5A" w:rsidRDefault="00E90C5A" w:rsidP="00E90C5A">
      <w:pPr>
        <w:jc w:val="both"/>
        <w:rPr>
          <w:rFonts w:ascii="Times New Roman" w:hAnsi="Times New Roman"/>
          <w:sz w:val="24"/>
          <w:szCs w:val="23"/>
        </w:rPr>
      </w:pPr>
    </w:p>
    <w:p w14:paraId="31CD524F" w14:textId="77777777" w:rsidR="00E90C5A" w:rsidRPr="000104B3" w:rsidRDefault="00E90C5A" w:rsidP="00E90C5A">
      <w:pPr>
        <w:jc w:val="both"/>
        <w:rPr>
          <w:rFonts w:ascii="Times New Roman" w:hAnsi="Times New Roman"/>
          <w:sz w:val="24"/>
          <w:szCs w:val="23"/>
        </w:rPr>
      </w:pPr>
      <w:r w:rsidRPr="00786A96">
        <w:rPr>
          <w:rFonts w:ascii="Times New Roman" w:hAnsi="Times New Roman"/>
          <w:sz w:val="24"/>
          <w:szCs w:val="23"/>
        </w:rPr>
        <w:t>If no adjustments are included in reported values for other items, reporting o</w:t>
      </w:r>
      <w:r>
        <w:rPr>
          <w:rFonts w:ascii="Times New Roman" w:hAnsi="Times New Roman"/>
          <w:sz w:val="24"/>
          <w:szCs w:val="23"/>
        </w:rPr>
        <w:t>f</w:t>
      </w:r>
      <w:r w:rsidRPr="00786A96">
        <w:rPr>
          <w:rFonts w:ascii="Times New Roman" w:hAnsi="Times New Roman"/>
          <w:sz w:val="24"/>
          <w:szCs w:val="23"/>
        </w:rPr>
        <w:t xml:space="preserve"> this item is </w:t>
      </w:r>
      <w:r w:rsidRPr="00786A96">
        <w:rPr>
          <w:rFonts w:ascii="Times New Roman" w:hAnsi="Times New Roman"/>
          <w:sz w:val="24"/>
          <w:szCs w:val="23"/>
          <w:u w:val="single"/>
        </w:rPr>
        <w:t>not required</w:t>
      </w:r>
      <w:r w:rsidRPr="00786A96">
        <w:rPr>
          <w:rFonts w:ascii="Times New Roman" w:hAnsi="Times New Roman"/>
          <w:sz w:val="24"/>
          <w:szCs w:val="23"/>
        </w:rPr>
        <w:t>.</w:t>
      </w:r>
    </w:p>
    <w:p w14:paraId="2CDB6077" w14:textId="77777777" w:rsidR="00E90C5A" w:rsidRPr="000104B3" w:rsidRDefault="00E90C5A" w:rsidP="00E90C5A">
      <w:pPr>
        <w:jc w:val="both"/>
        <w:rPr>
          <w:rFonts w:ascii="Times New Roman" w:hAnsi="Times New Roman"/>
          <w:sz w:val="24"/>
          <w:szCs w:val="23"/>
        </w:rPr>
      </w:pPr>
    </w:p>
    <w:p w14:paraId="77107ECF" w14:textId="77777777" w:rsidR="00E90C5A" w:rsidRPr="000104B3" w:rsidRDefault="00E90C5A" w:rsidP="00E90C5A">
      <w:pPr>
        <w:jc w:val="both"/>
        <w:rPr>
          <w:rFonts w:ascii="Times New Roman" w:hAnsi="Times New Roman"/>
          <w:sz w:val="24"/>
          <w:szCs w:val="23"/>
        </w:rPr>
      </w:pPr>
      <w:r w:rsidRPr="000104B3">
        <w:rPr>
          <w:rFonts w:ascii="Times New Roman" w:hAnsi="Times New Roman"/>
          <w:sz w:val="24"/>
          <w:szCs w:val="23"/>
        </w:rPr>
        <w:t xml:space="preserve">Report separately for </w:t>
      </w:r>
      <w:r w:rsidRPr="000104B3">
        <w:rPr>
          <w:rFonts w:ascii="Times New Roman" w:hAnsi="Times New Roman"/>
          <w:b/>
          <w:i/>
          <w:sz w:val="24"/>
          <w:szCs w:val="23"/>
        </w:rPr>
        <w:t>resident</w:t>
      </w:r>
      <w:r w:rsidRPr="000104B3">
        <w:rPr>
          <w:rFonts w:ascii="Times New Roman" w:hAnsi="Times New Roman"/>
          <w:sz w:val="24"/>
          <w:szCs w:val="23"/>
        </w:rPr>
        <w:t xml:space="preserve"> and </w:t>
      </w:r>
      <w:r w:rsidRPr="000104B3">
        <w:rPr>
          <w:rFonts w:ascii="Times New Roman" w:hAnsi="Times New Roman"/>
          <w:b/>
          <w:i/>
          <w:sz w:val="24"/>
          <w:szCs w:val="23"/>
        </w:rPr>
        <w:t>non-resident</w:t>
      </w:r>
      <w:r w:rsidRPr="000104B3">
        <w:rPr>
          <w:rFonts w:ascii="Times New Roman" w:hAnsi="Times New Roman"/>
          <w:sz w:val="24"/>
          <w:szCs w:val="23"/>
        </w:rPr>
        <w:t xml:space="preserve"> counterparties.</w:t>
      </w:r>
      <w:r w:rsidRPr="000104B3">
        <w:rPr>
          <w:rFonts w:ascii="Times New Roman" w:hAnsi="Times New Roman"/>
          <w:b/>
          <w:i/>
          <w:sz w:val="24"/>
          <w:szCs w:val="23"/>
        </w:rPr>
        <w:t xml:space="preserve"> Resident</w:t>
      </w:r>
      <w:r w:rsidRPr="000104B3">
        <w:rPr>
          <w:rFonts w:ascii="Times New Roman" w:hAnsi="Times New Roman"/>
          <w:sz w:val="24"/>
          <w:szCs w:val="23"/>
        </w:rPr>
        <w:t xml:space="preserve"> counterparties should be chosen from the list provided.</w:t>
      </w:r>
    </w:p>
    <w:p w14:paraId="4EDDB346" w14:textId="77777777" w:rsidR="00E90C5A" w:rsidRDefault="00E90C5A" w:rsidP="00E90C5A">
      <w:pPr>
        <w:rPr>
          <w:lang w:eastAsia="en-AU"/>
        </w:rPr>
      </w:pPr>
    </w:p>
    <w:tbl>
      <w:tblPr>
        <w:tblW w:w="9071" w:type="dxa"/>
        <w:tblInd w:w="108" w:type="dxa"/>
        <w:tblLayout w:type="fixed"/>
        <w:tblLook w:val="04A0" w:firstRow="1" w:lastRow="0" w:firstColumn="1" w:lastColumn="0" w:noHBand="0" w:noVBand="1"/>
      </w:tblPr>
      <w:tblGrid>
        <w:gridCol w:w="1701"/>
        <w:gridCol w:w="7370"/>
      </w:tblGrid>
      <w:tr w:rsidR="00E90C5A" w:rsidRPr="00AA7BD2" w14:paraId="4D8F267A"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2A3369CF" w14:textId="77777777" w:rsidR="00E90C5A" w:rsidRPr="00190C82" w:rsidRDefault="00E90C5A" w:rsidP="00FA329B">
            <w:pPr>
              <w:spacing w:before="120" w:after="120"/>
              <w:rPr>
                <w:rFonts w:ascii="Times New Roman" w:hAnsi="Times New Roman"/>
                <w:b/>
                <w:sz w:val="24"/>
                <w:szCs w:val="23"/>
              </w:rPr>
            </w:pPr>
            <w:r w:rsidRPr="000104B3">
              <w:rPr>
                <w:rFonts w:ascii="Times New Roman" w:hAnsi="Times New Roman"/>
                <w:b/>
                <w:sz w:val="24"/>
                <w:szCs w:val="23"/>
              </w:rPr>
              <w:t>Column 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16EFAD3" w14:textId="019F5311"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Report the type of </w:t>
            </w:r>
            <w:r w:rsidR="00240461" w:rsidRPr="00E97C10">
              <w:rPr>
                <w:rFonts w:ascii="Times New Roman" w:hAnsi="Times New Roman"/>
                <w:b/>
                <w:bCs/>
                <w:i/>
                <w:sz w:val="24"/>
                <w:szCs w:val="23"/>
              </w:rPr>
              <w:t>resident</w:t>
            </w:r>
            <w:r w:rsidR="00240461">
              <w:rPr>
                <w:rFonts w:ascii="Times New Roman" w:hAnsi="Times New Roman"/>
                <w:bCs/>
                <w:sz w:val="24"/>
                <w:szCs w:val="23"/>
              </w:rPr>
              <w:t xml:space="preserve"> </w:t>
            </w:r>
            <w:r w:rsidRPr="000104B3">
              <w:rPr>
                <w:rFonts w:ascii="Times New Roman" w:hAnsi="Times New Roman"/>
                <w:bCs/>
                <w:sz w:val="24"/>
                <w:szCs w:val="23"/>
              </w:rPr>
              <w:t>counterparty (s</w:t>
            </w:r>
            <w:r w:rsidRPr="00CF5667">
              <w:rPr>
                <w:rFonts w:ascii="Times New Roman" w:hAnsi="Times New Roman"/>
                <w:bCs/>
                <w:sz w:val="24"/>
                <w:szCs w:val="23"/>
              </w:rPr>
              <w:t>ee List 1.3</w:t>
            </w:r>
            <w:r w:rsidRPr="000104B3">
              <w:rPr>
                <w:rFonts w:ascii="Times New Roman" w:hAnsi="Times New Roman"/>
                <w:bCs/>
                <w:sz w:val="24"/>
                <w:szCs w:val="23"/>
              </w:rPr>
              <w:t xml:space="preserve"> for further details).</w:t>
            </w:r>
          </w:p>
          <w:p w14:paraId="69993536" w14:textId="77777777" w:rsidR="00E90C5A" w:rsidRPr="00CF5667"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Item 10.1(1) is a counterparty type not included in List 1.3. Include all </w:t>
            </w:r>
            <w:r w:rsidRPr="000104B3">
              <w:rPr>
                <w:rFonts w:ascii="Times New Roman" w:hAnsi="Times New Roman"/>
                <w:b/>
                <w:bCs/>
                <w:i/>
                <w:sz w:val="24"/>
                <w:szCs w:val="23"/>
              </w:rPr>
              <w:t xml:space="preserve">non-resident </w:t>
            </w:r>
            <w:r w:rsidRPr="000104B3">
              <w:rPr>
                <w:rFonts w:ascii="Times New Roman" w:hAnsi="Times New Roman"/>
                <w:bCs/>
                <w:sz w:val="24"/>
                <w:szCs w:val="23"/>
              </w:rPr>
              <w:t>counterparties.</w:t>
            </w:r>
          </w:p>
          <w:p w14:paraId="359B3A2D" w14:textId="77777777"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Item 10.1.1(1) is a counterparty type not included in List 1.3. Include </w:t>
            </w:r>
            <w:r w:rsidRPr="000104B3">
              <w:rPr>
                <w:rFonts w:ascii="Times New Roman" w:hAnsi="Times New Roman"/>
                <w:b/>
                <w:i/>
                <w:sz w:val="24"/>
                <w:szCs w:val="23"/>
              </w:rPr>
              <w:t>non-resident clearing houses and central counterparties</w:t>
            </w:r>
            <w:r w:rsidRPr="000104B3">
              <w:rPr>
                <w:rFonts w:ascii="Times New Roman" w:hAnsi="Times New Roman"/>
                <w:bCs/>
                <w:sz w:val="24"/>
                <w:szCs w:val="23"/>
              </w:rPr>
              <w:t>.</w:t>
            </w:r>
          </w:p>
          <w:p w14:paraId="1F1396DC" w14:textId="77777777" w:rsidR="00E90C5A" w:rsidRPr="00190C82"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Item </w:t>
            </w:r>
            <w:r>
              <w:rPr>
                <w:rFonts w:ascii="Times New Roman" w:hAnsi="Times New Roman"/>
                <w:bCs/>
                <w:sz w:val="24"/>
                <w:szCs w:val="23"/>
              </w:rPr>
              <w:t>10.2</w:t>
            </w:r>
            <w:r w:rsidRPr="000104B3">
              <w:rPr>
                <w:rFonts w:ascii="Times New Roman" w:hAnsi="Times New Roman"/>
                <w:bCs/>
                <w:sz w:val="24"/>
                <w:szCs w:val="23"/>
              </w:rPr>
              <w:t>(1) is for adjustments not applied to specific counterparties. Include all adjustments applied at the trading book or banking book level.</w:t>
            </w:r>
          </w:p>
        </w:tc>
      </w:tr>
      <w:tr w:rsidR="00E90C5A" w:rsidRPr="00AA7BD2" w14:paraId="67FC916A"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07C3E4C6" w14:textId="77777777" w:rsidR="00E90C5A" w:rsidRPr="000104B3" w:rsidRDefault="00E90C5A" w:rsidP="00FA329B">
            <w:pPr>
              <w:spacing w:before="120" w:after="120"/>
              <w:rPr>
                <w:rFonts w:ascii="Times New Roman" w:hAnsi="Times New Roman"/>
                <w:b/>
                <w:sz w:val="24"/>
                <w:szCs w:val="23"/>
              </w:rPr>
            </w:pPr>
            <w:r w:rsidRPr="000104B3">
              <w:rPr>
                <w:rFonts w:ascii="Times New Roman" w:hAnsi="Times New Roman"/>
                <w:b/>
                <w:sz w:val="24"/>
                <w:szCs w:val="23"/>
              </w:rPr>
              <w:t>Column 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012C3A3A" w14:textId="77777777"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Report the value of adjustments applied at that counterparty level.</w:t>
            </w:r>
          </w:p>
          <w:p w14:paraId="18C282B0" w14:textId="77777777"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
                <w:bCs/>
                <w:sz w:val="24"/>
                <w:szCs w:val="23"/>
              </w:rPr>
              <w:t xml:space="preserve">Reporting basis: </w:t>
            </w:r>
            <w:r w:rsidRPr="000104B3">
              <w:rPr>
                <w:rFonts w:ascii="Times New Roman" w:hAnsi="Times New Roman"/>
                <w:bCs/>
                <w:sz w:val="24"/>
                <w:szCs w:val="23"/>
              </w:rPr>
              <w:t xml:space="preserve">report column 2 </w:t>
            </w:r>
            <w:r>
              <w:rPr>
                <w:rFonts w:ascii="Times New Roman" w:hAnsi="Times New Roman"/>
                <w:bCs/>
                <w:sz w:val="24"/>
                <w:szCs w:val="23"/>
              </w:rPr>
              <w:t xml:space="preserve">as the sum of the value of adjustments applied </w:t>
            </w:r>
            <w:r w:rsidRPr="000104B3">
              <w:rPr>
                <w:rFonts w:ascii="Times New Roman" w:hAnsi="Times New Roman"/>
                <w:bCs/>
                <w:sz w:val="24"/>
                <w:szCs w:val="23"/>
              </w:rPr>
              <w:t xml:space="preserve">during the </w:t>
            </w:r>
            <w:r w:rsidRPr="000104B3">
              <w:rPr>
                <w:rFonts w:ascii="Times New Roman" w:hAnsi="Times New Roman"/>
                <w:b/>
                <w:bCs/>
                <w:i/>
                <w:sz w:val="24"/>
                <w:szCs w:val="23"/>
              </w:rPr>
              <w:t>reporting period</w:t>
            </w:r>
            <w:r w:rsidRPr="000104B3">
              <w:rPr>
                <w:rFonts w:ascii="Times New Roman" w:hAnsi="Times New Roman"/>
                <w:bCs/>
                <w:sz w:val="24"/>
                <w:szCs w:val="23"/>
              </w:rPr>
              <w:t>.</w:t>
            </w:r>
          </w:p>
          <w:p w14:paraId="791C5594" w14:textId="77777777" w:rsidR="00E90C5A" w:rsidRPr="00CB082D" w:rsidRDefault="00E90C5A" w:rsidP="00FA329B">
            <w:pPr>
              <w:autoSpaceDE w:val="0"/>
              <w:autoSpaceDN w:val="0"/>
              <w:adjustRightInd w:val="0"/>
              <w:spacing w:before="120" w:after="120"/>
              <w:jc w:val="both"/>
              <w:rPr>
                <w:rFonts w:ascii="Times New Roman" w:hAnsi="Times New Roman"/>
                <w:bCs/>
                <w:sz w:val="24"/>
                <w:szCs w:val="23"/>
              </w:rPr>
            </w:pPr>
            <w:r w:rsidRPr="00CB082D">
              <w:rPr>
                <w:rFonts w:ascii="Times New Roman" w:hAnsi="Times New Roman"/>
                <w:bCs/>
                <w:sz w:val="24"/>
                <w:szCs w:val="23"/>
              </w:rPr>
              <w:t xml:space="preserve">Report the value of adjustments applied at the counterparty level for all </w:t>
            </w:r>
            <w:r w:rsidRPr="00CB082D">
              <w:rPr>
                <w:rFonts w:ascii="Times New Roman" w:hAnsi="Times New Roman"/>
                <w:b/>
                <w:bCs/>
                <w:i/>
                <w:sz w:val="24"/>
                <w:szCs w:val="23"/>
              </w:rPr>
              <w:t xml:space="preserve">non-resident </w:t>
            </w:r>
            <w:r w:rsidRPr="00CB082D">
              <w:rPr>
                <w:rFonts w:ascii="Times New Roman" w:hAnsi="Times New Roman"/>
                <w:bCs/>
                <w:sz w:val="24"/>
                <w:szCs w:val="23"/>
              </w:rPr>
              <w:t>counterparties</w:t>
            </w:r>
            <w:r>
              <w:rPr>
                <w:rFonts w:ascii="Times New Roman" w:hAnsi="Times New Roman"/>
                <w:bCs/>
                <w:sz w:val="24"/>
                <w:szCs w:val="23"/>
              </w:rPr>
              <w:t xml:space="preserve"> in item 10.1</w:t>
            </w:r>
            <w:r w:rsidRPr="00CB082D">
              <w:rPr>
                <w:rFonts w:ascii="Times New Roman" w:hAnsi="Times New Roman"/>
                <w:bCs/>
                <w:sz w:val="24"/>
                <w:szCs w:val="23"/>
              </w:rPr>
              <w:t>(2).</w:t>
            </w:r>
          </w:p>
          <w:p w14:paraId="4F0C0A96" w14:textId="77777777"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Report the value of adjustments applied at the counterparty level for </w:t>
            </w:r>
            <w:r w:rsidRPr="000104B3">
              <w:rPr>
                <w:rFonts w:ascii="Times New Roman" w:hAnsi="Times New Roman"/>
                <w:b/>
                <w:i/>
                <w:sz w:val="24"/>
                <w:szCs w:val="23"/>
              </w:rPr>
              <w:t xml:space="preserve">non-resident clearing houses and central counterparties </w:t>
            </w:r>
            <w:r w:rsidRPr="000104B3">
              <w:rPr>
                <w:rFonts w:ascii="Times New Roman" w:hAnsi="Times New Roman"/>
                <w:bCs/>
                <w:sz w:val="24"/>
                <w:szCs w:val="23"/>
              </w:rPr>
              <w:t>in item 10.1</w:t>
            </w:r>
            <w:r>
              <w:rPr>
                <w:rFonts w:ascii="Times New Roman" w:hAnsi="Times New Roman"/>
                <w:bCs/>
                <w:sz w:val="24"/>
                <w:szCs w:val="23"/>
              </w:rPr>
              <w:t>.1</w:t>
            </w:r>
            <w:r w:rsidRPr="000104B3">
              <w:rPr>
                <w:rFonts w:ascii="Times New Roman" w:hAnsi="Times New Roman"/>
                <w:bCs/>
                <w:sz w:val="24"/>
                <w:szCs w:val="23"/>
              </w:rPr>
              <w:t>(2).</w:t>
            </w:r>
          </w:p>
          <w:p w14:paraId="1BFEE972" w14:textId="77777777" w:rsidR="00E90C5A" w:rsidRPr="000104B3" w:rsidRDefault="00E90C5A" w:rsidP="00FA329B">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Item </w:t>
            </w:r>
            <w:r>
              <w:rPr>
                <w:rFonts w:ascii="Times New Roman" w:hAnsi="Times New Roman"/>
                <w:bCs/>
                <w:sz w:val="24"/>
                <w:szCs w:val="23"/>
              </w:rPr>
              <w:t>10.2</w:t>
            </w:r>
            <w:r w:rsidRPr="000104B3">
              <w:rPr>
                <w:rFonts w:ascii="Times New Roman" w:hAnsi="Times New Roman"/>
                <w:bCs/>
                <w:sz w:val="24"/>
                <w:szCs w:val="23"/>
              </w:rPr>
              <w:t>(2) is for adjustments not applied to specific counterparties. Report all adjustments applied at the trading book or banking book level.</w:t>
            </w:r>
          </w:p>
          <w:p w14:paraId="1D4E82CC" w14:textId="146A32DB" w:rsidR="00E90C5A" w:rsidRPr="000104B3" w:rsidRDefault="00E90C5A" w:rsidP="00240461">
            <w:pPr>
              <w:autoSpaceDE w:val="0"/>
              <w:autoSpaceDN w:val="0"/>
              <w:adjustRightInd w:val="0"/>
              <w:spacing w:before="120" w:after="120"/>
              <w:jc w:val="both"/>
              <w:rPr>
                <w:rFonts w:ascii="Times New Roman" w:hAnsi="Times New Roman"/>
                <w:bCs/>
                <w:sz w:val="24"/>
                <w:szCs w:val="23"/>
              </w:rPr>
            </w:pPr>
            <w:r w:rsidRPr="000104B3">
              <w:rPr>
                <w:rFonts w:ascii="Times New Roman" w:hAnsi="Times New Roman"/>
                <w:bCs/>
                <w:sz w:val="24"/>
                <w:szCs w:val="23"/>
              </w:rPr>
              <w:t xml:space="preserve">Item </w:t>
            </w:r>
            <w:r>
              <w:rPr>
                <w:rFonts w:ascii="Times New Roman" w:hAnsi="Times New Roman"/>
                <w:bCs/>
                <w:sz w:val="24"/>
                <w:szCs w:val="23"/>
              </w:rPr>
              <w:t>10.3</w:t>
            </w:r>
            <w:r w:rsidRPr="000104B3">
              <w:rPr>
                <w:rFonts w:ascii="Times New Roman" w:hAnsi="Times New Roman"/>
                <w:bCs/>
                <w:sz w:val="24"/>
                <w:szCs w:val="23"/>
              </w:rPr>
              <w:t xml:space="preserve">(2) is a derived item. Report the value of adjustments applied </w:t>
            </w:r>
            <w:r>
              <w:rPr>
                <w:rFonts w:ascii="Times New Roman" w:hAnsi="Times New Roman"/>
                <w:bCs/>
                <w:sz w:val="24"/>
                <w:szCs w:val="23"/>
              </w:rPr>
              <w:t>in I</w:t>
            </w:r>
            <w:r w:rsidRPr="000104B3">
              <w:rPr>
                <w:rFonts w:ascii="Times New Roman" w:hAnsi="Times New Roman"/>
                <w:bCs/>
                <w:sz w:val="24"/>
                <w:szCs w:val="23"/>
              </w:rPr>
              <w:t xml:space="preserve">tem </w:t>
            </w:r>
            <w:r>
              <w:rPr>
                <w:rFonts w:ascii="Times New Roman" w:hAnsi="Times New Roman"/>
                <w:bCs/>
                <w:sz w:val="24"/>
                <w:szCs w:val="23"/>
              </w:rPr>
              <w:t>10.3</w:t>
            </w:r>
            <w:r w:rsidRPr="000104B3">
              <w:rPr>
                <w:rFonts w:ascii="Times New Roman" w:hAnsi="Times New Roman"/>
                <w:bCs/>
                <w:sz w:val="24"/>
                <w:szCs w:val="23"/>
              </w:rPr>
              <w:t>(2) as the sum of</w:t>
            </w:r>
            <w:r>
              <w:rPr>
                <w:rFonts w:ascii="Times New Roman" w:hAnsi="Times New Roman"/>
                <w:bCs/>
                <w:sz w:val="24"/>
                <w:szCs w:val="23"/>
              </w:rPr>
              <w:t xml:space="preserve"> all</w:t>
            </w:r>
            <w:r w:rsidRPr="000104B3">
              <w:rPr>
                <w:rFonts w:ascii="Times New Roman" w:hAnsi="Times New Roman"/>
                <w:bCs/>
                <w:sz w:val="24"/>
                <w:szCs w:val="23"/>
              </w:rPr>
              <w:t xml:space="preserve"> </w:t>
            </w:r>
            <w:r>
              <w:rPr>
                <w:rFonts w:ascii="Times New Roman" w:hAnsi="Times New Roman"/>
                <w:bCs/>
                <w:sz w:val="24"/>
                <w:szCs w:val="23"/>
              </w:rPr>
              <w:t xml:space="preserve">items in </w:t>
            </w:r>
            <w:r w:rsidRPr="000104B3">
              <w:rPr>
                <w:rFonts w:ascii="Times New Roman" w:hAnsi="Times New Roman"/>
                <w:bCs/>
                <w:sz w:val="24"/>
                <w:szCs w:val="23"/>
              </w:rPr>
              <w:t>column 2</w:t>
            </w:r>
            <w:r>
              <w:rPr>
                <w:rFonts w:ascii="Times New Roman" w:hAnsi="Times New Roman"/>
                <w:bCs/>
                <w:sz w:val="24"/>
                <w:szCs w:val="23"/>
              </w:rPr>
              <w:t xml:space="preserve"> excluding Item 10.</w:t>
            </w:r>
            <w:r w:rsidR="00240461">
              <w:rPr>
                <w:rFonts w:ascii="Times New Roman" w:hAnsi="Times New Roman"/>
                <w:bCs/>
                <w:sz w:val="24"/>
                <w:szCs w:val="23"/>
              </w:rPr>
              <w:t>1.1</w:t>
            </w:r>
            <w:r>
              <w:rPr>
                <w:rFonts w:ascii="Times New Roman" w:hAnsi="Times New Roman"/>
                <w:bCs/>
                <w:sz w:val="24"/>
                <w:szCs w:val="23"/>
              </w:rPr>
              <w:t>(2)</w:t>
            </w:r>
            <w:r w:rsidRPr="000104B3">
              <w:rPr>
                <w:rFonts w:ascii="Times New Roman" w:hAnsi="Times New Roman"/>
                <w:bCs/>
                <w:sz w:val="24"/>
                <w:szCs w:val="23"/>
              </w:rPr>
              <w:t>.</w:t>
            </w:r>
          </w:p>
        </w:tc>
      </w:tr>
    </w:tbl>
    <w:p w14:paraId="5F639062" w14:textId="77777777" w:rsidR="00E90C5A" w:rsidRPr="000104B3" w:rsidRDefault="00E90C5A" w:rsidP="00E90C5A">
      <w:pPr>
        <w:rPr>
          <w:lang w:eastAsia="en-AU"/>
        </w:rPr>
      </w:pPr>
    </w:p>
    <w:p w14:paraId="09A6E9A1" w14:textId="0864526A" w:rsidR="00E90C5A" w:rsidRPr="003B3E1C" w:rsidRDefault="005D2636" w:rsidP="00E90C5A">
      <w:pPr>
        <w:pStyle w:val="Heading2"/>
        <w:rPr>
          <w:lang w:eastAsia="en-AU"/>
        </w:rPr>
      </w:pPr>
      <w:r>
        <w:br w:type="page"/>
      </w:r>
      <w:r w:rsidR="00E90C5A" w:rsidRPr="003B3E1C">
        <w:lastRenderedPageBreak/>
        <w:t>List</w:t>
      </w:r>
      <w:r w:rsidR="00E90C5A">
        <w:rPr>
          <w:lang w:val="en-AU"/>
        </w:rPr>
        <w:t>s</w:t>
      </w:r>
    </w:p>
    <w:tbl>
      <w:tblPr>
        <w:tblW w:w="9071" w:type="dxa"/>
        <w:tblInd w:w="108" w:type="dxa"/>
        <w:tblLayout w:type="fixed"/>
        <w:tblLook w:val="04A0" w:firstRow="1" w:lastRow="0" w:firstColumn="1" w:lastColumn="0" w:noHBand="0" w:noVBand="1"/>
      </w:tblPr>
      <w:tblGrid>
        <w:gridCol w:w="1701"/>
        <w:gridCol w:w="7370"/>
      </w:tblGrid>
      <w:tr w:rsidR="00E90C5A" w:rsidRPr="003B3E1C" w14:paraId="6BD51EDD"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635D79C9" w14:textId="77777777" w:rsidR="00E90C5A" w:rsidRPr="000104B3" w:rsidRDefault="00E90C5A" w:rsidP="00FA329B">
            <w:pPr>
              <w:spacing w:before="120" w:after="120"/>
              <w:rPr>
                <w:rFonts w:ascii="Times New Roman" w:hAnsi="Times New Roman"/>
                <w:b/>
                <w:sz w:val="24"/>
                <w:szCs w:val="24"/>
              </w:rPr>
            </w:pPr>
            <w:r w:rsidRPr="000104B3">
              <w:rPr>
                <w:rFonts w:ascii="Times New Roman" w:hAnsi="Times New Roman"/>
                <w:b/>
                <w:sz w:val="24"/>
                <w:szCs w:val="24"/>
              </w:rPr>
              <w:t>List 1.1</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14160BFC" w14:textId="77777777" w:rsidR="00E90C5A" w:rsidRPr="000104B3" w:rsidRDefault="00E90C5A" w:rsidP="00FA329B">
            <w:pPr>
              <w:spacing w:before="120" w:after="120"/>
              <w:rPr>
                <w:rFonts w:ascii="Times New Roman" w:hAnsi="Times New Roman"/>
                <w:bCs/>
                <w:sz w:val="24"/>
                <w:szCs w:val="24"/>
              </w:rPr>
            </w:pPr>
            <w:r w:rsidRPr="000104B3">
              <w:rPr>
                <w:rFonts w:ascii="Times New Roman" w:hAnsi="Times New Roman"/>
                <w:bCs/>
                <w:sz w:val="24"/>
                <w:szCs w:val="24"/>
              </w:rPr>
              <w:t xml:space="preserve">Report </w:t>
            </w:r>
            <w:r w:rsidRPr="000104B3">
              <w:rPr>
                <w:rFonts w:ascii="Times New Roman" w:hAnsi="Times New Roman"/>
                <w:b/>
                <w:bCs/>
                <w:i/>
                <w:sz w:val="24"/>
                <w:szCs w:val="24"/>
              </w:rPr>
              <w:t xml:space="preserve">derivatives </w:t>
            </w:r>
            <w:r w:rsidRPr="000104B3">
              <w:rPr>
                <w:rFonts w:ascii="Times New Roman" w:hAnsi="Times New Roman"/>
                <w:bCs/>
                <w:sz w:val="24"/>
                <w:szCs w:val="24"/>
              </w:rPr>
              <w:t>excluding clearing houses and central counterparties.</w:t>
            </w:r>
          </w:p>
          <w:p w14:paraId="2CD66E9B" w14:textId="77777777" w:rsidR="00E90C5A" w:rsidRPr="003B3E1C" w:rsidRDefault="00E90C5A" w:rsidP="00FA329B">
            <w:pPr>
              <w:spacing w:before="120" w:after="120"/>
              <w:jc w:val="both"/>
              <w:rPr>
                <w:rFonts w:ascii="Times New Roman" w:hAnsi="Times New Roman"/>
                <w:bCs/>
                <w:sz w:val="23"/>
                <w:szCs w:val="23"/>
              </w:rPr>
            </w:pPr>
            <w:r w:rsidRPr="003B3E1C">
              <w:rPr>
                <w:rFonts w:ascii="Times New Roman" w:hAnsi="Times New Roman"/>
                <w:bCs/>
                <w:sz w:val="23"/>
                <w:szCs w:val="23"/>
              </w:rPr>
              <w:t>Report for each combination of type of counterparty and instrument type: the opening position gross positive/negative</w:t>
            </w:r>
            <w:r w:rsidRPr="003B3E1C">
              <w:rPr>
                <w:rFonts w:ascii="Times New Roman" w:hAnsi="Times New Roman"/>
                <w:b/>
                <w:bCs/>
                <w:i/>
                <w:sz w:val="23"/>
                <w:szCs w:val="23"/>
              </w:rPr>
              <w:t xml:space="preserve"> </w:t>
            </w:r>
            <w:r w:rsidRPr="008749B5">
              <w:rPr>
                <w:rFonts w:ascii="Times New Roman" w:hAnsi="Times New Roman"/>
                <w:bCs/>
                <w:sz w:val="23"/>
                <w:szCs w:val="23"/>
              </w:rPr>
              <w:t>mark to market value</w:t>
            </w:r>
            <w:r w:rsidRPr="008749B5">
              <w:rPr>
                <w:rStyle w:val="CommentReference"/>
                <w:sz w:val="23"/>
                <w:szCs w:val="23"/>
                <w:lang w:val="x-none" w:eastAsia="x-none"/>
              </w:rPr>
              <w:t>,</w:t>
            </w:r>
            <w:r w:rsidRPr="008749B5">
              <w:rPr>
                <w:rFonts w:ascii="Times New Roman" w:hAnsi="Times New Roman"/>
                <w:bCs/>
                <w:sz w:val="23"/>
                <w:szCs w:val="23"/>
              </w:rPr>
              <w:t xml:space="preserve"> transactions, the </w:t>
            </w:r>
            <w:r w:rsidRPr="00E97C10">
              <w:rPr>
                <w:rFonts w:ascii="Times New Roman" w:hAnsi="Times New Roman"/>
                <w:b/>
                <w:bCs/>
                <w:i/>
                <w:sz w:val="23"/>
                <w:szCs w:val="23"/>
              </w:rPr>
              <w:t>revaluations</w:t>
            </w:r>
            <w:r w:rsidRPr="008749B5">
              <w:rPr>
                <w:rFonts w:ascii="Times New Roman" w:hAnsi="Times New Roman"/>
                <w:bCs/>
                <w:sz w:val="23"/>
                <w:szCs w:val="23"/>
              </w:rPr>
              <w:t xml:space="preserve"> and closing position gross positive/negative mark to market value.</w:t>
            </w:r>
          </w:p>
          <w:p w14:paraId="395E02A8" w14:textId="77777777" w:rsidR="00E90C5A" w:rsidRPr="000104B3" w:rsidRDefault="00E90C5A" w:rsidP="00FA329B">
            <w:pPr>
              <w:spacing w:before="120" w:after="120"/>
              <w:jc w:val="both"/>
              <w:rPr>
                <w:rFonts w:ascii="Times New Roman" w:hAnsi="Times New Roman"/>
                <w:bCs/>
                <w:sz w:val="24"/>
                <w:szCs w:val="24"/>
              </w:rPr>
            </w:pPr>
            <w:r w:rsidRPr="000104B3">
              <w:rPr>
                <w:rFonts w:ascii="Times New Roman" w:hAnsi="Times New Roman"/>
                <w:bCs/>
                <w:sz w:val="24"/>
                <w:szCs w:val="24"/>
              </w:rPr>
              <w:t xml:space="preserve">The counterparty types are: </w:t>
            </w:r>
          </w:p>
          <w:p w14:paraId="6698B268" w14:textId="492DC1FE"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private non-financial investment funds;</w:t>
            </w:r>
          </w:p>
          <w:p w14:paraId="0B0135A6" w14:textId="7B77FD38"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other private non-financial corporations;</w:t>
            </w:r>
          </w:p>
          <w:p w14:paraId="4873CA11" w14:textId="453A464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private unincorporated businesses;</w:t>
            </w:r>
          </w:p>
          <w:p w14:paraId="1D1BC0D3"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state, territory and local government non-financial corporations;</w:t>
            </w:r>
          </w:p>
          <w:p w14:paraId="4CC11F8A"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Commonwealth Government non-financial corporations;</w:t>
            </w:r>
          </w:p>
          <w:p w14:paraId="27E3D683"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Reserve Bank of Australia (RBA)</w:t>
            </w:r>
            <w:r w:rsidRPr="000104B3">
              <w:rPr>
                <w:bCs/>
                <w:i/>
                <w:color w:val="auto"/>
                <w:lang w:eastAsia="en-US"/>
              </w:rPr>
              <w:t>;</w:t>
            </w:r>
          </w:p>
          <w:p w14:paraId="6AA93036" w14:textId="67A6F239"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authorised deposit-taking institutions (ADI)</w:t>
            </w:r>
            <w:r w:rsidRPr="000104B3">
              <w:rPr>
                <w:bCs/>
                <w:i/>
                <w:color w:val="auto"/>
                <w:lang w:eastAsia="en-US"/>
              </w:rPr>
              <w:t>;</w:t>
            </w:r>
          </w:p>
          <w:p w14:paraId="77AB7289" w14:textId="0AA76C25"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registered financial corporations (RFC)</w:t>
            </w:r>
            <w:r w:rsidRPr="000104B3">
              <w:rPr>
                <w:bCs/>
                <w:i/>
                <w:color w:val="auto"/>
                <w:lang w:eastAsia="en-US"/>
              </w:rPr>
              <w:t>;</w:t>
            </w:r>
          </w:p>
          <w:p w14:paraId="0755F9B1"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central borrowing authorities</w:t>
            </w:r>
            <w:r w:rsidRPr="000104B3">
              <w:rPr>
                <w:bCs/>
                <w:i/>
                <w:color w:val="auto"/>
                <w:lang w:eastAsia="en-US"/>
              </w:rPr>
              <w:t>;</w:t>
            </w:r>
          </w:p>
          <w:p w14:paraId="0858C1F6" w14:textId="53EC8F72"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insurance corporations</w:t>
            </w:r>
            <w:r w:rsidRPr="000104B3">
              <w:rPr>
                <w:bCs/>
                <w:i/>
                <w:color w:val="auto"/>
                <w:lang w:eastAsia="en-US"/>
              </w:rPr>
              <w:t>;</w:t>
            </w:r>
          </w:p>
          <w:p w14:paraId="5015B8DB" w14:textId="3547F79C"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superannuation funds</w:t>
            </w:r>
            <w:r w:rsidRPr="000104B3">
              <w:rPr>
                <w:bCs/>
                <w:i/>
                <w:color w:val="auto"/>
                <w:lang w:eastAsia="en-US"/>
              </w:rPr>
              <w:t>;</w:t>
            </w:r>
          </w:p>
          <w:p w14:paraId="6C619621" w14:textId="24F2E46E" w:rsidR="00E90C5A" w:rsidRPr="000104B3" w:rsidRDefault="00E90C5A" w:rsidP="00FA329B">
            <w:pPr>
              <w:pStyle w:val="Default"/>
              <w:numPr>
                <w:ilvl w:val="0"/>
                <w:numId w:val="6"/>
              </w:numPr>
              <w:spacing w:before="120" w:after="120"/>
              <w:ind w:left="714" w:hanging="357"/>
              <w:rPr>
                <w:bCs/>
                <w:color w:val="auto"/>
                <w:lang w:eastAsia="en-US"/>
              </w:rPr>
            </w:pPr>
            <w:r w:rsidRPr="000104B3">
              <w:rPr>
                <w:b/>
                <w:bCs/>
                <w:i/>
                <w:color w:val="auto"/>
                <w:lang w:eastAsia="en-US"/>
              </w:rPr>
              <w:t>financial auxiliaries</w:t>
            </w:r>
            <w:r w:rsidRPr="000104B3">
              <w:rPr>
                <w:bCs/>
                <w:color w:val="auto"/>
                <w:lang w:eastAsia="en-US"/>
              </w:rPr>
              <w:t xml:space="preserve"> other than </w:t>
            </w:r>
            <w:r w:rsidRPr="000104B3">
              <w:rPr>
                <w:b/>
                <w:bCs/>
                <w:i/>
                <w:color w:val="auto"/>
                <w:lang w:eastAsia="en-US"/>
              </w:rPr>
              <w:t>clearing houses and central counterparties</w:t>
            </w:r>
            <w:r w:rsidRPr="000104B3">
              <w:rPr>
                <w:bCs/>
                <w:color w:val="auto"/>
                <w:lang w:eastAsia="en-US"/>
              </w:rPr>
              <w:t>;</w:t>
            </w:r>
          </w:p>
          <w:p w14:paraId="76C95164" w14:textId="153211C0" w:rsidR="00E90C5A" w:rsidRPr="000104B3" w:rsidRDefault="00E90C5A" w:rsidP="00FA329B">
            <w:pPr>
              <w:pStyle w:val="Default"/>
              <w:numPr>
                <w:ilvl w:val="0"/>
                <w:numId w:val="6"/>
              </w:numPr>
              <w:spacing w:before="120" w:after="120"/>
              <w:ind w:left="714" w:hanging="357"/>
              <w:rPr>
                <w:b/>
                <w:bCs/>
                <w:i/>
                <w:color w:val="auto"/>
                <w:lang w:eastAsia="en-US"/>
              </w:rPr>
            </w:pPr>
            <w:proofErr w:type="spellStart"/>
            <w:r w:rsidRPr="000104B3">
              <w:rPr>
                <w:b/>
                <w:bCs/>
                <w:i/>
                <w:color w:val="auto"/>
                <w:lang w:eastAsia="en-US"/>
              </w:rPr>
              <w:t>securitisers</w:t>
            </w:r>
            <w:proofErr w:type="spellEnd"/>
            <w:r w:rsidRPr="000104B3">
              <w:rPr>
                <w:bCs/>
                <w:i/>
                <w:color w:val="auto"/>
                <w:lang w:eastAsia="en-US"/>
              </w:rPr>
              <w:t>;</w:t>
            </w:r>
          </w:p>
          <w:p w14:paraId="24446EA1" w14:textId="3CDFB8A9"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money-market investment funds</w:t>
            </w:r>
            <w:r w:rsidRPr="000104B3">
              <w:rPr>
                <w:bCs/>
                <w:i/>
                <w:color w:val="auto"/>
                <w:lang w:eastAsia="en-US"/>
              </w:rPr>
              <w:t>;</w:t>
            </w:r>
          </w:p>
          <w:p w14:paraId="7054CF5B" w14:textId="6DBBF0ED"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non-money-market financial investment funds</w:t>
            </w:r>
            <w:r w:rsidRPr="000104B3">
              <w:rPr>
                <w:bCs/>
                <w:i/>
                <w:color w:val="auto"/>
                <w:lang w:eastAsia="en-US"/>
              </w:rPr>
              <w:t>;</w:t>
            </w:r>
          </w:p>
          <w:p w14:paraId="00A3D118" w14:textId="5E16A384" w:rsidR="00E90C5A" w:rsidRPr="000104B3" w:rsidRDefault="00E90C5A" w:rsidP="00FA329B">
            <w:pPr>
              <w:pStyle w:val="Default"/>
              <w:numPr>
                <w:ilvl w:val="0"/>
                <w:numId w:val="6"/>
              </w:numPr>
              <w:spacing w:before="120" w:after="120"/>
              <w:ind w:left="714" w:hanging="357"/>
              <w:rPr>
                <w:bCs/>
                <w:color w:val="auto"/>
                <w:lang w:eastAsia="en-US"/>
              </w:rPr>
            </w:pPr>
            <w:r w:rsidRPr="000104B3">
              <w:rPr>
                <w:b/>
                <w:bCs/>
                <w:i/>
                <w:color w:val="auto"/>
                <w:lang w:eastAsia="en-US"/>
              </w:rPr>
              <w:t xml:space="preserve">financial institutions </w:t>
            </w:r>
            <w:proofErr w:type="spellStart"/>
            <w:r w:rsidRPr="000104B3">
              <w:rPr>
                <w:b/>
                <w:bCs/>
                <w:i/>
                <w:color w:val="auto"/>
                <w:lang w:eastAsia="en-US"/>
              </w:rPr>
              <w:t>n.e.c.</w:t>
            </w:r>
            <w:proofErr w:type="spellEnd"/>
            <w:r w:rsidRPr="000104B3">
              <w:rPr>
                <w:bCs/>
                <w:color w:val="auto"/>
                <w:lang w:eastAsia="en-US"/>
              </w:rPr>
              <w:t>;</w:t>
            </w:r>
          </w:p>
          <w:p w14:paraId="27994316" w14:textId="77777777" w:rsidR="00E90C5A" w:rsidRPr="000104B3" w:rsidRDefault="00E90C5A" w:rsidP="00FA329B">
            <w:pPr>
              <w:pStyle w:val="Default"/>
              <w:numPr>
                <w:ilvl w:val="0"/>
                <w:numId w:val="6"/>
              </w:numPr>
              <w:spacing w:before="120" w:after="120"/>
              <w:ind w:left="714" w:hanging="357"/>
              <w:rPr>
                <w:bCs/>
                <w:color w:val="auto"/>
                <w:lang w:eastAsia="en-US"/>
              </w:rPr>
            </w:pPr>
            <w:r w:rsidRPr="000104B3">
              <w:rPr>
                <w:b/>
                <w:bCs/>
                <w:i/>
                <w:color w:val="auto"/>
                <w:lang w:eastAsia="en-US"/>
              </w:rPr>
              <w:t>state, territory and local general government</w:t>
            </w:r>
            <w:r w:rsidRPr="000104B3">
              <w:rPr>
                <w:bCs/>
                <w:color w:val="auto"/>
                <w:lang w:eastAsia="en-US"/>
              </w:rPr>
              <w:t>;</w:t>
            </w:r>
          </w:p>
          <w:p w14:paraId="3DAF73C4"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0104B3">
              <w:rPr>
                <w:b/>
                <w:bCs/>
                <w:i/>
                <w:color w:val="auto"/>
                <w:lang w:eastAsia="en-US"/>
              </w:rPr>
              <w:t>Commonwealth general government</w:t>
            </w:r>
            <w:r w:rsidRPr="000104B3">
              <w:rPr>
                <w:bCs/>
                <w:i/>
                <w:color w:val="auto"/>
                <w:lang w:eastAsia="en-US"/>
              </w:rPr>
              <w:t>;</w:t>
            </w:r>
          </w:p>
          <w:p w14:paraId="0EF90434" w14:textId="77777777" w:rsidR="00E90C5A" w:rsidRPr="000104B3" w:rsidRDefault="00E90C5A" w:rsidP="00FA329B">
            <w:pPr>
              <w:pStyle w:val="Default"/>
              <w:numPr>
                <w:ilvl w:val="0"/>
                <w:numId w:val="6"/>
              </w:numPr>
              <w:spacing w:before="120" w:after="120"/>
              <w:ind w:left="714" w:hanging="357"/>
              <w:rPr>
                <w:bCs/>
                <w:color w:val="auto"/>
                <w:lang w:eastAsia="en-US"/>
              </w:rPr>
            </w:pPr>
            <w:r w:rsidRPr="000104B3">
              <w:rPr>
                <w:bCs/>
                <w:color w:val="auto"/>
                <w:lang w:eastAsia="en-US"/>
              </w:rPr>
              <w:t xml:space="preserve">other </w:t>
            </w:r>
            <w:r w:rsidRPr="000104B3">
              <w:rPr>
                <w:b/>
                <w:bCs/>
                <w:i/>
                <w:color w:val="auto"/>
                <w:lang w:eastAsia="en-US"/>
              </w:rPr>
              <w:t>resident</w:t>
            </w:r>
            <w:r w:rsidRPr="000104B3">
              <w:rPr>
                <w:bCs/>
                <w:color w:val="auto"/>
                <w:lang w:eastAsia="en-US"/>
              </w:rPr>
              <w:t xml:space="preserve"> entities not already reported above.</w:t>
            </w:r>
          </w:p>
          <w:p w14:paraId="02230088" w14:textId="77777777" w:rsidR="00E90C5A" w:rsidRPr="000104B3" w:rsidRDefault="00E90C5A" w:rsidP="00FA329B">
            <w:pPr>
              <w:pStyle w:val="Default"/>
              <w:ind w:left="360"/>
              <w:rPr>
                <w:bCs/>
                <w:color w:val="auto"/>
                <w:lang w:eastAsia="en-US"/>
              </w:rPr>
            </w:pPr>
          </w:p>
          <w:p w14:paraId="13D81961" w14:textId="77777777" w:rsidR="00E90C5A" w:rsidRPr="000104B3" w:rsidRDefault="00E90C5A" w:rsidP="00FA329B">
            <w:pPr>
              <w:spacing w:before="120" w:after="120"/>
              <w:jc w:val="both"/>
              <w:rPr>
                <w:rFonts w:ascii="Times New Roman" w:hAnsi="Times New Roman"/>
                <w:bCs/>
                <w:sz w:val="24"/>
                <w:szCs w:val="24"/>
              </w:rPr>
            </w:pPr>
            <w:r w:rsidRPr="000104B3">
              <w:rPr>
                <w:rFonts w:ascii="Times New Roman" w:hAnsi="Times New Roman"/>
                <w:bCs/>
                <w:sz w:val="24"/>
                <w:szCs w:val="24"/>
              </w:rPr>
              <w:t xml:space="preserve">The instrument types are: </w:t>
            </w:r>
          </w:p>
          <w:p w14:paraId="64526C04" w14:textId="77777777" w:rsidR="00E90C5A" w:rsidRPr="000104B3" w:rsidRDefault="00E90C5A" w:rsidP="00FA329B">
            <w:pPr>
              <w:pStyle w:val="Default"/>
              <w:numPr>
                <w:ilvl w:val="0"/>
                <w:numId w:val="5"/>
              </w:numPr>
              <w:spacing w:before="120" w:after="120"/>
              <w:ind w:left="714" w:hanging="357"/>
              <w:rPr>
                <w:bCs/>
                <w:color w:val="auto"/>
                <w:lang w:eastAsia="en-US"/>
              </w:rPr>
            </w:pPr>
            <w:r w:rsidRPr="000104B3">
              <w:rPr>
                <w:bCs/>
                <w:color w:val="auto"/>
                <w:lang w:eastAsia="en-US"/>
              </w:rPr>
              <w:t>options;</w:t>
            </w:r>
          </w:p>
          <w:p w14:paraId="4906B4C3" w14:textId="77777777" w:rsidR="00E90C5A" w:rsidRPr="00FF60AD" w:rsidRDefault="00E90C5A" w:rsidP="00FA329B">
            <w:pPr>
              <w:pStyle w:val="Default"/>
              <w:numPr>
                <w:ilvl w:val="0"/>
                <w:numId w:val="5"/>
              </w:numPr>
              <w:spacing w:before="120" w:after="120"/>
              <w:ind w:left="714" w:hanging="357"/>
              <w:rPr>
                <w:bCs/>
                <w:color w:val="auto"/>
                <w:sz w:val="23"/>
                <w:szCs w:val="23"/>
                <w:lang w:eastAsia="en-US"/>
              </w:rPr>
            </w:pPr>
            <w:r w:rsidRPr="00FF60AD">
              <w:rPr>
                <w:bCs/>
                <w:color w:val="auto"/>
                <w:sz w:val="23"/>
                <w:szCs w:val="23"/>
                <w:lang w:eastAsia="en-US"/>
              </w:rPr>
              <w:t>forwards;</w:t>
            </w:r>
          </w:p>
          <w:p w14:paraId="2151787B" w14:textId="77777777" w:rsidR="00E90C5A" w:rsidRPr="00FF60AD" w:rsidRDefault="00E90C5A" w:rsidP="00FA329B">
            <w:pPr>
              <w:pStyle w:val="Default"/>
              <w:numPr>
                <w:ilvl w:val="0"/>
                <w:numId w:val="5"/>
              </w:numPr>
              <w:spacing w:before="120" w:after="120"/>
              <w:ind w:left="714" w:hanging="357"/>
              <w:rPr>
                <w:bCs/>
                <w:color w:val="auto"/>
                <w:sz w:val="23"/>
                <w:szCs w:val="23"/>
                <w:lang w:eastAsia="en-US"/>
              </w:rPr>
            </w:pPr>
            <w:r w:rsidRPr="00FF60AD">
              <w:rPr>
                <w:bCs/>
                <w:color w:val="auto"/>
                <w:sz w:val="23"/>
                <w:szCs w:val="23"/>
                <w:lang w:eastAsia="en-US"/>
              </w:rPr>
              <w:t>swaps; and</w:t>
            </w:r>
          </w:p>
          <w:p w14:paraId="4D87BFC7" w14:textId="77777777" w:rsidR="00E90C5A" w:rsidRPr="000104B3" w:rsidRDefault="00E90C5A" w:rsidP="00FA329B">
            <w:pPr>
              <w:pStyle w:val="Default"/>
              <w:numPr>
                <w:ilvl w:val="0"/>
                <w:numId w:val="5"/>
              </w:numPr>
              <w:spacing w:before="120" w:after="120"/>
              <w:ind w:left="714" w:hanging="357"/>
              <w:rPr>
                <w:bCs/>
                <w:color w:val="auto"/>
                <w:lang w:eastAsia="en-US"/>
              </w:rPr>
            </w:pPr>
            <w:r w:rsidRPr="00FF60AD">
              <w:rPr>
                <w:bCs/>
                <w:sz w:val="23"/>
                <w:szCs w:val="23"/>
              </w:rPr>
              <w:t>any other instrument types not reported above, excluding futures</w:t>
            </w:r>
            <w:r w:rsidRPr="000104B3">
              <w:rPr>
                <w:bCs/>
              </w:rPr>
              <w:t>.</w:t>
            </w:r>
          </w:p>
        </w:tc>
      </w:tr>
      <w:tr w:rsidR="00E90C5A" w:rsidRPr="003B3E1C" w14:paraId="286B8317"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6A0E01DD" w14:textId="77777777" w:rsidR="00E90C5A" w:rsidRPr="000104B3" w:rsidRDefault="00E90C5A" w:rsidP="00FA329B">
            <w:pPr>
              <w:spacing w:before="120" w:after="120"/>
              <w:rPr>
                <w:rFonts w:ascii="Times New Roman" w:hAnsi="Times New Roman"/>
                <w:b/>
                <w:sz w:val="24"/>
                <w:szCs w:val="24"/>
              </w:rPr>
            </w:pPr>
            <w:r w:rsidRPr="000104B3">
              <w:rPr>
                <w:rFonts w:ascii="Times New Roman" w:hAnsi="Times New Roman"/>
                <w:b/>
                <w:sz w:val="24"/>
                <w:szCs w:val="24"/>
              </w:rPr>
              <w:t>List 1.2</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66A659C" w14:textId="77777777" w:rsidR="00E90C5A" w:rsidRPr="000104B3" w:rsidRDefault="00E90C5A" w:rsidP="00FA329B">
            <w:pPr>
              <w:spacing w:before="120" w:after="120"/>
              <w:rPr>
                <w:rFonts w:ascii="Times New Roman" w:hAnsi="Times New Roman"/>
                <w:b/>
                <w:bCs/>
                <w:sz w:val="24"/>
                <w:szCs w:val="24"/>
              </w:rPr>
            </w:pPr>
            <w:r w:rsidRPr="000104B3">
              <w:rPr>
                <w:rFonts w:ascii="Times New Roman" w:hAnsi="Times New Roman"/>
                <w:bCs/>
                <w:sz w:val="24"/>
                <w:szCs w:val="24"/>
              </w:rPr>
              <w:t xml:space="preserve">Report </w:t>
            </w:r>
            <w:r w:rsidRPr="000104B3">
              <w:rPr>
                <w:rFonts w:ascii="Times New Roman" w:hAnsi="Times New Roman"/>
                <w:b/>
                <w:bCs/>
                <w:i/>
                <w:sz w:val="24"/>
                <w:szCs w:val="24"/>
              </w:rPr>
              <w:t>derivatives</w:t>
            </w:r>
            <w:r w:rsidRPr="000104B3">
              <w:rPr>
                <w:rFonts w:ascii="Times New Roman" w:hAnsi="Times New Roman"/>
                <w:b/>
                <w:bCs/>
                <w:sz w:val="24"/>
                <w:szCs w:val="24"/>
              </w:rPr>
              <w:t xml:space="preserve"> </w:t>
            </w:r>
            <w:r w:rsidRPr="000104B3">
              <w:rPr>
                <w:rFonts w:ascii="Times New Roman" w:hAnsi="Times New Roman"/>
                <w:bCs/>
                <w:sz w:val="24"/>
                <w:szCs w:val="24"/>
              </w:rPr>
              <w:t>with</w:t>
            </w:r>
            <w:r w:rsidRPr="000104B3">
              <w:rPr>
                <w:rFonts w:ascii="Times New Roman" w:hAnsi="Times New Roman"/>
                <w:b/>
                <w:bCs/>
                <w:i/>
                <w:sz w:val="24"/>
                <w:szCs w:val="24"/>
              </w:rPr>
              <w:t xml:space="preserve"> non-resident </w:t>
            </w:r>
            <w:r w:rsidRPr="000104B3">
              <w:rPr>
                <w:rFonts w:ascii="Times New Roman" w:hAnsi="Times New Roman"/>
                <w:bCs/>
                <w:sz w:val="24"/>
                <w:szCs w:val="24"/>
              </w:rPr>
              <w:t>counterparty.</w:t>
            </w:r>
          </w:p>
          <w:p w14:paraId="2AC8E1D9" w14:textId="77777777" w:rsidR="00E90C5A" w:rsidRPr="000104B3" w:rsidRDefault="00E90C5A" w:rsidP="00FA329B">
            <w:pPr>
              <w:spacing w:before="120" w:after="120"/>
              <w:rPr>
                <w:rFonts w:ascii="Times New Roman" w:hAnsi="Times New Roman"/>
                <w:color w:val="000000"/>
                <w:sz w:val="24"/>
                <w:szCs w:val="24"/>
              </w:rPr>
            </w:pPr>
            <w:r w:rsidRPr="000104B3">
              <w:rPr>
                <w:rFonts w:ascii="Times New Roman" w:hAnsi="Times New Roman"/>
                <w:bCs/>
                <w:sz w:val="24"/>
                <w:szCs w:val="24"/>
              </w:rPr>
              <w:lastRenderedPageBreak/>
              <w:t xml:space="preserve">Report for </w:t>
            </w:r>
            <w:r w:rsidRPr="000104B3">
              <w:rPr>
                <w:rFonts w:ascii="Times New Roman" w:hAnsi="Times New Roman"/>
                <w:b/>
                <w:bCs/>
                <w:i/>
                <w:sz w:val="24"/>
                <w:szCs w:val="24"/>
              </w:rPr>
              <w:t>residual maturity</w:t>
            </w:r>
            <w:r w:rsidRPr="000104B3">
              <w:rPr>
                <w:rFonts w:ascii="Times New Roman" w:hAnsi="Times New Roman"/>
                <w:bCs/>
                <w:sz w:val="24"/>
                <w:szCs w:val="24"/>
              </w:rPr>
              <w:t xml:space="preserve"> profile, </w:t>
            </w:r>
            <w:r w:rsidRPr="000104B3">
              <w:rPr>
                <w:rFonts w:ascii="Times New Roman" w:hAnsi="Times New Roman"/>
                <w:color w:val="000000"/>
                <w:sz w:val="24"/>
                <w:szCs w:val="24"/>
              </w:rPr>
              <w:t xml:space="preserve">the selected currency in which the assets or liabilities are likely to be repaid. </w:t>
            </w:r>
          </w:p>
          <w:p w14:paraId="778D02F1" w14:textId="77777777" w:rsidR="00E90C5A" w:rsidRPr="000104B3" w:rsidRDefault="00E90C5A" w:rsidP="00FA329B">
            <w:pPr>
              <w:spacing w:before="120" w:after="120"/>
              <w:rPr>
                <w:rFonts w:ascii="Times New Roman" w:hAnsi="Times New Roman"/>
                <w:color w:val="000000"/>
                <w:sz w:val="24"/>
                <w:szCs w:val="24"/>
              </w:rPr>
            </w:pPr>
            <w:r w:rsidRPr="000104B3">
              <w:rPr>
                <w:rFonts w:ascii="Times New Roman" w:hAnsi="Times New Roman"/>
                <w:color w:val="000000"/>
                <w:sz w:val="24"/>
                <w:szCs w:val="24"/>
              </w:rPr>
              <w:t>Positions denominated in foreign currency should be converted to Australian dollars</w:t>
            </w:r>
            <w:r w:rsidRPr="000104B3">
              <w:rPr>
                <w:rFonts w:ascii="Times New Roman" w:hAnsi="Times New Roman"/>
                <w:color w:val="000000"/>
                <w:sz w:val="24"/>
                <w:szCs w:val="24"/>
                <w:lang w:eastAsia="en-AU"/>
              </w:rPr>
              <w:t xml:space="preserve"> as at the end of the </w:t>
            </w:r>
            <w:r w:rsidRPr="000104B3">
              <w:rPr>
                <w:rFonts w:ascii="Times New Roman" w:hAnsi="Times New Roman"/>
                <w:b/>
                <w:bCs/>
                <w:i/>
                <w:iCs/>
                <w:color w:val="000000"/>
                <w:sz w:val="24"/>
                <w:szCs w:val="24"/>
                <w:lang w:eastAsia="en-AU"/>
              </w:rPr>
              <w:t>reporting period</w:t>
            </w:r>
            <w:r w:rsidRPr="000104B3">
              <w:rPr>
                <w:rFonts w:ascii="Times New Roman" w:hAnsi="Times New Roman"/>
                <w:color w:val="000000"/>
                <w:sz w:val="24"/>
                <w:szCs w:val="24"/>
              </w:rPr>
              <w:t xml:space="preserve">. </w:t>
            </w:r>
          </w:p>
          <w:p w14:paraId="77B6D1D5" w14:textId="77777777" w:rsidR="00E90C5A" w:rsidRPr="000104B3" w:rsidRDefault="00E90C5A" w:rsidP="00FA329B">
            <w:pPr>
              <w:spacing w:before="120" w:after="120"/>
              <w:rPr>
                <w:rFonts w:ascii="Times New Roman" w:hAnsi="Times New Roman"/>
                <w:color w:val="000000"/>
                <w:sz w:val="24"/>
                <w:szCs w:val="24"/>
              </w:rPr>
            </w:pPr>
            <w:r w:rsidRPr="000104B3">
              <w:rPr>
                <w:rFonts w:ascii="Times New Roman" w:hAnsi="Times New Roman"/>
                <w:color w:val="000000"/>
                <w:sz w:val="24"/>
                <w:szCs w:val="24"/>
              </w:rPr>
              <w:t>The selected currencies are:</w:t>
            </w:r>
          </w:p>
          <w:p w14:paraId="3B9CC301" w14:textId="77777777" w:rsidR="00E90C5A" w:rsidRPr="000104B3" w:rsidRDefault="00E90C5A" w:rsidP="00FA329B">
            <w:pPr>
              <w:numPr>
                <w:ilvl w:val="0"/>
                <w:numId w:val="9"/>
              </w:numPr>
              <w:spacing w:before="120" w:after="120"/>
              <w:ind w:left="714" w:hanging="357"/>
              <w:rPr>
                <w:rFonts w:ascii="Times New Roman" w:hAnsi="Times New Roman"/>
                <w:sz w:val="24"/>
                <w:szCs w:val="24"/>
              </w:rPr>
            </w:pPr>
            <w:r w:rsidRPr="000104B3">
              <w:rPr>
                <w:rFonts w:ascii="Times New Roman" w:hAnsi="Times New Roman"/>
                <w:sz w:val="24"/>
                <w:szCs w:val="24"/>
              </w:rPr>
              <w:t>Australian dollar (AUD);</w:t>
            </w:r>
          </w:p>
          <w:p w14:paraId="07F1C320"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U.S. dollar (USD);</w:t>
            </w:r>
          </w:p>
          <w:p w14:paraId="60D75A38"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Pound sterling (GBP);</w:t>
            </w:r>
          </w:p>
          <w:p w14:paraId="40AD0E01"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Japanese yen (JPY);</w:t>
            </w:r>
          </w:p>
          <w:p w14:paraId="49FF1946"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Euro (EUR);</w:t>
            </w:r>
          </w:p>
          <w:p w14:paraId="5A797542"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Swiss franc (CHF);</w:t>
            </w:r>
          </w:p>
          <w:p w14:paraId="00945539"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Chinese renminbi (RMB);</w:t>
            </w:r>
          </w:p>
          <w:p w14:paraId="559622EE"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South Korean won (KRW);</w:t>
            </w:r>
          </w:p>
          <w:p w14:paraId="7BC6D947"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New Zealand dollar (NZD);</w:t>
            </w:r>
          </w:p>
          <w:p w14:paraId="168A75C7"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Indian Rupee (INR);</w:t>
            </w:r>
          </w:p>
          <w:p w14:paraId="58D505DE"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 xml:space="preserve">South African rand (ZAR); </w:t>
            </w:r>
          </w:p>
          <w:p w14:paraId="7F4F06C9" w14:textId="77777777" w:rsidR="00E90C5A" w:rsidRPr="000104B3" w:rsidRDefault="00E90C5A" w:rsidP="00FA329B">
            <w:pPr>
              <w:numPr>
                <w:ilvl w:val="0"/>
                <w:numId w:val="9"/>
              </w:numPr>
              <w:spacing w:before="120" w:after="120"/>
              <w:rPr>
                <w:rFonts w:ascii="Times New Roman" w:hAnsi="Times New Roman"/>
                <w:sz w:val="24"/>
                <w:szCs w:val="24"/>
              </w:rPr>
            </w:pPr>
            <w:r w:rsidRPr="000104B3">
              <w:rPr>
                <w:rFonts w:ascii="Times New Roman" w:hAnsi="Times New Roman"/>
                <w:sz w:val="24"/>
                <w:szCs w:val="24"/>
              </w:rPr>
              <w:t>Canadian dollar (CAD); and</w:t>
            </w:r>
          </w:p>
          <w:p w14:paraId="15C457DD" w14:textId="7C06903D" w:rsidR="00E90C5A" w:rsidRPr="000104B3" w:rsidRDefault="00E90C5A" w:rsidP="00FA329B">
            <w:pPr>
              <w:numPr>
                <w:ilvl w:val="0"/>
                <w:numId w:val="9"/>
              </w:numPr>
              <w:spacing w:before="120" w:after="120"/>
              <w:rPr>
                <w:rFonts w:ascii="Times New Roman" w:hAnsi="Times New Roman"/>
                <w:bCs/>
                <w:sz w:val="24"/>
                <w:szCs w:val="24"/>
              </w:rPr>
            </w:pPr>
            <w:r>
              <w:rPr>
                <w:rFonts w:ascii="Times New Roman" w:hAnsi="Times New Roman"/>
                <w:sz w:val="24"/>
                <w:szCs w:val="24"/>
              </w:rPr>
              <w:t>o</w:t>
            </w:r>
            <w:r w:rsidRPr="000104B3">
              <w:rPr>
                <w:rFonts w:ascii="Times New Roman" w:hAnsi="Times New Roman"/>
                <w:sz w:val="24"/>
                <w:szCs w:val="24"/>
              </w:rPr>
              <w:t>ther (any other currency not reported above)</w:t>
            </w:r>
            <w:r w:rsidR="00F77471">
              <w:rPr>
                <w:rFonts w:ascii="Times New Roman" w:hAnsi="Times New Roman"/>
                <w:sz w:val="24"/>
                <w:szCs w:val="24"/>
              </w:rPr>
              <w:t>.</w:t>
            </w:r>
          </w:p>
        </w:tc>
      </w:tr>
      <w:tr w:rsidR="00E90C5A" w:rsidRPr="003B3E1C" w14:paraId="7E96AA59" w14:textId="77777777" w:rsidTr="00FA329B">
        <w:tc>
          <w:tcPr>
            <w:tcW w:w="1701" w:type="dxa"/>
            <w:tcBorders>
              <w:top w:val="single" w:sz="4" w:space="0" w:color="auto"/>
              <w:left w:val="single" w:sz="4" w:space="0" w:color="auto"/>
              <w:bottom w:val="single" w:sz="4" w:space="0" w:color="auto"/>
              <w:right w:val="single" w:sz="4" w:space="0" w:color="auto"/>
            </w:tcBorders>
            <w:shd w:val="clear" w:color="auto" w:fill="auto"/>
          </w:tcPr>
          <w:p w14:paraId="3F90DFF9" w14:textId="77777777" w:rsidR="00E90C5A" w:rsidRPr="00D40F06" w:rsidRDefault="00E90C5A" w:rsidP="00FA329B">
            <w:pPr>
              <w:spacing w:before="120" w:after="120"/>
              <w:rPr>
                <w:rFonts w:ascii="Times New Roman" w:hAnsi="Times New Roman"/>
                <w:b/>
                <w:sz w:val="24"/>
                <w:szCs w:val="24"/>
              </w:rPr>
            </w:pPr>
            <w:r>
              <w:rPr>
                <w:rFonts w:ascii="Times New Roman" w:hAnsi="Times New Roman"/>
                <w:b/>
                <w:sz w:val="24"/>
                <w:szCs w:val="24"/>
              </w:rPr>
              <w:lastRenderedPageBreak/>
              <w:t>List 1.3</w:t>
            </w:r>
          </w:p>
        </w:tc>
        <w:tc>
          <w:tcPr>
            <w:tcW w:w="7370" w:type="dxa"/>
            <w:tcBorders>
              <w:top w:val="single" w:sz="4" w:space="0" w:color="auto"/>
              <w:left w:val="single" w:sz="4" w:space="0" w:color="auto"/>
              <w:bottom w:val="single" w:sz="4" w:space="0" w:color="auto"/>
              <w:right w:val="single" w:sz="4" w:space="0" w:color="auto"/>
            </w:tcBorders>
            <w:shd w:val="clear" w:color="auto" w:fill="auto"/>
          </w:tcPr>
          <w:p w14:paraId="33ED2C66" w14:textId="77777777" w:rsidR="00E90C5A" w:rsidRPr="003060CA" w:rsidRDefault="00E90C5A" w:rsidP="00FA329B">
            <w:pPr>
              <w:spacing w:before="120" w:after="120"/>
              <w:rPr>
                <w:rFonts w:ascii="Times New Roman" w:hAnsi="Times New Roman"/>
                <w:bCs/>
                <w:sz w:val="24"/>
                <w:szCs w:val="24"/>
              </w:rPr>
            </w:pPr>
            <w:r w:rsidRPr="003060CA">
              <w:rPr>
                <w:rFonts w:ascii="Times New Roman" w:hAnsi="Times New Roman"/>
                <w:bCs/>
                <w:sz w:val="24"/>
                <w:szCs w:val="24"/>
              </w:rPr>
              <w:t xml:space="preserve">Report </w:t>
            </w:r>
            <w:r w:rsidRPr="003060CA">
              <w:rPr>
                <w:rFonts w:ascii="Times New Roman" w:hAnsi="Times New Roman"/>
                <w:b/>
                <w:bCs/>
                <w:i/>
                <w:sz w:val="24"/>
                <w:szCs w:val="24"/>
              </w:rPr>
              <w:t xml:space="preserve">derivatives </w:t>
            </w:r>
            <w:r>
              <w:rPr>
                <w:rFonts w:ascii="Times New Roman" w:hAnsi="Times New Roman"/>
                <w:bCs/>
                <w:sz w:val="24"/>
                <w:szCs w:val="24"/>
              </w:rPr>
              <w:t>in</w:t>
            </w:r>
            <w:r w:rsidRPr="003060CA">
              <w:rPr>
                <w:rFonts w:ascii="Times New Roman" w:hAnsi="Times New Roman"/>
                <w:bCs/>
                <w:sz w:val="24"/>
                <w:szCs w:val="24"/>
              </w:rPr>
              <w:t>cluding clearing houses and central counterparties.</w:t>
            </w:r>
          </w:p>
          <w:p w14:paraId="2CCD0FD6" w14:textId="77777777" w:rsidR="00E90C5A" w:rsidRDefault="00E90C5A" w:rsidP="00FA329B">
            <w:pPr>
              <w:spacing w:before="120" w:after="120"/>
              <w:rPr>
                <w:rFonts w:ascii="Times New Roman" w:hAnsi="Times New Roman"/>
                <w:bCs/>
                <w:sz w:val="24"/>
                <w:szCs w:val="24"/>
              </w:rPr>
            </w:pPr>
            <w:r>
              <w:rPr>
                <w:rFonts w:ascii="Times New Roman" w:hAnsi="Times New Roman"/>
                <w:bCs/>
                <w:sz w:val="24"/>
                <w:szCs w:val="24"/>
              </w:rPr>
              <w:t xml:space="preserve">Report for each counterparty type the value of adjustments applied at that counterparty level during the </w:t>
            </w:r>
            <w:r>
              <w:rPr>
                <w:rFonts w:ascii="Times New Roman" w:hAnsi="Times New Roman"/>
                <w:b/>
                <w:bCs/>
                <w:i/>
                <w:sz w:val="24"/>
                <w:szCs w:val="24"/>
              </w:rPr>
              <w:t>reporting period</w:t>
            </w:r>
            <w:r>
              <w:rPr>
                <w:rFonts w:ascii="Times New Roman" w:hAnsi="Times New Roman"/>
                <w:bCs/>
                <w:sz w:val="24"/>
                <w:szCs w:val="24"/>
              </w:rPr>
              <w:t>.</w:t>
            </w:r>
          </w:p>
          <w:p w14:paraId="51E542DB" w14:textId="77777777" w:rsidR="00E90C5A" w:rsidRDefault="00E90C5A" w:rsidP="00FA329B">
            <w:pPr>
              <w:spacing w:before="120" w:after="120"/>
              <w:rPr>
                <w:rFonts w:ascii="Times New Roman" w:hAnsi="Times New Roman"/>
                <w:bCs/>
                <w:sz w:val="24"/>
                <w:szCs w:val="24"/>
              </w:rPr>
            </w:pPr>
            <w:r>
              <w:rPr>
                <w:rFonts w:ascii="Times New Roman" w:hAnsi="Times New Roman"/>
                <w:bCs/>
                <w:sz w:val="24"/>
                <w:szCs w:val="24"/>
              </w:rPr>
              <w:t>The counterparty types are:</w:t>
            </w:r>
          </w:p>
          <w:p w14:paraId="6342BBA6" w14:textId="258BDCB1"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private non-financial investment funds;</w:t>
            </w:r>
          </w:p>
          <w:p w14:paraId="1225C552" w14:textId="019E2EB2"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other private non-financial corporations;</w:t>
            </w:r>
          </w:p>
          <w:p w14:paraId="4E0F917C" w14:textId="2C722594"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private unincorporated businesses;</w:t>
            </w:r>
          </w:p>
          <w:p w14:paraId="464D32D0" w14:textId="77777777"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state, territory and local government non-financial corporations;</w:t>
            </w:r>
          </w:p>
          <w:p w14:paraId="1AA33D91" w14:textId="77777777"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Commonwealth Government non-financial corporations;</w:t>
            </w:r>
          </w:p>
          <w:p w14:paraId="037D9BA7" w14:textId="77777777"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Reserve Bank of Australia (RBA)</w:t>
            </w:r>
            <w:r w:rsidRPr="003060CA">
              <w:rPr>
                <w:bCs/>
                <w:i/>
                <w:color w:val="auto"/>
                <w:lang w:eastAsia="en-US"/>
              </w:rPr>
              <w:t>;</w:t>
            </w:r>
          </w:p>
          <w:p w14:paraId="04C8FD16" w14:textId="32185A1C"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authorised deposit-taking institutions (ADI)</w:t>
            </w:r>
            <w:r w:rsidRPr="003060CA">
              <w:rPr>
                <w:bCs/>
                <w:i/>
                <w:color w:val="auto"/>
                <w:lang w:eastAsia="en-US"/>
              </w:rPr>
              <w:t>;</w:t>
            </w:r>
          </w:p>
          <w:p w14:paraId="2DA1D6F0" w14:textId="6B45C41E"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registered financial corporations (RFC)</w:t>
            </w:r>
            <w:r w:rsidRPr="003060CA">
              <w:rPr>
                <w:bCs/>
                <w:i/>
                <w:color w:val="auto"/>
                <w:lang w:eastAsia="en-US"/>
              </w:rPr>
              <w:t>;</w:t>
            </w:r>
          </w:p>
          <w:p w14:paraId="34BF7387" w14:textId="77777777"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central borrowing authorities</w:t>
            </w:r>
            <w:r w:rsidRPr="003060CA">
              <w:rPr>
                <w:bCs/>
                <w:i/>
                <w:color w:val="auto"/>
                <w:lang w:eastAsia="en-US"/>
              </w:rPr>
              <w:t>;</w:t>
            </w:r>
          </w:p>
          <w:p w14:paraId="2FBFE0AE" w14:textId="6E819038"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insurance corporations</w:t>
            </w:r>
            <w:r w:rsidRPr="003060CA">
              <w:rPr>
                <w:bCs/>
                <w:i/>
                <w:color w:val="auto"/>
                <w:lang w:eastAsia="en-US"/>
              </w:rPr>
              <w:t>;</w:t>
            </w:r>
          </w:p>
          <w:p w14:paraId="6F1B367E" w14:textId="7B86AA5A"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superannuation funds</w:t>
            </w:r>
            <w:r w:rsidRPr="003060CA">
              <w:rPr>
                <w:bCs/>
                <w:i/>
                <w:color w:val="auto"/>
                <w:lang w:eastAsia="en-US"/>
              </w:rPr>
              <w:t>;</w:t>
            </w:r>
          </w:p>
          <w:p w14:paraId="02068453" w14:textId="78424231" w:rsidR="00E90C5A" w:rsidRPr="003060CA" w:rsidRDefault="00E90C5A" w:rsidP="00FA329B">
            <w:pPr>
              <w:pStyle w:val="Default"/>
              <w:numPr>
                <w:ilvl w:val="0"/>
                <w:numId w:val="6"/>
              </w:numPr>
              <w:spacing w:before="120" w:after="120"/>
              <w:ind w:left="714" w:hanging="357"/>
              <w:rPr>
                <w:bCs/>
                <w:color w:val="auto"/>
                <w:lang w:eastAsia="en-US"/>
              </w:rPr>
            </w:pPr>
            <w:r w:rsidRPr="003060CA">
              <w:rPr>
                <w:b/>
                <w:bCs/>
                <w:i/>
                <w:color w:val="auto"/>
                <w:lang w:eastAsia="en-US"/>
              </w:rPr>
              <w:lastRenderedPageBreak/>
              <w:t>financial auxiliaries</w:t>
            </w:r>
            <w:r w:rsidRPr="003060CA">
              <w:rPr>
                <w:bCs/>
                <w:color w:val="auto"/>
                <w:lang w:eastAsia="en-US"/>
              </w:rPr>
              <w:t xml:space="preserve"> other than </w:t>
            </w:r>
            <w:r w:rsidRPr="003060CA">
              <w:rPr>
                <w:b/>
                <w:bCs/>
                <w:i/>
                <w:color w:val="auto"/>
                <w:lang w:eastAsia="en-US"/>
              </w:rPr>
              <w:t>clearing houses and central counterparties</w:t>
            </w:r>
            <w:r w:rsidRPr="003060CA">
              <w:rPr>
                <w:bCs/>
                <w:color w:val="auto"/>
                <w:lang w:eastAsia="en-US"/>
              </w:rPr>
              <w:t>;</w:t>
            </w:r>
          </w:p>
          <w:p w14:paraId="4F0F2411" w14:textId="20F2499D" w:rsidR="00E90C5A" w:rsidRPr="003060CA" w:rsidRDefault="00E90C5A" w:rsidP="00FA329B">
            <w:pPr>
              <w:pStyle w:val="Default"/>
              <w:numPr>
                <w:ilvl w:val="0"/>
                <w:numId w:val="6"/>
              </w:numPr>
              <w:spacing w:before="120" w:after="120"/>
              <w:ind w:left="714" w:hanging="357"/>
              <w:rPr>
                <w:b/>
                <w:bCs/>
                <w:i/>
                <w:color w:val="auto"/>
                <w:lang w:eastAsia="en-US"/>
              </w:rPr>
            </w:pPr>
            <w:proofErr w:type="spellStart"/>
            <w:r w:rsidRPr="003060CA">
              <w:rPr>
                <w:b/>
                <w:bCs/>
                <w:i/>
                <w:color w:val="auto"/>
                <w:lang w:eastAsia="en-US"/>
              </w:rPr>
              <w:t>securitisers</w:t>
            </w:r>
            <w:proofErr w:type="spellEnd"/>
            <w:r w:rsidRPr="003060CA">
              <w:rPr>
                <w:bCs/>
                <w:i/>
                <w:color w:val="auto"/>
                <w:lang w:eastAsia="en-US"/>
              </w:rPr>
              <w:t>;</w:t>
            </w:r>
          </w:p>
          <w:p w14:paraId="12E777B3" w14:textId="09FED099"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money-market investment funds</w:t>
            </w:r>
            <w:r w:rsidRPr="003060CA">
              <w:rPr>
                <w:bCs/>
                <w:i/>
                <w:color w:val="auto"/>
                <w:lang w:eastAsia="en-US"/>
              </w:rPr>
              <w:t>;</w:t>
            </w:r>
          </w:p>
          <w:p w14:paraId="54E7B823" w14:textId="0F9538C7" w:rsidR="00E90C5A" w:rsidRPr="003060CA"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non-money-market financial investment funds</w:t>
            </w:r>
            <w:r w:rsidRPr="003060CA">
              <w:rPr>
                <w:bCs/>
                <w:i/>
                <w:color w:val="auto"/>
                <w:lang w:eastAsia="en-US"/>
              </w:rPr>
              <w:t>;</w:t>
            </w:r>
          </w:p>
          <w:p w14:paraId="588FF3B3" w14:textId="6AAFF0CC" w:rsidR="00E90C5A" w:rsidRPr="003060CA" w:rsidRDefault="00E90C5A" w:rsidP="00FA329B">
            <w:pPr>
              <w:pStyle w:val="Default"/>
              <w:numPr>
                <w:ilvl w:val="0"/>
                <w:numId w:val="6"/>
              </w:numPr>
              <w:spacing w:before="120" w:after="120"/>
              <w:ind w:left="714" w:hanging="357"/>
              <w:rPr>
                <w:bCs/>
                <w:color w:val="auto"/>
                <w:lang w:eastAsia="en-US"/>
              </w:rPr>
            </w:pPr>
            <w:r w:rsidRPr="003060CA">
              <w:rPr>
                <w:b/>
                <w:bCs/>
                <w:i/>
                <w:color w:val="auto"/>
                <w:lang w:eastAsia="en-US"/>
              </w:rPr>
              <w:t xml:space="preserve">financial institutions </w:t>
            </w:r>
            <w:proofErr w:type="spellStart"/>
            <w:r w:rsidRPr="003060CA">
              <w:rPr>
                <w:b/>
                <w:bCs/>
                <w:i/>
                <w:color w:val="auto"/>
                <w:lang w:eastAsia="en-US"/>
              </w:rPr>
              <w:t>n.e.c.</w:t>
            </w:r>
            <w:proofErr w:type="spellEnd"/>
            <w:r w:rsidRPr="003060CA">
              <w:rPr>
                <w:bCs/>
                <w:color w:val="auto"/>
                <w:lang w:eastAsia="en-US"/>
              </w:rPr>
              <w:t>;</w:t>
            </w:r>
          </w:p>
          <w:p w14:paraId="258503D4" w14:textId="77777777" w:rsidR="00E90C5A" w:rsidRPr="003060CA" w:rsidRDefault="00E90C5A" w:rsidP="00FA329B">
            <w:pPr>
              <w:pStyle w:val="Default"/>
              <w:numPr>
                <w:ilvl w:val="0"/>
                <w:numId w:val="6"/>
              </w:numPr>
              <w:spacing w:before="120" w:after="120"/>
              <w:ind w:left="714" w:hanging="357"/>
              <w:rPr>
                <w:bCs/>
                <w:color w:val="auto"/>
                <w:lang w:eastAsia="en-US"/>
              </w:rPr>
            </w:pPr>
            <w:r w:rsidRPr="003060CA">
              <w:rPr>
                <w:b/>
                <w:bCs/>
                <w:i/>
                <w:color w:val="auto"/>
                <w:lang w:eastAsia="en-US"/>
              </w:rPr>
              <w:t>state, territory and local general government</w:t>
            </w:r>
            <w:r w:rsidRPr="003060CA">
              <w:rPr>
                <w:bCs/>
                <w:color w:val="auto"/>
                <w:lang w:eastAsia="en-US"/>
              </w:rPr>
              <w:t>;</w:t>
            </w:r>
          </w:p>
          <w:p w14:paraId="7AF0A1C5" w14:textId="77777777" w:rsidR="00E90C5A" w:rsidRPr="000104B3" w:rsidRDefault="00E90C5A" w:rsidP="00FA329B">
            <w:pPr>
              <w:pStyle w:val="Default"/>
              <w:numPr>
                <w:ilvl w:val="0"/>
                <w:numId w:val="6"/>
              </w:numPr>
              <w:spacing w:before="120" w:after="120"/>
              <w:ind w:left="714" w:hanging="357"/>
              <w:rPr>
                <w:b/>
                <w:bCs/>
                <w:i/>
                <w:color w:val="auto"/>
                <w:lang w:eastAsia="en-US"/>
              </w:rPr>
            </w:pPr>
            <w:r w:rsidRPr="003060CA">
              <w:rPr>
                <w:b/>
                <w:bCs/>
                <w:i/>
                <w:color w:val="auto"/>
                <w:lang w:eastAsia="en-US"/>
              </w:rPr>
              <w:t>Commonwealth general government</w:t>
            </w:r>
            <w:r w:rsidRPr="003060CA">
              <w:rPr>
                <w:bCs/>
                <w:i/>
                <w:color w:val="auto"/>
                <w:lang w:eastAsia="en-US"/>
              </w:rPr>
              <w:t>;</w:t>
            </w:r>
          </w:p>
          <w:p w14:paraId="7C7B06E3" w14:textId="7AB5BF63" w:rsidR="00E90C5A" w:rsidRPr="003060CA" w:rsidRDefault="00E90C5A" w:rsidP="00FA329B">
            <w:pPr>
              <w:pStyle w:val="Default"/>
              <w:numPr>
                <w:ilvl w:val="0"/>
                <w:numId w:val="6"/>
              </w:numPr>
              <w:spacing w:before="120" w:after="120"/>
              <w:ind w:left="714" w:hanging="357"/>
              <w:rPr>
                <w:b/>
                <w:bCs/>
                <w:i/>
                <w:color w:val="auto"/>
                <w:lang w:eastAsia="en-US"/>
              </w:rPr>
            </w:pPr>
            <w:r>
              <w:rPr>
                <w:b/>
                <w:bCs/>
                <w:i/>
                <w:color w:val="auto"/>
                <w:lang w:eastAsia="en-US"/>
              </w:rPr>
              <w:t xml:space="preserve">clearing houses and central counterparties; </w:t>
            </w:r>
            <w:r>
              <w:rPr>
                <w:bCs/>
                <w:color w:val="auto"/>
                <w:lang w:eastAsia="en-US"/>
              </w:rPr>
              <w:t>and</w:t>
            </w:r>
          </w:p>
          <w:p w14:paraId="16C42A47" w14:textId="77777777" w:rsidR="00E90C5A" w:rsidRPr="00A852F9" w:rsidRDefault="00E90C5A" w:rsidP="00FA329B">
            <w:pPr>
              <w:numPr>
                <w:ilvl w:val="0"/>
                <w:numId w:val="6"/>
              </w:numPr>
              <w:spacing w:before="120" w:after="120"/>
              <w:rPr>
                <w:rFonts w:ascii="Times New Roman" w:hAnsi="Times New Roman"/>
                <w:bCs/>
                <w:sz w:val="24"/>
                <w:szCs w:val="24"/>
              </w:rPr>
            </w:pPr>
            <w:r w:rsidRPr="000104B3">
              <w:rPr>
                <w:rFonts w:ascii="Times New Roman" w:hAnsi="Times New Roman"/>
                <w:bCs/>
                <w:sz w:val="24"/>
                <w:szCs w:val="24"/>
              </w:rPr>
              <w:t xml:space="preserve">other </w:t>
            </w:r>
            <w:r w:rsidRPr="000104B3">
              <w:rPr>
                <w:rFonts w:ascii="Times New Roman" w:hAnsi="Times New Roman"/>
                <w:b/>
                <w:bCs/>
                <w:i/>
                <w:sz w:val="24"/>
                <w:szCs w:val="24"/>
              </w:rPr>
              <w:t>resident</w:t>
            </w:r>
            <w:r w:rsidRPr="000104B3">
              <w:rPr>
                <w:rFonts w:ascii="Times New Roman" w:hAnsi="Times New Roman"/>
                <w:bCs/>
                <w:sz w:val="24"/>
                <w:szCs w:val="24"/>
              </w:rPr>
              <w:t xml:space="preserve"> entities not already reported above.</w:t>
            </w:r>
          </w:p>
        </w:tc>
      </w:tr>
    </w:tbl>
    <w:p w14:paraId="1D690710" w14:textId="77777777" w:rsidR="00BB642B" w:rsidRPr="00233FEA" w:rsidRDefault="00BB642B" w:rsidP="00233FEA"/>
    <w:sectPr w:rsidR="00BB642B" w:rsidRPr="00233FEA" w:rsidSect="00AC51A9">
      <w:headerReference w:type="default" r:id="rId22"/>
      <w:footerReference w:type="default" r:id="rId23"/>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9A58" w14:textId="77777777" w:rsidR="00F30304" w:rsidRDefault="00F30304" w:rsidP="00054C93">
      <w:r>
        <w:separator/>
      </w:r>
    </w:p>
  </w:endnote>
  <w:endnote w:type="continuationSeparator" w:id="0">
    <w:p w14:paraId="030575C8" w14:textId="77777777" w:rsidR="00F30304" w:rsidRDefault="00F30304" w:rsidP="00054C93">
      <w:r>
        <w:continuationSeparator/>
      </w:r>
    </w:p>
  </w:endnote>
  <w:endnote w:type="continuationNotice" w:id="1">
    <w:p w14:paraId="1D61092D" w14:textId="77777777" w:rsidR="00F30304" w:rsidRDefault="00F30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D343" w14:textId="67ABFE5A" w:rsidR="00F30304" w:rsidRPr="00045B98" w:rsidRDefault="00F30304" w:rsidP="00045B98">
    <w:pPr>
      <w:pStyle w:val="Footer"/>
      <w:jc w:val="right"/>
      <w:rPr>
        <w:rFonts w:ascii="Times New Roman" w:hAnsi="Times New Roman"/>
        <w:sz w:val="24"/>
        <w:szCs w:val="24"/>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A1387" w14:textId="77777777" w:rsidR="00A45B36" w:rsidRPr="00045B98" w:rsidRDefault="00A45B36" w:rsidP="00045B98">
    <w:pPr>
      <w:pStyle w:val="Footer"/>
      <w:jc w:val="right"/>
      <w:rPr>
        <w:rFonts w:ascii="Times New Roman" w:hAnsi="Times New Roman"/>
        <w:sz w:val="24"/>
        <w:szCs w:val="24"/>
        <w:lang w:val="en-AU"/>
      </w:rPr>
    </w:pPr>
    <w:r w:rsidRPr="00024130">
      <w:rPr>
        <w:rFonts w:ascii="Times New Roman" w:hAnsi="Times New Roman"/>
        <w:sz w:val="24"/>
        <w:szCs w:val="24"/>
        <w:lang w:val="en-AU"/>
      </w:rPr>
      <w:t>A</w:t>
    </w:r>
    <w:r w:rsidRPr="00024130">
      <w:rPr>
        <w:rFonts w:ascii="Times New Roman" w:hAnsi="Times New Roman"/>
        <w:sz w:val="24"/>
        <w:szCs w:val="24"/>
      </w:rPr>
      <w:t>R</w:t>
    </w:r>
    <w:r w:rsidRPr="00024130">
      <w:rPr>
        <w:rFonts w:ascii="Times New Roman" w:hAnsi="Times New Roman"/>
        <w:sz w:val="24"/>
        <w:szCs w:val="24"/>
        <w:lang w:val="en-AU"/>
      </w:rPr>
      <w:t>S</w:t>
    </w:r>
    <w:r w:rsidRPr="00024130">
      <w:rPr>
        <w:rFonts w:ascii="Times New Roman" w:hAnsi="Times New Roman"/>
        <w:sz w:val="24"/>
        <w:szCs w:val="24"/>
      </w:rPr>
      <w:t xml:space="preserve"> </w:t>
    </w:r>
    <w:r w:rsidRPr="00024130">
      <w:rPr>
        <w:rFonts w:ascii="Times New Roman" w:hAnsi="Times New Roman"/>
        <w:sz w:val="24"/>
        <w:szCs w:val="24"/>
        <w:lang w:val="en-AU"/>
      </w:rPr>
      <w:t>722</w:t>
    </w:r>
    <w:r w:rsidRPr="00024130">
      <w:rPr>
        <w:rFonts w:ascii="Times New Roman" w:hAnsi="Times New Roman"/>
        <w:sz w:val="24"/>
        <w:szCs w:val="24"/>
      </w:rPr>
      <w:t>.0</w:t>
    </w:r>
    <w:r w:rsidRPr="006415F2">
      <w:rPr>
        <w:rFonts w:ascii="Times New Roman" w:hAnsi="Times New Roman"/>
        <w:color w:val="FF0000"/>
        <w:sz w:val="24"/>
        <w:szCs w:val="24"/>
      </w:rPr>
      <w:t xml:space="preserve">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4</w:t>
    </w:r>
    <w:r w:rsidRPr="00F750FC">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D5B1" w14:textId="77777777" w:rsidR="00F30304" w:rsidRDefault="00F30304" w:rsidP="00045B98">
    <w:pPr>
      <w:pStyle w:val="Footer"/>
      <w:jc w:val="right"/>
      <w:rPr>
        <w:rFonts w:ascii="Times New Roman" w:hAnsi="Times New Roman"/>
        <w:sz w:val="24"/>
        <w:szCs w:val="24"/>
        <w:lang w:val="en-AU"/>
      </w:rPr>
    </w:pPr>
  </w:p>
  <w:p w14:paraId="2F1BC603" w14:textId="77777777" w:rsidR="00F30304" w:rsidRPr="00045B98" w:rsidRDefault="00F30304" w:rsidP="00045B98">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722.0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12</w:t>
    </w:r>
    <w:r w:rsidRPr="00F750FC">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BB7B" w14:textId="77777777" w:rsidR="00F30304" w:rsidRPr="00045B98" w:rsidRDefault="00F30304" w:rsidP="00024130">
    <w:pPr>
      <w:pStyle w:val="Footer"/>
      <w:jc w:val="right"/>
      <w:rPr>
        <w:rFonts w:ascii="Times New Roman" w:hAnsi="Times New Roman"/>
        <w:sz w:val="24"/>
        <w:szCs w:val="24"/>
        <w:lang w:val="en-AU"/>
      </w:rPr>
    </w:pPr>
    <w:r>
      <w:rPr>
        <w:rFonts w:ascii="Times New Roman" w:hAnsi="Times New Roman"/>
        <w:sz w:val="24"/>
        <w:szCs w:val="24"/>
        <w:lang w:val="en-AU"/>
      </w:rPr>
      <w:t>A</w:t>
    </w:r>
    <w:r w:rsidRPr="00F750FC">
      <w:rPr>
        <w:rFonts w:ascii="Times New Roman" w:hAnsi="Times New Roman"/>
        <w:sz w:val="24"/>
        <w:szCs w:val="24"/>
      </w:rPr>
      <w:t xml:space="preserve">RF </w:t>
    </w:r>
    <w:r>
      <w:rPr>
        <w:rFonts w:ascii="Times New Roman" w:hAnsi="Times New Roman"/>
        <w:sz w:val="24"/>
        <w:szCs w:val="24"/>
        <w:lang w:val="en-AU"/>
      </w:rPr>
      <w:t xml:space="preserve">722.0 Instructions </w:t>
    </w:r>
    <w:r w:rsidRPr="00F750FC">
      <w:rPr>
        <w:rFonts w:ascii="Times New Roman" w:hAnsi="Times New Roman"/>
        <w:sz w:val="24"/>
        <w:szCs w:val="24"/>
      </w:rPr>
      <w:t xml:space="preserve">- </w:t>
    </w:r>
    <w:r w:rsidRPr="00F750FC">
      <w:rPr>
        <w:rFonts w:ascii="Times New Roman" w:hAnsi="Times New Roman"/>
        <w:sz w:val="24"/>
        <w:szCs w:val="24"/>
      </w:rPr>
      <w:fldChar w:fldCharType="begin"/>
    </w:r>
    <w:r w:rsidRPr="00F750FC">
      <w:rPr>
        <w:rFonts w:ascii="Times New Roman" w:hAnsi="Times New Roman"/>
        <w:sz w:val="24"/>
        <w:szCs w:val="24"/>
      </w:rPr>
      <w:instrText xml:space="preserve"> PAGE   \* MERGEFORMAT </w:instrText>
    </w:r>
    <w:r w:rsidRPr="00F750FC">
      <w:rPr>
        <w:rFonts w:ascii="Times New Roman" w:hAnsi="Times New Roman"/>
        <w:sz w:val="24"/>
        <w:szCs w:val="24"/>
      </w:rPr>
      <w:fldChar w:fldCharType="separate"/>
    </w:r>
    <w:r>
      <w:rPr>
        <w:rFonts w:ascii="Times New Roman" w:hAnsi="Times New Roman"/>
        <w:noProof/>
        <w:sz w:val="24"/>
        <w:szCs w:val="24"/>
      </w:rPr>
      <w:t>18</w:t>
    </w:r>
    <w:r w:rsidRPr="00F750FC">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51669" w14:textId="77777777" w:rsidR="00F30304" w:rsidRDefault="00F30304" w:rsidP="00054C93">
      <w:r>
        <w:separator/>
      </w:r>
    </w:p>
  </w:footnote>
  <w:footnote w:type="continuationSeparator" w:id="0">
    <w:p w14:paraId="0B13AC80" w14:textId="77777777" w:rsidR="00F30304" w:rsidRDefault="00F30304" w:rsidP="00054C93">
      <w:r>
        <w:continuationSeparator/>
      </w:r>
    </w:p>
  </w:footnote>
  <w:footnote w:type="continuationNotice" w:id="1">
    <w:p w14:paraId="72FBCE27" w14:textId="77777777" w:rsidR="00F30304" w:rsidRDefault="00F30304"/>
  </w:footnote>
  <w:footnote w:id="2">
    <w:p w14:paraId="1EA71A98" w14:textId="5D852D36" w:rsidR="00F30304" w:rsidRPr="00541C6E" w:rsidRDefault="00F30304" w:rsidP="00233FEA">
      <w:pPr>
        <w:pStyle w:val="FootnoteText"/>
        <w:rPr>
          <w:lang w:val="en-AU"/>
        </w:rPr>
      </w:pPr>
      <w:r w:rsidRPr="00AC51A9">
        <w:rPr>
          <w:rStyle w:val="FootnoteReference"/>
          <w:rFonts w:ascii="Times New Roman" w:hAnsi="Times New Roman"/>
        </w:rPr>
        <w:footnoteRef/>
      </w:r>
      <w:r>
        <w:t xml:space="preserve"> </w:t>
      </w:r>
      <w:r>
        <w:rPr>
          <w:rFonts w:ascii="Times New Roman" w:hAnsi="Times New Roman"/>
          <w:lang w:val="en-AU"/>
        </w:rPr>
        <w:t>I</w:t>
      </w:r>
      <w:r w:rsidRPr="00D65D94">
        <w:rPr>
          <w:rFonts w:ascii="Times New Roman" w:hAnsi="Times New Roman"/>
        </w:rPr>
        <w:t xml:space="preserve">f the </w:t>
      </w:r>
      <w:r w:rsidRPr="000E23D8">
        <w:rPr>
          <w:rFonts w:ascii="Times New Roman" w:hAnsi="Times New Roman"/>
          <w:b/>
          <w:i/>
        </w:rPr>
        <w:t>due date</w:t>
      </w:r>
      <w:r w:rsidRPr="00D65D94">
        <w:rPr>
          <w:rFonts w:ascii="Times New Roman" w:hAnsi="Times New Roman"/>
        </w:rPr>
        <w:t xml:space="preserve"> for a particular </w:t>
      </w:r>
      <w:r w:rsidRPr="000E23D8">
        <w:rPr>
          <w:rFonts w:ascii="Times New Roman" w:hAnsi="Times New Roman"/>
          <w:b/>
          <w:i/>
        </w:rPr>
        <w:t>reporting period</w:t>
      </w:r>
      <w:r w:rsidRPr="00D65D94">
        <w:rPr>
          <w:rFonts w:ascii="Times New Roman" w:hAnsi="Times New Roman"/>
        </w:rPr>
        <w:t xml:space="preserve"> falls on a day other than a usual business day, an </w:t>
      </w:r>
      <w:r w:rsidRPr="000E23D8">
        <w:rPr>
          <w:rFonts w:ascii="Times New Roman" w:hAnsi="Times New Roman"/>
          <w:b/>
          <w:i/>
        </w:rPr>
        <w:t>ADI</w:t>
      </w:r>
      <w:r w:rsidRPr="00D65D94">
        <w:rPr>
          <w:rFonts w:ascii="Times New Roman" w:hAnsi="Times New Roman"/>
        </w:rPr>
        <w:t xml:space="preserve"> is nonetheless required to submit the information required no later than the </w:t>
      </w:r>
      <w:r w:rsidRPr="000E23D8">
        <w:rPr>
          <w:rFonts w:ascii="Times New Roman" w:hAnsi="Times New Roman"/>
          <w:b/>
          <w:i/>
        </w:rPr>
        <w:t>due date</w:t>
      </w:r>
      <w:r w:rsidRPr="00D65D94">
        <w:rPr>
          <w:rFonts w:ascii="Times New Roman" w:hAnsi="Times New Roman"/>
        </w:rPr>
        <w:t>.</w:t>
      </w:r>
    </w:p>
  </w:footnote>
  <w:footnote w:id="3">
    <w:p w14:paraId="4194DC8B" w14:textId="662BB21F" w:rsidR="00F30304" w:rsidRPr="00E97C10" w:rsidRDefault="00F30304">
      <w:pPr>
        <w:pStyle w:val="FootnoteText"/>
        <w:rPr>
          <w:lang w:val="en-AU"/>
        </w:rPr>
      </w:pPr>
      <w:r>
        <w:rPr>
          <w:rStyle w:val="FootnoteReference"/>
        </w:rPr>
        <w:footnoteRef/>
      </w:r>
      <w:r>
        <w:t xml:space="preserve"> </w:t>
      </w:r>
      <w:r w:rsidRPr="001C57D6">
        <w:rPr>
          <w:rFonts w:ascii="Times New Roman" w:hAnsi="Times New Roman"/>
          <w:lang w:val="en-AU"/>
        </w:rPr>
        <w:t>For the avoidance of doubt, the instruction at</w:t>
      </w:r>
      <w:r w:rsidRPr="001C57D6">
        <w:rPr>
          <w:rFonts w:ascii="Times New Roman" w:hAnsi="Times New Roman"/>
          <w:i/>
          <w:lang w:val="en-AU"/>
        </w:rPr>
        <w:t xml:space="preserve"> </w:t>
      </w:r>
      <w:r>
        <w:rPr>
          <w:rFonts w:ascii="Times New Roman" w:hAnsi="Times New Roman"/>
          <w:b/>
          <w:i/>
          <w:lang w:val="en-AU"/>
        </w:rPr>
        <w:t>Derivatives</w:t>
      </w:r>
      <w:r w:rsidRPr="001C57D6">
        <w:rPr>
          <w:rFonts w:ascii="Times New Roman" w:hAnsi="Times New Roman"/>
          <w:lang w:val="en-AU"/>
        </w:rPr>
        <w:t xml:space="preserve"> in </w:t>
      </w:r>
      <w:r w:rsidRPr="001C57D6">
        <w:rPr>
          <w:rFonts w:ascii="Times New Roman" w:hAnsi="Times New Roman"/>
          <w:i/>
          <w:lang w:val="en-AU"/>
        </w:rPr>
        <w:t>Reporting Standard ARS 701.0 ABS/RBA Defin</w:t>
      </w:r>
      <w:r>
        <w:rPr>
          <w:rFonts w:ascii="Times New Roman" w:hAnsi="Times New Roman"/>
          <w:i/>
          <w:lang w:val="en-AU"/>
        </w:rPr>
        <w:t>i</w:t>
      </w:r>
      <w:r w:rsidRPr="001C57D6">
        <w:rPr>
          <w:rFonts w:ascii="Times New Roman" w:hAnsi="Times New Roman"/>
          <w:i/>
          <w:lang w:val="en-AU"/>
        </w:rPr>
        <w:t xml:space="preserve">tions for the EFS Collection </w:t>
      </w:r>
      <w:r w:rsidRPr="001C57D6">
        <w:rPr>
          <w:rFonts w:ascii="Times New Roman" w:hAnsi="Times New Roman"/>
          <w:lang w:val="en-AU"/>
        </w:rPr>
        <w:t xml:space="preserve">to </w:t>
      </w:r>
      <w:r>
        <w:rPr>
          <w:rFonts w:ascii="Times New Roman" w:hAnsi="Times New Roman"/>
          <w:lang w:val="en-AU"/>
        </w:rPr>
        <w:t>include employee stock options</w:t>
      </w:r>
      <w:r w:rsidRPr="001C57D6">
        <w:rPr>
          <w:rFonts w:ascii="Times New Roman" w:hAnsi="Times New Roman"/>
          <w:b/>
          <w:i/>
          <w:lang w:val="en-AU"/>
        </w:rPr>
        <w:t xml:space="preserve"> </w:t>
      </w:r>
      <w:r w:rsidRPr="001C57D6">
        <w:rPr>
          <w:rFonts w:ascii="Times New Roman" w:hAnsi="Times New Roman"/>
          <w:lang w:val="en-AU"/>
        </w:rPr>
        <w:t>does not apply for the purpose</w:t>
      </w:r>
      <w:r>
        <w:rPr>
          <w:rFonts w:ascii="Times New Roman" w:hAnsi="Times New Roman"/>
          <w:lang w:val="en-AU"/>
        </w:rPr>
        <w:t>s</w:t>
      </w:r>
      <w:r w:rsidRPr="001C57D6">
        <w:rPr>
          <w:rFonts w:ascii="Times New Roman" w:hAnsi="Times New Roman"/>
          <w:lang w:val="en-AU"/>
        </w:rPr>
        <w:t xml:space="preserve"> of ARF </w:t>
      </w:r>
      <w:r>
        <w:rPr>
          <w:rFonts w:ascii="Times New Roman" w:hAnsi="Times New Roman"/>
          <w:lang w:val="en-AU"/>
        </w:rPr>
        <w:t>722.0</w:t>
      </w:r>
      <w:r w:rsidRPr="001C57D6">
        <w:rPr>
          <w:rFonts w:ascii="Times New Roman" w:hAnsi="Times New Roman"/>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F47E" w14:textId="4C49BA81" w:rsidR="00F30304" w:rsidRPr="007F4E77" w:rsidRDefault="00F30304" w:rsidP="00BF0865">
    <w:pPr>
      <w:pStyle w:val="Header"/>
      <w:tabs>
        <w:tab w:val="clear" w:pos="4513"/>
        <w:tab w:val="center" w:pos="4536"/>
      </w:tabs>
      <w:rPr>
        <w:rFonts w:ascii="Times New Roman" w:hAnsi="Times New Roman"/>
        <w:sz w:val="24"/>
        <w:szCs w:val="24"/>
        <w:lang w:val="en-AU"/>
      </w:rPr>
    </w:pPr>
    <w:r>
      <w:rPr>
        <w:rFonts w:ascii="Times New Roman" w:hAnsi="Times New Roman"/>
        <w:sz w:val="24"/>
        <w:szCs w:val="28"/>
        <w:lang w:val="en-AU"/>
      </w:rPr>
      <w:tab/>
    </w:r>
    <w:r>
      <w:rPr>
        <w:rFonts w:ascii="Times New Roman" w:hAnsi="Times New Roman"/>
        <w:sz w:val="24"/>
        <w:szCs w:val="28"/>
        <w:lang w:val="en-AU"/>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C03C" w14:textId="77777777" w:rsidR="00A45B36" w:rsidRPr="007F4E77" w:rsidRDefault="00A45B36" w:rsidP="00BF0865">
    <w:pPr>
      <w:pStyle w:val="Header"/>
      <w:tabs>
        <w:tab w:val="clear" w:pos="4513"/>
        <w:tab w:val="center" w:pos="4536"/>
      </w:tabs>
      <w:rPr>
        <w:rFonts w:ascii="Times New Roman" w:hAnsi="Times New Roman"/>
        <w:sz w:val="24"/>
        <w:szCs w:val="24"/>
        <w:lang w:val="en-AU"/>
      </w:rPr>
    </w:pPr>
    <w:r>
      <w:rPr>
        <w:rFonts w:ascii="Times New Roman" w:hAnsi="Times New Roman"/>
        <w:sz w:val="24"/>
        <w:szCs w:val="28"/>
        <w:lang w:val="en-AU"/>
      </w:rPr>
      <w:tab/>
    </w:r>
    <w:r>
      <w:rPr>
        <w:rFonts w:ascii="Times New Roman" w:hAnsi="Times New Roman"/>
        <w:sz w:val="24"/>
        <w:szCs w:val="28"/>
        <w:lang w:val="en-AU"/>
      </w:rPr>
      <w:tab/>
    </w:r>
    <w:r>
      <w:rPr>
        <w:rFonts w:ascii="Times New Roman" w:hAnsi="Times New Roman"/>
        <w:sz w:val="24"/>
        <w:szCs w:val="24"/>
        <w:lang w:val="en-AU"/>
      </w:rPr>
      <w:t>March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BA864" w14:textId="1BF50C07" w:rsidR="00F30304" w:rsidRPr="007F4E77" w:rsidRDefault="00F30304" w:rsidP="00BF0865">
    <w:pPr>
      <w:pStyle w:val="Header"/>
      <w:tabs>
        <w:tab w:val="clear" w:pos="4513"/>
        <w:tab w:val="clear" w:pos="9026"/>
        <w:tab w:val="center" w:pos="6946"/>
        <w:tab w:val="right" w:pos="13892"/>
      </w:tabs>
      <w:rPr>
        <w:rFonts w:ascii="Times New Roman" w:hAnsi="Times New Roman"/>
        <w:sz w:val="24"/>
        <w:szCs w:val="24"/>
        <w:lang w:val="en-AU"/>
      </w:rPr>
    </w:pPr>
    <w:r>
      <w:rPr>
        <w:rFonts w:ascii="Times New Roman" w:hAnsi="Times New Roman"/>
        <w:sz w:val="24"/>
        <w:szCs w:val="28"/>
        <w:lang w:val="en-AU"/>
      </w:rPr>
      <w:tab/>
    </w:r>
    <w:r>
      <w:rPr>
        <w:rFonts w:ascii="Times New Roman" w:hAnsi="Times New Roman"/>
        <w:sz w:val="28"/>
        <w:szCs w:val="28"/>
        <w:lang w:val="en-AU"/>
      </w:rPr>
      <w:tab/>
    </w:r>
    <w:r>
      <w:rPr>
        <w:rFonts w:ascii="Times New Roman" w:hAnsi="Times New Roman"/>
        <w:sz w:val="24"/>
        <w:szCs w:val="28"/>
        <w:lang w:val="en-AU"/>
      </w:rPr>
      <w:t>March 2021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908F1" w14:textId="22DB2F21" w:rsidR="00F30304" w:rsidRPr="00B34819" w:rsidRDefault="00F30304" w:rsidP="00B34819">
    <w:pPr>
      <w:pStyle w:val="Header"/>
      <w:jc w:val="right"/>
      <w:rPr>
        <w:rFonts w:ascii="Times New Roman" w:hAnsi="Times New Roman"/>
        <w:sz w:val="24"/>
        <w:lang w:val="en-AU"/>
      </w:rPr>
    </w:pPr>
    <w:r>
      <w:rPr>
        <w:rFonts w:ascii="Times New Roman" w:hAnsi="Times New Roman"/>
        <w:sz w:val="24"/>
        <w:lang w:val="en-AU"/>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224F"/>
    <w:multiLevelType w:val="hybridMultilevel"/>
    <w:tmpl w:val="EAB0FB5C"/>
    <w:lvl w:ilvl="0" w:tplc="49D4D384">
      <w:start w:val="1"/>
      <w:numFmt w:val="lowerRoman"/>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84622"/>
    <w:multiLevelType w:val="multilevel"/>
    <w:tmpl w:val="88688FFC"/>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8D7482"/>
    <w:multiLevelType w:val="hybridMultilevel"/>
    <w:tmpl w:val="E29C24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A87CE9"/>
    <w:multiLevelType w:val="hybridMultilevel"/>
    <w:tmpl w:val="76CE3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F31B20"/>
    <w:multiLevelType w:val="hybridMultilevel"/>
    <w:tmpl w:val="8F0E8162"/>
    <w:lvl w:ilvl="0" w:tplc="A8C4E4B0">
      <w:start w:val="1"/>
      <w:numFmt w:val="decimal"/>
      <w:lvlText w:val="%1."/>
      <w:lvlJc w:val="left"/>
      <w:pPr>
        <w:tabs>
          <w:tab w:val="num" w:pos="567"/>
        </w:tabs>
        <w:ind w:left="567" w:hanging="567"/>
      </w:pPr>
      <w:rPr>
        <w:rFonts w:ascii="Times New Roman" w:hAnsi="Times New Roman" w:hint="default"/>
        <w:b w:val="0"/>
        <w:i w:val="0"/>
        <w:color w:val="auto"/>
        <w:sz w:val="23"/>
        <w:szCs w:val="23"/>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04026B3"/>
    <w:multiLevelType w:val="hybridMultilevel"/>
    <w:tmpl w:val="A7E8FB62"/>
    <w:lvl w:ilvl="0" w:tplc="D39A630C">
      <w:start w:val="1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5006051"/>
    <w:multiLevelType w:val="hybridMultilevel"/>
    <w:tmpl w:val="9CB69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BE0083"/>
    <w:multiLevelType w:val="hybridMultilevel"/>
    <w:tmpl w:val="BC64C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84332F"/>
    <w:multiLevelType w:val="multilevel"/>
    <w:tmpl w:val="C3F0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6F5FB5"/>
    <w:multiLevelType w:val="hybridMultilevel"/>
    <w:tmpl w:val="2C4A5B18"/>
    <w:lvl w:ilvl="0" w:tplc="31281EDC">
      <w:start w:val="1"/>
      <w:numFmt w:val="decimal"/>
      <w:lvlText w:val="%1."/>
      <w:lvlJc w:val="left"/>
      <w:pPr>
        <w:ind w:left="502"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36C7660"/>
    <w:multiLevelType w:val="hybridMultilevel"/>
    <w:tmpl w:val="382C6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104B60"/>
    <w:multiLevelType w:val="hybridMultilevel"/>
    <w:tmpl w:val="E36E7766"/>
    <w:lvl w:ilvl="0" w:tplc="0C090001">
      <w:start w:val="1"/>
      <w:numFmt w:val="bullet"/>
      <w:lvlText w:val=""/>
      <w:lvlJc w:val="left"/>
      <w:pPr>
        <w:tabs>
          <w:tab w:val="num" w:pos="1134"/>
        </w:tabs>
        <w:ind w:left="1134" w:hanging="567"/>
      </w:pPr>
      <w:rPr>
        <w:rFonts w:ascii="Symbol" w:hAnsi="Symbol" w:hint="default"/>
        <w:b w:val="0"/>
        <w:i w:val="0"/>
        <w:color w:val="auto"/>
        <w:sz w:val="23"/>
        <w:szCs w:val="23"/>
        <w:vertAlign w:val="baseline"/>
      </w:rPr>
    </w:lvl>
    <w:lvl w:ilvl="1" w:tplc="1DFE0F2A">
      <w:start w:val="1"/>
      <w:numFmt w:val="lowerLetter"/>
      <w:lvlText w:val="(%2)"/>
      <w:lvlJc w:val="left"/>
      <w:pPr>
        <w:tabs>
          <w:tab w:val="num" w:pos="1701"/>
        </w:tabs>
        <w:ind w:left="1701"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2268"/>
        </w:tabs>
        <w:ind w:left="2268" w:hanging="567"/>
      </w:pPr>
      <w:rPr>
        <w:rFonts w:hint="default"/>
      </w:r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12" w15:restartNumberingAfterBreak="0">
    <w:nsid w:val="38E571A5"/>
    <w:multiLevelType w:val="hybridMultilevel"/>
    <w:tmpl w:val="2376D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A87875"/>
    <w:multiLevelType w:val="hybridMultilevel"/>
    <w:tmpl w:val="2C4A5B18"/>
    <w:lvl w:ilvl="0" w:tplc="31281EDC">
      <w:start w:val="1"/>
      <w:numFmt w:val="decimal"/>
      <w:lvlText w:val="%1."/>
      <w:lvlJc w:val="left"/>
      <w:pPr>
        <w:ind w:left="502"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999257D"/>
    <w:multiLevelType w:val="hybridMultilevel"/>
    <w:tmpl w:val="3B9658D4"/>
    <w:lvl w:ilvl="0" w:tplc="416676D4">
      <w:start w:val="722"/>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B7500F3"/>
    <w:multiLevelType w:val="hybridMultilevel"/>
    <w:tmpl w:val="BC801D9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BEE281F"/>
    <w:multiLevelType w:val="hybridMultilevel"/>
    <w:tmpl w:val="2C4A5B18"/>
    <w:lvl w:ilvl="0" w:tplc="31281EDC">
      <w:start w:val="1"/>
      <w:numFmt w:val="decimal"/>
      <w:lvlText w:val="%1."/>
      <w:lvlJc w:val="left"/>
      <w:pPr>
        <w:ind w:left="502"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DB14218"/>
    <w:multiLevelType w:val="hybridMultilevel"/>
    <w:tmpl w:val="DD2200FE"/>
    <w:styleLink w:val="D2Aformnumbering1"/>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116127C"/>
    <w:multiLevelType w:val="multilevel"/>
    <w:tmpl w:val="D136A4C8"/>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58D7002C"/>
    <w:multiLevelType w:val="hybridMultilevel"/>
    <w:tmpl w:val="A2BC9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F7149F"/>
    <w:multiLevelType w:val="hybridMultilevel"/>
    <w:tmpl w:val="79482D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F952E60"/>
    <w:multiLevelType w:val="hybridMultilevel"/>
    <w:tmpl w:val="2CFAF4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4C64EB5"/>
    <w:multiLevelType w:val="hybridMultilevel"/>
    <w:tmpl w:val="219CA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510B0C"/>
    <w:multiLevelType w:val="hybridMultilevel"/>
    <w:tmpl w:val="09066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7B323B"/>
    <w:multiLevelType w:val="hybridMultilevel"/>
    <w:tmpl w:val="3872C2F6"/>
    <w:lvl w:ilvl="0" w:tplc="FF646E42">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E347D3"/>
    <w:multiLevelType w:val="hybridMultilevel"/>
    <w:tmpl w:val="38A20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4A2F3D"/>
    <w:multiLevelType w:val="multilevel"/>
    <w:tmpl w:val="47B43326"/>
    <w:numStyleLink w:val="D2Aformnumbering"/>
  </w:abstractNum>
  <w:abstractNum w:abstractNumId="28" w15:restartNumberingAfterBreak="0">
    <w:nsid w:val="6C6E76ED"/>
    <w:multiLevelType w:val="hybridMultilevel"/>
    <w:tmpl w:val="2C4A5B18"/>
    <w:lvl w:ilvl="0" w:tplc="31281EDC">
      <w:start w:val="1"/>
      <w:numFmt w:val="decimal"/>
      <w:lvlText w:val="%1."/>
      <w:lvlJc w:val="left"/>
      <w:pPr>
        <w:ind w:left="502"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E5C0807"/>
    <w:multiLevelType w:val="hybridMultilevel"/>
    <w:tmpl w:val="253CC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C504EB"/>
    <w:multiLevelType w:val="hybridMultilevel"/>
    <w:tmpl w:val="A770074E"/>
    <w:lvl w:ilvl="0" w:tplc="B7B63038">
      <w:start w:val="1"/>
      <w:numFmt w:val="decimal"/>
      <w:pStyle w:val="Heading3"/>
      <w:lvlText w:val="%1."/>
      <w:lvlJc w:val="left"/>
      <w:pPr>
        <w:ind w:left="360" w:hanging="360"/>
      </w:pPr>
      <w:rPr>
        <w:rFonts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55A4ECA"/>
    <w:multiLevelType w:val="hybridMultilevel"/>
    <w:tmpl w:val="C750C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065310"/>
    <w:multiLevelType w:val="hybridMultilevel"/>
    <w:tmpl w:val="B848431C"/>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7"/>
  </w:num>
  <w:num w:numId="2">
    <w:abstractNumId w:val="19"/>
  </w:num>
  <w:num w:numId="3">
    <w:abstractNumId w:val="4"/>
  </w:num>
  <w:num w:numId="4">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4"/>
  </w:num>
  <w:num w:numId="7">
    <w:abstractNumId w:val="0"/>
  </w:num>
  <w:num w:numId="8">
    <w:abstractNumId w:val="27"/>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szCs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9">
    <w:abstractNumId w:val="6"/>
  </w:num>
  <w:num w:numId="10">
    <w:abstractNumId w:val="1"/>
  </w:num>
  <w:num w:numId="11">
    <w:abstractNumId w:val="25"/>
  </w:num>
  <w:num w:numId="12">
    <w:abstractNumId w:val="23"/>
  </w:num>
  <w:num w:numId="13">
    <w:abstractNumId w:val="14"/>
  </w:num>
  <w:num w:numId="14">
    <w:abstractNumId w:val="12"/>
  </w:num>
  <w:num w:numId="15">
    <w:abstractNumId w:val="16"/>
  </w:num>
  <w:num w:numId="16">
    <w:abstractNumId w:val="30"/>
  </w:num>
  <w:num w:numId="17">
    <w:abstractNumId w:val="20"/>
  </w:num>
  <w:num w:numId="18">
    <w:abstractNumId w:val="15"/>
  </w:num>
  <w:num w:numId="19">
    <w:abstractNumId w:val="2"/>
  </w:num>
  <w:num w:numId="20">
    <w:abstractNumId w:val="29"/>
  </w:num>
  <w:num w:numId="21">
    <w:abstractNumId w:val="22"/>
  </w:num>
  <w:num w:numId="22">
    <w:abstractNumId w:val="21"/>
  </w:num>
  <w:num w:numId="23">
    <w:abstractNumId w:val="32"/>
  </w:num>
  <w:num w:numId="24">
    <w:abstractNumId w:val="5"/>
  </w:num>
  <w:num w:numId="25">
    <w:abstractNumId w:val="9"/>
  </w:num>
  <w:num w:numId="26">
    <w:abstractNumId w:val="28"/>
  </w:num>
  <w:num w:numId="27">
    <w:abstractNumId w:val="7"/>
  </w:num>
  <w:num w:numId="28">
    <w:abstractNumId w:val="26"/>
  </w:num>
  <w:num w:numId="29">
    <w:abstractNumId w:val="3"/>
  </w:num>
  <w:num w:numId="30">
    <w:abstractNumId w:val="31"/>
  </w:num>
  <w:num w:numId="31">
    <w:abstractNumId w:val="13"/>
  </w:num>
  <w:num w:numId="32">
    <w:abstractNumId w:val="8"/>
  </w:num>
  <w:num w:numId="3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82945"/>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93"/>
    <w:rsid w:val="00002653"/>
    <w:rsid w:val="00002731"/>
    <w:rsid w:val="00003E3C"/>
    <w:rsid w:val="00007500"/>
    <w:rsid w:val="00010EDD"/>
    <w:rsid w:val="000124FE"/>
    <w:rsid w:val="00014459"/>
    <w:rsid w:val="000154E9"/>
    <w:rsid w:val="00015BFF"/>
    <w:rsid w:val="00016B96"/>
    <w:rsid w:val="00016C54"/>
    <w:rsid w:val="00020127"/>
    <w:rsid w:val="00021CC2"/>
    <w:rsid w:val="00024130"/>
    <w:rsid w:val="00024181"/>
    <w:rsid w:val="000243E2"/>
    <w:rsid w:val="00024E65"/>
    <w:rsid w:val="00025306"/>
    <w:rsid w:val="000259F6"/>
    <w:rsid w:val="00027002"/>
    <w:rsid w:val="000271C0"/>
    <w:rsid w:val="00030713"/>
    <w:rsid w:val="00030790"/>
    <w:rsid w:val="0003147A"/>
    <w:rsid w:val="00032033"/>
    <w:rsid w:val="000323F7"/>
    <w:rsid w:val="00033032"/>
    <w:rsid w:val="00033A92"/>
    <w:rsid w:val="00034D86"/>
    <w:rsid w:val="00034ED5"/>
    <w:rsid w:val="000350EA"/>
    <w:rsid w:val="0003517E"/>
    <w:rsid w:val="0003588B"/>
    <w:rsid w:val="00036913"/>
    <w:rsid w:val="00037F40"/>
    <w:rsid w:val="00040147"/>
    <w:rsid w:val="0004154F"/>
    <w:rsid w:val="00041673"/>
    <w:rsid w:val="0004368B"/>
    <w:rsid w:val="000436F8"/>
    <w:rsid w:val="00043807"/>
    <w:rsid w:val="000443E6"/>
    <w:rsid w:val="00044762"/>
    <w:rsid w:val="00045B98"/>
    <w:rsid w:val="000473B7"/>
    <w:rsid w:val="00047D7D"/>
    <w:rsid w:val="00047EFC"/>
    <w:rsid w:val="00050328"/>
    <w:rsid w:val="00050C9A"/>
    <w:rsid w:val="00051DD6"/>
    <w:rsid w:val="00051F2C"/>
    <w:rsid w:val="00052327"/>
    <w:rsid w:val="00053AE1"/>
    <w:rsid w:val="000547DD"/>
    <w:rsid w:val="00054C93"/>
    <w:rsid w:val="00055031"/>
    <w:rsid w:val="0005752D"/>
    <w:rsid w:val="000610A4"/>
    <w:rsid w:val="000613C2"/>
    <w:rsid w:val="00061B5C"/>
    <w:rsid w:val="0006295E"/>
    <w:rsid w:val="00063019"/>
    <w:rsid w:val="00063A67"/>
    <w:rsid w:val="00063BD0"/>
    <w:rsid w:val="00065EEB"/>
    <w:rsid w:val="00066DCD"/>
    <w:rsid w:val="00070A53"/>
    <w:rsid w:val="00072867"/>
    <w:rsid w:val="00075A37"/>
    <w:rsid w:val="00080A7D"/>
    <w:rsid w:val="00081861"/>
    <w:rsid w:val="00081BDA"/>
    <w:rsid w:val="00081F6D"/>
    <w:rsid w:val="0008207E"/>
    <w:rsid w:val="000832F4"/>
    <w:rsid w:val="0008422B"/>
    <w:rsid w:val="00085E19"/>
    <w:rsid w:val="00086D15"/>
    <w:rsid w:val="00092B46"/>
    <w:rsid w:val="00093DA7"/>
    <w:rsid w:val="00094230"/>
    <w:rsid w:val="00094A8D"/>
    <w:rsid w:val="00095060"/>
    <w:rsid w:val="00095178"/>
    <w:rsid w:val="000952DD"/>
    <w:rsid w:val="000A09B6"/>
    <w:rsid w:val="000A1138"/>
    <w:rsid w:val="000A2490"/>
    <w:rsid w:val="000A262A"/>
    <w:rsid w:val="000A3254"/>
    <w:rsid w:val="000A398D"/>
    <w:rsid w:val="000A3CD6"/>
    <w:rsid w:val="000A416B"/>
    <w:rsid w:val="000A5CB2"/>
    <w:rsid w:val="000A7369"/>
    <w:rsid w:val="000A756F"/>
    <w:rsid w:val="000B1101"/>
    <w:rsid w:val="000B19F2"/>
    <w:rsid w:val="000B35F7"/>
    <w:rsid w:val="000B4EFA"/>
    <w:rsid w:val="000B6B78"/>
    <w:rsid w:val="000C0116"/>
    <w:rsid w:val="000C04FD"/>
    <w:rsid w:val="000C0B21"/>
    <w:rsid w:val="000C20B4"/>
    <w:rsid w:val="000C2175"/>
    <w:rsid w:val="000C35FD"/>
    <w:rsid w:val="000C51DB"/>
    <w:rsid w:val="000C59B9"/>
    <w:rsid w:val="000C7046"/>
    <w:rsid w:val="000C75AD"/>
    <w:rsid w:val="000C7DFB"/>
    <w:rsid w:val="000D2012"/>
    <w:rsid w:val="000D26F4"/>
    <w:rsid w:val="000D2A2D"/>
    <w:rsid w:val="000D3069"/>
    <w:rsid w:val="000D52A0"/>
    <w:rsid w:val="000D5655"/>
    <w:rsid w:val="000D593C"/>
    <w:rsid w:val="000D6543"/>
    <w:rsid w:val="000E03C9"/>
    <w:rsid w:val="000E0AAD"/>
    <w:rsid w:val="000E0DC2"/>
    <w:rsid w:val="000E1710"/>
    <w:rsid w:val="000E1B8B"/>
    <w:rsid w:val="000E21F0"/>
    <w:rsid w:val="000E23D8"/>
    <w:rsid w:val="000E3997"/>
    <w:rsid w:val="000E573E"/>
    <w:rsid w:val="000F1BCF"/>
    <w:rsid w:val="000F2EAB"/>
    <w:rsid w:val="000F51DF"/>
    <w:rsid w:val="000F5AEA"/>
    <w:rsid w:val="000F6F01"/>
    <w:rsid w:val="000F7039"/>
    <w:rsid w:val="000F7D64"/>
    <w:rsid w:val="001007BE"/>
    <w:rsid w:val="00101049"/>
    <w:rsid w:val="001019F1"/>
    <w:rsid w:val="00101C0F"/>
    <w:rsid w:val="0010236C"/>
    <w:rsid w:val="00102E6E"/>
    <w:rsid w:val="00105CA5"/>
    <w:rsid w:val="001061F9"/>
    <w:rsid w:val="00106E8B"/>
    <w:rsid w:val="00107543"/>
    <w:rsid w:val="00112A37"/>
    <w:rsid w:val="00112C5B"/>
    <w:rsid w:val="001148EE"/>
    <w:rsid w:val="00114AB5"/>
    <w:rsid w:val="00115843"/>
    <w:rsid w:val="00115EB2"/>
    <w:rsid w:val="0011639E"/>
    <w:rsid w:val="00116ECA"/>
    <w:rsid w:val="00117AF8"/>
    <w:rsid w:val="0012377B"/>
    <w:rsid w:val="00123A67"/>
    <w:rsid w:val="001246A0"/>
    <w:rsid w:val="001249B3"/>
    <w:rsid w:val="00124F73"/>
    <w:rsid w:val="00125A53"/>
    <w:rsid w:val="00125E24"/>
    <w:rsid w:val="00126BAE"/>
    <w:rsid w:val="00126C09"/>
    <w:rsid w:val="00126CA5"/>
    <w:rsid w:val="001274C1"/>
    <w:rsid w:val="0013483F"/>
    <w:rsid w:val="001354FB"/>
    <w:rsid w:val="001358EF"/>
    <w:rsid w:val="00135C27"/>
    <w:rsid w:val="00135CF2"/>
    <w:rsid w:val="0013705C"/>
    <w:rsid w:val="00143F88"/>
    <w:rsid w:val="00144D62"/>
    <w:rsid w:val="00146C91"/>
    <w:rsid w:val="00146F2F"/>
    <w:rsid w:val="00147695"/>
    <w:rsid w:val="001477EE"/>
    <w:rsid w:val="001505D1"/>
    <w:rsid w:val="00151135"/>
    <w:rsid w:val="00151465"/>
    <w:rsid w:val="00151BC8"/>
    <w:rsid w:val="0015213C"/>
    <w:rsid w:val="00154101"/>
    <w:rsid w:val="00156DB2"/>
    <w:rsid w:val="00160348"/>
    <w:rsid w:val="0016230C"/>
    <w:rsid w:val="00164568"/>
    <w:rsid w:val="0016495E"/>
    <w:rsid w:val="00167DDF"/>
    <w:rsid w:val="00171251"/>
    <w:rsid w:val="0017290F"/>
    <w:rsid w:val="00172DBF"/>
    <w:rsid w:val="00177390"/>
    <w:rsid w:val="00181D1A"/>
    <w:rsid w:val="00182693"/>
    <w:rsid w:val="00182FA1"/>
    <w:rsid w:val="00184D0D"/>
    <w:rsid w:val="00185A5F"/>
    <w:rsid w:val="00185EC0"/>
    <w:rsid w:val="0018670F"/>
    <w:rsid w:val="001867AD"/>
    <w:rsid w:val="00187213"/>
    <w:rsid w:val="0019029E"/>
    <w:rsid w:val="00190C82"/>
    <w:rsid w:val="00195D01"/>
    <w:rsid w:val="00196615"/>
    <w:rsid w:val="00196F50"/>
    <w:rsid w:val="00197569"/>
    <w:rsid w:val="00197B09"/>
    <w:rsid w:val="00197EB6"/>
    <w:rsid w:val="001A0F59"/>
    <w:rsid w:val="001A391D"/>
    <w:rsid w:val="001A6BCA"/>
    <w:rsid w:val="001A7464"/>
    <w:rsid w:val="001A79DB"/>
    <w:rsid w:val="001B0379"/>
    <w:rsid w:val="001B1DE4"/>
    <w:rsid w:val="001B263B"/>
    <w:rsid w:val="001B267C"/>
    <w:rsid w:val="001B281C"/>
    <w:rsid w:val="001B316F"/>
    <w:rsid w:val="001B5CAB"/>
    <w:rsid w:val="001B6FBA"/>
    <w:rsid w:val="001B7AAA"/>
    <w:rsid w:val="001B7D1E"/>
    <w:rsid w:val="001C1242"/>
    <w:rsid w:val="001C19B4"/>
    <w:rsid w:val="001C1E83"/>
    <w:rsid w:val="001C3C94"/>
    <w:rsid w:val="001C49F9"/>
    <w:rsid w:val="001C55E5"/>
    <w:rsid w:val="001C69A3"/>
    <w:rsid w:val="001C7904"/>
    <w:rsid w:val="001D058E"/>
    <w:rsid w:val="001D3200"/>
    <w:rsid w:val="001D587C"/>
    <w:rsid w:val="001D6B38"/>
    <w:rsid w:val="001E0029"/>
    <w:rsid w:val="001E19FD"/>
    <w:rsid w:val="001E1DAA"/>
    <w:rsid w:val="001E353A"/>
    <w:rsid w:val="001E465D"/>
    <w:rsid w:val="001E48BF"/>
    <w:rsid w:val="001E57F5"/>
    <w:rsid w:val="001E5F06"/>
    <w:rsid w:val="001E7FAF"/>
    <w:rsid w:val="001F0029"/>
    <w:rsid w:val="001F0D8F"/>
    <w:rsid w:val="001F5300"/>
    <w:rsid w:val="001F78BC"/>
    <w:rsid w:val="00200B37"/>
    <w:rsid w:val="00200BA7"/>
    <w:rsid w:val="0020149F"/>
    <w:rsid w:val="00201562"/>
    <w:rsid w:val="00204036"/>
    <w:rsid w:val="0020461D"/>
    <w:rsid w:val="00204883"/>
    <w:rsid w:val="00210D1D"/>
    <w:rsid w:val="00213E78"/>
    <w:rsid w:val="00214829"/>
    <w:rsid w:val="00214AFC"/>
    <w:rsid w:val="00216012"/>
    <w:rsid w:val="0021693A"/>
    <w:rsid w:val="00217BC1"/>
    <w:rsid w:val="002202F5"/>
    <w:rsid w:val="00220EC2"/>
    <w:rsid w:val="002216DB"/>
    <w:rsid w:val="002221D0"/>
    <w:rsid w:val="00223A3D"/>
    <w:rsid w:val="00226EC0"/>
    <w:rsid w:val="00227EBE"/>
    <w:rsid w:val="002316B4"/>
    <w:rsid w:val="00231BED"/>
    <w:rsid w:val="0023260C"/>
    <w:rsid w:val="00232A15"/>
    <w:rsid w:val="0023334E"/>
    <w:rsid w:val="00233CE4"/>
    <w:rsid w:val="00233FEA"/>
    <w:rsid w:val="00234C4D"/>
    <w:rsid w:val="002352E9"/>
    <w:rsid w:val="00235CBA"/>
    <w:rsid w:val="00236993"/>
    <w:rsid w:val="00237BDF"/>
    <w:rsid w:val="00240461"/>
    <w:rsid w:val="00240467"/>
    <w:rsid w:val="002409E5"/>
    <w:rsid w:val="0024177A"/>
    <w:rsid w:val="00242164"/>
    <w:rsid w:val="00242CBC"/>
    <w:rsid w:val="00253B1C"/>
    <w:rsid w:val="00255579"/>
    <w:rsid w:val="00255D3F"/>
    <w:rsid w:val="002577E5"/>
    <w:rsid w:val="00262D3E"/>
    <w:rsid w:val="00265947"/>
    <w:rsid w:val="00266644"/>
    <w:rsid w:val="00266818"/>
    <w:rsid w:val="00267EF8"/>
    <w:rsid w:val="0027000E"/>
    <w:rsid w:val="00270DCB"/>
    <w:rsid w:val="0027222C"/>
    <w:rsid w:val="002722EC"/>
    <w:rsid w:val="00274333"/>
    <w:rsid w:val="002746A6"/>
    <w:rsid w:val="00276568"/>
    <w:rsid w:val="00276570"/>
    <w:rsid w:val="00276DDD"/>
    <w:rsid w:val="002778A7"/>
    <w:rsid w:val="00277A80"/>
    <w:rsid w:val="00277C3D"/>
    <w:rsid w:val="00280896"/>
    <w:rsid w:val="0028210A"/>
    <w:rsid w:val="00282BF4"/>
    <w:rsid w:val="002840E9"/>
    <w:rsid w:val="0028441C"/>
    <w:rsid w:val="00286687"/>
    <w:rsid w:val="00286946"/>
    <w:rsid w:val="00287C2B"/>
    <w:rsid w:val="00287F8B"/>
    <w:rsid w:val="00290A85"/>
    <w:rsid w:val="0029123D"/>
    <w:rsid w:val="002912F4"/>
    <w:rsid w:val="0029339F"/>
    <w:rsid w:val="00293E2A"/>
    <w:rsid w:val="002942BB"/>
    <w:rsid w:val="0029503B"/>
    <w:rsid w:val="00295DC3"/>
    <w:rsid w:val="00296BD6"/>
    <w:rsid w:val="0029721C"/>
    <w:rsid w:val="002A0B16"/>
    <w:rsid w:val="002A0B6A"/>
    <w:rsid w:val="002A2CFD"/>
    <w:rsid w:val="002A354D"/>
    <w:rsid w:val="002A5605"/>
    <w:rsid w:val="002A5A48"/>
    <w:rsid w:val="002A5E8E"/>
    <w:rsid w:val="002A6E87"/>
    <w:rsid w:val="002B0172"/>
    <w:rsid w:val="002B32DE"/>
    <w:rsid w:val="002B4090"/>
    <w:rsid w:val="002C1B0B"/>
    <w:rsid w:val="002C1E1F"/>
    <w:rsid w:val="002C2576"/>
    <w:rsid w:val="002C342B"/>
    <w:rsid w:val="002C4069"/>
    <w:rsid w:val="002C4431"/>
    <w:rsid w:val="002C4515"/>
    <w:rsid w:val="002C5188"/>
    <w:rsid w:val="002C6ADA"/>
    <w:rsid w:val="002D142F"/>
    <w:rsid w:val="002D16D4"/>
    <w:rsid w:val="002D16DA"/>
    <w:rsid w:val="002D18B2"/>
    <w:rsid w:val="002D1BE9"/>
    <w:rsid w:val="002D27E5"/>
    <w:rsid w:val="002D3264"/>
    <w:rsid w:val="002D4ACF"/>
    <w:rsid w:val="002D670A"/>
    <w:rsid w:val="002D7DC6"/>
    <w:rsid w:val="002E0908"/>
    <w:rsid w:val="002E0C33"/>
    <w:rsid w:val="002E17B9"/>
    <w:rsid w:val="002E4683"/>
    <w:rsid w:val="002E4FA8"/>
    <w:rsid w:val="002E5AA6"/>
    <w:rsid w:val="002E601E"/>
    <w:rsid w:val="002E63EB"/>
    <w:rsid w:val="002E6781"/>
    <w:rsid w:val="002E733B"/>
    <w:rsid w:val="002E77CA"/>
    <w:rsid w:val="002F006A"/>
    <w:rsid w:val="002F1E40"/>
    <w:rsid w:val="002F2DDC"/>
    <w:rsid w:val="002F392F"/>
    <w:rsid w:val="002F4C6A"/>
    <w:rsid w:val="002F4FF4"/>
    <w:rsid w:val="002F5AEC"/>
    <w:rsid w:val="002F5DD3"/>
    <w:rsid w:val="00300734"/>
    <w:rsid w:val="00300B3A"/>
    <w:rsid w:val="0030160F"/>
    <w:rsid w:val="0030483E"/>
    <w:rsid w:val="0031406E"/>
    <w:rsid w:val="003144D6"/>
    <w:rsid w:val="00314B50"/>
    <w:rsid w:val="00314F8D"/>
    <w:rsid w:val="00316591"/>
    <w:rsid w:val="003167DC"/>
    <w:rsid w:val="00320C80"/>
    <w:rsid w:val="00324E62"/>
    <w:rsid w:val="00324FE1"/>
    <w:rsid w:val="00325669"/>
    <w:rsid w:val="00327273"/>
    <w:rsid w:val="00327861"/>
    <w:rsid w:val="003278AE"/>
    <w:rsid w:val="00332435"/>
    <w:rsid w:val="003335D3"/>
    <w:rsid w:val="00334106"/>
    <w:rsid w:val="003345D3"/>
    <w:rsid w:val="00334DDA"/>
    <w:rsid w:val="00335EF8"/>
    <w:rsid w:val="00337E17"/>
    <w:rsid w:val="00340F2C"/>
    <w:rsid w:val="00344003"/>
    <w:rsid w:val="003440AC"/>
    <w:rsid w:val="00344D9E"/>
    <w:rsid w:val="003461AA"/>
    <w:rsid w:val="0034660D"/>
    <w:rsid w:val="00353862"/>
    <w:rsid w:val="00357BB9"/>
    <w:rsid w:val="0036047D"/>
    <w:rsid w:val="00360719"/>
    <w:rsid w:val="00363AD1"/>
    <w:rsid w:val="00365C44"/>
    <w:rsid w:val="003666CC"/>
    <w:rsid w:val="00367A37"/>
    <w:rsid w:val="0037044E"/>
    <w:rsid w:val="003708B8"/>
    <w:rsid w:val="00371844"/>
    <w:rsid w:val="00372CAD"/>
    <w:rsid w:val="00372ED4"/>
    <w:rsid w:val="00372F70"/>
    <w:rsid w:val="003757CC"/>
    <w:rsid w:val="00380E1D"/>
    <w:rsid w:val="0038205C"/>
    <w:rsid w:val="003823A5"/>
    <w:rsid w:val="0038381F"/>
    <w:rsid w:val="00384C2A"/>
    <w:rsid w:val="00384E0F"/>
    <w:rsid w:val="003852DA"/>
    <w:rsid w:val="003858C7"/>
    <w:rsid w:val="0038760D"/>
    <w:rsid w:val="00390AD3"/>
    <w:rsid w:val="003943CB"/>
    <w:rsid w:val="00395940"/>
    <w:rsid w:val="003A10F0"/>
    <w:rsid w:val="003A1620"/>
    <w:rsid w:val="003A224D"/>
    <w:rsid w:val="003A23D3"/>
    <w:rsid w:val="003A2952"/>
    <w:rsid w:val="003A2B1B"/>
    <w:rsid w:val="003A3358"/>
    <w:rsid w:val="003A3EC5"/>
    <w:rsid w:val="003A3F9E"/>
    <w:rsid w:val="003A3FE3"/>
    <w:rsid w:val="003A531F"/>
    <w:rsid w:val="003A78E1"/>
    <w:rsid w:val="003A7E23"/>
    <w:rsid w:val="003B1182"/>
    <w:rsid w:val="003B3E1C"/>
    <w:rsid w:val="003B44B7"/>
    <w:rsid w:val="003B4F52"/>
    <w:rsid w:val="003B5BE2"/>
    <w:rsid w:val="003C02E9"/>
    <w:rsid w:val="003C0CF4"/>
    <w:rsid w:val="003C137B"/>
    <w:rsid w:val="003C1BE7"/>
    <w:rsid w:val="003C2267"/>
    <w:rsid w:val="003C2C94"/>
    <w:rsid w:val="003C3A3D"/>
    <w:rsid w:val="003C3BB0"/>
    <w:rsid w:val="003C3DD1"/>
    <w:rsid w:val="003C5C9D"/>
    <w:rsid w:val="003C6A03"/>
    <w:rsid w:val="003C6C2A"/>
    <w:rsid w:val="003C6CE0"/>
    <w:rsid w:val="003C7643"/>
    <w:rsid w:val="003D01F3"/>
    <w:rsid w:val="003D0266"/>
    <w:rsid w:val="003D04F3"/>
    <w:rsid w:val="003D0AE7"/>
    <w:rsid w:val="003D2EFF"/>
    <w:rsid w:val="003D3D16"/>
    <w:rsid w:val="003D400A"/>
    <w:rsid w:val="003D465E"/>
    <w:rsid w:val="003D5032"/>
    <w:rsid w:val="003E0CF0"/>
    <w:rsid w:val="003E1277"/>
    <w:rsid w:val="003E51B4"/>
    <w:rsid w:val="003F2287"/>
    <w:rsid w:val="003F361F"/>
    <w:rsid w:val="003F38D8"/>
    <w:rsid w:val="003F3F71"/>
    <w:rsid w:val="003F4A17"/>
    <w:rsid w:val="003F51A1"/>
    <w:rsid w:val="003F6124"/>
    <w:rsid w:val="003F6939"/>
    <w:rsid w:val="003F6C99"/>
    <w:rsid w:val="003F6CB9"/>
    <w:rsid w:val="003F74DD"/>
    <w:rsid w:val="003F7A2F"/>
    <w:rsid w:val="00400431"/>
    <w:rsid w:val="00401EFB"/>
    <w:rsid w:val="00402F6D"/>
    <w:rsid w:val="00405290"/>
    <w:rsid w:val="00405EBB"/>
    <w:rsid w:val="004071D5"/>
    <w:rsid w:val="004072D6"/>
    <w:rsid w:val="00410797"/>
    <w:rsid w:val="0041170C"/>
    <w:rsid w:val="00412C8D"/>
    <w:rsid w:val="00414401"/>
    <w:rsid w:val="004159D3"/>
    <w:rsid w:val="00416699"/>
    <w:rsid w:val="0042090C"/>
    <w:rsid w:val="004215D9"/>
    <w:rsid w:val="00423EF2"/>
    <w:rsid w:val="00424AF3"/>
    <w:rsid w:val="00425C23"/>
    <w:rsid w:val="00425E8F"/>
    <w:rsid w:val="00427587"/>
    <w:rsid w:val="004276FB"/>
    <w:rsid w:val="00427DCF"/>
    <w:rsid w:val="00430552"/>
    <w:rsid w:val="00430681"/>
    <w:rsid w:val="00430819"/>
    <w:rsid w:val="0043082A"/>
    <w:rsid w:val="00430CF3"/>
    <w:rsid w:val="00430F24"/>
    <w:rsid w:val="004323D9"/>
    <w:rsid w:val="00432B87"/>
    <w:rsid w:val="00432F71"/>
    <w:rsid w:val="00433159"/>
    <w:rsid w:val="00434569"/>
    <w:rsid w:val="00434693"/>
    <w:rsid w:val="004358CE"/>
    <w:rsid w:val="00435C83"/>
    <w:rsid w:val="004408E9"/>
    <w:rsid w:val="00440A9F"/>
    <w:rsid w:val="00441D9F"/>
    <w:rsid w:val="00441DF5"/>
    <w:rsid w:val="00443BD2"/>
    <w:rsid w:val="0044401C"/>
    <w:rsid w:val="00444548"/>
    <w:rsid w:val="00446253"/>
    <w:rsid w:val="00450A8F"/>
    <w:rsid w:val="0045131B"/>
    <w:rsid w:val="00452867"/>
    <w:rsid w:val="004539C9"/>
    <w:rsid w:val="004552DE"/>
    <w:rsid w:val="004560F8"/>
    <w:rsid w:val="0045714A"/>
    <w:rsid w:val="00461264"/>
    <w:rsid w:val="004620CD"/>
    <w:rsid w:val="00462924"/>
    <w:rsid w:val="00466E09"/>
    <w:rsid w:val="00467701"/>
    <w:rsid w:val="00467A1C"/>
    <w:rsid w:val="0047202F"/>
    <w:rsid w:val="00474953"/>
    <w:rsid w:val="0047508A"/>
    <w:rsid w:val="004757C3"/>
    <w:rsid w:val="00476C66"/>
    <w:rsid w:val="0047761F"/>
    <w:rsid w:val="0048225C"/>
    <w:rsid w:val="00482D12"/>
    <w:rsid w:val="004839A3"/>
    <w:rsid w:val="00484A44"/>
    <w:rsid w:val="004901C7"/>
    <w:rsid w:val="004912D6"/>
    <w:rsid w:val="00491658"/>
    <w:rsid w:val="004924B2"/>
    <w:rsid w:val="00492EC2"/>
    <w:rsid w:val="004956BB"/>
    <w:rsid w:val="00496353"/>
    <w:rsid w:val="00497305"/>
    <w:rsid w:val="00497DBA"/>
    <w:rsid w:val="004A0881"/>
    <w:rsid w:val="004A08BB"/>
    <w:rsid w:val="004A08D6"/>
    <w:rsid w:val="004A0C19"/>
    <w:rsid w:val="004A1685"/>
    <w:rsid w:val="004A397A"/>
    <w:rsid w:val="004A51E4"/>
    <w:rsid w:val="004A551B"/>
    <w:rsid w:val="004A652E"/>
    <w:rsid w:val="004B1E19"/>
    <w:rsid w:val="004B5230"/>
    <w:rsid w:val="004B56A8"/>
    <w:rsid w:val="004B7613"/>
    <w:rsid w:val="004C1508"/>
    <w:rsid w:val="004C21C5"/>
    <w:rsid w:val="004C2A9F"/>
    <w:rsid w:val="004C37B1"/>
    <w:rsid w:val="004C3D07"/>
    <w:rsid w:val="004C5BA4"/>
    <w:rsid w:val="004C71C9"/>
    <w:rsid w:val="004D06DF"/>
    <w:rsid w:val="004D1B5B"/>
    <w:rsid w:val="004D1C2D"/>
    <w:rsid w:val="004D1C83"/>
    <w:rsid w:val="004D351F"/>
    <w:rsid w:val="004D3CA5"/>
    <w:rsid w:val="004E1D21"/>
    <w:rsid w:val="004E295B"/>
    <w:rsid w:val="004E4209"/>
    <w:rsid w:val="004E5407"/>
    <w:rsid w:val="004E5A2A"/>
    <w:rsid w:val="004E5E6B"/>
    <w:rsid w:val="004E6C14"/>
    <w:rsid w:val="004E6C99"/>
    <w:rsid w:val="004E74BD"/>
    <w:rsid w:val="004F0465"/>
    <w:rsid w:val="004F32CA"/>
    <w:rsid w:val="004F6502"/>
    <w:rsid w:val="004F6B20"/>
    <w:rsid w:val="004F7786"/>
    <w:rsid w:val="0050171A"/>
    <w:rsid w:val="00501AC7"/>
    <w:rsid w:val="005025BE"/>
    <w:rsid w:val="00502614"/>
    <w:rsid w:val="005042E6"/>
    <w:rsid w:val="0050448C"/>
    <w:rsid w:val="0050671E"/>
    <w:rsid w:val="00507EC4"/>
    <w:rsid w:val="00507EFA"/>
    <w:rsid w:val="00512D3D"/>
    <w:rsid w:val="00513D8B"/>
    <w:rsid w:val="005148B0"/>
    <w:rsid w:val="00515CE2"/>
    <w:rsid w:val="00520FFA"/>
    <w:rsid w:val="00521AA9"/>
    <w:rsid w:val="00521C7F"/>
    <w:rsid w:val="00522B3C"/>
    <w:rsid w:val="005232C2"/>
    <w:rsid w:val="00524B40"/>
    <w:rsid w:val="00524F2E"/>
    <w:rsid w:val="0052692A"/>
    <w:rsid w:val="0052766E"/>
    <w:rsid w:val="00533494"/>
    <w:rsid w:val="00535FA2"/>
    <w:rsid w:val="005368A8"/>
    <w:rsid w:val="00536ABE"/>
    <w:rsid w:val="005403F0"/>
    <w:rsid w:val="005406E1"/>
    <w:rsid w:val="00541E50"/>
    <w:rsid w:val="005424D4"/>
    <w:rsid w:val="005437BD"/>
    <w:rsid w:val="00544916"/>
    <w:rsid w:val="00545BF2"/>
    <w:rsid w:val="00547CD7"/>
    <w:rsid w:val="00550E07"/>
    <w:rsid w:val="00551ED9"/>
    <w:rsid w:val="005530A4"/>
    <w:rsid w:val="005542D4"/>
    <w:rsid w:val="00554C83"/>
    <w:rsid w:val="005557C3"/>
    <w:rsid w:val="00555CC4"/>
    <w:rsid w:val="00563848"/>
    <w:rsid w:val="00563DEE"/>
    <w:rsid w:val="0056464E"/>
    <w:rsid w:val="00564B57"/>
    <w:rsid w:val="005651D5"/>
    <w:rsid w:val="00567C6E"/>
    <w:rsid w:val="00571119"/>
    <w:rsid w:val="00571783"/>
    <w:rsid w:val="00571D9A"/>
    <w:rsid w:val="005733D1"/>
    <w:rsid w:val="0057373B"/>
    <w:rsid w:val="00573EA5"/>
    <w:rsid w:val="005753C8"/>
    <w:rsid w:val="00576370"/>
    <w:rsid w:val="00576EB1"/>
    <w:rsid w:val="005774A0"/>
    <w:rsid w:val="005809B3"/>
    <w:rsid w:val="00580AAF"/>
    <w:rsid w:val="00581437"/>
    <w:rsid w:val="00581567"/>
    <w:rsid w:val="00584A87"/>
    <w:rsid w:val="00584C17"/>
    <w:rsid w:val="0058599F"/>
    <w:rsid w:val="005878C4"/>
    <w:rsid w:val="00587C21"/>
    <w:rsid w:val="00590058"/>
    <w:rsid w:val="00590594"/>
    <w:rsid w:val="005907BB"/>
    <w:rsid w:val="00590850"/>
    <w:rsid w:val="00591172"/>
    <w:rsid w:val="00593326"/>
    <w:rsid w:val="00593B85"/>
    <w:rsid w:val="0059598C"/>
    <w:rsid w:val="0059608A"/>
    <w:rsid w:val="00596FAF"/>
    <w:rsid w:val="005971D7"/>
    <w:rsid w:val="005A0D55"/>
    <w:rsid w:val="005A10B1"/>
    <w:rsid w:val="005A1651"/>
    <w:rsid w:val="005A2253"/>
    <w:rsid w:val="005A2AB1"/>
    <w:rsid w:val="005A3A16"/>
    <w:rsid w:val="005A5214"/>
    <w:rsid w:val="005A61B2"/>
    <w:rsid w:val="005B0A7E"/>
    <w:rsid w:val="005B17E6"/>
    <w:rsid w:val="005B211D"/>
    <w:rsid w:val="005B292E"/>
    <w:rsid w:val="005B2D06"/>
    <w:rsid w:val="005B4700"/>
    <w:rsid w:val="005B4D27"/>
    <w:rsid w:val="005B528C"/>
    <w:rsid w:val="005B6BB9"/>
    <w:rsid w:val="005C592D"/>
    <w:rsid w:val="005C6229"/>
    <w:rsid w:val="005C6CA0"/>
    <w:rsid w:val="005C7E28"/>
    <w:rsid w:val="005D0699"/>
    <w:rsid w:val="005D176B"/>
    <w:rsid w:val="005D230C"/>
    <w:rsid w:val="005D2636"/>
    <w:rsid w:val="005D2739"/>
    <w:rsid w:val="005D2967"/>
    <w:rsid w:val="005D446B"/>
    <w:rsid w:val="005D54CA"/>
    <w:rsid w:val="005D5C83"/>
    <w:rsid w:val="005D6A0D"/>
    <w:rsid w:val="005D753B"/>
    <w:rsid w:val="005E09A1"/>
    <w:rsid w:val="005E0C57"/>
    <w:rsid w:val="005E3121"/>
    <w:rsid w:val="005E5910"/>
    <w:rsid w:val="005E5B06"/>
    <w:rsid w:val="005F1BE5"/>
    <w:rsid w:val="005F1F8B"/>
    <w:rsid w:val="005F2170"/>
    <w:rsid w:val="005F399B"/>
    <w:rsid w:val="005F3D13"/>
    <w:rsid w:val="005F566E"/>
    <w:rsid w:val="005F5E2F"/>
    <w:rsid w:val="005F64C8"/>
    <w:rsid w:val="005F7104"/>
    <w:rsid w:val="005F7589"/>
    <w:rsid w:val="005F7AB2"/>
    <w:rsid w:val="005F7FCF"/>
    <w:rsid w:val="006002B4"/>
    <w:rsid w:val="00600484"/>
    <w:rsid w:val="00600867"/>
    <w:rsid w:val="006031E5"/>
    <w:rsid w:val="0060369A"/>
    <w:rsid w:val="00605028"/>
    <w:rsid w:val="00606EF7"/>
    <w:rsid w:val="00611832"/>
    <w:rsid w:val="00611DF1"/>
    <w:rsid w:val="00615FE9"/>
    <w:rsid w:val="00622480"/>
    <w:rsid w:val="006231D8"/>
    <w:rsid w:val="00624C4C"/>
    <w:rsid w:val="00624DCC"/>
    <w:rsid w:val="00625CE6"/>
    <w:rsid w:val="00627134"/>
    <w:rsid w:val="006323D5"/>
    <w:rsid w:val="00634C31"/>
    <w:rsid w:val="006353C8"/>
    <w:rsid w:val="00637AF0"/>
    <w:rsid w:val="006415F2"/>
    <w:rsid w:val="00641DA7"/>
    <w:rsid w:val="00643015"/>
    <w:rsid w:val="006433DA"/>
    <w:rsid w:val="00644AE8"/>
    <w:rsid w:val="00644EE3"/>
    <w:rsid w:val="006466FB"/>
    <w:rsid w:val="006469C8"/>
    <w:rsid w:val="00647986"/>
    <w:rsid w:val="00647D58"/>
    <w:rsid w:val="00650CE6"/>
    <w:rsid w:val="00651BED"/>
    <w:rsid w:val="00651D13"/>
    <w:rsid w:val="00651F67"/>
    <w:rsid w:val="00653395"/>
    <w:rsid w:val="006538D6"/>
    <w:rsid w:val="00654103"/>
    <w:rsid w:val="00655264"/>
    <w:rsid w:val="006565CC"/>
    <w:rsid w:val="00660105"/>
    <w:rsid w:val="00660756"/>
    <w:rsid w:val="006609BC"/>
    <w:rsid w:val="00661F21"/>
    <w:rsid w:val="00663DEF"/>
    <w:rsid w:val="00665D57"/>
    <w:rsid w:val="006722A6"/>
    <w:rsid w:val="00673C5A"/>
    <w:rsid w:val="006742B1"/>
    <w:rsid w:val="00674B33"/>
    <w:rsid w:val="00675061"/>
    <w:rsid w:val="00676727"/>
    <w:rsid w:val="0067679C"/>
    <w:rsid w:val="00676862"/>
    <w:rsid w:val="00676D6D"/>
    <w:rsid w:val="0067728C"/>
    <w:rsid w:val="0067736B"/>
    <w:rsid w:val="006806F8"/>
    <w:rsid w:val="006848CC"/>
    <w:rsid w:val="00684F73"/>
    <w:rsid w:val="00686414"/>
    <w:rsid w:val="00687365"/>
    <w:rsid w:val="00690DA1"/>
    <w:rsid w:val="00691151"/>
    <w:rsid w:val="00691792"/>
    <w:rsid w:val="00691804"/>
    <w:rsid w:val="00692AF9"/>
    <w:rsid w:val="006934D0"/>
    <w:rsid w:val="006934E1"/>
    <w:rsid w:val="00694525"/>
    <w:rsid w:val="00695943"/>
    <w:rsid w:val="006961BF"/>
    <w:rsid w:val="006972C5"/>
    <w:rsid w:val="00697729"/>
    <w:rsid w:val="00697845"/>
    <w:rsid w:val="00697AAB"/>
    <w:rsid w:val="006A02A5"/>
    <w:rsid w:val="006A1181"/>
    <w:rsid w:val="006A1718"/>
    <w:rsid w:val="006A1B5E"/>
    <w:rsid w:val="006A395B"/>
    <w:rsid w:val="006A497D"/>
    <w:rsid w:val="006A4ADE"/>
    <w:rsid w:val="006A4DB1"/>
    <w:rsid w:val="006A56BD"/>
    <w:rsid w:val="006A5781"/>
    <w:rsid w:val="006A5BCD"/>
    <w:rsid w:val="006B13E0"/>
    <w:rsid w:val="006B286C"/>
    <w:rsid w:val="006B3E3D"/>
    <w:rsid w:val="006B3E9E"/>
    <w:rsid w:val="006B5062"/>
    <w:rsid w:val="006B60DB"/>
    <w:rsid w:val="006B6234"/>
    <w:rsid w:val="006B77EC"/>
    <w:rsid w:val="006B7C97"/>
    <w:rsid w:val="006C21D4"/>
    <w:rsid w:val="006C30AF"/>
    <w:rsid w:val="006C5510"/>
    <w:rsid w:val="006C5EDA"/>
    <w:rsid w:val="006C7C09"/>
    <w:rsid w:val="006D0BC9"/>
    <w:rsid w:val="006D0D05"/>
    <w:rsid w:val="006D0D7B"/>
    <w:rsid w:val="006D1D5B"/>
    <w:rsid w:val="006D1E74"/>
    <w:rsid w:val="006D2554"/>
    <w:rsid w:val="006D3137"/>
    <w:rsid w:val="006D6436"/>
    <w:rsid w:val="006D6BC5"/>
    <w:rsid w:val="006D6C21"/>
    <w:rsid w:val="006D6EA2"/>
    <w:rsid w:val="006D756A"/>
    <w:rsid w:val="006E0BB0"/>
    <w:rsid w:val="006E1256"/>
    <w:rsid w:val="006E2274"/>
    <w:rsid w:val="006E40A0"/>
    <w:rsid w:val="006E45B5"/>
    <w:rsid w:val="006E6DD9"/>
    <w:rsid w:val="006F07C2"/>
    <w:rsid w:val="006F12B8"/>
    <w:rsid w:val="006F3549"/>
    <w:rsid w:val="006F3722"/>
    <w:rsid w:val="006F463F"/>
    <w:rsid w:val="006F5D15"/>
    <w:rsid w:val="006F63FE"/>
    <w:rsid w:val="007027AC"/>
    <w:rsid w:val="007031F4"/>
    <w:rsid w:val="007035FF"/>
    <w:rsid w:val="007059DB"/>
    <w:rsid w:val="007060EF"/>
    <w:rsid w:val="007114EA"/>
    <w:rsid w:val="00711638"/>
    <w:rsid w:val="00713B1B"/>
    <w:rsid w:val="00714707"/>
    <w:rsid w:val="00715C1F"/>
    <w:rsid w:val="00722370"/>
    <w:rsid w:val="0072327D"/>
    <w:rsid w:val="00723A97"/>
    <w:rsid w:val="00723B77"/>
    <w:rsid w:val="007247BC"/>
    <w:rsid w:val="00725561"/>
    <w:rsid w:val="00730521"/>
    <w:rsid w:val="00731C26"/>
    <w:rsid w:val="00733292"/>
    <w:rsid w:val="0073358E"/>
    <w:rsid w:val="00733E23"/>
    <w:rsid w:val="00735A08"/>
    <w:rsid w:val="00736BDD"/>
    <w:rsid w:val="007376C7"/>
    <w:rsid w:val="007379AF"/>
    <w:rsid w:val="00737A79"/>
    <w:rsid w:val="00737B2F"/>
    <w:rsid w:val="00737EF9"/>
    <w:rsid w:val="00737FA8"/>
    <w:rsid w:val="0074192D"/>
    <w:rsid w:val="00742C1F"/>
    <w:rsid w:val="0074666E"/>
    <w:rsid w:val="00746C24"/>
    <w:rsid w:val="00753276"/>
    <w:rsid w:val="007540B3"/>
    <w:rsid w:val="00754B45"/>
    <w:rsid w:val="0075541E"/>
    <w:rsid w:val="0075784B"/>
    <w:rsid w:val="00757895"/>
    <w:rsid w:val="007604AA"/>
    <w:rsid w:val="00760B0E"/>
    <w:rsid w:val="007624C9"/>
    <w:rsid w:val="007628EA"/>
    <w:rsid w:val="00762E1E"/>
    <w:rsid w:val="00763208"/>
    <w:rsid w:val="007639C5"/>
    <w:rsid w:val="00765554"/>
    <w:rsid w:val="00766208"/>
    <w:rsid w:val="00766866"/>
    <w:rsid w:val="007700AD"/>
    <w:rsid w:val="00773EE5"/>
    <w:rsid w:val="00775080"/>
    <w:rsid w:val="0077683C"/>
    <w:rsid w:val="00780779"/>
    <w:rsid w:val="00781021"/>
    <w:rsid w:val="0078122B"/>
    <w:rsid w:val="00781334"/>
    <w:rsid w:val="007818CB"/>
    <w:rsid w:val="007819A8"/>
    <w:rsid w:val="00781EC7"/>
    <w:rsid w:val="00782926"/>
    <w:rsid w:val="00782DCF"/>
    <w:rsid w:val="007831BF"/>
    <w:rsid w:val="007833FF"/>
    <w:rsid w:val="00784E5F"/>
    <w:rsid w:val="007854F4"/>
    <w:rsid w:val="0078591D"/>
    <w:rsid w:val="00785963"/>
    <w:rsid w:val="00785F1B"/>
    <w:rsid w:val="007860FA"/>
    <w:rsid w:val="00786A96"/>
    <w:rsid w:val="007904EB"/>
    <w:rsid w:val="0079075C"/>
    <w:rsid w:val="00791C49"/>
    <w:rsid w:val="007925B7"/>
    <w:rsid w:val="00792F4E"/>
    <w:rsid w:val="00793D72"/>
    <w:rsid w:val="00794124"/>
    <w:rsid w:val="00794EFD"/>
    <w:rsid w:val="00795772"/>
    <w:rsid w:val="0079588F"/>
    <w:rsid w:val="007971EE"/>
    <w:rsid w:val="007972DA"/>
    <w:rsid w:val="007A00AC"/>
    <w:rsid w:val="007A08BA"/>
    <w:rsid w:val="007A1512"/>
    <w:rsid w:val="007A3222"/>
    <w:rsid w:val="007B0245"/>
    <w:rsid w:val="007B042F"/>
    <w:rsid w:val="007B1051"/>
    <w:rsid w:val="007B1B14"/>
    <w:rsid w:val="007B1C22"/>
    <w:rsid w:val="007B2B93"/>
    <w:rsid w:val="007B4396"/>
    <w:rsid w:val="007B55B1"/>
    <w:rsid w:val="007B63C8"/>
    <w:rsid w:val="007C046C"/>
    <w:rsid w:val="007C05E7"/>
    <w:rsid w:val="007C5587"/>
    <w:rsid w:val="007C5FFD"/>
    <w:rsid w:val="007D0119"/>
    <w:rsid w:val="007D03E8"/>
    <w:rsid w:val="007D0E39"/>
    <w:rsid w:val="007D3260"/>
    <w:rsid w:val="007D35CC"/>
    <w:rsid w:val="007D5271"/>
    <w:rsid w:val="007D58E6"/>
    <w:rsid w:val="007D6DBD"/>
    <w:rsid w:val="007D780F"/>
    <w:rsid w:val="007E0042"/>
    <w:rsid w:val="007E30AF"/>
    <w:rsid w:val="007E35C2"/>
    <w:rsid w:val="007E464D"/>
    <w:rsid w:val="007F17D3"/>
    <w:rsid w:val="007F1D84"/>
    <w:rsid w:val="007F20F0"/>
    <w:rsid w:val="007F37BC"/>
    <w:rsid w:val="007F3DD5"/>
    <w:rsid w:val="007F4327"/>
    <w:rsid w:val="007F4E77"/>
    <w:rsid w:val="007F67DC"/>
    <w:rsid w:val="007F7BE3"/>
    <w:rsid w:val="00800E93"/>
    <w:rsid w:val="008016A3"/>
    <w:rsid w:val="00802357"/>
    <w:rsid w:val="008024D9"/>
    <w:rsid w:val="008040B6"/>
    <w:rsid w:val="0080413B"/>
    <w:rsid w:val="00804407"/>
    <w:rsid w:val="00804C6D"/>
    <w:rsid w:val="008051AF"/>
    <w:rsid w:val="00805452"/>
    <w:rsid w:val="008056BD"/>
    <w:rsid w:val="00805E10"/>
    <w:rsid w:val="008072AA"/>
    <w:rsid w:val="0081007C"/>
    <w:rsid w:val="00810687"/>
    <w:rsid w:val="00811815"/>
    <w:rsid w:val="00811CD8"/>
    <w:rsid w:val="008123E9"/>
    <w:rsid w:val="0081241E"/>
    <w:rsid w:val="008128CC"/>
    <w:rsid w:val="00813521"/>
    <w:rsid w:val="008137C4"/>
    <w:rsid w:val="00813C03"/>
    <w:rsid w:val="00817358"/>
    <w:rsid w:val="0082003B"/>
    <w:rsid w:val="0082010D"/>
    <w:rsid w:val="008204A4"/>
    <w:rsid w:val="00820FB4"/>
    <w:rsid w:val="00824B7B"/>
    <w:rsid w:val="008257BB"/>
    <w:rsid w:val="00825A1C"/>
    <w:rsid w:val="00827642"/>
    <w:rsid w:val="00827675"/>
    <w:rsid w:val="00827866"/>
    <w:rsid w:val="00830DA1"/>
    <w:rsid w:val="00831CF8"/>
    <w:rsid w:val="00834921"/>
    <w:rsid w:val="00834E76"/>
    <w:rsid w:val="00835210"/>
    <w:rsid w:val="0083674F"/>
    <w:rsid w:val="00840714"/>
    <w:rsid w:val="008412DA"/>
    <w:rsid w:val="008427CB"/>
    <w:rsid w:val="00842EBE"/>
    <w:rsid w:val="00843E04"/>
    <w:rsid w:val="00843EB3"/>
    <w:rsid w:val="0084580E"/>
    <w:rsid w:val="008463A6"/>
    <w:rsid w:val="008464BD"/>
    <w:rsid w:val="008474D3"/>
    <w:rsid w:val="00847D28"/>
    <w:rsid w:val="00851490"/>
    <w:rsid w:val="00856D61"/>
    <w:rsid w:val="008614DA"/>
    <w:rsid w:val="008626A1"/>
    <w:rsid w:val="00863D16"/>
    <w:rsid w:val="0086460D"/>
    <w:rsid w:val="00864BE6"/>
    <w:rsid w:val="00864F50"/>
    <w:rsid w:val="00865409"/>
    <w:rsid w:val="008706A8"/>
    <w:rsid w:val="008711D6"/>
    <w:rsid w:val="008718AB"/>
    <w:rsid w:val="00873C69"/>
    <w:rsid w:val="008749B5"/>
    <w:rsid w:val="00874C80"/>
    <w:rsid w:val="00874FE5"/>
    <w:rsid w:val="0087560B"/>
    <w:rsid w:val="00875ECD"/>
    <w:rsid w:val="0088018D"/>
    <w:rsid w:val="00880671"/>
    <w:rsid w:val="00881E90"/>
    <w:rsid w:val="008820C9"/>
    <w:rsid w:val="008825E4"/>
    <w:rsid w:val="00882B0E"/>
    <w:rsid w:val="00883315"/>
    <w:rsid w:val="008834BF"/>
    <w:rsid w:val="00883C68"/>
    <w:rsid w:val="008849E2"/>
    <w:rsid w:val="00885E66"/>
    <w:rsid w:val="00886198"/>
    <w:rsid w:val="008861DA"/>
    <w:rsid w:val="00890653"/>
    <w:rsid w:val="00890C0E"/>
    <w:rsid w:val="00894017"/>
    <w:rsid w:val="00894AB7"/>
    <w:rsid w:val="0089591D"/>
    <w:rsid w:val="00895EBC"/>
    <w:rsid w:val="008961C9"/>
    <w:rsid w:val="008A15AA"/>
    <w:rsid w:val="008A1F01"/>
    <w:rsid w:val="008A2012"/>
    <w:rsid w:val="008A362A"/>
    <w:rsid w:val="008A5793"/>
    <w:rsid w:val="008A5E98"/>
    <w:rsid w:val="008A6611"/>
    <w:rsid w:val="008A7368"/>
    <w:rsid w:val="008A741F"/>
    <w:rsid w:val="008A7BAE"/>
    <w:rsid w:val="008A7DF3"/>
    <w:rsid w:val="008B03CB"/>
    <w:rsid w:val="008B0D16"/>
    <w:rsid w:val="008B1322"/>
    <w:rsid w:val="008B1B63"/>
    <w:rsid w:val="008B4076"/>
    <w:rsid w:val="008B4AF6"/>
    <w:rsid w:val="008C3FD1"/>
    <w:rsid w:val="008C462B"/>
    <w:rsid w:val="008C498D"/>
    <w:rsid w:val="008C62DA"/>
    <w:rsid w:val="008C686B"/>
    <w:rsid w:val="008C6C46"/>
    <w:rsid w:val="008C75C4"/>
    <w:rsid w:val="008C7677"/>
    <w:rsid w:val="008D04FE"/>
    <w:rsid w:val="008D14D1"/>
    <w:rsid w:val="008D412A"/>
    <w:rsid w:val="008D46BA"/>
    <w:rsid w:val="008D4A02"/>
    <w:rsid w:val="008D4F3C"/>
    <w:rsid w:val="008D616E"/>
    <w:rsid w:val="008D660F"/>
    <w:rsid w:val="008E11BC"/>
    <w:rsid w:val="008E3B62"/>
    <w:rsid w:val="008E3DC4"/>
    <w:rsid w:val="008F0837"/>
    <w:rsid w:val="008F0BE0"/>
    <w:rsid w:val="008F6917"/>
    <w:rsid w:val="008F792C"/>
    <w:rsid w:val="009017D8"/>
    <w:rsid w:val="00903738"/>
    <w:rsid w:val="00903D38"/>
    <w:rsid w:val="009043D9"/>
    <w:rsid w:val="009047C6"/>
    <w:rsid w:val="00906A2E"/>
    <w:rsid w:val="00906B29"/>
    <w:rsid w:val="00907A08"/>
    <w:rsid w:val="00911E59"/>
    <w:rsid w:val="0091377F"/>
    <w:rsid w:val="0091499A"/>
    <w:rsid w:val="009155E6"/>
    <w:rsid w:val="009178AA"/>
    <w:rsid w:val="009179A3"/>
    <w:rsid w:val="00923C2A"/>
    <w:rsid w:val="00924E81"/>
    <w:rsid w:val="00927DDD"/>
    <w:rsid w:val="0093001D"/>
    <w:rsid w:val="00933A6F"/>
    <w:rsid w:val="00935AFE"/>
    <w:rsid w:val="00936297"/>
    <w:rsid w:val="009415FA"/>
    <w:rsid w:val="00942C25"/>
    <w:rsid w:val="0094304E"/>
    <w:rsid w:val="00943226"/>
    <w:rsid w:val="00944833"/>
    <w:rsid w:val="00946FA8"/>
    <w:rsid w:val="00951131"/>
    <w:rsid w:val="009522A1"/>
    <w:rsid w:val="009539DC"/>
    <w:rsid w:val="00953C63"/>
    <w:rsid w:val="0095408D"/>
    <w:rsid w:val="00954989"/>
    <w:rsid w:val="00954B6B"/>
    <w:rsid w:val="009559E7"/>
    <w:rsid w:val="00957282"/>
    <w:rsid w:val="0096108E"/>
    <w:rsid w:val="00961DDB"/>
    <w:rsid w:val="00963FF7"/>
    <w:rsid w:val="009660D9"/>
    <w:rsid w:val="00966352"/>
    <w:rsid w:val="00966ED3"/>
    <w:rsid w:val="009673CD"/>
    <w:rsid w:val="009704BF"/>
    <w:rsid w:val="00974400"/>
    <w:rsid w:val="0097635C"/>
    <w:rsid w:val="00977269"/>
    <w:rsid w:val="00980856"/>
    <w:rsid w:val="00980883"/>
    <w:rsid w:val="0098194D"/>
    <w:rsid w:val="00983C63"/>
    <w:rsid w:val="00984DB3"/>
    <w:rsid w:val="00985526"/>
    <w:rsid w:val="00987700"/>
    <w:rsid w:val="00992B78"/>
    <w:rsid w:val="00994ABA"/>
    <w:rsid w:val="00994C93"/>
    <w:rsid w:val="009965F6"/>
    <w:rsid w:val="00997A4F"/>
    <w:rsid w:val="009A01E3"/>
    <w:rsid w:val="009A0D0B"/>
    <w:rsid w:val="009A273D"/>
    <w:rsid w:val="009A3892"/>
    <w:rsid w:val="009A3C68"/>
    <w:rsid w:val="009A639D"/>
    <w:rsid w:val="009A6E27"/>
    <w:rsid w:val="009A7B3A"/>
    <w:rsid w:val="009B07EF"/>
    <w:rsid w:val="009B1E67"/>
    <w:rsid w:val="009B5C86"/>
    <w:rsid w:val="009B7296"/>
    <w:rsid w:val="009C01A7"/>
    <w:rsid w:val="009C118D"/>
    <w:rsid w:val="009C15F6"/>
    <w:rsid w:val="009C2ADA"/>
    <w:rsid w:val="009C340A"/>
    <w:rsid w:val="009C3C49"/>
    <w:rsid w:val="009C460F"/>
    <w:rsid w:val="009C4DFA"/>
    <w:rsid w:val="009C5368"/>
    <w:rsid w:val="009C5AC8"/>
    <w:rsid w:val="009C5D31"/>
    <w:rsid w:val="009C6488"/>
    <w:rsid w:val="009C7962"/>
    <w:rsid w:val="009D14B0"/>
    <w:rsid w:val="009D151E"/>
    <w:rsid w:val="009D1EAA"/>
    <w:rsid w:val="009D2D17"/>
    <w:rsid w:val="009D3200"/>
    <w:rsid w:val="009D47C6"/>
    <w:rsid w:val="009D5ED0"/>
    <w:rsid w:val="009D772E"/>
    <w:rsid w:val="009D7E58"/>
    <w:rsid w:val="009E1A76"/>
    <w:rsid w:val="009E3412"/>
    <w:rsid w:val="009E3EFB"/>
    <w:rsid w:val="009E470A"/>
    <w:rsid w:val="009E4BEE"/>
    <w:rsid w:val="009E5754"/>
    <w:rsid w:val="009E5844"/>
    <w:rsid w:val="009E7FD1"/>
    <w:rsid w:val="009F15C1"/>
    <w:rsid w:val="009F3808"/>
    <w:rsid w:val="009F40DA"/>
    <w:rsid w:val="009F6AA6"/>
    <w:rsid w:val="009F7A28"/>
    <w:rsid w:val="009F7A7A"/>
    <w:rsid w:val="00A00631"/>
    <w:rsid w:val="00A035A7"/>
    <w:rsid w:val="00A04A83"/>
    <w:rsid w:val="00A06640"/>
    <w:rsid w:val="00A07BB0"/>
    <w:rsid w:val="00A12568"/>
    <w:rsid w:val="00A13927"/>
    <w:rsid w:val="00A139D6"/>
    <w:rsid w:val="00A14808"/>
    <w:rsid w:val="00A14C79"/>
    <w:rsid w:val="00A1668B"/>
    <w:rsid w:val="00A22A69"/>
    <w:rsid w:val="00A22D6E"/>
    <w:rsid w:val="00A23E31"/>
    <w:rsid w:val="00A23F52"/>
    <w:rsid w:val="00A25C0D"/>
    <w:rsid w:val="00A26EEA"/>
    <w:rsid w:val="00A300BF"/>
    <w:rsid w:val="00A323F8"/>
    <w:rsid w:val="00A32FCC"/>
    <w:rsid w:val="00A33716"/>
    <w:rsid w:val="00A3378E"/>
    <w:rsid w:val="00A343B3"/>
    <w:rsid w:val="00A36FA5"/>
    <w:rsid w:val="00A37F22"/>
    <w:rsid w:val="00A4152F"/>
    <w:rsid w:val="00A428EE"/>
    <w:rsid w:val="00A43070"/>
    <w:rsid w:val="00A43165"/>
    <w:rsid w:val="00A4353A"/>
    <w:rsid w:val="00A447F4"/>
    <w:rsid w:val="00A45B36"/>
    <w:rsid w:val="00A515CC"/>
    <w:rsid w:val="00A53D4B"/>
    <w:rsid w:val="00A6186C"/>
    <w:rsid w:val="00A62EFD"/>
    <w:rsid w:val="00A635D6"/>
    <w:rsid w:val="00A63A2B"/>
    <w:rsid w:val="00A64A46"/>
    <w:rsid w:val="00A66778"/>
    <w:rsid w:val="00A67C02"/>
    <w:rsid w:val="00A7097F"/>
    <w:rsid w:val="00A70EAC"/>
    <w:rsid w:val="00A70F57"/>
    <w:rsid w:val="00A718C2"/>
    <w:rsid w:val="00A71AAA"/>
    <w:rsid w:val="00A72C83"/>
    <w:rsid w:val="00A74596"/>
    <w:rsid w:val="00A74D5B"/>
    <w:rsid w:val="00A75376"/>
    <w:rsid w:val="00A76916"/>
    <w:rsid w:val="00A76DEE"/>
    <w:rsid w:val="00A81A7D"/>
    <w:rsid w:val="00A82EE5"/>
    <w:rsid w:val="00A846A6"/>
    <w:rsid w:val="00A852B1"/>
    <w:rsid w:val="00A852F9"/>
    <w:rsid w:val="00A858E8"/>
    <w:rsid w:val="00A86269"/>
    <w:rsid w:val="00A86D3C"/>
    <w:rsid w:val="00A87BDA"/>
    <w:rsid w:val="00A87D37"/>
    <w:rsid w:val="00A9182A"/>
    <w:rsid w:val="00A95C30"/>
    <w:rsid w:val="00A96C1C"/>
    <w:rsid w:val="00A97577"/>
    <w:rsid w:val="00A97578"/>
    <w:rsid w:val="00A97E8A"/>
    <w:rsid w:val="00AA01C8"/>
    <w:rsid w:val="00AA0375"/>
    <w:rsid w:val="00AA06DB"/>
    <w:rsid w:val="00AA0D30"/>
    <w:rsid w:val="00AA2067"/>
    <w:rsid w:val="00AA3883"/>
    <w:rsid w:val="00AA391A"/>
    <w:rsid w:val="00AA3D57"/>
    <w:rsid w:val="00AA47D8"/>
    <w:rsid w:val="00AA59F9"/>
    <w:rsid w:val="00AA64F4"/>
    <w:rsid w:val="00AA65BA"/>
    <w:rsid w:val="00AA67CF"/>
    <w:rsid w:val="00AA6966"/>
    <w:rsid w:val="00AA75D8"/>
    <w:rsid w:val="00AB1079"/>
    <w:rsid w:val="00AB2122"/>
    <w:rsid w:val="00AB38BE"/>
    <w:rsid w:val="00AB4984"/>
    <w:rsid w:val="00AC006B"/>
    <w:rsid w:val="00AC0C84"/>
    <w:rsid w:val="00AC107D"/>
    <w:rsid w:val="00AC1317"/>
    <w:rsid w:val="00AC1D55"/>
    <w:rsid w:val="00AC220D"/>
    <w:rsid w:val="00AC2517"/>
    <w:rsid w:val="00AC2CC8"/>
    <w:rsid w:val="00AC329F"/>
    <w:rsid w:val="00AC387B"/>
    <w:rsid w:val="00AC51A9"/>
    <w:rsid w:val="00AC6DA4"/>
    <w:rsid w:val="00AC6FA2"/>
    <w:rsid w:val="00AC7802"/>
    <w:rsid w:val="00AD179D"/>
    <w:rsid w:val="00AD221B"/>
    <w:rsid w:val="00AD32C8"/>
    <w:rsid w:val="00AD3D52"/>
    <w:rsid w:val="00AD3F1C"/>
    <w:rsid w:val="00AD7F1A"/>
    <w:rsid w:val="00AE02D7"/>
    <w:rsid w:val="00AE342A"/>
    <w:rsid w:val="00AE3602"/>
    <w:rsid w:val="00AE4D1E"/>
    <w:rsid w:val="00AE6424"/>
    <w:rsid w:val="00AF0303"/>
    <w:rsid w:val="00AF103C"/>
    <w:rsid w:val="00AF27CF"/>
    <w:rsid w:val="00AF3445"/>
    <w:rsid w:val="00AF4528"/>
    <w:rsid w:val="00B01368"/>
    <w:rsid w:val="00B023CA"/>
    <w:rsid w:val="00B038B3"/>
    <w:rsid w:val="00B042B8"/>
    <w:rsid w:val="00B048AB"/>
    <w:rsid w:val="00B04B20"/>
    <w:rsid w:val="00B05712"/>
    <w:rsid w:val="00B05762"/>
    <w:rsid w:val="00B06B67"/>
    <w:rsid w:val="00B07EF9"/>
    <w:rsid w:val="00B105BC"/>
    <w:rsid w:val="00B1159A"/>
    <w:rsid w:val="00B1188E"/>
    <w:rsid w:val="00B11D38"/>
    <w:rsid w:val="00B12306"/>
    <w:rsid w:val="00B1460F"/>
    <w:rsid w:val="00B146E3"/>
    <w:rsid w:val="00B171A6"/>
    <w:rsid w:val="00B17F0C"/>
    <w:rsid w:val="00B2040D"/>
    <w:rsid w:val="00B2296D"/>
    <w:rsid w:val="00B24160"/>
    <w:rsid w:val="00B25BCB"/>
    <w:rsid w:val="00B25F99"/>
    <w:rsid w:val="00B265B6"/>
    <w:rsid w:val="00B26900"/>
    <w:rsid w:val="00B26B95"/>
    <w:rsid w:val="00B315E6"/>
    <w:rsid w:val="00B32AD1"/>
    <w:rsid w:val="00B34819"/>
    <w:rsid w:val="00B350BE"/>
    <w:rsid w:val="00B35E07"/>
    <w:rsid w:val="00B3642A"/>
    <w:rsid w:val="00B37040"/>
    <w:rsid w:val="00B42206"/>
    <w:rsid w:val="00B42D15"/>
    <w:rsid w:val="00B47BBA"/>
    <w:rsid w:val="00B542B1"/>
    <w:rsid w:val="00B54EF0"/>
    <w:rsid w:val="00B55C99"/>
    <w:rsid w:val="00B56CFC"/>
    <w:rsid w:val="00B6019B"/>
    <w:rsid w:val="00B6130B"/>
    <w:rsid w:val="00B616B8"/>
    <w:rsid w:val="00B61A89"/>
    <w:rsid w:val="00B628CF"/>
    <w:rsid w:val="00B643EB"/>
    <w:rsid w:val="00B64409"/>
    <w:rsid w:val="00B64DE1"/>
    <w:rsid w:val="00B65889"/>
    <w:rsid w:val="00B66B60"/>
    <w:rsid w:val="00B66CF4"/>
    <w:rsid w:val="00B66EB7"/>
    <w:rsid w:val="00B66EF0"/>
    <w:rsid w:val="00B67369"/>
    <w:rsid w:val="00B70EC4"/>
    <w:rsid w:val="00B728FC"/>
    <w:rsid w:val="00B73680"/>
    <w:rsid w:val="00B73A1D"/>
    <w:rsid w:val="00B74457"/>
    <w:rsid w:val="00B74DA5"/>
    <w:rsid w:val="00B76948"/>
    <w:rsid w:val="00B76A51"/>
    <w:rsid w:val="00B77F1D"/>
    <w:rsid w:val="00B8000C"/>
    <w:rsid w:val="00B80D27"/>
    <w:rsid w:val="00B8284F"/>
    <w:rsid w:val="00B8346A"/>
    <w:rsid w:val="00B85BE3"/>
    <w:rsid w:val="00B86651"/>
    <w:rsid w:val="00B87E0A"/>
    <w:rsid w:val="00B90C07"/>
    <w:rsid w:val="00B9123E"/>
    <w:rsid w:val="00B9260E"/>
    <w:rsid w:val="00B9343B"/>
    <w:rsid w:val="00B93E7E"/>
    <w:rsid w:val="00B94B05"/>
    <w:rsid w:val="00B94D50"/>
    <w:rsid w:val="00B95FF0"/>
    <w:rsid w:val="00B960F7"/>
    <w:rsid w:val="00B96284"/>
    <w:rsid w:val="00B973B2"/>
    <w:rsid w:val="00B977E1"/>
    <w:rsid w:val="00B97CFA"/>
    <w:rsid w:val="00BA0D52"/>
    <w:rsid w:val="00BA1DD1"/>
    <w:rsid w:val="00BA35D0"/>
    <w:rsid w:val="00BA4680"/>
    <w:rsid w:val="00BA51A4"/>
    <w:rsid w:val="00BA5D64"/>
    <w:rsid w:val="00BA6BE4"/>
    <w:rsid w:val="00BA7B69"/>
    <w:rsid w:val="00BB17AE"/>
    <w:rsid w:val="00BB2E02"/>
    <w:rsid w:val="00BB4402"/>
    <w:rsid w:val="00BB642B"/>
    <w:rsid w:val="00BB748C"/>
    <w:rsid w:val="00BB7989"/>
    <w:rsid w:val="00BB7C9A"/>
    <w:rsid w:val="00BC1C7B"/>
    <w:rsid w:val="00BC2080"/>
    <w:rsid w:val="00BC2302"/>
    <w:rsid w:val="00BC24A2"/>
    <w:rsid w:val="00BC266D"/>
    <w:rsid w:val="00BC2B80"/>
    <w:rsid w:val="00BC3E0A"/>
    <w:rsid w:val="00BC3FF6"/>
    <w:rsid w:val="00BC5D7C"/>
    <w:rsid w:val="00BC67F6"/>
    <w:rsid w:val="00BC6F72"/>
    <w:rsid w:val="00BC73FC"/>
    <w:rsid w:val="00BD2D13"/>
    <w:rsid w:val="00BD4357"/>
    <w:rsid w:val="00BD4BA8"/>
    <w:rsid w:val="00BD61D2"/>
    <w:rsid w:val="00BD6ED7"/>
    <w:rsid w:val="00BE14E8"/>
    <w:rsid w:val="00BE243E"/>
    <w:rsid w:val="00BE2730"/>
    <w:rsid w:val="00BE562E"/>
    <w:rsid w:val="00BE5B1D"/>
    <w:rsid w:val="00BE6C22"/>
    <w:rsid w:val="00BF0865"/>
    <w:rsid w:val="00BF2010"/>
    <w:rsid w:val="00BF20A0"/>
    <w:rsid w:val="00BF2D6F"/>
    <w:rsid w:val="00BF2DD3"/>
    <w:rsid w:val="00BF35DF"/>
    <w:rsid w:val="00BF377C"/>
    <w:rsid w:val="00BF37AB"/>
    <w:rsid w:val="00BF4130"/>
    <w:rsid w:val="00BF4DD6"/>
    <w:rsid w:val="00BF68ED"/>
    <w:rsid w:val="00BF7B40"/>
    <w:rsid w:val="00C03031"/>
    <w:rsid w:val="00C0473C"/>
    <w:rsid w:val="00C04CF2"/>
    <w:rsid w:val="00C06421"/>
    <w:rsid w:val="00C065A1"/>
    <w:rsid w:val="00C06842"/>
    <w:rsid w:val="00C06AF4"/>
    <w:rsid w:val="00C07EAA"/>
    <w:rsid w:val="00C1005B"/>
    <w:rsid w:val="00C151B5"/>
    <w:rsid w:val="00C15774"/>
    <w:rsid w:val="00C1654C"/>
    <w:rsid w:val="00C16D3A"/>
    <w:rsid w:val="00C20057"/>
    <w:rsid w:val="00C20C9D"/>
    <w:rsid w:val="00C215C4"/>
    <w:rsid w:val="00C2176A"/>
    <w:rsid w:val="00C24AC0"/>
    <w:rsid w:val="00C26219"/>
    <w:rsid w:val="00C27F85"/>
    <w:rsid w:val="00C30090"/>
    <w:rsid w:val="00C302FA"/>
    <w:rsid w:val="00C31BDD"/>
    <w:rsid w:val="00C329AD"/>
    <w:rsid w:val="00C33635"/>
    <w:rsid w:val="00C35CB7"/>
    <w:rsid w:val="00C35F9C"/>
    <w:rsid w:val="00C36440"/>
    <w:rsid w:val="00C42ACD"/>
    <w:rsid w:val="00C43C1D"/>
    <w:rsid w:val="00C43CED"/>
    <w:rsid w:val="00C44ED9"/>
    <w:rsid w:val="00C44F11"/>
    <w:rsid w:val="00C4547D"/>
    <w:rsid w:val="00C470EA"/>
    <w:rsid w:val="00C47266"/>
    <w:rsid w:val="00C47549"/>
    <w:rsid w:val="00C50988"/>
    <w:rsid w:val="00C50D48"/>
    <w:rsid w:val="00C51E4B"/>
    <w:rsid w:val="00C53458"/>
    <w:rsid w:val="00C54801"/>
    <w:rsid w:val="00C549D2"/>
    <w:rsid w:val="00C5598D"/>
    <w:rsid w:val="00C564E9"/>
    <w:rsid w:val="00C565C3"/>
    <w:rsid w:val="00C56C3E"/>
    <w:rsid w:val="00C57045"/>
    <w:rsid w:val="00C607BF"/>
    <w:rsid w:val="00C6183E"/>
    <w:rsid w:val="00C6388D"/>
    <w:rsid w:val="00C662B4"/>
    <w:rsid w:val="00C664F4"/>
    <w:rsid w:val="00C67016"/>
    <w:rsid w:val="00C71F51"/>
    <w:rsid w:val="00C723D3"/>
    <w:rsid w:val="00C72548"/>
    <w:rsid w:val="00C75064"/>
    <w:rsid w:val="00C7633F"/>
    <w:rsid w:val="00C76A2A"/>
    <w:rsid w:val="00C770B3"/>
    <w:rsid w:val="00C77338"/>
    <w:rsid w:val="00C77EBB"/>
    <w:rsid w:val="00C8047C"/>
    <w:rsid w:val="00C842FA"/>
    <w:rsid w:val="00C8453C"/>
    <w:rsid w:val="00C84CEE"/>
    <w:rsid w:val="00C93F6A"/>
    <w:rsid w:val="00C95980"/>
    <w:rsid w:val="00C95D33"/>
    <w:rsid w:val="00C960DE"/>
    <w:rsid w:val="00C96151"/>
    <w:rsid w:val="00C96631"/>
    <w:rsid w:val="00C9734D"/>
    <w:rsid w:val="00C97803"/>
    <w:rsid w:val="00CA0B42"/>
    <w:rsid w:val="00CA44F4"/>
    <w:rsid w:val="00CA5ED4"/>
    <w:rsid w:val="00CA64C1"/>
    <w:rsid w:val="00CA6CB3"/>
    <w:rsid w:val="00CB099C"/>
    <w:rsid w:val="00CB6C83"/>
    <w:rsid w:val="00CB6F2F"/>
    <w:rsid w:val="00CB7286"/>
    <w:rsid w:val="00CC175E"/>
    <w:rsid w:val="00CC21A8"/>
    <w:rsid w:val="00CC2E70"/>
    <w:rsid w:val="00CC336A"/>
    <w:rsid w:val="00CC4CBF"/>
    <w:rsid w:val="00CC527F"/>
    <w:rsid w:val="00CC5E15"/>
    <w:rsid w:val="00CC6111"/>
    <w:rsid w:val="00CC663B"/>
    <w:rsid w:val="00CD093C"/>
    <w:rsid w:val="00CD3512"/>
    <w:rsid w:val="00CD3CC4"/>
    <w:rsid w:val="00CD4ADD"/>
    <w:rsid w:val="00CD5C6F"/>
    <w:rsid w:val="00CD5E10"/>
    <w:rsid w:val="00CD6577"/>
    <w:rsid w:val="00CD6DE8"/>
    <w:rsid w:val="00CE05B0"/>
    <w:rsid w:val="00CE0F3B"/>
    <w:rsid w:val="00CE48AC"/>
    <w:rsid w:val="00CE56B8"/>
    <w:rsid w:val="00CE70E0"/>
    <w:rsid w:val="00CE73C7"/>
    <w:rsid w:val="00CF04C3"/>
    <w:rsid w:val="00CF07E2"/>
    <w:rsid w:val="00CF20FF"/>
    <w:rsid w:val="00CF33C9"/>
    <w:rsid w:val="00CF4BD9"/>
    <w:rsid w:val="00CF5040"/>
    <w:rsid w:val="00CF52A0"/>
    <w:rsid w:val="00CF5667"/>
    <w:rsid w:val="00CF6496"/>
    <w:rsid w:val="00CF66C5"/>
    <w:rsid w:val="00CF70E3"/>
    <w:rsid w:val="00D00249"/>
    <w:rsid w:val="00D00732"/>
    <w:rsid w:val="00D02666"/>
    <w:rsid w:val="00D02C46"/>
    <w:rsid w:val="00D03B14"/>
    <w:rsid w:val="00D03BBA"/>
    <w:rsid w:val="00D043FA"/>
    <w:rsid w:val="00D05AD9"/>
    <w:rsid w:val="00D05BFD"/>
    <w:rsid w:val="00D06FDC"/>
    <w:rsid w:val="00D10AF9"/>
    <w:rsid w:val="00D110BB"/>
    <w:rsid w:val="00D11A90"/>
    <w:rsid w:val="00D148D0"/>
    <w:rsid w:val="00D14C58"/>
    <w:rsid w:val="00D1658E"/>
    <w:rsid w:val="00D17078"/>
    <w:rsid w:val="00D17644"/>
    <w:rsid w:val="00D17A7E"/>
    <w:rsid w:val="00D17C99"/>
    <w:rsid w:val="00D206CC"/>
    <w:rsid w:val="00D20DC6"/>
    <w:rsid w:val="00D2166F"/>
    <w:rsid w:val="00D22AB8"/>
    <w:rsid w:val="00D23AF9"/>
    <w:rsid w:val="00D23B18"/>
    <w:rsid w:val="00D2556C"/>
    <w:rsid w:val="00D26587"/>
    <w:rsid w:val="00D272FC"/>
    <w:rsid w:val="00D2758E"/>
    <w:rsid w:val="00D30E9C"/>
    <w:rsid w:val="00D327A6"/>
    <w:rsid w:val="00D32EE6"/>
    <w:rsid w:val="00D34354"/>
    <w:rsid w:val="00D3436A"/>
    <w:rsid w:val="00D375C9"/>
    <w:rsid w:val="00D40D25"/>
    <w:rsid w:val="00D40F06"/>
    <w:rsid w:val="00D413FA"/>
    <w:rsid w:val="00D4265C"/>
    <w:rsid w:val="00D42A0E"/>
    <w:rsid w:val="00D43103"/>
    <w:rsid w:val="00D4336F"/>
    <w:rsid w:val="00D433D0"/>
    <w:rsid w:val="00D4384B"/>
    <w:rsid w:val="00D46583"/>
    <w:rsid w:val="00D477FC"/>
    <w:rsid w:val="00D5034D"/>
    <w:rsid w:val="00D50648"/>
    <w:rsid w:val="00D50DEA"/>
    <w:rsid w:val="00D5160B"/>
    <w:rsid w:val="00D518ED"/>
    <w:rsid w:val="00D53E3E"/>
    <w:rsid w:val="00D540DA"/>
    <w:rsid w:val="00D542C5"/>
    <w:rsid w:val="00D553BE"/>
    <w:rsid w:val="00D55657"/>
    <w:rsid w:val="00D56E67"/>
    <w:rsid w:val="00D56EE7"/>
    <w:rsid w:val="00D56FCB"/>
    <w:rsid w:val="00D61262"/>
    <w:rsid w:val="00D62E3C"/>
    <w:rsid w:val="00D62F74"/>
    <w:rsid w:val="00D63765"/>
    <w:rsid w:val="00D63E4C"/>
    <w:rsid w:val="00D63F26"/>
    <w:rsid w:val="00D63F3E"/>
    <w:rsid w:val="00D644B2"/>
    <w:rsid w:val="00D64906"/>
    <w:rsid w:val="00D64983"/>
    <w:rsid w:val="00D65145"/>
    <w:rsid w:val="00D65C99"/>
    <w:rsid w:val="00D66825"/>
    <w:rsid w:val="00D66C43"/>
    <w:rsid w:val="00D700F5"/>
    <w:rsid w:val="00D71B4A"/>
    <w:rsid w:val="00D723B7"/>
    <w:rsid w:val="00D73279"/>
    <w:rsid w:val="00D73961"/>
    <w:rsid w:val="00D75D55"/>
    <w:rsid w:val="00D75EC9"/>
    <w:rsid w:val="00D767D2"/>
    <w:rsid w:val="00D807CD"/>
    <w:rsid w:val="00D81063"/>
    <w:rsid w:val="00D82A03"/>
    <w:rsid w:val="00D831A7"/>
    <w:rsid w:val="00D834BD"/>
    <w:rsid w:val="00D83C91"/>
    <w:rsid w:val="00D844C4"/>
    <w:rsid w:val="00D84A57"/>
    <w:rsid w:val="00D84C72"/>
    <w:rsid w:val="00D85EB5"/>
    <w:rsid w:val="00D86D84"/>
    <w:rsid w:val="00D87342"/>
    <w:rsid w:val="00D90977"/>
    <w:rsid w:val="00D90F89"/>
    <w:rsid w:val="00D921A4"/>
    <w:rsid w:val="00D940E5"/>
    <w:rsid w:val="00D94115"/>
    <w:rsid w:val="00D94837"/>
    <w:rsid w:val="00D95040"/>
    <w:rsid w:val="00D95E6A"/>
    <w:rsid w:val="00D963F7"/>
    <w:rsid w:val="00D96E1F"/>
    <w:rsid w:val="00D97644"/>
    <w:rsid w:val="00DA01FC"/>
    <w:rsid w:val="00DA24A2"/>
    <w:rsid w:val="00DA3A8C"/>
    <w:rsid w:val="00DA634C"/>
    <w:rsid w:val="00DA77B8"/>
    <w:rsid w:val="00DB0552"/>
    <w:rsid w:val="00DB0781"/>
    <w:rsid w:val="00DB0C1B"/>
    <w:rsid w:val="00DB36F0"/>
    <w:rsid w:val="00DB4869"/>
    <w:rsid w:val="00DC013F"/>
    <w:rsid w:val="00DC050F"/>
    <w:rsid w:val="00DC061C"/>
    <w:rsid w:val="00DC0AA5"/>
    <w:rsid w:val="00DC0DFB"/>
    <w:rsid w:val="00DC1536"/>
    <w:rsid w:val="00DC1880"/>
    <w:rsid w:val="00DC1E32"/>
    <w:rsid w:val="00DC2B6C"/>
    <w:rsid w:val="00DC310D"/>
    <w:rsid w:val="00DC46BD"/>
    <w:rsid w:val="00DC5D75"/>
    <w:rsid w:val="00DD0D95"/>
    <w:rsid w:val="00DD41B9"/>
    <w:rsid w:val="00DD4D89"/>
    <w:rsid w:val="00DE184C"/>
    <w:rsid w:val="00DE1E29"/>
    <w:rsid w:val="00DE1E4E"/>
    <w:rsid w:val="00DE29EF"/>
    <w:rsid w:val="00DE2FE4"/>
    <w:rsid w:val="00DE300D"/>
    <w:rsid w:val="00DE3F5B"/>
    <w:rsid w:val="00DE50A2"/>
    <w:rsid w:val="00DE54E3"/>
    <w:rsid w:val="00DF17D0"/>
    <w:rsid w:val="00DF2942"/>
    <w:rsid w:val="00DF3DD1"/>
    <w:rsid w:val="00DF579E"/>
    <w:rsid w:val="00DF5E7A"/>
    <w:rsid w:val="00DF6093"/>
    <w:rsid w:val="00E00AF7"/>
    <w:rsid w:val="00E00DE2"/>
    <w:rsid w:val="00E010C6"/>
    <w:rsid w:val="00E019FB"/>
    <w:rsid w:val="00E031A3"/>
    <w:rsid w:val="00E03825"/>
    <w:rsid w:val="00E03E3C"/>
    <w:rsid w:val="00E04F88"/>
    <w:rsid w:val="00E05412"/>
    <w:rsid w:val="00E05B1B"/>
    <w:rsid w:val="00E07730"/>
    <w:rsid w:val="00E113D3"/>
    <w:rsid w:val="00E12B72"/>
    <w:rsid w:val="00E14A44"/>
    <w:rsid w:val="00E15497"/>
    <w:rsid w:val="00E15EF1"/>
    <w:rsid w:val="00E16859"/>
    <w:rsid w:val="00E16E53"/>
    <w:rsid w:val="00E1756A"/>
    <w:rsid w:val="00E201A8"/>
    <w:rsid w:val="00E21354"/>
    <w:rsid w:val="00E230C1"/>
    <w:rsid w:val="00E2314C"/>
    <w:rsid w:val="00E242A7"/>
    <w:rsid w:val="00E24BA4"/>
    <w:rsid w:val="00E26B16"/>
    <w:rsid w:val="00E31FB7"/>
    <w:rsid w:val="00E36848"/>
    <w:rsid w:val="00E3767D"/>
    <w:rsid w:val="00E40154"/>
    <w:rsid w:val="00E4171E"/>
    <w:rsid w:val="00E4247A"/>
    <w:rsid w:val="00E44607"/>
    <w:rsid w:val="00E45231"/>
    <w:rsid w:val="00E45DBA"/>
    <w:rsid w:val="00E4710C"/>
    <w:rsid w:val="00E47566"/>
    <w:rsid w:val="00E50332"/>
    <w:rsid w:val="00E52250"/>
    <w:rsid w:val="00E524CE"/>
    <w:rsid w:val="00E547EA"/>
    <w:rsid w:val="00E54F2C"/>
    <w:rsid w:val="00E57F62"/>
    <w:rsid w:val="00E603BA"/>
    <w:rsid w:val="00E60EFA"/>
    <w:rsid w:val="00E6113E"/>
    <w:rsid w:val="00E623AB"/>
    <w:rsid w:val="00E6625B"/>
    <w:rsid w:val="00E6703A"/>
    <w:rsid w:val="00E67983"/>
    <w:rsid w:val="00E71222"/>
    <w:rsid w:val="00E7333D"/>
    <w:rsid w:val="00E73CF6"/>
    <w:rsid w:val="00E75097"/>
    <w:rsid w:val="00E75D04"/>
    <w:rsid w:val="00E77EDA"/>
    <w:rsid w:val="00E802D6"/>
    <w:rsid w:val="00E8278C"/>
    <w:rsid w:val="00E83398"/>
    <w:rsid w:val="00E837F0"/>
    <w:rsid w:val="00E85535"/>
    <w:rsid w:val="00E85D62"/>
    <w:rsid w:val="00E87C0C"/>
    <w:rsid w:val="00E90C5A"/>
    <w:rsid w:val="00E90C89"/>
    <w:rsid w:val="00E90D25"/>
    <w:rsid w:val="00E91344"/>
    <w:rsid w:val="00E919D9"/>
    <w:rsid w:val="00E93160"/>
    <w:rsid w:val="00E9362E"/>
    <w:rsid w:val="00E93955"/>
    <w:rsid w:val="00E9480C"/>
    <w:rsid w:val="00E962AA"/>
    <w:rsid w:val="00E96962"/>
    <w:rsid w:val="00E97C10"/>
    <w:rsid w:val="00EA0E10"/>
    <w:rsid w:val="00EA230B"/>
    <w:rsid w:val="00EA3E3A"/>
    <w:rsid w:val="00EA4337"/>
    <w:rsid w:val="00EA4797"/>
    <w:rsid w:val="00EA6E13"/>
    <w:rsid w:val="00EA7021"/>
    <w:rsid w:val="00EB01FF"/>
    <w:rsid w:val="00EB13C0"/>
    <w:rsid w:val="00EB2B2F"/>
    <w:rsid w:val="00EB43DB"/>
    <w:rsid w:val="00EB44E5"/>
    <w:rsid w:val="00EB53E2"/>
    <w:rsid w:val="00EB7EFA"/>
    <w:rsid w:val="00EC28F2"/>
    <w:rsid w:val="00EC2EC0"/>
    <w:rsid w:val="00EC377B"/>
    <w:rsid w:val="00EC46FD"/>
    <w:rsid w:val="00EC50C5"/>
    <w:rsid w:val="00EC5653"/>
    <w:rsid w:val="00EC65B6"/>
    <w:rsid w:val="00EC6C99"/>
    <w:rsid w:val="00EC7CC0"/>
    <w:rsid w:val="00ED20FF"/>
    <w:rsid w:val="00ED26F1"/>
    <w:rsid w:val="00ED49B0"/>
    <w:rsid w:val="00ED4B51"/>
    <w:rsid w:val="00ED6500"/>
    <w:rsid w:val="00ED7A30"/>
    <w:rsid w:val="00EE2182"/>
    <w:rsid w:val="00EE2AFD"/>
    <w:rsid w:val="00EE3D6D"/>
    <w:rsid w:val="00EE4C42"/>
    <w:rsid w:val="00EE69EB"/>
    <w:rsid w:val="00EE72FC"/>
    <w:rsid w:val="00EE767B"/>
    <w:rsid w:val="00EF240C"/>
    <w:rsid w:val="00EF394E"/>
    <w:rsid w:val="00EF7B33"/>
    <w:rsid w:val="00F012AA"/>
    <w:rsid w:val="00F01371"/>
    <w:rsid w:val="00F017AC"/>
    <w:rsid w:val="00F018F4"/>
    <w:rsid w:val="00F01CFD"/>
    <w:rsid w:val="00F04C46"/>
    <w:rsid w:val="00F061B1"/>
    <w:rsid w:val="00F079BD"/>
    <w:rsid w:val="00F1189D"/>
    <w:rsid w:val="00F11A4C"/>
    <w:rsid w:val="00F12451"/>
    <w:rsid w:val="00F1294E"/>
    <w:rsid w:val="00F13587"/>
    <w:rsid w:val="00F13A96"/>
    <w:rsid w:val="00F140A7"/>
    <w:rsid w:val="00F14B1B"/>
    <w:rsid w:val="00F14FC6"/>
    <w:rsid w:val="00F161BF"/>
    <w:rsid w:val="00F1732E"/>
    <w:rsid w:val="00F224BF"/>
    <w:rsid w:val="00F22B0F"/>
    <w:rsid w:val="00F30304"/>
    <w:rsid w:val="00F3081F"/>
    <w:rsid w:val="00F32A31"/>
    <w:rsid w:val="00F3337D"/>
    <w:rsid w:val="00F34DF5"/>
    <w:rsid w:val="00F37C74"/>
    <w:rsid w:val="00F37F78"/>
    <w:rsid w:val="00F400D4"/>
    <w:rsid w:val="00F40F0D"/>
    <w:rsid w:val="00F40F1A"/>
    <w:rsid w:val="00F42C0F"/>
    <w:rsid w:val="00F42E60"/>
    <w:rsid w:val="00F430BF"/>
    <w:rsid w:val="00F4359B"/>
    <w:rsid w:val="00F44948"/>
    <w:rsid w:val="00F44C04"/>
    <w:rsid w:val="00F44D29"/>
    <w:rsid w:val="00F44E5E"/>
    <w:rsid w:val="00F459A6"/>
    <w:rsid w:val="00F4681F"/>
    <w:rsid w:val="00F46DC0"/>
    <w:rsid w:val="00F47480"/>
    <w:rsid w:val="00F474B2"/>
    <w:rsid w:val="00F51EB2"/>
    <w:rsid w:val="00F52035"/>
    <w:rsid w:val="00F5257B"/>
    <w:rsid w:val="00F525C7"/>
    <w:rsid w:val="00F53267"/>
    <w:rsid w:val="00F545B0"/>
    <w:rsid w:val="00F551D9"/>
    <w:rsid w:val="00F56479"/>
    <w:rsid w:val="00F56F5D"/>
    <w:rsid w:val="00F60356"/>
    <w:rsid w:val="00F613AF"/>
    <w:rsid w:val="00F6148A"/>
    <w:rsid w:val="00F61DD4"/>
    <w:rsid w:val="00F6203B"/>
    <w:rsid w:val="00F6285A"/>
    <w:rsid w:val="00F6451B"/>
    <w:rsid w:val="00F646D1"/>
    <w:rsid w:val="00F65696"/>
    <w:rsid w:val="00F65EAC"/>
    <w:rsid w:val="00F6641E"/>
    <w:rsid w:val="00F66470"/>
    <w:rsid w:val="00F66953"/>
    <w:rsid w:val="00F67819"/>
    <w:rsid w:val="00F67B60"/>
    <w:rsid w:val="00F67E55"/>
    <w:rsid w:val="00F70A66"/>
    <w:rsid w:val="00F70FC4"/>
    <w:rsid w:val="00F71CE1"/>
    <w:rsid w:val="00F7267F"/>
    <w:rsid w:val="00F74A43"/>
    <w:rsid w:val="00F750FC"/>
    <w:rsid w:val="00F7527B"/>
    <w:rsid w:val="00F769BF"/>
    <w:rsid w:val="00F7706D"/>
    <w:rsid w:val="00F77471"/>
    <w:rsid w:val="00F7790A"/>
    <w:rsid w:val="00F81487"/>
    <w:rsid w:val="00F81C2E"/>
    <w:rsid w:val="00F82B78"/>
    <w:rsid w:val="00F8317C"/>
    <w:rsid w:val="00F83382"/>
    <w:rsid w:val="00F83859"/>
    <w:rsid w:val="00F85087"/>
    <w:rsid w:val="00F852A5"/>
    <w:rsid w:val="00F85402"/>
    <w:rsid w:val="00F8564F"/>
    <w:rsid w:val="00F8593D"/>
    <w:rsid w:val="00F85970"/>
    <w:rsid w:val="00F86BBC"/>
    <w:rsid w:val="00F90BAF"/>
    <w:rsid w:val="00F9200F"/>
    <w:rsid w:val="00F955E6"/>
    <w:rsid w:val="00F95A92"/>
    <w:rsid w:val="00FA0337"/>
    <w:rsid w:val="00FA14D7"/>
    <w:rsid w:val="00FA1659"/>
    <w:rsid w:val="00FA2AA7"/>
    <w:rsid w:val="00FA329B"/>
    <w:rsid w:val="00FA5345"/>
    <w:rsid w:val="00FA5FE7"/>
    <w:rsid w:val="00FA6B1D"/>
    <w:rsid w:val="00FA7E96"/>
    <w:rsid w:val="00FB0C7C"/>
    <w:rsid w:val="00FB0FAA"/>
    <w:rsid w:val="00FB2F6B"/>
    <w:rsid w:val="00FB427B"/>
    <w:rsid w:val="00FB5CB1"/>
    <w:rsid w:val="00FB6B1C"/>
    <w:rsid w:val="00FB78B4"/>
    <w:rsid w:val="00FC3D3B"/>
    <w:rsid w:val="00FC3D8C"/>
    <w:rsid w:val="00FD1A9A"/>
    <w:rsid w:val="00FD1EEC"/>
    <w:rsid w:val="00FD325D"/>
    <w:rsid w:val="00FD5691"/>
    <w:rsid w:val="00FD78BE"/>
    <w:rsid w:val="00FD7B27"/>
    <w:rsid w:val="00FE03F3"/>
    <w:rsid w:val="00FE0FCE"/>
    <w:rsid w:val="00FE101C"/>
    <w:rsid w:val="00FE2075"/>
    <w:rsid w:val="00FE4B40"/>
    <w:rsid w:val="00FE6D7F"/>
    <w:rsid w:val="00FF20A4"/>
    <w:rsid w:val="00FF25F1"/>
    <w:rsid w:val="00FF3235"/>
    <w:rsid w:val="00FF3930"/>
    <w:rsid w:val="00FF3D18"/>
    <w:rsid w:val="00FF60AD"/>
    <w:rsid w:val="00FF67D7"/>
    <w:rsid w:val="00FF6834"/>
    <w:rsid w:val="00FF7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14:docId w14:val="52C8BF0B"/>
  <w15:chartTrackingRefBased/>
  <w15:docId w15:val="{DB51C5F3-2CCD-4AA9-B74B-93BA4CA0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7CA"/>
    <w:rPr>
      <w:rFonts w:ascii="Trebuchet MS" w:hAnsi="Trebuchet MS"/>
      <w:sz w:val="22"/>
      <w:szCs w:val="22"/>
      <w:lang w:eastAsia="en-US"/>
    </w:rPr>
  </w:style>
  <w:style w:type="paragraph" w:styleId="Heading1">
    <w:name w:val="heading 1"/>
    <w:basedOn w:val="Normal"/>
    <w:next w:val="Normal"/>
    <w:link w:val="Heading1Char"/>
    <w:uiPriority w:val="5"/>
    <w:qFormat/>
    <w:rsid w:val="000473B7"/>
    <w:pPr>
      <w:autoSpaceDE w:val="0"/>
      <w:autoSpaceDN w:val="0"/>
      <w:adjustRightInd w:val="0"/>
      <w:jc w:val="both"/>
      <w:outlineLvl w:val="0"/>
    </w:pPr>
    <w:rPr>
      <w:rFonts w:ascii="Arial" w:hAnsi="Arial" w:cs="Arial"/>
      <w:b/>
      <w:sz w:val="32"/>
      <w:szCs w:val="32"/>
    </w:rPr>
  </w:style>
  <w:style w:type="paragraph" w:styleId="Heading2">
    <w:name w:val="heading 2"/>
    <w:basedOn w:val="Normal"/>
    <w:next w:val="Normal"/>
    <w:link w:val="Heading2Char"/>
    <w:uiPriority w:val="6"/>
    <w:unhideWhenUsed/>
    <w:qFormat/>
    <w:rsid w:val="00F12451"/>
    <w:pPr>
      <w:keepNext/>
      <w:keepLines/>
      <w:spacing w:before="120" w:after="240"/>
      <w:outlineLvl w:val="1"/>
    </w:pPr>
    <w:rPr>
      <w:rFonts w:ascii="Arial" w:eastAsia="Times New Roman" w:hAnsi="Arial"/>
      <w:b/>
      <w:bCs/>
      <w:sz w:val="24"/>
      <w:szCs w:val="24"/>
      <w:lang w:val="x-none"/>
    </w:rPr>
  </w:style>
  <w:style w:type="paragraph" w:styleId="Heading3">
    <w:name w:val="heading 3"/>
    <w:basedOn w:val="Normal"/>
    <w:next w:val="Normal"/>
    <w:link w:val="Heading3Char"/>
    <w:uiPriority w:val="7"/>
    <w:unhideWhenUsed/>
    <w:qFormat/>
    <w:rsid w:val="000473B7"/>
    <w:pPr>
      <w:numPr>
        <w:numId w:val="16"/>
      </w:numPr>
      <w:outlineLvl w:val="2"/>
    </w:pPr>
    <w:rPr>
      <w:rFonts w:ascii="Arial" w:eastAsia="Times New Roman" w:hAnsi="Arial" w:cs="Arial"/>
      <w:b/>
      <w:sz w:val="24"/>
      <w:szCs w:val="23"/>
      <w:lang w:eastAsia="en-AU"/>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0473B7"/>
    <w:rPr>
      <w:rFonts w:ascii="Arial" w:hAnsi="Arial" w:cs="Arial"/>
      <w:b/>
      <w:sz w:val="32"/>
      <w:szCs w:val="32"/>
      <w:lang w:eastAsia="en-US"/>
    </w:rPr>
  </w:style>
  <w:style w:type="character" w:customStyle="1" w:styleId="Heading2Char">
    <w:name w:val="Heading 2 Char"/>
    <w:link w:val="Heading2"/>
    <w:uiPriority w:val="6"/>
    <w:rsid w:val="00F12451"/>
    <w:rPr>
      <w:rFonts w:ascii="Arial" w:eastAsia="Times New Roman" w:hAnsi="Arial"/>
      <w:b/>
      <w:bCs/>
      <w:sz w:val="24"/>
      <w:szCs w:val="24"/>
      <w:lang w:val="x-none" w:eastAsia="en-US"/>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0473B7"/>
    <w:rPr>
      <w:rFonts w:ascii="Arial" w:eastAsia="Times New Roman" w:hAnsi="Arial" w:cs="Arial"/>
      <w:b/>
      <w:sz w:val="24"/>
      <w:szCs w:val="23"/>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iPriority w:val="99"/>
    <w:unhideWhenUsed/>
    <w:rsid w:val="00054C93"/>
    <w:pPr>
      <w:tabs>
        <w:tab w:val="center" w:pos="4513"/>
        <w:tab w:val="right" w:pos="9026"/>
      </w:tabs>
    </w:pPr>
    <w:rPr>
      <w:sz w:val="20"/>
      <w:szCs w:val="20"/>
      <w:lang w:val="x-none" w:eastAsia="x-none"/>
    </w:rPr>
  </w:style>
  <w:style w:type="character" w:customStyle="1" w:styleId="HeaderChar">
    <w:name w:val="Header Char"/>
    <w:link w:val="Header"/>
    <w:uiPriority w:val="99"/>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415FA"/>
    <w:rPr>
      <w:rFonts w:ascii="Trebuchet MS" w:hAnsi="Trebuchet MS"/>
      <w:sz w:val="22"/>
      <w:szCs w:val="22"/>
      <w:lang w:eastAsia="en-US"/>
    </w:rPr>
  </w:style>
  <w:style w:type="numbering" w:customStyle="1" w:styleId="D2Aformnumbering">
    <w:name w:val="D2A form numbering"/>
    <w:uiPriority w:val="99"/>
    <w:rsid w:val="00F750FC"/>
    <w:pPr>
      <w:numPr>
        <w:numId w:val="2"/>
      </w:numPr>
    </w:pPr>
  </w:style>
  <w:style w:type="paragraph" w:styleId="DocumentMap">
    <w:name w:val="Document Map"/>
    <w:basedOn w:val="Normal"/>
    <w:link w:val="DocumentMapChar"/>
    <w:uiPriority w:val="99"/>
    <w:semiHidden/>
    <w:unhideWhenUsed/>
    <w:rsid w:val="000952DD"/>
    <w:rPr>
      <w:rFonts w:ascii="Tahoma" w:hAnsi="Tahoma"/>
      <w:sz w:val="16"/>
      <w:szCs w:val="16"/>
      <w:lang w:val="x-none"/>
    </w:rPr>
  </w:style>
  <w:style w:type="character" w:customStyle="1" w:styleId="DocumentMapChar">
    <w:name w:val="Document Map Char"/>
    <w:link w:val="DocumentMap"/>
    <w:uiPriority w:val="99"/>
    <w:semiHidden/>
    <w:rsid w:val="000952DD"/>
    <w:rPr>
      <w:rFonts w:ascii="Tahoma" w:hAnsi="Tahoma" w:cs="Tahoma"/>
      <w:sz w:val="16"/>
      <w:szCs w:val="16"/>
      <w:lang w:eastAsia="en-US"/>
    </w:rPr>
  </w:style>
  <w:style w:type="paragraph" w:styleId="FootnoteText">
    <w:name w:val="footnote text"/>
    <w:basedOn w:val="Normal"/>
    <w:link w:val="FootnoteTextChar"/>
    <w:unhideWhenUsed/>
    <w:rsid w:val="00AF103C"/>
    <w:rPr>
      <w:sz w:val="20"/>
      <w:szCs w:val="20"/>
      <w:lang w:val="x-none"/>
    </w:rPr>
  </w:style>
  <w:style w:type="character" w:customStyle="1" w:styleId="FootnoteTextChar">
    <w:name w:val="Footnote Text Char"/>
    <w:link w:val="FootnoteText"/>
    <w:uiPriority w:val="99"/>
    <w:rsid w:val="00AF103C"/>
    <w:rPr>
      <w:rFonts w:ascii="Trebuchet MS" w:hAnsi="Trebuchet MS"/>
      <w:lang w:eastAsia="en-US"/>
    </w:rPr>
  </w:style>
  <w:style w:type="character" w:styleId="FootnoteReference">
    <w:name w:val="footnote reference"/>
    <w:uiPriority w:val="99"/>
    <w:unhideWhenUsed/>
    <w:rsid w:val="00AF103C"/>
    <w:rPr>
      <w:vertAlign w:val="superscript"/>
    </w:rPr>
  </w:style>
  <w:style w:type="paragraph" w:customStyle="1" w:styleId="IntroTo">
    <w:name w:val="IntroTo:"/>
    <w:basedOn w:val="Normal"/>
    <w:rsid w:val="007B2B93"/>
    <w:pPr>
      <w:ind w:left="720" w:hanging="720"/>
    </w:pPr>
    <w:rPr>
      <w:rFonts w:ascii="Times New Roman" w:eastAsia="Times New Roman" w:hAnsi="Times New Roman"/>
      <w:sz w:val="24"/>
      <w:szCs w:val="20"/>
    </w:rPr>
  </w:style>
  <w:style w:type="paragraph" w:customStyle="1" w:styleId="D2Aform">
    <w:name w:val="D2A form"/>
    <w:link w:val="D2AformChar"/>
    <w:qFormat/>
    <w:rsid w:val="006806F8"/>
    <w:rPr>
      <w:rFonts w:ascii="Arial" w:eastAsia="Times New Roman" w:hAnsi="Arial" w:cs="Arial"/>
      <w:sz w:val="22"/>
      <w:szCs w:val="22"/>
    </w:rPr>
  </w:style>
  <w:style w:type="character" w:customStyle="1" w:styleId="D2AformChar">
    <w:name w:val="D2A form Char"/>
    <w:link w:val="D2Aform"/>
    <w:rsid w:val="006806F8"/>
    <w:rPr>
      <w:rFonts w:ascii="Arial" w:eastAsia="Times New Roman" w:hAnsi="Arial" w:cs="Arial"/>
      <w:sz w:val="22"/>
      <w:szCs w:val="22"/>
    </w:rPr>
  </w:style>
  <w:style w:type="character" w:customStyle="1" w:styleId="apra-rtestyle-header11">
    <w:name w:val="apra-rtestyle-header11"/>
    <w:rsid w:val="00ED7A30"/>
    <w:rPr>
      <w:rFonts w:ascii="Verdana" w:hAnsi="Verdana" w:hint="default"/>
      <w:b/>
      <w:bCs/>
      <w:color w:val="336699"/>
      <w:sz w:val="24"/>
      <w:szCs w:val="24"/>
    </w:rPr>
  </w:style>
  <w:style w:type="character" w:styleId="Emphasis">
    <w:name w:val="Emphasis"/>
    <w:uiPriority w:val="20"/>
    <w:qFormat/>
    <w:rsid w:val="00ED7A30"/>
    <w:rPr>
      <w:i/>
      <w:iCs/>
    </w:rPr>
  </w:style>
  <w:style w:type="paragraph" w:styleId="NormalWeb">
    <w:name w:val="Normal (Web)"/>
    <w:basedOn w:val="Normal"/>
    <w:uiPriority w:val="99"/>
    <w:semiHidden/>
    <w:unhideWhenUsed/>
    <w:rsid w:val="007E30AF"/>
    <w:pPr>
      <w:spacing w:before="100" w:beforeAutospacing="1" w:after="100" w:afterAutospacing="1"/>
    </w:pPr>
    <w:rPr>
      <w:rFonts w:ascii="Times New Roman" w:eastAsia="Times New Roman" w:hAnsi="Times New Roman"/>
      <w:sz w:val="24"/>
      <w:szCs w:val="24"/>
      <w:lang w:eastAsia="en-AU"/>
    </w:rPr>
  </w:style>
  <w:style w:type="character" w:styleId="Hyperlink">
    <w:name w:val="Hyperlink"/>
    <w:uiPriority w:val="99"/>
    <w:semiHidden/>
    <w:unhideWhenUsed/>
    <w:rsid w:val="00985526"/>
    <w:rPr>
      <w:color w:val="0000FF"/>
      <w:u w:val="single"/>
    </w:rPr>
  </w:style>
  <w:style w:type="paragraph" w:customStyle="1" w:styleId="Default">
    <w:name w:val="Default"/>
    <w:rsid w:val="00CD3512"/>
    <w:pPr>
      <w:autoSpaceDE w:val="0"/>
      <w:autoSpaceDN w:val="0"/>
      <w:adjustRightInd w:val="0"/>
    </w:pPr>
    <w:rPr>
      <w:rFonts w:ascii="Times New Roman" w:hAnsi="Times New Roman"/>
      <w:color w:val="000000"/>
      <w:sz w:val="24"/>
      <w:szCs w:val="24"/>
    </w:rPr>
  </w:style>
  <w:style w:type="paragraph" w:customStyle="1" w:styleId="Bullet">
    <w:name w:val="Bullet"/>
    <w:basedOn w:val="Normal"/>
    <w:rsid w:val="00D87342"/>
    <w:pPr>
      <w:numPr>
        <w:numId w:val="4"/>
      </w:numPr>
      <w:spacing w:after="240"/>
    </w:pPr>
    <w:rPr>
      <w:rFonts w:ascii="Times New Roman" w:eastAsia="Times New Roman" w:hAnsi="Times New Roman"/>
      <w:sz w:val="24"/>
      <w:szCs w:val="20"/>
      <w:lang w:val="en-US" w:eastAsia="en-AU"/>
    </w:rPr>
  </w:style>
  <w:style w:type="paragraph" w:customStyle="1" w:styleId="Dash">
    <w:name w:val="Dash"/>
    <w:basedOn w:val="Normal"/>
    <w:rsid w:val="00D87342"/>
    <w:pPr>
      <w:numPr>
        <w:ilvl w:val="1"/>
        <w:numId w:val="4"/>
      </w:numPr>
      <w:spacing w:after="240"/>
    </w:pPr>
    <w:rPr>
      <w:rFonts w:ascii="Times New Roman" w:eastAsia="Times New Roman" w:hAnsi="Times New Roman"/>
      <w:sz w:val="24"/>
      <w:szCs w:val="20"/>
      <w:lang w:val="en-US" w:eastAsia="en-AU"/>
    </w:rPr>
  </w:style>
  <w:style w:type="paragraph" w:customStyle="1" w:styleId="DoubleDot">
    <w:name w:val="Double Dot"/>
    <w:basedOn w:val="Normal"/>
    <w:rsid w:val="00D87342"/>
    <w:pPr>
      <w:numPr>
        <w:ilvl w:val="2"/>
        <w:numId w:val="4"/>
      </w:numPr>
      <w:spacing w:after="240"/>
    </w:pPr>
    <w:rPr>
      <w:rFonts w:ascii="Times New Roman" w:eastAsia="Times New Roman" w:hAnsi="Times New Roman"/>
      <w:sz w:val="24"/>
      <w:szCs w:val="20"/>
      <w:lang w:val="en-US" w:eastAsia="en-AU"/>
    </w:rPr>
  </w:style>
  <w:style w:type="numbering" w:customStyle="1" w:styleId="D2Aformnumbering1">
    <w:name w:val="D2A form numbering1"/>
    <w:uiPriority w:val="99"/>
    <w:rsid w:val="00024130"/>
    <w:pPr>
      <w:numPr>
        <w:numId w:val="1"/>
      </w:numPr>
    </w:pPr>
  </w:style>
  <w:style w:type="paragraph" w:customStyle="1" w:styleId="Pa5">
    <w:name w:val="Pa5"/>
    <w:basedOn w:val="Default"/>
    <w:next w:val="Default"/>
    <w:uiPriority w:val="99"/>
    <w:rsid w:val="000F1BCF"/>
    <w:pPr>
      <w:spacing w:line="241" w:lineRule="atLeast"/>
    </w:pPr>
    <w:rPr>
      <w:rFonts w:ascii="Times" w:hAnsi="Times" w:cs="Times"/>
      <w:color w:val="auto"/>
    </w:rPr>
  </w:style>
  <w:style w:type="paragraph" w:styleId="NoSpacing">
    <w:name w:val="No Spacing"/>
    <w:uiPriority w:val="1"/>
    <w:qFormat/>
    <w:rsid w:val="0091377F"/>
    <w:rPr>
      <w:sz w:val="22"/>
      <w:szCs w:val="22"/>
      <w:lang w:eastAsia="en-US"/>
    </w:rPr>
  </w:style>
  <w:style w:type="character" w:customStyle="1" w:styleId="value1">
    <w:name w:val="value1"/>
    <w:rsid w:val="00B7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12334167">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329258657">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84092660">
      <w:bodyDiv w:val="1"/>
      <w:marLeft w:val="0"/>
      <w:marRight w:val="0"/>
      <w:marTop w:val="0"/>
      <w:marBottom w:val="0"/>
      <w:divBdr>
        <w:top w:val="none" w:sz="0" w:space="0" w:color="auto"/>
        <w:left w:val="none" w:sz="0" w:space="0" w:color="auto"/>
        <w:bottom w:val="none" w:sz="0" w:space="0" w:color="auto"/>
        <w:right w:val="none" w:sz="0" w:space="0" w:color="auto"/>
      </w:divBdr>
    </w:div>
    <w:div w:id="763958863">
      <w:bodyDiv w:val="1"/>
      <w:marLeft w:val="0"/>
      <w:marRight w:val="0"/>
      <w:marTop w:val="0"/>
      <w:marBottom w:val="0"/>
      <w:divBdr>
        <w:top w:val="none" w:sz="0" w:space="0" w:color="auto"/>
        <w:left w:val="none" w:sz="0" w:space="0" w:color="auto"/>
        <w:bottom w:val="none" w:sz="0" w:space="0" w:color="auto"/>
        <w:right w:val="none" w:sz="0" w:space="0" w:color="auto"/>
      </w:divBdr>
      <w:divsChild>
        <w:div w:id="1509949558">
          <w:marLeft w:val="0"/>
          <w:marRight w:val="0"/>
          <w:marTop w:val="0"/>
          <w:marBottom w:val="0"/>
          <w:divBdr>
            <w:top w:val="none" w:sz="0" w:space="0" w:color="auto"/>
            <w:left w:val="none" w:sz="0" w:space="0" w:color="auto"/>
            <w:bottom w:val="none" w:sz="0" w:space="0" w:color="auto"/>
            <w:right w:val="none" w:sz="0" w:space="0" w:color="auto"/>
          </w:divBdr>
        </w:div>
      </w:divsChild>
    </w:div>
    <w:div w:id="800267110">
      <w:bodyDiv w:val="1"/>
      <w:marLeft w:val="0"/>
      <w:marRight w:val="0"/>
      <w:marTop w:val="0"/>
      <w:marBottom w:val="0"/>
      <w:divBdr>
        <w:top w:val="none" w:sz="0" w:space="0" w:color="auto"/>
        <w:left w:val="none" w:sz="0" w:space="0" w:color="auto"/>
        <w:bottom w:val="none" w:sz="0" w:space="0" w:color="auto"/>
        <w:right w:val="none" w:sz="0" w:space="0" w:color="auto"/>
      </w:divBdr>
    </w:div>
    <w:div w:id="895353726">
      <w:bodyDiv w:val="1"/>
      <w:marLeft w:val="0"/>
      <w:marRight w:val="0"/>
      <w:marTop w:val="0"/>
      <w:marBottom w:val="0"/>
      <w:divBdr>
        <w:top w:val="none" w:sz="0" w:space="0" w:color="auto"/>
        <w:left w:val="none" w:sz="0" w:space="0" w:color="auto"/>
        <w:bottom w:val="none" w:sz="0" w:space="0" w:color="auto"/>
        <w:right w:val="none" w:sz="0" w:space="0" w:color="auto"/>
      </w:divBdr>
    </w:div>
    <w:div w:id="132697525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568297740">
      <w:bodyDiv w:val="1"/>
      <w:marLeft w:val="0"/>
      <w:marRight w:val="0"/>
      <w:marTop w:val="0"/>
      <w:marBottom w:val="0"/>
      <w:divBdr>
        <w:top w:val="none" w:sz="0" w:space="0" w:color="auto"/>
        <w:left w:val="none" w:sz="0" w:space="0" w:color="auto"/>
        <w:bottom w:val="none" w:sz="0" w:space="0" w:color="auto"/>
        <w:right w:val="none" w:sz="0" w:space="0" w:color="auto"/>
      </w:divBdr>
    </w:div>
    <w:div w:id="1576743817">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1550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02971">
          <w:marLeft w:val="0"/>
          <w:marRight w:val="0"/>
          <w:marTop w:val="0"/>
          <w:marBottom w:val="0"/>
          <w:divBdr>
            <w:top w:val="none" w:sz="0" w:space="0" w:color="auto"/>
            <w:left w:val="none" w:sz="0" w:space="0" w:color="auto"/>
            <w:bottom w:val="none" w:sz="0" w:space="0" w:color="auto"/>
            <w:right w:val="none" w:sz="0" w:space="0" w:color="auto"/>
          </w:divBdr>
          <w:divsChild>
            <w:div w:id="731005296">
              <w:marLeft w:val="0"/>
              <w:marRight w:val="0"/>
              <w:marTop w:val="0"/>
              <w:marBottom w:val="0"/>
              <w:divBdr>
                <w:top w:val="none" w:sz="0" w:space="0" w:color="auto"/>
                <w:left w:val="dotted" w:sz="6" w:space="0" w:color="CCCCCC"/>
                <w:bottom w:val="none" w:sz="0" w:space="0" w:color="auto"/>
                <w:right w:val="none" w:sz="0" w:space="0" w:color="auto"/>
              </w:divBdr>
              <w:divsChild>
                <w:div w:id="1349720417">
                  <w:marLeft w:val="0"/>
                  <w:marRight w:val="0"/>
                  <w:marTop w:val="0"/>
                  <w:marBottom w:val="0"/>
                  <w:divBdr>
                    <w:top w:val="none" w:sz="0" w:space="0" w:color="auto"/>
                    <w:left w:val="none" w:sz="0" w:space="0" w:color="auto"/>
                    <w:bottom w:val="none" w:sz="0" w:space="0" w:color="auto"/>
                    <w:right w:val="none" w:sz="0" w:space="0" w:color="auto"/>
                  </w:divBdr>
                  <w:divsChild>
                    <w:div w:id="1408841654">
                      <w:marLeft w:val="0"/>
                      <w:marRight w:val="0"/>
                      <w:marTop w:val="150"/>
                      <w:marBottom w:val="0"/>
                      <w:divBdr>
                        <w:top w:val="none" w:sz="0" w:space="0" w:color="auto"/>
                        <w:left w:val="none" w:sz="0" w:space="0" w:color="auto"/>
                        <w:bottom w:val="none" w:sz="0" w:space="0" w:color="auto"/>
                        <w:right w:val="none" w:sz="0" w:space="0" w:color="auto"/>
                      </w:divBdr>
                      <w:divsChild>
                        <w:div w:id="1467430097">
                          <w:marLeft w:val="0"/>
                          <w:marRight w:val="0"/>
                          <w:marTop w:val="0"/>
                          <w:marBottom w:val="0"/>
                          <w:divBdr>
                            <w:top w:val="none" w:sz="0" w:space="0" w:color="auto"/>
                            <w:left w:val="none" w:sz="0" w:space="0" w:color="auto"/>
                            <w:bottom w:val="none" w:sz="0" w:space="0" w:color="auto"/>
                            <w:right w:val="none" w:sz="0" w:space="0" w:color="auto"/>
                          </w:divBdr>
                          <w:divsChild>
                            <w:div w:id="224493235">
                              <w:marLeft w:val="0"/>
                              <w:marRight w:val="0"/>
                              <w:marTop w:val="0"/>
                              <w:marBottom w:val="0"/>
                              <w:divBdr>
                                <w:top w:val="none" w:sz="0" w:space="0" w:color="auto"/>
                                <w:left w:val="none" w:sz="0" w:space="0" w:color="auto"/>
                                <w:bottom w:val="none" w:sz="0" w:space="0" w:color="auto"/>
                                <w:right w:val="none" w:sz="0" w:space="0" w:color="auto"/>
                              </w:divBdr>
                              <w:divsChild>
                                <w:div w:id="883563075">
                                  <w:marLeft w:val="0"/>
                                  <w:marRight w:val="0"/>
                                  <w:marTop w:val="0"/>
                                  <w:marBottom w:val="0"/>
                                  <w:divBdr>
                                    <w:top w:val="none" w:sz="0" w:space="0" w:color="auto"/>
                                    <w:left w:val="none" w:sz="0" w:space="0" w:color="auto"/>
                                    <w:bottom w:val="none" w:sz="0" w:space="0" w:color="auto"/>
                                    <w:right w:val="none" w:sz="0" w:space="0" w:color="auto"/>
                                  </w:divBdr>
                                  <w:divsChild>
                                    <w:div w:id="767503021">
                                      <w:marLeft w:val="0"/>
                                      <w:marRight w:val="0"/>
                                      <w:marTop w:val="0"/>
                                      <w:marBottom w:val="0"/>
                                      <w:divBdr>
                                        <w:top w:val="none" w:sz="0" w:space="0" w:color="auto"/>
                                        <w:left w:val="none" w:sz="0" w:space="0" w:color="auto"/>
                                        <w:bottom w:val="none" w:sz="0" w:space="0" w:color="auto"/>
                                        <w:right w:val="none" w:sz="0" w:space="0" w:color="auto"/>
                                      </w:divBdr>
                                      <w:divsChild>
                                        <w:div w:id="32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401628">
      <w:bodyDiv w:val="1"/>
      <w:marLeft w:val="0"/>
      <w:marRight w:val="0"/>
      <w:marTop w:val="0"/>
      <w:marBottom w:val="0"/>
      <w:divBdr>
        <w:top w:val="none" w:sz="0" w:space="0" w:color="auto"/>
        <w:left w:val="none" w:sz="0" w:space="0" w:color="auto"/>
        <w:bottom w:val="none" w:sz="0" w:space="0" w:color="auto"/>
        <w:right w:val="none" w:sz="0" w:space="0" w:color="auto"/>
      </w:divBdr>
    </w:div>
    <w:div w:id="1826311299">
      <w:bodyDiv w:val="1"/>
      <w:marLeft w:val="0"/>
      <w:marRight w:val="0"/>
      <w:marTop w:val="0"/>
      <w:marBottom w:val="0"/>
      <w:divBdr>
        <w:top w:val="none" w:sz="0" w:space="0" w:color="auto"/>
        <w:left w:val="none" w:sz="0" w:space="0" w:color="auto"/>
        <w:bottom w:val="none" w:sz="0" w:space="0" w:color="auto"/>
        <w:right w:val="none" w:sz="0" w:space="0" w:color="auto"/>
      </w:divBdr>
      <w:divsChild>
        <w:div w:id="398551881">
          <w:marLeft w:val="0"/>
          <w:marRight w:val="0"/>
          <w:marTop w:val="0"/>
          <w:marBottom w:val="0"/>
          <w:divBdr>
            <w:top w:val="none" w:sz="0" w:space="0" w:color="auto"/>
            <w:left w:val="none" w:sz="0" w:space="0" w:color="auto"/>
            <w:bottom w:val="none" w:sz="0" w:space="0" w:color="auto"/>
            <w:right w:val="none" w:sz="0" w:space="0" w:color="auto"/>
          </w:divBdr>
        </w:div>
      </w:divsChild>
    </w:div>
    <w:div w:id="1868785022">
      <w:bodyDiv w:val="1"/>
      <w:marLeft w:val="0"/>
      <w:marRight w:val="0"/>
      <w:marTop w:val="0"/>
      <w:marBottom w:val="0"/>
      <w:divBdr>
        <w:top w:val="none" w:sz="0" w:space="0" w:color="auto"/>
        <w:left w:val="none" w:sz="0" w:space="0" w:color="auto"/>
        <w:bottom w:val="none" w:sz="0" w:space="0" w:color="auto"/>
        <w:right w:val="none" w:sz="0" w:space="0" w:color="auto"/>
      </w:divBdr>
    </w:div>
    <w:div w:id="1994673617">
      <w:bodyDiv w:val="1"/>
      <w:marLeft w:val="0"/>
      <w:marRight w:val="0"/>
      <w:marTop w:val="0"/>
      <w:marBottom w:val="0"/>
      <w:divBdr>
        <w:top w:val="none" w:sz="0" w:space="0" w:color="auto"/>
        <w:left w:val="none" w:sz="0" w:space="0" w:color="auto"/>
        <w:bottom w:val="none" w:sz="0" w:space="0" w:color="auto"/>
        <w:right w:val="none" w:sz="0" w:space="0" w:color="auto"/>
      </w:divBdr>
      <w:divsChild>
        <w:div w:id="1988119794">
          <w:marLeft w:val="0"/>
          <w:marRight w:val="0"/>
          <w:marTop w:val="0"/>
          <w:marBottom w:val="0"/>
          <w:divBdr>
            <w:top w:val="none" w:sz="0" w:space="0" w:color="auto"/>
            <w:left w:val="none" w:sz="0" w:space="0" w:color="auto"/>
            <w:bottom w:val="none" w:sz="0" w:space="0" w:color="auto"/>
            <w:right w:val="none" w:sz="0" w:space="0" w:color="auto"/>
          </w:divBdr>
        </w:div>
      </w:divsChild>
    </w:div>
    <w:div w:id="2014186166">
      <w:bodyDiv w:val="1"/>
      <w:marLeft w:val="0"/>
      <w:marRight w:val="0"/>
      <w:marTop w:val="0"/>
      <w:marBottom w:val="0"/>
      <w:divBdr>
        <w:top w:val="none" w:sz="0" w:space="0" w:color="auto"/>
        <w:left w:val="none" w:sz="0" w:space="0" w:color="auto"/>
        <w:bottom w:val="none" w:sz="0" w:space="0" w:color="auto"/>
        <w:right w:val="none" w:sz="0" w:space="0" w:color="auto"/>
      </w:divBdr>
    </w:div>
    <w:div w:id="2018342875">
      <w:bodyDiv w:val="1"/>
      <w:marLeft w:val="0"/>
      <w:marRight w:val="0"/>
      <w:marTop w:val="0"/>
      <w:marBottom w:val="0"/>
      <w:divBdr>
        <w:top w:val="none" w:sz="0" w:space="0" w:color="auto"/>
        <w:left w:val="none" w:sz="0" w:space="0" w:color="auto"/>
        <w:bottom w:val="none" w:sz="0" w:space="0" w:color="auto"/>
        <w:right w:val="none" w:sz="0" w:space="0" w:color="auto"/>
      </w:divBdr>
    </w:div>
    <w:div w:id="20984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oter" Target="footer4.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134</Value>
      <Value>83</Value>
      <Value>26</Value>
      <Value>10</Value>
      <Value>109</Value>
      <Value>93</Value>
      <Value>58</Value>
      <Value>230</Value>
      <Value>4</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722.0 ABS/RBA Derivatives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APRAMeetingDate xmlns="814d62cb-2db6-4c25-ab62-b9075facbc11" xsi:nil="true"/>
    <APRAMeetingNumber xmlns="814d62cb-2db6-4c25-ab62-b9075facbc11" xsi:nil="true"/>
    <_dlc_DocId xmlns="814d62cb-2db6-4c25-ab62-b9075facbc11">5JENXJJSCC7A-445999044-11441</_dlc_DocId>
    <_dlc_DocIdUrl xmlns="814d62cb-2db6-4c25-ab62-b9075facbc11">
      <Url>https://im/teams/LEGAL/_layouts/15/DocIdRedir.aspx?ID=5JENXJJSCC7A-445999044-11441</Url>
      <Description>5JENXJJSCC7A-445999044-11441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LongProperties xmlns="http://schemas.microsoft.com/office/2006/metadata/longProperties">
  <LongProp xmlns="" name="TaxCatchAll"><![CDATA[26;#ADI|906b8d6f-8851-e311-9e2e-005056b54f10;#10;#Data collection|9c208ec1-acb8-4005-ba1a-e7d4ed62ea16;#9;#Development|7276960b-cd04-4fd9-bbf6-f5b03d867772;#41;#Reporting standard|91896cd9-c8c4-4f0d-b59e-113a28881d1d;#21;#2016|1b5c42b8-6b9e-4915-a1cb-ced3840d04a1;#1;#Draft|0e1556d2-3fe8-443a-ada7-3620563b46b3;#43;#Non-regulated|3ad285d2-745e-434d-a960-51af6b00ed01]]></LongProp>
</LongProperties>
</file>

<file path=customXml/item7.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017EB-1EBC-4338-873A-A9744C987FBD}">
  <ds:schemaRefs>
    <ds:schemaRef ds:uri="Microsoft.SharePoint.Taxonomy.ContentTypeSync"/>
  </ds:schemaRefs>
</ds:datastoreItem>
</file>

<file path=customXml/itemProps2.xml><?xml version="1.0" encoding="utf-8"?>
<ds:datastoreItem xmlns:ds="http://schemas.openxmlformats.org/officeDocument/2006/customXml" ds:itemID="{ADA2A1A5-C214-48F2-82C0-1985EAA8CF89}">
  <ds:schemaRefs>
    <ds:schemaRef ds:uri="http://schemas.microsoft.com/sharepoint/v3/contenttype/forms"/>
  </ds:schemaRefs>
</ds:datastoreItem>
</file>

<file path=customXml/itemProps3.xml><?xml version="1.0" encoding="utf-8"?>
<ds:datastoreItem xmlns:ds="http://schemas.openxmlformats.org/officeDocument/2006/customXml" ds:itemID="{F43217E2-310D-4DC8-9E58-38845F0BAA9B}">
  <ds:schemaRefs>
    <ds:schemaRef ds:uri="http://schemas.openxmlformats.org/officeDocument/2006/bibliography"/>
  </ds:schemaRefs>
</ds:datastoreItem>
</file>

<file path=customXml/itemProps4.xml><?xml version="1.0" encoding="utf-8"?>
<ds:datastoreItem xmlns:ds="http://schemas.openxmlformats.org/officeDocument/2006/customXml" ds:itemID="{77743BE0-827C-4765-BB9B-2B9D42CF5E07}">
  <ds:schemaRefs>
    <ds:schemaRef ds:uri="814d62cb-2db6-4c25-ab62-b9075facbc11"/>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s>
</ds:datastoreItem>
</file>

<file path=customXml/itemProps5.xml><?xml version="1.0" encoding="utf-8"?>
<ds:datastoreItem xmlns:ds="http://schemas.openxmlformats.org/officeDocument/2006/customXml" ds:itemID="{ACCDEA4B-680C-4536-8140-9A89C4B60ACE}">
  <ds:schemaRefs>
    <ds:schemaRef ds:uri="http://schemas.microsoft.com/sharepoint/events"/>
  </ds:schemaRefs>
</ds:datastoreItem>
</file>

<file path=customXml/itemProps6.xml><?xml version="1.0" encoding="utf-8"?>
<ds:datastoreItem xmlns:ds="http://schemas.openxmlformats.org/officeDocument/2006/customXml" ds:itemID="{FD90AAFB-72C6-451D-9149-2778C5FA8C19}">
  <ds:schemaRefs>
    <ds:schemaRef ds:uri="http://schemas.microsoft.com/office/2006/metadata/longProperties"/>
    <ds:schemaRef ds:uri=""/>
  </ds:schemaRefs>
</ds:datastoreItem>
</file>

<file path=customXml/itemProps7.xml><?xml version="1.0" encoding="utf-8"?>
<ds:datastoreItem xmlns:ds="http://schemas.openxmlformats.org/officeDocument/2006/customXml" ds:itemID="{13F0877C-18D4-4A03-A5DB-1332BECA7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DDE8D7B6-FA92-45E9-8362-687EAD69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7800</Words>
  <Characters>41967</Characters>
  <Application>Microsoft Office Word</Application>
  <DocSecurity>0</DocSecurity>
  <Lines>2331</Lines>
  <Paragraphs>921</Paragraphs>
  <ScaleCrop>false</ScaleCrop>
  <HeadingPairs>
    <vt:vector size="2" baseType="variant">
      <vt:variant>
        <vt:lpstr>Title</vt:lpstr>
      </vt:variant>
      <vt:variant>
        <vt:i4>1</vt:i4>
      </vt:variant>
    </vt:vector>
  </HeadingPairs>
  <TitlesOfParts>
    <vt:vector size="1" baseType="lpstr">
      <vt:lpstr>ARS 722.0 ABSRBA Derivatives</vt:lpstr>
    </vt:vector>
  </TitlesOfParts>
  <Company>APRA</Company>
  <LinksUpToDate>false</LinksUpToDate>
  <CharactersWithSpaces>48846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FS(COD)(RS) determination No 10 of 2021</dc:title>
  <dc:subject/>
  <dc:creator>David Shade</dc:creator>
  <cp:keywords>[SEC=OFFICIAL]</cp:keywords>
  <cp:lastModifiedBy>Michalis, Toni</cp:lastModifiedBy>
  <cp:revision>2</cp:revision>
  <cp:lastPrinted>2019-11-07T00:52:00Z</cp:lastPrinted>
  <dcterms:created xsi:type="dcterms:W3CDTF">2021-03-23T03:20:00Z</dcterms:created>
  <dcterms:modified xsi:type="dcterms:W3CDTF">2021-03-23T03:20:00Z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11275F3FD7D5CDE724B8033366B9BDB18BC56CD4</vt:lpwstr>
  </property>
  <property fmtid="{D5CDD505-2E9C-101B-9397-08002B2CF9AE}" pid="7" name="PM_InsertionValue">
    <vt:lpwstr>OFFICIAL</vt:lpwstr>
  </property>
  <property fmtid="{D5CDD505-2E9C-101B-9397-08002B2CF9AE}" pid="8" name="PM_Hash_Salt">
    <vt:lpwstr>463BAA1EF4E7C3684F3FDB6FEC33C125</vt:lpwstr>
  </property>
  <property fmtid="{D5CDD505-2E9C-101B-9397-08002B2CF9AE}" pid="9" name="PM_Hash_Version">
    <vt:lpwstr>2018.0</vt:lpwstr>
  </property>
  <property fmtid="{D5CDD505-2E9C-101B-9397-08002B2CF9AE}" pid="10" name="PM_Hash_Salt_Prev">
    <vt:lpwstr>B6E91AB951C4ECFDA89792105D30F3F3</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IsLocked">
    <vt:lpwstr>False</vt:lpwstr>
  </property>
  <property fmtid="{D5CDD505-2E9C-101B-9397-08002B2CF9AE}" pid="15" name="APRAPeriod">
    <vt:lpwstr/>
  </property>
  <property fmtid="{D5CDD505-2E9C-101B-9397-08002B2CF9AE}" pid="16" name="APRAPRSG">
    <vt:lpwstr/>
  </property>
  <property fmtid="{D5CDD505-2E9C-101B-9397-08002B2CF9AE}" pid="17" name="APRAActivity">
    <vt:lpwstr>10;#Registration|390476ce-d76d-4e8d-905f-28e32d2df127;#109;#Statutory instrument|fe68928c-5a9c-4caf-bc8c-6c18cedcb17f</vt:lpwstr>
  </property>
  <property fmtid="{D5CDD505-2E9C-101B-9397-08002B2CF9AE}" pid="18" name="RecordPoint_WorkflowType">
    <vt:lpwstr>ActiveSubmitStub</vt:lpwstr>
  </property>
  <property fmtid="{D5CDD505-2E9C-101B-9397-08002B2CF9AE}" pid="19" name="RecordPoint_ActiveItemUniqueId">
    <vt:lpwstr>{29705ba3-8eaf-4562-80ad-aca049504786}</vt:lpwstr>
  </property>
  <property fmtid="{D5CDD505-2E9C-101B-9397-08002B2CF9AE}" pid="20" name="RecordPoint_SubmissionCompleted">
    <vt:lpwstr>2021-03-23T15:36:15.4215347+11:00</vt:lpwstr>
  </property>
  <property fmtid="{D5CDD505-2E9C-101B-9397-08002B2CF9AE}" pid="21" name="APRAYear">
    <vt:lpwstr>230;#2021|0e1e43df-81ea-47af-89d8-970d5d5956ff</vt:lpwstr>
  </property>
  <property fmtid="{D5CDD505-2E9C-101B-9397-08002B2CF9AE}" pid="22" name="APRAIndustry">
    <vt:lpwstr/>
  </property>
  <property fmtid="{D5CDD505-2E9C-101B-9397-08002B2CF9AE}" pid="23" name="_dlc_DocId">
    <vt:lpwstr>3W63SCYY7KA6-1565629875-54</vt:lpwstr>
  </property>
  <property fmtid="{D5CDD505-2E9C-101B-9397-08002B2CF9AE}" pid="24" name="_dlc_DocIdItemGuid">
    <vt:lpwstr>29705ba3-8eaf-4562-80ad-aca049504786</vt:lpwstr>
  </property>
  <property fmtid="{D5CDD505-2E9C-101B-9397-08002B2CF9AE}" pid="25" name="_dlc_DocIdUrl">
    <vt:lpwstr>https://im/teams/STATS/_layouts/15/DocIdRedir.aspx?ID=3W63SCYY7KA6-1565629875-54, 3W63SCYY7KA6-1565629875-54</vt:lpwstr>
  </property>
  <property fmtid="{D5CDD505-2E9C-101B-9397-08002B2CF9AE}" pid="26"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7" name="APRAEntityAdviceSupport">
    <vt:lpwstr/>
  </property>
  <property fmtid="{D5CDD505-2E9C-101B-9397-08002B2CF9AE}" pid="28" name="APRAExternalOrganisation">
    <vt:lpwstr/>
  </property>
  <property fmtid="{D5CDD505-2E9C-101B-9397-08002B2CF9AE}" pid="29" name="APRALegislation">
    <vt:lpwstr/>
  </property>
  <property fmtid="{D5CDD505-2E9C-101B-9397-08002B2CF9AE}" pid="30" name="APRAIRTR">
    <vt:lpwstr/>
  </property>
  <property fmtid="{D5CDD505-2E9C-101B-9397-08002B2CF9AE}" pid="31" name="APRACategory">
    <vt:lpwstr/>
  </property>
  <property fmtid="{D5CDD505-2E9C-101B-9397-08002B2CF9AE}" pid="32" name="APRADocumentType">
    <vt:lpwstr>58;#Legal instrument|71fd6ed3-d6d6-4975-ba99-bfe45802e734</vt:lpwstr>
  </property>
  <property fmtid="{D5CDD505-2E9C-101B-9397-08002B2CF9AE}" pid="33" name="APRAStatus">
    <vt:lpwstr>19;#Final|84d6b2d0-8498-4d62-bf46-bab38babbe9e</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ActiveItemWebId">
    <vt:lpwstr>{75a71c27-8d66-4282-ae60-1bfc22a83be1}</vt:lpwstr>
  </property>
  <property fmtid="{D5CDD505-2E9C-101B-9397-08002B2CF9AE}" pid="37" name="RecordPoint_RecordNumberSubmitted">
    <vt:lpwstr>R0001309684</vt:lpwstr>
  </property>
  <property fmtid="{D5CDD505-2E9C-101B-9397-08002B2CF9AE}" pid="38" name="_docset_NoMedatataSyncRequired">
    <vt:lpwstr>False</vt:lpwstr>
  </property>
  <property fmtid="{D5CDD505-2E9C-101B-9397-08002B2CF9AE}" pid="39" name="PM_ProtectiveMarkingImage_Header">
    <vt:lpwstr>C:\Program Files\Common Files\janusNET Shared\janusSEAL\Images\DocumentSlashBlue.png</vt:lpwstr>
  </property>
  <property fmtid="{D5CDD505-2E9C-101B-9397-08002B2CF9AE}" pid="40" name="PM_ProtectiveMarkingValue_Header">
    <vt:lpwstr>OFFICIAL</vt:lpwstr>
  </property>
  <property fmtid="{D5CDD505-2E9C-101B-9397-08002B2CF9AE}" pid="41" name="PM_ProtectiveMarkingValue_Footer">
    <vt:lpwstr>OFFICIAL</vt:lpwstr>
  </property>
  <property fmtid="{D5CDD505-2E9C-101B-9397-08002B2CF9AE}" pid="42" name="PM_ProtectiveMarkingImage_Footer">
    <vt:lpwstr>C:\Program Files\Common Files\janusNET Shared\janusSEAL\Images\DocumentSlashBlue.png</vt:lpwstr>
  </property>
  <property fmtid="{D5CDD505-2E9C-101B-9397-08002B2CF9AE}" pid="43" name="PM_Namespace">
    <vt:lpwstr>gov.au</vt:lpwstr>
  </property>
  <property fmtid="{D5CDD505-2E9C-101B-9397-08002B2CF9AE}" pid="44" name="PM_Version">
    <vt:lpwstr>2018.3</vt:lpwstr>
  </property>
  <property fmtid="{D5CDD505-2E9C-101B-9397-08002B2CF9AE}" pid="45" name="PM_Originating_FileId">
    <vt:lpwstr>C17670AC948A4B41ADC3D3CE7F178CA4</vt:lpwstr>
  </property>
  <property fmtid="{D5CDD505-2E9C-101B-9397-08002B2CF9AE}" pid="46" name="PM_OriginationTimeStamp">
    <vt:lpwstr>2021-03-23T03:20:09Z</vt:lpwstr>
  </property>
  <property fmtid="{D5CDD505-2E9C-101B-9397-08002B2CF9AE}" pid="47" name="IT system type">
    <vt:lpwstr/>
  </property>
  <property fmtid="{D5CDD505-2E9C-101B-9397-08002B2CF9AE}" pid="48" name="PM_MinimumSecurityClassification">
    <vt:lpwstr/>
  </property>
  <property fmtid="{D5CDD505-2E9C-101B-9397-08002B2CF9AE}" pid="49" name="PM_Note">
    <vt:lpwstr/>
  </property>
  <property fmtid="{D5CDD505-2E9C-101B-9397-08002B2CF9AE}" pid="50" name="PM_Markers">
    <vt:lpwstr/>
  </property>
  <property fmtid="{D5CDD505-2E9C-101B-9397-08002B2CF9AE}" pid="51" name="ContentTypeId">
    <vt:lpwstr>0x0101008CA7A4F8331B45C7B0D3158B4994D0CA0200577EC0F5A1FBFC498F9A8436B963F8A6</vt:lpwstr>
  </property>
  <property fmtid="{D5CDD505-2E9C-101B-9397-08002B2CF9AE}" pid="52" name="RecordPoint_SubmissionDate">
    <vt:lpwstr/>
  </property>
  <property fmtid="{D5CDD505-2E9C-101B-9397-08002B2CF9AE}" pid="53" name="RecordPoint_ActiveItemMoved">
    <vt:lpwstr/>
  </property>
  <property fmtid="{D5CDD505-2E9C-101B-9397-08002B2CF9AE}" pid="54" name="RecordPoint_RecordFormat">
    <vt:lpwstr/>
  </property>
</Properties>
</file>