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99" w:rsidRPr="006A699F" w:rsidRDefault="00A54999" w:rsidP="00A54999">
      <w:pPr>
        <w:rPr>
          <w:rFonts w:ascii="Times New Roman" w:eastAsia="Times New Roman" w:hAnsi="Times New Roman"/>
          <w:sz w:val="20"/>
          <w:szCs w:val="20"/>
          <w:lang w:val="en-US" w:eastAsia="en-AU"/>
        </w:rPr>
      </w:pPr>
      <w:bookmarkStart w:id="0" w:name="_Toc168113228"/>
      <w:bookmarkStart w:id="1" w:name="OLE_LINK1"/>
    </w:p>
    <w:p w:rsidR="00A54999" w:rsidRPr="006A699F" w:rsidRDefault="00A54999" w:rsidP="00A54999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2C9F1C3A" wp14:editId="6F0AA393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99" w:rsidRPr="006A699F" w:rsidRDefault="00A54999" w:rsidP="00A54999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</w:t>
      </w:r>
      <w:r w:rsidR="00686151">
        <w:rPr>
          <w:rFonts w:ascii="Arial" w:eastAsia="Times New Roman" w:hAnsi="Arial" w:cs="Arial"/>
          <w:b/>
          <w:bCs/>
          <w:color w:val="000000"/>
          <w:sz w:val="40"/>
          <w:szCs w:val="40"/>
        </w:rPr>
        <w:t>8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:rsidR="00A54999" w:rsidRPr="006A699F" w:rsidRDefault="00A54999" w:rsidP="00A54999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A699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Reporting Standard ARS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720.3 ABS/RBA Intra-group Assets and Liabilities</w:t>
      </w:r>
    </w:p>
    <w:p w:rsidR="00A54999" w:rsidRPr="006A699F" w:rsidRDefault="00A54999" w:rsidP="00A54999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:rsidR="00A54999" w:rsidRPr="006A699F" w:rsidRDefault="00A54999" w:rsidP="00A54999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A54999" w:rsidRPr="006A699F" w:rsidRDefault="00C5031F" w:rsidP="00A54999">
      <w:pPr>
        <w:numPr>
          <w:ilvl w:val="0"/>
          <w:numId w:val="43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A54999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A54999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A54999" w:rsidRPr="006A699F">
        <w:rPr>
          <w:rFonts w:ascii="Times New Roman" w:eastAsia="Times New Roman" w:hAnsi="Times New Roman"/>
          <w:i/>
          <w:sz w:val="24"/>
          <w:szCs w:val="20"/>
        </w:rPr>
        <w:t>Reporting</w:t>
      </w:r>
      <w:r w:rsidR="00A54999">
        <w:rPr>
          <w:rFonts w:ascii="Times New Roman" w:eastAsia="Times New Roman" w:hAnsi="Times New Roman"/>
          <w:i/>
          <w:sz w:val="24"/>
          <w:szCs w:val="20"/>
        </w:rPr>
        <w:t xml:space="preserve"> Standard</w:t>
      </w:r>
      <w:r w:rsidR="00A54999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A54999" w:rsidRPr="00A54999">
        <w:rPr>
          <w:rFonts w:ascii="Times New Roman" w:eastAsia="Times New Roman" w:hAnsi="Times New Roman"/>
          <w:i/>
          <w:sz w:val="24"/>
          <w:szCs w:val="20"/>
        </w:rPr>
        <w:t>ARS 720.3 ABS/RBA Intra-group Assets and Liabilities</w:t>
      </w:r>
      <w:r w:rsidR="00A54999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:rsidR="00A54999" w:rsidRPr="006A699F" w:rsidRDefault="00A54999" w:rsidP="00A54999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54999" w:rsidRPr="006A699F" w:rsidRDefault="00C5031F" w:rsidP="00A54999">
      <w:pPr>
        <w:numPr>
          <w:ilvl w:val="0"/>
          <w:numId w:val="44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54999" w:rsidRPr="006A699F">
        <w:rPr>
          <w:rFonts w:ascii="Times New Roman" w:eastAsia="Times New Roman" w:hAnsi="Times New Roman"/>
          <w:i/>
          <w:sz w:val="24"/>
          <w:szCs w:val="20"/>
        </w:rPr>
        <w:t xml:space="preserve">Reporting </w:t>
      </w:r>
      <w:r w:rsidR="00A54999">
        <w:rPr>
          <w:rFonts w:ascii="Times New Roman" w:eastAsia="Times New Roman" w:hAnsi="Times New Roman"/>
          <w:i/>
          <w:sz w:val="24"/>
          <w:szCs w:val="20"/>
        </w:rPr>
        <w:t>Standard</w:t>
      </w:r>
      <w:r w:rsidR="00A54999" w:rsidRPr="006A699F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A54999" w:rsidRPr="00A54999">
        <w:rPr>
          <w:rFonts w:ascii="Times New Roman" w:eastAsia="Times New Roman" w:hAnsi="Times New Roman"/>
          <w:i/>
          <w:sz w:val="24"/>
          <w:szCs w:val="20"/>
        </w:rPr>
        <w:t>ARS 720.3 ABS/RBA Intra-group Assets and Liabilities</w:t>
      </w:r>
      <w:r w:rsidR="00A54999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EE6879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A5499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:rsidR="00A54999" w:rsidRPr="006A699F" w:rsidRDefault="00A54999" w:rsidP="00A54999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C5031F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C5031F" w:rsidRPr="004E0C1E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on the day it is registered on the Federal Register of Legislation. 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A54999" w:rsidRPr="00D34682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</w:t>
      </w:r>
      <w:r w:rsidR="00C5031F"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</w:t>
      </w:r>
      <w:r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>.</w:t>
      </w:r>
    </w:p>
    <w:p w:rsidR="00A54999" w:rsidRPr="00D34682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D34682"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="00686151"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</w:t>
      </w:r>
      <w:r w:rsidRPr="00D34682">
        <w:rPr>
          <w:rFonts w:ascii="Times New Roman" w:eastAsia="Times New Roman" w:hAnsi="Times New Roman"/>
          <w:sz w:val="24"/>
          <w:szCs w:val="24"/>
          <w:lang w:val="en-US" w:eastAsia="en-AU"/>
        </w:rPr>
        <w:t>2021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:rsidR="00C5031F" w:rsidRPr="006A699F" w:rsidRDefault="00C5031F" w:rsidP="00C5031F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Data Analytics </w:t>
      </w:r>
      <w:r>
        <w:rPr>
          <w:rFonts w:ascii="Times New Roman" w:eastAsia="Times New Roman" w:hAnsi="Times New Roman"/>
          <w:sz w:val="24"/>
          <w:szCs w:val="24"/>
          <w:lang w:val="en-US" w:eastAsia="en-AU"/>
        </w:rPr>
        <w:t>&amp; Insights Division</w:t>
      </w: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A54999" w:rsidRDefault="00A54999" w:rsidP="00A5499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A54999" w:rsidRDefault="00A54999" w:rsidP="00A5499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A54999" w:rsidRDefault="00A54999" w:rsidP="00A5499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:rsidR="00A54999" w:rsidRPr="006A699F" w:rsidRDefault="00A54999" w:rsidP="00A54999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:rsidR="00A54999" w:rsidRPr="006A699F" w:rsidRDefault="00A54999" w:rsidP="00A54999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:rsidR="00A54999" w:rsidRPr="006A699F" w:rsidRDefault="00A54999" w:rsidP="00A54999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:rsidR="00A54999" w:rsidRPr="006A699F" w:rsidRDefault="00A54999" w:rsidP="00A54999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:rsidR="00A54999" w:rsidRPr="006A699F" w:rsidRDefault="00A54999" w:rsidP="00A54999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54999" w:rsidRPr="006A699F" w:rsidRDefault="00A54999" w:rsidP="00A5499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:rsidR="00A54999" w:rsidRPr="006A699F" w:rsidRDefault="00A54999" w:rsidP="00A5499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:rsidR="00A54999" w:rsidRPr="006A699F" w:rsidRDefault="00A54999" w:rsidP="00A54999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:rsidR="00A54999" w:rsidRPr="006A699F" w:rsidRDefault="00A54999" w:rsidP="00A54999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i/>
          <w:color w:val="000000"/>
          <w:sz w:val="24"/>
          <w:szCs w:val="24"/>
          <w:lang w:val="en-US" w:eastAsia="en-AU"/>
        </w:rPr>
        <w:t xml:space="preserve">Reporting Standard </w:t>
      </w:r>
      <w:r w:rsidRPr="006A699F"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 xml:space="preserve">ARS </w:t>
      </w:r>
      <w:r>
        <w:rPr>
          <w:rFonts w:ascii="Times New Roman" w:eastAsia="Times New Roman" w:hAnsi="Times New Roman"/>
          <w:i/>
          <w:sz w:val="24"/>
          <w:szCs w:val="20"/>
          <w:lang w:val="en-US" w:eastAsia="en-AU"/>
        </w:rPr>
        <w:t>720.3 ABS/RBA Intra-group Assets and Liabilities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comprises the document commencing on the following page.</w:t>
      </w:r>
      <w:bookmarkEnd w:id="0"/>
    </w:p>
    <w:p w:rsidR="00A54999" w:rsidRDefault="00A54999" w:rsidP="00AF103C">
      <w:pPr>
        <w:rPr>
          <w:rFonts w:eastAsia="Times"/>
          <w:szCs w:val="20"/>
        </w:rPr>
        <w:sectPr w:rsidR="00A54999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AF103C" w:rsidRPr="00AB4984" w:rsidRDefault="005165A3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drawing>
          <wp:inline distT="0" distB="0" distL="0" distR="0" wp14:anchorId="586594EC" wp14:editId="306CF311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3C" w:rsidRPr="00AB4984" w:rsidRDefault="00AF103C" w:rsidP="00AF103C">
      <w:pPr>
        <w:rPr>
          <w:rFonts w:eastAsia="Times"/>
          <w:szCs w:val="20"/>
        </w:rPr>
      </w:pPr>
    </w:p>
    <w:p w:rsidR="00AF103C" w:rsidRPr="00AB4984" w:rsidRDefault="00B90C07" w:rsidP="00A353CE">
      <w:pPr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9F2CAF">
        <w:rPr>
          <w:rFonts w:ascii="Arial" w:eastAsia="Times New Roman" w:hAnsi="Arial" w:cs="Arial"/>
          <w:b/>
          <w:sz w:val="40"/>
          <w:szCs w:val="40"/>
          <w:lang w:eastAsia="en-AU"/>
        </w:rPr>
        <w:t>720.3</w:t>
      </w:r>
    </w:p>
    <w:p w:rsidR="00AF103C" w:rsidRPr="00AB4984" w:rsidRDefault="00C8047C" w:rsidP="00A353CE">
      <w:pPr>
        <w:spacing w:after="240"/>
        <w:rPr>
          <w:rFonts w:ascii="Times New Roman" w:eastAsia="Times New Roman" w:hAnsi="Times New Roman"/>
          <w:iCs/>
          <w:lang w:val="x-none"/>
        </w:rPr>
      </w:pPr>
      <w:bookmarkStart w:id="2" w:name="_Toc256519851"/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684D73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Intra-group </w:t>
      </w:r>
      <w:r w:rsidR="00637F8E">
        <w:rPr>
          <w:rFonts w:ascii="Arial" w:eastAsia="Times New Roman" w:hAnsi="Arial" w:cs="Arial"/>
          <w:b/>
          <w:sz w:val="40"/>
          <w:szCs w:val="40"/>
          <w:lang w:eastAsia="en-AU"/>
        </w:rPr>
        <w:t>Assets and Liabilities</w:t>
      </w:r>
    </w:p>
    <w:bookmarkEnd w:id="2"/>
    <w:p w:rsidR="00CD3512" w:rsidRPr="00CD6287" w:rsidRDefault="00CD3512" w:rsidP="00A353CE">
      <w:pPr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:rsidR="00CD3512" w:rsidRDefault="00CD3512" w:rsidP="00A35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8F4578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8F4578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9F2CAF">
        <w:rPr>
          <w:rFonts w:ascii="Times New Roman" w:hAnsi="Times New Roman"/>
          <w:sz w:val="24"/>
          <w:szCs w:val="24"/>
        </w:rPr>
        <w:t xml:space="preserve">intra-group </w:t>
      </w:r>
      <w:r w:rsidR="00914446">
        <w:rPr>
          <w:rFonts w:ascii="Times New Roman" w:hAnsi="Times New Roman"/>
          <w:sz w:val="24"/>
          <w:szCs w:val="24"/>
        </w:rPr>
        <w:t xml:space="preserve">assets </w:t>
      </w:r>
      <w:r w:rsidR="009F2CAF">
        <w:rPr>
          <w:rFonts w:ascii="Times New Roman" w:hAnsi="Times New Roman"/>
          <w:sz w:val="24"/>
          <w:szCs w:val="24"/>
        </w:rPr>
        <w:t xml:space="preserve">and </w:t>
      </w:r>
      <w:r w:rsidR="00914446">
        <w:rPr>
          <w:rFonts w:ascii="Times New Roman" w:hAnsi="Times New Roman"/>
          <w:sz w:val="24"/>
          <w:szCs w:val="24"/>
        </w:rPr>
        <w:t>liabilities</w:t>
      </w:r>
      <w:r w:rsidR="00A353CE">
        <w:rPr>
          <w:rFonts w:ascii="Times New Roman" w:eastAsia="Times" w:hAnsi="Times New Roman"/>
          <w:sz w:val="24"/>
          <w:szCs w:val="24"/>
        </w:rPr>
        <w:t>.</w:t>
      </w:r>
    </w:p>
    <w:p w:rsidR="00CD3512" w:rsidRPr="00A353CE" w:rsidRDefault="00CD3512" w:rsidP="00A35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9F2CAF">
        <w:rPr>
          <w:rFonts w:ascii="Times New Roman" w:eastAsia="Times" w:hAnsi="Times New Roman"/>
          <w:i/>
          <w:sz w:val="24"/>
          <w:szCs w:val="24"/>
        </w:rPr>
        <w:t>Form ARF 720.3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9F2CAF">
        <w:rPr>
          <w:rFonts w:ascii="Times New Roman" w:eastAsia="Times" w:hAnsi="Times New Roman"/>
          <w:i/>
          <w:sz w:val="24"/>
          <w:szCs w:val="24"/>
        </w:rPr>
        <w:t xml:space="preserve">Intra-group </w:t>
      </w:r>
      <w:r w:rsidR="005D7DD1">
        <w:rPr>
          <w:rFonts w:ascii="Times New Roman" w:eastAsia="Times" w:hAnsi="Times New Roman"/>
          <w:i/>
          <w:sz w:val="24"/>
          <w:szCs w:val="24"/>
        </w:rPr>
        <w:t>Assets and Liabilities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A353CE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3" w:name="_Toc256519850"/>
    </w:p>
    <w:p w:rsidR="00CD3512" w:rsidRPr="00CD6287" w:rsidRDefault="00CD3512" w:rsidP="00A353CE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:rsidR="00CD3512" w:rsidRPr="00CD6287" w:rsidRDefault="00CD3512" w:rsidP="00A353CE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:rsidR="00CD3512" w:rsidRPr="00CD6287" w:rsidRDefault="00CD3512" w:rsidP="00A353CE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:rsidR="00CD3512" w:rsidRPr="008F4578" w:rsidRDefault="00CD3512" w:rsidP="00A353CE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ARF </w:t>
      </w:r>
      <w:r w:rsidR="009F2CAF">
        <w:rPr>
          <w:rFonts w:ascii="Times New Roman"/>
          <w:i/>
          <w:sz w:val="24"/>
        </w:rPr>
        <w:t>720.3</w:t>
      </w:r>
      <w:r>
        <w:rPr>
          <w:rFonts w:ascii="Times New Roman"/>
          <w:i/>
          <w:sz w:val="24"/>
        </w:rPr>
        <w:t xml:space="preserve"> </w:t>
      </w:r>
      <w:r w:rsidR="002840E9">
        <w:rPr>
          <w:rFonts w:ascii="Times New Roman"/>
          <w:i/>
          <w:sz w:val="24"/>
        </w:rPr>
        <w:t xml:space="preserve">ABS/RBA </w:t>
      </w:r>
      <w:r w:rsidR="009F2CAF">
        <w:rPr>
          <w:rFonts w:ascii="Times New Roman"/>
          <w:i/>
          <w:sz w:val="24"/>
        </w:rPr>
        <w:t xml:space="preserve">Intra-group </w:t>
      </w:r>
      <w:r w:rsidR="005D7DD1">
        <w:rPr>
          <w:rFonts w:ascii="Times New Roman"/>
          <w:i/>
          <w:sz w:val="24"/>
        </w:rPr>
        <w:t>Assets and Liabilities</w:t>
      </w:r>
      <w:r w:rsidR="00E52250"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 xml:space="preserve">(ARF </w:t>
      </w:r>
      <w:r w:rsidR="009F2CAF">
        <w:rPr>
          <w:rFonts w:ascii="Times New Roman"/>
          <w:sz w:val="24"/>
        </w:rPr>
        <w:t>720.3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>for various purposes, including the compilation of Australia’s National Accounts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016821">
        <w:rPr>
          <w:rFonts w:ascii="Times New Roman" w:eastAsia="Times New Roman" w:hAnsi="Times New Roman"/>
          <w:iCs/>
          <w:sz w:val="24"/>
          <w:szCs w:val="24"/>
        </w:rPr>
        <w:t xml:space="preserve"> This information may also be used by </w:t>
      </w:r>
      <w:r w:rsidR="00016821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 w:rsidR="00016821">
        <w:rPr>
          <w:rFonts w:ascii="Times New Roman" w:eastAsia="Times New Roman" w:hAnsi="Times New Roman"/>
          <w:iCs/>
          <w:sz w:val="24"/>
          <w:szCs w:val="24"/>
        </w:rPr>
        <w:t xml:space="preserve"> for prudential and publication purposes.</w:t>
      </w:r>
    </w:p>
    <w:p w:rsidR="00376262" w:rsidRPr="00376262" w:rsidRDefault="00376262" w:rsidP="00A353CE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5A433B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:rsidR="00CD3512" w:rsidRPr="00CD6287" w:rsidRDefault="00CD3512" w:rsidP="00A353CE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:rsidR="00834378" w:rsidRPr="003470CC" w:rsidRDefault="00CD3512" w:rsidP="003470CC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141F79">
        <w:rPr>
          <w:rFonts w:ascii="Times New Roman" w:eastAsia="Times New Roman" w:hAnsi="Times New Roman"/>
          <w:iCs/>
          <w:sz w:val="24"/>
          <w:szCs w:val="24"/>
        </w:rPr>
        <w:t>(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141F79">
        <w:rPr>
          <w:rFonts w:ascii="Times New Roman" w:eastAsia="Times New Roman" w:hAnsi="Times New Roman"/>
          <w:i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DE4F8B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DE4F8B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DE4F8B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141F79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141F79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016821">
        <w:rPr>
          <w:rFonts w:ascii="Times New Roman" w:eastAsia="Times New Roman" w:hAnsi="Times New Roman"/>
          <w:iCs/>
          <w:sz w:val="24"/>
          <w:szCs w:val="24"/>
        </w:rPr>
        <w:t xml:space="preserve">, where ‘total assets’ are measured by the value reported in item 13 (column 1) on </w:t>
      </w:r>
      <w:r w:rsidR="00016821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 ABS/RBA Statement of Financial Position (Standard) </w:t>
      </w:r>
      <w:r w:rsidR="00016821">
        <w:rPr>
          <w:rFonts w:ascii="Times New Roman" w:eastAsia="Times New Roman" w:hAnsi="Times New Roman"/>
          <w:iCs/>
          <w:sz w:val="24"/>
          <w:szCs w:val="24"/>
        </w:rPr>
        <w:t>(ARF 720.0A)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3"/>
        <w:gridCol w:w="2973"/>
      </w:tblGrid>
      <w:tr w:rsidR="00CD3512" w:rsidRPr="00D77B51" w:rsidTr="003A3EC5">
        <w:tc>
          <w:tcPr>
            <w:tcW w:w="3351" w:type="pct"/>
            <w:shd w:val="clear" w:color="auto" w:fill="BFBFBF"/>
          </w:tcPr>
          <w:p w:rsidR="00CD3512" w:rsidRPr="00D77B51" w:rsidRDefault="00CD3512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 w:rsidR="004F769D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649" w:type="pct"/>
            <w:shd w:val="clear" w:color="auto" w:fill="BFBFBF"/>
          </w:tcPr>
          <w:p w:rsidR="00CD3512" w:rsidRPr="00D77B51" w:rsidRDefault="00CD3512" w:rsidP="00F75CD3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C05981" w:rsidRDefault="00372F42" w:rsidP="00F75CD3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A</w:t>
            </w:r>
          </w:p>
        </w:tc>
        <w:tc>
          <w:tcPr>
            <w:tcW w:w="1649" w:type="pct"/>
            <w:shd w:val="clear" w:color="auto" w:fill="auto"/>
          </w:tcPr>
          <w:p w:rsidR="00CD3512" w:rsidRPr="00D77B51" w:rsidRDefault="00B547DB" w:rsidP="003A1CE6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C05981" w:rsidRDefault="00372F42" w:rsidP="00F75CD3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ADI Reporting Category B</w:t>
            </w:r>
          </w:p>
        </w:tc>
        <w:tc>
          <w:tcPr>
            <w:tcW w:w="1649" w:type="pct"/>
            <w:shd w:val="clear" w:color="auto" w:fill="auto"/>
          </w:tcPr>
          <w:p w:rsidR="00CD3512" w:rsidRPr="00D77B51" w:rsidRDefault="00B547DB" w:rsidP="002C159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D3512" w:rsidRPr="00D77B51" w:rsidTr="003A3EC5">
        <w:tc>
          <w:tcPr>
            <w:tcW w:w="3351" w:type="pct"/>
            <w:shd w:val="clear" w:color="auto" w:fill="auto"/>
          </w:tcPr>
          <w:p w:rsidR="00CD3512" w:rsidRPr="00F61496" w:rsidRDefault="00CD3512" w:rsidP="00F75CD3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61496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649" w:type="pct"/>
            <w:shd w:val="clear" w:color="auto" w:fill="auto"/>
          </w:tcPr>
          <w:p w:rsidR="00CD3512" w:rsidRDefault="00CD3512" w:rsidP="00F75CD3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r w:rsidR="00376262">
              <w:rPr>
                <w:rFonts w:ascii="Times New Roman" w:hAnsi="Times New Roman"/>
                <w:sz w:val="24"/>
                <w:szCs w:val="24"/>
              </w:rPr>
              <w:t xml:space="preserve"> if total assets ≥ $50</w:t>
            </w:r>
            <w:r w:rsidR="00717EA0">
              <w:rPr>
                <w:rFonts w:ascii="Times New Roman" w:hAnsi="Times New Roman"/>
                <w:sz w:val="24"/>
                <w:szCs w:val="24"/>
              </w:rPr>
              <w:t>0</w:t>
            </w:r>
            <w:r w:rsidR="003762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</w:tbl>
    <w:p w:rsidR="00376262" w:rsidRDefault="00376262" w:rsidP="007D58E2">
      <w:p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F437C1" w:rsidRDefault="00F437C1" w:rsidP="00F437C1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</w:t>
      </w:r>
      <w:r w:rsidR="000B5E7C">
        <w:rPr>
          <w:rFonts w:ascii="Times New Roman" w:eastAsia="Times New Roman" w:hAnsi="Times New Roman"/>
          <w:iCs/>
          <w:sz w:val="24"/>
          <w:szCs w:val="24"/>
        </w:rPr>
        <w:t xml:space="preserve">threshold, or 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higher threshold </w:t>
      </w:r>
      <w:r w:rsidR="000B5E7C">
        <w:rPr>
          <w:rFonts w:ascii="Times New Roman" w:eastAsia="Times New Roman" w:hAnsi="Times New Roman"/>
          <w:iCs/>
          <w:sz w:val="24"/>
          <w:szCs w:val="24"/>
        </w:rPr>
        <w:t xml:space="preserve">than that specified in paragraph 4 of this Reporting Standard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0B5E7C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B5E7C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</w:t>
      </w:r>
      <w:r w:rsidR="000B5E7C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:rsidR="00CD3512" w:rsidRDefault="00CD3512" w:rsidP="00CD3512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after</w:t>
      </w:r>
      <w:r w:rsidR="00757F5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814153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DB02E7">
        <w:rPr>
          <w:rFonts w:ascii="Times New Roman" w:eastAsia="Times New Roman" w:hAnsi="Times New Roman"/>
          <w:iCs/>
          <w:sz w:val="24"/>
          <w:szCs w:val="24"/>
        </w:rPr>
        <w:t>S</w:t>
      </w:r>
      <w:r w:rsidR="00814153">
        <w:rPr>
          <w:rFonts w:ascii="Times New Roman" w:eastAsia="Times New Roman" w:hAnsi="Times New Roman"/>
          <w:iCs/>
          <w:sz w:val="24"/>
          <w:szCs w:val="24"/>
        </w:rPr>
        <w:t>e</w:t>
      </w:r>
      <w:r w:rsidR="00DB02E7">
        <w:rPr>
          <w:rFonts w:ascii="Times New Roman" w:eastAsia="Times New Roman" w:hAnsi="Times New Roman"/>
          <w:iCs/>
          <w:sz w:val="24"/>
          <w:szCs w:val="24"/>
        </w:rPr>
        <w:t>ptember</w:t>
      </w:r>
      <w:r w:rsidR="00814153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="00141F79">
        <w:rPr>
          <w:rFonts w:ascii="Times New Roman" w:eastAsia="Times New Roman" w:hAnsi="Times New Roman"/>
          <w:iCs/>
          <w:sz w:val="24"/>
          <w:szCs w:val="24"/>
        </w:rPr>
        <w:t>.</w:t>
      </w:r>
      <w:r w:rsidR="00757F50">
        <w:rPr>
          <w:rFonts w:ascii="Times New Roman" w:eastAsia="Times New Roman" w:hAnsi="Times New Roman"/>
          <w:iCs/>
          <w:sz w:val="24"/>
          <w:szCs w:val="24"/>
        </w:rPr>
        <w:t xml:space="preserve">  </w:t>
      </w:r>
    </w:p>
    <w:p w:rsidR="00CD3512" w:rsidRPr="00A353CE" w:rsidRDefault="00CD3512" w:rsidP="00A353CE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353CE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:rsidR="00CD3512" w:rsidRDefault="00CD3512" w:rsidP="00CD3512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942963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</w:t>
      </w:r>
      <w:r w:rsidR="009F2CAF">
        <w:rPr>
          <w:rFonts w:ascii="Times New Roman" w:eastAsia="Times New Roman" w:hAnsi="Times New Roman"/>
          <w:iCs/>
          <w:sz w:val="24"/>
          <w:szCs w:val="24"/>
        </w:rPr>
        <w:t xml:space="preserve">nformation required by </w:t>
      </w:r>
      <w:r w:rsidR="00942963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B5E7C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F91928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F91928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450A8F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CD3512" w:rsidRPr="00CD6287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:rsidR="00376262" w:rsidRDefault="00791274" w:rsidP="00376262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376262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:rsidR="00CD3512" w:rsidRPr="00DC4E62" w:rsidRDefault="00CD3512" w:rsidP="00CD3512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791274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791274" w:rsidRPr="00CA26F5">
        <w:rPr>
          <w:b/>
          <w:i/>
          <w:iCs/>
          <w:sz w:val="20"/>
          <w:lang w:val="x-none"/>
        </w:rPr>
        <w:t>APRA</w:t>
      </w:r>
      <w:r w:rsidR="00791274" w:rsidRPr="00CA26F5">
        <w:rPr>
          <w:iCs/>
          <w:sz w:val="20"/>
          <w:lang w:val="x-none"/>
        </w:rPr>
        <w:t>.</w:t>
      </w:r>
    </w:p>
    <w:p w:rsidR="00CD3512" w:rsidRPr="00135A22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:rsidR="00376262" w:rsidRPr="00EF230F" w:rsidRDefault="00376262" w:rsidP="00376262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188416538"/>
      <w:bookmarkStart w:id="6" w:name="_Ref391456739"/>
      <w:bookmarkStart w:id="7" w:name="_Ref349587044"/>
      <w:bookmarkStart w:id="8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0B5E7C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5: </w:t>
      </w:r>
    </w:p>
    <w:p w:rsidR="00376262" w:rsidRPr="00EF230F" w:rsidRDefault="00376262" w:rsidP="00376262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in respect of each calendar month by a</w:t>
      </w:r>
      <w:r w:rsidR="0000299D">
        <w:rPr>
          <w:rFonts w:ascii="Times New Roman" w:eastAsia="Times New Roman" w:hAnsi="Times New Roman"/>
          <w:iCs/>
          <w:sz w:val="24"/>
          <w:szCs w:val="24"/>
        </w:rPr>
        <w:t xml:space="preserve">n </w:t>
      </w:r>
      <w:r w:rsidR="0000299D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; and </w:t>
      </w:r>
    </w:p>
    <w:p w:rsidR="00376262" w:rsidRPr="00737C5C" w:rsidRDefault="00376262" w:rsidP="00376262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in respect of each </w:t>
      </w:r>
      <w:r w:rsidR="00037668">
        <w:rPr>
          <w:rFonts w:ascii="Times New Roman" w:eastAsia="Times New Roman" w:hAnsi="Times New Roman"/>
          <w:iCs/>
          <w:sz w:val="24"/>
          <w:szCs w:val="24"/>
        </w:rPr>
        <w:t>quarter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ended </w:t>
      </w:r>
      <w:r w:rsidR="00DE4F8B">
        <w:rPr>
          <w:rFonts w:ascii="Times New Roman" w:eastAsia="Times New Roman" w:hAnsi="Times New Roman"/>
          <w:iCs/>
          <w:sz w:val="24"/>
          <w:szCs w:val="24"/>
        </w:rPr>
        <w:t>31 </w:t>
      </w:r>
      <w:r w:rsidR="00037668">
        <w:rPr>
          <w:rFonts w:ascii="Times New Roman" w:eastAsia="Times New Roman" w:hAnsi="Times New Roman"/>
          <w:iCs/>
          <w:sz w:val="24"/>
          <w:szCs w:val="24"/>
        </w:rPr>
        <w:t xml:space="preserve">March, </w:t>
      </w:r>
      <w:r w:rsidR="00DE4F8B">
        <w:rPr>
          <w:rFonts w:ascii="Times New Roman" w:eastAsia="Times New Roman" w:hAnsi="Times New Roman"/>
          <w:iCs/>
          <w:sz w:val="24"/>
          <w:szCs w:val="24"/>
        </w:rPr>
        <w:t>30 </w:t>
      </w:r>
      <w:r w:rsidR="00037668">
        <w:rPr>
          <w:rFonts w:ascii="Times New Roman" w:eastAsia="Times New Roman" w:hAnsi="Times New Roman"/>
          <w:iCs/>
          <w:sz w:val="24"/>
          <w:szCs w:val="24"/>
        </w:rPr>
        <w:t xml:space="preserve">June, </w:t>
      </w:r>
      <w:r w:rsidR="00DE4F8B">
        <w:rPr>
          <w:rFonts w:ascii="Times New Roman" w:eastAsia="Times New Roman" w:hAnsi="Times New Roman"/>
          <w:iCs/>
          <w:sz w:val="24"/>
          <w:szCs w:val="24"/>
        </w:rPr>
        <w:t>30 </w:t>
      </w:r>
      <w:r w:rsidR="00037668">
        <w:rPr>
          <w:rFonts w:ascii="Times New Roman" w:eastAsia="Times New Roman" w:hAnsi="Times New Roman"/>
          <w:iCs/>
          <w:sz w:val="24"/>
          <w:szCs w:val="24"/>
        </w:rPr>
        <w:t xml:space="preserve">September and </w:t>
      </w:r>
      <w:r w:rsidR="00DE4F8B">
        <w:rPr>
          <w:rFonts w:ascii="Times New Roman" w:eastAsia="Times New Roman" w:hAnsi="Times New Roman"/>
          <w:iCs/>
          <w:sz w:val="24"/>
          <w:szCs w:val="24"/>
        </w:rPr>
        <w:t>31 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December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037668" w:rsidRPr="008F4578" w:rsidRDefault="00CD3512" w:rsidP="00CD3512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</w:t>
      </w:r>
      <w:r w:rsidR="00037668">
        <w:rPr>
          <w:rFonts w:ascii="Times New Roman" w:eastAsia="Times New Roman" w:hAnsi="Times New Roman"/>
          <w:iCs/>
          <w:sz w:val="24"/>
          <w:szCs w:val="24"/>
        </w:rPr>
        <w:t>:</w:t>
      </w:r>
    </w:p>
    <w:p w:rsidR="00037668" w:rsidRPr="008F4578" w:rsidRDefault="00D64AE6" w:rsidP="008F4578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10 business</w:t>
      </w:r>
      <w:r w:rsidR="00CD3512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="00CD3512"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="00CD3512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037668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00299D">
        <w:rPr>
          <w:rFonts w:ascii="Times New Roman" w:eastAsia="Times New Roman" w:hAnsi="Times New Roman"/>
          <w:b/>
          <w:i/>
          <w:iCs/>
          <w:sz w:val="24"/>
          <w:szCs w:val="24"/>
        </w:rPr>
        <w:t>ADIs</w:t>
      </w:r>
      <w:r w:rsidR="00037668">
        <w:rPr>
          <w:rFonts w:ascii="Times New Roman" w:eastAsia="Times New Roman" w:hAnsi="Times New Roman"/>
          <w:iCs/>
          <w:sz w:val="24"/>
          <w:szCs w:val="24"/>
        </w:rPr>
        <w:t>; and</w:t>
      </w:r>
    </w:p>
    <w:p w:rsidR="00CD3512" w:rsidRPr="00D65D94" w:rsidRDefault="00037668" w:rsidP="008F4578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28 calendar days after the end of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reporting period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the information relates for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RFCs</w:t>
      </w:r>
      <w:r w:rsidR="00F91928">
        <w:rPr>
          <w:rFonts w:ascii="Times New Roman" w:eastAsia="Times New Roman" w:hAnsi="Times New Roman"/>
          <w:iCs/>
          <w:sz w:val="24"/>
          <w:szCs w:val="24"/>
        </w:rPr>
        <w:t>.</w:t>
      </w:r>
      <w:r w:rsidR="00CD3512" w:rsidRPr="00D65D94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1"/>
      </w:r>
      <w:bookmarkEnd w:id="5"/>
    </w:p>
    <w:p w:rsidR="00CD3512" w:rsidRPr="00135A22" w:rsidRDefault="00CD3512" w:rsidP="00CD3512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6"/>
    </w:p>
    <w:p w:rsidR="00CD3512" w:rsidRPr="00135A22" w:rsidRDefault="00CD3512" w:rsidP="00CD3512">
      <w:pPr>
        <w:numPr>
          <w:ilvl w:val="1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:rsidR="00CD3512" w:rsidRPr="00135A22" w:rsidRDefault="00CD3512" w:rsidP="00CD3512">
      <w:pPr>
        <w:numPr>
          <w:ilvl w:val="1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the </w:t>
      </w:r>
      <w:r w:rsidR="004F769D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4F769D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4F769D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</w:p>
    <w:p w:rsidR="00CD3512" w:rsidRPr="00757F50" w:rsidRDefault="00CD3512" w:rsidP="00CD3512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335A1A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335A1A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</w:t>
      </w:r>
      <w:r w:rsidRPr="00757F50">
        <w:rPr>
          <w:rFonts w:ascii="Times New Roman" w:eastAsia="Times New Roman" w:hAnsi="Times New Roman"/>
          <w:iCs/>
          <w:sz w:val="24"/>
          <w:szCs w:val="24"/>
          <w:lang w:val="x-none"/>
        </w:rPr>
        <w:t>extension.</w:t>
      </w:r>
    </w:p>
    <w:bookmarkEnd w:id="7"/>
    <w:bookmarkEnd w:id="8"/>
    <w:p w:rsidR="00CD3512" w:rsidRPr="00376262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757F50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:rsidR="00FB7ACC" w:rsidRPr="00552EBB" w:rsidRDefault="00FB7ACC" w:rsidP="00FB7AC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367A85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367A85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367A85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67A85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367A85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67A85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367A85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367A85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367A85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367A85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367A85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67A85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:rsidR="00FB7ACC" w:rsidRPr="00552EBB" w:rsidRDefault="00FB7ACC" w:rsidP="00FB7ACC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:rsidR="00CD3512" w:rsidRPr="00CD6287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57F50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:rsidR="00CD3512" w:rsidRPr="008817DC" w:rsidRDefault="00791274" w:rsidP="00CD3512">
      <w:pPr>
        <w:numPr>
          <w:ilvl w:val="0"/>
          <w:numId w:val="9"/>
        </w:numPr>
        <w:spacing w:before="240"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</w:t>
      </w:r>
      <w:r w:rsidR="009E7A45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it will be necessary for the officer </w:t>
      </w:r>
      <w:r w:rsidR="009E7A45">
        <w:rPr>
          <w:rFonts w:ascii="Times New Roman" w:eastAsia="Times New Roman" w:hAnsi="Times New Roman"/>
          <w:iCs/>
          <w:sz w:val="24"/>
          <w:szCs w:val="24"/>
        </w:rPr>
        <w:t xml:space="preserve">or agent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:rsidR="00CD3512" w:rsidRPr="00761D2C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:rsidR="00376262" w:rsidRPr="00A353CE" w:rsidRDefault="004A79E4" w:rsidP="00A353CE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Terms that are defined in </w:t>
      </w:r>
      <w:r w:rsidR="00376262" w:rsidRPr="00A353C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ARS 701.0 </w:t>
      </w:r>
      <w:r>
        <w:rPr>
          <w:rFonts w:ascii="Times New Roman" w:eastAsia="Times New Roman" w:hAnsi="Times New Roman"/>
          <w:iCs/>
          <w:sz w:val="24"/>
          <w:szCs w:val="24"/>
        </w:rPr>
        <w:t>appear in bold and italics in</w:t>
      </w:r>
      <w:r w:rsidR="00376262" w:rsidRPr="00A353C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this Reporting Standard.  </w:t>
      </w:r>
    </w:p>
    <w:p w:rsidR="00CD3512" w:rsidRPr="00A353CE" w:rsidRDefault="00CD3512" w:rsidP="001E05DE">
      <w:pPr>
        <w:keepNext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A353C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4A79E4">
        <w:rPr>
          <w:rFonts w:ascii="Times New Roman" w:eastAsia="Times New Roman" w:hAnsi="Times New Roman"/>
          <w:iCs/>
          <w:sz w:val="24"/>
          <w:szCs w:val="24"/>
        </w:rPr>
        <w:t>R</w:t>
      </w:r>
      <w:r w:rsidRPr="00A353C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4A79E4">
        <w:rPr>
          <w:rFonts w:ascii="Times New Roman" w:eastAsia="Times New Roman" w:hAnsi="Times New Roman"/>
          <w:iCs/>
          <w:sz w:val="24"/>
          <w:szCs w:val="24"/>
        </w:rPr>
        <w:t>S</w:t>
      </w:r>
      <w:r w:rsidRPr="00A353C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:rsidR="00CD3512" w:rsidRPr="008F4578" w:rsidRDefault="00CD3512" w:rsidP="00CD3512">
      <w:pPr>
        <w:pStyle w:val="Default"/>
        <w:ind w:left="560"/>
      </w:pPr>
      <w:r w:rsidRPr="008F4578">
        <w:rPr>
          <w:b/>
          <w:bCs/>
          <w:i/>
          <w:iCs/>
        </w:rPr>
        <w:t xml:space="preserve">due date </w:t>
      </w:r>
      <w:r w:rsidRPr="008F4578">
        <w:t xml:space="preserve">means the last day of the </w:t>
      </w:r>
      <w:r w:rsidR="00D64AE6">
        <w:t>10 business days</w:t>
      </w:r>
      <w:r w:rsidR="003E4DCF">
        <w:t xml:space="preserve"> or 28</w:t>
      </w:r>
      <w:r w:rsidRPr="008F4578">
        <w:t xml:space="preserve"> calendar days provided for in paragraph </w:t>
      </w:r>
      <w:r w:rsidR="00376262" w:rsidRPr="008F4578">
        <w:t xml:space="preserve">10 </w:t>
      </w:r>
      <w:r w:rsidRPr="008F4578">
        <w:t xml:space="preserve">or, if applicable, </w:t>
      </w:r>
      <w:r w:rsidR="004A79E4">
        <w:t xml:space="preserve">the date on a notice of extension given under </w:t>
      </w:r>
      <w:r w:rsidRPr="008F4578">
        <w:t xml:space="preserve">paragraph </w:t>
      </w:r>
      <w:r w:rsidR="00376262" w:rsidRPr="008F4578">
        <w:t>12</w:t>
      </w:r>
      <w:r w:rsidRPr="008F4578">
        <w:t>.</w:t>
      </w:r>
    </w:p>
    <w:p w:rsidR="00CD3512" w:rsidRDefault="00CD3512" w:rsidP="00CD3512">
      <w:pPr>
        <w:spacing w:before="240"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8F4578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8F4578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</w:t>
      </w:r>
      <w:r w:rsidR="00E46FF7" w:rsidRPr="008F4578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 a quarter </w:t>
      </w:r>
      <w:r w:rsidR="00E46FF7" w:rsidRPr="00E46FF7">
        <w:rPr>
          <w:rFonts w:ascii="Times New Roman" w:eastAsia="Times New Roman" w:hAnsi="Times New Roman"/>
          <w:iCs/>
          <w:sz w:val="24"/>
          <w:szCs w:val="24"/>
        </w:rPr>
        <w:t xml:space="preserve">ended </w:t>
      </w:r>
      <w:r w:rsidR="00E46FF7" w:rsidRPr="00AD0CF1">
        <w:rPr>
          <w:rFonts w:ascii="Times New Roman" w:eastAsia="Times New Roman" w:hAnsi="Times New Roman"/>
          <w:iCs/>
          <w:sz w:val="24"/>
          <w:szCs w:val="24"/>
        </w:rPr>
        <w:t>31 March, 30 June, 30</w:t>
      </w:r>
      <w:r w:rsidR="00314C56">
        <w:rPr>
          <w:rFonts w:ascii="Times New Roman" w:eastAsia="Times New Roman" w:hAnsi="Times New Roman"/>
          <w:iCs/>
          <w:sz w:val="24"/>
          <w:szCs w:val="24"/>
        </w:rPr>
        <w:t> </w:t>
      </w:r>
      <w:r w:rsidR="00E46FF7" w:rsidRPr="00AD0CF1">
        <w:rPr>
          <w:rFonts w:ascii="Times New Roman" w:eastAsia="Times New Roman" w:hAnsi="Times New Roman"/>
          <w:iCs/>
          <w:sz w:val="24"/>
          <w:szCs w:val="24"/>
        </w:rPr>
        <w:t xml:space="preserve">September </w:t>
      </w:r>
      <w:r w:rsidR="00C02713">
        <w:rPr>
          <w:rFonts w:ascii="Times New Roman" w:eastAsia="Times New Roman" w:hAnsi="Times New Roman"/>
          <w:iCs/>
          <w:sz w:val="24"/>
          <w:szCs w:val="24"/>
        </w:rPr>
        <w:t>or</w:t>
      </w:r>
      <w:r w:rsidR="00E46FF7" w:rsidRPr="00AD0C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46FF7" w:rsidRPr="00C02713">
        <w:rPr>
          <w:rFonts w:ascii="Times New Roman" w:eastAsia="Times New Roman" w:hAnsi="Times New Roman"/>
          <w:iCs/>
          <w:sz w:val="24"/>
          <w:szCs w:val="24"/>
        </w:rPr>
        <w:t xml:space="preserve">31 December </w:t>
      </w:r>
      <w:r w:rsidRPr="000D035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as provided for in paragraph </w:t>
      </w:r>
      <w:r w:rsidR="00376262" w:rsidRPr="000D035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9 </w:t>
      </w:r>
      <w:r w:rsidR="001410F9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4A79E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the date on a notice given under </w:t>
      </w:r>
      <w:r w:rsidR="001410F9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paragraph </w:t>
      </w:r>
      <w:r w:rsidR="00376262" w:rsidRPr="000D035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11</w:t>
      </w:r>
      <w:r w:rsidRPr="000D035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:rsidR="00376262" w:rsidRPr="00A75F0C" w:rsidRDefault="00E95651" w:rsidP="008E6DD0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0"/>
          <w:szCs w:val="20"/>
        </w:rPr>
      </w:pPr>
      <w:r w:rsidRPr="00A75F0C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:rsidR="00AF103C" w:rsidRPr="00AB4984" w:rsidRDefault="00AF103C" w:rsidP="000952DD">
      <w:pPr>
        <w:jc w:val="center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AF103C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608" w:type="dxa"/>
        <w:tblInd w:w="108" w:type="dxa"/>
        <w:tblLook w:val="0400" w:firstRow="0" w:lastRow="0" w:firstColumn="0" w:lastColumn="0" w:noHBand="0" w:noVBand="1"/>
      </w:tblPr>
      <w:tblGrid>
        <w:gridCol w:w="13608"/>
      </w:tblGrid>
      <w:tr w:rsidR="000278EC" w:rsidRPr="000612C5" w:rsidTr="00536C05">
        <w:trPr>
          <w:trHeight w:val="300"/>
        </w:trPr>
        <w:tc>
          <w:tcPr>
            <w:tcW w:w="13608" w:type="dxa"/>
            <w:shd w:val="clear" w:color="auto" w:fill="auto"/>
            <w:noWrap/>
            <w:vAlign w:val="bottom"/>
            <w:hideMark/>
          </w:tcPr>
          <w:bookmarkEnd w:id="1"/>
          <w:p w:rsidR="000278EC" w:rsidRPr="00194E34" w:rsidRDefault="000278EC" w:rsidP="00536C05">
            <w:pPr>
              <w:pStyle w:val="D2Aform"/>
              <w:jc w:val="center"/>
              <w:rPr>
                <w:b/>
                <w:sz w:val="32"/>
                <w:szCs w:val="32"/>
              </w:rPr>
            </w:pPr>
            <w:r w:rsidRPr="00194E34">
              <w:rPr>
                <w:b/>
                <w:sz w:val="32"/>
                <w:szCs w:val="32"/>
              </w:rPr>
              <w:t>ARF_720_3: ABS/RBA Intra-group Assets and Liabilities</w:t>
            </w:r>
          </w:p>
        </w:tc>
      </w:tr>
    </w:tbl>
    <w:p w:rsidR="000278EC" w:rsidRPr="000612C5" w:rsidRDefault="000278EC" w:rsidP="000278EC">
      <w:pPr>
        <w:pStyle w:val="D2Aform"/>
      </w:pPr>
    </w:p>
    <w:tbl>
      <w:tblPr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4"/>
        <w:gridCol w:w="6804"/>
      </w:tblGrid>
      <w:tr w:rsidR="000278EC" w:rsidRPr="000612C5" w:rsidTr="00536C05">
        <w:trPr>
          <w:trHeight w:val="317"/>
        </w:trPr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278EC" w:rsidRPr="00A7618C" w:rsidRDefault="000278EC" w:rsidP="00536C05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Australian Business Number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278EC" w:rsidRPr="00A7618C" w:rsidRDefault="000278EC" w:rsidP="00536C05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Institution Name</w:t>
            </w:r>
          </w:p>
        </w:tc>
      </w:tr>
      <w:tr w:rsidR="000278EC" w:rsidRPr="000612C5" w:rsidTr="00536C05">
        <w:trPr>
          <w:trHeight w:val="31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278EC" w:rsidRPr="000612C5" w:rsidRDefault="000278EC" w:rsidP="00536C05">
            <w:pPr>
              <w:pStyle w:val="D2Aform"/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278EC" w:rsidRPr="000612C5" w:rsidRDefault="000278EC" w:rsidP="00536C05">
            <w:pPr>
              <w:pStyle w:val="D2Aform"/>
            </w:pPr>
          </w:p>
        </w:tc>
      </w:tr>
      <w:tr w:rsidR="000278EC" w:rsidRPr="000612C5" w:rsidTr="00536C05">
        <w:trPr>
          <w:trHeight w:val="317"/>
        </w:trPr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0278EC" w:rsidRPr="00A7618C" w:rsidRDefault="000278EC" w:rsidP="00536C05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Reporting Period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0278EC" w:rsidRPr="00A7618C" w:rsidRDefault="000278EC" w:rsidP="00536C05">
            <w:pPr>
              <w:pStyle w:val="D2Aform"/>
              <w:rPr>
                <w:b/>
              </w:rPr>
            </w:pPr>
            <w:r w:rsidRPr="00A7618C">
              <w:rPr>
                <w:b/>
              </w:rPr>
              <w:t xml:space="preserve">Scale Factor </w:t>
            </w:r>
          </w:p>
        </w:tc>
      </w:tr>
      <w:tr w:rsidR="000278EC" w:rsidRPr="000612C5" w:rsidTr="00536C05">
        <w:trPr>
          <w:trHeight w:val="31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278EC" w:rsidRPr="000612C5" w:rsidRDefault="00344E58" w:rsidP="00536C05">
            <w:pPr>
              <w:pStyle w:val="D2Aform"/>
            </w:pPr>
            <w:r>
              <w:t>M</w:t>
            </w:r>
            <w:r w:rsidR="000278EC">
              <w:t>onthly</w:t>
            </w:r>
            <w:r>
              <w:t>/</w:t>
            </w:r>
            <w:r w:rsidR="000278EC">
              <w:t>quarterly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278EC" w:rsidRPr="000612C5" w:rsidRDefault="000278EC" w:rsidP="00536C05">
            <w:pPr>
              <w:pStyle w:val="D2Aform"/>
            </w:pPr>
          </w:p>
        </w:tc>
      </w:tr>
      <w:tr w:rsidR="000278EC" w:rsidRPr="000612C5" w:rsidTr="00536C05">
        <w:trPr>
          <w:trHeight w:val="317"/>
        </w:trPr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0278EC" w:rsidRPr="00A7618C" w:rsidRDefault="000278EC" w:rsidP="00536C05">
            <w:pPr>
              <w:pStyle w:val="D2Aform"/>
              <w:rPr>
                <w:b/>
              </w:rPr>
            </w:pPr>
            <w:r w:rsidRPr="00A7618C">
              <w:rPr>
                <w:b/>
              </w:rPr>
              <w:t>Reporting Consolidation</w:t>
            </w:r>
          </w:p>
        </w:tc>
        <w:tc>
          <w:tcPr>
            <w:tcW w:w="6804" w:type="dxa"/>
            <w:tcBorders>
              <w:top w:val="single" w:sz="4" w:space="0" w:color="auto"/>
            </w:tcBorders>
            <w:noWrap/>
            <w:vAlign w:val="bottom"/>
          </w:tcPr>
          <w:p w:rsidR="000278EC" w:rsidRPr="000612C5" w:rsidRDefault="000278EC" w:rsidP="00536C05">
            <w:pPr>
              <w:pStyle w:val="D2Aform"/>
            </w:pPr>
          </w:p>
        </w:tc>
      </w:tr>
      <w:tr w:rsidR="000278EC" w:rsidRPr="000612C5" w:rsidTr="00536C05">
        <w:trPr>
          <w:trHeight w:val="31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278EC" w:rsidRPr="000612C5" w:rsidRDefault="000278EC" w:rsidP="009E7A45">
            <w:pPr>
              <w:pStyle w:val="D2Aform"/>
            </w:pPr>
            <w:r>
              <w:t xml:space="preserve">Domestic </w:t>
            </w:r>
          </w:p>
        </w:tc>
        <w:tc>
          <w:tcPr>
            <w:tcW w:w="6804" w:type="dxa"/>
            <w:tcBorders>
              <w:left w:val="single" w:sz="4" w:space="0" w:color="auto"/>
            </w:tcBorders>
            <w:noWrap/>
            <w:vAlign w:val="bottom"/>
          </w:tcPr>
          <w:p w:rsidR="000278EC" w:rsidRPr="000612C5" w:rsidRDefault="000278EC" w:rsidP="00536C05">
            <w:pPr>
              <w:pStyle w:val="D2Aform"/>
            </w:pPr>
          </w:p>
        </w:tc>
      </w:tr>
    </w:tbl>
    <w:p w:rsidR="000278EC" w:rsidRPr="000612C5" w:rsidRDefault="000278EC" w:rsidP="000278EC">
      <w:pPr>
        <w:pStyle w:val="D2Aform"/>
      </w:pPr>
    </w:p>
    <w:tbl>
      <w:tblPr>
        <w:tblW w:w="13608" w:type="dxa"/>
        <w:tblInd w:w="108" w:type="dxa"/>
        <w:tblLook w:val="04A0" w:firstRow="1" w:lastRow="0" w:firstColumn="1" w:lastColumn="0" w:noHBand="0" w:noVBand="1"/>
      </w:tblPr>
      <w:tblGrid>
        <w:gridCol w:w="13608"/>
      </w:tblGrid>
      <w:tr w:rsidR="000278EC" w:rsidRPr="000612C5" w:rsidTr="00536C05">
        <w:tc>
          <w:tcPr>
            <w:tcW w:w="13608" w:type="dxa"/>
          </w:tcPr>
          <w:p w:rsidR="000278EC" w:rsidRPr="00A7618C" w:rsidRDefault="000278EC" w:rsidP="000278EC">
            <w:pPr>
              <w:pStyle w:val="D2Aform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61670A">
              <w:rPr>
                <w:b/>
                <w:sz w:val="24"/>
                <w:szCs w:val="24"/>
              </w:rPr>
              <w:t>Intra-group assets</w:t>
            </w:r>
            <w:r>
              <w:rPr>
                <w:b/>
                <w:sz w:val="24"/>
                <w:szCs w:val="24"/>
              </w:rPr>
              <w:t xml:space="preserve"> - by asset type</w:t>
            </w:r>
          </w:p>
        </w:tc>
      </w:tr>
    </w:tbl>
    <w:p w:rsidR="000278EC" w:rsidRDefault="000278EC" w:rsidP="000278EC">
      <w:pPr>
        <w:pStyle w:val="D2Aform"/>
      </w:pPr>
    </w:p>
    <w:tbl>
      <w:tblPr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81"/>
        <w:gridCol w:w="1913"/>
        <w:gridCol w:w="1914"/>
      </w:tblGrid>
      <w:tr w:rsidR="001410F9" w:rsidRPr="00553F80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553F80" w:rsidRDefault="001410F9" w:rsidP="00536C05">
            <w:pPr>
              <w:pStyle w:val="D2Aform"/>
              <w:rPr>
                <w:b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514D78" w:rsidRDefault="001410F9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514D7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10F9" w:rsidRPr="007115AF" w:rsidRDefault="001410F9" w:rsidP="00E95507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i/>
                <w:sz w:val="20"/>
                <w:szCs w:val="20"/>
              </w:rPr>
              <w:t>of which:</w:t>
            </w:r>
            <w:r w:rsidRPr="007115AF">
              <w:rPr>
                <w:b/>
                <w:sz w:val="20"/>
                <w:szCs w:val="20"/>
              </w:rPr>
              <w:t xml:space="preserve"> Denominated in </w:t>
            </w:r>
            <w:r w:rsidR="00E95507">
              <w:rPr>
                <w:b/>
                <w:sz w:val="20"/>
                <w:szCs w:val="20"/>
              </w:rPr>
              <w:t>FX</w:t>
            </w:r>
            <w:r w:rsidRPr="007115AF">
              <w:rPr>
                <w:b/>
                <w:sz w:val="20"/>
                <w:szCs w:val="20"/>
              </w:rPr>
              <w:t xml:space="preserve"> (AUD equivalent)</w:t>
            </w:r>
          </w:p>
        </w:tc>
      </w:tr>
      <w:tr w:rsidR="001410F9" w:rsidRPr="00553F80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553F80" w:rsidRDefault="001410F9" w:rsidP="00536C05">
            <w:pPr>
              <w:pStyle w:val="D2Aform"/>
              <w:jc w:val="center"/>
              <w:rPr>
                <w:b/>
              </w:rPr>
            </w:pP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7115AF" w:rsidRDefault="001410F9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514D78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10F9" w:rsidRPr="007115AF" w:rsidRDefault="001410F9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sz w:val="20"/>
                <w:szCs w:val="20"/>
              </w:rPr>
              <w:t>(2)</w:t>
            </w:r>
          </w:p>
        </w:tc>
      </w:tr>
      <w:tr w:rsidR="001410F9" w:rsidRPr="00B45F26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0F9" w:rsidRPr="00D17C83" w:rsidRDefault="001410F9" w:rsidP="000278EC">
            <w:pPr>
              <w:pStyle w:val="D2Aform"/>
              <w:numPr>
                <w:ilvl w:val="1"/>
                <w:numId w:val="35"/>
              </w:numPr>
            </w:pPr>
            <w:r w:rsidRPr="00D17C83">
              <w:t>Total intra-group assets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0F9" w:rsidRPr="00B45F26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0F9" w:rsidRPr="00B45F26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2"/>
                <w:numId w:val="35"/>
              </w:numPr>
            </w:pPr>
            <w:r>
              <w:t>Funds on deposit at other financial institutions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646F7D">
            <w:pPr>
              <w:pStyle w:val="D2Aform"/>
              <w:numPr>
                <w:ilvl w:val="3"/>
                <w:numId w:val="35"/>
              </w:numPr>
            </w:pPr>
            <w:r>
              <w:t>At call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646F7D">
            <w:pPr>
              <w:pStyle w:val="D2Aform"/>
              <w:numPr>
                <w:ilvl w:val="3"/>
                <w:numId w:val="35"/>
              </w:numPr>
            </w:pPr>
            <w:r>
              <w:t>Not at call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9E7A45" w:rsidP="009E7A45">
            <w:pPr>
              <w:pStyle w:val="D2Aform"/>
              <w:numPr>
                <w:ilvl w:val="2"/>
                <w:numId w:val="35"/>
              </w:numPr>
            </w:pPr>
            <w:r>
              <w:t>S</w:t>
            </w:r>
            <w:r w:rsidR="001410F9">
              <w:t>ecurities</w:t>
            </w:r>
            <w:r>
              <w:t xml:space="preserve"> held for trading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3"/>
                <w:numId w:val="35"/>
              </w:numPr>
            </w:pPr>
            <w:r w:rsidRPr="00F24BFD">
              <w:rPr>
                <w:i/>
              </w:rPr>
              <w:t>of which:</w:t>
            </w:r>
            <w:r>
              <w:t xml:space="preserve"> Asset</w:t>
            </w:r>
            <w:r w:rsidR="00E95507">
              <w:t>-</w:t>
            </w:r>
            <w:r>
              <w:t>backed securities issued by SPVs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Debt securities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Equity securities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9E7A45" w:rsidP="009E7A45">
            <w:pPr>
              <w:pStyle w:val="D2Aform"/>
              <w:numPr>
                <w:ilvl w:val="2"/>
                <w:numId w:val="35"/>
              </w:numPr>
            </w:pPr>
            <w:r>
              <w:t>S</w:t>
            </w:r>
            <w:r w:rsidR="001410F9">
              <w:t>ecurities</w:t>
            </w:r>
            <w:r>
              <w:t xml:space="preserve"> not held for trading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rPr>
                <w:i/>
              </w:rPr>
              <w:t>o</w:t>
            </w:r>
            <w:r w:rsidRPr="007119A4">
              <w:rPr>
                <w:i/>
              </w:rPr>
              <w:t>f which:</w:t>
            </w:r>
            <w:r>
              <w:t xml:space="preserve"> Asset</w:t>
            </w:r>
            <w:r w:rsidR="00E95507">
              <w:t>-</w:t>
            </w:r>
            <w:r>
              <w:t>backed securities issued by SPVs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E95507">
            <w:pPr>
              <w:pStyle w:val="D2Aform"/>
              <w:numPr>
                <w:ilvl w:val="4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</w:t>
            </w:r>
            <w:r w:rsidR="00E95507">
              <w:t>S</w:t>
            </w:r>
            <w:r>
              <w:t>elf-securitised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Debt securities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Equity securities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2"/>
                <w:numId w:val="35"/>
              </w:numPr>
            </w:pPr>
            <w:r>
              <w:t>Net acceptances of customers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2"/>
                <w:numId w:val="35"/>
              </w:numPr>
            </w:pPr>
            <w:r>
              <w:t>Loans and finance leases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Residents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E95507" w:rsidP="00E95507">
            <w:pPr>
              <w:pStyle w:val="D2Aform"/>
              <w:numPr>
                <w:ilvl w:val="4"/>
                <w:numId w:val="35"/>
              </w:numPr>
            </w:pPr>
            <w:r>
              <w:t>Community service organisations</w:t>
            </w:r>
            <w:r w:rsidRPr="0061670A">
              <w:t xml:space="preserve"> 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E95507" w:rsidP="000278EC">
            <w:pPr>
              <w:pStyle w:val="D2Aform"/>
              <w:numPr>
                <w:ilvl w:val="4"/>
                <w:numId w:val="35"/>
              </w:numPr>
            </w:pPr>
            <w:r w:rsidRPr="0061670A">
              <w:t>Non-financial businesses</w:t>
            </w:r>
            <w:r w:rsidDel="00E95507">
              <w:t xml:space="preserve"> 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214AEE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0F9" w:rsidRPr="000612C5" w:rsidRDefault="001410F9" w:rsidP="000278EC">
            <w:pPr>
              <w:pStyle w:val="D2Aform"/>
              <w:numPr>
                <w:ilvl w:val="4"/>
                <w:numId w:val="35"/>
              </w:numPr>
            </w:pPr>
            <w:r w:rsidRPr="0061670A">
              <w:t>Financial institutions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344E58" w:rsidP="000278EC">
            <w:pPr>
              <w:pStyle w:val="D2Aform"/>
              <w:numPr>
                <w:ilvl w:val="5"/>
                <w:numId w:val="35"/>
              </w:numPr>
            </w:pPr>
            <w:r>
              <w:t>ADIs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Registered financial corporations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Life insurance corporations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Other insurance corporations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Superannuation funds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E95507" w:rsidRPr="000612C5" w:rsidTr="00380DCF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5507" w:rsidRPr="000612C5" w:rsidRDefault="00E95507" w:rsidP="00380DCF">
            <w:pPr>
              <w:pStyle w:val="D2Aform"/>
              <w:numPr>
                <w:ilvl w:val="5"/>
                <w:numId w:val="35"/>
              </w:numPr>
            </w:pPr>
            <w:r w:rsidRPr="0061670A">
              <w:t>Financial auxiliaries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95507" w:rsidRPr="00DA7BEA" w:rsidRDefault="00E95507" w:rsidP="00380DCF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507" w:rsidRPr="00DA7BEA" w:rsidRDefault="00E95507" w:rsidP="00380DCF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Securitisers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410F9" w:rsidRDefault="001410F9" w:rsidP="000278EC">
            <w:pPr>
              <w:pStyle w:val="D2Aform"/>
              <w:numPr>
                <w:ilvl w:val="5"/>
                <w:numId w:val="35"/>
              </w:numPr>
            </w:pPr>
            <w:r>
              <w:t>Money-market investment funds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410F9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Default="001410F9" w:rsidP="00536C05">
            <w:pPr>
              <w:pStyle w:val="D2Aform"/>
              <w:jc w:val="center"/>
            </w:pPr>
          </w:p>
        </w:tc>
      </w:tr>
      <w:tr w:rsidR="001410F9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410F9" w:rsidRDefault="001410F9" w:rsidP="000278EC">
            <w:pPr>
              <w:pStyle w:val="D2Aform"/>
              <w:numPr>
                <w:ilvl w:val="5"/>
                <w:numId w:val="35"/>
              </w:numPr>
            </w:pPr>
            <w:r>
              <w:t>Non-money-market financial investment funds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410F9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Default="001410F9" w:rsidP="00536C05">
            <w:pPr>
              <w:pStyle w:val="D2Aform"/>
              <w:jc w:val="center"/>
            </w:pPr>
          </w:p>
        </w:tc>
      </w:tr>
      <w:tr w:rsidR="001410F9" w:rsidRPr="000612C5" w:rsidTr="00214AEE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0612C5" w:rsidRDefault="001410F9" w:rsidP="000278EC">
            <w:pPr>
              <w:pStyle w:val="D2Aform"/>
              <w:numPr>
                <w:ilvl w:val="5"/>
                <w:numId w:val="35"/>
              </w:numPr>
            </w:pPr>
            <w:r>
              <w:t>F</w:t>
            </w:r>
            <w:r w:rsidRPr="0061670A">
              <w:t>inancial institutions</w:t>
            </w:r>
            <w:r>
              <w:t xml:space="preserve"> n.e.c.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Pr="0061670A" w:rsidRDefault="001410F9" w:rsidP="000278EC">
            <w:pPr>
              <w:pStyle w:val="D2Aform"/>
              <w:numPr>
                <w:ilvl w:val="3"/>
                <w:numId w:val="35"/>
              </w:numPr>
            </w:pPr>
            <w:r>
              <w:t>Non-residents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2"/>
                <w:numId w:val="35"/>
              </w:numPr>
            </w:pPr>
            <w:r>
              <w:t>Other assets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3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Derivative financial instruments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4"/>
                <w:numId w:val="35"/>
              </w:numPr>
            </w:pPr>
            <w:r>
              <w:t>Trading book derivatives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1410F9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0F9" w:rsidRDefault="001410F9" w:rsidP="000278EC">
            <w:pPr>
              <w:pStyle w:val="D2Aform"/>
              <w:numPr>
                <w:ilvl w:val="4"/>
                <w:numId w:val="35"/>
              </w:numPr>
            </w:pPr>
            <w:r>
              <w:t>Banking book derivatives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1410F9" w:rsidRPr="00DA7BEA" w:rsidRDefault="001410F9" w:rsidP="00536C05">
            <w:pPr>
              <w:pStyle w:val="D2Aform"/>
              <w:jc w:val="center"/>
            </w:pPr>
          </w:p>
        </w:tc>
      </w:tr>
      <w:tr w:rsidR="003A651F" w:rsidRPr="000612C5" w:rsidTr="001410F9">
        <w:trPr>
          <w:trHeight w:val="315"/>
        </w:trPr>
        <w:tc>
          <w:tcPr>
            <w:tcW w:w="9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651F" w:rsidRDefault="003A651F" w:rsidP="00EA3689">
            <w:pPr>
              <w:pStyle w:val="D2Aform"/>
              <w:numPr>
                <w:ilvl w:val="3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</w:t>
            </w:r>
            <w:r w:rsidRPr="003A651F">
              <w:t>right-of-us</w:t>
            </w:r>
            <w:r>
              <w:t xml:space="preserve">e assets arising </w:t>
            </w:r>
            <w:r w:rsidR="00EA3689">
              <w:t xml:space="preserve">from </w:t>
            </w:r>
            <w:r>
              <w:t>operating leases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3A651F" w:rsidRPr="00DA7BEA" w:rsidRDefault="003A651F" w:rsidP="00536C05">
            <w:pPr>
              <w:pStyle w:val="D2Aform"/>
              <w:jc w:val="center"/>
            </w:pP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FFFFFF"/>
          </w:tcPr>
          <w:p w:rsidR="003A651F" w:rsidRPr="00DA7BEA" w:rsidRDefault="003A651F" w:rsidP="00536C05">
            <w:pPr>
              <w:pStyle w:val="D2Aform"/>
              <w:jc w:val="center"/>
            </w:pPr>
          </w:p>
        </w:tc>
      </w:tr>
    </w:tbl>
    <w:p w:rsidR="000278EC" w:rsidRDefault="000278EC" w:rsidP="000278EC">
      <w:pPr>
        <w:pStyle w:val="D2Aform"/>
      </w:pPr>
    </w:p>
    <w:p w:rsidR="000278EC" w:rsidRDefault="000278EC" w:rsidP="000278EC">
      <w:pPr>
        <w:pStyle w:val="D2Aform"/>
      </w:pPr>
    </w:p>
    <w:p w:rsidR="000278EC" w:rsidRPr="000612C5" w:rsidRDefault="000278EC" w:rsidP="000278EC">
      <w:pPr>
        <w:pStyle w:val="D2Aform"/>
      </w:pPr>
    </w:p>
    <w:tbl>
      <w:tblPr>
        <w:tblW w:w="13608" w:type="dxa"/>
        <w:tblInd w:w="108" w:type="dxa"/>
        <w:tblLook w:val="04A0" w:firstRow="1" w:lastRow="0" w:firstColumn="1" w:lastColumn="0" w:noHBand="0" w:noVBand="1"/>
      </w:tblPr>
      <w:tblGrid>
        <w:gridCol w:w="13608"/>
      </w:tblGrid>
      <w:tr w:rsidR="000278EC" w:rsidRPr="000612C5" w:rsidTr="00536C05">
        <w:tc>
          <w:tcPr>
            <w:tcW w:w="13608" w:type="dxa"/>
          </w:tcPr>
          <w:p w:rsidR="000278EC" w:rsidRPr="00A7618C" w:rsidRDefault="000278EC" w:rsidP="000278EC">
            <w:pPr>
              <w:pStyle w:val="D2Aform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61670A">
              <w:rPr>
                <w:b/>
                <w:sz w:val="24"/>
                <w:szCs w:val="24"/>
              </w:rPr>
              <w:t>Intra-group assets</w:t>
            </w:r>
            <w:r>
              <w:rPr>
                <w:b/>
                <w:sz w:val="24"/>
                <w:szCs w:val="24"/>
              </w:rPr>
              <w:t xml:space="preserve"> - by related party type</w:t>
            </w:r>
          </w:p>
        </w:tc>
      </w:tr>
    </w:tbl>
    <w:p w:rsidR="000278EC" w:rsidRDefault="000278EC" w:rsidP="000278EC">
      <w:pPr>
        <w:pStyle w:val="D2Aform"/>
      </w:pPr>
    </w:p>
    <w:tbl>
      <w:tblPr>
        <w:tblW w:w="136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513"/>
        <w:gridCol w:w="1985"/>
        <w:gridCol w:w="2126"/>
        <w:gridCol w:w="1984"/>
      </w:tblGrid>
      <w:tr w:rsidR="000278EC" w:rsidRPr="00553F80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553F80" w:rsidRDefault="000278EC" w:rsidP="00536C05">
            <w:pPr>
              <w:pStyle w:val="D2Aform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i/>
                <w:sz w:val="20"/>
                <w:szCs w:val="20"/>
              </w:rPr>
              <w:t>of which:</w:t>
            </w:r>
            <w:r w:rsidRPr="007115AF">
              <w:rPr>
                <w:b/>
                <w:sz w:val="20"/>
                <w:szCs w:val="20"/>
              </w:rPr>
              <w:t xml:space="preserve"> Subordinated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10F9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i/>
                <w:sz w:val="20"/>
                <w:szCs w:val="20"/>
              </w:rPr>
              <w:t>of which:</w:t>
            </w:r>
            <w:r w:rsidRPr="007115AF">
              <w:rPr>
                <w:b/>
                <w:sz w:val="20"/>
                <w:szCs w:val="20"/>
              </w:rPr>
              <w:t xml:space="preserve"> </w:t>
            </w:r>
          </w:p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Pr="007115AF">
              <w:rPr>
                <w:b/>
                <w:sz w:val="20"/>
                <w:szCs w:val="20"/>
              </w:rPr>
              <w:t>ecured</w:t>
            </w:r>
          </w:p>
        </w:tc>
      </w:tr>
      <w:tr w:rsidR="000278EC" w:rsidRPr="00553F80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553F80" w:rsidRDefault="000278EC" w:rsidP="00536C05">
            <w:pPr>
              <w:pStyle w:val="D2Aform"/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115AF">
              <w:rPr>
                <w:b/>
                <w:sz w:val="20"/>
                <w:szCs w:val="20"/>
              </w:rPr>
              <w:t>(3)</w:t>
            </w:r>
          </w:p>
        </w:tc>
      </w:tr>
      <w:tr w:rsidR="000278EC" w:rsidRPr="00F771C9" w:rsidTr="00D0320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17C83" w:rsidRDefault="000278EC" w:rsidP="000278EC">
            <w:pPr>
              <w:pStyle w:val="D2Aform"/>
              <w:numPr>
                <w:ilvl w:val="1"/>
                <w:numId w:val="35"/>
              </w:numPr>
            </w:pPr>
            <w:r w:rsidRPr="00D17C83">
              <w:t>Total intra-group assets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</w:tr>
      <w:tr w:rsidR="000278EC" w:rsidRPr="00F771C9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F771C9" w:rsidRDefault="000278EC" w:rsidP="000278EC">
            <w:pPr>
              <w:pStyle w:val="D2Aform"/>
              <w:numPr>
                <w:ilvl w:val="2"/>
                <w:numId w:val="35"/>
              </w:numPr>
            </w:pPr>
            <w:r w:rsidRPr="00F771C9">
              <w:t xml:space="preserve">Assets due from </w:t>
            </w:r>
            <w:r>
              <w:t>the parent entity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FFFFF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</w:tr>
      <w:tr w:rsidR="000278EC" w:rsidRPr="000612C5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C60FAB">
            <w:pPr>
              <w:pStyle w:val="D2Aform"/>
              <w:numPr>
                <w:ilvl w:val="2"/>
                <w:numId w:val="35"/>
              </w:numPr>
            </w:pPr>
            <w:r>
              <w:t xml:space="preserve">Assets due from </w:t>
            </w:r>
            <w:r w:rsidR="00C60FAB">
              <w:t xml:space="preserve">the ADI’s overseas </w:t>
            </w:r>
            <w:r>
              <w:t>branches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shd w:val="clear" w:color="auto" w:fill="FFFFFF"/>
          </w:tcPr>
          <w:p w:rsidR="000278EC" w:rsidRDefault="000278EC" w:rsidP="00536C05">
            <w:pPr>
              <w:pStyle w:val="D2Aform"/>
              <w:jc w:val="center"/>
            </w:pPr>
          </w:p>
        </w:tc>
      </w:tr>
      <w:tr w:rsidR="000278EC" w:rsidRPr="000612C5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C60FAB">
            <w:pPr>
              <w:pStyle w:val="D2Aform"/>
              <w:numPr>
                <w:ilvl w:val="2"/>
                <w:numId w:val="35"/>
              </w:numPr>
            </w:pPr>
            <w:r>
              <w:t xml:space="preserve">Assets due from </w:t>
            </w:r>
            <w:r w:rsidR="00C60FAB">
              <w:t xml:space="preserve">the ADI’s overseas-based </w:t>
            </w:r>
            <w:r>
              <w:t>bank</w:t>
            </w:r>
            <w:r w:rsidR="00C60FAB">
              <w:t>ing operations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shd w:val="clear" w:color="auto" w:fill="FFFFFF"/>
          </w:tcPr>
          <w:p w:rsidR="000278EC" w:rsidRDefault="000278EC" w:rsidP="00536C05">
            <w:pPr>
              <w:pStyle w:val="D2Aform"/>
              <w:jc w:val="center"/>
            </w:pPr>
          </w:p>
        </w:tc>
      </w:tr>
      <w:tr w:rsidR="000278EC" w:rsidRPr="000612C5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Assets due from SPVs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  <w:r>
              <w:t xml:space="preserve"> </w:t>
            </w:r>
          </w:p>
        </w:tc>
      </w:tr>
      <w:tr w:rsidR="000278EC" w:rsidRPr="000612C5" w:rsidTr="001410F9">
        <w:trPr>
          <w:trHeight w:val="315"/>
        </w:trPr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Assets due from other related parties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984" w:type="dxa"/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</w:tbl>
    <w:p w:rsidR="000278EC" w:rsidRDefault="000278EC" w:rsidP="000278EC">
      <w:pPr>
        <w:pStyle w:val="D2Aform"/>
      </w:pPr>
    </w:p>
    <w:tbl>
      <w:tblPr>
        <w:tblW w:w="13608" w:type="dxa"/>
        <w:tblInd w:w="108" w:type="dxa"/>
        <w:tblLook w:val="04A0" w:firstRow="1" w:lastRow="0" w:firstColumn="1" w:lastColumn="0" w:noHBand="0" w:noVBand="1"/>
      </w:tblPr>
      <w:tblGrid>
        <w:gridCol w:w="13608"/>
      </w:tblGrid>
      <w:tr w:rsidR="000278EC" w:rsidRPr="000612C5" w:rsidTr="00536C05">
        <w:tc>
          <w:tcPr>
            <w:tcW w:w="13608" w:type="dxa"/>
          </w:tcPr>
          <w:p w:rsidR="000278EC" w:rsidRPr="00A7618C" w:rsidRDefault="000278EC" w:rsidP="000278EC">
            <w:pPr>
              <w:pStyle w:val="D2Aform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61670A">
              <w:rPr>
                <w:b/>
                <w:sz w:val="24"/>
                <w:szCs w:val="24"/>
              </w:rPr>
              <w:t xml:space="preserve">Intra-group </w:t>
            </w:r>
            <w:r>
              <w:rPr>
                <w:b/>
                <w:sz w:val="24"/>
                <w:szCs w:val="24"/>
              </w:rPr>
              <w:t>liabilities - by liability type</w:t>
            </w:r>
          </w:p>
        </w:tc>
      </w:tr>
    </w:tbl>
    <w:p w:rsidR="000278EC" w:rsidRDefault="000278EC" w:rsidP="000278EC">
      <w:pPr>
        <w:pStyle w:val="D2Aform"/>
      </w:pPr>
    </w:p>
    <w:tbl>
      <w:tblPr>
        <w:tblW w:w="13608" w:type="dxa"/>
        <w:tblInd w:w="108" w:type="dxa"/>
        <w:tblLook w:val="04A0" w:firstRow="1" w:lastRow="0" w:firstColumn="1" w:lastColumn="0" w:noHBand="0" w:noVBand="1"/>
      </w:tblPr>
      <w:tblGrid>
        <w:gridCol w:w="11624"/>
        <w:gridCol w:w="1984"/>
      </w:tblGrid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536C05">
            <w:pPr>
              <w:pStyle w:val="D2Aform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Total</w:t>
            </w: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536C05">
            <w:pPr>
              <w:pStyle w:val="D2Aform"/>
              <w:rPr>
                <w:b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(1)</w:t>
            </w: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8EC" w:rsidRPr="00D17C83" w:rsidRDefault="000278EC" w:rsidP="000278EC">
            <w:pPr>
              <w:pStyle w:val="D2Aform"/>
              <w:numPr>
                <w:ilvl w:val="1"/>
                <w:numId w:val="35"/>
              </w:numPr>
            </w:pPr>
            <w:r w:rsidRPr="00D17C83">
              <w:t>Total intra-group liabilities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Deposits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0278EC">
            <w:pPr>
              <w:pStyle w:val="D2Aform"/>
              <w:numPr>
                <w:ilvl w:val="3"/>
                <w:numId w:val="35"/>
              </w:numPr>
            </w:pPr>
            <w:r>
              <w:t>Residents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4"/>
                <w:numId w:val="35"/>
              </w:numPr>
            </w:pPr>
            <w:r>
              <w:t>Community service organisations</w:t>
            </w:r>
            <w:r w:rsidRPr="0061670A" w:rsidDel="002A53BD"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0278EC">
            <w:pPr>
              <w:pStyle w:val="D2Aform"/>
              <w:numPr>
                <w:ilvl w:val="4"/>
                <w:numId w:val="35"/>
              </w:numPr>
            </w:pPr>
            <w:r w:rsidRPr="0061670A">
              <w:t>Non-financial businesses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8EC" w:rsidRPr="000612C5" w:rsidRDefault="000278EC" w:rsidP="000278EC">
            <w:pPr>
              <w:pStyle w:val="D2Aform"/>
              <w:numPr>
                <w:ilvl w:val="4"/>
                <w:numId w:val="35"/>
              </w:numPr>
            </w:pPr>
            <w:r w:rsidRPr="0061670A">
              <w:t>Financial institutions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344E58" w:rsidP="000278EC">
            <w:pPr>
              <w:pStyle w:val="D2Aform"/>
              <w:numPr>
                <w:ilvl w:val="5"/>
                <w:numId w:val="35"/>
              </w:numPr>
            </w:pPr>
            <w:r>
              <w:t>ADIs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Registered financial corporations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Life insurance corporations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 w:rsidRPr="0061670A">
              <w:t>Other insurance corporations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E95507" w:rsidP="00E95507">
            <w:pPr>
              <w:pStyle w:val="D2Aform"/>
              <w:numPr>
                <w:ilvl w:val="5"/>
                <w:numId w:val="35"/>
              </w:numPr>
            </w:pPr>
            <w:r>
              <w:t>S</w:t>
            </w:r>
            <w:r w:rsidR="000278EC" w:rsidRPr="0061670A">
              <w:t>uperannuation funds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>
              <w:t>Financial auxiliaries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278EC" w:rsidRDefault="000278EC" w:rsidP="000278EC">
            <w:pPr>
              <w:pStyle w:val="D2Aform"/>
              <w:numPr>
                <w:ilvl w:val="5"/>
                <w:numId w:val="35"/>
              </w:numPr>
            </w:pPr>
            <w:r>
              <w:t>Securitisers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8EC" w:rsidRDefault="000278EC" w:rsidP="00536C05">
            <w:pPr>
              <w:pStyle w:val="D2Aform"/>
              <w:jc w:val="center"/>
            </w:pPr>
          </w:p>
        </w:tc>
      </w:tr>
      <w:tr w:rsidR="000278EC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278EC" w:rsidRDefault="000278EC" w:rsidP="00E95507">
            <w:pPr>
              <w:pStyle w:val="D2Aform"/>
              <w:numPr>
                <w:ilvl w:val="5"/>
                <w:numId w:val="35"/>
              </w:numPr>
            </w:pPr>
            <w:r>
              <w:t>Money-market investment funds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8EC" w:rsidRDefault="000278EC" w:rsidP="00536C05">
            <w:pPr>
              <w:pStyle w:val="D2Aform"/>
              <w:jc w:val="center"/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>
              <w:t>Non-money-market financial investment funds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0612C5" w:rsidRDefault="000278EC" w:rsidP="000278EC">
            <w:pPr>
              <w:pStyle w:val="D2Aform"/>
              <w:numPr>
                <w:ilvl w:val="5"/>
                <w:numId w:val="35"/>
              </w:numPr>
            </w:pPr>
            <w:r>
              <w:t>F</w:t>
            </w:r>
            <w:r w:rsidRPr="0061670A">
              <w:t>inancial institutions</w:t>
            </w:r>
            <w:r>
              <w:t xml:space="preserve"> n.e.c.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0278EC">
            <w:pPr>
              <w:pStyle w:val="D2Aform"/>
              <w:numPr>
                <w:ilvl w:val="3"/>
                <w:numId w:val="35"/>
              </w:numPr>
            </w:pPr>
            <w:r>
              <w:t>Non-residents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Del="00F101F8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Acceptances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Borrowings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3"/>
                <w:numId w:val="35"/>
              </w:numPr>
            </w:pPr>
            <w:r>
              <w:t>Debt securities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Del="00F101F8" w:rsidRDefault="000278EC" w:rsidP="000278EC">
            <w:pPr>
              <w:pStyle w:val="D2Aform"/>
              <w:numPr>
                <w:ilvl w:val="4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Original maturity of greater than 12 months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5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Matures in 12 months or less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3"/>
                <w:numId w:val="35"/>
              </w:numPr>
            </w:pPr>
            <w:r>
              <w:t>Loans and finance leases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4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Original maturity of greater than 12 months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5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Matures in 12 months or less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Creditors and other liabilities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3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Derivative financial instruments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4"/>
                <w:numId w:val="35"/>
              </w:numPr>
            </w:pPr>
            <w:r>
              <w:t>Trading book derivatives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0278EC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4"/>
                <w:numId w:val="35"/>
              </w:numPr>
            </w:pPr>
            <w:r>
              <w:t>Banking book derivatives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891973" w:rsidRPr="000612C5" w:rsidTr="00536C05">
        <w:trPr>
          <w:trHeight w:val="315"/>
        </w:trPr>
        <w:tc>
          <w:tcPr>
            <w:tcW w:w="1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973" w:rsidRDefault="00891973" w:rsidP="00EA3689">
            <w:pPr>
              <w:pStyle w:val="D2Aform"/>
              <w:numPr>
                <w:ilvl w:val="3"/>
                <w:numId w:val="35"/>
              </w:numPr>
            </w:pPr>
            <w:r w:rsidRPr="007119A4">
              <w:rPr>
                <w:i/>
              </w:rPr>
              <w:t>of which:</w:t>
            </w:r>
            <w:r>
              <w:t xml:space="preserve"> </w:t>
            </w:r>
            <w:r w:rsidRPr="00891973">
              <w:t>Liabilities</w:t>
            </w:r>
            <w:r>
              <w:t xml:space="preserve"> arising </w:t>
            </w:r>
            <w:r w:rsidR="00EA3689">
              <w:t>from</w:t>
            </w:r>
            <w:r>
              <w:t xml:space="preserve"> operating leases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973" w:rsidRDefault="00891973" w:rsidP="00536C05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</w:tbl>
    <w:p w:rsidR="000278EC" w:rsidRDefault="000278EC" w:rsidP="000278EC">
      <w:pPr>
        <w:rPr>
          <w:rFonts w:ascii="Arial" w:hAnsi="Arial" w:cs="Arial"/>
        </w:rPr>
      </w:pPr>
    </w:p>
    <w:tbl>
      <w:tblPr>
        <w:tblW w:w="13608" w:type="dxa"/>
        <w:tblInd w:w="108" w:type="dxa"/>
        <w:tblLook w:val="04A0" w:firstRow="1" w:lastRow="0" w:firstColumn="1" w:lastColumn="0" w:noHBand="0" w:noVBand="1"/>
      </w:tblPr>
      <w:tblGrid>
        <w:gridCol w:w="13608"/>
      </w:tblGrid>
      <w:tr w:rsidR="000278EC" w:rsidRPr="000612C5" w:rsidTr="00536C05">
        <w:tc>
          <w:tcPr>
            <w:tcW w:w="13608" w:type="dxa"/>
          </w:tcPr>
          <w:p w:rsidR="000278EC" w:rsidRPr="00A7618C" w:rsidRDefault="000278EC" w:rsidP="000278EC">
            <w:pPr>
              <w:pStyle w:val="D2Aform"/>
              <w:numPr>
                <w:ilvl w:val="0"/>
                <w:numId w:val="35"/>
              </w:numPr>
              <w:rPr>
                <w:b/>
                <w:sz w:val="24"/>
                <w:szCs w:val="24"/>
              </w:rPr>
            </w:pPr>
            <w:r w:rsidRPr="0061670A">
              <w:rPr>
                <w:b/>
                <w:sz w:val="24"/>
                <w:szCs w:val="24"/>
              </w:rPr>
              <w:t xml:space="preserve">Intra-group </w:t>
            </w:r>
            <w:r>
              <w:rPr>
                <w:b/>
                <w:sz w:val="24"/>
                <w:szCs w:val="24"/>
              </w:rPr>
              <w:t>liabilities - by related party type</w:t>
            </w:r>
          </w:p>
        </w:tc>
      </w:tr>
    </w:tbl>
    <w:p w:rsidR="000278EC" w:rsidRDefault="000278EC" w:rsidP="000278EC">
      <w:pPr>
        <w:pStyle w:val="D2Aform"/>
      </w:pPr>
    </w:p>
    <w:tbl>
      <w:tblPr>
        <w:tblW w:w="136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38"/>
        <w:gridCol w:w="1893"/>
        <w:gridCol w:w="1894"/>
        <w:gridCol w:w="1894"/>
      </w:tblGrid>
      <w:tr w:rsidR="000278EC" w:rsidRPr="00553F80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553F80" w:rsidRDefault="000278EC" w:rsidP="00536C05">
            <w:pPr>
              <w:pStyle w:val="D2Aform"/>
              <w:rPr>
                <w:b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Total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i/>
                <w:sz w:val="20"/>
              </w:rPr>
              <w:t>of which:</w:t>
            </w:r>
            <w:r w:rsidRPr="007115AF">
              <w:rPr>
                <w:b/>
                <w:sz w:val="20"/>
              </w:rPr>
              <w:t xml:space="preserve"> </w:t>
            </w:r>
            <w:r w:rsidR="00E95507">
              <w:rPr>
                <w:b/>
                <w:sz w:val="20"/>
              </w:rPr>
              <w:t>S</w:t>
            </w:r>
            <w:r w:rsidRPr="007115AF">
              <w:rPr>
                <w:b/>
                <w:sz w:val="20"/>
              </w:rPr>
              <w:t>ubordinated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F75CD3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i/>
                <w:sz w:val="20"/>
              </w:rPr>
              <w:t>of which:</w:t>
            </w:r>
            <w:r w:rsidR="009F31B0">
              <w:rPr>
                <w:b/>
                <w:sz w:val="20"/>
              </w:rPr>
              <w:t xml:space="preserve"> </w:t>
            </w:r>
            <w:r w:rsidR="00E95507">
              <w:rPr>
                <w:b/>
                <w:sz w:val="20"/>
              </w:rPr>
              <w:t>S</w:t>
            </w:r>
            <w:r w:rsidRPr="007115AF">
              <w:rPr>
                <w:b/>
                <w:sz w:val="20"/>
              </w:rPr>
              <w:t>ecured</w:t>
            </w:r>
          </w:p>
        </w:tc>
      </w:tr>
      <w:tr w:rsidR="000278EC" w:rsidRPr="00553F80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553F80" w:rsidRDefault="000278EC" w:rsidP="00536C05">
            <w:pPr>
              <w:pStyle w:val="D2Aform"/>
              <w:jc w:val="center"/>
              <w:rPr>
                <w:b/>
              </w:rPr>
            </w:pPr>
          </w:p>
        </w:tc>
        <w:tc>
          <w:tcPr>
            <w:tcW w:w="18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(1)</w:t>
            </w:r>
          </w:p>
        </w:tc>
        <w:tc>
          <w:tcPr>
            <w:tcW w:w="18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(2)</w:t>
            </w:r>
          </w:p>
        </w:tc>
        <w:tc>
          <w:tcPr>
            <w:tcW w:w="18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78EC" w:rsidRPr="007115AF" w:rsidRDefault="000278EC" w:rsidP="00536C05">
            <w:pPr>
              <w:pStyle w:val="D2Aform"/>
              <w:jc w:val="center"/>
              <w:rPr>
                <w:b/>
                <w:sz w:val="20"/>
              </w:rPr>
            </w:pPr>
            <w:r w:rsidRPr="007115AF">
              <w:rPr>
                <w:b/>
                <w:sz w:val="20"/>
              </w:rPr>
              <w:t>(3)</w:t>
            </w:r>
          </w:p>
        </w:tc>
      </w:tr>
      <w:tr w:rsidR="000278EC" w:rsidRPr="00F771C9" w:rsidTr="00D03209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F771C9" w:rsidRDefault="000278EC" w:rsidP="000278EC">
            <w:pPr>
              <w:pStyle w:val="D2Aform"/>
              <w:numPr>
                <w:ilvl w:val="1"/>
                <w:numId w:val="35"/>
              </w:numPr>
            </w:pPr>
            <w:r>
              <w:t>Total intra-group liabilities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</w:tr>
      <w:tr w:rsidR="000278EC" w:rsidRPr="00F771C9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F771C9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Liabilities</w:t>
            </w:r>
            <w:r w:rsidRPr="00F771C9">
              <w:t xml:space="preserve"> due </w:t>
            </w:r>
            <w:r>
              <w:t>to</w:t>
            </w:r>
            <w:r w:rsidRPr="00F771C9">
              <w:t xml:space="preserve"> </w:t>
            </w:r>
            <w:r>
              <w:t>the parent entity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</w:tcPr>
          <w:p w:rsidR="000278EC" w:rsidRPr="00F771C9" w:rsidRDefault="000278EC" w:rsidP="00536C05">
            <w:pPr>
              <w:pStyle w:val="D2Aform"/>
              <w:jc w:val="center"/>
            </w:pPr>
          </w:p>
        </w:tc>
      </w:tr>
      <w:tr w:rsidR="000278EC" w:rsidRPr="000612C5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61670A" w:rsidRDefault="000278EC" w:rsidP="00C60FAB">
            <w:pPr>
              <w:pStyle w:val="D2Aform"/>
              <w:numPr>
                <w:ilvl w:val="2"/>
                <w:numId w:val="35"/>
              </w:numPr>
            </w:pPr>
            <w:r>
              <w:t xml:space="preserve">Liabilities due to </w:t>
            </w:r>
            <w:r w:rsidR="00C60FAB">
              <w:t xml:space="preserve">the ADI’s overseas </w:t>
            </w:r>
            <w:r>
              <w:t xml:space="preserve">branches 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left w:val="single" w:sz="4" w:space="0" w:color="auto"/>
            </w:tcBorders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C60FAB">
            <w:pPr>
              <w:pStyle w:val="D2Aform"/>
              <w:numPr>
                <w:ilvl w:val="2"/>
                <w:numId w:val="35"/>
              </w:numPr>
            </w:pPr>
            <w:r>
              <w:t>Liabilities due to</w:t>
            </w:r>
            <w:r w:rsidR="00C60FAB">
              <w:t xml:space="preserve"> the ADI’s overseas-based</w:t>
            </w:r>
            <w:r>
              <w:t xml:space="preserve"> bank</w:t>
            </w:r>
            <w:r w:rsidR="00C60FAB">
              <w:t>ing operations</w:t>
            </w:r>
            <w:r>
              <w:t xml:space="preserve"> 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left w:val="single" w:sz="4" w:space="0" w:color="auto"/>
            </w:tcBorders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Liabilities due to SPVs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left w:val="single" w:sz="4" w:space="0" w:color="auto"/>
            </w:tcBorders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shd w:val="clear" w:color="auto" w:fill="auto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  <w:tr w:rsidR="000278EC" w:rsidRPr="000612C5" w:rsidTr="00F75CD3">
        <w:trPr>
          <w:trHeight w:val="315"/>
        </w:trPr>
        <w:tc>
          <w:tcPr>
            <w:tcW w:w="7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8EC" w:rsidRDefault="000278EC" w:rsidP="000278EC">
            <w:pPr>
              <w:pStyle w:val="D2Aform"/>
              <w:numPr>
                <w:ilvl w:val="2"/>
                <w:numId w:val="35"/>
              </w:numPr>
            </w:pPr>
            <w:r>
              <w:t>Liabilities due to other related parties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tcBorders>
              <w:left w:val="single" w:sz="4" w:space="0" w:color="auto"/>
            </w:tcBorders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  <w:tc>
          <w:tcPr>
            <w:tcW w:w="1894" w:type="dxa"/>
            <w:shd w:val="clear" w:color="auto" w:fill="FFFFFF"/>
          </w:tcPr>
          <w:p w:rsidR="000278EC" w:rsidRPr="00DA7BEA" w:rsidRDefault="000278EC" w:rsidP="00536C05">
            <w:pPr>
              <w:pStyle w:val="D2Aform"/>
              <w:jc w:val="center"/>
            </w:pPr>
          </w:p>
        </w:tc>
      </w:tr>
    </w:tbl>
    <w:p w:rsidR="00F3081F" w:rsidRPr="001410F9" w:rsidRDefault="00F3081F" w:rsidP="002E790B">
      <w:pPr>
        <w:pStyle w:val="BodyText"/>
        <w:rPr>
          <w:rFonts w:ascii="Arial" w:hAnsi="Arial" w:cs="Arial"/>
          <w:b/>
          <w:szCs w:val="40"/>
        </w:rPr>
      </w:pPr>
    </w:p>
    <w:p w:rsidR="00C8047C" w:rsidRPr="001410F9" w:rsidRDefault="00C8047C" w:rsidP="000952DD">
      <w:pPr>
        <w:spacing w:after="240"/>
        <w:jc w:val="both"/>
        <w:outlineLvl w:val="0"/>
        <w:rPr>
          <w:rFonts w:ascii="Arial" w:hAnsi="Arial" w:cs="Arial"/>
          <w:b/>
          <w:szCs w:val="40"/>
        </w:rPr>
        <w:sectPr w:rsidR="00C8047C" w:rsidRPr="001410F9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B04B20" w:rsidRPr="00AB4984" w:rsidRDefault="00054C93" w:rsidP="00A353CE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</w:t>
      </w:r>
      <w:r w:rsidR="009F2CAF">
        <w:rPr>
          <w:rFonts w:ascii="Arial" w:hAnsi="Arial" w:cs="Arial"/>
          <w:b/>
          <w:sz w:val="40"/>
          <w:szCs w:val="40"/>
        </w:rPr>
        <w:t>20.3</w:t>
      </w:r>
    </w:p>
    <w:p w:rsidR="00054C93" w:rsidRPr="00AB4984" w:rsidRDefault="00C8047C" w:rsidP="00A353CE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9F2CAF">
        <w:rPr>
          <w:rFonts w:ascii="Arial" w:hAnsi="Arial" w:cs="Arial"/>
          <w:b/>
          <w:sz w:val="40"/>
          <w:szCs w:val="40"/>
        </w:rPr>
        <w:t xml:space="preserve">Intra-group </w:t>
      </w:r>
      <w:r w:rsidR="005D7DD1">
        <w:rPr>
          <w:rFonts w:ascii="Arial" w:hAnsi="Arial" w:cs="Arial"/>
          <w:b/>
          <w:sz w:val="40"/>
          <w:szCs w:val="40"/>
        </w:rPr>
        <w:t>Assets and Liabilities</w:t>
      </w:r>
    </w:p>
    <w:p w:rsidR="00054C93" w:rsidRPr="00A353CE" w:rsidRDefault="00054C93" w:rsidP="00A353CE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A353CE">
        <w:rPr>
          <w:rFonts w:ascii="Arial" w:hAnsi="Arial" w:cs="Arial"/>
          <w:b/>
          <w:sz w:val="32"/>
          <w:szCs w:val="40"/>
        </w:rPr>
        <w:t>Instruction</w:t>
      </w:r>
      <w:r w:rsidR="002A0B6A" w:rsidRPr="00A353CE">
        <w:rPr>
          <w:rFonts w:ascii="Arial" w:hAnsi="Arial" w:cs="Arial"/>
          <w:b/>
          <w:sz w:val="32"/>
          <w:szCs w:val="40"/>
        </w:rPr>
        <w:t>s</w:t>
      </w:r>
    </w:p>
    <w:p w:rsidR="00C8047C" w:rsidRPr="00AB4984" w:rsidRDefault="00C53458" w:rsidP="00A353CE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054C93" w:rsidRPr="00AB4984">
        <w:rPr>
          <w:rFonts w:ascii="Times New Roman" w:hAnsi="Times New Roman"/>
          <w:i/>
          <w:sz w:val="24"/>
          <w:szCs w:val="24"/>
        </w:rPr>
        <w:t xml:space="preserve">RF </w:t>
      </w:r>
      <w:r w:rsidR="009F2CAF">
        <w:rPr>
          <w:rFonts w:ascii="Times New Roman" w:hAnsi="Times New Roman"/>
          <w:i/>
          <w:sz w:val="24"/>
          <w:szCs w:val="24"/>
        </w:rPr>
        <w:t>720.3</w:t>
      </w:r>
      <w:r w:rsidR="00C8047C" w:rsidRPr="00AB4984">
        <w:rPr>
          <w:rFonts w:ascii="Times New Roman" w:hAnsi="Times New Roman"/>
          <w:i/>
          <w:sz w:val="24"/>
          <w:szCs w:val="24"/>
        </w:rPr>
        <w:t xml:space="preserve"> ABS/RBA </w:t>
      </w:r>
      <w:r w:rsidR="009F2CAF">
        <w:rPr>
          <w:rFonts w:ascii="Times New Roman" w:hAnsi="Times New Roman"/>
          <w:i/>
          <w:sz w:val="24"/>
          <w:szCs w:val="24"/>
        </w:rPr>
        <w:t xml:space="preserve">Intra-group </w:t>
      </w:r>
      <w:r w:rsidR="005D7DD1">
        <w:rPr>
          <w:rFonts w:ascii="Times New Roman" w:hAnsi="Times New Roman"/>
          <w:i/>
          <w:sz w:val="24"/>
          <w:szCs w:val="24"/>
        </w:rPr>
        <w:t>Assets and Liabilities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AB4984">
        <w:rPr>
          <w:rFonts w:ascii="Times New Roman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 xml:space="preserve">RF </w:t>
      </w:r>
      <w:r w:rsidR="009F2CAF">
        <w:rPr>
          <w:rFonts w:ascii="Times New Roman" w:hAnsi="Times New Roman"/>
          <w:sz w:val="24"/>
          <w:szCs w:val="24"/>
        </w:rPr>
        <w:t>720.3</w:t>
      </w:r>
      <w:r w:rsidR="00D477FC" w:rsidRPr="00AB4984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335A1A">
        <w:rPr>
          <w:rFonts w:ascii="Times New Roman" w:hAnsi="Times New Roman"/>
          <w:sz w:val="24"/>
          <w:szCs w:val="24"/>
        </w:rPr>
        <w:t>A</w:t>
      </w:r>
      <w:r w:rsidR="00BB17AE" w:rsidRPr="00335A1A">
        <w:rPr>
          <w:rFonts w:ascii="Times New Roman" w:hAnsi="Times New Roman"/>
          <w:sz w:val="24"/>
          <w:szCs w:val="24"/>
        </w:rPr>
        <w:t xml:space="preserve">RF </w:t>
      </w:r>
      <w:r w:rsidR="009F2CAF" w:rsidRPr="00335A1A">
        <w:rPr>
          <w:rFonts w:ascii="Times New Roman" w:hAnsi="Times New Roman"/>
          <w:sz w:val="24"/>
          <w:szCs w:val="24"/>
        </w:rPr>
        <w:t>720.3</w:t>
      </w:r>
      <w:r w:rsidR="00BB17AE" w:rsidRPr="00AB4984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9F2CAF">
        <w:rPr>
          <w:rFonts w:ascii="Times New Roman" w:hAnsi="Times New Roman"/>
          <w:sz w:val="24"/>
          <w:szCs w:val="24"/>
        </w:rPr>
        <w:t xml:space="preserve">assets due from </w:t>
      </w:r>
      <w:r w:rsidR="009F2CAF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9F2CAF">
        <w:rPr>
          <w:rFonts w:ascii="Times New Roman" w:hAnsi="Times New Roman"/>
          <w:sz w:val="24"/>
          <w:szCs w:val="24"/>
        </w:rPr>
        <w:t xml:space="preserve">and liabilities due to </w:t>
      </w:r>
      <w:r w:rsidR="009F2CAF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9F2CAF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BD3FD5">
        <w:rPr>
          <w:rFonts w:ascii="Times New Roman" w:hAnsi="Times New Roman"/>
          <w:i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4072D6" w:rsidRPr="00AB4984" w:rsidRDefault="004072D6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335A1A">
        <w:rPr>
          <w:rFonts w:ascii="Times New Roman" w:hAnsi="Times New Roman"/>
          <w:sz w:val="24"/>
          <w:szCs w:val="24"/>
        </w:rPr>
        <w:t>A</w:t>
      </w:r>
      <w:r w:rsidR="009E4BEE" w:rsidRPr="00335A1A">
        <w:rPr>
          <w:rFonts w:ascii="Times New Roman" w:hAnsi="Times New Roman"/>
          <w:sz w:val="24"/>
          <w:szCs w:val="24"/>
        </w:rPr>
        <w:t xml:space="preserve">RF </w:t>
      </w:r>
      <w:r w:rsidR="009F2CAF" w:rsidRPr="00335A1A">
        <w:rPr>
          <w:rFonts w:ascii="Times New Roman" w:hAnsi="Times New Roman"/>
          <w:sz w:val="24"/>
          <w:szCs w:val="24"/>
        </w:rPr>
        <w:t>720.3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C8047C" w:rsidRPr="00335A1A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RBA</w:t>
      </w:r>
      <w:r w:rsidR="008D437E" w:rsidRPr="00BD3FD5">
        <w:rPr>
          <w:rFonts w:ascii="Times New Roman" w:hAnsi="Times New Roman"/>
          <w:i/>
          <w:sz w:val="24"/>
          <w:szCs w:val="24"/>
        </w:rPr>
        <w:t>.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8D437E">
        <w:rPr>
          <w:rFonts w:ascii="Times New Roman" w:hAnsi="Times New Roman"/>
          <w:sz w:val="24"/>
          <w:szCs w:val="24"/>
        </w:rPr>
        <w:t xml:space="preserve">Items on </w:t>
      </w:r>
      <w:r w:rsidR="008D437E" w:rsidRPr="00335A1A">
        <w:rPr>
          <w:rFonts w:ascii="Times New Roman" w:hAnsi="Times New Roman"/>
          <w:sz w:val="24"/>
          <w:szCs w:val="24"/>
        </w:rPr>
        <w:t>ARF 720.3</w:t>
      </w:r>
      <w:r w:rsidR="008D437E" w:rsidRPr="00AB4984">
        <w:rPr>
          <w:rFonts w:ascii="Times New Roman" w:hAnsi="Times New Roman"/>
          <w:sz w:val="24"/>
          <w:szCs w:val="24"/>
        </w:rPr>
        <w:t xml:space="preserve"> are required for various purposes, including the compilation of Australia’s National Accounts</w:t>
      </w:r>
      <w:r w:rsidR="00146224">
        <w:rPr>
          <w:rFonts w:ascii="Times New Roman" w:hAnsi="Times New Roman"/>
          <w:sz w:val="24"/>
          <w:szCs w:val="24"/>
        </w:rPr>
        <w:t>.</w:t>
      </w:r>
      <w:r w:rsidR="008D437E" w:rsidRPr="00AB4984">
        <w:rPr>
          <w:rFonts w:ascii="Times New Roman" w:hAnsi="Times New Roman"/>
          <w:sz w:val="24"/>
          <w:szCs w:val="24"/>
        </w:rPr>
        <w:t xml:space="preserve"> </w:t>
      </w:r>
      <w:r w:rsidR="008D437E">
        <w:rPr>
          <w:rFonts w:ascii="Times New Roman" w:hAnsi="Times New Roman"/>
          <w:sz w:val="24"/>
          <w:szCs w:val="24"/>
        </w:rPr>
        <w:t>Information reported in ARF 720.3</w:t>
      </w:r>
      <w:r w:rsidR="008D437E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may be used by </w:t>
      </w:r>
      <w:r w:rsidR="00C8047C" w:rsidRPr="00335A1A">
        <w:rPr>
          <w:rFonts w:ascii="Times New Roman" w:hAnsi="Times New Roman"/>
          <w:b/>
          <w:i/>
          <w:sz w:val="24"/>
          <w:szCs w:val="24"/>
        </w:rPr>
        <w:t>APRA</w:t>
      </w:r>
      <w:r w:rsidR="00C8047C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9F2CAF">
        <w:rPr>
          <w:rFonts w:ascii="Times New Roman" w:hAnsi="Times New Roman"/>
          <w:sz w:val="24"/>
          <w:szCs w:val="24"/>
        </w:rPr>
        <w:t>ion purposes.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</w:p>
    <w:p w:rsidR="00135C27" w:rsidRPr="00A353CE" w:rsidRDefault="00135C27" w:rsidP="00A353C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A353CE">
        <w:rPr>
          <w:rFonts w:ascii="Arial" w:hAnsi="Arial" w:cs="Arial"/>
          <w:b/>
          <w:sz w:val="24"/>
          <w:szCs w:val="32"/>
        </w:rPr>
        <w:t xml:space="preserve">Reporting level </w:t>
      </w:r>
    </w:p>
    <w:p w:rsidR="004072D6" w:rsidRPr="00AB4984" w:rsidRDefault="00C8047C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335A1A">
        <w:rPr>
          <w:rFonts w:ascii="Times New Roman" w:hAnsi="Times New Roman"/>
          <w:sz w:val="24"/>
          <w:szCs w:val="24"/>
        </w:rPr>
        <w:t>A</w:t>
      </w:r>
      <w:r w:rsidR="009E4BEE" w:rsidRPr="00335A1A">
        <w:rPr>
          <w:rFonts w:ascii="Times New Roman" w:hAnsi="Times New Roman"/>
          <w:sz w:val="24"/>
          <w:szCs w:val="24"/>
        </w:rPr>
        <w:t xml:space="preserve">RF </w:t>
      </w:r>
      <w:r w:rsidRPr="00335A1A">
        <w:rPr>
          <w:rFonts w:ascii="Times New Roman" w:hAnsi="Times New Roman"/>
          <w:sz w:val="24"/>
          <w:szCs w:val="24"/>
        </w:rPr>
        <w:t>720.</w:t>
      </w:r>
      <w:r w:rsidR="009F2CAF" w:rsidRPr="00335A1A">
        <w:rPr>
          <w:rFonts w:ascii="Times New Roman" w:hAnsi="Times New Roman"/>
          <w:sz w:val="24"/>
          <w:szCs w:val="24"/>
        </w:rPr>
        <w:t>3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</w:t>
      </w:r>
      <w:r w:rsidR="00DE4F8B">
        <w:rPr>
          <w:rFonts w:ascii="Times New Roman" w:hAnsi="Times New Roman"/>
          <w:sz w:val="24"/>
          <w:szCs w:val="24"/>
        </w:rPr>
        <w:t>by</w:t>
      </w:r>
      <w:r w:rsidR="00DE4F8B" w:rsidRPr="00AB4984">
        <w:rPr>
          <w:rFonts w:ascii="Times New Roman" w:hAnsi="Times New Roman"/>
          <w:sz w:val="24"/>
          <w:szCs w:val="24"/>
        </w:rPr>
        <w:t xml:space="preserve">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00299D">
        <w:rPr>
          <w:rFonts w:ascii="Times New Roman" w:hAnsi="Times New Roman"/>
          <w:b/>
          <w:i/>
          <w:sz w:val="24"/>
          <w:szCs w:val="24"/>
        </w:rPr>
        <w:t>ADI</w:t>
      </w:r>
      <w:r w:rsidR="0000299D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DE4F8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E4F8B">
        <w:rPr>
          <w:rFonts w:ascii="Times New Roman" w:hAnsi="Times New Roman"/>
          <w:sz w:val="24"/>
          <w:szCs w:val="24"/>
        </w:rPr>
        <w:t>to which this Reporting Standard applies under paragraph</w:t>
      </w:r>
      <w:r w:rsidR="00BD3FD5">
        <w:rPr>
          <w:rFonts w:ascii="Times New Roman" w:hAnsi="Times New Roman"/>
          <w:sz w:val="24"/>
          <w:szCs w:val="24"/>
        </w:rPr>
        <w:t>s</w:t>
      </w:r>
      <w:r w:rsidR="00DE4F8B">
        <w:rPr>
          <w:rFonts w:ascii="Times New Roman" w:hAnsi="Times New Roman"/>
          <w:sz w:val="24"/>
          <w:szCs w:val="24"/>
        </w:rPr>
        <w:t xml:space="preserve"> 4 </w:t>
      </w:r>
      <w:r w:rsidR="00B00469">
        <w:rPr>
          <w:rFonts w:ascii="Times New Roman" w:hAnsi="Times New Roman"/>
          <w:sz w:val="24"/>
          <w:szCs w:val="24"/>
        </w:rPr>
        <w:t>or</w:t>
      </w:r>
      <w:r w:rsidR="00DE4F8B">
        <w:rPr>
          <w:rFonts w:ascii="Times New Roman" w:hAnsi="Times New Roman"/>
          <w:sz w:val="24"/>
          <w:szCs w:val="24"/>
        </w:rPr>
        <w:t xml:space="preserve"> 5</w:t>
      </w:r>
      <w:r w:rsidRPr="00BD3FD5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:rsidR="00B42206" w:rsidRPr="00A353CE" w:rsidRDefault="00B42206" w:rsidP="00A353C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A353CE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A353CE">
        <w:rPr>
          <w:rFonts w:ascii="Arial" w:hAnsi="Arial" w:cs="Arial"/>
          <w:b/>
          <w:sz w:val="24"/>
          <w:szCs w:val="32"/>
        </w:rPr>
        <w:t>unit of measurement</w:t>
      </w:r>
    </w:p>
    <w:p w:rsidR="00E82980" w:rsidRDefault="00E82980" w:rsidP="00A353CE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 </w:t>
      </w:r>
    </w:p>
    <w:p w:rsidR="0048382E" w:rsidRDefault="0048382E" w:rsidP="00A353CE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Items on </w:t>
      </w:r>
      <w:r w:rsidRPr="002A767A">
        <w:rPr>
          <w:rFonts w:ascii="Times New Roman" w:hAnsi="Times New Roman"/>
          <w:sz w:val="24"/>
          <w:szCs w:val="24"/>
        </w:rPr>
        <w:t>ARF 720.3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must be reported as at the end of the </w:t>
      </w:r>
      <w:r w:rsidRPr="002A767A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48382E" w:rsidRDefault="0048382E" w:rsidP="00A353CE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reporting purposes, unless otherwise specified otherwise, </w:t>
      </w:r>
      <w:r w:rsidR="005D02BF"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 xml:space="preserve">data as a positive number.  </w:t>
      </w:r>
    </w:p>
    <w:p w:rsidR="00E8198A" w:rsidRPr="00A353CE" w:rsidRDefault="00A353CE" w:rsidP="00A353C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A353CE">
        <w:rPr>
          <w:rFonts w:ascii="Arial" w:hAnsi="Arial" w:cs="Arial"/>
          <w:b/>
          <w:sz w:val="24"/>
          <w:szCs w:val="32"/>
        </w:rPr>
        <w:t xml:space="preserve">Counterparties </w:t>
      </w:r>
    </w:p>
    <w:p w:rsidR="00E8198A" w:rsidRDefault="00E8198A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1641D8">
        <w:rPr>
          <w:rFonts w:ascii="Times New Roman" w:hAnsi="Times New Roman"/>
          <w:b/>
          <w:i/>
          <w:sz w:val="24"/>
          <w:szCs w:val="24"/>
        </w:rPr>
        <w:t>Intra-group</w:t>
      </w:r>
      <w:r w:rsidRPr="001641D8">
        <w:rPr>
          <w:rFonts w:ascii="Times New Roman" w:hAnsi="Times New Roman"/>
          <w:sz w:val="24"/>
          <w:szCs w:val="24"/>
        </w:rPr>
        <w:t xml:space="preserve"> transactions or positions are those undertaken with </w:t>
      </w:r>
      <w:r w:rsidRPr="001641D8">
        <w:rPr>
          <w:rFonts w:ascii="Times New Roman" w:hAnsi="Times New Roman"/>
          <w:b/>
          <w:i/>
          <w:sz w:val="24"/>
          <w:szCs w:val="24"/>
        </w:rPr>
        <w:t>related parties</w:t>
      </w:r>
      <w:r w:rsidRPr="001641D8">
        <w:rPr>
          <w:rFonts w:ascii="Times New Roman" w:hAnsi="Times New Roman"/>
          <w:sz w:val="24"/>
          <w:szCs w:val="24"/>
        </w:rPr>
        <w:t xml:space="preserve"> of the reporting entity that are not consolidated at the </w:t>
      </w:r>
      <w:r w:rsidR="00684D73">
        <w:rPr>
          <w:rFonts w:ascii="Times New Roman" w:hAnsi="Times New Roman"/>
          <w:b/>
          <w:i/>
          <w:sz w:val="24"/>
          <w:szCs w:val="24"/>
        </w:rPr>
        <w:t>d</w:t>
      </w:r>
      <w:r w:rsidRPr="001641D8">
        <w:rPr>
          <w:rFonts w:ascii="Times New Roman" w:hAnsi="Times New Roman"/>
          <w:b/>
          <w:i/>
          <w:sz w:val="24"/>
          <w:szCs w:val="24"/>
        </w:rPr>
        <w:t>omestic books</w:t>
      </w:r>
      <w:r w:rsidRPr="001641D8">
        <w:rPr>
          <w:rFonts w:ascii="Times New Roman" w:hAnsi="Times New Roman"/>
          <w:sz w:val="24"/>
          <w:szCs w:val="24"/>
        </w:rPr>
        <w:t xml:space="preserve"> level. </w:t>
      </w:r>
    </w:p>
    <w:p w:rsidR="00E8198A" w:rsidRDefault="00E8198A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3E69B6">
        <w:rPr>
          <w:rFonts w:ascii="Times New Roman" w:hAnsi="Times New Roman"/>
          <w:sz w:val="24"/>
          <w:szCs w:val="24"/>
        </w:rPr>
        <w:t xml:space="preserve">Include </w:t>
      </w:r>
      <w:r w:rsidRPr="003E69B6">
        <w:rPr>
          <w:rFonts w:ascii="Times New Roman" w:hAnsi="Times New Roman"/>
          <w:b/>
          <w:i/>
          <w:sz w:val="24"/>
          <w:szCs w:val="24"/>
        </w:rPr>
        <w:t>related parties</w:t>
      </w:r>
      <w:r w:rsidRPr="003E69B6">
        <w:rPr>
          <w:rFonts w:ascii="Times New Roman" w:hAnsi="Times New Roman"/>
          <w:sz w:val="24"/>
          <w:szCs w:val="24"/>
        </w:rPr>
        <w:t xml:space="preserve"> that are both </w:t>
      </w:r>
      <w:r w:rsidRPr="003E69B6">
        <w:rPr>
          <w:rFonts w:ascii="Times New Roman" w:hAnsi="Times New Roman"/>
          <w:b/>
          <w:i/>
          <w:sz w:val="24"/>
          <w:szCs w:val="24"/>
        </w:rPr>
        <w:t>residents</w:t>
      </w:r>
      <w:r w:rsidRPr="003E69B6">
        <w:rPr>
          <w:rFonts w:ascii="Times New Roman" w:hAnsi="Times New Roman"/>
          <w:sz w:val="24"/>
          <w:szCs w:val="24"/>
        </w:rPr>
        <w:t xml:space="preserve"> and </w:t>
      </w:r>
      <w:r w:rsidRPr="003E69B6">
        <w:rPr>
          <w:rFonts w:ascii="Times New Roman" w:hAnsi="Times New Roman"/>
          <w:b/>
          <w:i/>
          <w:sz w:val="24"/>
          <w:szCs w:val="24"/>
        </w:rPr>
        <w:t>non-residents</w:t>
      </w:r>
      <w:r w:rsidRPr="003E69B6">
        <w:rPr>
          <w:rFonts w:ascii="Times New Roman" w:hAnsi="Times New Roman"/>
          <w:sz w:val="24"/>
          <w:szCs w:val="24"/>
        </w:rPr>
        <w:t xml:space="preserve">.  </w:t>
      </w:r>
    </w:p>
    <w:p w:rsidR="00A85F9F" w:rsidRPr="00A353CE" w:rsidRDefault="00A353CE" w:rsidP="00A353C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A353CE">
        <w:rPr>
          <w:rFonts w:ascii="Arial" w:hAnsi="Arial" w:cs="Arial"/>
          <w:b/>
          <w:sz w:val="24"/>
          <w:szCs w:val="32"/>
        </w:rPr>
        <w:t>Values</w:t>
      </w:r>
    </w:p>
    <w:p w:rsidR="00E8198A" w:rsidRDefault="00E8198A" w:rsidP="00A353CE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all items on </w:t>
      </w:r>
      <w:r w:rsidRPr="00335A1A">
        <w:rPr>
          <w:rFonts w:ascii="Times New Roman" w:hAnsi="Times New Roman"/>
          <w:sz w:val="24"/>
          <w:szCs w:val="24"/>
        </w:rPr>
        <w:t>ARF 720.3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accordance with the Australian Accounting Standards unless otherwise specified.</w:t>
      </w:r>
      <w:r w:rsidR="00146224">
        <w:rPr>
          <w:rFonts w:ascii="Times New Roman" w:hAnsi="Times New Roman"/>
          <w:sz w:val="24"/>
          <w:szCs w:val="24"/>
        </w:rPr>
        <w:t xml:space="preserve"> </w:t>
      </w:r>
      <w:r w:rsidR="00E03030">
        <w:rPr>
          <w:rFonts w:ascii="Times New Roman" w:hAnsi="Times New Roman"/>
          <w:sz w:val="24"/>
          <w:szCs w:val="24"/>
        </w:rPr>
        <w:t>Report</w:t>
      </w:r>
      <w:r w:rsidR="00146224">
        <w:rPr>
          <w:rFonts w:ascii="Times New Roman" w:hAnsi="Times New Roman"/>
          <w:sz w:val="24"/>
          <w:szCs w:val="24"/>
        </w:rPr>
        <w:t xml:space="preserve"> 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="00146224">
        <w:rPr>
          <w:rFonts w:ascii="Times New Roman" w:hAnsi="Times New Roman"/>
          <w:sz w:val="24"/>
          <w:szCs w:val="24"/>
        </w:rPr>
        <w:t xml:space="preserve">for 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146224">
        <w:rPr>
          <w:rFonts w:ascii="Times New Roman" w:hAnsi="Times New Roman"/>
          <w:sz w:val="24"/>
          <w:szCs w:val="24"/>
        </w:rPr>
        <w:t xml:space="preserve">and 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146224">
        <w:rPr>
          <w:rFonts w:ascii="Times New Roman" w:hAnsi="Times New Roman"/>
          <w:sz w:val="24"/>
          <w:szCs w:val="24"/>
        </w:rPr>
        <w:t xml:space="preserve">gross of </w:t>
      </w:r>
      <w:r w:rsidR="00146224">
        <w:rPr>
          <w:rFonts w:ascii="Times New Roman" w:hAnsi="Times New Roman"/>
          <w:b/>
          <w:i/>
          <w:sz w:val="24"/>
          <w:szCs w:val="24"/>
        </w:rPr>
        <w:t>collective provisions</w:t>
      </w:r>
      <w:r w:rsidR="00BB0C5C">
        <w:rPr>
          <w:rFonts w:ascii="Times New Roman" w:hAnsi="Times New Roman"/>
          <w:sz w:val="24"/>
          <w:szCs w:val="24"/>
        </w:rPr>
        <w:t>, however net of</w:t>
      </w:r>
      <w:r w:rsidR="00146224">
        <w:rPr>
          <w:rFonts w:ascii="Times New Roman" w:hAnsi="Times New Roman"/>
          <w:sz w:val="24"/>
          <w:szCs w:val="24"/>
        </w:rPr>
        <w:t xml:space="preserve"> </w:t>
      </w:r>
      <w:r w:rsidR="00146224" w:rsidRPr="004857DC">
        <w:rPr>
          <w:rFonts w:ascii="Times New Roman" w:hAnsi="Times New Roman"/>
          <w:b/>
          <w:i/>
          <w:sz w:val="24"/>
          <w:szCs w:val="24"/>
        </w:rPr>
        <w:t>individual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 provisions</w:t>
      </w:r>
      <w:r w:rsidR="00E03030">
        <w:rPr>
          <w:rFonts w:ascii="Times New Roman" w:hAnsi="Times New Roman"/>
          <w:sz w:val="24"/>
          <w:szCs w:val="24"/>
        </w:rPr>
        <w:t>.</w:t>
      </w:r>
      <w:r w:rsidR="004857DC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E03030">
        <w:rPr>
          <w:rFonts w:ascii="Times New Roman" w:hAnsi="Times New Roman"/>
          <w:sz w:val="24"/>
          <w:szCs w:val="24"/>
        </w:rPr>
        <w:t xml:space="preserve"> Note that this</w:t>
      </w:r>
      <w:r w:rsidR="00146224">
        <w:rPr>
          <w:rFonts w:ascii="Times New Roman" w:hAnsi="Times New Roman"/>
          <w:sz w:val="24"/>
          <w:szCs w:val="24"/>
        </w:rPr>
        <w:t xml:space="preserve"> differs from the reporting of 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loans </w:t>
      </w:r>
      <w:r w:rsidR="00146224">
        <w:rPr>
          <w:rFonts w:ascii="Times New Roman" w:hAnsi="Times New Roman"/>
          <w:sz w:val="24"/>
          <w:szCs w:val="24"/>
        </w:rPr>
        <w:t xml:space="preserve">and </w:t>
      </w:r>
      <w:r w:rsidR="00146224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146224">
        <w:rPr>
          <w:rFonts w:ascii="Times New Roman" w:hAnsi="Times New Roman"/>
          <w:sz w:val="24"/>
          <w:szCs w:val="24"/>
        </w:rPr>
        <w:t xml:space="preserve">under </w:t>
      </w:r>
      <w:r w:rsidR="001410F9">
        <w:rPr>
          <w:rFonts w:ascii="Times New Roman" w:hAnsi="Times New Roman"/>
          <w:sz w:val="24"/>
          <w:szCs w:val="24"/>
        </w:rPr>
        <w:t>Australian Accounting Standards</w:t>
      </w:r>
      <w:r w:rsidR="0014622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1641D8" w:rsidRPr="00757F50" w:rsidRDefault="00E82980" w:rsidP="00A353CE">
      <w:pPr>
        <w:widowControl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monetary amounts on </w:t>
      </w:r>
      <w:r w:rsidR="00E8198A" w:rsidRPr="00335A1A">
        <w:rPr>
          <w:rFonts w:ascii="Times New Roman" w:hAnsi="Times New Roman"/>
          <w:sz w:val="24"/>
          <w:szCs w:val="24"/>
        </w:rPr>
        <w:t>ARF 720.3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Australian dollars or the Australian dollar equivalent of the foreign currency. </w:t>
      </w:r>
      <w:r w:rsidR="005D02BF">
        <w:rPr>
          <w:rFonts w:ascii="Times New Roman" w:hAnsi="Times New Roman"/>
          <w:sz w:val="24"/>
          <w:szCs w:val="24"/>
        </w:rPr>
        <w:t>Convert a</w:t>
      </w:r>
      <w:r w:rsidR="001641D8" w:rsidRPr="001641D8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="001641D8" w:rsidRPr="00214AEE">
        <w:rPr>
          <w:rFonts w:ascii="Times New Roman" w:hAnsi="Times New Roman"/>
          <w:i/>
          <w:sz w:val="24"/>
          <w:szCs w:val="24"/>
        </w:rPr>
        <w:t>AASB 121 The Effects of Changes in Foreign Exchange Rates</w:t>
      </w:r>
      <w:r w:rsidR="001641D8" w:rsidRPr="001641D8">
        <w:rPr>
          <w:rFonts w:ascii="Times New Roman" w:hAnsi="Times New Roman"/>
          <w:sz w:val="24"/>
          <w:szCs w:val="24"/>
        </w:rPr>
        <w:t xml:space="preserve">. </w:t>
      </w:r>
    </w:p>
    <w:p w:rsidR="00E8198A" w:rsidRPr="00450A8F" w:rsidRDefault="005D02BF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B42206" w:rsidRPr="00AB4984">
        <w:rPr>
          <w:rFonts w:ascii="Times New Roman" w:hAnsi="Times New Roman"/>
          <w:sz w:val="24"/>
          <w:szCs w:val="24"/>
        </w:rPr>
        <w:t xml:space="preserve">tems on </w:t>
      </w:r>
      <w:r w:rsidR="00033032" w:rsidRPr="00335A1A">
        <w:rPr>
          <w:rFonts w:ascii="Times New Roman" w:hAnsi="Times New Roman"/>
          <w:sz w:val="24"/>
          <w:szCs w:val="24"/>
        </w:rPr>
        <w:t>AR</w:t>
      </w:r>
      <w:r w:rsidR="009E4BEE" w:rsidRPr="00335A1A">
        <w:rPr>
          <w:rFonts w:ascii="Times New Roman" w:hAnsi="Times New Roman"/>
          <w:sz w:val="24"/>
          <w:szCs w:val="24"/>
        </w:rPr>
        <w:t xml:space="preserve">F </w:t>
      </w:r>
      <w:r w:rsidR="001641D8" w:rsidRPr="00335A1A">
        <w:rPr>
          <w:rFonts w:ascii="Times New Roman" w:hAnsi="Times New Roman"/>
          <w:sz w:val="24"/>
          <w:szCs w:val="24"/>
        </w:rPr>
        <w:t>720.3</w:t>
      </w:r>
      <w:r w:rsidR="00647986" w:rsidRPr="00335A1A">
        <w:rPr>
          <w:rFonts w:ascii="Times New Roman" w:hAnsi="Times New Roman"/>
          <w:sz w:val="24"/>
          <w:szCs w:val="24"/>
        </w:rPr>
        <w:t xml:space="preserve"> </w:t>
      </w:r>
      <w:r w:rsidR="0000299D">
        <w:rPr>
          <w:rFonts w:ascii="Times New Roman" w:hAnsi="Times New Roman"/>
          <w:sz w:val="24"/>
          <w:szCs w:val="24"/>
        </w:rPr>
        <w:t>in whole dollars</w:t>
      </w:r>
      <w:r w:rsidR="00B42206" w:rsidRPr="00AB4984">
        <w:rPr>
          <w:rFonts w:ascii="Times New Roman" w:hAnsi="Times New Roman"/>
          <w:sz w:val="24"/>
          <w:szCs w:val="24"/>
        </w:rPr>
        <w:t xml:space="preserve">. </w:t>
      </w:r>
    </w:p>
    <w:p w:rsidR="0048382E" w:rsidRPr="00A353CE" w:rsidRDefault="0048382E" w:rsidP="00A353CE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A353CE">
        <w:rPr>
          <w:rFonts w:ascii="Arial" w:hAnsi="Arial" w:cs="Arial"/>
          <w:b/>
          <w:sz w:val="24"/>
          <w:szCs w:val="32"/>
        </w:rPr>
        <w:t xml:space="preserve">Standard Business Reporting (SBR) </w:t>
      </w:r>
    </w:p>
    <w:p w:rsidR="0048382E" w:rsidRDefault="0048382E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accounting balance type (i.e. credit or debit) is stated for all monetary items and represents the natural accounting type of the item collected.  </w:t>
      </w:r>
    </w:p>
    <w:p w:rsidR="00401EFB" w:rsidRPr="00AB4984" w:rsidRDefault="00B95FF0" w:rsidP="00A353CE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</w:p>
    <w:p w:rsidR="00827675" w:rsidRPr="00AB4984" w:rsidRDefault="000952DD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F214D7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ARS </w:t>
      </w:r>
      <w:r w:rsidR="00E8198A">
        <w:rPr>
          <w:rFonts w:ascii="Times New Roman" w:hAnsi="Times New Roman"/>
          <w:sz w:val="24"/>
          <w:szCs w:val="24"/>
        </w:rPr>
        <w:t>7</w:t>
      </w:r>
      <w:r w:rsidR="00033032" w:rsidRPr="00AB4984">
        <w:rPr>
          <w:rFonts w:ascii="Times New Roman" w:hAnsi="Times New Roman"/>
          <w:sz w:val="24"/>
          <w:szCs w:val="24"/>
        </w:rPr>
        <w:t>01</w:t>
      </w:r>
      <w:r w:rsidR="00E8198A">
        <w:rPr>
          <w:rFonts w:ascii="Times New Roman" w:hAnsi="Times New Roman"/>
          <w:sz w:val="24"/>
          <w:szCs w:val="24"/>
        </w:rPr>
        <w:t>.0</w:t>
      </w:r>
      <w:r w:rsidR="008D437E">
        <w:rPr>
          <w:rFonts w:ascii="Times New Roman" w:hAnsi="Times New Roman"/>
          <w:sz w:val="24"/>
          <w:szCs w:val="24"/>
        </w:rPr>
        <w:t xml:space="preserve">.  </w:t>
      </w:r>
    </w:p>
    <w:p w:rsidR="000952DD" w:rsidRPr="00AB4984" w:rsidRDefault="00827675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E8198A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:rsidR="003D2EFF" w:rsidRPr="00AB4984" w:rsidRDefault="003D2EFF" w:rsidP="00A353CE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>Examples included under ‘Include’ and ‘Exclude’</w:t>
      </w:r>
      <w:r w:rsidR="00AC1142">
        <w:rPr>
          <w:rFonts w:ascii="Times New Roman" w:hAnsi="Times New Roman"/>
          <w:sz w:val="24"/>
          <w:szCs w:val="24"/>
        </w:rPr>
        <w:t xml:space="preserve"> 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 </w:t>
      </w:r>
    </w:p>
    <w:p w:rsidR="006806F8" w:rsidRPr="00AB4984" w:rsidRDefault="001641D8" w:rsidP="00A353CE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Intra-group assets – by asset type</w:t>
      </w:r>
    </w:p>
    <w:p w:rsidR="006A3F53" w:rsidRDefault="007D3260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 w:rsidR="00B95FF0" w:rsidRPr="00AB4984">
        <w:rPr>
          <w:rFonts w:ascii="Times New Roman" w:hAnsi="Times New Roman"/>
          <w:sz w:val="24"/>
          <w:szCs w:val="24"/>
        </w:rPr>
        <w:t>tem 1 collect</w:t>
      </w:r>
      <w:r w:rsidRPr="00AB4984">
        <w:rPr>
          <w:rFonts w:ascii="Times New Roman" w:hAnsi="Times New Roman"/>
          <w:sz w:val="24"/>
          <w:szCs w:val="24"/>
        </w:rPr>
        <w:t>s</w:t>
      </w:r>
      <w:r w:rsidR="00B95FF0" w:rsidRPr="00AB4984">
        <w:rPr>
          <w:rFonts w:ascii="Times New Roman" w:hAnsi="Times New Roman"/>
          <w:sz w:val="24"/>
          <w:szCs w:val="24"/>
        </w:rPr>
        <w:t xml:space="preserve"> information </w:t>
      </w:r>
      <w:r w:rsidR="00033032" w:rsidRPr="00AB4984">
        <w:rPr>
          <w:rFonts w:ascii="Times New Roman" w:hAnsi="Times New Roman"/>
          <w:sz w:val="24"/>
          <w:szCs w:val="24"/>
        </w:rPr>
        <w:t xml:space="preserve">on the value of </w:t>
      </w:r>
      <w:r w:rsidR="001641D8" w:rsidRPr="001641D8">
        <w:rPr>
          <w:rFonts w:ascii="Times New Roman" w:hAnsi="Times New Roman"/>
          <w:sz w:val="24"/>
          <w:szCs w:val="24"/>
        </w:rPr>
        <w:t xml:space="preserve">assets due from </w:t>
      </w:r>
      <w:r w:rsidR="001641D8" w:rsidRPr="001641D8">
        <w:rPr>
          <w:rFonts w:ascii="Times New Roman" w:hAnsi="Times New Roman"/>
          <w:b/>
          <w:i/>
          <w:sz w:val="24"/>
          <w:szCs w:val="24"/>
        </w:rPr>
        <w:t>related parties</w:t>
      </w:r>
      <w:r w:rsidR="001641D8" w:rsidRPr="001641D8">
        <w:rPr>
          <w:rFonts w:ascii="Times New Roman" w:hAnsi="Times New Roman"/>
          <w:sz w:val="24"/>
          <w:szCs w:val="24"/>
        </w:rPr>
        <w:t xml:space="preserve"> (</w:t>
      </w:r>
      <w:r w:rsidR="001641D8" w:rsidRPr="001641D8">
        <w:rPr>
          <w:rFonts w:ascii="Times New Roman" w:hAnsi="Times New Roman"/>
          <w:b/>
          <w:i/>
          <w:sz w:val="24"/>
          <w:szCs w:val="24"/>
        </w:rPr>
        <w:t>intra-group</w:t>
      </w:r>
      <w:r w:rsidR="001641D8" w:rsidRPr="001641D8">
        <w:rPr>
          <w:rFonts w:ascii="Times New Roman" w:hAnsi="Times New Roman"/>
          <w:sz w:val="24"/>
          <w:szCs w:val="24"/>
        </w:rPr>
        <w:t xml:space="preserve"> assets) by type of asset, and counterparty of the borrower for </w:t>
      </w:r>
      <w:r w:rsidR="00684D73" w:rsidRPr="007656CC">
        <w:rPr>
          <w:rFonts w:ascii="Times New Roman" w:hAnsi="Times New Roman"/>
          <w:b/>
          <w:bCs/>
          <w:i/>
          <w:sz w:val="24"/>
          <w:szCs w:val="24"/>
        </w:rPr>
        <w:t xml:space="preserve">loans </w:t>
      </w:r>
      <w:r w:rsidR="00684D73">
        <w:rPr>
          <w:rFonts w:ascii="Times New Roman" w:hAnsi="Times New Roman"/>
          <w:bCs/>
          <w:sz w:val="24"/>
          <w:szCs w:val="24"/>
        </w:rPr>
        <w:t xml:space="preserve">and </w:t>
      </w:r>
      <w:r w:rsidR="00684D73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1641D8">
        <w:rPr>
          <w:rFonts w:ascii="Times New Roman" w:hAnsi="Times New Roman"/>
          <w:sz w:val="24"/>
          <w:szCs w:val="24"/>
        </w:rPr>
        <w:t xml:space="preserve">.  </w:t>
      </w:r>
    </w:p>
    <w:p w:rsidR="00E95507" w:rsidRPr="00E95507" w:rsidRDefault="00E95507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SBR: </w:t>
      </w:r>
      <w:r>
        <w:rPr>
          <w:rFonts w:ascii="Times New Roman" w:hAnsi="Times New Roman"/>
          <w:sz w:val="24"/>
          <w:szCs w:val="24"/>
        </w:rPr>
        <w:t>submit item 1 with accounting type of debit (assets).</w:t>
      </w:r>
    </w:p>
    <w:p w:rsidR="006D7EC5" w:rsidRDefault="006D7EC5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securities </w:t>
      </w:r>
      <w:r w:rsidR="009E7A45">
        <w:rPr>
          <w:rFonts w:ascii="Times New Roman" w:hAnsi="Times New Roman"/>
          <w:sz w:val="24"/>
          <w:szCs w:val="24"/>
        </w:rPr>
        <w:t xml:space="preserve">adjusted for the value </w:t>
      </w:r>
      <w:r>
        <w:rPr>
          <w:rFonts w:ascii="Times New Roman" w:hAnsi="Times New Roman"/>
          <w:sz w:val="24"/>
          <w:szCs w:val="24"/>
        </w:rPr>
        <w:t xml:space="preserve">of </w:t>
      </w:r>
      <w:r w:rsidRPr="00B84CE2">
        <w:rPr>
          <w:rFonts w:ascii="Times New Roman" w:hAnsi="Times New Roman"/>
          <w:b/>
          <w:i/>
          <w:sz w:val="24"/>
          <w:szCs w:val="24"/>
        </w:rPr>
        <w:t>short-sold positions</w:t>
      </w:r>
      <w:r w:rsidR="005D02B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E7A45" w:rsidRPr="002B7E42">
        <w:rPr>
          <w:rFonts w:ascii="Times New Roman" w:hAnsi="Times New Roman"/>
          <w:sz w:val="24"/>
          <w:szCs w:val="24"/>
        </w:rPr>
        <w:t xml:space="preserve">That is, report the value of securities held less the value of securities </w:t>
      </w:r>
      <w:r w:rsidR="009E7A45">
        <w:rPr>
          <w:rFonts w:ascii="Times New Roman" w:hAnsi="Times New Roman"/>
          <w:sz w:val="24"/>
          <w:szCs w:val="24"/>
        </w:rPr>
        <w:t xml:space="preserve">sold </w:t>
      </w:r>
      <w:r w:rsidR="009E7A45" w:rsidRPr="002B7E42">
        <w:rPr>
          <w:rFonts w:ascii="Times New Roman" w:hAnsi="Times New Roman"/>
          <w:sz w:val="24"/>
          <w:szCs w:val="24"/>
        </w:rPr>
        <w:t xml:space="preserve">short. </w:t>
      </w:r>
    </w:p>
    <w:p w:rsidR="00766866" w:rsidRPr="00AB4984" w:rsidRDefault="006D7EC5" w:rsidP="00A353C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include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>
        <w:rPr>
          <w:rFonts w:ascii="Times New Roman" w:hAnsi="Times New Roman"/>
          <w:sz w:val="24"/>
          <w:szCs w:val="24"/>
        </w:rPr>
        <w:t xml:space="preserve">held on-balance sheet.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:rsidTr="00766866">
        <w:tc>
          <w:tcPr>
            <w:tcW w:w="1701" w:type="dxa"/>
            <w:shd w:val="clear" w:color="auto" w:fill="auto"/>
          </w:tcPr>
          <w:p w:rsidR="00766866" w:rsidRPr="00AB4984" w:rsidRDefault="00766866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:rsidR="00FA0C8D" w:rsidRDefault="00FA0C8D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  <w:p w:rsidR="008D0143" w:rsidRPr="00214AEE" w:rsidRDefault="008D014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For item 1.</w:t>
            </w:r>
            <w:r w:rsidR="00E2467F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F122E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02566">
              <w:rPr>
                <w:rFonts w:ascii="Times New Roman" w:hAnsi="Times New Roman"/>
                <w:bCs/>
                <w:sz w:val="24"/>
                <w:szCs w:val="24"/>
              </w:rPr>
              <w:t xml:space="preserve">to 1.1.5.2 </w:t>
            </w:r>
            <w:r w:rsidR="00F122EC">
              <w:rPr>
                <w:rFonts w:ascii="Times New Roman" w:hAnsi="Times New Roman"/>
                <w:bCs/>
                <w:sz w:val="24"/>
                <w:szCs w:val="24"/>
              </w:rPr>
              <w:t>inclusive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766866" w:rsidRPr="00AB4984" w:rsidTr="00FA0C8D">
        <w:tc>
          <w:tcPr>
            <w:tcW w:w="1701" w:type="dxa"/>
            <w:shd w:val="clear" w:color="auto" w:fill="auto"/>
          </w:tcPr>
          <w:p w:rsidR="00766866" w:rsidRPr="00AB4984" w:rsidRDefault="00766866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:rsidR="00766866" w:rsidRPr="00214AEE" w:rsidRDefault="00FA0C8D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022A">
              <w:rPr>
                <w:rFonts w:ascii="Times New Roman" w:hAnsi="Times New Roman"/>
                <w:sz w:val="24"/>
                <w:szCs w:val="24"/>
              </w:rPr>
              <w:t xml:space="preserve">Of the amount reported in column 1, </w:t>
            </w:r>
            <w:r w:rsidR="00E8198A">
              <w:rPr>
                <w:rFonts w:ascii="Times New Roman" w:hAnsi="Times New Roman"/>
                <w:sz w:val="24"/>
                <w:szCs w:val="24"/>
              </w:rPr>
              <w:t>report the</w:t>
            </w:r>
            <w:r w:rsidR="00E8198A" w:rsidRPr="00880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4197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88022A">
              <w:rPr>
                <w:rFonts w:ascii="Times New Roman" w:hAnsi="Times New Roman"/>
                <w:sz w:val="24"/>
                <w:szCs w:val="24"/>
              </w:rPr>
              <w:t xml:space="preserve">that is denominated in a foreign currency. </w:t>
            </w:r>
          </w:p>
        </w:tc>
      </w:tr>
    </w:tbl>
    <w:p w:rsidR="000952DD" w:rsidRPr="00AB4984" w:rsidRDefault="000952DD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28"/>
      </w:tblGrid>
      <w:tr w:rsidR="00AB4984" w:rsidRPr="00AB4984" w:rsidTr="00E2467F">
        <w:tc>
          <w:tcPr>
            <w:tcW w:w="1843" w:type="dxa"/>
            <w:shd w:val="clear" w:color="auto" w:fill="auto"/>
          </w:tcPr>
          <w:p w:rsidR="00EC46FD" w:rsidRPr="00AB4984" w:rsidRDefault="00EC46FD" w:rsidP="00F75CD3">
            <w:pPr>
              <w:numPr>
                <w:ilvl w:val="1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0013AB" w:rsidRPr="00FA0C8D" w:rsidRDefault="00FA0C8D" w:rsidP="00194E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="00F122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intra-group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FA0C8D" w:rsidRPr="00AB4984" w:rsidTr="00E2467F">
        <w:tc>
          <w:tcPr>
            <w:tcW w:w="1843" w:type="dxa"/>
            <w:shd w:val="clear" w:color="auto" w:fill="auto"/>
          </w:tcPr>
          <w:p w:rsidR="00FA0C8D" w:rsidRPr="00AB4984" w:rsidRDefault="00FA0C8D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0C8D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 with</w:t>
            </w:r>
            <w:r w:rsidR="00646F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institutions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FA63A9" w:rsidRPr="00FA63A9" w:rsidRDefault="00FA63A9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4984">
              <w:rPr>
                <w:rFonts w:ascii="Times New Roman" w:hAnsi="Times New Roman"/>
                <w:sz w:val="24"/>
                <w:szCs w:val="24"/>
              </w:rPr>
              <w:t>Item 1</w:t>
            </w:r>
            <w:r w:rsidR="000957C9">
              <w:rPr>
                <w:rFonts w:ascii="Times New Roman" w:hAnsi="Times New Roman"/>
                <w:sz w:val="24"/>
                <w:szCs w:val="24"/>
              </w:rPr>
              <w:t>.1.1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total </w:t>
            </w:r>
            <w:r w:rsidR="00646F7D">
              <w:rPr>
                <w:rFonts w:ascii="Times New Roman" w:hAnsi="Times New Roman"/>
                <w:sz w:val="24"/>
                <w:szCs w:val="24"/>
              </w:rPr>
              <w:t xml:space="preserve">funds </w:t>
            </w:r>
            <w:r w:rsidR="001410F9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1410F9">
              <w:rPr>
                <w:rFonts w:ascii="Times New Roman" w:hAnsi="Times New Roman"/>
                <w:b/>
                <w:i/>
                <w:sz w:val="24"/>
                <w:szCs w:val="24"/>
              </w:rPr>
              <w:t>deposit</w:t>
            </w:r>
            <w:r w:rsidRPr="00AB498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>in item 1</w:t>
            </w:r>
            <w:r w:rsidR="000957C9">
              <w:rPr>
                <w:rFonts w:ascii="Times New Roman" w:hAnsi="Times New Roman"/>
                <w:sz w:val="24"/>
                <w:szCs w:val="24"/>
              </w:rPr>
              <w:t>.1.1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1410F9">
              <w:rPr>
                <w:rFonts w:ascii="Times New Roman" w:hAnsi="Times New Roman"/>
                <w:sz w:val="24"/>
                <w:szCs w:val="24"/>
              </w:rPr>
              <w:t xml:space="preserve"> item </w:t>
            </w:r>
            <w:r>
              <w:rPr>
                <w:rFonts w:ascii="Times New Roman" w:hAnsi="Times New Roman"/>
                <w:sz w:val="24"/>
                <w:szCs w:val="24"/>
              </w:rPr>
              <w:t>1.1.1</w:t>
            </w:r>
            <w:r w:rsidR="000957C9">
              <w:rPr>
                <w:rFonts w:ascii="Times New Roman" w:hAnsi="Times New Roman"/>
                <w:sz w:val="24"/>
                <w:szCs w:val="24"/>
              </w:rPr>
              <w:t>.1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1410F9">
              <w:rPr>
                <w:rFonts w:ascii="Times New Roman" w:hAnsi="Times New Roman"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sz w:val="24"/>
                <w:szCs w:val="24"/>
              </w:rPr>
              <w:t>1.1.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</w:t>
            </w:r>
            <w:r w:rsidR="00646F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646F7D">
              <w:rPr>
                <w:rFonts w:ascii="Times New Roman" w:hAnsi="Times New Roman"/>
                <w:bCs/>
                <w:sz w:val="24"/>
                <w:szCs w:val="24"/>
              </w:rPr>
              <w:t>at call.</w:t>
            </w:r>
            <w:r w:rsidR="00A353CE" w:rsidRPr="00646F7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funds on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 </w:t>
            </w:r>
            <w:r w:rsidR="00646F7D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646F7D">
              <w:rPr>
                <w:rFonts w:ascii="Times New Roman" w:hAnsi="Times New Roman"/>
                <w:bCs/>
                <w:sz w:val="24"/>
                <w:szCs w:val="24"/>
              </w:rPr>
              <w:t>not at call.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4363C0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held for trading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4363C0" w:rsidRPr="00BD3FD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 xml:space="preserve">That is, report the value of </w:t>
            </w:r>
            <w:r w:rsidR="009E7A45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held for trading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 xml:space="preserve"> held less the value of </w:t>
            </w:r>
            <w:r w:rsidR="009E7A45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held for trading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sz w:val="24"/>
                <w:szCs w:val="24"/>
              </w:rPr>
              <w:t>sold short.</w:t>
            </w:r>
          </w:p>
          <w:p w:rsidR="00FA63A9" w:rsidRPr="004363C0" w:rsidRDefault="00FA63A9" w:rsidP="009E7A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>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2 is a derived item.  Report the value of </w:t>
            </w:r>
            <w:r w:rsidRPr="00FA63A9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held for trading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2 as the sum of</w:t>
            </w:r>
            <w:r w:rsidR="001410F9">
              <w:rPr>
                <w:rFonts w:ascii="Times New Roman" w:hAnsi="Times New Roman"/>
                <w:sz w:val="24"/>
                <w:szCs w:val="24"/>
              </w:rPr>
              <w:t xml:space="preserve"> item 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2.2 and </w:t>
            </w:r>
            <w:r w:rsidR="001410F9">
              <w:rPr>
                <w:rFonts w:ascii="Times New Roman" w:hAnsi="Times New Roman"/>
                <w:sz w:val="24"/>
                <w:szCs w:val="24"/>
              </w:rPr>
              <w:t>item 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2.3.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94197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C94197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C94197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 w:rsidR="000957C9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2, </w:t>
            </w:r>
            <w:r w:rsidR="00E8198A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C94197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E8198A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backed securities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9E7A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held for trading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684D73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36C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="003836CB">
              <w:rPr>
                <w:rFonts w:ascii="Times New Roman" w:hAnsi="Times New Roman"/>
                <w:bCs/>
                <w:sz w:val="24"/>
                <w:szCs w:val="24"/>
              </w:rPr>
              <w:t xml:space="preserve">Include </w:t>
            </w:r>
            <w:r w:rsidR="003836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="003836CB">
              <w:rPr>
                <w:rFonts w:ascii="Times New Roman" w:hAnsi="Times New Roman"/>
                <w:bCs/>
                <w:sz w:val="24"/>
                <w:szCs w:val="24"/>
              </w:rPr>
              <w:t>held that have been accepted by your institution or another institution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9E7A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held for trading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684D73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836CB">
              <w:rPr>
                <w:rFonts w:ascii="Times New Roman" w:hAnsi="Times New Roman"/>
                <w:bCs/>
                <w:sz w:val="24"/>
                <w:szCs w:val="24"/>
              </w:rPr>
              <w:t xml:space="preserve"> Include </w:t>
            </w:r>
            <w:r w:rsidR="003836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="003836CB">
              <w:rPr>
                <w:rFonts w:ascii="Times New Roman" w:hAnsi="Times New Roman"/>
                <w:bCs/>
                <w:sz w:val="24"/>
                <w:szCs w:val="24"/>
              </w:rPr>
              <w:t xml:space="preserve">held that have been </w:t>
            </w:r>
            <w:r w:rsidR="003836CB" w:rsidRPr="00214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accepted</w:t>
            </w:r>
            <w:r w:rsidR="003836CB">
              <w:rPr>
                <w:rFonts w:ascii="Times New Roman" w:hAnsi="Times New Roman"/>
                <w:bCs/>
                <w:sz w:val="24"/>
                <w:szCs w:val="24"/>
              </w:rPr>
              <w:t xml:space="preserve"> by your institution or another institution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4363C0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not held for trading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4363C0"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4363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 xml:space="preserve">That is, report the value of </w:t>
            </w:r>
            <w:r w:rsidR="009E7A45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not held for trading 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 xml:space="preserve">held less the value of </w:t>
            </w:r>
            <w:r w:rsidR="009E7A45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not held for trading </w:t>
            </w:r>
            <w:r w:rsidR="009E7A45">
              <w:rPr>
                <w:rFonts w:ascii="Times New Roman" w:hAnsi="Times New Roman"/>
                <w:sz w:val="24"/>
                <w:szCs w:val="24"/>
              </w:rPr>
              <w:t xml:space="preserve">sold </w:t>
            </w:r>
            <w:r w:rsidR="009E7A45" w:rsidRPr="002B7E42">
              <w:rPr>
                <w:rFonts w:ascii="Times New Roman" w:hAnsi="Times New Roman"/>
                <w:sz w:val="24"/>
                <w:szCs w:val="24"/>
              </w:rPr>
              <w:t>short</w:t>
            </w:r>
            <w:r w:rsidR="009E7A45"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4363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FA63A9" w:rsidRPr="004363C0" w:rsidRDefault="00FA63A9" w:rsidP="009E7A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Pr="00FA63A9">
              <w:rPr>
                <w:rFonts w:ascii="Times New Roman" w:hAnsi="Times New Roman"/>
                <w:b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not held for trading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214AE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214AEE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684D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38717D">
              <w:rPr>
                <w:rFonts w:ascii="Times New Roman" w:hAnsi="Times New Roman"/>
                <w:sz w:val="24"/>
                <w:szCs w:val="24"/>
              </w:rPr>
              <w:t xml:space="preserve"> item 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3836CB">
              <w:rPr>
                <w:rFonts w:ascii="Times New Roman" w:hAnsi="Times New Roman"/>
                <w:sz w:val="24"/>
                <w:szCs w:val="24"/>
              </w:rPr>
              <w:t>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.2 and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3836CB">
              <w:rPr>
                <w:rFonts w:ascii="Times New Roman" w:hAnsi="Times New Roman"/>
                <w:sz w:val="24"/>
                <w:szCs w:val="24"/>
              </w:rPr>
              <w:t>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.3.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A274A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7A274A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7A274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 w:rsidR="000957C9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3, report the value </w:t>
            </w:r>
            <w:r w:rsidR="00E8198A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="007A274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backed securities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4363C0" w:rsidRPr="00AB4984" w:rsidTr="00E2467F">
        <w:tc>
          <w:tcPr>
            <w:tcW w:w="1843" w:type="dxa"/>
            <w:shd w:val="clear" w:color="auto" w:fill="auto"/>
          </w:tcPr>
          <w:p w:rsidR="004363C0" w:rsidRPr="00AB4984" w:rsidRDefault="004363C0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4363C0" w:rsidRPr="004363C0" w:rsidRDefault="004363C0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A274A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7A274A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 w:rsidR="000957C9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3.1, 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self-securitised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>assets.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9E7A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not held for trading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684D73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6D7EC5" w:rsidRPr="006A0E13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Include </w:t>
            </w:r>
            <w:r w:rsidR="006D7EC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held that have been </w:t>
            </w:r>
            <w:r w:rsidR="006D7EC5" w:rsidRPr="00214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accepted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 by your institution or another institution.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9E7A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</w:t>
            </w:r>
            <w:r w:rsidR="009E7A4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not held for trading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E7A45">
              <w:rPr>
                <w:rFonts w:ascii="Times New Roman" w:hAnsi="Times New Roman"/>
                <w:bCs/>
                <w:sz w:val="24"/>
                <w:szCs w:val="24"/>
              </w:rPr>
              <w:t>adjusted for the value</w:t>
            </w:r>
            <w:r w:rsidR="009E7A45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84D73" w:rsidRPr="00BD3FD5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="00684D73" w:rsidRPr="00B84C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short-sold positions</w:t>
            </w:r>
            <w:r w:rsidR="00684D73" w:rsidRPr="00F2011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20115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hat are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="006D7EC5" w:rsidRPr="006A0E13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6D7EC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Include </w:t>
            </w:r>
            <w:r w:rsidR="006D7EC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held that have been </w:t>
            </w:r>
            <w:r w:rsidR="006D7EC5" w:rsidRPr="00214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accepted</w:t>
            </w:r>
            <w:r w:rsidR="006D7EC5">
              <w:rPr>
                <w:rFonts w:ascii="Times New Roman" w:hAnsi="Times New Roman"/>
                <w:bCs/>
                <w:sz w:val="24"/>
                <w:szCs w:val="24"/>
              </w:rPr>
              <w:t xml:space="preserve"> by your institution or another institution.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acceptances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have been </w:t>
            </w:r>
            <w:r w:rsidRPr="00214A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accepted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by </w:t>
            </w:r>
            <w:r w:rsidR="00E95507">
              <w:rPr>
                <w:rFonts w:ascii="Times New Roman" w:hAnsi="Times New Roman"/>
                <w:bCs/>
                <w:sz w:val="24"/>
                <w:szCs w:val="24"/>
              </w:rPr>
              <w:t>your institution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but which are </w:t>
            </w:r>
            <w:r w:rsidRPr="00944702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="00E95507">
              <w:rPr>
                <w:rFonts w:ascii="Times New Roman" w:hAnsi="Times New Roman"/>
                <w:bCs/>
                <w:sz w:val="24"/>
                <w:szCs w:val="24"/>
              </w:rPr>
              <w:t>your institution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FA63A9" w:rsidRPr="004363C0" w:rsidRDefault="00F92FE9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FA63A9" w:rsidRPr="00FA63A9">
              <w:rPr>
                <w:rFonts w:ascii="Times New Roman" w:hAnsi="Times New Roman"/>
                <w:sz w:val="24"/>
                <w:szCs w:val="24"/>
              </w:rPr>
              <w:t xml:space="preserve">tem </w:t>
            </w:r>
            <w:r w:rsidR="00FA63A9"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FA63A9">
              <w:rPr>
                <w:rFonts w:ascii="Times New Roman" w:hAnsi="Times New Roman"/>
                <w:sz w:val="24"/>
                <w:szCs w:val="24"/>
              </w:rPr>
              <w:t>5</w:t>
            </w:r>
            <w:r w:rsidR="00FA63A9"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</w:t>
            </w:r>
            <w:r w:rsidR="008D0143">
              <w:rPr>
                <w:rFonts w:ascii="Times New Roman" w:hAnsi="Times New Roman"/>
                <w:sz w:val="24"/>
                <w:szCs w:val="24"/>
              </w:rPr>
              <w:t>for</w:t>
            </w:r>
            <w:r w:rsidR="008D0143"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FA63A9"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3A9">
              <w:rPr>
                <w:rFonts w:ascii="Times New Roman" w:hAnsi="Times New Roman"/>
                <w:sz w:val="24"/>
                <w:szCs w:val="24"/>
              </w:rPr>
              <w:t>in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FA63A9">
              <w:rPr>
                <w:rFonts w:ascii="Times New Roman" w:hAnsi="Times New Roman"/>
                <w:sz w:val="24"/>
                <w:szCs w:val="24"/>
              </w:rPr>
              <w:t>5</w:t>
            </w:r>
            <w:r w:rsidR="00FA63A9" w:rsidRPr="00FA63A9">
              <w:rPr>
                <w:rFonts w:ascii="Times New Roman" w:hAnsi="Times New Roman"/>
                <w:sz w:val="24"/>
                <w:szCs w:val="24"/>
              </w:rPr>
              <w:t xml:space="preserve"> as the sum of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 w:rsidR="00FA63A9"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8428AE">
              <w:rPr>
                <w:rFonts w:ascii="Times New Roman" w:hAnsi="Times New Roman"/>
                <w:sz w:val="24"/>
                <w:szCs w:val="24"/>
              </w:rPr>
              <w:t>5.1</w:t>
            </w:r>
            <w:r w:rsidR="00FA63A9"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28AE">
              <w:rPr>
                <w:rFonts w:ascii="Times New Roman" w:hAnsi="Times New Roman"/>
                <w:sz w:val="24"/>
                <w:szCs w:val="24"/>
              </w:rPr>
              <w:t>and</w:t>
            </w:r>
            <w:r w:rsidR="00FA63A9" w:rsidRPr="008428AE">
              <w:rPr>
                <w:rFonts w:ascii="Times New Roman" w:hAnsi="Times New Roman"/>
                <w:sz w:val="24"/>
                <w:szCs w:val="24"/>
              </w:rPr>
              <w:t xml:space="preserve">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 w:rsidR="008428AE">
              <w:rPr>
                <w:rFonts w:ascii="Times New Roman" w:hAnsi="Times New Roman"/>
                <w:sz w:val="24"/>
                <w:szCs w:val="24"/>
              </w:rPr>
              <w:t>5.</w:t>
            </w:r>
            <w:r w:rsidR="00FA63A9" w:rsidRPr="008428AE">
              <w:rPr>
                <w:rFonts w:ascii="Times New Roman" w:hAnsi="Times New Roman"/>
                <w:sz w:val="24"/>
                <w:szCs w:val="24"/>
              </w:rPr>
              <w:t>2</w:t>
            </w:r>
            <w:r w:rsidR="008428AE" w:rsidRPr="008428AE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="00FA63A9" w:rsidRPr="008428A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8428AE" w:rsidRPr="00AB4984" w:rsidTr="00E2467F">
        <w:tc>
          <w:tcPr>
            <w:tcW w:w="1843" w:type="dxa"/>
            <w:shd w:val="clear" w:color="auto" w:fill="auto"/>
          </w:tcPr>
          <w:p w:rsidR="008428AE" w:rsidRPr="00AB4984" w:rsidRDefault="008428AE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428AE" w:rsidRPr="00944702" w:rsidRDefault="008428AE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8428AE" w:rsidRPr="004363C0" w:rsidRDefault="008428AE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</w:t>
            </w:r>
            <w:r w:rsidR="008D0143">
              <w:rPr>
                <w:rFonts w:ascii="Times New Roman" w:hAnsi="Times New Roman"/>
                <w:sz w:val="24"/>
                <w:szCs w:val="24"/>
              </w:rPr>
              <w:t>for</w:t>
            </w:r>
            <w:r w:rsidR="008D0143"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the sum of item</w:t>
            </w:r>
            <w:r w:rsidR="0099394A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5.1.1</w:t>
            </w:r>
            <w:r w:rsidR="0099394A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5.1.3</w:t>
            </w:r>
            <w:r w:rsidR="0099394A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428AE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92FE9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F92FE9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non-financial businesses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B870A8" w:rsidRPr="00944702" w:rsidRDefault="00B870A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intuitions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:rsidR="00FA63A9" w:rsidRPr="00A353CE" w:rsidRDefault="00B870A8" w:rsidP="002F42B0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1.1.5.1.3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1.1.5.1.3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DF29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 sum 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5D7BB7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 1.1.5.1.3.1</w:t>
            </w:r>
            <w:r w:rsidR="005D7BB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805830">
              <w:rPr>
                <w:rFonts w:ascii="Times New Roman" w:hAnsi="Times New Roman"/>
                <w:sz w:val="24"/>
                <w:szCs w:val="24"/>
              </w:rPr>
              <w:t>1.1.5.1.3.1</w:t>
            </w:r>
            <w:r w:rsidR="002F42B0">
              <w:rPr>
                <w:rFonts w:ascii="Times New Roman" w:hAnsi="Times New Roman"/>
                <w:sz w:val="24"/>
                <w:szCs w:val="24"/>
              </w:rPr>
              <w:t>0</w:t>
            </w:r>
            <w:r w:rsidR="005D7BB7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E95507">
              <w:rPr>
                <w:rFonts w:ascii="Times New Roman" w:hAnsi="Times New Roman"/>
                <w:sz w:val="24"/>
                <w:szCs w:val="24"/>
              </w:rPr>
              <w:t>.</w:t>
            </w:r>
            <w:r w:rsidRPr="00DF29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344E5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44E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A131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egistered financial corporations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A131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ife insurance corporations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other insurance corporations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="00E955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E95507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944702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92FE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auxiliaries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F92FE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securitisers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7D2F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FA63A9" w:rsidRPr="00A353CE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F92FE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non-money-market financial investment funds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FA63A9" w:rsidRPr="00AB4984" w:rsidTr="00E2467F">
        <w:tc>
          <w:tcPr>
            <w:tcW w:w="1843" w:type="dxa"/>
            <w:shd w:val="clear" w:color="auto" w:fill="auto"/>
          </w:tcPr>
          <w:p w:rsidR="00FA63A9" w:rsidRPr="00AB4984" w:rsidRDefault="00FA63A9" w:rsidP="00F75CD3">
            <w:pPr>
              <w:numPr>
                <w:ilvl w:val="5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9C41FB" w:rsidRPr="009C41FB" w:rsidRDefault="00FA63A9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financial intuitions </w:t>
            </w:r>
            <w:r w:rsidR="00DF29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n.e.c</w:t>
            </w:r>
            <w:r w:rsidRPr="00BD3FD5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9C41FB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8428AE" w:rsidRPr="00AB4984" w:rsidTr="00E2467F">
        <w:tc>
          <w:tcPr>
            <w:tcW w:w="1843" w:type="dxa"/>
            <w:shd w:val="clear" w:color="auto" w:fill="auto"/>
          </w:tcPr>
          <w:p w:rsidR="008428AE" w:rsidRPr="00AB4984" w:rsidRDefault="008428AE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428AE" w:rsidRPr="00A353CE" w:rsidRDefault="008428AE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for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684D73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684D73" w:rsidRPr="00944702" w:rsidDel="00684D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428AE" w:rsidRPr="00AB4984" w:rsidTr="00E2467F">
        <w:tc>
          <w:tcPr>
            <w:tcW w:w="1843" w:type="dxa"/>
            <w:shd w:val="clear" w:color="auto" w:fill="auto"/>
          </w:tcPr>
          <w:p w:rsidR="008428AE" w:rsidRPr="00AB4984" w:rsidRDefault="008428AE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428AE" w:rsidRDefault="008428AE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any other assets that are not </w:t>
            </w:r>
            <w:r w:rsidR="004363C0">
              <w:rPr>
                <w:rFonts w:ascii="Times New Roman" w:hAnsi="Times New Roman"/>
                <w:bCs/>
                <w:sz w:val="24"/>
                <w:szCs w:val="24"/>
              </w:rPr>
              <w:t xml:space="preserve">included in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4363C0">
              <w:rPr>
                <w:rFonts w:ascii="Times New Roman" w:hAnsi="Times New Roman"/>
                <w:bCs/>
                <w:sz w:val="24"/>
                <w:szCs w:val="24"/>
              </w:rPr>
              <w:t>tems 1.1</w:t>
            </w:r>
            <w:r w:rsidR="000957C9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4363C0">
              <w:rPr>
                <w:rFonts w:ascii="Times New Roman" w:hAnsi="Times New Roman"/>
                <w:bCs/>
                <w:sz w:val="24"/>
                <w:szCs w:val="24"/>
              </w:rPr>
              <w:t xml:space="preserve"> to 1.</w:t>
            </w:r>
            <w:r w:rsidR="000957C9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4363C0">
              <w:rPr>
                <w:rFonts w:ascii="Times New Roman" w:hAnsi="Times New Roman"/>
                <w:bCs/>
                <w:sz w:val="24"/>
                <w:szCs w:val="24"/>
              </w:rPr>
              <w:t xml:space="preserve">6.  </w:t>
            </w:r>
          </w:p>
          <w:p w:rsidR="008428AE" w:rsidRPr="004363C0" w:rsidRDefault="008428AE" w:rsidP="004D7EDB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="007D2F60"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Pr="008428AE">
              <w:rPr>
                <w:rFonts w:ascii="Times New Roman" w:hAnsi="Times New Roman"/>
                <w:sz w:val="24"/>
                <w:szCs w:val="24"/>
              </w:rPr>
              <w:t>assets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0957C9">
              <w:rPr>
                <w:rFonts w:ascii="Times New Roman" w:hAnsi="Times New Roman"/>
                <w:sz w:val="24"/>
                <w:szCs w:val="24"/>
              </w:rPr>
              <w:t>in item 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957C9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0957C9">
              <w:rPr>
                <w:rFonts w:ascii="Times New Roman" w:hAnsi="Times New Roman"/>
                <w:sz w:val="24"/>
                <w:szCs w:val="24"/>
              </w:rPr>
              <w:t>.1</w:t>
            </w:r>
            <w:r w:rsidR="008B7A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8B7A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1.1</w:t>
            </w:r>
            <w:r w:rsidR="000957C9">
              <w:rPr>
                <w:rFonts w:ascii="Times New Roman" w:hAnsi="Times New Roman"/>
                <w:sz w:val="24"/>
                <w:szCs w:val="24"/>
              </w:rPr>
              <w:t>.1</w:t>
            </w:r>
            <w:r w:rsidR="0075218E">
              <w:rPr>
                <w:rFonts w:ascii="Times New Roman" w:hAnsi="Times New Roman"/>
                <w:sz w:val="24"/>
                <w:szCs w:val="24"/>
              </w:rPr>
              <w:t>, item 1.1.2, item 1.1.3, item 1.1.4, item 1.1.5 and</w:t>
            </w:r>
            <w:r w:rsidR="008B7A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218E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</w:p>
        </w:tc>
      </w:tr>
      <w:tr w:rsidR="008428AE" w:rsidRPr="00AB4984" w:rsidTr="00E2467F">
        <w:tc>
          <w:tcPr>
            <w:tcW w:w="1843" w:type="dxa"/>
            <w:shd w:val="clear" w:color="auto" w:fill="auto"/>
          </w:tcPr>
          <w:p w:rsidR="008428AE" w:rsidRPr="00AB4984" w:rsidRDefault="008428AE" w:rsidP="00F75CD3">
            <w:pPr>
              <w:numPr>
                <w:ilvl w:val="3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662C05" w:rsidRPr="00944702" w:rsidRDefault="008428AE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F92FE9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that is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 </w:t>
            </w:r>
            <w:r w:rsidR="00F92FE9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:rsidR="008428AE" w:rsidRPr="004363C0" w:rsidRDefault="00662C05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7.1</w:t>
            </w:r>
            <w:r w:rsidR="00214AEE">
              <w:rPr>
                <w:rFonts w:ascii="Times New Roman" w:hAnsi="Times New Roman"/>
                <w:sz w:val="24"/>
                <w:szCs w:val="24"/>
              </w:rPr>
              <w:t xml:space="preserve"> is a derived item.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derivative </w:t>
            </w:r>
            <w:r>
              <w:rPr>
                <w:rFonts w:ascii="Times New Roman" w:hAnsi="Times New Roman"/>
                <w:sz w:val="24"/>
                <w:szCs w:val="24"/>
              </w:rPr>
              <w:t>assets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the sum of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7.1.1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7.1.2.  </w:t>
            </w:r>
          </w:p>
        </w:tc>
      </w:tr>
      <w:tr w:rsidR="00662C05" w:rsidRPr="00AB4984" w:rsidTr="00E2467F">
        <w:tc>
          <w:tcPr>
            <w:tcW w:w="1843" w:type="dxa"/>
            <w:shd w:val="clear" w:color="auto" w:fill="auto"/>
          </w:tcPr>
          <w:p w:rsidR="00662C05" w:rsidRPr="00AB4984" w:rsidRDefault="00662C05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662C05" w:rsidRPr="00A353CE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trading book derivative </w:t>
            </w:r>
            <w:r w:rsidR="00F92FE9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662C05" w:rsidRPr="00AB4984" w:rsidTr="00E2467F">
        <w:tc>
          <w:tcPr>
            <w:tcW w:w="1843" w:type="dxa"/>
            <w:shd w:val="clear" w:color="auto" w:fill="auto"/>
          </w:tcPr>
          <w:p w:rsidR="00662C05" w:rsidRPr="00AB4984" w:rsidRDefault="00662C05" w:rsidP="00F75CD3">
            <w:pPr>
              <w:numPr>
                <w:ilvl w:val="4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662C05" w:rsidRPr="00A353CE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banking book derivative </w:t>
            </w:r>
            <w:r w:rsidR="00F92FE9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9A6C21" w:rsidRPr="00AB4984" w:rsidTr="00E2467F">
        <w:tc>
          <w:tcPr>
            <w:tcW w:w="1843" w:type="dxa"/>
            <w:shd w:val="clear" w:color="auto" w:fill="auto"/>
          </w:tcPr>
          <w:p w:rsidR="009A6C21" w:rsidRPr="00AB4984" w:rsidRDefault="0063665F" w:rsidP="00BF05EF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 1.1.</w:t>
            </w:r>
            <w:r w:rsidR="00F70BA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.2</w:t>
            </w:r>
          </w:p>
        </w:tc>
        <w:tc>
          <w:tcPr>
            <w:tcW w:w="7228" w:type="dxa"/>
            <w:shd w:val="clear" w:color="auto" w:fill="auto"/>
          </w:tcPr>
          <w:p w:rsidR="009A6C21" w:rsidRPr="00944702" w:rsidRDefault="009A6C21" w:rsidP="00EA368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total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BF05EF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that comprises </w:t>
            </w:r>
            <w:r w:rsidR="00B56A5C">
              <w:rPr>
                <w:rFonts w:ascii="Times New Roman" w:hAnsi="Times New Roman"/>
                <w:bCs/>
                <w:sz w:val="24"/>
                <w:szCs w:val="24"/>
              </w:rPr>
              <w:t>asset</w:t>
            </w:r>
            <w:r w:rsidRPr="009A6C21">
              <w:rPr>
                <w:rFonts w:ascii="Times New Roman" w:hAnsi="Times New Roman"/>
                <w:bCs/>
                <w:sz w:val="24"/>
                <w:szCs w:val="24"/>
              </w:rPr>
              <w:t xml:space="preserve">s arising </w:t>
            </w:r>
            <w:r w:rsidR="00EA3689">
              <w:rPr>
                <w:rFonts w:ascii="Times New Roman" w:hAnsi="Times New Roman"/>
                <w:bCs/>
                <w:sz w:val="24"/>
                <w:szCs w:val="24"/>
              </w:rPr>
              <w:t>from</w:t>
            </w:r>
            <w:r w:rsidRPr="009A6C21">
              <w:rPr>
                <w:rFonts w:ascii="Times New Roman" w:hAnsi="Times New Roman"/>
                <w:bCs/>
                <w:sz w:val="24"/>
                <w:szCs w:val="24"/>
              </w:rPr>
              <w:t xml:space="preserve"> operating leases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A3689">
              <w:rPr>
                <w:rFonts w:ascii="Times New Roman" w:hAnsi="Times New Roman"/>
                <w:bCs/>
                <w:sz w:val="24"/>
                <w:szCs w:val="24"/>
              </w:rPr>
              <w:t>as per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/>
                <w:bCs/>
                <w:i/>
                <w:sz w:val="24"/>
                <w:szCs w:val="24"/>
              </w:rPr>
              <w:t>AASB 16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F05EF">
              <w:rPr>
                <w:rFonts w:ascii="Times New Roman" w:hAnsi="Times New Roman"/>
                <w:bCs/>
                <w:i/>
                <w:sz w:val="24"/>
                <w:szCs w:val="24"/>
              </w:rPr>
              <w:t>Leases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662C05" w:rsidRPr="00AB4984" w:rsidRDefault="00662C05" w:rsidP="00A353CE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Intra-group assets – by related party type</w:t>
      </w:r>
    </w:p>
    <w:p w:rsidR="00544CE3" w:rsidRDefault="00662C05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 </w:t>
      </w:r>
      <w:r>
        <w:rPr>
          <w:rFonts w:ascii="Times New Roman" w:hAnsi="Times New Roman"/>
          <w:sz w:val="24"/>
          <w:szCs w:val="24"/>
        </w:rPr>
        <w:t>2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 w:rsidRPr="001641D8">
        <w:rPr>
          <w:rFonts w:ascii="Times New Roman" w:hAnsi="Times New Roman"/>
          <w:sz w:val="24"/>
          <w:szCs w:val="24"/>
        </w:rPr>
        <w:t xml:space="preserve">assets due from </w:t>
      </w:r>
      <w:r w:rsidRPr="001641D8">
        <w:rPr>
          <w:rFonts w:ascii="Times New Roman" w:hAnsi="Times New Roman"/>
          <w:b/>
          <w:i/>
          <w:sz w:val="24"/>
          <w:szCs w:val="24"/>
        </w:rPr>
        <w:t>related parties</w:t>
      </w:r>
      <w:r w:rsidRPr="001641D8">
        <w:rPr>
          <w:rFonts w:ascii="Times New Roman" w:hAnsi="Times New Roman"/>
          <w:sz w:val="24"/>
          <w:szCs w:val="24"/>
        </w:rPr>
        <w:t xml:space="preserve"> (</w:t>
      </w:r>
      <w:r w:rsidRPr="001641D8">
        <w:rPr>
          <w:rFonts w:ascii="Times New Roman" w:hAnsi="Times New Roman"/>
          <w:b/>
          <w:i/>
          <w:sz w:val="24"/>
          <w:szCs w:val="24"/>
        </w:rPr>
        <w:t>intra-group</w:t>
      </w:r>
      <w:r w:rsidRPr="001641D8">
        <w:rPr>
          <w:rFonts w:ascii="Times New Roman" w:hAnsi="Times New Roman"/>
          <w:sz w:val="24"/>
          <w:szCs w:val="24"/>
        </w:rPr>
        <w:t xml:space="preserve"> assets) </w:t>
      </w:r>
      <w:r w:rsidRPr="00662C05">
        <w:rPr>
          <w:rFonts w:ascii="Times New Roman" w:hAnsi="Times New Roman"/>
          <w:sz w:val="24"/>
          <w:szCs w:val="24"/>
        </w:rPr>
        <w:t xml:space="preserve">by </w:t>
      </w:r>
      <w:r w:rsidRPr="00662C05">
        <w:rPr>
          <w:rFonts w:ascii="Times New Roman" w:hAnsi="Times New Roman"/>
          <w:b/>
          <w:i/>
          <w:sz w:val="24"/>
          <w:szCs w:val="24"/>
        </w:rPr>
        <w:t>related party</w:t>
      </w:r>
      <w:r w:rsidRPr="00662C05">
        <w:rPr>
          <w:rFonts w:ascii="Times New Roman" w:hAnsi="Times New Roman"/>
          <w:sz w:val="24"/>
          <w:szCs w:val="24"/>
        </w:rPr>
        <w:t xml:space="preserve"> type.  </w:t>
      </w:r>
    </w:p>
    <w:p w:rsidR="00662C05" w:rsidRPr="00A353CE" w:rsidRDefault="0048382E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2 with accounting type of debit (assets).  </w:t>
      </w:r>
    </w:p>
    <w:p w:rsidR="00F92FE9" w:rsidRDefault="00F92FE9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include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 xml:space="preserve"> t</w:t>
      </w:r>
      <w:r w:rsidR="00A353CE">
        <w:rPr>
          <w:rFonts w:ascii="Times New Roman" w:hAnsi="Times New Roman"/>
          <w:sz w:val="24"/>
          <w:szCs w:val="24"/>
        </w:rPr>
        <w:t>hat are held on balance sheets.</w:t>
      </w:r>
    </w:p>
    <w:p w:rsidR="00F92FE9" w:rsidRPr="00AB4984" w:rsidRDefault="00F92FE9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securiti</w:t>
      </w:r>
      <w:r w:rsidR="00A353CE">
        <w:rPr>
          <w:rFonts w:ascii="Times New Roman" w:hAnsi="Times New Roman"/>
          <w:sz w:val="24"/>
          <w:szCs w:val="24"/>
        </w:rPr>
        <w:t xml:space="preserve">es </w:t>
      </w:r>
      <w:r w:rsidR="00906F1D">
        <w:rPr>
          <w:rFonts w:ascii="Times New Roman" w:hAnsi="Times New Roman"/>
          <w:sz w:val="24"/>
          <w:szCs w:val="24"/>
        </w:rPr>
        <w:t xml:space="preserve">adjusted for the value </w:t>
      </w:r>
      <w:r w:rsidR="00A353CE">
        <w:rPr>
          <w:rFonts w:ascii="Times New Roman" w:hAnsi="Times New Roman"/>
          <w:sz w:val="24"/>
          <w:szCs w:val="24"/>
        </w:rPr>
        <w:t xml:space="preserve">of </w:t>
      </w:r>
      <w:r w:rsidR="00A353CE" w:rsidRPr="00B84CE2">
        <w:rPr>
          <w:rFonts w:ascii="Times New Roman" w:hAnsi="Times New Roman"/>
          <w:b/>
          <w:i/>
          <w:sz w:val="24"/>
          <w:szCs w:val="24"/>
        </w:rPr>
        <w:t>short-sold positions</w:t>
      </w:r>
      <w:r w:rsidR="00A353CE">
        <w:rPr>
          <w:rFonts w:ascii="Times New Roman" w:hAnsi="Times New Roman"/>
          <w:sz w:val="24"/>
          <w:szCs w:val="24"/>
        </w:rPr>
        <w:t>.</w:t>
      </w:r>
      <w:r w:rsidR="00906F1D" w:rsidRPr="00906F1D">
        <w:rPr>
          <w:rFonts w:ascii="Times New Roman" w:hAnsi="Times New Roman"/>
          <w:sz w:val="24"/>
          <w:szCs w:val="24"/>
        </w:rPr>
        <w:t xml:space="preserve"> </w:t>
      </w:r>
      <w:r w:rsidR="00906F1D" w:rsidRPr="002B7E42">
        <w:rPr>
          <w:rFonts w:ascii="Times New Roman" w:hAnsi="Times New Roman"/>
          <w:sz w:val="24"/>
          <w:szCs w:val="24"/>
        </w:rPr>
        <w:t xml:space="preserve">That is, report the value of securities held less the value of securities </w:t>
      </w:r>
      <w:r w:rsidR="00906F1D">
        <w:rPr>
          <w:rFonts w:ascii="Times New Roman" w:hAnsi="Times New Roman"/>
          <w:sz w:val="24"/>
          <w:szCs w:val="24"/>
        </w:rPr>
        <w:t xml:space="preserve">sold </w:t>
      </w:r>
      <w:r w:rsidR="00906F1D" w:rsidRPr="002B7E42">
        <w:rPr>
          <w:rFonts w:ascii="Times New Roman" w:hAnsi="Times New Roman"/>
          <w:sz w:val="24"/>
          <w:szCs w:val="24"/>
        </w:rPr>
        <w:t xml:space="preserve">short.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:rsidR="00662C05" w:rsidRPr="00FA0C8D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:rsidR="00662C05" w:rsidRPr="00AB4984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5799B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45799B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1,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45799B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45799B">
              <w:rPr>
                <w:rFonts w:ascii="Times New Roman" w:hAnsi="Times New Roman"/>
                <w:bCs/>
                <w:sz w:val="24"/>
                <w:szCs w:val="24"/>
              </w:rPr>
              <w:t xml:space="preserve">that is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subordinated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:rsidR="00662C05" w:rsidRPr="00A353CE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45799B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45799B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1,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45799B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the value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45799B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="0045799B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:rsidR="00662C05" w:rsidRPr="00AB4984" w:rsidRDefault="00662C05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62C05" w:rsidRPr="00AB4984" w:rsidTr="00662C05">
        <w:trPr>
          <w:hidden/>
        </w:trPr>
        <w:tc>
          <w:tcPr>
            <w:tcW w:w="1701" w:type="dxa"/>
            <w:shd w:val="clear" w:color="auto" w:fill="auto"/>
          </w:tcPr>
          <w:p w:rsidR="00544CE3" w:rsidRPr="00544CE3" w:rsidRDefault="00544CE3" w:rsidP="00F75CD3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  <w:p w:rsidR="00662C05" w:rsidRPr="00AB4984" w:rsidRDefault="00662C05" w:rsidP="00F75CD3">
            <w:pPr>
              <w:numPr>
                <w:ilvl w:val="1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total</w:t>
            </w:r>
            <w:r w:rsidR="00F92FE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2FE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intra-group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Pr="00BD3FD5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  <w:p w:rsidR="00662C05" w:rsidRPr="00FA0C8D" w:rsidRDefault="0045799B" w:rsidP="00E0209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For column 1, i</w:t>
            </w:r>
            <w:r w:rsidR="00662C05" w:rsidRPr="00FA63A9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  <w:r w:rsidR="00662C05" w:rsidRPr="00FA63A9">
              <w:rPr>
                <w:rFonts w:ascii="Times New Roman" w:hAnsi="Times New Roman"/>
                <w:bCs/>
                <w:sz w:val="24"/>
                <w:szCs w:val="24"/>
              </w:rPr>
              <w:t xml:space="preserve">1 </w:t>
            </w:r>
            <w:r w:rsidR="00E02094">
              <w:rPr>
                <w:rFonts w:ascii="Times New Roman" w:hAnsi="Times New Roman"/>
                <w:bCs/>
                <w:sz w:val="24"/>
                <w:szCs w:val="24"/>
              </w:rPr>
              <w:t xml:space="preserve">is a derived item. Report the value of total </w:t>
            </w:r>
            <w:r w:rsidR="00E020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intra-group</w:t>
            </w:r>
            <w:r w:rsidR="00E020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02094" w:rsidRPr="0088022A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E02094" w:rsidRPr="00FA63A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02094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662C05" w:rsidRPr="00FA63A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662C05" w:rsidRPr="00FA63A9"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</w:t>
            </w:r>
            <w:r w:rsidR="00662C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6FD5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="001C6FD5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3764D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Pr="00A353CE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Report assets due from the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parent entity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Pr="00A353CE" w:rsidRDefault="00662C05" w:rsidP="00AA5F9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assets due from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DB26EC" w:rsidRPr="00D0320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overseas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branches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Pr="00A353CE" w:rsidRDefault="00662C05" w:rsidP="00AA5F9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Report assets due from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 w:rsidR="00DB26EC" w:rsidRPr="00B47E9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="00DB26E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overseas-based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>banking operations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, other than assets due from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DB26EC" w:rsidRPr="00D0320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 ove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>rseas branches reported in item 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>2.1.2.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Pr="00944702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assets due from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662C05" w:rsidRPr="00AB4984" w:rsidTr="00662C05">
        <w:tc>
          <w:tcPr>
            <w:tcW w:w="1701" w:type="dxa"/>
            <w:shd w:val="clear" w:color="auto" w:fill="auto"/>
          </w:tcPr>
          <w:p w:rsidR="00662C05" w:rsidRPr="00AB4984" w:rsidRDefault="00662C05" w:rsidP="00F75CD3">
            <w:pPr>
              <w:numPr>
                <w:ilvl w:val="2"/>
                <w:numId w:val="2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662C05" w:rsidRDefault="00662C05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assets due from any other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are not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included in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tems 2.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 to 2.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 </w:t>
            </w:r>
          </w:p>
          <w:p w:rsidR="009C41FB" w:rsidRPr="0038717D" w:rsidRDefault="00662C05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 w:rsidRPr="008428AE">
              <w:rPr>
                <w:rFonts w:ascii="Times New Roman" w:hAnsi="Times New Roman"/>
                <w:sz w:val="24"/>
                <w:szCs w:val="24"/>
              </w:rPr>
              <w:t>assets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2.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1CB">
              <w:rPr>
                <w:rFonts w:ascii="Times New Roman" w:hAnsi="Times New Roman"/>
                <w:sz w:val="24"/>
                <w:szCs w:val="24"/>
              </w:rPr>
              <w:t>2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="00A73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="00A733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>item</w:t>
            </w:r>
            <w:r w:rsidR="00A733FD">
              <w:rPr>
                <w:rFonts w:ascii="Times New Roman" w:hAnsi="Times New Roman"/>
                <w:sz w:val="24"/>
                <w:szCs w:val="24"/>
              </w:rPr>
              <w:t>s</w:t>
            </w:r>
            <w:r w:rsidR="0038717D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733F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8842A3">
              <w:rPr>
                <w:rFonts w:ascii="Times New Roman" w:hAnsi="Times New Roman"/>
                <w:sz w:val="24"/>
                <w:szCs w:val="24"/>
              </w:rPr>
              <w:t>2.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="008842A3">
              <w:rPr>
                <w:rFonts w:ascii="Times New Roman" w:hAnsi="Times New Roman"/>
                <w:sz w:val="24"/>
                <w:szCs w:val="24"/>
              </w:rPr>
              <w:t>4</w:t>
            </w:r>
            <w:r w:rsidR="00A733FD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8842A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8842A3" w:rsidRPr="00AB4984" w:rsidRDefault="008842A3" w:rsidP="005D3FBB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Intra-group liabilities – by liability type</w:t>
      </w:r>
    </w:p>
    <w:p w:rsidR="00544CE3" w:rsidRPr="009C41FB" w:rsidRDefault="008842A3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 </w:t>
      </w:r>
      <w:r>
        <w:rPr>
          <w:rFonts w:ascii="Times New Roman" w:hAnsi="Times New Roman"/>
          <w:sz w:val="24"/>
          <w:szCs w:val="24"/>
        </w:rPr>
        <w:t>3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sz w:val="24"/>
          <w:szCs w:val="24"/>
        </w:rPr>
        <w:t>liabilities</w:t>
      </w:r>
      <w:r w:rsidRPr="001641D8">
        <w:rPr>
          <w:rFonts w:ascii="Times New Roman" w:hAnsi="Times New Roman"/>
          <w:sz w:val="24"/>
          <w:szCs w:val="24"/>
        </w:rPr>
        <w:t xml:space="preserve"> due </w:t>
      </w:r>
      <w:r w:rsidR="00A426D9">
        <w:rPr>
          <w:rFonts w:ascii="Times New Roman" w:hAnsi="Times New Roman"/>
          <w:sz w:val="24"/>
          <w:szCs w:val="24"/>
        </w:rPr>
        <w:t>to</w:t>
      </w:r>
      <w:r w:rsidR="00A426D9" w:rsidRPr="001641D8">
        <w:rPr>
          <w:rFonts w:ascii="Times New Roman" w:hAnsi="Times New Roman"/>
          <w:sz w:val="24"/>
          <w:szCs w:val="24"/>
        </w:rPr>
        <w:t xml:space="preserve"> </w:t>
      </w:r>
      <w:r w:rsidRPr="008842A3">
        <w:rPr>
          <w:rFonts w:ascii="Times New Roman" w:hAnsi="Times New Roman"/>
          <w:b/>
          <w:i/>
          <w:sz w:val="24"/>
          <w:szCs w:val="24"/>
        </w:rPr>
        <w:t>related parties</w:t>
      </w:r>
      <w:r w:rsidRPr="001641D8">
        <w:rPr>
          <w:rFonts w:ascii="Times New Roman" w:hAnsi="Times New Roman"/>
          <w:sz w:val="24"/>
          <w:szCs w:val="24"/>
        </w:rPr>
        <w:t xml:space="preserve"> (</w:t>
      </w:r>
      <w:r w:rsidRPr="008842A3">
        <w:rPr>
          <w:rFonts w:ascii="Times New Roman" w:hAnsi="Times New Roman"/>
          <w:b/>
          <w:i/>
          <w:sz w:val="24"/>
          <w:szCs w:val="24"/>
        </w:rPr>
        <w:t xml:space="preserve">intra-group </w:t>
      </w:r>
      <w:r w:rsidR="00A131CB">
        <w:rPr>
          <w:rFonts w:ascii="Times New Roman" w:hAnsi="Times New Roman"/>
          <w:sz w:val="24"/>
          <w:szCs w:val="24"/>
        </w:rPr>
        <w:t>liabilities</w:t>
      </w:r>
      <w:r w:rsidRPr="001641D8">
        <w:rPr>
          <w:rFonts w:ascii="Times New Roman" w:hAnsi="Times New Roman"/>
          <w:sz w:val="24"/>
          <w:szCs w:val="24"/>
        </w:rPr>
        <w:t xml:space="preserve">) </w:t>
      </w:r>
      <w:r w:rsidRPr="00662C05">
        <w:rPr>
          <w:rFonts w:ascii="Times New Roman" w:hAnsi="Times New Roman"/>
          <w:sz w:val="24"/>
          <w:szCs w:val="24"/>
        </w:rPr>
        <w:t>by</w:t>
      </w:r>
      <w:r w:rsidRPr="008842A3">
        <w:rPr>
          <w:rFonts w:ascii="Times New Roman" w:hAnsi="Times New Roman"/>
          <w:sz w:val="24"/>
          <w:szCs w:val="24"/>
        </w:rPr>
        <w:t xml:space="preserve"> type of liability, and by the counterparty of the </w:t>
      </w:r>
      <w:r w:rsidR="00A426D9">
        <w:rPr>
          <w:rFonts w:ascii="Times New Roman" w:hAnsi="Times New Roman"/>
          <w:sz w:val="24"/>
          <w:szCs w:val="24"/>
        </w:rPr>
        <w:t>depositor</w:t>
      </w:r>
      <w:r w:rsidR="00A426D9" w:rsidRPr="008842A3">
        <w:rPr>
          <w:rFonts w:ascii="Times New Roman" w:hAnsi="Times New Roman"/>
          <w:sz w:val="24"/>
          <w:szCs w:val="24"/>
        </w:rPr>
        <w:t xml:space="preserve"> </w:t>
      </w:r>
      <w:r w:rsidRPr="008842A3">
        <w:rPr>
          <w:rFonts w:ascii="Times New Roman" w:hAnsi="Times New Roman"/>
          <w:sz w:val="24"/>
          <w:szCs w:val="24"/>
        </w:rPr>
        <w:t xml:space="preserve">for </w:t>
      </w:r>
      <w:r w:rsidRPr="008842A3">
        <w:rPr>
          <w:rFonts w:ascii="Times New Roman" w:hAnsi="Times New Roman"/>
          <w:b/>
          <w:i/>
          <w:sz w:val="24"/>
          <w:szCs w:val="24"/>
        </w:rPr>
        <w:t>deposits</w:t>
      </w:r>
      <w:r w:rsidRPr="008842A3">
        <w:rPr>
          <w:rFonts w:ascii="Times New Roman" w:hAnsi="Times New Roman"/>
          <w:sz w:val="24"/>
          <w:szCs w:val="24"/>
        </w:rPr>
        <w:t xml:space="preserve">.  </w:t>
      </w:r>
    </w:p>
    <w:p w:rsidR="00544CE3" w:rsidRPr="00544CE3" w:rsidRDefault="0048382E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item </w:t>
      </w:r>
      <w:r w:rsidR="00A426D9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 with accounting </w:t>
      </w:r>
      <w:r w:rsidR="00A353CE">
        <w:rPr>
          <w:rFonts w:ascii="Times New Roman" w:hAnsi="Times New Roman"/>
          <w:bCs/>
          <w:sz w:val="24"/>
          <w:szCs w:val="24"/>
        </w:rPr>
        <w:t xml:space="preserve">type of credit (liabilities).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28"/>
      </w:tblGrid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1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6B4E7D" w:rsidRPr="00335A1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intra-group</w:t>
            </w:r>
            <w:r w:rsidR="006B4E7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liabilities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2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8842A3" w:rsidRPr="00A353CE" w:rsidRDefault="008842A3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3.1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sz w:val="24"/>
                <w:szCs w:val="24"/>
              </w:rPr>
              <w:t>in item 3.1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the sum of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3.1.1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3.1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.2.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3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  <w:p w:rsidR="008842A3" w:rsidRPr="004363C0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3.1.1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  <w:r w:rsidR="007D2F6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item 3.1.1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the sum 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EF700B">
              <w:rPr>
                <w:rFonts w:ascii="Times New Roman" w:hAnsi="Times New Roman"/>
                <w:sz w:val="24"/>
                <w:szCs w:val="24"/>
              </w:rPr>
              <w:t>s</w:t>
            </w:r>
            <w:r w:rsidR="00544CE3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3.1.1.1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="00EF700B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544CE3">
              <w:rPr>
                <w:rFonts w:ascii="Times New Roman" w:hAnsi="Times New Roman"/>
                <w:sz w:val="24"/>
                <w:szCs w:val="24"/>
              </w:rPr>
              <w:t> </w:t>
            </w:r>
            <w:r w:rsidRPr="008842A3">
              <w:rPr>
                <w:rFonts w:ascii="Times New Roman" w:hAnsi="Times New Roman"/>
                <w:sz w:val="24"/>
                <w:szCs w:val="24"/>
              </w:rPr>
              <w:t>3.1.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Pr="008842A3">
              <w:rPr>
                <w:rFonts w:ascii="Times New Roman" w:hAnsi="Times New Roman"/>
                <w:sz w:val="24"/>
                <w:szCs w:val="24"/>
              </w:rPr>
              <w:t>1.3</w:t>
            </w:r>
            <w:r w:rsidR="00EF700B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Pr="008842A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82DC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community service organisations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382DC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382DCF"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businesses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E60DA8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financial institutions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9C41FB" w:rsidRPr="00A353CE" w:rsidRDefault="00E60DA8" w:rsidP="002F42B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3.1.1.1.</w:t>
            </w:r>
            <w:r w:rsidR="00B026E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item 3.1.1.1.</w:t>
            </w:r>
            <w:r w:rsidR="00B026E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C41FB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</w:rPr>
              <w:t>the sum 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7C24D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3.1.1.1.3.1</w:t>
            </w:r>
            <w:r w:rsidR="007C24D4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B026E9" w:rsidRPr="009C41FB">
              <w:rPr>
                <w:rFonts w:ascii="Times New Roman" w:hAnsi="Times New Roman"/>
                <w:sz w:val="24"/>
                <w:szCs w:val="24"/>
              </w:rPr>
              <w:t>3.1.1.1.3.1</w:t>
            </w:r>
            <w:r w:rsidR="002F42B0">
              <w:rPr>
                <w:rFonts w:ascii="Times New Roman" w:hAnsi="Times New Roman"/>
                <w:sz w:val="24"/>
                <w:szCs w:val="24"/>
              </w:rPr>
              <w:t>0</w:t>
            </w:r>
            <w:r w:rsidR="007C24D4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 w:rsidR="00B026E9" w:rsidRPr="009C41F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344E5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44E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life insurance corporations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due to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 insurance corporations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88022A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88022A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702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auxiliaries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702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securitisers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A353CE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466E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88022A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702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non-money-market financial investment funds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8842A3" w:rsidRPr="00AB4984" w:rsidTr="00544CE3">
        <w:tc>
          <w:tcPr>
            <w:tcW w:w="1843" w:type="dxa"/>
            <w:shd w:val="clear" w:color="auto" w:fill="auto"/>
          </w:tcPr>
          <w:p w:rsidR="008842A3" w:rsidRPr="00AB4984" w:rsidRDefault="008842A3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8842A3" w:rsidRPr="0088022A" w:rsidRDefault="008842A3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deposits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B702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n.e.c.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3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A353CE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deposits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by</w:t>
            </w:r>
            <w:r w:rsidR="007D2F60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2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A353CE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acceptances 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="00C650FD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bills of exchange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that have been </w:t>
            </w:r>
            <w:r w:rsidRPr="002D444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accepted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by 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your institution</w:t>
            </w:r>
            <w:r w:rsidR="00B702F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 xml:space="preserve">but are </w:t>
            </w:r>
            <w:r w:rsidR="00B702F0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not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 xml:space="preserve"> held by 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your institution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2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A353CE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>borrowings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DE01C8" w:rsidRPr="00A353CE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is a derived item.  Report the value of borrowings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item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C650FD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.3 as the sum 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3.1 and item 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3.2.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3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debt securities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3.1,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the value that has an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of greater than 12 months.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3.1.1,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the value that has a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of 12 months or less.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3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9A436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E17E7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</w:t>
            </w:r>
            <w:r w:rsidR="00E17E7C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D2F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finance </w:t>
            </w:r>
            <w:r w:rsidR="00E17E7C">
              <w:rPr>
                <w:rFonts w:ascii="Times New Roman" w:hAnsi="Times New Roman"/>
                <w:b/>
                <w:i/>
                <w:sz w:val="24"/>
                <w:szCs w:val="24"/>
              </w:rPr>
              <w:t>leas</w:t>
            </w:r>
            <w:r w:rsidR="007D2F60">
              <w:rPr>
                <w:rFonts w:ascii="Times New Roman" w:hAnsi="Times New Roman"/>
                <w:b/>
                <w:i/>
                <w:sz w:val="24"/>
                <w:szCs w:val="24"/>
              </w:rPr>
              <w:t>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3.2,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the value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that has an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original maturity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of greater than 12 months.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5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944702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3.2.1, </w:t>
            </w:r>
            <w:r w:rsidR="00A131CB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A436F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the value that has a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="00A353CE">
              <w:rPr>
                <w:rFonts w:ascii="Times New Roman" w:hAnsi="Times New Roman"/>
                <w:bCs/>
                <w:sz w:val="24"/>
                <w:szCs w:val="24"/>
              </w:rPr>
              <w:t xml:space="preserve">of 12 months or less.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2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Pr="00A353CE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creditors and other liabilities</w:t>
            </w:r>
            <w:r w:rsidR="006B4E7D">
              <w:rPr>
                <w:rFonts w:ascii="Times New Roman" w:hAnsi="Times New Roman"/>
                <w:bCs/>
                <w:sz w:val="24"/>
                <w:szCs w:val="24"/>
              </w:rPr>
              <w:t xml:space="preserve"> as the sum of any liabilities to </w:t>
            </w:r>
            <w:r w:rsidR="006B4E7D" w:rsidRPr="009C41F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="006B4E7D">
              <w:rPr>
                <w:rFonts w:ascii="Times New Roman" w:hAnsi="Times New Roman"/>
                <w:bCs/>
                <w:sz w:val="24"/>
                <w:szCs w:val="24"/>
              </w:rPr>
              <w:t xml:space="preserve">not already reported in items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3.1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 xml:space="preserve"> to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6B4E7D" w:rsidRPr="00A353CE" w:rsidRDefault="006B4E7D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 is a derived item. Report the value of </w:t>
            </w:r>
            <w:r w:rsidRPr="00335A1A">
              <w:rPr>
                <w:rFonts w:ascii="Times New Roman" w:hAnsi="Times New Roman"/>
                <w:bCs/>
                <w:sz w:val="24"/>
                <w:szCs w:val="24"/>
              </w:rPr>
              <w:t>creditors and other liabilities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7D2F6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tem 3.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 as</w:t>
            </w:r>
            <w:r w:rsidRPr="002F09EF">
              <w:rPr>
                <w:rFonts w:ascii="Times New Roman" w:hAnsi="Times New Roman"/>
                <w:sz w:val="24"/>
                <w:szCs w:val="24"/>
              </w:rPr>
              <w:t xml:space="preserve"> item 3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="00023D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0143"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Pr="002F09EF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023D16">
              <w:rPr>
                <w:rFonts w:ascii="Times New Roman" w:hAnsi="Times New Roman"/>
                <w:sz w:val="24"/>
                <w:szCs w:val="24"/>
              </w:rPr>
              <w:t>s</w:t>
            </w:r>
            <w:r w:rsidRPr="002F09EF">
              <w:rPr>
                <w:rFonts w:ascii="Times New Roman" w:hAnsi="Times New Roman"/>
                <w:sz w:val="24"/>
                <w:szCs w:val="24"/>
              </w:rPr>
              <w:t xml:space="preserve"> 3.1</w:t>
            </w:r>
            <w:r w:rsidR="00B702F0">
              <w:rPr>
                <w:rFonts w:ascii="Times New Roman" w:hAnsi="Times New Roman"/>
                <w:sz w:val="24"/>
                <w:szCs w:val="24"/>
              </w:rPr>
              <w:t>.1</w:t>
            </w:r>
            <w:r w:rsidR="005C5C9C">
              <w:rPr>
                <w:rFonts w:ascii="Times New Roman" w:hAnsi="Times New Roman"/>
                <w:sz w:val="24"/>
                <w:szCs w:val="24"/>
              </w:rPr>
              <w:t xml:space="preserve">, item 3.1.2 and item </w:t>
            </w:r>
            <w:r w:rsidRPr="001C6FD5">
              <w:rPr>
                <w:rFonts w:ascii="Times New Roman" w:hAnsi="Times New Roman"/>
                <w:sz w:val="24"/>
                <w:szCs w:val="24"/>
              </w:rPr>
              <w:t>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Pr="001C6FD5">
              <w:rPr>
                <w:rFonts w:ascii="Times New Roman" w:hAnsi="Times New Roman"/>
                <w:sz w:val="24"/>
                <w:szCs w:val="24"/>
              </w:rPr>
              <w:t>3</w:t>
            </w:r>
            <w:r w:rsidR="007D2F60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DE01C8" w:rsidRPr="00AB4984" w:rsidTr="00544CE3">
        <w:tc>
          <w:tcPr>
            <w:tcW w:w="1843" w:type="dxa"/>
            <w:shd w:val="clear" w:color="auto" w:fill="auto"/>
          </w:tcPr>
          <w:p w:rsidR="00DE01C8" w:rsidRPr="00AB4984" w:rsidRDefault="00DE01C8" w:rsidP="00F75CD3">
            <w:pPr>
              <w:numPr>
                <w:ilvl w:val="3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DE01C8" w:rsidRDefault="00DE01C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9A436F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6A3F53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9A436F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9A436F">
              <w:rPr>
                <w:rFonts w:ascii="Times New Roman" w:hAnsi="Times New Roman"/>
                <w:bCs/>
                <w:sz w:val="24"/>
                <w:szCs w:val="24"/>
              </w:rPr>
              <w:t xml:space="preserve">of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derivative 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:rsidR="00DE01C8" w:rsidRPr="00A353CE" w:rsidRDefault="00DE01C8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1D43E8">
              <w:rPr>
                <w:rFonts w:ascii="Times New Roman" w:hAnsi="Times New Roman"/>
                <w:sz w:val="24"/>
                <w:szCs w:val="24"/>
              </w:rPr>
              <w:t>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="001D43E8">
              <w:rPr>
                <w:rFonts w:ascii="Times New Roman" w:hAnsi="Times New Roman"/>
                <w:sz w:val="24"/>
                <w:szCs w:val="24"/>
              </w:rPr>
              <w:t>4.1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derivative</w:t>
            </w:r>
            <w:r w:rsidR="00B702F0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38717D">
              <w:rPr>
                <w:rFonts w:ascii="Times New Roman" w:hAnsi="Times New Roman"/>
                <w:sz w:val="24"/>
                <w:szCs w:val="24"/>
              </w:rPr>
              <w:t>in item </w:t>
            </w:r>
            <w:r w:rsidR="001D43E8">
              <w:rPr>
                <w:rFonts w:ascii="Times New Roman" w:hAnsi="Times New Roman"/>
                <w:sz w:val="24"/>
                <w:szCs w:val="24"/>
              </w:rPr>
              <w:t>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="001D43E8">
              <w:rPr>
                <w:rFonts w:ascii="Times New Roman" w:hAnsi="Times New Roman"/>
                <w:sz w:val="24"/>
                <w:szCs w:val="24"/>
              </w:rPr>
              <w:t>4.1</w:t>
            </w:r>
            <w:r w:rsidR="001D43E8"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as the sum </w:t>
            </w:r>
            <w:r w:rsidR="00693A82">
              <w:rPr>
                <w:rFonts w:ascii="Times New Roman" w:hAnsi="Times New Roman"/>
                <w:sz w:val="24"/>
                <w:szCs w:val="24"/>
              </w:rPr>
              <w:t>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 w:rsidR="001D43E8">
              <w:rPr>
                <w:rFonts w:ascii="Times New Roman" w:hAnsi="Times New Roman"/>
                <w:sz w:val="24"/>
                <w:szCs w:val="24"/>
              </w:rPr>
              <w:t>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="001D43E8">
              <w:rPr>
                <w:rFonts w:ascii="Times New Roman" w:hAnsi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7D2F60">
              <w:rPr>
                <w:rFonts w:ascii="Times New Roman" w:hAnsi="Times New Roman"/>
                <w:sz w:val="24"/>
                <w:szCs w:val="24"/>
              </w:rPr>
              <w:t> </w:t>
            </w:r>
            <w:r w:rsidR="001D43E8">
              <w:rPr>
                <w:rFonts w:ascii="Times New Roman" w:hAnsi="Times New Roman"/>
                <w:sz w:val="24"/>
                <w:szCs w:val="24"/>
              </w:rPr>
              <w:t>3.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 w:rsidR="001D43E8">
              <w:rPr>
                <w:rFonts w:ascii="Times New Roman" w:hAnsi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.2.  </w:t>
            </w:r>
          </w:p>
        </w:tc>
      </w:tr>
      <w:tr w:rsidR="001D43E8" w:rsidRPr="00AB4984" w:rsidTr="00544CE3">
        <w:tc>
          <w:tcPr>
            <w:tcW w:w="1843" w:type="dxa"/>
            <w:shd w:val="clear" w:color="auto" w:fill="auto"/>
          </w:tcPr>
          <w:p w:rsidR="001D43E8" w:rsidRPr="00AB4984" w:rsidRDefault="001D43E8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1D43E8" w:rsidRPr="00A353CE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trading book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derivative 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  <w:tr w:rsidR="001D43E8" w:rsidRPr="00AB4984" w:rsidTr="00544CE3">
        <w:tc>
          <w:tcPr>
            <w:tcW w:w="1843" w:type="dxa"/>
            <w:shd w:val="clear" w:color="auto" w:fill="auto"/>
          </w:tcPr>
          <w:p w:rsidR="001D43E8" w:rsidRPr="00AB4984" w:rsidRDefault="001D43E8" w:rsidP="00F75CD3">
            <w:pPr>
              <w:numPr>
                <w:ilvl w:val="4"/>
                <w:numId w:val="40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8" w:type="dxa"/>
            <w:shd w:val="clear" w:color="auto" w:fill="auto"/>
          </w:tcPr>
          <w:p w:rsidR="001D43E8" w:rsidRPr="0088022A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15089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banking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book derivative 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>financial instruments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287A81" w:rsidRPr="00AB4984" w:rsidTr="00544CE3">
        <w:tc>
          <w:tcPr>
            <w:tcW w:w="1843" w:type="dxa"/>
            <w:shd w:val="clear" w:color="auto" w:fill="auto"/>
          </w:tcPr>
          <w:p w:rsidR="00287A81" w:rsidRPr="00AB4984" w:rsidRDefault="00287A81" w:rsidP="00BF05EF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Item 3.1.4.2</w:t>
            </w:r>
          </w:p>
        </w:tc>
        <w:tc>
          <w:tcPr>
            <w:tcW w:w="7228" w:type="dxa"/>
            <w:shd w:val="clear" w:color="auto" w:fill="auto"/>
          </w:tcPr>
          <w:p w:rsidR="00287A81" w:rsidRPr="0088022A" w:rsidRDefault="00287A81" w:rsidP="00EA368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1.4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 that comprises l</w:t>
            </w:r>
            <w:r w:rsidRPr="00BF05EF">
              <w:rPr>
                <w:rFonts w:ascii="Times New Roman" w:hAnsi="Times New Roman"/>
                <w:bCs/>
                <w:sz w:val="24"/>
                <w:szCs w:val="24"/>
              </w:rPr>
              <w:t xml:space="preserve">iabilities arising </w:t>
            </w:r>
            <w:r w:rsidR="00EA3689">
              <w:rPr>
                <w:rFonts w:ascii="Times New Roman" w:hAnsi="Times New Roman"/>
                <w:bCs/>
                <w:sz w:val="24"/>
                <w:szCs w:val="24"/>
              </w:rPr>
              <w:t>from</w:t>
            </w:r>
            <w:r w:rsidRPr="00BF05EF">
              <w:rPr>
                <w:rFonts w:ascii="Times New Roman" w:hAnsi="Times New Roman"/>
                <w:bCs/>
                <w:sz w:val="24"/>
                <w:szCs w:val="24"/>
              </w:rPr>
              <w:t xml:space="preserve"> operating leases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per </w:t>
            </w:r>
            <w:r w:rsidRPr="0075516F">
              <w:rPr>
                <w:rFonts w:ascii="Times New Roman" w:hAnsi="Times New Roman"/>
                <w:bCs/>
                <w:i/>
                <w:sz w:val="24"/>
                <w:szCs w:val="24"/>
              </w:rPr>
              <w:t>AASB 16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F05EF">
              <w:rPr>
                <w:rFonts w:ascii="Times New Roman" w:hAnsi="Times New Roman"/>
                <w:bCs/>
                <w:i/>
                <w:sz w:val="24"/>
                <w:szCs w:val="24"/>
              </w:rPr>
              <w:t>Leases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1D43E8" w:rsidRPr="00AB4984" w:rsidRDefault="001D43E8" w:rsidP="00A353CE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Intra-group liabilities – by related party type</w:t>
      </w:r>
    </w:p>
    <w:p w:rsidR="001D43E8" w:rsidRDefault="001D43E8" w:rsidP="00A353CE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Item </w:t>
      </w:r>
      <w:r>
        <w:rPr>
          <w:rFonts w:ascii="Times New Roman" w:hAnsi="Times New Roman"/>
          <w:sz w:val="24"/>
          <w:szCs w:val="24"/>
        </w:rPr>
        <w:t>4</w:t>
      </w:r>
      <w:r w:rsidRPr="00AB4984">
        <w:rPr>
          <w:rFonts w:ascii="Times New Roman" w:hAnsi="Times New Roman"/>
          <w:sz w:val="24"/>
          <w:szCs w:val="24"/>
        </w:rPr>
        <w:t xml:space="preserve"> collects information on the value of </w:t>
      </w:r>
      <w:r>
        <w:rPr>
          <w:rFonts w:ascii="Times New Roman" w:hAnsi="Times New Roman"/>
          <w:sz w:val="24"/>
          <w:szCs w:val="24"/>
        </w:rPr>
        <w:t>liabilities</w:t>
      </w:r>
      <w:r w:rsidRPr="001641D8">
        <w:rPr>
          <w:rFonts w:ascii="Times New Roman" w:hAnsi="Times New Roman"/>
          <w:sz w:val="24"/>
          <w:szCs w:val="24"/>
        </w:rPr>
        <w:t xml:space="preserve"> due </w:t>
      </w:r>
      <w:r w:rsidR="00B702F0">
        <w:rPr>
          <w:rFonts w:ascii="Times New Roman" w:hAnsi="Times New Roman"/>
          <w:sz w:val="24"/>
          <w:szCs w:val="24"/>
        </w:rPr>
        <w:t>to</w:t>
      </w:r>
      <w:r w:rsidR="00B702F0" w:rsidRPr="001641D8">
        <w:rPr>
          <w:rFonts w:ascii="Times New Roman" w:hAnsi="Times New Roman"/>
          <w:sz w:val="24"/>
          <w:szCs w:val="24"/>
        </w:rPr>
        <w:t xml:space="preserve"> </w:t>
      </w:r>
      <w:r w:rsidRPr="008842A3">
        <w:rPr>
          <w:rFonts w:ascii="Times New Roman" w:hAnsi="Times New Roman"/>
          <w:b/>
          <w:i/>
          <w:sz w:val="24"/>
          <w:szCs w:val="24"/>
        </w:rPr>
        <w:t>related parties</w:t>
      </w:r>
      <w:r w:rsidRPr="001641D8">
        <w:rPr>
          <w:rFonts w:ascii="Times New Roman" w:hAnsi="Times New Roman"/>
          <w:sz w:val="24"/>
          <w:szCs w:val="24"/>
        </w:rPr>
        <w:t xml:space="preserve"> (</w:t>
      </w:r>
      <w:r w:rsidRPr="008842A3">
        <w:rPr>
          <w:rFonts w:ascii="Times New Roman" w:hAnsi="Times New Roman"/>
          <w:b/>
          <w:i/>
          <w:sz w:val="24"/>
          <w:szCs w:val="24"/>
        </w:rPr>
        <w:t xml:space="preserve">intra-group </w:t>
      </w:r>
      <w:r w:rsidR="006A3F53">
        <w:rPr>
          <w:rFonts w:ascii="Times New Roman" w:hAnsi="Times New Roman"/>
          <w:sz w:val="24"/>
          <w:szCs w:val="24"/>
        </w:rPr>
        <w:t>liabilities</w:t>
      </w:r>
      <w:r w:rsidRPr="001641D8">
        <w:rPr>
          <w:rFonts w:ascii="Times New Roman" w:hAnsi="Times New Roman"/>
          <w:sz w:val="24"/>
          <w:szCs w:val="24"/>
        </w:rPr>
        <w:t xml:space="preserve">) </w:t>
      </w:r>
      <w:r w:rsidRPr="00662C05">
        <w:rPr>
          <w:rFonts w:ascii="Times New Roman" w:hAnsi="Times New Roman"/>
          <w:sz w:val="24"/>
          <w:szCs w:val="24"/>
        </w:rPr>
        <w:t>by</w:t>
      </w:r>
      <w:r w:rsidRPr="008842A3">
        <w:rPr>
          <w:rFonts w:ascii="Times New Roman" w:hAnsi="Times New Roman"/>
          <w:sz w:val="24"/>
          <w:szCs w:val="24"/>
        </w:rPr>
        <w:t xml:space="preserve"> </w:t>
      </w:r>
      <w:r w:rsidR="006A3F53" w:rsidRPr="00F20115">
        <w:rPr>
          <w:rFonts w:ascii="Times New Roman" w:hAnsi="Times New Roman"/>
          <w:b/>
          <w:i/>
          <w:sz w:val="24"/>
          <w:szCs w:val="24"/>
        </w:rPr>
        <w:t>related party</w:t>
      </w:r>
      <w:r w:rsidR="006A3F53">
        <w:rPr>
          <w:rFonts w:ascii="Times New Roman" w:hAnsi="Times New Roman"/>
          <w:sz w:val="24"/>
          <w:szCs w:val="24"/>
        </w:rPr>
        <w:t xml:space="preserve"> type</w:t>
      </w:r>
      <w:r w:rsidRPr="008842A3">
        <w:rPr>
          <w:rFonts w:ascii="Times New Roman" w:hAnsi="Times New Roman"/>
          <w:sz w:val="24"/>
          <w:szCs w:val="24"/>
        </w:rPr>
        <w:t xml:space="preserve">.  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44CE3" w:rsidRPr="00544CE3" w:rsidRDefault="00440E89" w:rsidP="00A353C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 w:rsidR="00544CE3">
        <w:rPr>
          <w:rFonts w:ascii="Times New Roman" w:hAnsi="Times New Roman"/>
          <w:bCs/>
          <w:sz w:val="24"/>
          <w:szCs w:val="24"/>
        </w:rPr>
        <w:t>submit item 4</w:t>
      </w:r>
      <w:r>
        <w:rPr>
          <w:rFonts w:ascii="Times New Roman" w:hAnsi="Times New Roman"/>
          <w:bCs/>
          <w:sz w:val="24"/>
          <w:szCs w:val="24"/>
        </w:rPr>
        <w:t xml:space="preserve"> with accounting type of credit (liabilities).  </w:t>
      </w: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</w:tcPr>
          <w:p w:rsidR="001D43E8" w:rsidRPr="00A353CE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value.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</w:tcPr>
          <w:p w:rsidR="001D43E8" w:rsidRPr="0088022A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B540D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CB540D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1, </w:t>
            </w:r>
            <w:r w:rsidR="006A3F53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CB540D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the value that </w:t>
            </w:r>
            <w:r w:rsidR="00CB540D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subordinated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</w:tcPr>
          <w:p w:rsidR="001D43E8" w:rsidRPr="0088022A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CB540D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="00CB540D"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reported in column 1, report the value that </w:t>
            </w:r>
            <w:r w:rsidR="00CB540D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8022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secured</w:t>
            </w:r>
            <w:r w:rsidRPr="0088022A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</w:tbl>
    <w:p w:rsidR="001D43E8" w:rsidRPr="00AB4984" w:rsidRDefault="001D43E8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1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total </w:t>
            </w:r>
            <w:r w:rsidR="006D481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intra-group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liabilities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  <w:p w:rsidR="001D43E8" w:rsidRPr="008842A3" w:rsidRDefault="00CB540D" w:rsidP="00E0209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For column 1, i</w:t>
            </w:r>
            <w:r w:rsidR="001D43E8">
              <w:rPr>
                <w:rFonts w:ascii="Times New Roman" w:hAnsi="Times New Roman"/>
                <w:bCs/>
                <w:sz w:val="24"/>
                <w:szCs w:val="24"/>
              </w:rPr>
              <w:t>tem 4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1D43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02094">
              <w:rPr>
                <w:rFonts w:ascii="Times New Roman" w:hAnsi="Times New Roman"/>
                <w:bCs/>
                <w:sz w:val="24"/>
                <w:szCs w:val="24"/>
              </w:rPr>
              <w:t xml:space="preserve">is a derived item. Report the value of </w:t>
            </w:r>
            <w:r w:rsidR="00E02094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E020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intra-group </w:t>
            </w:r>
            <w:r w:rsidR="00E02094" w:rsidRPr="00944702">
              <w:rPr>
                <w:rFonts w:ascii="Times New Roman" w:hAnsi="Times New Roman"/>
                <w:bCs/>
                <w:sz w:val="24"/>
                <w:szCs w:val="24"/>
              </w:rPr>
              <w:t>liabilities</w:t>
            </w:r>
            <w:r w:rsidR="00E02094">
              <w:rPr>
                <w:rFonts w:ascii="Times New Roman" w:hAnsi="Times New Roman"/>
                <w:bCs/>
                <w:sz w:val="24"/>
                <w:szCs w:val="24"/>
              </w:rPr>
              <w:t xml:space="preserve"> as</w:t>
            </w:r>
            <w:r w:rsidR="001D43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A3F53">
              <w:rPr>
                <w:rFonts w:ascii="Times New Roman" w:hAnsi="Times New Roman"/>
                <w:bCs/>
                <w:sz w:val="24"/>
                <w:szCs w:val="24"/>
              </w:rPr>
              <w:t xml:space="preserve">the value </w:t>
            </w:r>
            <w:r w:rsidR="001D43E8">
              <w:rPr>
                <w:rFonts w:ascii="Times New Roman" w:hAnsi="Times New Roman"/>
                <w:bCs/>
                <w:sz w:val="24"/>
                <w:szCs w:val="24"/>
              </w:rPr>
              <w:t>reported in item 3</w:t>
            </w:r>
            <w:r w:rsidR="00B702F0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A353CE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.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2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Pr="00A353CE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liabilities due to the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parent entity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2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Pr="00A353CE" w:rsidRDefault="001D43E8" w:rsidP="00AA5F9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Report liabilities due to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 w:rsidR="00DB26EC" w:rsidRPr="00D0320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overseas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branches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2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Pr="00A353CE" w:rsidRDefault="001D43E8" w:rsidP="00AA5F9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liabilities due to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DB26EC" w:rsidRPr="00B47E9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="00DB26EC" w:rsidRPr="001D43E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overseas-based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>banking operations</w:t>
            </w:r>
            <w:r w:rsidR="00AA5F98">
              <w:rPr>
                <w:rFonts w:ascii="Times New Roman" w:hAnsi="Times New Roman"/>
                <w:bCs/>
                <w:sz w:val="24"/>
                <w:szCs w:val="24"/>
              </w:rPr>
              <w:t xml:space="preserve">, other than assets due 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to the </w:t>
            </w:r>
            <w:r w:rsidR="00DB26EC" w:rsidRPr="00B47E9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ADI’s</w:t>
            </w:r>
            <w:r w:rsidR="00DB26EC">
              <w:rPr>
                <w:rFonts w:ascii="Times New Roman" w:hAnsi="Times New Roman"/>
                <w:bCs/>
                <w:sz w:val="24"/>
                <w:szCs w:val="24"/>
              </w:rPr>
              <w:t xml:space="preserve"> overseas branches reported in item 4.1.2.</w:t>
            </w:r>
            <w:r w:rsidR="00DB26EC"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2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Pr="00A353CE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liabilities due to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9C41FB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A353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</w:p>
        </w:tc>
      </w:tr>
      <w:tr w:rsidR="001D43E8" w:rsidRPr="00AB4984" w:rsidTr="00DF3FA5">
        <w:tc>
          <w:tcPr>
            <w:tcW w:w="1701" w:type="dxa"/>
            <w:shd w:val="clear" w:color="auto" w:fill="auto"/>
          </w:tcPr>
          <w:p w:rsidR="001D43E8" w:rsidRPr="00AB4984" w:rsidRDefault="001D43E8" w:rsidP="00F75CD3">
            <w:pPr>
              <w:numPr>
                <w:ilvl w:val="2"/>
                <w:numId w:val="42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:rsidR="001D43E8" w:rsidRPr="00944702" w:rsidRDefault="001D43E8" w:rsidP="00F75CD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Report liabilities due to any other </w:t>
            </w:r>
            <w:r w:rsidRPr="0094470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related parties 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other than those reported in </w:t>
            </w:r>
            <w:r w:rsidR="006A3F5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>tems 4.1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 to 4.</w:t>
            </w:r>
            <w:r w:rsidR="00544CE3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Pr="00944702">
              <w:rPr>
                <w:rFonts w:ascii="Times New Roman" w:hAnsi="Times New Roman"/>
                <w:bCs/>
                <w:sz w:val="24"/>
                <w:szCs w:val="24"/>
              </w:rPr>
              <w:t xml:space="preserve">4.  </w:t>
            </w:r>
          </w:p>
          <w:p w:rsidR="001D43E8" w:rsidRPr="00A353CE" w:rsidRDefault="001D43E8" w:rsidP="00F75CD3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63A9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is a derived item.  Report the value of </w:t>
            </w:r>
            <w:r>
              <w:rPr>
                <w:rFonts w:ascii="Times New Roman" w:hAnsi="Times New Roman"/>
                <w:sz w:val="24"/>
                <w:szCs w:val="24"/>
              </w:rPr>
              <w:t>liabilities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item 4.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as item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02F0">
              <w:rPr>
                <w:rFonts w:ascii="Times New Roman" w:hAnsi="Times New Roman"/>
                <w:sz w:val="24"/>
                <w:szCs w:val="24"/>
              </w:rPr>
              <w:t>4</w:t>
            </w:r>
            <w:r w:rsidR="00544CE3">
              <w:rPr>
                <w:rFonts w:ascii="Times New Roman" w:hAnsi="Times New Roman"/>
                <w:sz w:val="24"/>
                <w:szCs w:val="24"/>
              </w:rPr>
              <w:t>.1</w:t>
            </w:r>
            <w:r w:rsidR="00693A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less the sum of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693A82">
              <w:rPr>
                <w:rFonts w:ascii="Times New Roman" w:hAnsi="Times New Roman"/>
                <w:sz w:val="24"/>
                <w:szCs w:val="24"/>
              </w:rPr>
              <w:t>s</w:t>
            </w:r>
            <w:r w:rsidR="00466E9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93A82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544CE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693A82">
              <w:rPr>
                <w:rFonts w:ascii="Times New Roman" w:hAnsi="Times New Roman"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FA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466E9E" w:rsidRDefault="004F769D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 </w:t>
      </w:r>
    </w:p>
    <w:p w:rsidR="000952DD" w:rsidRPr="00AB4984" w:rsidRDefault="000952DD" w:rsidP="00A353CE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0952DD" w:rsidRPr="00AB4984" w:rsidSect="00BD3FD5">
      <w:footerReference w:type="default" r:id="rId21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A7" w:rsidRDefault="00F055A7" w:rsidP="00054C93">
      <w:r>
        <w:separator/>
      </w:r>
    </w:p>
  </w:endnote>
  <w:endnote w:type="continuationSeparator" w:id="0">
    <w:p w:rsidR="00F055A7" w:rsidRDefault="00F055A7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Pr="00045B98" w:rsidRDefault="00C5031F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:rsidR="00C5031F" w:rsidRDefault="00C503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Pr="00045B98" w:rsidRDefault="00C5031F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335A1A">
      <w:rPr>
        <w:rFonts w:ascii="Times New Roman" w:hAnsi="Times New Roman"/>
        <w:sz w:val="24"/>
        <w:szCs w:val="24"/>
        <w:lang w:val="en-AU"/>
      </w:rPr>
      <w:t>A</w:t>
    </w:r>
    <w:r w:rsidRPr="00335A1A">
      <w:rPr>
        <w:rFonts w:ascii="Times New Roman" w:hAnsi="Times New Roman"/>
        <w:sz w:val="24"/>
        <w:szCs w:val="24"/>
      </w:rPr>
      <w:t>R</w:t>
    </w:r>
    <w:r w:rsidRPr="00335A1A">
      <w:rPr>
        <w:rFonts w:ascii="Times New Roman" w:hAnsi="Times New Roman"/>
        <w:sz w:val="24"/>
        <w:szCs w:val="24"/>
        <w:lang w:val="en-AU"/>
      </w:rPr>
      <w:t>S</w:t>
    </w:r>
    <w:r w:rsidRPr="00335A1A">
      <w:rPr>
        <w:rFonts w:ascii="Times New Roman" w:hAnsi="Times New Roman"/>
        <w:sz w:val="24"/>
        <w:szCs w:val="24"/>
      </w:rPr>
      <w:t xml:space="preserve"> </w:t>
    </w:r>
    <w:r w:rsidRPr="00335A1A">
      <w:rPr>
        <w:rFonts w:ascii="Times New Roman" w:hAnsi="Times New Roman"/>
        <w:sz w:val="24"/>
        <w:szCs w:val="24"/>
        <w:lang w:val="en-AU"/>
      </w:rPr>
      <w:t>720.3</w:t>
    </w:r>
    <w:r w:rsidRPr="003E3E60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Default="00C5031F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:rsidR="00C5031F" w:rsidRPr="00045B98" w:rsidRDefault="00C5031F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720.3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Pr="00045B98" w:rsidRDefault="00C5031F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720.3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7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A7" w:rsidRDefault="00F055A7" w:rsidP="00054C93">
      <w:r>
        <w:separator/>
      </w:r>
    </w:p>
  </w:footnote>
  <w:footnote w:type="continuationSeparator" w:id="0">
    <w:p w:rsidR="00F055A7" w:rsidRDefault="00F055A7" w:rsidP="00054C93">
      <w:r>
        <w:continuationSeparator/>
      </w:r>
    </w:p>
  </w:footnote>
  <w:footnote w:id="1">
    <w:p w:rsidR="00C5031F" w:rsidRPr="00541C6E" w:rsidRDefault="00C5031F" w:rsidP="00CD3512">
      <w:pPr>
        <w:pStyle w:val="FootnoteText"/>
        <w:rPr>
          <w:lang w:val="en-AU"/>
        </w:rPr>
      </w:pPr>
      <w:r w:rsidRPr="009C41FB">
        <w:rPr>
          <w:rStyle w:val="FootnoteReference"/>
          <w:rFonts w:ascii="Times New Roman" w:hAnsi="Times New Roman"/>
        </w:rPr>
        <w:footnoteRef/>
      </w:r>
      <w:r>
        <w:t xml:space="preserve"> </w:t>
      </w:r>
      <w:r>
        <w:rPr>
          <w:rFonts w:ascii="Times New Roman" w:hAnsi="Times New Roman"/>
          <w:lang w:val="en-AU"/>
        </w:rPr>
        <w:t>To avoid</w:t>
      </w:r>
      <w:r w:rsidRPr="00D65D94">
        <w:rPr>
          <w:rFonts w:ascii="Times New Roman" w:hAnsi="Times New Roman"/>
        </w:rPr>
        <w:t xml:space="preserve"> doubt, if the </w:t>
      </w:r>
      <w:r w:rsidRPr="009C41FB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 xml:space="preserve"> for a particular </w:t>
      </w:r>
      <w:r w:rsidRPr="009C41FB">
        <w:rPr>
          <w:rFonts w:ascii="Times New Roman" w:hAnsi="Times New Roman"/>
          <w:b/>
          <w:i/>
        </w:rPr>
        <w:t>reporting period</w:t>
      </w:r>
      <w:r w:rsidRPr="00D65D94">
        <w:rPr>
          <w:rFonts w:ascii="Times New Roman" w:hAnsi="Times New Roman"/>
        </w:rPr>
        <w:t xml:space="preserve"> falls on a day other than a usual business day, an </w:t>
      </w:r>
      <w:r w:rsidRPr="009C41FB">
        <w:rPr>
          <w:rFonts w:ascii="Times New Roman" w:hAnsi="Times New Roman"/>
          <w:b/>
          <w:i/>
          <w:lang w:val="en-AU"/>
        </w:rPr>
        <w:t>RFC</w:t>
      </w:r>
      <w:r>
        <w:rPr>
          <w:rFonts w:ascii="Times New Roman" w:hAnsi="Times New Roman"/>
          <w:lang w:val="en-AU"/>
        </w:rPr>
        <w:t xml:space="preserve"> </w:t>
      </w:r>
      <w:r w:rsidRPr="00D65D94">
        <w:rPr>
          <w:rFonts w:ascii="Times New Roman" w:hAnsi="Times New Roman"/>
        </w:rPr>
        <w:t xml:space="preserve">is nonetheless required to submit the information required no later than the </w:t>
      </w:r>
      <w:r w:rsidRPr="009C41FB">
        <w:rPr>
          <w:rFonts w:ascii="Times New Roman" w:hAnsi="Times New Roman"/>
          <w:b/>
          <w:i/>
        </w:rPr>
        <w:t>due date</w:t>
      </w:r>
      <w:r w:rsidRPr="00D65D94">
        <w:rPr>
          <w:rFonts w:ascii="Times New Roman" w:hAnsi="Times New Roman"/>
        </w:rPr>
        <w:t>.</w:t>
      </w:r>
    </w:p>
  </w:footnote>
  <w:footnote w:id="2">
    <w:p w:rsidR="00C5031F" w:rsidRPr="0075516F" w:rsidRDefault="00C5031F">
      <w:pPr>
        <w:pStyle w:val="FootnoteText"/>
        <w:rPr>
          <w:rFonts w:ascii="Times New Roman" w:hAnsi="Times New Roman"/>
          <w:lang w:val="en-AU"/>
        </w:rPr>
      </w:pPr>
      <w:r w:rsidRPr="0075516F">
        <w:rPr>
          <w:rStyle w:val="FootnoteReference"/>
          <w:rFonts w:ascii="Times New Roman" w:hAnsi="Times New Roman"/>
        </w:rPr>
        <w:footnoteRef/>
      </w:r>
      <w:r w:rsidRPr="0075516F">
        <w:rPr>
          <w:rFonts w:ascii="Times New Roman" w:hAnsi="Times New Roman"/>
        </w:rPr>
        <w:t xml:space="preserve"> </w:t>
      </w:r>
      <w:bookmarkStart w:id="9" w:name="_Hlk46733954"/>
      <w:r w:rsidRPr="0075516F">
        <w:rPr>
          <w:rFonts w:ascii="Times New Roman" w:hAnsi="Times New Roman"/>
          <w:lang w:val="en-AU"/>
        </w:rPr>
        <w:t>For the avoidance of doubt, the instruction at</w:t>
      </w:r>
      <w:r w:rsidRPr="0075516F">
        <w:rPr>
          <w:rFonts w:ascii="Times New Roman" w:hAnsi="Times New Roman"/>
          <w:i/>
          <w:lang w:val="en-AU"/>
        </w:rPr>
        <w:t xml:space="preserve"> </w:t>
      </w:r>
      <w:r w:rsidRPr="0075516F">
        <w:rPr>
          <w:rFonts w:ascii="Times New Roman" w:hAnsi="Times New Roman"/>
          <w:b/>
          <w:i/>
          <w:lang w:val="en-AU"/>
        </w:rPr>
        <w:t>credit outstanding</w:t>
      </w:r>
      <w:r w:rsidRPr="0075516F">
        <w:rPr>
          <w:rFonts w:ascii="Times New Roman" w:hAnsi="Times New Roman"/>
          <w:lang w:val="en-AU"/>
        </w:rPr>
        <w:t xml:space="preserve"> in </w:t>
      </w:r>
      <w:r w:rsidRPr="0075516F">
        <w:rPr>
          <w:rFonts w:ascii="Times New Roman" w:hAnsi="Times New Roman"/>
          <w:i/>
          <w:lang w:val="en-AU"/>
        </w:rPr>
        <w:t>Reporting Standard ARS 701.0 ABS/RBA Defin</w:t>
      </w:r>
      <w:r>
        <w:rPr>
          <w:rFonts w:ascii="Times New Roman" w:hAnsi="Times New Roman"/>
          <w:i/>
          <w:lang w:val="en-AU"/>
        </w:rPr>
        <w:t>i</w:t>
      </w:r>
      <w:r w:rsidRPr="0075516F">
        <w:rPr>
          <w:rFonts w:ascii="Times New Roman" w:hAnsi="Times New Roman"/>
          <w:i/>
          <w:lang w:val="en-AU"/>
        </w:rPr>
        <w:t xml:space="preserve">tions for the EFS Collection </w:t>
      </w:r>
      <w:r w:rsidRPr="0075516F">
        <w:rPr>
          <w:rFonts w:ascii="Times New Roman" w:hAnsi="Times New Roman"/>
          <w:lang w:val="en-AU"/>
        </w:rPr>
        <w:t xml:space="preserve">to report the balance gross of </w:t>
      </w:r>
      <w:r w:rsidRPr="0075516F">
        <w:rPr>
          <w:rFonts w:ascii="Times New Roman" w:hAnsi="Times New Roman"/>
          <w:b/>
          <w:i/>
          <w:lang w:val="en-AU"/>
        </w:rPr>
        <w:t xml:space="preserve">collective provisions </w:t>
      </w:r>
      <w:r w:rsidRPr="0075516F">
        <w:rPr>
          <w:rFonts w:ascii="Times New Roman" w:hAnsi="Times New Roman"/>
          <w:lang w:val="en-AU"/>
        </w:rPr>
        <w:t xml:space="preserve">and </w:t>
      </w:r>
      <w:r w:rsidRPr="0075516F">
        <w:rPr>
          <w:rFonts w:ascii="Times New Roman" w:hAnsi="Times New Roman"/>
          <w:b/>
          <w:i/>
          <w:lang w:val="en-AU"/>
        </w:rPr>
        <w:t xml:space="preserve">individual provisions </w:t>
      </w:r>
      <w:r w:rsidRPr="0075516F">
        <w:rPr>
          <w:rFonts w:ascii="Times New Roman" w:hAnsi="Times New Roman"/>
          <w:lang w:val="en-AU"/>
        </w:rPr>
        <w:t>does not apply for the purpose of ARF 720.3.</w:t>
      </w:r>
      <w:bookmarkEnd w:id="9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Pr="007F4E77" w:rsidRDefault="00C5031F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  <w:p w:rsidR="00C5031F" w:rsidRDefault="00C503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31F" w:rsidRPr="007F4E77" w:rsidRDefault="00C5031F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" w15:restartNumberingAfterBreak="0">
    <w:nsid w:val="08BF3A92"/>
    <w:multiLevelType w:val="hybridMultilevel"/>
    <w:tmpl w:val="4F5E4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6901"/>
    <w:multiLevelType w:val="multilevel"/>
    <w:tmpl w:val="970E8D4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22628"/>
    <w:multiLevelType w:val="multilevel"/>
    <w:tmpl w:val="C9BA5DD4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FDB6CCA"/>
    <w:multiLevelType w:val="multilevel"/>
    <w:tmpl w:val="47B43326"/>
    <w:numStyleLink w:val="D2Aformnumbering"/>
  </w:abstractNum>
  <w:abstractNum w:abstractNumId="7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E22F7"/>
    <w:multiLevelType w:val="multilevel"/>
    <w:tmpl w:val="E0362CF4"/>
    <w:lvl w:ilvl="0">
      <w:start w:val="3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9728D"/>
    <w:multiLevelType w:val="multilevel"/>
    <w:tmpl w:val="47B43326"/>
    <w:numStyleLink w:val="D2Aformnumbering"/>
  </w:abstractNum>
  <w:abstractNum w:abstractNumId="13" w15:restartNumberingAfterBreak="0">
    <w:nsid w:val="222D40F5"/>
    <w:multiLevelType w:val="hybridMultilevel"/>
    <w:tmpl w:val="94005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11331"/>
    <w:multiLevelType w:val="hybridMultilevel"/>
    <w:tmpl w:val="F6E42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67498"/>
    <w:multiLevelType w:val="hybridMultilevel"/>
    <w:tmpl w:val="AF5C1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91551"/>
    <w:multiLevelType w:val="multilevel"/>
    <w:tmpl w:val="BDD64868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8" w15:restartNumberingAfterBreak="0">
    <w:nsid w:val="34DA53F4"/>
    <w:multiLevelType w:val="hybridMultilevel"/>
    <w:tmpl w:val="EEB65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E7689"/>
    <w:multiLevelType w:val="multilevel"/>
    <w:tmpl w:val="BE984EB2"/>
    <w:lvl w:ilvl="0">
      <w:start w:val="3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23C5A"/>
    <w:multiLevelType w:val="multilevel"/>
    <w:tmpl w:val="BDD64868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7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A1037E"/>
    <w:multiLevelType w:val="hybridMultilevel"/>
    <w:tmpl w:val="5F1C5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0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77396"/>
    <w:multiLevelType w:val="multilevel"/>
    <w:tmpl w:val="47B43326"/>
    <w:numStyleLink w:val="D2Aformnumbering"/>
  </w:abstractNum>
  <w:abstractNum w:abstractNumId="32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3" w15:restartNumberingAfterBreak="0">
    <w:nsid w:val="6037650B"/>
    <w:multiLevelType w:val="hybridMultilevel"/>
    <w:tmpl w:val="F7B8C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A2F3D"/>
    <w:multiLevelType w:val="multilevel"/>
    <w:tmpl w:val="47B43326"/>
    <w:numStyleLink w:val="D2Aformnumbering"/>
  </w:abstractNum>
  <w:abstractNum w:abstractNumId="37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9" w15:restartNumberingAfterBreak="0">
    <w:nsid w:val="71EB2006"/>
    <w:multiLevelType w:val="multilevel"/>
    <w:tmpl w:val="ECA630E8"/>
    <w:lvl w:ilvl="0">
      <w:start w:val="4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A6B3614"/>
    <w:multiLevelType w:val="multilevel"/>
    <w:tmpl w:val="BDD64868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Item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DBC7956"/>
    <w:multiLevelType w:val="multilevel"/>
    <w:tmpl w:val="319C7D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num w:numId="1">
    <w:abstractNumId w:val="27"/>
  </w:num>
  <w:num w:numId="2">
    <w:abstractNumId w:val="24"/>
  </w:num>
  <w:num w:numId="3">
    <w:abstractNumId w:val="10"/>
  </w:num>
  <w:num w:numId="4">
    <w:abstractNumId w:val="30"/>
  </w:num>
  <w:num w:numId="5">
    <w:abstractNumId w:val="29"/>
  </w:num>
  <w:num w:numId="6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38"/>
  </w:num>
  <w:num w:numId="9">
    <w:abstractNumId w:val="7"/>
  </w:num>
  <w:num w:numId="10">
    <w:abstractNumId w:val="3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3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32"/>
  </w:num>
  <w:num w:numId="13">
    <w:abstractNumId w:val="31"/>
  </w:num>
  <w:num w:numId="14">
    <w:abstractNumId w:val="26"/>
  </w:num>
  <w:num w:numId="15">
    <w:abstractNumId w:val="40"/>
  </w:num>
  <w:num w:numId="16">
    <w:abstractNumId w:val="21"/>
  </w:num>
  <w:num w:numId="17">
    <w:abstractNumId w:val="37"/>
  </w:num>
  <w:num w:numId="18">
    <w:abstractNumId w:val="17"/>
  </w:num>
  <w:num w:numId="19">
    <w:abstractNumId w:val="1"/>
  </w:num>
  <w:num w:numId="20">
    <w:abstractNumId w:val="11"/>
  </w:num>
  <w:num w:numId="21">
    <w:abstractNumId w:val="34"/>
  </w:num>
  <w:num w:numId="22">
    <w:abstractNumId w:val="16"/>
  </w:num>
  <w:num w:numId="23">
    <w:abstractNumId w:val="4"/>
  </w:num>
  <w:num w:numId="24">
    <w:abstractNumId w:val="8"/>
  </w:num>
  <w:num w:numId="25">
    <w:abstractNumId w:val="22"/>
  </w:num>
  <w:num w:numId="26">
    <w:abstractNumId w:val="25"/>
  </w:num>
  <w:num w:numId="27">
    <w:abstractNumId w:val="0"/>
  </w:num>
  <w:num w:numId="28">
    <w:abstractNumId w:val="2"/>
  </w:num>
  <w:num w:numId="29">
    <w:abstractNumId w:val="14"/>
  </w:num>
  <w:num w:numId="30">
    <w:abstractNumId w:val="13"/>
  </w:num>
  <w:num w:numId="31">
    <w:abstractNumId w:val="28"/>
  </w:num>
  <w:num w:numId="32">
    <w:abstractNumId w:val="18"/>
  </w:num>
  <w:num w:numId="33">
    <w:abstractNumId w:val="15"/>
  </w:num>
  <w:num w:numId="34">
    <w:abstractNumId w:val="33"/>
  </w:num>
  <w:num w:numId="35">
    <w:abstractNumId w:val="42"/>
  </w:num>
  <w:num w:numId="36">
    <w:abstractNumId w:val="3"/>
  </w:num>
  <w:num w:numId="37">
    <w:abstractNumId w:val="5"/>
  </w:num>
  <w:num w:numId="38">
    <w:abstractNumId w:val="41"/>
  </w:num>
  <w:num w:numId="39">
    <w:abstractNumId w:val="23"/>
  </w:num>
  <w:num w:numId="40">
    <w:abstractNumId w:val="9"/>
  </w:num>
  <w:num w:numId="41">
    <w:abstractNumId w:val="20"/>
  </w:num>
  <w:num w:numId="42">
    <w:abstractNumId w:val="39"/>
  </w:num>
  <w:num w:numId="43">
    <w:abstractNumId w:val="19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0420"/>
    <w:rsid w:val="000013AB"/>
    <w:rsid w:val="00002653"/>
    <w:rsid w:val="0000299D"/>
    <w:rsid w:val="00003E3C"/>
    <w:rsid w:val="000051AD"/>
    <w:rsid w:val="00005B72"/>
    <w:rsid w:val="0000696A"/>
    <w:rsid w:val="00007500"/>
    <w:rsid w:val="00010EDD"/>
    <w:rsid w:val="0001191B"/>
    <w:rsid w:val="000124FE"/>
    <w:rsid w:val="000154E9"/>
    <w:rsid w:val="00015BFF"/>
    <w:rsid w:val="00016821"/>
    <w:rsid w:val="00016C54"/>
    <w:rsid w:val="00021CC2"/>
    <w:rsid w:val="00023D16"/>
    <w:rsid w:val="00023EC3"/>
    <w:rsid w:val="000243E2"/>
    <w:rsid w:val="00024E65"/>
    <w:rsid w:val="0002642E"/>
    <w:rsid w:val="000278EC"/>
    <w:rsid w:val="00030790"/>
    <w:rsid w:val="0003147A"/>
    <w:rsid w:val="000323F7"/>
    <w:rsid w:val="00033032"/>
    <w:rsid w:val="00033A92"/>
    <w:rsid w:val="00034ED5"/>
    <w:rsid w:val="000350EA"/>
    <w:rsid w:val="00036913"/>
    <w:rsid w:val="00037668"/>
    <w:rsid w:val="00040147"/>
    <w:rsid w:val="00041673"/>
    <w:rsid w:val="000427E5"/>
    <w:rsid w:val="00043807"/>
    <w:rsid w:val="000443E6"/>
    <w:rsid w:val="00044762"/>
    <w:rsid w:val="00045B98"/>
    <w:rsid w:val="00047EFC"/>
    <w:rsid w:val="00051DD6"/>
    <w:rsid w:val="00051F2C"/>
    <w:rsid w:val="000547DD"/>
    <w:rsid w:val="00054C93"/>
    <w:rsid w:val="000610A4"/>
    <w:rsid w:val="00063A67"/>
    <w:rsid w:val="00065EEB"/>
    <w:rsid w:val="00066DCD"/>
    <w:rsid w:val="00070A53"/>
    <w:rsid w:val="00071A4F"/>
    <w:rsid w:val="00075A37"/>
    <w:rsid w:val="00081BDA"/>
    <w:rsid w:val="00085E19"/>
    <w:rsid w:val="00086D15"/>
    <w:rsid w:val="00092B46"/>
    <w:rsid w:val="000932C6"/>
    <w:rsid w:val="00095178"/>
    <w:rsid w:val="000952DD"/>
    <w:rsid w:val="000957C9"/>
    <w:rsid w:val="000A09B6"/>
    <w:rsid w:val="000A1138"/>
    <w:rsid w:val="000A2490"/>
    <w:rsid w:val="000A398D"/>
    <w:rsid w:val="000A3CD6"/>
    <w:rsid w:val="000A6D98"/>
    <w:rsid w:val="000B19F2"/>
    <w:rsid w:val="000B33C9"/>
    <w:rsid w:val="000B5E7C"/>
    <w:rsid w:val="000B7BFE"/>
    <w:rsid w:val="000C0116"/>
    <w:rsid w:val="000C184D"/>
    <w:rsid w:val="000C20B4"/>
    <w:rsid w:val="000C2175"/>
    <w:rsid w:val="000C35FD"/>
    <w:rsid w:val="000C3CBC"/>
    <w:rsid w:val="000C51DB"/>
    <w:rsid w:val="000C59B9"/>
    <w:rsid w:val="000C75AD"/>
    <w:rsid w:val="000C76FC"/>
    <w:rsid w:val="000D00C8"/>
    <w:rsid w:val="000D0355"/>
    <w:rsid w:val="000D2012"/>
    <w:rsid w:val="000D2A2D"/>
    <w:rsid w:val="000D3069"/>
    <w:rsid w:val="000D52A0"/>
    <w:rsid w:val="000D5E7B"/>
    <w:rsid w:val="000E03C9"/>
    <w:rsid w:val="000E059C"/>
    <w:rsid w:val="000E0DC2"/>
    <w:rsid w:val="000E21F0"/>
    <w:rsid w:val="000E573E"/>
    <w:rsid w:val="000E60DE"/>
    <w:rsid w:val="000F0598"/>
    <w:rsid w:val="000F2EAB"/>
    <w:rsid w:val="000F7039"/>
    <w:rsid w:val="000F7D64"/>
    <w:rsid w:val="001007BE"/>
    <w:rsid w:val="00101049"/>
    <w:rsid w:val="001019F1"/>
    <w:rsid w:val="00101C0F"/>
    <w:rsid w:val="00102E6E"/>
    <w:rsid w:val="0010535E"/>
    <w:rsid w:val="001054B7"/>
    <w:rsid w:val="00106E8B"/>
    <w:rsid w:val="00107543"/>
    <w:rsid w:val="0011006A"/>
    <w:rsid w:val="00111EC6"/>
    <w:rsid w:val="00112A37"/>
    <w:rsid w:val="00112C5B"/>
    <w:rsid w:val="001148EE"/>
    <w:rsid w:val="00114AB5"/>
    <w:rsid w:val="00116ECA"/>
    <w:rsid w:val="00117AF8"/>
    <w:rsid w:val="00122C86"/>
    <w:rsid w:val="0012377B"/>
    <w:rsid w:val="001246A0"/>
    <w:rsid w:val="001249B0"/>
    <w:rsid w:val="00125A53"/>
    <w:rsid w:val="00126C09"/>
    <w:rsid w:val="00126CA5"/>
    <w:rsid w:val="00127ABC"/>
    <w:rsid w:val="001304D5"/>
    <w:rsid w:val="001358EF"/>
    <w:rsid w:val="00135C27"/>
    <w:rsid w:val="001410F9"/>
    <w:rsid w:val="00141500"/>
    <w:rsid w:val="00141F79"/>
    <w:rsid w:val="00143F88"/>
    <w:rsid w:val="00146224"/>
    <w:rsid w:val="00146C91"/>
    <w:rsid w:val="001505D1"/>
    <w:rsid w:val="00151135"/>
    <w:rsid w:val="00151BC8"/>
    <w:rsid w:val="0015213C"/>
    <w:rsid w:val="0015225C"/>
    <w:rsid w:val="00154101"/>
    <w:rsid w:val="00156DB2"/>
    <w:rsid w:val="00157D70"/>
    <w:rsid w:val="00160348"/>
    <w:rsid w:val="0016230C"/>
    <w:rsid w:val="001641D8"/>
    <w:rsid w:val="0016495E"/>
    <w:rsid w:val="00165D73"/>
    <w:rsid w:val="00171251"/>
    <w:rsid w:val="001716F5"/>
    <w:rsid w:val="00174DA3"/>
    <w:rsid w:val="0017642B"/>
    <w:rsid w:val="00177390"/>
    <w:rsid w:val="00182693"/>
    <w:rsid w:val="00182FA1"/>
    <w:rsid w:val="0018670F"/>
    <w:rsid w:val="00187213"/>
    <w:rsid w:val="0019029E"/>
    <w:rsid w:val="00194E34"/>
    <w:rsid w:val="0019555D"/>
    <w:rsid w:val="00196F50"/>
    <w:rsid w:val="00197569"/>
    <w:rsid w:val="00197EB6"/>
    <w:rsid w:val="001A0F59"/>
    <w:rsid w:val="001A391D"/>
    <w:rsid w:val="001A79DB"/>
    <w:rsid w:val="001B017B"/>
    <w:rsid w:val="001B263B"/>
    <w:rsid w:val="001B281C"/>
    <w:rsid w:val="001B316F"/>
    <w:rsid w:val="001B5CAB"/>
    <w:rsid w:val="001C69A3"/>
    <w:rsid w:val="001C6FD5"/>
    <w:rsid w:val="001C7904"/>
    <w:rsid w:val="001D43E8"/>
    <w:rsid w:val="001D642B"/>
    <w:rsid w:val="001D6B38"/>
    <w:rsid w:val="001E0029"/>
    <w:rsid w:val="001E0233"/>
    <w:rsid w:val="001E0348"/>
    <w:rsid w:val="001E05DE"/>
    <w:rsid w:val="001E19FD"/>
    <w:rsid w:val="001E1DAA"/>
    <w:rsid w:val="001E465D"/>
    <w:rsid w:val="001E57F5"/>
    <w:rsid w:val="001E5FB9"/>
    <w:rsid w:val="001F0D8F"/>
    <w:rsid w:val="001F2875"/>
    <w:rsid w:val="001F5300"/>
    <w:rsid w:val="001F78BC"/>
    <w:rsid w:val="00201562"/>
    <w:rsid w:val="00202566"/>
    <w:rsid w:val="0020461D"/>
    <w:rsid w:val="00210D1D"/>
    <w:rsid w:val="00212836"/>
    <w:rsid w:val="00213E78"/>
    <w:rsid w:val="00214829"/>
    <w:rsid w:val="00214AEE"/>
    <w:rsid w:val="00227EBE"/>
    <w:rsid w:val="00232A15"/>
    <w:rsid w:val="0023334E"/>
    <w:rsid w:val="00233B17"/>
    <w:rsid w:val="002352E9"/>
    <w:rsid w:val="00236993"/>
    <w:rsid w:val="002409E5"/>
    <w:rsid w:val="00242697"/>
    <w:rsid w:val="002577E5"/>
    <w:rsid w:val="002611FF"/>
    <w:rsid w:val="00264053"/>
    <w:rsid w:val="00267679"/>
    <w:rsid w:val="00267EF8"/>
    <w:rsid w:val="0027000E"/>
    <w:rsid w:val="0027222C"/>
    <w:rsid w:val="00272707"/>
    <w:rsid w:val="00274333"/>
    <w:rsid w:val="002746A6"/>
    <w:rsid w:val="00276568"/>
    <w:rsid w:val="00276DDD"/>
    <w:rsid w:val="00280896"/>
    <w:rsid w:val="00282BF4"/>
    <w:rsid w:val="002840E9"/>
    <w:rsid w:val="00286946"/>
    <w:rsid w:val="00287A81"/>
    <w:rsid w:val="00287F8B"/>
    <w:rsid w:val="00290A85"/>
    <w:rsid w:val="0029123D"/>
    <w:rsid w:val="002912F4"/>
    <w:rsid w:val="0029339F"/>
    <w:rsid w:val="00297158"/>
    <w:rsid w:val="002A0B6A"/>
    <w:rsid w:val="002A5E8E"/>
    <w:rsid w:val="002A7E24"/>
    <w:rsid w:val="002B32DE"/>
    <w:rsid w:val="002B35F7"/>
    <w:rsid w:val="002C1593"/>
    <w:rsid w:val="002C1B0B"/>
    <w:rsid w:val="002C1E1F"/>
    <w:rsid w:val="002C30EF"/>
    <w:rsid w:val="002C5188"/>
    <w:rsid w:val="002D16D4"/>
    <w:rsid w:val="002D16DA"/>
    <w:rsid w:val="002D18B2"/>
    <w:rsid w:val="002D27E5"/>
    <w:rsid w:val="002D3264"/>
    <w:rsid w:val="002D4446"/>
    <w:rsid w:val="002E05A2"/>
    <w:rsid w:val="002E0908"/>
    <w:rsid w:val="002E17B9"/>
    <w:rsid w:val="002E3917"/>
    <w:rsid w:val="002E3C7F"/>
    <w:rsid w:val="002E601E"/>
    <w:rsid w:val="002E63EB"/>
    <w:rsid w:val="002E6781"/>
    <w:rsid w:val="002E733B"/>
    <w:rsid w:val="002E790B"/>
    <w:rsid w:val="002F006A"/>
    <w:rsid w:val="002F09EF"/>
    <w:rsid w:val="002F392F"/>
    <w:rsid w:val="002F42B0"/>
    <w:rsid w:val="002F4FF4"/>
    <w:rsid w:val="002F5AEC"/>
    <w:rsid w:val="002F5DD3"/>
    <w:rsid w:val="0030160F"/>
    <w:rsid w:val="0031406E"/>
    <w:rsid w:val="003144D6"/>
    <w:rsid w:val="00314C56"/>
    <w:rsid w:val="00316591"/>
    <w:rsid w:val="003208FD"/>
    <w:rsid w:val="00323F75"/>
    <w:rsid w:val="00324FE1"/>
    <w:rsid w:val="00325669"/>
    <w:rsid w:val="00327273"/>
    <w:rsid w:val="003335D3"/>
    <w:rsid w:val="0033371D"/>
    <w:rsid w:val="00335A1A"/>
    <w:rsid w:val="00335B2D"/>
    <w:rsid w:val="00337E17"/>
    <w:rsid w:val="00344003"/>
    <w:rsid w:val="003440AC"/>
    <w:rsid w:val="00344E58"/>
    <w:rsid w:val="003461AA"/>
    <w:rsid w:val="0034660D"/>
    <w:rsid w:val="003470CC"/>
    <w:rsid w:val="00353862"/>
    <w:rsid w:val="0036291D"/>
    <w:rsid w:val="0036324D"/>
    <w:rsid w:val="00365C44"/>
    <w:rsid w:val="003666CC"/>
    <w:rsid w:val="00367A85"/>
    <w:rsid w:val="0037044E"/>
    <w:rsid w:val="00371844"/>
    <w:rsid w:val="00372CAD"/>
    <w:rsid w:val="00372F42"/>
    <w:rsid w:val="00374BF6"/>
    <w:rsid w:val="003757CC"/>
    <w:rsid w:val="00376262"/>
    <w:rsid w:val="003764DC"/>
    <w:rsid w:val="00380DCF"/>
    <w:rsid w:val="0038205C"/>
    <w:rsid w:val="003823A5"/>
    <w:rsid w:val="00382DCF"/>
    <w:rsid w:val="003836CB"/>
    <w:rsid w:val="0038381F"/>
    <w:rsid w:val="00384C2A"/>
    <w:rsid w:val="0038717D"/>
    <w:rsid w:val="0038760D"/>
    <w:rsid w:val="00390AD3"/>
    <w:rsid w:val="003943CB"/>
    <w:rsid w:val="00395940"/>
    <w:rsid w:val="003A1CE6"/>
    <w:rsid w:val="003A224D"/>
    <w:rsid w:val="003A2952"/>
    <w:rsid w:val="003A2B1B"/>
    <w:rsid w:val="003A3EC5"/>
    <w:rsid w:val="003A3F9E"/>
    <w:rsid w:val="003A3FE3"/>
    <w:rsid w:val="003A651F"/>
    <w:rsid w:val="003A78E1"/>
    <w:rsid w:val="003B1182"/>
    <w:rsid w:val="003B13D4"/>
    <w:rsid w:val="003B4F52"/>
    <w:rsid w:val="003B5BE2"/>
    <w:rsid w:val="003B6AEE"/>
    <w:rsid w:val="003B7601"/>
    <w:rsid w:val="003C0CF4"/>
    <w:rsid w:val="003C2267"/>
    <w:rsid w:val="003C2C94"/>
    <w:rsid w:val="003C3DD1"/>
    <w:rsid w:val="003C5C9D"/>
    <w:rsid w:val="003D04F3"/>
    <w:rsid w:val="003D0AE7"/>
    <w:rsid w:val="003D2EFF"/>
    <w:rsid w:val="003D5032"/>
    <w:rsid w:val="003D55A8"/>
    <w:rsid w:val="003E0CF0"/>
    <w:rsid w:val="003E3E60"/>
    <w:rsid w:val="003E4DCF"/>
    <w:rsid w:val="003E69B6"/>
    <w:rsid w:val="003F2287"/>
    <w:rsid w:val="003F361F"/>
    <w:rsid w:val="003F38D8"/>
    <w:rsid w:val="003F3F71"/>
    <w:rsid w:val="003F51A1"/>
    <w:rsid w:val="003F6939"/>
    <w:rsid w:val="003F6C99"/>
    <w:rsid w:val="003F7A2F"/>
    <w:rsid w:val="0040191F"/>
    <w:rsid w:val="00401CD2"/>
    <w:rsid w:val="00401EFB"/>
    <w:rsid w:val="00403F25"/>
    <w:rsid w:val="00405EBB"/>
    <w:rsid w:val="00407288"/>
    <w:rsid w:val="004072D6"/>
    <w:rsid w:val="00414401"/>
    <w:rsid w:val="004159D3"/>
    <w:rsid w:val="00420039"/>
    <w:rsid w:val="004215D9"/>
    <w:rsid w:val="00421B02"/>
    <w:rsid w:val="00425E8F"/>
    <w:rsid w:val="00427587"/>
    <w:rsid w:val="00430819"/>
    <w:rsid w:val="0043082A"/>
    <w:rsid w:val="00430CF3"/>
    <w:rsid w:val="00432B87"/>
    <w:rsid w:val="00433159"/>
    <w:rsid w:val="00434569"/>
    <w:rsid w:val="004363C0"/>
    <w:rsid w:val="00440A9F"/>
    <w:rsid w:val="00440E89"/>
    <w:rsid w:val="00441749"/>
    <w:rsid w:val="00441DF5"/>
    <w:rsid w:val="00443BD2"/>
    <w:rsid w:val="0044401C"/>
    <w:rsid w:val="00444548"/>
    <w:rsid w:val="00450A8F"/>
    <w:rsid w:val="00452867"/>
    <w:rsid w:val="00452EB2"/>
    <w:rsid w:val="004539C9"/>
    <w:rsid w:val="004552DE"/>
    <w:rsid w:val="004560F8"/>
    <w:rsid w:val="0045799B"/>
    <w:rsid w:val="004620CD"/>
    <w:rsid w:val="00462924"/>
    <w:rsid w:val="00466E9E"/>
    <w:rsid w:val="00467A1C"/>
    <w:rsid w:val="00470562"/>
    <w:rsid w:val="00474953"/>
    <w:rsid w:val="0048225C"/>
    <w:rsid w:val="00482D12"/>
    <w:rsid w:val="0048382E"/>
    <w:rsid w:val="004839A3"/>
    <w:rsid w:val="004850BB"/>
    <w:rsid w:val="004857DC"/>
    <w:rsid w:val="004901C7"/>
    <w:rsid w:val="004912D6"/>
    <w:rsid w:val="00492EC2"/>
    <w:rsid w:val="00496353"/>
    <w:rsid w:val="004A0881"/>
    <w:rsid w:val="004A08BB"/>
    <w:rsid w:val="004A08D6"/>
    <w:rsid w:val="004A1062"/>
    <w:rsid w:val="004A1685"/>
    <w:rsid w:val="004A652E"/>
    <w:rsid w:val="004A79E4"/>
    <w:rsid w:val="004B0FE0"/>
    <w:rsid w:val="004B4764"/>
    <w:rsid w:val="004B5230"/>
    <w:rsid w:val="004B7613"/>
    <w:rsid w:val="004C1508"/>
    <w:rsid w:val="004C2A9F"/>
    <w:rsid w:val="004C37B1"/>
    <w:rsid w:val="004C3D07"/>
    <w:rsid w:val="004C5BA4"/>
    <w:rsid w:val="004C71C9"/>
    <w:rsid w:val="004D06DF"/>
    <w:rsid w:val="004D1C2D"/>
    <w:rsid w:val="004D351F"/>
    <w:rsid w:val="004D704D"/>
    <w:rsid w:val="004D7EDB"/>
    <w:rsid w:val="004E295B"/>
    <w:rsid w:val="004E4209"/>
    <w:rsid w:val="004E4716"/>
    <w:rsid w:val="004E5A2A"/>
    <w:rsid w:val="004E74BD"/>
    <w:rsid w:val="004F0465"/>
    <w:rsid w:val="004F0F79"/>
    <w:rsid w:val="004F6B20"/>
    <w:rsid w:val="004F769D"/>
    <w:rsid w:val="004F7786"/>
    <w:rsid w:val="0050171A"/>
    <w:rsid w:val="00501AC7"/>
    <w:rsid w:val="00502614"/>
    <w:rsid w:val="005042E6"/>
    <w:rsid w:val="0050671E"/>
    <w:rsid w:val="00507D0B"/>
    <w:rsid w:val="00507EC4"/>
    <w:rsid w:val="00513D8B"/>
    <w:rsid w:val="00515CE2"/>
    <w:rsid w:val="005165A3"/>
    <w:rsid w:val="00520FFA"/>
    <w:rsid w:val="00521AA9"/>
    <w:rsid w:val="00522B3C"/>
    <w:rsid w:val="005241A3"/>
    <w:rsid w:val="00524B40"/>
    <w:rsid w:val="00533494"/>
    <w:rsid w:val="005368A8"/>
    <w:rsid w:val="00536C05"/>
    <w:rsid w:val="005403F0"/>
    <w:rsid w:val="00541E50"/>
    <w:rsid w:val="00544CE3"/>
    <w:rsid w:val="00546CA4"/>
    <w:rsid w:val="00550E07"/>
    <w:rsid w:val="00551636"/>
    <w:rsid w:val="00551ED9"/>
    <w:rsid w:val="005542D4"/>
    <w:rsid w:val="00554C83"/>
    <w:rsid w:val="005557C3"/>
    <w:rsid w:val="00555A6F"/>
    <w:rsid w:val="00555CC4"/>
    <w:rsid w:val="0056464E"/>
    <w:rsid w:val="00564B57"/>
    <w:rsid w:val="00567E44"/>
    <w:rsid w:val="0057373B"/>
    <w:rsid w:val="00573EA5"/>
    <w:rsid w:val="005753C8"/>
    <w:rsid w:val="00576370"/>
    <w:rsid w:val="00576866"/>
    <w:rsid w:val="005774A0"/>
    <w:rsid w:val="005809B3"/>
    <w:rsid w:val="00580AAF"/>
    <w:rsid w:val="00581567"/>
    <w:rsid w:val="00582F9C"/>
    <w:rsid w:val="00584C17"/>
    <w:rsid w:val="00590058"/>
    <w:rsid w:val="00590594"/>
    <w:rsid w:val="005907BB"/>
    <w:rsid w:val="00591172"/>
    <w:rsid w:val="00593B85"/>
    <w:rsid w:val="00596FAF"/>
    <w:rsid w:val="005A0D55"/>
    <w:rsid w:val="005A10B1"/>
    <w:rsid w:val="005A1651"/>
    <w:rsid w:val="005A2253"/>
    <w:rsid w:val="005A3A16"/>
    <w:rsid w:val="005A433B"/>
    <w:rsid w:val="005A61B2"/>
    <w:rsid w:val="005B17E6"/>
    <w:rsid w:val="005B211D"/>
    <w:rsid w:val="005B292E"/>
    <w:rsid w:val="005B4D27"/>
    <w:rsid w:val="005B7C06"/>
    <w:rsid w:val="005C16B8"/>
    <w:rsid w:val="005C5C9C"/>
    <w:rsid w:val="005C5F39"/>
    <w:rsid w:val="005C6229"/>
    <w:rsid w:val="005C6290"/>
    <w:rsid w:val="005C7154"/>
    <w:rsid w:val="005D02BF"/>
    <w:rsid w:val="005D0699"/>
    <w:rsid w:val="005D230C"/>
    <w:rsid w:val="005D3FBB"/>
    <w:rsid w:val="005D446B"/>
    <w:rsid w:val="005D4A88"/>
    <w:rsid w:val="005D5A86"/>
    <w:rsid w:val="005D7BB7"/>
    <w:rsid w:val="005D7DD1"/>
    <w:rsid w:val="005E09A1"/>
    <w:rsid w:val="005E1AAF"/>
    <w:rsid w:val="005E3121"/>
    <w:rsid w:val="005E5910"/>
    <w:rsid w:val="005F123D"/>
    <w:rsid w:val="005F1BE5"/>
    <w:rsid w:val="005F1F8B"/>
    <w:rsid w:val="005F2170"/>
    <w:rsid w:val="005F3D13"/>
    <w:rsid w:val="005F5E2F"/>
    <w:rsid w:val="005F7104"/>
    <w:rsid w:val="005F7589"/>
    <w:rsid w:val="005F7FCF"/>
    <w:rsid w:val="006002B4"/>
    <w:rsid w:val="00600484"/>
    <w:rsid w:val="00603314"/>
    <w:rsid w:val="00611DF1"/>
    <w:rsid w:val="006220DF"/>
    <w:rsid w:val="00622480"/>
    <w:rsid w:val="006231D8"/>
    <w:rsid w:val="00624C4C"/>
    <w:rsid w:val="00625CE6"/>
    <w:rsid w:val="00627134"/>
    <w:rsid w:val="006353C8"/>
    <w:rsid w:val="0063665F"/>
    <w:rsid w:val="00637AF0"/>
    <w:rsid w:val="00637F8E"/>
    <w:rsid w:val="006415F2"/>
    <w:rsid w:val="00644EE3"/>
    <w:rsid w:val="006466FB"/>
    <w:rsid w:val="00646F7D"/>
    <w:rsid w:val="00647986"/>
    <w:rsid w:val="00647D58"/>
    <w:rsid w:val="0065001A"/>
    <w:rsid w:val="00650CE6"/>
    <w:rsid w:val="00651BED"/>
    <w:rsid w:val="0065283E"/>
    <w:rsid w:val="006538D6"/>
    <w:rsid w:val="00654103"/>
    <w:rsid w:val="006565CC"/>
    <w:rsid w:val="00657E38"/>
    <w:rsid w:val="00660105"/>
    <w:rsid w:val="006609BC"/>
    <w:rsid w:val="0066217A"/>
    <w:rsid w:val="00662C05"/>
    <w:rsid w:val="00667CE1"/>
    <w:rsid w:val="006722A6"/>
    <w:rsid w:val="006742B1"/>
    <w:rsid w:val="0067679C"/>
    <w:rsid w:val="0067683E"/>
    <w:rsid w:val="00676862"/>
    <w:rsid w:val="0067736B"/>
    <w:rsid w:val="006806F8"/>
    <w:rsid w:val="00682DD3"/>
    <w:rsid w:val="00684D73"/>
    <w:rsid w:val="00684F73"/>
    <w:rsid w:val="00685306"/>
    <w:rsid w:val="00686151"/>
    <w:rsid w:val="00690DA1"/>
    <w:rsid w:val="00691151"/>
    <w:rsid w:val="00691792"/>
    <w:rsid w:val="00692AF9"/>
    <w:rsid w:val="00693409"/>
    <w:rsid w:val="006934E1"/>
    <w:rsid w:val="00693A82"/>
    <w:rsid w:val="00695943"/>
    <w:rsid w:val="006961BF"/>
    <w:rsid w:val="006972C5"/>
    <w:rsid w:val="006A395B"/>
    <w:rsid w:val="006A3F53"/>
    <w:rsid w:val="006A4DB1"/>
    <w:rsid w:val="006A5BCD"/>
    <w:rsid w:val="006A75B8"/>
    <w:rsid w:val="006B13E0"/>
    <w:rsid w:val="006B3E9E"/>
    <w:rsid w:val="006B4E7D"/>
    <w:rsid w:val="006B77EC"/>
    <w:rsid w:val="006C30AF"/>
    <w:rsid w:val="006C5EDA"/>
    <w:rsid w:val="006D0BC9"/>
    <w:rsid w:val="006D0D7B"/>
    <w:rsid w:val="006D1E74"/>
    <w:rsid w:val="006D2554"/>
    <w:rsid w:val="006D4818"/>
    <w:rsid w:val="006D6C21"/>
    <w:rsid w:val="006D6ED3"/>
    <w:rsid w:val="006D7EC5"/>
    <w:rsid w:val="006E2274"/>
    <w:rsid w:val="006E40A0"/>
    <w:rsid w:val="006E4916"/>
    <w:rsid w:val="006E6DD9"/>
    <w:rsid w:val="006E76C3"/>
    <w:rsid w:val="006F07C2"/>
    <w:rsid w:val="006F12B8"/>
    <w:rsid w:val="006F5314"/>
    <w:rsid w:val="006F5D15"/>
    <w:rsid w:val="006F63FE"/>
    <w:rsid w:val="007027AC"/>
    <w:rsid w:val="007031F4"/>
    <w:rsid w:val="007059DB"/>
    <w:rsid w:val="0070681C"/>
    <w:rsid w:val="007114EA"/>
    <w:rsid w:val="00713B1B"/>
    <w:rsid w:val="00714707"/>
    <w:rsid w:val="00715C1F"/>
    <w:rsid w:val="00717EA0"/>
    <w:rsid w:val="00720301"/>
    <w:rsid w:val="00720B21"/>
    <w:rsid w:val="00722370"/>
    <w:rsid w:val="00723B77"/>
    <w:rsid w:val="00725561"/>
    <w:rsid w:val="00727D63"/>
    <w:rsid w:val="00730521"/>
    <w:rsid w:val="00733292"/>
    <w:rsid w:val="00733E23"/>
    <w:rsid w:val="00735A08"/>
    <w:rsid w:val="007379AF"/>
    <w:rsid w:val="00737EF9"/>
    <w:rsid w:val="00742C1F"/>
    <w:rsid w:val="00747702"/>
    <w:rsid w:val="0075218E"/>
    <w:rsid w:val="00753276"/>
    <w:rsid w:val="007540B3"/>
    <w:rsid w:val="00754B45"/>
    <w:rsid w:val="0075516F"/>
    <w:rsid w:val="00757881"/>
    <w:rsid w:val="00757F50"/>
    <w:rsid w:val="00760B0E"/>
    <w:rsid w:val="007628EA"/>
    <w:rsid w:val="00762BA1"/>
    <w:rsid w:val="00766866"/>
    <w:rsid w:val="007700AD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86AFE"/>
    <w:rsid w:val="00791274"/>
    <w:rsid w:val="00791C49"/>
    <w:rsid w:val="007925B7"/>
    <w:rsid w:val="00794124"/>
    <w:rsid w:val="007A00AC"/>
    <w:rsid w:val="007A1512"/>
    <w:rsid w:val="007A274A"/>
    <w:rsid w:val="007A6235"/>
    <w:rsid w:val="007B0245"/>
    <w:rsid w:val="007B2B93"/>
    <w:rsid w:val="007B39B1"/>
    <w:rsid w:val="007B4396"/>
    <w:rsid w:val="007B63C8"/>
    <w:rsid w:val="007C24D4"/>
    <w:rsid w:val="007D0119"/>
    <w:rsid w:val="007D2F60"/>
    <w:rsid w:val="007D3260"/>
    <w:rsid w:val="007D58E2"/>
    <w:rsid w:val="007D58E6"/>
    <w:rsid w:val="007D6DBD"/>
    <w:rsid w:val="007E0042"/>
    <w:rsid w:val="007E30AF"/>
    <w:rsid w:val="007E35C2"/>
    <w:rsid w:val="007E464D"/>
    <w:rsid w:val="007F2BBB"/>
    <w:rsid w:val="007F37BC"/>
    <w:rsid w:val="007F4E77"/>
    <w:rsid w:val="007F67DC"/>
    <w:rsid w:val="00800E93"/>
    <w:rsid w:val="00801BBF"/>
    <w:rsid w:val="008024D9"/>
    <w:rsid w:val="008040B6"/>
    <w:rsid w:val="00804407"/>
    <w:rsid w:val="00804C6D"/>
    <w:rsid w:val="00805452"/>
    <w:rsid w:val="008056BD"/>
    <w:rsid w:val="00805830"/>
    <w:rsid w:val="008064E4"/>
    <w:rsid w:val="008072AA"/>
    <w:rsid w:val="0081007C"/>
    <w:rsid w:val="00811815"/>
    <w:rsid w:val="00811931"/>
    <w:rsid w:val="008128CC"/>
    <w:rsid w:val="00813A6E"/>
    <w:rsid w:val="00814153"/>
    <w:rsid w:val="00815089"/>
    <w:rsid w:val="00820FB4"/>
    <w:rsid w:val="00824B7B"/>
    <w:rsid w:val="00825A1C"/>
    <w:rsid w:val="00827642"/>
    <w:rsid w:val="00827675"/>
    <w:rsid w:val="00830DA1"/>
    <w:rsid w:val="00831CF8"/>
    <w:rsid w:val="00834378"/>
    <w:rsid w:val="00840714"/>
    <w:rsid w:val="00841C44"/>
    <w:rsid w:val="008428AE"/>
    <w:rsid w:val="00843EB3"/>
    <w:rsid w:val="0084580E"/>
    <w:rsid w:val="008464BD"/>
    <w:rsid w:val="00852665"/>
    <w:rsid w:val="00856D61"/>
    <w:rsid w:val="008614DA"/>
    <w:rsid w:val="008626A1"/>
    <w:rsid w:val="00863D16"/>
    <w:rsid w:val="0086460D"/>
    <w:rsid w:val="00864F50"/>
    <w:rsid w:val="008718AB"/>
    <w:rsid w:val="00874C80"/>
    <w:rsid w:val="00874FE5"/>
    <w:rsid w:val="0087560B"/>
    <w:rsid w:val="00875ECD"/>
    <w:rsid w:val="0088018D"/>
    <w:rsid w:val="008820C9"/>
    <w:rsid w:val="008825E4"/>
    <w:rsid w:val="00882F48"/>
    <w:rsid w:val="00883315"/>
    <w:rsid w:val="008834BF"/>
    <w:rsid w:val="008842A3"/>
    <w:rsid w:val="008849E2"/>
    <w:rsid w:val="00886198"/>
    <w:rsid w:val="00890C0E"/>
    <w:rsid w:val="00891973"/>
    <w:rsid w:val="00897D85"/>
    <w:rsid w:val="008A362A"/>
    <w:rsid w:val="008A53E7"/>
    <w:rsid w:val="008A5793"/>
    <w:rsid w:val="008A7368"/>
    <w:rsid w:val="008A7BAE"/>
    <w:rsid w:val="008A7DF3"/>
    <w:rsid w:val="008B03CB"/>
    <w:rsid w:val="008B1322"/>
    <w:rsid w:val="008B1B63"/>
    <w:rsid w:val="008B4076"/>
    <w:rsid w:val="008B572B"/>
    <w:rsid w:val="008B7A95"/>
    <w:rsid w:val="008C462B"/>
    <w:rsid w:val="008C686B"/>
    <w:rsid w:val="008C75C4"/>
    <w:rsid w:val="008D0143"/>
    <w:rsid w:val="008D04FE"/>
    <w:rsid w:val="008D437E"/>
    <w:rsid w:val="008D4A02"/>
    <w:rsid w:val="008D4F3C"/>
    <w:rsid w:val="008E7300"/>
    <w:rsid w:val="008F23AA"/>
    <w:rsid w:val="008F4578"/>
    <w:rsid w:val="008F792C"/>
    <w:rsid w:val="009017D8"/>
    <w:rsid w:val="0090217C"/>
    <w:rsid w:val="00906A2E"/>
    <w:rsid w:val="00906B29"/>
    <w:rsid w:val="00906F1D"/>
    <w:rsid w:val="00907A08"/>
    <w:rsid w:val="00911E59"/>
    <w:rsid w:val="00914446"/>
    <w:rsid w:val="009155E6"/>
    <w:rsid w:val="00917609"/>
    <w:rsid w:val="009178AA"/>
    <w:rsid w:val="009179A3"/>
    <w:rsid w:val="00922E58"/>
    <w:rsid w:val="00923C2A"/>
    <w:rsid w:val="00924E81"/>
    <w:rsid w:val="00927DDD"/>
    <w:rsid w:val="009415FA"/>
    <w:rsid w:val="00942963"/>
    <w:rsid w:val="00942C25"/>
    <w:rsid w:val="00943226"/>
    <w:rsid w:val="00946FA8"/>
    <w:rsid w:val="00951131"/>
    <w:rsid w:val="0096108E"/>
    <w:rsid w:val="00961DDB"/>
    <w:rsid w:val="0096219F"/>
    <w:rsid w:val="009660D9"/>
    <w:rsid w:val="00966ED3"/>
    <w:rsid w:val="009673CD"/>
    <w:rsid w:val="0097635C"/>
    <w:rsid w:val="00977269"/>
    <w:rsid w:val="00980856"/>
    <w:rsid w:val="00980883"/>
    <w:rsid w:val="0098194D"/>
    <w:rsid w:val="00982125"/>
    <w:rsid w:val="00985526"/>
    <w:rsid w:val="0099394A"/>
    <w:rsid w:val="00994ABA"/>
    <w:rsid w:val="00997A4F"/>
    <w:rsid w:val="009A01E3"/>
    <w:rsid w:val="009A3892"/>
    <w:rsid w:val="009A3C68"/>
    <w:rsid w:val="009A436F"/>
    <w:rsid w:val="009A6C21"/>
    <w:rsid w:val="009A6E27"/>
    <w:rsid w:val="009A7A73"/>
    <w:rsid w:val="009A7B3A"/>
    <w:rsid w:val="009B07EF"/>
    <w:rsid w:val="009B1E67"/>
    <w:rsid w:val="009B7296"/>
    <w:rsid w:val="009C118D"/>
    <w:rsid w:val="009C15F6"/>
    <w:rsid w:val="009C2ADA"/>
    <w:rsid w:val="009C41FB"/>
    <w:rsid w:val="009C4DFA"/>
    <w:rsid w:val="009C5368"/>
    <w:rsid w:val="009C5D31"/>
    <w:rsid w:val="009C6488"/>
    <w:rsid w:val="009D151E"/>
    <w:rsid w:val="009D3200"/>
    <w:rsid w:val="009D47C6"/>
    <w:rsid w:val="009D57B3"/>
    <w:rsid w:val="009D5ED0"/>
    <w:rsid w:val="009E1A76"/>
    <w:rsid w:val="009E3412"/>
    <w:rsid w:val="009E470A"/>
    <w:rsid w:val="009E4BEE"/>
    <w:rsid w:val="009E5754"/>
    <w:rsid w:val="009E5844"/>
    <w:rsid w:val="009E6594"/>
    <w:rsid w:val="009E7A45"/>
    <w:rsid w:val="009E7FD1"/>
    <w:rsid w:val="009F2CAF"/>
    <w:rsid w:val="009F31B0"/>
    <w:rsid w:val="009F40DA"/>
    <w:rsid w:val="009F6AA6"/>
    <w:rsid w:val="009F7A7A"/>
    <w:rsid w:val="00A00631"/>
    <w:rsid w:val="00A035A7"/>
    <w:rsid w:val="00A065EE"/>
    <w:rsid w:val="00A06640"/>
    <w:rsid w:val="00A07BB0"/>
    <w:rsid w:val="00A131CB"/>
    <w:rsid w:val="00A139D6"/>
    <w:rsid w:val="00A14808"/>
    <w:rsid w:val="00A151D2"/>
    <w:rsid w:val="00A15885"/>
    <w:rsid w:val="00A21C25"/>
    <w:rsid w:val="00A22A69"/>
    <w:rsid w:val="00A23E31"/>
    <w:rsid w:val="00A323F8"/>
    <w:rsid w:val="00A32A7A"/>
    <w:rsid w:val="00A33716"/>
    <w:rsid w:val="00A3378E"/>
    <w:rsid w:val="00A343B3"/>
    <w:rsid w:val="00A353CE"/>
    <w:rsid w:val="00A35953"/>
    <w:rsid w:val="00A36FA5"/>
    <w:rsid w:val="00A426D9"/>
    <w:rsid w:val="00A43165"/>
    <w:rsid w:val="00A447F4"/>
    <w:rsid w:val="00A45224"/>
    <w:rsid w:val="00A457A3"/>
    <w:rsid w:val="00A47906"/>
    <w:rsid w:val="00A517BA"/>
    <w:rsid w:val="00A54999"/>
    <w:rsid w:val="00A6186C"/>
    <w:rsid w:val="00A62EFD"/>
    <w:rsid w:val="00A635D6"/>
    <w:rsid w:val="00A63A2B"/>
    <w:rsid w:val="00A66349"/>
    <w:rsid w:val="00A67C02"/>
    <w:rsid w:val="00A72D74"/>
    <w:rsid w:val="00A733FD"/>
    <w:rsid w:val="00A75F0C"/>
    <w:rsid w:val="00A760A1"/>
    <w:rsid w:val="00A76DEE"/>
    <w:rsid w:val="00A846A6"/>
    <w:rsid w:val="00A85F9F"/>
    <w:rsid w:val="00A86D3C"/>
    <w:rsid w:val="00A8736F"/>
    <w:rsid w:val="00A87D37"/>
    <w:rsid w:val="00A9182A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5720"/>
    <w:rsid w:val="00AA59F9"/>
    <w:rsid w:val="00AA5F98"/>
    <w:rsid w:val="00AA65BA"/>
    <w:rsid w:val="00AA67CF"/>
    <w:rsid w:val="00AA6966"/>
    <w:rsid w:val="00AA75D8"/>
    <w:rsid w:val="00AB38BE"/>
    <w:rsid w:val="00AB4984"/>
    <w:rsid w:val="00AC0C84"/>
    <w:rsid w:val="00AC1142"/>
    <w:rsid w:val="00AC1317"/>
    <w:rsid w:val="00AC220D"/>
    <w:rsid w:val="00AC2517"/>
    <w:rsid w:val="00AC329F"/>
    <w:rsid w:val="00AC6DA4"/>
    <w:rsid w:val="00AC7802"/>
    <w:rsid w:val="00AD0CF1"/>
    <w:rsid w:val="00AD7F1A"/>
    <w:rsid w:val="00AE01A2"/>
    <w:rsid w:val="00AE02D7"/>
    <w:rsid w:val="00AE3179"/>
    <w:rsid w:val="00AE3602"/>
    <w:rsid w:val="00AE6424"/>
    <w:rsid w:val="00AF103C"/>
    <w:rsid w:val="00AF322B"/>
    <w:rsid w:val="00AF3445"/>
    <w:rsid w:val="00AF62BE"/>
    <w:rsid w:val="00B00469"/>
    <w:rsid w:val="00B023CA"/>
    <w:rsid w:val="00B026E9"/>
    <w:rsid w:val="00B038B3"/>
    <w:rsid w:val="00B04B20"/>
    <w:rsid w:val="00B05762"/>
    <w:rsid w:val="00B1159A"/>
    <w:rsid w:val="00B11D38"/>
    <w:rsid w:val="00B146E3"/>
    <w:rsid w:val="00B14CA0"/>
    <w:rsid w:val="00B2040D"/>
    <w:rsid w:val="00B265B6"/>
    <w:rsid w:val="00B26900"/>
    <w:rsid w:val="00B315E6"/>
    <w:rsid w:val="00B3173D"/>
    <w:rsid w:val="00B32AD1"/>
    <w:rsid w:val="00B350BE"/>
    <w:rsid w:val="00B35E07"/>
    <w:rsid w:val="00B42206"/>
    <w:rsid w:val="00B47079"/>
    <w:rsid w:val="00B547DB"/>
    <w:rsid w:val="00B56A5C"/>
    <w:rsid w:val="00B56CFC"/>
    <w:rsid w:val="00B628CF"/>
    <w:rsid w:val="00B643EB"/>
    <w:rsid w:val="00B64409"/>
    <w:rsid w:val="00B64DE1"/>
    <w:rsid w:val="00B65889"/>
    <w:rsid w:val="00B67369"/>
    <w:rsid w:val="00B702F0"/>
    <w:rsid w:val="00B71C8E"/>
    <w:rsid w:val="00B73680"/>
    <w:rsid w:val="00B7689B"/>
    <w:rsid w:val="00B8000C"/>
    <w:rsid w:val="00B8284F"/>
    <w:rsid w:val="00B8346A"/>
    <w:rsid w:val="00B84CE2"/>
    <w:rsid w:val="00B85BE3"/>
    <w:rsid w:val="00B85F75"/>
    <w:rsid w:val="00B870A8"/>
    <w:rsid w:val="00B90C07"/>
    <w:rsid w:val="00B9123E"/>
    <w:rsid w:val="00B9260E"/>
    <w:rsid w:val="00B9343B"/>
    <w:rsid w:val="00B95FF0"/>
    <w:rsid w:val="00B960F7"/>
    <w:rsid w:val="00B97CFA"/>
    <w:rsid w:val="00BA1DD1"/>
    <w:rsid w:val="00BA2092"/>
    <w:rsid w:val="00BA4680"/>
    <w:rsid w:val="00BA51A4"/>
    <w:rsid w:val="00BA5D64"/>
    <w:rsid w:val="00BA6BE4"/>
    <w:rsid w:val="00BA713A"/>
    <w:rsid w:val="00BB0C5C"/>
    <w:rsid w:val="00BB17AE"/>
    <w:rsid w:val="00BB2E02"/>
    <w:rsid w:val="00BB7C9A"/>
    <w:rsid w:val="00BC2080"/>
    <w:rsid w:val="00BC2302"/>
    <w:rsid w:val="00BC266D"/>
    <w:rsid w:val="00BC2B80"/>
    <w:rsid w:val="00BC3E0A"/>
    <w:rsid w:val="00BC3FF6"/>
    <w:rsid w:val="00BC73FC"/>
    <w:rsid w:val="00BD3FD5"/>
    <w:rsid w:val="00BD4357"/>
    <w:rsid w:val="00BD4BA8"/>
    <w:rsid w:val="00BE14E8"/>
    <w:rsid w:val="00BE6C22"/>
    <w:rsid w:val="00BF05EF"/>
    <w:rsid w:val="00BF20A0"/>
    <w:rsid w:val="00BF2D6F"/>
    <w:rsid w:val="00BF2DD3"/>
    <w:rsid w:val="00BF35DF"/>
    <w:rsid w:val="00BF377C"/>
    <w:rsid w:val="00BF37AB"/>
    <w:rsid w:val="00BF4DD6"/>
    <w:rsid w:val="00BF599A"/>
    <w:rsid w:val="00BF68ED"/>
    <w:rsid w:val="00BF7B40"/>
    <w:rsid w:val="00C02713"/>
    <w:rsid w:val="00C05981"/>
    <w:rsid w:val="00C06421"/>
    <w:rsid w:val="00C06AF4"/>
    <w:rsid w:val="00C07EAA"/>
    <w:rsid w:val="00C1005B"/>
    <w:rsid w:val="00C10EC3"/>
    <w:rsid w:val="00C1334A"/>
    <w:rsid w:val="00C15774"/>
    <w:rsid w:val="00C15F5C"/>
    <w:rsid w:val="00C20C9D"/>
    <w:rsid w:val="00C24EE9"/>
    <w:rsid w:val="00C25FD6"/>
    <w:rsid w:val="00C26219"/>
    <w:rsid w:val="00C27F85"/>
    <w:rsid w:val="00C302FA"/>
    <w:rsid w:val="00C31BDD"/>
    <w:rsid w:val="00C31E71"/>
    <w:rsid w:val="00C329AD"/>
    <w:rsid w:val="00C36440"/>
    <w:rsid w:val="00C43C1D"/>
    <w:rsid w:val="00C44ED9"/>
    <w:rsid w:val="00C4547D"/>
    <w:rsid w:val="00C47549"/>
    <w:rsid w:val="00C5031F"/>
    <w:rsid w:val="00C50988"/>
    <w:rsid w:val="00C50F32"/>
    <w:rsid w:val="00C53458"/>
    <w:rsid w:val="00C54801"/>
    <w:rsid w:val="00C549D2"/>
    <w:rsid w:val="00C5598D"/>
    <w:rsid w:val="00C56C3E"/>
    <w:rsid w:val="00C60FAB"/>
    <w:rsid w:val="00C614F0"/>
    <w:rsid w:val="00C6183E"/>
    <w:rsid w:val="00C630BF"/>
    <w:rsid w:val="00C650FD"/>
    <w:rsid w:val="00C664F4"/>
    <w:rsid w:val="00C71F51"/>
    <w:rsid w:val="00C72548"/>
    <w:rsid w:val="00C75064"/>
    <w:rsid w:val="00C7633F"/>
    <w:rsid w:val="00C770B3"/>
    <w:rsid w:val="00C77338"/>
    <w:rsid w:val="00C8047C"/>
    <w:rsid w:val="00C84CEE"/>
    <w:rsid w:val="00C93F6A"/>
    <w:rsid w:val="00C94197"/>
    <w:rsid w:val="00C95466"/>
    <w:rsid w:val="00C959AC"/>
    <w:rsid w:val="00C960DE"/>
    <w:rsid w:val="00C96151"/>
    <w:rsid w:val="00C96631"/>
    <w:rsid w:val="00C97803"/>
    <w:rsid w:val="00CA0B42"/>
    <w:rsid w:val="00CA1222"/>
    <w:rsid w:val="00CA44F4"/>
    <w:rsid w:val="00CA64C1"/>
    <w:rsid w:val="00CA6CB3"/>
    <w:rsid w:val="00CB228D"/>
    <w:rsid w:val="00CB540D"/>
    <w:rsid w:val="00CB5D44"/>
    <w:rsid w:val="00CB6C83"/>
    <w:rsid w:val="00CB6F2F"/>
    <w:rsid w:val="00CC175E"/>
    <w:rsid w:val="00CC21A8"/>
    <w:rsid w:val="00CC336A"/>
    <w:rsid w:val="00CD11CB"/>
    <w:rsid w:val="00CD3512"/>
    <w:rsid w:val="00CD4ADD"/>
    <w:rsid w:val="00CD5BE2"/>
    <w:rsid w:val="00CD5C6F"/>
    <w:rsid w:val="00CD6DE8"/>
    <w:rsid w:val="00CE05B0"/>
    <w:rsid w:val="00CE0F3B"/>
    <w:rsid w:val="00CE1135"/>
    <w:rsid w:val="00CE70E0"/>
    <w:rsid w:val="00CE735B"/>
    <w:rsid w:val="00CF04C3"/>
    <w:rsid w:val="00CF4BD9"/>
    <w:rsid w:val="00CF5040"/>
    <w:rsid w:val="00CF52A0"/>
    <w:rsid w:val="00D00732"/>
    <w:rsid w:val="00D02666"/>
    <w:rsid w:val="00D03209"/>
    <w:rsid w:val="00D03BBA"/>
    <w:rsid w:val="00D043FA"/>
    <w:rsid w:val="00D05BFD"/>
    <w:rsid w:val="00D0623C"/>
    <w:rsid w:val="00D110BB"/>
    <w:rsid w:val="00D148D0"/>
    <w:rsid w:val="00D1658E"/>
    <w:rsid w:val="00D17A7E"/>
    <w:rsid w:val="00D17C99"/>
    <w:rsid w:val="00D206CC"/>
    <w:rsid w:val="00D20DC6"/>
    <w:rsid w:val="00D22AB8"/>
    <w:rsid w:val="00D23AF9"/>
    <w:rsid w:val="00D23B18"/>
    <w:rsid w:val="00D2556C"/>
    <w:rsid w:val="00D272FC"/>
    <w:rsid w:val="00D32EE6"/>
    <w:rsid w:val="00D34354"/>
    <w:rsid w:val="00D3436A"/>
    <w:rsid w:val="00D34682"/>
    <w:rsid w:val="00D40D25"/>
    <w:rsid w:val="00D4265C"/>
    <w:rsid w:val="00D42A0E"/>
    <w:rsid w:val="00D477FC"/>
    <w:rsid w:val="00D5034D"/>
    <w:rsid w:val="00D50648"/>
    <w:rsid w:val="00D5160B"/>
    <w:rsid w:val="00D53146"/>
    <w:rsid w:val="00D53E3E"/>
    <w:rsid w:val="00D553BE"/>
    <w:rsid w:val="00D56E67"/>
    <w:rsid w:val="00D56FCB"/>
    <w:rsid w:val="00D573E0"/>
    <w:rsid w:val="00D62E3C"/>
    <w:rsid w:val="00D64906"/>
    <w:rsid w:val="00D64983"/>
    <w:rsid w:val="00D64AE6"/>
    <w:rsid w:val="00D700F5"/>
    <w:rsid w:val="00D703B2"/>
    <w:rsid w:val="00D723B7"/>
    <w:rsid w:val="00D72B5B"/>
    <w:rsid w:val="00D73279"/>
    <w:rsid w:val="00D7546E"/>
    <w:rsid w:val="00D767D2"/>
    <w:rsid w:val="00D82A03"/>
    <w:rsid w:val="00D82D78"/>
    <w:rsid w:val="00D834BD"/>
    <w:rsid w:val="00D844C4"/>
    <w:rsid w:val="00D84C72"/>
    <w:rsid w:val="00D90977"/>
    <w:rsid w:val="00D90F89"/>
    <w:rsid w:val="00D940E5"/>
    <w:rsid w:val="00DA24A2"/>
    <w:rsid w:val="00DA634C"/>
    <w:rsid w:val="00DB02E7"/>
    <w:rsid w:val="00DB0552"/>
    <w:rsid w:val="00DB0C1B"/>
    <w:rsid w:val="00DB26EC"/>
    <w:rsid w:val="00DB4869"/>
    <w:rsid w:val="00DB528C"/>
    <w:rsid w:val="00DB68AA"/>
    <w:rsid w:val="00DC050F"/>
    <w:rsid w:val="00DC061C"/>
    <w:rsid w:val="00DC1E32"/>
    <w:rsid w:val="00DC2B6C"/>
    <w:rsid w:val="00DC383A"/>
    <w:rsid w:val="00DC52DE"/>
    <w:rsid w:val="00DD41B9"/>
    <w:rsid w:val="00DD7BC0"/>
    <w:rsid w:val="00DE01C8"/>
    <w:rsid w:val="00DE184C"/>
    <w:rsid w:val="00DE1D30"/>
    <w:rsid w:val="00DE1E29"/>
    <w:rsid w:val="00DE1E4E"/>
    <w:rsid w:val="00DE29EF"/>
    <w:rsid w:val="00DE300D"/>
    <w:rsid w:val="00DE4F8B"/>
    <w:rsid w:val="00DE50A2"/>
    <w:rsid w:val="00DF2908"/>
    <w:rsid w:val="00DF3FA5"/>
    <w:rsid w:val="00DF4AF8"/>
    <w:rsid w:val="00DF579E"/>
    <w:rsid w:val="00DF6093"/>
    <w:rsid w:val="00E00AF7"/>
    <w:rsid w:val="00E00CFA"/>
    <w:rsid w:val="00E019FB"/>
    <w:rsid w:val="00E02094"/>
    <w:rsid w:val="00E03030"/>
    <w:rsid w:val="00E07AC4"/>
    <w:rsid w:val="00E11318"/>
    <w:rsid w:val="00E12B72"/>
    <w:rsid w:val="00E15497"/>
    <w:rsid w:val="00E1756A"/>
    <w:rsid w:val="00E17807"/>
    <w:rsid w:val="00E17E7C"/>
    <w:rsid w:val="00E201A8"/>
    <w:rsid w:val="00E2314C"/>
    <w:rsid w:val="00E23FB2"/>
    <w:rsid w:val="00E2467F"/>
    <w:rsid w:val="00E26B16"/>
    <w:rsid w:val="00E3767D"/>
    <w:rsid w:val="00E40154"/>
    <w:rsid w:val="00E4171E"/>
    <w:rsid w:val="00E44BF9"/>
    <w:rsid w:val="00E46FF7"/>
    <w:rsid w:val="00E47566"/>
    <w:rsid w:val="00E52250"/>
    <w:rsid w:val="00E524CE"/>
    <w:rsid w:val="00E547EA"/>
    <w:rsid w:val="00E603BA"/>
    <w:rsid w:val="00E60DA8"/>
    <w:rsid w:val="00E6113E"/>
    <w:rsid w:val="00E65FED"/>
    <w:rsid w:val="00E6703A"/>
    <w:rsid w:val="00E71222"/>
    <w:rsid w:val="00E7333D"/>
    <w:rsid w:val="00E73CF6"/>
    <w:rsid w:val="00E75097"/>
    <w:rsid w:val="00E75D04"/>
    <w:rsid w:val="00E77EDA"/>
    <w:rsid w:val="00E802D6"/>
    <w:rsid w:val="00E8198A"/>
    <w:rsid w:val="00E8278C"/>
    <w:rsid w:val="00E82980"/>
    <w:rsid w:val="00E85535"/>
    <w:rsid w:val="00E871F3"/>
    <w:rsid w:val="00E90C89"/>
    <w:rsid w:val="00E90D25"/>
    <w:rsid w:val="00E919D9"/>
    <w:rsid w:val="00E93160"/>
    <w:rsid w:val="00E95507"/>
    <w:rsid w:val="00E95651"/>
    <w:rsid w:val="00EA2BB7"/>
    <w:rsid w:val="00EA3689"/>
    <w:rsid w:val="00EA3E3A"/>
    <w:rsid w:val="00EB2B2F"/>
    <w:rsid w:val="00EB53E2"/>
    <w:rsid w:val="00EC3B6A"/>
    <w:rsid w:val="00EC46FD"/>
    <w:rsid w:val="00EC5653"/>
    <w:rsid w:val="00EC65B6"/>
    <w:rsid w:val="00ED20FF"/>
    <w:rsid w:val="00ED6500"/>
    <w:rsid w:val="00ED7686"/>
    <w:rsid w:val="00ED7A30"/>
    <w:rsid w:val="00EE0CB8"/>
    <w:rsid w:val="00EE2182"/>
    <w:rsid w:val="00EE6879"/>
    <w:rsid w:val="00EE767B"/>
    <w:rsid w:val="00EE7B9B"/>
    <w:rsid w:val="00EF153A"/>
    <w:rsid w:val="00EF240C"/>
    <w:rsid w:val="00EF394E"/>
    <w:rsid w:val="00EF700B"/>
    <w:rsid w:val="00F012AA"/>
    <w:rsid w:val="00F01371"/>
    <w:rsid w:val="00F017AC"/>
    <w:rsid w:val="00F055A7"/>
    <w:rsid w:val="00F079BD"/>
    <w:rsid w:val="00F11A4C"/>
    <w:rsid w:val="00F122EC"/>
    <w:rsid w:val="00F140A7"/>
    <w:rsid w:val="00F14B1B"/>
    <w:rsid w:val="00F20115"/>
    <w:rsid w:val="00F214D7"/>
    <w:rsid w:val="00F224BF"/>
    <w:rsid w:val="00F22B0F"/>
    <w:rsid w:val="00F3081F"/>
    <w:rsid w:val="00F32A31"/>
    <w:rsid w:val="00F3684B"/>
    <w:rsid w:val="00F37AC0"/>
    <w:rsid w:val="00F37C74"/>
    <w:rsid w:val="00F37F78"/>
    <w:rsid w:val="00F400D4"/>
    <w:rsid w:val="00F40F0D"/>
    <w:rsid w:val="00F42C0F"/>
    <w:rsid w:val="00F42E60"/>
    <w:rsid w:val="00F4359B"/>
    <w:rsid w:val="00F437C1"/>
    <w:rsid w:val="00F44D29"/>
    <w:rsid w:val="00F44E5E"/>
    <w:rsid w:val="00F4681F"/>
    <w:rsid w:val="00F47480"/>
    <w:rsid w:val="00F474B2"/>
    <w:rsid w:val="00F47701"/>
    <w:rsid w:val="00F50D4E"/>
    <w:rsid w:val="00F51EB2"/>
    <w:rsid w:val="00F5257B"/>
    <w:rsid w:val="00F53267"/>
    <w:rsid w:val="00F545B0"/>
    <w:rsid w:val="00F551D9"/>
    <w:rsid w:val="00F60559"/>
    <w:rsid w:val="00F6148A"/>
    <w:rsid w:val="00F61496"/>
    <w:rsid w:val="00F61DD4"/>
    <w:rsid w:val="00F6285A"/>
    <w:rsid w:val="00F65EAC"/>
    <w:rsid w:val="00F70BA8"/>
    <w:rsid w:val="00F70FC4"/>
    <w:rsid w:val="00F74A43"/>
    <w:rsid w:val="00F750FC"/>
    <w:rsid w:val="00F75CD3"/>
    <w:rsid w:val="00F7706D"/>
    <w:rsid w:val="00F7790A"/>
    <w:rsid w:val="00F81487"/>
    <w:rsid w:val="00F83382"/>
    <w:rsid w:val="00F83859"/>
    <w:rsid w:val="00F852A5"/>
    <w:rsid w:val="00F85402"/>
    <w:rsid w:val="00F86BBC"/>
    <w:rsid w:val="00F91928"/>
    <w:rsid w:val="00F92FE9"/>
    <w:rsid w:val="00F95A92"/>
    <w:rsid w:val="00FA0337"/>
    <w:rsid w:val="00FA0C8D"/>
    <w:rsid w:val="00FA0E78"/>
    <w:rsid w:val="00FA2AA7"/>
    <w:rsid w:val="00FA5345"/>
    <w:rsid w:val="00FA63A9"/>
    <w:rsid w:val="00FA6B1D"/>
    <w:rsid w:val="00FB2938"/>
    <w:rsid w:val="00FB427B"/>
    <w:rsid w:val="00FB5CB1"/>
    <w:rsid w:val="00FB6427"/>
    <w:rsid w:val="00FB6B1C"/>
    <w:rsid w:val="00FB7ACC"/>
    <w:rsid w:val="00FC3D8C"/>
    <w:rsid w:val="00FC426E"/>
    <w:rsid w:val="00FC7BA5"/>
    <w:rsid w:val="00FD1A9A"/>
    <w:rsid w:val="00FD1EEC"/>
    <w:rsid w:val="00FD5691"/>
    <w:rsid w:val="00FE03F3"/>
    <w:rsid w:val="00FE3581"/>
    <w:rsid w:val="00FE4B40"/>
    <w:rsid w:val="00FF3235"/>
    <w:rsid w:val="00FF3930"/>
    <w:rsid w:val="00FF3A7A"/>
    <w:rsid w:val="00FF3D18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0A5A5"/>
  <w15:chartTrackingRefBased/>
  <w15:docId w15:val="{967B8B5D-7E3D-4DE0-AFA5-A8169BC9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link w:val="BodyTextChar"/>
    <w:qFormat/>
    <w:rsid w:val="005F123D"/>
    <w:pPr>
      <w:spacing w:after="120" w:line="276" w:lineRule="auto"/>
      <w:jc w:val="both"/>
    </w:pPr>
    <w:rPr>
      <w:rFonts w:eastAsia="Times New Roman"/>
      <w:sz w:val="22"/>
      <w:szCs w:val="22"/>
    </w:rPr>
  </w:style>
  <w:style w:type="character" w:customStyle="1" w:styleId="BodyTextChar">
    <w:name w:val="Body Text Char"/>
    <w:link w:val="BodyText"/>
    <w:rsid w:val="005F12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>
  <LongProp xmlns="" name="TaxCatchAll"><![CDATA[48;#Development|7276960b-cd04-4fd9-bbf6-f5b03d867772;#47;#Data collection|9c208ec1-acb8-4005-ba1a-e7d4ed62ea16;#20;#2017|d3a4eca2-678d-4407-b6b0-19c597d571b1;#7;#ADI|906b8d6f-8851-e311-9e2e-005056b54f10;#38;#Registered Financial Corporations|c06b8d6f-8851-e311-9e2e-005056b54f10;#173;#Reporting standard|91896cd9-c8c4-4f0d-b59e-113a28881d1d;#1;#Draft|0e1556d2-3fe8-443a-ada7-3620563b46b3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24</Value>
      <Value>134</Value>
      <Value>83</Value>
      <Value>26</Value>
      <Value>10</Value>
      <Value>109</Value>
      <Value>93</Value>
      <Value>58</Value>
      <Value>230</Value>
      <Value>4</Value>
      <Value>19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720.3 ABS/RBA Intra-group Assets and Liabilities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5JENXJJSCC7A-445999044-11523</_dlc_DocId>
    <_dlc_DocIdUrl xmlns="814d62cb-2db6-4c25-ab62-b9075facbc11">
      <Url>https://im/teams/LEGAL/_layouts/15/DocIdRedir.aspx?ID=5JENXJJSCC7A-445999044-11523</Url>
      <Description>5JENXJJSCC7A-445999044-11523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839B4-00C6-4DFF-91C3-15A8EDE55FFF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8D723729-224F-486B-9E42-55A05B589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7D5A9-0257-4FB6-B7F6-C7261FBE808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0482D3F-CC9B-4056-A99F-6D5AA5A64FAD}"/>
</file>

<file path=customXml/itemProps5.xml><?xml version="1.0" encoding="utf-8"?>
<ds:datastoreItem xmlns:ds="http://schemas.openxmlformats.org/officeDocument/2006/customXml" ds:itemID="{97838EAF-D0DA-4A93-80B0-9C0C9BDD13E9}">
  <ds:schemaRefs>
    <ds:schemaRef ds:uri="http://schemas.microsoft.com/office/2006/metadata/properties"/>
    <ds:schemaRef ds:uri="http://schemas.microsoft.com/office/infopath/2007/PartnerControls"/>
    <ds:schemaRef ds:uri="814d62cb-2db6-4c25-ab62-b9075facbc11"/>
  </ds:schemaRefs>
</ds:datastoreItem>
</file>

<file path=customXml/itemProps6.xml><?xml version="1.0" encoding="utf-8"?>
<ds:datastoreItem xmlns:ds="http://schemas.openxmlformats.org/officeDocument/2006/customXml" ds:itemID="{67EF4BFA-9A1E-40DC-8BAD-FB0B2AA7D55A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823F8343-A960-475D-A564-A4E20CD021B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B191785-1551-4B96-B030-C03BDD5F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3665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720.3 ABSRBA Intra-group Assets and Liabilities</vt:lpstr>
    </vt:vector>
  </TitlesOfParts>
  <Company>APRA</Company>
  <LinksUpToDate>false</LinksUpToDate>
  <CharactersWithSpaces>24507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28 of 2021</dc:title>
  <dc:subject/>
  <dc:creator>David Shade</dc:creator>
  <cp:keywords>[SEC=OFFICIAL]</cp:keywords>
  <cp:lastModifiedBy>Say, Tiffany</cp:lastModifiedBy>
  <cp:revision>8</cp:revision>
  <cp:lastPrinted>2021-08-13T01:39:00Z</cp:lastPrinted>
  <dcterms:created xsi:type="dcterms:W3CDTF">2021-02-03T04:56:00Z</dcterms:created>
  <dcterms:modified xsi:type="dcterms:W3CDTF">2021-08-13T01:39:00Z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2214D0DBB62820A0D310A96B752BE776FA9A788F</vt:lpwstr>
  </property>
  <property fmtid="{D5CDD505-2E9C-101B-9397-08002B2CF9AE}" pid="7" name="PM_InsertionValue">
    <vt:lpwstr>OFFICIAL</vt:lpwstr>
  </property>
  <property fmtid="{D5CDD505-2E9C-101B-9397-08002B2CF9AE}" pid="8" name="PM_Hash_Salt">
    <vt:lpwstr>B2375FFB852E286072BA34647D16346A</vt:lpwstr>
  </property>
  <property fmtid="{D5CDD505-2E9C-101B-9397-08002B2CF9AE}" pid="9" name="PM_Hash_Version">
    <vt:lpwstr>2018.0</vt:lpwstr>
  </property>
  <property fmtid="{D5CDD505-2E9C-101B-9397-08002B2CF9AE}" pid="10" name="PM_Hash_Salt_Prev">
    <vt:lpwstr>1F1609893C42D0C6ACA6C671A90E8A04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{250ce550-7ed5-4ee6-a8ed-994cef39479b}</vt:lpwstr>
  </property>
  <property fmtid="{D5CDD505-2E9C-101B-9397-08002B2CF9AE}" pid="20" name="RecordPoint_SubmissionCompleted">
    <vt:lpwstr/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3W63SCYY7KA6-1565629875-11341</vt:lpwstr>
  </property>
  <property fmtid="{D5CDD505-2E9C-101B-9397-08002B2CF9AE}" pid="24" name="_dlc_DocIdItemGuid">
    <vt:lpwstr>250ce550-7ed5-4ee6-a8ed-994cef39479b</vt:lpwstr>
  </property>
  <property fmtid="{D5CDD505-2E9C-101B-9397-08002B2CF9AE}" pid="25" name="_dlc_DocIdUrl">
    <vt:lpwstr>https://im/teams/DA/_layouts/15/DocIdRedir.aspx?ID=3W63SCYY7KA6-1565629875-11341, 3W63SCYY7KA6-1565629875-11341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/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CAA0722B6B3247DABBFBC2D2495B2D56</vt:lpwstr>
  </property>
  <property fmtid="{D5CDD505-2E9C-101B-9397-08002B2CF9AE}" pid="46" name="PM_OriginationTimeStamp">
    <vt:lpwstr>2021-06-28T08:17:19Z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Ong, Evelyn</vt:lpwstr>
  </property>
  <property fmtid="{D5CDD505-2E9C-101B-9397-08002B2CF9AE}" pid="53" name="Order">
    <vt:lpwstr>1134100.00000000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ContentTypeId">
    <vt:lpwstr>0x0101008CA7A4F8331B45C7B0D3158B4994D0CA0200577EC0F5A1FBFC498F9A8436B963F8A6</vt:lpwstr>
  </property>
  <property fmtid="{D5CDD505-2E9C-101B-9397-08002B2CF9AE}" pid="60" name="PM_Note">
    <vt:lpwstr/>
  </property>
  <property fmtid="{D5CDD505-2E9C-101B-9397-08002B2CF9AE}" pid="61" name="PM_Markers">
    <vt:lpwstr/>
  </property>
</Properties>
</file>