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E0E0" w14:textId="77777777" w:rsidR="0087189B" w:rsidRPr="008F6E86" w:rsidRDefault="0087189B" w:rsidP="0087189B">
      <w:pPr>
        <w:rPr>
          <w:color w:val="000000"/>
        </w:rPr>
      </w:pPr>
      <w:bookmarkStart w:id="0" w:name="_Toc168113228"/>
      <w:r w:rsidRPr="008F6E86">
        <w:rPr>
          <w:noProof/>
          <w:color w:val="000000"/>
        </w:rPr>
        <w:drawing>
          <wp:inline distT="0" distB="0" distL="0" distR="0" wp14:anchorId="30C371F4" wp14:editId="7A62690F">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72ED88D" w14:textId="5C20ECA3" w:rsidR="0087189B" w:rsidRPr="00B42C8B" w:rsidRDefault="0087189B" w:rsidP="002D74F5">
      <w:pPr>
        <w:pStyle w:val="Title"/>
        <w:spacing w:before="480" w:after="120"/>
        <w:jc w:val="both"/>
        <w:rPr>
          <w:rFonts w:ascii="Arial" w:hAnsi="Arial" w:cs="Arial"/>
          <w:color w:val="000000"/>
        </w:rPr>
      </w:pPr>
      <w:r w:rsidRPr="00B42C8B">
        <w:rPr>
          <w:rFonts w:ascii="Arial" w:hAnsi="Arial" w:cs="Arial"/>
          <w:color w:val="000000"/>
        </w:rPr>
        <w:t xml:space="preserve">Banking (prudential standard) determination No. </w:t>
      </w:r>
      <w:r w:rsidR="000761C1" w:rsidRPr="00B42C8B">
        <w:rPr>
          <w:rFonts w:ascii="Arial" w:hAnsi="Arial" w:cs="Arial"/>
          <w:color w:val="000000"/>
        </w:rPr>
        <w:t>8</w:t>
      </w:r>
      <w:r w:rsidRPr="00B42C8B">
        <w:rPr>
          <w:rFonts w:ascii="Arial" w:hAnsi="Arial" w:cs="Arial"/>
          <w:color w:val="000000"/>
        </w:rPr>
        <w:t xml:space="preserve"> of 202</w:t>
      </w:r>
      <w:r w:rsidR="00DC12C5" w:rsidRPr="00B42C8B">
        <w:rPr>
          <w:rFonts w:ascii="Arial" w:hAnsi="Arial" w:cs="Arial"/>
          <w:color w:val="000000"/>
        </w:rPr>
        <w:t>2</w:t>
      </w:r>
    </w:p>
    <w:p w14:paraId="6B3677A1" w14:textId="77777777" w:rsidR="0087189B" w:rsidRPr="00B42C8B" w:rsidRDefault="0087189B" w:rsidP="002D74F5">
      <w:pPr>
        <w:pStyle w:val="Title"/>
        <w:spacing w:before="360" w:after="120"/>
        <w:jc w:val="both"/>
        <w:rPr>
          <w:rFonts w:ascii="Arial" w:hAnsi="Arial" w:cs="Arial"/>
          <w:color w:val="000000"/>
          <w:sz w:val="28"/>
          <w:szCs w:val="28"/>
        </w:rPr>
      </w:pPr>
      <w:r w:rsidRPr="00B42C8B">
        <w:rPr>
          <w:rFonts w:ascii="Arial" w:hAnsi="Arial" w:cs="Arial"/>
          <w:color w:val="000000"/>
          <w:sz w:val="28"/>
          <w:szCs w:val="28"/>
        </w:rPr>
        <w:t>Prudential Standard APS 115 Capital Adequacy: Standardised Measurement Approach to Operational Risk</w:t>
      </w:r>
    </w:p>
    <w:p w14:paraId="23985699" w14:textId="77777777" w:rsidR="0087189B" w:rsidRPr="008F6E86" w:rsidRDefault="0087189B" w:rsidP="00B42C8B">
      <w:pPr>
        <w:pStyle w:val="ActTitle"/>
        <w:spacing w:before="360"/>
        <w:rPr>
          <w:color w:val="000000"/>
        </w:rPr>
      </w:pPr>
      <w:r w:rsidRPr="008F6E86">
        <w:rPr>
          <w:color w:val="000000"/>
        </w:rPr>
        <w:t>Banking Act 1959</w:t>
      </w:r>
    </w:p>
    <w:p w14:paraId="263EEFD8" w14:textId="793AF5BF" w:rsidR="0087189B" w:rsidRPr="00B42C8B" w:rsidRDefault="0087189B" w:rsidP="0087189B">
      <w:pPr>
        <w:pStyle w:val="IntroTo"/>
        <w:tabs>
          <w:tab w:val="left" w:pos="1290"/>
        </w:tabs>
        <w:rPr>
          <w:rFonts w:ascii="Arial" w:hAnsi="Arial" w:cs="Arial"/>
          <w:sz w:val="22"/>
          <w:szCs w:val="22"/>
        </w:rPr>
      </w:pPr>
      <w:r w:rsidRPr="00B42C8B">
        <w:rPr>
          <w:rFonts w:ascii="Arial" w:hAnsi="Arial" w:cs="Arial"/>
          <w:sz w:val="22"/>
          <w:szCs w:val="22"/>
        </w:rPr>
        <w:t xml:space="preserve">I, Renée Roberts, </w:t>
      </w:r>
      <w:r w:rsidR="00B42C8B" w:rsidRPr="00B42C8B">
        <w:rPr>
          <w:rFonts w:ascii="Arial" w:hAnsi="Arial" w:cs="Arial"/>
          <w:sz w:val="22"/>
          <w:szCs w:val="22"/>
        </w:rPr>
        <w:t xml:space="preserve">a </w:t>
      </w:r>
      <w:r w:rsidRPr="00B42C8B">
        <w:rPr>
          <w:rFonts w:ascii="Arial" w:hAnsi="Arial" w:cs="Arial"/>
          <w:sz w:val="22"/>
          <w:szCs w:val="22"/>
        </w:rPr>
        <w:t>delegate of APRA:</w:t>
      </w:r>
    </w:p>
    <w:p w14:paraId="5783F727" w14:textId="77777777" w:rsidR="0087189B" w:rsidRPr="00B42C8B" w:rsidRDefault="0087189B" w:rsidP="0087189B">
      <w:pPr>
        <w:pStyle w:val="IntroTo"/>
        <w:ind w:left="0" w:firstLine="0"/>
        <w:jc w:val="both"/>
        <w:rPr>
          <w:rFonts w:ascii="Arial" w:hAnsi="Arial" w:cs="Arial"/>
          <w:sz w:val="22"/>
          <w:szCs w:val="22"/>
        </w:rPr>
      </w:pPr>
    </w:p>
    <w:p w14:paraId="3FA03D3C" w14:textId="4AAEF5CD" w:rsidR="002D74F5" w:rsidRDefault="0087189B" w:rsidP="002D74F5">
      <w:pPr>
        <w:pStyle w:val="Determination1"/>
        <w:rPr>
          <w:rFonts w:ascii="Arial" w:hAnsi="Arial" w:cs="Arial"/>
          <w:sz w:val="22"/>
          <w:szCs w:val="22"/>
        </w:rPr>
      </w:pPr>
      <w:r w:rsidRPr="009F518A">
        <w:rPr>
          <w:rFonts w:ascii="Arial" w:hAnsi="Arial" w:cs="Arial"/>
          <w:sz w:val="22"/>
          <w:szCs w:val="22"/>
        </w:rPr>
        <w:t>under subsection 11</w:t>
      </w:r>
      <w:proofErr w:type="gramStart"/>
      <w:r w:rsidRPr="009F518A">
        <w:rPr>
          <w:rFonts w:ascii="Arial" w:hAnsi="Arial" w:cs="Arial"/>
          <w:sz w:val="22"/>
          <w:szCs w:val="22"/>
        </w:rPr>
        <w:t>AF(</w:t>
      </w:r>
      <w:proofErr w:type="gramEnd"/>
      <w:r w:rsidRPr="009F518A">
        <w:rPr>
          <w:rFonts w:ascii="Arial" w:hAnsi="Arial" w:cs="Arial"/>
          <w:sz w:val="22"/>
          <w:szCs w:val="22"/>
        </w:rPr>
        <w:t xml:space="preserve">3) of the </w:t>
      </w:r>
      <w:r w:rsidRPr="009F518A">
        <w:rPr>
          <w:rFonts w:ascii="Arial" w:hAnsi="Arial" w:cs="Arial"/>
          <w:i/>
          <w:sz w:val="22"/>
          <w:szCs w:val="22"/>
        </w:rPr>
        <w:t>Banking Act 1959</w:t>
      </w:r>
      <w:r w:rsidRPr="009F518A">
        <w:rPr>
          <w:rFonts w:ascii="Arial" w:hAnsi="Arial" w:cs="Arial"/>
          <w:sz w:val="22"/>
          <w:szCs w:val="22"/>
        </w:rPr>
        <w:t xml:space="preserve"> (the Act) REVOKE</w:t>
      </w:r>
      <w:r>
        <w:rPr>
          <w:rFonts w:ascii="Arial" w:hAnsi="Arial" w:cs="Arial"/>
          <w:sz w:val="22"/>
          <w:szCs w:val="22"/>
        </w:rPr>
        <w:t xml:space="preserve"> </w:t>
      </w:r>
      <w:r w:rsidRPr="009F518A">
        <w:rPr>
          <w:rFonts w:ascii="Arial" w:hAnsi="Arial" w:cs="Arial"/>
          <w:sz w:val="22"/>
          <w:szCs w:val="22"/>
        </w:rPr>
        <w:t xml:space="preserve">Banking (prudential standard) determination No. </w:t>
      </w:r>
      <w:r w:rsidR="002D74F5" w:rsidRPr="009F518A">
        <w:rPr>
          <w:rFonts w:ascii="Arial" w:hAnsi="Arial" w:cs="Arial"/>
          <w:sz w:val="22"/>
          <w:szCs w:val="22"/>
        </w:rPr>
        <w:t xml:space="preserve">7 of 2012 including </w:t>
      </w:r>
      <w:r w:rsidR="002D74F5" w:rsidRPr="009F518A">
        <w:rPr>
          <w:rFonts w:ascii="Arial" w:hAnsi="Arial" w:cs="Arial"/>
          <w:i/>
          <w:sz w:val="22"/>
          <w:szCs w:val="22"/>
        </w:rPr>
        <w:t>Prudential Standard APS 114 Capital Adequacy: Standardised Approach to Operational Risk</w:t>
      </w:r>
      <w:r w:rsidR="002D74F5" w:rsidRPr="009F518A">
        <w:rPr>
          <w:rFonts w:ascii="Arial" w:hAnsi="Arial" w:cs="Arial"/>
          <w:sz w:val="22"/>
          <w:szCs w:val="22"/>
        </w:rPr>
        <w:t xml:space="preserve"> made under that determination; </w:t>
      </w:r>
    </w:p>
    <w:p w14:paraId="7CAD6A28" w14:textId="7E799746" w:rsidR="0087189B" w:rsidRPr="009F518A" w:rsidRDefault="0087189B" w:rsidP="0087189B">
      <w:pPr>
        <w:pStyle w:val="Determination1"/>
        <w:rPr>
          <w:rFonts w:ascii="Arial" w:hAnsi="Arial" w:cs="Arial"/>
          <w:sz w:val="22"/>
          <w:szCs w:val="22"/>
        </w:rPr>
      </w:pPr>
      <w:r w:rsidRPr="009F518A">
        <w:rPr>
          <w:rFonts w:ascii="Arial" w:hAnsi="Arial" w:cs="Arial"/>
          <w:sz w:val="22"/>
          <w:szCs w:val="22"/>
        </w:rPr>
        <w:t>under subsection 11</w:t>
      </w:r>
      <w:proofErr w:type="gramStart"/>
      <w:r w:rsidRPr="009F518A">
        <w:rPr>
          <w:rFonts w:ascii="Arial" w:hAnsi="Arial" w:cs="Arial"/>
          <w:sz w:val="22"/>
          <w:szCs w:val="22"/>
        </w:rPr>
        <w:t>AF(</w:t>
      </w:r>
      <w:proofErr w:type="gramEnd"/>
      <w:r w:rsidRPr="009F518A">
        <w:rPr>
          <w:rFonts w:ascii="Arial" w:hAnsi="Arial" w:cs="Arial"/>
          <w:sz w:val="22"/>
          <w:szCs w:val="22"/>
        </w:rPr>
        <w:t xml:space="preserve">3) of the Act REVOKE Banking (prudential standard) determination No. </w:t>
      </w:r>
      <w:r w:rsidR="00FD3187" w:rsidRPr="009F518A">
        <w:rPr>
          <w:rFonts w:ascii="Arial" w:hAnsi="Arial" w:cs="Arial"/>
          <w:sz w:val="22"/>
          <w:szCs w:val="22"/>
        </w:rPr>
        <w:t>8</w:t>
      </w:r>
      <w:r w:rsidRPr="009F518A">
        <w:rPr>
          <w:rFonts w:ascii="Arial" w:hAnsi="Arial" w:cs="Arial"/>
          <w:sz w:val="22"/>
          <w:szCs w:val="22"/>
        </w:rPr>
        <w:t xml:space="preserve"> of 20</w:t>
      </w:r>
      <w:r w:rsidR="00FD3187" w:rsidRPr="009F518A">
        <w:rPr>
          <w:rFonts w:ascii="Arial" w:hAnsi="Arial" w:cs="Arial"/>
          <w:sz w:val="22"/>
          <w:szCs w:val="22"/>
        </w:rPr>
        <w:t>12</w:t>
      </w:r>
      <w:r w:rsidRPr="009F518A">
        <w:rPr>
          <w:rFonts w:ascii="Arial" w:hAnsi="Arial" w:cs="Arial"/>
          <w:sz w:val="22"/>
          <w:szCs w:val="22"/>
        </w:rPr>
        <w:t xml:space="preserve"> including </w:t>
      </w:r>
      <w:r w:rsidRPr="009F518A">
        <w:rPr>
          <w:rFonts w:ascii="Arial" w:hAnsi="Arial" w:cs="Arial"/>
          <w:i/>
          <w:sz w:val="22"/>
          <w:szCs w:val="22"/>
        </w:rPr>
        <w:t xml:space="preserve">Prudential Standard APS 115 Capital Adequacy: </w:t>
      </w:r>
      <w:r w:rsidR="00E42778">
        <w:rPr>
          <w:rFonts w:ascii="Arial" w:hAnsi="Arial" w:cs="Arial"/>
          <w:i/>
          <w:sz w:val="22"/>
          <w:szCs w:val="22"/>
        </w:rPr>
        <w:t xml:space="preserve">Advanced </w:t>
      </w:r>
      <w:r w:rsidRPr="009F518A">
        <w:rPr>
          <w:rFonts w:ascii="Arial" w:hAnsi="Arial" w:cs="Arial"/>
          <w:i/>
          <w:sz w:val="22"/>
          <w:szCs w:val="22"/>
        </w:rPr>
        <w:t>Measurement Approach</w:t>
      </w:r>
      <w:r w:rsidR="00E42778">
        <w:rPr>
          <w:rFonts w:ascii="Arial" w:hAnsi="Arial" w:cs="Arial"/>
          <w:i/>
          <w:sz w:val="22"/>
          <w:szCs w:val="22"/>
        </w:rPr>
        <w:t>es</w:t>
      </w:r>
      <w:r w:rsidRPr="009F518A">
        <w:rPr>
          <w:rFonts w:ascii="Arial" w:hAnsi="Arial" w:cs="Arial"/>
          <w:i/>
          <w:sz w:val="22"/>
          <w:szCs w:val="22"/>
        </w:rPr>
        <w:t xml:space="preserve"> to Operational Risk</w:t>
      </w:r>
      <w:r w:rsidRPr="009F518A">
        <w:rPr>
          <w:rFonts w:ascii="Arial" w:hAnsi="Arial" w:cs="Arial"/>
          <w:sz w:val="22"/>
          <w:szCs w:val="22"/>
        </w:rPr>
        <w:t xml:space="preserve"> made under that </w:t>
      </w:r>
      <w:r w:rsidR="00B42C8B" w:rsidRPr="009F518A">
        <w:rPr>
          <w:rFonts w:ascii="Arial" w:hAnsi="Arial" w:cs="Arial"/>
          <w:sz w:val="22"/>
          <w:szCs w:val="22"/>
        </w:rPr>
        <w:t>d</w:t>
      </w:r>
      <w:r w:rsidRPr="009F518A">
        <w:rPr>
          <w:rFonts w:ascii="Arial" w:hAnsi="Arial" w:cs="Arial"/>
          <w:sz w:val="22"/>
          <w:szCs w:val="22"/>
        </w:rPr>
        <w:t xml:space="preserve">etermination; </w:t>
      </w:r>
    </w:p>
    <w:p w14:paraId="750E1AB2" w14:textId="2802463C" w:rsidR="005B21EF" w:rsidRPr="009F518A" w:rsidRDefault="00FD3187" w:rsidP="00FD3187">
      <w:pPr>
        <w:pStyle w:val="Determination1"/>
        <w:rPr>
          <w:rFonts w:ascii="Arial" w:hAnsi="Arial" w:cs="Arial"/>
          <w:sz w:val="22"/>
          <w:szCs w:val="22"/>
        </w:rPr>
      </w:pPr>
      <w:r w:rsidRPr="009F518A">
        <w:rPr>
          <w:rFonts w:ascii="Arial" w:hAnsi="Arial" w:cs="Arial"/>
          <w:sz w:val="22"/>
          <w:szCs w:val="22"/>
        </w:rPr>
        <w:t>under subsection 11</w:t>
      </w:r>
      <w:proofErr w:type="gramStart"/>
      <w:r w:rsidRPr="009F518A">
        <w:rPr>
          <w:rFonts w:ascii="Arial" w:hAnsi="Arial" w:cs="Arial"/>
          <w:sz w:val="22"/>
          <w:szCs w:val="22"/>
        </w:rPr>
        <w:t>AF(</w:t>
      </w:r>
      <w:proofErr w:type="gramEnd"/>
      <w:r w:rsidRPr="009F518A">
        <w:rPr>
          <w:rFonts w:ascii="Arial" w:hAnsi="Arial" w:cs="Arial"/>
          <w:sz w:val="22"/>
          <w:szCs w:val="22"/>
        </w:rPr>
        <w:t xml:space="preserve">3) of the Act REVOKE Banking (prudential standard) determination No. 6 of 2020 including </w:t>
      </w:r>
      <w:r w:rsidRPr="009F518A">
        <w:rPr>
          <w:rFonts w:ascii="Arial" w:hAnsi="Arial" w:cs="Arial"/>
          <w:i/>
          <w:sz w:val="22"/>
          <w:szCs w:val="22"/>
        </w:rPr>
        <w:t>Prudential Standard APS 115 Capital Adequacy: Standardised Measurement Approach to Operational Risk</w:t>
      </w:r>
      <w:r w:rsidRPr="009F518A">
        <w:rPr>
          <w:rFonts w:ascii="Arial" w:hAnsi="Arial" w:cs="Arial"/>
          <w:sz w:val="22"/>
          <w:szCs w:val="22"/>
        </w:rPr>
        <w:t xml:space="preserve"> made under that </w:t>
      </w:r>
      <w:r w:rsidR="00B42C8B" w:rsidRPr="009F518A">
        <w:rPr>
          <w:rFonts w:ascii="Arial" w:hAnsi="Arial" w:cs="Arial"/>
          <w:sz w:val="22"/>
          <w:szCs w:val="22"/>
        </w:rPr>
        <w:t>d</w:t>
      </w:r>
      <w:r w:rsidRPr="009F518A">
        <w:rPr>
          <w:rFonts w:ascii="Arial" w:hAnsi="Arial" w:cs="Arial"/>
          <w:sz w:val="22"/>
          <w:szCs w:val="22"/>
        </w:rPr>
        <w:t xml:space="preserve">etermination; </w:t>
      </w:r>
      <w:r w:rsidR="00E42778">
        <w:rPr>
          <w:rFonts w:ascii="Arial" w:hAnsi="Arial" w:cs="Arial"/>
          <w:sz w:val="22"/>
          <w:szCs w:val="22"/>
        </w:rPr>
        <w:t>and</w:t>
      </w:r>
    </w:p>
    <w:p w14:paraId="4383E599" w14:textId="4A3B9AAD" w:rsidR="0087189B" w:rsidRPr="009F518A" w:rsidRDefault="0087189B" w:rsidP="0087189B">
      <w:pPr>
        <w:pStyle w:val="Determination1"/>
        <w:rPr>
          <w:rFonts w:ascii="Arial" w:hAnsi="Arial" w:cs="Arial"/>
          <w:sz w:val="22"/>
          <w:szCs w:val="22"/>
        </w:rPr>
      </w:pPr>
      <w:r w:rsidRPr="009F518A">
        <w:rPr>
          <w:rFonts w:ascii="Arial" w:hAnsi="Arial" w:cs="Arial"/>
          <w:sz w:val="22"/>
          <w:szCs w:val="22"/>
        </w:rPr>
        <w:t>under subsection 11</w:t>
      </w:r>
      <w:proofErr w:type="gramStart"/>
      <w:r w:rsidRPr="009F518A">
        <w:rPr>
          <w:rFonts w:ascii="Arial" w:hAnsi="Arial" w:cs="Arial"/>
          <w:sz w:val="22"/>
          <w:szCs w:val="22"/>
        </w:rPr>
        <w:t>AF(</w:t>
      </w:r>
      <w:proofErr w:type="gramEnd"/>
      <w:r w:rsidRPr="009F518A">
        <w:rPr>
          <w:rFonts w:ascii="Arial" w:hAnsi="Arial" w:cs="Arial"/>
          <w:sz w:val="22"/>
          <w:szCs w:val="22"/>
        </w:rPr>
        <w:t xml:space="preserve">1) of the Act DETERMINE </w:t>
      </w:r>
      <w:r w:rsidRPr="009F518A">
        <w:rPr>
          <w:rFonts w:ascii="Arial" w:hAnsi="Arial" w:cs="Arial"/>
          <w:i/>
          <w:sz w:val="22"/>
          <w:szCs w:val="22"/>
        </w:rPr>
        <w:t>Prudential Standard APS 115 Capital Adequacy: Standardised Measurement Approach to Operational Risk</w:t>
      </w:r>
      <w:r w:rsidRPr="009F518A">
        <w:rPr>
          <w:rFonts w:ascii="Arial" w:hAnsi="Arial" w:cs="Arial"/>
          <w:sz w:val="22"/>
          <w:szCs w:val="22"/>
        </w:rPr>
        <w:t xml:space="preserve"> in the form set out in the </w:t>
      </w:r>
      <w:r w:rsidR="00C85A76">
        <w:rPr>
          <w:rFonts w:ascii="Arial" w:hAnsi="Arial" w:cs="Arial"/>
          <w:sz w:val="22"/>
          <w:szCs w:val="22"/>
        </w:rPr>
        <w:t>s</w:t>
      </w:r>
      <w:r w:rsidRPr="009F518A">
        <w:rPr>
          <w:rFonts w:ascii="Arial" w:hAnsi="Arial" w:cs="Arial"/>
          <w:sz w:val="22"/>
          <w:szCs w:val="22"/>
        </w:rPr>
        <w:t>chedule, which applies to ADIs and authorised NOHCs to the extent provided in paragraph</w:t>
      </w:r>
      <w:r w:rsidR="00E60C87">
        <w:rPr>
          <w:rFonts w:ascii="Arial" w:hAnsi="Arial" w:cs="Arial"/>
          <w:sz w:val="22"/>
          <w:szCs w:val="22"/>
        </w:rPr>
        <w:t>s</w:t>
      </w:r>
      <w:r w:rsidRPr="009F518A">
        <w:rPr>
          <w:rFonts w:ascii="Arial" w:hAnsi="Arial" w:cs="Arial"/>
          <w:sz w:val="22"/>
          <w:szCs w:val="22"/>
        </w:rPr>
        <w:t xml:space="preserve"> 2 </w:t>
      </w:r>
      <w:r w:rsidR="00E60C87">
        <w:rPr>
          <w:rFonts w:ascii="Arial" w:hAnsi="Arial" w:cs="Arial"/>
          <w:sz w:val="22"/>
          <w:szCs w:val="22"/>
        </w:rPr>
        <w:t xml:space="preserve">to 4 </w:t>
      </w:r>
      <w:r w:rsidRPr="009F518A">
        <w:rPr>
          <w:rFonts w:ascii="Arial" w:hAnsi="Arial" w:cs="Arial"/>
          <w:sz w:val="22"/>
          <w:szCs w:val="22"/>
        </w:rPr>
        <w:t>of the prudential standard.</w:t>
      </w:r>
    </w:p>
    <w:p w14:paraId="360C04EF" w14:textId="033B5F09" w:rsidR="0087189B" w:rsidRPr="00B42C8B" w:rsidRDefault="0087189B" w:rsidP="0087189B">
      <w:pPr>
        <w:spacing w:after="0"/>
        <w:jc w:val="both"/>
        <w:rPr>
          <w:rFonts w:ascii="Arial" w:hAnsi="Arial" w:cs="Arial"/>
          <w:sz w:val="22"/>
          <w:szCs w:val="22"/>
        </w:rPr>
      </w:pPr>
      <w:r w:rsidRPr="00B42C8B">
        <w:rPr>
          <w:rFonts w:ascii="Arial" w:hAnsi="Arial" w:cs="Arial"/>
          <w:sz w:val="22"/>
          <w:szCs w:val="22"/>
        </w:rPr>
        <w:t xml:space="preserve">This instrument commences </w:t>
      </w:r>
      <w:r w:rsidR="006C4445" w:rsidRPr="00B42C8B">
        <w:rPr>
          <w:rFonts w:ascii="Arial" w:hAnsi="Arial" w:cs="Arial"/>
          <w:sz w:val="22"/>
          <w:szCs w:val="22"/>
        </w:rPr>
        <w:t>on 1 January 2023</w:t>
      </w:r>
      <w:r w:rsidRPr="00B42C8B">
        <w:rPr>
          <w:rFonts w:ascii="Arial" w:hAnsi="Arial" w:cs="Arial"/>
          <w:sz w:val="22"/>
          <w:szCs w:val="22"/>
        </w:rPr>
        <w:t>.</w:t>
      </w:r>
    </w:p>
    <w:p w14:paraId="0025696A" w14:textId="77777777" w:rsidR="0087189B" w:rsidRPr="00B42C8B" w:rsidRDefault="0087189B" w:rsidP="0087189B">
      <w:pPr>
        <w:spacing w:after="0"/>
        <w:jc w:val="both"/>
        <w:rPr>
          <w:rFonts w:ascii="Arial" w:hAnsi="Arial" w:cs="Arial"/>
          <w:sz w:val="22"/>
          <w:szCs w:val="22"/>
        </w:rPr>
      </w:pPr>
    </w:p>
    <w:p w14:paraId="3649C793" w14:textId="4C96F098" w:rsidR="0087189B" w:rsidRPr="00B42C8B" w:rsidRDefault="0087189B" w:rsidP="0087189B">
      <w:pPr>
        <w:spacing w:after="0"/>
        <w:jc w:val="both"/>
        <w:rPr>
          <w:rFonts w:ascii="Arial" w:hAnsi="Arial" w:cs="Arial"/>
          <w:sz w:val="22"/>
          <w:szCs w:val="22"/>
        </w:rPr>
      </w:pPr>
      <w:r w:rsidRPr="00B42C8B">
        <w:rPr>
          <w:rFonts w:ascii="Arial" w:hAnsi="Arial" w:cs="Arial"/>
          <w:sz w:val="22"/>
          <w:szCs w:val="22"/>
        </w:rPr>
        <w:t xml:space="preserve">Dated: </w:t>
      </w:r>
      <w:r w:rsidRPr="00B42C8B">
        <w:rPr>
          <w:rFonts w:ascii="Arial" w:hAnsi="Arial" w:cs="Arial"/>
          <w:sz w:val="22"/>
          <w:szCs w:val="22"/>
        </w:rPr>
        <w:tab/>
      </w:r>
      <w:r w:rsidR="002503A4">
        <w:rPr>
          <w:rFonts w:ascii="Arial" w:hAnsi="Arial" w:cs="Arial"/>
          <w:sz w:val="22"/>
          <w:szCs w:val="22"/>
        </w:rPr>
        <w:t>1 December</w:t>
      </w:r>
      <w:r w:rsidRPr="00B42C8B">
        <w:rPr>
          <w:rFonts w:ascii="Arial" w:hAnsi="Arial" w:cs="Arial"/>
          <w:sz w:val="22"/>
          <w:szCs w:val="22"/>
        </w:rPr>
        <w:t xml:space="preserve"> 2022</w:t>
      </w:r>
    </w:p>
    <w:p w14:paraId="477A117E" w14:textId="77777777" w:rsidR="0087189B" w:rsidRPr="00B42C8B" w:rsidRDefault="0087189B" w:rsidP="0087189B">
      <w:pPr>
        <w:spacing w:after="0"/>
        <w:jc w:val="both"/>
        <w:rPr>
          <w:rFonts w:ascii="Arial" w:hAnsi="Arial" w:cs="Arial"/>
          <w:sz w:val="22"/>
          <w:szCs w:val="22"/>
        </w:rPr>
      </w:pPr>
    </w:p>
    <w:p w14:paraId="30FDF4C1" w14:textId="77777777" w:rsidR="0087189B" w:rsidRPr="00B42C8B" w:rsidRDefault="0087189B" w:rsidP="0087189B">
      <w:pPr>
        <w:spacing w:after="0"/>
        <w:jc w:val="both"/>
        <w:rPr>
          <w:rFonts w:ascii="Arial" w:hAnsi="Arial" w:cs="Arial"/>
          <w:sz w:val="22"/>
          <w:szCs w:val="22"/>
        </w:rPr>
      </w:pPr>
      <w:r w:rsidRPr="002503A4">
        <w:rPr>
          <w:rFonts w:ascii="Arial" w:hAnsi="Arial" w:cs="Arial"/>
          <w:sz w:val="22"/>
          <w:szCs w:val="22"/>
        </w:rPr>
        <w:t>[Signed]</w:t>
      </w:r>
    </w:p>
    <w:p w14:paraId="19A34BC2" w14:textId="77777777" w:rsidR="0087189B" w:rsidRPr="00B42C8B" w:rsidRDefault="0087189B" w:rsidP="0087189B">
      <w:pPr>
        <w:spacing w:after="0"/>
        <w:jc w:val="both"/>
        <w:rPr>
          <w:rFonts w:ascii="Arial" w:hAnsi="Arial" w:cs="Arial"/>
          <w:sz w:val="22"/>
          <w:szCs w:val="22"/>
        </w:rPr>
      </w:pPr>
    </w:p>
    <w:p w14:paraId="55D4ACFA" w14:textId="77777777" w:rsidR="0087189B" w:rsidRPr="00B42C8B" w:rsidRDefault="0087189B" w:rsidP="0087189B">
      <w:pPr>
        <w:pStyle w:val="NormalWeb"/>
        <w:spacing w:before="0" w:beforeAutospacing="0" w:after="0" w:afterAutospacing="0"/>
        <w:rPr>
          <w:rFonts w:ascii="Arial" w:hAnsi="Arial" w:cs="Arial"/>
          <w:sz w:val="22"/>
          <w:szCs w:val="22"/>
        </w:rPr>
      </w:pPr>
      <w:r w:rsidRPr="00B42C8B">
        <w:rPr>
          <w:rFonts w:ascii="Arial" w:hAnsi="Arial" w:cs="Arial"/>
          <w:sz w:val="22"/>
          <w:szCs w:val="22"/>
        </w:rPr>
        <w:t>Renée Roberts</w:t>
      </w:r>
    </w:p>
    <w:p w14:paraId="5AFCCE02" w14:textId="77777777" w:rsidR="0087189B" w:rsidRPr="00B42C8B" w:rsidRDefault="0087189B" w:rsidP="0087189B">
      <w:pPr>
        <w:pStyle w:val="NormalWeb"/>
        <w:spacing w:before="0" w:beforeAutospacing="0" w:after="0" w:afterAutospacing="0"/>
        <w:rPr>
          <w:rFonts w:ascii="Arial" w:hAnsi="Arial" w:cs="Arial"/>
          <w:sz w:val="22"/>
          <w:szCs w:val="22"/>
        </w:rPr>
      </w:pPr>
      <w:r w:rsidRPr="00B42C8B">
        <w:rPr>
          <w:rFonts w:ascii="Arial" w:hAnsi="Arial" w:cs="Arial"/>
          <w:sz w:val="22"/>
          <w:szCs w:val="22"/>
        </w:rPr>
        <w:t>Executive Director</w:t>
      </w:r>
    </w:p>
    <w:p w14:paraId="2F77FEBD" w14:textId="77777777" w:rsidR="0087189B" w:rsidRPr="00B42C8B" w:rsidRDefault="0087189B" w:rsidP="0087189B">
      <w:pPr>
        <w:pStyle w:val="NormalWeb"/>
        <w:spacing w:before="0" w:beforeAutospacing="0" w:after="0" w:afterAutospacing="0"/>
        <w:rPr>
          <w:rFonts w:ascii="Arial" w:hAnsi="Arial" w:cs="Arial"/>
          <w:sz w:val="22"/>
          <w:szCs w:val="22"/>
        </w:rPr>
      </w:pPr>
      <w:r w:rsidRPr="00B42C8B">
        <w:rPr>
          <w:rFonts w:ascii="Arial" w:hAnsi="Arial" w:cs="Arial"/>
          <w:sz w:val="22"/>
          <w:szCs w:val="22"/>
        </w:rPr>
        <w:t>Policy and Advice Division</w:t>
      </w:r>
    </w:p>
    <w:p w14:paraId="77ABF131" w14:textId="77777777" w:rsidR="0087189B" w:rsidRPr="00B42C8B" w:rsidRDefault="0087189B" w:rsidP="0087189B">
      <w:pPr>
        <w:pStyle w:val="IH"/>
        <w:ind w:left="0" w:firstLine="0"/>
        <w:rPr>
          <w:rFonts w:cs="Arial"/>
          <w:color w:val="000000"/>
          <w:sz w:val="22"/>
          <w:szCs w:val="22"/>
        </w:rPr>
      </w:pPr>
      <w:r w:rsidRPr="00B42C8B">
        <w:rPr>
          <w:rFonts w:cs="Arial"/>
          <w:color w:val="000000"/>
          <w:sz w:val="22"/>
          <w:szCs w:val="22"/>
        </w:rPr>
        <w:lastRenderedPageBreak/>
        <w:t>Interpretation</w:t>
      </w:r>
    </w:p>
    <w:p w14:paraId="1A50E89A" w14:textId="010754D0" w:rsidR="0087189B" w:rsidRPr="00B42C8B" w:rsidRDefault="0087189B" w:rsidP="0087189B">
      <w:pPr>
        <w:pStyle w:val="IP"/>
        <w:rPr>
          <w:rFonts w:ascii="Arial" w:hAnsi="Arial" w:cs="Arial"/>
          <w:color w:val="000000"/>
          <w:sz w:val="22"/>
          <w:szCs w:val="22"/>
        </w:rPr>
      </w:pPr>
      <w:r w:rsidRPr="00B42C8B">
        <w:rPr>
          <w:rFonts w:ascii="Arial" w:hAnsi="Arial" w:cs="Arial"/>
          <w:color w:val="000000"/>
          <w:sz w:val="22"/>
          <w:szCs w:val="22"/>
        </w:rPr>
        <w:t xml:space="preserve">In this </w:t>
      </w:r>
      <w:r w:rsidR="00C85A76">
        <w:rPr>
          <w:rFonts w:ascii="Arial" w:hAnsi="Arial" w:cs="Arial"/>
          <w:color w:val="000000"/>
          <w:sz w:val="22"/>
          <w:szCs w:val="22"/>
        </w:rPr>
        <w:t>instrument</w:t>
      </w:r>
      <w:r w:rsidRPr="00B42C8B">
        <w:rPr>
          <w:rFonts w:ascii="Arial" w:hAnsi="Arial" w:cs="Arial"/>
          <w:color w:val="000000"/>
          <w:sz w:val="22"/>
          <w:szCs w:val="22"/>
        </w:rPr>
        <w:t>:</w:t>
      </w:r>
    </w:p>
    <w:p w14:paraId="0B664C72" w14:textId="77777777" w:rsidR="0087189B" w:rsidRPr="00B42C8B" w:rsidRDefault="0087189B" w:rsidP="0087189B">
      <w:pPr>
        <w:pStyle w:val="IntroTo"/>
        <w:spacing w:before="120"/>
        <w:ind w:left="0" w:firstLine="0"/>
        <w:jc w:val="both"/>
        <w:rPr>
          <w:rFonts w:ascii="Arial" w:hAnsi="Arial" w:cs="Arial"/>
          <w:color w:val="000000"/>
          <w:sz w:val="22"/>
          <w:szCs w:val="22"/>
        </w:rPr>
      </w:pPr>
      <w:r w:rsidRPr="00B42C8B">
        <w:rPr>
          <w:rFonts w:ascii="Arial" w:hAnsi="Arial" w:cs="Arial"/>
          <w:b/>
          <w:i/>
          <w:color w:val="000000"/>
          <w:sz w:val="22"/>
          <w:szCs w:val="22"/>
        </w:rPr>
        <w:t>APRA</w:t>
      </w:r>
      <w:r w:rsidRPr="00B42C8B">
        <w:rPr>
          <w:rFonts w:ascii="Arial" w:hAnsi="Arial" w:cs="Arial"/>
          <w:color w:val="000000"/>
          <w:sz w:val="22"/>
          <w:szCs w:val="22"/>
        </w:rPr>
        <w:t xml:space="preserve"> means the Australian Prudential Regulation Authority.</w:t>
      </w:r>
    </w:p>
    <w:p w14:paraId="502C876A" w14:textId="77777777" w:rsidR="00734874" w:rsidRDefault="0087189B" w:rsidP="0087189B">
      <w:pPr>
        <w:pStyle w:val="IntroTo"/>
        <w:spacing w:before="120"/>
        <w:ind w:left="0" w:firstLine="0"/>
        <w:jc w:val="both"/>
        <w:rPr>
          <w:rFonts w:ascii="Arial" w:hAnsi="Arial" w:cs="Arial"/>
          <w:color w:val="000000"/>
          <w:sz w:val="22"/>
          <w:szCs w:val="22"/>
        </w:rPr>
      </w:pPr>
      <w:r w:rsidRPr="00B42C8B">
        <w:rPr>
          <w:rFonts w:ascii="Arial" w:hAnsi="Arial" w:cs="Arial"/>
          <w:b/>
          <w:i/>
          <w:color w:val="000000"/>
          <w:sz w:val="22"/>
          <w:szCs w:val="22"/>
        </w:rPr>
        <w:t xml:space="preserve">ADI </w:t>
      </w:r>
      <w:r w:rsidR="00C85A76">
        <w:rPr>
          <w:rFonts w:ascii="Arial" w:hAnsi="Arial" w:cs="Arial"/>
          <w:color w:val="000000"/>
          <w:sz w:val="22"/>
          <w:szCs w:val="22"/>
        </w:rPr>
        <w:t xml:space="preserve">and </w:t>
      </w:r>
      <w:r w:rsidRPr="00B42C8B">
        <w:rPr>
          <w:rFonts w:ascii="Arial" w:hAnsi="Arial" w:cs="Arial"/>
          <w:b/>
          <w:i/>
          <w:color w:val="000000"/>
          <w:sz w:val="22"/>
          <w:szCs w:val="22"/>
        </w:rPr>
        <w:t>authorised NOHC</w:t>
      </w:r>
      <w:r w:rsidRPr="00B42C8B">
        <w:rPr>
          <w:rFonts w:ascii="Arial" w:hAnsi="Arial" w:cs="Arial"/>
          <w:color w:val="000000"/>
          <w:sz w:val="22"/>
          <w:szCs w:val="22"/>
        </w:rPr>
        <w:t xml:space="preserve"> </w:t>
      </w:r>
      <w:r w:rsidR="00C85A76">
        <w:rPr>
          <w:rFonts w:ascii="Arial" w:hAnsi="Arial" w:cs="Arial"/>
          <w:color w:val="000000"/>
          <w:sz w:val="22"/>
          <w:szCs w:val="22"/>
        </w:rPr>
        <w:t xml:space="preserve">have their respective meanings </w:t>
      </w:r>
      <w:r w:rsidRPr="00B42C8B">
        <w:rPr>
          <w:rFonts w:ascii="Arial" w:hAnsi="Arial" w:cs="Arial"/>
          <w:color w:val="000000"/>
          <w:sz w:val="22"/>
          <w:szCs w:val="22"/>
        </w:rPr>
        <w:t>given in section 5 of the Act.</w:t>
      </w:r>
    </w:p>
    <w:p w14:paraId="1D7C463D" w14:textId="77777777" w:rsidR="00734874" w:rsidRDefault="00734874" w:rsidP="00734874">
      <w:pPr>
        <w:pStyle w:val="AS"/>
        <w:spacing w:before="0" w:after="240"/>
        <w:ind w:left="0" w:firstLine="0"/>
        <w:rPr>
          <w:rStyle w:val="CharSchNo"/>
          <w:color w:val="000000"/>
        </w:rPr>
      </w:pPr>
    </w:p>
    <w:p w14:paraId="41150F1D" w14:textId="73BC6504" w:rsidR="0087189B" w:rsidRPr="008F6E86" w:rsidRDefault="0087189B" w:rsidP="00734874">
      <w:pPr>
        <w:pStyle w:val="AS"/>
        <w:spacing w:before="0" w:after="240"/>
        <w:ind w:left="0" w:firstLine="0"/>
        <w:rPr>
          <w:rStyle w:val="CharSchText"/>
          <w:color w:val="000000"/>
        </w:rPr>
      </w:pPr>
      <w:r w:rsidRPr="008F6E86">
        <w:rPr>
          <w:rStyle w:val="CharSchNo"/>
          <w:color w:val="000000"/>
        </w:rPr>
        <w:t>Schedule</w:t>
      </w:r>
    </w:p>
    <w:p w14:paraId="5FF192B7" w14:textId="77777777" w:rsidR="0087189B" w:rsidRPr="00B42C8B" w:rsidRDefault="0087189B" w:rsidP="00734874">
      <w:pPr>
        <w:spacing w:after="0"/>
        <w:jc w:val="both"/>
        <w:rPr>
          <w:rFonts w:ascii="Arial" w:hAnsi="Arial" w:cs="Arial"/>
          <w:sz w:val="22"/>
          <w:szCs w:val="22"/>
        </w:rPr>
      </w:pPr>
      <w:r w:rsidRPr="00B42C8B">
        <w:rPr>
          <w:rFonts w:ascii="Arial" w:hAnsi="Arial" w:cs="Arial"/>
          <w:i/>
          <w:color w:val="000000"/>
          <w:sz w:val="22"/>
          <w:szCs w:val="22"/>
        </w:rPr>
        <w:t xml:space="preserve">Prudential Standard APS 115 Capital Adequacy: Standardised Measurement Approach to Operational Risk </w:t>
      </w:r>
      <w:r w:rsidRPr="00B42C8B">
        <w:rPr>
          <w:rFonts w:ascii="Arial" w:hAnsi="Arial" w:cs="Arial"/>
          <w:sz w:val="22"/>
          <w:szCs w:val="22"/>
        </w:rPr>
        <w:t>comprises the document commencing on the following page.</w:t>
      </w:r>
      <w:bookmarkEnd w:id="0"/>
    </w:p>
    <w:p w14:paraId="3EB288B6" w14:textId="77777777" w:rsidR="00734874" w:rsidRDefault="00734874" w:rsidP="0087189B">
      <w:pPr>
        <w:pStyle w:val="IntroTo"/>
        <w:spacing w:before="120"/>
        <w:ind w:left="0" w:firstLine="0"/>
        <w:jc w:val="both"/>
        <w:rPr>
          <w:rFonts w:ascii="Arial" w:hAnsi="Arial" w:cs="Arial"/>
          <w:color w:val="000000"/>
          <w:sz w:val="22"/>
          <w:szCs w:val="22"/>
        </w:rPr>
      </w:pPr>
    </w:p>
    <w:p w14:paraId="729182EF" w14:textId="77777777" w:rsidR="00423416" w:rsidRDefault="00423416">
      <w:pPr>
        <w:rPr>
          <w:bCs/>
        </w:rPr>
        <w:sectPr w:rsidR="00423416" w:rsidSect="00450E3D">
          <w:footerReference w:type="default" r:id="rId14"/>
          <w:pgSz w:w="11906" w:h="16838" w:code="9"/>
          <w:pgMar w:top="1440" w:right="1440" w:bottom="1440" w:left="1440" w:header="709" w:footer="709" w:gutter="0"/>
          <w:pgNumType w:start="1"/>
          <w:cols w:space="708"/>
          <w:titlePg/>
          <w:docGrid w:linePitch="360"/>
        </w:sectPr>
      </w:pPr>
    </w:p>
    <w:p w14:paraId="2D808F07" w14:textId="5DC79EBF" w:rsidR="003B52EB" w:rsidRDefault="00506079" w:rsidP="0087189B">
      <w:pPr>
        <w:spacing w:after="0"/>
      </w:pPr>
      <w:r>
        <w:rPr>
          <w:noProof/>
        </w:rPr>
        <w:lastRenderedPageBreak/>
        <w:drawing>
          <wp:inline distT="0" distB="0" distL="0" distR="0" wp14:anchorId="2D808F5F" wp14:editId="40A8C936">
            <wp:extent cx="1485900" cy="1095375"/>
            <wp:effectExtent l="0" t="0" r="0" b="9525"/>
            <wp:docPr id="2"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2D808F08" w14:textId="77777777" w:rsidR="00DA3651" w:rsidRPr="007172BC" w:rsidRDefault="006A6A52" w:rsidP="00FD4767">
      <w:pPr>
        <w:pStyle w:val="Title"/>
        <w:spacing w:before="480"/>
      </w:pPr>
      <w:bookmarkStart w:id="1" w:name="_Toc326937696"/>
      <w:r w:rsidRPr="001F6B8D">
        <w:t>Prudential</w:t>
      </w:r>
      <w:r w:rsidRPr="009B6212">
        <w:t xml:space="preserve"> Standard</w:t>
      </w:r>
      <w:r w:rsidRPr="00E07F40">
        <w:rPr>
          <w:rStyle w:val="PSNofieldtext"/>
        </w:rPr>
        <w:t xml:space="preserve"> </w:t>
      </w:r>
      <w:r w:rsidR="00A77F6F">
        <w:rPr>
          <w:rStyle w:val="PSNofieldtext"/>
        </w:rPr>
        <w:t>APS</w:t>
      </w:r>
      <w:r w:rsidR="003D7765">
        <w:rPr>
          <w:rStyle w:val="PSNofieldtext"/>
        </w:rPr>
        <w:t> </w:t>
      </w:r>
      <w:r w:rsidR="00A77F6F">
        <w:rPr>
          <w:rStyle w:val="PSNofieldtext"/>
        </w:rPr>
        <w:t>11</w:t>
      </w:r>
      <w:r w:rsidR="00A87EC3">
        <w:rPr>
          <w:rStyle w:val="PSNofieldtext"/>
        </w:rPr>
        <w:t>5</w:t>
      </w:r>
    </w:p>
    <w:bookmarkEnd w:id="1"/>
    <w:p w14:paraId="2D808F09" w14:textId="77777777" w:rsidR="00BC2D08" w:rsidRPr="00110917" w:rsidRDefault="00C01771" w:rsidP="001F6B8D">
      <w:pPr>
        <w:pStyle w:val="Title"/>
      </w:pPr>
      <w:r>
        <w:rPr>
          <w:rStyle w:val="PSNamefieldtext"/>
        </w:rPr>
        <w:t>Capital Adequacy: Standar</w:t>
      </w:r>
      <w:r w:rsidR="006056AE">
        <w:rPr>
          <w:rStyle w:val="PSNamefieldtext"/>
        </w:rPr>
        <w:t>dised</w:t>
      </w:r>
      <w:r w:rsidR="00A272D4">
        <w:rPr>
          <w:rStyle w:val="PSNamefieldtext"/>
        </w:rPr>
        <w:t xml:space="preserve"> Measurement </w:t>
      </w:r>
      <w:r>
        <w:rPr>
          <w:rStyle w:val="PSNamefieldtext"/>
        </w:rPr>
        <w:t>Approach to Operational Risk</w:t>
      </w:r>
    </w:p>
    <w:tbl>
      <w:tblPr>
        <w:tblStyle w:val="TableGrid"/>
        <w:tblW w:w="0" w:type="auto"/>
        <w:shd w:val="clear" w:color="auto" w:fill="DDDDDD"/>
        <w:tblLook w:val="04A0" w:firstRow="1" w:lastRow="0" w:firstColumn="1" w:lastColumn="0" w:noHBand="0" w:noVBand="1"/>
      </w:tblPr>
      <w:tblGrid>
        <w:gridCol w:w="8302"/>
      </w:tblGrid>
      <w:tr w:rsidR="0048511B" w14:paraId="2D808F0D" w14:textId="77777777" w:rsidTr="00DF539C">
        <w:tc>
          <w:tcPr>
            <w:tcW w:w="8528" w:type="dxa"/>
            <w:shd w:val="clear" w:color="auto" w:fill="DDDDDD"/>
          </w:tcPr>
          <w:p w14:paraId="2D808F0A" w14:textId="77777777" w:rsidR="003C46D7" w:rsidRPr="00B37C03" w:rsidRDefault="003C46D7" w:rsidP="00656D42">
            <w:pPr>
              <w:pStyle w:val="BoxHeading"/>
            </w:pPr>
            <w:r w:rsidRPr="00B37C03">
              <w:t xml:space="preserve">Objectives and key requirements of this Prudential </w:t>
            </w:r>
            <w:r w:rsidRPr="00173A04">
              <w:t>Standard</w:t>
            </w:r>
          </w:p>
          <w:p w14:paraId="2D808F0B" w14:textId="77777777" w:rsidR="008C3D11" w:rsidRDefault="008C3D11" w:rsidP="00330AD3">
            <w:pPr>
              <w:jc w:val="both"/>
            </w:pPr>
            <w:r>
              <w:t>This Prudential Standard requires an authorised deposit-taking institution to hold sufficient regulatory capital against its operational risk exposures.</w:t>
            </w:r>
          </w:p>
          <w:p w14:paraId="2D808F0C" w14:textId="65C48EAE" w:rsidR="00173A04" w:rsidRDefault="008C3D11" w:rsidP="00C872A2">
            <w:pPr>
              <w:jc w:val="both"/>
            </w:pPr>
            <w:r>
              <w:t xml:space="preserve">The key </w:t>
            </w:r>
            <w:r w:rsidR="00330BA7">
              <w:t>requirement of this</w:t>
            </w:r>
            <w:r>
              <w:t xml:space="preserve"> Prudential Standard </w:t>
            </w:r>
            <w:r w:rsidR="00AC6D63">
              <w:t>is</w:t>
            </w:r>
            <w:r w:rsidR="00330BA7">
              <w:t xml:space="preserve"> that an authorised deposit-taking institution that is </w:t>
            </w:r>
            <w:r w:rsidR="006A2C15">
              <w:t xml:space="preserve">a significant </w:t>
            </w:r>
            <w:r w:rsidR="00F84533">
              <w:t xml:space="preserve">financial institution </w:t>
            </w:r>
            <w:r w:rsidR="00330BA7">
              <w:t>must</w:t>
            </w:r>
            <w:r w:rsidR="00AC6D63">
              <w:t xml:space="preserve"> calculate its capital requirement for operational risk </w:t>
            </w:r>
            <w:r w:rsidR="00C17D49">
              <w:t xml:space="preserve">based on </w:t>
            </w:r>
            <w:r w:rsidR="004F6DF8">
              <w:t>its</w:t>
            </w:r>
            <w:r w:rsidR="00C17D49">
              <w:t xml:space="preserve"> </w:t>
            </w:r>
            <w:r w:rsidR="000305E8">
              <w:t>b</w:t>
            </w:r>
            <w:r w:rsidR="00330BA7">
              <w:t xml:space="preserve">usiness </w:t>
            </w:r>
            <w:r w:rsidR="000305E8">
              <w:t>i</w:t>
            </w:r>
            <w:r w:rsidR="00330BA7">
              <w:t>ndicator</w:t>
            </w:r>
            <w:r w:rsidR="00C17D49">
              <w:t xml:space="preserve">, </w:t>
            </w:r>
            <w:r w:rsidR="00330BA7">
              <w:t xml:space="preserve">a financial statement-based proxy of </w:t>
            </w:r>
            <w:r w:rsidR="004F6DF8">
              <w:t xml:space="preserve">its </w:t>
            </w:r>
            <w:r w:rsidR="00330BA7">
              <w:t>operational risk exposure</w:t>
            </w:r>
            <w:r w:rsidR="00C17D49">
              <w:t>.</w:t>
            </w:r>
          </w:p>
        </w:tc>
      </w:tr>
    </w:tbl>
    <w:p w14:paraId="2D808F0E" w14:textId="77777777" w:rsidR="00BC2D08" w:rsidRDefault="00BC2D08" w:rsidP="00BC2D08">
      <w:pPr>
        <w:spacing w:after="0"/>
      </w:pPr>
    </w:p>
    <w:p w14:paraId="2D808F0F" w14:textId="77777777" w:rsidR="00C67A76" w:rsidRDefault="00C67A76" w:rsidP="00C67A76"/>
    <w:p w14:paraId="2D808F10" w14:textId="77777777" w:rsidR="00C67A76" w:rsidRDefault="00C67A76" w:rsidP="00C67A76">
      <w:pPr>
        <w:sectPr w:rsidR="00C67A76" w:rsidSect="00B53391">
          <w:headerReference w:type="first" r:id="rId16"/>
          <w:footerReference w:type="first" r:id="rId17"/>
          <w:pgSz w:w="11906" w:h="16838" w:code="9"/>
          <w:pgMar w:top="1440" w:right="1797" w:bottom="1440" w:left="1797" w:header="709" w:footer="709" w:gutter="0"/>
          <w:pgNumType w:start="1"/>
          <w:cols w:space="708"/>
          <w:titlePg/>
          <w:docGrid w:linePitch="360"/>
        </w:sectPr>
      </w:pPr>
    </w:p>
    <w:bookmarkStart w:id="2" w:name="_Toc341686774" w:displacedByCustomXml="next"/>
    <w:bookmarkStart w:id="3" w:name="_Toc314733116" w:displacedByCustomXml="next"/>
    <w:sdt>
      <w:sdtPr>
        <w:rPr>
          <w:rFonts w:ascii="Arial" w:eastAsia="Calibri" w:hAnsi="Arial" w:cs="Times New Roman"/>
          <w:b w:val="0"/>
          <w:noProof/>
          <w:szCs w:val="24"/>
        </w:rPr>
        <w:id w:val="854384150"/>
        <w:docPartObj>
          <w:docPartGallery w:val="Table of Contents"/>
          <w:docPartUnique/>
        </w:docPartObj>
      </w:sdtPr>
      <w:sdtEndPr/>
      <w:sdtContent>
        <w:p w14:paraId="2D808F11" w14:textId="77777777" w:rsidR="00824A43" w:rsidRDefault="00FD4767">
          <w:pPr>
            <w:pStyle w:val="TOCHeading"/>
          </w:pPr>
          <w:r>
            <w:t>Table of C</w:t>
          </w:r>
          <w:r w:rsidR="00824A43">
            <w:t>ontents</w:t>
          </w:r>
        </w:p>
        <w:p w14:paraId="2D808F12" w14:textId="53A5D9BB" w:rsidR="00386690" w:rsidRPr="00154C5B" w:rsidRDefault="00824A43">
          <w:pPr>
            <w:pStyle w:val="TOC1"/>
            <w:rPr>
              <w:rFonts w:asciiTheme="minorHAnsi" w:eastAsiaTheme="minorEastAsia" w:hAnsiTheme="minorHAnsi" w:cstheme="minorHAnsi"/>
              <w:sz w:val="22"/>
              <w:szCs w:val="22"/>
            </w:rPr>
          </w:pPr>
          <w:r>
            <w:rPr>
              <w:noProof w:val="0"/>
            </w:rPr>
            <w:fldChar w:fldCharType="begin"/>
          </w:r>
          <w:r>
            <w:instrText xml:space="preserve"> TOC \o "1-3" \h \z \u </w:instrText>
          </w:r>
          <w:r>
            <w:rPr>
              <w:noProof w:val="0"/>
            </w:rPr>
            <w:fldChar w:fldCharType="separate"/>
          </w:r>
          <w:hyperlink w:anchor="_Toc8120207" w:history="1">
            <w:r w:rsidR="00386690" w:rsidRPr="00154C5B">
              <w:rPr>
                <w:rStyle w:val="Hyperlink"/>
                <w:rFonts w:asciiTheme="minorHAnsi" w:hAnsiTheme="minorHAnsi" w:cstheme="minorHAnsi"/>
              </w:rPr>
              <w:t>Authority</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_Toc8120207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3</w:t>
            </w:r>
            <w:r w:rsidR="00386690" w:rsidRPr="00154C5B">
              <w:rPr>
                <w:rFonts w:asciiTheme="minorHAnsi" w:hAnsiTheme="minorHAnsi" w:cstheme="minorHAnsi"/>
                <w:webHidden/>
              </w:rPr>
              <w:fldChar w:fldCharType="end"/>
            </w:r>
          </w:hyperlink>
        </w:p>
        <w:p w14:paraId="2D808F13" w14:textId="764FE0FB" w:rsidR="00386690" w:rsidRPr="00154C5B" w:rsidRDefault="00F638E9">
          <w:pPr>
            <w:pStyle w:val="TOC1"/>
            <w:rPr>
              <w:rFonts w:asciiTheme="minorHAnsi" w:eastAsiaTheme="minorEastAsia" w:hAnsiTheme="minorHAnsi" w:cstheme="minorHAnsi"/>
              <w:sz w:val="22"/>
              <w:szCs w:val="22"/>
            </w:rPr>
          </w:pPr>
          <w:hyperlink w:anchor="_Toc8120208" w:history="1">
            <w:r w:rsidR="00386690" w:rsidRPr="00154C5B">
              <w:rPr>
                <w:rStyle w:val="Hyperlink"/>
                <w:rFonts w:asciiTheme="minorHAnsi" w:hAnsiTheme="minorHAnsi" w:cstheme="minorHAnsi"/>
              </w:rPr>
              <w:t>Application</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_Toc8120208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3</w:t>
            </w:r>
            <w:r w:rsidR="00386690" w:rsidRPr="00154C5B">
              <w:rPr>
                <w:rFonts w:asciiTheme="minorHAnsi" w:hAnsiTheme="minorHAnsi" w:cstheme="minorHAnsi"/>
                <w:webHidden/>
              </w:rPr>
              <w:fldChar w:fldCharType="end"/>
            </w:r>
          </w:hyperlink>
        </w:p>
        <w:p w14:paraId="2D808F14" w14:textId="1C55DAB3" w:rsidR="00386690" w:rsidRPr="00154C5B" w:rsidRDefault="00F638E9">
          <w:pPr>
            <w:pStyle w:val="TOC1"/>
            <w:rPr>
              <w:rFonts w:asciiTheme="minorHAnsi" w:eastAsiaTheme="minorEastAsia" w:hAnsiTheme="minorHAnsi" w:cstheme="minorHAnsi"/>
              <w:sz w:val="22"/>
              <w:szCs w:val="22"/>
            </w:rPr>
          </w:pPr>
          <w:hyperlink w:anchor="_Toc8120209" w:history="1">
            <w:r w:rsidR="00386690" w:rsidRPr="00154C5B">
              <w:rPr>
                <w:rStyle w:val="Hyperlink"/>
                <w:rFonts w:asciiTheme="minorHAnsi" w:hAnsiTheme="minorHAnsi" w:cstheme="minorHAnsi"/>
              </w:rPr>
              <w:t>Interpretation</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_Toc8120209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3</w:t>
            </w:r>
            <w:r w:rsidR="00386690" w:rsidRPr="00154C5B">
              <w:rPr>
                <w:rFonts w:asciiTheme="minorHAnsi" w:hAnsiTheme="minorHAnsi" w:cstheme="minorHAnsi"/>
                <w:webHidden/>
              </w:rPr>
              <w:fldChar w:fldCharType="end"/>
            </w:r>
          </w:hyperlink>
        </w:p>
        <w:p w14:paraId="2D808F15" w14:textId="79A5F89F" w:rsidR="00386690" w:rsidRPr="00154C5B" w:rsidRDefault="00F638E9">
          <w:pPr>
            <w:pStyle w:val="TOC1"/>
            <w:rPr>
              <w:rFonts w:asciiTheme="minorHAnsi" w:eastAsiaTheme="minorEastAsia" w:hAnsiTheme="minorHAnsi" w:cstheme="minorHAnsi"/>
              <w:sz w:val="22"/>
              <w:szCs w:val="22"/>
            </w:rPr>
          </w:pPr>
          <w:hyperlink w:anchor="_Toc8120210" w:history="1">
            <w:r w:rsidR="00386690" w:rsidRPr="00154C5B">
              <w:rPr>
                <w:rStyle w:val="Hyperlink"/>
                <w:rFonts w:asciiTheme="minorHAnsi" w:hAnsiTheme="minorHAnsi" w:cstheme="minorHAnsi"/>
              </w:rPr>
              <w:t>Scope</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_Toc8120210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3</w:t>
            </w:r>
            <w:r w:rsidR="00386690" w:rsidRPr="00154C5B">
              <w:rPr>
                <w:rFonts w:asciiTheme="minorHAnsi" w:hAnsiTheme="minorHAnsi" w:cstheme="minorHAnsi"/>
                <w:webHidden/>
              </w:rPr>
              <w:fldChar w:fldCharType="end"/>
            </w:r>
          </w:hyperlink>
        </w:p>
        <w:p w14:paraId="2D808F16" w14:textId="57F72EEC" w:rsidR="00386690" w:rsidRPr="00154C5B" w:rsidRDefault="00F638E9">
          <w:pPr>
            <w:pStyle w:val="TOC1"/>
            <w:rPr>
              <w:rFonts w:asciiTheme="minorHAnsi" w:eastAsiaTheme="minorEastAsia" w:hAnsiTheme="minorHAnsi" w:cstheme="minorHAnsi"/>
              <w:sz w:val="22"/>
              <w:szCs w:val="22"/>
            </w:rPr>
          </w:pPr>
          <w:hyperlink w:anchor="_Toc8120211" w:history="1">
            <w:r w:rsidR="00386690" w:rsidRPr="00154C5B">
              <w:rPr>
                <w:rStyle w:val="Hyperlink"/>
                <w:rFonts w:asciiTheme="minorHAnsi" w:hAnsiTheme="minorHAnsi" w:cstheme="minorHAnsi"/>
              </w:rPr>
              <w:t>Adjustments and exclusions</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_Toc8120211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4</w:t>
            </w:r>
            <w:r w:rsidR="00386690" w:rsidRPr="00154C5B">
              <w:rPr>
                <w:rFonts w:asciiTheme="minorHAnsi" w:hAnsiTheme="minorHAnsi" w:cstheme="minorHAnsi"/>
                <w:webHidden/>
              </w:rPr>
              <w:fldChar w:fldCharType="end"/>
            </w:r>
          </w:hyperlink>
        </w:p>
        <w:p w14:paraId="2D808F17" w14:textId="3900C29A" w:rsidR="00386690" w:rsidRPr="00154C5B" w:rsidRDefault="00F638E9">
          <w:pPr>
            <w:pStyle w:val="TOC1"/>
            <w:rPr>
              <w:rFonts w:asciiTheme="minorHAnsi" w:eastAsiaTheme="minorEastAsia" w:hAnsiTheme="minorHAnsi" w:cstheme="minorHAnsi"/>
              <w:sz w:val="22"/>
              <w:szCs w:val="22"/>
            </w:rPr>
          </w:pPr>
          <w:hyperlink w:anchor="_Toc8120212" w:history="1">
            <w:r w:rsidR="00386690" w:rsidRPr="00154C5B">
              <w:rPr>
                <w:rStyle w:val="Hyperlink"/>
                <w:rFonts w:asciiTheme="minorHAnsi" w:hAnsiTheme="minorHAnsi" w:cstheme="minorHAnsi"/>
              </w:rPr>
              <w:t>Previous exercise of discretion</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_Toc8120212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4</w:t>
            </w:r>
            <w:r w:rsidR="00386690" w:rsidRPr="00154C5B">
              <w:rPr>
                <w:rFonts w:asciiTheme="minorHAnsi" w:hAnsiTheme="minorHAnsi" w:cstheme="minorHAnsi"/>
                <w:webHidden/>
              </w:rPr>
              <w:fldChar w:fldCharType="end"/>
            </w:r>
          </w:hyperlink>
        </w:p>
        <w:p w14:paraId="2D808F18" w14:textId="063DB949" w:rsidR="00386690" w:rsidRPr="00154C5B" w:rsidRDefault="00F638E9">
          <w:pPr>
            <w:pStyle w:val="TOC1"/>
            <w:rPr>
              <w:rFonts w:asciiTheme="minorHAnsi" w:eastAsiaTheme="minorEastAsia" w:hAnsiTheme="minorHAnsi" w:cstheme="minorHAnsi"/>
              <w:sz w:val="22"/>
              <w:szCs w:val="22"/>
            </w:rPr>
          </w:pPr>
          <w:hyperlink w:anchor="_Toc8120213" w:history="1">
            <w:r w:rsidR="00386690" w:rsidRPr="00154C5B">
              <w:rPr>
                <w:rStyle w:val="Hyperlink"/>
                <w:rFonts w:asciiTheme="minorHAnsi" w:hAnsiTheme="minorHAnsi" w:cstheme="minorHAnsi"/>
              </w:rPr>
              <w:t>Calculation of the business indicator</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_Toc8120213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4</w:t>
            </w:r>
            <w:r w:rsidR="00386690" w:rsidRPr="00154C5B">
              <w:rPr>
                <w:rFonts w:asciiTheme="minorHAnsi" w:hAnsiTheme="minorHAnsi" w:cstheme="minorHAnsi"/>
                <w:webHidden/>
              </w:rPr>
              <w:fldChar w:fldCharType="end"/>
            </w:r>
          </w:hyperlink>
        </w:p>
        <w:p w14:paraId="2D808F19" w14:textId="18B0AEE5" w:rsidR="00386690" w:rsidRDefault="00F638E9">
          <w:pPr>
            <w:pStyle w:val="TOC1"/>
            <w:rPr>
              <w:rFonts w:asciiTheme="minorHAnsi" w:eastAsiaTheme="minorEastAsia" w:hAnsiTheme="minorHAnsi" w:cstheme="minorBidi"/>
              <w:sz w:val="22"/>
              <w:szCs w:val="22"/>
            </w:rPr>
          </w:pPr>
          <w:hyperlink w:anchor="_Toc8120214" w:history="1">
            <w:r w:rsidR="00386690" w:rsidRPr="00154C5B">
              <w:rPr>
                <w:rStyle w:val="Hyperlink"/>
                <w:rFonts w:asciiTheme="minorHAnsi" w:hAnsiTheme="minorHAnsi" w:cstheme="minorHAnsi"/>
              </w:rPr>
              <w:t>Calculation of operational risk regulatory capital</w:t>
            </w:r>
            <w:r w:rsidR="00386690" w:rsidRPr="00154C5B">
              <w:rPr>
                <w:rFonts w:asciiTheme="minorHAnsi" w:hAnsiTheme="minorHAnsi" w:cstheme="minorHAnsi"/>
                <w:webHidden/>
              </w:rPr>
              <w:tab/>
            </w:r>
            <w:r w:rsidR="00386690" w:rsidRPr="00154C5B">
              <w:rPr>
                <w:rFonts w:asciiTheme="minorHAnsi" w:hAnsiTheme="minorHAnsi" w:cstheme="minorHAnsi"/>
                <w:webHidden/>
              </w:rPr>
              <w:fldChar w:fldCharType="begin"/>
            </w:r>
            <w:r w:rsidR="00386690" w:rsidRPr="00154C5B">
              <w:rPr>
                <w:rFonts w:asciiTheme="minorHAnsi" w:hAnsiTheme="minorHAnsi" w:cstheme="minorHAnsi"/>
                <w:webHidden/>
              </w:rPr>
              <w:instrText xml:space="preserve"> PAGEREF _Toc8120214 \h </w:instrText>
            </w:r>
            <w:r w:rsidR="00386690" w:rsidRPr="00154C5B">
              <w:rPr>
                <w:rFonts w:asciiTheme="minorHAnsi" w:hAnsiTheme="minorHAnsi" w:cstheme="minorHAnsi"/>
                <w:webHidden/>
              </w:rPr>
            </w:r>
            <w:r w:rsidR="00386690" w:rsidRPr="00154C5B">
              <w:rPr>
                <w:rFonts w:asciiTheme="minorHAnsi" w:hAnsiTheme="minorHAnsi" w:cstheme="minorHAnsi"/>
                <w:webHidden/>
              </w:rPr>
              <w:fldChar w:fldCharType="separate"/>
            </w:r>
            <w:r w:rsidR="00450E3D">
              <w:rPr>
                <w:rFonts w:asciiTheme="minorHAnsi" w:hAnsiTheme="minorHAnsi" w:cstheme="minorHAnsi"/>
                <w:webHidden/>
              </w:rPr>
              <w:t>4</w:t>
            </w:r>
            <w:r w:rsidR="00386690" w:rsidRPr="00154C5B">
              <w:rPr>
                <w:rFonts w:asciiTheme="minorHAnsi" w:hAnsiTheme="minorHAnsi" w:cstheme="minorHAnsi"/>
                <w:webHidden/>
              </w:rPr>
              <w:fldChar w:fldCharType="end"/>
            </w:r>
          </w:hyperlink>
        </w:p>
        <w:p w14:paraId="2D808F1A" w14:textId="77777777" w:rsidR="00824A43" w:rsidRPr="00F21EC1" w:rsidRDefault="00824A43">
          <w:pPr>
            <w:pStyle w:val="TOC2"/>
            <w:rPr>
              <w:rFonts w:asciiTheme="minorHAnsi" w:eastAsiaTheme="minorEastAsia" w:hAnsiTheme="minorHAnsi" w:cstheme="minorBidi"/>
              <w:sz w:val="22"/>
              <w:szCs w:val="22"/>
            </w:rPr>
          </w:pPr>
          <w:r>
            <w:rPr>
              <w:b/>
            </w:rPr>
            <w:fldChar w:fldCharType="end"/>
          </w:r>
        </w:p>
      </w:sdtContent>
    </w:sdt>
    <w:p w14:paraId="2D808F1B" w14:textId="77777777" w:rsidR="00E96B6D" w:rsidRPr="00824A43" w:rsidRDefault="00824A43" w:rsidP="00FD4767">
      <w:pPr>
        <w:pStyle w:val="Heading1"/>
        <w:tabs>
          <w:tab w:val="left" w:pos="6647"/>
        </w:tabs>
        <w:sectPr w:rsidR="00E96B6D" w:rsidRPr="00824A43" w:rsidSect="000D63A8">
          <w:headerReference w:type="default" r:id="rId18"/>
          <w:footerReference w:type="default" r:id="rId19"/>
          <w:pgSz w:w="11906" w:h="16838" w:code="9"/>
          <w:pgMar w:top="1440" w:right="1797" w:bottom="1440" w:left="1797" w:header="709" w:footer="709" w:gutter="0"/>
          <w:cols w:space="708"/>
          <w:docGrid w:linePitch="360"/>
        </w:sectPr>
      </w:pPr>
      <w:r>
        <w:tab/>
      </w:r>
      <w:r>
        <w:tab/>
      </w:r>
    </w:p>
    <w:p w14:paraId="2D808F1C" w14:textId="77777777" w:rsidR="00E07F40" w:rsidRPr="001F6B8D" w:rsidRDefault="00E07F40" w:rsidP="001F6B8D">
      <w:pPr>
        <w:pStyle w:val="Heading1"/>
      </w:pPr>
      <w:bookmarkStart w:id="4" w:name="_Toc454561342"/>
      <w:bookmarkStart w:id="5" w:name="_Toc3281068"/>
      <w:bookmarkStart w:id="6" w:name="_Toc8120207"/>
      <w:r w:rsidRPr="00B37C03">
        <w:lastRenderedPageBreak/>
        <w:t>Authority</w:t>
      </w:r>
      <w:bookmarkEnd w:id="4"/>
      <w:bookmarkEnd w:id="5"/>
      <w:bookmarkEnd w:id="6"/>
      <w:bookmarkEnd w:id="3"/>
      <w:bookmarkEnd w:id="2"/>
    </w:p>
    <w:p w14:paraId="2D808F1D" w14:textId="77777777" w:rsidR="00E07F40" w:rsidRDefault="00E07F40" w:rsidP="001C755C">
      <w:pPr>
        <w:pStyle w:val="BodyText1"/>
      </w:pPr>
      <w:r w:rsidRPr="00B37C03">
        <w:t xml:space="preserve">This Prudential Standard is made under section 11AF of the </w:t>
      </w:r>
      <w:r w:rsidRPr="00B37C03">
        <w:rPr>
          <w:i/>
          <w:iCs/>
        </w:rPr>
        <w:t xml:space="preserve">Banking Act 1959 </w:t>
      </w:r>
      <w:r w:rsidR="00FD4767">
        <w:t>(</w:t>
      </w:r>
      <w:r w:rsidRPr="0036233D">
        <w:rPr>
          <w:b/>
        </w:rPr>
        <w:t>Banking Act</w:t>
      </w:r>
      <w:r w:rsidRPr="00B37C03">
        <w:t>).</w:t>
      </w:r>
    </w:p>
    <w:p w14:paraId="2D808F1E" w14:textId="77777777" w:rsidR="00E07F40" w:rsidRDefault="00E07F40" w:rsidP="001F6B8D">
      <w:pPr>
        <w:pStyle w:val="Heading1"/>
      </w:pPr>
      <w:bookmarkStart w:id="7" w:name="_Toc314733118"/>
      <w:bookmarkStart w:id="8" w:name="_Toc341686775"/>
      <w:bookmarkStart w:id="9" w:name="_Toc454561343"/>
      <w:bookmarkStart w:id="10" w:name="_Toc3281069"/>
      <w:bookmarkStart w:id="11" w:name="_Toc8120208"/>
      <w:r w:rsidRPr="00B37C03">
        <w:t>Application</w:t>
      </w:r>
      <w:bookmarkEnd w:id="7"/>
      <w:bookmarkEnd w:id="8"/>
      <w:bookmarkEnd w:id="9"/>
      <w:bookmarkEnd w:id="10"/>
      <w:bookmarkEnd w:id="11"/>
    </w:p>
    <w:p w14:paraId="2D808F1F" w14:textId="77777777" w:rsidR="00C01771" w:rsidRDefault="00B45467" w:rsidP="00C01771">
      <w:pPr>
        <w:pStyle w:val="BodyText1"/>
      </w:pPr>
      <w:r>
        <w:t>This</w:t>
      </w:r>
      <w:r w:rsidR="00C01771">
        <w:t xml:space="preserve"> Prudential Standard applies to </w:t>
      </w:r>
      <w:r w:rsidR="00C01771" w:rsidRPr="00C01771">
        <w:rPr>
          <w:b/>
        </w:rPr>
        <w:t>authorised deposit-taking institutions</w:t>
      </w:r>
      <w:r w:rsidR="00C01771">
        <w:t xml:space="preserve"> (</w:t>
      </w:r>
      <w:r w:rsidR="00C01771">
        <w:rPr>
          <w:b/>
        </w:rPr>
        <w:t>ADIs</w:t>
      </w:r>
      <w:r w:rsidR="00C01771">
        <w:t>)</w:t>
      </w:r>
      <w:r w:rsidR="00253C19">
        <w:t xml:space="preserve"> except</w:t>
      </w:r>
      <w:r w:rsidR="00C01771">
        <w:t>:</w:t>
      </w:r>
    </w:p>
    <w:p w14:paraId="2D808F20" w14:textId="77777777" w:rsidR="00C01771" w:rsidRPr="00C01771" w:rsidRDefault="00C01771" w:rsidP="00FD4767">
      <w:pPr>
        <w:pStyle w:val="BodyText2"/>
        <w:jc w:val="both"/>
      </w:pPr>
      <w:r>
        <w:rPr>
          <w:b/>
        </w:rPr>
        <w:t>foreign ADIs</w:t>
      </w:r>
      <w:r w:rsidR="00BF7EC2" w:rsidRPr="00392514">
        <w:t>;</w:t>
      </w:r>
    </w:p>
    <w:p w14:paraId="2D808F21" w14:textId="77777777" w:rsidR="00E35CFC" w:rsidRDefault="00C01771" w:rsidP="00FD4767">
      <w:pPr>
        <w:pStyle w:val="BodyText2"/>
        <w:jc w:val="both"/>
      </w:pPr>
      <w:r>
        <w:rPr>
          <w:b/>
        </w:rPr>
        <w:t xml:space="preserve">purchased payment facility providers </w:t>
      </w:r>
      <w:r w:rsidRPr="00C01771">
        <w:t>(</w:t>
      </w:r>
      <w:r>
        <w:rPr>
          <w:b/>
        </w:rPr>
        <w:t>PPF providers</w:t>
      </w:r>
      <w:r w:rsidRPr="00C01771">
        <w:t>)</w:t>
      </w:r>
      <w:r w:rsidR="00E35CFC">
        <w:t>; and</w:t>
      </w:r>
    </w:p>
    <w:p w14:paraId="388449C5" w14:textId="0378B49E" w:rsidR="00A60A1E" w:rsidRDefault="002B3581" w:rsidP="00A60A1E">
      <w:pPr>
        <w:pStyle w:val="BodyText2"/>
        <w:jc w:val="both"/>
      </w:pPr>
      <w:r w:rsidRPr="002904C3">
        <w:rPr>
          <w:b/>
        </w:rPr>
        <w:t>non-significant</w:t>
      </w:r>
      <w:r w:rsidR="008579A9">
        <w:rPr>
          <w:b/>
        </w:rPr>
        <w:t xml:space="preserve"> financial</w:t>
      </w:r>
      <w:r w:rsidRPr="002904C3">
        <w:rPr>
          <w:b/>
        </w:rPr>
        <w:t xml:space="preserve"> institutions</w:t>
      </w:r>
      <w:r w:rsidR="00A60A1E">
        <w:rPr>
          <w:b/>
        </w:rPr>
        <w:t xml:space="preserve"> (non-SFIs)</w:t>
      </w:r>
      <w:r w:rsidR="00E35CFC">
        <w:t>.</w:t>
      </w:r>
    </w:p>
    <w:p w14:paraId="0AEC71D5" w14:textId="4DEECD1B" w:rsidR="00A60A1E" w:rsidRPr="00DF539C" w:rsidRDefault="00A60A1E" w:rsidP="003A41E8">
      <w:pPr>
        <w:pStyle w:val="BodyText2"/>
        <w:numPr>
          <w:ilvl w:val="0"/>
          <w:numId w:val="0"/>
        </w:numPr>
        <w:ind w:left="567"/>
        <w:jc w:val="both"/>
      </w:pPr>
      <w:r>
        <w:t>Notwithstanding paragraph (c), APRA may determine, in a particular case, that this Prudential Standard applies to a non-SFI.</w:t>
      </w:r>
    </w:p>
    <w:p w14:paraId="2D808F23" w14:textId="77777777" w:rsidR="00F40300" w:rsidRDefault="00F40300" w:rsidP="00F40300">
      <w:pPr>
        <w:pStyle w:val="BodyText1"/>
      </w:pPr>
      <w:r>
        <w:t xml:space="preserve">A reference to an ADI in this Prudential Standard </w:t>
      </w:r>
      <w:r w:rsidR="00F63CD9">
        <w:t>is</w:t>
      </w:r>
      <w:r>
        <w:t xml:space="preserve"> a reference to:</w:t>
      </w:r>
    </w:p>
    <w:p w14:paraId="2D808F24" w14:textId="77777777" w:rsidR="00110917" w:rsidRDefault="00F40300" w:rsidP="006C06E6">
      <w:pPr>
        <w:pStyle w:val="BodyText2"/>
      </w:pPr>
      <w:r>
        <w:t xml:space="preserve">an ADI on a </w:t>
      </w:r>
      <w:r>
        <w:rPr>
          <w:b/>
        </w:rPr>
        <w:t xml:space="preserve">Level 1 </w:t>
      </w:r>
      <w:r>
        <w:t>basis; and</w:t>
      </w:r>
    </w:p>
    <w:p w14:paraId="2D808F25" w14:textId="77777777" w:rsidR="001C755C" w:rsidRDefault="00F40300" w:rsidP="00F40300">
      <w:pPr>
        <w:pStyle w:val="BodyText2"/>
      </w:pPr>
      <w:r>
        <w:t xml:space="preserve">a </w:t>
      </w:r>
      <w:r>
        <w:rPr>
          <w:b/>
        </w:rPr>
        <w:t xml:space="preserve">group </w:t>
      </w:r>
      <w:r>
        <w:t xml:space="preserve">of which an ADI is a member on a </w:t>
      </w:r>
      <w:r>
        <w:rPr>
          <w:b/>
        </w:rPr>
        <w:t xml:space="preserve">Level 2 </w:t>
      </w:r>
      <w:r>
        <w:t>basis.</w:t>
      </w:r>
    </w:p>
    <w:p w14:paraId="2D808F26" w14:textId="77777777" w:rsidR="005F060C" w:rsidRDefault="005F060C" w:rsidP="005F060C">
      <w:pPr>
        <w:pStyle w:val="BodyText1"/>
      </w:pPr>
      <w:r>
        <w:t>If an ADI to which this Prudential Standard applies is:</w:t>
      </w:r>
    </w:p>
    <w:p w14:paraId="2D808F27" w14:textId="77777777" w:rsidR="005F060C" w:rsidRDefault="005F060C" w:rsidP="005C62DE">
      <w:pPr>
        <w:pStyle w:val="BodyText2"/>
        <w:jc w:val="both"/>
      </w:pPr>
      <w:r>
        <w:t>the holding company for a group, the ADI must ensure that the requirements in this Prudential Standard are met on a Level 2 basis, where applicable; or</w:t>
      </w:r>
    </w:p>
    <w:p w14:paraId="2D808F28" w14:textId="77777777" w:rsidR="005F060C" w:rsidRPr="00DE745A" w:rsidRDefault="005F060C" w:rsidP="005C62DE">
      <w:pPr>
        <w:pStyle w:val="BodyText2"/>
        <w:jc w:val="both"/>
      </w:pPr>
      <w:r>
        <w:t xml:space="preserve">a subsidiary of an authorised </w:t>
      </w:r>
      <w:r w:rsidRPr="009A76C9">
        <w:rPr>
          <w:b/>
        </w:rPr>
        <w:t>non-operating holding company</w:t>
      </w:r>
      <w:r>
        <w:t xml:space="preserve"> (</w:t>
      </w:r>
      <w:r w:rsidRPr="009A76C9">
        <w:rPr>
          <w:b/>
        </w:rPr>
        <w:t>authorised NOHC</w:t>
      </w:r>
      <w:r>
        <w:t>), the authorised NOHC must ensure that the requirements in this Prudential Standard are met on a Level 2 basis, where applicable.</w:t>
      </w:r>
    </w:p>
    <w:p w14:paraId="2D808F2B" w14:textId="11430065" w:rsidR="001E305B" w:rsidRDefault="00CD2026" w:rsidP="00C85A76">
      <w:pPr>
        <w:pStyle w:val="BodyText1"/>
      </w:pPr>
      <w:r>
        <w:t xml:space="preserve">This Prudential Standard commences on 1 January </w:t>
      </w:r>
      <w:r w:rsidR="00436CCC" w:rsidRPr="00CD2026" w:rsidDel="005B11EC">
        <w:t>202</w:t>
      </w:r>
      <w:r w:rsidR="00436CCC" w:rsidDel="005B11EC">
        <w:t>3</w:t>
      </w:r>
      <w:r w:rsidR="00184D93">
        <w:t xml:space="preserve">. </w:t>
      </w:r>
    </w:p>
    <w:p w14:paraId="2D808F2C" w14:textId="77777777" w:rsidR="00DE745A" w:rsidRPr="00824A43" w:rsidRDefault="00DE745A" w:rsidP="00824A43">
      <w:pPr>
        <w:pStyle w:val="Heading1"/>
      </w:pPr>
      <w:bookmarkStart w:id="12" w:name="_Toc3281070"/>
      <w:bookmarkStart w:id="13" w:name="_Toc8120209"/>
      <w:r w:rsidRPr="00824A43">
        <w:t>Interpretation</w:t>
      </w:r>
      <w:bookmarkEnd w:id="12"/>
      <w:bookmarkEnd w:id="13"/>
    </w:p>
    <w:p w14:paraId="2D808F2D" w14:textId="77777777" w:rsidR="00DE745A" w:rsidRDefault="00DE745A" w:rsidP="00DE745A">
      <w:pPr>
        <w:pStyle w:val="BodyText1"/>
      </w:pPr>
      <w:r>
        <w:t xml:space="preserve">Terms that are defined in </w:t>
      </w:r>
      <w:r>
        <w:rPr>
          <w:i/>
        </w:rPr>
        <w:t xml:space="preserve">Prudential Standard APS 001 Definitions </w:t>
      </w:r>
      <w:r>
        <w:t>appear in bold the first time they are used in this Prudential Standard.</w:t>
      </w:r>
    </w:p>
    <w:p w14:paraId="2D808F2E" w14:textId="77777777" w:rsidR="005F060C" w:rsidRDefault="005F060C" w:rsidP="005F060C">
      <w:pPr>
        <w:pStyle w:val="BodyText1"/>
      </w:pPr>
      <w:r w:rsidRPr="00EA3F82">
        <w:t>Where this Prudential Standard provides for APRA to exercise a power or discretion, the power or discretion is to be exercised in writing.</w:t>
      </w:r>
    </w:p>
    <w:p w14:paraId="2D808F2F" w14:textId="649A6BD7" w:rsidR="005F060C" w:rsidRDefault="005F060C" w:rsidP="005F060C">
      <w:pPr>
        <w:pStyle w:val="BodyText1"/>
      </w:pPr>
      <w:r w:rsidRPr="00EA3F82">
        <w:t>In this Prudential Standard, unless the contrary intention</w:t>
      </w:r>
      <w:r>
        <w:t xml:space="preserve"> appears, a reference to an Act</w:t>
      </w:r>
      <w:r w:rsidRPr="00EA3F82">
        <w:t>, Regulations</w:t>
      </w:r>
      <w:r w:rsidR="00450E3D">
        <w:t>,</w:t>
      </w:r>
      <w:r w:rsidRPr="00EA3F82">
        <w:t xml:space="preserve"> Prudential Standard </w:t>
      </w:r>
      <w:r w:rsidR="00450E3D">
        <w:t xml:space="preserve">or </w:t>
      </w:r>
      <w:r w:rsidR="00450E3D" w:rsidRPr="00450E3D">
        <w:rPr>
          <w:b/>
        </w:rPr>
        <w:t>Australian Accounting Standards</w:t>
      </w:r>
      <w:r w:rsidR="00450E3D">
        <w:t xml:space="preserve"> </w:t>
      </w:r>
      <w:r w:rsidRPr="00EA3F82">
        <w:t xml:space="preserve">is a reference to the </w:t>
      </w:r>
      <w:r w:rsidR="00450E3D">
        <w:t xml:space="preserve">instrument </w:t>
      </w:r>
      <w:r>
        <w:t xml:space="preserve">as in force from time to </w:t>
      </w:r>
      <w:r w:rsidRPr="00EA3F82">
        <w:t>time.</w:t>
      </w:r>
    </w:p>
    <w:p w14:paraId="2D808F30" w14:textId="77777777" w:rsidR="00DE745A" w:rsidRDefault="00DE745A" w:rsidP="00DE745A">
      <w:pPr>
        <w:pStyle w:val="Heading1"/>
      </w:pPr>
      <w:bookmarkStart w:id="14" w:name="_Toc3281071"/>
      <w:bookmarkStart w:id="15" w:name="_Toc8120210"/>
      <w:r>
        <w:t>Scope</w:t>
      </w:r>
      <w:bookmarkEnd w:id="14"/>
      <w:bookmarkEnd w:id="15"/>
    </w:p>
    <w:p w14:paraId="2D808F31" w14:textId="77777777" w:rsidR="00DE745A" w:rsidRDefault="00DE745A" w:rsidP="00DE745A">
      <w:pPr>
        <w:pStyle w:val="BodyText1"/>
      </w:pPr>
      <w:r>
        <w:t>This Prudential Standard applies to all operations and activities of an ADI.</w:t>
      </w:r>
    </w:p>
    <w:p w14:paraId="2D808F32" w14:textId="77777777" w:rsidR="00582CF2" w:rsidRDefault="00582CF2" w:rsidP="00582CF2">
      <w:pPr>
        <w:pStyle w:val="Heading1"/>
      </w:pPr>
      <w:bookmarkStart w:id="16" w:name="_Toc8120211"/>
      <w:r>
        <w:lastRenderedPageBreak/>
        <w:t>Adjustments and exclusions</w:t>
      </w:r>
      <w:bookmarkEnd w:id="16"/>
    </w:p>
    <w:p w14:paraId="2D808F33" w14:textId="77777777" w:rsidR="005F060C" w:rsidRDefault="005F060C" w:rsidP="005F060C">
      <w:pPr>
        <w:pStyle w:val="BodyText1"/>
      </w:pPr>
      <w:r>
        <w:t xml:space="preserve">APRA </w:t>
      </w:r>
      <w:r w:rsidRPr="0049664F">
        <w:t>may adjust or exclude a specific prudential requirement in this Prudential Standard in relation to one or more specified ADIs, authorised NOHCs or subsidiaries</w:t>
      </w:r>
      <w:r w:rsidR="007D233C">
        <w:t xml:space="preserve"> of an ADI or authorised NOHC</w:t>
      </w:r>
      <w:r w:rsidRPr="0049664F">
        <w:t>.</w:t>
      </w:r>
    </w:p>
    <w:p w14:paraId="2D808F34" w14:textId="77777777" w:rsidR="009756DA" w:rsidRDefault="009756DA" w:rsidP="005F060C">
      <w:pPr>
        <w:pStyle w:val="BodyText1"/>
      </w:pPr>
      <w:r>
        <w:rPr>
          <w:shd w:val="clear" w:color="auto" w:fill="FFFFFF"/>
        </w:rPr>
        <w:t xml:space="preserve">APRA may require an ADI to reduce its level of </w:t>
      </w:r>
      <w:r w:rsidRPr="003F17B8">
        <w:rPr>
          <w:b/>
          <w:shd w:val="clear" w:color="auto" w:fill="FFFFFF"/>
        </w:rPr>
        <w:t>operational risk</w:t>
      </w:r>
      <w:r>
        <w:rPr>
          <w:shd w:val="clear" w:color="auto" w:fill="FFFFFF"/>
        </w:rPr>
        <w:t xml:space="preserve"> or increase its capital if APRA considers that the ADI’s </w:t>
      </w:r>
      <w:r w:rsidR="00AF5EC7">
        <w:rPr>
          <w:b/>
        </w:rPr>
        <w:t>Regulatory C</w:t>
      </w:r>
      <w:r w:rsidR="00AF5EC7" w:rsidRPr="00B70FE1">
        <w:rPr>
          <w:b/>
        </w:rPr>
        <w:t>apital</w:t>
      </w:r>
      <w:r w:rsidR="00AF5EC7">
        <w:t xml:space="preserve"> for its </w:t>
      </w:r>
      <w:r w:rsidR="00AF5EC7" w:rsidRPr="003F17B8">
        <w:t>operational risk</w:t>
      </w:r>
      <w:r w:rsidR="00AF5EC7" w:rsidRPr="00944C8F">
        <w:t xml:space="preserve"> exposure </w:t>
      </w:r>
      <w:r>
        <w:rPr>
          <w:shd w:val="clear" w:color="auto" w:fill="FFFFFF"/>
        </w:rPr>
        <w:t>is not commensurate with the ADI’s operational risk profile.</w:t>
      </w:r>
    </w:p>
    <w:p w14:paraId="2D808F35" w14:textId="77777777" w:rsidR="00582CF2" w:rsidRDefault="00582CF2" w:rsidP="00582CF2">
      <w:pPr>
        <w:pStyle w:val="Heading1"/>
      </w:pPr>
      <w:bookmarkStart w:id="17" w:name="_Toc8120212"/>
      <w:r>
        <w:t>Previous exercise of discretion</w:t>
      </w:r>
      <w:bookmarkEnd w:id="17"/>
    </w:p>
    <w:p w14:paraId="2D808F36" w14:textId="77777777" w:rsidR="005F060C" w:rsidRDefault="005F060C" w:rsidP="005F060C">
      <w:pPr>
        <w:pStyle w:val="BodyText1"/>
      </w:pPr>
      <w:r>
        <w:t xml:space="preserve">An ADI </w:t>
      </w:r>
      <w:r w:rsidRPr="0049664F">
        <w:t>must contact AP</w:t>
      </w:r>
      <w:r>
        <w:t>RA if it seeks to place reliance</w:t>
      </w:r>
      <w:r w:rsidRPr="0049664F">
        <w:t>, for the purposes of complying with this Prudential Standard, on a previous exemption or other exercise of discretion by APRA under a previous version of this Prudential Standard.</w:t>
      </w:r>
    </w:p>
    <w:p w14:paraId="2D808F37" w14:textId="77777777" w:rsidR="00566C46" w:rsidRDefault="00566C46" w:rsidP="00566C46">
      <w:pPr>
        <w:pStyle w:val="Heading1"/>
      </w:pPr>
      <w:bookmarkStart w:id="18" w:name="_Toc3281074"/>
      <w:bookmarkStart w:id="19" w:name="_Toc8120214"/>
      <w:bookmarkStart w:id="20" w:name="_Toc3281073"/>
      <w:bookmarkStart w:id="21" w:name="_Toc8120213"/>
      <w:r w:rsidRPr="00410B6E">
        <w:t>Calculation</w:t>
      </w:r>
      <w:r>
        <w:t xml:space="preserve"> of operational risk regulatory capital</w:t>
      </w:r>
      <w:bookmarkEnd w:id="18"/>
      <w:bookmarkEnd w:id="19"/>
    </w:p>
    <w:p w14:paraId="2D808F38" w14:textId="77777777" w:rsidR="00566C46" w:rsidRDefault="005B7216" w:rsidP="00566C46">
      <w:pPr>
        <w:pStyle w:val="BodyText1"/>
      </w:pPr>
      <w:r>
        <w:t>A</w:t>
      </w:r>
      <w:r w:rsidR="008B24E8">
        <w:t xml:space="preserve">n ADI must calculate its </w:t>
      </w:r>
      <w:r w:rsidR="00B902FA">
        <w:t xml:space="preserve">operational risk </w:t>
      </w:r>
      <w:r w:rsidR="00484EBF">
        <w:t>capital charge</w:t>
      </w:r>
      <w:r w:rsidR="00932898">
        <w:t xml:space="preserve"> </w:t>
      </w:r>
      <w:r w:rsidR="00566C46">
        <w:t xml:space="preserve">as 12 per cent of its </w:t>
      </w:r>
      <w:r>
        <w:t>business indicator (</w:t>
      </w:r>
      <w:r w:rsidR="00566C46">
        <w:t>BI</w:t>
      </w:r>
      <w:r>
        <w:t>)</w:t>
      </w:r>
      <w:r w:rsidR="00566C46">
        <w:t>, plus:</w:t>
      </w:r>
    </w:p>
    <w:p w14:paraId="2D808F39" w14:textId="77777777" w:rsidR="00566C46" w:rsidRDefault="00566C46" w:rsidP="00566C46">
      <w:pPr>
        <w:pStyle w:val="BodyText2"/>
        <w:jc w:val="both"/>
      </w:pPr>
      <w:r>
        <w:t>if the BI exceeds $1.5 billion, then 3 per cent of the amount by which the BI exceeds $1.5 billion, plus</w:t>
      </w:r>
    </w:p>
    <w:p w14:paraId="2D808F3A" w14:textId="77777777" w:rsidR="00566C46" w:rsidRDefault="00566C46" w:rsidP="00566C46">
      <w:pPr>
        <w:pStyle w:val="BodyText2"/>
        <w:jc w:val="both"/>
      </w:pPr>
      <w:r>
        <w:t>if the BI exceeds $45 billion, then 3 per cent of the amount by which the BI exceeds $45 billion.</w:t>
      </w:r>
    </w:p>
    <w:p w14:paraId="2D808F3B" w14:textId="77777777" w:rsidR="005E12E4" w:rsidRDefault="007E7634" w:rsidP="005E12E4">
      <w:pPr>
        <w:pStyle w:val="Heading1"/>
      </w:pPr>
      <w:r>
        <w:t>Calculation of the business indicator</w:t>
      </w:r>
      <w:bookmarkEnd w:id="20"/>
      <w:bookmarkEnd w:id="21"/>
    </w:p>
    <w:p w14:paraId="2D808F3C" w14:textId="77777777" w:rsidR="005D6D41" w:rsidRDefault="004958BF" w:rsidP="00872E28">
      <w:pPr>
        <w:pStyle w:val="BodyText1"/>
      </w:pPr>
      <w:bookmarkStart w:id="22" w:name="_Ref8120557"/>
      <w:r w:rsidRPr="00B507A0">
        <w:t xml:space="preserve">An ADI must calculate </w:t>
      </w:r>
      <w:r w:rsidR="004F6DF8">
        <w:t>its</w:t>
      </w:r>
      <w:r w:rsidRPr="00B507A0">
        <w:t xml:space="preserve"> BI </w:t>
      </w:r>
      <w:r w:rsidR="007E7634">
        <w:t xml:space="preserve">as </w:t>
      </w:r>
      <w:r w:rsidR="002B0B48">
        <w:t xml:space="preserve">set out in paragraphs </w:t>
      </w:r>
      <w:r w:rsidR="003A6C2C">
        <w:fldChar w:fldCharType="begin"/>
      </w:r>
      <w:r w:rsidR="003A6C2C">
        <w:instrText xml:space="preserve"> REF _Ref8120782 \r \h </w:instrText>
      </w:r>
      <w:r w:rsidR="003A6C2C">
        <w:fldChar w:fldCharType="separate"/>
      </w:r>
      <w:r w:rsidR="00527A14">
        <w:t>15</w:t>
      </w:r>
      <w:r w:rsidR="003A6C2C">
        <w:fldChar w:fldCharType="end"/>
      </w:r>
      <w:r w:rsidR="00C11B78">
        <w:t xml:space="preserve"> to </w:t>
      </w:r>
      <w:r w:rsidR="002B0B48">
        <w:fldChar w:fldCharType="begin"/>
      </w:r>
      <w:r w:rsidR="002B0B48">
        <w:instrText xml:space="preserve"> REF _Ref8120566 \r \h </w:instrText>
      </w:r>
      <w:r w:rsidR="002B0B48">
        <w:fldChar w:fldCharType="separate"/>
      </w:r>
      <w:r w:rsidR="00527A14">
        <w:t>22</w:t>
      </w:r>
      <w:r w:rsidR="002B0B48">
        <w:fldChar w:fldCharType="end"/>
      </w:r>
      <w:r w:rsidR="000E649D">
        <w:t xml:space="preserve"> of this Prudential Standard</w:t>
      </w:r>
      <w:r w:rsidR="007E7634">
        <w:t>.</w:t>
      </w:r>
      <w:bookmarkEnd w:id="22"/>
    </w:p>
    <w:p w14:paraId="2D808F3D" w14:textId="77777777" w:rsidR="007E7634" w:rsidRDefault="007E7634" w:rsidP="00872E28">
      <w:pPr>
        <w:pStyle w:val="BodyText1"/>
      </w:pPr>
      <w:bookmarkStart w:id="23" w:name="_Ref8120782"/>
      <w:r>
        <w:t>The BI is calculated as follows:</w:t>
      </w:r>
      <w:bookmarkEnd w:id="23"/>
    </w:p>
    <w:p w14:paraId="2D808F3E" w14:textId="77777777" w:rsidR="007E7634" w:rsidRPr="00336C47" w:rsidRDefault="00034406" w:rsidP="00872E28">
      <w:pPr>
        <w:pStyle w:val="BodyText1"/>
        <w:numPr>
          <w:ilvl w:val="0"/>
          <w:numId w:val="0"/>
        </w:numPr>
        <w:ind w:left="567"/>
        <w:jc w:val="center"/>
        <w:rPr>
          <w:rFonts w:asciiTheme="minorHAnsi" w:hAnsiTheme="minorHAnsi" w:cstheme="minorHAnsi"/>
        </w:rPr>
      </w:pPr>
      <m:oMathPara>
        <m:oMath>
          <m:r>
            <m:rPr>
              <m:nor/>
            </m:rPr>
            <w:rPr>
              <w:rFonts w:asciiTheme="minorHAnsi" w:hAnsiTheme="minorHAnsi" w:cstheme="minorHAnsi"/>
            </w:rPr>
            <m:t>BI = ILDC + SC + FC</m:t>
          </m:r>
        </m:oMath>
      </m:oMathPara>
    </w:p>
    <w:p w14:paraId="2D808F3F" w14:textId="77777777" w:rsidR="004958BF" w:rsidRPr="00B507A0" w:rsidRDefault="005D6D41" w:rsidP="00872E28">
      <w:pPr>
        <w:pStyle w:val="BodyText1"/>
        <w:numPr>
          <w:ilvl w:val="0"/>
          <w:numId w:val="0"/>
        </w:numPr>
        <w:ind w:left="567"/>
      </w:pPr>
      <w:r>
        <w:t>where:</w:t>
      </w:r>
    </w:p>
    <w:p w14:paraId="2D808F40" w14:textId="77777777" w:rsidR="004958BF" w:rsidRPr="00B507A0" w:rsidRDefault="000E362C" w:rsidP="004958BF">
      <w:pPr>
        <w:pStyle w:val="BodyText1"/>
        <w:numPr>
          <w:ilvl w:val="0"/>
          <w:numId w:val="0"/>
        </w:numPr>
        <w:ind w:left="567"/>
        <w:rPr>
          <w:noProof/>
        </w:rPr>
      </w:pPr>
      <w:r>
        <w:rPr>
          <w:noProof/>
        </w:rPr>
        <w:t>interest, leas</w:t>
      </w:r>
      <w:r w:rsidR="002C1FBC">
        <w:rPr>
          <w:noProof/>
        </w:rPr>
        <w:t>es and dividend component (</w:t>
      </w:r>
      <w:r w:rsidR="004958BF" w:rsidRPr="00B507A0">
        <w:rPr>
          <w:noProof/>
        </w:rPr>
        <w:t>ILDC</w:t>
      </w:r>
      <w:r w:rsidR="002C1FBC">
        <w:rPr>
          <w:noProof/>
        </w:rPr>
        <w:t>)</w:t>
      </w:r>
      <w:r w:rsidR="004958BF" w:rsidRPr="00B507A0">
        <w:rPr>
          <w:noProof/>
        </w:rPr>
        <w:t xml:space="preserve"> = the lesser of the </w:t>
      </w:r>
      <w:r w:rsidR="004958BF" w:rsidRPr="008D3D04">
        <w:t>interest component</w:t>
      </w:r>
      <w:r w:rsidR="004958BF" w:rsidRPr="00B507A0">
        <w:rPr>
          <w:noProof/>
        </w:rPr>
        <w:t xml:space="preserve"> (as defined in paragraph </w:t>
      </w:r>
      <w:r w:rsidR="002B0B48">
        <w:rPr>
          <w:noProof/>
        </w:rPr>
        <w:fldChar w:fldCharType="begin"/>
      </w:r>
      <w:r w:rsidR="002B0B48">
        <w:rPr>
          <w:noProof/>
        </w:rPr>
        <w:instrText xml:space="preserve"> REF _Ref8120675 \r \h </w:instrText>
      </w:r>
      <w:r w:rsidR="002B0B48">
        <w:rPr>
          <w:noProof/>
        </w:rPr>
      </w:r>
      <w:r w:rsidR="002B0B48">
        <w:rPr>
          <w:noProof/>
        </w:rPr>
        <w:fldChar w:fldCharType="separate"/>
      </w:r>
      <w:r w:rsidR="00527A14">
        <w:rPr>
          <w:noProof/>
        </w:rPr>
        <w:t>16</w:t>
      </w:r>
      <w:r w:rsidR="002B0B48">
        <w:rPr>
          <w:noProof/>
        </w:rPr>
        <w:fldChar w:fldCharType="end"/>
      </w:r>
      <w:r w:rsidR="004958BF" w:rsidRPr="00B507A0">
        <w:rPr>
          <w:noProof/>
        </w:rPr>
        <w:t xml:space="preserve">) and the </w:t>
      </w:r>
      <w:r w:rsidR="004958BF" w:rsidRPr="008D3D04">
        <w:t>asset component</w:t>
      </w:r>
      <w:r w:rsidR="004958BF" w:rsidRPr="00B507A0">
        <w:rPr>
          <w:noProof/>
        </w:rPr>
        <w:t xml:space="preserve"> (as defined in paragraph </w:t>
      </w:r>
      <w:r w:rsidR="002B0B48">
        <w:rPr>
          <w:noProof/>
        </w:rPr>
        <w:fldChar w:fldCharType="begin"/>
      </w:r>
      <w:r w:rsidR="002B0B48">
        <w:rPr>
          <w:noProof/>
        </w:rPr>
        <w:instrText xml:space="preserve"> REF _Ref8120695 \r \h </w:instrText>
      </w:r>
      <w:r w:rsidR="002B0B48">
        <w:rPr>
          <w:noProof/>
        </w:rPr>
      </w:r>
      <w:r w:rsidR="002B0B48">
        <w:rPr>
          <w:noProof/>
        </w:rPr>
        <w:fldChar w:fldCharType="separate"/>
      </w:r>
      <w:r w:rsidR="00527A14">
        <w:rPr>
          <w:noProof/>
        </w:rPr>
        <w:t>17</w:t>
      </w:r>
      <w:r w:rsidR="002B0B48">
        <w:rPr>
          <w:noProof/>
        </w:rPr>
        <w:fldChar w:fldCharType="end"/>
      </w:r>
      <w:r w:rsidR="004958BF" w:rsidRPr="00B507A0">
        <w:rPr>
          <w:noProof/>
        </w:rPr>
        <w:t xml:space="preserve">) plus the </w:t>
      </w:r>
      <w:r w:rsidR="004958BF" w:rsidRPr="008D3D04">
        <w:t>dividend component</w:t>
      </w:r>
      <w:r w:rsidR="002B0B48">
        <w:rPr>
          <w:noProof/>
        </w:rPr>
        <w:t xml:space="preserve"> (as defined in paragraph </w:t>
      </w:r>
      <w:r w:rsidR="002B0B48">
        <w:rPr>
          <w:noProof/>
        </w:rPr>
        <w:fldChar w:fldCharType="begin"/>
      </w:r>
      <w:r w:rsidR="002B0B48">
        <w:rPr>
          <w:noProof/>
        </w:rPr>
        <w:instrText xml:space="preserve"> REF _Ref8120704 \r \h </w:instrText>
      </w:r>
      <w:r w:rsidR="002B0B48">
        <w:rPr>
          <w:noProof/>
        </w:rPr>
      </w:r>
      <w:r w:rsidR="002B0B48">
        <w:rPr>
          <w:noProof/>
        </w:rPr>
        <w:fldChar w:fldCharType="separate"/>
      </w:r>
      <w:r w:rsidR="00527A14">
        <w:rPr>
          <w:noProof/>
        </w:rPr>
        <w:t>18</w:t>
      </w:r>
      <w:r w:rsidR="002B0B48">
        <w:rPr>
          <w:noProof/>
        </w:rPr>
        <w:fldChar w:fldCharType="end"/>
      </w:r>
      <w:r w:rsidR="004958BF" w:rsidRPr="00B507A0">
        <w:rPr>
          <w:noProof/>
        </w:rPr>
        <w:t>)</w:t>
      </w:r>
      <w:r w:rsidR="00324F44">
        <w:rPr>
          <w:noProof/>
        </w:rPr>
        <w:t>;</w:t>
      </w:r>
      <w:r w:rsidR="004958BF" w:rsidRPr="00B507A0">
        <w:rPr>
          <w:noProof/>
        </w:rPr>
        <w:t xml:space="preserve"> and</w:t>
      </w:r>
    </w:p>
    <w:p w14:paraId="2D808F41" w14:textId="77777777" w:rsidR="004958BF" w:rsidRPr="00B507A0" w:rsidRDefault="002C1FBC" w:rsidP="004958BF">
      <w:pPr>
        <w:pStyle w:val="BodyText1"/>
        <w:numPr>
          <w:ilvl w:val="0"/>
          <w:numId w:val="0"/>
        </w:numPr>
        <w:ind w:left="567"/>
        <w:rPr>
          <w:noProof/>
        </w:rPr>
      </w:pPr>
      <w:r>
        <w:rPr>
          <w:noProof/>
        </w:rPr>
        <w:t>services component (</w:t>
      </w:r>
      <w:r w:rsidR="004958BF" w:rsidRPr="00B507A0">
        <w:rPr>
          <w:noProof/>
        </w:rPr>
        <w:t>SC</w:t>
      </w:r>
      <w:r>
        <w:rPr>
          <w:noProof/>
        </w:rPr>
        <w:t>)</w:t>
      </w:r>
      <w:r w:rsidR="004958BF" w:rsidRPr="00B507A0">
        <w:rPr>
          <w:noProof/>
        </w:rPr>
        <w:t xml:space="preserve"> = the sum of the </w:t>
      </w:r>
      <w:r w:rsidR="00DC0AFC" w:rsidRPr="008D3D04">
        <w:t xml:space="preserve">other </w:t>
      </w:r>
      <w:r w:rsidR="004958BF" w:rsidRPr="008D3D04">
        <w:t>operating component</w:t>
      </w:r>
      <w:r w:rsidR="002B0B48">
        <w:rPr>
          <w:noProof/>
        </w:rPr>
        <w:t xml:space="preserve"> (as defined in paragraph </w:t>
      </w:r>
      <w:r w:rsidR="002B0B48">
        <w:rPr>
          <w:noProof/>
        </w:rPr>
        <w:fldChar w:fldCharType="begin"/>
      </w:r>
      <w:r w:rsidR="002B0B48">
        <w:rPr>
          <w:noProof/>
        </w:rPr>
        <w:instrText xml:space="preserve"> REF _Ref8120723 \r \h </w:instrText>
      </w:r>
      <w:r w:rsidR="002B0B48">
        <w:rPr>
          <w:noProof/>
        </w:rPr>
      </w:r>
      <w:r w:rsidR="002B0B48">
        <w:rPr>
          <w:noProof/>
        </w:rPr>
        <w:fldChar w:fldCharType="separate"/>
      </w:r>
      <w:r w:rsidR="00527A14">
        <w:rPr>
          <w:noProof/>
        </w:rPr>
        <w:t>19</w:t>
      </w:r>
      <w:r w:rsidR="002B0B48">
        <w:rPr>
          <w:noProof/>
        </w:rPr>
        <w:fldChar w:fldCharType="end"/>
      </w:r>
      <w:r w:rsidR="004958BF" w:rsidRPr="00B507A0">
        <w:rPr>
          <w:noProof/>
        </w:rPr>
        <w:t xml:space="preserve">) and the </w:t>
      </w:r>
      <w:r w:rsidR="004958BF" w:rsidRPr="008D3D04">
        <w:t>fee and commission component</w:t>
      </w:r>
      <w:r w:rsidR="002B0B48">
        <w:rPr>
          <w:noProof/>
        </w:rPr>
        <w:t xml:space="preserve"> (as defined in paragraph </w:t>
      </w:r>
      <w:r w:rsidR="002B0B48">
        <w:rPr>
          <w:noProof/>
        </w:rPr>
        <w:fldChar w:fldCharType="begin"/>
      </w:r>
      <w:r w:rsidR="002B0B48">
        <w:rPr>
          <w:noProof/>
        </w:rPr>
        <w:instrText xml:space="preserve"> REF _Ref8120745 \r \h </w:instrText>
      </w:r>
      <w:r w:rsidR="002B0B48">
        <w:rPr>
          <w:noProof/>
        </w:rPr>
      </w:r>
      <w:r w:rsidR="002B0B48">
        <w:rPr>
          <w:noProof/>
        </w:rPr>
        <w:fldChar w:fldCharType="separate"/>
      </w:r>
      <w:r w:rsidR="00527A14">
        <w:rPr>
          <w:noProof/>
        </w:rPr>
        <w:t>20</w:t>
      </w:r>
      <w:r w:rsidR="002B0B48">
        <w:rPr>
          <w:noProof/>
        </w:rPr>
        <w:fldChar w:fldCharType="end"/>
      </w:r>
      <w:r w:rsidR="004958BF" w:rsidRPr="00B507A0">
        <w:rPr>
          <w:noProof/>
        </w:rPr>
        <w:t>)</w:t>
      </w:r>
      <w:r w:rsidR="00324F44">
        <w:rPr>
          <w:noProof/>
        </w:rPr>
        <w:t>; and</w:t>
      </w:r>
    </w:p>
    <w:p w14:paraId="2D808F42" w14:textId="77777777" w:rsidR="004958BF" w:rsidRDefault="002C1FBC" w:rsidP="004958BF">
      <w:pPr>
        <w:pStyle w:val="BodyText1"/>
        <w:numPr>
          <w:ilvl w:val="0"/>
          <w:numId w:val="0"/>
        </w:numPr>
        <w:ind w:left="567"/>
        <w:rPr>
          <w:noProof/>
        </w:rPr>
      </w:pPr>
      <w:r>
        <w:rPr>
          <w:noProof/>
        </w:rPr>
        <w:t>financial component (</w:t>
      </w:r>
      <w:r w:rsidR="004958BF" w:rsidRPr="00B507A0">
        <w:rPr>
          <w:noProof/>
        </w:rPr>
        <w:t>FC</w:t>
      </w:r>
      <w:r>
        <w:rPr>
          <w:noProof/>
        </w:rPr>
        <w:t>)</w:t>
      </w:r>
      <w:r w:rsidR="004958BF" w:rsidRPr="00B507A0">
        <w:rPr>
          <w:noProof/>
        </w:rPr>
        <w:t xml:space="preserve"> = the sum of </w:t>
      </w:r>
      <w:r w:rsidR="004958BF" w:rsidRPr="00E04083">
        <w:rPr>
          <w:noProof/>
        </w:rPr>
        <w:t xml:space="preserve">the </w:t>
      </w:r>
      <w:r w:rsidR="004958BF" w:rsidRPr="00872E28">
        <w:rPr>
          <w:noProof/>
        </w:rPr>
        <w:t>trading book component</w:t>
      </w:r>
      <w:r w:rsidR="002B0B48">
        <w:rPr>
          <w:noProof/>
        </w:rPr>
        <w:t xml:space="preserve"> (as defined in paragraph </w:t>
      </w:r>
      <w:r w:rsidR="002B0B48">
        <w:rPr>
          <w:noProof/>
        </w:rPr>
        <w:fldChar w:fldCharType="begin"/>
      </w:r>
      <w:r w:rsidR="002B0B48">
        <w:rPr>
          <w:noProof/>
        </w:rPr>
        <w:instrText xml:space="preserve"> REF _Ref8120763 \r \h </w:instrText>
      </w:r>
      <w:r w:rsidR="002B0B48">
        <w:rPr>
          <w:noProof/>
        </w:rPr>
      </w:r>
      <w:r w:rsidR="002B0B48">
        <w:rPr>
          <w:noProof/>
        </w:rPr>
        <w:fldChar w:fldCharType="separate"/>
      </w:r>
      <w:r w:rsidR="00527A14">
        <w:rPr>
          <w:noProof/>
        </w:rPr>
        <w:t>21</w:t>
      </w:r>
      <w:r w:rsidR="002B0B48">
        <w:rPr>
          <w:noProof/>
        </w:rPr>
        <w:fldChar w:fldCharType="end"/>
      </w:r>
      <w:r w:rsidR="004958BF" w:rsidRPr="00E04083">
        <w:rPr>
          <w:noProof/>
        </w:rPr>
        <w:t xml:space="preserve">) and the </w:t>
      </w:r>
      <w:r w:rsidR="004958BF" w:rsidRPr="00872E28">
        <w:rPr>
          <w:noProof/>
        </w:rPr>
        <w:t>banking book component</w:t>
      </w:r>
      <w:r w:rsidR="004958BF" w:rsidRPr="00E04083">
        <w:rPr>
          <w:noProof/>
        </w:rPr>
        <w:t xml:space="preserve"> (</w:t>
      </w:r>
      <w:r w:rsidR="004958BF" w:rsidRPr="00B507A0">
        <w:rPr>
          <w:noProof/>
        </w:rPr>
        <w:t>as def</w:t>
      </w:r>
      <w:r w:rsidR="002B0B48">
        <w:rPr>
          <w:noProof/>
        </w:rPr>
        <w:t xml:space="preserve">ined in paragraph </w:t>
      </w:r>
      <w:r w:rsidR="002B0B48">
        <w:rPr>
          <w:noProof/>
        </w:rPr>
        <w:fldChar w:fldCharType="begin"/>
      </w:r>
      <w:r w:rsidR="002B0B48">
        <w:rPr>
          <w:noProof/>
        </w:rPr>
        <w:instrText xml:space="preserve"> REF _Ref8120566 \r \h </w:instrText>
      </w:r>
      <w:r w:rsidR="002B0B48">
        <w:rPr>
          <w:noProof/>
        </w:rPr>
      </w:r>
      <w:r w:rsidR="002B0B48">
        <w:rPr>
          <w:noProof/>
        </w:rPr>
        <w:fldChar w:fldCharType="separate"/>
      </w:r>
      <w:r w:rsidR="00527A14">
        <w:rPr>
          <w:noProof/>
        </w:rPr>
        <w:t>22</w:t>
      </w:r>
      <w:r w:rsidR="002B0B48">
        <w:rPr>
          <w:noProof/>
        </w:rPr>
        <w:fldChar w:fldCharType="end"/>
      </w:r>
      <w:r w:rsidR="004958BF" w:rsidRPr="00B507A0">
        <w:rPr>
          <w:noProof/>
        </w:rPr>
        <w:t>)</w:t>
      </w:r>
      <w:r w:rsidR="00324F44">
        <w:rPr>
          <w:noProof/>
        </w:rPr>
        <w:t>.</w:t>
      </w:r>
    </w:p>
    <w:p w14:paraId="2D808F43" w14:textId="77777777" w:rsidR="004958BF" w:rsidRDefault="00D63260" w:rsidP="004958BF">
      <w:pPr>
        <w:pStyle w:val="BodyText1"/>
      </w:pPr>
      <w:bookmarkStart w:id="24" w:name="_Ref8120675"/>
      <w:r>
        <w:lastRenderedPageBreak/>
        <w:t xml:space="preserve">For the purposes of paragraph </w:t>
      </w:r>
      <w:r w:rsidR="002B0B48">
        <w:fldChar w:fldCharType="begin"/>
      </w:r>
      <w:r w:rsidR="002B0B48">
        <w:instrText xml:space="preserve"> REF _Ref8120782 \r \h </w:instrText>
      </w:r>
      <w:r w:rsidR="002B0B48">
        <w:fldChar w:fldCharType="separate"/>
      </w:r>
      <w:r w:rsidR="00527A14">
        <w:t>15</w:t>
      </w:r>
      <w:r w:rsidR="002B0B48">
        <w:fldChar w:fldCharType="end"/>
      </w:r>
      <w:r w:rsidR="00A668B2">
        <w:t xml:space="preserve"> of this Prudential Standard</w:t>
      </w:r>
      <w:r>
        <w:t>, a</w:t>
      </w:r>
      <w:r w:rsidR="004958BF" w:rsidRPr="00462387">
        <w:t>n ADI</w:t>
      </w:r>
      <w:r>
        <w:t>’s</w:t>
      </w:r>
      <w:r w:rsidR="004958BF" w:rsidRPr="00462387">
        <w:t xml:space="preserve"> </w:t>
      </w:r>
      <w:r w:rsidR="004958BF" w:rsidRPr="00872E28">
        <w:t>interest component</w:t>
      </w:r>
      <w:r w:rsidR="004958BF" w:rsidRPr="00462387">
        <w:t xml:space="preserve"> </w:t>
      </w:r>
      <w:r>
        <w:t xml:space="preserve">is </w:t>
      </w:r>
      <w:r w:rsidR="005D2673">
        <w:t xml:space="preserve">the </w:t>
      </w:r>
      <w:r w:rsidR="00216F52">
        <w:t xml:space="preserve">annual </w:t>
      </w:r>
      <w:r w:rsidR="004958BF" w:rsidRPr="00F87BDC">
        <w:t>average value over the mos</w:t>
      </w:r>
      <w:r w:rsidR="004958BF" w:rsidRPr="003C27C2">
        <w:t>t recent three years</w:t>
      </w:r>
      <w:r w:rsidR="004958BF">
        <w:t xml:space="preserve"> of </w:t>
      </w:r>
      <w:r w:rsidR="005D2673">
        <w:t xml:space="preserve">the </w:t>
      </w:r>
      <w:r w:rsidR="004958BF">
        <w:t>absolute value of</w:t>
      </w:r>
      <w:r w:rsidR="006F0D95">
        <w:t xml:space="preserve"> the following calculation</w:t>
      </w:r>
      <w:r w:rsidR="004958BF">
        <w:t>:</w:t>
      </w:r>
      <w:bookmarkEnd w:id="24"/>
    </w:p>
    <w:p w14:paraId="2D808F44" w14:textId="77777777" w:rsidR="004958BF" w:rsidRDefault="004958BF" w:rsidP="00410B6E">
      <w:pPr>
        <w:pStyle w:val="BodyText2"/>
        <w:jc w:val="both"/>
      </w:pPr>
      <w:bookmarkStart w:id="25" w:name="_Ref8122005"/>
      <w:r>
        <w:t xml:space="preserve">the ADI’s </w:t>
      </w:r>
      <w:r w:rsidRPr="00D63260">
        <w:t>interest income</w:t>
      </w:r>
      <w:r w:rsidRPr="00476920">
        <w:t xml:space="preserve"> from all financial assets and other interest income</w:t>
      </w:r>
      <w:r>
        <w:t>, including</w:t>
      </w:r>
      <w:r w:rsidRPr="00476920">
        <w:t xml:space="preserve"> interest income from </w:t>
      </w:r>
      <w:r w:rsidRPr="00D63260">
        <w:t>financ</w:t>
      </w:r>
      <w:r w:rsidR="00261C7D" w:rsidRPr="00D63260">
        <w:t>e</w:t>
      </w:r>
      <w:r w:rsidRPr="00476920">
        <w:t xml:space="preserve"> and operating leases and profits from leased assets</w:t>
      </w:r>
      <w:r w:rsidRPr="00D63260">
        <w:t>,</w:t>
      </w:r>
      <w:r>
        <w:t xml:space="preserve"> less</w:t>
      </w:r>
      <w:bookmarkEnd w:id="25"/>
    </w:p>
    <w:p w14:paraId="2D808F45" w14:textId="77777777" w:rsidR="004958BF" w:rsidRPr="00462387" w:rsidRDefault="004958BF" w:rsidP="00410B6E">
      <w:pPr>
        <w:pStyle w:val="BodyText2"/>
        <w:jc w:val="both"/>
      </w:pPr>
      <w:bookmarkStart w:id="26" w:name="_Ref8122018"/>
      <w:r>
        <w:t xml:space="preserve">the ADI’s </w:t>
      </w:r>
      <w:r w:rsidRPr="00D63260">
        <w:t>interest expenses</w:t>
      </w:r>
      <w:r w:rsidRPr="00476920">
        <w:t xml:space="preserve"> from all financial liabilities and other interest expenses</w:t>
      </w:r>
      <w:r>
        <w:t>, including</w:t>
      </w:r>
      <w:r w:rsidRPr="00476920">
        <w:t xml:space="preserve"> interest expense from </w:t>
      </w:r>
      <w:r w:rsidRPr="00D63260">
        <w:t>financ</w:t>
      </w:r>
      <w:r w:rsidR="00261C7D" w:rsidRPr="00D63260">
        <w:t>e</w:t>
      </w:r>
      <w:r w:rsidRPr="00476920">
        <w:t xml:space="preserve"> and operating leases, losses, depreciation and impairment of operating leased asset</w:t>
      </w:r>
      <w:r>
        <w:t>s.</w:t>
      </w:r>
      <w:bookmarkEnd w:id="26"/>
    </w:p>
    <w:p w14:paraId="2D808F46" w14:textId="77777777" w:rsidR="004958BF" w:rsidRPr="00462387" w:rsidRDefault="00D63260" w:rsidP="004958BF">
      <w:pPr>
        <w:pStyle w:val="BodyText1"/>
      </w:pPr>
      <w:bookmarkStart w:id="27" w:name="_Ref8120695"/>
      <w:r>
        <w:t xml:space="preserve">For the purposes of paragraph </w:t>
      </w:r>
      <w:r w:rsidR="002B0B48">
        <w:fldChar w:fldCharType="begin"/>
      </w:r>
      <w:r w:rsidR="002B0B48">
        <w:instrText xml:space="preserve"> REF _Ref8120782 \r \h </w:instrText>
      </w:r>
      <w:r w:rsidR="002B0B48">
        <w:fldChar w:fldCharType="separate"/>
      </w:r>
      <w:r w:rsidR="00527A14">
        <w:t>15</w:t>
      </w:r>
      <w:r w:rsidR="002B0B48">
        <w:fldChar w:fldCharType="end"/>
      </w:r>
      <w:r w:rsidR="00A668B2">
        <w:t xml:space="preserve"> of this Prudential Standard</w:t>
      </w:r>
      <w:r>
        <w:t>, a</w:t>
      </w:r>
      <w:r w:rsidR="004958BF" w:rsidRPr="00462387">
        <w:t xml:space="preserve">n </w:t>
      </w:r>
      <w:r w:rsidR="004958BF" w:rsidRPr="00E04083">
        <w:t>ADI</w:t>
      </w:r>
      <w:r w:rsidR="00CC3D64" w:rsidRPr="00E04083">
        <w:t>’</w:t>
      </w:r>
      <w:r w:rsidRPr="00E04083">
        <w:t>s</w:t>
      </w:r>
      <w:r w:rsidR="004958BF" w:rsidRPr="00E04083">
        <w:t xml:space="preserve"> </w:t>
      </w:r>
      <w:r w:rsidR="004958BF" w:rsidRPr="00872E28">
        <w:t>asset component</w:t>
      </w:r>
      <w:r w:rsidR="004958BF" w:rsidRPr="00E04083">
        <w:t xml:space="preserve"> </w:t>
      </w:r>
      <w:r w:rsidRPr="00E04083">
        <w:t xml:space="preserve">is </w:t>
      </w:r>
      <w:r w:rsidR="004958BF" w:rsidRPr="00E04083">
        <w:t>2.25</w:t>
      </w:r>
      <w:r w:rsidR="00566C46">
        <w:t xml:space="preserve"> per cent</w:t>
      </w:r>
      <w:r w:rsidR="00566C46" w:rsidRPr="00E04083">
        <w:t xml:space="preserve"> </w:t>
      </w:r>
      <w:r w:rsidR="004958BF" w:rsidRPr="00E04083">
        <w:t>times the average value over the most recent three years of the sum</w:t>
      </w:r>
      <w:r w:rsidR="004958BF" w:rsidRPr="00462387">
        <w:t xml:space="preserve"> of </w:t>
      </w:r>
      <w:r w:rsidR="00967436">
        <w:t xml:space="preserve">the ADI’s </w:t>
      </w:r>
      <w:r w:rsidR="004958BF" w:rsidRPr="00462387">
        <w:t xml:space="preserve">total gross outstanding loans (including non-performing loans), advances, interest bearing securities (including government bonds) and lease assets, </w:t>
      </w:r>
      <w:r w:rsidR="004958BF" w:rsidRPr="00F87BDC">
        <w:t>measured at the end of each financial year</w:t>
      </w:r>
      <w:r w:rsidR="004958BF" w:rsidRPr="00462387">
        <w:t>.</w:t>
      </w:r>
      <w:bookmarkEnd w:id="27"/>
    </w:p>
    <w:p w14:paraId="2D808F47" w14:textId="77777777" w:rsidR="004958BF" w:rsidRPr="00B507A0" w:rsidRDefault="00D63260" w:rsidP="004958BF">
      <w:pPr>
        <w:pStyle w:val="BodyText1"/>
      </w:pPr>
      <w:bookmarkStart w:id="28" w:name="_Ref8120704"/>
      <w:r w:rsidRPr="00D63260">
        <w:t xml:space="preserve">For the purposes of paragraph </w:t>
      </w:r>
      <w:r w:rsidR="002B0B48">
        <w:fldChar w:fldCharType="begin"/>
      </w:r>
      <w:r w:rsidR="002B0B48">
        <w:instrText xml:space="preserve"> REF _Ref8120782 \r \h </w:instrText>
      </w:r>
      <w:r w:rsidR="002B0B48">
        <w:fldChar w:fldCharType="separate"/>
      </w:r>
      <w:r w:rsidR="00527A14">
        <w:t>15</w:t>
      </w:r>
      <w:r w:rsidR="002B0B48">
        <w:fldChar w:fldCharType="end"/>
      </w:r>
      <w:r w:rsidR="00A668B2">
        <w:t xml:space="preserve"> of this Prudential Standard</w:t>
      </w:r>
      <w:r w:rsidR="00C11B78">
        <w:t>,</w:t>
      </w:r>
      <w:r w:rsidRPr="00D63260">
        <w:t xml:space="preserve"> an ADI’s </w:t>
      </w:r>
      <w:r w:rsidR="004958BF" w:rsidRPr="00D63260">
        <w:t>dividend component</w:t>
      </w:r>
      <w:r w:rsidR="004958BF" w:rsidRPr="005D2673">
        <w:t xml:space="preserve"> </w:t>
      </w:r>
      <w:r>
        <w:t>is</w:t>
      </w:r>
      <w:r w:rsidR="004958BF" w:rsidRPr="005D2673">
        <w:t xml:space="preserve"> the </w:t>
      </w:r>
      <w:r w:rsidR="004958BF" w:rsidRPr="00F87BDC">
        <w:t>annual average over the most recent three years</w:t>
      </w:r>
      <w:r w:rsidR="004958BF" w:rsidRPr="005D2673">
        <w:t xml:space="preserve"> of </w:t>
      </w:r>
      <w:r w:rsidR="00967436">
        <w:t xml:space="preserve">the ADI’s </w:t>
      </w:r>
      <w:r w:rsidR="004958BF" w:rsidRPr="005D2673">
        <w:t>dividend</w:t>
      </w:r>
      <w:r w:rsidR="004958BF" w:rsidRPr="00462387">
        <w:t xml:space="preserve"> income from investments</w:t>
      </w:r>
      <w:r w:rsidR="004958BF" w:rsidRPr="00B507A0">
        <w:t xml:space="preserve"> in stocks and funds not consolidated in the </w:t>
      </w:r>
      <w:r w:rsidR="004958BF">
        <w:t>ADI</w:t>
      </w:r>
      <w:r w:rsidR="004958BF" w:rsidRPr="00B507A0">
        <w:t xml:space="preserve">’s financial statements, including dividend income from non-consolidated subsidiaries, </w:t>
      </w:r>
      <w:proofErr w:type="gramStart"/>
      <w:r w:rsidR="004958BF" w:rsidRPr="00B507A0">
        <w:t>associates</w:t>
      </w:r>
      <w:proofErr w:type="gramEnd"/>
      <w:r w:rsidR="004958BF" w:rsidRPr="00B507A0">
        <w:t xml:space="preserve"> and joint ventures.</w:t>
      </w:r>
      <w:bookmarkEnd w:id="28"/>
    </w:p>
    <w:p w14:paraId="2D808F48" w14:textId="77777777" w:rsidR="004958BF" w:rsidRDefault="00D63260" w:rsidP="004958BF">
      <w:pPr>
        <w:pStyle w:val="BodyText1"/>
      </w:pPr>
      <w:bookmarkStart w:id="29" w:name="_Ref8120723"/>
      <w:r>
        <w:t xml:space="preserve">For the purposes of paragraph </w:t>
      </w:r>
      <w:r w:rsidR="002B0B48">
        <w:fldChar w:fldCharType="begin"/>
      </w:r>
      <w:r w:rsidR="002B0B48">
        <w:instrText xml:space="preserve"> REF _Ref8120782 \r \h </w:instrText>
      </w:r>
      <w:r w:rsidR="002B0B48">
        <w:fldChar w:fldCharType="separate"/>
      </w:r>
      <w:r w:rsidR="00527A14">
        <w:t>15</w:t>
      </w:r>
      <w:r w:rsidR="002B0B48">
        <w:fldChar w:fldCharType="end"/>
      </w:r>
      <w:r w:rsidR="00A668B2">
        <w:t xml:space="preserve"> of this Prudential Standard</w:t>
      </w:r>
      <w:r w:rsidR="00C11B78">
        <w:t>,</w:t>
      </w:r>
      <w:r>
        <w:t xml:space="preserve"> a</w:t>
      </w:r>
      <w:r w:rsidR="004958BF" w:rsidRPr="00B507A0">
        <w:t>n ADI</w:t>
      </w:r>
      <w:r>
        <w:t>’s</w:t>
      </w:r>
      <w:r w:rsidR="004958BF" w:rsidRPr="00B507A0">
        <w:t xml:space="preserve"> </w:t>
      </w:r>
      <w:proofErr w:type="gramStart"/>
      <w:r w:rsidR="003350AC" w:rsidRPr="00D63260">
        <w:t>other</w:t>
      </w:r>
      <w:proofErr w:type="gramEnd"/>
      <w:r w:rsidR="003350AC" w:rsidRPr="00D63260">
        <w:t xml:space="preserve"> </w:t>
      </w:r>
      <w:r w:rsidR="004958BF" w:rsidRPr="00D63260">
        <w:t>operating component</w:t>
      </w:r>
      <w:r w:rsidR="004958BF" w:rsidRPr="00B507A0">
        <w:t xml:space="preserve"> </w:t>
      </w:r>
      <w:r w:rsidRPr="00D63260">
        <w:t xml:space="preserve">is </w:t>
      </w:r>
      <w:r w:rsidR="004958BF">
        <w:t>the maximum of:</w:t>
      </w:r>
      <w:bookmarkEnd w:id="29"/>
    </w:p>
    <w:p w14:paraId="2D808F49" w14:textId="77777777" w:rsidR="004958BF" w:rsidRDefault="004958BF" w:rsidP="00410B6E">
      <w:pPr>
        <w:pStyle w:val="BodyText2"/>
        <w:jc w:val="both"/>
      </w:pPr>
      <w:r w:rsidRPr="005D2673">
        <w:t xml:space="preserve">the </w:t>
      </w:r>
      <w:r w:rsidRPr="00F87BDC">
        <w:t xml:space="preserve">annual average over </w:t>
      </w:r>
      <w:r w:rsidR="00C872A2">
        <w:t xml:space="preserve">the </w:t>
      </w:r>
      <w:r w:rsidRPr="00F87BDC">
        <w:t>most recent three years</w:t>
      </w:r>
      <w:r w:rsidRPr="005D2673">
        <w:t xml:space="preserve"> of the</w:t>
      </w:r>
      <w:r>
        <w:t xml:space="preserve"> ADI’s </w:t>
      </w:r>
      <w:r w:rsidR="00CC2845" w:rsidRPr="00D63260">
        <w:t>other operating income</w:t>
      </w:r>
      <w:r w:rsidRPr="00D63260">
        <w:t xml:space="preserve"> </w:t>
      </w:r>
      <w:r w:rsidR="00CC2845" w:rsidRPr="00D63260">
        <w:t xml:space="preserve">and income </w:t>
      </w:r>
      <w:r w:rsidRPr="00D63260">
        <w:t xml:space="preserve">not included in other BI </w:t>
      </w:r>
      <w:r w:rsidR="00AA085E" w:rsidRPr="00D63260">
        <w:t>components</w:t>
      </w:r>
      <w:r w:rsidR="00912DC4" w:rsidRPr="00D63260">
        <w:t xml:space="preserve"> calculated according to paragraphs </w:t>
      </w:r>
      <w:r w:rsidR="002B0B48">
        <w:fldChar w:fldCharType="begin"/>
      </w:r>
      <w:r w:rsidR="002B0B48">
        <w:instrText xml:space="preserve"> REF _Ref8120782 \r \h </w:instrText>
      </w:r>
      <w:r w:rsidR="002B0B48">
        <w:fldChar w:fldCharType="separate"/>
      </w:r>
      <w:r w:rsidR="00527A14">
        <w:t>15</w:t>
      </w:r>
      <w:r w:rsidR="002B0B48">
        <w:fldChar w:fldCharType="end"/>
      </w:r>
      <w:r w:rsidR="002B0B48">
        <w:t xml:space="preserve"> to </w:t>
      </w:r>
      <w:r w:rsidR="002B0B48">
        <w:fldChar w:fldCharType="begin"/>
      </w:r>
      <w:r w:rsidR="002B0B48">
        <w:instrText xml:space="preserve"> REF _Ref8120566 \r \h </w:instrText>
      </w:r>
      <w:r w:rsidR="002B0B48">
        <w:fldChar w:fldCharType="separate"/>
      </w:r>
      <w:r w:rsidR="00527A14">
        <w:t>22</w:t>
      </w:r>
      <w:r w:rsidR="002B0B48">
        <w:fldChar w:fldCharType="end"/>
      </w:r>
      <w:r w:rsidR="009F2C9E">
        <w:t xml:space="preserve"> of this Prudential Standard</w:t>
      </w:r>
      <w:r w:rsidR="00CC2845">
        <w:t>,</w:t>
      </w:r>
      <w:r w:rsidR="00920589">
        <w:rPr>
          <w:rStyle w:val="FootnoteReference"/>
        </w:rPr>
        <w:footnoteReference w:id="2"/>
      </w:r>
      <w:r w:rsidRPr="00D63260">
        <w:t xml:space="preserve"> and</w:t>
      </w:r>
    </w:p>
    <w:p w14:paraId="2D808F4A" w14:textId="77777777" w:rsidR="004958BF" w:rsidRPr="00B507A0" w:rsidRDefault="004958BF" w:rsidP="00410B6E">
      <w:pPr>
        <w:pStyle w:val="BodyText2"/>
        <w:jc w:val="both"/>
      </w:pPr>
      <w:r w:rsidRPr="005D2673">
        <w:t xml:space="preserve">the </w:t>
      </w:r>
      <w:r w:rsidRPr="003C27C2">
        <w:t xml:space="preserve">annual average over </w:t>
      </w:r>
      <w:r w:rsidR="00C872A2">
        <w:t xml:space="preserve">the </w:t>
      </w:r>
      <w:r w:rsidRPr="003C27C2">
        <w:t>most recent three years</w:t>
      </w:r>
      <w:r w:rsidRPr="005D2673">
        <w:t xml:space="preserve"> of</w:t>
      </w:r>
      <w:r>
        <w:t xml:space="preserve"> </w:t>
      </w:r>
      <w:r w:rsidR="00967436">
        <w:t xml:space="preserve">the ADI’s </w:t>
      </w:r>
      <w:r w:rsidR="00CC2845" w:rsidRPr="008D3D04">
        <w:t xml:space="preserve">other operating </w:t>
      </w:r>
      <w:r w:rsidRPr="008D3D04" w:rsidDel="00CC2845">
        <w:t xml:space="preserve">expenses and </w:t>
      </w:r>
      <w:r w:rsidR="00CC2845" w:rsidRPr="008D3D04">
        <w:t xml:space="preserve">expenses </w:t>
      </w:r>
      <w:r w:rsidRPr="008D3D04">
        <w:t xml:space="preserve">not included in other </w:t>
      </w:r>
      <w:r w:rsidR="00912DC4" w:rsidRPr="008D3D04">
        <w:t xml:space="preserve">BI </w:t>
      </w:r>
      <w:r w:rsidR="00AA085E" w:rsidRPr="008D3D04">
        <w:t>components</w:t>
      </w:r>
      <w:r w:rsidR="00912DC4" w:rsidRPr="008D3D04">
        <w:t xml:space="preserve"> calculated </w:t>
      </w:r>
      <w:r w:rsidR="00C872A2">
        <w:t>in accordance with</w:t>
      </w:r>
      <w:r w:rsidR="00912DC4" w:rsidRPr="008D3D04">
        <w:t xml:space="preserve"> paragraphs </w:t>
      </w:r>
      <w:r w:rsidR="002B0B48">
        <w:fldChar w:fldCharType="begin"/>
      </w:r>
      <w:r w:rsidR="002B0B48">
        <w:instrText xml:space="preserve"> REF _Ref8120782 \r \h </w:instrText>
      </w:r>
      <w:r w:rsidR="002B0B48">
        <w:fldChar w:fldCharType="separate"/>
      </w:r>
      <w:r w:rsidR="00527A14">
        <w:t>15</w:t>
      </w:r>
      <w:r w:rsidR="002B0B48">
        <w:fldChar w:fldCharType="end"/>
      </w:r>
      <w:r w:rsidR="002B0B48">
        <w:t xml:space="preserve"> to </w:t>
      </w:r>
      <w:r w:rsidR="002B0B48">
        <w:fldChar w:fldCharType="begin"/>
      </w:r>
      <w:r w:rsidR="002B0B48">
        <w:instrText xml:space="preserve"> REF _Ref8120566 \r \h </w:instrText>
      </w:r>
      <w:r w:rsidR="002B0B48">
        <w:fldChar w:fldCharType="separate"/>
      </w:r>
      <w:r w:rsidR="00527A14">
        <w:t>22</w:t>
      </w:r>
      <w:r w:rsidR="002B0B48">
        <w:fldChar w:fldCharType="end"/>
      </w:r>
      <w:r w:rsidR="00A668B2">
        <w:t xml:space="preserve"> of this Prudential Standard</w:t>
      </w:r>
      <w:r w:rsidR="00CC2845" w:rsidRPr="00D63260">
        <w:t>.</w:t>
      </w:r>
      <w:r w:rsidR="00CC2845" w:rsidRPr="00D63260">
        <w:rPr>
          <w:rStyle w:val="FootnoteReference"/>
        </w:rPr>
        <w:footnoteReference w:id="3"/>
      </w:r>
    </w:p>
    <w:p w14:paraId="2D808F4B" w14:textId="77777777" w:rsidR="004958BF" w:rsidRPr="00B507A0" w:rsidRDefault="008D3D04" w:rsidP="00527A14">
      <w:pPr>
        <w:pStyle w:val="BodyText1"/>
        <w:keepNext/>
      </w:pPr>
      <w:bookmarkStart w:id="30" w:name="_Ref8120745"/>
      <w:r>
        <w:lastRenderedPageBreak/>
        <w:t xml:space="preserve">For </w:t>
      </w:r>
      <w:r w:rsidRPr="008D3D04">
        <w:t xml:space="preserve">the purposes of paragraph </w:t>
      </w:r>
      <w:r w:rsidR="002B0B48">
        <w:fldChar w:fldCharType="begin"/>
      </w:r>
      <w:r w:rsidR="002B0B48">
        <w:instrText xml:space="preserve"> REF _Ref8120782 \r \h </w:instrText>
      </w:r>
      <w:r w:rsidR="002B0B48">
        <w:fldChar w:fldCharType="separate"/>
      </w:r>
      <w:r w:rsidR="00527A14">
        <w:t>15</w:t>
      </w:r>
      <w:r w:rsidR="002B0B48">
        <w:fldChar w:fldCharType="end"/>
      </w:r>
      <w:r w:rsidR="00A668B2">
        <w:t xml:space="preserve"> of this Prudential Standard</w:t>
      </w:r>
      <w:r w:rsidRPr="008D3D04">
        <w:t>, a</w:t>
      </w:r>
      <w:r w:rsidR="004958BF" w:rsidRPr="008D3D04">
        <w:t>n ADI</w:t>
      </w:r>
      <w:r w:rsidRPr="008D3D04">
        <w:t>’s</w:t>
      </w:r>
      <w:r w:rsidR="004958BF" w:rsidRPr="00B507A0">
        <w:t xml:space="preserve"> </w:t>
      </w:r>
      <w:r w:rsidR="004958BF" w:rsidRPr="008D3D04">
        <w:t>fee and commission component</w:t>
      </w:r>
      <w:r w:rsidR="004958BF" w:rsidRPr="00B507A0">
        <w:t xml:space="preserve"> </w:t>
      </w:r>
      <w:r>
        <w:t>is</w:t>
      </w:r>
      <w:r w:rsidR="00856F67">
        <w:t xml:space="preserve"> </w:t>
      </w:r>
      <w:r w:rsidR="004958BF" w:rsidRPr="00B507A0">
        <w:t xml:space="preserve">the maximum </w:t>
      </w:r>
      <w:r w:rsidR="004958BF">
        <w:t>of:</w:t>
      </w:r>
      <w:bookmarkEnd w:id="30"/>
    </w:p>
    <w:p w14:paraId="2D808F4C" w14:textId="77777777" w:rsidR="004958BF" w:rsidRDefault="004958BF" w:rsidP="00527A14">
      <w:pPr>
        <w:pStyle w:val="BodyText2"/>
        <w:keepNext/>
        <w:jc w:val="both"/>
      </w:pPr>
      <w:r w:rsidRPr="005D2673">
        <w:t xml:space="preserve">the </w:t>
      </w:r>
      <w:r w:rsidRPr="003C27C2">
        <w:t xml:space="preserve">annual average over </w:t>
      </w:r>
      <w:r w:rsidR="00C872A2">
        <w:t xml:space="preserve">the </w:t>
      </w:r>
      <w:r w:rsidRPr="003C27C2">
        <w:t>most recent three years</w:t>
      </w:r>
      <w:r w:rsidRPr="005D2673">
        <w:t xml:space="preserve"> of </w:t>
      </w:r>
      <w:r w:rsidR="00967436">
        <w:t xml:space="preserve">the ADI’s </w:t>
      </w:r>
      <w:r w:rsidR="00967436" w:rsidRPr="008D3D04">
        <w:t>fee and commission income</w:t>
      </w:r>
      <w:r w:rsidR="00AA085E" w:rsidRPr="003C27C2">
        <w:t>;</w:t>
      </w:r>
      <w:r w:rsidR="00967436" w:rsidRPr="003C27C2">
        <w:rPr>
          <w:rStyle w:val="FootnoteReference"/>
        </w:rPr>
        <w:footnoteReference w:id="4"/>
      </w:r>
      <w:r>
        <w:t xml:space="preserve"> and</w:t>
      </w:r>
    </w:p>
    <w:p w14:paraId="2D808F4D" w14:textId="77777777" w:rsidR="004958BF" w:rsidRPr="00DA784C" w:rsidRDefault="004958BF" w:rsidP="00527A14">
      <w:pPr>
        <w:pStyle w:val="BodyText2"/>
        <w:keepNext/>
        <w:jc w:val="both"/>
      </w:pPr>
      <w:r w:rsidRPr="00D63260">
        <w:t xml:space="preserve">the annual average over the most recent three years of </w:t>
      </w:r>
      <w:r w:rsidR="00967436" w:rsidRPr="00D63260">
        <w:t xml:space="preserve">the ADI’s </w:t>
      </w:r>
      <w:r w:rsidR="00912DC4" w:rsidRPr="008D3D04">
        <w:t>fee and commission expenses</w:t>
      </w:r>
      <w:r w:rsidRPr="00D63260">
        <w:t>.</w:t>
      </w:r>
      <w:r w:rsidRPr="00D63260">
        <w:rPr>
          <w:rStyle w:val="FootnoteReference"/>
        </w:rPr>
        <w:footnoteReference w:id="5"/>
      </w:r>
    </w:p>
    <w:p w14:paraId="2D808F4E" w14:textId="77777777" w:rsidR="004958BF" w:rsidRPr="005D2673" w:rsidRDefault="008D3D04" w:rsidP="004958BF">
      <w:pPr>
        <w:pStyle w:val="BodyText1"/>
      </w:pPr>
      <w:bookmarkStart w:id="31" w:name="_Ref8120763"/>
      <w:r>
        <w:t xml:space="preserve">For </w:t>
      </w:r>
      <w:r w:rsidRPr="008D3D04">
        <w:t xml:space="preserve">the purposes of paragraph </w:t>
      </w:r>
      <w:r w:rsidR="002B0B48">
        <w:fldChar w:fldCharType="begin"/>
      </w:r>
      <w:r w:rsidR="002B0B48">
        <w:instrText xml:space="preserve"> REF _Ref8120782 \r \h </w:instrText>
      </w:r>
      <w:r w:rsidR="002B0B48">
        <w:fldChar w:fldCharType="separate"/>
      </w:r>
      <w:r w:rsidR="00527A14">
        <w:t>15</w:t>
      </w:r>
      <w:r w:rsidR="002B0B48">
        <w:fldChar w:fldCharType="end"/>
      </w:r>
      <w:r w:rsidR="00A668B2">
        <w:t xml:space="preserve"> of this Prudential Standard</w:t>
      </w:r>
      <w:r w:rsidR="00C11B78">
        <w:t>,</w:t>
      </w:r>
      <w:r w:rsidRPr="008D3D04">
        <w:t xml:space="preserve"> a</w:t>
      </w:r>
      <w:r w:rsidR="004958BF" w:rsidRPr="008D3D04">
        <w:t>n ADI</w:t>
      </w:r>
      <w:r w:rsidRPr="008D3D04">
        <w:t>’s</w:t>
      </w:r>
      <w:r w:rsidR="004958BF" w:rsidRPr="005D2673">
        <w:t xml:space="preserve"> </w:t>
      </w:r>
      <w:r w:rsidR="004958BF" w:rsidRPr="008D3D04">
        <w:t>trading book component</w:t>
      </w:r>
      <w:r w:rsidR="004958BF" w:rsidRPr="005D2673">
        <w:t xml:space="preserve"> </w:t>
      </w:r>
      <w:r w:rsidRPr="008D3D04">
        <w:t>is</w:t>
      </w:r>
      <w:r w:rsidR="004958BF" w:rsidRPr="005D2673">
        <w:t xml:space="preserve"> the </w:t>
      </w:r>
      <w:r w:rsidR="004958BF" w:rsidRPr="003C27C2">
        <w:t>annual average over the most recent three years</w:t>
      </w:r>
      <w:r w:rsidR="004958BF" w:rsidRPr="005D2673">
        <w:t xml:space="preserve"> of the absolute value of the net profit (loss) on the ADI’s trading book.</w:t>
      </w:r>
      <w:bookmarkEnd w:id="31"/>
      <w:r w:rsidR="00C65B29">
        <w:rPr>
          <w:rStyle w:val="FootnoteReference"/>
        </w:rPr>
        <w:footnoteReference w:id="6"/>
      </w:r>
      <w:r w:rsidR="004C74FE">
        <w:t xml:space="preserve"> This includes the net profit (loss) on trading assets and trading liabilities, hedge accounting and exchange differences.</w:t>
      </w:r>
    </w:p>
    <w:p w14:paraId="2D808F4F" w14:textId="77777777" w:rsidR="004958BF" w:rsidRPr="005D2673" w:rsidRDefault="008D3D04" w:rsidP="004958BF">
      <w:pPr>
        <w:pStyle w:val="BodyText1"/>
      </w:pPr>
      <w:bookmarkStart w:id="32" w:name="_Ref8120566"/>
      <w:r w:rsidRPr="008D3D04">
        <w:t xml:space="preserve">For the purposes of paragraph </w:t>
      </w:r>
      <w:r w:rsidR="002B0B48">
        <w:fldChar w:fldCharType="begin"/>
      </w:r>
      <w:r w:rsidR="002B0B48">
        <w:instrText xml:space="preserve"> REF _Ref8120782 \r \h </w:instrText>
      </w:r>
      <w:r w:rsidR="002B0B48">
        <w:fldChar w:fldCharType="separate"/>
      </w:r>
      <w:r w:rsidR="00527A14">
        <w:t>15</w:t>
      </w:r>
      <w:r w:rsidR="002B0B48">
        <w:fldChar w:fldCharType="end"/>
      </w:r>
      <w:r w:rsidR="00A668B2">
        <w:t xml:space="preserve"> of this Prudential Standard</w:t>
      </w:r>
      <w:r w:rsidR="00C11B78">
        <w:t>,</w:t>
      </w:r>
      <w:r w:rsidRPr="008D3D04">
        <w:t xml:space="preserve"> a</w:t>
      </w:r>
      <w:r w:rsidR="004958BF" w:rsidRPr="008D3D04">
        <w:t>n ADI</w:t>
      </w:r>
      <w:r w:rsidRPr="008D3D04">
        <w:t>’s</w:t>
      </w:r>
      <w:r w:rsidR="004958BF" w:rsidRPr="005D2673">
        <w:t xml:space="preserve"> </w:t>
      </w:r>
      <w:r w:rsidR="004958BF" w:rsidRPr="008D3D04">
        <w:t>banking book component</w:t>
      </w:r>
      <w:r w:rsidR="004958BF" w:rsidRPr="005D2673">
        <w:t xml:space="preserve"> </w:t>
      </w:r>
      <w:r w:rsidRPr="008D3D04">
        <w:t>is</w:t>
      </w:r>
      <w:r w:rsidR="004958BF" w:rsidRPr="005D2673">
        <w:t xml:space="preserve"> the </w:t>
      </w:r>
      <w:r w:rsidR="004958BF" w:rsidRPr="003C27C2">
        <w:t>annual average over the most recent three years</w:t>
      </w:r>
      <w:r w:rsidR="004958BF" w:rsidRPr="005D2673">
        <w:t xml:space="preserve"> of the absolute value of the net profit (loss) on the ADI’s banking book.</w:t>
      </w:r>
      <w:bookmarkEnd w:id="32"/>
      <w:r w:rsidR="00042434">
        <w:rPr>
          <w:rStyle w:val="FootnoteReference"/>
        </w:rPr>
        <w:footnoteReference w:id="7"/>
      </w:r>
      <w:r w:rsidR="004C74FE">
        <w:t xml:space="preserve"> This includes the net profit (loss) on financial assets and liabilities measured at fair value through profit or loss, hedge accounting and exchange differences and realised gains (losses) on financial assets and liabilities not measured at fair value through profit or loss.</w:t>
      </w:r>
    </w:p>
    <w:p w14:paraId="2D808F50" w14:textId="77777777" w:rsidR="004958BF" w:rsidRDefault="004958BF" w:rsidP="004958BF">
      <w:pPr>
        <w:pStyle w:val="BodyText1"/>
      </w:pPr>
      <w:r w:rsidRPr="00476920">
        <w:t xml:space="preserve">For the avoidance of doubt, </w:t>
      </w:r>
      <w:r>
        <w:t xml:space="preserve">an ADI must not include the following items in </w:t>
      </w:r>
      <w:r w:rsidR="00726AD1">
        <w:t>the</w:t>
      </w:r>
      <w:r w:rsidR="00F67FEC">
        <w:t xml:space="preserve"> </w:t>
      </w:r>
      <w:r>
        <w:t xml:space="preserve">calculation of a component of the BI in paragraphs </w:t>
      </w:r>
      <w:r w:rsidR="002B0B48">
        <w:fldChar w:fldCharType="begin"/>
      </w:r>
      <w:r w:rsidR="002B0B48">
        <w:instrText xml:space="preserve"> REF _Ref8120782 \r \h </w:instrText>
      </w:r>
      <w:r w:rsidR="002B0B48">
        <w:fldChar w:fldCharType="separate"/>
      </w:r>
      <w:r w:rsidR="00527A14">
        <w:t>15</w:t>
      </w:r>
      <w:r w:rsidR="002B0B48">
        <w:fldChar w:fldCharType="end"/>
      </w:r>
      <w:r w:rsidR="002B0B48">
        <w:t xml:space="preserve"> to </w:t>
      </w:r>
      <w:r w:rsidR="002B0B48">
        <w:fldChar w:fldCharType="begin"/>
      </w:r>
      <w:r w:rsidR="002B0B48">
        <w:instrText xml:space="preserve"> REF _Ref8120566 \r \h </w:instrText>
      </w:r>
      <w:r w:rsidR="002B0B48">
        <w:fldChar w:fldCharType="separate"/>
      </w:r>
      <w:r w:rsidR="00527A14">
        <w:t>22</w:t>
      </w:r>
      <w:r w:rsidR="002B0B48">
        <w:fldChar w:fldCharType="end"/>
      </w:r>
      <w:r w:rsidR="00A668B2">
        <w:t xml:space="preserve"> of this Prudential Standard</w:t>
      </w:r>
      <w:r w:rsidRPr="00476920">
        <w:t>:</w:t>
      </w:r>
    </w:p>
    <w:p w14:paraId="2D808F51" w14:textId="77777777" w:rsidR="004958BF" w:rsidRPr="00476920" w:rsidRDefault="004958BF" w:rsidP="00410B6E">
      <w:pPr>
        <w:pStyle w:val="BodyText2"/>
        <w:jc w:val="both"/>
      </w:pPr>
      <w:r>
        <w:t>i</w:t>
      </w:r>
      <w:r w:rsidRPr="00476920">
        <w:t>ncome and expenses from insurance or reinsurance businesses</w:t>
      </w:r>
      <w:r>
        <w:t>;</w:t>
      </w:r>
    </w:p>
    <w:p w14:paraId="2D808F52" w14:textId="77777777" w:rsidR="004958BF" w:rsidRPr="00476920" w:rsidRDefault="004958BF" w:rsidP="00410B6E">
      <w:pPr>
        <w:pStyle w:val="BodyText2"/>
        <w:jc w:val="both"/>
      </w:pPr>
      <w:r>
        <w:t>p</w:t>
      </w:r>
      <w:r w:rsidRPr="00476920">
        <w:t>remiums paid and reimbursements/payments received from insurance or reinsurance policies purchased</w:t>
      </w:r>
      <w:r>
        <w:t>;</w:t>
      </w:r>
    </w:p>
    <w:p w14:paraId="2D808F53" w14:textId="77777777" w:rsidR="004958BF" w:rsidRPr="00476920" w:rsidRDefault="004958BF" w:rsidP="00410B6E">
      <w:pPr>
        <w:pStyle w:val="BodyText2"/>
        <w:jc w:val="both"/>
      </w:pPr>
      <w:r>
        <w:t>a</w:t>
      </w:r>
      <w:r w:rsidRPr="00476920">
        <w:t>dministrative expenses, including staff expenses, outsourcing fees paid for the supply of non-financial services</w:t>
      </w:r>
      <w:r w:rsidR="00DC04A2">
        <w:t xml:space="preserve"> (</w:t>
      </w:r>
      <w:r w:rsidR="00DC04A2" w:rsidRPr="008D3D04">
        <w:t xml:space="preserve">e.g. </w:t>
      </w:r>
      <w:r w:rsidRPr="008D3D04">
        <w:t xml:space="preserve">logistical, </w:t>
      </w:r>
      <w:r w:rsidR="00DC04A2" w:rsidRPr="008D3D04">
        <w:t>information technology,</w:t>
      </w:r>
      <w:r w:rsidRPr="008D3D04">
        <w:t xml:space="preserve"> </w:t>
      </w:r>
      <w:r w:rsidR="00912DC4" w:rsidRPr="008D3D04">
        <w:t xml:space="preserve">or </w:t>
      </w:r>
      <w:r w:rsidRPr="008D3D04">
        <w:t>human resources</w:t>
      </w:r>
      <w:r w:rsidR="00912DC4" w:rsidRPr="008D3D04">
        <w:t xml:space="preserve"> services</w:t>
      </w:r>
      <w:r w:rsidRPr="00476920" w:rsidDel="00DC04A2">
        <w:t>)</w:t>
      </w:r>
      <w:r w:rsidRPr="00476920">
        <w:t xml:space="preserve"> and other administrative expenses</w:t>
      </w:r>
      <w:r w:rsidR="00DC04A2">
        <w:t>, (</w:t>
      </w:r>
      <w:r w:rsidRPr="008D3D04" w:rsidDel="00E2746E">
        <w:t>e.g.</w:t>
      </w:r>
      <w:r w:rsidRPr="008D3D04">
        <w:t xml:space="preserve"> </w:t>
      </w:r>
      <w:r w:rsidR="00DC04A2" w:rsidRPr="008D3D04">
        <w:t>expenses related to information technology</w:t>
      </w:r>
      <w:r w:rsidRPr="008D3D04">
        <w:t xml:space="preserve">, utilities, telephone, travel, office supplies, </w:t>
      </w:r>
      <w:r w:rsidR="00912DC4" w:rsidRPr="008D3D04">
        <w:t xml:space="preserve">or </w:t>
      </w:r>
      <w:r w:rsidRPr="008D3D04">
        <w:t>postage</w:t>
      </w:r>
      <w:r w:rsidRPr="00476920" w:rsidDel="00DC04A2">
        <w:t>)</w:t>
      </w:r>
      <w:r w:rsidR="00DC04A2">
        <w:t>;</w:t>
      </w:r>
    </w:p>
    <w:p w14:paraId="2D808F54" w14:textId="77777777" w:rsidR="004958BF" w:rsidRPr="00476920" w:rsidRDefault="004958BF" w:rsidP="00410B6E">
      <w:pPr>
        <w:pStyle w:val="BodyText2"/>
        <w:jc w:val="both"/>
      </w:pPr>
      <w:r>
        <w:t>r</w:t>
      </w:r>
      <w:r w:rsidRPr="00476920">
        <w:t>ecovery of administrative expenses including recovery of payments on behalf of customers (</w:t>
      </w:r>
      <w:r w:rsidRPr="008D3D04" w:rsidDel="00E2746E">
        <w:t>e.g.</w:t>
      </w:r>
      <w:r w:rsidRPr="008D3D04">
        <w:t xml:space="preserve"> taxes debited to customers</w:t>
      </w:r>
      <w:r w:rsidRPr="00476920">
        <w:t>)</w:t>
      </w:r>
      <w:r w:rsidR="00DC04A2">
        <w:t>;</w:t>
      </w:r>
    </w:p>
    <w:p w14:paraId="2D808F55" w14:textId="77777777" w:rsidR="004958BF" w:rsidRPr="00476920" w:rsidRDefault="004958BF" w:rsidP="00410B6E">
      <w:pPr>
        <w:pStyle w:val="BodyText2"/>
        <w:jc w:val="both"/>
      </w:pPr>
      <w:r>
        <w:lastRenderedPageBreak/>
        <w:t>e</w:t>
      </w:r>
      <w:r w:rsidRPr="00476920">
        <w:t>xpenses of premises and fixed assets</w:t>
      </w:r>
      <w:r>
        <w:t>, e</w:t>
      </w:r>
      <w:r w:rsidRPr="00476920">
        <w:t>xcept when these expenses result from operational loss events</w:t>
      </w:r>
      <w:r w:rsidR="00DC04A2">
        <w:t>;</w:t>
      </w:r>
    </w:p>
    <w:p w14:paraId="2D808F56" w14:textId="77777777" w:rsidR="004958BF" w:rsidRPr="00476920" w:rsidRDefault="004958BF" w:rsidP="00410B6E">
      <w:pPr>
        <w:pStyle w:val="BodyText2"/>
        <w:jc w:val="both"/>
      </w:pPr>
      <w:r>
        <w:t>d</w:t>
      </w:r>
      <w:r w:rsidRPr="00476920">
        <w:t>epreciation/amortisation of tangible and intangible assets</w:t>
      </w:r>
      <w:r>
        <w:t xml:space="preserve">, </w:t>
      </w:r>
      <w:r w:rsidRPr="00476920">
        <w:t>except depreciation/amortisation related to lease assets, which should be included in financ</w:t>
      </w:r>
      <w:r w:rsidR="000E79F6">
        <w:t>e</w:t>
      </w:r>
      <w:r w:rsidRPr="00476920">
        <w:t xml:space="preserve"> and operating lease expenses</w:t>
      </w:r>
      <w:r w:rsidR="00DC04A2">
        <w:t>;</w:t>
      </w:r>
    </w:p>
    <w:p w14:paraId="2D808F57" w14:textId="77777777" w:rsidR="004958BF" w:rsidRPr="00476920" w:rsidRDefault="004958BF" w:rsidP="00410B6E">
      <w:pPr>
        <w:pStyle w:val="BodyText2"/>
        <w:jc w:val="both"/>
      </w:pPr>
      <w:r>
        <w:t>p</w:t>
      </w:r>
      <w:r w:rsidRPr="00476920">
        <w:t>rovisions</w:t>
      </w:r>
      <w:r>
        <w:t xml:space="preserve"> or </w:t>
      </w:r>
      <w:r w:rsidRPr="00476920">
        <w:t>reversal of provisions (</w:t>
      </w:r>
      <w:r w:rsidR="00DC04A2" w:rsidRPr="008D3D04">
        <w:t>e.g.</w:t>
      </w:r>
      <w:r w:rsidR="00CC2845" w:rsidRPr="008D3D04">
        <w:t xml:space="preserve"> </w:t>
      </w:r>
      <w:r w:rsidRPr="008D3D04">
        <w:t>on pensions, commitments and guarantees given</w:t>
      </w:r>
      <w:r w:rsidRPr="00476920">
        <w:t>)</w:t>
      </w:r>
      <w:r w:rsidR="00B2323C">
        <w:t>,</w:t>
      </w:r>
      <w:r w:rsidRPr="00476920">
        <w:t xml:space="preserve"> except provisions related to operational loss events</w:t>
      </w:r>
      <w:r w:rsidR="00DC04A2">
        <w:t>;</w:t>
      </w:r>
    </w:p>
    <w:p w14:paraId="2D808F58" w14:textId="77777777" w:rsidR="004958BF" w:rsidRPr="00476920" w:rsidRDefault="004958BF" w:rsidP="00410B6E">
      <w:pPr>
        <w:pStyle w:val="BodyText2"/>
        <w:jc w:val="both"/>
      </w:pPr>
      <w:r>
        <w:t>e</w:t>
      </w:r>
      <w:r w:rsidRPr="00476920">
        <w:t>xpenses due to share capital repayable on demand</w:t>
      </w:r>
      <w:r w:rsidR="00DC04A2">
        <w:t>;</w:t>
      </w:r>
    </w:p>
    <w:p w14:paraId="2D808F59" w14:textId="77777777" w:rsidR="004958BF" w:rsidRPr="00476920" w:rsidRDefault="004958BF" w:rsidP="00410B6E">
      <w:pPr>
        <w:pStyle w:val="BodyText2"/>
        <w:jc w:val="both"/>
      </w:pPr>
      <w:r>
        <w:t>i</w:t>
      </w:r>
      <w:r w:rsidRPr="00476920">
        <w:t>mpairment</w:t>
      </w:r>
      <w:r>
        <w:t xml:space="preserve"> or </w:t>
      </w:r>
      <w:r w:rsidRPr="00476920">
        <w:t>reversal of impairment</w:t>
      </w:r>
      <w:r w:rsidR="00DC04A2">
        <w:t xml:space="preserve"> (</w:t>
      </w:r>
      <w:r w:rsidR="00DC04A2" w:rsidRPr="008D3D04">
        <w:t xml:space="preserve">e.g. </w:t>
      </w:r>
      <w:r w:rsidRPr="008D3D04">
        <w:t>on financial assets, non-financial assets, investments in subsidiaries, joint ventures and associates</w:t>
      </w:r>
      <w:r w:rsidR="004A1C1C">
        <w:t>)</w:t>
      </w:r>
      <w:r w:rsidR="00DC04A2" w:rsidRPr="008D3D04">
        <w:t>;</w:t>
      </w:r>
    </w:p>
    <w:p w14:paraId="2D808F5A" w14:textId="77777777" w:rsidR="004958BF" w:rsidRDefault="004958BF" w:rsidP="00410B6E">
      <w:pPr>
        <w:pStyle w:val="BodyText2"/>
        <w:jc w:val="both"/>
      </w:pPr>
      <w:r>
        <w:t>c</w:t>
      </w:r>
      <w:r w:rsidRPr="00476920">
        <w:t>hanges in goodwill recognised in profit or loss</w:t>
      </w:r>
      <w:r w:rsidR="00DC04A2">
        <w:t>;</w:t>
      </w:r>
      <w:r w:rsidRPr="00476920">
        <w:t xml:space="preserve"> </w:t>
      </w:r>
      <w:r w:rsidR="00DC04A2">
        <w:t>or</w:t>
      </w:r>
    </w:p>
    <w:p w14:paraId="2D808F5B" w14:textId="77777777" w:rsidR="000E79F6" w:rsidRDefault="004958BF" w:rsidP="00410B6E">
      <w:pPr>
        <w:pStyle w:val="BodyText2"/>
        <w:jc w:val="both"/>
      </w:pPr>
      <w:r>
        <w:t>c</w:t>
      </w:r>
      <w:r w:rsidRPr="00476920">
        <w:t>orporate income tax (tax based on profits including current tax and deferred</w:t>
      </w:r>
      <w:r w:rsidR="008B1ADB">
        <w:t xml:space="preserve"> tax</w:t>
      </w:r>
      <w:r w:rsidRPr="00476920">
        <w:t>).</w:t>
      </w:r>
    </w:p>
    <w:p w14:paraId="2D808F5C" w14:textId="77777777" w:rsidR="0044320E" w:rsidRDefault="00DC2469" w:rsidP="003C27C2">
      <w:pPr>
        <w:pStyle w:val="BodyText1"/>
      </w:pPr>
      <w:r w:rsidRPr="008D3D04">
        <w:t xml:space="preserve">An ADI must base the calculations in paragraphs </w:t>
      </w:r>
      <w:r w:rsidR="002B0B48">
        <w:fldChar w:fldCharType="begin"/>
      </w:r>
      <w:r w:rsidR="002B0B48">
        <w:instrText xml:space="preserve"> REF _Ref8120782 \r \h </w:instrText>
      </w:r>
      <w:r w:rsidR="002B0B48">
        <w:fldChar w:fldCharType="separate"/>
      </w:r>
      <w:r w:rsidR="00527A14">
        <w:t>15</w:t>
      </w:r>
      <w:r w:rsidR="002B0B48">
        <w:fldChar w:fldCharType="end"/>
      </w:r>
      <w:r w:rsidR="002B0B48">
        <w:t xml:space="preserve"> to </w:t>
      </w:r>
      <w:r w:rsidR="002B0B48">
        <w:fldChar w:fldCharType="begin"/>
      </w:r>
      <w:r w:rsidR="002B0B48">
        <w:instrText xml:space="preserve"> REF _Ref8120566 \r \h </w:instrText>
      </w:r>
      <w:r w:rsidR="002B0B48">
        <w:fldChar w:fldCharType="separate"/>
      </w:r>
      <w:r w:rsidR="00527A14">
        <w:t>22</w:t>
      </w:r>
      <w:r w:rsidR="002B0B48">
        <w:fldChar w:fldCharType="end"/>
      </w:r>
      <w:r w:rsidRPr="008D3D04">
        <w:t xml:space="preserve"> </w:t>
      </w:r>
      <w:r w:rsidR="00A668B2">
        <w:t>of this Prudential Standard</w:t>
      </w:r>
      <w:r w:rsidR="00A668B2" w:rsidRPr="008D3D04">
        <w:t xml:space="preserve"> </w:t>
      </w:r>
      <w:r w:rsidRPr="008D3D04">
        <w:t xml:space="preserve">on the most recent </w:t>
      </w:r>
      <w:r w:rsidR="00EB3335" w:rsidRPr="008D3D04">
        <w:t>three years of its audited year-end financial statements</w:t>
      </w:r>
      <w:r w:rsidR="00A87EC3">
        <w:t>.</w:t>
      </w:r>
      <w:r w:rsidR="00EB3335" w:rsidRPr="008D3D04">
        <w:t xml:space="preserve"> </w:t>
      </w:r>
      <w:r w:rsidR="00AA085E" w:rsidRPr="008D3D04">
        <w:t>Where an ADI does not have audited financial statements from each of the previous three years (e.g. in the case of an ADI in the early years of its operation)</w:t>
      </w:r>
      <w:r w:rsidR="00B2323C">
        <w:t>,</w:t>
      </w:r>
      <w:r w:rsidR="00AA085E" w:rsidRPr="008D3D04">
        <w:t xml:space="preserve"> it must </w:t>
      </w:r>
      <w:r w:rsidR="00A82800">
        <w:t>obtain</w:t>
      </w:r>
      <w:r w:rsidR="00AA085E" w:rsidRPr="008D3D04">
        <w:t xml:space="preserve"> APRA’s approval to use an alternative calculation methodology.</w:t>
      </w:r>
    </w:p>
    <w:p w14:paraId="2D808F5D" w14:textId="77777777" w:rsidR="00233620" w:rsidRPr="008D3D04" w:rsidRDefault="001A4539" w:rsidP="003C27C2">
      <w:pPr>
        <w:pStyle w:val="BodyText1"/>
      </w:pPr>
      <w:r w:rsidRPr="008D3D04">
        <w:t>In the event of a merger</w:t>
      </w:r>
      <w:r w:rsidR="00844B57" w:rsidRPr="008D3D04">
        <w:t xml:space="preserve"> or acquisition</w:t>
      </w:r>
      <w:r w:rsidR="00B2323C">
        <w:t>,</w:t>
      </w:r>
      <w:r w:rsidRPr="008D3D04">
        <w:t xml:space="preserve"> </w:t>
      </w:r>
      <w:r w:rsidR="00844B57" w:rsidRPr="008D3D04">
        <w:t xml:space="preserve">an ADI must use </w:t>
      </w:r>
      <w:r w:rsidRPr="008D3D04">
        <w:t xml:space="preserve">aggregated </w:t>
      </w:r>
      <w:r w:rsidR="00844B57" w:rsidRPr="008D3D04">
        <w:t>values</w:t>
      </w:r>
      <w:r w:rsidRPr="008D3D04">
        <w:t xml:space="preserve"> </w:t>
      </w:r>
      <w:r w:rsidR="00844B57" w:rsidRPr="008D3D04">
        <w:t>when</w:t>
      </w:r>
      <w:r w:rsidR="00FF5D62" w:rsidRPr="008D3D04">
        <w:t xml:space="preserve"> </w:t>
      </w:r>
      <w:r w:rsidR="00844B57" w:rsidRPr="008D3D04">
        <w:t>calculating the BI</w:t>
      </w:r>
      <w:r w:rsidR="00FF5D62" w:rsidRPr="008D3D04">
        <w:t xml:space="preserve"> as set out in paragraph</w:t>
      </w:r>
      <w:r w:rsidR="004A0B93">
        <w:t>s</w:t>
      </w:r>
      <w:r w:rsidR="00FF5D62" w:rsidRPr="008D3D04">
        <w:t xml:space="preserve"> </w:t>
      </w:r>
      <w:r w:rsidR="002B0B48">
        <w:fldChar w:fldCharType="begin"/>
      </w:r>
      <w:r w:rsidR="002B0B48">
        <w:instrText xml:space="preserve"> REF _Ref8120782 \r \h </w:instrText>
      </w:r>
      <w:r w:rsidR="002B0B48">
        <w:fldChar w:fldCharType="separate"/>
      </w:r>
      <w:r w:rsidR="00527A14">
        <w:t>15</w:t>
      </w:r>
      <w:r w:rsidR="002B0B48">
        <w:fldChar w:fldCharType="end"/>
      </w:r>
      <w:r w:rsidR="002B0B48">
        <w:t xml:space="preserve"> to </w:t>
      </w:r>
      <w:r w:rsidR="002B0B48">
        <w:fldChar w:fldCharType="begin"/>
      </w:r>
      <w:r w:rsidR="002B0B48">
        <w:instrText xml:space="preserve"> REF _Ref8120566 \r \h </w:instrText>
      </w:r>
      <w:r w:rsidR="002B0B48">
        <w:fldChar w:fldCharType="separate"/>
      </w:r>
      <w:r w:rsidR="00527A14">
        <w:t>22</w:t>
      </w:r>
      <w:r w:rsidR="002B0B48">
        <w:fldChar w:fldCharType="end"/>
      </w:r>
      <w:r w:rsidR="00A668B2">
        <w:t xml:space="preserve"> of this Prudential Standard</w:t>
      </w:r>
      <w:r w:rsidR="00844B57" w:rsidRPr="008D3D04">
        <w:t>,</w:t>
      </w:r>
      <w:r w:rsidRPr="008D3D04">
        <w:t xml:space="preserve"> unless otherwise </w:t>
      </w:r>
      <w:r w:rsidR="00BB3696">
        <w:t>approved</w:t>
      </w:r>
      <w:r w:rsidRPr="008D3D04">
        <w:t xml:space="preserve"> by APRA.</w:t>
      </w:r>
    </w:p>
    <w:p w14:paraId="2D808F5E" w14:textId="77777777" w:rsidR="002A3530" w:rsidRDefault="00FD074B" w:rsidP="003C27C2">
      <w:pPr>
        <w:pStyle w:val="BodyText1"/>
      </w:pPr>
      <w:r>
        <w:t>Subject to APRA</w:t>
      </w:r>
      <w:r w:rsidR="002C2DA7">
        <w:t>’s</w:t>
      </w:r>
      <w:r>
        <w:t xml:space="preserve"> approval, </w:t>
      </w:r>
      <w:r w:rsidR="002F4D25">
        <w:t xml:space="preserve">an </w:t>
      </w:r>
      <w:r w:rsidR="002A3530">
        <w:t xml:space="preserve">ADI may exclude divested activities </w:t>
      </w:r>
      <w:r w:rsidR="00844B57">
        <w:t xml:space="preserve">when calculating the BI as set out in paragraphs </w:t>
      </w:r>
      <w:r w:rsidR="002B0B48">
        <w:fldChar w:fldCharType="begin"/>
      </w:r>
      <w:r w:rsidR="002B0B48">
        <w:instrText xml:space="preserve"> REF _Ref8120782 \r \h </w:instrText>
      </w:r>
      <w:r w:rsidR="002B0B48">
        <w:fldChar w:fldCharType="separate"/>
      </w:r>
      <w:r w:rsidR="00527A14">
        <w:t>15</w:t>
      </w:r>
      <w:r w:rsidR="002B0B48">
        <w:fldChar w:fldCharType="end"/>
      </w:r>
      <w:r w:rsidR="002B0B48">
        <w:t xml:space="preserve"> to </w:t>
      </w:r>
      <w:r w:rsidR="002B0B48">
        <w:fldChar w:fldCharType="begin"/>
      </w:r>
      <w:r w:rsidR="002B0B48">
        <w:instrText xml:space="preserve"> REF _Ref8120566 \r \h </w:instrText>
      </w:r>
      <w:r w:rsidR="002B0B48">
        <w:fldChar w:fldCharType="separate"/>
      </w:r>
      <w:r w:rsidR="00527A14">
        <w:t>22</w:t>
      </w:r>
      <w:r w:rsidR="002B0B48">
        <w:fldChar w:fldCharType="end"/>
      </w:r>
      <w:r w:rsidR="00A668B2">
        <w:t xml:space="preserve"> of this Prudential Standard</w:t>
      </w:r>
      <w:r w:rsidR="002A3530">
        <w:t>.</w:t>
      </w:r>
    </w:p>
    <w:sectPr w:rsidR="002A3530"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3B624" w14:textId="77777777" w:rsidR="007B7515" w:rsidRDefault="007B7515" w:rsidP="006A6A52">
      <w:pPr>
        <w:spacing w:after="0"/>
      </w:pPr>
      <w:r>
        <w:separator/>
      </w:r>
    </w:p>
  </w:endnote>
  <w:endnote w:type="continuationSeparator" w:id="0">
    <w:p w14:paraId="5678B138" w14:textId="77777777" w:rsidR="007B7515" w:rsidRDefault="007B7515" w:rsidP="006A6A52">
      <w:pPr>
        <w:spacing w:after="0"/>
      </w:pPr>
      <w:r>
        <w:continuationSeparator/>
      </w:r>
    </w:p>
  </w:endnote>
  <w:endnote w:type="continuationNotice" w:id="1">
    <w:p w14:paraId="28C56C5C" w14:textId="77777777" w:rsidR="007B7515" w:rsidRDefault="007B75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sz w:val="22"/>
        <w:szCs w:val="22"/>
      </w:rPr>
      <w:id w:val="1807816923"/>
      <w:docPartObj>
        <w:docPartGallery w:val="Page Numbers (Bottom of Page)"/>
        <w:docPartUnique/>
      </w:docPartObj>
    </w:sdtPr>
    <w:sdtEndPr>
      <w:rPr>
        <w:rFonts w:ascii="Times New Roman" w:hAnsi="Times New Roman" w:cs="Times New Roman"/>
        <w:b/>
        <w:sz w:val="24"/>
        <w:szCs w:val="24"/>
      </w:rPr>
    </w:sdtEndPr>
    <w:sdtContent>
      <w:sdt>
        <w:sdtPr>
          <w:rPr>
            <w:rFonts w:ascii="Arial" w:hAnsi="Arial" w:cs="Arial"/>
            <w:b w:val="0"/>
            <w:sz w:val="22"/>
            <w:szCs w:val="22"/>
          </w:rPr>
          <w:id w:val="-1769616900"/>
          <w:docPartObj>
            <w:docPartGallery w:val="Page Numbers (Top of Page)"/>
            <w:docPartUnique/>
          </w:docPartObj>
        </w:sdtPr>
        <w:sdtEndPr>
          <w:rPr>
            <w:rFonts w:ascii="Times New Roman" w:hAnsi="Times New Roman" w:cs="Times New Roman"/>
            <w:b/>
            <w:sz w:val="24"/>
            <w:szCs w:val="24"/>
          </w:rPr>
        </w:sdtEndPr>
        <w:sdtContent>
          <w:p w14:paraId="206994E1" w14:textId="59237FEF" w:rsidR="00C9237B" w:rsidRDefault="00C9237B">
            <w:pPr>
              <w:pStyle w:val="Footer"/>
            </w:pPr>
            <w:r w:rsidRPr="00C9237B">
              <w:rPr>
                <w:rFonts w:ascii="Arial" w:hAnsi="Arial" w:cs="Arial"/>
                <w:b w:val="0"/>
                <w:sz w:val="22"/>
                <w:szCs w:val="22"/>
              </w:rPr>
              <w:t xml:space="preserve">Page </w:t>
            </w:r>
            <w:r w:rsidRPr="00C9237B">
              <w:rPr>
                <w:rFonts w:ascii="Arial" w:hAnsi="Arial" w:cs="Arial"/>
                <w:b w:val="0"/>
                <w:bCs/>
                <w:sz w:val="22"/>
                <w:szCs w:val="22"/>
              </w:rPr>
              <w:fldChar w:fldCharType="begin"/>
            </w:r>
            <w:r w:rsidRPr="00C9237B">
              <w:rPr>
                <w:rFonts w:ascii="Arial" w:hAnsi="Arial" w:cs="Arial"/>
                <w:b w:val="0"/>
                <w:bCs/>
                <w:sz w:val="22"/>
                <w:szCs w:val="22"/>
              </w:rPr>
              <w:instrText xml:space="preserve"> PAGE </w:instrText>
            </w:r>
            <w:r w:rsidRPr="00C9237B">
              <w:rPr>
                <w:rFonts w:ascii="Arial" w:hAnsi="Arial" w:cs="Arial"/>
                <w:b w:val="0"/>
                <w:bCs/>
                <w:sz w:val="22"/>
                <w:szCs w:val="22"/>
              </w:rPr>
              <w:fldChar w:fldCharType="separate"/>
            </w:r>
            <w:r w:rsidRPr="00C9237B">
              <w:rPr>
                <w:rFonts w:ascii="Arial" w:hAnsi="Arial" w:cs="Arial"/>
                <w:b w:val="0"/>
                <w:bCs/>
                <w:noProof/>
                <w:sz w:val="22"/>
                <w:szCs w:val="22"/>
              </w:rPr>
              <w:t>2</w:t>
            </w:r>
            <w:r w:rsidRPr="00C9237B">
              <w:rPr>
                <w:rFonts w:ascii="Arial" w:hAnsi="Arial" w:cs="Arial"/>
                <w:b w:val="0"/>
                <w:bCs/>
                <w:sz w:val="22"/>
                <w:szCs w:val="22"/>
              </w:rPr>
              <w:fldChar w:fldCharType="end"/>
            </w:r>
            <w:r w:rsidRPr="00C9237B">
              <w:rPr>
                <w:rFonts w:ascii="Arial" w:hAnsi="Arial" w:cs="Arial"/>
                <w:b w:val="0"/>
                <w:sz w:val="22"/>
                <w:szCs w:val="22"/>
              </w:rPr>
              <w:t xml:space="preserve"> of </w:t>
            </w:r>
            <w:r>
              <w:rPr>
                <w:rFonts w:ascii="Arial" w:hAnsi="Arial" w:cs="Arial"/>
                <w:b w:val="0"/>
                <w:bCs/>
                <w:sz w:val="22"/>
                <w:szCs w:val="22"/>
              </w:rPr>
              <w:t>2</w:t>
            </w:r>
          </w:p>
        </w:sdtContent>
      </w:sdt>
    </w:sdtContent>
  </w:sdt>
  <w:p w14:paraId="44ED4EF8" w14:textId="77777777" w:rsidR="00F4643D" w:rsidRDefault="00F46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8AB9" w14:textId="6D852654" w:rsidR="00423416" w:rsidRDefault="00423416" w:rsidP="00423416">
    <w:pPr>
      <w:pStyle w:val="Footer"/>
    </w:pPr>
    <w:r>
      <w:rPr>
        <w:noProof/>
      </w:rPr>
      <w:fldChar w:fldCharType="begin"/>
    </w:r>
    <w:r>
      <w:rPr>
        <w:noProof/>
      </w:rPr>
      <w:instrText xml:space="preserve"> STYLEREF  "PS No. field text"  \* MERGEFORMAT </w:instrText>
    </w:r>
    <w:r>
      <w:rPr>
        <w:noProof/>
      </w:rPr>
      <w:fldChar w:fldCharType="separate"/>
    </w:r>
    <w:r w:rsidR="00F638E9">
      <w:rPr>
        <w:noProof/>
      </w:rPr>
      <w:t>APS 115</w:t>
    </w:r>
    <w:r>
      <w:rPr>
        <w:noProof/>
      </w:rPr>
      <w:fldChar w:fldCharType="end"/>
    </w:r>
    <w:r>
      <w:t xml:space="preserve"> - </w:t>
    </w:r>
    <w:r>
      <w:fldChar w:fldCharType="begin"/>
    </w:r>
    <w:r>
      <w:instrText xml:space="preserve"> PAGE   \* MERGEFORMAT </w:instrText>
    </w:r>
    <w:r>
      <w:fldChar w:fldCharType="separate"/>
    </w:r>
    <w: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8F6C" w14:textId="477EB5FB" w:rsidR="00393C4B" w:rsidRDefault="00393C4B">
    <w:pPr>
      <w:pStyle w:val="Footer"/>
    </w:pPr>
    <w:r>
      <w:rPr>
        <w:noProof/>
      </w:rPr>
      <w:fldChar w:fldCharType="begin"/>
    </w:r>
    <w:r>
      <w:rPr>
        <w:noProof/>
      </w:rPr>
      <w:instrText xml:space="preserve"> STYLEREF  "PS No. field text"  \* MERGEFORMAT </w:instrText>
    </w:r>
    <w:r>
      <w:rPr>
        <w:noProof/>
      </w:rPr>
      <w:fldChar w:fldCharType="separate"/>
    </w:r>
    <w:r w:rsidR="00F638E9">
      <w:rPr>
        <w:noProof/>
      </w:rPr>
      <w:t>APS 115</w:t>
    </w:r>
    <w:r>
      <w:rPr>
        <w:noProof/>
      </w:rPr>
      <w:fldChar w:fldCharType="end"/>
    </w:r>
    <w:r>
      <w:t xml:space="preserve"> - </w:t>
    </w:r>
    <w:r w:rsidR="00015EF9">
      <w:fldChar w:fldCharType="begin"/>
    </w:r>
    <w:r w:rsidR="00015EF9">
      <w:instrText xml:space="preserve"> PAGE   \* MERGEFORMAT </w:instrText>
    </w:r>
    <w:r w:rsidR="00015EF9">
      <w:fldChar w:fldCharType="separate"/>
    </w:r>
    <w:r w:rsidR="00015EF9">
      <w:rPr>
        <w:noProof/>
      </w:rPr>
      <w:t>1</w:t>
    </w:r>
    <w:r w:rsidR="00015EF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F6CF0" w14:textId="77777777" w:rsidR="007B7515" w:rsidRDefault="007B7515" w:rsidP="006A6A52">
      <w:pPr>
        <w:spacing w:after="0"/>
      </w:pPr>
      <w:r>
        <w:separator/>
      </w:r>
    </w:p>
  </w:footnote>
  <w:footnote w:type="continuationSeparator" w:id="0">
    <w:p w14:paraId="251A8BE5" w14:textId="77777777" w:rsidR="007B7515" w:rsidRDefault="007B7515" w:rsidP="006A6A52">
      <w:pPr>
        <w:spacing w:after="0"/>
      </w:pPr>
      <w:r>
        <w:continuationSeparator/>
      </w:r>
    </w:p>
  </w:footnote>
  <w:footnote w:type="continuationNotice" w:id="1">
    <w:p w14:paraId="654BE8A9" w14:textId="77777777" w:rsidR="007B7515" w:rsidRDefault="007B7515">
      <w:pPr>
        <w:spacing w:after="0"/>
      </w:pPr>
    </w:p>
  </w:footnote>
  <w:footnote w:id="2">
    <w:p w14:paraId="2D808F6E" w14:textId="77777777" w:rsidR="00393C4B" w:rsidRDefault="00393C4B" w:rsidP="00E04083">
      <w:pPr>
        <w:pStyle w:val="FootnoteText"/>
      </w:pPr>
      <w:r>
        <w:rPr>
          <w:rStyle w:val="FootnoteReference"/>
        </w:rPr>
        <w:footnoteRef/>
      </w:r>
      <w:r>
        <w:t xml:space="preserve"> </w:t>
      </w:r>
      <w:r>
        <w:tab/>
      </w:r>
      <w:r w:rsidRPr="00966FC6">
        <w:t>For the avoidance of doubt, this item includes gains from non-current assets and disposal groups classified as held for sale not qualifying as discontinued operations (</w:t>
      </w:r>
      <w:r w:rsidR="0071344B">
        <w:t>in accordance with</w:t>
      </w:r>
      <w:r w:rsidRPr="00966FC6">
        <w:t xml:space="preserve"> </w:t>
      </w:r>
      <w:r w:rsidRPr="00343C42">
        <w:t>Australian Accounting Standards</w:t>
      </w:r>
      <w:r w:rsidRPr="00966FC6">
        <w:t>). However, this item does not include income from operating or finance leases, which are instead treated as in</w:t>
      </w:r>
      <w:r>
        <w:t>terest income under paragraph</w:t>
      </w:r>
      <w:r w:rsidR="007900AF">
        <w:fldChar w:fldCharType="begin"/>
      </w:r>
      <w:r w:rsidR="007900AF">
        <w:instrText xml:space="preserve"> REF _Ref8122005 \r \h </w:instrText>
      </w:r>
      <w:r w:rsidR="007900AF">
        <w:fldChar w:fldCharType="separate"/>
      </w:r>
      <w:r w:rsidR="00527A14">
        <w:t>16(a)</w:t>
      </w:r>
      <w:r w:rsidR="007900AF">
        <w:fldChar w:fldCharType="end"/>
      </w:r>
      <w:r w:rsidRPr="00966FC6">
        <w:t>.</w:t>
      </w:r>
    </w:p>
  </w:footnote>
  <w:footnote w:id="3">
    <w:p w14:paraId="2D808F6F" w14:textId="77777777" w:rsidR="00393C4B" w:rsidRPr="008D3D04" w:rsidRDefault="00393C4B">
      <w:pPr>
        <w:pStyle w:val="FootnoteText"/>
      </w:pPr>
      <w:r>
        <w:rPr>
          <w:rStyle w:val="FootnoteReference"/>
        </w:rPr>
        <w:footnoteRef/>
      </w:r>
      <w:r>
        <w:t xml:space="preserve"> </w:t>
      </w:r>
      <w:r>
        <w:tab/>
      </w:r>
      <w:r w:rsidRPr="008D3D04">
        <w:t>For the avoidance of doubt, this item includes operational loss events and losses from non-current assets and disposal groups classified as held for sale not qualifying as discontinued operations (refer to Australian Accounting Standards). However, this item does not include expenses from operating or finance leases, which are instead treated as inte</w:t>
      </w:r>
      <w:r>
        <w:t>rest expenses under paragraph</w:t>
      </w:r>
      <w:r w:rsidR="007900AF">
        <w:fldChar w:fldCharType="begin"/>
      </w:r>
      <w:r w:rsidR="007900AF">
        <w:instrText xml:space="preserve"> REF _Ref8122018 \r \h </w:instrText>
      </w:r>
      <w:r w:rsidR="007900AF">
        <w:fldChar w:fldCharType="separate"/>
      </w:r>
      <w:r w:rsidR="00527A14">
        <w:t>16(b)</w:t>
      </w:r>
      <w:r w:rsidR="007900AF">
        <w:fldChar w:fldCharType="end"/>
      </w:r>
      <w:r w:rsidRPr="008D3D04">
        <w:t>.</w:t>
      </w:r>
    </w:p>
  </w:footnote>
  <w:footnote w:id="4">
    <w:p w14:paraId="2D808F70" w14:textId="77777777" w:rsidR="00393C4B" w:rsidRPr="003C27C2" w:rsidRDefault="00393C4B" w:rsidP="00E04083">
      <w:pPr>
        <w:pStyle w:val="FootnoteText"/>
      </w:pPr>
      <w:r w:rsidRPr="003C27C2">
        <w:rPr>
          <w:rStyle w:val="FootnoteReference"/>
        </w:rPr>
        <w:footnoteRef/>
      </w:r>
      <w:r w:rsidRPr="003C27C2">
        <w:t xml:space="preserve"> </w:t>
      </w:r>
      <w:r>
        <w:tab/>
      </w:r>
      <w:r w:rsidRPr="003C27C2">
        <w:t xml:space="preserve">For the avoidance of doubt, this includes income received by the ADI for providing advice and services and as an outsourcer of </w:t>
      </w:r>
      <w:r w:rsidRPr="008D3D04">
        <w:t>financial services</w:t>
      </w:r>
      <w:r w:rsidRPr="003C27C2">
        <w:t>.</w:t>
      </w:r>
    </w:p>
  </w:footnote>
  <w:footnote w:id="5">
    <w:p w14:paraId="2D808F71" w14:textId="77777777" w:rsidR="00393C4B" w:rsidRPr="00476920" w:rsidRDefault="00393C4B" w:rsidP="004958BF">
      <w:pPr>
        <w:pStyle w:val="FootnoteText"/>
      </w:pPr>
      <w:r w:rsidRPr="008D3D04">
        <w:rPr>
          <w:rStyle w:val="FootnoteReference"/>
        </w:rPr>
        <w:footnoteRef/>
      </w:r>
      <w:r w:rsidRPr="008D3D04">
        <w:t xml:space="preserve"> </w:t>
      </w:r>
      <w:r>
        <w:tab/>
      </w:r>
      <w:r w:rsidRPr="008D3D04">
        <w:t>For the avoidance of doubt, this includes outsourcing fees paid by the ADI for the supply of financial services, but not outsourcing fees paid for the supply of non-financial services such as logistical, information technology or human resources</w:t>
      </w:r>
      <w:r w:rsidRPr="008D3D04" w:rsidDel="00912DC4">
        <w:t xml:space="preserve"> </w:t>
      </w:r>
      <w:r w:rsidRPr="008D3D04">
        <w:t>services (which are instead included in the calculation of the other ope</w:t>
      </w:r>
      <w:r>
        <w:t xml:space="preserve">rating component in paragraph </w:t>
      </w:r>
      <w:r w:rsidR="007900AF">
        <w:fldChar w:fldCharType="begin"/>
      </w:r>
      <w:r w:rsidR="007900AF">
        <w:instrText xml:space="preserve"> REF _Ref8120723 \r \h </w:instrText>
      </w:r>
      <w:r w:rsidR="007900AF">
        <w:fldChar w:fldCharType="separate"/>
      </w:r>
      <w:r w:rsidR="00527A14">
        <w:t>19</w:t>
      </w:r>
      <w:r w:rsidR="007900AF">
        <w:fldChar w:fldCharType="end"/>
      </w:r>
      <w:r>
        <w:t xml:space="preserve"> of this Prudential Standard)</w:t>
      </w:r>
      <w:r w:rsidRPr="008D3D04">
        <w:t>.</w:t>
      </w:r>
    </w:p>
  </w:footnote>
  <w:footnote w:id="6">
    <w:p w14:paraId="2D808F72" w14:textId="77777777" w:rsidR="00393C4B" w:rsidRDefault="00393C4B">
      <w:pPr>
        <w:pStyle w:val="FootnoteText"/>
      </w:pPr>
      <w:r>
        <w:rPr>
          <w:rStyle w:val="FootnoteReference"/>
        </w:rPr>
        <w:footnoteRef/>
      </w:r>
      <w:r>
        <w:t xml:space="preserve"> </w:t>
      </w:r>
      <w:r>
        <w:tab/>
        <w:t xml:space="preserve">An ADI’s trading book has the meaning given in </w:t>
      </w:r>
      <w:r w:rsidRPr="00C65B29">
        <w:rPr>
          <w:i/>
        </w:rPr>
        <w:t>Prudential Standard APS 116 Capital Adequacy: Market Risk</w:t>
      </w:r>
      <w:r>
        <w:t>.</w:t>
      </w:r>
    </w:p>
  </w:footnote>
  <w:footnote w:id="7">
    <w:p w14:paraId="2D808F73" w14:textId="77777777" w:rsidR="00393C4B" w:rsidRDefault="00393C4B">
      <w:pPr>
        <w:pStyle w:val="FootnoteText"/>
      </w:pPr>
      <w:r>
        <w:rPr>
          <w:rStyle w:val="FootnoteReference"/>
        </w:rPr>
        <w:footnoteRef/>
      </w:r>
      <w:r>
        <w:t xml:space="preserve"> </w:t>
      </w:r>
      <w:r>
        <w:tab/>
        <w:t xml:space="preserve">An ADI’s banking book has the meaning given in </w:t>
      </w:r>
      <w:r>
        <w:rPr>
          <w:i/>
        </w:rPr>
        <w:t>Prudential Standard APS 117 Capital Adequacy: Interest Rate Risk in the Banking Book (Advanced ADIs)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C184" w14:textId="37180277" w:rsidR="00423416" w:rsidRPr="00C85A76" w:rsidRDefault="008017A2">
    <w:pPr>
      <w:pStyle w:val="Header"/>
      <w:rPr>
        <w:b w:val="0"/>
      </w:rPr>
    </w:pPr>
    <w:r w:rsidRPr="00C85A76">
      <w:rPr>
        <w:b w:val="0"/>
      </w:rPr>
      <w:t xml:space="preserve">January </w:t>
    </w:r>
    <w:r w:rsidR="00423416" w:rsidRPr="00C85A76">
      <w:rPr>
        <w:b w:val="0"/>
      </w:rPr>
      <w:t>202</w:t>
    </w:r>
    <w:r w:rsidRPr="00C85A76">
      <w:rPr>
        <w:b w:val="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6687" w14:textId="18C29676" w:rsidR="00423416" w:rsidRPr="00C85A76" w:rsidRDefault="005B11EC">
    <w:pPr>
      <w:pStyle w:val="Header"/>
      <w:rPr>
        <w:b w:val="0"/>
      </w:rPr>
    </w:pPr>
    <w:r w:rsidRPr="00C85A76">
      <w:rPr>
        <w:b w:val="0"/>
      </w:rPr>
      <w:t>January</w:t>
    </w:r>
    <w:r w:rsidR="00423416" w:rsidRPr="00C85A76">
      <w:rPr>
        <w:b w:val="0"/>
      </w:rPr>
      <w:t xml:space="preserve"> 202</w:t>
    </w:r>
    <w:r w:rsidRPr="00C85A76">
      <w:rPr>
        <w:b w:val="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3"/>
    <w:multiLevelType w:val="singleLevel"/>
    <w:tmpl w:val="D554AE4A"/>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BE0854"/>
    <w:multiLevelType w:val="multilevel"/>
    <w:tmpl w:val="FCD04B08"/>
    <w:lvl w:ilvl="0">
      <w:start w:val="1"/>
      <w:numFmt w:val="bullet"/>
      <w:lvlText w:val=""/>
      <w:lvlJc w:val="left"/>
      <w:pPr>
        <w:tabs>
          <w:tab w:val="num" w:pos="567"/>
        </w:tabs>
        <w:ind w:left="567" w:hanging="567"/>
      </w:pPr>
      <w:rPr>
        <w:rFonts w:ascii="Symbol" w:hAnsi="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15:restartNumberingAfterBreak="0">
    <w:nsid w:val="01FE24DB"/>
    <w:multiLevelType w:val="hybridMultilevel"/>
    <w:tmpl w:val="2FF66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359119F"/>
    <w:multiLevelType w:val="hybridMultilevel"/>
    <w:tmpl w:val="8CC6EB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7A6F51"/>
    <w:multiLevelType w:val="hybridMultilevel"/>
    <w:tmpl w:val="CBC6E24A"/>
    <w:lvl w:ilvl="0" w:tplc="A3765D10">
      <w:numFmt w:val="bullet"/>
      <w:lvlText w:val="•"/>
      <w:lvlJc w:val="left"/>
      <w:pPr>
        <w:ind w:left="360" w:hanging="360"/>
      </w:pPr>
      <w:rPr>
        <w:rFonts w:ascii="Segoe UI" w:eastAsia="Calibri" w:hAnsi="Segoe UI"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E0F12EA"/>
    <w:multiLevelType w:val="multilevel"/>
    <w:tmpl w:val="95044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463545"/>
    <w:multiLevelType w:val="multilevel"/>
    <w:tmpl w:val="D272E810"/>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935310D"/>
    <w:multiLevelType w:val="hybridMultilevel"/>
    <w:tmpl w:val="0A3297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D31052A"/>
    <w:multiLevelType w:val="hybridMultilevel"/>
    <w:tmpl w:val="A73C1D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23505CD3"/>
    <w:multiLevelType w:val="hybridMultilevel"/>
    <w:tmpl w:val="940039E0"/>
    <w:lvl w:ilvl="0" w:tplc="7B1C62B0">
      <w:start w:val="1"/>
      <w:numFmt w:val="bullet"/>
      <w:lvlText w:val=""/>
      <w:lvlJc w:val="left"/>
      <w:pPr>
        <w:ind w:left="720" w:hanging="360"/>
      </w:pPr>
      <w:rPr>
        <w:rFonts w:ascii="Wingdings" w:eastAsia="Times New Roman" w:hAnsi="Wingdings" w:cs="Times New Roman"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9E719FD"/>
    <w:multiLevelType w:val="hybridMultilevel"/>
    <w:tmpl w:val="5B16E6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4332C70"/>
    <w:multiLevelType w:val="hybridMultilevel"/>
    <w:tmpl w:val="8D928858"/>
    <w:lvl w:ilvl="0" w:tplc="C54699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1" w15:restartNumberingAfterBreak="0">
    <w:nsid w:val="45A516E7"/>
    <w:multiLevelType w:val="hybridMultilevel"/>
    <w:tmpl w:val="C7C09F76"/>
    <w:lvl w:ilvl="0" w:tplc="5800855A">
      <w:start w:val="1"/>
      <w:numFmt w:val="bullet"/>
      <w:lvlText w:val=""/>
      <w:lvlJc w:val="left"/>
      <w:pPr>
        <w:ind w:left="360" w:hanging="360"/>
      </w:pPr>
      <w:rPr>
        <w:rFonts w:ascii="Symbol" w:hAnsi="Symbol" w:hint="default"/>
        <w:sz w:val="24"/>
        <w:szCs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C14671"/>
    <w:multiLevelType w:val="hybridMultilevel"/>
    <w:tmpl w:val="6A92EB46"/>
    <w:lvl w:ilvl="0" w:tplc="87E866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24"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6" w15:restartNumberingAfterBreak="0">
    <w:nsid w:val="4A7F21F2"/>
    <w:multiLevelType w:val="hybridMultilevel"/>
    <w:tmpl w:val="EC5411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747E7"/>
    <w:multiLevelType w:val="hybridMultilevel"/>
    <w:tmpl w:val="4D485786"/>
    <w:lvl w:ilvl="0" w:tplc="3E0EE9B6">
      <w:start w:val="1"/>
      <w:numFmt w:val="lowerLetter"/>
      <w:pStyle w:val="Determination1"/>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9"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6302668"/>
    <w:multiLevelType w:val="hybridMultilevel"/>
    <w:tmpl w:val="5E94E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3" w15:restartNumberingAfterBreak="0">
    <w:nsid w:val="60166B2D"/>
    <w:multiLevelType w:val="hybridMultilevel"/>
    <w:tmpl w:val="942E10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852509B"/>
    <w:multiLevelType w:val="hybridMultilevel"/>
    <w:tmpl w:val="414EC5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6"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CF0E30"/>
    <w:multiLevelType w:val="hybridMultilevel"/>
    <w:tmpl w:val="0FEC203E"/>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8" w15:restartNumberingAfterBreak="0">
    <w:nsid w:val="73F55844"/>
    <w:multiLevelType w:val="hybridMultilevel"/>
    <w:tmpl w:val="E3303472"/>
    <w:lvl w:ilvl="0" w:tplc="E1F8A2E0">
      <w:start w:val="1"/>
      <w:numFmt w:val="lowerRoman"/>
      <w:pStyle w:val="Determination2"/>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9"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0"/>
  </w:num>
  <w:num w:numId="2">
    <w:abstractNumId w:val="25"/>
  </w:num>
  <w:num w:numId="3">
    <w:abstractNumId w:val="10"/>
  </w:num>
  <w:num w:numId="4">
    <w:abstractNumId w:val="17"/>
  </w:num>
  <w:num w:numId="5">
    <w:abstractNumId w:val="39"/>
  </w:num>
  <w:num w:numId="6">
    <w:abstractNumId w:val="15"/>
  </w:num>
  <w:num w:numId="7">
    <w:abstractNumId w:val="36"/>
  </w:num>
  <w:num w:numId="8">
    <w:abstractNumId w:val="32"/>
  </w:num>
  <w:num w:numId="9">
    <w:abstractNumId w:val="35"/>
  </w:num>
  <w:num w:numId="10">
    <w:abstractNumId w:val="29"/>
  </w:num>
  <w:num w:numId="11">
    <w:abstractNumId w:val="4"/>
  </w:num>
  <w:num w:numId="12">
    <w:abstractNumId w:val="0"/>
  </w:num>
  <w:num w:numId="13">
    <w:abstractNumId w:val="3"/>
  </w:num>
  <w:num w:numId="14">
    <w:abstractNumId w:val="1"/>
  </w:num>
  <w:num w:numId="15">
    <w:abstractNumId w:val="27"/>
  </w:num>
  <w:num w:numId="16">
    <w:abstractNumId w:val="11"/>
  </w:num>
  <w:num w:numId="17">
    <w:abstractNumId w:val="24"/>
  </w:num>
  <w:num w:numId="18">
    <w:abstractNumId w:val="23"/>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2"/>
  </w:num>
  <w:num w:numId="24">
    <w:abstractNumId w:val="31"/>
  </w:num>
  <w:num w:numId="25">
    <w:abstractNumId w:val="14"/>
  </w:num>
  <w:num w:numId="26">
    <w:abstractNumId w:val="12"/>
  </w:num>
  <w:num w:numId="27">
    <w:abstractNumId w:val="13"/>
  </w:num>
  <w:num w:numId="28">
    <w:abstractNumId w:val="33"/>
  </w:num>
  <w:num w:numId="29">
    <w:abstractNumId w:val="18"/>
  </w:num>
  <w:num w:numId="30">
    <w:abstractNumId w:val="7"/>
  </w:num>
  <w:num w:numId="31">
    <w:abstractNumId w:val="26"/>
  </w:num>
  <w:num w:numId="32">
    <w:abstractNumId w:val="6"/>
  </w:num>
  <w:num w:numId="33">
    <w:abstractNumId w:val="8"/>
  </w:num>
  <w:num w:numId="34">
    <w:abstractNumId w:val="34"/>
  </w:num>
  <w:num w:numId="35">
    <w:abstractNumId w:val="5"/>
  </w:num>
  <w:num w:numId="36">
    <w:abstractNumId w:val="21"/>
  </w:num>
  <w:num w:numId="37">
    <w:abstractNumId w:val="37"/>
  </w:num>
  <w:num w:numId="38">
    <w:abstractNumId w:val="12"/>
  </w:num>
  <w:num w:numId="39">
    <w:abstractNumId w:val="9"/>
  </w:num>
  <w:num w:numId="40">
    <w:abstractNumId w:val="19"/>
  </w:num>
  <w:num w:numId="41">
    <w:abstractNumId w:val="2"/>
  </w:num>
  <w:num w:numId="42">
    <w:abstractNumId w:val="30"/>
  </w:num>
  <w:num w:numId="43">
    <w:abstractNumId w:val="28"/>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71"/>
    <w:rsid w:val="00001043"/>
    <w:rsid w:val="0000183A"/>
    <w:rsid w:val="00001D43"/>
    <w:rsid w:val="00011048"/>
    <w:rsid w:val="00015EF9"/>
    <w:rsid w:val="00022013"/>
    <w:rsid w:val="00023BF8"/>
    <w:rsid w:val="000305E8"/>
    <w:rsid w:val="00034406"/>
    <w:rsid w:val="0003555B"/>
    <w:rsid w:val="00041B67"/>
    <w:rsid w:val="00042434"/>
    <w:rsid w:val="00042A5C"/>
    <w:rsid w:val="00047F22"/>
    <w:rsid w:val="00050C13"/>
    <w:rsid w:val="00050C44"/>
    <w:rsid w:val="000518B9"/>
    <w:rsid w:val="000548C7"/>
    <w:rsid w:val="0005722C"/>
    <w:rsid w:val="0006337F"/>
    <w:rsid w:val="000641EC"/>
    <w:rsid w:val="00065AB1"/>
    <w:rsid w:val="000761C1"/>
    <w:rsid w:val="000766BE"/>
    <w:rsid w:val="000815E1"/>
    <w:rsid w:val="00081EA9"/>
    <w:rsid w:val="000840D3"/>
    <w:rsid w:val="00085E22"/>
    <w:rsid w:val="00087D3E"/>
    <w:rsid w:val="000937BA"/>
    <w:rsid w:val="00094A33"/>
    <w:rsid w:val="0009705E"/>
    <w:rsid w:val="000A6A14"/>
    <w:rsid w:val="000A7261"/>
    <w:rsid w:val="000B344D"/>
    <w:rsid w:val="000B385E"/>
    <w:rsid w:val="000B4BDD"/>
    <w:rsid w:val="000B5816"/>
    <w:rsid w:val="000B58E1"/>
    <w:rsid w:val="000C0FA5"/>
    <w:rsid w:val="000C51B1"/>
    <w:rsid w:val="000D25B3"/>
    <w:rsid w:val="000D63A8"/>
    <w:rsid w:val="000D7A9C"/>
    <w:rsid w:val="000E111E"/>
    <w:rsid w:val="000E2958"/>
    <w:rsid w:val="000E362C"/>
    <w:rsid w:val="000E3729"/>
    <w:rsid w:val="000E46F9"/>
    <w:rsid w:val="000E4B8F"/>
    <w:rsid w:val="000E54C0"/>
    <w:rsid w:val="000E649D"/>
    <w:rsid w:val="000E77C4"/>
    <w:rsid w:val="000E79F6"/>
    <w:rsid w:val="000F77C1"/>
    <w:rsid w:val="00100C9B"/>
    <w:rsid w:val="00102900"/>
    <w:rsid w:val="0010615C"/>
    <w:rsid w:val="00110391"/>
    <w:rsid w:val="001105DC"/>
    <w:rsid w:val="00110917"/>
    <w:rsid w:val="00110A0F"/>
    <w:rsid w:val="00110E90"/>
    <w:rsid w:val="00111D5D"/>
    <w:rsid w:val="001130A2"/>
    <w:rsid w:val="0013237B"/>
    <w:rsid w:val="00132BE7"/>
    <w:rsid w:val="00141CA6"/>
    <w:rsid w:val="001464DF"/>
    <w:rsid w:val="00154C5B"/>
    <w:rsid w:val="00156BC7"/>
    <w:rsid w:val="00163CA5"/>
    <w:rsid w:val="00173A04"/>
    <w:rsid w:val="00182FA1"/>
    <w:rsid w:val="00184D93"/>
    <w:rsid w:val="00193FCB"/>
    <w:rsid w:val="00194EA9"/>
    <w:rsid w:val="00195C8D"/>
    <w:rsid w:val="001964AB"/>
    <w:rsid w:val="00196BA3"/>
    <w:rsid w:val="001A4539"/>
    <w:rsid w:val="001A786A"/>
    <w:rsid w:val="001B0A27"/>
    <w:rsid w:val="001B2867"/>
    <w:rsid w:val="001C297B"/>
    <w:rsid w:val="001C6E10"/>
    <w:rsid w:val="001C755C"/>
    <w:rsid w:val="001D60B9"/>
    <w:rsid w:val="001E305B"/>
    <w:rsid w:val="001E3299"/>
    <w:rsid w:val="001E7EA9"/>
    <w:rsid w:val="001F35FB"/>
    <w:rsid w:val="001F6B8D"/>
    <w:rsid w:val="00200760"/>
    <w:rsid w:val="00202BAF"/>
    <w:rsid w:val="002030D9"/>
    <w:rsid w:val="00207555"/>
    <w:rsid w:val="0021427A"/>
    <w:rsid w:val="00215DD5"/>
    <w:rsid w:val="00216F52"/>
    <w:rsid w:val="002171EC"/>
    <w:rsid w:val="00220DAE"/>
    <w:rsid w:val="00233620"/>
    <w:rsid w:val="0023448A"/>
    <w:rsid w:val="0024117E"/>
    <w:rsid w:val="00245C29"/>
    <w:rsid w:val="002500F9"/>
    <w:rsid w:val="002503A4"/>
    <w:rsid w:val="002506E4"/>
    <w:rsid w:val="00252827"/>
    <w:rsid w:val="0025365F"/>
    <w:rsid w:val="002539BC"/>
    <w:rsid w:val="002539EF"/>
    <w:rsid w:val="00253C19"/>
    <w:rsid w:val="00254E3E"/>
    <w:rsid w:val="0025567E"/>
    <w:rsid w:val="00260C0A"/>
    <w:rsid w:val="00261C7D"/>
    <w:rsid w:val="00263C8A"/>
    <w:rsid w:val="0026535D"/>
    <w:rsid w:val="00266E0E"/>
    <w:rsid w:val="00267879"/>
    <w:rsid w:val="00271B75"/>
    <w:rsid w:val="00272EB0"/>
    <w:rsid w:val="00281493"/>
    <w:rsid w:val="0028244A"/>
    <w:rsid w:val="00283A5F"/>
    <w:rsid w:val="002904C3"/>
    <w:rsid w:val="00291C73"/>
    <w:rsid w:val="002938DD"/>
    <w:rsid w:val="0029455F"/>
    <w:rsid w:val="00294710"/>
    <w:rsid w:val="002A07F8"/>
    <w:rsid w:val="002A3530"/>
    <w:rsid w:val="002A5ABA"/>
    <w:rsid w:val="002B0B48"/>
    <w:rsid w:val="002B1E08"/>
    <w:rsid w:val="002B33F2"/>
    <w:rsid w:val="002B3581"/>
    <w:rsid w:val="002B4309"/>
    <w:rsid w:val="002B6C19"/>
    <w:rsid w:val="002B6C9A"/>
    <w:rsid w:val="002C077F"/>
    <w:rsid w:val="002C1453"/>
    <w:rsid w:val="002C1FBC"/>
    <w:rsid w:val="002C2DA7"/>
    <w:rsid w:val="002D17E2"/>
    <w:rsid w:val="002D43C4"/>
    <w:rsid w:val="002D74F5"/>
    <w:rsid w:val="002E1001"/>
    <w:rsid w:val="002E121D"/>
    <w:rsid w:val="002E6BA5"/>
    <w:rsid w:val="002F3D74"/>
    <w:rsid w:val="002F4D25"/>
    <w:rsid w:val="002F4E79"/>
    <w:rsid w:val="002F651E"/>
    <w:rsid w:val="002F6690"/>
    <w:rsid w:val="00304E23"/>
    <w:rsid w:val="003131CA"/>
    <w:rsid w:val="0032056F"/>
    <w:rsid w:val="0032093A"/>
    <w:rsid w:val="00321384"/>
    <w:rsid w:val="00322360"/>
    <w:rsid w:val="00324F44"/>
    <w:rsid w:val="0032572D"/>
    <w:rsid w:val="00327781"/>
    <w:rsid w:val="00330AD3"/>
    <w:rsid w:val="00330BA7"/>
    <w:rsid w:val="003350AC"/>
    <w:rsid w:val="00336C47"/>
    <w:rsid w:val="003379E0"/>
    <w:rsid w:val="00342F6C"/>
    <w:rsid w:val="003438A9"/>
    <w:rsid w:val="00343C42"/>
    <w:rsid w:val="00346439"/>
    <w:rsid w:val="003524AB"/>
    <w:rsid w:val="00360E25"/>
    <w:rsid w:val="003626A8"/>
    <w:rsid w:val="00363039"/>
    <w:rsid w:val="003634A2"/>
    <w:rsid w:val="00366CAE"/>
    <w:rsid w:val="003673B2"/>
    <w:rsid w:val="0037314B"/>
    <w:rsid w:val="0037343B"/>
    <w:rsid w:val="0037500C"/>
    <w:rsid w:val="003771FE"/>
    <w:rsid w:val="0038413F"/>
    <w:rsid w:val="003855A3"/>
    <w:rsid w:val="00386690"/>
    <w:rsid w:val="00386F84"/>
    <w:rsid w:val="00387F38"/>
    <w:rsid w:val="00391AD7"/>
    <w:rsid w:val="00392514"/>
    <w:rsid w:val="00392E8B"/>
    <w:rsid w:val="003936EA"/>
    <w:rsid w:val="00393C4B"/>
    <w:rsid w:val="00393FA0"/>
    <w:rsid w:val="0039501A"/>
    <w:rsid w:val="00396B7D"/>
    <w:rsid w:val="003A2078"/>
    <w:rsid w:val="003A41E8"/>
    <w:rsid w:val="003A6C2C"/>
    <w:rsid w:val="003B05F1"/>
    <w:rsid w:val="003B298E"/>
    <w:rsid w:val="003B3F43"/>
    <w:rsid w:val="003B436E"/>
    <w:rsid w:val="003B52EB"/>
    <w:rsid w:val="003B5943"/>
    <w:rsid w:val="003C0894"/>
    <w:rsid w:val="003C0ED3"/>
    <w:rsid w:val="003C21E4"/>
    <w:rsid w:val="003C27C2"/>
    <w:rsid w:val="003C46D7"/>
    <w:rsid w:val="003D5032"/>
    <w:rsid w:val="003D7765"/>
    <w:rsid w:val="003E5919"/>
    <w:rsid w:val="003E5D69"/>
    <w:rsid w:val="003F010C"/>
    <w:rsid w:val="003F17B8"/>
    <w:rsid w:val="003F1E18"/>
    <w:rsid w:val="003F35B8"/>
    <w:rsid w:val="004037CC"/>
    <w:rsid w:val="00406701"/>
    <w:rsid w:val="00410B6E"/>
    <w:rsid w:val="004110D1"/>
    <w:rsid w:val="00415902"/>
    <w:rsid w:val="0041650F"/>
    <w:rsid w:val="00423416"/>
    <w:rsid w:val="004323FD"/>
    <w:rsid w:val="0043358A"/>
    <w:rsid w:val="00434501"/>
    <w:rsid w:val="00436CCC"/>
    <w:rsid w:val="0044320E"/>
    <w:rsid w:val="00443ED2"/>
    <w:rsid w:val="00444218"/>
    <w:rsid w:val="0044508F"/>
    <w:rsid w:val="00446CD7"/>
    <w:rsid w:val="004478F2"/>
    <w:rsid w:val="00450423"/>
    <w:rsid w:val="00450E3D"/>
    <w:rsid w:val="00451648"/>
    <w:rsid w:val="00453B6A"/>
    <w:rsid w:val="00453E3A"/>
    <w:rsid w:val="004560E3"/>
    <w:rsid w:val="00456651"/>
    <w:rsid w:val="00464A08"/>
    <w:rsid w:val="0046731F"/>
    <w:rsid w:val="00471A5F"/>
    <w:rsid w:val="004720BE"/>
    <w:rsid w:val="004776D4"/>
    <w:rsid w:val="0048193D"/>
    <w:rsid w:val="00482DFA"/>
    <w:rsid w:val="00483CF4"/>
    <w:rsid w:val="00484EBF"/>
    <w:rsid w:val="0048511B"/>
    <w:rsid w:val="00490DB4"/>
    <w:rsid w:val="00493C9A"/>
    <w:rsid w:val="00494C43"/>
    <w:rsid w:val="004958BF"/>
    <w:rsid w:val="004A0B93"/>
    <w:rsid w:val="004A1C1C"/>
    <w:rsid w:val="004A593E"/>
    <w:rsid w:val="004B6FCA"/>
    <w:rsid w:val="004C3D07"/>
    <w:rsid w:val="004C7182"/>
    <w:rsid w:val="004C74FE"/>
    <w:rsid w:val="004E03D8"/>
    <w:rsid w:val="004E4E8C"/>
    <w:rsid w:val="004F2AC1"/>
    <w:rsid w:val="004F574E"/>
    <w:rsid w:val="004F60BF"/>
    <w:rsid w:val="004F6DF8"/>
    <w:rsid w:val="005050E8"/>
    <w:rsid w:val="00506079"/>
    <w:rsid w:val="005106CD"/>
    <w:rsid w:val="0051073B"/>
    <w:rsid w:val="005120B2"/>
    <w:rsid w:val="00512B00"/>
    <w:rsid w:val="0051374E"/>
    <w:rsid w:val="005209ED"/>
    <w:rsid w:val="00521673"/>
    <w:rsid w:val="00523F6F"/>
    <w:rsid w:val="00527A14"/>
    <w:rsid w:val="00534BE0"/>
    <w:rsid w:val="00534FFE"/>
    <w:rsid w:val="005408C7"/>
    <w:rsid w:val="00542E63"/>
    <w:rsid w:val="005437AD"/>
    <w:rsid w:val="00544072"/>
    <w:rsid w:val="0054487B"/>
    <w:rsid w:val="00547484"/>
    <w:rsid w:val="00551C22"/>
    <w:rsid w:val="00552469"/>
    <w:rsid w:val="00554053"/>
    <w:rsid w:val="005569EC"/>
    <w:rsid w:val="005600AE"/>
    <w:rsid w:val="00560CC2"/>
    <w:rsid w:val="00564DDB"/>
    <w:rsid w:val="00566C46"/>
    <w:rsid w:val="0057112F"/>
    <w:rsid w:val="0057578A"/>
    <w:rsid w:val="00576882"/>
    <w:rsid w:val="00582CF2"/>
    <w:rsid w:val="005830C9"/>
    <w:rsid w:val="00583260"/>
    <w:rsid w:val="00590CE6"/>
    <w:rsid w:val="00591F40"/>
    <w:rsid w:val="00592FBE"/>
    <w:rsid w:val="00596D5C"/>
    <w:rsid w:val="005A2589"/>
    <w:rsid w:val="005A492F"/>
    <w:rsid w:val="005A5243"/>
    <w:rsid w:val="005A75C6"/>
    <w:rsid w:val="005B11EC"/>
    <w:rsid w:val="005B1466"/>
    <w:rsid w:val="005B21EF"/>
    <w:rsid w:val="005B6DC2"/>
    <w:rsid w:val="005B7216"/>
    <w:rsid w:val="005C58AB"/>
    <w:rsid w:val="005C62DE"/>
    <w:rsid w:val="005D2673"/>
    <w:rsid w:val="005D6D41"/>
    <w:rsid w:val="005E06B0"/>
    <w:rsid w:val="005E12E4"/>
    <w:rsid w:val="005E1E75"/>
    <w:rsid w:val="005E3B15"/>
    <w:rsid w:val="005E5663"/>
    <w:rsid w:val="005E5910"/>
    <w:rsid w:val="005E6AA0"/>
    <w:rsid w:val="005E7E0E"/>
    <w:rsid w:val="005F060C"/>
    <w:rsid w:val="005F3424"/>
    <w:rsid w:val="005F5217"/>
    <w:rsid w:val="005F64C9"/>
    <w:rsid w:val="005F6F74"/>
    <w:rsid w:val="006044E6"/>
    <w:rsid w:val="006056AE"/>
    <w:rsid w:val="006068AE"/>
    <w:rsid w:val="00612E95"/>
    <w:rsid w:val="00615965"/>
    <w:rsid w:val="00617870"/>
    <w:rsid w:val="00620A56"/>
    <w:rsid w:val="00622480"/>
    <w:rsid w:val="006302F9"/>
    <w:rsid w:val="006307A2"/>
    <w:rsid w:val="00647D58"/>
    <w:rsid w:val="00653235"/>
    <w:rsid w:val="00655360"/>
    <w:rsid w:val="006563FE"/>
    <w:rsid w:val="00656D42"/>
    <w:rsid w:val="006614E1"/>
    <w:rsid w:val="00662BC7"/>
    <w:rsid w:val="00664475"/>
    <w:rsid w:val="00664BA8"/>
    <w:rsid w:val="006717CA"/>
    <w:rsid w:val="00674634"/>
    <w:rsid w:val="00675163"/>
    <w:rsid w:val="0067540D"/>
    <w:rsid w:val="006766F0"/>
    <w:rsid w:val="00676EBE"/>
    <w:rsid w:val="006831FB"/>
    <w:rsid w:val="00684F73"/>
    <w:rsid w:val="00696E43"/>
    <w:rsid w:val="006973F6"/>
    <w:rsid w:val="006A2C15"/>
    <w:rsid w:val="006A4AFA"/>
    <w:rsid w:val="006A5E2F"/>
    <w:rsid w:val="006A6A52"/>
    <w:rsid w:val="006B011D"/>
    <w:rsid w:val="006B0F9D"/>
    <w:rsid w:val="006B1DF4"/>
    <w:rsid w:val="006B4C94"/>
    <w:rsid w:val="006B6921"/>
    <w:rsid w:val="006B785D"/>
    <w:rsid w:val="006C06E6"/>
    <w:rsid w:val="006C4445"/>
    <w:rsid w:val="006C4AC4"/>
    <w:rsid w:val="006C5B8D"/>
    <w:rsid w:val="006D1B16"/>
    <w:rsid w:val="006D2E6F"/>
    <w:rsid w:val="006D43E4"/>
    <w:rsid w:val="006D6F55"/>
    <w:rsid w:val="006E5DD8"/>
    <w:rsid w:val="006F0D95"/>
    <w:rsid w:val="007031F4"/>
    <w:rsid w:val="00703CB6"/>
    <w:rsid w:val="0071344B"/>
    <w:rsid w:val="007172BC"/>
    <w:rsid w:val="00725AA6"/>
    <w:rsid w:val="00726858"/>
    <w:rsid w:val="00726AD1"/>
    <w:rsid w:val="00726CF7"/>
    <w:rsid w:val="00734874"/>
    <w:rsid w:val="00741225"/>
    <w:rsid w:val="007457AD"/>
    <w:rsid w:val="00745B81"/>
    <w:rsid w:val="007542F8"/>
    <w:rsid w:val="00766D4C"/>
    <w:rsid w:val="007750FF"/>
    <w:rsid w:val="00776D66"/>
    <w:rsid w:val="007779CE"/>
    <w:rsid w:val="00777ACD"/>
    <w:rsid w:val="00786884"/>
    <w:rsid w:val="00786FA2"/>
    <w:rsid w:val="00787FA9"/>
    <w:rsid w:val="007900AF"/>
    <w:rsid w:val="007A22E8"/>
    <w:rsid w:val="007A2B5C"/>
    <w:rsid w:val="007A33E6"/>
    <w:rsid w:val="007A4690"/>
    <w:rsid w:val="007A53AC"/>
    <w:rsid w:val="007B1BFE"/>
    <w:rsid w:val="007B1CB6"/>
    <w:rsid w:val="007B7515"/>
    <w:rsid w:val="007B7532"/>
    <w:rsid w:val="007C04DE"/>
    <w:rsid w:val="007C2363"/>
    <w:rsid w:val="007C63C2"/>
    <w:rsid w:val="007D233C"/>
    <w:rsid w:val="007D2D7F"/>
    <w:rsid w:val="007D586A"/>
    <w:rsid w:val="007E178C"/>
    <w:rsid w:val="007E39DF"/>
    <w:rsid w:val="007E7634"/>
    <w:rsid w:val="007F1332"/>
    <w:rsid w:val="007F5140"/>
    <w:rsid w:val="008017A2"/>
    <w:rsid w:val="00807F1C"/>
    <w:rsid w:val="00823BAB"/>
    <w:rsid w:val="0082465F"/>
    <w:rsid w:val="00824A43"/>
    <w:rsid w:val="00831832"/>
    <w:rsid w:val="00834CB9"/>
    <w:rsid w:val="00834DF7"/>
    <w:rsid w:val="00840139"/>
    <w:rsid w:val="00842FBD"/>
    <w:rsid w:val="00844B57"/>
    <w:rsid w:val="00845DE4"/>
    <w:rsid w:val="008517A9"/>
    <w:rsid w:val="00851F03"/>
    <w:rsid w:val="00854E41"/>
    <w:rsid w:val="0085622E"/>
    <w:rsid w:val="00856B72"/>
    <w:rsid w:val="00856F67"/>
    <w:rsid w:val="008579A9"/>
    <w:rsid w:val="008609C2"/>
    <w:rsid w:val="00861262"/>
    <w:rsid w:val="0086194F"/>
    <w:rsid w:val="008628F2"/>
    <w:rsid w:val="00863741"/>
    <w:rsid w:val="00865E51"/>
    <w:rsid w:val="00867092"/>
    <w:rsid w:val="0087189B"/>
    <w:rsid w:val="00872E28"/>
    <w:rsid w:val="00883CE8"/>
    <w:rsid w:val="0088569C"/>
    <w:rsid w:val="00887222"/>
    <w:rsid w:val="008922DC"/>
    <w:rsid w:val="00892FF5"/>
    <w:rsid w:val="008931BF"/>
    <w:rsid w:val="0089779D"/>
    <w:rsid w:val="008A0DBD"/>
    <w:rsid w:val="008A2118"/>
    <w:rsid w:val="008A38AA"/>
    <w:rsid w:val="008B0214"/>
    <w:rsid w:val="008B1229"/>
    <w:rsid w:val="008B1ADB"/>
    <w:rsid w:val="008B24E8"/>
    <w:rsid w:val="008B4CBF"/>
    <w:rsid w:val="008C202E"/>
    <w:rsid w:val="008C3D11"/>
    <w:rsid w:val="008C3D9F"/>
    <w:rsid w:val="008C73BA"/>
    <w:rsid w:val="008C77D6"/>
    <w:rsid w:val="008D3D04"/>
    <w:rsid w:val="008D4F53"/>
    <w:rsid w:val="008D6D5F"/>
    <w:rsid w:val="008D76AC"/>
    <w:rsid w:val="008D76C5"/>
    <w:rsid w:val="008E04C6"/>
    <w:rsid w:val="008E34EF"/>
    <w:rsid w:val="008E6E1B"/>
    <w:rsid w:val="008F72C9"/>
    <w:rsid w:val="00900442"/>
    <w:rsid w:val="00903493"/>
    <w:rsid w:val="009064F7"/>
    <w:rsid w:val="00906815"/>
    <w:rsid w:val="009101E1"/>
    <w:rsid w:val="00912DC4"/>
    <w:rsid w:val="00915B3D"/>
    <w:rsid w:val="00920589"/>
    <w:rsid w:val="00924B5F"/>
    <w:rsid w:val="00932898"/>
    <w:rsid w:val="009331AF"/>
    <w:rsid w:val="009449A6"/>
    <w:rsid w:val="00944C8F"/>
    <w:rsid w:val="00950FCD"/>
    <w:rsid w:val="009542B8"/>
    <w:rsid w:val="00962EA5"/>
    <w:rsid w:val="00966FC6"/>
    <w:rsid w:val="00967128"/>
    <w:rsid w:val="00967436"/>
    <w:rsid w:val="00971180"/>
    <w:rsid w:val="009727F9"/>
    <w:rsid w:val="009756DA"/>
    <w:rsid w:val="00977111"/>
    <w:rsid w:val="009802DF"/>
    <w:rsid w:val="00984958"/>
    <w:rsid w:val="009850BC"/>
    <w:rsid w:val="009871FB"/>
    <w:rsid w:val="00990682"/>
    <w:rsid w:val="00992213"/>
    <w:rsid w:val="0099258B"/>
    <w:rsid w:val="0099391D"/>
    <w:rsid w:val="009A455B"/>
    <w:rsid w:val="009A75A7"/>
    <w:rsid w:val="009B0A33"/>
    <w:rsid w:val="009B2095"/>
    <w:rsid w:val="009B28A5"/>
    <w:rsid w:val="009B50BD"/>
    <w:rsid w:val="009B6212"/>
    <w:rsid w:val="009C06DF"/>
    <w:rsid w:val="009C5368"/>
    <w:rsid w:val="009C62A9"/>
    <w:rsid w:val="009C77A0"/>
    <w:rsid w:val="009D1ADD"/>
    <w:rsid w:val="009D20BE"/>
    <w:rsid w:val="009D467A"/>
    <w:rsid w:val="009D5A87"/>
    <w:rsid w:val="009D6B80"/>
    <w:rsid w:val="009D705F"/>
    <w:rsid w:val="009E047C"/>
    <w:rsid w:val="009E50F5"/>
    <w:rsid w:val="009E76B1"/>
    <w:rsid w:val="009F0E17"/>
    <w:rsid w:val="009F2C9E"/>
    <w:rsid w:val="009F518A"/>
    <w:rsid w:val="009F7699"/>
    <w:rsid w:val="00A027CF"/>
    <w:rsid w:val="00A1203A"/>
    <w:rsid w:val="00A160E7"/>
    <w:rsid w:val="00A20893"/>
    <w:rsid w:val="00A21068"/>
    <w:rsid w:val="00A23109"/>
    <w:rsid w:val="00A26EAE"/>
    <w:rsid w:val="00A272D4"/>
    <w:rsid w:val="00A326A9"/>
    <w:rsid w:val="00A36D04"/>
    <w:rsid w:val="00A4058D"/>
    <w:rsid w:val="00A44BE1"/>
    <w:rsid w:val="00A50372"/>
    <w:rsid w:val="00A5159D"/>
    <w:rsid w:val="00A525BA"/>
    <w:rsid w:val="00A60A1E"/>
    <w:rsid w:val="00A63A2B"/>
    <w:rsid w:val="00A668B2"/>
    <w:rsid w:val="00A67A97"/>
    <w:rsid w:val="00A72846"/>
    <w:rsid w:val="00A758BC"/>
    <w:rsid w:val="00A76CBA"/>
    <w:rsid w:val="00A77F6F"/>
    <w:rsid w:val="00A80973"/>
    <w:rsid w:val="00A82800"/>
    <w:rsid w:val="00A85B90"/>
    <w:rsid w:val="00A86C8D"/>
    <w:rsid w:val="00A87EC3"/>
    <w:rsid w:val="00A92561"/>
    <w:rsid w:val="00A92B87"/>
    <w:rsid w:val="00A96409"/>
    <w:rsid w:val="00A96535"/>
    <w:rsid w:val="00A96C7B"/>
    <w:rsid w:val="00A96E71"/>
    <w:rsid w:val="00A97802"/>
    <w:rsid w:val="00AA085E"/>
    <w:rsid w:val="00AA2293"/>
    <w:rsid w:val="00AA295E"/>
    <w:rsid w:val="00AA5C6E"/>
    <w:rsid w:val="00AB3634"/>
    <w:rsid w:val="00AB6020"/>
    <w:rsid w:val="00AC2517"/>
    <w:rsid w:val="00AC3B8E"/>
    <w:rsid w:val="00AC508E"/>
    <w:rsid w:val="00AC6D63"/>
    <w:rsid w:val="00AD243A"/>
    <w:rsid w:val="00AD5C38"/>
    <w:rsid w:val="00AD68C0"/>
    <w:rsid w:val="00AD6FBB"/>
    <w:rsid w:val="00AE1650"/>
    <w:rsid w:val="00AE172C"/>
    <w:rsid w:val="00AE38A6"/>
    <w:rsid w:val="00AF5EC7"/>
    <w:rsid w:val="00AF6E87"/>
    <w:rsid w:val="00B0034F"/>
    <w:rsid w:val="00B0177A"/>
    <w:rsid w:val="00B01881"/>
    <w:rsid w:val="00B04B20"/>
    <w:rsid w:val="00B07444"/>
    <w:rsid w:val="00B15548"/>
    <w:rsid w:val="00B2323C"/>
    <w:rsid w:val="00B2710E"/>
    <w:rsid w:val="00B42C8B"/>
    <w:rsid w:val="00B45467"/>
    <w:rsid w:val="00B47BD7"/>
    <w:rsid w:val="00B52B2A"/>
    <w:rsid w:val="00B53391"/>
    <w:rsid w:val="00B57C99"/>
    <w:rsid w:val="00B60079"/>
    <w:rsid w:val="00B6068B"/>
    <w:rsid w:val="00B643CE"/>
    <w:rsid w:val="00B6545E"/>
    <w:rsid w:val="00B70FE1"/>
    <w:rsid w:val="00B71B26"/>
    <w:rsid w:val="00B735DB"/>
    <w:rsid w:val="00B766FA"/>
    <w:rsid w:val="00B76956"/>
    <w:rsid w:val="00B81973"/>
    <w:rsid w:val="00B82617"/>
    <w:rsid w:val="00B8726F"/>
    <w:rsid w:val="00B872F5"/>
    <w:rsid w:val="00B902FA"/>
    <w:rsid w:val="00B95E11"/>
    <w:rsid w:val="00B960C8"/>
    <w:rsid w:val="00B96581"/>
    <w:rsid w:val="00B97C26"/>
    <w:rsid w:val="00BA36D7"/>
    <w:rsid w:val="00BA4C45"/>
    <w:rsid w:val="00BA58E5"/>
    <w:rsid w:val="00BA6D10"/>
    <w:rsid w:val="00BA6E3A"/>
    <w:rsid w:val="00BB3696"/>
    <w:rsid w:val="00BB5821"/>
    <w:rsid w:val="00BB5B5E"/>
    <w:rsid w:val="00BB7481"/>
    <w:rsid w:val="00BC2D08"/>
    <w:rsid w:val="00BD13BF"/>
    <w:rsid w:val="00BE4053"/>
    <w:rsid w:val="00BE59F9"/>
    <w:rsid w:val="00BF57D1"/>
    <w:rsid w:val="00BF6CDF"/>
    <w:rsid w:val="00BF7EC2"/>
    <w:rsid w:val="00C00F51"/>
    <w:rsid w:val="00C0120F"/>
    <w:rsid w:val="00C01771"/>
    <w:rsid w:val="00C01EC6"/>
    <w:rsid w:val="00C025C5"/>
    <w:rsid w:val="00C02BF5"/>
    <w:rsid w:val="00C05D97"/>
    <w:rsid w:val="00C0782E"/>
    <w:rsid w:val="00C11B78"/>
    <w:rsid w:val="00C140EC"/>
    <w:rsid w:val="00C14367"/>
    <w:rsid w:val="00C158AD"/>
    <w:rsid w:val="00C17D49"/>
    <w:rsid w:val="00C21A2A"/>
    <w:rsid w:val="00C21C53"/>
    <w:rsid w:val="00C22C10"/>
    <w:rsid w:val="00C302FA"/>
    <w:rsid w:val="00C325E7"/>
    <w:rsid w:val="00C35D2B"/>
    <w:rsid w:val="00C36B1D"/>
    <w:rsid w:val="00C44203"/>
    <w:rsid w:val="00C47D8B"/>
    <w:rsid w:val="00C50FB4"/>
    <w:rsid w:val="00C53622"/>
    <w:rsid w:val="00C53D4F"/>
    <w:rsid w:val="00C545F0"/>
    <w:rsid w:val="00C55E62"/>
    <w:rsid w:val="00C5686C"/>
    <w:rsid w:val="00C64C35"/>
    <w:rsid w:val="00C65A9C"/>
    <w:rsid w:val="00C65B29"/>
    <w:rsid w:val="00C66F49"/>
    <w:rsid w:val="00C6772C"/>
    <w:rsid w:val="00C6788C"/>
    <w:rsid w:val="00C67A76"/>
    <w:rsid w:val="00C74438"/>
    <w:rsid w:val="00C74819"/>
    <w:rsid w:val="00C74DBE"/>
    <w:rsid w:val="00C76F4C"/>
    <w:rsid w:val="00C77181"/>
    <w:rsid w:val="00C8341E"/>
    <w:rsid w:val="00C85A76"/>
    <w:rsid w:val="00C86748"/>
    <w:rsid w:val="00C872A2"/>
    <w:rsid w:val="00C9237B"/>
    <w:rsid w:val="00C938B3"/>
    <w:rsid w:val="00CA0DE1"/>
    <w:rsid w:val="00CA0DF0"/>
    <w:rsid w:val="00CA6032"/>
    <w:rsid w:val="00CA6AC7"/>
    <w:rsid w:val="00CA6CB3"/>
    <w:rsid w:val="00CA7792"/>
    <w:rsid w:val="00CB123C"/>
    <w:rsid w:val="00CB1748"/>
    <w:rsid w:val="00CB5B09"/>
    <w:rsid w:val="00CB7762"/>
    <w:rsid w:val="00CC201B"/>
    <w:rsid w:val="00CC2845"/>
    <w:rsid w:val="00CC3D64"/>
    <w:rsid w:val="00CD1474"/>
    <w:rsid w:val="00CD2026"/>
    <w:rsid w:val="00CD5C62"/>
    <w:rsid w:val="00CD6C43"/>
    <w:rsid w:val="00CF0407"/>
    <w:rsid w:val="00CF07A3"/>
    <w:rsid w:val="00D01427"/>
    <w:rsid w:val="00D05DA1"/>
    <w:rsid w:val="00D066D8"/>
    <w:rsid w:val="00D07638"/>
    <w:rsid w:val="00D124EA"/>
    <w:rsid w:val="00D16A05"/>
    <w:rsid w:val="00D20381"/>
    <w:rsid w:val="00D21BC7"/>
    <w:rsid w:val="00D22147"/>
    <w:rsid w:val="00D2416F"/>
    <w:rsid w:val="00D27E4C"/>
    <w:rsid w:val="00D310BE"/>
    <w:rsid w:val="00D3278A"/>
    <w:rsid w:val="00D32B1F"/>
    <w:rsid w:val="00D4172F"/>
    <w:rsid w:val="00D41BBC"/>
    <w:rsid w:val="00D47051"/>
    <w:rsid w:val="00D60525"/>
    <w:rsid w:val="00D60714"/>
    <w:rsid w:val="00D62D30"/>
    <w:rsid w:val="00D62EFA"/>
    <w:rsid w:val="00D63260"/>
    <w:rsid w:val="00D64775"/>
    <w:rsid w:val="00D64906"/>
    <w:rsid w:val="00D66C4B"/>
    <w:rsid w:val="00D73690"/>
    <w:rsid w:val="00D76216"/>
    <w:rsid w:val="00D80C46"/>
    <w:rsid w:val="00D80F28"/>
    <w:rsid w:val="00D857C7"/>
    <w:rsid w:val="00D8793D"/>
    <w:rsid w:val="00D94A37"/>
    <w:rsid w:val="00D9546E"/>
    <w:rsid w:val="00DA07CB"/>
    <w:rsid w:val="00DA3651"/>
    <w:rsid w:val="00DA5D0A"/>
    <w:rsid w:val="00DA6CF5"/>
    <w:rsid w:val="00DC04A2"/>
    <w:rsid w:val="00DC0842"/>
    <w:rsid w:val="00DC0AFC"/>
    <w:rsid w:val="00DC12C5"/>
    <w:rsid w:val="00DC20B8"/>
    <w:rsid w:val="00DC2469"/>
    <w:rsid w:val="00DC4D80"/>
    <w:rsid w:val="00DC52E3"/>
    <w:rsid w:val="00DD1BB1"/>
    <w:rsid w:val="00DD7B2E"/>
    <w:rsid w:val="00DE3063"/>
    <w:rsid w:val="00DE3174"/>
    <w:rsid w:val="00DE36C4"/>
    <w:rsid w:val="00DE3A91"/>
    <w:rsid w:val="00DE745A"/>
    <w:rsid w:val="00DE7B1C"/>
    <w:rsid w:val="00DF059D"/>
    <w:rsid w:val="00DF539C"/>
    <w:rsid w:val="00E04083"/>
    <w:rsid w:val="00E05BC3"/>
    <w:rsid w:val="00E06DAA"/>
    <w:rsid w:val="00E07F40"/>
    <w:rsid w:val="00E10E0C"/>
    <w:rsid w:val="00E15497"/>
    <w:rsid w:val="00E16DD9"/>
    <w:rsid w:val="00E201A8"/>
    <w:rsid w:val="00E21732"/>
    <w:rsid w:val="00E24705"/>
    <w:rsid w:val="00E2746E"/>
    <w:rsid w:val="00E31068"/>
    <w:rsid w:val="00E34E13"/>
    <w:rsid w:val="00E35CFC"/>
    <w:rsid w:val="00E41987"/>
    <w:rsid w:val="00E42778"/>
    <w:rsid w:val="00E526AB"/>
    <w:rsid w:val="00E54CEA"/>
    <w:rsid w:val="00E55342"/>
    <w:rsid w:val="00E602AE"/>
    <w:rsid w:val="00E60AF8"/>
    <w:rsid w:val="00E60C87"/>
    <w:rsid w:val="00E663E5"/>
    <w:rsid w:val="00E74C92"/>
    <w:rsid w:val="00E83A76"/>
    <w:rsid w:val="00E85092"/>
    <w:rsid w:val="00E90C89"/>
    <w:rsid w:val="00E91DA7"/>
    <w:rsid w:val="00E96B6D"/>
    <w:rsid w:val="00EA358D"/>
    <w:rsid w:val="00EA45BB"/>
    <w:rsid w:val="00EA67F1"/>
    <w:rsid w:val="00EB2B89"/>
    <w:rsid w:val="00EB3335"/>
    <w:rsid w:val="00EB4A13"/>
    <w:rsid w:val="00EB539C"/>
    <w:rsid w:val="00EB613A"/>
    <w:rsid w:val="00EC0204"/>
    <w:rsid w:val="00EC5653"/>
    <w:rsid w:val="00EC76CE"/>
    <w:rsid w:val="00ED21AF"/>
    <w:rsid w:val="00ED6087"/>
    <w:rsid w:val="00ED6570"/>
    <w:rsid w:val="00EE67F3"/>
    <w:rsid w:val="00EE754B"/>
    <w:rsid w:val="00EE7AD6"/>
    <w:rsid w:val="00EF2EA0"/>
    <w:rsid w:val="00EF4251"/>
    <w:rsid w:val="00F00F2E"/>
    <w:rsid w:val="00F02543"/>
    <w:rsid w:val="00F02681"/>
    <w:rsid w:val="00F06B99"/>
    <w:rsid w:val="00F12832"/>
    <w:rsid w:val="00F12E22"/>
    <w:rsid w:val="00F133E1"/>
    <w:rsid w:val="00F134FC"/>
    <w:rsid w:val="00F16D46"/>
    <w:rsid w:val="00F175CC"/>
    <w:rsid w:val="00F21EC1"/>
    <w:rsid w:val="00F31FEF"/>
    <w:rsid w:val="00F32648"/>
    <w:rsid w:val="00F40300"/>
    <w:rsid w:val="00F418F8"/>
    <w:rsid w:val="00F4643D"/>
    <w:rsid w:val="00F51A4D"/>
    <w:rsid w:val="00F638E9"/>
    <w:rsid w:val="00F63CD9"/>
    <w:rsid w:val="00F6431E"/>
    <w:rsid w:val="00F65DA1"/>
    <w:rsid w:val="00F678DB"/>
    <w:rsid w:val="00F67E03"/>
    <w:rsid w:val="00F67FEC"/>
    <w:rsid w:val="00F7706D"/>
    <w:rsid w:val="00F81DDA"/>
    <w:rsid w:val="00F84533"/>
    <w:rsid w:val="00F8498B"/>
    <w:rsid w:val="00F85C59"/>
    <w:rsid w:val="00F86281"/>
    <w:rsid w:val="00F86D3E"/>
    <w:rsid w:val="00F87BDC"/>
    <w:rsid w:val="00F94397"/>
    <w:rsid w:val="00F96009"/>
    <w:rsid w:val="00F9783A"/>
    <w:rsid w:val="00F97FC0"/>
    <w:rsid w:val="00FA5345"/>
    <w:rsid w:val="00FB7ED6"/>
    <w:rsid w:val="00FC0344"/>
    <w:rsid w:val="00FD074B"/>
    <w:rsid w:val="00FD1576"/>
    <w:rsid w:val="00FD3187"/>
    <w:rsid w:val="00FD3994"/>
    <w:rsid w:val="00FD4767"/>
    <w:rsid w:val="00FF0F1C"/>
    <w:rsid w:val="00FF3C50"/>
    <w:rsid w:val="00FF3EA8"/>
    <w:rsid w:val="00FF513E"/>
    <w:rsid w:val="00FF5D62"/>
    <w:rsid w:val="00FF66E3"/>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D808F07"/>
  <w15:docId w15:val="{1F9F3BE7-AA62-4752-85FE-B928E6E5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49"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56D42"/>
    <w:pPr>
      <w:numPr>
        <w:ilvl w:val="1"/>
        <w:numId w:val="19"/>
      </w:numPr>
    </w:pPr>
  </w:style>
  <w:style w:type="character" w:customStyle="1" w:styleId="BodyText2Char">
    <w:name w:val="Body Text 2 Char"/>
    <w:basedOn w:val="DefaultParagraphFont"/>
    <w:link w:val="BodyText2"/>
    <w:rsid w:val="00656D42"/>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99"/>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semiHidden/>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semiHidden/>
    <w:rsid w:val="00E83A76"/>
    <w:rPr>
      <w:sz w:val="20"/>
    </w:rPr>
  </w:style>
  <w:style w:type="character" w:styleId="FootnoteReference">
    <w:name w:val="footnote reference"/>
    <w:basedOn w:val="DefaultParagraphFont"/>
    <w:uiPriority w:val="99"/>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91DA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qFormat/>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19"/>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19"/>
      </w:numPr>
    </w:pPr>
  </w:style>
  <w:style w:type="paragraph" w:customStyle="1" w:styleId="Default">
    <w:name w:val="Default"/>
    <w:rsid w:val="00D41BBC"/>
    <w:pPr>
      <w:autoSpaceDE w:val="0"/>
      <w:autoSpaceDN w:val="0"/>
      <w:adjustRightInd w:val="0"/>
      <w:spacing w:after="0"/>
    </w:pPr>
    <w:rPr>
      <w:rFonts w:ascii="Segoe UI" w:hAnsi="Segoe UI" w:cs="Segoe UI"/>
      <w:color w:val="000000"/>
    </w:rPr>
  </w:style>
  <w:style w:type="paragraph" w:styleId="ListParagraph">
    <w:name w:val="List Paragraph"/>
    <w:basedOn w:val="Normal"/>
    <w:uiPriority w:val="99"/>
    <w:rsid w:val="00D41BBC"/>
    <w:pPr>
      <w:ind w:left="720"/>
      <w:contextualSpacing/>
    </w:pPr>
  </w:style>
  <w:style w:type="character" w:styleId="CommentReference">
    <w:name w:val="annotation reference"/>
    <w:basedOn w:val="DefaultParagraphFont"/>
    <w:uiPriority w:val="49"/>
    <w:semiHidden/>
    <w:unhideWhenUsed/>
    <w:rsid w:val="00B0034F"/>
    <w:rPr>
      <w:sz w:val="16"/>
      <w:szCs w:val="16"/>
    </w:rPr>
  </w:style>
  <w:style w:type="paragraph" w:styleId="CommentText">
    <w:name w:val="annotation text"/>
    <w:basedOn w:val="Normal"/>
    <w:link w:val="CommentTextChar"/>
    <w:uiPriority w:val="49"/>
    <w:unhideWhenUsed/>
    <w:rsid w:val="00B0034F"/>
    <w:rPr>
      <w:sz w:val="20"/>
      <w:szCs w:val="20"/>
    </w:rPr>
  </w:style>
  <w:style w:type="character" w:customStyle="1" w:styleId="CommentTextChar">
    <w:name w:val="Comment Text Char"/>
    <w:basedOn w:val="DefaultParagraphFont"/>
    <w:link w:val="CommentText"/>
    <w:uiPriority w:val="49"/>
    <w:rsid w:val="00B0034F"/>
    <w:rPr>
      <w:sz w:val="20"/>
      <w:szCs w:val="20"/>
    </w:rPr>
  </w:style>
  <w:style w:type="paragraph" w:styleId="CommentSubject">
    <w:name w:val="annotation subject"/>
    <w:basedOn w:val="CommentText"/>
    <w:next w:val="CommentText"/>
    <w:link w:val="CommentSubjectChar"/>
    <w:uiPriority w:val="49"/>
    <w:semiHidden/>
    <w:unhideWhenUsed/>
    <w:rsid w:val="00B0034F"/>
    <w:rPr>
      <w:b/>
      <w:bCs/>
    </w:rPr>
  </w:style>
  <w:style w:type="character" w:customStyle="1" w:styleId="CommentSubjectChar">
    <w:name w:val="Comment Subject Char"/>
    <w:basedOn w:val="CommentTextChar"/>
    <w:link w:val="CommentSubject"/>
    <w:uiPriority w:val="49"/>
    <w:semiHidden/>
    <w:rsid w:val="00B0034F"/>
    <w:rPr>
      <w:b/>
      <w:bCs/>
      <w:sz w:val="20"/>
      <w:szCs w:val="20"/>
    </w:rPr>
  </w:style>
  <w:style w:type="paragraph" w:styleId="Revision">
    <w:name w:val="Revision"/>
    <w:hidden/>
    <w:uiPriority w:val="99"/>
    <w:semiHidden/>
    <w:rsid w:val="003F010C"/>
    <w:pPr>
      <w:spacing w:after="0"/>
    </w:pPr>
  </w:style>
  <w:style w:type="paragraph" w:customStyle="1" w:styleId="ActTitle">
    <w:name w:val="Act Title"/>
    <w:basedOn w:val="Normal"/>
    <w:next w:val="IntroTo"/>
    <w:rsid w:val="003B5943"/>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3B5943"/>
    <w:pPr>
      <w:spacing w:after="0"/>
      <w:ind w:left="720" w:hanging="720"/>
    </w:pPr>
    <w:rPr>
      <w:rFonts w:eastAsia="Times New Roman"/>
      <w:szCs w:val="20"/>
      <w:lang w:eastAsia="en-US"/>
    </w:rPr>
  </w:style>
  <w:style w:type="paragraph" w:customStyle="1" w:styleId="IH">
    <w:name w:val="IH"/>
    <w:aliases w:val="Interpretation heading"/>
    <w:basedOn w:val="Normal"/>
    <w:next w:val="Normal"/>
    <w:rsid w:val="003B5943"/>
    <w:pPr>
      <w:keepNext/>
      <w:spacing w:before="480" w:after="0"/>
      <w:ind w:left="964" w:hanging="964"/>
    </w:pPr>
    <w:rPr>
      <w:rFonts w:ascii="Arial" w:eastAsia="Times New Roman" w:hAnsi="Arial"/>
      <w:b/>
      <w:lang w:eastAsia="en-US"/>
    </w:rPr>
  </w:style>
  <w:style w:type="paragraph" w:customStyle="1" w:styleId="IP">
    <w:name w:val="IP"/>
    <w:aliases w:val="Interpretation paragraph"/>
    <w:basedOn w:val="Normal"/>
    <w:next w:val="Normal"/>
    <w:rsid w:val="003B5943"/>
    <w:pPr>
      <w:keepNext/>
      <w:tabs>
        <w:tab w:val="right" w:pos="794"/>
      </w:tabs>
      <w:spacing w:before="120" w:after="0" w:line="260" w:lineRule="exact"/>
      <w:ind w:left="964" w:hanging="964"/>
      <w:jc w:val="both"/>
    </w:pPr>
    <w:rPr>
      <w:rFonts w:eastAsia="Times New Roman"/>
      <w:lang w:eastAsia="en-US"/>
    </w:rPr>
  </w:style>
  <w:style w:type="paragraph" w:customStyle="1" w:styleId="AS">
    <w:name w:val="AS"/>
    <w:aliases w:val="Schedule title Amendment"/>
    <w:basedOn w:val="Normal"/>
    <w:next w:val="ASref"/>
    <w:rsid w:val="003B5943"/>
    <w:pPr>
      <w:keepNext/>
      <w:autoSpaceDE w:val="0"/>
      <w:autoSpaceDN w:val="0"/>
      <w:spacing w:before="480" w:after="0"/>
      <w:ind w:left="2410" w:hanging="2410"/>
    </w:pPr>
    <w:rPr>
      <w:rFonts w:ascii="Arial" w:eastAsia="Times New Roman" w:hAnsi="Arial" w:cs="Arial"/>
      <w:b/>
      <w:bCs/>
      <w:sz w:val="32"/>
      <w:szCs w:val="32"/>
    </w:rPr>
  </w:style>
  <w:style w:type="paragraph" w:customStyle="1" w:styleId="ASref">
    <w:name w:val="AS ref"/>
    <w:basedOn w:val="Normal"/>
    <w:next w:val="Normal"/>
    <w:rsid w:val="003B5943"/>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No">
    <w:name w:val="CharSchNo"/>
    <w:basedOn w:val="DefaultParagraphFont"/>
    <w:rsid w:val="003B5943"/>
  </w:style>
  <w:style w:type="character" w:customStyle="1" w:styleId="CharSchText">
    <w:name w:val="CharSchText"/>
    <w:basedOn w:val="DefaultParagraphFont"/>
    <w:rsid w:val="003B5943"/>
  </w:style>
  <w:style w:type="paragraph" w:customStyle="1" w:styleId="Determination1">
    <w:name w:val="Determination 1"/>
    <w:basedOn w:val="BodyText1"/>
    <w:qFormat/>
    <w:rsid w:val="00FB7ED6"/>
    <w:pPr>
      <w:numPr>
        <w:numId w:val="43"/>
      </w:numPr>
      <w:tabs>
        <w:tab w:val="left" w:pos="567"/>
      </w:tabs>
      <w:ind w:left="567" w:hanging="567"/>
    </w:pPr>
  </w:style>
  <w:style w:type="paragraph" w:customStyle="1" w:styleId="Determination2">
    <w:name w:val="Determination 2"/>
    <w:basedOn w:val="BodyText2"/>
    <w:qFormat/>
    <w:rsid w:val="0025365F"/>
    <w:pPr>
      <w:numPr>
        <w:ilvl w:val="0"/>
        <w:numId w:val="44"/>
      </w:numPr>
      <w:tabs>
        <w:tab w:val="left" w:pos="1134"/>
      </w:tabs>
      <w:ind w:left="1134" w:hanging="567"/>
    </w:pPr>
  </w:style>
  <w:style w:type="paragraph" w:styleId="NormalWeb">
    <w:name w:val="Normal (Web)"/>
    <w:basedOn w:val="Normal"/>
    <w:uiPriority w:val="99"/>
    <w:semiHidden/>
    <w:unhideWhenUsed/>
    <w:rsid w:val="0087189B"/>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7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p:properties xmlns:p="http://schemas.microsoft.com/office/2006/metadata/properties" xmlns:xsi="http://www.w3.org/2001/XMLSchema-instance" xmlns:pc="http://schemas.microsoft.com/office/infopath/2007/PartnerControls">
  <documentManagement>
    <APRADocScanCheck xmlns="814d62cb-2db6-4c25-ab62-b9075facbc11">false</APRADocScanCheck>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l003ee8eff60461aa1bd0027aba92ea4 xmlns="814d62cb-2db6-4c25-ab62-b9075facbc11">
      <Terms xmlns="http://schemas.microsoft.com/office/infopath/2007/PartnerControls"/>
    </l003ee8eff60461aa1bd0027aba92ea4>
    <APRASecurityClassification xmlns="814d62cb-2db6-4c25-ab62-b9075facbc11">OFFICIAL</APRASecurityClassification>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_dlc_DocId xmlns="814d62cb-2db6-4c25-ab62-b9075facbc11">5JENXJJSCC7A-445999044-11863</_dlc_DocId>
    <APRAOwner xmlns="814d62cb-2db6-4c25-ab62-b9075facbc11">
      <UserInfo>
        <DisplayName/>
        <AccountId xsi:nil="true"/>
        <AccountType/>
      </UserInfo>
    </APRAOwner>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APRADescription xmlns="814d62cb-2db6-4c25-ab62-b9075facbc11">APS 115 Capital Adequacy: Advanced Measurement Approaches to Operational Risk</APRADescription>
    <APRAApprovedBy xmlns="814d62cb-2db6-4c25-ab62-b9075facbc11">
      <UserInfo>
        <DisplayName/>
        <AccountId xsi:nil="true"/>
        <AccountType/>
      </UserInfo>
    </APRAApprovedBy>
    <i08e72d8ce2b4ffa9361f9f4e0a63abc xmlns="814d62cb-2db6-4c25-ab62-b9075facbc11">
      <Terms xmlns="http://schemas.microsoft.com/office/infopath/2007/PartnerControls"/>
    </i08e72d8ce2b4ffa9361f9f4e0a63abc>
    <f284b4f8578a44cfae4f67a86df81119 xmlns="814d62cb-2db6-4c25-ab62-b9075facbc11">
      <Terms xmlns="http://schemas.microsoft.com/office/infopath/2007/PartnerControls"/>
    </f284b4f8578a44cfae4f67a86df81119>
    <APRAKeywords xmlns="814d62cb-2db6-4c25-ab62-b9075facbc11" xsi:nil="true"/>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ic4067bd02f14cf3a95ad35878404a71 xmlns="814d62cb-2db6-4c25-ab62-b9075facbc11">
      <Terms xmlns="http://schemas.microsoft.com/office/infopath/2007/PartnerControls"/>
    </ic4067bd02f14cf3a95ad35878404a71>
    <k4bcc0d734474fea9fb713d9c415b4b0 xmlns="814d62cb-2db6-4c25-ab62-b9075facbc11">
      <Terms xmlns="http://schemas.microsoft.com/office/infopath/2007/PartnerControls"/>
    </k4bcc0d734474fea9fb713d9c415b4b0>
    <_dlc_DocIdUrl xmlns="814d62cb-2db6-4c25-ab62-b9075facbc11">
      <Url>https://im/teams/LEGAL/_layouts/15/DocIdRedir.aspx?ID=5JENXJJSCC7A-445999044-11863</Url>
      <Description>5JENXJJSCC7A-445999044-11863</Description>
    </_dlc_DocIdUrl>
    <j724204a644741eb9f777fcb03fe8840 xmlns="814d62cb-2db6-4c25-ab62-b9075facbc11">
      <Terms xmlns="http://schemas.microsoft.com/office/infopath/2007/PartnerControls"/>
    </j724204a644741eb9f777fcb03fe8840>
    <APRADate xmlns="814d62cb-2db6-4c25-ab62-b9075facbc11" xsi:nil="true"/>
    <aa36a5a650d54f768f171f4d17b8b238 xmlns="814d62cb-2db6-4c25-ab62-b9075facbc11">
      <Terms xmlns="http://schemas.microsoft.com/office/infopath/2007/PartnerControls"/>
    </aa36a5a650d54f768f171f4d17b8b238>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m2df5fdf6d1643b4a596982762bb3d00 xmlns="814d62cb-2db6-4c25-ab62-b9075facbc11">
      <Terms xmlns="http://schemas.microsoft.com/office/infopath/2007/PartnerControls"/>
    </m2df5fdf6d1643b4a596982762bb3d00>
    <APRAApprovalDate xmlns="814d62cb-2db6-4c25-ab62-b9075facbc11" xsi:nil="true"/>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TaxCatchAll xmlns="814d62cb-2db6-4c25-ab62-b9075facbc11">
      <Value>24</Value>
      <Value>83</Value>
      <Value>58</Value>
      <Value>134</Value>
      <Value>10</Value>
      <Value>26</Value>
      <Value>93</Value>
      <Value>109</Value>
      <Value>142</Value>
      <Value>19</Value>
    </TaxCatchAll>
    <APRAActivityID xmlns="814d62cb-2db6-4c25-ab62-b9075facbc11" xsi:nil="true"/>
    <APRAMeetingDate xmlns="814d62cb-2db6-4c25-ab62-b9075facbc11" xsi:nil="true"/>
    <APRAMeetingNumber xmlns="814d62cb-2db6-4c25-ab62-b9075facbc11" xsi:nil="true"/>
  </documentManagement>
</p:properti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4AFD52-AFC7-4CFA-8A50-BEA2C9FA523F}">
  <ds:schemaRefs>
    <ds:schemaRef ds:uri="http://schemas.openxmlformats.org/officeDocument/2006/bibliography"/>
  </ds:schemaRefs>
</ds:datastoreItem>
</file>

<file path=customXml/itemProps2.xml><?xml version="1.0" encoding="utf-8"?>
<ds:datastoreItem xmlns:ds="http://schemas.openxmlformats.org/officeDocument/2006/customXml" ds:itemID="{1DB1DDF2-B9F2-49AE-9887-29C036C4B389}">
  <ds:schemaRefs>
    <ds:schemaRef ds:uri="http://schemas.microsoft.com/sharepoint/v3/contenttype/forms"/>
  </ds:schemaRefs>
</ds:datastoreItem>
</file>

<file path=customXml/itemProps3.xml><?xml version="1.0" encoding="utf-8"?>
<ds:datastoreItem xmlns:ds="http://schemas.openxmlformats.org/officeDocument/2006/customXml" ds:itemID="{7A3F6639-4E25-466C-8C85-C7D468D16948}">
  <ds:schemaRefs>
    <ds:schemaRef ds:uri="http://schemas.microsoft.com/sharepoint/events"/>
  </ds:schemaRefs>
</ds:datastoreItem>
</file>

<file path=customXml/itemProps4.xml><?xml version="1.0" encoding="utf-8"?>
<ds:datastoreItem xmlns:ds="http://schemas.openxmlformats.org/officeDocument/2006/customXml" ds:itemID="{D9AE1AD9-C477-416E-9FDF-20B94B04E1D5}">
  <ds:schemaRefs>
    <ds:schemaRef ds:uri="Microsoft.SharePoint.Taxonomy.ContentTypeSync"/>
  </ds:schemaRefs>
</ds:datastoreItem>
</file>

<file path=customXml/itemProps5.xml><?xml version="1.0" encoding="utf-8"?>
<ds:datastoreItem xmlns:ds="http://schemas.openxmlformats.org/officeDocument/2006/customXml" ds:itemID="{02CA97AC-0215-4B68-ABE5-882D0B3F22E6}">
  <ds:schemaRefs>
    <ds:schemaRef ds:uri="http://purl.org/dc/dcmitype/"/>
    <ds:schemaRef ds:uri="http://schemas.openxmlformats.org/package/2006/metadata/core-properties"/>
    <ds:schemaRef ds:uri="http://www.w3.org/XML/1998/namespace"/>
    <ds:schemaRef ds:uri="814d62cb-2db6-4c25-ab62-b9075facbc11"/>
    <ds:schemaRef ds:uri="http://schemas.microsoft.com/office/2006/metadata/properties"/>
    <ds:schemaRef ds:uri="http://schemas.microsoft.com/office/2006/documentManagement/types"/>
    <ds:schemaRef ds:uri="http://schemas.microsoft.com/office/infopath/2007/PartnerControls"/>
    <ds:schemaRef ds:uri="http://purl.org/dc/terms/"/>
    <ds:schemaRef ds:uri="http://purl.org/dc/elements/1.1/"/>
  </ds:schemaRefs>
</ds:datastoreItem>
</file>

<file path=customXml/itemProps6.xml><?xml version="1.0" encoding="utf-8"?>
<ds:datastoreItem xmlns:ds="http://schemas.openxmlformats.org/officeDocument/2006/customXml" ds:itemID="{13FD7F57-5877-458A-A7D3-878E008EC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1965</Words>
  <Characters>10730</Characters>
  <Application>Microsoft Office Word</Application>
  <DocSecurity>0</DocSecurity>
  <Lines>243</Lines>
  <Paragraphs>128</Paragraphs>
  <ScaleCrop>false</ScaleCrop>
  <HeadingPairs>
    <vt:vector size="2" baseType="variant">
      <vt:variant>
        <vt:lpstr>Title</vt:lpstr>
      </vt:variant>
      <vt:variant>
        <vt:i4>1</vt:i4>
      </vt:variant>
    </vt:vector>
  </HeadingPairs>
  <TitlesOfParts>
    <vt:vector size="1" baseType="lpstr">
      <vt:lpstr>APS 115 Capital Adequacy - Standardised Approach to Op Risk - marked up</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8 of 2022</dc:title>
  <dc:creator>Toni Michalis</dc:creator>
  <cp:keywords>[SEC=OFFICIAL]</cp:keywords>
  <cp:lastModifiedBy>Toni Michalis</cp:lastModifiedBy>
  <cp:revision>2</cp:revision>
  <dcterms:created xsi:type="dcterms:W3CDTF">2022-12-01T06:21:00Z</dcterms:created>
  <dcterms:modified xsi:type="dcterms:W3CDTF">2022-12-01T06:21:00Z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Originating_FileId">
    <vt:lpwstr>9CDD4A8A38FF4D3681F9F9DB8CFE362E</vt:lpwstr>
  </property>
  <property fmtid="{D5CDD505-2E9C-101B-9397-08002B2CF9AE}" pid="4" name="PM_ProtectiveMarkingImage_Header">
    <vt:lpwstr>C:\Program Files\Common Files\janusNET Shared\janusSEAL\Images\DocumentSlashBlue.png</vt:lpwstr>
  </property>
  <property fmtid="{D5CDD505-2E9C-101B-9397-08002B2CF9AE}" pid="5" name="PM_ProtectiveMarkingImage_Footer">
    <vt:lpwstr>C:\Program Files\Common Files\janusNET Shared\janusSEAL\Images\DocumentSlashBlue.png</vt:lpwstr>
  </property>
  <property fmtid="{D5CDD505-2E9C-101B-9397-08002B2CF9AE}" pid="6" name="PM_Markers">
    <vt:lpwstr/>
  </property>
  <property fmtid="{D5CDD505-2E9C-101B-9397-08002B2CF9AE}" pid="7" name="PM_Note">
    <vt:lpwstr/>
  </property>
  <property fmtid="{D5CDD505-2E9C-101B-9397-08002B2CF9AE}" pid="8" name="PM_Qualifier_Prev">
    <vt:lpwstr/>
  </property>
  <property fmtid="{D5CDD505-2E9C-101B-9397-08002B2CF9AE}" pid="9" name="PM_Version">
    <vt:lpwstr>2018.3</vt:lpwstr>
  </property>
  <property fmtid="{D5CDD505-2E9C-101B-9397-08002B2CF9AE}" pid="10" name="PM_Qualifier">
    <vt:lpwstr/>
  </property>
  <property fmtid="{D5CDD505-2E9C-101B-9397-08002B2CF9AE}" pid="11" name="PM_SecurityClassification_Prev">
    <vt:lpwstr>OFFICIAL</vt:lpwstr>
  </property>
  <property fmtid="{D5CDD505-2E9C-101B-9397-08002B2CF9AE}" pid="12" name="PM_InsertionValue">
    <vt:lpwstr>OFFICIAL</vt:lpwstr>
  </property>
  <property fmtid="{D5CDD505-2E9C-101B-9397-08002B2CF9AE}" pid="13" name="PM_MinimumSecurityClassification">
    <vt:lpwstr/>
  </property>
  <property fmtid="{D5CDD505-2E9C-101B-9397-08002B2CF9AE}" pid="14" name="PM_SecurityClassification">
    <vt:lpwstr>OFFICIAL</vt:lpwstr>
  </property>
  <property fmtid="{D5CDD505-2E9C-101B-9397-08002B2CF9AE}" pid="15" name="PM_ProtectiveMarkingValue_Header">
    <vt:lpwstr>OFFICIAL</vt:lpwstr>
  </property>
  <property fmtid="{D5CDD505-2E9C-101B-9397-08002B2CF9AE}" pid="16" name="PM_Caveats_Count">
    <vt:lpwstr>0</vt:lpwstr>
  </property>
  <property fmtid="{D5CDD505-2E9C-101B-9397-08002B2CF9AE}" pid="17" name="PM_Namespace">
    <vt:lpwstr>gov.au</vt:lpwstr>
  </property>
  <property fmtid="{D5CDD505-2E9C-101B-9397-08002B2CF9AE}" pid="18" name="PM_DisplayValueSecClassificationWithQualifier">
    <vt:lpwstr>OFFICIAL</vt:lpwstr>
  </property>
  <property fmtid="{D5CDD505-2E9C-101B-9397-08002B2CF9AE}" pid="19" name="PM_Hash_Version">
    <vt:lpwstr>2018.0</vt:lpwstr>
  </property>
  <property fmtid="{D5CDD505-2E9C-101B-9397-08002B2CF9AE}" pid="20" name="PM_Display">
    <vt:lpwstr>OFFICIAL</vt:lpwstr>
  </property>
  <property fmtid="{D5CDD505-2E9C-101B-9397-08002B2CF9AE}" pid="21" name="PM_OriginatorDomainName_SHA256">
    <vt:lpwstr>ECBDE2B44A971754412B3FB70606937A119CC0D4B6C1B658A40FBD41C30BE3EC</vt:lpwstr>
  </property>
  <property fmtid="{D5CDD505-2E9C-101B-9397-08002B2CF9AE}" pid="22" name="PMUuid">
    <vt:lpwstr>2A74E7A6-2821-5142-8C4A-BF7684DF216B</vt:lpwstr>
  </property>
  <property fmtid="{D5CDD505-2E9C-101B-9397-08002B2CF9AE}" pid="23" name="PMUuidVer">
    <vt:lpwstr>2022.1</vt:lpwstr>
  </property>
  <property fmtid="{D5CDD505-2E9C-101B-9397-08002B2CF9AE}" pid="24" name="IsLocked">
    <vt:lpwstr>False</vt:lpwstr>
  </property>
  <property fmtid="{D5CDD505-2E9C-101B-9397-08002B2CF9AE}" pid="25" name="RecordPoint_SubmissionDate">
    <vt:lpwstr/>
  </property>
  <property fmtid="{D5CDD505-2E9C-101B-9397-08002B2CF9AE}" pid="26" name="RecordPoint_RecordNumberSubmitted">
    <vt:lpwstr/>
  </property>
  <property fmtid="{D5CDD505-2E9C-101B-9397-08002B2CF9AE}" pid="27"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8" name="ContentTypeId">
    <vt:lpwstr>0x0101008CA7A4F8331B45C7B0D3158B4994D0CA0200577EC0F5A1FBFC498F9A8436B963F8A6</vt:lpwstr>
  </property>
  <property fmtid="{D5CDD505-2E9C-101B-9397-08002B2CF9AE}" pid="29" name="RecordPoint_WorkflowType">
    <vt:lpwstr>ActiveSubmitStub</vt:lpwstr>
  </property>
  <property fmtid="{D5CDD505-2E9C-101B-9397-08002B2CF9AE}" pid="30" name="APRAPeerGroup">
    <vt:lpwstr/>
  </property>
  <property fmtid="{D5CDD505-2E9C-101B-9397-08002B2CF9AE}" pid="31" name="APRACategory">
    <vt:lpwstr/>
  </property>
  <property fmtid="{D5CDD505-2E9C-101B-9397-08002B2CF9AE}" pid="32" name="_dlc_DocIdItemGuid">
    <vt:lpwstr>5227958d-944e-4fc8-b76d-03777da10194</vt:lpwstr>
  </property>
  <property fmtid="{D5CDD505-2E9C-101B-9397-08002B2CF9AE}" pid="33" name="APRADocumentType">
    <vt:lpwstr>142;#Prudential standard|6ce5a155-9ab2-41e3-9b2a-5baab4b7f1d1;#58;#Legal instrument|71fd6ed3-d6d6-4975-ba99-bfe45802e734</vt:lpwstr>
  </property>
  <property fmtid="{D5CDD505-2E9C-101B-9397-08002B2CF9AE}" pid="34" name="APRAStatus">
    <vt:lpwstr>19;#Final|84d6b2d0-8498-4d62-bf46-bab38babbe9e</vt:lpwstr>
  </property>
  <property fmtid="{D5CDD505-2E9C-101B-9397-08002B2CF9AE}" pid="35" name="APRAPRSG">
    <vt:lpwstr/>
  </property>
  <property fmtid="{D5CDD505-2E9C-101B-9397-08002B2CF9AE}" pid="36" name="RecordPoint_ActiveItemSiteId">
    <vt:lpwstr>{88691c01-5bbb-4215-adc0-66cb7065b0af}</vt:lpwstr>
  </property>
  <property fmtid="{D5CDD505-2E9C-101B-9397-08002B2CF9AE}" pid="37" name="APRAReportingGroup">
    <vt:lpwstr/>
  </property>
  <property fmtid="{D5CDD505-2E9C-101B-9397-08002B2CF9AE}" pid="38" name="APRAActivity">
    <vt:lpwstr>10;#Registration|390476ce-d76d-4e8d-905f-28e32d2df127;#109;#Statutory instrument|fe68928c-5a9c-4caf-bc8c-6c18cedcb17f</vt:lpwstr>
  </property>
  <property fmtid="{D5CDD505-2E9C-101B-9397-08002B2CF9AE}" pid="39" name="APRAEntityAdviceSupport">
    <vt:lpwstr/>
  </property>
  <property fmtid="{D5CDD505-2E9C-101B-9397-08002B2CF9AE}" pid="40" name="APRATemplateType">
    <vt:lpwstr>23;#Policy|f1d41970-be64-43ea-8d6f-300cb1384ee7</vt:lpwstr>
  </property>
  <property fmtid="{D5CDD505-2E9C-101B-9397-08002B2CF9AE}" pid="41" name="RecordPoint_ActiveItemListId">
    <vt:lpwstr>{0e59e171-09d8-4401-800a-327154450cb3}</vt:lpwstr>
  </property>
  <property fmtid="{D5CDD505-2E9C-101B-9397-08002B2CF9AE}" pid="42" name="APRAYear">
    <vt:lpwstr/>
  </property>
  <property fmtid="{D5CDD505-2E9C-101B-9397-08002B2CF9AE}" pid="43" name="APRAIndustry">
    <vt:lpwstr/>
  </property>
  <property fmtid="{D5CDD505-2E9C-101B-9397-08002B2CF9AE}" pid="44" name="APRALegislation">
    <vt:lpwstr/>
  </property>
  <property fmtid="{D5CDD505-2E9C-101B-9397-08002B2CF9AE}" pid="45" name="RecordPoint_ActiveItemUniqueId">
    <vt:lpwstr>{5227958d-944e-4fc8-b76d-03777da10194}</vt:lpwstr>
  </property>
  <property fmtid="{D5CDD505-2E9C-101B-9397-08002B2CF9AE}" pid="46" name="RecordPoint_ActiveItemMoved">
    <vt:lpwstr/>
  </property>
  <property fmtid="{D5CDD505-2E9C-101B-9397-08002B2CF9AE}" pid="47" name="RecordPoint_RecordFormat">
    <vt:lpwstr/>
  </property>
  <property fmtid="{D5CDD505-2E9C-101B-9397-08002B2CF9AE}" pid="48" name="_docset_NoMedatataSyncRequired">
    <vt:lpwstr>False</vt:lpwstr>
  </property>
  <property fmtid="{D5CDD505-2E9C-101B-9397-08002B2CF9AE}" pid="49" name="Language">
    <vt:lpwstr>English</vt:lpwstr>
  </property>
  <property fmtid="{D5CDD505-2E9C-101B-9397-08002B2CF9AE}" pid="50" name="APRAExternalOrganisation">
    <vt:lpwstr/>
  </property>
  <property fmtid="{D5CDD505-2E9C-101B-9397-08002B2CF9AE}" pid="51" name="APRAIRTR">
    <vt:lpwstr/>
  </property>
  <property fmtid="{D5CDD505-2E9C-101B-9397-08002B2CF9AE}" pid="52" name="APRAPeriod">
    <vt:lpwstr/>
  </property>
  <property fmtid="{D5CDD505-2E9C-101B-9397-08002B2CF9AE}" pid="53" name="RecordPoint_ActiveItemWebId">
    <vt:lpwstr>{75a71c27-8d66-4282-ae60-1bfc22a83be1}</vt:lpwstr>
  </property>
  <property fmtid="{D5CDD505-2E9C-101B-9397-08002B2CF9AE}" pid="54" name="IT system type">
    <vt:lpwstr/>
  </property>
  <property fmtid="{D5CDD505-2E9C-101B-9397-08002B2CF9AE}" pid="55" name="MSIP_Label_c0129afb-6481-4f92-bc9f-5a4a6346364d_Name">
    <vt:lpwstr>OFFICIAL</vt:lpwstr>
  </property>
  <property fmtid="{D5CDD505-2E9C-101B-9397-08002B2CF9AE}" pid="56" name="MSIP_Label_c0129afb-6481-4f92-bc9f-5a4a6346364d_SiteId">
    <vt:lpwstr>c05e3ffd-b491-4431-9809-e61d4dc78816</vt:lpwstr>
  </property>
  <property fmtid="{D5CDD505-2E9C-101B-9397-08002B2CF9AE}" pid="57" name="MSIP_Label_c0129afb-6481-4f92-bc9f-5a4a6346364d_Enabled">
    <vt:lpwstr>true</vt:lpwstr>
  </property>
  <property fmtid="{D5CDD505-2E9C-101B-9397-08002B2CF9AE}" pid="58" name="PM_Originator_Hash_SHA1">
    <vt:lpwstr>C3AD57350F36D8E1BD75F8F67CB06D435C9C43CA</vt:lpwstr>
  </property>
  <property fmtid="{D5CDD505-2E9C-101B-9397-08002B2CF9AE}" pid="59" name="PM_Hash_Salt_Prev">
    <vt:lpwstr>4CBACC4E114D027B248D883F95F01428</vt:lpwstr>
  </property>
  <property fmtid="{D5CDD505-2E9C-101B-9397-08002B2CF9AE}" pid="60" name="PM_Hash_SHA1">
    <vt:lpwstr>C4F51058DC79982FE46FBE7F71D7535991803B7E</vt:lpwstr>
  </property>
  <property fmtid="{D5CDD505-2E9C-101B-9397-08002B2CF9AE}" pid="61" name="PM_Hash_Salt">
    <vt:lpwstr>88579377B9360696B90C2BB0B20C9006</vt:lpwstr>
  </property>
  <property fmtid="{D5CDD505-2E9C-101B-9397-08002B2CF9AE}" pid="62" name="PM_OriginationTimeStamp">
    <vt:lpwstr>2022-12-01T06:21:01Z</vt:lpwstr>
  </property>
  <property fmtid="{D5CDD505-2E9C-101B-9397-08002B2CF9AE}" pid="63" name="PM_OriginatorUserAccountName_SHA256">
    <vt:lpwstr>6E3018F28A186D2E5FF5207C041E7A82E907C3008E071057026A53705873B72E</vt:lpwstr>
  </property>
  <property fmtid="{D5CDD505-2E9C-101B-9397-08002B2CF9AE}" pid="64" name="MSIP_Label_c0129afb-6481-4f92-bc9f-5a4a6346364d_SetDate">
    <vt:lpwstr>2022-12-01T04:21:26Z</vt:lpwstr>
  </property>
  <property fmtid="{D5CDD505-2E9C-101B-9397-08002B2CF9AE}" pid="65" name="RecordPoint_SubmissionCompleted">
    <vt:lpwstr/>
  </property>
</Properties>
</file>