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3133" w14:textId="77777777" w:rsidR="008E48EE" w:rsidRPr="00AD0EE6" w:rsidRDefault="008E48EE" w:rsidP="008E48EE">
      <w:pPr>
        <w:spacing w:after="0"/>
        <w:rPr>
          <w:color w:val="000000"/>
          <w:szCs w:val="24"/>
        </w:rPr>
      </w:pPr>
      <w:bookmarkStart w:id="0" w:name="_Toc168113228"/>
      <w:r w:rsidRPr="00AD0EE6">
        <w:rPr>
          <w:noProof/>
          <w:color w:val="000000"/>
          <w:szCs w:val="24"/>
        </w:rPr>
        <w:drawing>
          <wp:inline distT="0" distB="0" distL="0" distR="0" wp14:anchorId="449F41C4" wp14:editId="2D1B21E7">
            <wp:extent cx="1419225" cy="1104900"/>
            <wp:effectExtent l="0" t="0" r="9525"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29E4752" w14:textId="7B954A79" w:rsidR="008E48EE" w:rsidRPr="00AD0EE6" w:rsidRDefault="008E48EE" w:rsidP="00BE3457">
      <w:pPr>
        <w:spacing w:before="480" w:after="120"/>
        <w:rPr>
          <w:rFonts w:ascii="Arial" w:hAnsi="Arial" w:cs="Arial"/>
          <w:b/>
          <w:bCs/>
          <w:color w:val="000000"/>
          <w:sz w:val="40"/>
          <w:szCs w:val="40"/>
          <w:lang w:eastAsia="en-US"/>
        </w:rPr>
      </w:pPr>
      <w:r w:rsidRPr="00AD0EE6">
        <w:rPr>
          <w:rFonts w:ascii="Arial" w:hAnsi="Arial" w:cs="Arial"/>
          <w:b/>
          <w:bCs/>
          <w:color w:val="000000"/>
          <w:sz w:val="40"/>
          <w:szCs w:val="40"/>
          <w:lang w:eastAsia="en-US"/>
        </w:rPr>
        <w:t>Banking (prudential standard) determination No.</w:t>
      </w:r>
      <w:r w:rsidR="00BE3457">
        <w:rPr>
          <w:rFonts w:ascii="Arial" w:hAnsi="Arial" w:cs="Arial"/>
          <w:b/>
          <w:bCs/>
          <w:color w:val="000000"/>
          <w:sz w:val="40"/>
          <w:szCs w:val="40"/>
          <w:lang w:eastAsia="en-US"/>
        </w:rPr>
        <w:t xml:space="preserve"> 11</w:t>
      </w:r>
      <w:r w:rsidRPr="00AD0EE6">
        <w:rPr>
          <w:rFonts w:ascii="Arial" w:hAnsi="Arial" w:cs="Arial"/>
          <w:b/>
          <w:bCs/>
          <w:color w:val="000000"/>
          <w:sz w:val="40"/>
          <w:szCs w:val="40"/>
          <w:lang w:eastAsia="en-US"/>
        </w:rPr>
        <w:t xml:space="preserve"> of 20</w:t>
      </w:r>
      <w:r>
        <w:rPr>
          <w:rFonts w:ascii="Arial" w:hAnsi="Arial" w:cs="Arial"/>
          <w:b/>
          <w:bCs/>
          <w:color w:val="000000"/>
          <w:sz w:val="40"/>
          <w:szCs w:val="40"/>
          <w:lang w:eastAsia="en-US"/>
        </w:rPr>
        <w:t>22</w:t>
      </w:r>
    </w:p>
    <w:p w14:paraId="7D22EDCD" w14:textId="77777777" w:rsidR="008E48EE" w:rsidRPr="00AD0EE6" w:rsidRDefault="008E48EE" w:rsidP="00BE3457">
      <w:pPr>
        <w:spacing w:before="360" w:after="120"/>
        <w:jc w:val="left"/>
        <w:rPr>
          <w:rFonts w:ascii="Arial" w:hAnsi="Arial" w:cs="Arial"/>
          <w:b/>
          <w:bCs/>
          <w:color w:val="000000"/>
          <w:sz w:val="28"/>
          <w:szCs w:val="28"/>
          <w:lang w:eastAsia="en-US"/>
        </w:rPr>
      </w:pPr>
      <w:r w:rsidRPr="00AD0EE6">
        <w:rPr>
          <w:rFonts w:ascii="Arial" w:hAnsi="Arial" w:cs="Arial"/>
          <w:b/>
          <w:bCs/>
          <w:color w:val="000000"/>
          <w:sz w:val="28"/>
          <w:szCs w:val="28"/>
          <w:lang w:eastAsia="en-US"/>
        </w:rPr>
        <w:t>Prudential Standard APS 121 Covered Bonds</w:t>
      </w:r>
    </w:p>
    <w:p w14:paraId="4009C995" w14:textId="77777777" w:rsidR="008E48EE" w:rsidRPr="00AD0EE6" w:rsidRDefault="008E48EE" w:rsidP="00BE3457">
      <w:pPr>
        <w:pBdr>
          <w:bottom w:val="single" w:sz="4" w:space="3" w:color="auto"/>
        </w:pBdr>
        <w:spacing w:before="360"/>
        <w:jc w:val="left"/>
        <w:rPr>
          <w:rFonts w:ascii="Arial" w:hAnsi="Arial"/>
          <w:i/>
          <w:iCs/>
          <w:color w:val="000000"/>
          <w:sz w:val="28"/>
        </w:rPr>
      </w:pPr>
      <w:r w:rsidRPr="00AD0EE6">
        <w:rPr>
          <w:rFonts w:ascii="Arial" w:hAnsi="Arial"/>
          <w:i/>
          <w:iCs/>
          <w:color w:val="000000"/>
          <w:sz w:val="28"/>
        </w:rPr>
        <w:t>Banking Act 1959</w:t>
      </w:r>
    </w:p>
    <w:p w14:paraId="28B81A63" w14:textId="46FAD73E" w:rsidR="008E48EE" w:rsidRPr="00BE3457" w:rsidRDefault="008E48EE" w:rsidP="008E48EE">
      <w:pPr>
        <w:spacing w:after="0"/>
        <w:rPr>
          <w:rFonts w:ascii="Arial" w:hAnsi="Arial" w:cs="Arial"/>
          <w:sz w:val="22"/>
          <w:szCs w:val="22"/>
          <w:lang w:eastAsia="en-US"/>
        </w:rPr>
      </w:pPr>
      <w:r w:rsidRPr="00CC55C4">
        <w:rPr>
          <w:rFonts w:ascii="Arial" w:hAnsi="Arial" w:cs="Arial"/>
          <w:sz w:val="22"/>
          <w:szCs w:val="22"/>
          <w:lang w:eastAsia="en-US"/>
        </w:rPr>
        <w:t xml:space="preserve">I, </w:t>
      </w:r>
      <w:r w:rsidR="00344F48" w:rsidRPr="00CC55C4">
        <w:rPr>
          <w:rFonts w:ascii="Arial" w:hAnsi="Arial" w:cs="Arial"/>
          <w:sz w:val="22"/>
          <w:szCs w:val="22"/>
        </w:rPr>
        <w:t>Renée Roberts</w:t>
      </w:r>
      <w:r w:rsidRPr="00CC55C4">
        <w:rPr>
          <w:rFonts w:ascii="Arial" w:hAnsi="Arial" w:cs="Arial"/>
          <w:sz w:val="22"/>
          <w:szCs w:val="22"/>
          <w:lang w:eastAsia="en-US"/>
        </w:rPr>
        <w:t xml:space="preserve">, </w:t>
      </w:r>
      <w:r w:rsidR="00BE3457" w:rsidRPr="00CC55C4">
        <w:rPr>
          <w:rFonts w:ascii="Arial" w:hAnsi="Arial" w:cs="Arial"/>
          <w:sz w:val="22"/>
          <w:szCs w:val="22"/>
          <w:lang w:eastAsia="en-US"/>
        </w:rPr>
        <w:t xml:space="preserve">a </w:t>
      </w:r>
      <w:r w:rsidRPr="00CC55C4">
        <w:rPr>
          <w:rFonts w:ascii="Arial" w:hAnsi="Arial" w:cs="Arial"/>
          <w:sz w:val="22"/>
          <w:szCs w:val="22"/>
          <w:lang w:eastAsia="en-US"/>
        </w:rPr>
        <w:t xml:space="preserve">delegate </w:t>
      </w:r>
      <w:r w:rsidRPr="00BE3457">
        <w:rPr>
          <w:rFonts w:ascii="Arial" w:hAnsi="Arial" w:cs="Arial"/>
          <w:sz w:val="22"/>
          <w:szCs w:val="22"/>
          <w:lang w:eastAsia="en-US"/>
        </w:rPr>
        <w:t>of APRA:</w:t>
      </w:r>
    </w:p>
    <w:p w14:paraId="39D90FF9" w14:textId="77777777" w:rsidR="008E48EE" w:rsidRPr="00BE3457" w:rsidRDefault="008E48EE" w:rsidP="008E48EE">
      <w:pPr>
        <w:spacing w:after="0"/>
        <w:rPr>
          <w:rFonts w:ascii="Arial" w:hAnsi="Arial" w:cs="Arial"/>
          <w:sz w:val="22"/>
          <w:szCs w:val="22"/>
          <w:lang w:eastAsia="en-US"/>
        </w:rPr>
      </w:pPr>
    </w:p>
    <w:p w14:paraId="57468C49" w14:textId="2E9DB642" w:rsidR="008E48EE" w:rsidRPr="00BE3457" w:rsidRDefault="008E48EE" w:rsidP="00BE3457">
      <w:pPr>
        <w:numPr>
          <w:ilvl w:val="0"/>
          <w:numId w:val="29"/>
        </w:numPr>
        <w:spacing w:after="0"/>
        <w:ind w:hanging="720"/>
        <w:rPr>
          <w:rFonts w:ascii="Arial" w:hAnsi="Arial" w:cs="Arial"/>
          <w:color w:val="000000"/>
          <w:sz w:val="22"/>
          <w:szCs w:val="22"/>
          <w:lang w:eastAsia="en-US"/>
        </w:rPr>
      </w:pPr>
      <w:r w:rsidRPr="00BE3457">
        <w:rPr>
          <w:rFonts w:ascii="Arial" w:hAnsi="Arial" w:cs="Arial"/>
          <w:color w:val="000000"/>
          <w:sz w:val="22"/>
          <w:szCs w:val="22"/>
          <w:lang w:eastAsia="en-US"/>
        </w:rPr>
        <w:t>under subsection 11</w:t>
      </w:r>
      <w:proofErr w:type="gramStart"/>
      <w:r w:rsidRPr="00BE3457">
        <w:rPr>
          <w:rFonts w:ascii="Arial" w:hAnsi="Arial" w:cs="Arial"/>
          <w:color w:val="000000"/>
          <w:sz w:val="22"/>
          <w:szCs w:val="22"/>
          <w:lang w:eastAsia="en-US"/>
        </w:rPr>
        <w:t>AF(</w:t>
      </w:r>
      <w:proofErr w:type="gramEnd"/>
      <w:r w:rsidRPr="00BE3457">
        <w:rPr>
          <w:rFonts w:ascii="Arial" w:hAnsi="Arial" w:cs="Arial"/>
          <w:color w:val="000000"/>
          <w:sz w:val="22"/>
          <w:szCs w:val="22"/>
          <w:lang w:eastAsia="en-US"/>
        </w:rPr>
        <w:t xml:space="preserve">3) of the </w:t>
      </w:r>
      <w:r w:rsidRPr="00BE3457">
        <w:rPr>
          <w:rFonts w:ascii="Arial" w:hAnsi="Arial" w:cs="Arial"/>
          <w:i/>
          <w:color w:val="000000"/>
          <w:sz w:val="22"/>
          <w:szCs w:val="22"/>
          <w:lang w:eastAsia="en-US"/>
        </w:rPr>
        <w:t>Banking Act 1959</w:t>
      </w:r>
      <w:r w:rsidRPr="00BE3457">
        <w:rPr>
          <w:rFonts w:ascii="Arial" w:hAnsi="Arial" w:cs="Arial"/>
          <w:color w:val="000000"/>
          <w:sz w:val="22"/>
          <w:szCs w:val="22"/>
          <w:lang w:eastAsia="en-US"/>
        </w:rPr>
        <w:t xml:space="preserve"> (the Act) REVOKE Banking (prudential standard) determination No. 1 of 2019, including </w:t>
      </w:r>
      <w:r w:rsidRPr="00BE3457">
        <w:rPr>
          <w:rFonts w:ascii="Arial" w:hAnsi="Arial" w:cs="Arial"/>
          <w:i/>
          <w:color w:val="000000"/>
          <w:sz w:val="22"/>
          <w:szCs w:val="22"/>
        </w:rPr>
        <w:t xml:space="preserve">Prudential Standard </w:t>
      </w:r>
      <w:smartTag w:uri="urn:schemas-microsoft-com:office:smarttags" w:element="stockticker">
        <w:r w:rsidRPr="00BE3457">
          <w:rPr>
            <w:rFonts w:ascii="Arial" w:hAnsi="Arial" w:cs="Arial"/>
            <w:i/>
            <w:color w:val="000000"/>
            <w:sz w:val="22"/>
            <w:szCs w:val="22"/>
          </w:rPr>
          <w:t>APS</w:t>
        </w:r>
      </w:smartTag>
      <w:r w:rsidRPr="00BE3457">
        <w:rPr>
          <w:rFonts w:ascii="Arial" w:hAnsi="Arial" w:cs="Arial"/>
          <w:i/>
          <w:color w:val="000000"/>
          <w:sz w:val="22"/>
          <w:szCs w:val="22"/>
        </w:rPr>
        <w:t xml:space="preserve"> 121 Covered Bonds</w:t>
      </w:r>
      <w:r w:rsidRPr="00BE3457">
        <w:rPr>
          <w:rFonts w:ascii="Arial" w:hAnsi="Arial" w:cs="Arial"/>
          <w:color w:val="000000"/>
          <w:sz w:val="22"/>
          <w:szCs w:val="22"/>
          <w:lang w:eastAsia="en-US"/>
        </w:rPr>
        <w:t xml:space="preserve">, made under that </w:t>
      </w:r>
      <w:r w:rsidR="00BE3457">
        <w:rPr>
          <w:rFonts w:ascii="Arial" w:hAnsi="Arial" w:cs="Arial"/>
          <w:color w:val="000000"/>
          <w:sz w:val="22"/>
          <w:szCs w:val="22"/>
          <w:lang w:eastAsia="en-US"/>
        </w:rPr>
        <w:t>d</w:t>
      </w:r>
      <w:r w:rsidRPr="00BE3457">
        <w:rPr>
          <w:rFonts w:ascii="Arial" w:hAnsi="Arial" w:cs="Arial"/>
          <w:color w:val="000000"/>
          <w:sz w:val="22"/>
          <w:szCs w:val="22"/>
          <w:lang w:eastAsia="en-US"/>
        </w:rPr>
        <w:t>etermination; and</w:t>
      </w:r>
    </w:p>
    <w:p w14:paraId="4880BBA3" w14:textId="25895448" w:rsidR="008E48EE" w:rsidRPr="00BE3457" w:rsidRDefault="008E48EE" w:rsidP="00BE3457">
      <w:pPr>
        <w:numPr>
          <w:ilvl w:val="0"/>
          <w:numId w:val="29"/>
        </w:numPr>
        <w:spacing w:before="120" w:after="0"/>
        <w:ind w:hanging="720"/>
        <w:rPr>
          <w:rFonts w:ascii="Arial" w:hAnsi="Arial" w:cs="Arial"/>
          <w:color w:val="000000"/>
          <w:sz w:val="22"/>
          <w:szCs w:val="22"/>
          <w:lang w:eastAsia="en-US"/>
        </w:rPr>
      </w:pPr>
      <w:r w:rsidRPr="00BE3457">
        <w:rPr>
          <w:rFonts w:ascii="Arial" w:hAnsi="Arial" w:cs="Arial"/>
          <w:color w:val="000000"/>
          <w:sz w:val="22"/>
          <w:szCs w:val="22"/>
          <w:lang w:eastAsia="en-US"/>
        </w:rPr>
        <w:t xml:space="preserve">under subsection 11AF(1) of the Act DETERMINE </w:t>
      </w:r>
      <w:r w:rsidRPr="00BE3457">
        <w:rPr>
          <w:rFonts w:ascii="Arial" w:hAnsi="Arial" w:cs="Arial"/>
          <w:i/>
          <w:color w:val="000000"/>
          <w:sz w:val="22"/>
          <w:szCs w:val="22"/>
        </w:rPr>
        <w:t xml:space="preserve">Prudential Standard </w:t>
      </w:r>
      <w:smartTag w:uri="urn:schemas-microsoft-com:office:smarttags" w:element="stockticker">
        <w:r w:rsidRPr="00BE3457">
          <w:rPr>
            <w:rFonts w:ascii="Arial" w:hAnsi="Arial" w:cs="Arial"/>
            <w:i/>
            <w:color w:val="000000"/>
            <w:sz w:val="22"/>
            <w:szCs w:val="22"/>
          </w:rPr>
          <w:t>APS</w:t>
        </w:r>
      </w:smartTag>
      <w:r w:rsidRPr="00BE3457">
        <w:rPr>
          <w:rFonts w:ascii="Arial" w:hAnsi="Arial" w:cs="Arial"/>
          <w:i/>
          <w:color w:val="000000"/>
          <w:sz w:val="22"/>
          <w:szCs w:val="22"/>
        </w:rPr>
        <w:t xml:space="preserve"> 121 Covered Bonds</w:t>
      </w:r>
      <w:r w:rsidRPr="00BE3457">
        <w:rPr>
          <w:rFonts w:ascii="Arial" w:hAnsi="Arial" w:cs="Arial"/>
          <w:color w:val="000000"/>
          <w:sz w:val="22"/>
          <w:szCs w:val="22"/>
          <w:lang w:eastAsia="en-US"/>
        </w:rPr>
        <w:t xml:space="preserve">, in the form set out in the </w:t>
      </w:r>
      <w:r w:rsidR="00BE3457">
        <w:rPr>
          <w:rFonts w:ascii="Arial" w:hAnsi="Arial" w:cs="Arial"/>
          <w:color w:val="000000"/>
          <w:sz w:val="22"/>
          <w:szCs w:val="22"/>
          <w:lang w:eastAsia="en-US"/>
        </w:rPr>
        <w:t>s</w:t>
      </w:r>
      <w:r w:rsidRPr="00BE3457">
        <w:rPr>
          <w:rFonts w:ascii="Arial" w:hAnsi="Arial" w:cs="Arial"/>
          <w:color w:val="000000"/>
          <w:sz w:val="22"/>
          <w:szCs w:val="22"/>
          <w:lang w:eastAsia="en-US"/>
        </w:rPr>
        <w:t>chedule, which applies to all ADIs to the extent provided in paragraph 2 of the prudential standard.</w:t>
      </w:r>
    </w:p>
    <w:p w14:paraId="0DAB445E" w14:textId="77777777" w:rsidR="008E48EE" w:rsidRPr="00BE3457" w:rsidRDefault="008E48EE" w:rsidP="008E48EE">
      <w:pPr>
        <w:spacing w:after="0"/>
        <w:rPr>
          <w:rFonts w:ascii="Arial" w:hAnsi="Arial" w:cs="Arial"/>
          <w:sz w:val="22"/>
          <w:szCs w:val="22"/>
        </w:rPr>
      </w:pPr>
    </w:p>
    <w:p w14:paraId="7E6A900E" w14:textId="77777777" w:rsidR="008E48EE" w:rsidRPr="00BE3457" w:rsidRDefault="008E48EE" w:rsidP="008E48EE">
      <w:pPr>
        <w:spacing w:after="0"/>
        <w:rPr>
          <w:rFonts w:ascii="Arial" w:hAnsi="Arial" w:cs="Arial"/>
          <w:sz w:val="22"/>
          <w:szCs w:val="22"/>
        </w:rPr>
      </w:pPr>
      <w:r w:rsidRPr="00BE3457">
        <w:rPr>
          <w:rFonts w:ascii="Arial" w:hAnsi="Arial" w:cs="Arial"/>
          <w:sz w:val="22"/>
          <w:szCs w:val="22"/>
        </w:rPr>
        <w:t>This instrument commences on 1 January 2023.</w:t>
      </w:r>
    </w:p>
    <w:p w14:paraId="592554FB" w14:textId="77777777" w:rsidR="008E48EE" w:rsidRPr="00BE3457" w:rsidRDefault="008E48EE" w:rsidP="008E48EE">
      <w:pPr>
        <w:spacing w:after="0"/>
        <w:rPr>
          <w:rFonts w:ascii="Arial" w:hAnsi="Arial" w:cs="Arial"/>
          <w:sz w:val="22"/>
          <w:szCs w:val="22"/>
        </w:rPr>
      </w:pPr>
    </w:p>
    <w:p w14:paraId="083A109B" w14:textId="4816524A" w:rsidR="008E48EE" w:rsidRPr="00BE3457" w:rsidRDefault="008E48EE" w:rsidP="008E48EE">
      <w:pPr>
        <w:spacing w:after="0"/>
        <w:rPr>
          <w:rFonts w:ascii="Arial" w:hAnsi="Arial" w:cs="Arial"/>
          <w:sz w:val="22"/>
          <w:szCs w:val="22"/>
        </w:rPr>
      </w:pPr>
      <w:r w:rsidRPr="00BE3457">
        <w:rPr>
          <w:rFonts w:ascii="Arial" w:hAnsi="Arial" w:cs="Arial"/>
          <w:sz w:val="22"/>
          <w:szCs w:val="22"/>
        </w:rPr>
        <w:t xml:space="preserve">Dated: </w:t>
      </w:r>
      <w:r w:rsidR="00F9770F">
        <w:rPr>
          <w:rFonts w:ascii="Arial" w:hAnsi="Arial" w:cs="Arial"/>
          <w:sz w:val="22"/>
          <w:szCs w:val="22"/>
        </w:rPr>
        <w:t>1 December</w:t>
      </w:r>
      <w:r w:rsidRPr="00BE3457">
        <w:rPr>
          <w:rFonts w:ascii="Arial" w:hAnsi="Arial" w:cs="Arial"/>
          <w:sz w:val="22"/>
          <w:szCs w:val="22"/>
        </w:rPr>
        <w:t xml:space="preserve"> 2022</w:t>
      </w:r>
    </w:p>
    <w:p w14:paraId="369BC19B" w14:textId="77777777" w:rsidR="008E48EE" w:rsidRPr="00BE3457" w:rsidRDefault="008E48EE" w:rsidP="008E48EE">
      <w:pPr>
        <w:spacing w:after="0"/>
        <w:rPr>
          <w:rFonts w:ascii="Arial" w:hAnsi="Arial" w:cs="Arial"/>
          <w:i/>
          <w:sz w:val="22"/>
          <w:szCs w:val="22"/>
        </w:rPr>
      </w:pPr>
    </w:p>
    <w:p w14:paraId="105F3319" w14:textId="77777777" w:rsidR="008E48EE" w:rsidRPr="00BE3457" w:rsidRDefault="008E48EE" w:rsidP="008E48EE">
      <w:pPr>
        <w:spacing w:after="0"/>
        <w:rPr>
          <w:rFonts w:ascii="Arial" w:eastAsia="Calibri" w:hAnsi="Arial" w:cs="Arial"/>
          <w:noProof/>
          <w:sz w:val="22"/>
          <w:szCs w:val="22"/>
        </w:rPr>
      </w:pPr>
    </w:p>
    <w:p w14:paraId="145BF2DF" w14:textId="0DB8E21B" w:rsidR="008E48EE" w:rsidRPr="00F9770F" w:rsidRDefault="008E48EE" w:rsidP="008E48EE">
      <w:pPr>
        <w:spacing w:after="0"/>
        <w:rPr>
          <w:rFonts w:ascii="Arial" w:eastAsia="Calibri" w:hAnsi="Arial" w:cs="Arial"/>
          <w:noProof/>
          <w:sz w:val="22"/>
          <w:szCs w:val="22"/>
        </w:rPr>
      </w:pPr>
      <w:r w:rsidRPr="00F9770F">
        <w:rPr>
          <w:rFonts w:ascii="Arial" w:eastAsia="Calibri" w:hAnsi="Arial" w:cs="Arial"/>
          <w:noProof/>
          <w:sz w:val="22"/>
          <w:szCs w:val="22"/>
        </w:rPr>
        <w:t>[Signed]</w:t>
      </w:r>
    </w:p>
    <w:p w14:paraId="08C6E594" w14:textId="77777777" w:rsidR="00344F48" w:rsidRPr="00BE3457" w:rsidRDefault="00344F48" w:rsidP="008E48EE">
      <w:pPr>
        <w:spacing w:after="0"/>
        <w:rPr>
          <w:rFonts w:ascii="Arial" w:hAnsi="Arial" w:cs="Arial"/>
          <w:sz w:val="22"/>
          <w:szCs w:val="22"/>
          <w:highlight w:val="yellow"/>
        </w:rPr>
      </w:pPr>
    </w:p>
    <w:p w14:paraId="0D45EDA4" w14:textId="77777777" w:rsidR="00344F48" w:rsidRPr="00CC55C4" w:rsidRDefault="00344F48" w:rsidP="00344F48">
      <w:pPr>
        <w:pStyle w:val="NormalWeb"/>
        <w:spacing w:before="0" w:beforeAutospacing="0" w:after="0" w:afterAutospacing="0"/>
        <w:rPr>
          <w:rFonts w:ascii="Arial" w:hAnsi="Arial" w:cs="Arial"/>
          <w:sz w:val="22"/>
          <w:szCs w:val="22"/>
        </w:rPr>
      </w:pPr>
      <w:r w:rsidRPr="00CC55C4">
        <w:rPr>
          <w:rFonts w:ascii="Arial" w:hAnsi="Arial" w:cs="Arial"/>
          <w:sz w:val="22"/>
          <w:szCs w:val="22"/>
        </w:rPr>
        <w:t>Renée Roberts</w:t>
      </w:r>
    </w:p>
    <w:p w14:paraId="4EBA5723" w14:textId="77777777" w:rsidR="00344F48" w:rsidRPr="00CC55C4" w:rsidRDefault="00344F48" w:rsidP="00344F48">
      <w:pPr>
        <w:pStyle w:val="NormalWeb"/>
        <w:spacing w:before="0" w:beforeAutospacing="0" w:after="0" w:afterAutospacing="0"/>
        <w:rPr>
          <w:rFonts w:ascii="Arial" w:hAnsi="Arial" w:cs="Arial"/>
          <w:sz w:val="22"/>
          <w:szCs w:val="22"/>
        </w:rPr>
      </w:pPr>
      <w:r w:rsidRPr="00CC55C4">
        <w:rPr>
          <w:rFonts w:ascii="Arial" w:hAnsi="Arial" w:cs="Arial"/>
          <w:sz w:val="22"/>
          <w:szCs w:val="22"/>
        </w:rPr>
        <w:t>Executive Director</w:t>
      </w:r>
    </w:p>
    <w:p w14:paraId="5DADBA25" w14:textId="77777777" w:rsidR="00344F48" w:rsidRPr="00CC55C4" w:rsidRDefault="00344F48" w:rsidP="00344F48">
      <w:pPr>
        <w:pStyle w:val="NormalWeb"/>
        <w:spacing w:before="0" w:beforeAutospacing="0" w:after="0" w:afterAutospacing="0"/>
        <w:rPr>
          <w:rFonts w:ascii="Arial" w:hAnsi="Arial" w:cs="Arial"/>
          <w:sz w:val="22"/>
          <w:szCs w:val="22"/>
        </w:rPr>
      </w:pPr>
      <w:r w:rsidRPr="00CC55C4">
        <w:rPr>
          <w:rFonts w:ascii="Arial" w:hAnsi="Arial" w:cs="Arial"/>
          <w:sz w:val="22"/>
          <w:szCs w:val="22"/>
        </w:rPr>
        <w:t>Policy and Advice Division</w:t>
      </w:r>
    </w:p>
    <w:p w14:paraId="6DE738F8" w14:textId="77777777" w:rsidR="008E48EE" w:rsidRPr="0071557E" w:rsidRDefault="008E48EE" w:rsidP="008E48EE">
      <w:pPr>
        <w:keepNext/>
        <w:spacing w:before="480" w:after="0"/>
        <w:jc w:val="left"/>
        <w:rPr>
          <w:rFonts w:ascii="Arial" w:hAnsi="Arial" w:cs="Arial"/>
          <w:b/>
          <w:color w:val="000000"/>
          <w:sz w:val="22"/>
          <w:szCs w:val="22"/>
          <w:lang w:eastAsia="en-US"/>
        </w:rPr>
      </w:pPr>
      <w:r w:rsidRPr="0071557E">
        <w:rPr>
          <w:rFonts w:ascii="Arial" w:hAnsi="Arial" w:cs="Arial"/>
          <w:b/>
          <w:color w:val="000000"/>
          <w:sz w:val="22"/>
          <w:szCs w:val="22"/>
          <w:lang w:eastAsia="en-US"/>
        </w:rPr>
        <w:t>Interpretation</w:t>
      </w:r>
    </w:p>
    <w:p w14:paraId="5A817F86" w14:textId="73C2FC9F" w:rsidR="008E48EE" w:rsidRPr="0071557E" w:rsidRDefault="008E48EE" w:rsidP="0071557E">
      <w:pPr>
        <w:keepNext/>
        <w:tabs>
          <w:tab w:val="right" w:pos="794"/>
        </w:tabs>
        <w:spacing w:before="120" w:after="0"/>
        <w:ind w:left="964" w:hanging="964"/>
        <w:rPr>
          <w:rFonts w:ascii="Arial" w:hAnsi="Arial" w:cs="Arial"/>
          <w:color w:val="000000"/>
          <w:sz w:val="22"/>
          <w:szCs w:val="22"/>
          <w:lang w:eastAsia="en-US"/>
        </w:rPr>
      </w:pPr>
      <w:r w:rsidRPr="0071557E">
        <w:rPr>
          <w:rFonts w:ascii="Arial" w:hAnsi="Arial" w:cs="Arial"/>
          <w:color w:val="000000"/>
          <w:sz w:val="22"/>
          <w:szCs w:val="22"/>
          <w:lang w:eastAsia="en-US"/>
        </w:rPr>
        <w:t xml:space="preserve">In this </w:t>
      </w:r>
      <w:r w:rsidR="0071557E">
        <w:rPr>
          <w:rFonts w:ascii="Arial" w:hAnsi="Arial" w:cs="Arial"/>
          <w:color w:val="000000"/>
          <w:sz w:val="22"/>
          <w:szCs w:val="22"/>
          <w:lang w:eastAsia="en-US"/>
        </w:rPr>
        <w:t>instrument</w:t>
      </w:r>
      <w:r w:rsidRPr="0071557E">
        <w:rPr>
          <w:rFonts w:ascii="Arial" w:hAnsi="Arial" w:cs="Arial"/>
          <w:color w:val="000000"/>
          <w:sz w:val="22"/>
          <w:szCs w:val="22"/>
          <w:lang w:eastAsia="en-US"/>
        </w:rPr>
        <w:t>:</w:t>
      </w:r>
    </w:p>
    <w:p w14:paraId="3B6619B1" w14:textId="3A9EAA8A" w:rsidR="0071557E" w:rsidRDefault="0071557E" w:rsidP="0071557E">
      <w:pPr>
        <w:spacing w:before="120" w:after="0"/>
        <w:rPr>
          <w:rFonts w:ascii="Arial" w:hAnsi="Arial" w:cs="Arial"/>
          <w:color w:val="000000"/>
          <w:sz w:val="22"/>
          <w:szCs w:val="22"/>
          <w:lang w:eastAsia="en-US"/>
        </w:rPr>
      </w:pPr>
      <w:r w:rsidRPr="0071557E">
        <w:rPr>
          <w:rFonts w:ascii="Arial" w:hAnsi="Arial" w:cs="Arial"/>
          <w:b/>
          <w:i/>
          <w:color w:val="000000"/>
          <w:sz w:val="22"/>
          <w:szCs w:val="22"/>
          <w:lang w:eastAsia="en-US"/>
        </w:rPr>
        <w:t>APRA</w:t>
      </w:r>
      <w:r w:rsidRPr="0071557E">
        <w:rPr>
          <w:rFonts w:ascii="Arial" w:hAnsi="Arial" w:cs="Arial"/>
          <w:color w:val="000000"/>
          <w:sz w:val="22"/>
          <w:szCs w:val="22"/>
          <w:lang w:eastAsia="en-US"/>
        </w:rPr>
        <w:t xml:space="preserve"> means the Australian Prudential Regulation Authority.</w:t>
      </w:r>
    </w:p>
    <w:p w14:paraId="77269E0D" w14:textId="77777777" w:rsidR="0071557E" w:rsidRPr="0071557E" w:rsidRDefault="0071557E" w:rsidP="0071557E">
      <w:pPr>
        <w:spacing w:before="120" w:after="0"/>
        <w:rPr>
          <w:rFonts w:ascii="Arial" w:hAnsi="Arial" w:cs="Arial"/>
          <w:color w:val="000000"/>
          <w:sz w:val="22"/>
          <w:szCs w:val="22"/>
          <w:lang w:eastAsia="en-US"/>
        </w:rPr>
      </w:pPr>
      <w:r w:rsidRPr="0071557E">
        <w:rPr>
          <w:rFonts w:ascii="Arial" w:hAnsi="Arial" w:cs="Arial"/>
          <w:b/>
          <w:i/>
          <w:color w:val="000000"/>
          <w:sz w:val="22"/>
          <w:szCs w:val="22"/>
          <w:lang w:eastAsia="en-US"/>
        </w:rPr>
        <w:t xml:space="preserve">ADI </w:t>
      </w:r>
      <w:r w:rsidRPr="0071557E">
        <w:rPr>
          <w:rFonts w:ascii="Arial" w:hAnsi="Arial" w:cs="Arial"/>
          <w:color w:val="000000"/>
          <w:sz w:val="22"/>
          <w:szCs w:val="22"/>
          <w:lang w:eastAsia="en-US"/>
        </w:rPr>
        <w:t>has the meaning given in section 5 of the Act.</w:t>
      </w:r>
    </w:p>
    <w:p w14:paraId="7A244FCE" w14:textId="77777777" w:rsidR="0071557E" w:rsidRDefault="0071557E">
      <w:pPr>
        <w:spacing w:after="0"/>
        <w:jc w:val="left"/>
        <w:rPr>
          <w:rFonts w:ascii="Arial" w:hAnsi="Arial" w:cs="Arial"/>
          <w:b/>
          <w:bCs/>
          <w:color w:val="000000"/>
          <w:sz w:val="32"/>
          <w:szCs w:val="32"/>
        </w:rPr>
      </w:pPr>
      <w:r>
        <w:rPr>
          <w:rFonts w:ascii="Arial" w:hAnsi="Arial" w:cs="Arial"/>
          <w:b/>
          <w:bCs/>
          <w:color w:val="000000"/>
          <w:sz w:val="32"/>
          <w:szCs w:val="32"/>
        </w:rPr>
        <w:br w:type="page"/>
      </w:r>
    </w:p>
    <w:p w14:paraId="24B26499" w14:textId="4717E11F" w:rsidR="0071557E" w:rsidRPr="00BE3457" w:rsidRDefault="0071557E" w:rsidP="0071557E">
      <w:pPr>
        <w:keepNext/>
        <w:autoSpaceDE w:val="0"/>
        <w:autoSpaceDN w:val="0"/>
        <w:jc w:val="left"/>
        <w:rPr>
          <w:rFonts w:ascii="Arial" w:hAnsi="Arial" w:cs="Arial"/>
          <w:b/>
          <w:bCs/>
          <w:color w:val="000000"/>
          <w:sz w:val="32"/>
          <w:szCs w:val="32"/>
        </w:rPr>
      </w:pPr>
      <w:r w:rsidRPr="00BE3457">
        <w:rPr>
          <w:rFonts w:ascii="Arial" w:hAnsi="Arial" w:cs="Arial"/>
          <w:b/>
          <w:bCs/>
          <w:color w:val="000000"/>
          <w:sz w:val="32"/>
          <w:szCs w:val="32"/>
        </w:rPr>
        <w:lastRenderedPageBreak/>
        <w:t xml:space="preserve">Schedule </w:t>
      </w:r>
    </w:p>
    <w:p w14:paraId="64D5E390" w14:textId="77777777" w:rsidR="0071557E" w:rsidRPr="0071557E" w:rsidRDefault="0071557E" w:rsidP="0071557E">
      <w:pPr>
        <w:tabs>
          <w:tab w:val="center" w:pos="4153"/>
          <w:tab w:val="right" w:pos="8306"/>
        </w:tabs>
        <w:spacing w:after="0"/>
        <w:rPr>
          <w:rFonts w:ascii="Arial" w:eastAsia="Calibri" w:hAnsi="Arial" w:cs="Arial"/>
          <w:sz w:val="22"/>
          <w:szCs w:val="22"/>
        </w:rPr>
      </w:pPr>
      <w:r w:rsidRPr="0071557E">
        <w:rPr>
          <w:rFonts w:ascii="Arial" w:hAnsi="Arial" w:cs="Arial"/>
          <w:i/>
          <w:color w:val="000000"/>
          <w:sz w:val="22"/>
          <w:szCs w:val="22"/>
        </w:rPr>
        <w:t xml:space="preserve">Prudential Standard </w:t>
      </w:r>
      <w:smartTag w:uri="urn:schemas-microsoft-com:office:smarttags" w:element="stockticker">
        <w:r w:rsidRPr="0071557E">
          <w:rPr>
            <w:rFonts w:ascii="Arial" w:hAnsi="Arial" w:cs="Arial"/>
            <w:i/>
            <w:color w:val="000000"/>
            <w:sz w:val="22"/>
            <w:szCs w:val="22"/>
          </w:rPr>
          <w:t>APS</w:t>
        </w:r>
      </w:smartTag>
      <w:r w:rsidRPr="0071557E">
        <w:rPr>
          <w:rFonts w:ascii="Arial" w:hAnsi="Arial" w:cs="Arial"/>
          <w:i/>
          <w:color w:val="000000"/>
          <w:sz w:val="22"/>
          <w:szCs w:val="22"/>
        </w:rPr>
        <w:t xml:space="preserve"> 121 </w:t>
      </w:r>
      <w:r w:rsidRPr="0071557E">
        <w:rPr>
          <w:rFonts w:ascii="Arial" w:hAnsi="Arial" w:cs="Arial"/>
          <w:color w:val="000000"/>
          <w:sz w:val="22"/>
          <w:szCs w:val="22"/>
        </w:rPr>
        <w:t>Covered</w:t>
      </w:r>
      <w:r w:rsidRPr="0071557E">
        <w:rPr>
          <w:rFonts w:ascii="Arial" w:hAnsi="Arial" w:cs="Arial"/>
          <w:i/>
          <w:color w:val="000000"/>
          <w:sz w:val="22"/>
          <w:szCs w:val="22"/>
        </w:rPr>
        <w:t xml:space="preserve"> Bonds </w:t>
      </w:r>
      <w:r w:rsidRPr="0071557E">
        <w:rPr>
          <w:rFonts w:ascii="Arial" w:hAnsi="Arial" w:cs="Arial"/>
          <w:bCs/>
          <w:sz w:val="22"/>
          <w:szCs w:val="22"/>
        </w:rPr>
        <w:t>comprises the document commencing on the following page.</w:t>
      </w:r>
    </w:p>
    <w:p w14:paraId="74014F5D" w14:textId="714E9DD1" w:rsidR="0071557E" w:rsidRDefault="0071557E" w:rsidP="0071557E">
      <w:pPr>
        <w:spacing w:before="120" w:after="0"/>
        <w:rPr>
          <w:rFonts w:ascii="Arial" w:hAnsi="Arial" w:cs="Arial"/>
          <w:color w:val="000000"/>
          <w:sz w:val="22"/>
          <w:szCs w:val="22"/>
          <w:lang w:eastAsia="en-US"/>
        </w:rPr>
      </w:pPr>
    </w:p>
    <w:p w14:paraId="70093EA7" w14:textId="2DB583E1" w:rsidR="0071557E" w:rsidRDefault="0071557E" w:rsidP="0071557E">
      <w:pPr>
        <w:spacing w:before="120" w:after="0"/>
        <w:rPr>
          <w:rFonts w:ascii="Arial" w:hAnsi="Arial" w:cs="Arial"/>
          <w:color w:val="000000"/>
          <w:sz w:val="22"/>
          <w:szCs w:val="22"/>
          <w:lang w:eastAsia="en-US"/>
        </w:rPr>
      </w:pPr>
    </w:p>
    <w:p w14:paraId="27912848" w14:textId="77777777" w:rsidR="0071557E" w:rsidRPr="0071557E" w:rsidRDefault="0071557E" w:rsidP="0071557E">
      <w:pPr>
        <w:spacing w:before="120" w:after="0"/>
        <w:rPr>
          <w:rFonts w:ascii="Arial" w:hAnsi="Arial" w:cs="Arial"/>
          <w:color w:val="000000"/>
          <w:sz w:val="22"/>
          <w:szCs w:val="22"/>
          <w:lang w:eastAsia="en-US"/>
        </w:rPr>
      </w:pPr>
    </w:p>
    <w:p w14:paraId="56F4803A" w14:textId="77777777" w:rsidR="0071557E" w:rsidRPr="0071557E" w:rsidRDefault="0071557E" w:rsidP="0071557E">
      <w:pPr>
        <w:keepNext/>
        <w:autoSpaceDE w:val="0"/>
        <w:autoSpaceDN w:val="0"/>
        <w:spacing w:before="120" w:after="0"/>
        <w:jc w:val="left"/>
        <w:rPr>
          <w:rFonts w:ascii="Arial" w:hAnsi="Arial" w:cs="Arial"/>
          <w:b/>
          <w:bCs/>
          <w:color w:val="000000"/>
          <w:sz w:val="28"/>
          <w:szCs w:val="28"/>
        </w:rPr>
        <w:sectPr w:rsidR="0071557E" w:rsidRPr="0071557E" w:rsidSect="00BE3457">
          <w:headerReference w:type="default" r:id="rId14"/>
          <w:footerReference w:type="default" r:id="rId15"/>
          <w:pgSz w:w="11907" w:h="16840" w:code="9"/>
          <w:pgMar w:top="1440" w:right="1440" w:bottom="1440" w:left="1440" w:header="720" w:footer="720" w:gutter="0"/>
          <w:pgNumType w:start="1"/>
          <w:cols w:space="720"/>
          <w:titlePg/>
          <w:docGrid w:linePitch="326"/>
        </w:sectPr>
      </w:pPr>
    </w:p>
    <w:bookmarkEnd w:id="0"/>
    <w:p w14:paraId="266FD1BE" w14:textId="139D8CDF" w:rsidR="00BB7913" w:rsidRPr="00C87D45" w:rsidRDefault="00D06D4B" w:rsidP="008E48EE">
      <w:pPr>
        <w:pStyle w:val="Heading1"/>
      </w:pPr>
      <w:r>
        <w:rPr>
          <w:noProof/>
        </w:rPr>
        <w:lastRenderedPageBreak/>
        <w:drawing>
          <wp:inline distT="0" distB="0" distL="0" distR="0" wp14:anchorId="76D656EE" wp14:editId="7427D3E1">
            <wp:extent cx="1419225" cy="1104900"/>
            <wp:effectExtent l="0" t="0" r="9525" b="0"/>
            <wp:docPr id="8" name="Picture 8"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ACE1C33" w14:textId="77777777" w:rsidR="00BB7913" w:rsidRPr="000143EF" w:rsidRDefault="00BB7913" w:rsidP="002D1D90">
      <w:pPr>
        <w:pStyle w:val="Heading1"/>
      </w:pPr>
      <w:r w:rsidRPr="000143EF">
        <w:t>P</w:t>
      </w:r>
      <w:bookmarkStart w:id="1" w:name="_Ref53463307"/>
      <w:bookmarkEnd w:id="1"/>
      <w:r w:rsidRPr="000143EF">
        <w:t xml:space="preserve">rudential Standard </w:t>
      </w:r>
      <w:r w:rsidR="00B93A36">
        <w:t>A</w:t>
      </w:r>
      <w:r w:rsidRPr="000143EF">
        <w:t>PS</w:t>
      </w:r>
      <w:r>
        <w:t xml:space="preserve"> </w:t>
      </w:r>
      <w:r w:rsidR="000626C2">
        <w:t>121</w:t>
      </w:r>
    </w:p>
    <w:p w14:paraId="401C9084" w14:textId="77777777" w:rsidR="00BB7913" w:rsidRPr="00625D41" w:rsidRDefault="00B93A36" w:rsidP="00272149">
      <w:pPr>
        <w:pStyle w:val="Heading1"/>
      </w:pPr>
      <w:r>
        <w:t>Covered bonds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FFFFFF"/>
        <w:tblLook w:val="01E0" w:firstRow="1" w:lastRow="1" w:firstColumn="1" w:lastColumn="1" w:noHBand="0" w:noVBand="0"/>
      </w:tblPr>
      <w:tblGrid>
        <w:gridCol w:w="8303"/>
      </w:tblGrid>
      <w:tr w:rsidR="00BB7913" w14:paraId="374D894B" w14:textId="77777777" w:rsidTr="003F7F31">
        <w:tc>
          <w:tcPr>
            <w:tcW w:w="8529" w:type="dxa"/>
            <w:shd w:val="pct10" w:color="auto" w:fill="FFFFFF"/>
          </w:tcPr>
          <w:p w14:paraId="22E0F671" w14:textId="77777777" w:rsidR="008A3CA3" w:rsidRPr="00C166ED" w:rsidRDefault="00BB7913" w:rsidP="00D5251F">
            <w:pPr>
              <w:pStyle w:val="Heading-2"/>
            </w:pPr>
            <w:r w:rsidRPr="00C166ED">
              <w:t>Objectives and key requirements of this Prudential Standard</w:t>
            </w:r>
            <w:r w:rsidR="00C52D64">
              <w:t xml:space="preserve"> </w:t>
            </w:r>
          </w:p>
          <w:p w14:paraId="2B5B0267" w14:textId="77777777" w:rsidR="003D1F7D" w:rsidRPr="00D34546" w:rsidRDefault="003D1F7D" w:rsidP="007E67A7">
            <w:pPr>
              <w:pStyle w:val="BodyText"/>
              <w:numPr>
                <w:ilvl w:val="0"/>
                <w:numId w:val="0"/>
              </w:numPr>
              <w:spacing w:after="240"/>
              <w:ind w:left="167" w:right="125"/>
              <w:rPr>
                <w:i w:val="0"/>
                <w:sz w:val="24"/>
                <w:szCs w:val="24"/>
              </w:rPr>
            </w:pPr>
            <w:r w:rsidRPr="00D34546">
              <w:rPr>
                <w:i w:val="0"/>
                <w:sz w:val="24"/>
                <w:szCs w:val="24"/>
              </w:rPr>
              <w:t>This Prudential Standard sets out requirements for the issuing of covered bonds by authorised deposit</w:t>
            </w:r>
            <w:r w:rsidRPr="00D34546">
              <w:rPr>
                <w:i w:val="0"/>
                <w:sz w:val="24"/>
                <w:szCs w:val="24"/>
              </w:rPr>
              <w:noBreakHyphen/>
              <w:t xml:space="preserve">taking institutions (ADIs). </w:t>
            </w:r>
          </w:p>
          <w:p w14:paraId="5D77E97B" w14:textId="77777777" w:rsidR="00821B32" w:rsidRPr="00D34546" w:rsidRDefault="003D1F7D" w:rsidP="007E67A7">
            <w:pPr>
              <w:pStyle w:val="BodyText"/>
              <w:numPr>
                <w:ilvl w:val="0"/>
                <w:numId w:val="0"/>
              </w:numPr>
              <w:spacing w:after="240"/>
              <w:ind w:left="167" w:right="125"/>
              <w:rPr>
                <w:i w:val="0"/>
                <w:sz w:val="24"/>
                <w:szCs w:val="24"/>
              </w:rPr>
            </w:pPr>
            <w:r w:rsidRPr="00D34546">
              <w:rPr>
                <w:i w:val="0"/>
                <w:sz w:val="24"/>
                <w:szCs w:val="24"/>
              </w:rPr>
              <w:t>Ultimately, the Board of an ADI is</w:t>
            </w:r>
            <w:r w:rsidR="00AF63C4" w:rsidRPr="00D34546">
              <w:rPr>
                <w:i w:val="0"/>
                <w:sz w:val="24"/>
                <w:szCs w:val="24"/>
              </w:rPr>
              <w:t xml:space="preserve"> responsible for </w:t>
            </w:r>
            <w:r w:rsidR="007351E0" w:rsidRPr="00D34546">
              <w:rPr>
                <w:i w:val="0"/>
                <w:sz w:val="24"/>
                <w:szCs w:val="24"/>
              </w:rPr>
              <w:t>ensuring that the ADI adopts</w:t>
            </w:r>
            <w:r w:rsidR="003D77A1" w:rsidRPr="00D34546">
              <w:rPr>
                <w:i w:val="0"/>
                <w:sz w:val="24"/>
                <w:szCs w:val="24"/>
              </w:rPr>
              <w:t xml:space="preserve"> prudent practices when issuing covered bonds</w:t>
            </w:r>
            <w:r w:rsidR="00821B32" w:rsidRPr="00D34546">
              <w:rPr>
                <w:i w:val="0"/>
                <w:sz w:val="24"/>
                <w:szCs w:val="24"/>
              </w:rPr>
              <w:t xml:space="preserve"> and</w:t>
            </w:r>
            <w:r w:rsidR="003D77A1" w:rsidRPr="00D34546">
              <w:rPr>
                <w:i w:val="0"/>
                <w:sz w:val="24"/>
                <w:szCs w:val="24"/>
              </w:rPr>
              <w:t xml:space="preserve"> managing </w:t>
            </w:r>
            <w:r w:rsidR="00821B32" w:rsidRPr="00D34546">
              <w:rPr>
                <w:i w:val="0"/>
                <w:sz w:val="24"/>
                <w:szCs w:val="24"/>
              </w:rPr>
              <w:t xml:space="preserve">the </w:t>
            </w:r>
            <w:r w:rsidR="003D77A1" w:rsidRPr="00D34546">
              <w:rPr>
                <w:i w:val="0"/>
                <w:sz w:val="24"/>
                <w:szCs w:val="24"/>
              </w:rPr>
              <w:t xml:space="preserve">risks associated with exposure to a covered bond special purpose vehicle. </w:t>
            </w:r>
          </w:p>
          <w:p w14:paraId="5C44F923" w14:textId="77777777" w:rsidR="00BB7913" w:rsidRPr="00D34546" w:rsidRDefault="00821B32" w:rsidP="007E67A7">
            <w:pPr>
              <w:pStyle w:val="BodyText"/>
              <w:numPr>
                <w:ilvl w:val="0"/>
                <w:numId w:val="0"/>
              </w:numPr>
              <w:spacing w:after="240"/>
              <w:ind w:left="167" w:right="125"/>
              <w:rPr>
                <w:i w:val="0"/>
                <w:sz w:val="24"/>
                <w:szCs w:val="24"/>
              </w:rPr>
            </w:pPr>
            <w:r w:rsidRPr="00D34546">
              <w:rPr>
                <w:i w:val="0"/>
                <w:sz w:val="24"/>
                <w:szCs w:val="24"/>
              </w:rPr>
              <w:t xml:space="preserve">The key requirements of this Prudential Standard are that an </w:t>
            </w:r>
            <w:r w:rsidR="00B93A36" w:rsidRPr="00D34546">
              <w:rPr>
                <w:i w:val="0"/>
                <w:sz w:val="24"/>
                <w:szCs w:val="24"/>
              </w:rPr>
              <w:t xml:space="preserve">authorised deposit-taking </w:t>
            </w:r>
            <w:r w:rsidRPr="00D34546">
              <w:rPr>
                <w:i w:val="0"/>
                <w:sz w:val="24"/>
                <w:szCs w:val="24"/>
              </w:rPr>
              <w:t>institution must:</w:t>
            </w:r>
          </w:p>
          <w:p w14:paraId="5D168B4E" w14:textId="77777777" w:rsidR="009B0EE1" w:rsidRPr="00D34546" w:rsidRDefault="00260FA0" w:rsidP="00F32B2F">
            <w:pPr>
              <w:pStyle w:val="BodyText"/>
              <w:numPr>
                <w:ilvl w:val="0"/>
                <w:numId w:val="30"/>
              </w:numPr>
              <w:spacing w:after="240"/>
              <w:ind w:right="125"/>
              <w:rPr>
                <w:i w:val="0"/>
                <w:sz w:val="24"/>
                <w:szCs w:val="24"/>
              </w:rPr>
            </w:pPr>
            <w:r w:rsidRPr="00D34546">
              <w:rPr>
                <w:i w:val="0"/>
                <w:sz w:val="24"/>
                <w:szCs w:val="24"/>
              </w:rPr>
              <w:t xml:space="preserve">adopt </w:t>
            </w:r>
            <w:r w:rsidR="009B0EE1" w:rsidRPr="00D34546">
              <w:rPr>
                <w:i w:val="0"/>
                <w:sz w:val="24"/>
                <w:szCs w:val="24"/>
              </w:rPr>
              <w:t>policies and procedures to manage risks relating to its issuance of covered bonds;</w:t>
            </w:r>
            <w:r w:rsidR="00BC1453" w:rsidRPr="00D34546">
              <w:rPr>
                <w:i w:val="0"/>
                <w:sz w:val="24"/>
                <w:szCs w:val="24"/>
              </w:rPr>
              <w:t xml:space="preserve"> </w:t>
            </w:r>
            <w:r w:rsidR="00376841" w:rsidRPr="00D34546">
              <w:rPr>
                <w:i w:val="0"/>
                <w:sz w:val="24"/>
                <w:szCs w:val="24"/>
              </w:rPr>
              <w:t>and</w:t>
            </w:r>
          </w:p>
          <w:p w14:paraId="44EB1623" w14:textId="77777777" w:rsidR="00821B32" w:rsidRPr="00D34546" w:rsidRDefault="00AE4DBE" w:rsidP="00F32B2F">
            <w:pPr>
              <w:pStyle w:val="BodyText"/>
              <w:numPr>
                <w:ilvl w:val="0"/>
                <w:numId w:val="30"/>
              </w:numPr>
              <w:spacing w:after="240"/>
              <w:ind w:right="125"/>
              <w:rPr>
                <w:i w:val="0"/>
                <w:sz w:val="24"/>
                <w:szCs w:val="24"/>
              </w:rPr>
            </w:pPr>
            <w:r w:rsidRPr="00D34546">
              <w:rPr>
                <w:i w:val="0"/>
                <w:sz w:val="24"/>
                <w:szCs w:val="24"/>
              </w:rPr>
              <w:t xml:space="preserve">apply </w:t>
            </w:r>
            <w:r w:rsidR="000F0793" w:rsidRPr="00D34546">
              <w:rPr>
                <w:i w:val="0"/>
                <w:sz w:val="24"/>
                <w:szCs w:val="24"/>
              </w:rPr>
              <w:t xml:space="preserve">an </w:t>
            </w:r>
            <w:r w:rsidRPr="00D34546">
              <w:rPr>
                <w:i w:val="0"/>
                <w:sz w:val="24"/>
                <w:szCs w:val="24"/>
              </w:rPr>
              <w:t>appropriate</w:t>
            </w:r>
            <w:r w:rsidR="007B7C25" w:rsidRPr="00D34546">
              <w:rPr>
                <w:i w:val="0"/>
                <w:sz w:val="24"/>
                <w:szCs w:val="24"/>
              </w:rPr>
              <w:t xml:space="preserve"> capital </w:t>
            </w:r>
            <w:r w:rsidR="000F0793" w:rsidRPr="00D34546">
              <w:rPr>
                <w:i w:val="0"/>
                <w:sz w:val="24"/>
                <w:szCs w:val="24"/>
              </w:rPr>
              <w:t>treatment</w:t>
            </w:r>
            <w:r w:rsidRPr="00D34546">
              <w:rPr>
                <w:i w:val="0"/>
                <w:sz w:val="24"/>
                <w:szCs w:val="24"/>
              </w:rPr>
              <w:t xml:space="preserve"> to </w:t>
            </w:r>
            <w:r w:rsidR="007B7C25" w:rsidRPr="00D34546">
              <w:rPr>
                <w:i w:val="0"/>
                <w:sz w:val="24"/>
                <w:szCs w:val="24"/>
              </w:rPr>
              <w:t xml:space="preserve">exposures </w:t>
            </w:r>
            <w:r w:rsidR="00103C95" w:rsidRPr="00D34546">
              <w:rPr>
                <w:i w:val="0"/>
                <w:sz w:val="24"/>
                <w:szCs w:val="24"/>
              </w:rPr>
              <w:t xml:space="preserve">associated </w:t>
            </w:r>
            <w:r w:rsidR="00376841" w:rsidRPr="00D34546">
              <w:rPr>
                <w:i w:val="0"/>
                <w:sz w:val="24"/>
                <w:szCs w:val="24"/>
              </w:rPr>
              <w:t>with covered bond issuance</w:t>
            </w:r>
            <w:r w:rsidR="00CA2181" w:rsidRPr="00D34546">
              <w:rPr>
                <w:i w:val="0"/>
                <w:sz w:val="24"/>
                <w:szCs w:val="24"/>
              </w:rPr>
              <w:t>.</w:t>
            </w:r>
          </w:p>
          <w:p w14:paraId="09BD1EA6" w14:textId="77777777" w:rsidR="00B93A36" w:rsidRPr="003F7F31" w:rsidRDefault="00166AA9" w:rsidP="007E67A7">
            <w:pPr>
              <w:pStyle w:val="BodyText"/>
              <w:numPr>
                <w:ilvl w:val="0"/>
                <w:numId w:val="0"/>
              </w:numPr>
              <w:spacing w:after="240"/>
              <w:ind w:left="167" w:right="125"/>
              <w:rPr>
                <w:i w:val="0"/>
              </w:rPr>
            </w:pPr>
            <w:r w:rsidRPr="00D34546">
              <w:rPr>
                <w:i w:val="0"/>
                <w:sz w:val="24"/>
                <w:szCs w:val="24"/>
              </w:rPr>
              <w:t xml:space="preserve">This Prudential Standard should be read </w:t>
            </w:r>
            <w:r w:rsidR="002D6B2F" w:rsidRPr="00D34546">
              <w:rPr>
                <w:i w:val="0"/>
                <w:sz w:val="24"/>
                <w:szCs w:val="24"/>
              </w:rPr>
              <w:t xml:space="preserve">in conjunction with </w:t>
            </w:r>
            <w:r w:rsidR="00B93A36" w:rsidRPr="00D34546">
              <w:rPr>
                <w:i w:val="0"/>
                <w:sz w:val="24"/>
                <w:szCs w:val="24"/>
              </w:rPr>
              <w:t xml:space="preserve">Division 3A of </w:t>
            </w:r>
            <w:r w:rsidR="002D6B2F" w:rsidRPr="00D34546">
              <w:rPr>
                <w:i w:val="0"/>
                <w:sz w:val="24"/>
                <w:szCs w:val="24"/>
              </w:rPr>
              <w:t xml:space="preserve">Part II of </w:t>
            </w:r>
            <w:r w:rsidR="00B93A36" w:rsidRPr="00D34546">
              <w:rPr>
                <w:i w:val="0"/>
                <w:sz w:val="24"/>
                <w:szCs w:val="24"/>
              </w:rPr>
              <w:t xml:space="preserve">the </w:t>
            </w:r>
            <w:r w:rsidR="00B93A36" w:rsidRPr="00D34546">
              <w:rPr>
                <w:sz w:val="24"/>
                <w:szCs w:val="24"/>
              </w:rPr>
              <w:t>Banking Act 1959</w:t>
            </w:r>
            <w:r w:rsidRPr="00D34546">
              <w:rPr>
                <w:i w:val="0"/>
                <w:sz w:val="24"/>
                <w:szCs w:val="24"/>
              </w:rPr>
              <w:t>, which sets out the</w:t>
            </w:r>
            <w:r w:rsidR="00B93A36" w:rsidRPr="00D34546">
              <w:rPr>
                <w:i w:val="0"/>
                <w:sz w:val="24"/>
                <w:szCs w:val="24"/>
              </w:rPr>
              <w:t xml:space="preserve"> legislative framework for covered bonds.</w:t>
            </w:r>
            <w:r w:rsidR="00B93A36" w:rsidRPr="003F7F31">
              <w:rPr>
                <w:i w:val="0"/>
              </w:rPr>
              <w:t xml:space="preserve"> </w:t>
            </w:r>
          </w:p>
        </w:tc>
      </w:tr>
    </w:tbl>
    <w:p w14:paraId="3498C48F" w14:textId="77777777" w:rsidR="00BB7913" w:rsidRDefault="00BB7913" w:rsidP="00285EFC">
      <w:pPr>
        <w:pStyle w:val="BodyText1"/>
        <w:numPr>
          <w:ilvl w:val="0"/>
          <w:numId w:val="0"/>
        </w:numPr>
        <w:spacing w:after="120"/>
        <w:ind w:left="567" w:hanging="567"/>
      </w:pPr>
      <w:bookmarkStart w:id="2" w:name="OLE_LINK4"/>
    </w:p>
    <w:bookmarkEnd w:id="2"/>
    <w:p w14:paraId="63B97245" w14:textId="77777777" w:rsidR="00D2568B" w:rsidRDefault="00D2568B" w:rsidP="00BB7913"/>
    <w:p w14:paraId="5C61B67A" w14:textId="2D872D4E" w:rsidR="00AE44CD" w:rsidRDefault="00AE44CD" w:rsidP="003D1F7D">
      <w:pPr>
        <w:pStyle w:val="Heading4"/>
      </w:pPr>
    </w:p>
    <w:p w14:paraId="35E1C368" w14:textId="77777777" w:rsidR="00AB5670" w:rsidRPr="00B93A36" w:rsidRDefault="003D1F7D" w:rsidP="003D1F7D">
      <w:pPr>
        <w:pStyle w:val="Heading4"/>
      </w:pPr>
      <w:r w:rsidRPr="00AE44CD">
        <w:br w:type="page"/>
      </w:r>
      <w:r w:rsidR="00B93A36">
        <w:lastRenderedPageBreak/>
        <w:t>Authority</w:t>
      </w:r>
    </w:p>
    <w:p w14:paraId="2BA2585D" w14:textId="77777777" w:rsidR="00AB5670" w:rsidRPr="00E21BD9" w:rsidRDefault="00B93A36" w:rsidP="00652926">
      <w:pPr>
        <w:numPr>
          <w:ilvl w:val="0"/>
          <w:numId w:val="25"/>
        </w:numPr>
        <w:autoSpaceDE w:val="0"/>
        <w:autoSpaceDN w:val="0"/>
        <w:adjustRightInd w:val="0"/>
        <w:ind w:left="567" w:hanging="567"/>
        <w:rPr>
          <w:rFonts w:ascii="TimesNewRomanPS-ItalicMT" w:hAnsi="TimesNewRomanPS-ItalicMT" w:cs="TimesNewRomanPS-ItalicMT"/>
          <w:iCs/>
          <w:szCs w:val="24"/>
        </w:rPr>
      </w:pPr>
      <w:r>
        <w:t>This Prudential Standa</w:t>
      </w:r>
      <w:r w:rsidR="00E21BD9">
        <w:t>rd is made under section 11AF</w:t>
      </w:r>
      <w:r w:rsidR="00716484">
        <w:rPr>
          <w:szCs w:val="24"/>
        </w:rPr>
        <w:t xml:space="preserve"> </w:t>
      </w:r>
      <w:r w:rsidR="00E21BD9">
        <w:rPr>
          <w:szCs w:val="24"/>
        </w:rPr>
        <w:t xml:space="preserve">of the </w:t>
      </w:r>
      <w:r w:rsidR="00E21BD9" w:rsidRPr="0075260F">
        <w:rPr>
          <w:i/>
          <w:iCs/>
          <w:szCs w:val="24"/>
        </w:rPr>
        <w:t>Banking Act 1959</w:t>
      </w:r>
      <w:r w:rsidR="00E21BD9">
        <w:rPr>
          <w:rFonts w:ascii="TimesNewRomanPS-ItalicMT" w:hAnsi="TimesNewRomanPS-ItalicMT" w:cs="TimesNewRomanPS-ItalicMT"/>
          <w:i/>
          <w:iCs/>
          <w:szCs w:val="24"/>
        </w:rPr>
        <w:t xml:space="preserve"> </w:t>
      </w:r>
      <w:r w:rsidR="00E21BD9">
        <w:rPr>
          <w:szCs w:val="24"/>
        </w:rPr>
        <w:t>(</w:t>
      </w:r>
      <w:r w:rsidR="00E21BD9">
        <w:rPr>
          <w:b/>
          <w:bCs/>
          <w:szCs w:val="24"/>
        </w:rPr>
        <w:t>Banking Act</w:t>
      </w:r>
      <w:r w:rsidR="00E21BD9">
        <w:rPr>
          <w:szCs w:val="24"/>
        </w:rPr>
        <w:t>).</w:t>
      </w:r>
    </w:p>
    <w:p w14:paraId="0E24ACCC" w14:textId="2C0F9091" w:rsidR="00AB5670" w:rsidRDefault="00E21BD9" w:rsidP="00E21BD9">
      <w:pPr>
        <w:pStyle w:val="Heading4"/>
      </w:pPr>
      <w:r>
        <w:t>Application</w:t>
      </w:r>
      <w:r w:rsidR="00CD5E9A">
        <w:t xml:space="preserve"> and commencement</w:t>
      </w:r>
    </w:p>
    <w:p w14:paraId="3005CCC0" w14:textId="4F65AE90" w:rsidR="004060AF" w:rsidRDefault="00B43AA3" w:rsidP="00652926">
      <w:pPr>
        <w:numPr>
          <w:ilvl w:val="0"/>
          <w:numId w:val="25"/>
        </w:numPr>
        <w:ind w:left="567" w:hanging="567"/>
      </w:pPr>
      <w:r>
        <w:t>This Prudential Standard applies to all authorised depo</w:t>
      </w:r>
      <w:r w:rsidR="004060AF">
        <w:t>sit-taking institution</w:t>
      </w:r>
      <w:r>
        <w:t>s</w:t>
      </w:r>
      <w:r w:rsidR="004060AF">
        <w:t xml:space="preserve"> (</w:t>
      </w:r>
      <w:r w:rsidR="004060AF" w:rsidRPr="004060AF">
        <w:rPr>
          <w:b/>
        </w:rPr>
        <w:t>ADI</w:t>
      </w:r>
      <w:r>
        <w:rPr>
          <w:b/>
        </w:rPr>
        <w:t>s</w:t>
      </w:r>
      <w:r w:rsidR="004060AF">
        <w:t xml:space="preserve">), other than a </w:t>
      </w:r>
      <w:r w:rsidR="004060AF" w:rsidRPr="00BD624E">
        <w:rPr>
          <w:b/>
        </w:rPr>
        <w:t>foreign ADI</w:t>
      </w:r>
      <w:r w:rsidR="004060AF">
        <w:t>.</w:t>
      </w:r>
      <w:r w:rsidR="00182A8B">
        <w:t xml:space="preserve"> </w:t>
      </w:r>
    </w:p>
    <w:p w14:paraId="1E3FDF56" w14:textId="282F6590" w:rsidR="002F70E8" w:rsidRDefault="002F70E8" w:rsidP="00652926">
      <w:pPr>
        <w:numPr>
          <w:ilvl w:val="0"/>
          <w:numId w:val="25"/>
        </w:numPr>
        <w:ind w:left="567" w:hanging="567"/>
      </w:pPr>
      <w:r>
        <w:t xml:space="preserve">This Prudential Standard commences on 1 </w:t>
      </w:r>
      <w:r w:rsidR="00AF4913">
        <w:t>January 2023</w:t>
      </w:r>
      <w:r>
        <w:t>.</w:t>
      </w:r>
    </w:p>
    <w:p w14:paraId="583209A7" w14:textId="1EFB155F" w:rsidR="002F70E8" w:rsidRPr="002F70E8" w:rsidRDefault="002F70E8" w:rsidP="005C2359">
      <w:pPr>
        <w:pStyle w:val="Heading4"/>
      </w:pPr>
      <w:bookmarkStart w:id="3" w:name="_Toc522798911"/>
      <w:bookmarkStart w:id="4" w:name="_Toc497828911"/>
      <w:bookmarkEnd w:id="3"/>
      <w:r w:rsidRPr="002F70E8">
        <w:t>Interpretation</w:t>
      </w:r>
      <w:bookmarkEnd w:id="4"/>
    </w:p>
    <w:p w14:paraId="3579DC09" w14:textId="5DA8BE61" w:rsidR="002F70E8" w:rsidRPr="009D6C80" w:rsidRDefault="002F70E8" w:rsidP="00652926">
      <w:pPr>
        <w:pStyle w:val="ListParagraph"/>
        <w:numPr>
          <w:ilvl w:val="0"/>
          <w:numId w:val="25"/>
        </w:numPr>
        <w:ind w:left="567" w:hanging="567"/>
      </w:pPr>
      <w:r>
        <w:rPr>
          <w:rFonts w:ascii="&amp;quot" w:hAnsi="&amp;quot"/>
          <w:color w:val="000000"/>
        </w:rPr>
        <w:t xml:space="preserve">Terms that are defined in </w:t>
      </w:r>
      <w:r>
        <w:rPr>
          <w:rFonts w:ascii="&amp;quot" w:hAnsi="&amp;quot"/>
          <w:i/>
          <w:iCs/>
          <w:color w:val="000000"/>
        </w:rPr>
        <w:t xml:space="preserve">Prudential Standard APS 001 Definitions </w:t>
      </w:r>
      <w:r>
        <w:rPr>
          <w:rFonts w:ascii="&amp;quot" w:hAnsi="&amp;quot"/>
          <w:color w:val="000000"/>
        </w:rPr>
        <w:t>appear in bold the first time they are used in this Prudential Standard</w:t>
      </w:r>
      <w:r>
        <w:rPr>
          <w:rFonts w:ascii="&amp;quot" w:hAnsi="&amp;quot"/>
          <w:i/>
          <w:iCs/>
          <w:color w:val="000000"/>
        </w:rPr>
        <w:t>.</w:t>
      </w:r>
    </w:p>
    <w:p w14:paraId="3862536A" w14:textId="77777777" w:rsidR="002F70E8" w:rsidRPr="009D6C80" w:rsidRDefault="002F70E8" w:rsidP="00652926">
      <w:pPr>
        <w:pStyle w:val="ListParagraph"/>
        <w:ind w:left="567" w:hanging="567"/>
      </w:pPr>
    </w:p>
    <w:p w14:paraId="75C512EF" w14:textId="77777777" w:rsidR="00F632FE" w:rsidRPr="00F632FE" w:rsidRDefault="002F70E8" w:rsidP="00652926">
      <w:pPr>
        <w:pStyle w:val="ListParagraph"/>
        <w:numPr>
          <w:ilvl w:val="0"/>
          <w:numId w:val="25"/>
        </w:numPr>
        <w:ind w:left="567" w:hanging="567"/>
      </w:pPr>
      <w:r>
        <w:rPr>
          <w:color w:val="000000"/>
          <w:shd w:val="clear" w:color="auto" w:fill="FFFFFF"/>
        </w:rPr>
        <w:t xml:space="preserve">Where this Prudential Standard provides for APRA to exercise a power or discretion, this power or discretion is to be exercised in writing. </w:t>
      </w:r>
    </w:p>
    <w:p w14:paraId="1E3DE940" w14:textId="77777777" w:rsidR="00F632FE" w:rsidRPr="00F632FE" w:rsidRDefault="00F632FE" w:rsidP="00652926">
      <w:pPr>
        <w:pStyle w:val="ListParagraph"/>
        <w:ind w:left="567" w:hanging="567"/>
        <w:rPr>
          <w:color w:val="000000"/>
          <w:shd w:val="clear" w:color="auto" w:fill="FFFFFF"/>
        </w:rPr>
      </w:pPr>
    </w:p>
    <w:p w14:paraId="31B865DC" w14:textId="28050985" w:rsidR="00634426" w:rsidRDefault="002F70E8" w:rsidP="00652926">
      <w:pPr>
        <w:pStyle w:val="ListParagraph"/>
        <w:numPr>
          <w:ilvl w:val="0"/>
          <w:numId w:val="25"/>
        </w:numPr>
        <w:ind w:left="567" w:hanging="567"/>
      </w:pPr>
      <w:r>
        <w:rPr>
          <w:color w:val="000000"/>
          <w:shd w:val="clear" w:color="auto" w:fill="FFFFFF"/>
        </w:rPr>
        <w:t>In this Prudential Standard, unless the contrary intention appears, a refe</w:t>
      </w:r>
      <w:r w:rsidR="002404B7">
        <w:rPr>
          <w:color w:val="000000"/>
          <w:shd w:val="clear" w:color="auto" w:fill="FFFFFF"/>
        </w:rPr>
        <w:t xml:space="preserve">rence to an Act, Regulations, </w:t>
      </w:r>
      <w:r>
        <w:rPr>
          <w:color w:val="000000"/>
          <w:shd w:val="clear" w:color="auto" w:fill="FFFFFF"/>
        </w:rPr>
        <w:t xml:space="preserve">Prudential Standard </w:t>
      </w:r>
      <w:r w:rsidR="002404B7">
        <w:rPr>
          <w:color w:val="000000"/>
          <w:shd w:val="clear" w:color="auto" w:fill="FFFFFF"/>
        </w:rPr>
        <w:t xml:space="preserve">or Reporting Standard </w:t>
      </w:r>
      <w:r>
        <w:rPr>
          <w:color w:val="000000"/>
          <w:shd w:val="clear" w:color="auto" w:fill="FFFFFF"/>
        </w:rPr>
        <w:t>is a refer</w:t>
      </w:r>
      <w:r w:rsidR="002404B7">
        <w:rPr>
          <w:color w:val="000000"/>
          <w:shd w:val="clear" w:color="auto" w:fill="FFFFFF"/>
        </w:rPr>
        <w:t xml:space="preserve">ence to the Act, Regulations, </w:t>
      </w:r>
      <w:r>
        <w:rPr>
          <w:color w:val="000000"/>
          <w:shd w:val="clear" w:color="auto" w:fill="FFFFFF"/>
        </w:rPr>
        <w:t xml:space="preserve">Prudential Standard </w:t>
      </w:r>
      <w:r w:rsidR="002404B7">
        <w:rPr>
          <w:color w:val="000000"/>
          <w:shd w:val="clear" w:color="auto" w:fill="FFFFFF"/>
        </w:rPr>
        <w:t xml:space="preserve">or Reporting Standard </w:t>
      </w:r>
      <w:r>
        <w:rPr>
          <w:color w:val="000000"/>
          <w:shd w:val="clear" w:color="auto" w:fill="FFFFFF"/>
        </w:rPr>
        <w:t>as in force from time to time.</w:t>
      </w:r>
      <w:r w:rsidR="007934D5">
        <w:rPr>
          <w:rStyle w:val="FootnoteReference"/>
          <w:color w:val="000000"/>
          <w:shd w:val="clear" w:color="auto" w:fill="FFFFFF"/>
        </w:rPr>
        <w:footnoteReference w:id="1"/>
      </w:r>
    </w:p>
    <w:p w14:paraId="01D0A05D" w14:textId="484B6824" w:rsidR="00634426" w:rsidRPr="002F70E8" w:rsidRDefault="00634426" w:rsidP="00634426">
      <w:pPr>
        <w:pStyle w:val="Heading4"/>
      </w:pPr>
      <w:r>
        <w:t>Scope</w:t>
      </w:r>
    </w:p>
    <w:p w14:paraId="2AF762E8" w14:textId="77777777" w:rsidR="00634426" w:rsidRDefault="00634426" w:rsidP="00652926">
      <w:pPr>
        <w:numPr>
          <w:ilvl w:val="0"/>
          <w:numId w:val="25"/>
        </w:numPr>
        <w:ind w:left="567" w:hanging="567"/>
      </w:pPr>
      <w:r>
        <w:t xml:space="preserve">This Prudential Standard </w:t>
      </w:r>
      <w:r w:rsidRPr="00182A8B">
        <w:t xml:space="preserve">does not apply </w:t>
      </w:r>
      <w:r>
        <w:t xml:space="preserve">to </w:t>
      </w:r>
      <w:r w:rsidRPr="00182A8B">
        <w:t>a bond, note or other debenture, liabilities in relation to which are secured wholly by assets that are not in Australia</w:t>
      </w:r>
      <w:r>
        <w:t>.</w:t>
      </w:r>
    </w:p>
    <w:p w14:paraId="29440674" w14:textId="4C7E2CD9" w:rsidR="00634426" w:rsidRPr="002F70E8" w:rsidRDefault="00634426" w:rsidP="00652926">
      <w:pPr>
        <w:numPr>
          <w:ilvl w:val="0"/>
          <w:numId w:val="25"/>
        </w:numPr>
        <w:ind w:left="567" w:hanging="567"/>
      </w:pPr>
      <w:r>
        <w:t xml:space="preserve">A covered bond is not a securitisation for the purposes of </w:t>
      </w:r>
      <w:r w:rsidRPr="00BC1453">
        <w:rPr>
          <w:i/>
        </w:rPr>
        <w:t>Prudential Standard APS 120 Securitisation</w:t>
      </w:r>
      <w:r>
        <w:t xml:space="preserve"> (APS 120).</w:t>
      </w:r>
    </w:p>
    <w:p w14:paraId="562AEB5B" w14:textId="77777777" w:rsidR="005C2359" w:rsidRDefault="005C2359" w:rsidP="005C2359">
      <w:pPr>
        <w:pStyle w:val="Heading4"/>
      </w:pPr>
      <w:r>
        <w:t>Definitions</w:t>
      </w:r>
    </w:p>
    <w:p w14:paraId="6382114A" w14:textId="77777777" w:rsidR="00634426" w:rsidRDefault="005C2359" w:rsidP="00652926">
      <w:pPr>
        <w:pStyle w:val="ListParagraph"/>
        <w:numPr>
          <w:ilvl w:val="0"/>
          <w:numId w:val="25"/>
        </w:numPr>
        <w:ind w:left="567" w:hanging="567"/>
      </w:pPr>
      <w:r w:rsidRPr="00B12B4F">
        <w:t xml:space="preserve">The </w:t>
      </w:r>
      <w:r w:rsidR="00CD5E9A">
        <w:t>following definition</w:t>
      </w:r>
      <w:r w:rsidR="00F632FE">
        <w:t xml:space="preserve"> </w:t>
      </w:r>
      <w:r w:rsidR="00CD5E9A">
        <w:t>is</w:t>
      </w:r>
      <w:r w:rsidR="00F632FE">
        <w:t xml:space="preserve"> used in this Prudential Standard:</w:t>
      </w:r>
    </w:p>
    <w:p w14:paraId="0A31A317" w14:textId="7AC5F7EA" w:rsidR="00F632FE" w:rsidRDefault="00F632FE" w:rsidP="00634426">
      <w:pPr>
        <w:pStyle w:val="ListParagraph"/>
        <w:ind w:left="360"/>
      </w:pPr>
    </w:p>
    <w:p w14:paraId="4793E1BE" w14:textId="2B0929CE" w:rsidR="005C2359" w:rsidRDefault="000529B3" w:rsidP="00652926">
      <w:pPr>
        <w:pStyle w:val="ListParagraph"/>
        <w:numPr>
          <w:ilvl w:val="1"/>
          <w:numId w:val="25"/>
        </w:numPr>
        <w:ind w:hanging="513"/>
      </w:pPr>
      <w:r>
        <w:t>a</w:t>
      </w:r>
      <w:r w:rsidR="00716484" w:rsidRPr="00634426">
        <w:t>ssets in Australia</w:t>
      </w:r>
      <w:r w:rsidR="00716484">
        <w:t xml:space="preserve"> </w:t>
      </w:r>
      <w:r w:rsidR="00CD5E9A">
        <w:t xml:space="preserve">- </w:t>
      </w:r>
      <w:r w:rsidR="00716484">
        <w:t>means assets in Australia calculated in accordance with paragraph </w:t>
      </w:r>
      <w:r w:rsidR="00AE361E">
        <w:t>42</w:t>
      </w:r>
      <w:r w:rsidR="00716484">
        <w:t xml:space="preserve"> of this Prudential Standard.</w:t>
      </w:r>
    </w:p>
    <w:p w14:paraId="5F90E426" w14:textId="77777777" w:rsidR="007E4B7A" w:rsidRPr="00BD7B96" w:rsidRDefault="007E4B7A" w:rsidP="007E4B7A">
      <w:pPr>
        <w:pStyle w:val="Heading4"/>
      </w:pPr>
      <w:r w:rsidRPr="00BD7B96">
        <w:t xml:space="preserve">Adjustments and exclusions </w:t>
      </w:r>
    </w:p>
    <w:p w14:paraId="548D73CC" w14:textId="63CC0931" w:rsidR="007E4B7A" w:rsidRDefault="007E4B7A" w:rsidP="00652926">
      <w:pPr>
        <w:numPr>
          <w:ilvl w:val="0"/>
          <w:numId w:val="25"/>
        </w:numPr>
        <w:ind w:left="567" w:hanging="567"/>
      </w:pPr>
      <w:r w:rsidRPr="00BD7B96">
        <w:t>APRA may adjust or exclude a specific prudential requirement in this Prudential Standard in relation to one or more specified ADIs.</w:t>
      </w:r>
      <w:r w:rsidRPr="00BD7B96">
        <w:rPr>
          <w:rStyle w:val="FootnoteReference"/>
        </w:rPr>
        <w:footnoteReference w:id="2"/>
      </w:r>
      <w:r w:rsidRPr="00BD7B96">
        <w:t xml:space="preserve"> </w:t>
      </w:r>
      <w:bookmarkStart w:id="5" w:name="_Toc497828925"/>
    </w:p>
    <w:p w14:paraId="51A04BD3" w14:textId="77777777" w:rsidR="007E4B7A" w:rsidRDefault="007E4B7A" w:rsidP="007E4B7A">
      <w:pPr>
        <w:rPr>
          <w:rFonts w:ascii="Arial" w:hAnsi="Arial"/>
          <w:b/>
          <w:bCs/>
          <w:szCs w:val="28"/>
        </w:rPr>
      </w:pPr>
      <w:r w:rsidRPr="00F632FE">
        <w:rPr>
          <w:rFonts w:ascii="Arial" w:hAnsi="Arial"/>
          <w:b/>
          <w:bCs/>
          <w:szCs w:val="28"/>
        </w:rPr>
        <w:lastRenderedPageBreak/>
        <w:t>Previous exercise of discretion</w:t>
      </w:r>
      <w:bookmarkEnd w:id="5"/>
    </w:p>
    <w:p w14:paraId="0D89BB04" w14:textId="77777777" w:rsidR="007E4B7A" w:rsidRPr="007C1D3A" w:rsidRDefault="007E4B7A" w:rsidP="00652926">
      <w:pPr>
        <w:pStyle w:val="BodyText1"/>
        <w:numPr>
          <w:ilvl w:val="0"/>
          <w:numId w:val="25"/>
        </w:numPr>
        <w:ind w:left="567" w:hanging="567"/>
      </w:pPr>
      <w:r>
        <w:t xml:space="preserve">An ADI </w:t>
      </w:r>
      <w:r w:rsidRPr="007C1D3A">
        <w:t>must contact APRA if it seeks to place reliance, for the purposes of complying with this Prudential Standard, on a previous exemption or other exercise of discretion by APRA under a previous version of this Prudential Standard.</w:t>
      </w:r>
    </w:p>
    <w:p w14:paraId="0F480E24" w14:textId="77777777" w:rsidR="00A529C5" w:rsidRDefault="00321FCD" w:rsidP="000B28D2">
      <w:pPr>
        <w:pStyle w:val="Heading4"/>
      </w:pPr>
      <w:r>
        <w:t>Key principles</w:t>
      </w:r>
    </w:p>
    <w:p w14:paraId="5A5345EE" w14:textId="77777777" w:rsidR="005E78A3" w:rsidRDefault="00A529C5" w:rsidP="00652926">
      <w:pPr>
        <w:numPr>
          <w:ilvl w:val="0"/>
          <w:numId w:val="25"/>
        </w:numPr>
        <w:ind w:left="567" w:hanging="567"/>
      </w:pPr>
      <w:r>
        <w:t xml:space="preserve">The </w:t>
      </w:r>
      <w:r w:rsidRPr="00BD624E">
        <w:rPr>
          <w:b/>
        </w:rPr>
        <w:t>Board</w:t>
      </w:r>
      <w:r>
        <w:t xml:space="preserve"> and </w:t>
      </w:r>
      <w:r w:rsidRPr="009D6C80">
        <w:t xml:space="preserve">senior management </w:t>
      </w:r>
      <w:r>
        <w:t xml:space="preserve">of an issuing ADI must establish </w:t>
      </w:r>
      <w:r w:rsidR="005E78A3">
        <w:t xml:space="preserve">and implement </w:t>
      </w:r>
      <w:r>
        <w:t>policies and procedures relating to</w:t>
      </w:r>
      <w:r w:rsidR="005E78A3">
        <w:t>:</w:t>
      </w:r>
    </w:p>
    <w:p w14:paraId="47AEA6E8" w14:textId="77777777" w:rsidR="005E78A3" w:rsidRDefault="005E78A3" w:rsidP="00652926">
      <w:pPr>
        <w:numPr>
          <w:ilvl w:val="1"/>
          <w:numId w:val="25"/>
        </w:numPr>
        <w:ind w:hanging="513"/>
      </w:pPr>
      <w:r>
        <w:t>decisions to issue covered bonds and the structuring of covered bond issuance;</w:t>
      </w:r>
    </w:p>
    <w:p w14:paraId="1245FE42" w14:textId="77777777" w:rsidR="005E78A3" w:rsidRDefault="005E78A3" w:rsidP="00652926">
      <w:pPr>
        <w:numPr>
          <w:ilvl w:val="1"/>
          <w:numId w:val="25"/>
        </w:numPr>
        <w:ind w:hanging="513"/>
      </w:pPr>
      <w:r>
        <w:t>the ADI’s dealings with covered bond special purpose vehicles (including cover pools); and</w:t>
      </w:r>
    </w:p>
    <w:p w14:paraId="2237D3A4" w14:textId="77777777" w:rsidR="005E78A3" w:rsidRDefault="005E78A3" w:rsidP="00652926">
      <w:pPr>
        <w:numPr>
          <w:ilvl w:val="1"/>
          <w:numId w:val="25"/>
        </w:numPr>
        <w:ind w:hanging="513"/>
      </w:pPr>
      <w:r>
        <w:t>the management of exposures involved in the issuance of covered bonds.</w:t>
      </w:r>
    </w:p>
    <w:p w14:paraId="52BEEDC1" w14:textId="77777777" w:rsidR="008017A9" w:rsidRDefault="008017A9" w:rsidP="00652926">
      <w:pPr>
        <w:keepNext/>
        <w:numPr>
          <w:ilvl w:val="0"/>
          <w:numId w:val="25"/>
        </w:numPr>
        <w:ind w:left="567" w:hanging="567"/>
      </w:pPr>
      <w:r>
        <w:t xml:space="preserve">The policies and procedures </w:t>
      </w:r>
      <w:r w:rsidR="005E78A3">
        <w:t xml:space="preserve">established by an ADI relating to </w:t>
      </w:r>
      <w:r w:rsidR="00FF0D59">
        <w:t xml:space="preserve">its </w:t>
      </w:r>
      <w:r w:rsidR="005E78A3">
        <w:t>issuance of covered bonds must include</w:t>
      </w:r>
      <w:r>
        <w:t>:</w:t>
      </w:r>
    </w:p>
    <w:p w14:paraId="01B3E147" w14:textId="77777777" w:rsidR="00127CC6" w:rsidRDefault="008017A9" w:rsidP="00652926">
      <w:pPr>
        <w:numPr>
          <w:ilvl w:val="1"/>
          <w:numId w:val="25"/>
        </w:numPr>
        <w:ind w:hanging="513"/>
      </w:pPr>
      <w:r>
        <w:t xml:space="preserve">appropriate risk management systems to identify, measure, monitor and manage the risks </w:t>
      </w:r>
      <w:r w:rsidR="005E78A3">
        <w:t xml:space="preserve">associated with </w:t>
      </w:r>
      <w:r>
        <w:t>the ADI’s issuance of covered bonds;</w:t>
      </w:r>
    </w:p>
    <w:p w14:paraId="6CD6244D" w14:textId="77777777" w:rsidR="00B93046" w:rsidRDefault="008017A9" w:rsidP="00652926">
      <w:pPr>
        <w:numPr>
          <w:ilvl w:val="1"/>
          <w:numId w:val="25"/>
        </w:numPr>
        <w:ind w:hanging="513"/>
      </w:pPr>
      <w:r>
        <w:t xml:space="preserve">how the ADI will monitor the effects of its issuance of covered bonds on its risk profile, including </w:t>
      </w:r>
      <w:r w:rsidR="009B0EE1">
        <w:t>exposures to the cover</w:t>
      </w:r>
      <w:r w:rsidR="002037BC">
        <w:t>ed bond special purpose vehicle</w:t>
      </w:r>
      <w:r w:rsidR="009B0EE1">
        <w:t xml:space="preserve">; </w:t>
      </w:r>
    </w:p>
    <w:p w14:paraId="6E3B9110" w14:textId="77777777" w:rsidR="00B93046" w:rsidRDefault="00B93046" w:rsidP="00652926">
      <w:pPr>
        <w:numPr>
          <w:ilvl w:val="1"/>
          <w:numId w:val="25"/>
        </w:numPr>
        <w:ind w:hanging="513"/>
      </w:pPr>
      <w:r>
        <w:t>consideration, under stress scenarios, of the impact on the ADI of contractual obligations to maintain collateral levels required for covered bonds;</w:t>
      </w:r>
    </w:p>
    <w:p w14:paraId="7E3903BA" w14:textId="77777777" w:rsidR="008017A9" w:rsidRDefault="00B93046" w:rsidP="00652926">
      <w:pPr>
        <w:numPr>
          <w:ilvl w:val="1"/>
          <w:numId w:val="25"/>
        </w:numPr>
        <w:ind w:hanging="513"/>
      </w:pPr>
      <w:r>
        <w:t>assessment of the effect</w:t>
      </w:r>
      <w:r w:rsidR="005E78A3">
        <w:t xml:space="preserve">, including under stress scenarios, </w:t>
      </w:r>
      <w:r>
        <w:t xml:space="preserve"> of covered bond issuance on the ability of the ADI to raise other sources of funding and the cost of such funding; </w:t>
      </w:r>
      <w:r w:rsidR="009B0EE1">
        <w:t>and</w:t>
      </w:r>
    </w:p>
    <w:p w14:paraId="6C50EC94" w14:textId="77777777" w:rsidR="009B0EE1" w:rsidRDefault="009B0EE1" w:rsidP="00652926">
      <w:pPr>
        <w:numPr>
          <w:ilvl w:val="1"/>
          <w:numId w:val="25"/>
        </w:numPr>
        <w:ind w:hanging="513"/>
      </w:pPr>
      <w:r>
        <w:t xml:space="preserve">how the ADI will ensure that it is meeting the requirements of </w:t>
      </w:r>
      <w:r w:rsidR="00071885">
        <w:t xml:space="preserve">this Prudential Standard and of </w:t>
      </w:r>
      <w:r>
        <w:t xml:space="preserve">Division 3A of </w:t>
      </w:r>
      <w:r w:rsidR="00071885">
        <w:t xml:space="preserve">Part II of </w:t>
      </w:r>
      <w:r>
        <w:t>the Banking Act.</w:t>
      </w:r>
    </w:p>
    <w:p w14:paraId="7790ED43" w14:textId="77777777" w:rsidR="0047618D" w:rsidRPr="000F7F36" w:rsidRDefault="0047618D" w:rsidP="00652926">
      <w:pPr>
        <w:numPr>
          <w:ilvl w:val="0"/>
          <w:numId w:val="25"/>
        </w:numPr>
        <w:ind w:left="567" w:hanging="567"/>
      </w:pPr>
      <w:r w:rsidRPr="000F7F36">
        <w:t>The documentation associated with a covered bond issuance must clearly set out:</w:t>
      </w:r>
    </w:p>
    <w:p w14:paraId="0DEB1B27" w14:textId="77777777" w:rsidR="0047618D" w:rsidRPr="0016772B" w:rsidRDefault="0047618D" w:rsidP="00652926">
      <w:pPr>
        <w:numPr>
          <w:ilvl w:val="1"/>
          <w:numId w:val="25"/>
        </w:numPr>
        <w:ind w:hanging="513"/>
      </w:pPr>
      <w:r w:rsidRPr="0016772B">
        <w:t xml:space="preserve">the events of default </w:t>
      </w:r>
      <w:r>
        <w:t>that</w:t>
      </w:r>
      <w:r w:rsidRPr="0016772B">
        <w:t xml:space="preserve"> would enable covered bond holders to access collateral held </w:t>
      </w:r>
      <w:r>
        <w:t>in the cover pool</w:t>
      </w:r>
      <w:r w:rsidRPr="0016772B">
        <w:t>;</w:t>
      </w:r>
    </w:p>
    <w:p w14:paraId="0F7D6BBB" w14:textId="77777777" w:rsidR="0047618D" w:rsidRDefault="0047618D" w:rsidP="00652926">
      <w:pPr>
        <w:numPr>
          <w:ilvl w:val="1"/>
          <w:numId w:val="25"/>
        </w:numPr>
        <w:ind w:hanging="513"/>
      </w:pPr>
      <w:r>
        <w:t>that claims by covered bond holders on the covered bond special purpose vehicle are limited to assets in the cover pool;</w:t>
      </w:r>
    </w:p>
    <w:p w14:paraId="599AA020" w14:textId="77777777" w:rsidR="0047618D" w:rsidRDefault="0047618D" w:rsidP="00652926">
      <w:pPr>
        <w:numPr>
          <w:ilvl w:val="1"/>
          <w:numId w:val="25"/>
        </w:numPr>
        <w:ind w:hanging="513"/>
      </w:pPr>
      <w:r w:rsidRPr="000F7F36">
        <w:t xml:space="preserve">how assets </w:t>
      </w:r>
      <w:r>
        <w:t xml:space="preserve">forming part of the cover pool </w:t>
      </w:r>
      <w:r w:rsidR="005E78A3">
        <w:t>ar</w:t>
      </w:r>
      <w:r w:rsidR="00071885">
        <w:t>e</w:t>
      </w:r>
      <w:r>
        <w:t xml:space="preserve"> identifi</w:t>
      </w:r>
      <w:r w:rsidR="00071885">
        <w:t>ed</w:t>
      </w:r>
      <w:r w:rsidRPr="000F7F36">
        <w:t>;</w:t>
      </w:r>
    </w:p>
    <w:p w14:paraId="1BFDD880" w14:textId="77777777" w:rsidR="0047618D" w:rsidRPr="000F7F36" w:rsidRDefault="0047618D" w:rsidP="00652926">
      <w:pPr>
        <w:numPr>
          <w:ilvl w:val="1"/>
          <w:numId w:val="25"/>
        </w:numPr>
        <w:ind w:hanging="513"/>
      </w:pPr>
      <w:r>
        <w:lastRenderedPageBreak/>
        <w:t xml:space="preserve">the interests of the </w:t>
      </w:r>
      <w:r w:rsidR="00360A3C">
        <w:t xml:space="preserve">issuing </w:t>
      </w:r>
      <w:r>
        <w:t>ADI in assets held by the covered bond special purpose vehicle</w:t>
      </w:r>
      <w:r w:rsidR="005E78A3">
        <w:t xml:space="preserve"> and the rights of the ADI to recover such assets</w:t>
      </w:r>
      <w:r>
        <w:t>;</w:t>
      </w:r>
    </w:p>
    <w:p w14:paraId="7467570D" w14:textId="77777777" w:rsidR="0047618D" w:rsidRPr="000F7F36" w:rsidRDefault="00FF0D59" w:rsidP="00652926">
      <w:pPr>
        <w:numPr>
          <w:ilvl w:val="1"/>
          <w:numId w:val="25"/>
        </w:numPr>
        <w:ind w:hanging="513"/>
      </w:pPr>
      <w:r>
        <w:t>the</w:t>
      </w:r>
      <w:r w:rsidR="0047618D" w:rsidRPr="000F7F36">
        <w:t xml:space="preserve"> undertakings</w:t>
      </w:r>
      <w:r>
        <w:t>, if any,</w:t>
      </w:r>
      <w:r w:rsidR="0047618D" w:rsidRPr="000F7F36">
        <w:t xml:space="preserve"> given by the </w:t>
      </w:r>
      <w:r w:rsidR="00360A3C">
        <w:t xml:space="preserve">issuing </w:t>
      </w:r>
      <w:r w:rsidR="0047618D" w:rsidRPr="000F7F36">
        <w:t>ADI in relation to assets t</w:t>
      </w:r>
      <w:r w:rsidR="0047618D">
        <w:t>ransferred to the cover pool</w:t>
      </w:r>
      <w:r w:rsidR="0047618D" w:rsidRPr="000F7F36">
        <w:t xml:space="preserve"> and</w:t>
      </w:r>
      <w:r w:rsidR="0047618D">
        <w:t xml:space="preserve"> the extent of any mechanisms for </w:t>
      </w:r>
      <w:r w:rsidR="00071885">
        <w:t>ensuring</w:t>
      </w:r>
      <w:r w:rsidR="0047618D">
        <w:t xml:space="preserve"> compliance</w:t>
      </w:r>
      <w:r w:rsidR="0047618D" w:rsidRPr="000F7F36">
        <w:t>;</w:t>
      </w:r>
    </w:p>
    <w:p w14:paraId="3B838289" w14:textId="77777777" w:rsidR="0047618D" w:rsidRPr="0016772B" w:rsidRDefault="0047618D" w:rsidP="00652926">
      <w:pPr>
        <w:numPr>
          <w:ilvl w:val="1"/>
          <w:numId w:val="25"/>
        </w:numPr>
        <w:ind w:hanging="513"/>
      </w:pPr>
      <w:r w:rsidRPr="0016772B">
        <w:t xml:space="preserve">provisions governing the topping up </w:t>
      </w:r>
      <w:r>
        <w:t xml:space="preserve">and removal </w:t>
      </w:r>
      <w:r w:rsidRPr="0016772B">
        <w:t xml:space="preserve">of collateral held </w:t>
      </w:r>
      <w:r>
        <w:t xml:space="preserve">in the cover pool </w:t>
      </w:r>
      <w:r w:rsidRPr="0016772B">
        <w:t xml:space="preserve">by the </w:t>
      </w:r>
      <w:r>
        <w:t xml:space="preserve">covered bond </w:t>
      </w:r>
      <w:r w:rsidRPr="0016772B">
        <w:t>special purpose vehicle and any return of collateral to the issuing ADI;</w:t>
      </w:r>
      <w:r w:rsidR="00BC1453">
        <w:t xml:space="preserve"> and</w:t>
      </w:r>
    </w:p>
    <w:p w14:paraId="3F33A281" w14:textId="77777777" w:rsidR="0047618D" w:rsidRDefault="00FF0D59" w:rsidP="00652926">
      <w:pPr>
        <w:numPr>
          <w:ilvl w:val="1"/>
          <w:numId w:val="25"/>
        </w:numPr>
        <w:ind w:hanging="513"/>
      </w:pPr>
      <w:r>
        <w:t>the</w:t>
      </w:r>
      <w:r w:rsidR="0047618D" w:rsidRPr="0033122D">
        <w:t xml:space="preserve"> provisions</w:t>
      </w:r>
      <w:r>
        <w:t>, if any, to</w:t>
      </w:r>
      <w:r w:rsidR="0047618D" w:rsidRPr="0033122D">
        <w:t xml:space="preserve"> </w:t>
      </w:r>
      <w:r w:rsidR="00BC1453">
        <w:t>ensure the continuance of</w:t>
      </w:r>
      <w:r w:rsidR="0047618D" w:rsidRPr="0033122D">
        <w:t xml:space="preserve"> the </w:t>
      </w:r>
      <w:r w:rsidR="008431E7">
        <w:t xml:space="preserve">covered bond </w:t>
      </w:r>
      <w:r w:rsidR="0047618D" w:rsidRPr="0033122D">
        <w:t xml:space="preserve">special purpose vehicle beyond any default by the </w:t>
      </w:r>
      <w:r w:rsidR="00360A3C">
        <w:t xml:space="preserve">issuing </w:t>
      </w:r>
      <w:r w:rsidR="0047618D" w:rsidRPr="0033122D">
        <w:t>ADI.</w:t>
      </w:r>
    </w:p>
    <w:p w14:paraId="3AEDF572" w14:textId="77777777" w:rsidR="00BA5E1B" w:rsidRDefault="00BA5E1B" w:rsidP="000B28D2">
      <w:pPr>
        <w:pStyle w:val="Heading4"/>
      </w:pPr>
      <w:r>
        <w:t>Covered bond special purpose vehicle</w:t>
      </w:r>
    </w:p>
    <w:p w14:paraId="55EDF44C" w14:textId="77777777" w:rsidR="00E73F95" w:rsidRDefault="00E73F95" w:rsidP="00652926">
      <w:pPr>
        <w:keepLines/>
        <w:numPr>
          <w:ilvl w:val="0"/>
          <w:numId w:val="25"/>
        </w:numPr>
        <w:ind w:left="567" w:hanging="567"/>
      </w:pPr>
      <w:r>
        <w:t>All agreements</w:t>
      </w:r>
      <w:r w:rsidR="00071885">
        <w:t>, rights</w:t>
      </w:r>
      <w:r>
        <w:t xml:space="preserve"> and obligations between</w:t>
      </w:r>
      <w:r w:rsidR="0005517E">
        <w:t xml:space="preserve"> the</w:t>
      </w:r>
      <w:r>
        <w:t xml:space="preserve"> </w:t>
      </w:r>
      <w:r w:rsidR="00360A3C">
        <w:t xml:space="preserve">issuing </w:t>
      </w:r>
      <w:r>
        <w:t>ADI</w:t>
      </w:r>
      <w:r w:rsidR="004E3A5E">
        <w:t>,</w:t>
      </w:r>
      <w:r>
        <w:t xml:space="preserve"> covered bond special purpose vehicles </w:t>
      </w:r>
      <w:r w:rsidR="004E3A5E">
        <w:t xml:space="preserve">and covered bond holders </w:t>
      </w:r>
      <w:r>
        <w:t>must be formal</w:t>
      </w:r>
      <w:r w:rsidR="00071885">
        <w:t>ly and</w:t>
      </w:r>
      <w:r>
        <w:t xml:space="preserve"> </w:t>
      </w:r>
      <w:r w:rsidR="0005517E">
        <w:t>legal</w:t>
      </w:r>
      <w:r w:rsidR="00071885">
        <w:t>ly documented and must set out</w:t>
      </w:r>
      <w:r>
        <w:t xml:space="preserve"> the full scope o</w:t>
      </w:r>
      <w:r w:rsidR="00E827F7">
        <w:t>f</w:t>
      </w:r>
      <w:r>
        <w:t xml:space="preserve"> such agreements</w:t>
      </w:r>
      <w:r w:rsidR="00071885">
        <w:t>, rights</w:t>
      </w:r>
      <w:r>
        <w:t xml:space="preserve"> and obligations.</w:t>
      </w:r>
      <w:r w:rsidR="00FA1390">
        <w:t xml:space="preserve"> </w:t>
      </w:r>
      <w:r w:rsidR="00D52511">
        <w:t xml:space="preserve">All </w:t>
      </w:r>
      <w:r w:rsidR="00071885">
        <w:t xml:space="preserve">affected </w:t>
      </w:r>
      <w:r w:rsidR="00D52511">
        <w:t xml:space="preserve">assets must be dealt with </w:t>
      </w:r>
      <w:r w:rsidR="00BC1453">
        <w:t xml:space="preserve">in </w:t>
      </w:r>
      <w:r w:rsidR="00D52511">
        <w:t>accord</w:t>
      </w:r>
      <w:r w:rsidR="00BC1453">
        <w:t>ance with these agreements</w:t>
      </w:r>
      <w:r w:rsidR="00D52511">
        <w:t>.</w:t>
      </w:r>
    </w:p>
    <w:p w14:paraId="24C1F84E" w14:textId="77777777" w:rsidR="003429F3" w:rsidRDefault="00E827F7" w:rsidP="00652926">
      <w:pPr>
        <w:numPr>
          <w:ilvl w:val="0"/>
          <w:numId w:val="25"/>
        </w:numPr>
        <w:ind w:left="567" w:hanging="567"/>
      </w:pPr>
      <w:bookmarkStart w:id="6" w:name="_Ref304975964"/>
      <w:r>
        <w:t>Wh</w:t>
      </w:r>
      <w:r w:rsidR="003429F3">
        <w:t>ere</w:t>
      </w:r>
      <w:r>
        <w:t xml:space="preserve"> </w:t>
      </w:r>
      <w:r w:rsidR="003429F3" w:rsidRPr="003429F3">
        <w:t xml:space="preserve">assets </w:t>
      </w:r>
      <w:r w:rsidR="0005517E">
        <w:t>that have been transferred by the</w:t>
      </w:r>
      <w:r w:rsidR="003429F3">
        <w:t xml:space="preserve"> </w:t>
      </w:r>
      <w:r w:rsidR="00360A3C">
        <w:t xml:space="preserve">issuing </w:t>
      </w:r>
      <w:r w:rsidR="003429F3">
        <w:t xml:space="preserve">ADI to a covered bond special purpose vehicle </w:t>
      </w:r>
      <w:r w:rsidR="0005517E">
        <w:t>are</w:t>
      </w:r>
      <w:r w:rsidR="00064B64">
        <w:t xml:space="preserve"> administered by the </w:t>
      </w:r>
      <w:r w:rsidR="003429F3" w:rsidRPr="003429F3">
        <w:t>ADI or an affiliated entity</w:t>
      </w:r>
      <w:r w:rsidR="003429F3">
        <w:t>,</w:t>
      </w:r>
      <w:r w:rsidR="003429F3" w:rsidRPr="003429F3">
        <w:t xml:space="preserve"> </w:t>
      </w:r>
      <w:r w:rsidR="00064B64">
        <w:t xml:space="preserve">the </w:t>
      </w:r>
      <w:r w:rsidR="00FF0D59">
        <w:t xml:space="preserve">assets </w:t>
      </w:r>
      <w:r w:rsidR="00064B64">
        <w:t>should, to the maximum extent practicable, continue to be administered consistent</w:t>
      </w:r>
      <w:r w:rsidR="00071885">
        <w:t>ly</w:t>
      </w:r>
      <w:r w:rsidR="00064B64">
        <w:t xml:space="preserve"> with the ADI’s policies for similar assets</w:t>
      </w:r>
      <w:r w:rsidR="0005517E">
        <w:t xml:space="preserve"> and this requirement should be </w:t>
      </w:r>
      <w:r w:rsidR="00071885">
        <w:t xml:space="preserve">contained </w:t>
      </w:r>
      <w:r w:rsidR="0005517E">
        <w:t>in relevant legal documents.</w:t>
      </w:r>
      <w:bookmarkEnd w:id="6"/>
      <w:r w:rsidR="0005517E">
        <w:t xml:space="preserve"> </w:t>
      </w:r>
    </w:p>
    <w:p w14:paraId="405F8301" w14:textId="19957AE9" w:rsidR="006A6C94" w:rsidRDefault="006A6C94" w:rsidP="00652926">
      <w:pPr>
        <w:keepNext/>
        <w:numPr>
          <w:ilvl w:val="0"/>
          <w:numId w:val="25"/>
        </w:numPr>
        <w:ind w:left="567" w:hanging="567"/>
      </w:pPr>
      <w:bookmarkStart w:id="7" w:name="_Ref305771719"/>
      <w:bookmarkStart w:id="8" w:name="_Ref304976035"/>
      <w:r>
        <w:t xml:space="preserve">An </w:t>
      </w:r>
      <w:r w:rsidR="00360A3C">
        <w:t xml:space="preserve">issuing </w:t>
      </w:r>
      <w:r>
        <w:t>ADI must maintain an accurate and up-to-date register of assets in the cover pool.</w:t>
      </w:r>
      <w:r>
        <w:rPr>
          <w:rStyle w:val="FootnoteReference"/>
        </w:rPr>
        <w:footnoteReference w:id="3"/>
      </w:r>
    </w:p>
    <w:p w14:paraId="2B319FD2" w14:textId="16990388" w:rsidR="00FA6298" w:rsidRDefault="00FA6298" w:rsidP="00652926">
      <w:pPr>
        <w:numPr>
          <w:ilvl w:val="0"/>
          <w:numId w:val="25"/>
        </w:numPr>
        <w:ind w:left="567" w:hanging="567"/>
      </w:pPr>
      <w:bookmarkStart w:id="9" w:name="_Ref323203461"/>
      <w:r>
        <w:t xml:space="preserve">An </w:t>
      </w:r>
      <w:r w:rsidR="00360A3C">
        <w:t xml:space="preserve">issuing </w:t>
      </w:r>
      <w:r>
        <w:t xml:space="preserve">ADI </w:t>
      </w:r>
      <w:r w:rsidR="0074127A">
        <w:t xml:space="preserve">may </w:t>
      </w:r>
      <w:r>
        <w:t xml:space="preserve">maintain </w:t>
      </w:r>
      <w:r w:rsidR="00C42BF4">
        <w:t xml:space="preserve">a separate, </w:t>
      </w:r>
      <w:r>
        <w:t xml:space="preserve">accurate </w:t>
      </w:r>
      <w:r w:rsidR="00071885">
        <w:t>and up</w:t>
      </w:r>
      <w:r w:rsidR="00071885">
        <w:noBreakHyphen/>
        <w:t>to</w:t>
      </w:r>
      <w:r w:rsidR="00071885">
        <w:noBreakHyphen/>
        <w:t xml:space="preserve">date </w:t>
      </w:r>
      <w:r>
        <w:t>register of</w:t>
      </w:r>
      <w:bookmarkEnd w:id="7"/>
      <w:bookmarkEnd w:id="9"/>
      <w:r w:rsidR="00C42BF4">
        <w:t xml:space="preserve"> </w:t>
      </w:r>
      <w:r>
        <w:t xml:space="preserve">assets held by the covered bond special purpose vehicle </w:t>
      </w:r>
      <w:r w:rsidR="00FF0D59">
        <w:t xml:space="preserve">that </w:t>
      </w:r>
      <w:r>
        <w:t>do not form part of the cover pool or secure covered bond liabilities</w:t>
      </w:r>
      <w:r w:rsidR="000529B3">
        <w:t>.</w:t>
      </w:r>
      <w:r w:rsidR="004E3A5E">
        <w:rPr>
          <w:rStyle w:val="FootnoteReference"/>
        </w:rPr>
        <w:footnoteReference w:id="4"/>
      </w:r>
    </w:p>
    <w:p w14:paraId="29CD08B1" w14:textId="508E19E5" w:rsidR="00FA6298" w:rsidRDefault="00FA6298" w:rsidP="00652926">
      <w:pPr>
        <w:numPr>
          <w:ilvl w:val="0"/>
          <w:numId w:val="25"/>
        </w:numPr>
        <w:ind w:left="567" w:hanging="567"/>
      </w:pPr>
      <w:r>
        <w:t xml:space="preserve">An </w:t>
      </w:r>
      <w:r w:rsidR="00360A3C">
        <w:t xml:space="preserve">issuing </w:t>
      </w:r>
      <w:r>
        <w:t>ADI must be able to report to APRA at any time, upon written request, assets in the registers referred to in paragraph</w:t>
      </w:r>
      <w:r w:rsidR="009A2724">
        <w:t>s</w:t>
      </w:r>
      <w:r>
        <w:t> </w:t>
      </w:r>
      <w:r w:rsidR="009A08F5">
        <w:t>17</w:t>
      </w:r>
      <w:r>
        <w:t xml:space="preserve"> </w:t>
      </w:r>
      <w:r w:rsidR="00F81B71">
        <w:t xml:space="preserve">and </w:t>
      </w:r>
      <w:r w:rsidR="009A08F5">
        <w:t>18</w:t>
      </w:r>
      <w:r w:rsidR="00F81B71">
        <w:t xml:space="preserve"> </w:t>
      </w:r>
      <w:r>
        <w:t>above.</w:t>
      </w:r>
    </w:p>
    <w:p w14:paraId="39D33A21" w14:textId="77777777" w:rsidR="0011089A" w:rsidRDefault="0011089A" w:rsidP="00652926">
      <w:pPr>
        <w:numPr>
          <w:ilvl w:val="0"/>
          <w:numId w:val="25"/>
        </w:numPr>
        <w:ind w:left="567" w:hanging="567"/>
      </w:pPr>
      <w:r>
        <w:t xml:space="preserve">When determining whether an asset is part of a cover pool, an </w:t>
      </w:r>
      <w:r w:rsidR="00360A3C">
        <w:t xml:space="preserve">issuing </w:t>
      </w:r>
      <w:r>
        <w:t xml:space="preserve">ADI must have regard to </w:t>
      </w:r>
      <w:r w:rsidR="008B2825">
        <w:t>the priority of claims under all possible scenarios, not just under a business</w:t>
      </w:r>
      <w:r w:rsidR="00FF0D59">
        <w:noBreakHyphen/>
      </w:r>
      <w:r w:rsidR="008B2825">
        <w:t>as</w:t>
      </w:r>
      <w:r w:rsidR="00FF0D59">
        <w:noBreakHyphen/>
      </w:r>
      <w:r w:rsidR="008B2825">
        <w:t>usual scenario.</w:t>
      </w:r>
    </w:p>
    <w:p w14:paraId="7769D6EE" w14:textId="77777777" w:rsidR="00FA6298" w:rsidRDefault="00FA6298" w:rsidP="00652926">
      <w:pPr>
        <w:numPr>
          <w:ilvl w:val="0"/>
          <w:numId w:val="25"/>
        </w:numPr>
        <w:ind w:left="567" w:hanging="567"/>
      </w:pPr>
      <w:r>
        <w:t xml:space="preserve">Any assets added to the cover pool, or otherwise provided to the cover bond special purpose vehicle, or returned to the </w:t>
      </w:r>
      <w:r w:rsidR="00360A3C">
        <w:t xml:space="preserve">issuing </w:t>
      </w:r>
      <w:r>
        <w:t>ADI, must be clearly identified.</w:t>
      </w:r>
    </w:p>
    <w:p w14:paraId="32676B96" w14:textId="77777777" w:rsidR="00FA6298" w:rsidRDefault="00FA6298" w:rsidP="00652926">
      <w:pPr>
        <w:numPr>
          <w:ilvl w:val="0"/>
          <w:numId w:val="25"/>
        </w:numPr>
        <w:ind w:left="567" w:hanging="567"/>
      </w:pPr>
      <w:r>
        <w:lastRenderedPageBreak/>
        <w:t xml:space="preserve">The </w:t>
      </w:r>
      <w:r w:rsidR="00360A3C">
        <w:t xml:space="preserve">issuing </w:t>
      </w:r>
      <w:r>
        <w:t>ADI must be able to identify</w:t>
      </w:r>
      <w:r w:rsidR="00FF0D59">
        <w:t>,</w:t>
      </w:r>
      <w:r>
        <w:t xml:space="preserve"> at all times, all derivatives and other transactions outstanding with a covered bond special purpose vehicle.</w:t>
      </w:r>
    </w:p>
    <w:p w14:paraId="44972E89" w14:textId="77777777" w:rsidR="00EC5169" w:rsidRDefault="00FA6298" w:rsidP="00652926">
      <w:pPr>
        <w:numPr>
          <w:ilvl w:val="0"/>
          <w:numId w:val="25"/>
        </w:numPr>
        <w:ind w:left="567" w:hanging="567"/>
      </w:pPr>
      <w:r>
        <w:t xml:space="preserve">An </w:t>
      </w:r>
      <w:r w:rsidR="00360A3C">
        <w:t xml:space="preserve">issuing </w:t>
      </w:r>
      <w:r>
        <w:t>ADI must ensure that agreements between the ADI, the covered bond special purpose vehicle and covered bond holders</w:t>
      </w:r>
      <w:r w:rsidR="00EC5169">
        <w:t>:</w:t>
      </w:r>
    </w:p>
    <w:p w14:paraId="76E11DD3" w14:textId="77777777" w:rsidR="008B2825" w:rsidRDefault="008B2825" w:rsidP="00652926">
      <w:pPr>
        <w:numPr>
          <w:ilvl w:val="1"/>
          <w:numId w:val="25"/>
        </w:numPr>
        <w:ind w:hanging="513"/>
      </w:pPr>
      <w:r>
        <w:t xml:space="preserve">require that all assets not securing covered bond liabilities return to the ADI </w:t>
      </w:r>
      <w:r w:rsidR="0074127A">
        <w:t>within one month</w:t>
      </w:r>
      <w:r>
        <w:t xml:space="preserve"> of </w:t>
      </w:r>
      <w:r w:rsidR="0074127A">
        <w:t xml:space="preserve">a </w:t>
      </w:r>
      <w:r>
        <w:t>default</w:t>
      </w:r>
      <w:r w:rsidR="0074127A">
        <w:t xml:space="preserve"> relating to the covered bond</w:t>
      </w:r>
      <w:r>
        <w:t xml:space="preserve">; </w:t>
      </w:r>
    </w:p>
    <w:p w14:paraId="3542229C" w14:textId="77777777" w:rsidR="00FA6298" w:rsidRDefault="00FA6298" w:rsidP="00652926">
      <w:pPr>
        <w:numPr>
          <w:ilvl w:val="1"/>
          <w:numId w:val="25"/>
        </w:numPr>
        <w:ind w:hanging="513"/>
      </w:pPr>
      <w:r>
        <w:t xml:space="preserve">only permit </w:t>
      </w:r>
      <w:r w:rsidR="00DF454D">
        <w:t xml:space="preserve">assets of </w:t>
      </w:r>
      <w:r>
        <w:t xml:space="preserve">the covered bond special purpose vehicle to become part of the cover pool </w:t>
      </w:r>
      <w:r w:rsidR="00EC5169">
        <w:t xml:space="preserve">or otherwise subject to claims by third parties </w:t>
      </w:r>
      <w:r>
        <w:t xml:space="preserve">following </w:t>
      </w:r>
      <w:r w:rsidR="00FF0D59">
        <w:t xml:space="preserve">an </w:t>
      </w:r>
      <w:r>
        <w:t>express written instruction to do so by the ADI</w:t>
      </w:r>
      <w:r w:rsidR="00EC5169">
        <w:t>; and</w:t>
      </w:r>
    </w:p>
    <w:p w14:paraId="4536975C" w14:textId="77777777" w:rsidR="00DF454D" w:rsidRDefault="008C0E04" w:rsidP="00652926">
      <w:pPr>
        <w:numPr>
          <w:ilvl w:val="1"/>
          <w:numId w:val="25"/>
        </w:numPr>
        <w:ind w:hanging="513"/>
      </w:pPr>
      <w:r>
        <w:t xml:space="preserve">only permit </w:t>
      </w:r>
      <w:r w:rsidR="00DF454D">
        <w:t xml:space="preserve">assets of </w:t>
      </w:r>
      <w:r>
        <w:t xml:space="preserve">the covered bond special purpose vehicle to </w:t>
      </w:r>
      <w:r w:rsidR="00DF454D">
        <w:t xml:space="preserve">be </w:t>
      </w:r>
      <w:r>
        <w:t>s</w:t>
      </w:r>
      <w:r w:rsidR="00DF454D">
        <w:t>o</w:t>
      </w:r>
      <w:r>
        <w:t>l</w:t>
      </w:r>
      <w:r w:rsidR="00DF454D">
        <w:t>d, liquidated or otherwise disposed of:</w:t>
      </w:r>
    </w:p>
    <w:p w14:paraId="5A597259" w14:textId="77777777" w:rsidR="00DF454D" w:rsidRDefault="008C0E04" w:rsidP="00652926">
      <w:pPr>
        <w:numPr>
          <w:ilvl w:val="2"/>
          <w:numId w:val="25"/>
        </w:numPr>
        <w:ind w:left="1701" w:hanging="425"/>
      </w:pPr>
      <w:r>
        <w:t xml:space="preserve">after </w:t>
      </w:r>
      <w:r w:rsidR="00DF2082">
        <w:t xml:space="preserve">first </w:t>
      </w:r>
      <w:r w:rsidR="003810AD">
        <w:t>providing</w:t>
      </w:r>
      <w:r w:rsidR="00EC5169">
        <w:t xml:space="preserve"> the </w:t>
      </w:r>
      <w:r w:rsidR="00D53406">
        <w:t xml:space="preserve">issuing </w:t>
      </w:r>
      <w:r w:rsidR="00EC5169">
        <w:t>ADI with a r</w:t>
      </w:r>
      <w:r w:rsidR="00DF2082">
        <w:t xml:space="preserve">easonable opportunity to </w:t>
      </w:r>
      <w:r w:rsidR="003810AD">
        <w:t>acquire the</w:t>
      </w:r>
      <w:r w:rsidR="00DF2082">
        <w:t xml:space="preserve"> assets on similar terms</w:t>
      </w:r>
      <w:r w:rsidR="00DF454D">
        <w:t>; and</w:t>
      </w:r>
    </w:p>
    <w:p w14:paraId="34849693" w14:textId="77777777" w:rsidR="00DF454D" w:rsidRDefault="003D0840" w:rsidP="00652926">
      <w:pPr>
        <w:numPr>
          <w:ilvl w:val="2"/>
          <w:numId w:val="25"/>
        </w:numPr>
        <w:ind w:left="1701" w:hanging="425"/>
      </w:pPr>
      <w:r>
        <w:t xml:space="preserve">if the assets are not acquired by the </w:t>
      </w:r>
      <w:r w:rsidR="00D53406">
        <w:t xml:space="preserve">issuing </w:t>
      </w:r>
      <w:r>
        <w:t>ADI, then</w:t>
      </w:r>
      <w:r w:rsidDel="003D0840">
        <w:t xml:space="preserve"> </w:t>
      </w:r>
      <w:r w:rsidR="00A53C02">
        <w:t xml:space="preserve">for not less than the asset’s market price (if there is one) or otherwise </w:t>
      </w:r>
      <w:r>
        <w:t>for the best price reasonably obtainable having regard to the circumstances existing when they are sold</w:t>
      </w:r>
      <w:r w:rsidR="00DF454D">
        <w:t>.</w:t>
      </w:r>
    </w:p>
    <w:p w14:paraId="5D9161DD" w14:textId="77777777" w:rsidR="003429F3" w:rsidRDefault="00FA1390" w:rsidP="00652926">
      <w:pPr>
        <w:keepNext/>
        <w:numPr>
          <w:ilvl w:val="0"/>
          <w:numId w:val="25"/>
        </w:numPr>
        <w:ind w:left="567" w:hanging="567"/>
      </w:pPr>
      <w:r>
        <w:t xml:space="preserve">Where the </w:t>
      </w:r>
      <w:r w:rsidR="00D53406">
        <w:t xml:space="preserve">issuing </w:t>
      </w:r>
      <w:r>
        <w:t xml:space="preserve">ADI has assets in the covered bond special purpose vehicle </w:t>
      </w:r>
      <w:r w:rsidR="00AD0C74">
        <w:t>that</w:t>
      </w:r>
      <w:r>
        <w:t>:</w:t>
      </w:r>
      <w:bookmarkEnd w:id="8"/>
    </w:p>
    <w:p w14:paraId="2D643AAC" w14:textId="77777777" w:rsidR="00FA1390" w:rsidRDefault="00FA1390" w:rsidP="00652926">
      <w:pPr>
        <w:numPr>
          <w:ilvl w:val="1"/>
          <w:numId w:val="25"/>
        </w:numPr>
        <w:ind w:hanging="513"/>
      </w:pPr>
      <w:r>
        <w:t>the covered bond special purpose vehicle holds only on trust for the ADI; or</w:t>
      </w:r>
    </w:p>
    <w:p w14:paraId="792B94B9" w14:textId="77777777" w:rsidR="00FA1390" w:rsidRDefault="00FA1390" w:rsidP="00652926">
      <w:pPr>
        <w:numPr>
          <w:ilvl w:val="1"/>
          <w:numId w:val="25"/>
        </w:numPr>
        <w:ind w:hanging="513"/>
      </w:pPr>
      <w:r>
        <w:t>the ADI retains a right to freely withdraw from the covered bond special purpose vehicle at any time</w:t>
      </w:r>
      <w:r w:rsidR="00EC5169">
        <w:t>, including after a default by the ADI or the covered bond special purpose vehicle on the covered bonds</w:t>
      </w:r>
      <w:r>
        <w:t>;</w:t>
      </w:r>
    </w:p>
    <w:p w14:paraId="17F57EE9" w14:textId="77777777" w:rsidR="00FA1390" w:rsidRDefault="00FA1390" w:rsidP="00652926">
      <w:pPr>
        <w:ind w:left="567"/>
      </w:pPr>
      <w:r>
        <w:t xml:space="preserve">the existence of such arrangements must be clearly </w:t>
      </w:r>
      <w:r w:rsidR="00071885">
        <w:t>set out</w:t>
      </w:r>
      <w:r>
        <w:t xml:space="preserve"> in any issue documentation and in any legal documentation involving the ADI, covered bond holders and the covered bond special purpose vehicle.</w:t>
      </w:r>
      <w:r w:rsidR="00731630">
        <w:t xml:space="preserve"> </w:t>
      </w:r>
      <w:r w:rsidR="00071885">
        <w:t>It must be made clear to h</w:t>
      </w:r>
      <w:r w:rsidR="00731630">
        <w:t xml:space="preserve">olders of covered bonds </w:t>
      </w:r>
      <w:r w:rsidR="00071885">
        <w:t xml:space="preserve">that such assets are unavailable </w:t>
      </w:r>
      <w:r w:rsidR="00731630">
        <w:t>as collateral securing their</w:t>
      </w:r>
      <w:r w:rsidR="00071885">
        <w:t xml:space="preserve"> bond</w:t>
      </w:r>
      <w:r w:rsidR="00731630">
        <w:t xml:space="preserve"> holdings.</w:t>
      </w:r>
    </w:p>
    <w:p w14:paraId="4012744E" w14:textId="77777777" w:rsidR="00731630" w:rsidRDefault="001013EC" w:rsidP="00652926">
      <w:pPr>
        <w:numPr>
          <w:ilvl w:val="0"/>
          <w:numId w:val="25"/>
        </w:numPr>
        <w:ind w:left="567" w:hanging="567"/>
      </w:pPr>
      <w:r>
        <w:t xml:space="preserve">Where an </w:t>
      </w:r>
      <w:r w:rsidR="00D53406">
        <w:t xml:space="preserve">issuing </w:t>
      </w:r>
      <w:r>
        <w:t>ADI acquires assets from a covered bond special purpose vehicle, including by way of substituting assets to maintain levels of collateral held by the covered bond special purpose vehicle, the ADI must, to the extent that this has not already occurred, ensure</w:t>
      </w:r>
      <w:r w:rsidR="00731630">
        <w:t>:</w:t>
      </w:r>
    </w:p>
    <w:p w14:paraId="1F04AF00" w14:textId="77777777" w:rsidR="00731630" w:rsidRDefault="001013EC" w:rsidP="00652926">
      <w:pPr>
        <w:numPr>
          <w:ilvl w:val="1"/>
          <w:numId w:val="25"/>
        </w:numPr>
        <w:ind w:hanging="513"/>
      </w:pPr>
      <w:r>
        <w:t>the returning assets are subject to impairment testing (and provisioning as necessary)</w:t>
      </w:r>
      <w:r w:rsidR="00731630">
        <w:t>;</w:t>
      </w:r>
      <w:r>
        <w:t xml:space="preserve"> or </w:t>
      </w:r>
    </w:p>
    <w:p w14:paraId="11BA649A" w14:textId="77777777" w:rsidR="00731630" w:rsidRDefault="00731630" w:rsidP="00652926">
      <w:pPr>
        <w:numPr>
          <w:ilvl w:val="1"/>
          <w:numId w:val="25"/>
        </w:numPr>
        <w:ind w:hanging="513"/>
      </w:pPr>
      <w:r>
        <w:t>the returning assets are marked to market;</w:t>
      </w:r>
    </w:p>
    <w:p w14:paraId="36B21401" w14:textId="77777777" w:rsidR="001013EC" w:rsidRDefault="001013EC" w:rsidP="00652926">
      <w:pPr>
        <w:ind w:left="567"/>
      </w:pPr>
      <w:r>
        <w:t>depending on how the acquired assets are to be accounted for by the ADI.</w:t>
      </w:r>
    </w:p>
    <w:p w14:paraId="68B63CB5" w14:textId="77777777" w:rsidR="000B28D2" w:rsidRDefault="00767DA3" w:rsidP="000B28D2">
      <w:pPr>
        <w:pStyle w:val="Heading4"/>
      </w:pPr>
      <w:r>
        <w:lastRenderedPageBreak/>
        <w:t>A</w:t>
      </w:r>
      <w:r w:rsidR="000B28D2">
        <w:t>ssets in the cover pool</w:t>
      </w:r>
    </w:p>
    <w:p w14:paraId="3243DD7F" w14:textId="18C5AE80" w:rsidR="00C104A4" w:rsidRDefault="00790D3D" w:rsidP="00652926">
      <w:pPr>
        <w:numPr>
          <w:ilvl w:val="0"/>
          <w:numId w:val="25"/>
        </w:numPr>
        <w:ind w:left="567" w:hanging="567"/>
      </w:pPr>
      <w:bookmarkStart w:id="10" w:name="_Ref303327928"/>
      <w:bookmarkStart w:id="11" w:name="_Ref303689606"/>
      <w:bookmarkStart w:id="12" w:name="_Ref305080266"/>
      <w:r>
        <w:t>A</w:t>
      </w:r>
      <w:r w:rsidR="00A139F7">
        <w:t xml:space="preserve">n </w:t>
      </w:r>
      <w:r w:rsidR="00D53406">
        <w:t xml:space="preserve">issuing </w:t>
      </w:r>
      <w:r w:rsidR="00A139F7">
        <w:t xml:space="preserve">ADI must deduct </w:t>
      </w:r>
      <w:r w:rsidR="00AD05BB">
        <w:t xml:space="preserve">from </w:t>
      </w:r>
      <w:r w:rsidR="000D01C2" w:rsidRPr="00BD624E">
        <w:rPr>
          <w:b/>
        </w:rPr>
        <w:t xml:space="preserve">Common Equity </w:t>
      </w:r>
      <w:r w:rsidR="00AD05BB" w:rsidRPr="00BD624E">
        <w:rPr>
          <w:b/>
        </w:rPr>
        <w:t xml:space="preserve">Tier 1 </w:t>
      </w:r>
      <w:r w:rsidR="00CA0416">
        <w:rPr>
          <w:b/>
        </w:rPr>
        <w:t>C</w:t>
      </w:r>
      <w:r w:rsidR="00AD05BB" w:rsidRPr="00BD624E">
        <w:rPr>
          <w:b/>
        </w:rPr>
        <w:t>apital</w:t>
      </w:r>
      <w:r w:rsidR="00AE44CD">
        <w:t xml:space="preserve"> </w:t>
      </w:r>
      <w:r w:rsidR="00A139F7">
        <w:t xml:space="preserve">the </w:t>
      </w:r>
      <w:r w:rsidR="00855662">
        <w:t xml:space="preserve">aggregate amount </w:t>
      </w:r>
      <w:r w:rsidR="0039518C">
        <w:t>of a</w:t>
      </w:r>
      <w:r w:rsidR="001372F7">
        <w:t xml:space="preserve">ssets in cover pools </w:t>
      </w:r>
      <w:r w:rsidR="0039518C">
        <w:t xml:space="preserve">that do not qualify for treatment as </w:t>
      </w:r>
      <w:r w:rsidR="00AD0F93">
        <w:t>assets of the</w:t>
      </w:r>
      <w:r w:rsidR="0039518C">
        <w:t xml:space="preserve"> ADI </w:t>
      </w:r>
      <w:r w:rsidR="001372F7">
        <w:t>in accordance with section 31D of the Banking Act.</w:t>
      </w:r>
      <w:bookmarkEnd w:id="10"/>
      <w:bookmarkEnd w:id="11"/>
      <w:bookmarkEnd w:id="12"/>
      <w:r w:rsidR="001372F7">
        <w:t xml:space="preserve"> </w:t>
      </w:r>
    </w:p>
    <w:p w14:paraId="709520A2" w14:textId="77777777" w:rsidR="00194DDB" w:rsidRDefault="00376841" w:rsidP="00652926">
      <w:pPr>
        <w:numPr>
          <w:ilvl w:val="0"/>
          <w:numId w:val="25"/>
        </w:numPr>
        <w:ind w:left="567" w:hanging="567"/>
      </w:pPr>
      <w:r>
        <w:t xml:space="preserve">When applying </w:t>
      </w:r>
      <w:r w:rsidR="00AD0C74">
        <w:t>P</w:t>
      </w:r>
      <w:r>
        <w:t xml:space="preserve">rudential </w:t>
      </w:r>
      <w:r w:rsidR="00AD0C74">
        <w:t>S</w:t>
      </w:r>
      <w:r>
        <w:t>tandards, assets in cover pools that qualify for treatment as assets of the</w:t>
      </w:r>
      <w:r w:rsidR="00D53406">
        <w:t xml:space="preserve"> issuing</w:t>
      </w:r>
      <w:r>
        <w:t xml:space="preserve"> ADI in accordance with section 31D of the Banking Act will be treated as if they were held directly by the ADI, without reference to the interposed structures.</w:t>
      </w:r>
      <w:r w:rsidR="00194DDB" w:rsidRPr="00194DDB">
        <w:t xml:space="preserve"> </w:t>
      </w:r>
    </w:p>
    <w:p w14:paraId="2411DC57" w14:textId="77777777" w:rsidR="004E67DD" w:rsidRDefault="00012E86" w:rsidP="004E67DD">
      <w:pPr>
        <w:pStyle w:val="Heading4"/>
      </w:pPr>
      <w:r>
        <w:t>Assets outside the cover pool</w:t>
      </w:r>
    </w:p>
    <w:p w14:paraId="5C3EC840" w14:textId="509DCAC9" w:rsidR="00681B32" w:rsidRDefault="004C0DA3" w:rsidP="00652926">
      <w:pPr>
        <w:keepNext/>
        <w:numPr>
          <w:ilvl w:val="0"/>
          <w:numId w:val="25"/>
        </w:numPr>
        <w:ind w:left="567" w:hanging="567"/>
      </w:pPr>
      <w:bookmarkStart w:id="13" w:name="_Ref304896914"/>
      <w:bookmarkStart w:id="14" w:name="_Ref303331141"/>
      <w:r>
        <w:t>An asset held by the covered bond special purpose vehicle must</w:t>
      </w:r>
      <w:r w:rsidRPr="00753262">
        <w:t xml:space="preserve"> be treated for purposes of applying </w:t>
      </w:r>
      <w:r>
        <w:t>P</w:t>
      </w:r>
      <w:r w:rsidRPr="00753262">
        <w:t xml:space="preserve">rudential </w:t>
      </w:r>
      <w:r>
        <w:t>S</w:t>
      </w:r>
      <w:r w:rsidRPr="00753262">
        <w:t>tandards</w:t>
      </w:r>
      <w:r>
        <w:t>, including calculating capital requirements, related-party exposures and large exposures,</w:t>
      </w:r>
      <w:r w:rsidRPr="00753262">
        <w:t xml:space="preserve"> as </w:t>
      </w:r>
      <w:r>
        <w:t xml:space="preserve">an </w:t>
      </w:r>
      <w:r w:rsidRPr="00753262">
        <w:t xml:space="preserve">asset of the </w:t>
      </w:r>
      <w:r w:rsidR="00D53406">
        <w:t xml:space="preserve">issuing </w:t>
      </w:r>
      <w:r w:rsidRPr="00753262">
        <w:t>ADI</w:t>
      </w:r>
      <w:r>
        <w:t xml:space="preserve"> if</w:t>
      </w:r>
      <w:r w:rsidR="00681B32">
        <w:t>:</w:t>
      </w:r>
      <w:bookmarkEnd w:id="13"/>
    </w:p>
    <w:p w14:paraId="6F952680" w14:textId="6EE1B683" w:rsidR="00C42BF4" w:rsidRPr="00753262" w:rsidRDefault="00C42BF4" w:rsidP="00652926">
      <w:pPr>
        <w:numPr>
          <w:ilvl w:val="1"/>
          <w:numId w:val="25"/>
        </w:numPr>
        <w:ind w:hanging="513"/>
      </w:pPr>
      <w:r>
        <w:t>the asset</w:t>
      </w:r>
      <w:r w:rsidRPr="00AC03B9">
        <w:t xml:space="preserve"> </w:t>
      </w:r>
      <w:r>
        <w:t>is listed on a register of assets not securing covered bond liabilities in accordance with paragraph </w:t>
      </w:r>
      <w:r w:rsidR="00EB27EB">
        <w:t>1</w:t>
      </w:r>
      <w:r w:rsidR="009A08F5">
        <w:t>8</w:t>
      </w:r>
      <w:r>
        <w:t xml:space="preserve"> above</w:t>
      </w:r>
      <w:r w:rsidR="00F81B71">
        <w:t>;</w:t>
      </w:r>
    </w:p>
    <w:p w14:paraId="47F2E1E1" w14:textId="77777777" w:rsidR="00DE2B7F" w:rsidRDefault="00681B32" w:rsidP="00652926">
      <w:pPr>
        <w:numPr>
          <w:ilvl w:val="1"/>
          <w:numId w:val="25"/>
        </w:numPr>
        <w:ind w:hanging="513"/>
      </w:pPr>
      <w:r>
        <w:t xml:space="preserve">the issuing ADI has an unconditional authority to deal with the asset, including to require that it be returned to the ADI at any time; </w:t>
      </w:r>
    </w:p>
    <w:p w14:paraId="4BD04570" w14:textId="77777777" w:rsidR="0074127A" w:rsidRDefault="004C0DA3" w:rsidP="00652926">
      <w:pPr>
        <w:numPr>
          <w:ilvl w:val="1"/>
          <w:numId w:val="25"/>
        </w:numPr>
        <w:ind w:hanging="513"/>
      </w:pPr>
      <w:r>
        <w:t xml:space="preserve">the issuing </w:t>
      </w:r>
      <w:r w:rsidR="00D53406">
        <w:t xml:space="preserve">ADI has </w:t>
      </w:r>
      <w:r w:rsidR="00DE2B7F">
        <w:t xml:space="preserve">unequivocal enforcement rights over a mortgaged residential property (including a power of sale and a right to possession) in the event of default by the borrower; </w:t>
      </w:r>
      <w:r w:rsidR="00182453">
        <w:t>and</w:t>
      </w:r>
    </w:p>
    <w:p w14:paraId="1004A538" w14:textId="77777777" w:rsidR="005900D4" w:rsidRDefault="00A53C02" w:rsidP="00652926">
      <w:pPr>
        <w:numPr>
          <w:ilvl w:val="1"/>
          <w:numId w:val="25"/>
        </w:numPr>
        <w:ind w:hanging="513"/>
      </w:pPr>
      <w:r>
        <w:t>contractual documentation provides for the asset to return to the issuing ADI immediately following a default</w:t>
      </w:r>
      <w:r w:rsidR="002F0AC1">
        <w:t xml:space="preserve"> under the covered bond</w:t>
      </w:r>
      <w:r w:rsidR="00182453">
        <w:t>.</w:t>
      </w:r>
    </w:p>
    <w:bookmarkEnd w:id="14"/>
    <w:p w14:paraId="1D430C6B" w14:textId="0EDDFBEC" w:rsidR="00E325F0" w:rsidRDefault="001D279C" w:rsidP="00652926">
      <w:pPr>
        <w:numPr>
          <w:ilvl w:val="0"/>
          <w:numId w:val="25"/>
        </w:numPr>
        <w:ind w:left="567" w:hanging="567"/>
      </w:pPr>
      <w:r>
        <w:t>For the purposes of paragraph </w:t>
      </w:r>
      <w:r w:rsidR="00EB27EB">
        <w:t>2</w:t>
      </w:r>
      <w:r w:rsidR="009A08F5">
        <w:t>8</w:t>
      </w:r>
      <w:r>
        <w:t>, i</w:t>
      </w:r>
      <w:r w:rsidR="004C0DA3">
        <w:t xml:space="preserve">f </w:t>
      </w:r>
      <w:r w:rsidR="004979F4">
        <w:t xml:space="preserve">an </w:t>
      </w:r>
      <w:r w:rsidR="00D53406">
        <w:t xml:space="preserve">issuing </w:t>
      </w:r>
      <w:r w:rsidR="004979F4">
        <w:t>ADI retains an interest in collateral that is shared with an asset in the cover pool, it will not be treated as satisfying the test in paragraph </w:t>
      </w:r>
      <w:r w:rsidR="00A63AD5">
        <w:t>2</w:t>
      </w:r>
      <w:r w:rsidR="009A08F5">
        <w:t>8</w:t>
      </w:r>
      <w:r w:rsidR="004979F4">
        <w:t xml:space="preserve">(c) unless there is a formal second mortgage arrangement in place </w:t>
      </w:r>
      <w:r w:rsidR="00AD0C74">
        <w:t xml:space="preserve">that </w:t>
      </w:r>
      <w:r w:rsidR="004979F4">
        <w:t xml:space="preserve">meets the requirements of </w:t>
      </w:r>
      <w:r w:rsidR="007E2DB0">
        <w:t>Attachment </w:t>
      </w:r>
      <w:r w:rsidR="00802F66">
        <w:t xml:space="preserve">A </w:t>
      </w:r>
      <w:r w:rsidR="007E2DB0">
        <w:t xml:space="preserve">of </w:t>
      </w:r>
      <w:r w:rsidR="00BC1453">
        <w:rPr>
          <w:i/>
        </w:rPr>
        <w:t xml:space="preserve">Prudential Standard APS 112 Capital Adequacy: Standardised Approach to Credit Risk </w:t>
      </w:r>
      <w:r w:rsidR="00BC1453">
        <w:t>(</w:t>
      </w:r>
      <w:r w:rsidR="007E2DB0">
        <w:t>APS 112</w:t>
      </w:r>
      <w:r w:rsidR="00BC1453">
        <w:t>)</w:t>
      </w:r>
      <w:r w:rsidR="004979F4">
        <w:t>.</w:t>
      </w:r>
    </w:p>
    <w:p w14:paraId="30402BC1" w14:textId="77777777" w:rsidR="00CD1360" w:rsidRDefault="004C0DA3" w:rsidP="00652926">
      <w:pPr>
        <w:numPr>
          <w:ilvl w:val="0"/>
          <w:numId w:val="25"/>
        </w:numPr>
        <w:ind w:left="567" w:hanging="567"/>
      </w:pPr>
      <w:bookmarkStart w:id="15" w:name="_Ref307495809"/>
      <w:r>
        <w:t xml:space="preserve">If </w:t>
      </w:r>
      <w:r w:rsidR="00071885">
        <w:t xml:space="preserve">an </w:t>
      </w:r>
      <w:r w:rsidR="00F248C2">
        <w:t>asset held by a covered bond special purpo</w:t>
      </w:r>
      <w:r w:rsidR="00CD1360">
        <w:t>se vehicle:</w:t>
      </w:r>
      <w:bookmarkEnd w:id="15"/>
    </w:p>
    <w:p w14:paraId="28DB5E83" w14:textId="77777777" w:rsidR="00F248C2" w:rsidRDefault="00CD1360" w:rsidP="00652926">
      <w:pPr>
        <w:numPr>
          <w:ilvl w:val="1"/>
          <w:numId w:val="25"/>
        </w:numPr>
        <w:ind w:hanging="513"/>
      </w:pPr>
      <w:r>
        <w:t>do</w:t>
      </w:r>
      <w:r w:rsidR="00071885">
        <w:t>es</w:t>
      </w:r>
      <w:r>
        <w:t xml:space="preserve"> not form part of the cover pool; and</w:t>
      </w:r>
    </w:p>
    <w:p w14:paraId="02C58170" w14:textId="43581735" w:rsidR="00F248C2" w:rsidRDefault="003C7A7E" w:rsidP="00652926">
      <w:pPr>
        <w:numPr>
          <w:ilvl w:val="1"/>
          <w:numId w:val="25"/>
        </w:numPr>
        <w:ind w:hanging="513"/>
      </w:pPr>
      <w:r>
        <w:t>does not meet the criteria set out in paragraphs </w:t>
      </w:r>
      <w:r w:rsidR="00EB27EB">
        <w:t>2</w:t>
      </w:r>
      <w:r w:rsidR="009A08F5">
        <w:t>8</w:t>
      </w:r>
      <w:r>
        <w:t>(a) to (d)</w:t>
      </w:r>
      <w:r w:rsidR="007E2DB0">
        <w:t xml:space="preserve"> </w:t>
      </w:r>
      <w:r w:rsidR="00C14021">
        <w:t>above</w:t>
      </w:r>
      <w:r w:rsidR="00097A32">
        <w:t>,</w:t>
      </w:r>
    </w:p>
    <w:p w14:paraId="6E0361DA" w14:textId="7492A7CA" w:rsidR="00F248C2" w:rsidRDefault="00071885" w:rsidP="00652926">
      <w:pPr>
        <w:ind w:left="567"/>
      </w:pPr>
      <w:r>
        <w:t xml:space="preserve">it must </w:t>
      </w:r>
      <w:r w:rsidR="00F248C2">
        <w:t xml:space="preserve">be treated as </w:t>
      </w:r>
      <w:r>
        <w:t xml:space="preserve">an </w:t>
      </w:r>
      <w:r w:rsidR="00F248C2">
        <w:t xml:space="preserve">asset of the </w:t>
      </w:r>
      <w:r w:rsidR="00D53406">
        <w:t xml:space="preserve">issuing </w:t>
      </w:r>
      <w:r w:rsidR="00F248C2">
        <w:t>ADI</w:t>
      </w:r>
      <w:r w:rsidR="00E91871">
        <w:t xml:space="preserve"> for the purposes of applying Prudenti</w:t>
      </w:r>
      <w:r w:rsidR="00481EF8">
        <w:t>a</w:t>
      </w:r>
      <w:r w:rsidR="00E91871">
        <w:t>l Standards, including related</w:t>
      </w:r>
      <w:r w:rsidR="008C119F">
        <w:noBreakHyphen/>
      </w:r>
      <w:r w:rsidR="00E91871">
        <w:t xml:space="preserve">party </w:t>
      </w:r>
      <w:r w:rsidR="008C119F">
        <w:t xml:space="preserve">exposures </w:t>
      </w:r>
      <w:r w:rsidR="00E91871">
        <w:t>and large exposures</w:t>
      </w:r>
      <w:r w:rsidR="00F248C2">
        <w:t xml:space="preserve">, but such </w:t>
      </w:r>
      <w:r>
        <w:t xml:space="preserve">an </w:t>
      </w:r>
      <w:r w:rsidR="00F248C2">
        <w:t xml:space="preserve">asset must, for capital adequacy purposes, be </w:t>
      </w:r>
      <w:r w:rsidR="008C119F">
        <w:t>risk</w:t>
      </w:r>
      <w:r w:rsidR="008C119F">
        <w:noBreakHyphen/>
      </w:r>
      <w:r w:rsidR="00F248C2">
        <w:t xml:space="preserve">weighted at the greater of 100 per cent or the relevant </w:t>
      </w:r>
      <w:r w:rsidR="008C119F">
        <w:t>risk</w:t>
      </w:r>
      <w:r w:rsidR="008C119F">
        <w:noBreakHyphen/>
      </w:r>
      <w:r w:rsidR="00F248C2">
        <w:t xml:space="preserve">weight detailed in </w:t>
      </w:r>
      <w:r w:rsidR="0057104E">
        <w:t>APS 112</w:t>
      </w:r>
      <w:r w:rsidR="00F248C2">
        <w:t>.</w:t>
      </w:r>
    </w:p>
    <w:p w14:paraId="12CDE2EF" w14:textId="257F34B5" w:rsidR="00F55F3A" w:rsidRDefault="00F55F3A" w:rsidP="00652926">
      <w:pPr>
        <w:numPr>
          <w:ilvl w:val="0"/>
          <w:numId w:val="25"/>
        </w:numPr>
        <w:ind w:left="567" w:hanging="567"/>
      </w:pPr>
      <w:r>
        <w:t xml:space="preserve">APRA may, at its discretion, require an </w:t>
      </w:r>
      <w:r w:rsidR="00D53406">
        <w:t xml:space="preserve">issuing </w:t>
      </w:r>
      <w:r>
        <w:t xml:space="preserve">ADI to </w:t>
      </w:r>
      <w:r w:rsidR="00071885">
        <w:t xml:space="preserve">obtain at the ADI’s expense </w:t>
      </w:r>
      <w:r>
        <w:t>a</w:t>
      </w:r>
      <w:r w:rsidR="00181C09">
        <w:t>n</w:t>
      </w:r>
      <w:r>
        <w:t xml:space="preserve"> opinion</w:t>
      </w:r>
      <w:r w:rsidR="00071885">
        <w:t xml:space="preserve">, from an </w:t>
      </w:r>
      <w:r w:rsidR="00181C09">
        <w:t xml:space="preserve">appropriate </w:t>
      </w:r>
      <w:r w:rsidR="00071885">
        <w:t xml:space="preserve">independent </w:t>
      </w:r>
      <w:r w:rsidR="00181C09">
        <w:t xml:space="preserve">expert </w:t>
      </w:r>
      <w:r w:rsidR="00071885">
        <w:t>agreed by APRA,</w:t>
      </w:r>
      <w:r>
        <w:t xml:space="preserve"> on </w:t>
      </w:r>
      <w:r w:rsidR="00AF389A">
        <w:t xml:space="preserve">whether an asset meets the requirements of </w:t>
      </w:r>
      <w:r w:rsidR="00F248C2">
        <w:t>paragraph</w:t>
      </w:r>
      <w:r w:rsidR="003C7A7E">
        <w:t>s</w:t>
      </w:r>
      <w:r w:rsidR="00AF389A">
        <w:t xml:space="preserve"> </w:t>
      </w:r>
      <w:r w:rsidR="00415544">
        <w:t>2</w:t>
      </w:r>
      <w:r w:rsidR="009A08F5">
        <w:t>8</w:t>
      </w:r>
      <w:r w:rsidR="003C7A7E">
        <w:t>(a) to (d)</w:t>
      </w:r>
      <w:r>
        <w:t>.</w:t>
      </w:r>
    </w:p>
    <w:p w14:paraId="7F87A33E" w14:textId="77777777" w:rsidR="009A2724" w:rsidRDefault="00437787" w:rsidP="00652926">
      <w:pPr>
        <w:numPr>
          <w:ilvl w:val="0"/>
          <w:numId w:val="25"/>
        </w:numPr>
        <w:ind w:left="567" w:hanging="567"/>
      </w:pPr>
      <w:r>
        <w:lastRenderedPageBreak/>
        <w:t>Issuing A</w:t>
      </w:r>
      <w:r w:rsidR="009A2724">
        <w:t>DI</w:t>
      </w:r>
      <w:r>
        <w:t>s must ensure that the amount of assets held by their covered bond special purpose vehicles</w:t>
      </w:r>
      <w:r w:rsidR="009913CB">
        <w:t xml:space="preserve"> otherwise than as </w:t>
      </w:r>
      <w:r w:rsidR="00CB768F">
        <w:t>part of a cover pool</w:t>
      </w:r>
      <w:r w:rsidR="009441AA">
        <w:t>,</w:t>
      </w:r>
      <w:r w:rsidR="00CB768F">
        <w:t xml:space="preserve"> is not more than is reasonable for the efficient operation of the ADI’s covered bond program</w:t>
      </w:r>
      <w:r w:rsidR="00EF0C11">
        <w:t xml:space="preserve">. </w:t>
      </w:r>
    </w:p>
    <w:p w14:paraId="118E791D" w14:textId="77777777" w:rsidR="004E2AC9" w:rsidRDefault="004E2AC9" w:rsidP="004E2AC9">
      <w:pPr>
        <w:pStyle w:val="Heading4"/>
      </w:pPr>
      <w:r>
        <w:t>Liabilities between the ADI and covered bond special purpose vehicle</w:t>
      </w:r>
    </w:p>
    <w:p w14:paraId="21C8FD1E" w14:textId="77777777" w:rsidR="004E2AC9" w:rsidRDefault="004E2AC9" w:rsidP="00652926">
      <w:pPr>
        <w:numPr>
          <w:ilvl w:val="0"/>
          <w:numId w:val="25"/>
        </w:numPr>
        <w:ind w:left="567" w:hanging="567"/>
      </w:pPr>
      <w:bookmarkStart w:id="16" w:name="_Ref307494456"/>
      <w:r>
        <w:t>Liabilities of the covered bond special purpose vehicle to the issuing ADI</w:t>
      </w:r>
      <w:r w:rsidR="007C0120">
        <w:t xml:space="preserve"> </w:t>
      </w:r>
      <w:r w:rsidR="004C0DA3">
        <w:t xml:space="preserve">and of the </w:t>
      </w:r>
      <w:r w:rsidR="00D53406">
        <w:t xml:space="preserve">issuing </w:t>
      </w:r>
      <w:r w:rsidR="004C0DA3">
        <w:t xml:space="preserve">ADI to the covered bond special purpose vehicle (and the associated assets) </w:t>
      </w:r>
      <w:r w:rsidR="00071885">
        <w:t xml:space="preserve">will </w:t>
      </w:r>
      <w:r>
        <w:t xml:space="preserve">be disregarded for the purposes of applying </w:t>
      </w:r>
      <w:r w:rsidR="00AD0C74">
        <w:t>P</w:t>
      </w:r>
      <w:r>
        <w:t xml:space="preserve">rudential </w:t>
      </w:r>
      <w:r w:rsidR="00AD0C74">
        <w:t>S</w:t>
      </w:r>
      <w:r>
        <w:t>tandards</w:t>
      </w:r>
      <w:r w:rsidR="001D279C">
        <w:t xml:space="preserve"> (other than this Prudential Standard)</w:t>
      </w:r>
      <w:r>
        <w:t>.</w:t>
      </w:r>
      <w:bookmarkEnd w:id="16"/>
    </w:p>
    <w:p w14:paraId="36A3287D" w14:textId="77777777" w:rsidR="00580410" w:rsidRPr="00352491" w:rsidRDefault="00580410" w:rsidP="002F0AC1">
      <w:pPr>
        <w:pStyle w:val="Heading4"/>
      </w:pPr>
      <w:r>
        <w:t>Reports</w:t>
      </w:r>
    </w:p>
    <w:p w14:paraId="2C550CEB" w14:textId="77777777" w:rsidR="00580410" w:rsidRDefault="00580410" w:rsidP="00652926">
      <w:pPr>
        <w:numPr>
          <w:ilvl w:val="0"/>
          <w:numId w:val="25"/>
        </w:numPr>
        <w:ind w:left="567" w:hanging="567"/>
      </w:pPr>
      <w:r>
        <w:t>Where APRA requests a report from a cover pool monitor pursuant to</w:t>
      </w:r>
      <w:r w:rsidR="00071885">
        <w:t xml:space="preserve"> paragraph</w:t>
      </w:r>
      <w:r>
        <w:t xml:space="preserve"> 30(4)(d) of the Banking Act, this </w:t>
      </w:r>
      <w:r w:rsidR="00071885">
        <w:t>will</w:t>
      </w:r>
      <w:r>
        <w:t xml:space="preserve"> be at the expense of the </w:t>
      </w:r>
      <w:r w:rsidR="00D53406">
        <w:t xml:space="preserve">issuing </w:t>
      </w:r>
      <w:r>
        <w:t>ADI.</w:t>
      </w:r>
    </w:p>
    <w:p w14:paraId="55DD4E1D" w14:textId="77777777" w:rsidR="006A245C" w:rsidRDefault="00B26E20" w:rsidP="00852D9D">
      <w:pPr>
        <w:pStyle w:val="Heading4"/>
      </w:pPr>
      <w:r>
        <w:t>D</w:t>
      </w:r>
      <w:r w:rsidR="006A245C">
        <w:t>efault provisions</w:t>
      </w:r>
    </w:p>
    <w:p w14:paraId="260A97F6" w14:textId="77777777" w:rsidR="006A245C" w:rsidRDefault="006A245C" w:rsidP="00652926">
      <w:pPr>
        <w:numPr>
          <w:ilvl w:val="0"/>
          <w:numId w:val="25"/>
        </w:numPr>
        <w:ind w:left="567" w:hanging="567"/>
      </w:pPr>
      <w:r>
        <w:t xml:space="preserve">An </w:t>
      </w:r>
      <w:r w:rsidR="00D53406">
        <w:t xml:space="preserve">issuing </w:t>
      </w:r>
      <w:r>
        <w:t xml:space="preserve">ADI must ensure that documentation associated with a covered bond issue does not permit covered bond holders to make a claim on the covered bond special purpose vehicle or the cover pool unless the issuing ADI </w:t>
      </w:r>
      <w:r w:rsidR="0074127A">
        <w:t xml:space="preserve">or the covered bond SPV </w:t>
      </w:r>
      <w:r>
        <w:t xml:space="preserve">has defaulted on </w:t>
      </w:r>
      <w:r w:rsidR="0074127A">
        <w:t>their</w:t>
      </w:r>
      <w:r>
        <w:t xml:space="preserve"> ob</w:t>
      </w:r>
      <w:r w:rsidR="004D703A">
        <w:t xml:space="preserve">ligations </w:t>
      </w:r>
      <w:r w:rsidR="0015290B">
        <w:t xml:space="preserve">to </w:t>
      </w:r>
      <w:r w:rsidR="007C0120">
        <w:t>covered bond</w:t>
      </w:r>
      <w:r w:rsidR="0015290B">
        <w:t xml:space="preserve"> holders</w:t>
      </w:r>
      <w:r w:rsidR="007C0120">
        <w:t>.</w:t>
      </w:r>
    </w:p>
    <w:p w14:paraId="7F7481A5" w14:textId="77777777" w:rsidR="00C0109D" w:rsidRDefault="00C0109D" w:rsidP="00BC6F84">
      <w:pPr>
        <w:pStyle w:val="Heading4"/>
      </w:pPr>
      <w:r>
        <w:t>Implications for other obligations</w:t>
      </w:r>
    </w:p>
    <w:p w14:paraId="339E8982" w14:textId="77777777" w:rsidR="00C0109D" w:rsidRDefault="00C0109D" w:rsidP="00652926">
      <w:pPr>
        <w:numPr>
          <w:ilvl w:val="0"/>
          <w:numId w:val="25"/>
        </w:numPr>
        <w:ind w:left="567" w:hanging="567"/>
      </w:pPr>
      <w:bookmarkStart w:id="17" w:name="_Ref306894201"/>
      <w:r>
        <w:t xml:space="preserve">Prior to issuing </w:t>
      </w:r>
      <w:r w:rsidR="00672E69">
        <w:t xml:space="preserve">a </w:t>
      </w:r>
      <w:r w:rsidR="006A606F">
        <w:t xml:space="preserve">covered bond, the issuing </w:t>
      </w:r>
      <w:r>
        <w:t>ADI must</w:t>
      </w:r>
      <w:r w:rsidR="00B40A02">
        <w:t xml:space="preserve"> </w:t>
      </w:r>
      <w:bookmarkStart w:id="18" w:name="_Ref306894037"/>
      <w:r w:rsidR="00B40A02">
        <w:t>identify all</w:t>
      </w:r>
      <w:r>
        <w:t xml:space="preserve"> existing obligations (whether financial or otherwise) </w:t>
      </w:r>
      <w:r w:rsidR="00B40A02">
        <w:t>subject to a negative pledge or similar commitment</w:t>
      </w:r>
      <w:r w:rsidR="00BA29CC">
        <w:t>. The ADI will need to assess the impact of any such negative pledge or similar arrangement, including whether the issuing of the covered bonds</w:t>
      </w:r>
      <w:r w:rsidR="00672E69">
        <w:t xml:space="preserve"> </w:t>
      </w:r>
      <w:r w:rsidR="00BA29CC">
        <w:t>could</w:t>
      </w:r>
      <w:r w:rsidR="00672E69">
        <w:t xml:space="preserve"> </w:t>
      </w:r>
      <w:r w:rsidR="00BA29CC">
        <w:t>expose</w:t>
      </w:r>
      <w:r w:rsidR="005859CA">
        <w:t xml:space="preserve"> t</w:t>
      </w:r>
      <w:r w:rsidR="00672E69">
        <w:t xml:space="preserve">he ADI </w:t>
      </w:r>
      <w:r w:rsidR="005859CA">
        <w:t xml:space="preserve">to </w:t>
      </w:r>
      <w:r w:rsidR="00BA29CC">
        <w:t xml:space="preserve">requirements to accelerate payments or </w:t>
      </w:r>
      <w:r w:rsidR="00672E69">
        <w:t>offer</w:t>
      </w:r>
      <w:r w:rsidR="005859CA">
        <w:t xml:space="preserve"> (or increase) </w:t>
      </w:r>
      <w:r w:rsidR="00672E69">
        <w:t xml:space="preserve">collateral or security </w:t>
      </w:r>
      <w:r w:rsidR="00B40A02">
        <w:t>against the existing obligation</w:t>
      </w:r>
      <w:bookmarkEnd w:id="18"/>
      <w:r w:rsidR="00D45807">
        <w:t>s</w:t>
      </w:r>
      <w:r w:rsidR="00B40A02">
        <w:t>.</w:t>
      </w:r>
      <w:bookmarkEnd w:id="17"/>
    </w:p>
    <w:p w14:paraId="640E0FB9" w14:textId="0953D667" w:rsidR="00B40A02" w:rsidRDefault="00B40A02" w:rsidP="00652926">
      <w:pPr>
        <w:numPr>
          <w:ilvl w:val="0"/>
          <w:numId w:val="25"/>
        </w:numPr>
        <w:ind w:left="567" w:hanging="567"/>
      </w:pPr>
      <w:bookmarkStart w:id="19" w:name="_Ref306894849"/>
      <w:r>
        <w:t xml:space="preserve">For each obligation identified </w:t>
      </w:r>
      <w:r w:rsidR="003B7543">
        <w:t>under</w:t>
      </w:r>
      <w:r>
        <w:t xml:space="preserve"> paragraph </w:t>
      </w:r>
      <w:r w:rsidR="001758CA">
        <w:t>3</w:t>
      </w:r>
      <w:r w:rsidR="009A08F5">
        <w:t>6</w:t>
      </w:r>
      <w:r w:rsidR="001758CA">
        <w:t xml:space="preserve"> </w:t>
      </w:r>
      <w:r w:rsidR="00D45807">
        <w:t xml:space="preserve">as potentially exposing the ADI to </w:t>
      </w:r>
      <w:r w:rsidR="008C119F">
        <w:t xml:space="preserve">requirements </w:t>
      </w:r>
      <w:r w:rsidR="00D45807">
        <w:t xml:space="preserve">to </w:t>
      </w:r>
      <w:r w:rsidR="00BA29CC">
        <w:t xml:space="preserve">accelerate payments or </w:t>
      </w:r>
      <w:r w:rsidR="008C119F">
        <w:t xml:space="preserve">offer </w:t>
      </w:r>
      <w:r w:rsidR="005859CA">
        <w:t>(or increase)</w:t>
      </w:r>
      <w:r w:rsidR="00D45807">
        <w:t xml:space="preserve"> collateral or security</w:t>
      </w:r>
      <w:r>
        <w:t>, an ADI must, prior to issuing covered bonds:</w:t>
      </w:r>
      <w:bookmarkEnd w:id="19"/>
    </w:p>
    <w:p w14:paraId="0A7E21B3" w14:textId="77777777" w:rsidR="00117722" w:rsidRDefault="00117722" w:rsidP="00652926">
      <w:pPr>
        <w:numPr>
          <w:ilvl w:val="1"/>
          <w:numId w:val="25"/>
        </w:numPr>
        <w:ind w:hanging="513"/>
      </w:pPr>
      <w:r>
        <w:t xml:space="preserve">identify the circumstances </w:t>
      </w:r>
      <w:r w:rsidR="000F0793">
        <w:t>in which</w:t>
      </w:r>
      <w:r>
        <w:t xml:space="preserve"> </w:t>
      </w:r>
      <w:r w:rsidR="008C119F">
        <w:t>it</w:t>
      </w:r>
      <w:r>
        <w:t xml:space="preserve"> could be required to </w:t>
      </w:r>
      <w:r w:rsidR="00BA29CC">
        <w:t xml:space="preserve">accelerate payments or </w:t>
      </w:r>
      <w:r w:rsidR="008C119F">
        <w:t xml:space="preserve">offer </w:t>
      </w:r>
      <w:r>
        <w:t xml:space="preserve">collateral </w:t>
      </w:r>
      <w:r w:rsidR="00D45807">
        <w:t xml:space="preserve">or security </w:t>
      </w:r>
      <w:r>
        <w:t>against the obligation</w:t>
      </w:r>
      <w:r w:rsidR="00D45807">
        <w:t>,</w:t>
      </w:r>
      <w:r w:rsidR="009D6836">
        <w:t xml:space="preserve"> and the quantum of collateral </w:t>
      </w:r>
      <w:r w:rsidR="008C119F">
        <w:t xml:space="preserve">that </w:t>
      </w:r>
      <w:r w:rsidR="009D6836">
        <w:t>might be involved</w:t>
      </w:r>
      <w:r>
        <w:t>;</w:t>
      </w:r>
    </w:p>
    <w:p w14:paraId="23DF7C50" w14:textId="77777777" w:rsidR="00B40A02" w:rsidRDefault="00B40A02" w:rsidP="00652926">
      <w:pPr>
        <w:numPr>
          <w:ilvl w:val="1"/>
          <w:numId w:val="25"/>
        </w:numPr>
        <w:ind w:hanging="513"/>
      </w:pPr>
      <w:r>
        <w:t xml:space="preserve">assess the implications for </w:t>
      </w:r>
      <w:r w:rsidR="008C119F">
        <w:t xml:space="preserve">its </w:t>
      </w:r>
      <w:r w:rsidR="00BA29CC">
        <w:t xml:space="preserve">capital, liquidity </w:t>
      </w:r>
      <w:r w:rsidR="003D2D00">
        <w:t xml:space="preserve">and borrowing capacity </w:t>
      </w:r>
      <w:r w:rsidR="00117722">
        <w:t xml:space="preserve">if it were </w:t>
      </w:r>
      <w:r w:rsidR="003D2D00">
        <w:t xml:space="preserve">required </w:t>
      </w:r>
      <w:r w:rsidR="00117722">
        <w:t>to provide collateral against the obligation; and</w:t>
      </w:r>
    </w:p>
    <w:p w14:paraId="4FB0C9F3" w14:textId="77777777" w:rsidR="00117722" w:rsidRDefault="00BA29CC" w:rsidP="00652926">
      <w:pPr>
        <w:numPr>
          <w:ilvl w:val="1"/>
          <w:numId w:val="25"/>
        </w:numPr>
        <w:ind w:hanging="513"/>
      </w:pPr>
      <w:r>
        <w:t xml:space="preserve">where relevant, </w:t>
      </w:r>
      <w:r w:rsidR="00117722">
        <w:t xml:space="preserve">assess whether the provision of collateral against the existing obligation would breach any requirement of the Banking Act or a </w:t>
      </w:r>
      <w:r w:rsidR="008C119F">
        <w:t>P</w:t>
      </w:r>
      <w:r w:rsidR="00117722">
        <w:t xml:space="preserve">rudential </w:t>
      </w:r>
      <w:r w:rsidR="008C119F">
        <w:t>S</w:t>
      </w:r>
      <w:r w:rsidR="00117722">
        <w:t>tandard.</w:t>
      </w:r>
    </w:p>
    <w:p w14:paraId="4C4054A8" w14:textId="36A74047" w:rsidR="00B40A02" w:rsidRPr="00C0109D" w:rsidRDefault="006A606F" w:rsidP="00652926">
      <w:pPr>
        <w:numPr>
          <w:ilvl w:val="0"/>
          <w:numId w:val="25"/>
        </w:numPr>
        <w:ind w:left="567" w:hanging="567"/>
      </w:pPr>
      <w:r>
        <w:t>If</w:t>
      </w:r>
      <w:r w:rsidR="00117722">
        <w:t xml:space="preserve"> an </w:t>
      </w:r>
      <w:r>
        <w:t xml:space="preserve">issuing </w:t>
      </w:r>
      <w:r w:rsidR="00117722">
        <w:t>ADI identifies an obligation pursuant to paragraph </w:t>
      </w:r>
      <w:r w:rsidR="00EB27EB">
        <w:t>3</w:t>
      </w:r>
      <w:r w:rsidR="009A08F5">
        <w:t>6</w:t>
      </w:r>
      <w:r w:rsidR="00117722">
        <w:t xml:space="preserve">, it must consult with APRA prior to issuing covered bonds. APRA may, at its discretion, </w:t>
      </w:r>
      <w:r w:rsidR="00117722">
        <w:lastRenderedPageBreak/>
        <w:t xml:space="preserve">require </w:t>
      </w:r>
      <w:r>
        <w:t>the</w:t>
      </w:r>
      <w:r w:rsidR="00117722">
        <w:t xml:space="preserve"> ADI to obtain</w:t>
      </w:r>
      <w:r>
        <w:t>,</w:t>
      </w:r>
      <w:r w:rsidR="00117722">
        <w:t xml:space="preserve"> at the ADI’s expense</w:t>
      </w:r>
      <w:r>
        <w:t>,</w:t>
      </w:r>
      <w:r w:rsidR="00117722">
        <w:t xml:space="preserve"> a</w:t>
      </w:r>
      <w:r w:rsidR="00181C09">
        <w:t>n</w:t>
      </w:r>
      <w:r w:rsidR="00117722">
        <w:t xml:space="preserve"> opinion, from an </w:t>
      </w:r>
      <w:r w:rsidR="00181C09">
        <w:t xml:space="preserve">appropriate </w:t>
      </w:r>
      <w:r w:rsidR="00117722">
        <w:t xml:space="preserve">independent </w:t>
      </w:r>
      <w:r w:rsidR="00181C09">
        <w:t xml:space="preserve">expert </w:t>
      </w:r>
      <w:r w:rsidR="00117722">
        <w:t>agreed by APRA, on any of the matters referred to in paragraph </w:t>
      </w:r>
      <w:r w:rsidR="00415544">
        <w:t>3</w:t>
      </w:r>
      <w:r w:rsidR="009A08F5">
        <w:t>7</w:t>
      </w:r>
      <w:r w:rsidR="00117722">
        <w:t>.</w:t>
      </w:r>
    </w:p>
    <w:p w14:paraId="5AFC81A7" w14:textId="77777777" w:rsidR="00BC6F84" w:rsidRDefault="00BC6F84" w:rsidP="00BC6F84">
      <w:pPr>
        <w:pStyle w:val="Heading4"/>
      </w:pPr>
      <w:r>
        <w:t>Notifications</w:t>
      </w:r>
    </w:p>
    <w:p w14:paraId="2406CE98" w14:textId="77777777" w:rsidR="00BC6F84" w:rsidRDefault="00BC6F84" w:rsidP="00652926">
      <w:pPr>
        <w:numPr>
          <w:ilvl w:val="0"/>
          <w:numId w:val="25"/>
        </w:numPr>
        <w:ind w:left="567" w:hanging="567"/>
      </w:pPr>
      <w:r>
        <w:t xml:space="preserve">An </w:t>
      </w:r>
      <w:r w:rsidR="006A606F">
        <w:t xml:space="preserve">issuing </w:t>
      </w:r>
      <w:r>
        <w:t xml:space="preserve">ADI must provide </w:t>
      </w:r>
      <w:r w:rsidR="000369DB">
        <w:t xml:space="preserve">to </w:t>
      </w:r>
      <w:r>
        <w:t>APRA</w:t>
      </w:r>
      <w:r w:rsidR="001D279C">
        <w:t>,</w:t>
      </w:r>
      <w:r>
        <w:t xml:space="preserve"> </w:t>
      </w:r>
      <w:r w:rsidR="00F41E48">
        <w:t xml:space="preserve">as soon as practicable </w:t>
      </w:r>
      <w:r>
        <w:t xml:space="preserve">after the issue of </w:t>
      </w:r>
      <w:r w:rsidR="000369DB">
        <w:t xml:space="preserve">a </w:t>
      </w:r>
      <w:r>
        <w:t>covered bond</w:t>
      </w:r>
      <w:r w:rsidR="000369DB">
        <w:t>,</w:t>
      </w:r>
      <w:r>
        <w:t xml:space="preserve"> a written declaration signed by </w:t>
      </w:r>
      <w:r w:rsidR="005C1E60">
        <w:t>a</w:t>
      </w:r>
      <w:r w:rsidR="00014995">
        <w:t xml:space="preserve"> responsible person</w:t>
      </w:r>
      <w:r w:rsidR="005F7CAA">
        <w:t xml:space="preserve"> </w:t>
      </w:r>
      <w:r>
        <w:t>of the ADI certifying that at the time of issue of the covered bond, the combined value of assets in cover pools securing covered bonds issued by the ADI, including the issue undertaken, do not exceed 8 per cent</w:t>
      </w:r>
      <w:r w:rsidR="000369DB" w:rsidRPr="000369DB">
        <w:t xml:space="preserve"> </w:t>
      </w:r>
      <w:r w:rsidR="000369DB">
        <w:t>of the value of the ADI’s assets in Australia</w:t>
      </w:r>
      <w:r>
        <w:t xml:space="preserve"> </w:t>
      </w:r>
      <w:r w:rsidR="008C119F">
        <w:t>(</w:t>
      </w:r>
      <w:r>
        <w:t>or such other percentage as may be prescribed in regulations pursuant to section 28 of the Banking Act</w:t>
      </w:r>
      <w:r w:rsidR="008C119F">
        <w:t>)</w:t>
      </w:r>
      <w:r>
        <w:t>.</w:t>
      </w:r>
    </w:p>
    <w:p w14:paraId="3430586A" w14:textId="77777777" w:rsidR="0018567E" w:rsidRDefault="0018567E" w:rsidP="00652926">
      <w:pPr>
        <w:numPr>
          <w:ilvl w:val="0"/>
          <w:numId w:val="25"/>
        </w:numPr>
        <w:ind w:left="567" w:hanging="567"/>
      </w:pPr>
      <w:r>
        <w:t xml:space="preserve">An </w:t>
      </w:r>
      <w:r w:rsidR="006A606F">
        <w:t xml:space="preserve">issuing </w:t>
      </w:r>
      <w:r>
        <w:t xml:space="preserve">ADI must provide APRA with a copy of all </w:t>
      </w:r>
      <w:r w:rsidR="00103C95">
        <w:t>d</w:t>
      </w:r>
      <w:r>
        <w:t xml:space="preserve">ocumentation relating to the </w:t>
      </w:r>
      <w:r w:rsidRPr="0018567E">
        <w:t xml:space="preserve">issue </w:t>
      </w:r>
      <w:r w:rsidR="00BC1453">
        <w:t xml:space="preserve">of covered bonds </w:t>
      </w:r>
      <w:r w:rsidRPr="0018567E">
        <w:t>on request.</w:t>
      </w:r>
    </w:p>
    <w:p w14:paraId="3DBCA104" w14:textId="77777777" w:rsidR="00BC6F84" w:rsidRDefault="00BC6F84" w:rsidP="00652926">
      <w:pPr>
        <w:numPr>
          <w:ilvl w:val="0"/>
          <w:numId w:val="25"/>
        </w:numPr>
        <w:ind w:left="567" w:hanging="567"/>
      </w:pPr>
      <w:r>
        <w:t xml:space="preserve">An </w:t>
      </w:r>
      <w:r w:rsidR="006A606F">
        <w:t xml:space="preserve">issuing </w:t>
      </w:r>
      <w:r>
        <w:t>ADI must notify APRA</w:t>
      </w:r>
      <w:r w:rsidR="00C7189B">
        <w:t xml:space="preserve"> </w:t>
      </w:r>
      <w:r>
        <w:t>in writing</w:t>
      </w:r>
      <w:r w:rsidR="009C7BAF">
        <w:t>, as soon as practicable after</w:t>
      </w:r>
      <w:r>
        <w:t xml:space="preserve"> it become</w:t>
      </w:r>
      <w:r w:rsidR="009C7BAF">
        <w:t>s</w:t>
      </w:r>
      <w:r>
        <w:t xml:space="preserve"> aware that the value of assets in cover pools securing covered bonds issued by the ADI exceeds</w:t>
      </w:r>
      <w:r w:rsidR="00C7189B">
        <w:t>, or will exceed,</w:t>
      </w:r>
      <w:r>
        <w:t xml:space="preserve"> 8 per cent </w:t>
      </w:r>
      <w:r w:rsidR="008C119F">
        <w:t xml:space="preserve">of the value of the ADI’s assets in Australia </w:t>
      </w:r>
      <w:r w:rsidR="00F41E48">
        <w:t>(</w:t>
      </w:r>
      <w:r>
        <w:t xml:space="preserve">or such other percentage as may be prescribed in </w:t>
      </w:r>
      <w:r w:rsidR="00BC1453">
        <w:t xml:space="preserve">regulations </w:t>
      </w:r>
      <w:r>
        <w:t>pursuant to section 28 of the Banking Act</w:t>
      </w:r>
      <w:r w:rsidR="00F41E48">
        <w:t>)</w:t>
      </w:r>
      <w:r>
        <w:t>. Such notification must include the</w:t>
      </w:r>
      <w:r w:rsidR="00DB0BF8" w:rsidRPr="00DB0BF8">
        <w:t xml:space="preserve"> </w:t>
      </w:r>
      <w:r w:rsidR="00DB0BF8">
        <w:t>value of the assets</w:t>
      </w:r>
      <w:r>
        <w:t xml:space="preserve"> </w:t>
      </w:r>
      <w:r w:rsidR="00DB0BF8">
        <w:t xml:space="preserve">in the cover pool, the </w:t>
      </w:r>
      <w:r>
        <w:t>amount</w:t>
      </w:r>
      <w:r w:rsidR="00DB0BF8">
        <w:t xml:space="preserve"> in excess of the specified percentage</w:t>
      </w:r>
      <w:r>
        <w:t xml:space="preserve">, reasons for </w:t>
      </w:r>
      <w:r w:rsidR="00DB0BF8">
        <w:t>the</w:t>
      </w:r>
      <w:r>
        <w:t xml:space="preserve"> excess and an indication of the </w:t>
      </w:r>
      <w:r w:rsidR="00731630">
        <w:t>ADI’s plans and</w:t>
      </w:r>
      <w:r w:rsidR="00321FCD">
        <w:t xml:space="preserve"> </w:t>
      </w:r>
      <w:r w:rsidR="00D1147D">
        <w:t xml:space="preserve">a </w:t>
      </w:r>
      <w:r w:rsidR="00321FCD">
        <w:t>proposed</w:t>
      </w:r>
      <w:r w:rsidR="00731630">
        <w:t xml:space="preserve"> </w:t>
      </w:r>
      <w:r>
        <w:t xml:space="preserve">time frame in which assets held </w:t>
      </w:r>
      <w:r w:rsidR="00D1147D">
        <w:t>in the cover pool</w:t>
      </w:r>
      <w:r>
        <w:t xml:space="preserve"> </w:t>
      </w:r>
      <w:r w:rsidR="00731630">
        <w:t>may</w:t>
      </w:r>
      <w:r>
        <w:t xml:space="preserve"> fall below </w:t>
      </w:r>
      <w:r w:rsidR="009538C2">
        <w:t xml:space="preserve">the </w:t>
      </w:r>
      <w:r w:rsidR="00DB0BF8">
        <w:t>specified percentage</w:t>
      </w:r>
      <w:r w:rsidR="009538C2">
        <w:t>.</w:t>
      </w:r>
    </w:p>
    <w:p w14:paraId="0879ED60" w14:textId="77777777" w:rsidR="00C33894" w:rsidRPr="00BD7B96" w:rsidRDefault="00C33894" w:rsidP="00C33894">
      <w:pPr>
        <w:pStyle w:val="Heading4"/>
      </w:pPr>
      <w:r w:rsidRPr="00BD7B96">
        <w:t>Assets in Australia</w:t>
      </w:r>
    </w:p>
    <w:p w14:paraId="489423F6" w14:textId="2462FBDE" w:rsidR="00C33894" w:rsidRPr="00BD7B96" w:rsidRDefault="00C33894" w:rsidP="00652926">
      <w:pPr>
        <w:numPr>
          <w:ilvl w:val="0"/>
          <w:numId w:val="25"/>
        </w:numPr>
        <w:ind w:left="567" w:hanging="567"/>
      </w:pPr>
      <w:r w:rsidRPr="00BD7B96">
        <w:t xml:space="preserve">For the purposes of this Prudential Standard, an </w:t>
      </w:r>
      <w:r w:rsidR="006A606F" w:rsidRPr="00BD7B96">
        <w:t xml:space="preserve">issuing </w:t>
      </w:r>
      <w:r w:rsidRPr="00BD7B96">
        <w:t xml:space="preserve">ADI’s assets in Australia (AIA) should be calculated as the ADI’s total assets </w:t>
      </w:r>
      <w:r w:rsidR="008B252E" w:rsidRPr="00BD7B96">
        <w:t xml:space="preserve">on its domestic books </w:t>
      </w:r>
      <w:r w:rsidRPr="00BD7B96">
        <w:t xml:space="preserve">as reported on </w:t>
      </w:r>
      <w:r w:rsidRPr="00572F99">
        <w:t>form</w:t>
      </w:r>
      <w:r w:rsidR="009A1304">
        <w:t>s</w:t>
      </w:r>
      <w:r w:rsidR="00572F99" w:rsidRPr="005A5A32">
        <w:t xml:space="preserve"> </w:t>
      </w:r>
      <w:r w:rsidR="00572F99" w:rsidRPr="005A5A32">
        <w:rPr>
          <w:i/>
        </w:rPr>
        <w:t>ARF 720.</w:t>
      </w:r>
      <w:r w:rsidR="009A1304" w:rsidRPr="005A5A32">
        <w:rPr>
          <w:i/>
        </w:rPr>
        <w:t>0</w:t>
      </w:r>
      <w:r w:rsidR="009A1304">
        <w:rPr>
          <w:i/>
        </w:rPr>
        <w:t>A</w:t>
      </w:r>
      <w:r w:rsidR="00572F99" w:rsidRPr="005A5A32">
        <w:rPr>
          <w:i/>
        </w:rPr>
        <w:t xml:space="preserve"> ABS/RBA Statement of Financial Position (</w:t>
      </w:r>
      <w:r w:rsidR="009A1304">
        <w:rPr>
          <w:i/>
        </w:rPr>
        <w:t>Standard</w:t>
      </w:r>
      <w:r w:rsidR="00572F99" w:rsidRPr="005A5A32">
        <w:rPr>
          <w:i/>
        </w:rPr>
        <w:t>)</w:t>
      </w:r>
      <w:r w:rsidR="00572F99" w:rsidRPr="005A5A32">
        <w:t xml:space="preserve"> </w:t>
      </w:r>
      <w:r w:rsidR="009A1304" w:rsidRPr="00585B93">
        <w:t>(ARF 720.0</w:t>
      </w:r>
      <w:r w:rsidR="005D2E21">
        <w:t>A</w:t>
      </w:r>
      <w:r w:rsidR="009A1304" w:rsidRPr="00585B93">
        <w:t>)</w:t>
      </w:r>
      <w:r w:rsidR="009A1304">
        <w:t xml:space="preserve"> or</w:t>
      </w:r>
      <w:r w:rsidR="009A1304" w:rsidRPr="00BD7B96">
        <w:t xml:space="preserve"> </w:t>
      </w:r>
      <w:r w:rsidR="00572F99" w:rsidRPr="005A5A32">
        <w:rPr>
          <w:i/>
        </w:rPr>
        <w:t xml:space="preserve"> </w:t>
      </w:r>
      <w:r w:rsidR="009A1304" w:rsidRPr="00C33100">
        <w:rPr>
          <w:i/>
        </w:rPr>
        <w:t>ARF 720.0B</w:t>
      </w:r>
      <w:r w:rsidR="009A1304" w:rsidRPr="00C33100">
        <w:t xml:space="preserve"> </w:t>
      </w:r>
      <w:r w:rsidR="00572F99" w:rsidRPr="005A5A32">
        <w:rPr>
          <w:i/>
        </w:rPr>
        <w:t>ABS/RBA Statement of Financial Position (Reduced)</w:t>
      </w:r>
      <w:r w:rsidR="009A1304">
        <w:rPr>
          <w:i/>
        </w:rPr>
        <w:t xml:space="preserve"> </w:t>
      </w:r>
      <w:r w:rsidR="009A1304" w:rsidRPr="005A5A32">
        <w:t>(</w:t>
      </w:r>
      <w:r w:rsidR="009A1304" w:rsidRPr="00585B93">
        <w:t>ARF 720.0</w:t>
      </w:r>
      <w:r w:rsidR="009A1304">
        <w:t>B</w:t>
      </w:r>
      <w:r w:rsidR="009A1304" w:rsidRPr="00585B93">
        <w:t>)</w:t>
      </w:r>
      <w:r w:rsidR="00097A32">
        <w:t xml:space="preserve"> under </w:t>
      </w:r>
      <w:r w:rsidR="00097A32" w:rsidRPr="00BD624E">
        <w:rPr>
          <w:i/>
        </w:rPr>
        <w:t>Reporting Standard 720.0 ABS/RBA Statement of Financial Position</w:t>
      </w:r>
      <w:r w:rsidR="001D279C" w:rsidRPr="005A5A32">
        <w:t>,</w:t>
      </w:r>
      <w:r w:rsidR="008B252E" w:rsidRPr="00BD7B96">
        <w:t xml:space="preserve"> </w:t>
      </w:r>
      <w:r w:rsidRPr="00BD7B96">
        <w:t xml:space="preserve">adjusted </w:t>
      </w:r>
      <w:r w:rsidR="006F43B4" w:rsidRPr="00BD7B96">
        <w:t>to exclude</w:t>
      </w:r>
      <w:r w:rsidRPr="00BD7B96">
        <w:t xml:space="preserve"> goodwill, assets in cover pools </w:t>
      </w:r>
      <w:r w:rsidR="006F43B4" w:rsidRPr="00BD7B96">
        <w:t>(</w:t>
      </w:r>
      <w:r w:rsidRPr="00BD7B96">
        <w:t>and any related loans</w:t>
      </w:r>
      <w:r w:rsidR="006F43B4" w:rsidRPr="00BD7B96">
        <w:t xml:space="preserve"> to a covered bond special purpose vehicle)</w:t>
      </w:r>
      <w:r w:rsidR="00A649BE" w:rsidRPr="00BD7B96">
        <w:t xml:space="preserve"> and</w:t>
      </w:r>
      <w:r w:rsidRPr="00BD7B96">
        <w:t xml:space="preserve"> </w:t>
      </w:r>
      <w:r w:rsidR="00445306" w:rsidRPr="00BD7B96">
        <w:t>double</w:t>
      </w:r>
      <w:r w:rsidR="00445306" w:rsidRPr="00BD7B96">
        <w:noBreakHyphen/>
      </w:r>
      <w:r w:rsidR="008B252E" w:rsidRPr="00BD7B96">
        <w:t>count</w:t>
      </w:r>
      <w:r w:rsidR="009061FB" w:rsidRPr="00BD7B96">
        <w:t>ing. That is:</w:t>
      </w:r>
    </w:p>
    <w:p w14:paraId="76347506" w14:textId="77777777" w:rsidR="00C33894" w:rsidRPr="00BD7B96" w:rsidRDefault="00C33894" w:rsidP="00C33894">
      <w:pPr>
        <w:ind w:left="2160"/>
      </w:pPr>
      <w:r w:rsidRPr="00BD7B96">
        <w:t xml:space="preserve">AIA = A </w:t>
      </w:r>
      <w:r w:rsidR="008B252E" w:rsidRPr="00BD7B96">
        <w:t>–</w:t>
      </w:r>
      <w:r w:rsidRPr="00BD7B96">
        <w:t xml:space="preserve"> </w:t>
      </w:r>
      <w:r w:rsidR="008B252E" w:rsidRPr="00BD7B96">
        <w:t>B – C – D – E</w:t>
      </w:r>
    </w:p>
    <w:p w14:paraId="557A4D28" w14:textId="77777777" w:rsidR="008B252E" w:rsidRPr="00BD7B96" w:rsidRDefault="008B252E" w:rsidP="00652926">
      <w:pPr>
        <w:ind w:left="567"/>
      </w:pPr>
      <w:r w:rsidRPr="00BD7B96">
        <w:t>where:</w:t>
      </w:r>
    </w:p>
    <w:p w14:paraId="4FEED99D" w14:textId="5F520A31" w:rsidR="008B252E" w:rsidRPr="00BD7B96" w:rsidRDefault="006F43B4" w:rsidP="006F43B4">
      <w:pPr>
        <w:ind w:left="1560" w:hanging="840"/>
      </w:pPr>
      <w:r w:rsidRPr="00BD7B96">
        <w:t>A   =</w:t>
      </w:r>
      <w:r w:rsidRPr="00BD7B96">
        <w:tab/>
      </w:r>
      <w:r w:rsidR="008B252E" w:rsidRPr="00BD7B96">
        <w:t xml:space="preserve">Total </w:t>
      </w:r>
      <w:r w:rsidR="00F82F24" w:rsidRPr="00BD7B96">
        <w:t xml:space="preserve">resident </w:t>
      </w:r>
      <w:r w:rsidR="008B252E" w:rsidRPr="00BD7B96">
        <w:t xml:space="preserve">assets </w:t>
      </w:r>
      <w:r w:rsidR="009061FB" w:rsidRPr="00BD7B96">
        <w:t xml:space="preserve">on the ADI’s domestic books </w:t>
      </w:r>
      <w:r w:rsidR="008B252E" w:rsidRPr="00BD7B96">
        <w:t>as reported on</w:t>
      </w:r>
      <w:r w:rsidR="005D714A">
        <w:t xml:space="preserve"> </w:t>
      </w:r>
      <w:r w:rsidR="005D714A" w:rsidRPr="005A5A32">
        <w:t>ARF 720.0</w:t>
      </w:r>
      <w:r w:rsidR="00307659">
        <w:t>A or ARF 720.0B</w:t>
      </w:r>
      <w:r w:rsidRPr="00BD7B96">
        <w:t>;</w:t>
      </w:r>
    </w:p>
    <w:p w14:paraId="191F2CF6" w14:textId="4F0EF4F0" w:rsidR="008B252E" w:rsidRPr="00BD7B96" w:rsidRDefault="008B252E" w:rsidP="006F43B4">
      <w:pPr>
        <w:ind w:left="1560" w:hanging="840"/>
      </w:pPr>
      <w:r w:rsidRPr="00BD7B96">
        <w:t xml:space="preserve">B </w:t>
      </w:r>
      <w:r w:rsidR="006F43B4" w:rsidRPr="00BD7B96">
        <w:t xml:space="preserve">  </w:t>
      </w:r>
      <w:r w:rsidRPr="00BD7B96">
        <w:t>=</w:t>
      </w:r>
      <w:r w:rsidR="006F43B4" w:rsidRPr="00BD7B96">
        <w:tab/>
        <w:t xml:space="preserve">the value of any </w:t>
      </w:r>
      <w:r w:rsidRPr="00BD7B96">
        <w:t>goodwill included in A</w:t>
      </w:r>
      <w:r w:rsidR="00F82F24" w:rsidRPr="00BD7B96">
        <w:t xml:space="preserve"> </w:t>
      </w:r>
      <w:r w:rsidR="00F82F24" w:rsidRPr="005A5A32">
        <w:t>(item </w:t>
      </w:r>
      <w:r w:rsidR="00BE746D" w:rsidRPr="005A5A32">
        <w:t xml:space="preserve">9.3 </w:t>
      </w:r>
      <w:r w:rsidR="00F82F24" w:rsidRPr="005A5A32">
        <w:t>on</w:t>
      </w:r>
      <w:r w:rsidR="00BE746D" w:rsidRPr="005A5A32">
        <w:t xml:space="preserve"> ARF 720.0</w:t>
      </w:r>
      <w:r w:rsidR="00307659">
        <w:t>A or ARF 720.0B</w:t>
      </w:r>
      <w:r w:rsidR="00F82F24" w:rsidRPr="005A5A32">
        <w:t>)</w:t>
      </w:r>
      <w:r w:rsidR="006F43B4" w:rsidRPr="005A5A32">
        <w:t>;</w:t>
      </w:r>
    </w:p>
    <w:p w14:paraId="5C0C936F" w14:textId="77777777" w:rsidR="008B252E" w:rsidRPr="00BD7B96" w:rsidRDefault="008B252E" w:rsidP="006F43B4">
      <w:pPr>
        <w:ind w:left="1560" w:hanging="840"/>
      </w:pPr>
      <w:r w:rsidRPr="00BD7B96">
        <w:t xml:space="preserve">C </w:t>
      </w:r>
      <w:r w:rsidR="006F43B4" w:rsidRPr="00BD7B96">
        <w:t xml:space="preserve">  </w:t>
      </w:r>
      <w:r w:rsidRPr="00BD7B96">
        <w:t>=</w:t>
      </w:r>
      <w:r w:rsidR="006F43B4" w:rsidRPr="00BD7B96">
        <w:tab/>
        <w:t xml:space="preserve">the value of </w:t>
      </w:r>
      <w:r w:rsidRPr="00BD7B96">
        <w:t>any interest in asset</w:t>
      </w:r>
      <w:r w:rsidR="006F43B4" w:rsidRPr="00BD7B96">
        <w:t>s</w:t>
      </w:r>
      <w:r w:rsidRPr="00BD7B96">
        <w:t xml:space="preserve"> (or part of asset</w:t>
      </w:r>
      <w:r w:rsidR="006F43B4" w:rsidRPr="00BD7B96">
        <w:t>s</w:t>
      </w:r>
      <w:r w:rsidRPr="00BD7B96">
        <w:t>) in a cover pool for which the ADI is the issuing ADI and which is included in A</w:t>
      </w:r>
      <w:r w:rsidR="006F43B4" w:rsidRPr="00BD7B96">
        <w:t>;</w:t>
      </w:r>
    </w:p>
    <w:p w14:paraId="698100C2" w14:textId="77777777" w:rsidR="008B252E" w:rsidRPr="00BD7B96" w:rsidRDefault="008B252E" w:rsidP="006F43B4">
      <w:pPr>
        <w:ind w:left="1560" w:hanging="840"/>
      </w:pPr>
      <w:r w:rsidRPr="00BD7B96">
        <w:lastRenderedPageBreak/>
        <w:t xml:space="preserve">D </w:t>
      </w:r>
      <w:r w:rsidR="006F43B4" w:rsidRPr="00BD7B96">
        <w:t xml:space="preserve">  </w:t>
      </w:r>
      <w:r w:rsidRPr="00BD7B96">
        <w:t>=</w:t>
      </w:r>
      <w:r w:rsidR="006F43B4" w:rsidRPr="00BD7B96">
        <w:tab/>
        <w:t xml:space="preserve">the value of </w:t>
      </w:r>
      <w:r w:rsidRPr="00BD7B96">
        <w:t xml:space="preserve">any loan to a covered bond special purpose vehicle that relates to an asset (or part of an asset) in a cover pool for which the ADI is the issuing ADI </w:t>
      </w:r>
      <w:r w:rsidR="006F43B4" w:rsidRPr="00BD7B96">
        <w:t>and which is included in A;</w:t>
      </w:r>
      <w:r w:rsidR="00A649BE" w:rsidRPr="00BD7B96">
        <w:t xml:space="preserve"> and</w:t>
      </w:r>
    </w:p>
    <w:p w14:paraId="150700D9" w14:textId="0BD771CF" w:rsidR="006F43B4" w:rsidRDefault="006F43B4" w:rsidP="006F43B4">
      <w:pPr>
        <w:ind w:left="1560" w:hanging="840"/>
      </w:pPr>
      <w:r w:rsidRPr="00BD7B96">
        <w:t>E   =</w:t>
      </w:r>
      <w:r w:rsidRPr="00BD7B96">
        <w:tab/>
      </w:r>
      <w:r w:rsidR="009061FB" w:rsidRPr="00BD7B96">
        <w:t xml:space="preserve">to the extent </w:t>
      </w:r>
      <w:r w:rsidR="00445306" w:rsidRPr="00BD7B96">
        <w:t>of any double</w:t>
      </w:r>
      <w:r w:rsidR="00445306" w:rsidRPr="00BD7B96">
        <w:noBreakHyphen/>
      </w:r>
      <w:r w:rsidR="009061FB" w:rsidRPr="00BD7B96">
        <w:t xml:space="preserve">counting, the value of </w:t>
      </w:r>
      <w:r w:rsidRPr="00BD7B96">
        <w:t>other asset</w:t>
      </w:r>
      <w:r w:rsidR="00445306" w:rsidRPr="00BD7B96">
        <w:t>s that are</w:t>
      </w:r>
      <w:r w:rsidRPr="00BD7B96">
        <w:t xml:space="preserve"> effectively double counted </w:t>
      </w:r>
      <w:r w:rsidR="009061FB" w:rsidRPr="00BD7B96">
        <w:t>when</w:t>
      </w:r>
      <w:r w:rsidRPr="00BD7B96">
        <w:t xml:space="preserve"> calculating A</w:t>
      </w:r>
      <w:r w:rsidR="009061FB" w:rsidRPr="00BD7B96">
        <w:t xml:space="preserve"> and not </w:t>
      </w:r>
      <w:r w:rsidR="00C7240F" w:rsidRPr="00BD7B96">
        <w:t>captured by</w:t>
      </w:r>
      <w:r w:rsidR="009061FB" w:rsidRPr="00BD7B96">
        <w:t xml:space="preserve"> B, C or D</w:t>
      </w:r>
      <w:r w:rsidR="00AE44CD">
        <w:t>.</w:t>
      </w:r>
      <w:r w:rsidR="00AE44CD">
        <w:rPr>
          <w:rStyle w:val="FootnoteReference"/>
        </w:rPr>
        <w:footnoteReference w:id="5"/>
      </w:r>
    </w:p>
    <w:p w14:paraId="156D426F" w14:textId="22C340C2" w:rsidR="00F632FE" w:rsidRPr="00BD624E" w:rsidRDefault="00F632FE" w:rsidP="00E22A70">
      <w:pPr>
        <w:rPr>
          <w:rFonts w:ascii="Arial" w:hAnsi="Arial"/>
          <w:b/>
          <w:bCs/>
          <w:szCs w:val="28"/>
        </w:rPr>
      </w:pPr>
      <w:bookmarkStart w:id="20" w:name="_Toc522798923"/>
      <w:bookmarkEnd w:id="20"/>
    </w:p>
    <w:sectPr w:rsidR="00F632FE" w:rsidRPr="00BD624E" w:rsidSect="000B0306">
      <w:headerReference w:type="default" r:id="rId16"/>
      <w:footerReference w:type="default" r:id="rId17"/>
      <w:headerReference w:type="first" r:id="rId18"/>
      <w:footerReference w:type="first" r:id="rId19"/>
      <w:pgSz w:w="11907" w:h="16840" w:code="9"/>
      <w:pgMar w:top="1440" w:right="1797" w:bottom="1440" w:left="1797"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F043" w14:textId="77777777" w:rsidR="002B1A94" w:rsidRDefault="002B1A94">
      <w:pPr>
        <w:spacing w:after="0"/>
      </w:pPr>
      <w:r>
        <w:separator/>
      </w:r>
    </w:p>
  </w:endnote>
  <w:endnote w:type="continuationSeparator" w:id="0">
    <w:p w14:paraId="0D214C4A" w14:textId="77777777" w:rsidR="002B1A94" w:rsidRDefault="002B1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589B6" w14:textId="44A562BB" w:rsidR="0071557E" w:rsidRPr="00352491" w:rsidRDefault="0071557E" w:rsidP="00DC3FA7">
    <w:pPr>
      <w:pStyle w:val="Footer"/>
      <w:tabs>
        <w:tab w:val="clear" w:pos="8640"/>
        <w:tab w:val="left" w:pos="7230"/>
        <w:tab w:val="right" w:pos="8931"/>
      </w:tabs>
      <w:ind w:left="360" w:right="-476"/>
      <w:rPr>
        <w:szCs w:val="24"/>
      </w:rPr>
    </w:pPr>
    <w:r>
      <w:tab/>
    </w:r>
    <w:r>
      <w:tab/>
    </w:r>
    <w:r>
      <w:rPr>
        <w:b/>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140D" w14:textId="77777777" w:rsidR="00AD0EE6" w:rsidRPr="00352491" w:rsidRDefault="00AD0EE6" w:rsidP="00DC3FA7">
    <w:pPr>
      <w:pStyle w:val="Footer"/>
      <w:tabs>
        <w:tab w:val="clear" w:pos="8640"/>
        <w:tab w:val="left" w:pos="7230"/>
        <w:tab w:val="right" w:pos="8931"/>
      </w:tabs>
      <w:ind w:left="360" w:right="-476"/>
      <w:rPr>
        <w:szCs w:val="24"/>
      </w:rPr>
    </w:pPr>
    <w:r>
      <w:tab/>
    </w:r>
    <w:r>
      <w:tab/>
    </w:r>
    <w:r>
      <w:rPr>
        <w:b/>
        <w:szCs w:val="24"/>
      </w:rPr>
      <w:tab/>
    </w:r>
    <w:r w:rsidRPr="00352491">
      <w:rPr>
        <w:szCs w:val="24"/>
      </w:rPr>
      <w:t xml:space="preserve">APS 121 - </w:t>
    </w:r>
    <w:r w:rsidRPr="00352491">
      <w:rPr>
        <w:rStyle w:val="PageNumber"/>
        <w:szCs w:val="24"/>
      </w:rPr>
      <w:fldChar w:fldCharType="begin"/>
    </w:r>
    <w:r w:rsidRPr="00352491">
      <w:rPr>
        <w:rStyle w:val="PageNumber"/>
        <w:szCs w:val="24"/>
      </w:rPr>
      <w:instrText xml:space="preserve"> PAGE </w:instrText>
    </w:r>
    <w:r w:rsidRPr="00352491">
      <w:rPr>
        <w:rStyle w:val="PageNumber"/>
        <w:szCs w:val="24"/>
      </w:rPr>
      <w:fldChar w:fldCharType="separate"/>
    </w:r>
    <w:r w:rsidR="00642DEB">
      <w:rPr>
        <w:rStyle w:val="PageNumber"/>
        <w:noProof/>
        <w:szCs w:val="24"/>
      </w:rPr>
      <w:t>1</w:t>
    </w:r>
    <w:r w:rsidRPr="00352491">
      <w:rPr>
        <w:rStyle w:val="PageNumbe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DD38" w14:textId="116D68C4" w:rsidR="0071557E" w:rsidRDefault="0071557E" w:rsidP="0071557E">
    <w:pPr>
      <w:pStyle w:val="Footer"/>
      <w:jc w:val="right"/>
    </w:pPr>
    <w:r w:rsidRPr="00352491">
      <w:rPr>
        <w:szCs w:val="24"/>
      </w:rPr>
      <w:t xml:space="preserve">APS 121 - </w:t>
    </w:r>
    <w:r w:rsidRPr="00352491">
      <w:rPr>
        <w:rStyle w:val="PageNumber"/>
        <w:szCs w:val="24"/>
      </w:rPr>
      <w:fldChar w:fldCharType="begin"/>
    </w:r>
    <w:r w:rsidRPr="00352491">
      <w:rPr>
        <w:rStyle w:val="PageNumber"/>
        <w:szCs w:val="24"/>
      </w:rPr>
      <w:instrText xml:space="preserve"> PAGE </w:instrText>
    </w:r>
    <w:r w:rsidRPr="00352491">
      <w:rPr>
        <w:rStyle w:val="PageNumber"/>
        <w:szCs w:val="24"/>
      </w:rPr>
      <w:fldChar w:fldCharType="separate"/>
    </w:r>
    <w:r>
      <w:rPr>
        <w:rStyle w:val="PageNumber"/>
        <w:szCs w:val="24"/>
      </w:rPr>
      <w:t>2</w:t>
    </w:r>
    <w:r w:rsidRPr="00352491">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642F" w14:textId="77777777" w:rsidR="002B1A94" w:rsidRDefault="002B1A94">
      <w:pPr>
        <w:spacing w:after="0"/>
      </w:pPr>
      <w:r>
        <w:separator/>
      </w:r>
    </w:p>
  </w:footnote>
  <w:footnote w:type="continuationSeparator" w:id="0">
    <w:p w14:paraId="42E11FB9" w14:textId="77777777" w:rsidR="002B1A94" w:rsidRDefault="002B1A94">
      <w:pPr>
        <w:spacing w:after="0"/>
      </w:pPr>
      <w:r>
        <w:continuationSeparator/>
      </w:r>
    </w:p>
  </w:footnote>
  <w:footnote w:id="1">
    <w:p w14:paraId="0E23EDC3" w14:textId="77777777" w:rsidR="007934D5" w:rsidRPr="002404B7" w:rsidRDefault="007934D5" w:rsidP="007934D5">
      <w:pPr>
        <w:pStyle w:val="FootnoteText"/>
      </w:pPr>
      <w:r w:rsidRPr="00CB7A2F">
        <w:rPr>
          <w:rStyle w:val="FootnoteReference"/>
          <w:color w:val="000000" w:themeColor="text1"/>
        </w:rPr>
        <w:footnoteRef/>
      </w:r>
      <w:r w:rsidRPr="00CB7A2F">
        <w:rPr>
          <w:color w:val="000000" w:themeColor="text1"/>
        </w:rPr>
        <w:t xml:space="preserve"> A reference to a Reporting Standard includes any reporting form and instructions that form part of the Reporting Standard.</w:t>
      </w:r>
    </w:p>
  </w:footnote>
  <w:footnote w:id="2">
    <w:p w14:paraId="7114FA97" w14:textId="77777777" w:rsidR="007E4B7A" w:rsidRDefault="007E4B7A" w:rsidP="007E4B7A">
      <w:pPr>
        <w:pStyle w:val="FootnoteText"/>
      </w:pPr>
      <w:r>
        <w:rPr>
          <w:rStyle w:val="FootnoteReference"/>
        </w:rPr>
        <w:footnoteRef/>
      </w:r>
      <w:r>
        <w:t xml:space="preserve"> Refer to subsection 11AF(2) of the Banking Act. </w:t>
      </w:r>
    </w:p>
  </w:footnote>
  <w:footnote w:id="3">
    <w:p w14:paraId="4545F40F" w14:textId="77777777" w:rsidR="00503946" w:rsidRDefault="00503946" w:rsidP="006A6C94">
      <w:pPr>
        <w:pStyle w:val="FootnoteText"/>
      </w:pPr>
      <w:r>
        <w:rPr>
          <w:rStyle w:val="FootnoteReference"/>
        </w:rPr>
        <w:footnoteRef/>
      </w:r>
      <w:r>
        <w:t xml:space="preserve"> Paragraph 30(4)(a) of the Banking Act also requires the keeping of an accurate register of assets in the cover pool by the issuing ADI or covered bond special purpose vehicle concerned.</w:t>
      </w:r>
    </w:p>
  </w:footnote>
  <w:footnote w:id="4">
    <w:p w14:paraId="27B0AB75" w14:textId="20D2194B" w:rsidR="00503946" w:rsidRDefault="00503946">
      <w:pPr>
        <w:pStyle w:val="FootnoteText"/>
      </w:pPr>
      <w:r>
        <w:rPr>
          <w:rStyle w:val="FootnoteReference"/>
        </w:rPr>
        <w:footnoteRef/>
      </w:r>
      <w:r>
        <w:t xml:space="preserve"> If an asset is not part of the cover pool and is not listed on a register pursuant to paragraph 1</w:t>
      </w:r>
      <w:r w:rsidR="009A08F5">
        <w:t>8</w:t>
      </w:r>
      <w:r>
        <w:t>, then it will fail the test in paragraph 2</w:t>
      </w:r>
      <w:r w:rsidR="009A08F5">
        <w:t>8</w:t>
      </w:r>
      <w:r>
        <w:t>(a) and will be subject to the minimum risk-weight of 100 per cent in paragraph </w:t>
      </w:r>
      <w:r w:rsidR="009A08F5">
        <w:t>30</w:t>
      </w:r>
      <w:r>
        <w:t xml:space="preserve">. </w:t>
      </w:r>
    </w:p>
  </w:footnote>
  <w:footnote w:id="5">
    <w:p w14:paraId="42D0354E" w14:textId="415CB296" w:rsidR="00AE44CD" w:rsidRDefault="00AE44CD">
      <w:pPr>
        <w:pStyle w:val="FootnoteText"/>
      </w:pPr>
      <w:r>
        <w:rPr>
          <w:rStyle w:val="FootnoteReference"/>
        </w:rPr>
        <w:footnoteRef/>
      </w:r>
      <w:r>
        <w:t xml:space="preserve"> Whether double-counting exists should be assessed having regard to the economic substance of the relevant transactions. One situation where double counting would arise is if the amount A includes both assets held by a covered bond, securitisation or other special purpose vehicle and a loan to the special purpose vehicle to fund the purchase of those assets by the special purpose vehicle.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insideH w:val="single" w:sz="4" w:space="0" w:color="auto"/>
      </w:tblBorders>
      <w:tblLook w:val="01E0" w:firstRow="1" w:lastRow="1" w:firstColumn="1" w:lastColumn="1" w:noHBand="0" w:noVBand="0"/>
    </w:tblPr>
    <w:tblGrid>
      <w:gridCol w:w="6912"/>
      <w:gridCol w:w="1843"/>
    </w:tblGrid>
    <w:tr w:rsidR="0071557E" w14:paraId="29420364" w14:textId="77777777" w:rsidTr="001828FE">
      <w:tc>
        <w:tcPr>
          <w:tcW w:w="6912" w:type="dxa"/>
        </w:tcPr>
        <w:p w14:paraId="7CE8249B" w14:textId="77777777" w:rsidR="0071557E" w:rsidRPr="003F7F31" w:rsidRDefault="0071557E" w:rsidP="003F7F31">
          <w:pPr>
            <w:pStyle w:val="Header"/>
            <w:tabs>
              <w:tab w:val="clear" w:pos="8640"/>
              <w:tab w:val="right" w:pos="9214"/>
            </w:tabs>
            <w:jc w:val="center"/>
            <w:rPr>
              <w:rFonts w:ascii="Times New Roman" w:hAnsi="Times New Roman"/>
              <w:sz w:val="28"/>
              <w:szCs w:val="28"/>
            </w:rPr>
          </w:pPr>
        </w:p>
      </w:tc>
      <w:tc>
        <w:tcPr>
          <w:tcW w:w="1843" w:type="dxa"/>
        </w:tcPr>
        <w:p w14:paraId="70D151F4" w14:textId="62B29FA2" w:rsidR="0071557E" w:rsidRPr="003F7F31" w:rsidRDefault="0071557E" w:rsidP="00F46E96">
          <w:pPr>
            <w:pStyle w:val="Header"/>
            <w:tabs>
              <w:tab w:val="clear" w:pos="8640"/>
              <w:tab w:val="right" w:pos="9214"/>
            </w:tabs>
            <w:rPr>
              <w:rFonts w:ascii="Times New Roman" w:hAnsi="Times New Roman"/>
              <w:b w:val="0"/>
              <w:sz w:val="24"/>
              <w:szCs w:val="24"/>
            </w:rPr>
          </w:pPr>
        </w:p>
      </w:tc>
    </w:tr>
  </w:tbl>
  <w:p w14:paraId="6488CFA5" w14:textId="77777777" w:rsidR="0071557E" w:rsidRPr="00DA3258" w:rsidRDefault="0071557E" w:rsidP="00DC3FA7">
    <w:pPr>
      <w:pStyle w:val="Header"/>
      <w:tabs>
        <w:tab w:val="clear" w:pos="8640"/>
        <w:tab w:val="right" w:pos="9214"/>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insideH w:val="single" w:sz="4" w:space="0" w:color="auto"/>
      </w:tblBorders>
      <w:tblLook w:val="01E0" w:firstRow="1" w:lastRow="1" w:firstColumn="1" w:lastColumn="1" w:noHBand="0" w:noVBand="0"/>
    </w:tblPr>
    <w:tblGrid>
      <w:gridCol w:w="6912"/>
      <w:gridCol w:w="1843"/>
    </w:tblGrid>
    <w:tr w:rsidR="00AD0EE6" w14:paraId="0F3FA1AB" w14:textId="77777777" w:rsidTr="001828FE">
      <w:tc>
        <w:tcPr>
          <w:tcW w:w="6912" w:type="dxa"/>
        </w:tcPr>
        <w:p w14:paraId="2AAD94E5" w14:textId="77777777" w:rsidR="00AD0EE6" w:rsidRPr="003F7F31" w:rsidRDefault="00AD0EE6" w:rsidP="009639BC">
          <w:pPr>
            <w:pStyle w:val="Header"/>
            <w:tabs>
              <w:tab w:val="clear" w:pos="8640"/>
              <w:tab w:val="right" w:pos="9214"/>
            </w:tabs>
            <w:spacing w:before="0" w:after="0"/>
            <w:jc w:val="center"/>
            <w:rPr>
              <w:rFonts w:ascii="Times New Roman" w:hAnsi="Times New Roman"/>
              <w:sz w:val="28"/>
              <w:szCs w:val="28"/>
            </w:rPr>
          </w:pPr>
        </w:p>
      </w:tc>
      <w:tc>
        <w:tcPr>
          <w:tcW w:w="1843" w:type="dxa"/>
        </w:tcPr>
        <w:p w14:paraId="6035E92F" w14:textId="3EBA91C2" w:rsidR="00AD0EE6" w:rsidRPr="003F7F31" w:rsidRDefault="00C500D7" w:rsidP="009639BC">
          <w:pPr>
            <w:pStyle w:val="Header"/>
            <w:tabs>
              <w:tab w:val="clear" w:pos="8640"/>
              <w:tab w:val="right" w:pos="9214"/>
            </w:tabs>
            <w:spacing w:before="0" w:after="0"/>
            <w:rPr>
              <w:rFonts w:ascii="Times New Roman" w:hAnsi="Times New Roman"/>
              <w:b w:val="0"/>
              <w:sz w:val="24"/>
              <w:szCs w:val="24"/>
            </w:rPr>
          </w:pPr>
          <w:r>
            <w:rPr>
              <w:rFonts w:ascii="Times New Roman" w:hAnsi="Times New Roman"/>
              <w:b w:val="0"/>
              <w:sz w:val="24"/>
              <w:szCs w:val="24"/>
            </w:rPr>
            <w:t>January</w:t>
          </w:r>
          <w:r w:rsidR="00AD0EE6">
            <w:rPr>
              <w:rFonts w:ascii="Times New Roman" w:hAnsi="Times New Roman"/>
              <w:b w:val="0"/>
              <w:sz w:val="24"/>
              <w:szCs w:val="24"/>
            </w:rPr>
            <w:t xml:space="preserve"> 20</w:t>
          </w:r>
          <w:r>
            <w:rPr>
              <w:rFonts w:ascii="Times New Roman" w:hAnsi="Times New Roman"/>
              <w:b w:val="0"/>
              <w:sz w:val="24"/>
              <w:szCs w:val="24"/>
            </w:rPr>
            <w:t>23</w:t>
          </w:r>
        </w:p>
      </w:tc>
    </w:tr>
  </w:tbl>
  <w:p w14:paraId="1729DEB0" w14:textId="77777777" w:rsidR="00AD0EE6" w:rsidRPr="00DA3258" w:rsidRDefault="00AD0EE6" w:rsidP="009639BC">
    <w:pPr>
      <w:pStyle w:val="Header"/>
      <w:tabs>
        <w:tab w:val="clear" w:pos="8640"/>
        <w:tab w:val="right" w:pos="9214"/>
      </w:tabs>
      <w:spacing w:before="0"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6C0B" w14:textId="5E4FD3A9" w:rsidR="0071557E" w:rsidRDefault="0071557E" w:rsidP="0071557E">
    <w:pPr>
      <w:pStyle w:val="Header"/>
      <w:jc w:val="right"/>
    </w:pPr>
    <w:r>
      <w:rPr>
        <w:rFonts w:ascii="Times New Roman" w:hAnsi="Times New Roman"/>
        <w:b w:val="0"/>
        <w:sz w:val="24"/>
        <w:szCs w:val="24"/>
      </w:rPr>
      <w:t>January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0181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DE3B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F6C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D42F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F237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E65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3E62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D47D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84A1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8AD0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717F0"/>
    <w:multiLevelType w:val="hybridMultilevel"/>
    <w:tmpl w:val="FAD0AF6A"/>
    <w:lvl w:ilvl="0" w:tplc="0C09000F">
      <w:start w:val="1"/>
      <w:numFmt w:val="decimal"/>
      <w:lvlText w:val="%1."/>
      <w:lvlJc w:val="left"/>
      <w:pPr>
        <w:ind w:left="360" w:hanging="360"/>
      </w:pPr>
    </w:lvl>
    <w:lvl w:ilvl="1" w:tplc="92BE0570">
      <w:start w:val="1"/>
      <w:numFmt w:val="lowerLetter"/>
      <w:lvlText w:val="(%2)"/>
      <w:lvlJc w:val="left"/>
      <w:pPr>
        <w:ind w:left="1080" w:hanging="360"/>
      </w:pPr>
      <w:rPr>
        <w:rFonts w:hint="default"/>
      </w:rPr>
    </w:lvl>
    <w:lvl w:ilvl="2" w:tplc="B156B2C8">
      <w:start w:val="1"/>
      <w:numFmt w:val="lowerRoman"/>
      <w:lvlText w:val="(%3)"/>
      <w:lvlJc w:val="right"/>
      <w:pPr>
        <w:ind w:left="1800" w:hanging="18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6AE6403"/>
    <w:multiLevelType w:val="hybridMultilevel"/>
    <w:tmpl w:val="0CF0B798"/>
    <w:lvl w:ilvl="0" w:tplc="0C090001">
      <w:start w:val="1"/>
      <w:numFmt w:val="bullet"/>
      <w:lvlText w:val=""/>
      <w:lvlJc w:val="left"/>
      <w:pPr>
        <w:ind w:left="1299" w:hanging="360"/>
      </w:pPr>
      <w:rPr>
        <w:rFonts w:ascii="Symbol" w:hAnsi="Symbol" w:hint="default"/>
      </w:rPr>
    </w:lvl>
    <w:lvl w:ilvl="1" w:tplc="0C090003" w:tentative="1">
      <w:start w:val="1"/>
      <w:numFmt w:val="bullet"/>
      <w:lvlText w:val="o"/>
      <w:lvlJc w:val="left"/>
      <w:pPr>
        <w:ind w:left="2019" w:hanging="360"/>
      </w:pPr>
      <w:rPr>
        <w:rFonts w:ascii="Courier New" w:hAnsi="Courier New" w:cs="Courier New" w:hint="default"/>
      </w:rPr>
    </w:lvl>
    <w:lvl w:ilvl="2" w:tplc="0C090005" w:tentative="1">
      <w:start w:val="1"/>
      <w:numFmt w:val="bullet"/>
      <w:lvlText w:val=""/>
      <w:lvlJc w:val="left"/>
      <w:pPr>
        <w:ind w:left="2739" w:hanging="360"/>
      </w:pPr>
      <w:rPr>
        <w:rFonts w:ascii="Wingdings" w:hAnsi="Wingdings" w:hint="default"/>
      </w:rPr>
    </w:lvl>
    <w:lvl w:ilvl="3" w:tplc="0C090001" w:tentative="1">
      <w:start w:val="1"/>
      <w:numFmt w:val="bullet"/>
      <w:lvlText w:val=""/>
      <w:lvlJc w:val="left"/>
      <w:pPr>
        <w:ind w:left="3459" w:hanging="360"/>
      </w:pPr>
      <w:rPr>
        <w:rFonts w:ascii="Symbol" w:hAnsi="Symbol" w:hint="default"/>
      </w:rPr>
    </w:lvl>
    <w:lvl w:ilvl="4" w:tplc="0C090003" w:tentative="1">
      <w:start w:val="1"/>
      <w:numFmt w:val="bullet"/>
      <w:lvlText w:val="o"/>
      <w:lvlJc w:val="left"/>
      <w:pPr>
        <w:ind w:left="4179" w:hanging="360"/>
      </w:pPr>
      <w:rPr>
        <w:rFonts w:ascii="Courier New" w:hAnsi="Courier New" w:cs="Courier New" w:hint="default"/>
      </w:rPr>
    </w:lvl>
    <w:lvl w:ilvl="5" w:tplc="0C090005" w:tentative="1">
      <w:start w:val="1"/>
      <w:numFmt w:val="bullet"/>
      <w:lvlText w:val=""/>
      <w:lvlJc w:val="left"/>
      <w:pPr>
        <w:ind w:left="4899" w:hanging="360"/>
      </w:pPr>
      <w:rPr>
        <w:rFonts w:ascii="Wingdings" w:hAnsi="Wingdings" w:hint="default"/>
      </w:rPr>
    </w:lvl>
    <w:lvl w:ilvl="6" w:tplc="0C090001" w:tentative="1">
      <w:start w:val="1"/>
      <w:numFmt w:val="bullet"/>
      <w:lvlText w:val=""/>
      <w:lvlJc w:val="left"/>
      <w:pPr>
        <w:ind w:left="5619" w:hanging="360"/>
      </w:pPr>
      <w:rPr>
        <w:rFonts w:ascii="Symbol" w:hAnsi="Symbol" w:hint="default"/>
      </w:rPr>
    </w:lvl>
    <w:lvl w:ilvl="7" w:tplc="0C090003" w:tentative="1">
      <w:start w:val="1"/>
      <w:numFmt w:val="bullet"/>
      <w:lvlText w:val="o"/>
      <w:lvlJc w:val="left"/>
      <w:pPr>
        <w:ind w:left="6339" w:hanging="360"/>
      </w:pPr>
      <w:rPr>
        <w:rFonts w:ascii="Courier New" w:hAnsi="Courier New" w:cs="Courier New" w:hint="default"/>
      </w:rPr>
    </w:lvl>
    <w:lvl w:ilvl="8" w:tplc="0C090005" w:tentative="1">
      <w:start w:val="1"/>
      <w:numFmt w:val="bullet"/>
      <w:lvlText w:val=""/>
      <w:lvlJc w:val="left"/>
      <w:pPr>
        <w:ind w:left="7059" w:hanging="360"/>
      </w:pPr>
      <w:rPr>
        <w:rFonts w:ascii="Wingdings" w:hAnsi="Wingdings" w:hint="default"/>
      </w:rPr>
    </w:lvl>
  </w:abstractNum>
  <w:abstractNum w:abstractNumId="12" w15:restartNumberingAfterBreak="0">
    <w:nsid w:val="07AD2804"/>
    <w:multiLevelType w:val="multilevel"/>
    <w:tmpl w:val="EE0610B6"/>
    <w:lvl w:ilvl="0">
      <w:start w:val="1"/>
      <w:numFmt w:val="decimal"/>
      <w:pStyle w:val="BodyText"/>
      <w:lvlText w:val="%1"/>
      <w:lvlJc w:val="left"/>
      <w:pPr>
        <w:tabs>
          <w:tab w:val="num" w:pos="567"/>
        </w:tabs>
        <w:ind w:left="567" w:hanging="567"/>
      </w:pPr>
      <w:rPr>
        <w:rFonts w:ascii="Times New Roman Bold" w:hAnsi="Times New Roman Bold" w:hint="default"/>
        <w:b/>
        <w:i w:val="0"/>
        <w:sz w:val="24"/>
        <w:szCs w:val="24"/>
      </w:rPr>
    </w:lvl>
    <w:lvl w:ilvl="1">
      <w:start w:val="1"/>
      <w:numFmt w:val="decimal"/>
      <w:isLgl/>
      <w:lvlText w:val="%1.%2"/>
      <w:lvlJc w:val="left"/>
      <w:pPr>
        <w:tabs>
          <w:tab w:val="num" w:pos="936"/>
        </w:tabs>
        <w:ind w:left="936" w:hanging="576"/>
      </w:pPr>
      <w:rPr>
        <w:rFonts w:ascii="Trebuchet MS" w:hAnsi="Trebuchet MS" w:hint="default"/>
        <w:b/>
        <w:i w:val="0"/>
        <w:sz w:val="24"/>
        <w:szCs w:val="24"/>
      </w:rPr>
    </w:lvl>
    <w:lvl w:ilvl="2">
      <w:start w:val="1"/>
      <w:numFmt w:val="decimal"/>
      <w:lvlText w:val="1%1.%2.%3"/>
      <w:lvlJc w:val="left"/>
      <w:pPr>
        <w:tabs>
          <w:tab w:val="num" w:pos="1080"/>
        </w:tabs>
        <w:ind w:left="1080" w:hanging="720"/>
      </w:pPr>
      <w:rPr>
        <w:rFonts w:ascii="Trebuchet MS" w:hAnsi="Trebuchet MS" w:hint="default"/>
        <w:b/>
        <w:i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i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3" w15:restartNumberingAfterBreak="0">
    <w:nsid w:val="08DF0A75"/>
    <w:multiLevelType w:val="multilevel"/>
    <w:tmpl w:val="D90AFC2A"/>
    <w:lvl w:ilvl="0">
      <w:start w:val="1"/>
      <w:numFmt w:val="decimal"/>
      <w:lvlRestart w:val="0"/>
      <w:lvlText w:val="%1,"/>
      <w:lvlJc w:val="left"/>
      <w:pPr>
        <w:tabs>
          <w:tab w:val="num" w:pos="567"/>
        </w:tabs>
        <w:ind w:left="567"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14" w15:restartNumberingAfterBreak="0">
    <w:nsid w:val="107D3063"/>
    <w:multiLevelType w:val="multilevel"/>
    <w:tmpl w:val="808C1ED0"/>
    <w:lvl w:ilvl="0">
      <w:start w:val="1"/>
      <w:numFmt w:val="decimal"/>
      <w:lvlRestart w:val="0"/>
      <w:lvlText w:val="%1,"/>
      <w:lvlJc w:val="left"/>
      <w:pPr>
        <w:tabs>
          <w:tab w:val="num" w:pos="567"/>
        </w:tabs>
        <w:ind w:left="567" w:hanging="567"/>
      </w:pPr>
      <w:rPr>
        <w:rFonts w:hint="default"/>
        <w:b w:val="0"/>
        <w:i w:val="0"/>
        <w:sz w:val="24"/>
        <w:szCs w:val="24"/>
      </w:rPr>
    </w:lvl>
    <w:lvl w:ilvl="1">
      <w:start w:val="1"/>
      <w:numFmt w:val="lowerLetter"/>
      <w:lvlText w:val="(%2),"/>
      <w:lvlJc w:val="left"/>
      <w:pPr>
        <w:tabs>
          <w:tab w:val="num" w:pos="720"/>
        </w:tabs>
        <w:ind w:left="720" w:hanging="363"/>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15" w15:restartNumberingAfterBreak="0">
    <w:nsid w:val="10AA7443"/>
    <w:multiLevelType w:val="multilevel"/>
    <w:tmpl w:val="8ED86608"/>
    <w:lvl w:ilvl="0">
      <w:start w:val="1"/>
      <w:numFmt w:val="lowerRoman"/>
      <w:lvlRestart w:val="0"/>
      <w:lvlText w:val="(%1),"/>
      <w:lvlJc w:val="left"/>
      <w:pPr>
        <w:tabs>
          <w:tab w:val="num" w:pos="1701"/>
        </w:tabs>
        <w:ind w:left="1701"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16" w15:restartNumberingAfterBreak="0">
    <w:nsid w:val="10CD3F1B"/>
    <w:multiLevelType w:val="hybridMultilevel"/>
    <w:tmpl w:val="700611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23D57DB"/>
    <w:multiLevelType w:val="multilevel"/>
    <w:tmpl w:val="8BC8E254"/>
    <w:lvl w:ilvl="0">
      <w:start w:val="1"/>
      <w:numFmt w:val="decimal"/>
      <w:lvlRestart w:val="0"/>
      <w:lvlText w:val="%1,"/>
      <w:lvlJc w:val="left"/>
      <w:pPr>
        <w:tabs>
          <w:tab w:val="num" w:pos="567"/>
        </w:tabs>
        <w:ind w:left="567" w:hanging="567"/>
      </w:pPr>
      <w:rPr>
        <w:rFonts w:hint="default"/>
        <w:b w:val="0"/>
        <w:i w:val="0"/>
        <w:sz w:val="24"/>
        <w:szCs w:val="24"/>
      </w:rPr>
    </w:lvl>
    <w:lvl w:ilvl="1">
      <w:start w:val="1"/>
      <w:numFmt w:val="lowerLetter"/>
      <w:lvlText w:val="%2)"/>
      <w:lvlJc w:val="left"/>
      <w:pPr>
        <w:tabs>
          <w:tab w:val="num" w:pos="720"/>
        </w:tabs>
        <w:ind w:left="720" w:hanging="363"/>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18" w15:restartNumberingAfterBreak="0">
    <w:nsid w:val="16463545"/>
    <w:multiLevelType w:val="multilevel"/>
    <w:tmpl w:val="130E79A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E887038"/>
    <w:multiLevelType w:val="multilevel"/>
    <w:tmpl w:val="F0129384"/>
    <w:lvl w:ilvl="0">
      <w:start w:val="1"/>
      <w:numFmt w:val="lowerRoman"/>
      <w:lvlRestart w:val="0"/>
      <w:lvlText w:val="(%1),"/>
      <w:lvlJc w:val="left"/>
      <w:pPr>
        <w:tabs>
          <w:tab w:val="num" w:pos="1701"/>
        </w:tabs>
        <w:ind w:left="1701"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0" w15:restartNumberingAfterBreak="0">
    <w:nsid w:val="29F83FE6"/>
    <w:multiLevelType w:val="hybridMultilevel"/>
    <w:tmpl w:val="4A3435B0"/>
    <w:lvl w:ilvl="0" w:tplc="0C090001">
      <w:start w:val="1"/>
      <w:numFmt w:val="bullet"/>
      <w:lvlText w:val=""/>
      <w:lvlJc w:val="left"/>
      <w:pPr>
        <w:ind w:left="527" w:hanging="360"/>
      </w:pPr>
      <w:rPr>
        <w:rFonts w:ascii="Symbol" w:hAnsi="Symbol" w:hint="default"/>
      </w:rPr>
    </w:lvl>
    <w:lvl w:ilvl="1" w:tplc="0C090003" w:tentative="1">
      <w:start w:val="1"/>
      <w:numFmt w:val="bullet"/>
      <w:lvlText w:val="o"/>
      <w:lvlJc w:val="left"/>
      <w:pPr>
        <w:ind w:left="1247" w:hanging="360"/>
      </w:pPr>
      <w:rPr>
        <w:rFonts w:ascii="Courier New" w:hAnsi="Courier New" w:cs="Courier New" w:hint="default"/>
      </w:rPr>
    </w:lvl>
    <w:lvl w:ilvl="2" w:tplc="0C090005" w:tentative="1">
      <w:start w:val="1"/>
      <w:numFmt w:val="bullet"/>
      <w:lvlText w:val=""/>
      <w:lvlJc w:val="left"/>
      <w:pPr>
        <w:ind w:left="1967" w:hanging="360"/>
      </w:pPr>
      <w:rPr>
        <w:rFonts w:ascii="Wingdings" w:hAnsi="Wingdings" w:hint="default"/>
      </w:rPr>
    </w:lvl>
    <w:lvl w:ilvl="3" w:tplc="0C090001" w:tentative="1">
      <w:start w:val="1"/>
      <w:numFmt w:val="bullet"/>
      <w:lvlText w:val=""/>
      <w:lvlJc w:val="left"/>
      <w:pPr>
        <w:ind w:left="2687" w:hanging="360"/>
      </w:pPr>
      <w:rPr>
        <w:rFonts w:ascii="Symbol" w:hAnsi="Symbol" w:hint="default"/>
      </w:rPr>
    </w:lvl>
    <w:lvl w:ilvl="4" w:tplc="0C090003" w:tentative="1">
      <w:start w:val="1"/>
      <w:numFmt w:val="bullet"/>
      <w:lvlText w:val="o"/>
      <w:lvlJc w:val="left"/>
      <w:pPr>
        <w:ind w:left="3407" w:hanging="360"/>
      </w:pPr>
      <w:rPr>
        <w:rFonts w:ascii="Courier New" w:hAnsi="Courier New" w:cs="Courier New" w:hint="default"/>
      </w:rPr>
    </w:lvl>
    <w:lvl w:ilvl="5" w:tplc="0C090005" w:tentative="1">
      <w:start w:val="1"/>
      <w:numFmt w:val="bullet"/>
      <w:lvlText w:val=""/>
      <w:lvlJc w:val="left"/>
      <w:pPr>
        <w:ind w:left="4127" w:hanging="360"/>
      </w:pPr>
      <w:rPr>
        <w:rFonts w:ascii="Wingdings" w:hAnsi="Wingdings" w:hint="default"/>
      </w:rPr>
    </w:lvl>
    <w:lvl w:ilvl="6" w:tplc="0C090001" w:tentative="1">
      <w:start w:val="1"/>
      <w:numFmt w:val="bullet"/>
      <w:lvlText w:val=""/>
      <w:lvlJc w:val="left"/>
      <w:pPr>
        <w:ind w:left="4847" w:hanging="360"/>
      </w:pPr>
      <w:rPr>
        <w:rFonts w:ascii="Symbol" w:hAnsi="Symbol" w:hint="default"/>
      </w:rPr>
    </w:lvl>
    <w:lvl w:ilvl="7" w:tplc="0C090003" w:tentative="1">
      <w:start w:val="1"/>
      <w:numFmt w:val="bullet"/>
      <w:lvlText w:val="o"/>
      <w:lvlJc w:val="left"/>
      <w:pPr>
        <w:ind w:left="5567" w:hanging="360"/>
      </w:pPr>
      <w:rPr>
        <w:rFonts w:ascii="Courier New" w:hAnsi="Courier New" w:cs="Courier New" w:hint="default"/>
      </w:rPr>
    </w:lvl>
    <w:lvl w:ilvl="8" w:tplc="0C090005" w:tentative="1">
      <w:start w:val="1"/>
      <w:numFmt w:val="bullet"/>
      <w:lvlText w:val=""/>
      <w:lvlJc w:val="left"/>
      <w:pPr>
        <w:ind w:left="6287" w:hanging="360"/>
      </w:pPr>
      <w:rPr>
        <w:rFonts w:ascii="Wingdings" w:hAnsi="Wingdings" w:hint="default"/>
      </w:rPr>
    </w:lvl>
  </w:abstractNum>
  <w:abstractNum w:abstractNumId="21" w15:restartNumberingAfterBreak="0">
    <w:nsid w:val="31F13081"/>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702120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C97C94"/>
    <w:multiLevelType w:val="multilevel"/>
    <w:tmpl w:val="2C528B06"/>
    <w:lvl w:ilvl="0">
      <w:start w:val="1"/>
      <w:numFmt w:val="lowerLetter"/>
      <w:lvlRestart w:val="0"/>
      <w:lvlText w:val="(%1),"/>
      <w:lvlJc w:val="left"/>
      <w:pPr>
        <w:tabs>
          <w:tab w:val="num" w:pos="1134"/>
        </w:tabs>
        <w:ind w:left="1134"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5" w15:restartNumberingAfterBreak="0">
    <w:nsid w:val="4A723CF6"/>
    <w:multiLevelType w:val="multilevel"/>
    <w:tmpl w:val="7A8AA1C8"/>
    <w:lvl w:ilvl="0">
      <w:start w:val="1"/>
      <w:numFmt w:val="decimal"/>
      <w:lvlRestart w:val="0"/>
      <w:pStyle w:val="BodyText1"/>
      <w:lvlText w:val="%1."/>
      <w:lvlJc w:val="left"/>
      <w:pPr>
        <w:tabs>
          <w:tab w:val="num" w:pos="567"/>
        </w:tabs>
        <w:ind w:left="567" w:hanging="567"/>
      </w:pPr>
      <w:rPr>
        <w:rFonts w:hint="default"/>
        <w:b w:val="0"/>
        <w:i w:val="0"/>
        <w:sz w:val="24"/>
        <w:szCs w:val="24"/>
      </w:rPr>
    </w:lvl>
    <w:lvl w:ilvl="1">
      <w:start w:val="1"/>
      <w:numFmt w:val="lowerLetter"/>
      <w:pStyle w:val="BodyText2"/>
      <w:lvlText w:val="(%2)"/>
      <w:lvlJc w:val="left"/>
      <w:pPr>
        <w:tabs>
          <w:tab w:val="num" w:pos="1134"/>
        </w:tabs>
        <w:ind w:left="1134" w:hanging="567"/>
      </w:pPr>
      <w:rPr>
        <w:rFonts w:hint="default"/>
        <w:b w:val="0"/>
        <w:i w:val="0"/>
        <w:sz w:val="24"/>
        <w:szCs w:val="24"/>
      </w:rPr>
    </w:lvl>
    <w:lvl w:ilvl="2">
      <w:start w:val="1"/>
      <w:numFmt w:val="lowerRoman"/>
      <w:pStyle w:val="BodyText3"/>
      <w:lvlText w:val="(%3)"/>
      <w:lvlJc w:val="left"/>
      <w:pPr>
        <w:tabs>
          <w:tab w:val="num" w:pos="1701"/>
        </w:tabs>
        <w:ind w:left="1701" w:hanging="56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6" w15:restartNumberingAfterBreak="0">
    <w:nsid w:val="538A14A8"/>
    <w:multiLevelType w:val="hybridMultilevel"/>
    <w:tmpl w:val="654812A2"/>
    <w:lvl w:ilvl="0" w:tplc="41907E00">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E553573"/>
    <w:multiLevelType w:val="multilevel"/>
    <w:tmpl w:val="09F0B514"/>
    <w:lvl w:ilvl="0">
      <w:start w:val="1"/>
      <w:numFmt w:val="lowerRoman"/>
      <w:lvlRestart w:val="0"/>
      <w:lvlText w:val="(%1),"/>
      <w:lvlJc w:val="left"/>
      <w:pPr>
        <w:tabs>
          <w:tab w:val="num" w:pos="1701"/>
        </w:tabs>
        <w:ind w:left="1701"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8" w15:restartNumberingAfterBreak="0">
    <w:nsid w:val="63D36CBF"/>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C411E8D"/>
    <w:multiLevelType w:val="multilevel"/>
    <w:tmpl w:val="D90AFC2A"/>
    <w:lvl w:ilvl="0">
      <w:start w:val="1"/>
      <w:numFmt w:val="decimal"/>
      <w:lvlRestart w:val="0"/>
      <w:lvlText w:val="%1,"/>
      <w:lvlJc w:val="left"/>
      <w:pPr>
        <w:tabs>
          <w:tab w:val="num" w:pos="567"/>
        </w:tabs>
        <w:ind w:left="567" w:hanging="567"/>
      </w:pPr>
      <w:rPr>
        <w:rFonts w:hint="default"/>
        <w:b w:val="0"/>
        <w:i w:val="0"/>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077"/>
        </w:tabs>
        <w:ind w:left="1077" w:hanging="357"/>
      </w:pPr>
      <w:rPr>
        <w:rFonts w:hint="default"/>
        <w:b w:val="0"/>
        <w:i w:val="0"/>
        <w:sz w:val="24"/>
        <w:szCs w:val="24"/>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b/>
        <w:i w:val="0"/>
        <w:sz w:val="24"/>
        <w:szCs w:val="24"/>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num w:numId="1">
    <w:abstractNumId w:val="12"/>
  </w:num>
  <w:num w:numId="2">
    <w:abstractNumId w:val="2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num>
  <w:num w:numId="14">
    <w:abstractNumId w:val="29"/>
  </w:num>
  <w:num w:numId="15">
    <w:abstractNumId w:val="13"/>
  </w:num>
  <w:num w:numId="16">
    <w:abstractNumId w:val="19"/>
  </w:num>
  <w:num w:numId="17">
    <w:abstractNumId w:val="15"/>
  </w:num>
  <w:num w:numId="18">
    <w:abstractNumId w:val="27"/>
  </w:num>
  <w:num w:numId="19">
    <w:abstractNumId w:val="22"/>
  </w:num>
  <w:num w:numId="20">
    <w:abstractNumId w:val="17"/>
  </w:num>
  <w:num w:numId="21">
    <w:abstractNumId w:val="14"/>
  </w:num>
  <w:num w:numId="22">
    <w:abstractNumId w:val="21"/>
  </w:num>
  <w:num w:numId="23">
    <w:abstractNumId w:val="28"/>
  </w:num>
  <w:num w:numId="24">
    <w:abstractNumId w:val="16"/>
  </w:num>
  <w:num w:numId="25">
    <w:abstractNumId w:val="10"/>
  </w:num>
  <w:num w:numId="26">
    <w:abstractNumId w:val="11"/>
  </w:num>
  <w:num w:numId="27">
    <w:abstractNumId w:val="23"/>
  </w:num>
  <w:num w:numId="28">
    <w:abstractNumId w:val="18"/>
  </w:num>
  <w:num w:numId="29">
    <w:abstractNumId w:val="2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604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D9"/>
    <w:rsid w:val="00006A3C"/>
    <w:rsid w:val="0001068E"/>
    <w:rsid w:val="000111B4"/>
    <w:rsid w:val="00012E86"/>
    <w:rsid w:val="00014995"/>
    <w:rsid w:val="000149B3"/>
    <w:rsid w:val="0002577B"/>
    <w:rsid w:val="000369DB"/>
    <w:rsid w:val="000529B3"/>
    <w:rsid w:val="0005417C"/>
    <w:rsid w:val="0005517E"/>
    <w:rsid w:val="00060CE2"/>
    <w:rsid w:val="000626C2"/>
    <w:rsid w:val="00064B64"/>
    <w:rsid w:val="00071885"/>
    <w:rsid w:val="00073199"/>
    <w:rsid w:val="000759F4"/>
    <w:rsid w:val="00075B69"/>
    <w:rsid w:val="00085049"/>
    <w:rsid w:val="00093B90"/>
    <w:rsid w:val="00097A32"/>
    <w:rsid w:val="000A0708"/>
    <w:rsid w:val="000A50F1"/>
    <w:rsid w:val="000A70D0"/>
    <w:rsid w:val="000A78CE"/>
    <w:rsid w:val="000B0306"/>
    <w:rsid w:val="000B28D2"/>
    <w:rsid w:val="000B74C3"/>
    <w:rsid w:val="000D01C2"/>
    <w:rsid w:val="000D507B"/>
    <w:rsid w:val="000D51C4"/>
    <w:rsid w:val="000F0793"/>
    <w:rsid w:val="000F0F80"/>
    <w:rsid w:val="000F7F36"/>
    <w:rsid w:val="001013EC"/>
    <w:rsid w:val="001028F5"/>
    <w:rsid w:val="001036C7"/>
    <w:rsid w:val="00103C95"/>
    <w:rsid w:val="0011089A"/>
    <w:rsid w:val="00110938"/>
    <w:rsid w:val="001123D8"/>
    <w:rsid w:val="00117722"/>
    <w:rsid w:val="00117F0E"/>
    <w:rsid w:val="00121DA9"/>
    <w:rsid w:val="00125796"/>
    <w:rsid w:val="001270B8"/>
    <w:rsid w:val="00127CC6"/>
    <w:rsid w:val="001301D5"/>
    <w:rsid w:val="00131BF0"/>
    <w:rsid w:val="00134924"/>
    <w:rsid w:val="001372F7"/>
    <w:rsid w:val="0015290B"/>
    <w:rsid w:val="00155AB7"/>
    <w:rsid w:val="001617AB"/>
    <w:rsid w:val="00166AA9"/>
    <w:rsid w:val="0016709F"/>
    <w:rsid w:val="0016772B"/>
    <w:rsid w:val="00173AA5"/>
    <w:rsid w:val="001749D7"/>
    <w:rsid w:val="001758CA"/>
    <w:rsid w:val="00175D16"/>
    <w:rsid w:val="00181C09"/>
    <w:rsid w:val="00182453"/>
    <w:rsid w:val="001828FE"/>
    <w:rsid w:val="00182A8B"/>
    <w:rsid w:val="0018567E"/>
    <w:rsid w:val="00194DDB"/>
    <w:rsid w:val="001A4C22"/>
    <w:rsid w:val="001B385A"/>
    <w:rsid w:val="001B6556"/>
    <w:rsid w:val="001B7A90"/>
    <w:rsid w:val="001C6FF0"/>
    <w:rsid w:val="001D019E"/>
    <w:rsid w:val="001D279C"/>
    <w:rsid w:val="001D6245"/>
    <w:rsid w:val="001E055E"/>
    <w:rsid w:val="001E653D"/>
    <w:rsid w:val="001E7A80"/>
    <w:rsid w:val="001F1C90"/>
    <w:rsid w:val="002004FE"/>
    <w:rsid w:val="00201A34"/>
    <w:rsid w:val="002037BC"/>
    <w:rsid w:val="00203F3B"/>
    <w:rsid w:val="002053A8"/>
    <w:rsid w:val="00213257"/>
    <w:rsid w:val="00214682"/>
    <w:rsid w:val="002271A5"/>
    <w:rsid w:val="00227CB9"/>
    <w:rsid w:val="00230467"/>
    <w:rsid w:val="00233B24"/>
    <w:rsid w:val="002350B6"/>
    <w:rsid w:val="002379D5"/>
    <w:rsid w:val="002404B7"/>
    <w:rsid w:val="00260FA0"/>
    <w:rsid w:val="0026268B"/>
    <w:rsid w:val="00263C16"/>
    <w:rsid w:val="00265A58"/>
    <w:rsid w:val="00265E0E"/>
    <w:rsid w:val="0027025A"/>
    <w:rsid w:val="00272149"/>
    <w:rsid w:val="00281F0D"/>
    <w:rsid w:val="0028211A"/>
    <w:rsid w:val="00285EFC"/>
    <w:rsid w:val="002A1DF9"/>
    <w:rsid w:val="002B1A94"/>
    <w:rsid w:val="002B1D05"/>
    <w:rsid w:val="002B3C48"/>
    <w:rsid w:val="002B492A"/>
    <w:rsid w:val="002C13CA"/>
    <w:rsid w:val="002C503F"/>
    <w:rsid w:val="002D1D90"/>
    <w:rsid w:val="002D6B2F"/>
    <w:rsid w:val="002F0AC1"/>
    <w:rsid w:val="002F4EFB"/>
    <w:rsid w:val="002F70E8"/>
    <w:rsid w:val="003002DD"/>
    <w:rsid w:val="0030055E"/>
    <w:rsid w:val="00304599"/>
    <w:rsid w:val="00307659"/>
    <w:rsid w:val="00321FCD"/>
    <w:rsid w:val="003272F8"/>
    <w:rsid w:val="00327FDC"/>
    <w:rsid w:val="0033122D"/>
    <w:rsid w:val="0033197C"/>
    <w:rsid w:val="003354DD"/>
    <w:rsid w:val="003429F3"/>
    <w:rsid w:val="00343FEC"/>
    <w:rsid w:val="00344F48"/>
    <w:rsid w:val="003475EC"/>
    <w:rsid w:val="00351F8D"/>
    <w:rsid w:val="00352491"/>
    <w:rsid w:val="00360A3C"/>
    <w:rsid w:val="00363A97"/>
    <w:rsid w:val="00366520"/>
    <w:rsid w:val="00367516"/>
    <w:rsid w:val="00371248"/>
    <w:rsid w:val="003721F8"/>
    <w:rsid w:val="003723BF"/>
    <w:rsid w:val="003745DC"/>
    <w:rsid w:val="003746A4"/>
    <w:rsid w:val="003757E3"/>
    <w:rsid w:val="00376841"/>
    <w:rsid w:val="00377952"/>
    <w:rsid w:val="00377C34"/>
    <w:rsid w:val="00380C7E"/>
    <w:rsid w:val="003810AD"/>
    <w:rsid w:val="00384941"/>
    <w:rsid w:val="0039376F"/>
    <w:rsid w:val="00394380"/>
    <w:rsid w:val="0039518C"/>
    <w:rsid w:val="00397858"/>
    <w:rsid w:val="00397D43"/>
    <w:rsid w:val="003A12A4"/>
    <w:rsid w:val="003A6772"/>
    <w:rsid w:val="003B0F3B"/>
    <w:rsid w:val="003B7543"/>
    <w:rsid w:val="003C1DCF"/>
    <w:rsid w:val="003C5FE0"/>
    <w:rsid w:val="003C7A7E"/>
    <w:rsid w:val="003D077F"/>
    <w:rsid w:val="003D0840"/>
    <w:rsid w:val="003D1F7D"/>
    <w:rsid w:val="003D2D00"/>
    <w:rsid w:val="003D3991"/>
    <w:rsid w:val="003D6D6C"/>
    <w:rsid w:val="003D77A1"/>
    <w:rsid w:val="003D7FF1"/>
    <w:rsid w:val="003E3360"/>
    <w:rsid w:val="003E3D12"/>
    <w:rsid w:val="003E5C7D"/>
    <w:rsid w:val="003E61D8"/>
    <w:rsid w:val="003F0314"/>
    <w:rsid w:val="003F1E49"/>
    <w:rsid w:val="003F7F31"/>
    <w:rsid w:val="004060AF"/>
    <w:rsid w:val="00415544"/>
    <w:rsid w:val="00415FEB"/>
    <w:rsid w:val="00427C46"/>
    <w:rsid w:val="004360EB"/>
    <w:rsid w:val="00436298"/>
    <w:rsid w:val="00437787"/>
    <w:rsid w:val="0044113F"/>
    <w:rsid w:val="00443063"/>
    <w:rsid w:val="00445306"/>
    <w:rsid w:val="0044534A"/>
    <w:rsid w:val="0045203D"/>
    <w:rsid w:val="004555DB"/>
    <w:rsid w:val="00464D85"/>
    <w:rsid w:val="0047618D"/>
    <w:rsid w:val="00481EF8"/>
    <w:rsid w:val="00491695"/>
    <w:rsid w:val="00495A40"/>
    <w:rsid w:val="004979F4"/>
    <w:rsid w:val="004A6128"/>
    <w:rsid w:val="004A6E03"/>
    <w:rsid w:val="004C0DA3"/>
    <w:rsid w:val="004C634D"/>
    <w:rsid w:val="004D5FD9"/>
    <w:rsid w:val="004D703A"/>
    <w:rsid w:val="004D7902"/>
    <w:rsid w:val="004E045A"/>
    <w:rsid w:val="004E1E67"/>
    <w:rsid w:val="004E2AC9"/>
    <w:rsid w:val="004E2E12"/>
    <w:rsid w:val="004E3A5E"/>
    <w:rsid w:val="004E67DD"/>
    <w:rsid w:val="00503946"/>
    <w:rsid w:val="00510EF4"/>
    <w:rsid w:val="00512D89"/>
    <w:rsid w:val="00513DBB"/>
    <w:rsid w:val="005249FA"/>
    <w:rsid w:val="00524FEE"/>
    <w:rsid w:val="005257EA"/>
    <w:rsid w:val="00531493"/>
    <w:rsid w:val="00534037"/>
    <w:rsid w:val="00537280"/>
    <w:rsid w:val="005411A3"/>
    <w:rsid w:val="00546FA6"/>
    <w:rsid w:val="005507CB"/>
    <w:rsid w:val="005509BC"/>
    <w:rsid w:val="00551A7B"/>
    <w:rsid w:val="00557959"/>
    <w:rsid w:val="0056618E"/>
    <w:rsid w:val="0057104E"/>
    <w:rsid w:val="00572466"/>
    <w:rsid w:val="00572F99"/>
    <w:rsid w:val="00580410"/>
    <w:rsid w:val="005859CA"/>
    <w:rsid w:val="005900D4"/>
    <w:rsid w:val="005936BD"/>
    <w:rsid w:val="005955EF"/>
    <w:rsid w:val="005A2051"/>
    <w:rsid w:val="005A2380"/>
    <w:rsid w:val="005A5A32"/>
    <w:rsid w:val="005A698D"/>
    <w:rsid w:val="005B5FCE"/>
    <w:rsid w:val="005B6241"/>
    <w:rsid w:val="005C0DEA"/>
    <w:rsid w:val="005C1E60"/>
    <w:rsid w:val="005C2359"/>
    <w:rsid w:val="005C3D95"/>
    <w:rsid w:val="005D0516"/>
    <w:rsid w:val="005D0DD4"/>
    <w:rsid w:val="005D2E21"/>
    <w:rsid w:val="005D59EB"/>
    <w:rsid w:val="005D714A"/>
    <w:rsid w:val="005E1060"/>
    <w:rsid w:val="005E78A3"/>
    <w:rsid w:val="005F3239"/>
    <w:rsid w:val="005F7CAA"/>
    <w:rsid w:val="00602C8D"/>
    <w:rsid w:val="00614CF6"/>
    <w:rsid w:val="0061519A"/>
    <w:rsid w:val="006269FA"/>
    <w:rsid w:val="00634426"/>
    <w:rsid w:val="00637201"/>
    <w:rsid w:val="00641481"/>
    <w:rsid w:val="00642DEB"/>
    <w:rsid w:val="006451D8"/>
    <w:rsid w:val="00646E4F"/>
    <w:rsid w:val="006501D7"/>
    <w:rsid w:val="006513A7"/>
    <w:rsid w:val="00652926"/>
    <w:rsid w:val="00662074"/>
    <w:rsid w:val="0066543B"/>
    <w:rsid w:val="006713F2"/>
    <w:rsid w:val="00671DB1"/>
    <w:rsid w:val="00672E69"/>
    <w:rsid w:val="0067398D"/>
    <w:rsid w:val="00677FE5"/>
    <w:rsid w:val="00681B32"/>
    <w:rsid w:val="00687135"/>
    <w:rsid w:val="006A0B70"/>
    <w:rsid w:val="006A245C"/>
    <w:rsid w:val="006A39D3"/>
    <w:rsid w:val="006A606F"/>
    <w:rsid w:val="006A6C94"/>
    <w:rsid w:val="006B435F"/>
    <w:rsid w:val="006B4730"/>
    <w:rsid w:val="006C0827"/>
    <w:rsid w:val="006C4AF0"/>
    <w:rsid w:val="006D0A63"/>
    <w:rsid w:val="006D15DC"/>
    <w:rsid w:val="006D1F39"/>
    <w:rsid w:val="006D2E6B"/>
    <w:rsid w:val="006D7832"/>
    <w:rsid w:val="006E0F3B"/>
    <w:rsid w:val="006F0821"/>
    <w:rsid w:val="006F1939"/>
    <w:rsid w:val="006F2D65"/>
    <w:rsid w:val="006F43B4"/>
    <w:rsid w:val="007001A8"/>
    <w:rsid w:val="00703577"/>
    <w:rsid w:val="007132E0"/>
    <w:rsid w:val="007134CD"/>
    <w:rsid w:val="0071557E"/>
    <w:rsid w:val="00716484"/>
    <w:rsid w:val="007165BC"/>
    <w:rsid w:val="00720558"/>
    <w:rsid w:val="00720783"/>
    <w:rsid w:val="007219FE"/>
    <w:rsid w:val="00723EA1"/>
    <w:rsid w:val="00731630"/>
    <w:rsid w:val="007351E0"/>
    <w:rsid w:val="0074127A"/>
    <w:rsid w:val="00751000"/>
    <w:rsid w:val="0075260F"/>
    <w:rsid w:val="00753262"/>
    <w:rsid w:val="00753E90"/>
    <w:rsid w:val="00756403"/>
    <w:rsid w:val="00763F35"/>
    <w:rsid w:val="0076513A"/>
    <w:rsid w:val="00767DA3"/>
    <w:rsid w:val="007738E2"/>
    <w:rsid w:val="00775AAC"/>
    <w:rsid w:val="00784031"/>
    <w:rsid w:val="00790D3D"/>
    <w:rsid w:val="007914A6"/>
    <w:rsid w:val="007934D5"/>
    <w:rsid w:val="00793C3D"/>
    <w:rsid w:val="00794A93"/>
    <w:rsid w:val="007B1408"/>
    <w:rsid w:val="007B1C1A"/>
    <w:rsid w:val="007B7C25"/>
    <w:rsid w:val="007B7DA4"/>
    <w:rsid w:val="007C0120"/>
    <w:rsid w:val="007C7A83"/>
    <w:rsid w:val="007D7B37"/>
    <w:rsid w:val="007E1871"/>
    <w:rsid w:val="007E2DB0"/>
    <w:rsid w:val="007E3126"/>
    <w:rsid w:val="007E4B7A"/>
    <w:rsid w:val="007E67A7"/>
    <w:rsid w:val="007F0D74"/>
    <w:rsid w:val="007F2113"/>
    <w:rsid w:val="007F2EE1"/>
    <w:rsid w:val="007F3A76"/>
    <w:rsid w:val="007F604B"/>
    <w:rsid w:val="0080033B"/>
    <w:rsid w:val="008017A9"/>
    <w:rsid w:val="00802F66"/>
    <w:rsid w:val="00807361"/>
    <w:rsid w:val="008075A1"/>
    <w:rsid w:val="00815FD6"/>
    <w:rsid w:val="00821B32"/>
    <w:rsid w:val="00823B8A"/>
    <w:rsid w:val="008320D0"/>
    <w:rsid w:val="0083279F"/>
    <w:rsid w:val="00836966"/>
    <w:rsid w:val="008431E7"/>
    <w:rsid w:val="00847539"/>
    <w:rsid w:val="008502AB"/>
    <w:rsid w:val="00852D9D"/>
    <w:rsid w:val="0085558F"/>
    <w:rsid w:val="00855662"/>
    <w:rsid w:val="00861834"/>
    <w:rsid w:val="008623F4"/>
    <w:rsid w:val="008626EC"/>
    <w:rsid w:val="00862877"/>
    <w:rsid w:val="008631CD"/>
    <w:rsid w:val="00863659"/>
    <w:rsid w:val="00864091"/>
    <w:rsid w:val="0086438F"/>
    <w:rsid w:val="008668B2"/>
    <w:rsid w:val="008722AC"/>
    <w:rsid w:val="00873A9F"/>
    <w:rsid w:val="00876A4A"/>
    <w:rsid w:val="00887C51"/>
    <w:rsid w:val="00890D25"/>
    <w:rsid w:val="00893CB6"/>
    <w:rsid w:val="008973CF"/>
    <w:rsid w:val="008A04B9"/>
    <w:rsid w:val="008A0BA1"/>
    <w:rsid w:val="008A3CA3"/>
    <w:rsid w:val="008A444D"/>
    <w:rsid w:val="008B252E"/>
    <w:rsid w:val="008B2825"/>
    <w:rsid w:val="008C0E04"/>
    <w:rsid w:val="008C119F"/>
    <w:rsid w:val="008D1BDA"/>
    <w:rsid w:val="008E0E8F"/>
    <w:rsid w:val="008E1708"/>
    <w:rsid w:val="008E19C3"/>
    <w:rsid w:val="008E48EE"/>
    <w:rsid w:val="008F1DC5"/>
    <w:rsid w:val="008F6A1A"/>
    <w:rsid w:val="00900492"/>
    <w:rsid w:val="009061FB"/>
    <w:rsid w:val="009127D7"/>
    <w:rsid w:val="00915D05"/>
    <w:rsid w:val="00920CD1"/>
    <w:rsid w:val="00920CD8"/>
    <w:rsid w:val="0092639E"/>
    <w:rsid w:val="00935439"/>
    <w:rsid w:val="009355CE"/>
    <w:rsid w:val="009441AA"/>
    <w:rsid w:val="009442B8"/>
    <w:rsid w:val="00953720"/>
    <w:rsid w:val="009538C2"/>
    <w:rsid w:val="0096346E"/>
    <w:rsid w:val="009639BC"/>
    <w:rsid w:val="00971452"/>
    <w:rsid w:val="00976E68"/>
    <w:rsid w:val="00981AB8"/>
    <w:rsid w:val="009837D9"/>
    <w:rsid w:val="00984585"/>
    <w:rsid w:val="009874A8"/>
    <w:rsid w:val="009913CB"/>
    <w:rsid w:val="00993DD0"/>
    <w:rsid w:val="00995D1F"/>
    <w:rsid w:val="009A08F5"/>
    <w:rsid w:val="009A1304"/>
    <w:rsid w:val="009A1337"/>
    <w:rsid w:val="009A1D72"/>
    <w:rsid w:val="009A2724"/>
    <w:rsid w:val="009B0EE1"/>
    <w:rsid w:val="009B7FFA"/>
    <w:rsid w:val="009C293A"/>
    <w:rsid w:val="009C39CF"/>
    <w:rsid w:val="009C440E"/>
    <w:rsid w:val="009C7BAF"/>
    <w:rsid w:val="009D6836"/>
    <w:rsid w:val="009D6C80"/>
    <w:rsid w:val="009F0790"/>
    <w:rsid w:val="009F09E3"/>
    <w:rsid w:val="009F4257"/>
    <w:rsid w:val="00A00E1D"/>
    <w:rsid w:val="00A03A01"/>
    <w:rsid w:val="00A053BC"/>
    <w:rsid w:val="00A139F7"/>
    <w:rsid w:val="00A2433F"/>
    <w:rsid w:val="00A246F1"/>
    <w:rsid w:val="00A2756A"/>
    <w:rsid w:val="00A32A9E"/>
    <w:rsid w:val="00A4735D"/>
    <w:rsid w:val="00A529C5"/>
    <w:rsid w:val="00A53C02"/>
    <w:rsid w:val="00A63AD5"/>
    <w:rsid w:val="00A649BE"/>
    <w:rsid w:val="00A66A70"/>
    <w:rsid w:val="00A66A83"/>
    <w:rsid w:val="00A6781F"/>
    <w:rsid w:val="00A70104"/>
    <w:rsid w:val="00A72A95"/>
    <w:rsid w:val="00A74A8B"/>
    <w:rsid w:val="00A81B55"/>
    <w:rsid w:val="00A8392B"/>
    <w:rsid w:val="00A86118"/>
    <w:rsid w:val="00AA2841"/>
    <w:rsid w:val="00AA2ADB"/>
    <w:rsid w:val="00AA3078"/>
    <w:rsid w:val="00AB3A70"/>
    <w:rsid w:val="00AB5670"/>
    <w:rsid w:val="00AB6705"/>
    <w:rsid w:val="00AB7324"/>
    <w:rsid w:val="00AB75DD"/>
    <w:rsid w:val="00AB7D6B"/>
    <w:rsid w:val="00AC03B9"/>
    <w:rsid w:val="00AD05BB"/>
    <w:rsid w:val="00AD0C74"/>
    <w:rsid w:val="00AD0EE6"/>
    <w:rsid w:val="00AD0F93"/>
    <w:rsid w:val="00AD1D03"/>
    <w:rsid w:val="00AD7148"/>
    <w:rsid w:val="00AE361E"/>
    <w:rsid w:val="00AE44CD"/>
    <w:rsid w:val="00AE4C68"/>
    <w:rsid w:val="00AE4DBE"/>
    <w:rsid w:val="00AF389A"/>
    <w:rsid w:val="00AF4913"/>
    <w:rsid w:val="00AF54FA"/>
    <w:rsid w:val="00AF58DC"/>
    <w:rsid w:val="00AF607A"/>
    <w:rsid w:val="00AF63C4"/>
    <w:rsid w:val="00B065C8"/>
    <w:rsid w:val="00B12B4F"/>
    <w:rsid w:val="00B13464"/>
    <w:rsid w:val="00B14759"/>
    <w:rsid w:val="00B15BCC"/>
    <w:rsid w:val="00B16A16"/>
    <w:rsid w:val="00B26E20"/>
    <w:rsid w:val="00B27F55"/>
    <w:rsid w:val="00B31546"/>
    <w:rsid w:val="00B35DEB"/>
    <w:rsid w:val="00B40A02"/>
    <w:rsid w:val="00B43AA3"/>
    <w:rsid w:val="00B4598C"/>
    <w:rsid w:val="00B61EB3"/>
    <w:rsid w:val="00B93046"/>
    <w:rsid w:val="00B93A36"/>
    <w:rsid w:val="00B9435D"/>
    <w:rsid w:val="00BA08BB"/>
    <w:rsid w:val="00BA1A81"/>
    <w:rsid w:val="00BA29CC"/>
    <w:rsid w:val="00BA5E1B"/>
    <w:rsid w:val="00BB0FC8"/>
    <w:rsid w:val="00BB5278"/>
    <w:rsid w:val="00BB7913"/>
    <w:rsid w:val="00BB7C62"/>
    <w:rsid w:val="00BC1453"/>
    <w:rsid w:val="00BC6F84"/>
    <w:rsid w:val="00BD00B5"/>
    <w:rsid w:val="00BD12FF"/>
    <w:rsid w:val="00BD624E"/>
    <w:rsid w:val="00BD7B96"/>
    <w:rsid w:val="00BE02D1"/>
    <w:rsid w:val="00BE157F"/>
    <w:rsid w:val="00BE2C50"/>
    <w:rsid w:val="00BE3457"/>
    <w:rsid w:val="00BE6509"/>
    <w:rsid w:val="00BE725A"/>
    <w:rsid w:val="00BE746D"/>
    <w:rsid w:val="00BF3380"/>
    <w:rsid w:val="00C0043C"/>
    <w:rsid w:val="00C00718"/>
    <w:rsid w:val="00C0109D"/>
    <w:rsid w:val="00C02CE0"/>
    <w:rsid w:val="00C104A4"/>
    <w:rsid w:val="00C14021"/>
    <w:rsid w:val="00C17A69"/>
    <w:rsid w:val="00C30C1B"/>
    <w:rsid w:val="00C3187F"/>
    <w:rsid w:val="00C33894"/>
    <w:rsid w:val="00C341B8"/>
    <w:rsid w:val="00C35F14"/>
    <w:rsid w:val="00C365B4"/>
    <w:rsid w:val="00C40DAD"/>
    <w:rsid w:val="00C42BF4"/>
    <w:rsid w:val="00C4419D"/>
    <w:rsid w:val="00C500D7"/>
    <w:rsid w:val="00C52593"/>
    <w:rsid w:val="00C52D64"/>
    <w:rsid w:val="00C57EF2"/>
    <w:rsid w:val="00C7189B"/>
    <w:rsid w:val="00C7240F"/>
    <w:rsid w:val="00C7678F"/>
    <w:rsid w:val="00C81F78"/>
    <w:rsid w:val="00C85D82"/>
    <w:rsid w:val="00C87A1B"/>
    <w:rsid w:val="00C87D45"/>
    <w:rsid w:val="00CA0416"/>
    <w:rsid w:val="00CA2181"/>
    <w:rsid w:val="00CA6AA8"/>
    <w:rsid w:val="00CB12AC"/>
    <w:rsid w:val="00CB768F"/>
    <w:rsid w:val="00CC0440"/>
    <w:rsid w:val="00CC55C4"/>
    <w:rsid w:val="00CD1360"/>
    <w:rsid w:val="00CD5E9A"/>
    <w:rsid w:val="00CE2475"/>
    <w:rsid w:val="00CE58F6"/>
    <w:rsid w:val="00CE7487"/>
    <w:rsid w:val="00D0180B"/>
    <w:rsid w:val="00D01999"/>
    <w:rsid w:val="00D02549"/>
    <w:rsid w:val="00D04D97"/>
    <w:rsid w:val="00D0536D"/>
    <w:rsid w:val="00D06D4B"/>
    <w:rsid w:val="00D1147D"/>
    <w:rsid w:val="00D15F99"/>
    <w:rsid w:val="00D168C7"/>
    <w:rsid w:val="00D169DA"/>
    <w:rsid w:val="00D2568B"/>
    <w:rsid w:val="00D30C2C"/>
    <w:rsid w:val="00D34546"/>
    <w:rsid w:val="00D34C2F"/>
    <w:rsid w:val="00D368E1"/>
    <w:rsid w:val="00D37E9E"/>
    <w:rsid w:val="00D45807"/>
    <w:rsid w:val="00D465B3"/>
    <w:rsid w:val="00D52511"/>
    <w:rsid w:val="00D5251F"/>
    <w:rsid w:val="00D53406"/>
    <w:rsid w:val="00D8455E"/>
    <w:rsid w:val="00D85E85"/>
    <w:rsid w:val="00D91377"/>
    <w:rsid w:val="00D94C40"/>
    <w:rsid w:val="00D957DA"/>
    <w:rsid w:val="00D95B48"/>
    <w:rsid w:val="00DA154C"/>
    <w:rsid w:val="00DA1670"/>
    <w:rsid w:val="00DB056F"/>
    <w:rsid w:val="00DB0BF8"/>
    <w:rsid w:val="00DC3FA7"/>
    <w:rsid w:val="00DC4B28"/>
    <w:rsid w:val="00DD6FCC"/>
    <w:rsid w:val="00DD790A"/>
    <w:rsid w:val="00DE085B"/>
    <w:rsid w:val="00DE2B7F"/>
    <w:rsid w:val="00DF2082"/>
    <w:rsid w:val="00DF242C"/>
    <w:rsid w:val="00DF454D"/>
    <w:rsid w:val="00DF468F"/>
    <w:rsid w:val="00DF476F"/>
    <w:rsid w:val="00DF49DA"/>
    <w:rsid w:val="00E00073"/>
    <w:rsid w:val="00E021F2"/>
    <w:rsid w:val="00E207F8"/>
    <w:rsid w:val="00E21BD9"/>
    <w:rsid w:val="00E22A70"/>
    <w:rsid w:val="00E24084"/>
    <w:rsid w:val="00E24529"/>
    <w:rsid w:val="00E24853"/>
    <w:rsid w:val="00E26725"/>
    <w:rsid w:val="00E3256D"/>
    <w:rsid w:val="00E325F0"/>
    <w:rsid w:val="00E33AD2"/>
    <w:rsid w:val="00E531BD"/>
    <w:rsid w:val="00E55F3E"/>
    <w:rsid w:val="00E56569"/>
    <w:rsid w:val="00E61045"/>
    <w:rsid w:val="00E665E0"/>
    <w:rsid w:val="00E73F95"/>
    <w:rsid w:val="00E827F7"/>
    <w:rsid w:val="00E840D7"/>
    <w:rsid w:val="00E91871"/>
    <w:rsid w:val="00EA2872"/>
    <w:rsid w:val="00EB27EB"/>
    <w:rsid w:val="00EB5086"/>
    <w:rsid w:val="00EB58CE"/>
    <w:rsid w:val="00EC4FCE"/>
    <w:rsid w:val="00EC5169"/>
    <w:rsid w:val="00EC6605"/>
    <w:rsid w:val="00ED28CA"/>
    <w:rsid w:val="00ED745F"/>
    <w:rsid w:val="00ED7CDD"/>
    <w:rsid w:val="00EE2802"/>
    <w:rsid w:val="00EE6B8D"/>
    <w:rsid w:val="00EF0C11"/>
    <w:rsid w:val="00EF7CA9"/>
    <w:rsid w:val="00F01540"/>
    <w:rsid w:val="00F11651"/>
    <w:rsid w:val="00F1216D"/>
    <w:rsid w:val="00F248C2"/>
    <w:rsid w:val="00F25CC0"/>
    <w:rsid w:val="00F27800"/>
    <w:rsid w:val="00F3064D"/>
    <w:rsid w:val="00F32B2F"/>
    <w:rsid w:val="00F41E48"/>
    <w:rsid w:val="00F46E96"/>
    <w:rsid w:val="00F55F3A"/>
    <w:rsid w:val="00F632FE"/>
    <w:rsid w:val="00F66920"/>
    <w:rsid w:val="00F7540D"/>
    <w:rsid w:val="00F81B71"/>
    <w:rsid w:val="00F82F24"/>
    <w:rsid w:val="00F93C3F"/>
    <w:rsid w:val="00F9770F"/>
    <w:rsid w:val="00F97E92"/>
    <w:rsid w:val="00FA1390"/>
    <w:rsid w:val="00FA57CE"/>
    <w:rsid w:val="00FA6298"/>
    <w:rsid w:val="00FA79BB"/>
    <w:rsid w:val="00FC7F1A"/>
    <w:rsid w:val="00FD1E2A"/>
    <w:rsid w:val="00FD20DC"/>
    <w:rsid w:val="00FD7253"/>
    <w:rsid w:val="00FF0D59"/>
    <w:rsid w:val="00FF0E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0417"/>
    <o:shapelayout v:ext="edit">
      <o:idmap v:ext="edit" data="1"/>
    </o:shapelayout>
  </w:shapeDefaults>
  <w:decimalSymbol w:val="."/>
  <w:listSeparator w:val=","/>
  <w14:docId w14:val="77B8E031"/>
  <w15:chartTrackingRefBased/>
  <w15:docId w15:val="{2A9F1D39-721B-41BD-B8CD-04F0C13B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4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FA7"/>
    <w:pPr>
      <w:spacing w:after="240"/>
      <w:jc w:val="both"/>
    </w:pPr>
    <w:rPr>
      <w:sz w:val="24"/>
    </w:rPr>
  </w:style>
  <w:style w:type="paragraph" w:styleId="Heading1">
    <w:name w:val="heading 1"/>
    <w:next w:val="Normal"/>
    <w:qFormat/>
    <w:rsid w:val="002D1D90"/>
    <w:pPr>
      <w:spacing w:before="120" w:after="240"/>
      <w:outlineLvl w:val="0"/>
    </w:pPr>
    <w:rPr>
      <w:rFonts w:ascii="Arial" w:hAnsi="Arial" w:cs="Arial"/>
      <w:b/>
      <w:bCs/>
      <w:sz w:val="40"/>
      <w:szCs w:val="40"/>
    </w:rPr>
  </w:style>
  <w:style w:type="paragraph" w:styleId="Heading2">
    <w:name w:val="heading 2"/>
    <w:basedOn w:val="Normal"/>
    <w:next w:val="Normal"/>
    <w:qFormat/>
    <w:rsid w:val="00B9435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D1D90"/>
    <w:pPr>
      <w:keepNext/>
      <w:spacing w:before="120"/>
      <w:jc w:val="left"/>
      <w:outlineLvl w:val="2"/>
    </w:pPr>
    <w:rPr>
      <w:rFonts w:ascii="Arial" w:hAnsi="Arial" w:cs="Arial"/>
      <w:b/>
      <w:bCs/>
      <w:szCs w:val="26"/>
    </w:rPr>
  </w:style>
  <w:style w:type="paragraph" w:styleId="Heading4">
    <w:name w:val="heading 4"/>
    <w:basedOn w:val="Normal"/>
    <w:next w:val="Normal"/>
    <w:qFormat/>
    <w:rsid w:val="00E24529"/>
    <w:pPr>
      <w:keepNext/>
      <w:spacing w:before="120"/>
      <w:jc w:val="left"/>
      <w:outlineLvl w:val="3"/>
    </w:pPr>
    <w:rPr>
      <w:rFonts w:ascii="Arial" w:hAnsi="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B9435D"/>
    <w:rPr>
      <w:b/>
      <w:sz w:val="26"/>
    </w:rPr>
  </w:style>
  <w:style w:type="paragraph" w:customStyle="1" w:styleId="SubHeading">
    <w:name w:val="Sub Heading"/>
    <w:basedOn w:val="Normal"/>
    <w:rsid w:val="00B9435D"/>
    <w:rPr>
      <w:b/>
    </w:rPr>
  </w:style>
  <w:style w:type="paragraph" w:styleId="Header">
    <w:name w:val="header"/>
    <w:link w:val="HeaderChar"/>
    <w:rsid w:val="00DC3FA7"/>
    <w:pPr>
      <w:tabs>
        <w:tab w:val="center" w:pos="4320"/>
        <w:tab w:val="right" w:pos="8640"/>
      </w:tabs>
      <w:spacing w:before="120" w:after="240"/>
    </w:pPr>
    <w:rPr>
      <w:rFonts w:ascii="Arial" w:hAnsi="Arial"/>
      <w:b/>
      <w:sz w:val="40"/>
    </w:rPr>
  </w:style>
  <w:style w:type="paragraph" w:styleId="Footer">
    <w:name w:val="footer"/>
    <w:basedOn w:val="Normal"/>
    <w:link w:val="FooterChar"/>
    <w:rsid w:val="00DC3FA7"/>
    <w:pPr>
      <w:tabs>
        <w:tab w:val="center" w:pos="4320"/>
        <w:tab w:val="right" w:pos="8640"/>
      </w:tabs>
    </w:pPr>
  </w:style>
  <w:style w:type="character" w:styleId="PageNumber">
    <w:name w:val="page number"/>
    <w:basedOn w:val="DefaultParagraphFont"/>
    <w:rsid w:val="00DC3FA7"/>
  </w:style>
  <w:style w:type="paragraph" w:styleId="BodyText">
    <w:name w:val="Body Text"/>
    <w:aliases w:val="Body text 2"/>
    <w:basedOn w:val="Normal"/>
    <w:rsid w:val="00DC3FA7"/>
    <w:pPr>
      <w:numPr>
        <w:numId w:val="1"/>
      </w:numPr>
      <w:spacing w:after="600"/>
    </w:pPr>
    <w:rPr>
      <w:i/>
      <w:sz w:val="26"/>
    </w:rPr>
  </w:style>
  <w:style w:type="paragraph" w:styleId="FootnoteText">
    <w:name w:val="footnote text"/>
    <w:semiHidden/>
    <w:rsid w:val="00DC3FA7"/>
    <w:pPr>
      <w:jc w:val="both"/>
    </w:pPr>
  </w:style>
  <w:style w:type="table" w:styleId="TableGrid">
    <w:name w:val="Table Grid"/>
    <w:basedOn w:val="TableNormal"/>
    <w:rsid w:val="00DC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
    <w:name w:val="Box"/>
    <w:autoRedefine/>
    <w:rsid w:val="00D5251F"/>
    <w:pPr>
      <w:spacing w:before="120" w:after="360"/>
    </w:pPr>
    <w:rPr>
      <w:rFonts w:ascii="Arial" w:hAnsi="Arial" w:cs="Arial"/>
      <w:b/>
      <w:sz w:val="32"/>
      <w:szCs w:val="32"/>
    </w:rPr>
  </w:style>
  <w:style w:type="paragraph" w:customStyle="1" w:styleId="Bodytext4">
    <w:name w:val="Body text 4"/>
    <w:basedOn w:val="BodyText3"/>
    <w:rsid w:val="00DC3FA7"/>
  </w:style>
  <w:style w:type="paragraph" w:customStyle="1" w:styleId="BodyText1">
    <w:name w:val="Body Text 1"/>
    <w:basedOn w:val="Normal"/>
    <w:link w:val="BodyText1Char"/>
    <w:qFormat/>
    <w:rsid w:val="004D5FD9"/>
    <w:pPr>
      <w:numPr>
        <w:numId w:val="2"/>
      </w:numPr>
    </w:pPr>
  </w:style>
  <w:style w:type="paragraph" w:styleId="BodyText3">
    <w:name w:val="Body Text 3"/>
    <w:basedOn w:val="Normal"/>
    <w:qFormat/>
    <w:rsid w:val="00D01999"/>
    <w:pPr>
      <w:numPr>
        <w:ilvl w:val="2"/>
        <w:numId w:val="2"/>
      </w:numPr>
    </w:pPr>
    <w:rPr>
      <w:szCs w:val="16"/>
    </w:rPr>
  </w:style>
  <w:style w:type="paragraph" w:styleId="BodyText2">
    <w:name w:val="Body Text 2"/>
    <w:basedOn w:val="Normal"/>
    <w:qFormat/>
    <w:rsid w:val="00D01999"/>
    <w:pPr>
      <w:numPr>
        <w:ilvl w:val="1"/>
        <w:numId w:val="2"/>
      </w:numPr>
    </w:pPr>
  </w:style>
  <w:style w:type="paragraph" w:styleId="BodyTextFirstIndent">
    <w:name w:val="Body Text First Indent"/>
    <w:basedOn w:val="BodyText"/>
    <w:rsid w:val="00436298"/>
    <w:pPr>
      <w:numPr>
        <w:numId w:val="0"/>
      </w:numPr>
      <w:spacing w:after="120"/>
      <w:ind w:firstLine="210"/>
    </w:pPr>
    <w:rPr>
      <w:i w:val="0"/>
      <w:sz w:val="24"/>
    </w:rPr>
  </w:style>
  <w:style w:type="paragraph" w:customStyle="1" w:styleId="BoxJustified">
    <w:name w:val="Box Justified"/>
    <w:basedOn w:val="Box"/>
    <w:rsid w:val="00A6781F"/>
    <w:pPr>
      <w:jc w:val="both"/>
    </w:pPr>
  </w:style>
  <w:style w:type="paragraph" w:styleId="BalloonText">
    <w:name w:val="Balloon Text"/>
    <w:basedOn w:val="Normal"/>
    <w:link w:val="BalloonTextChar"/>
    <w:uiPriority w:val="99"/>
    <w:semiHidden/>
    <w:unhideWhenUsed/>
    <w:rsid w:val="00B93A36"/>
    <w:pPr>
      <w:spacing w:after="0"/>
    </w:pPr>
    <w:rPr>
      <w:rFonts w:ascii="Tahoma" w:hAnsi="Tahoma" w:cs="Tahoma"/>
      <w:sz w:val="16"/>
      <w:szCs w:val="16"/>
    </w:rPr>
  </w:style>
  <w:style w:type="paragraph" w:customStyle="1" w:styleId="Heading-2">
    <w:name w:val="Heading-2"/>
    <w:basedOn w:val="Box"/>
    <w:rsid w:val="00D5251F"/>
  </w:style>
  <w:style w:type="character" w:customStyle="1" w:styleId="BalloonTextChar">
    <w:name w:val="Balloon Text Char"/>
    <w:link w:val="BalloonText"/>
    <w:uiPriority w:val="99"/>
    <w:semiHidden/>
    <w:rsid w:val="00B93A36"/>
    <w:rPr>
      <w:rFonts w:ascii="Tahoma" w:hAnsi="Tahoma" w:cs="Tahoma"/>
      <w:sz w:val="16"/>
      <w:szCs w:val="16"/>
    </w:rPr>
  </w:style>
  <w:style w:type="character" w:styleId="CommentReference">
    <w:name w:val="annotation reference"/>
    <w:uiPriority w:val="49"/>
    <w:semiHidden/>
    <w:unhideWhenUsed/>
    <w:rsid w:val="00AA3078"/>
    <w:rPr>
      <w:sz w:val="16"/>
      <w:szCs w:val="16"/>
    </w:rPr>
  </w:style>
  <w:style w:type="paragraph" w:styleId="CommentText">
    <w:name w:val="annotation text"/>
    <w:basedOn w:val="Normal"/>
    <w:link w:val="CommentTextChar"/>
    <w:uiPriority w:val="49"/>
    <w:unhideWhenUsed/>
    <w:rsid w:val="00AA3078"/>
    <w:rPr>
      <w:sz w:val="20"/>
    </w:rPr>
  </w:style>
  <w:style w:type="character" w:customStyle="1" w:styleId="CommentTextChar">
    <w:name w:val="Comment Text Char"/>
    <w:basedOn w:val="DefaultParagraphFont"/>
    <w:link w:val="CommentText"/>
    <w:uiPriority w:val="49"/>
    <w:rsid w:val="00AA3078"/>
  </w:style>
  <w:style w:type="paragraph" w:styleId="CommentSubject">
    <w:name w:val="annotation subject"/>
    <w:basedOn w:val="CommentText"/>
    <w:next w:val="CommentText"/>
    <w:link w:val="CommentSubjectChar"/>
    <w:uiPriority w:val="99"/>
    <w:semiHidden/>
    <w:unhideWhenUsed/>
    <w:rsid w:val="00AA3078"/>
    <w:rPr>
      <w:b/>
      <w:bCs/>
    </w:rPr>
  </w:style>
  <w:style w:type="character" w:customStyle="1" w:styleId="CommentSubjectChar">
    <w:name w:val="Comment Subject Char"/>
    <w:link w:val="CommentSubject"/>
    <w:uiPriority w:val="99"/>
    <w:semiHidden/>
    <w:rsid w:val="00AA3078"/>
    <w:rPr>
      <w:b/>
      <w:bCs/>
    </w:rPr>
  </w:style>
  <w:style w:type="character" w:styleId="FootnoteReference">
    <w:name w:val="footnote reference"/>
    <w:uiPriority w:val="99"/>
    <w:semiHidden/>
    <w:unhideWhenUsed/>
    <w:rsid w:val="000111B4"/>
    <w:rPr>
      <w:vertAlign w:val="superscript"/>
    </w:rPr>
  </w:style>
  <w:style w:type="paragraph" w:customStyle="1" w:styleId="Default">
    <w:name w:val="Default"/>
    <w:rsid w:val="005D0516"/>
    <w:pPr>
      <w:autoSpaceDE w:val="0"/>
      <w:autoSpaceDN w:val="0"/>
      <w:adjustRightInd w:val="0"/>
    </w:pPr>
    <w:rPr>
      <w:rFonts w:ascii="Arial" w:hAnsi="Arial" w:cs="Arial"/>
      <w:color w:val="000000"/>
      <w:sz w:val="24"/>
      <w:szCs w:val="24"/>
    </w:rPr>
  </w:style>
  <w:style w:type="paragraph" w:styleId="Title">
    <w:name w:val="Title"/>
    <w:basedOn w:val="Normal"/>
    <w:next w:val="ActTitle"/>
    <w:link w:val="TitleChar"/>
    <w:qFormat/>
    <w:rsid w:val="005D0DD4"/>
    <w:pPr>
      <w:spacing w:before="480" w:after="0"/>
      <w:jc w:val="left"/>
    </w:pPr>
    <w:rPr>
      <w:rFonts w:ascii="Arial" w:hAnsi="Arial" w:cs="Arial"/>
      <w:b/>
      <w:bCs/>
      <w:sz w:val="40"/>
      <w:szCs w:val="40"/>
      <w:lang w:eastAsia="en-US"/>
    </w:rPr>
  </w:style>
  <w:style w:type="character" w:customStyle="1" w:styleId="TitleChar">
    <w:name w:val="Title Char"/>
    <w:link w:val="Title"/>
    <w:rsid w:val="005D0DD4"/>
    <w:rPr>
      <w:rFonts w:ascii="Arial" w:hAnsi="Arial" w:cs="Arial"/>
      <w:b/>
      <w:bCs/>
      <w:sz w:val="40"/>
      <w:szCs w:val="40"/>
      <w:lang w:eastAsia="en-US"/>
    </w:rPr>
  </w:style>
  <w:style w:type="paragraph" w:customStyle="1" w:styleId="ActTitle">
    <w:name w:val="Act Title"/>
    <w:basedOn w:val="Normal"/>
    <w:next w:val="IntroTo"/>
    <w:rsid w:val="005D0DD4"/>
    <w:pPr>
      <w:pBdr>
        <w:bottom w:val="single" w:sz="4" w:space="3" w:color="auto"/>
      </w:pBdr>
      <w:spacing w:before="480"/>
      <w:jc w:val="left"/>
    </w:pPr>
    <w:rPr>
      <w:rFonts w:ascii="Arial" w:hAnsi="Arial"/>
      <w:i/>
      <w:iCs/>
      <w:sz w:val="28"/>
    </w:rPr>
  </w:style>
  <w:style w:type="paragraph" w:customStyle="1" w:styleId="IP">
    <w:name w:val="IP"/>
    <w:aliases w:val="Interpretation paragraph"/>
    <w:basedOn w:val="Normal"/>
    <w:next w:val="Normal"/>
    <w:rsid w:val="005D0DD4"/>
    <w:pPr>
      <w:keepNext/>
      <w:tabs>
        <w:tab w:val="right" w:pos="794"/>
      </w:tabs>
      <w:spacing w:before="120" w:after="0" w:line="260" w:lineRule="exact"/>
      <w:ind w:left="964" w:hanging="964"/>
    </w:pPr>
    <w:rPr>
      <w:szCs w:val="24"/>
      <w:lang w:eastAsia="en-US"/>
    </w:rPr>
  </w:style>
  <w:style w:type="paragraph" w:customStyle="1" w:styleId="definition">
    <w:name w:val="definition"/>
    <w:basedOn w:val="Normal"/>
    <w:rsid w:val="005D0DD4"/>
    <w:pPr>
      <w:spacing w:before="80" w:after="0" w:line="260" w:lineRule="exact"/>
    </w:pPr>
    <w:rPr>
      <w:szCs w:val="24"/>
      <w:lang w:eastAsia="en-US"/>
    </w:rPr>
  </w:style>
  <w:style w:type="paragraph" w:customStyle="1" w:styleId="IntroTo">
    <w:name w:val="IntroTo:"/>
    <w:basedOn w:val="Normal"/>
    <w:rsid w:val="005D0DD4"/>
    <w:pPr>
      <w:spacing w:after="0"/>
      <w:ind w:left="720" w:hanging="720"/>
      <w:jc w:val="left"/>
    </w:pPr>
    <w:rPr>
      <w:lang w:eastAsia="en-US"/>
    </w:rPr>
  </w:style>
  <w:style w:type="paragraph" w:customStyle="1" w:styleId="AS">
    <w:name w:val="AS"/>
    <w:aliases w:val="Schedule title Amendment"/>
    <w:basedOn w:val="Normal"/>
    <w:next w:val="ASref"/>
    <w:rsid w:val="005D0DD4"/>
    <w:pPr>
      <w:keepNext/>
      <w:autoSpaceDE w:val="0"/>
      <w:autoSpaceDN w:val="0"/>
      <w:spacing w:before="480" w:after="0"/>
      <w:ind w:left="2410" w:hanging="2410"/>
      <w:jc w:val="left"/>
    </w:pPr>
    <w:rPr>
      <w:rFonts w:ascii="Arial" w:hAnsi="Arial" w:cs="Arial"/>
      <w:b/>
      <w:bCs/>
      <w:sz w:val="32"/>
      <w:szCs w:val="32"/>
    </w:rPr>
  </w:style>
  <w:style w:type="paragraph" w:customStyle="1" w:styleId="ASref">
    <w:name w:val="AS ref"/>
    <w:basedOn w:val="Normal"/>
    <w:next w:val="Normal"/>
    <w:rsid w:val="005D0DD4"/>
    <w:pPr>
      <w:keepNext/>
      <w:autoSpaceDE w:val="0"/>
      <w:autoSpaceDN w:val="0"/>
      <w:spacing w:before="60" w:after="0" w:line="200" w:lineRule="exact"/>
      <w:ind w:left="2410"/>
      <w:jc w:val="left"/>
    </w:pPr>
    <w:rPr>
      <w:rFonts w:ascii="Arial" w:hAnsi="Arial" w:cs="Arial"/>
      <w:sz w:val="18"/>
      <w:szCs w:val="18"/>
    </w:rPr>
  </w:style>
  <w:style w:type="character" w:customStyle="1" w:styleId="CharSchNo">
    <w:name w:val="CharSchNo"/>
    <w:basedOn w:val="DefaultParagraphFont"/>
    <w:rsid w:val="005D0DD4"/>
  </w:style>
  <w:style w:type="paragraph" w:styleId="ListParagraph">
    <w:name w:val="List Paragraph"/>
    <w:basedOn w:val="Normal"/>
    <w:uiPriority w:val="34"/>
    <w:qFormat/>
    <w:rsid w:val="002F70E8"/>
    <w:pPr>
      <w:ind w:left="720"/>
      <w:contextualSpacing/>
    </w:pPr>
  </w:style>
  <w:style w:type="character" w:customStyle="1" w:styleId="BodyText1Char">
    <w:name w:val="Body Text 1 Char"/>
    <w:basedOn w:val="DefaultParagraphFont"/>
    <w:link w:val="BodyText1"/>
    <w:rsid w:val="00E22A70"/>
    <w:rPr>
      <w:sz w:val="24"/>
    </w:rPr>
  </w:style>
  <w:style w:type="paragraph" w:customStyle="1" w:styleId="BodyText40">
    <w:name w:val="Body Text 4"/>
    <w:basedOn w:val="Normal"/>
    <w:qFormat/>
    <w:rsid w:val="00E22A70"/>
    <w:pPr>
      <w:tabs>
        <w:tab w:val="num" w:pos="2268"/>
      </w:tabs>
      <w:ind w:left="2268" w:hanging="567"/>
      <w:jc w:val="left"/>
    </w:pPr>
    <w:rPr>
      <w:rFonts w:eastAsia="Calibri"/>
      <w:szCs w:val="24"/>
    </w:rPr>
  </w:style>
  <w:style w:type="character" w:styleId="Hyperlink">
    <w:name w:val="Hyperlink"/>
    <w:basedOn w:val="DefaultParagraphFont"/>
    <w:uiPriority w:val="99"/>
    <w:unhideWhenUsed/>
    <w:rsid w:val="009D6C80"/>
    <w:rPr>
      <w:color w:val="0563C1" w:themeColor="hyperlink"/>
      <w:u w:val="single"/>
    </w:rPr>
  </w:style>
  <w:style w:type="paragraph" w:styleId="NormalWeb">
    <w:name w:val="Normal (Web)"/>
    <w:basedOn w:val="Normal"/>
    <w:uiPriority w:val="99"/>
    <w:semiHidden/>
    <w:unhideWhenUsed/>
    <w:rsid w:val="00344F48"/>
    <w:pPr>
      <w:spacing w:before="100" w:beforeAutospacing="1" w:after="100" w:afterAutospacing="1"/>
      <w:jc w:val="left"/>
    </w:pPr>
    <w:rPr>
      <w:szCs w:val="24"/>
    </w:rPr>
  </w:style>
  <w:style w:type="character" w:customStyle="1" w:styleId="HeaderChar">
    <w:name w:val="Header Char"/>
    <w:basedOn w:val="DefaultParagraphFont"/>
    <w:link w:val="Header"/>
    <w:rsid w:val="0071557E"/>
    <w:rPr>
      <w:rFonts w:ascii="Arial" w:hAnsi="Arial"/>
      <w:b/>
      <w:sz w:val="40"/>
    </w:rPr>
  </w:style>
  <w:style w:type="character" w:customStyle="1" w:styleId="FooterChar">
    <w:name w:val="Footer Char"/>
    <w:basedOn w:val="DefaultParagraphFont"/>
    <w:link w:val="Footer"/>
    <w:rsid w:val="0071557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0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XPTemplates\Other%20Templates\Prudential%20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aef97a4-ded2-4e4a-9fbc-e666dae3ecd2" ContentTypeId="0x0101008CA7A4F8331B45C7B0D3158B4994D0CA02"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58</Value>
      <Value>134</Value>
      <Value>10</Value>
      <Value>26</Value>
      <Value>93</Value>
      <Value>109</Value>
      <Value>142</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121 Covered Bonds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5JENXJJSCC7A-445999044-11866</_dlc_DocId>
    <_dlc_DocIdUrl xmlns="814d62cb-2db6-4c25-ab62-b9075facbc11">
      <Url>https://im/teams/LEGAL/_layouts/15/DocIdRedir.aspx?ID=5JENXJJSCC7A-445999044-11866</Url>
      <Description>5JENXJJSCC7A-445999044-11866</Description>
    </_dlc_DocIdUrl>
    <APRAMeetingDate xmlns="814d62cb-2db6-4c25-ab62-b9075facbc11" xsi:nil="true"/>
    <APRAMeetingNumber xmlns="814d62cb-2db6-4c25-ab62-b9075facbc11" xsi:nil="true"/>
  </documentManagement>
</p:properties>
</file>

<file path=customXml/item6.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7739F-D376-411B-9837-91697AD0DA52}">
  <ds:schemaRefs>
    <ds:schemaRef ds:uri="http://schemas.microsoft.com/sharepoint/events"/>
  </ds:schemaRefs>
</ds:datastoreItem>
</file>

<file path=customXml/itemProps2.xml><?xml version="1.0" encoding="utf-8"?>
<ds:datastoreItem xmlns:ds="http://schemas.openxmlformats.org/officeDocument/2006/customXml" ds:itemID="{C108F5C7-6854-4146-8CB9-1DCBBBD67E44}">
  <ds:schemaRefs>
    <ds:schemaRef ds:uri="http://schemas.microsoft.com/sharepoint/v3/contenttype/forms"/>
  </ds:schemaRefs>
</ds:datastoreItem>
</file>

<file path=customXml/itemProps3.xml><?xml version="1.0" encoding="utf-8"?>
<ds:datastoreItem xmlns:ds="http://schemas.openxmlformats.org/officeDocument/2006/customXml" ds:itemID="{989091D4-D3D7-4695-8161-44B815EECBF2}">
  <ds:schemaRefs>
    <ds:schemaRef ds:uri="Microsoft.SharePoint.Taxonomy.ContentTypeSync"/>
  </ds:schemaRefs>
</ds:datastoreItem>
</file>

<file path=customXml/itemProps4.xml><?xml version="1.0" encoding="utf-8"?>
<ds:datastoreItem xmlns:ds="http://schemas.openxmlformats.org/officeDocument/2006/customXml" ds:itemID="{1193817D-F24D-4F73-8FBC-06C5B937C306}">
  <ds:schemaRefs>
    <ds:schemaRef ds:uri="http://schemas.openxmlformats.org/officeDocument/2006/bibliography"/>
  </ds:schemaRefs>
</ds:datastoreItem>
</file>

<file path=customXml/itemProps5.xml><?xml version="1.0" encoding="utf-8"?>
<ds:datastoreItem xmlns:ds="http://schemas.openxmlformats.org/officeDocument/2006/customXml" ds:itemID="{AC3F736A-6719-414A-99C6-7BD0FA60248E}">
  <ds:schemaRefs>
    <ds:schemaRef ds:uri="http://purl.org/dc/elements/1.1/"/>
    <ds:schemaRef ds:uri="http://schemas.openxmlformats.org/package/2006/metadata/core-properties"/>
    <ds:schemaRef ds:uri="http://purl.org/dc/terms/"/>
    <ds:schemaRef ds:uri="http://purl.org/dc/dcmitype/"/>
    <ds:schemaRef ds:uri="814d62cb-2db6-4c25-ab62-b9075facbc11"/>
    <ds:schemaRef ds:uri="http://schemas.microsoft.com/office/2006/documentManagement/types"/>
    <ds:schemaRef ds:uri="http://www.w3.org/XML/1998/namespace"/>
    <ds:schemaRef ds:uri="http://schemas.microsoft.com/office/infopath/2007/PartnerControls"/>
    <ds:schemaRef ds:uri="http://schemas.microsoft.com/office/2006/metadata/properties"/>
  </ds:schemaRefs>
</ds:datastoreItem>
</file>

<file path=customXml/itemProps6.xml><?xml version="1.0" encoding="utf-8"?>
<ds:datastoreItem xmlns:ds="http://schemas.openxmlformats.org/officeDocument/2006/customXml" ds:itemID="{3888FDE5-3113-429D-A76B-FA9ADB70B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Prudential Standard.dot</Template>
  <TotalTime>0</TotalTime>
  <Pages>11</Pages>
  <Words>2869</Words>
  <Characters>14465</Characters>
  <Application>Microsoft Office Word</Application>
  <DocSecurity>0</DocSecurity>
  <Lines>314</Lines>
  <Paragraphs>153</Paragraphs>
  <ScaleCrop>false</ScaleCrop>
  <HeadingPairs>
    <vt:vector size="2" baseType="variant">
      <vt:variant>
        <vt:lpstr>Title</vt:lpstr>
      </vt:variant>
      <vt:variant>
        <vt:i4>1</vt:i4>
      </vt:variant>
    </vt:vector>
  </HeadingPairs>
  <TitlesOfParts>
    <vt:vector size="1" baseType="lpstr">
      <vt:lpstr>Prudential Standard APS 121 Covered Bonds - marked up</vt:lpstr>
    </vt:vector>
  </TitlesOfParts>
  <Company>APRA</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11 of 2022</dc:title>
  <dc:subject/>
  <dc:creator>APRA</dc:creator>
  <cp:keywords>[SEC=OFFICIAL]</cp:keywords>
  <dc:description/>
  <cp:lastModifiedBy>Toni Michalis</cp:lastModifiedBy>
  <cp:revision>2</cp:revision>
  <cp:lastPrinted>2019-06-12T06:14:00Z</cp:lastPrinted>
  <dcterms:created xsi:type="dcterms:W3CDTF">2022-12-01T06:25:00Z</dcterms:created>
  <dcterms:modified xsi:type="dcterms:W3CDTF">2022-12-01T06:25:00Z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Value_Footer">
    <vt:lpwstr>OFFICIAL</vt:lpwstr>
  </property>
  <property fmtid="{D5CDD505-2E9C-101B-9397-08002B2CF9AE}" pid="3" name="PM_Caveats_Count">
    <vt:lpwstr>0</vt:lpwstr>
  </property>
  <property fmtid="{D5CDD505-2E9C-101B-9397-08002B2CF9AE}" pid="4" name="PM_Originator_Hash_SHA1">
    <vt:lpwstr>C3AD57350F36D8E1BD75F8F67CB06D435C9C43CA</vt:lpwstr>
  </property>
  <property fmtid="{D5CDD505-2E9C-101B-9397-08002B2CF9AE}" pid="5" name="PM_SecurityClassification">
    <vt:lpwstr>OFFICIAL</vt:lpwstr>
  </property>
  <property fmtid="{D5CDD505-2E9C-101B-9397-08002B2CF9AE}" pid="6" name="PM_DisplayValueSecClassificationWithQualifier">
    <vt:lpwstr>OFFICIAL</vt:lpwstr>
  </property>
  <property fmtid="{D5CDD505-2E9C-101B-9397-08002B2CF9AE}" pid="7" name="PM_Qualifier">
    <vt:lpwstr/>
  </property>
  <property fmtid="{D5CDD505-2E9C-101B-9397-08002B2CF9AE}" pid="8" name="PM_Hash_SHA1">
    <vt:lpwstr>47BE419B0CD5630052C0C5EDEE70ED3F918C8979</vt:lpwstr>
  </property>
  <property fmtid="{D5CDD505-2E9C-101B-9397-08002B2CF9AE}" pid="9" name="PM_ProtectiveMarkingImage_Header">
    <vt:lpwstr>C:\Program Files\Common Files\janusNET Shared\janusSEAL\Images\DocumentSlashBlue.png</vt:lpwstr>
  </property>
  <property fmtid="{D5CDD505-2E9C-101B-9397-08002B2CF9AE}" pid="10" name="PM_InsertionValue">
    <vt:lpwstr>OFFICIAL</vt:lpwstr>
  </property>
  <property fmtid="{D5CDD505-2E9C-101B-9397-08002B2CF9AE}" pid="11" name="PM_ProtectiveMarkingValue_Header">
    <vt:lpwstr>OFFICIAL</vt:lpwstr>
  </property>
  <property fmtid="{D5CDD505-2E9C-101B-9397-08002B2CF9AE}" pid="12" name="PM_ProtectiveMarkingImage_Footer">
    <vt:lpwstr>C:\Program Files\Common Files\janusNET Shared\janusSEAL\Images\DocumentSlashBlue.png</vt:lpwstr>
  </property>
  <property fmtid="{D5CDD505-2E9C-101B-9397-08002B2CF9AE}" pid="13" name="PM_Namespace">
    <vt:lpwstr>gov.au</vt:lpwstr>
  </property>
  <property fmtid="{D5CDD505-2E9C-101B-9397-08002B2CF9AE}" pid="14" name="PM_Version">
    <vt:lpwstr>2018.4</vt:lpwstr>
  </property>
  <property fmtid="{D5CDD505-2E9C-101B-9397-08002B2CF9AE}" pid="15" name="PM_Originating_FileId">
    <vt:lpwstr>EF15D483D0634C57AFCE2B992B2FEE62</vt:lpwstr>
  </property>
  <property fmtid="{D5CDD505-2E9C-101B-9397-08002B2CF9AE}" pid="16" name="PM_OriginationTimeStamp">
    <vt:lpwstr>2022-12-01T06:25:00Z</vt:lpwstr>
  </property>
  <property fmtid="{D5CDD505-2E9C-101B-9397-08002B2CF9AE}" pid="17" name="PM_Hash_Version">
    <vt:lpwstr>2018.0</vt:lpwstr>
  </property>
  <property fmtid="{D5CDD505-2E9C-101B-9397-08002B2CF9AE}" pid="18" name="PM_Hash_Salt_Prev">
    <vt:lpwstr>772177234B89BDA697C2439F58EEB766</vt:lpwstr>
  </property>
  <property fmtid="{D5CDD505-2E9C-101B-9397-08002B2CF9AE}" pid="19" name="PM_Hash_Salt">
    <vt:lpwstr>38DB08F97723F4637B3A2A25C36C5450</vt:lpwstr>
  </property>
  <property fmtid="{D5CDD505-2E9C-101B-9397-08002B2CF9AE}" pid="20" name="ContentTypeId">
    <vt:lpwstr>0x0101008CA7A4F8331B45C7B0D3158B4994D0CA0200577EC0F5A1FBFC498F9A8436B963F8A6</vt:lpwstr>
  </property>
  <property fmtid="{D5CDD505-2E9C-101B-9397-08002B2CF9AE}" pid="21" name="IsLocked">
    <vt:lpwstr>False</vt:lpwstr>
  </property>
  <property fmtid="{D5CDD505-2E9C-101B-9397-08002B2CF9AE}" pid="22"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3" name="RecordPoint_WorkflowType">
    <vt:lpwstr>ActiveSubmitStub</vt:lpwstr>
  </property>
  <property fmtid="{D5CDD505-2E9C-101B-9397-08002B2CF9AE}" pid="24" name="IT system type">
    <vt:lpwstr/>
  </property>
  <property fmtid="{D5CDD505-2E9C-101B-9397-08002B2CF9AE}" pid="25" name="APRACategory">
    <vt:lpwstr/>
  </property>
  <property fmtid="{D5CDD505-2E9C-101B-9397-08002B2CF9AE}" pid="26" name="APRAPRSG">
    <vt:lpwstr/>
  </property>
  <property fmtid="{D5CDD505-2E9C-101B-9397-08002B2CF9AE}" pid="27" name="APRADocumentType">
    <vt:lpwstr>142;#Prudential standard|6ce5a155-9ab2-41e3-9b2a-5baab4b7f1d1;#58;#Legal instrument|71fd6ed3-d6d6-4975-ba99-bfe45802e734</vt:lpwstr>
  </property>
  <property fmtid="{D5CDD505-2E9C-101B-9397-08002B2CF9AE}" pid="28" name="APRAStatus">
    <vt:lpwstr>19;#Final|84d6b2d0-8498-4d62-bf46-bab38babbe9e</vt:lpwstr>
  </property>
  <property fmtid="{D5CDD505-2E9C-101B-9397-08002B2CF9AE}" pid="29" name="APRAActivity">
    <vt:lpwstr>10;#Registration|390476ce-d76d-4e8d-905f-28e32d2df127;#109;#Statutory instrument|fe68928c-5a9c-4caf-bc8c-6c18cedcb17f</vt:lpwstr>
  </property>
  <property fmtid="{D5CDD505-2E9C-101B-9397-08002B2CF9AE}" pid="30" name="APRAEntityAdviceSupport">
    <vt:lpwstr/>
  </property>
  <property fmtid="{D5CDD505-2E9C-101B-9397-08002B2CF9AE}" pid="31" name="APRALegislation">
    <vt:lpwstr/>
  </property>
  <property fmtid="{D5CDD505-2E9C-101B-9397-08002B2CF9AE}" pid="32" name="APRAYear">
    <vt:lpwstr/>
  </property>
  <property fmtid="{D5CDD505-2E9C-101B-9397-08002B2CF9AE}" pid="33" name="APRAIndustry">
    <vt:lpwstr/>
  </property>
  <property fmtid="{D5CDD505-2E9C-101B-9397-08002B2CF9AE}" pid="34" name="RecordPoint_ActiveItemUniqueId">
    <vt:lpwstr>{ade9e2c9-fbbc-4900-b3db-be322cad73e4}</vt:lpwstr>
  </property>
  <property fmtid="{D5CDD505-2E9C-101B-9397-08002B2CF9AE}" pid="35" name="APRAExternalOrganisation">
    <vt:lpwstr/>
  </property>
  <property fmtid="{D5CDD505-2E9C-101B-9397-08002B2CF9AE}" pid="36" name="APRAIRTR">
    <vt:lpwstr/>
  </property>
  <property fmtid="{D5CDD505-2E9C-101B-9397-08002B2CF9AE}" pid="37" name="APRAPeriod">
    <vt:lpwstr/>
  </property>
  <property fmtid="{D5CDD505-2E9C-101B-9397-08002B2CF9AE}" pid="38" name="_dlc_DocIdItemGuid">
    <vt:lpwstr>ade9e2c9-fbbc-4900-b3db-be322cad73e4</vt:lpwstr>
  </property>
  <property fmtid="{D5CDD505-2E9C-101B-9397-08002B2CF9AE}" pid="39" name="RecordPoint_ActiveItemWebId">
    <vt:lpwstr>{75a71c27-8d66-4282-ae60-1bfc22a83be1}</vt:lpwstr>
  </property>
  <property fmtid="{D5CDD505-2E9C-101B-9397-08002B2CF9AE}" pid="40" name="RecordPoint_ActiveItemSiteId">
    <vt:lpwstr>{88691c01-5bbb-4215-adc0-66cb7065b0af}</vt:lpwstr>
  </property>
  <property fmtid="{D5CDD505-2E9C-101B-9397-08002B2CF9AE}" pid="41" name="RecordPoint_ActiveItemListId">
    <vt:lpwstr>{0e59e171-09d8-4401-800a-327154450cb3}</vt:lpwstr>
  </property>
  <property fmtid="{D5CDD505-2E9C-101B-9397-08002B2CF9AE}" pid="42" name="RecordPoint_RecordNumberSubmitted">
    <vt:lpwstr/>
  </property>
  <property fmtid="{D5CDD505-2E9C-101B-9397-08002B2CF9AE}" pid="43" name="RecordPoint_SubmissionCompleted">
    <vt:lpwstr/>
  </property>
  <property fmtid="{D5CDD505-2E9C-101B-9397-08002B2CF9AE}" pid="44" name="RecordPoint_SubmissionDate">
    <vt:lpwstr/>
  </property>
  <property fmtid="{D5CDD505-2E9C-101B-9397-08002B2CF9AE}" pid="45" name="RecordPoint_ActiveItemMoved">
    <vt:lpwstr/>
  </property>
  <property fmtid="{D5CDD505-2E9C-101B-9397-08002B2CF9AE}" pid="46" name="RecordPoint_RecordFormat">
    <vt:lpwstr/>
  </property>
  <property fmtid="{D5CDD505-2E9C-101B-9397-08002B2CF9AE}" pid="47" name="MSIP_Label_c0129afb-6481-4f92-bc9f-5a4a6346364d_SetDate">
    <vt:lpwstr>2022-12-01T04:27:44Z</vt:lpwstr>
  </property>
  <property fmtid="{D5CDD505-2E9C-101B-9397-08002B2CF9AE}" pid="48" name="PM_SecurityClassification_Prev">
    <vt:lpwstr>OFFICIAL</vt:lpwstr>
  </property>
  <property fmtid="{D5CDD505-2E9C-101B-9397-08002B2CF9AE}" pid="49" name="PM_Qualifier_Prev">
    <vt:lpwstr/>
  </property>
  <property fmtid="{D5CDD505-2E9C-101B-9397-08002B2CF9AE}" pid="50" name="PM_Note">
    <vt:lpwstr/>
  </property>
  <property fmtid="{D5CDD505-2E9C-101B-9397-08002B2CF9AE}" pid="51" name="PM_Markers">
    <vt:lpwstr/>
  </property>
  <property fmtid="{D5CDD505-2E9C-101B-9397-08002B2CF9AE}" pid="52" name="PM_Display">
    <vt:lpwstr>OFFICIAL</vt:lpwstr>
  </property>
  <property fmtid="{D5CDD505-2E9C-101B-9397-08002B2CF9AE}" pid="53" name="PMUuid">
    <vt:lpwstr>ABBFF5E2-9674-55C9-B08D-C9980002FD58</vt:lpwstr>
  </property>
  <property fmtid="{D5CDD505-2E9C-101B-9397-08002B2CF9AE}" pid="54" name="PMUuidVer">
    <vt:lpwstr>2022.1</vt:lpwstr>
  </property>
  <property fmtid="{D5CDD505-2E9C-101B-9397-08002B2CF9AE}" pid="55" name="PM_OriginatorUserAccountName_SHA256">
    <vt:lpwstr>6E3018F28A186D2E5FF5207C041E7A82E907C3008E071057026A53705873B72E</vt:lpwstr>
  </property>
  <property fmtid="{D5CDD505-2E9C-101B-9397-08002B2CF9AE}" pid="56" name="PM_OriginatorDomainName_SHA256">
    <vt:lpwstr>ECBDE2B44A971754412B3FB70606937A119CC0D4B6C1B658A40FBD41C30BE3EC</vt:lpwstr>
  </property>
  <property fmtid="{D5CDD505-2E9C-101B-9397-08002B2CF9AE}" pid="57" name="MSIP_Label_c0129afb-6481-4f92-bc9f-5a4a6346364d_Name">
    <vt:lpwstr>OFFICIAL</vt:lpwstr>
  </property>
  <property fmtid="{D5CDD505-2E9C-101B-9397-08002B2CF9AE}" pid="58" name="MSIP_Label_c0129afb-6481-4f92-bc9f-5a4a6346364d_SiteId">
    <vt:lpwstr>c05e3ffd-b491-4431-9809-e61d4dc78816</vt:lpwstr>
  </property>
  <property fmtid="{D5CDD505-2E9C-101B-9397-08002B2CF9AE}" pid="59" name="MSIP_Label_c0129afb-6481-4f92-bc9f-5a4a6346364d_Enabled">
    <vt:lpwstr>true</vt:lpwstr>
  </property>
  <property fmtid="{D5CDD505-2E9C-101B-9397-08002B2CF9AE}" pid="60" name="PM_MinimumSecurityClassification">
    <vt:lpwstr/>
  </property>
</Properties>
</file>