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528A" w14:textId="77777777" w:rsidR="00DC74D0" w:rsidRPr="00E776D6" w:rsidRDefault="00DC74D0" w:rsidP="00DC74D0">
      <w:pPr>
        <w:rPr>
          <w:color w:val="000000"/>
        </w:rPr>
      </w:pPr>
      <w:bookmarkStart w:id="0" w:name="_Ref207509091"/>
      <w:bookmarkStart w:id="1" w:name="_Toc168113228"/>
      <w:bookmarkStart w:id="2" w:name="_Toc207183385"/>
      <w:bookmarkStart w:id="3" w:name="_Toc207183557"/>
      <w:bookmarkStart w:id="4" w:name="_Toc207424941"/>
      <w:bookmarkStart w:id="5" w:name="_Toc207509482"/>
      <w:bookmarkStart w:id="6" w:name="_Toc207509594"/>
      <w:bookmarkStart w:id="7" w:name="_Toc208628872"/>
      <w:bookmarkStart w:id="8" w:name="_Toc211765383"/>
      <w:bookmarkStart w:id="9" w:name="_Toc213814201"/>
      <w:bookmarkStart w:id="10" w:name="_Toc404607301"/>
      <w:bookmarkEnd w:id="0"/>
      <w:r w:rsidRPr="00E776D6">
        <w:rPr>
          <w:noProof/>
          <w:color w:val="000000"/>
        </w:rPr>
        <w:drawing>
          <wp:inline distT="0" distB="0" distL="0" distR="0" wp14:anchorId="426F32CC" wp14:editId="78760AC1">
            <wp:extent cx="1419225" cy="1104900"/>
            <wp:effectExtent l="0" t="0" r="9525" b="0"/>
            <wp:docPr id="3" name="Picture 3"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51E97710" w14:textId="713B67EC" w:rsidR="00DC74D0" w:rsidRPr="00E776D6" w:rsidRDefault="00DC74D0" w:rsidP="00541C52">
      <w:pPr>
        <w:spacing w:before="480" w:after="120"/>
        <w:jc w:val="both"/>
        <w:rPr>
          <w:rFonts w:ascii="Arial" w:hAnsi="Arial" w:cs="Arial"/>
          <w:b/>
          <w:bCs/>
          <w:color w:val="000000"/>
          <w:sz w:val="40"/>
          <w:szCs w:val="40"/>
          <w:lang w:eastAsia="en-US"/>
        </w:rPr>
      </w:pPr>
      <w:bookmarkStart w:id="11" w:name="_Hlk120534137"/>
      <w:r w:rsidRPr="00E776D6">
        <w:rPr>
          <w:rFonts w:ascii="Arial" w:hAnsi="Arial" w:cs="Arial"/>
          <w:b/>
          <w:bCs/>
          <w:color w:val="000000"/>
          <w:sz w:val="40"/>
          <w:szCs w:val="40"/>
          <w:lang w:eastAsia="en-US"/>
        </w:rPr>
        <w:t xml:space="preserve">Banking (prudential </w:t>
      </w:r>
      <w:r w:rsidRPr="00541C52">
        <w:rPr>
          <w:rFonts w:ascii="Arial" w:hAnsi="Arial" w:cs="Arial"/>
          <w:b/>
          <w:bCs/>
          <w:color w:val="000000"/>
          <w:sz w:val="40"/>
          <w:szCs w:val="40"/>
          <w:lang w:eastAsia="en-US"/>
        </w:rPr>
        <w:t>standard</w:t>
      </w:r>
      <w:r>
        <w:rPr>
          <w:rFonts w:ascii="Arial" w:hAnsi="Arial" w:cs="Arial"/>
          <w:b/>
          <w:bCs/>
          <w:color w:val="000000"/>
          <w:sz w:val="40"/>
          <w:szCs w:val="40"/>
          <w:lang w:eastAsia="en-US"/>
        </w:rPr>
        <w:t>) determination No.</w:t>
      </w:r>
      <w:r w:rsidR="00541C52">
        <w:rPr>
          <w:rFonts w:ascii="Arial" w:hAnsi="Arial" w:cs="Arial"/>
          <w:b/>
          <w:bCs/>
          <w:color w:val="000000"/>
          <w:sz w:val="40"/>
          <w:szCs w:val="40"/>
          <w:lang w:eastAsia="en-US"/>
        </w:rPr>
        <w:t xml:space="preserve"> 16</w:t>
      </w:r>
      <w:r>
        <w:rPr>
          <w:rFonts w:ascii="Arial" w:hAnsi="Arial" w:cs="Arial"/>
          <w:b/>
          <w:bCs/>
          <w:color w:val="000000"/>
          <w:sz w:val="40"/>
          <w:szCs w:val="40"/>
          <w:lang w:eastAsia="en-US"/>
        </w:rPr>
        <w:t xml:space="preserve"> of 2022</w:t>
      </w:r>
      <w:bookmarkEnd w:id="11"/>
    </w:p>
    <w:p w14:paraId="04896F44" w14:textId="77777777" w:rsidR="00DC74D0" w:rsidRPr="00E776D6" w:rsidRDefault="00DC74D0" w:rsidP="00541C52">
      <w:pPr>
        <w:spacing w:before="360" w:after="120"/>
        <w:rPr>
          <w:rFonts w:ascii="Arial" w:hAnsi="Arial" w:cs="Arial"/>
          <w:b/>
          <w:bCs/>
          <w:color w:val="000000"/>
          <w:sz w:val="28"/>
          <w:szCs w:val="28"/>
          <w:lang w:eastAsia="en-US"/>
        </w:rPr>
      </w:pPr>
      <w:bookmarkStart w:id="12" w:name="_Hlk120534141"/>
      <w:r>
        <w:rPr>
          <w:rFonts w:ascii="Arial" w:hAnsi="Arial" w:cs="Arial"/>
          <w:b/>
          <w:bCs/>
          <w:color w:val="000000"/>
          <w:sz w:val="28"/>
          <w:szCs w:val="28"/>
          <w:lang w:eastAsia="en-US"/>
        </w:rPr>
        <w:t>Prudential Standard APS 310</w:t>
      </w:r>
      <w:r w:rsidRPr="00E776D6">
        <w:rPr>
          <w:rFonts w:ascii="Arial" w:hAnsi="Arial" w:cs="Arial"/>
          <w:b/>
          <w:bCs/>
          <w:color w:val="000000"/>
          <w:sz w:val="28"/>
          <w:szCs w:val="28"/>
          <w:lang w:eastAsia="en-US"/>
        </w:rPr>
        <w:t xml:space="preserve"> </w:t>
      </w:r>
      <w:r w:rsidRPr="00090C12">
        <w:rPr>
          <w:rFonts w:ascii="Arial" w:hAnsi="Arial" w:cs="Arial"/>
          <w:b/>
          <w:bCs/>
          <w:color w:val="000000"/>
          <w:sz w:val="28"/>
          <w:szCs w:val="28"/>
          <w:lang w:eastAsia="en-US"/>
        </w:rPr>
        <w:t>Audit and Related Matters</w:t>
      </w:r>
      <w:bookmarkEnd w:id="12"/>
    </w:p>
    <w:p w14:paraId="277E3E00" w14:textId="77777777" w:rsidR="00DC74D0" w:rsidRPr="00E776D6" w:rsidRDefault="00DC74D0" w:rsidP="00541C52">
      <w:pPr>
        <w:pBdr>
          <w:bottom w:val="single" w:sz="4" w:space="3" w:color="auto"/>
        </w:pBdr>
        <w:spacing w:before="360" w:after="240"/>
        <w:rPr>
          <w:rFonts w:ascii="Arial" w:hAnsi="Arial"/>
          <w:i/>
          <w:iCs/>
          <w:color w:val="000000"/>
          <w:sz w:val="28"/>
          <w:szCs w:val="20"/>
        </w:rPr>
      </w:pPr>
      <w:r w:rsidRPr="00E776D6">
        <w:rPr>
          <w:rFonts w:ascii="Arial" w:hAnsi="Arial"/>
          <w:i/>
          <w:iCs/>
          <w:color w:val="000000"/>
          <w:sz w:val="28"/>
          <w:szCs w:val="20"/>
        </w:rPr>
        <w:t>Banking Act 1959</w:t>
      </w:r>
    </w:p>
    <w:p w14:paraId="311D459E" w14:textId="77777777" w:rsidR="00DC74D0" w:rsidRPr="00541C52" w:rsidRDefault="00DC74D0" w:rsidP="00541C52">
      <w:pPr>
        <w:ind w:left="720" w:hanging="720"/>
        <w:rPr>
          <w:rFonts w:ascii="Arial" w:hAnsi="Arial" w:cs="Arial"/>
          <w:color w:val="000000"/>
          <w:sz w:val="22"/>
          <w:szCs w:val="22"/>
          <w:lang w:eastAsia="en-US"/>
        </w:rPr>
      </w:pPr>
    </w:p>
    <w:p w14:paraId="4B047A0A" w14:textId="526DFE5C" w:rsidR="00DC74D0" w:rsidRPr="00313453" w:rsidRDefault="00DC74D0" w:rsidP="00541C52">
      <w:pPr>
        <w:jc w:val="both"/>
        <w:rPr>
          <w:rFonts w:ascii="Arial" w:hAnsi="Arial" w:cs="Arial"/>
          <w:sz w:val="22"/>
          <w:szCs w:val="22"/>
          <w:lang w:eastAsia="en-US"/>
        </w:rPr>
      </w:pPr>
      <w:r w:rsidRPr="00313453">
        <w:rPr>
          <w:rFonts w:ascii="Arial" w:hAnsi="Arial" w:cs="Arial"/>
          <w:sz w:val="22"/>
          <w:szCs w:val="22"/>
          <w:lang w:eastAsia="en-US"/>
        </w:rPr>
        <w:t>I</w:t>
      </w:r>
      <w:r w:rsidRPr="00DB2D4C">
        <w:rPr>
          <w:rFonts w:ascii="Arial" w:hAnsi="Arial" w:cs="Arial"/>
          <w:sz w:val="22"/>
          <w:szCs w:val="22"/>
          <w:lang w:eastAsia="en-US"/>
        </w:rPr>
        <w:t xml:space="preserve">, </w:t>
      </w:r>
      <w:r w:rsidRPr="00DB2D4C">
        <w:rPr>
          <w:rFonts w:ascii="Arial" w:hAnsi="Arial" w:cs="Arial"/>
          <w:sz w:val="22"/>
          <w:szCs w:val="22"/>
        </w:rPr>
        <w:t>Renée Roberts</w:t>
      </w:r>
      <w:r w:rsidRPr="00313453">
        <w:rPr>
          <w:rFonts w:ascii="Arial" w:hAnsi="Arial" w:cs="Arial"/>
          <w:sz w:val="22"/>
          <w:szCs w:val="22"/>
          <w:lang w:eastAsia="en-US"/>
        </w:rPr>
        <w:t xml:space="preserve">, </w:t>
      </w:r>
      <w:r w:rsidR="00EB5C74" w:rsidRPr="00313453">
        <w:rPr>
          <w:rFonts w:ascii="Arial" w:hAnsi="Arial" w:cs="Arial"/>
          <w:sz w:val="22"/>
          <w:szCs w:val="22"/>
          <w:lang w:eastAsia="en-US"/>
        </w:rPr>
        <w:t xml:space="preserve">a </w:t>
      </w:r>
      <w:r w:rsidRPr="00313453">
        <w:rPr>
          <w:rFonts w:ascii="Arial" w:hAnsi="Arial" w:cs="Arial"/>
          <w:sz w:val="22"/>
          <w:szCs w:val="22"/>
          <w:lang w:eastAsia="en-US"/>
        </w:rPr>
        <w:t>delegate of APRA:</w:t>
      </w:r>
    </w:p>
    <w:p w14:paraId="05CAC1F4" w14:textId="77777777" w:rsidR="00DC74D0" w:rsidRPr="00541C52" w:rsidRDefault="00DC74D0" w:rsidP="00541C52">
      <w:pPr>
        <w:jc w:val="both"/>
        <w:rPr>
          <w:rFonts w:ascii="Arial" w:hAnsi="Arial" w:cs="Arial"/>
          <w:sz w:val="22"/>
          <w:szCs w:val="22"/>
          <w:lang w:eastAsia="en-US"/>
        </w:rPr>
      </w:pPr>
    </w:p>
    <w:p w14:paraId="4E7F6BD5" w14:textId="65E1776F" w:rsidR="00DC74D0" w:rsidRDefault="00DC74D0" w:rsidP="00541C52">
      <w:pPr>
        <w:numPr>
          <w:ilvl w:val="0"/>
          <w:numId w:val="20"/>
        </w:numPr>
        <w:ind w:left="567" w:hanging="567"/>
        <w:jc w:val="both"/>
        <w:rPr>
          <w:rFonts w:ascii="Arial" w:hAnsi="Arial" w:cs="Arial"/>
          <w:color w:val="000000"/>
          <w:sz w:val="22"/>
          <w:szCs w:val="22"/>
          <w:lang w:eastAsia="en-US"/>
        </w:rPr>
      </w:pPr>
      <w:r w:rsidRPr="00541C52">
        <w:rPr>
          <w:rFonts w:ascii="Arial" w:hAnsi="Arial" w:cs="Arial"/>
          <w:color w:val="000000"/>
          <w:sz w:val="22"/>
          <w:szCs w:val="22"/>
          <w:lang w:eastAsia="en-US"/>
        </w:rPr>
        <w:t>under subsection 11</w:t>
      </w:r>
      <w:proofErr w:type="gramStart"/>
      <w:r w:rsidRPr="00541C52">
        <w:rPr>
          <w:rFonts w:ascii="Arial" w:hAnsi="Arial" w:cs="Arial"/>
          <w:color w:val="000000"/>
          <w:sz w:val="22"/>
          <w:szCs w:val="22"/>
          <w:lang w:eastAsia="en-US"/>
        </w:rPr>
        <w:t>AF(</w:t>
      </w:r>
      <w:proofErr w:type="gramEnd"/>
      <w:r w:rsidRPr="00541C52">
        <w:rPr>
          <w:rFonts w:ascii="Arial" w:hAnsi="Arial" w:cs="Arial"/>
          <w:color w:val="000000"/>
          <w:sz w:val="22"/>
          <w:szCs w:val="22"/>
          <w:lang w:eastAsia="en-US"/>
        </w:rPr>
        <w:t xml:space="preserve">3) of the </w:t>
      </w:r>
      <w:r w:rsidRPr="00541C52">
        <w:rPr>
          <w:rFonts w:ascii="Arial" w:hAnsi="Arial" w:cs="Arial"/>
          <w:i/>
          <w:color w:val="000000"/>
          <w:sz w:val="22"/>
          <w:szCs w:val="22"/>
          <w:lang w:eastAsia="en-US"/>
        </w:rPr>
        <w:t>Banking Act 1959</w:t>
      </w:r>
      <w:r w:rsidRPr="00541C52">
        <w:rPr>
          <w:rFonts w:ascii="Arial" w:hAnsi="Arial" w:cs="Arial"/>
          <w:color w:val="000000"/>
          <w:sz w:val="22"/>
          <w:szCs w:val="22"/>
          <w:lang w:eastAsia="en-US"/>
        </w:rPr>
        <w:t xml:space="preserve"> (the Act) REVOKE Banking (prudential standard) determination No. 2 of 2019, including </w:t>
      </w:r>
      <w:r w:rsidRPr="00541C52">
        <w:rPr>
          <w:rFonts w:ascii="Arial" w:hAnsi="Arial" w:cs="Arial"/>
          <w:i/>
          <w:color w:val="000000"/>
          <w:sz w:val="22"/>
          <w:szCs w:val="22"/>
        </w:rPr>
        <w:t>Prudential Standard APS 310 Audit and Related Matters</w:t>
      </w:r>
      <w:r w:rsidRPr="00541C52">
        <w:rPr>
          <w:rFonts w:ascii="Arial" w:hAnsi="Arial" w:cs="Arial"/>
          <w:color w:val="000000"/>
          <w:sz w:val="22"/>
          <w:szCs w:val="22"/>
          <w:lang w:eastAsia="en-US"/>
        </w:rPr>
        <w:t xml:space="preserve">, made under that </w:t>
      </w:r>
      <w:r w:rsidR="00541C52">
        <w:rPr>
          <w:rFonts w:ascii="Arial" w:hAnsi="Arial" w:cs="Arial"/>
          <w:color w:val="000000"/>
          <w:sz w:val="22"/>
          <w:szCs w:val="22"/>
          <w:lang w:eastAsia="en-US"/>
        </w:rPr>
        <w:t>d</w:t>
      </w:r>
      <w:r w:rsidRPr="00541C52">
        <w:rPr>
          <w:rFonts w:ascii="Arial" w:hAnsi="Arial" w:cs="Arial"/>
          <w:color w:val="000000"/>
          <w:sz w:val="22"/>
          <w:szCs w:val="22"/>
          <w:lang w:eastAsia="en-US"/>
        </w:rPr>
        <w:t>etermination; and</w:t>
      </w:r>
    </w:p>
    <w:p w14:paraId="5B91E889" w14:textId="77777777" w:rsidR="00541C52" w:rsidRPr="00541C52" w:rsidRDefault="00541C52" w:rsidP="00541C52">
      <w:pPr>
        <w:ind w:left="567" w:hanging="567"/>
        <w:jc w:val="both"/>
        <w:rPr>
          <w:rFonts w:ascii="Arial" w:hAnsi="Arial" w:cs="Arial"/>
          <w:color w:val="000000"/>
          <w:sz w:val="22"/>
          <w:szCs w:val="22"/>
          <w:lang w:eastAsia="en-US"/>
        </w:rPr>
      </w:pPr>
    </w:p>
    <w:p w14:paraId="09589B15" w14:textId="132C1FC0" w:rsidR="00DC74D0" w:rsidRPr="00541C52" w:rsidRDefault="00DC74D0" w:rsidP="00541C52">
      <w:pPr>
        <w:numPr>
          <w:ilvl w:val="0"/>
          <w:numId w:val="20"/>
        </w:numPr>
        <w:ind w:left="567" w:hanging="567"/>
        <w:jc w:val="both"/>
        <w:rPr>
          <w:rFonts w:ascii="Arial" w:hAnsi="Arial" w:cs="Arial"/>
          <w:color w:val="000000"/>
          <w:sz w:val="22"/>
          <w:szCs w:val="22"/>
          <w:lang w:eastAsia="en-US"/>
        </w:rPr>
      </w:pPr>
      <w:r w:rsidRPr="00541C52">
        <w:rPr>
          <w:rFonts w:ascii="Arial" w:hAnsi="Arial" w:cs="Arial"/>
          <w:color w:val="000000"/>
          <w:sz w:val="22"/>
          <w:szCs w:val="22"/>
          <w:lang w:eastAsia="en-US"/>
        </w:rPr>
        <w:t>under subsection 11</w:t>
      </w:r>
      <w:proofErr w:type="gramStart"/>
      <w:r w:rsidRPr="00541C52">
        <w:rPr>
          <w:rFonts w:ascii="Arial" w:hAnsi="Arial" w:cs="Arial"/>
          <w:color w:val="000000"/>
          <w:sz w:val="22"/>
          <w:szCs w:val="22"/>
          <w:lang w:eastAsia="en-US"/>
        </w:rPr>
        <w:t>AF(</w:t>
      </w:r>
      <w:proofErr w:type="gramEnd"/>
      <w:r w:rsidRPr="00541C52">
        <w:rPr>
          <w:rFonts w:ascii="Arial" w:hAnsi="Arial" w:cs="Arial"/>
          <w:color w:val="000000"/>
          <w:sz w:val="22"/>
          <w:szCs w:val="22"/>
          <w:lang w:eastAsia="en-US"/>
        </w:rPr>
        <w:t xml:space="preserve">1) of the Act DETERMINE </w:t>
      </w:r>
      <w:r w:rsidRPr="00541C52">
        <w:rPr>
          <w:rFonts w:ascii="Arial" w:hAnsi="Arial" w:cs="Arial"/>
          <w:i/>
          <w:color w:val="000000"/>
          <w:sz w:val="22"/>
          <w:szCs w:val="22"/>
        </w:rPr>
        <w:t>Prudential Standard APS 310 Audit and Related Matters</w:t>
      </w:r>
      <w:r w:rsidRPr="00541C52">
        <w:rPr>
          <w:rFonts w:ascii="Arial" w:hAnsi="Arial" w:cs="Arial"/>
          <w:color w:val="000000"/>
          <w:sz w:val="22"/>
          <w:szCs w:val="22"/>
          <w:lang w:eastAsia="en-US"/>
        </w:rPr>
        <w:t xml:space="preserve">, in the form set out in the </w:t>
      </w:r>
      <w:r w:rsidR="00541C52">
        <w:rPr>
          <w:rFonts w:ascii="Arial" w:hAnsi="Arial" w:cs="Arial"/>
          <w:color w:val="000000"/>
          <w:sz w:val="22"/>
          <w:szCs w:val="22"/>
          <w:lang w:eastAsia="en-US"/>
        </w:rPr>
        <w:t>s</w:t>
      </w:r>
      <w:r w:rsidRPr="00541C52">
        <w:rPr>
          <w:rFonts w:ascii="Arial" w:hAnsi="Arial" w:cs="Arial"/>
          <w:color w:val="000000"/>
          <w:sz w:val="22"/>
          <w:szCs w:val="22"/>
          <w:lang w:eastAsia="en-US"/>
        </w:rPr>
        <w:t>chedule, which applies to all ADIs and authorised NOHCs to the extent provided in paragraphs 2 to 5 of the prudential standard.</w:t>
      </w:r>
    </w:p>
    <w:p w14:paraId="274219CC" w14:textId="77777777" w:rsidR="00DC74D0" w:rsidRPr="00541C52" w:rsidRDefault="00DC74D0" w:rsidP="00541C52">
      <w:pPr>
        <w:jc w:val="both"/>
        <w:rPr>
          <w:rFonts w:ascii="Arial" w:hAnsi="Arial" w:cs="Arial"/>
          <w:sz w:val="22"/>
          <w:szCs w:val="22"/>
        </w:rPr>
      </w:pPr>
    </w:p>
    <w:p w14:paraId="2DE45E2F" w14:textId="77777777" w:rsidR="00DC74D0" w:rsidRPr="00541C52" w:rsidRDefault="00DC74D0" w:rsidP="00541C52">
      <w:pPr>
        <w:jc w:val="both"/>
        <w:rPr>
          <w:rFonts w:ascii="Arial" w:hAnsi="Arial" w:cs="Arial"/>
          <w:sz w:val="22"/>
          <w:szCs w:val="22"/>
        </w:rPr>
      </w:pPr>
      <w:r w:rsidRPr="00541C52">
        <w:rPr>
          <w:rFonts w:ascii="Arial" w:hAnsi="Arial" w:cs="Arial"/>
          <w:sz w:val="22"/>
          <w:szCs w:val="22"/>
        </w:rPr>
        <w:t>This instrument commences on 1 January 2023.</w:t>
      </w:r>
    </w:p>
    <w:p w14:paraId="2CFDF7F5" w14:textId="77777777" w:rsidR="00DC74D0" w:rsidRPr="00541C52" w:rsidRDefault="00DC74D0" w:rsidP="00541C52">
      <w:pPr>
        <w:jc w:val="both"/>
        <w:rPr>
          <w:rFonts w:ascii="Arial" w:hAnsi="Arial" w:cs="Arial"/>
          <w:sz w:val="22"/>
          <w:szCs w:val="22"/>
        </w:rPr>
      </w:pPr>
    </w:p>
    <w:p w14:paraId="261E4567" w14:textId="642AD683" w:rsidR="00DC74D0" w:rsidRPr="00541C52" w:rsidRDefault="00DC74D0" w:rsidP="00541C52">
      <w:pPr>
        <w:jc w:val="both"/>
        <w:rPr>
          <w:rFonts w:ascii="Arial" w:hAnsi="Arial" w:cs="Arial"/>
          <w:sz w:val="22"/>
          <w:szCs w:val="22"/>
        </w:rPr>
      </w:pPr>
      <w:r w:rsidRPr="00541C52">
        <w:rPr>
          <w:rFonts w:ascii="Arial" w:hAnsi="Arial" w:cs="Arial"/>
          <w:sz w:val="22"/>
          <w:szCs w:val="22"/>
        </w:rPr>
        <w:t xml:space="preserve">Dated: </w:t>
      </w:r>
      <w:r w:rsidR="0016715F">
        <w:rPr>
          <w:rFonts w:ascii="Arial" w:hAnsi="Arial" w:cs="Arial"/>
          <w:sz w:val="22"/>
          <w:szCs w:val="22"/>
        </w:rPr>
        <w:t>1 December</w:t>
      </w:r>
      <w:r w:rsidRPr="00541C52">
        <w:rPr>
          <w:rFonts w:ascii="Arial" w:hAnsi="Arial" w:cs="Arial"/>
          <w:sz w:val="22"/>
          <w:szCs w:val="22"/>
        </w:rPr>
        <w:t xml:space="preserve"> 2022</w:t>
      </w:r>
    </w:p>
    <w:p w14:paraId="641CFEDE" w14:textId="77777777" w:rsidR="00DC74D0" w:rsidRPr="00541C52" w:rsidRDefault="00DC74D0" w:rsidP="00541C52">
      <w:pPr>
        <w:jc w:val="both"/>
        <w:rPr>
          <w:rFonts w:ascii="Arial" w:hAnsi="Arial" w:cs="Arial"/>
          <w:sz w:val="22"/>
          <w:szCs w:val="22"/>
        </w:rPr>
      </w:pPr>
    </w:p>
    <w:p w14:paraId="476A8575" w14:textId="77777777" w:rsidR="00DC74D0" w:rsidRPr="00541C52" w:rsidRDefault="00DC74D0" w:rsidP="00541C52">
      <w:pPr>
        <w:jc w:val="both"/>
        <w:rPr>
          <w:rFonts w:ascii="Arial" w:hAnsi="Arial" w:cs="Arial"/>
          <w:sz w:val="22"/>
          <w:szCs w:val="22"/>
        </w:rPr>
      </w:pPr>
      <w:r w:rsidRPr="0016715F">
        <w:rPr>
          <w:rFonts w:ascii="Arial" w:hAnsi="Arial" w:cs="Arial"/>
          <w:sz w:val="22"/>
          <w:szCs w:val="22"/>
        </w:rPr>
        <w:t>[Signed]</w:t>
      </w:r>
    </w:p>
    <w:p w14:paraId="5C8EA82D" w14:textId="77777777" w:rsidR="00DC74D0" w:rsidRPr="0089772C" w:rsidRDefault="00DC74D0" w:rsidP="00541C52">
      <w:pPr>
        <w:jc w:val="both"/>
      </w:pPr>
    </w:p>
    <w:p w14:paraId="7B82A3FD" w14:textId="77777777" w:rsidR="00DC74D0" w:rsidRPr="00DB2D4C" w:rsidRDefault="00DC74D0" w:rsidP="00541C52">
      <w:pPr>
        <w:pStyle w:val="NormalWeb"/>
        <w:spacing w:before="0" w:beforeAutospacing="0" w:after="0" w:afterAutospacing="0"/>
        <w:rPr>
          <w:rFonts w:ascii="Arial" w:hAnsi="Arial" w:cs="Arial"/>
          <w:sz w:val="22"/>
          <w:szCs w:val="22"/>
        </w:rPr>
      </w:pPr>
      <w:r w:rsidRPr="00DB2D4C">
        <w:rPr>
          <w:rFonts w:ascii="Arial" w:hAnsi="Arial" w:cs="Arial"/>
          <w:sz w:val="22"/>
          <w:szCs w:val="22"/>
        </w:rPr>
        <w:t>Renée Roberts</w:t>
      </w:r>
    </w:p>
    <w:p w14:paraId="5DDA14D3" w14:textId="77777777" w:rsidR="00DC74D0" w:rsidRPr="00DB2D4C" w:rsidRDefault="00DC74D0" w:rsidP="00541C52">
      <w:pPr>
        <w:pStyle w:val="NormalWeb"/>
        <w:spacing w:before="0" w:beforeAutospacing="0" w:after="0" w:afterAutospacing="0"/>
        <w:rPr>
          <w:rFonts w:ascii="Arial" w:hAnsi="Arial" w:cs="Arial"/>
          <w:sz w:val="22"/>
          <w:szCs w:val="22"/>
        </w:rPr>
      </w:pPr>
      <w:r w:rsidRPr="00DB2D4C">
        <w:rPr>
          <w:rFonts w:ascii="Arial" w:hAnsi="Arial" w:cs="Arial"/>
          <w:sz w:val="22"/>
          <w:szCs w:val="22"/>
        </w:rPr>
        <w:t>Executive Director</w:t>
      </w:r>
    </w:p>
    <w:p w14:paraId="125DBC7F" w14:textId="77777777" w:rsidR="00DC74D0" w:rsidRPr="00313453" w:rsidRDefault="00DC74D0" w:rsidP="00541C52">
      <w:pPr>
        <w:pStyle w:val="NormalWeb"/>
        <w:spacing w:before="0" w:beforeAutospacing="0" w:after="0" w:afterAutospacing="0"/>
        <w:rPr>
          <w:rFonts w:ascii="Arial" w:hAnsi="Arial" w:cs="Arial"/>
          <w:sz w:val="22"/>
          <w:szCs w:val="22"/>
        </w:rPr>
      </w:pPr>
      <w:r w:rsidRPr="00DB2D4C">
        <w:rPr>
          <w:rFonts w:ascii="Arial" w:hAnsi="Arial" w:cs="Arial"/>
          <w:sz w:val="22"/>
          <w:szCs w:val="22"/>
        </w:rPr>
        <w:t>Policy and Advice Division</w:t>
      </w:r>
    </w:p>
    <w:p w14:paraId="2730CE1C" w14:textId="77777777" w:rsidR="00DC74D0" w:rsidRPr="00541C52" w:rsidRDefault="00DC74D0" w:rsidP="00541C52">
      <w:pPr>
        <w:keepNext/>
        <w:spacing w:before="480"/>
        <w:rPr>
          <w:rFonts w:ascii="Arial" w:hAnsi="Arial" w:cs="Arial"/>
          <w:b/>
          <w:color w:val="000000"/>
          <w:sz w:val="22"/>
          <w:szCs w:val="22"/>
          <w:lang w:eastAsia="en-US"/>
        </w:rPr>
      </w:pPr>
      <w:r w:rsidRPr="00541C52">
        <w:rPr>
          <w:rFonts w:ascii="Arial" w:hAnsi="Arial" w:cs="Arial"/>
          <w:b/>
          <w:color w:val="000000"/>
          <w:sz w:val="22"/>
          <w:szCs w:val="22"/>
          <w:lang w:eastAsia="en-US"/>
        </w:rPr>
        <w:t>Interpretation</w:t>
      </w:r>
    </w:p>
    <w:p w14:paraId="165FC790" w14:textId="0B2D64E3" w:rsidR="00DC74D0" w:rsidRPr="00541C52" w:rsidRDefault="00DC74D0" w:rsidP="00541C52">
      <w:pPr>
        <w:keepNext/>
        <w:tabs>
          <w:tab w:val="right" w:pos="794"/>
        </w:tabs>
        <w:spacing w:before="120"/>
        <w:ind w:left="964" w:hanging="964"/>
        <w:jc w:val="both"/>
        <w:rPr>
          <w:rFonts w:ascii="Arial" w:hAnsi="Arial" w:cs="Arial"/>
          <w:color w:val="000000"/>
          <w:sz w:val="22"/>
          <w:szCs w:val="22"/>
          <w:lang w:eastAsia="en-US"/>
        </w:rPr>
      </w:pPr>
      <w:r w:rsidRPr="00541C52">
        <w:rPr>
          <w:rFonts w:ascii="Arial" w:hAnsi="Arial" w:cs="Arial"/>
          <w:color w:val="000000"/>
          <w:sz w:val="22"/>
          <w:szCs w:val="22"/>
          <w:lang w:eastAsia="en-US"/>
        </w:rPr>
        <w:t xml:space="preserve">In this </w:t>
      </w:r>
      <w:r w:rsidR="00541C52">
        <w:rPr>
          <w:rFonts w:ascii="Arial" w:hAnsi="Arial" w:cs="Arial"/>
          <w:color w:val="000000"/>
          <w:sz w:val="22"/>
          <w:szCs w:val="22"/>
          <w:lang w:eastAsia="en-US"/>
        </w:rPr>
        <w:t>instrument:</w:t>
      </w:r>
    </w:p>
    <w:p w14:paraId="2AE176DF" w14:textId="77777777" w:rsidR="00541C52" w:rsidRPr="00541C52" w:rsidRDefault="00541C52" w:rsidP="00541C52">
      <w:pPr>
        <w:spacing w:before="120"/>
        <w:jc w:val="both"/>
        <w:rPr>
          <w:rFonts w:ascii="Arial" w:hAnsi="Arial" w:cs="Arial"/>
          <w:color w:val="000000"/>
          <w:sz w:val="22"/>
          <w:szCs w:val="22"/>
          <w:lang w:eastAsia="en-US"/>
        </w:rPr>
      </w:pPr>
      <w:r w:rsidRPr="00541C52">
        <w:rPr>
          <w:rFonts w:ascii="Arial" w:hAnsi="Arial" w:cs="Arial"/>
          <w:b/>
          <w:i/>
          <w:color w:val="000000"/>
          <w:sz w:val="22"/>
          <w:szCs w:val="22"/>
          <w:lang w:eastAsia="en-US"/>
        </w:rPr>
        <w:t>APRA</w:t>
      </w:r>
      <w:r w:rsidRPr="00541C52">
        <w:rPr>
          <w:rFonts w:ascii="Arial" w:hAnsi="Arial" w:cs="Arial"/>
          <w:color w:val="000000"/>
          <w:sz w:val="22"/>
          <w:szCs w:val="22"/>
          <w:lang w:eastAsia="en-US"/>
        </w:rPr>
        <w:t xml:space="preserve"> means the Australian Prudential Regulation Authority.</w:t>
      </w:r>
    </w:p>
    <w:p w14:paraId="0EDD6616" w14:textId="43929E7F" w:rsidR="00DC74D0" w:rsidRPr="00541C52" w:rsidRDefault="00DC74D0" w:rsidP="00541C52">
      <w:pPr>
        <w:spacing w:before="120"/>
        <w:jc w:val="both"/>
        <w:rPr>
          <w:rFonts w:ascii="Arial" w:hAnsi="Arial" w:cs="Arial"/>
          <w:color w:val="000000"/>
          <w:sz w:val="22"/>
          <w:szCs w:val="22"/>
          <w:lang w:eastAsia="en-US"/>
        </w:rPr>
      </w:pPr>
      <w:r w:rsidRPr="00541C52">
        <w:rPr>
          <w:rFonts w:ascii="Arial" w:hAnsi="Arial" w:cs="Arial"/>
          <w:b/>
          <w:i/>
          <w:color w:val="000000"/>
          <w:sz w:val="22"/>
          <w:szCs w:val="22"/>
          <w:lang w:eastAsia="en-US"/>
        </w:rPr>
        <w:t xml:space="preserve">ADI </w:t>
      </w:r>
      <w:r w:rsidR="00541C52">
        <w:rPr>
          <w:rFonts w:ascii="Arial" w:hAnsi="Arial" w:cs="Arial"/>
          <w:color w:val="000000"/>
          <w:sz w:val="22"/>
          <w:szCs w:val="22"/>
          <w:lang w:eastAsia="en-US"/>
        </w:rPr>
        <w:t xml:space="preserve">and </w:t>
      </w:r>
      <w:r w:rsidRPr="00541C52">
        <w:rPr>
          <w:rFonts w:ascii="Arial" w:hAnsi="Arial" w:cs="Arial"/>
          <w:b/>
          <w:i/>
          <w:color w:val="000000"/>
          <w:sz w:val="22"/>
          <w:szCs w:val="22"/>
          <w:lang w:eastAsia="en-US"/>
        </w:rPr>
        <w:t>authorised NOHC</w:t>
      </w:r>
      <w:r w:rsidRPr="00541C52">
        <w:rPr>
          <w:rFonts w:ascii="Arial" w:hAnsi="Arial" w:cs="Arial"/>
          <w:color w:val="000000"/>
          <w:sz w:val="22"/>
          <w:szCs w:val="22"/>
          <w:lang w:eastAsia="en-US"/>
        </w:rPr>
        <w:t xml:space="preserve"> </w:t>
      </w:r>
      <w:r w:rsidR="00541C52">
        <w:rPr>
          <w:rFonts w:ascii="Arial" w:hAnsi="Arial" w:cs="Arial"/>
          <w:color w:val="000000"/>
          <w:sz w:val="22"/>
          <w:szCs w:val="22"/>
          <w:lang w:eastAsia="en-US"/>
        </w:rPr>
        <w:t xml:space="preserve">have their respective meanings </w:t>
      </w:r>
      <w:r w:rsidRPr="00541C52">
        <w:rPr>
          <w:rFonts w:ascii="Arial" w:hAnsi="Arial" w:cs="Arial"/>
          <w:color w:val="000000"/>
          <w:sz w:val="22"/>
          <w:szCs w:val="22"/>
          <w:lang w:eastAsia="en-US"/>
        </w:rPr>
        <w:t>given in section 5 of the Act.</w:t>
      </w:r>
    </w:p>
    <w:p w14:paraId="4E89BB4D" w14:textId="75E44C3F" w:rsidR="009D67ED" w:rsidRDefault="009D67ED">
      <w:pPr>
        <w:rPr>
          <w:rFonts w:ascii="Arial" w:hAnsi="Arial" w:cs="Arial"/>
          <w:b/>
          <w:bCs/>
          <w:color w:val="000000"/>
          <w:sz w:val="22"/>
          <w:szCs w:val="22"/>
        </w:rPr>
      </w:pPr>
      <w:r>
        <w:rPr>
          <w:rFonts w:ascii="Arial" w:hAnsi="Arial" w:cs="Arial"/>
          <w:b/>
          <w:bCs/>
          <w:color w:val="000000"/>
          <w:sz w:val="22"/>
          <w:szCs w:val="22"/>
        </w:rPr>
        <w:br w:type="page"/>
      </w:r>
    </w:p>
    <w:p w14:paraId="5EA20EE4" w14:textId="77777777" w:rsidR="009D67ED" w:rsidRPr="00541C52" w:rsidRDefault="009D67ED" w:rsidP="009D67ED">
      <w:pPr>
        <w:keepNext/>
        <w:autoSpaceDE w:val="0"/>
        <w:autoSpaceDN w:val="0"/>
        <w:rPr>
          <w:rFonts w:ascii="Arial" w:hAnsi="Arial" w:cs="Arial"/>
          <w:b/>
          <w:bCs/>
          <w:color w:val="000000"/>
          <w:sz w:val="32"/>
          <w:szCs w:val="32"/>
        </w:rPr>
      </w:pPr>
      <w:r w:rsidRPr="00541C52">
        <w:rPr>
          <w:rFonts w:ascii="Arial" w:hAnsi="Arial" w:cs="Arial"/>
          <w:b/>
          <w:bCs/>
          <w:color w:val="000000"/>
          <w:sz w:val="32"/>
          <w:szCs w:val="32"/>
        </w:rPr>
        <w:lastRenderedPageBreak/>
        <w:t xml:space="preserve">Schedule </w:t>
      </w:r>
    </w:p>
    <w:p w14:paraId="0A2223D0" w14:textId="77777777" w:rsidR="009D67ED" w:rsidRPr="00541C52" w:rsidRDefault="009D67ED" w:rsidP="009D67ED">
      <w:pPr>
        <w:keepNext/>
        <w:autoSpaceDE w:val="0"/>
        <w:autoSpaceDN w:val="0"/>
        <w:ind w:left="2410"/>
        <w:rPr>
          <w:rFonts w:ascii="Arial" w:hAnsi="Arial" w:cs="Arial"/>
          <w:color w:val="000000"/>
          <w:sz w:val="18"/>
          <w:szCs w:val="18"/>
        </w:rPr>
      </w:pPr>
    </w:p>
    <w:p w14:paraId="5AC49404" w14:textId="77777777" w:rsidR="009D67ED" w:rsidRPr="00541C52" w:rsidRDefault="009D67ED" w:rsidP="009D67ED">
      <w:pPr>
        <w:tabs>
          <w:tab w:val="center" w:pos="4153"/>
          <w:tab w:val="right" w:pos="8306"/>
        </w:tabs>
        <w:jc w:val="both"/>
        <w:rPr>
          <w:rFonts w:ascii="Arial" w:hAnsi="Arial" w:cs="Arial"/>
          <w:sz w:val="22"/>
          <w:szCs w:val="22"/>
        </w:rPr>
      </w:pPr>
      <w:r w:rsidRPr="00541C52">
        <w:rPr>
          <w:rFonts w:ascii="Arial" w:hAnsi="Arial" w:cs="Arial"/>
          <w:i/>
          <w:color w:val="000000"/>
          <w:sz w:val="22"/>
          <w:szCs w:val="22"/>
        </w:rPr>
        <w:t xml:space="preserve">Prudential Standard APS 310 Audit and Related Matters </w:t>
      </w:r>
      <w:r w:rsidRPr="00541C52">
        <w:rPr>
          <w:rFonts w:ascii="Arial" w:hAnsi="Arial" w:cs="Arial"/>
          <w:bCs/>
          <w:sz w:val="22"/>
          <w:szCs w:val="22"/>
        </w:rPr>
        <w:t>comprises the document commencing on the following page.</w:t>
      </w:r>
    </w:p>
    <w:p w14:paraId="524DF2A4" w14:textId="77777777" w:rsidR="001E5908" w:rsidRPr="00541C52" w:rsidRDefault="001E5908" w:rsidP="00541C52">
      <w:pPr>
        <w:keepNext/>
        <w:autoSpaceDE w:val="0"/>
        <w:autoSpaceDN w:val="0"/>
        <w:spacing w:before="120"/>
        <w:rPr>
          <w:rFonts w:ascii="Arial" w:hAnsi="Arial" w:cs="Arial"/>
          <w:b/>
          <w:bCs/>
          <w:color w:val="000000"/>
          <w:sz w:val="22"/>
          <w:szCs w:val="22"/>
        </w:rPr>
        <w:sectPr w:rsidR="001E5908" w:rsidRPr="00541C52" w:rsidSect="00541C52">
          <w:footerReference w:type="default" r:id="rId14"/>
          <w:pgSz w:w="11906" w:h="16838"/>
          <w:pgMar w:top="1440" w:right="1440" w:bottom="1440" w:left="1440" w:header="708" w:footer="708" w:gutter="0"/>
          <w:pgNumType w:start="1"/>
          <w:cols w:space="708"/>
          <w:titlePg/>
          <w:docGrid w:linePitch="360"/>
        </w:sectPr>
      </w:pPr>
    </w:p>
    <w:bookmarkEnd w:id="1"/>
    <w:p w14:paraId="1E96E282" w14:textId="24F0F6B9" w:rsidR="003B58F5" w:rsidRPr="00E746C9" w:rsidRDefault="003B58F5" w:rsidP="003B58F5">
      <w:pPr>
        <w:pStyle w:val="Heading"/>
        <w:tabs>
          <w:tab w:val="left" w:pos="9000"/>
        </w:tabs>
        <w:jc w:val="center"/>
        <w:rPr>
          <w:sz w:val="24"/>
          <w:szCs w:val="24"/>
        </w:rPr>
      </w:pPr>
      <w:r>
        <w:rPr>
          <w:noProof/>
        </w:rPr>
        <w:lastRenderedPageBreak/>
        <w:drawing>
          <wp:anchor distT="0" distB="0" distL="114300" distR="114300" simplePos="0" relativeHeight="251658240" behindDoc="0" locked="0" layoutInCell="1" allowOverlap="1" wp14:anchorId="70AB82CF" wp14:editId="3362988A">
            <wp:simplePos x="0" y="0"/>
            <wp:positionH relativeFrom="column">
              <wp:align>left</wp:align>
            </wp:positionH>
            <wp:positionV relativeFrom="paragraph">
              <wp:posOffset>0</wp:posOffset>
            </wp:positionV>
            <wp:extent cx="1419225" cy="1104900"/>
            <wp:effectExtent l="0" t="0" r="0" b="0"/>
            <wp:wrapSquare wrapText="right"/>
            <wp:docPr id="2"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monwealth Coat of Arms"/>
                    <pic:cNvPicPr>
                      <a:picLocks noChangeAspect="1" noChangeArrowheads="1"/>
                    </pic:cNvPicPr>
                  </pic:nvPicPr>
                  <pic:blipFill>
                    <a:blip r:embed="rId13" cstate="print"/>
                    <a:srcRect/>
                    <a:stretch>
                      <a:fillRect/>
                    </a:stretch>
                  </pic:blipFill>
                  <pic:spPr bwMode="auto">
                    <a:xfrm>
                      <a:off x="0" y="0"/>
                      <a:ext cx="1419225" cy="1104900"/>
                    </a:xfrm>
                    <a:prstGeom prst="rect">
                      <a:avLst/>
                    </a:prstGeom>
                    <a:noFill/>
                    <a:ln w="9525">
                      <a:noFill/>
                      <a:miter lim="800000"/>
                      <a:headEnd/>
                      <a:tailEnd/>
                    </a:ln>
                  </pic:spPr>
                </pic:pic>
              </a:graphicData>
            </a:graphic>
          </wp:anchor>
        </w:drawing>
      </w:r>
      <w:bookmarkEnd w:id="2"/>
      <w:bookmarkEnd w:id="3"/>
      <w:bookmarkEnd w:id="4"/>
      <w:bookmarkEnd w:id="5"/>
      <w:bookmarkEnd w:id="6"/>
      <w:bookmarkEnd w:id="7"/>
      <w:bookmarkEnd w:id="8"/>
      <w:bookmarkEnd w:id="9"/>
      <w:bookmarkEnd w:id="10"/>
    </w:p>
    <w:p w14:paraId="1D7C48A1" w14:textId="77777777" w:rsidR="003B58F5" w:rsidRPr="00D3302E" w:rsidRDefault="003B58F5" w:rsidP="003B58F5">
      <w:pPr>
        <w:pStyle w:val="Heading1"/>
        <w:tabs>
          <w:tab w:val="left" w:pos="9000"/>
        </w:tabs>
        <w:spacing w:before="100" w:beforeAutospacing="1" w:after="240"/>
        <w:jc w:val="both"/>
        <w:rPr>
          <w:rFonts w:ascii="Trebuchet MS" w:hAnsi="Trebuchet MS"/>
          <w:sz w:val="40"/>
          <w:szCs w:val="40"/>
        </w:rPr>
      </w:pPr>
      <w:r>
        <w:rPr>
          <w:b w:val="0"/>
          <w:sz w:val="40"/>
          <w:szCs w:val="40"/>
        </w:rPr>
        <w:t xml:space="preserve">        </w:t>
      </w:r>
    </w:p>
    <w:p w14:paraId="43FB1331" w14:textId="77777777" w:rsidR="003B58F5" w:rsidRPr="00E746C9" w:rsidRDefault="003B58F5" w:rsidP="003B58F5">
      <w:pPr>
        <w:pStyle w:val="Heading1"/>
        <w:tabs>
          <w:tab w:val="left" w:pos="9000"/>
        </w:tabs>
        <w:spacing w:before="100" w:beforeAutospacing="1" w:after="240"/>
        <w:jc w:val="both"/>
        <w:rPr>
          <w:sz w:val="40"/>
          <w:szCs w:val="40"/>
        </w:rPr>
      </w:pPr>
    </w:p>
    <w:p w14:paraId="121C1C50" w14:textId="77777777" w:rsidR="003B58F5" w:rsidRPr="00BB18D6" w:rsidRDefault="003B58F5" w:rsidP="003B58F5">
      <w:pPr>
        <w:tabs>
          <w:tab w:val="left" w:pos="9000"/>
        </w:tabs>
        <w:spacing w:before="120" w:after="240"/>
        <w:rPr>
          <w:rFonts w:ascii="Arial" w:hAnsi="Arial" w:cs="Arial"/>
          <w:b/>
          <w:sz w:val="40"/>
          <w:szCs w:val="40"/>
        </w:rPr>
      </w:pPr>
      <w:bookmarkStart w:id="13" w:name="_Toc207424942"/>
      <w:r w:rsidRPr="00BB18D6">
        <w:rPr>
          <w:rFonts w:ascii="Arial" w:hAnsi="Arial" w:cs="Arial"/>
          <w:b/>
          <w:sz w:val="40"/>
          <w:szCs w:val="40"/>
        </w:rPr>
        <w:t xml:space="preserve">Prudential Standard </w:t>
      </w:r>
      <w:smartTag w:uri="urn:schemas-microsoft-com:office:smarttags" w:element="stockticker">
        <w:r w:rsidRPr="00BB18D6">
          <w:rPr>
            <w:rFonts w:ascii="Arial" w:hAnsi="Arial" w:cs="Arial"/>
            <w:b/>
            <w:sz w:val="40"/>
            <w:szCs w:val="40"/>
          </w:rPr>
          <w:t>APS</w:t>
        </w:r>
      </w:smartTag>
      <w:r w:rsidRPr="00BB18D6">
        <w:rPr>
          <w:rFonts w:ascii="Arial" w:hAnsi="Arial" w:cs="Arial"/>
          <w:b/>
          <w:sz w:val="40"/>
          <w:szCs w:val="40"/>
        </w:rPr>
        <w:t xml:space="preserve"> 310</w:t>
      </w:r>
      <w:bookmarkEnd w:id="13"/>
    </w:p>
    <w:p w14:paraId="5B76F6E9" w14:textId="77777777" w:rsidR="003B58F5" w:rsidRPr="00E746C9" w:rsidRDefault="003B58F5" w:rsidP="003B58F5">
      <w:pPr>
        <w:tabs>
          <w:tab w:val="left" w:pos="9000"/>
        </w:tabs>
        <w:spacing w:before="120" w:after="240"/>
      </w:pPr>
      <w:bookmarkStart w:id="14" w:name="_Toc168113230"/>
      <w:bookmarkStart w:id="15" w:name="_Toc207424943"/>
      <w:r w:rsidRPr="00BB18D6">
        <w:rPr>
          <w:rFonts w:ascii="Arial" w:hAnsi="Arial" w:cs="Arial"/>
          <w:b/>
          <w:sz w:val="40"/>
          <w:szCs w:val="40"/>
        </w:rPr>
        <w:t>Audit and Related Matters</w:t>
      </w:r>
      <w:bookmarkEnd w:id="14"/>
      <w:bookmarkEnd w:id="15"/>
    </w:p>
    <w:p w14:paraId="7DEB3E47" w14:textId="77777777" w:rsidR="003B58F5" w:rsidRPr="00E746C9" w:rsidRDefault="003B58F5" w:rsidP="0089772C">
      <w:pPr>
        <w:pBdr>
          <w:top w:val="single" w:sz="4" w:space="1" w:color="auto"/>
          <w:left w:val="single" w:sz="4" w:space="4" w:color="auto"/>
          <w:bottom w:val="single" w:sz="4" w:space="8" w:color="auto"/>
          <w:right w:val="single" w:sz="4" w:space="4" w:color="auto"/>
        </w:pBdr>
        <w:shd w:val="clear" w:color="auto" w:fill="E6E6E6"/>
        <w:tabs>
          <w:tab w:val="left" w:pos="9000"/>
        </w:tabs>
        <w:spacing w:before="120" w:after="360"/>
        <w:jc w:val="both"/>
        <w:rPr>
          <w:rFonts w:ascii="Arial" w:hAnsi="Arial" w:cs="Arial"/>
          <w:b/>
          <w:sz w:val="32"/>
          <w:szCs w:val="32"/>
        </w:rPr>
      </w:pPr>
      <w:r w:rsidRPr="00E746C9">
        <w:rPr>
          <w:rFonts w:ascii="Arial" w:hAnsi="Arial" w:cs="Arial"/>
          <w:b/>
          <w:sz w:val="32"/>
          <w:szCs w:val="32"/>
        </w:rPr>
        <w:t>Objectives and key requirements of this Prudential Standard</w:t>
      </w:r>
    </w:p>
    <w:p w14:paraId="44C130BD" w14:textId="77777777" w:rsidR="003B58F5" w:rsidRPr="00D62081" w:rsidRDefault="003B58F5" w:rsidP="0089772C">
      <w:pPr>
        <w:pBdr>
          <w:top w:val="single" w:sz="4" w:space="1" w:color="auto"/>
          <w:left w:val="single" w:sz="4" w:space="4" w:color="auto"/>
          <w:bottom w:val="single" w:sz="4" w:space="8" w:color="auto"/>
          <w:right w:val="single" w:sz="4" w:space="4" w:color="auto"/>
        </w:pBdr>
        <w:shd w:val="clear" w:color="auto" w:fill="E6E6E6"/>
        <w:tabs>
          <w:tab w:val="left" w:pos="9000"/>
        </w:tabs>
        <w:spacing w:after="240"/>
        <w:jc w:val="both"/>
      </w:pPr>
      <w:r w:rsidRPr="00D62081">
        <w:t>This Prudential Standard requires an authorised deposit-taking institution (ADI) to ensure that APRA has access to independent advice from an auditor relating to the operations, internal controls and information provided to APRA in respect of that ADI. In addition, the standard sets out requirements for the roles and responsibilities of the appointed auditor.</w:t>
      </w:r>
    </w:p>
    <w:p w14:paraId="4277A1BF" w14:textId="77777777" w:rsidR="003B58F5" w:rsidRPr="00D62081" w:rsidRDefault="003B58F5" w:rsidP="0089772C">
      <w:pPr>
        <w:pBdr>
          <w:top w:val="single" w:sz="4" w:space="1" w:color="auto"/>
          <w:left w:val="single" w:sz="4" w:space="4" w:color="auto"/>
          <w:bottom w:val="single" w:sz="4" w:space="8" w:color="auto"/>
          <w:right w:val="single" w:sz="4" w:space="4" w:color="auto"/>
        </w:pBdr>
        <w:shd w:val="clear" w:color="auto" w:fill="E6E6E6"/>
        <w:tabs>
          <w:tab w:val="left" w:pos="9000"/>
        </w:tabs>
        <w:spacing w:after="240"/>
        <w:jc w:val="both"/>
      </w:pPr>
      <w:r w:rsidRPr="00D62081">
        <w:t>The key requirements of this Prudential Standard, are that an ADI must, on a Level 1 and Level 2 basis:</w:t>
      </w:r>
    </w:p>
    <w:p w14:paraId="0284E320" w14:textId="77777777" w:rsidR="003B58F5" w:rsidRPr="00D62081" w:rsidRDefault="003B58F5" w:rsidP="0089772C">
      <w:pPr>
        <w:pBdr>
          <w:top w:val="single" w:sz="4" w:space="1" w:color="auto"/>
          <w:left w:val="single" w:sz="4" w:space="4" w:color="auto"/>
          <w:bottom w:val="single" w:sz="4" w:space="8" w:color="auto"/>
          <w:right w:val="single" w:sz="4" w:space="4" w:color="auto"/>
        </w:pBdr>
        <w:shd w:val="clear" w:color="auto" w:fill="E6E6E6"/>
        <w:tabs>
          <w:tab w:val="left" w:pos="9000"/>
        </w:tabs>
        <w:spacing w:after="240"/>
        <w:ind w:left="540" w:hanging="540"/>
        <w:jc w:val="both"/>
      </w:pPr>
      <w:r w:rsidRPr="00D62081">
        <w:t>(</w:t>
      </w:r>
      <w:proofErr w:type="spellStart"/>
      <w:r w:rsidRPr="00D62081">
        <w:t>i</w:t>
      </w:r>
      <w:proofErr w:type="spellEnd"/>
      <w:r w:rsidRPr="00D62081">
        <w:t>)</w:t>
      </w:r>
      <w:r w:rsidRPr="00D62081">
        <w:tab/>
        <w:t>appoint an auditor to undertake the functions set out in this Prudential Standard; and</w:t>
      </w:r>
    </w:p>
    <w:p w14:paraId="3F09E1B8" w14:textId="77777777" w:rsidR="003B58F5" w:rsidRPr="00E746C9" w:rsidRDefault="003B58F5" w:rsidP="0089772C">
      <w:pPr>
        <w:pBdr>
          <w:top w:val="single" w:sz="4" w:space="1" w:color="auto"/>
          <w:left w:val="single" w:sz="4" w:space="4" w:color="auto"/>
          <w:bottom w:val="single" w:sz="4" w:space="8" w:color="auto"/>
          <w:right w:val="single" w:sz="4" w:space="4" w:color="auto"/>
        </w:pBdr>
        <w:shd w:val="clear" w:color="auto" w:fill="E6E6E6"/>
        <w:tabs>
          <w:tab w:val="left" w:pos="9000"/>
        </w:tabs>
        <w:spacing w:after="240"/>
        <w:ind w:left="540" w:hanging="540"/>
        <w:jc w:val="both"/>
      </w:pPr>
      <w:r w:rsidRPr="00D62081">
        <w:t>(ii)</w:t>
      </w:r>
      <w:r w:rsidRPr="00D62081">
        <w:tab/>
        <w:t>ensure that, as appropriate, the appointed auditor is able to fulfil its responsibilities in accordance with this Prudential Standard.</w:t>
      </w:r>
      <w:r>
        <w:t xml:space="preserve"> </w:t>
      </w:r>
    </w:p>
    <w:p w14:paraId="7925384B" w14:textId="77777777" w:rsidR="003B58F5" w:rsidRPr="00E746C9" w:rsidRDefault="003B58F5" w:rsidP="003B58F5">
      <w:pPr>
        <w:tabs>
          <w:tab w:val="left" w:pos="9000"/>
        </w:tabs>
      </w:pPr>
    </w:p>
    <w:p w14:paraId="23ED8E08" w14:textId="77777777" w:rsidR="003B58F5" w:rsidRPr="00E746C9" w:rsidRDefault="003B58F5" w:rsidP="003B58F5">
      <w:pPr>
        <w:tabs>
          <w:tab w:val="left" w:pos="9000"/>
        </w:tabs>
      </w:pPr>
    </w:p>
    <w:p w14:paraId="6B6E9B40" w14:textId="77777777" w:rsidR="003B58F5" w:rsidRPr="00E746C9" w:rsidRDefault="003B58F5" w:rsidP="003B58F5">
      <w:pPr>
        <w:tabs>
          <w:tab w:val="left" w:pos="9000"/>
        </w:tabs>
        <w:sectPr w:rsidR="003B58F5" w:rsidRPr="00E746C9" w:rsidSect="001E5908">
          <w:headerReference w:type="default" r:id="rId15"/>
          <w:footerReference w:type="default" r:id="rId16"/>
          <w:headerReference w:type="first" r:id="rId17"/>
          <w:footerReference w:type="first" r:id="rId18"/>
          <w:pgSz w:w="11906" w:h="16838"/>
          <w:pgMar w:top="1440" w:right="1800" w:bottom="1440" w:left="1800" w:header="708" w:footer="708" w:gutter="0"/>
          <w:pgNumType w:start="1"/>
          <w:cols w:space="708"/>
          <w:titlePg/>
          <w:docGrid w:linePitch="360"/>
        </w:sectPr>
      </w:pPr>
    </w:p>
    <w:p w14:paraId="0D46D7FF" w14:textId="77777777" w:rsidR="003B58F5" w:rsidRPr="0021092D" w:rsidRDefault="003B58F5" w:rsidP="003B58F5">
      <w:pPr>
        <w:tabs>
          <w:tab w:val="left" w:pos="9000"/>
        </w:tabs>
        <w:spacing w:after="240"/>
        <w:rPr>
          <w:rFonts w:ascii="Arial" w:hAnsi="Arial" w:cs="Arial"/>
          <w:b/>
        </w:rPr>
      </w:pPr>
      <w:r w:rsidRPr="00E746C9">
        <w:rPr>
          <w:rFonts w:ascii="Arial" w:hAnsi="Arial" w:cs="Arial"/>
          <w:b/>
        </w:rPr>
        <w:lastRenderedPageBreak/>
        <w:t>Table of contents</w:t>
      </w:r>
    </w:p>
    <w:p w14:paraId="71D8FAEB" w14:textId="77777777" w:rsidR="003B58F5" w:rsidRDefault="003B58F5" w:rsidP="003B58F5">
      <w:pPr>
        <w:pStyle w:val="TOC2"/>
        <w:tabs>
          <w:tab w:val="left" w:pos="9000"/>
        </w:tabs>
      </w:pPr>
    </w:p>
    <w:p w14:paraId="2C1F0CCC" w14:textId="77777777" w:rsidR="00E7738B" w:rsidRPr="00324ECD" w:rsidRDefault="00F4022B" w:rsidP="00E605B2">
      <w:pPr>
        <w:pStyle w:val="TOC1"/>
        <w:ind w:left="0"/>
        <w:rPr>
          <w:rFonts w:asciiTheme="minorHAnsi" w:eastAsiaTheme="minorEastAsia" w:hAnsiTheme="minorHAnsi" w:cstheme="minorBidi"/>
          <w:b w:val="0"/>
          <w:noProof/>
          <w:kern w:val="0"/>
          <w:sz w:val="22"/>
          <w:szCs w:val="22"/>
        </w:rPr>
      </w:pPr>
      <w:r w:rsidRPr="00324ECD">
        <w:rPr>
          <w:rFonts w:ascii="Times New Roman" w:hAnsi="Times New Roman" w:cs="Times New Roman"/>
          <w:b w:val="0"/>
          <w:i/>
          <w:noProof/>
        </w:rPr>
        <w:fldChar w:fldCharType="begin"/>
      </w:r>
      <w:r w:rsidR="003B58F5" w:rsidRPr="00324ECD">
        <w:rPr>
          <w:rFonts w:ascii="Times New Roman" w:hAnsi="Times New Roman" w:cs="Times New Roman"/>
          <w:b w:val="0"/>
          <w:i/>
        </w:rPr>
        <w:instrText xml:space="preserve"> TOC \o "1-1" \h \z \u </w:instrText>
      </w:r>
      <w:r w:rsidRPr="00324ECD">
        <w:rPr>
          <w:rFonts w:ascii="Times New Roman" w:hAnsi="Times New Roman" w:cs="Times New Roman"/>
          <w:b w:val="0"/>
          <w:i/>
          <w:noProof/>
        </w:rPr>
        <w:fldChar w:fldCharType="separate"/>
      </w:r>
      <w:hyperlink w:anchor="_Toc404607302" w:history="1">
        <w:r w:rsidR="00E7738B" w:rsidRPr="00324ECD">
          <w:rPr>
            <w:rStyle w:val="Hyperlink"/>
            <w:b w:val="0"/>
            <w:noProof/>
          </w:rPr>
          <w:t>Authority</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_Toc404607302 \h </w:instrText>
        </w:r>
        <w:r w:rsidR="00E7738B" w:rsidRPr="00324ECD">
          <w:rPr>
            <w:b w:val="0"/>
            <w:noProof/>
            <w:webHidden/>
          </w:rPr>
        </w:r>
        <w:r w:rsidR="00E7738B" w:rsidRPr="00324ECD">
          <w:rPr>
            <w:b w:val="0"/>
            <w:noProof/>
            <w:webHidden/>
          </w:rPr>
          <w:fldChar w:fldCharType="separate"/>
        </w:r>
        <w:r w:rsidR="001813C8">
          <w:rPr>
            <w:b w:val="0"/>
            <w:noProof/>
            <w:webHidden/>
          </w:rPr>
          <w:t>3</w:t>
        </w:r>
        <w:r w:rsidR="00E7738B" w:rsidRPr="00324ECD">
          <w:rPr>
            <w:b w:val="0"/>
            <w:noProof/>
            <w:webHidden/>
          </w:rPr>
          <w:fldChar w:fldCharType="end"/>
        </w:r>
      </w:hyperlink>
    </w:p>
    <w:p w14:paraId="3E3AB8AA"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03" w:history="1">
        <w:r w:rsidR="00E7738B" w:rsidRPr="00324ECD">
          <w:rPr>
            <w:rStyle w:val="Hyperlink"/>
            <w:b w:val="0"/>
            <w:noProof/>
          </w:rPr>
          <w:t>Application</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_Toc404607303 \h </w:instrText>
        </w:r>
        <w:r w:rsidR="00E7738B" w:rsidRPr="00324ECD">
          <w:rPr>
            <w:b w:val="0"/>
            <w:noProof/>
            <w:webHidden/>
          </w:rPr>
        </w:r>
        <w:r w:rsidR="00E7738B" w:rsidRPr="00324ECD">
          <w:rPr>
            <w:b w:val="0"/>
            <w:noProof/>
            <w:webHidden/>
          </w:rPr>
          <w:fldChar w:fldCharType="separate"/>
        </w:r>
        <w:r w:rsidR="001813C8">
          <w:rPr>
            <w:b w:val="0"/>
            <w:noProof/>
            <w:webHidden/>
          </w:rPr>
          <w:t>3</w:t>
        </w:r>
        <w:r w:rsidR="00E7738B" w:rsidRPr="00324ECD">
          <w:rPr>
            <w:b w:val="0"/>
            <w:noProof/>
            <w:webHidden/>
          </w:rPr>
          <w:fldChar w:fldCharType="end"/>
        </w:r>
      </w:hyperlink>
    </w:p>
    <w:p w14:paraId="6DCB2154"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04" w:history="1">
        <w:r w:rsidR="00E7738B" w:rsidRPr="00324ECD">
          <w:rPr>
            <w:rStyle w:val="Hyperlink"/>
            <w:b w:val="0"/>
            <w:noProof/>
          </w:rPr>
          <w:t>Interpretation</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_Toc404607304 \h </w:instrText>
        </w:r>
        <w:r w:rsidR="00E7738B" w:rsidRPr="00324ECD">
          <w:rPr>
            <w:b w:val="0"/>
            <w:noProof/>
            <w:webHidden/>
          </w:rPr>
        </w:r>
        <w:r w:rsidR="00E7738B" w:rsidRPr="00324ECD">
          <w:rPr>
            <w:b w:val="0"/>
            <w:noProof/>
            <w:webHidden/>
          </w:rPr>
          <w:fldChar w:fldCharType="separate"/>
        </w:r>
        <w:r w:rsidR="001813C8">
          <w:rPr>
            <w:b w:val="0"/>
            <w:noProof/>
            <w:webHidden/>
          </w:rPr>
          <w:t>3</w:t>
        </w:r>
        <w:r w:rsidR="00E7738B" w:rsidRPr="00324ECD">
          <w:rPr>
            <w:b w:val="0"/>
            <w:noProof/>
            <w:webHidden/>
          </w:rPr>
          <w:fldChar w:fldCharType="end"/>
        </w:r>
      </w:hyperlink>
    </w:p>
    <w:p w14:paraId="24CA8FF9"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05" w:history="1">
        <w:r w:rsidR="00E7738B" w:rsidRPr="00324ECD">
          <w:rPr>
            <w:rStyle w:val="Hyperlink"/>
            <w:b w:val="0"/>
            <w:noProof/>
          </w:rPr>
          <w:t>Scope</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_Toc404607305 \h </w:instrText>
        </w:r>
        <w:r w:rsidR="00E7738B" w:rsidRPr="00324ECD">
          <w:rPr>
            <w:b w:val="0"/>
            <w:noProof/>
            <w:webHidden/>
          </w:rPr>
        </w:r>
        <w:r w:rsidR="00E7738B" w:rsidRPr="00324ECD">
          <w:rPr>
            <w:b w:val="0"/>
            <w:noProof/>
            <w:webHidden/>
          </w:rPr>
          <w:fldChar w:fldCharType="separate"/>
        </w:r>
        <w:r w:rsidR="001813C8">
          <w:rPr>
            <w:b w:val="0"/>
            <w:noProof/>
            <w:webHidden/>
          </w:rPr>
          <w:t>4</w:t>
        </w:r>
        <w:r w:rsidR="00E7738B" w:rsidRPr="00324ECD">
          <w:rPr>
            <w:b w:val="0"/>
            <w:noProof/>
            <w:webHidden/>
          </w:rPr>
          <w:fldChar w:fldCharType="end"/>
        </w:r>
      </w:hyperlink>
    </w:p>
    <w:p w14:paraId="0A02120F"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06" w:history="1">
        <w:r w:rsidR="00E7738B" w:rsidRPr="00324ECD">
          <w:rPr>
            <w:rStyle w:val="Hyperlink"/>
            <w:b w:val="0"/>
            <w:noProof/>
          </w:rPr>
          <w:t>General requirements</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_Toc404607306 \h </w:instrText>
        </w:r>
        <w:r w:rsidR="00E7738B" w:rsidRPr="00324ECD">
          <w:rPr>
            <w:b w:val="0"/>
            <w:noProof/>
            <w:webHidden/>
          </w:rPr>
        </w:r>
        <w:r w:rsidR="00E7738B" w:rsidRPr="00324ECD">
          <w:rPr>
            <w:b w:val="0"/>
            <w:noProof/>
            <w:webHidden/>
          </w:rPr>
          <w:fldChar w:fldCharType="separate"/>
        </w:r>
        <w:r w:rsidR="001813C8">
          <w:rPr>
            <w:b w:val="0"/>
            <w:noProof/>
            <w:webHidden/>
          </w:rPr>
          <w:t>4</w:t>
        </w:r>
        <w:r w:rsidR="00E7738B" w:rsidRPr="00324ECD">
          <w:rPr>
            <w:b w:val="0"/>
            <w:noProof/>
            <w:webHidden/>
          </w:rPr>
          <w:fldChar w:fldCharType="end"/>
        </w:r>
      </w:hyperlink>
    </w:p>
    <w:p w14:paraId="0C7B91AF"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07" w:history="1">
        <w:r w:rsidR="00E7738B" w:rsidRPr="00324ECD">
          <w:rPr>
            <w:rStyle w:val="Hyperlink"/>
            <w:b w:val="0"/>
            <w:noProof/>
          </w:rPr>
          <w:t>Fitness and propriety of the appointed auditor</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_Toc404607307 \h </w:instrText>
        </w:r>
        <w:r w:rsidR="00E7738B" w:rsidRPr="00324ECD">
          <w:rPr>
            <w:b w:val="0"/>
            <w:noProof/>
            <w:webHidden/>
          </w:rPr>
        </w:r>
        <w:r w:rsidR="00E7738B" w:rsidRPr="00324ECD">
          <w:rPr>
            <w:b w:val="0"/>
            <w:noProof/>
            <w:webHidden/>
          </w:rPr>
          <w:fldChar w:fldCharType="separate"/>
        </w:r>
        <w:r w:rsidR="001813C8">
          <w:rPr>
            <w:b w:val="0"/>
            <w:noProof/>
            <w:webHidden/>
          </w:rPr>
          <w:t>5</w:t>
        </w:r>
        <w:r w:rsidR="00E7738B" w:rsidRPr="00324ECD">
          <w:rPr>
            <w:b w:val="0"/>
            <w:noProof/>
            <w:webHidden/>
          </w:rPr>
          <w:fldChar w:fldCharType="end"/>
        </w:r>
      </w:hyperlink>
    </w:p>
    <w:p w14:paraId="7B909DF1" w14:textId="301794C8"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08" w:history="1">
        <w:r w:rsidR="00E7738B" w:rsidRPr="00324ECD">
          <w:rPr>
            <w:rStyle w:val="Hyperlink"/>
            <w:b w:val="0"/>
            <w:noProof/>
          </w:rPr>
          <w:t>Use of group auditors</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_Toc404607308 \h </w:instrText>
        </w:r>
        <w:r w:rsidR="00E7738B" w:rsidRPr="00324ECD">
          <w:rPr>
            <w:b w:val="0"/>
            <w:noProof/>
            <w:webHidden/>
          </w:rPr>
        </w:r>
        <w:r w:rsidR="00E7738B" w:rsidRPr="00324ECD">
          <w:rPr>
            <w:b w:val="0"/>
            <w:noProof/>
            <w:webHidden/>
          </w:rPr>
          <w:fldChar w:fldCharType="separate"/>
        </w:r>
        <w:r w:rsidR="001813C8">
          <w:rPr>
            <w:b w:val="0"/>
            <w:noProof/>
            <w:webHidden/>
          </w:rPr>
          <w:t>5</w:t>
        </w:r>
        <w:r w:rsidR="00E7738B" w:rsidRPr="00324ECD">
          <w:rPr>
            <w:b w:val="0"/>
            <w:noProof/>
            <w:webHidden/>
          </w:rPr>
          <w:fldChar w:fldCharType="end"/>
        </w:r>
      </w:hyperlink>
    </w:p>
    <w:p w14:paraId="76082FAB"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09" w:history="1">
        <w:r w:rsidR="00E7738B" w:rsidRPr="00324ECD">
          <w:rPr>
            <w:rStyle w:val="Hyperlink"/>
            <w:b w:val="0"/>
            <w:noProof/>
          </w:rPr>
          <w:t>Obligations of an ADI</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_Toc404607309 \h </w:instrText>
        </w:r>
        <w:r w:rsidR="00E7738B" w:rsidRPr="00324ECD">
          <w:rPr>
            <w:b w:val="0"/>
            <w:noProof/>
            <w:webHidden/>
          </w:rPr>
        </w:r>
        <w:r w:rsidR="00E7738B" w:rsidRPr="00324ECD">
          <w:rPr>
            <w:b w:val="0"/>
            <w:noProof/>
            <w:webHidden/>
          </w:rPr>
          <w:fldChar w:fldCharType="separate"/>
        </w:r>
        <w:r w:rsidR="001813C8">
          <w:rPr>
            <w:b w:val="0"/>
            <w:noProof/>
            <w:webHidden/>
          </w:rPr>
          <w:t>6</w:t>
        </w:r>
        <w:r w:rsidR="00E7738B" w:rsidRPr="00324ECD">
          <w:rPr>
            <w:b w:val="0"/>
            <w:noProof/>
            <w:webHidden/>
          </w:rPr>
          <w:fldChar w:fldCharType="end"/>
        </w:r>
      </w:hyperlink>
    </w:p>
    <w:p w14:paraId="33199C8C"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10" w:history="1">
        <w:r w:rsidR="00E7738B" w:rsidRPr="00324ECD">
          <w:rPr>
            <w:rStyle w:val="Hyperlink"/>
            <w:b w:val="0"/>
            <w:noProof/>
          </w:rPr>
          <w:t>Internal audit</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_Toc404607310 \h </w:instrText>
        </w:r>
        <w:r w:rsidR="00E7738B" w:rsidRPr="00324ECD">
          <w:rPr>
            <w:b w:val="0"/>
            <w:noProof/>
            <w:webHidden/>
          </w:rPr>
        </w:r>
        <w:r w:rsidR="00E7738B" w:rsidRPr="00324ECD">
          <w:rPr>
            <w:b w:val="0"/>
            <w:noProof/>
            <w:webHidden/>
          </w:rPr>
          <w:fldChar w:fldCharType="separate"/>
        </w:r>
        <w:r w:rsidR="001813C8">
          <w:rPr>
            <w:b w:val="0"/>
            <w:noProof/>
            <w:webHidden/>
          </w:rPr>
          <w:t>7</w:t>
        </w:r>
        <w:r w:rsidR="00E7738B" w:rsidRPr="00324ECD">
          <w:rPr>
            <w:b w:val="0"/>
            <w:noProof/>
            <w:webHidden/>
          </w:rPr>
          <w:fldChar w:fldCharType="end"/>
        </w:r>
      </w:hyperlink>
    </w:p>
    <w:p w14:paraId="78977036"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11" w:history="1">
        <w:r w:rsidR="00E7738B" w:rsidRPr="00324ECD">
          <w:rPr>
            <w:rStyle w:val="Hyperlink"/>
            <w:b w:val="0"/>
            <w:noProof/>
          </w:rPr>
          <w:t>Meetings with the appointed auditor</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_Toc404607311 \h </w:instrText>
        </w:r>
        <w:r w:rsidR="00E7738B" w:rsidRPr="00324ECD">
          <w:rPr>
            <w:b w:val="0"/>
            <w:noProof/>
            <w:webHidden/>
          </w:rPr>
        </w:r>
        <w:r w:rsidR="00E7738B" w:rsidRPr="00324ECD">
          <w:rPr>
            <w:b w:val="0"/>
            <w:noProof/>
            <w:webHidden/>
          </w:rPr>
          <w:fldChar w:fldCharType="separate"/>
        </w:r>
        <w:r w:rsidR="001813C8">
          <w:rPr>
            <w:b w:val="0"/>
            <w:noProof/>
            <w:webHidden/>
          </w:rPr>
          <w:t>7</w:t>
        </w:r>
        <w:r w:rsidR="00E7738B" w:rsidRPr="00324ECD">
          <w:rPr>
            <w:b w:val="0"/>
            <w:noProof/>
            <w:webHidden/>
          </w:rPr>
          <w:fldChar w:fldCharType="end"/>
        </w:r>
      </w:hyperlink>
    </w:p>
    <w:p w14:paraId="64B8C126" w14:textId="7FD030B1"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12" w:history="1">
        <w:r w:rsidR="00E7738B" w:rsidRPr="00324ECD">
          <w:rPr>
            <w:rStyle w:val="Hyperlink"/>
            <w:b w:val="0"/>
            <w:noProof/>
          </w:rPr>
          <w:t>Responsibilities of the appointed auditor</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_Toc404607312 \h </w:instrText>
        </w:r>
        <w:r w:rsidR="00E7738B" w:rsidRPr="00324ECD">
          <w:rPr>
            <w:b w:val="0"/>
            <w:noProof/>
            <w:webHidden/>
          </w:rPr>
        </w:r>
        <w:r w:rsidR="00E7738B" w:rsidRPr="00324ECD">
          <w:rPr>
            <w:b w:val="0"/>
            <w:noProof/>
            <w:webHidden/>
          </w:rPr>
          <w:fldChar w:fldCharType="separate"/>
        </w:r>
        <w:r w:rsidR="001813C8">
          <w:rPr>
            <w:b w:val="0"/>
            <w:noProof/>
            <w:webHidden/>
          </w:rPr>
          <w:t>7</w:t>
        </w:r>
        <w:r w:rsidR="00E7738B" w:rsidRPr="00324ECD">
          <w:rPr>
            <w:b w:val="0"/>
            <w:noProof/>
            <w:webHidden/>
          </w:rPr>
          <w:fldChar w:fldCharType="end"/>
        </w:r>
      </w:hyperlink>
    </w:p>
    <w:p w14:paraId="1ED6C0A0"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13" w:history="1">
        <w:r w:rsidR="00E7738B" w:rsidRPr="00324ECD">
          <w:rPr>
            <w:rStyle w:val="Hyperlink"/>
            <w:b w:val="0"/>
            <w:noProof/>
          </w:rPr>
          <w:t>Reports by the appointed auditor</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_Toc404607313 \h </w:instrText>
        </w:r>
        <w:r w:rsidR="00E7738B" w:rsidRPr="00324ECD">
          <w:rPr>
            <w:b w:val="0"/>
            <w:noProof/>
            <w:webHidden/>
          </w:rPr>
        </w:r>
        <w:r w:rsidR="00E7738B" w:rsidRPr="00324ECD">
          <w:rPr>
            <w:b w:val="0"/>
            <w:noProof/>
            <w:webHidden/>
          </w:rPr>
          <w:fldChar w:fldCharType="separate"/>
        </w:r>
        <w:r w:rsidR="001813C8">
          <w:rPr>
            <w:b w:val="0"/>
            <w:noProof/>
            <w:webHidden/>
          </w:rPr>
          <w:t>8</w:t>
        </w:r>
        <w:r w:rsidR="00E7738B" w:rsidRPr="00324ECD">
          <w:rPr>
            <w:b w:val="0"/>
            <w:noProof/>
            <w:webHidden/>
          </w:rPr>
          <w:fldChar w:fldCharType="end"/>
        </w:r>
      </w:hyperlink>
    </w:p>
    <w:p w14:paraId="2FA86A3B" w14:textId="70E8FB5F"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14" w:history="1">
        <w:r w:rsidR="00E7738B" w:rsidRPr="00324ECD">
          <w:rPr>
            <w:rStyle w:val="Hyperlink"/>
            <w:b w:val="0"/>
            <w:noProof/>
          </w:rPr>
          <w:t>Routine reports</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_Toc404607314 \h </w:instrText>
        </w:r>
        <w:r w:rsidR="00E7738B" w:rsidRPr="00324ECD">
          <w:rPr>
            <w:b w:val="0"/>
            <w:noProof/>
            <w:webHidden/>
          </w:rPr>
        </w:r>
        <w:r w:rsidR="00E7738B" w:rsidRPr="00324ECD">
          <w:rPr>
            <w:b w:val="0"/>
            <w:noProof/>
            <w:webHidden/>
          </w:rPr>
          <w:fldChar w:fldCharType="separate"/>
        </w:r>
        <w:r w:rsidR="001813C8">
          <w:rPr>
            <w:b w:val="0"/>
            <w:noProof/>
            <w:webHidden/>
          </w:rPr>
          <w:t>8</w:t>
        </w:r>
        <w:r w:rsidR="00E7738B" w:rsidRPr="00324ECD">
          <w:rPr>
            <w:b w:val="0"/>
            <w:noProof/>
            <w:webHidden/>
          </w:rPr>
          <w:fldChar w:fldCharType="end"/>
        </w:r>
      </w:hyperlink>
    </w:p>
    <w:p w14:paraId="6B00246F"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15" w:history="1">
        <w:r w:rsidR="00E7738B" w:rsidRPr="00324ECD">
          <w:rPr>
            <w:rStyle w:val="Hyperlink"/>
            <w:b w:val="0"/>
            <w:noProof/>
          </w:rPr>
          <w:t>Special purpose engagements</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_Toc404607315 \h </w:instrText>
        </w:r>
        <w:r w:rsidR="00E7738B" w:rsidRPr="00324ECD">
          <w:rPr>
            <w:b w:val="0"/>
            <w:noProof/>
            <w:webHidden/>
          </w:rPr>
        </w:r>
        <w:r w:rsidR="00E7738B" w:rsidRPr="00324ECD">
          <w:rPr>
            <w:b w:val="0"/>
            <w:noProof/>
            <w:webHidden/>
          </w:rPr>
          <w:fldChar w:fldCharType="separate"/>
        </w:r>
        <w:r w:rsidR="001813C8">
          <w:rPr>
            <w:b w:val="0"/>
            <w:noProof/>
            <w:webHidden/>
          </w:rPr>
          <w:t>9</w:t>
        </w:r>
        <w:r w:rsidR="00E7738B" w:rsidRPr="00324ECD">
          <w:rPr>
            <w:b w:val="0"/>
            <w:noProof/>
            <w:webHidden/>
          </w:rPr>
          <w:fldChar w:fldCharType="end"/>
        </w:r>
      </w:hyperlink>
    </w:p>
    <w:p w14:paraId="12E8E3E6" w14:textId="77777777" w:rsidR="00E7738B" w:rsidRPr="00324ECD" w:rsidRDefault="00097C2D" w:rsidP="00E605B2">
      <w:pPr>
        <w:pStyle w:val="TOC1"/>
        <w:ind w:left="0"/>
        <w:rPr>
          <w:rFonts w:asciiTheme="minorHAnsi" w:eastAsiaTheme="minorEastAsia" w:hAnsiTheme="minorHAnsi" w:cstheme="minorBidi"/>
          <w:b w:val="0"/>
          <w:noProof/>
          <w:kern w:val="0"/>
          <w:sz w:val="22"/>
          <w:szCs w:val="22"/>
        </w:rPr>
      </w:pPr>
      <w:hyperlink w:anchor="_Toc404607317" w:history="1">
        <w:r w:rsidR="00E7738B" w:rsidRPr="00324ECD">
          <w:rPr>
            <w:rStyle w:val="Hyperlink"/>
            <w:b w:val="0"/>
            <w:noProof/>
          </w:rPr>
          <w:t>Attachment A</w:t>
        </w:r>
        <w:r w:rsidR="002C5BA0" w:rsidRPr="00324ECD">
          <w:rPr>
            <w:rStyle w:val="Hyperlink"/>
            <w:b w:val="0"/>
            <w:noProof/>
          </w:rPr>
          <w:t xml:space="preserve"> - </w:t>
        </w:r>
      </w:hyperlink>
      <w:hyperlink w:anchor="_Toc404607318" w:history="1">
        <w:r w:rsidR="00E7738B" w:rsidRPr="00324ECD">
          <w:rPr>
            <w:rStyle w:val="Hyperlink"/>
            <w:b w:val="0"/>
            <w:noProof/>
          </w:rPr>
          <w:t>Data Collections subject to reasonable and/or limited assurance</w:t>
        </w:r>
        <w:r w:rsidR="00E7738B" w:rsidRPr="00324ECD">
          <w:rPr>
            <w:b w:val="0"/>
            <w:noProof/>
            <w:webHidden/>
          </w:rPr>
          <w:tab/>
        </w:r>
        <w:r w:rsidR="00E7738B" w:rsidRPr="00324ECD">
          <w:rPr>
            <w:b w:val="0"/>
            <w:noProof/>
            <w:webHidden/>
          </w:rPr>
          <w:fldChar w:fldCharType="begin"/>
        </w:r>
        <w:r w:rsidR="00E7738B" w:rsidRPr="00324ECD">
          <w:rPr>
            <w:b w:val="0"/>
            <w:noProof/>
            <w:webHidden/>
          </w:rPr>
          <w:instrText xml:space="preserve"> PAGEREF _Toc404607318 \h </w:instrText>
        </w:r>
        <w:r w:rsidR="00E7738B" w:rsidRPr="00324ECD">
          <w:rPr>
            <w:b w:val="0"/>
            <w:noProof/>
            <w:webHidden/>
          </w:rPr>
        </w:r>
        <w:r w:rsidR="00E7738B" w:rsidRPr="00324ECD">
          <w:rPr>
            <w:b w:val="0"/>
            <w:noProof/>
            <w:webHidden/>
          </w:rPr>
          <w:fldChar w:fldCharType="separate"/>
        </w:r>
        <w:r w:rsidR="001813C8">
          <w:rPr>
            <w:b w:val="0"/>
            <w:noProof/>
            <w:webHidden/>
          </w:rPr>
          <w:t>11</w:t>
        </w:r>
        <w:r w:rsidR="00E7738B" w:rsidRPr="00324ECD">
          <w:rPr>
            <w:b w:val="0"/>
            <w:noProof/>
            <w:webHidden/>
          </w:rPr>
          <w:fldChar w:fldCharType="end"/>
        </w:r>
      </w:hyperlink>
    </w:p>
    <w:p w14:paraId="0B7BA1A9" w14:textId="77777777" w:rsidR="003B58F5" w:rsidRPr="00E7738B" w:rsidRDefault="00F4022B" w:rsidP="00E605B2">
      <w:pPr>
        <w:tabs>
          <w:tab w:val="left" w:pos="9000"/>
        </w:tabs>
        <w:rPr>
          <w:b/>
          <w:i/>
          <w:sz w:val="36"/>
        </w:rPr>
        <w:sectPr w:rsidR="003B58F5" w:rsidRPr="00E7738B" w:rsidSect="00C04761">
          <w:headerReference w:type="even" r:id="rId19"/>
          <w:headerReference w:type="first" r:id="rId20"/>
          <w:pgSz w:w="11906" w:h="16838"/>
          <w:pgMar w:top="1440" w:right="1800" w:bottom="1440" w:left="1800" w:header="708" w:footer="708" w:gutter="0"/>
          <w:cols w:space="708"/>
          <w:docGrid w:linePitch="360"/>
        </w:sectPr>
      </w:pPr>
      <w:r w:rsidRPr="00324ECD">
        <w:rPr>
          <w:sz w:val="26"/>
          <w:szCs w:val="26"/>
        </w:rPr>
        <w:fldChar w:fldCharType="end"/>
      </w:r>
    </w:p>
    <w:p w14:paraId="20F57F3A" w14:textId="77777777" w:rsidR="003B58F5" w:rsidRPr="005A15CF" w:rsidRDefault="003B58F5" w:rsidP="003B58F5">
      <w:pPr>
        <w:pStyle w:val="BodyText"/>
        <w:tabs>
          <w:tab w:val="left" w:pos="9000"/>
        </w:tabs>
        <w:spacing w:before="120" w:after="240"/>
        <w:rPr>
          <w:rStyle w:val="HeadingChar"/>
          <w:rFonts w:ascii="Arial" w:hAnsi="Arial"/>
        </w:rPr>
      </w:pPr>
      <w:bookmarkStart w:id="16" w:name="_Toc207424944"/>
      <w:bookmarkStart w:id="17" w:name="_Toc404607302"/>
      <w:r w:rsidRPr="00B34160">
        <w:rPr>
          <w:rStyle w:val="HeadingChar"/>
          <w:rFonts w:ascii="Arial" w:hAnsi="Arial"/>
          <w:sz w:val="24"/>
          <w:szCs w:val="24"/>
        </w:rPr>
        <w:lastRenderedPageBreak/>
        <w:t>Authority</w:t>
      </w:r>
      <w:bookmarkEnd w:id="16"/>
      <w:bookmarkEnd w:id="17"/>
      <w:r w:rsidRPr="005A15CF">
        <w:rPr>
          <w:rStyle w:val="HeadingChar"/>
          <w:rFonts w:ascii="Arial" w:hAnsi="Arial"/>
        </w:rPr>
        <w:t xml:space="preserve"> </w:t>
      </w:r>
    </w:p>
    <w:p w14:paraId="051E9BB5" w14:textId="77777777" w:rsidR="003B58F5" w:rsidRPr="00E746C9"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bookmarkStart w:id="18" w:name="_Ref183256366"/>
      <w:r w:rsidRPr="00E746C9">
        <w:rPr>
          <w:sz w:val="24"/>
          <w:szCs w:val="24"/>
        </w:rPr>
        <w:t xml:space="preserve">This Prudential Standard is made under section 11AF of the </w:t>
      </w:r>
      <w:r w:rsidRPr="00E746C9">
        <w:rPr>
          <w:i/>
          <w:sz w:val="24"/>
          <w:szCs w:val="24"/>
        </w:rPr>
        <w:t>Banking Act 1959</w:t>
      </w:r>
      <w:r w:rsidRPr="00E746C9">
        <w:rPr>
          <w:sz w:val="24"/>
          <w:szCs w:val="24"/>
        </w:rPr>
        <w:t xml:space="preserve"> (</w:t>
      </w:r>
      <w:r w:rsidRPr="00C20564">
        <w:rPr>
          <w:b/>
          <w:sz w:val="24"/>
          <w:szCs w:val="24"/>
        </w:rPr>
        <w:t>Banking Act</w:t>
      </w:r>
      <w:r w:rsidRPr="001C3AF0">
        <w:rPr>
          <w:sz w:val="24"/>
          <w:szCs w:val="24"/>
        </w:rPr>
        <w:t>).</w:t>
      </w:r>
      <w:bookmarkEnd w:id="18"/>
    </w:p>
    <w:p w14:paraId="024814BF" w14:textId="7CF14190" w:rsidR="003B58F5" w:rsidRPr="00B34160" w:rsidRDefault="003B58F5" w:rsidP="003B58F5">
      <w:pPr>
        <w:pStyle w:val="BodyText"/>
        <w:tabs>
          <w:tab w:val="left" w:pos="9000"/>
        </w:tabs>
        <w:spacing w:before="120" w:after="240"/>
        <w:rPr>
          <w:rStyle w:val="HeadingChar"/>
          <w:rFonts w:ascii="Arial" w:hAnsi="Arial"/>
          <w:sz w:val="24"/>
          <w:szCs w:val="24"/>
        </w:rPr>
      </w:pPr>
      <w:bookmarkStart w:id="19" w:name="_Toc207424945"/>
      <w:bookmarkStart w:id="20" w:name="_Toc404607303"/>
      <w:r w:rsidRPr="00B34160">
        <w:rPr>
          <w:rStyle w:val="HeadingChar"/>
          <w:rFonts w:ascii="Arial" w:hAnsi="Arial"/>
          <w:sz w:val="24"/>
          <w:szCs w:val="24"/>
        </w:rPr>
        <w:t>Application</w:t>
      </w:r>
      <w:bookmarkEnd w:id="19"/>
      <w:bookmarkEnd w:id="20"/>
      <w:r w:rsidR="001A25D3">
        <w:rPr>
          <w:rStyle w:val="HeadingChar"/>
          <w:rFonts w:ascii="Arial" w:hAnsi="Arial"/>
          <w:sz w:val="24"/>
          <w:szCs w:val="24"/>
        </w:rPr>
        <w:t xml:space="preserve"> and commencement</w:t>
      </w:r>
    </w:p>
    <w:p w14:paraId="22509A63" w14:textId="77777777" w:rsidR="003B58F5" w:rsidRPr="00826B6F"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sidRPr="00826B6F">
        <w:rPr>
          <w:sz w:val="24"/>
          <w:szCs w:val="24"/>
        </w:rPr>
        <w:t xml:space="preserve">This Prudential Standard applies to all </w:t>
      </w:r>
      <w:r w:rsidRPr="00E6731A">
        <w:rPr>
          <w:sz w:val="24"/>
          <w:szCs w:val="24"/>
        </w:rPr>
        <w:t>authorised deposit-taking institutions</w:t>
      </w:r>
      <w:r w:rsidRPr="00826B6F">
        <w:rPr>
          <w:b/>
          <w:sz w:val="24"/>
          <w:szCs w:val="24"/>
        </w:rPr>
        <w:t xml:space="preserve"> </w:t>
      </w:r>
      <w:r w:rsidRPr="00826B6F">
        <w:rPr>
          <w:sz w:val="24"/>
          <w:szCs w:val="24"/>
        </w:rPr>
        <w:t>(</w:t>
      </w:r>
      <w:r w:rsidRPr="00826B6F">
        <w:rPr>
          <w:b/>
          <w:sz w:val="24"/>
          <w:szCs w:val="24"/>
        </w:rPr>
        <w:t>ADIs</w:t>
      </w:r>
      <w:r w:rsidRPr="00826B6F">
        <w:rPr>
          <w:sz w:val="24"/>
          <w:szCs w:val="24"/>
        </w:rPr>
        <w:t>).</w:t>
      </w:r>
    </w:p>
    <w:p w14:paraId="093F87E2" w14:textId="77777777" w:rsidR="003B58F5" w:rsidRPr="00826B6F"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bookmarkStart w:id="21" w:name="_Ref178155665"/>
      <w:r w:rsidRPr="00826B6F">
        <w:rPr>
          <w:sz w:val="24"/>
          <w:szCs w:val="24"/>
        </w:rPr>
        <w:t xml:space="preserve">A reference to an </w:t>
      </w:r>
      <w:smartTag w:uri="urn:schemas-microsoft-com:office:smarttags" w:element="stockticker">
        <w:r w:rsidRPr="00826B6F">
          <w:rPr>
            <w:sz w:val="24"/>
            <w:szCs w:val="24"/>
          </w:rPr>
          <w:t>ADI</w:t>
        </w:r>
      </w:smartTag>
      <w:r w:rsidRPr="00826B6F">
        <w:rPr>
          <w:sz w:val="24"/>
          <w:szCs w:val="24"/>
        </w:rPr>
        <w:t xml:space="preserve"> in this Prudential Standard will be taken, in the case of a </w:t>
      </w:r>
      <w:r w:rsidRPr="00E6731A">
        <w:rPr>
          <w:b/>
          <w:sz w:val="24"/>
          <w:szCs w:val="24"/>
        </w:rPr>
        <w:t xml:space="preserve">locally-incorporated </w:t>
      </w:r>
      <w:smartTag w:uri="urn:schemas-microsoft-com:office:smarttags" w:element="stockticker">
        <w:r w:rsidRPr="00E6731A">
          <w:rPr>
            <w:b/>
            <w:sz w:val="24"/>
            <w:szCs w:val="24"/>
          </w:rPr>
          <w:t>ADI</w:t>
        </w:r>
      </w:smartTag>
      <w:r w:rsidRPr="00826B6F">
        <w:rPr>
          <w:sz w:val="24"/>
          <w:szCs w:val="24"/>
        </w:rPr>
        <w:t>, as a reference to:</w:t>
      </w:r>
      <w:bookmarkEnd w:id="21"/>
    </w:p>
    <w:p w14:paraId="654CB141" w14:textId="77777777" w:rsidR="003B58F5" w:rsidRPr="00826B6F" w:rsidRDefault="003B58F5" w:rsidP="003B58F5">
      <w:pPr>
        <w:pStyle w:val="BodyText"/>
        <w:numPr>
          <w:ilvl w:val="0"/>
          <w:numId w:val="6"/>
        </w:numPr>
        <w:tabs>
          <w:tab w:val="left" w:pos="9000"/>
        </w:tabs>
        <w:spacing w:after="240"/>
        <w:jc w:val="both"/>
      </w:pPr>
      <w:r w:rsidRPr="00826B6F">
        <w:t xml:space="preserve">an </w:t>
      </w:r>
      <w:smartTag w:uri="urn:schemas-microsoft-com:office:smarttags" w:element="stockticker">
        <w:r w:rsidRPr="00826B6F">
          <w:t>ADI</w:t>
        </w:r>
      </w:smartTag>
      <w:r w:rsidRPr="00826B6F">
        <w:t xml:space="preserve"> on a </w:t>
      </w:r>
      <w:r w:rsidRPr="00826B6F">
        <w:rPr>
          <w:b/>
        </w:rPr>
        <w:t>Level 1</w:t>
      </w:r>
      <w:r w:rsidRPr="00826B6F">
        <w:t xml:space="preserve"> basis; and</w:t>
      </w:r>
    </w:p>
    <w:p w14:paraId="4A3907BE" w14:textId="77777777" w:rsidR="003B58F5" w:rsidRPr="00826B6F" w:rsidRDefault="003B58F5" w:rsidP="003B58F5">
      <w:pPr>
        <w:pStyle w:val="BodyText"/>
        <w:numPr>
          <w:ilvl w:val="0"/>
          <w:numId w:val="6"/>
        </w:numPr>
        <w:tabs>
          <w:tab w:val="left" w:pos="9000"/>
        </w:tabs>
        <w:spacing w:after="240"/>
        <w:jc w:val="both"/>
      </w:pPr>
      <w:r w:rsidRPr="00826B6F">
        <w:t xml:space="preserve">a </w:t>
      </w:r>
      <w:r w:rsidRPr="00E6731A">
        <w:rPr>
          <w:b/>
        </w:rPr>
        <w:t>group</w:t>
      </w:r>
      <w:r w:rsidRPr="00826B6F">
        <w:t xml:space="preserve"> of which an </w:t>
      </w:r>
      <w:smartTag w:uri="urn:schemas-microsoft-com:office:smarttags" w:element="stockticker">
        <w:r w:rsidRPr="00826B6F">
          <w:t>ADI</w:t>
        </w:r>
      </w:smartTag>
      <w:r w:rsidRPr="00826B6F">
        <w:t xml:space="preserve"> is a member on a </w:t>
      </w:r>
      <w:r w:rsidRPr="00826B6F">
        <w:rPr>
          <w:b/>
        </w:rPr>
        <w:t>Level 2</w:t>
      </w:r>
      <w:r w:rsidRPr="00826B6F">
        <w:t xml:space="preserve"> basis.</w:t>
      </w:r>
    </w:p>
    <w:p w14:paraId="08EAEAE7" w14:textId="77777777" w:rsidR="003B58F5" w:rsidRPr="00C20564"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sidRPr="00C20564">
        <w:rPr>
          <w:sz w:val="24"/>
          <w:szCs w:val="24"/>
        </w:rPr>
        <w:t xml:space="preserve">In the case of a </w:t>
      </w:r>
      <w:r w:rsidRPr="00C20564">
        <w:rPr>
          <w:b/>
          <w:sz w:val="24"/>
          <w:szCs w:val="24"/>
        </w:rPr>
        <w:t xml:space="preserve">foreign </w:t>
      </w:r>
      <w:smartTag w:uri="urn:schemas-microsoft-com:office:smarttags" w:element="stockticker">
        <w:r w:rsidRPr="00C20564">
          <w:rPr>
            <w:b/>
            <w:sz w:val="24"/>
            <w:szCs w:val="24"/>
          </w:rPr>
          <w:t>ADI</w:t>
        </w:r>
      </w:smartTag>
      <w:r w:rsidRPr="00C20564">
        <w:rPr>
          <w:sz w:val="24"/>
          <w:szCs w:val="24"/>
        </w:rPr>
        <w:t xml:space="preserve">, a reference to an </w:t>
      </w:r>
      <w:smartTag w:uri="urn:schemas-microsoft-com:office:smarttags" w:element="stockticker">
        <w:r w:rsidRPr="00C20564">
          <w:rPr>
            <w:sz w:val="24"/>
            <w:szCs w:val="24"/>
          </w:rPr>
          <w:t>ADI</w:t>
        </w:r>
      </w:smartTag>
      <w:r w:rsidRPr="00C20564">
        <w:rPr>
          <w:sz w:val="24"/>
          <w:szCs w:val="24"/>
        </w:rPr>
        <w:t xml:space="preserve"> in this Prudential Standard shall be taken to refer to the foreign </w:t>
      </w:r>
      <w:smartTag w:uri="urn:schemas-microsoft-com:office:smarttags" w:element="stockticker">
        <w:r w:rsidRPr="00C20564">
          <w:rPr>
            <w:sz w:val="24"/>
            <w:szCs w:val="24"/>
          </w:rPr>
          <w:t>ADI</w:t>
        </w:r>
      </w:smartTag>
      <w:r w:rsidRPr="00C20564">
        <w:rPr>
          <w:sz w:val="24"/>
          <w:szCs w:val="24"/>
        </w:rPr>
        <w:t xml:space="preserve">’s Australian operations as if it was a stand-alone </w:t>
      </w:r>
      <w:smartTag w:uri="urn:schemas-microsoft-com:office:smarttags" w:element="stockticker">
        <w:r w:rsidRPr="00C20564">
          <w:rPr>
            <w:sz w:val="24"/>
            <w:szCs w:val="24"/>
          </w:rPr>
          <w:t>ADI</w:t>
        </w:r>
      </w:smartTag>
      <w:r w:rsidRPr="00C20564">
        <w:rPr>
          <w:sz w:val="24"/>
          <w:szCs w:val="24"/>
        </w:rPr>
        <w:t xml:space="preserve">. </w:t>
      </w:r>
      <w:r w:rsidRPr="00C20564" w:rsidDel="00BD3FE2">
        <w:rPr>
          <w:sz w:val="24"/>
          <w:szCs w:val="24"/>
        </w:rPr>
        <w:t xml:space="preserve"> </w:t>
      </w:r>
    </w:p>
    <w:p w14:paraId="37426275" w14:textId="77777777" w:rsidR="003B58F5" w:rsidRPr="00826B6F"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sidRPr="00826B6F">
        <w:rPr>
          <w:sz w:val="24"/>
          <w:szCs w:val="24"/>
        </w:rPr>
        <w:t xml:space="preserve">Where an ADI to which this Prudential Standard applies is a </w:t>
      </w:r>
      <w:r w:rsidRPr="00E6731A">
        <w:rPr>
          <w:b/>
          <w:sz w:val="24"/>
          <w:szCs w:val="24"/>
        </w:rPr>
        <w:t>subsidiary</w:t>
      </w:r>
      <w:r w:rsidRPr="00826B6F">
        <w:rPr>
          <w:sz w:val="24"/>
          <w:szCs w:val="24"/>
        </w:rPr>
        <w:t xml:space="preserve"> of an authorised</w:t>
      </w:r>
      <w:r w:rsidRPr="00826B6F">
        <w:rPr>
          <w:b/>
          <w:sz w:val="24"/>
          <w:szCs w:val="24"/>
        </w:rPr>
        <w:t xml:space="preserve"> non-operating holding company </w:t>
      </w:r>
      <w:r w:rsidRPr="00F62759">
        <w:rPr>
          <w:sz w:val="24"/>
          <w:szCs w:val="24"/>
        </w:rPr>
        <w:t>(</w:t>
      </w:r>
      <w:r w:rsidRPr="00826B6F">
        <w:rPr>
          <w:b/>
          <w:sz w:val="24"/>
          <w:szCs w:val="24"/>
        </w:rPr>
        <w:t>authorised NOHC</w:t>
      </w:r>
      <w:r w:rsidRPr="00F62759">
        <w:rPr>
          <w:sz w:val="24"/>
          <w:szCs w:val="24"/>
        </w:rPr>
        <w:t>),</w:t>
      </w:r>
      <w:r w:rsidRPr="00826B6F">
        <w:rPr>
          <w:sz w:val="24"/>
          <w:szCs w:val="24"/>
        </w:rPr>
        <w:t xml:space="preserve"> the authorised NOHC must ensure that the requirements in this Prudential Standard are met on a Level 2 basis. This includes ensuring that any immediate parent non-operating holding company (</w:t>
      </w:r>
      <w:r w:rsidRPr="00E6731A">
        <w:rPr>
          <w:b/>
          <w:sz w:val="24"/>
          <w:szCs w:val="24"/>
        </w:rPr>
        <w:t>NOHC</w:t>
      </w:r>
      <w:r w:rsidRPr="00826B6F">
        <w:rPr>
          <w:sz w:val="24"/>
          <w:szCs w:val="24"/>
        </w:rPr>
        <w:t xml:space="preserve">) of the </w:t>
      </w:r>
      <w:smartTag w:uri="urn:schemas-microsoft-com:office:smarttags" w:element="stockticker">
        <w:r w:rsidRPr="00826B6F">
          <w:rPr>
            <w:sz w:val="24"/>
            <w:szCs w:val="24"/>
          </w:rPr>
          <w:t>ADI</w:t>
        </w:r>
      </w:smartTag>
      <w:r w:rsidRPr="00826B6F">
        <w:rPr>
          <w:sz w:val="24"/>
          <w:szCs w:val="24"/>
        </w:rPr>
        <w:t>, its Board of directors (</w:t>
      </w:r>
      <w:r w:rsidRPr="00826B6F">
        <w:rPr>
          <w:b/>
          <w:sz w:val="24"/>
          <w:szCs w:val="24"/>
        </w:rPr>
        <w:t>Board</w:t>
      </w:r>
      <w:r w:rsidRPr="00826B6F">
        <w:rPr>
          <w:sz w:val="24"/>
          <w:szCs w:val="24"/>
        </w:rPr>
        <w:t>) and senior management meet the requirements in this Prudential Standard.</w:t>
      </w:r>
    </w:p>
    <w:p w14:paraId="08C7E15F" w14:textId="77777777" w:rsidR="003B58F5" w:rsidRPr="00C20564"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sidRPr="00C20564">
        <w:rPr>
          <w:sz w:val="24"/>
          <w:szCs w:val="24"/>
        </w:rPr>
        <w:t xml:space="preserve">A reference to an intermediate holding company in this Prudential Standard means the immediate parent NOHC of an </w:t>
      </w:r>
      <w:smartTag w:uri="urn:schemas-microsoft-com:office:smarttags" w:element="stockticker">
        <w:r w:rsidRPr="00C20564">
          <w:rPr>
            <w:sz w:val="24"/>
            <w:szCs w:val="24"/>
          </w:rPr>
          <w:t>ADI</w:t>
        </w:r>
      </w:smartTag>
      <w:r w:rsidRPr="00C20564">
        <w:rPr>
          <w:sz w:val="24"/>
          <w:szCs w:val="24"/>
        </w:rPr>
        <w:t>.</w:t>
      </w:r>
      <w:r>
        <w:rPr>
          <w:sz w:val="24"/>
          <w:szCs w:val="24"/>
        </w:rPr>
        <w:t xml:space="preserve"> </w:t>
      </w:r>
      <w:r w:rsidRPr="00C20564">
        <w:rPr>
          <w:sz w:val="24"/>
          <w:szCs w:val="24"/>
        </w:rPr>
        <w:t xml:space="preserve">When applying this Prudential Standard on a Level 2 basis, a reference to an </w:t>
      </w:r>
      <w:smartTag w:uri="urn:schemas-microsoft-com:office:smarttags" w:element="stockticker">
        <w:r w:rsidRPr="00C20564">
          <w:rPr>
            <w:sz w:val="24"/>
            <w:szCs w:val="24"/>
          </w:rPr>
          <w:t>ADI</w:t>
        </w:r>
      </w:smartTag>
      <w:r w:rsidRPr="00C20564">
        <w:rPr>
          <w:sz w:val="24"/>
          <w:szCs w:val="24"/>
        </w:rPr>
        <w:t xml:space="preserve"> will, where relevant, be taken to refer to an intermediate holding company or authorised NOHC at the head of a Level 2 group. Similarly, in a Level 2 context, references to the auditor, internal auditor, chief executive officer</w:t>
      </w:r>
      <w:r w:rsidRPr="00C20564">
        <w:rPr>
          <w:b/>
          <w:sz w:val="24"/>
          <w:szCs w:val="24"/>
        </w:rPr>
        <w:t xml:space="preserve"> </w:t>
      </w:r>
      <w:r w:rsidRPr="00F62759">
        <w:rPr>
          <w:sz w:val="24"/>
          <w:szCs w:val="24"/>
        </w:rPr>
        <w:t>(</w:t>
      </w:r>
      <w:r w:rsidRPr="00F62759">
        <w:rPr>
          <w:b/>
          <w:sz w:val="24"/>
          <w:szCs w:val="24"/>
        </w:rPr>
        <w:t>CEO</w:t>
      </w:r>
      <w:r w:rsidRPr="00F62759">
        <w:rPr>
          <w:sz w:val="24"/>
          <w:szCs w:val="24"/>
        </w:rPr>
        <w:t>)</w:t>
      </w:r>
      <w:r w:rsidRPr="00C20564">
        <w:rPr>
          <w:sz w:val="24"/>
          <w:szCs w:val="24"/>
        </w:rPr>
        <w:t xml:space="preserve"> or equivalent and other senior management, the Board and Board Audit Committee of an </w:t>
      </w:r>
      <w:smartTag w:uri="urn:schemas-microsoft-com:office:smarttags" w:element="stockticker">
        <w:r w:rsidRPr="00C20564">
          <w:rPr>
            <w:sz w:val="24"/>
            <w:szCs w:val="24"/>
          </w:rPr>
          <w:t>ADI</w:t>
        </w:r>
      </w:smartTag>
      <w:r w:rsidRPr="00C20564">
        <w:rPr>
          <w:sz w:val="24"/>
          <w:szCs w:val="24"/>
        </w:rPr>
        <w:t xml:space="preserve"> must be taken to refer to equivalent persons of the intermediate holding company or authorised NOHC, as appropriate.</w:t>
      </w:r>
    </w:p>
    <w:p w14:paraId="771DBC32"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sidRPr="00826B6F">
        <w:rPr>
          <w:sz w:val="24"/>
          <w:szCs w:val="24"/>
        </w:rPr>
        <w:t xml:space="preserve">In the case of a foreign </w:t>
      </w:r>
      <w:smartTag w:uri="urn:schemas-microsoft-com:office:smarttags" w:element="stockticker">
        <w:r w:rsidRPr="00826B6F">
          <w:rPr>
            <w:sz w:val="24"/>
            <w:szCs w:val="24"/>
          </w:rPr>
          <w:t>ADI</w:t>
        </w:r>
      </w:smartTag>
      <w:r w:rsidRPr="00826B6F">
        <w:rPr>
          <w:sz w:val="24"/>
          <w:szCs w:val="24"/>
        </w:rPr>
        <w:t>, a reference to the Board or</w:t>
      </w:r>
      <w:r w:rsidR="00F91E1C">
        <w:rPr>
          <w:sz w:val="24"/>
          <w:szCs w:val="24"/>
        </w:rPr>
        <w:t xml:space="preserve"> a</w:t>
      </w:r>
      <w:r w:rsidRPr="00826B6F">
        <w:rPr>
          <w:sz w:val="24"/>
          <w:szCs w:val="24"/>
        </w:rPr>
        <w:t xml:space="preserve"> Board Committee in this Prudential Standard will be taken to refer to </w:t>
      </w:r>
      <w:r w:rsidRPr="009F77FE">
        <w:rPr>
          <w:sz w:val="24"/>
          <w:szCs w:val="24"/>
        </w:rPr>
        <w:t xml:space="preserve">the </w:t>
      </w:r>
      <w:r w:rsidRPr="00E6731A">
        <w:rPr>
          <w:b/>
          <w:sz w:val="24"/>
          <w:szCs w:val="24"/>
        </w:rPr>
        <w:t>senior officer outside Australia</w:t>
      </w:r>
      <w:r w:rsidRPr="00826B6F">
        <w:rPr>
          <w:sz w:val="24"/>
          <w:szCs w:val="24"/>
        </w:rPr>
        <w:t xml:space="preserve"> to whom authority has been delegated in accordance with </w:t>
      </w:r>
      <w:r w:rsidRPr="00826B6F">
        <w:rPr>
          <w:i/>
          <w:sz w:val="24"/>
          <w:szCs w:val="24"/>
        </w:rPr>
        <w:t>Prudential Standard CPS 510 Governance</w:t>
      </w:r>
      <w:r w:rsidRPr="00826B6F">
        <w:rPr>
          <w:sz w:val="24"/>
          <w:szCs w:val="24"/>
        </w:rPr>
        <w:t xml:space="preserve"> (</w:t>
      </w:r>
      <w:r w:rsidRPr="00F91E1C">
        <w:rPr>
          <w:sz w:val="24"/>
          <w:szCs w:val="24"/>
        </w:rPr>
        <w:t>CPS 510</w:t>
      </w:r>
      <w:r w:rsidRPr="00826B6F">
        <w:rPr>
          <w:sz w:val="24"/>
          <w:szCs w:val="24"/>
        </w:rPr>
        <w:t>).</w:t>
      </w:r>
      <w:r>
        <w:rPr>
          <w:sz w:val="24"/>
          <w:szCs w:val="24"/>
        </w:rPr>
        <w:t xml:space="preserve"> </w:t>
      </w:r>
      <w:r w:rsidRPr="00826B6F">
        <w:rPr>
          <w:sz w:val="24"/>
          <w:szCs w:val="24"/>
        </w:rPr>
        <w:t xml:space="preserve">For a foreign </w:t>
      </w:r>
      <w:smartTag w:uri="urn:schemas-microsoft-com:office:smarttags" w:element="stockticker">
        <w:r w:rsidRPr="00826B6F">
          <w:rPr>
            <w:sz w:val="24"/>
            <w:szCs w:val="24"/>
          </w:rPr>
          <w:t>ADI</w:t>
        </w:r>
      </w:smartTag>
      <w:r w:rsidRPr="00826B6F">
        <w:rPr>
          <w:sz w:val="24"/>
          <w:szCs w:val="24"/>
        </w:rPr>
        <w:t xml:space="preserve">, a reference to the CEO refers to the </w:t>
      </w:r>
      <w:r w:rsidRPr="00E6731A">
        <w:rPr>
          <w:b/>
          <w:sz w:val="24"/>
          <w:szCs w:val="24"/>
        </w:rPr>
        <w:t>senior manager</w:t>
      </w:r>
      <w:r w:rsidRPr="00826B6F">
        <w:rPr>
          <w:sz w:val="24"/>
          <w:szCs w:val="24"/>
        </w:rPr>
        <w:t xml:space="preserve"> in Australia with overall responsibility for the </w:t>
      </w:r>
      <w:r w:rsidRPr="00D62081">
        <w:rPr>
          <w:sz w:val="24"/>
          <w:szCs w:val="24"/>
        </w:rPr>
        <w:t>conduct of the foreign ADI’s Australian operations.</w:t>
      </w:r>
    </w:p>
    <w:p w14:paraId="4E6D20BB" w14:textId="64B5EE5D" w:rsidR="001A25D3" w:rsidRPr="00D62081" w:rsidRDefault="001A25D3"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This Prudential Standard commences on 1 </w:t>
      </w:r>
      <w:r w:rsidR="00823ADD">
        <w:rPr>
          <w:sz w:val="24"/>
          <w:szCs w:val="24"/>
        </w:rPr>
        <w:t>January 2023</w:t>
      </w:r>
      <w:r>
        <w:rPr>
          <w:sz w:val="24"/>
          <w:szCs w:val="24"/>
        </w:rPr>
        <w:t>.</w:t>
      </w:r>
    </w:p>
    <w:p w14:paraId="4AC9BD54" w14:textId="77777777" w:rsidR="003B58F5" w:rsidRPr="00B34160" w:rsidRDefault="003B58F5" w:rsidP="00B34160">
      <w:pPr>
        <w:pStyle w:val="BodyText"/>
        <w:tabs>
          <w:tab w:val="left" w:pos="9000"/>
        </w:tabs>
        <w:spacing w:before="120" w:after="240"/>
        <w:rPr>
          <w:rStyle w:val="HeadingChar"/>
          <w:rFonts w:ascii="Arial" w:hAnsi="Arial"/>
          <w:sz w:val="24"/>
          <w:szCs w:val="24"/>
        </w:rPr>
      </w:pPr>
      <w:bookmarkStart w:id="22" w:name="_Toc404607304"/>
      <w:r w:rsidRPr="00B34160">
        <w:rPr>
          <w:rStyle w:val="HeadingChar"/>
          <w:rFonts w:ascii="Arial" w:hAnsi="Arial"/>
          <w:sz w:val="24"/>
          <w:szCs w:val="24"/>
        </w:rPr>
        <w:t>Interpretation</w:t>
      </w:r>
      <w:bookmarkEnd w:id="22"/>
    </w:p>
    <w:p w14:paraId="38712066" w14:textId="77777777" w:rsidR="003B58F5" w:rsidRPr="00E6731A" w:rsidRDefault="003B58F5" w:rsidP="003B58F5">
      <w:pPr>
        <w:pStyle w:val="BodyText2"/>
        <w:numPr>
          <w:ilvl w:val="0"/>
          <w:numId w:val="4"/>
        </w:numPr>
        <w:tabs>
          <w:tab w:val="clear" w:pos="2007"/>
          <w:tab w:val="num" w:pos="540"/>
          <w:tab w:val="left" w:pos="9000"/>
        </w:tabs>
        <w:spacing w:line="240" w:lineRule="auto"/>
        <w:ind w:left="540" w:hanging="540"/>
        <w:jc w:val="both"/>
        <w:rPr>
          <w:kern w:val="32"/>
          <w:sz w:val="24"/>
          <w:szCs w:val="24"/>
        </w:rPr>
      </w:pPr>
      <w:r w:rsidRPr="00D62081">
        <w:rPr>
          <w:kern w:val="32"/>
          <w:sz w:val="24"/>
          <w:szCs w:val="24"/>
        </w:rPr>
        <w:t xml:space="preserve">Terms that are defined in </w:t>
      </w:r>
      <w:r w:rsidRPr="00D62081">
        <w:rPr>
          <w:i/>
          <w:kern w:val="32"/>
          <w:sz w:val="24"/>
          <w:szCs w:val="24"/>
        </w:rPr>
        <w:t xml:space="preserve">Prudential Standard APS 001 Definitions </w:t>
      </w:r>
      <w:r w:rsidRPr="00D62081">
        <w:rPr>
          <w:kern w:val="32"/>
          <w:sz w:val="24"/>
          <w:szCs w:val="24"/>
        </w:rPr>
        <w:t>(APS 001) appear in bold the first time they are used in this Prudential Standard</w:t>
      </w:r>
      <w:r w:rsidRPr="00D62081">
        <w:rPr>
          <w:i/>
          <w:kern w:val="32"/>
          <w:sz w:val="24"/>
          <w:szCs w:val="24"/>
        </w:rPr>
        <w:t xml:space="preserve">. </w:t>
      </w:r>
    </w:p>
    <w:p w14:paraId="1F75B503" w14:textId="3B1D6CF7" w:rsidR="001A25D3" w:rsidRPr="00E6731A" w:rsidRDefault="001A25D3" w:rsidP="003B58F5">
      <w:pPr>
        <w:pStyle w:val="BodyText2"/>
        <w:numPr>
          <w:ilvl w:val="0"/>
          <w:numId w:val="4"/>
        </w:numPr>
        <w:tabs>
          <w:tab w:val="clear" w:pos="2007"/>
          <w:tab w:val="num" w:pos="540"/>
          <w:tab w:val="left" w:pos="9000"/>
        </w:tabs>
        <w:spacing w:line="240" w:lineRule="auto"/>
        <w:ind w:left="540" w:hanging="540"/>
        <w:jc w:val="both"/>
        <w:rPr>
          <w:kern w:val="32"/>
          <w:sz w:val="24"/>
          <w:szCs w:val="24"/>
        </w:rPr>
      </w:pPr>
      <w:r w:rsidRPr="001A25D3">
        <w:rPr>
          <w:rFonts w:eastAsia="Calibri"/>
          <w:sz w:val="24"/>
          <w:szCs w:val="24"/>
        </w:rPr>
        <w:lastRenderedPageBreak/>
        <w:t>Where this Prudential Standard provides for APRA to exercise a power or discretion, the power or discretion is to be exercised in writing.</w:t>
      </w:r>
    </w:p>
    <w:p w14:paraId="1EB905BA" w14:textId="5A050B54" w:rsidR="001A25D3" w:rsidRPr="00D62081" w:rsidRDefault="001A25D3" w:rsidP="003B58F5">
      <w:pPr>
        <w:pStyle w:val="BodyText2"/>
        <w:numPr>
          <w:ilvl w:val="0"/>
          <w:numId w:val="4"/>
        </w:numPr>
        <w:tabs>
          <w:tab w:val="clear" w:pos="2007"/>
          <w:tab w:val="num" w:pos="540"/>
          <w:tab w:val="left" w:pos="9000"/>
        </w:tabs>
        <w:spacing w:line="240" w:lineRule="auto"/>
        <w:ind w:left="540" w:hanging="540"/>
        <w:jc w:val="both"/>
        <w:rPr>
          <w:kern w:val="32"/>
          <w:sz w:val="24"/>
          <w:szCs w:val="24"/>
        </w:rPr>
      </w:pPr>
      <w:r w:rsidRPr="001A25D3">
        <w:rPr>
          <w:rFonts w:eastAsia="Calibri"/>
          <w:sz w:val="24"/>
          <w:szCs w:val="24"/>
        </w:rPr>
        <w:t>In this Prudential Standard, unless the contrary intention appears, a r</w:t>
      </w:r>
      <w:r w:rsidR="009B2427">
        <w:rPr>
          <w:rFonts w:eastAsia="Calibri"/>
          <w:sz w:val="24"/>
          <w:szCs w:val="24"/>
        </w:rPr>
        <w:t xml:space="preserve">eference to an Act, Regulations, </w:t>
      </w:r>
      <w:r w:rsidRPr="001A25D3">
        <w:rPr>
          <w:rFonts w:eastAsia="Calibri"/>
          <w:sz w:val="24"/>
          <w:szCs w:val="24"/>
        </w:rPr>
        <w:t>Prudential Standard</w:t>
      </w:r>
      <w:r w:rsidR="009B2427">
        <w:rPr>
          <w:rFonts w:eastAsia="Calibri"/>
          <w:sz w:val="24"/>
          <w:szCs w:val="24"/>
        </w:rPr>
        <w:t xml:space="preserve"> or Reporting Standard</w:t>
      </w:r>
      <w:r w:rsidRPr="001A25D3">
        <w:rPr>
          <w:rFonts w:eastAsia="Calibri"/>
          <w:sz w:val="24"/>
          <w:szCs w:val="24"/>
        </w:rPr>
        <w:t xml:space="preserve"> is a re</w:t>
      </w:r>
      <w:r w:rsidR="009B2427">
        <w:rPr>
          <w:rFonts w:eastAsia="Calibri"/>
          <w:sz w:val="24"/>
          <w:szCs w:val="24"/>
        </w:rPr>
        <w:t xml:space="preserve">ference to the Act, Regulations, </w:t>
      </w:r>
      <w:r w:rsidRPr="001A25D3">
        <w:rPr>
          <w:rFonts w:eastAsia="Calibri"/>
          <w:sz w:val="24"/>
          <w:szCs w:val="24"/>
        </w:rPr>
        <w:t xml:space="preserve">Prudential Standard </w:t>
      </w:r>
      <w:r w:rsidR="009B2427">
        <w:rPr>
          <w:rFonts w:eastAsia="Calibri"/>
          <w:sz w:val="24"/>
          <w:szCs w:val="24"/>
        </w:rPr>
        <w:t xml:space="preserve">or Reporting Standard </w:t>
      </w:r>
      <w:r w:rsidRPr="001A25D3">
        <w:rPr>
          <w:rFonts w:eastAsia="Calibri"/>
          <w:sz w:val="24"/>
          <w:szCs w:val="24"/>
        </w:rPr>
        <w:t>as in force from time to time</w:t>
      </w:r>
      <w:r w:rsidR="009B2427">
        <w:rPr>
          <w:rStyle w:val="FootnoteReference"/>
          <w:rFonts w:eastAsia="Calibri"/>
          <w:sz w:val="24"/>
          <w:szCs w:val="24"/>
        </w:rPr>
        <w:footnoteReference w:id="2"/>
      </w:r>
      <w:r w:rsidRPr="001A25D3">
        <w:rPr>
          <w:rFonts w:eastAsia="Calibri"/>
          <w:sz w:val="24"/>
          <w:szCs w:val="24"/>
        </w:rPr>
        <w:t>.</w:t>
      </w:r>
      <w:r w:rsidR="009B2427">
        <w:rPr>
          <w:rFonts w:eastAsia="Calibri"/>
          <w:sz w:val="24"/>
          <w:szCs w:val="24"/>
        </w:rPr>
        <w:t xml:space="preserve"> </w:t>
      </w:r>
    </w:p>
    <w:p w14:paraId="66F4BD92" w14:textId="77777777" w:rsidR="003B58F5" w:rsidRPr="00B34160" w:rsidRDefault="003B58F5" w:rsidP="00B34160">
      <w:pPr>
        <w:pStyle w:val="BodyText"/>
        <w:keepNext/>
        <w:tabs>
          <w:tab w:val="left" w:pos="9000"/>
        </w:tabs>
        <w:spacing w:before="120" w:after="240"/>
        <w:rPr>
          <w:rStyle w:val="HeadingChar"/>
          <w:rFonts w:ascii="Arial" w:hAnsi="Arial"/>
          <w:sz w:val="24"/>
          <w:szCs w:val="24"/>
        </w:rPr>
      </w:pPr>
      <w:bookmarkStart w:id="23" w:name="_Toc404607305"/>
      <w:r>
        <w:rPr>
          <w:rStyle w:val="HeadingChar"/>
          <w:rFonts w:ascii="Arial" w:hAnsi="Arial"/>
          <w:sz w:val="24"/>
          <w:szCs w:val="24"/>
        </w:rPr>
        <w:t>Scope</w:t>
      </w:r>
      <w:bookmarkEnd w:id="23"/>
    </w:p>
    <w:p w14:paraId="5619860B" w14:textId="77777777" w:rsidR="003B58F5" w:rsidRDefault="003B58F5" w:rsidP="00B34160">
      <w:pPr>
        <w:pStyle w:val="BodyText2"/>
        <w:keepNext/>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This Prudential Standard applies to all operations and activities of an </w:t>
      </w:r>
      <w:smartTag w:uri="urn:schemas-microsoft-com:office:smarttags" w:element="stockticker">
        <w:r>
          <w:rPr>
            <w:sz w:val="24"/>
            <w:szCs w:val="24"/>
          </w:rPr>
          <w:t>ADI</w:t>
        </w:r>
      </w:smartTag>
      <w:r>
        <w:rPr>
          <w:sz w:val="24"/>
          <w:szCs w:val="24"/>
        </w:rPr>
        <w:t xml:space="preserve">. </w:t>
      </w:r>
    </w:p>
    <w:p w14:paraId="0320D278" w14:textId="77777777" w:rsidR="008365AD" w:rsidRPr="00B34160" w:rsidRDefault="008365AD" w:rsidP="008365AD">
      <w:pPr>
        <w:pStyle w:val="BodyText"/>
        <w:keepNext/>
        <w:tabs>
          <w:tab w:val="left" w:pos="9000"/>
        </w:tabs>
        <w:spacing w:before="120" w:after="240"/>
        <w:rPr>
          <w:rStyle w:val="HeadingChar"/>
          <w:rFonts w:ascii="Arial" w:hAnsi="Arial"/>
          <w:sz w:val="24"/>
          <w:szCs w:val="24"/>
        </w:rPr>
      </w:pPr>
      <w:bookmarkStart w:id="24" w:name="_Toc404607306"/>
      <w:r w:rsidRPr="00B34160">
        <w:rPr>
          <w:rStyle w:val="HeadingChar"/>
          <w:rFonts w:ascii="Arial" w:hAnsi="Arial"/>
          <w:sz w:val="24"/>
          <w:szCs w:val="24"/>
        </w:rPr>
        <w:t>Adjustments and exclusions</w:t>
      </w:r>
    </w:p>
    <w:p w14:paraId="1D3707FC" w14:textId="61F6F165" w:rsidR="008365AD" w:rsidRDefault="008365AD" w:rsidP="008365AD">
      <w:pPr>
        <w:pStyle w:val="BodyText2"/>
        <w:keepNext/>
        <w:numPr>
          <w:ilvl w:val="0"/>
          <w:numId w:val="4"/>
        </w:numPr>
        <w:tabs>
          <w:tab w:val="clear" w:pos="2007"/>
          <w:tab w:val="num" w:pos="540"/>
          <w:tab w:val="left" w:pos="9000"/>
        </w:tabs>
        <w:spacing w:line="240" w:lineRule="auto"/>
        <w:ind w:left="539" w:hanging="539"/>
        <w:jc w:val="both"/>
        <w:rPr>
          <w:sz w:val="24"/>
          <w:szCs w:val="24"/>
        </w:rPr>
      </w:pPr>
      <w:r w:rsidRPr="006B50CD">
        <w:rPr>
          <w:sz w:val="24"/>
          <w:szCs w:val="24"/>
        </w:rPr>
        <w:t>APRA may</w:t>
      </w:r>
      <w:r>
        <w:rPr>
          <w:sz w:val="24"/>
          <w:szCs w:val="24"/>
        </w:rPr>
        <w:t xml:space="preserve"> </w:t>
      </w:r>
      <w:r w:rsidRPr="006B50CD">
        <w:rPr>
          <w:sz w:val="24"/>
          <w:szCs w:val="24"/>
        </w:rPr>
        <w:t xml:space="preserve">adjust or exclude a specific prudential requirement in this Prudential Standard in relation to </w:t>
      </w:r>
      <w:r>
        <w:rPr>
          <w:sz w:val="24"/>
          <w:szCs w:val="24"/>
        </w:rPr>
        <w:t>one or more specified ADIs or authorised NOHCs</w:t>
      </w:r>
      <w:r w:rsidR="00F94096">
        <w:rPr>
          <w:sz w:val="24"/>
          <w:szCs w:val="24"/>
        </w:rPr>
        <w:t>.</w:t>
      </w:r>
      <w:r w:rsidRPr="00D62081">
        <w:rPr>
          <w:rStyle w:val="FootnoteReference"/>
          <w:sz w:val="24"/>
          <w:szCs w:val="24"/>
        </w:rPr>
        <w:footnoteReference w:id="3"/>
      </w:r>
    </w:p>
    <w:p w14:paraId="6339FF7A" w14:textId="77777777" w:rsidR="008365AD" w:rsidRDefault="008365AD" w:rsidP="008365AD">
      <w:pPr>
        <w:pStyle w:val="BodyText"/>
        <w:keepNext/>
        <w:tabs>
          <w:tab w:val="left" w:pos="9000"/>
        </w:tabs>
        <w:spacing w:before="120" w:after="240"/>
        <w:rPr>
          <w:rStyle w:val="HeadingChar"/>
          <w:rFonts w:ascii="Arial" w:hAnsi="Arial"/>
          <w:sz w:val="24"/>
          <w:szCs w:val="24"/>
        </w:rPr>
      </w:pPr>
      <w:r>
        <w:rPr>
          <w:rStyle w:val="HeadingChar"/>
          <w:rFonts w:ascii="Arial" w:hAnsi="Arial"/>
          <w:sz w:val="24"/>
          <w:szCs w:val="24"/>
        </w:rPr>
        <w:t>Previous exercise of discretion</w:t>
      </w:r>
    </w:p>
    <w:p w14:paraId="17A9B93A" w14:textId="6055472F" w:rsidR="008365AD" w:rsidRPr="007E2269" w:rsidRDefault="008365AD" w:rsidP="00E6731A">
      <w:pPr>
        <w:pStyle w:val="BodyText"/>
        <w:keepNext/>
        <w:numPr>
          <w:ilvl w:val="0"/>
          <w:numId w:val="4"/>
        </w:numPr>
        <w:tabs>
          <w:tab w:val="clear" w:pos="2007"/>
          <w:tab w:val="left" w:pos="9000"/>
        </w:tabs>
        <w:spacing w:before="120" w:after="240"/>
        <w:ind w:left="567"/>
        <w:jc w:val="both"/>
        <w:rPr>
          <w:rStyle w:val="HeadingChar"/>
          <w:rFonts w:ascii="Arial" w:hAnsi="Arial"/>
          <w:sz w:val="24"/>
          <w:szCs w:val="24"/>
        </w:rPr>
      </w:pPr>
      <w:r w:rsidRPr="00AD6355">
        <w:t xml:space="preserve">An </w:t>
      </w:r>
      <w:r>
        <w:t xml:space="preserve">ADI or authorised NOHC </w:t>
      </w:r>
      <w:r w:rsidRPr="00AD6355">
        <w:t>must contact APRA if it seeks to place reliance, for the purposes of complying with this Prudential Standard, on a previous exemption or other exercise of discretion by APRA under a previous version of this Prudential Standard.</w:t>
      </w:r>
    </w:p>
    <w:p w14:paraId="2C384570" w14:textId="77777777" w:rsidR="003B58F5" w:rsidRPr="00F62759" w:rsidRDefault="003B58F5" w:rsidP="003B58F5">
      <w:pPr>
        <w:pStyle w:val="BodyText"/>
        <w:tabs>
          <w:tab w:val="left" w:pos="9000"/>
        </w:tabs>
        <w:spacing w:before="120" w:after="240"/>
        <w:rPr>
          <w:rStyle w:val="HeadingChar"/>
          <w:rFonts w:ascii="Arial" w:hAnsi="Arial"/>
          <w:sz w:val="24"/>
          <w:szCs w:val="24"/>
        </w:rPr>
      </w:pPr>
      <w:r w:rsidRPr="00F62759">
        <w:rPr>
          <w:rStyle w:val="HeadingChar"/>
          <w:rFonts w:ascii="Arial" w:hAnsi="Arial"/>
          <w:sz w:val="24"/>
          <w:szCs w:val="24"/>
        </w:rPr>
        <w:t>General requirements</w:t>
      </w:r>
      <w:bookmarkEnd w:id="24"/>
    </w:p>
    <w:p w14:paraId="05CCB3AE" w14:textId="77777777" w:rsidR="003B58F5" w:rsidRDefault="003B58F5" w:rsidP="003B58F5">
      <w:pPr>
        <w:pStyle w:val="BodyText2"/>
        <w:keepNext/>
        <w:numPr>
          <w:ilvl w:val="0"/>
          <w:numId w:val="4"/>
        </w:numPr>
        <w:tabs>
          <w:tab w:val="clear" w:pos="2007"/>
          <w:tab w:val="num" w:pos="540"/>
          <w:tab w:val="left" w:pos="9000"/>
        </w:tabs>
        <w:spacing w:line="240" w:lineRule="auto"/>
        <w:ind w:left="540" w:hanging="540"/>
        <w:jc w:val="both"/>
        <w:rPr>
          <w:sz w:val="24"/>
          <w:szCs w:val="24"/>
        </w:rPr>
      </w:pPr>
      <w:r w:rsidRPr="00042724">
        <w:rPr>
          <w:sz w:val="24"/>
          <w:szCs w:val="24"/>
        </w:rPr>
        <w:t xml:space="preserve">For the purposes of this Prudential Standard, an </w:t>
      </w:r>
      <w:smartTag w:uri="urn:schemas-microsoft-com:office:smarttags" w:element="stockticker">
        <w:r w:rsidRPr="00042724">
          <w:rPr>
            <w:sz w:val="24"/>
            <w:szCs w:val="24"/>
          </w:rPr>
          <w:t>ADI</w:t>
        </w:r>
      </w:smartTag>
      <w:r w:rsidRPr="00042724">
        <w:rPr>
          <w:sz w:val="24"/>
          <w:szCs w:val="24"/>
        </w:rPr>
        <w:t xml:space="preserve"> must </w:t>
      </w:r>
      <w:r>
        <w:rPr>
          <w:sz w:val="24"/>
          <w:szCs w:val="24"/>
        </w:rPr>
        <w:t>appoint</w:t>
      </w:r>
      <w:r w:rsidRPr="00042724">
        <w:rPr>
          <w:sz w:val="24"/>
          <w:szCs w:val="24"/>
        </w:rPr>
        <w:t xml:space="preserve"> an auditor</w:t>
      </w:r>
      <w:r>
        <w:rPr>
          <w:sz w:val="24"/>
          <w:szCs w:val="24"/>
        </w:rPr>
        <w:t xml:space="preserve"> (the appointed auditor)</w:t>
      </w:r>
      <w:r w:rsidRPr="00042724">
        <w:rPr>
          <w:sz w:val="24"/>
          <w:szCs w:val="24"/>
        </w:rPr>
        <w:t xml:space="preserve">.  </w:t>
      </w:r>
      <w:r w:rsidRPr="00CD2166">
        <w:rPr>
          <w:sz w:val="24"/>
          <w:szCs w:val="24"/>
        </w:rPr>
        <w:t>Th</w:t>
      </w:r>
      <w:r>
        <w:rPr>
          <w:sz w:val="24"/>
          <w:szCs w:val="24"/>
        </w:rPr>
        <w:t>e</w:t>
      </w:r>
      <w:r w:rsidRPr="00CD2166">
        <w:rPr>
          <w:sz w:val="24"/>
          <w:szCs w:val="24"/>
        </w:rPr>
        <w:t xml:space="preserve"> </w:t>
      </w:r>
      <w:r w:rsidRPr="001C3AF0">
        <w:rPr>
          <w:sz w:val="24"/>
          <w:szCs w:val="24"/>
        </w:rPr>
        <w:t>appointed auditor</w:t>
      </w:r>
      <w:r>
        <w:rPr>
          <w:sz w:val="24"/>
          <w:szCs w:val="24"/>
        </w:rPr>
        <w:t xml:space="preserve"> may</w:t>
      </w:r>
      <w:r w:rsidRPr="00042724">
        <w:rPr>
          <w:sz w:val="24"/>
          <w:szCs w:val="24"/>
        </w:rPr>
        <w:t xml:space="preserve"> be the same auditor who audits an </w:t>
      </w:r>
      <w:smartTag w:uri="urn:schemas-microsoft-com:office:smarttags" w:element="stockticker">
        <w:r w:rsidRPr="00042724">
          <w:rPr>
            <w:sz w:val="24"/>
            <w:szCs w:val="24"/>
          </w:rPr>
          <w:t>ADI</w:t>
        </w:r>
      </w:smartTag>
      <w:r w:rsidRPr="00042724">
        <w:rPr>
          <w:sz w:val="24"/>
          <w:szCs w:val="24"/>
        </w:rPr>
        <w:t xml:space="preserve"> </w:t>
      </w:r>
      <w:r>
        <w:rPr>
          <w:sz w:val="24"/>
          <w:szCs w:val="24"/>
        </w:rPr>
        <w:t xml:space="preserve">for </w:t>
      </w:r>
      <w:r w:rsidRPr="00042724">
        <w:rPr>
          <w:sz w:val="24"/>
          <w:szCs w:val="24"/>
        </w:rPr>
        <w:t xml:space="preserve">the </w:t>
      </w:r>
      <w:r>
        <w:rPr>
          <w:sz w:val="24"/>
          <w:szCs w:val="24"/>
        </w:rPr>
        <w:t xml:space="preserve">purposes of the </w:t>
      </w:r>
      <w:r w:rsidRPr="006068A0">
        <w:rPr>
          <w:i/>
          <w:sz w:val="24"/>
          <w:szCs w:val="24"/>
        </w:rPr>
        <w:t>Corporations Act 2001</w:t>
      </w:r>
      <w:r>
        <w:rPr>
          <w:sz w:val="24"/>
          <w:szCs w:val="24"/>
        </w:rPr>
        <w:t xml:space="preserve">. Separate auditors may be appointed to meet the requirements in this Prudential Standard on a Level 1 and Level 2 basis, and to undertake the different engagements required by this Prudential Standard. APRA may also require, by notice in writing, that an </w:t>
      </w:r>
      <w:smartTag w:uri="urn:schemas-microsoft-com:office:smarttags" w:element="stockticker">
        <w:r>
          <w:rPr>
            <w:sz w:val="24"/>
            <w:szCs w:val="24"/>
          </w:rPr>
          <w:t>ADI</w:t>
        </w:r>
      </w:smartTag>
      <w:r>
        <w:rPr>
          <w:sz w:val="24"/>
          <w:szCs w:val="24"/>
        </w:rPr>
        <w:t xml:space="preserve"> appoint another auditor, in addition to any auditor already appointed by the </w:t>
      </w:r>
      <w:smartTag w:uri="urn:schemas-microsoft-com:office:smarttags" w:element="stockticker">
        <w:r>
          <w:rPr>
            <w:sz w:val="24"/>
            <w:szCs w:val="24"/>
          </w:rPr>
          <w:t>ADI</w:t>
        </w:r>
      </w:smartTag>
      <w:r>
        <w:rPr>
          <w:sz w:val="24"/>
          <w:szCs w:val="24"/>
        </w:rPr>
        <w:t xml:space="preserve">, for the purposes of this Prudential Standard.   </w:t>
      </w:r>
    </w:p>
    <w:p w14:paraId="1915D375" w14:textId="77777777" w:rsidR="003B58F5" w:rsidRDefault="003B58F5" w:rsidP="003B58F5">
      <w:pPr>
        <w:pStyle w:val="BodyText2"/>
        <w:keepNext/>
        <w:numPr>
          <w:ilvl w:val="0"/>
          <w:numId w:val="4"/>
        </w:numPr>
        <w:tabs>
          <w:tab w:val="clear" w:pos="2007"/>
          <w:tab w:val="num" w:pos="540"/>
          <w:tab w:val="left" w:pos="9000"/>
        </w:tabs>
        <w:spacing w:line="240" w:lineRule="auto"/>
        <w:ind w:left="540" w:hanging="540"/>
        <w:jc w:val="both"/>
        <w:rPr>
          <w:sz w:val="24"/>
          <w:szCs w:val="24"/>
        </w:rPr>
      </w:pPr>
      <w:bookmarkStart w:id="25" w:name="_Ref338771951"/>
      <w:r>
        <w:rPr>
          <w:sz w:val="24"/>
          <w:szCs w:val="24"/>
        </w:rPr>
        <w:t xml:space="preserve">An </w:t>
      </w:r>
      <w:smartTag w:uri="urn:schemas-microsoft-com:office:smarttags" w:element="stockticker">
        <w:r>
          <w:rPr>
            <w:sz w:val="24"/>
            <w:szCs w:val="24"/>
          </w:rPr>
          <w:t>ADI</w:t>
        </w:r>
      </w:smartTag>
      <w:r>
        <w:rPr>
          <w:sz w:val="24"/>
          <w:szCs w:val="24"/>
        </w:rPr>
        <w:t xml:space="preserve"> must set out the terms of engagement of the appointed auditor in a legally binding contract between the </w:t>
      </w:r>
      <w:smartTag w:uri="urn:schemas-microsoft-com:office:smarttags" w:element="stockticker">
        <w:r>
          <w:rPr>
            <w:sz w:val="24"/>
            <w:szCs w:val="24"/>
          </w:rPr>
          <w:t>ADI</w:t>
        </w:r>
      </w:smartTag>
      <w:r>
        <w:rPr>
          <w:sz w:val="24"/>
          <w:szCs w:val="24"/>
        </w:rPr>
        <w:t xml:space="preserve"> and the appointed auditor. The </w:t>
      </w:r>
      <w:smartTag w:uri="urn:schemas-microsoft-com:office:smarttags" w:element="stockticker">
        <w:r>
          <w:rPr>
            <w:sz w:val="24"/>
            <w:szCs w:val="24"/>
          </w:rPr>
          <w:t>ADI</w:t>
        </w:r>
      </w:smartTag>
      <w:r>
        <w:rPr>
          <w:sz w:val="24"/>
          <w:szCs w:val="24"/>
        </w:rPr>
        <w:t xml:space="preserve"> must ensure the terms of engagement:</w:t>
      </w:r>
      <w:bookmarkEnd w:id="25"/>
    </w:p>
    <w:p w14:paraId="755E00A6" w14:textId="77777777" w:rsidR="003B58F5" w:rsidRDefault="003B58F5" w:rsidP="003B58F5">
      <w:pPr>
        <w:pStyle w:val="BodyText"/>
        <w:numPr>
          <w:ilvl w:val="0"/>
          <w:numId w:val="11"/>
        </w:numPr>
        <w:tabs>
          <w:tab w:val="left" w:pos="9000"/>
        </w:tabs>
        <w:spacing w:after="240"/>
        <w:jc w:val="both"/>
      </w:pPr>
      <w:bookmarkStart w:id="26" w:name="_Ref338771954"/>
      <w:r>
        <w:t>require the appointed auditor to fulfil the roles and responsibilities of the appointed auditor as specified in this Prudential Standard and in the manner specified in this Prudential Standard;</w:t>
      </w:r>
      <w:bookmarkEnd w:id="26"/>
      <w:r>
        <w:t xml:space="preserve"> </w:t>
      </w:r>
    </w:p>
    <w:p w14:paraId="324BD5A5" w14:textId="77777777" w:rsidR="003B58F5" w:rsidRDefault="003B58F5" w:rsidP="003B58F5">
      <w:pPr>
        <w:pStyle w:val="BodyText"/>
        <w:numPr>
          <w:ilvl w:val="0"/>
          <w:numId w:val="11"/>
        </w:numPr>
        <w:tabs>
          <w:tab w:val="left" w:pos="9000"/>
        </w:tabs>
        <w:spacing w:after="240"/>
        <w:jc w:val="both"/>
      </w:pPr>
      <w:bookmarkStart w:id="27" w:name="_Ref338771964"/>
      <w:r>
        <w:t xml:space="preserve">require the appointed auditor, in meeting its role and responsibilities, to comply with the Auditing Standards and  Guidance issued from time to time by the </w:t>
      </w:r>
      <w:r w:rsidRPr="00A202A4">
        <w:rPr>
          <w:b/>
        </w:rPr>
        <w:t>Auditing and Assurance Standards Board</w:t>
      </w:r>
      <w:r>
        <w:t xml:space="preserve"> (</w:t>
      </w:r>
      <w:r w:rsidRPr="008A3B92">
        <w:rPr>
          <w:b/>
        </w:rPr>
        <w:t>AUASB</w:t>
      </w:r>
      <w:r>
        <w:t>) except where:</w:t>
      </w:r>
      <w:bookmarkEnd w:id="27"/>
    </w:p>
    <w:p w14:paraId="224FDFCD" w14:textId="77777777" w:rsidR="003B58F5" w:rsidRDefault="003B58F5" w:rsidP="003B58F5">
      <w:pPr>
        <w:pStyle w:val="BodyText"/>
        <w:tabs>
          <w:tab w:val="left" w:pos="9000"/>
        </w:tabs>
        <w:spacing w:after="240"/>
        <w:ind w:left="1620" w:hanging="540"/>
        <w:jc w:val="both"/>
      </w:pPr>
      <w:r>
        <w:lastRenderedPageBreak/>
        <w:t>(</w:t>
      </w:r>
      <w:proofErr w:type="spellStart"/>
      <w:r>
        <w:t>i</w:t>
      </w:r>
      <w:proofErr w:type="spellEnd"/>
      <w:r>
        <w:t>)</w:t>
      </w:r>
      <w:r>
        <w:tab/>
        <w:t xml:space="preserve"> they are inconsistent with the requirements of this Prudential </w:t>
      </w:r>
      <w:r w:rsidRPr="00F6258A">
        <w:t>Standard, in which case this Prudential Standard prevails</w:t>
      </w:r>
      <w:r w:rsidR="00B34160">
        <w:t>;</w:t>
      </w:r>
      <w:r w:rsidRPr="00F6258A">
        <w:t xml:space="preserve"> or</w:t>
      </w:r>
    </w:p>
    <w:p w14:paraId="6D499289" w14:textId="77777777" w:rsidR="003B58F5" w:rsidRPr="00F6258A" w:rsidRDefault="003B58F5" w:rsidP="003B58F5">
      <w:pPr>
        <w:pStyle w:val="BodyText"/>
        <w:tabs>
          <w:tab w:val="left" w:pos="9000"/>
        </w:tabs>
        <w:spacing w:after="240"/>
        <w:ind w:left="1620" w:hanging="540"/>
        <w:jc w:val="both"/>
      </w:pPr>
      <w:r>
        <w:t>(ii)</w:t>
      </w:r>
      <w:r>
        <w:tab/>
        <w:t xml:space="preserve"> APRA otherwise specifies, in writing, to the </w:t>
      </w:r>
      <w:smartTag w:uri="urn:schemas-microsoft-com:office:smarttags" w:element="stockticker">
        <w:r>
          <w:t>ADI</w:t>
        </w:r>
      </w:smartTag>
      <w:r>
        <w:t xml:space="preserve"> that alternative </w:t>
      </w:r>
      <w:r w:rsidRPr="00F6258A">
        <w:t>standards and guidance should be used by the appointed auditor;</w:t>
      </w:r>
      <w:r>
        <w:t xml:space="preserve"> </w:t>
      </w:r>
      <w:r w:rsidRPr="00F6258A">
        <w:t xml:space="preserve">and </w:t>
      </w:r>
    </w:p>
    <w:p w14:paraId="3A879485" w14:textId="77777777" w:rsidR="003B58F5" w:rsidRDefault="003B58F5" w:rsidP="003B58F5">
      <w:pPr>
        <w:pStyle w:val="BodyText"/>
        <w:numPr>
          <w:ilvl w:val="0"/>
          <w:numId w:val="11"/>
        </w:numPr>
        <w:tabs>
          <w:tab w:val="left" w:pos="9000"/>
        </w:tabs>
        <w:spacing w:after="240"/>
        <w:jc w:val="both"/>
      </w:pPr>
      <w:r w:rsidRPr="00E31A4A">
        <w:t xml:space="preserve">refer the appointed auditor to the following provisions in the </w:t>
      </w:r>
      <w:r>
        <w:t xml:space="preserve">Banking </w:t>
      </w:r>
      <w:r w:rsidRPr="00E31A4A">
        <w:t>Act</w:t>
      </w:r>
      <w:r>
        <w:t>:</w:t>
      </w:r>
    </w:p>
    <w:p w14:paraId="7E598ACE" w14:textId="77777777" w:rsidR="003B58F5" w:rsidRDefault="003B58F5" w:rsidP="003B58F5">
      <w:pPr>
        <w:pStyle w:val="BodyText"/>
        <w:numPr>
          <w:ilvl w:val="1"/>
          <w:numId w:val="11"/>
        </w:numPr>
        <w:tabs>
          <w:tab w:val="left" w:pos="9000"/>
        </w:tabs>
        <w:spacing w:after="240"/>
        <w:jc w:val="both"/>
        <w:rPr>
          <w:i/>
        </w:rPr>
      </w:pPr>
      <w:r w:rsidRPr="00E31A4A">
        <w:t xml:space="preserve">section 16B </w:t>
      </w:r>
      <w:r w:rsidRPr="00E31A4A">
        <w:rPr>
          <w:i/>
        </w:rPr>
        <w:t>Auditors to give information to APRA on request;</w:t>
      </w:r>
    </w:p>
    <w:p w14:paraId="4C2EEE88" w14:textId="75508680" w:rsidR="003B58F5" w:rsidRDefault="003B58F5" w:rsidP="003B58F5">
      <w:pPr>
        <w:pStyle w:val="BodyText"/>
        <w:numPr>
          <w:ilvl w:val="1"/>
          <w:numId w:val="11"/>
        </w:numPr>
        <w:tabs>
          <w:tab w:val="left" w:pos="9000"/>
        </w:tabs>
        <w:spacing w:after="240"/>
        <w:jc w:val="both"/>
      </w:pPr>
      <w:r>
        <w:t xml:space="preserve">section </w:t>
      </w:r>
      <w:r w:rsidRPr="00E31A4A">
        <w:t xml:space="preserve">16BA </w:t>
      </w:r>
      <w:r w:rsidRPr="00E31A4A">
        <w:rPr>
          <w:i/>
        </w:rPr>
        <w:t>Requirement for auditors to give information about ADIs;</w:t>
      </w:r>
      <w:r w:rsidRPr="00E31A4A">
        <w:t xml:space="preserve"> and </w:t>
      </w:r>
    </w:p>
    <w:p w14:paraId="3F81AE40" w14:textId="77777777" w:rsidR="003B58F5" w:rsidRPr="00E31A4A" w:rsidRDefault="003B58F5" w:rsidP="003B58F5">
      <w:pPr>
        <w:pStyle w:val="BodyText"/>
        <w:numPr>
          <w:ilvl w:val="1"/>
          <w:numId w:val="11"/>
        </w:numPr>
        <w:tabs>
          <w:tab w:val="left" w:pos="9000"/>
        </w:tabs>
        <w:spacing w:after="240"/>
        <w:jc w:val="both"/>
      </w:pPr>
      <w:r w:rsidRPr="00E31A4A">
        <w:t xml:space="preserve">Part </w:t>
      </w:r>
      <w:smartTag w:uri="urn:schemas-microsoft-com:office:smarttags" w:element="stockticker">
        <w:r w:rsidRPr="00E31A4A">
          <w:t>VIA</w:t>
        </w:r>
      </w:smartTag>
      <w:r w:rsidRPr="00E31A4A">
        <w:t xml:space="preserve"> </w:t>
      </w:r>
      <w:r w:rsidRPr="00E31A4A">
        <w:rPr>
          <w:i/>
        </w:rPr>
        <w:t>Protection</w:t>
      </w:r>
      <w:r>
        <w:rPr>
          <w:i/>
        </w:rPr>
        <w:t>s</w:t>
      </w:r>
      <w:r w:rsidRPr="00E31A4A">
        <w:rPr>
          <w:i/>
        </w:rPr>
        <w:t xml:space="preserve"> in relation to information</w:t>
      </w:r>
      <w:r w:rsidRPr="00E31A4A">
        <w:t>.</w:t>
      </w:r>
    </w:p>
    <w:p w14:paraId="6D0694BB" w14:textId="2D44DEE0" w:rsidR="003B58F5" w:rsidRPr="00E31A4A"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sidRPr="00E31A4A">
        <w:rPr>
          <w:sz w:val="24"/>
          <w:szCs w:val="24"/>
        </w:rPr>
        <w:t xml:space="preserve">An </w:t>
      </w:r>
      <w:smartTag w:uri="urn:schemas-microsoft-com:office:smarttags" w:element="stockticker">
        <w:r w:rsidRPr="00E31A4A">
          <w:rPr>
            <w:sz w:val="24"/>
            <w:szCs w:val="24"/>
          </w:rPr>
          <w:t>ADI</w:t>
        </w:r>
      </w:smartTag>
      <w:r w:rsidRPr="00E31A4A">
        <w:rPr>
          <w:sz w:val="24"/>
          <w:szCs w:val="24"/>
        </w:rPr>
        <w:t xml:space="preserve"> must use </w:t>
      </w:r>
      <w:r>
        <w:rPr>
          <w:sz w:val="24"/>
          <w:szCs w:val="24"/>
        </w:rPr>
        <w:t xml:space="preserve">all </w:t>
      </w:r>
      <w:r w:rsidRPr="00E31A4A">
        <w:rPr>
          <w:sz w:val="24"/>
          <w:szCs w:val="24"/>
        </w:rPr>
        <w:t xml:space="preserve">reasonable endeavours to ensure the appointed auditor complies with the terms of engagement contained in </w:t>
      </w:r>
      <w:r>
        <w:rPr>
          <w:sz w:val="24"/>
          <w:szCs w:val="24"/>
        </w:rPr>
        <w:t>p</w:t>
      </w:r>
      <w:r w:rsidRPr="00E31A4A">
        <w:rPr>
          <w:sz w:val="24"/>
          <w:szCs w:val="24"/>
        </w:rPr>
        <w:t xml:space="preserve">aragraphs </w:t>
      </w:r>
      <w:r w:rsidR="00F4022B">
        <w:rPr>
          <w:sz w:val="24"/>
          <w:szCs w:val="24"/>
        </w:rPr>
        <w:fldChar w:fldCharType="begin"/>
      </w:r>
      <w:r>
        <w:rPr>
          <w:sz w:val="24"/>
          <w:szCs w:val="24"/>
        </w:rPr>
        <w:instrText xml:space="preserve"> REF _Ref338771951 \r \h </w:instrText>
      </w:r>
      <w:r w:rsidR="00F4022B">
        <w:rPr>
          <w:sz w:val="24"/>
          <w:szCs w:val="24"/>
        </w:rPr>
      </w:r>
      <w:r w:rsidR="00F4022B">
        <w:rPr>
          <w:sz w:val="24"/>
          <w:szCs w:val="24"/>
        </w:rPr>
        <w:fldChar w:fldCharType="separate"/>
      </w:r>
      <w:r w:rsidR="001813C8">
        <w:rPr>
          <w:sz w:val="24"/>
          <w:szCs w:val="24"/>
        </w:rPr>
        <w:t>16</w:t>
      </w:r>
      <w:r w:rsidR="00F4022B">
        <w:rPr>
          <w:sz w:val="24"/>
          <w:szCs w:val="24"/>
        </w:rPr>
        <w:fldChar w:fldCharType="end"/>
      </w:r>
      <w:r w:rsidR="00F4022B">
        <w:rPr>
          <w:sz w:val="24"/>
          <w:szCs w:val="24"/>
        </w:rPr>
        <w:fldChar w:fldCharType="begin"/>
      </w:r>
      <w:r>
        <w:rPr>
          <w:sz w:val="24"/>
          <w:szCs w:val="24"/>
        </w:rPr>
        <w:instrText xml:space="preserve"> REF _Ref338771954 \r \h </w:instrText>
      </w:r>
      <w:r w:rsidR="00F4022B">
        <w:rPr>
          <w:sz w:val="24"/>
          <w:szCs w:val="24"/>
        </w:rPr>
      </w:r>
      <w:r w:rsidR="00F4022B">
        <w:rPr>
          <w:sz w:val="24"/>
          <w:szCs w:val="24"/>
        </w:rPr>
        <w:fldChar w:fldCharType="separate"/>
      </w:r>
      <w:r w:rsidR="001813C8">
        <w:rPr>
          <w:sz w:val="24"/>
          <w:szCs w:val="24"/>
        </w:rPr>
        <w:t>(a)</w:t>
      </w:r>
      <w:r w:rsidR="00F4022B">
        <w:rPr>
          <w:sz w:val="24"/>
          <w:szCs w:val="24"/>
        </w:rPr>
        <w:fldChar w:fldCharType="end"/>
      </w:r>
      <w:r>
        <w:rPr>
          <w:sz w:val="24"/>
          <w:szCs w:val="24"/>
        </w:rPr>
        <w:t xml:space="preserve"> </w:t>
      </w:r>
      <w:r w:rsidRPr="00E31A4A">
        <w:rPr>
          <w:sz w:val="24"/>
          <w:szCs w:val="24"/>
        </w:rPr>
        <w:t xml:space="preserve">and </w:t>
      </w:r>
      <w:r w:rsidR="00F4022B">
        <w:rPr>
          <w:sz w:val="24"/>
          <w:szCs w:val="24"/>
        </w:rPr>
        <w:fldChar w:fldCharType="begin"/>
      </w:r>
      <w:r>
        <w:rPr>
          <w:sz w:val="24"/>
          <w:szCs w:val="24"/>
        </w:rPr>
        <w:instrText xml:space="preserve"> REF _Ref338771964 \r \h </w:instrText>
      </w:r>
      <w:r w:rsidR="00F4022B">
        <w:rPr>
          <w:sz w:val="24"/>
          <w:szCs w:val="24"/>
        </w:rPr>
      </w:r>
      <w:r w:rsidR="00F4022B">
        <w:rPr>
          <w:sz w:val="24"/>
          <w:szCs w:val="24"/>
        </w:rPr>
        <w:fldChar w:fldCharType="separate"/>
      </w:r>
      <w:r w:rsidR="001813C8">
        <w:rPr>
          <w:sz w:val="24"/>
          <w:szCs w:val="24"/>
        </w:rPr>
        <w:t>(b)</w:t>
      </w:r>
      <w:r w:rsidR="00F4022B">
        <w:rPr>
          <w:sz w:val="24"/>
          <w:szCs w:val="24"/>
        </w:rPr>
        <w:fldChar w:fldCharType="end"/>
      </w:r>
      <w:r>
        <w:rPr>
          <w:sz w:val="24"/>
          <w:szCs w:val="24"/>
        </w:rPr>
        <w:t>.</w:t>
      </w:r>
    </w:p>
    <w:p w14:paraId="6D2F61CB" w14:textId="49AB79C4" w:rsidR="003B58F5" w:rsidRPr="009C4CEA"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The costs of preparing and submitting reports, documents and other material required by this Prudential Standard, whether routinely or as part of a special purpose engagement, must </w:t>
      </w:r>
      <w:r w:rsidRPr="009C4CEA">
        <w:rPr>
          <w:sz w:val="24"/>
          <w:szCs w:val="24"/>
        </w:rPr>
        <w:t xml:space="preserve">be borne by the </w:t>
      </w:r>
      <w:smartTag w:uri="urn:schemas-microsoft-com:office:smarttags" w:element="stockticker">
        <w:r w:rsidRPr="009C4CEA">
          <w:rPr>
            <w:sz w:val="24"/>
            <w:szCs w:val="24"/>
          </w:rPr>
          <w:t>ADI</w:t>
        </w:r>
      </w:smartTag>
      <w:r w:rsidRPr="009C4CEA">
        <w:rPr>
          <w:sz w:val="24"/>
          <w:szCs w:val="24"/>
        </w:rPr>
        <w:t>.</w:t>
      </w:r>
    </w:p>
    <w:p w14:paraId="4DC7953E" w14:textId="77777777" w:rsidR="003B58F5" w:rsidRPr="00E31A4A"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Persons involved in the provision of information (including the appointed auditor, officers and employees of an </w:t>
      </w:r>
      <w:smartTag w:uri="urn:schemas-microsoft-com:office:smarttags" w:element="stockticker">
        <w:r>
          <w:rPr>
            <w:sz w:val="24"/>
            <w:szCs w:val="24"/>
          </w:rPr>
          <w:t>ADI</w:t>
        </w:r>
      </w:smartTag>
      <w:r>
        <w:rPr>
          <w:sz w:val="24"/>
          <w:szCs w:val="24"/>
        </w:rPr>
        <w:t xml:space="preserve">, </w:t>
      </w:r>
      <w:r w:rsidRPr="00E31A4A">
        <w:rPr>
          <w:sz w:val="24"/>
          <w:szCs w:val="24"/>
        </w:rPr>
        <w:t xml:space="preserve">authorised NOHC, </w:t>
      </w:r>
      <w:r>
        <w:rPr>
          <w:sz w:val="24"/>
          <w:szCs w:val="24"/>
        </w:rPr>
        <w:t>immediate</w:t>
      </w:r>
      <w:r w:rsidRPr="00E31A4A">
        <w:rPr>
          <w:sz w:val="24"/>
          <w:szCs w:val="24"/>
        </w:rPr>
        <w:t xml:space="preserve"> </w:t>
      </w:r>
      <w:r>
        <w:rPr>
          <w:sz w:val="24"/>
          <w:szCs w:val="24"/>
        </w:rPr>
        <w:t xml:space="preserve">parent </w:t>
      </w:r>
      <w:r w:rsidRPr="00E31A4A">
        <w:rPr>
          <w:sz w:val="24"/>
          <w:szCs w:val="24"/>
        </w:rPr>
        <w:t xml:space="preserve">holding company and members of a Level 2 group to which an </w:t>
      </w:r>
      <w:smartTag w:uri="urn:schemas-microsoft-com:office:smarttags" w:element="stockticker">
        <w:r w:rsidRPr="00E31A4A">
          <w:rPr>
            <w:sz w:val="24"/>
            <w:szCs w:val="24"/>
          </w:rPr>
          <w:t>ADI</w:t>
        </w:r>
      </w:smartTag>
      <w:r w:rsidRPr="00E31A4A">
        <w:rPr>
          <w:sz w:val="24"/>
          <w:szCs w:val="24"/>
        </w:rPr>
        <w:t xml:space="preserve"> belongs</w:t>
      </w:r>
      <w:r>
        <w:rPr>
          <w:sz w:val="24"/>
          <w:szCs w:val="24"/>
        </w:rPr>
        <w:t>)</w:t>
      </w:r>
      <w:r w:rsidRPr="00E31A4A">
        <w:rPr>
          <w:sz w:val="24"/>
          <w:szCs w:val="24"/>
        </w:rPr>
        <w:t xml:space="preserve"> should note that </w:t>
      </w:r>
      <w:r>
        <w:rPr>
          <w:sz w:val="24"/>
          <w:szCs w:val="24"/>
        </w:rPr>
        <w:t xml:space="preserve">it </w:t>
      </w:r>
      <w:r w:rsidRPr="00E31A4A">
        <w:rPr>
          <w:sz w:val="24"/>
          <w:szCs w:val="24"/>
        </w:rPr>
        <w:t xml:space="preserve">is </w:t>
      </w:r>
      <w:r>
        <w:rPr>
          <w:sz w:val="24"/>
          <w:szCs w:val="24"/>
        </w:rPr>
        <w:t>an</w:t>
      </w:r>
      <w:r w:rsidRPr="00E31A4A">
        <w:rPr>
          <w:sz w:val="24"/>
          <w:szCs w:val="24"/>
        </w:rPr>
        <w:t xml:space="preserve"> offence under subsection</w:t>
      </w:r>
      <w:r>
        <w:rPr>
          <w:sz w:val="24"/>
          <w:szCs w:val="24"/>
        </w:rPr>
        <w:t>s</w:t>
      </w:r>
      <w:r w:rsidRPr="00E31A4A">
        <w:rPr>
          <w:sz w:val="24"/>
          <w:szCs w:val="24"/>
        </w:rPr>
        <w:t xml:space="preserve"> 137.1 and 137.2 of the </w:t>
      </w:r>
      <w:r w:rsidRPr="00E31A4A">
        <w:rPr>
          <w:i/>
          <w:sz w:val="24"/>
          <w:szCs w:val="24"/>
        </w:rPr>
        <w:t xml:space="preserve">Criminal Code </w:t>
      </w:r>
      <w:r>
        <w:rPr>
          <w:i/>
          <w:sz w:val="24"/>
          <w:szCs w:val="24"/>
        </w:rPr>
        <w:t xml:space="preserve">Act </w:t>
      </w:r>
      <w:r w:rsidRPr="00E31A4A">
        <w:rPr>
          <w:i/>
          <w:sz w:val="24"/>
          <w:szCs w:val="24"/>
        </w:rPr>
        <w:t>1995</w:t>
      </w:r>
      <w:r w:rsidRPr="00E31A4A">
        <w:rPr>
          <w:sz w:val="24"/>
          <w:szCs w:val="24"/>
        </w:rPr>
        <w:t xml:space="preserve"> to provide, whether directly or indirectly, false and misleading information to a Commonwealth entity, such as APRA.</w:t>
      </w:r>
    </w:p>
    <w:p w14:paraId="7CB545F5" w14:textId="77777777" w:rsidR="003B58F5" w:rsidRPr="00B34160" w:rsidRDefault="003B58F5" w:rsidP="003B58F5">
      <w:pPr>
        <w:pStyle w:val="BodyText"/>
        <w:tabs>
          <w:tab w:val="left" w:pos="9000"/>
        </w:tabs>
        <w:spacing w:before="120" w:after="240"/>
        <w:rPr>
          <w:rStyle w:val="HeadingChar"/>
          <w:rFonts w:ascii="Arial" w:hAnsi="Arial"/>
          <w:sz w:val="24"/>
          <w:szCs w:val="24"/>
        </w:rPr>
      </w:pPr>
      <w:bookmarkStart w:id="28" w:name="_Toc404607307"/>
      <w:r w:rsidRPr="00B34160">
        <w:rPr>
          <w:rStyle w:val="HeadingChar"/>
          <w:rFonts w:ascii="Arial" w:hAnsi="Arial"/>
          <w:sz w:val="24"/>
          <w:szCs w:val="24"/>
        </w:rPr>
        <w:t>Fitness and propriety of the appointed auditor</w:t>
      </w:r>
      <w:bookmarkEnd w:id="28"/>
    </w:p>
    <w:p w14:paraId="5149D16C"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An </w:t>
      </w:r>
      <w:smartTag w:uri="urn:schemas-microsoft-com:office:smarttags" w:element="stockticker">
        <w:r>
          <w:rPr>
            <w:sz w:val="24"/>
            <w:szCs w:val="24"/>
          </w:rPr>
          <w:t>ADI</w:t>
        </w:r>
      </w:smartTag>
      <w:r>
        <w:rPr>
          <w:sz w:val="24"/>
          <w:szCs w:val="24"/>
        </w:rPr>
        <w:t xml:space="preserve"> must ensure that its appointed auditor:</w:t>
      </w:r>
    </w:p>
    <w:p w14:paraId="17F3FB2C" w14:textId="77777777" w:rsidR="003B58F5" w:rsidRDefault="003B58F5" w:rsidP="003B58F5">
      <w:pPr>
        <w:pStyle w:val="BodyText"/>
        <w:numPr>
          <w:ilvl w:val="0"/>
          <w:numId w:val="7"/>
        </w:numPr>
        <w:tabs>
          <w:tab w:val="left" w:pos="9000"/>
        </w:tabs>
        <w:spacing w:after="240"/>
        <w:jc w:val="both"/>
      </w:pPr>
      <w:r>
        <w:t xml:space="preserve">is a fit and proper person in accordance with the </w:t>
      </w:r>
      <w:smartTag w:uri="urn:schemas-microsoft-com:office:smarttags" w:element="stockticker">
        <w:r>
          <w:t>ADI</w:t>
        </w:r>
      </w:smartTag>
      <w:r>
        <w:t xml:space="preserve">’s fit and proper policy as required by </w:t>
      </w:r>
      <w:r w:rsidRPr="00FE756C">
        <w:rPr>
          <w:i/>
        </w:rPr>
        <w:t xml:space="preserve">Prudential Standard </w:t>
      </w:r>
      <w:r>
        <w:rPr>
          <w:i/>
        </w:rPr>
        <w:t>C</w:t>
      </w:r>
      <w:r w:rsidRPr="00FE756C">
        <w:rPr>
          <w:i/>
        </w:rPr>
        <w:t>PS 520 Fit and Proper</w:t>
      </w:r>
      <w:r>
        <w:t>, including those requirements that apply specifically to the auditor;</w:t>
      </w:r>
    </w:p>
    <w:p w14:paraId="05F77FC9" w14:textId="526B225A" w:rsidR="003B58F5" w:rsidRDefault="003B58F5" w:rsidP="003B58F5">
      <w:pPr>
        <w:pStyle w:val="BodyText"/>
        <w:numPr>
          <w:ilvl w:val="0"/>
          <w:numId w:val="7"/>
        </w:numPr>
        <w:tabs>
          <w:tab w:val="left" w:pos="9000"/>
        </w:tabs>
        <w:spacing w:after="240"/>
        <w:jc w:val="both"/>
      </w:pPr>
      <w:r>
        <w:t>satisfies the auditor independence requirements in CPS 510; and</w:t>
      </w:r>
    </w:p>
    <w:p w14:paraId="02EDE95C" w14:textId="3E772EE6" w:rsidR="003B58F5" w:rsidRDefault="003B58F5" w:rsidP="003B58F5">
      <w:pPr>
        <w:pStyle w:val="BodyText"/>
        <w:numPr>
          <w:ilvl w:val="0"/>
          <w:numId w:val="7"/>
        </w:numPr>
        <w:tabs>
          <w:tab w:val="left" w:pos="9000"/>
        </w:tabs>
        <w:spacing w:after="240"/>
        <w:jc w:val="both"/>
      </w:pPr>
      <w:r>
        <w:t xml:space="preserve">is not subject to a direction issued under </w:t>
      </w:r>
      <w:r w:rsidR="001A35EB">
        <w:t>sub</w:t>
      </w:r>
      <w:r>
        <w:t>section 17(2) of the Banking Act.</w:t>
      </w:r>
    </w:p>
    <w:p w14:paraId="7C1E2FC2" w14:textId="77777777" w:rsidR="003B58F5" w:rsidRPr="00B34160" w:rsidRDefault="003B58F5" w:rsidP="003B58F5">
      <w:pPr>
        <w:pStyle w:val="BodyText"/>
        <w:tabs>
          <w:tab w:val="left" w:pos="9000"/>
        </w:tabs>
        <w:spacing w:before="120" w:after="240"/>
        <w:rPr>
          <w:rStyle w:val="HeadingChar"/>
          <w:rFonts w:ascii="Arial" w:hAnsi="Arial"/>
          <w:sz w:val="24"/>
          <w:szCs w:val="24"/>
        </w:rPr>
      </w:pPr>
      <w:bookmarkStart w:id="29" w:name="_Toc404607308"/>
      <w:r w:rsidRPr="00B34160">
        <w:rPr>
          <w:rStyle w:val="HeadingChar"/>
          <w:rFonts w:ascii="Arial" w:hAnsi="Arial"/>
          <w:sz w:val="24"/>
          <w:szCs w:val="24"/>
        </w:rPr>
        <w:t>Use of group auditors</w:t>
      </w:r>
      <w:bookmarkEnd w:id="29"/>
    </w:p>
    <w:p w14:paraId="2D1B0E4E"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Where an </w:t>
      </w:r>
      <w:smartTag w:uri="urn:schemas-microsoft-com:office:smarttags" w:element="stockticker">
        <w:r>
          <w:rPr>
            <w:sz w:val="24"/>
            <w:szCs w:val="24"/>
          </w:rPr>
          <w:t>ADI</w:t>
        </w:r>
      </w:smartTag>
      <w:r>
        <w:rPr>
          <w:sz w:val="24"/>
          <w:szCs w:val="24"/>
        </w:rPr>
        <w:t xml:space="preserve"> is a member of a Level 2 group and the group is headed by:</w:t>
      </w:r>
    </w:p>
    <w:p w14:paraId="0200953D" w14:textId="77777777" w:rsidR="003B58F5" w:rsidRDefault="003B58F5" w:rsidP="003B58F5">
      <w:pPr>
        <w:pStyle w:val="BodyText"/>
        <w:numPr>
          <w:ilvl w:val="0"/>
          <w:numId w:val="8"/>
        </w:numPr>
        <w:tabs>
          <w:tab w:val="left" w:pos="9000"/>
        </w:tabs>
        <w:spacing w:after="240"/>
        <w:jc w:val="both"/>
      </w:pPr>
      <w:r>
        <w:t xml:space="preserve">the </w:t>
      </w:r>
      <w:smartTag w:uri="urn:schemas-microsoft-com:office:smarttags" w:element="stockticker">
        <w:r>
          <w:t>ADI</w:t>
        </w:r>
      </w:smartTag>
      <w:r>
        <w:t>, the appointed auditor may be used for both Level 1 and Level 2 purposes under this Prudential Standard; or</w:t>
      </w:r>
    </w:p>
    <w:p w14:paraId="6B6A02E6" w14:textId="77777777" w:rsidR="003B58F5" w:rsidRDefault="003B58F5" w:rsidP="003B58F5">
      <w:pPr>
        <w:pStyle w:val="BodyText"/>
        <w:numPr>
          <w:ilvl w:val="0"/>
          <w:numId w:val="8"/>
        </w:numPr>
        <w:tabs>
          <w:tab w:val="left" w:pos="9000"/>
        </w:tabs>
        <w:spacing w:after="240"/>
        <w:jc w:val="both"/>
      </w:pPr>
      <w:r>
        <w:t xml:space="preserve">an authorised NOHC or intermediate holding company, the auditor engaged by the authorised NOHC or intermediate holding company may be used as the appointed auditor for both the Level 1 and Level 2 purposes of this Prudential Standard. This is subject to the Board of the </w:t>
      </w:r>
      <w:smartTag w:uri="urn:schemas-microsoft-com:office:smarttags" w:element="stockticker">
        <w:r>
          <w:t>ADI</w:t>
        </w:r>
      </w:smartTag>
      <w:r>
        <w:t xml:space="preserve">, on a Level 1 </w:t>
      </w:r>
      <w:r>
        <w:lastRenderedPageBreak/>
        <w:t xml:space="preserve">basis, agreeing to this in writing and the Board of the </w:t>
      </w:r>
      <w:smartTag w:uri="urn:schemas-microsoft-com:office:smarttags" w:element="stockticker">
        <w:r>
          <w:t>ADI</w:t>
        </w:r>
      </w:smartTag>
      <w:r>
        <w:t xml:space="preserve"> on a Level 1 basis, or its Board Audit Committee:</w:t>
      </w:r>
    </w:p>
    <w:p w14:paraId="5CFE252C" w14:textId="77777777" w:rsidR="003B58F5" w:rsidRDefault="003B58F5" w:rsidP="003B58F5">
      <w:pPr>
        <w:pStyle w:val="BodyText"/>
        <w:numPr>
          <w:ilvl w:val="0"/>
          <w:numId w:val="5"/>
        </w:numPr>
        <w:tabs>
          <w:tab w:val="left" w:pos="9000"/>
        </w:tabs>
        <w:spacing w:after="240"/>
        <w:jc w:val="both"/>
      </w:pPr>
      <w:r>
        <w:t>being able to communicate directly with the appointed auditor;</w:t>
      </w:r>
    </w:p>
    <w:p w14:paraId="1CE4DDE1" w14:textId="77777777" w:rsidR="003B58F5" w:rsidRDefault="003B58F5" w:rsidP="003B58F5">
      <w:pPr>
        <w:pStyle w:val="BodyText"/>
        <w:numPr>
          <w:ilvl w:val="0"/>
          <w:numId w:val="5"/>
        </w:numPr>
        <w:tabs>
          <w:tab w:val="left" w:pos="9000"/>
        </w:tabs>
        <w:spacing w:after="240"/>
        <w:jc w:val="both"/>
      </w:pPr>
      <w:r>
        <w:t xml:space="preserve">being able to commission reports by the appointed auditor in relation to the </w:t>
      </w:r>
      <w:smartTag w:uri="urn:schemas-microsoft-com:office:smarttags" w:element="stockticker">
        <w:r>
          <w:t>ADI</w:t>
        </w:r>
      </w:smartTag>
      <w:r>
        <w:t xml:space="preserve"> on a Level 1 basis; and</w:t>
      </w:r>
    </w:p>
    <w:p w14:paraId="1320D2DD" w14:textId="77777777" w:rsidR="003B58F5" w:rsidRDefault="003B58F5" w:rsidP="003B58F5">
      <w:pPr>
        <w:pStyle w:val="BodyText"/>
        <w:numPr>
          <w:ilvl w:val="0"/>
          <w:numId w:val="5"/>
        </w:numPr>
        <w:tabs>
          <w:tab w:val="left" w:pos="9000"/>
        </w:tabs>
        <w:spacing w:after="240"/>
        <w:jc w:val="both"/>
      </w:pPr>
      <w:r w:rsidRPr="00045E65">
        <w:t>receiv</w:t>
      </w:r>
      <w:r>
        <w:t>ing</w:t>
      </w:r>
      <w:r w:rsidRPr="00045E65">
        <w:t xml:space="preserve"> copies of any </w:t>
      </w:r>
      <w:r>
        <w:t>report or, where requested, any associated a</w:t>
      </w:r>
      <w:r w:rsidRPr="00045E65">
        <w:t>ssessment</w:t>
      </w:r>
      <w:r>
        <w:t>s</w:t>
      </w:r>
      <w:r w:rsidRPr="00045E65">
        <w:t xml:space="preserve"> </w:t>
      </w:r>
      <w:r>
        <w:t xml:space="preserve">and other material, </w:t>
      </w:r>
      <w:r w:rsidRPr="00045E65">
        <w:t xml:space="preserve">relating to </w:t>
      </w:r>
      <w:r>
        <w:t xml:space="preserve">the </w:t>
      </w:r>
      <w:r w:rsidRPr="00045E65">
        <w:t xml:space="preserve">audit operations </w:t>
      </w:r>
      <w:r>
        <w:t xml:space="preserve">covering the </w:t>
      </w:r>
      <w:smartTag w:uri="urn:schemas-microsoft-com:office:smarttags" w:element="stockticker">
        <w:r>
          <w:t>ADI</w:t>
        </w:r>
      </w:smartTag>
      <w:r>
        <w:t xml:space="preserve"> on a Level 1 basis undertaken by the appointed auditor in accordance with the requirements in this Prudential Standard.</w:t>
      </w:r>
    </w:p>
    <w:p w14:paraId="6D461EC1" w14:textId="77777777" w:rsidR="003B58F5" w:rsidRPr="00B34160" w:rsidRDefault="003B58F5" w:rsidP="00B34160">
      <w:pPr>
        <w:pStyle w:val="BodyText"/>
        <w:keepNext/>
        <w:tabs>
          <w:tab w:val="left" w:pos="9000"/>
        </w:tabs>
        <w:spacing w:before="120" w:after="240"/>
        <w:rPr>
          <w:rStyle w:val="HeadingChar"/>
          <w:rFonts w:ascii="Arial" w:hAnsi="Arial"/>
          <w:sz w:val="24"/>
          <w:szCs w:val="24"/>
        </w:rPr>
      </w:pPr>
      <w:bookmarkStart w:id="30" w:name="_Toc404607309"/>
      <w:r w:rsidRPr="00B34160">
        <w:rPr>
          <w:rStyle w:val="HeadingChar"/>
          <w:rFonts w:ascii="Arial" w:hAnsi="Arial"/>
          <w:sz w:val="24"/>
          <w:szCs w:val="24"/>
        </w:rPr>
        <w:t xml:space="preserve">Obligations of an </w:t>
      </w:r>
      <w:smartTag w:uri="urn:schemas-microsoft-com:office:smarttags" w:element="stockticker">
        <w:r w:rsidRPr="00B34160">
          <w:rPr>
            <w:rStyle w:val="HeadingChar"/>
            <w:rFonts w:ascii="Arial" w:hAnsi="Arial"/>
            <w:sz w:val="24"/>
            <w:szCs w:val="24"/>
          </w:rPr>
          <w:t>ADI</w:t>
        </w:r>
      </w:smartTag>
      <w:bookmarkEnd w:id="30"/>
      <w:r w:rsidRPr="00B34160">
        <w:rPr>
          <w:rStyle w:val="HeadingChar"/>
          <w:rFonts w:ascii="Arial" w:hAnsi="Arial"/>
          <w:sz w:val="24"/>
          <w:szCs w:val="24"/>
        </w:rPr>
        <w:t xml:space="preserve"> </w:t>
      </w:r>
    </w:p>
    <w:p w14:paraId="3616D457" w14:textId="77777777" w:rsidR="003B58F5" w:rsidRDefault="003B58F5" w:rsidP="00B34160">
      <w:pPr>
        <w:pStyle w:val="BodyText2"/>
        <w:keepNext/>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An </w:t>
      </w:r>
      <w:smartTag w:uri="urn:schemas-microsoft-com:office:smarttags" w:element="stockticker">
        <w:r>
          <w:rPr>
            <w:sz w:val="24"/>
            <w:szCs w:val="24"/>
          </w:rPr>
          <w:t>ADI</w:t>
        </w:r>
      </w:smartTag>
      <w:r>
        <w:rPr>
          <w:sz w:val="24"/>
          <w:szCs w:val="24"/>
        </w:rPr>
        <w:t>, if requested by APRA, must within a reasonable time provide APRA with the terms of engagement, other instructions or correspondence, including management letters, that may have a bearing on the:</w:t>
      </w:r>
    </w:p>
    <w:p w14:paraId="24DCDBC2" w14:textId="77777777" w:rsidR="003B58F5" w:rsidRDefault="003B58F5" w:rsidP="003B58F5">
      <w:pPr>
        <w:pStyle w:val="BodyText2"/>
        <w:tabs>
          <w:tab w:val="left" w:pos="9000"/>
        </w:tabs>
        <w:spacing w:line="240" w:lineRule="auto"/>
        <w:ind w:left="1080" w:hanging="540"/>
        <w:jc w:val="both"/>
        <w:rPr>
          <w:sz w:val="24"/>
          <w:szCs w:val="24"/>
        </w:rPr>
      </w:pPr>
      <w:r>
        <w:rPr>
          <w:sz w:val="24"/>
          <w:szCs w:val="24"/>
        </w:rPr>
        <w:t xml:space="preserve">(a) </w:t>
      </w:r>
      <w:r>
        <w:rPr>
          <w:sz w:val="24"/>
          <w:szCs w:val="24"/>
        </w:rPr>
        <w:tab/>
        <w:t>scope or conduct of the work undertaken by the appointed auditor in accordance with this Prudential Standard; and</w:t>
      </w:r>
    </w:p>
    <w:p w14:paraId="47E76643" w14:textId="77777777" w:rsidR="003B58F5" w:rsidRDefault="003B58F5" w:rsidP="003B58F5">
      <w:pPr>
        <w:pStyle w:val="BodyText2"/>
        <w:tabs>
          <w:tab w:val="left" w:pos="9000"/>
        </w:tabs>
        <w:spacing w:line="240" w:lineRule="auto"/>
        <w:ind w:left="1080" w:hanging="540"/>
        <w:jc w:val="both"/>
        <w:rPr>
          <w:sz w:val="24"/>
          <w:szCs w:val="24"/>
        </w:rPr>
      </w:pPr>
      <w:r>
        <w:rPr>
          <w:sz w:val="24"/>
          <w:szCs w:val="24"/>
        </w:rPr>
        <w:t xml:space="preserve">(b) </w:t>
      </w:r>
      <w:r>
        <w:rPr>
          <w:sz w:val="24"/>
          <w:szCs w:val="24"/>
        </w:rPr>
        <w:tab/>
        <w:t>form or content, including findings or opinions by the appointed auditor, or coverage of the reports provided in accordance with this Prudential Standard.</w:t>
      </w:r>
    </w:p>
    <w:p w14:paraId="134AE871"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An </w:t>
      </w:r>
      <w:smartTag w:uri="urn:schemas-microsoft-com:office:smarttags" w:element="stockticker">
        <w:r>
          <w:rPr>
            <w:sz w:val="24"/>
            <w:szCs w:val="24"/>
          </w:rPr>
          <w:t>ADI</w:t>
        </w:r>
      </w:smartTag>
      <w:r>
        <w:rPr>
          <w:sz w:val="24"/>
          <w:szCs w:val="24"/>
        </w:rPr>
        <w:t xml:space="preserve"> must ensure that the appointed auditor has access </w:t>
      </w:r>
      <w:r w:rsidRPr="00666E8F">
        <w:rPr>
          <w:sz w:val="24"/>
          <w:szCs w:val="24"/>
        </w:rPr>
        <w:t xml:space="preserve">to all data, information, reports and staff of the </w:t>
      </w:r>
      <w:smartTag w:uri="urn:schemas-microsoft-com:office:smarttags" w:element="stockticker">
        <w:r>
          <w:rPr>
            <w:sz w:val="24"/>
            <w:szCs w:val="24"/>
          </w:rPr>
          <w:t>ADI</w:t>
        </w:r>
      </w:smartTag>
      <w:r>
        <w:rPr>
          <w:sz w:val="24"/>
          <w:szCs w:val="24"/>
        </w:rPr>
        <w:t xml:space="preserve"> </w:t>
      </w:r>
      <w:r w:rsidRPr="00666E8F">
        <w:rPr>
          <w:sz w:val="24"/>
          <w:szCs w:val="24"/>
        </w:rPr>
        <w:t xml:space="preserve">that </w:t>
      </w:r>
      <w:r>
        <w:rPr>
          <w:sz w:val="24"/>
          <w:szCs w:val="24"/>
        </w:rPr>
        <w:t>the</w:t>
      </w:r>
      <w:r w:rsidRPr="00666E8F">
        <w:rPr>
          <w:sz w:val="24"/>
          <w:szCs w:val="24"/>
        </w:rPr>
        <w:t xml:space="preserve"> </w:t>
      </w:r>
      <w:r>
        <w:rPr>
          <w:sz w:val="24"/>
          <w:szCs w:val="24"/>
        </w:rPr>
        <w:t>a</w:t>
      </w:r>
      <w:r w:rsidRPr="00666E8F">
        <w:rPr>
          <w:sz w:val="24"/>
          <w:szCs w:val="24"/>
        </w:rPr>
        <w:t xml:space="preserve">ppointed </w:t>
      </w:r>
      <w:r>
        <w:rPr>
          <w:sz w:val="24"/>
          <w:szCs w:val="24"/>
        </w:rPr>
        <w:t>a</w:t>
      </w:r>
      <w:r w:rsidRPr="00666E8F">
        <w:rPr>
          <w:sz w:val="24"/>
          <w:szCs w:val="24"/>
        </w:rPr>
        <w:t>uditor reasonably believe</w:t>
      </w:r>
      <w:r>
        <w:rPr>
          <w:sz w:val="24"/>
          <w:szCs w:val="24"/>
        </w:rPr>
        <w:t>s</w:t>
      </w:r>
      <w:r w:rsidRPr="00666E8F">
        <w:rPr>
          <w:sz w:val="24"/>
          <w:szCs w:val="24"/>
        </w:rPr>
        <w:t xml:space="preserve"> </w:t>
      </w:r>
      <w:r>
        <w:rPr>
          <w:sz w:val="24"/>
          <w:szCs w:val="24"/>
        </w:rPr>
        <w:t xml:space="preserve">is </w:t>
      </w:r>
      <w:r w:rsidRPr="00666E8F">
        <w:rPr>
          <w:sz w:val="24"/>
          <w:szCs w:val="24"/>
        </w:rPr>
        <w:t xml:space="preserve">necessary to fulfil </w:t>
      </w:r>
      <w:r>
        <w:rPr>
          <w:sz w:val="24"/>
          <w:szCs w:val="24"/>
        </w:rPr>
        <w:t xml:space="preserve">its role and </w:t>
      </w:r>
      <w:r w:rsidRPr="00666E8F">
        <w:rPr>
          <w:sz w:val="24"/>
          <w:szCs w:val="24"/>
        </w:rPr>
        <w:t>responsibilities</w:t>
      </w:r>
      <w:r>
        <w:rPr>
          <w:sz w:val="24"/>
          <w:szCs w:val="24"/>
        </w:rPr>
        <w:t xml:space="preserve"> under this Prudential Standard</w:t>
      </w:r>
      <w:r w:rsidRPr="00666E8F">
        <w:rPr>
          <w:sz w:val="24"/>
          <w:szCs w:val="24"/>
        </w:rPr>
        <w:t>. This include</w:t>
      </w:r>
      <w:r>
        <w:rPr>
          <w:sz w:val="24"/>
          <w:szCs w:val="24"/>
        </w:rPr>
        <w:t>s</w:t>
      </w:r>
      <w:r w:rsidRPr="00666E8F">
        <w:rPr>
          <w:sz w:val="24"/>
          <w:szCs w:val="24"/>
        </w:rPr>
        <w:t xml:space="preserve"> access to the </w:t>
      </w:r>
      <w:smartTag w:uri="urn:schemas-microsoft-com:office:smarttags" w:element="stockticker">
        <w:r>
          <w:rPr>
            <w:sz w:val="24"/>
            <w:szCs w:val="24"/>
          </w:rPr>
          <w:t>ADI</w:t>
        </w:r>
      </w:smartTag>
      <w:r>
        <w:rPr>
          <w:sz w:val="24"/>
          <w:szCs w:val="24"/>
        </w:rPr>
        <w:t>’s</w:t>
      </w:r>
      <w:r w:rsidRPr="00666E8F">
        <w:rPr>
          <w:sz w:val="24"/>
          <w:szCs w:val="24"/>
        </w:rPr>
        <w:t xml:space="preserve"> Board</w:t>
      </w:r>
      <w:r>
        <w:rPr>
          <w:sz w:val="24"/>
          <w:szCs w:val="24"/>
        </w:rPr>
        <w:t>,</w:t>
      </w:r>
      <w:r w:rsidRPr="00666E8F">
        <w:rPr>
          <w:sz w:val="24"/>
          <w:szCs w:val="24"/>
        </w:rPr>
        <w:t xml:space="preserve"> Board </w:t>
      </w:r>
      <w:r>
        <w:rPr>
          <w:sz w:val="24"/>
          <w:szCs w:val="24"/>
        </w:rPr>
        <w:t>C</w:t>
      </w:r>
      <w:r w:rsidRPr="00666E8F">
        <w:rPr>
          <w:sz w:val="24"/>
          <w:szCs w:val="24"/>
        </w:rPr>
        <w:t>ommittee</w:t>
      </w:r>
      <w:r w:rsidR="00F91E1C">
        <w:rPr>
          <w:sz w:val="24"/>
          <w:szCs w:val="24"/>
        </w:rPr>
        <w:t>s</w:t>
      </w:r>
      <w:r>
        <w:rPr>
          <w:sz w:val="24"/>
          <w:szCs w:val="24"/>
        </w:rPr>
        <w:t xml:space="preserve"> and internal auditors as required</w:t>
      </w:r>
      <w:r w:rsidRPr="00666E8F">
        <w:rPr>
          <w:sz w:val="24"/>
          <w:szCs w:val="24"/>
        </w:rPr>
        <w:t xml:space="preserve">. </w:t>
      </w:r>
    </w:p>
    <w:p w14:paraId="3BC3F132" w14:textId="78E93BC9"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sidRPr="008647F8">
        <w:rPr>
          <w:sz w:val="24"/>
          <w:szCs w:val="24"/>
        </w:rPr>
        <w:t xml:space="preserve">An </w:t>
      </w:r>
      <w:smartTag w:uri="urn:schemas-microsoft-com:office:smarttags" w:element="stockticker">
        <w:r w:rsidRPr="008647F8">
          <w:rPr>
            <w:sz w:val="24"/>
            <w:szCs w:val="24"/>
          </w:rPr>
          <w:t>ADI</w:t>
        </w:r>
      </w:smartTag>
      <w:r w:rsidRPr="008647F8">
        <w:rPr>
          <w:sz w:val="24"/>
          <w:szCs w:val="24"/>
        </w:rPr>
        <w:t xml:space="preserve"> must </w:t>
      </w:r>
      <w:r>
        <w:rPr>
          <w:sz w:val="24"/>
          <w:szCs w:val="24"/>
        </w:rPr>
        <w:t xml:space="preserve">ensure </w:t>
      </w:r>
      <w:r w:rsidRPr="008647F8">
        <w:rPr>
          <w:sz w:val="24"/>
          <w:szCs w:val="24"/>
        </w:rPr>
        <w:t xml:space="preserve">that </w:t>
      </w:r>
      <w:r>
        <w:rPr>
          <w:sz w:val="24"/>
          <w:szCs w:val="24"/>
        </w:rPr>
        <w:t>its</w:t>
      </w:r>
      <w:r w:rsidRPr="008647F8">
        <w:rPr>
          <w:sz w:val="24"/>
          <w:szCs w:val="24"/>
        </w:rPr>
        <w:t xml:space="preserve"> appointed auditor is fully informed of all </w:t>
      </w:r>
      <w:r w:rsidRPr="00E6731A">
        <w:rPr>
          <w:b/>
          <w:sz w:val="24"/>
          <w:szCs w:val="24"/>
        </w:rPr>
        <w:t>prudential requirements</w:t>
      </w:r>
      <w:r w:rsidRPr="008647F8">
        <w:rPr>
          <w:sz w:val="24"/>
          <w:szCs w:val="24"/>
        </w:rPr>
        <w:t xml:space="preserve"> applicable to the </w:t>
      </w:r>
      <w:smartTag w:uri="urn:schemas-microsoft-com:office:smarttags" w:element="stockticker">
        <w:r w:rsidRPr="008647F8">
          <w:rPr>
            <w:sz w:val="24"/>
            <w:szCs w:val="24"/>
          </w:rPr>
          <w:t>ADI</w:t>
        </w:r>
      </w:smartTag>
      <w:r w:rsidRPr="008647F8">
        <w:rPr>
          <w:sz w:val="24"/>
          <w:szCs w:val="24"/>
        </w:rPr>
        <w:t>.</w:t>
      </w:r>
      <w:r>
        <w:rPr>
          <w:sz w:val="24"/>
          <w:szCs w:val="24"/>
        </w:rPr>
        <w:t xml:space="preserve"> In addition, the </w:t>
      </w:r>
      <w:smartTag w:uri="urn:schemas-microsoft-com:office:smarttags" w:element="stockticker">
        <w:r>
          <w:rPr>
            <w:sz w:val="24"/>
            <w:szCs w:val="24"/>
          </w:rPr>
          <w:t>ADI</w:t>
        </w:r>
      </w:smartTag>
      <w:r>
        <w:rPr>
          <w:sz w:val="24"/>
          <w:szCs w:val="24"/>
        </w:rPr>
        <w:t xml:space="preserve"> must ensure that </w:t>
      </w:r>
      <w:r w:rsidRPr="008647F8">
        <w:rPr>
          <w:sz w:val="24"/>
          <w:szCs w:val="24"/>
        </w:rPr>
        <w:t xml:space="preserve">the appointed auditor is provided with any other information </w:t>
      </w:r>
      <w:r w:rsidRPr="00183DB8">
        <w:rPr>
          <w:sz w:val="24"/>
          <w:szCs w:val="24"/>
        </w:rPr>
        <w:t xml:space="preserve">APRA has provided to the </w:t>
      </w:r>
      <w:smartTag w:uri="urn:schemas-microsoft-com:office:smarttags" w:element="stockticker">
        <w:r w:rsidRPr="00183DB8">
          <w:rPr>
            <w:sz w:val="24"/>
            <w:szCs w:val="24"/>
          </w:rPr>
          <w:t>ADI</w:t>
        </w:r>
      </w:smartTag>
      <w:r w:rsidRPr="00183DB8">
        <w:rPr>
          <w:sz w:val="24"/>
          <w:szCs w:val="24"/>
        </w:rPr>
        <w:t xml:space="preserve"> that may assist the appointed auditor in </w:t>
      </w:r>
      <w:r>
        <w:rPr>
          <w:sz w:val="24"/>
          <w:szCs w:val="24"/>
        </w:rPr>
        <w:t>fulfilling its role and responsibilities under this Prudential Standard.</w:t>
      </w:r>
      <w:r w:rsidRPr="00183DB8">
        <w:rPr>
          <w:sz w:val="24"/>
          <w:szCs w:val="24"/>
        </w:rPr>
        <w:t xml:space="preserve"> </w:t>
      </w:r>
    </w:p>
    <w:p w14:paraId="6708E334"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An </w:t>
      </w:r>
      <w:smartTag w:uri="urn:schemas-microsoft-com:office:smarttags" w:element="stockticker">
        <w:r>
          <w:rPr>
            <w:sz w:val="24"/>
            <w:szCs w:val="24"/>
          </w:rPr>
          <w:t>ADI</w:t>
        </w:r>
      </w:smartTag>
      <w:r>
        <w:rPr>
          <w:sz w:val="24"/>
          <w:szCs w:val="24"/>
        </w:rPr>
        <w:t xml:space="preserve"> must ensure that the following are provided to its Board or Board Audit Committee (</w:t>
      </w:r>
      <w:r w:rsidRPr="00D441AB">
        <w:rPr>
          <w:sz w:val="24"/>
          <w:szCs w:val="24"/>
        </w:rPr>
        <w:t>if not already sighted by the Board or Board Audit Committee</w:t>
      </w:r>
      <w:r>
        <w:rPr>
          <w:sz w:val="24"/>
          <w:szCs w:val="24"/>
        </w:rPr>
        <w:t>):</w:t>
      </w:r>
    </w:p>
    <w:p w14:paraId="5B012C23" w14:textId="77777777" w:rsidR="003B58F5" w:rsidRDefault="003B58F5" w:rsidP="003B58F5">
      <w:pPr>
        <w:pStyle w:val="BodyText"/>
        <w:numPr>
          <w:ilvl w:val="0"/>
          <w:numId w:val="12"/>
        </w:numPr>
        <w:tabs>
          <w:tab w:val="left" w:pos="9000"/>
        </w:tabs>
        <w:spacing w:after="240"/>
        <w:jc w:val="both"/>
      </w:pPr>
      <w:r>
        <w:t xml:space="preserve">reports provided by the appointed auditor in accordance with this Prudential Standard, and any associated assessments and other material provided by an appointed auditor to the </w:t>
      </w:r>
      <w:smartTag w:uri="urn:schemas-microsoft-com:office:smarttags" w:element="stockticker">
        <w:r>
          <w:t>ADI</w:t>
        </w:r>
      </w:smartTag>
      <w:r>
        <w:t xml:space="preserve"> on request;</w:t>
      </w:r>
    </w:p>
    <w:p w14:paraId="57072A48" w14:textId="77777777" w:rsidR="003B58F5" w:rsidRDefault="003B58F5" w:rsidP="003B58F5">
      <w:pPr>
        <w:pStyle w:val="BodyText"/>
        <w:numPr>
          <w:ilvl w:val="0"/>
          <w:numId w:val="12"/>
        </w:numPr>
        <w:tabs>
          <w:tab w:val="left" w:pos="9000"/>
        </w:tabs>
        <w:spacing w:after="240"/>
        <w:jc w:val="both"/>
      </w:pPr>
      <w:r>
        <w:t xml:space="preserve">commentary or responses provided by APRA to the </w:t>
      </w:r>
      <w:smartTag w:uri="urn:schemas-microsoft-com:office:smarttags" w:element="stockticker">
        <w:r>
          <w:t>ADI</w:t>
        </w:r>
      </w:smartTag>
      <w:r>
        <w:t xml:space="preserve"> on reports provided by the appointed auditor, and any associated assessments and other material; and</w:t>
      </w:r>
    </w:p>
    <w:p w14:paraId="48EDF7C1" w14:textId="77777777" w:rsidR="003B58F5" w:rsidRDefault="003B58F5" w:rsidP="003B58F5">
      <w:pPr>
        <w:pStyle w:val="BodyText"/>
        <w:numPr>
          <w:ilvl w:val="0"/>
          <w:numId w:val="12"/>
        </w:numPr>
        <w:tabs>
          <w:tab w:val="left" w:pos="9000"/>
        </w:tabs>
        <w:spacing w:after="240"/>
        <w:jc w:val="both"/>
      </w:pPr>
      <w:r>
        <w:t>any commentary or response on the reports, associated assessments and other material provided by the appointed auditor that are given to APRA by the ADI.</w:t>
      </w:r>
    </w:p>
    <w:p w14:paraId="6C467AA8" w14:textId="77777777" w:rsidR="003B58F5" w:rsidRPr="00B34160" w:rsidRDefault="003B58F5" w:rsidP="00B34160">
      <w:pPr>
        <w:pStyle w:val="BodyText"/>
        <w:tabs>
          <w:tab w:val="left" w:pos="9000"/>
        </w:tabs>
        <w:spacing w:before="120" w:after="240"/>
        <w:rPr>
          <w:rStyle w:val="HeadingChar"/>
          <w:rFonts w:ascii="Arial" w:hAnsi="Arial"/>
          <w:sz w:val="24"/>
          <w:szCs w:val="24"/>
        </w:rPr>
      </w:pPr>
      <w:bookmarkStart w:id="31" w:name="_Toc207424947"/>
      <w:bookmarkStart w:id="32" w:name="_Toc404607310"/>
      <w:r w:rsidRPr="00B34160">
        <w:rPr>
          <w:rStyle w:val="HeadingChar"/>
          <w:rFonts w:ascii="Arial" w:hAnsi="Arial"/>
          <w:sz w:val="24"/>
          <w:szCs w:val="24"/>
        </w:rPr>
        <w:lastRenderedPageBreak/>
        <w:t>Internal audit</w:t>
      </w:r>
      <w:bookmarkEnd w:id="31"/>
      <w:bookmarkEnd w:id="32"/>
    </w:p>
    <w:p w14:paraId="66DC6D2C" w14:textId="77777777" w:rsidR="003B58F5" w:rsidRPr="00060CAC" w:rsidRDefault="003B58F5" w:rsidP="003B58F5">
      <w:pPr>
        <w:pStyle w:val="BodyText2"/>
        <w:numPr>
          <w:ilvl w:val="0"/>
          <w:numId w:val="4"/>
        </w:numPr>
        <w:tabs>
          <w:tab w:val="clear" w:pos="2007"/>
          <w:tab w:val="num" w:pos="540"/>
          <w:tab w:val="left" w:pos="9000"/>
        </w:tabs>
        <w:spacing w:line="240" w:lineRule="auto"/>
        <w:ind w:left="539" w:hanging="539"/>
        <w:jc w:val="both"/>
        <w:rPr>
          <w:sz w:val="24"/>
          <w:szCs w:val="24"/>
        </w:rPr>
      </w:pPr>
      <w:r>
        <w:rPr>
          <w:sz w:val="24"/>
          <w:szCs w:val="24"/>
        </w:rPr>
        <w:t xml:space="preserve">An </w:t>
      </w:r>
      <w:smartTag w:uri="urn:schemas-microsoft-com:office:smarttags" w:element="stockticker">
        <w:r>
          <w:rPr>
            <w:sz w:val="24"/>
            <w:szCs w:val="24"/>
          </w:rPr>
          <w:t>ADI</w:t>
        </w:r>
      </w:smartTag>
      <w:r>
        <w:rPr>
          <w:sz w:val="24"/>
          <w:szCs w:val="24"/>
        </w:rPr>
        <w:t xml:space="preserve"> must ensure that t</w:t>
      </w:r>
      <w:r w:rsidRPr="00060CAC">
        <w:rPr>
          <w:sz w:val="24"/>
          <w:szCs w:val="24"/>
        </w:rPr>
        <w:t>he scope of internal audit include</w:t>
      </w:r>
      <w:r>
        <w:rPr>
          <w:sz w:val="24"/>
          <w:szCs w:val="24"/>
        </w:rPr>
        <w:t>s</w:t>
      </w:r>
      <w:r w:rsidRPr="00060CAC">
        <w:rPr>
          <w:sz w:val="24"/>
          <w:szCs w:val="24"/>
        </w:rPr>
        <w:t xml:space="preserve"> a review of the </w:t>
      </w:r>
      <w:r>
        <w:rPr>
          <w:sz w:val="24"/>
          <w:szCs w:val="24"/>
        </w:rPr>
        <w:t xml:space="preserve">policies, </w:t>
      </w:r>
      <w:r w:rsidRPr="00060CAC">
        <w:rPr>
          <w:sz w:val="24"/>
          <w:szCs w:val="24"/>
        </w:rPr>
        <w:t>processes and controls put in place by management to ensure compliance with APRA’s prudential requirements.</w:t>
      </w:r>
    </w:p>
    <w:p w14:paraId="315531CA"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rStyle w:val="HeadingChar"/>
          <w:rFonts w:ascii="Arial" w:hAnsi="Arial"/>
          <w:sz w:val="24"/>
          <w:szCs w:val="24"/>
        </w:rPr>
      </w:pPr>
      <w:r>
        <w:rPr>
          <w:sz w:val="24"/>
          <w:szCs w:val="24"/>
        </w:rPr>
        <w:t xml:space="preserve">An </w:t>
      </w:r>
      <w:smartTag w:uri="urn:schemas-microsoft-com:office:smarttags" w:element="stockticker">
        <w:r>
          <w:rPr>
            <w:sz w:val="24"/>
            <w:szCs w:val="24"/>
          </w:rPr>
          <w:t>ADI</w:t>
        </w:r>
      </w:smartTag>
      <w:r>
        <w:rPr>
          <w:sz w:val="24"/>
          <w:szCs w:val="24"/>
        </w:rPr>
        <w:t xml:space="preserve"> must allow its i</w:t>
      </w:r>
      <w:r w:rsidRPr="00060CAC">
        <w:rPr>
          <w:sz w:val="24"/>
          <w:szCs w:val="24"/>
        </w:rPr>
        <w:t xml:space="preserve">nternal auditor </w:t>
      </w:r>
      <w:r>
        <w:rPr>
          <w:sz w:val="24"/>
          <w:szCs w:val="24"/>
        </w:rPr>
        <w:t>to</w:t>
      </w:r>
      <w:r w:rsidRPr="00060CAC">
        <w:rPr>
          <w:sz w:val="24"/>
          <w:szCs w:val="24"/>
        </w:rPr>
        <w:t xml:space="preserve"> be represented in tripartite meetings with APRA, the </w:t>
      </w:r>
      <w:smartTag w:uri="urn:schemas-microsoft-com:office:smarttags" w:element="stockticker">
        <w:r w:rsidRPr="00060CAC">
          <w:rPr>
            <w:sz w:val="24"/>
            <w:szCs w:val="24"/>
          </w:rPr>
          <w:t>ADI</w:t>
        </w:r>
      </w:smartTag>
      <w:r w:rsidRPr="00060CAC">
        <w:rPr>
          <w:sz w:val="24"/>
          <w:szCs w:val="24"/>
        </w:rPr>
        <w:t xml:space="preserve"> and its </w:t>
      </w:r>
      <w:r>
        <w:rPr>
          <w:sz w:val="24"/>
          <w:szCs w:val="24"/>
        </w:rPr>
        <w:t>appointed</w:t>
      </w:r>
      <w:r w:rsidRPr="00060CAC">
        <w:rPr>
          <w:sz w:val="24"/>
          <w:szCs w:val="24"/>
        </w:rPr>
        <w:t xml:space="preserve"> auditor.</w:t>
      </w:r>
      <w:bookmarkStart w:id="33" w:name="_Toc207424946"/>
    </w:p>
    <w:p w14:paraId="2C63CF14" w14:textId="77777777" w:rsidR="003B58F5" w:rsidRDefault="003B58F5" w:rsidP="00B34160">
      <w:pPr>
        <w:pStyle w:val="BodyText"/>
        <w:tabs>
          <w:tab w:val="left" w:pos="9000"/>
        </w:tabs>
        <w:spacing w:before="120" w:after="240"/>
        <w:rPr>
          <w:rStyle w:val="HeadingChar"/>
          <w:rFonts w:ascii="Arial" w:hAnsi="Arial"/>
          <w:sz w:val="24"/>
          <w:szCs w:val="24"/>
        </w:rPr>
      </w:pPr>
      <w:bookmarkStart w:id="34" w:name="_Toc404607311"/>
      <w:bookmarkEnd w:id="33"/>
      <w:r>
        <w:rPr>
          <w:rStyle w:val="HeadingChar"/>
          <w:rFonts w:ascii="Arial" w:hAnsi="Arial"/>
          <w:sz w:val="24"/>
          <w:szCs w:val="24"/>
        </w:rPr>
        <w:t>Meetings with the appointed auditor</w:t>
      </w:r>
      <w:bookmarkEnd w:id="34"/>
    </w:p>
    <w:p w14:paraId="0C0BEAB1"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APRA liaison with an appointed auditor will normally be conducted under tripartite arrangements involving APRA, the </w:t>
      </w:r>
      <w:smartTag w:uri="urn:schemas-microsoft-com:office:smarttags" w:element="stockticker">
        <w:r>
          <w:rPr>
            <w:sz w:val="24"/>
            <w:szCs w:val="24"/>
          </w:rPr>
          <w:t>ADI</w:t>
        </w:r>
      </w:smartTag>
      <w:r>
        <w:rPr>
          <w:sz w:val="24"/>
          <w:szCs w:val="24"/>
        </w:rPr>
        <w:t xml:space="preserve"> and the appointed auditor. Notwithstanding the tripartite relationship, APRA and an appointed auditor may meet, at any time, on a bilateral basis at the request of either party.</w:t>
      </w:r>
    </w:p>
    <w:p w14:paraId="40373329"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Where an </w:t>
      </w:r>
      <w:smartTag w:uri="urn:schemas-microsoft-com:office:smarttags" w:element="stockticker">
        <w:r>
          <w:rPr>
            <w:sz w:val="24"/>
            <w:szCs w:val="24"/>
          </w:rPr>
          <w:t>ADI</w:t>
        </w:r>
      </w:smartTag>
      <w:r>
        <w:rPr>
          <w:sz w:val="24"/>
          <w:szCs w:val="24"/>
        </w:rPr>
        <w:t xml:space="preserve"> is part of a Level 2 group, APRA may meet with the </w:t>
      </w:r>
      <w:smartTag w:uri="urn:schemas-microsoft-com:office:smarttags" w:element="stockticker">
        <w:r>
          <w:rPr>
            <w:sz w:val="24"/>
            <w:szCs w:val="24"/>
          </w:rPr>
          <w:t>ADI</w:t>
        </w:r>
      </w:smartTag>
      <w:r>
        <w:rPr>
          <w:sz w:val="24"/>
          <w:szCs w:val="24"/>
        </w:rPr>
        <w:t xml:space="preserve">, the head entity of the Level 2 group and the appointed auditor </w:t>
      </w:r>
      <w:r w:rsidRPr="00B87386">
        <w:rPr>
          <w:sz w:val="24"/>
          <w:szCs w:val="24"/>
        </w:rPr>
        <w:t>and</w:t>
      </w:r>
      <w:r>
        <w:rPr>
          <w:sz w:val="24"/>
          <w:szCs w:val="24"/>
        </w:rPr>
        <w:t xml:space="preserve"> the </w:t>
      </w:r>
      <w:r w:rsidRPr="00B87386">
        <w:rPr>
          <w:sz w:val="24"/>
          <w:szCs w:val="24"/>
        </w:rPr>
        <w:t>internal auditor</w:t>
      </w:r>
      <w:r>
        <w:rPr>
          <w:sz w:val="24"/>
          <w:szCs w:val="24"/>
        </w:rPr>
        <w:t xml:space="preserve"> at the same time, or separately on a Level 1 and Level 2 basis, as APRA deems appropriate.  </w:t>
      </w:r>
    </w:p>
    <w:p w14:paraId="20B281D7"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For the purposes of this Prudential Standard, it is the responsibility of an appointed auditor to attend all meetings with APRA related to this Prudential Standard, whether on:</w:t>
      </w:r>
    </w:p>
    <w:p w14:paraId="7B2BD5B1" w14:textId="77777777" w:rsidR="003B58F5" w:rsidRDefault="003B58F5" w:rsidP="003B58F5">
      <w:pPr>
        <w:pStyle w:val="BodyText2"/>
        <w:tabs>
          <w:tab w:val="left" w:pos="9000"/>
        </w:tabs>
        <w:spacing w:line="240" w:lineRule="auto"/>
        <w:ind w:left="1080" w:hanging="540"/>
        <w:jc w:val="both"/>
        <w:rPr>
          <w:sz w:val="24"/>
          <w:szCs w:val="24"/>
        </w:rPr>
      </w:pPr>
      <w:r>
        <w:rPr>
          <w:sz w:val="24"/>
          <w:szCs w:val="24"/>
        </w:rPr>
        <w:t>(a)</w:t>
      </w:r>
      <w:r>
        <w:rPr>
          <w:sz w:val="24"/>
          <w:szCs w:val="24"/>
        </w:rPr>
        <w:tab/>
        <w:t xml:space="preserve">a bilateral basis between APRA and the appointed auditor; or </w:t>
      </w:r>
    </w:p>
    <w:p w14:paraId="5BB1D72B" w14:textId="77777777" w:rsidR="003B58F5" w:rsidRDefault="003B58F5" w:rsidP="003B58F5">
      <w:pPr>
        <w:pStyle w:val="BodyText2"/>
        <w:tabs>
          <w:tab w:val="left" w:pos="9000"/>
        </w:tabs>
        <w:spacing w:line="240" w:lineRule="auto"/>
        <w:ind w:left="1080" w:hanging="540"/>
        <w:jc w:val="both"/>
        <w:rPr>
          <w:sz w:val="24"/>
          <w:szCs w:val="24"/>
        </w:rPr>
      </w:pPr>
      <w:r>
        <w:rPr>
          <w:sz w:val="24"/>
          <w:szCs w:val="24"/>
        </w:rPr>
        <w:t>(b)</w:t>
      </w:r>
      <w:r>
        <w:rPr>
          <w:sz w:val="24"/>
          <w:szCs w:val="24"/>
        </w:rPr>
        <w:tab/>
        <w:t xml:space="preserve">a tripartite basis between APRA, the </w:t>
      </w:r>
      <w:smartTag w:uri="urn:schemas-microsoft-com:office:smarttags" w:element="stockticker">
        <w:r>
          <w:rPr>
            <w:sz w:val="24"/>
            <w:szCs w:val="24"/>
          </w:rPr>
          <w:t>ADI</w:t>
        </w:r>
      </w:smartTag>
      <w:r>
        <w:rPr>
          <w:sz w:val="24"/>
          <w:szCs w:val="24"/>
        </w:rPr>
        <w:t xml:space="preserve"> and the appointed auditor; or</w:t>
      </w:r>
    </w:p>
    <w:p w14:paraId="50986DCD" w14:textId="77777777" w:rsidR="003B58F5" w:rsidRDefault="003B58F5" w:rsidP="003B58F5">
      <w:pPr>
        <w:pStyle w:val="BodyText2"/>
        <w:tabs>
          <w:tab w:val="left" w:pos="9000"/>
        </w:tabs>
        <w:spacing w:line="240" w:lineRule="auto"/>
        <w:ind w:left="1080" w:hanging="540"/>
        <w:jc w:val="both"/>
        <w:rPr>
          <w:sz w:val="24"/>
          <w:szCs w:val="24"/>
        </w:rPr>
      </w:pPr>
      <w:r>
        <w:rPr>
          <w:sz w:val="24"/>
          <w:szCs w:val="24"/>
        </w:rPr>
        <w:t>(c)</w:t>
      </w:r>
      <w:r>
        <w:rPr>
          <w:sz w:val="24"/>
          <w:szCs w:val="24"/>
        </w:rPr>
        <w:tab/>
        <w:t>any other basis which APRA may specify to the appointed auditor;</w:t>
      </w:r>
    </w:p>
    <w:p w14:paraId="02B941DF" w14:textId="77777777" w:rsidR="003B58F5" w:rsidRDefault="003B58F5" w:rsidP="003B58F5">
      <w:pPr>
        <w:pStyle w:val="BodyText2"/>
        <w:shd w:val="clear" w:color="auto" w:fill="FFFFFF"/>
        <w:tabs>
          <w:tab w:val="left" w:pos="9000"/>
        </w:tabs>
        <w:spacing w:line="240" w:lineRule="auto"/>
        <w:ind w:left="540"/>
        <w:jc w:val="both"/>
        <w:rPr>
          <w:sz w:val="24"/>
          <w:szCs w:val="24"/>
        </w:rPr>
      </w:pPr>
      <w:r>
        <w:rPr>
          <w:sz w:val="24"/>
          <w:szCs w:val="24"/>
        </w:rPr>
        <w:t xml:space="preserve">unless APRA indicates otherwise, in writing. It is also the responsibility of the appointed auditor to supply all information and documents requested by APRA relevant to the </w:t>
      </w:r>
      <w:smartTag w:uri="urn:schemas-microsoft-com:office:smarttags" w:element="stockticker">
        <w:r>
          <w:rPr>
            <w:sz w:val="24"/>
            <w:szCs w:val="24"/>
          </w:rPr>
          <w:t>ADI</w:t>
        </w:r>
      </w:smartTag>
      <w:r>
        <w:rPr>
          <w:sz w:val="24"/>
          <w:szCs w:val="24"/>
        </w:rPr>
        <w:t>.</w:t>
      </w:r>
    </w:p>
    <w:p w14:paraId="1820A6CF" w14:textId="77777777" w:rsidR="003B58F5" w:rsidRPr="00B34160" w:rsidRDefault="003B58F5" w:rsidP="003B58F5">
      <w:pPr>
        <w:pStyle w:val="BodyText"/>
        <w:tabs>
          <w:tab w:val="left" w:pos="9000"/>
        </w:tabs>
        <w:spacing w:before="120" w:after="240"/>
        <w:rPr>
          <w:rStyle w:val="HeadingChar"/>
          <w:rFonts w:ascii="Arial" w:hAnsi="Arial"/>
          <w:sz w:val="24"/>
          <w:szCs w:val="24"/>
        </w:rPr>
      </w:pPr>
      <w:bookmarkStart w:id="35" w:name="Paragraph_1b"/>
      <w:bookmarkStart w:id="36" w:name="Paragraph_1bii"/>
      <w:bookmarkStart w:id="37" w:name="_Toc207424951"/>
      <w:bookmarkStart w:id="38" w:name="_Toc404607312"/>
      <w:bookmarkStart w:id="39" w:name="_Ref155682313"/>
      <w:bookmarkEnd w:id="35"/>
      <w:bookmarkEnd w:id="36"/>
      <w:r w:rsidRPr="00B34160">
        <w:rPr>
          <w:rStyle w:val="HeadingChar"/>
          <w:rFonts w:ascii="Arial" w:hAnsi="Arial"/>
          <w:sz w:val="24"/>
          <w:szCs w:val="24"/>
        </w:rPr>
        <w:t>Responsibilities of the</w:t>
      </w:r>
      <w:bookmarkEnd w:id="37"/>
      <w:r w:rsidRPr="00B34160">
        <w:rPr>
          <w:rStyle w:val="HeadingChar"/>
          <w:rFonts w:ascii="Arial" w:hAnsi="Arial"/>
          <w:sz w:val="24"/>
          <w:szCs w:val="24"/>
        </w:rPr>
        <w:t xml:space="preserve"> </w:t>
      </w:r>
      <w:bookmarkStart w:id="40" w:name="_Toc207424952"/>
      <w:r w:rsidRPr="00B34160">
        <w:rPr>
          <w:rStyle w:val="HeadingChar"/>
          <w:rFonts w:ascii="Arial" w:hAnsi="Arial"/>
          <w:sz w:val="24"/>
          <w:szCs w:val="24"/>
        </w:rPr>
        <w:t>appointed auditor</w:t>
      </w:r>
      <w:bookmarkEnd w:id="38"/>
      <w:bookmarkEnd w:id="40"/>
      <w:r w:rsidRPr="00B34160">
        <w:rPr>
          <w:rStyle w:val="HeadingChar"/>
          <w:rFonts w:ascii="Arial" w:hAnsi="Arial"/>
          <w:sz w:val="24"/>
          <w:szCs w:val="24"/>
        </w:rPr>
        <w:t xml:space="preserve"> </w:t>
      </w:r>
    </w:p>
    <w:p w14:paraId="37AC1FC7" w14:textId="77777777" w:rsidR="003B58F5" w:rsidRDefault="003B58F5" w:rsidP="003B58F5">
      <w:pPr>
        <w:pStyle w:val="BodyText2"/>
        <w:numPr>
          <w:ilvl w:val="0"/>
          <w:numId w:val="4"/>
        </w:numPr>
        <w:tabs>
          <w:tab w:val="clear" w:pos="2007"/>
          <w:tab w:val="num" w:pos="540"/>
          <w:tab w:val="left" w:pos="9000"/>
        </w:tabs>
        <w:spacing w:line="240" w:lineRule="auto"/>
        <w:ind w:left="539" w:hanging="539"/>
        <w:jc w:val="both"/>
        <w:rPr>
          <w:sz w:val="24"/>
          <w:szCs w:val="24"/>
        </w:rPr>
      </w:pPr>
      <w:bookmarkStart w:id="41" w:name="_Ref211936585"/>
      <w:r>
        <w:rPr>
          <w:sz w:val="24"/>
          <w:szCs w:val="24"/>
        </w:rPr>
        <w:t>It is the responsibility of an appointed auditor to submit directly to APRA:</w:t>
      </w:r>
    </w:p>
    <w:p w14:paraId="614BF832" w14:textId="77777777" w:rsidR="003B58F5" w:rsidRDefault="003B58F5" w:rsidP="003B58F5">
      <w:pPr>
        <w:pStyle w:val="BodyText2"/>
        <w:numPr>
          <w:ilvl w:val="0"/>
          <w:numId w:val="16"/>
        </w:numPr>
        <w:tabs>
          <w:tab w:val="clear" w:pos="720"/>
          <w:tab w:val="num" w:pos="1080"/>
          <w:tab w:val="left" w:pos="9000"/>
        </w:tabs>
        <w:spacing w:line="240" w:lineRule="auto"/>
        <w:ind w:left="1078" w:hanging="539"/>
        <w:jc w:val="both"/>
        <w:rPr>
          <w:sz w:val="24"/>
          <w:szCs w:val="24"/>
        </w:rPr>
      </w:pPr>
      <w:r>
        <w:rPr>
          <w:sz w:val="24"/>
          <w:szCs w:val="24"/>
        </w:rPr>
        <w:t>all reports required to be produced under this Prudential Standard;  and</w:t>
      </w:r>
    </w:p>
    <w:p w14:paraId="3A7D8D60" w14:textId="77777777" w:rsidR="003B58F5" w:rsidRDefault="003B58F5" w:rsidP="003B58F5">
      <w:pPr>
        <w:pStyle w:val="BodyText2"/>
        <w:numPr>
          <w:ilvl w:val="0"/>
          <w:numId w:val="16"/>
        </w:numPr>
        <w:tabs>
          <w:tab w:val="clear" w:pos="720"/>
          <w:tab w:val="num" w:pos="1080"/>
          <w:tab w:val="left" w:pos="9000"/>
        </w:tabs>
        <w:spacing w:line="240" w:lineRule="auto"/>
        <w:ind w:left="1078" w:hanging="539"/>
        <w:jc w:val="both"/>
        <w:rPr>
          <w:sz w:val="24"/>
          <w:szCs w:val="24"/>
        </w:rPr>
      </w:pPr>
      <w:r>
        <w:rPr>
          <w:sz w:val="24"/>
          <w:szCs w:val="24"/>
        </w:rPr>
        <w:t>all assessments and other material associated with the reports, if requested by APRA.</w:t>
      </w:r>
    </w:p>
    <w:p w14:paraId="7DA57556" w14:textId="77777777" w:rsidR="003B58F5" w:rsidRDefault="003B58F5" w:rsidP="003B58F5">
      <w:pPr>
        <w:pStyle w:val="BodyText2"/>
        <w:tabs>
          <w:tab w:val="left" w:pos="9000"/>
        </w:tabs>
        <w:spacing w:line="240" w:lineRule="auto"/>
        <w:ind w:left="539"/>
        <w:jc w:val="both"/>
        <w:rPr>
          <w:sz w:val="24"/>
          <w:szCs w:val="24"/>
        </w:rPr>
      </w:pPr>
      <w:r>
        <w:rPr>
          <w:sz w:val="24"/>
          <w:szCs w:val="24"/>
        </w:rPr>
        <w:t>Such reports, assessments and other material must be prepared by the appointed auditor on the basis that APRA may rely upon them in the performance of its functions under the Act.</w:t>
      </w:r>
      <w:bookmarkEnd w:id="41"/>
    </w:p>
    <w:p w14:paraId="4F935FCC" w14:textId="04A636DB" w:rsidR="003B58F5" w:rsidRDefault="003B58F5" w:rsidP="003B58F5">
      <w:pPr>
        <w:pStyle w:val="BodyText2"/>
        <w:numPr>
          <w:ilvl w:val="0"/>
          <w:numId w:val="4"/>
        </w:numPr>
        <w:tabs>
          <w:tab w:val="clear" w:pos="2007"/>
          <w:tab w:val="num" w:pos="540"/>
          <w:tab w:val="left" w:pos="9000"/>
        </w:tabs>
        <w:spacing w:line="240" w:lineRule="auto"/>
        <w:ind w:left="539" w:hanging="539"/>
        <w:jc w:val="both"/>
        <w:rPr>
          <w:sz w:val="24"/>
          <w:szCs w:val="24"/>
        </w:rPr>
      </w:pPr>
      <w:bookmarkStart w:id="42" w:name="_Ref213475480"/>
      <w:r>
        <w:rPr>
          <w:sz w:val="24"/>
          <w:szCs w:val="24"/>
        </w:rPr>
        <w:t xml:space="preserve">The responsibilities of an appointed auditor include an obligation to refrain from notifying the </w:t>
      </w:r>
      <w:smartTag w:uri="urn:schemas-microsoft-com:office:smarttags" w:element="stockticker">
        <w:r>
          <w:rPr>
            <w:sz w:val="24"/>
            <w:szCs w:val="24"/>
          </w:rPr>
          <w:t>ADI</w:t>
        </w:r>
      </w:smartTag>
      <w:r>
        <w:rPr>
          <w:sz w:val="24"/>
          <w:szCs w:val="24"/>
        </w:rPr>
        <w:t xml:space="preserve"> of, or from providing the </w:t>
      </w:r>
      <w:smartTag w:uri="urn:schemas-microsoft-com:office:smarttags" w:element="stockticker">
        <w:r>
          <w:rPr>
            <w:sz w:val="24"/>
            <w:szCs w:val="24"/>
          </w:rPr>
          <w:t>ADI</w:t>
        </w:r>
      </w:smartTag>
      <w:r>
        <w:rPr>
          <w:sz w:val="24"/>
          <w:szCs w:val="24"/>
        </w:rPr>
        <w:t xml:space="preserve"> with, the documents referred to in paragraph </w:t>
      </w:r>
      <w:r w:rsidR="006C3190">
        <w:rPr>
          <w:sz w:val="24"/>
          <w:szCs w:val="24"/>
        </w:rPr>
        <w:t>31</w:t>
      </w:r>
      <w:r>
        <w:rPr>
          <w:sz w:val="24"/>
          <w:szCs w:val="24"/>
        </w:rPr>
        <w:t>, where:</w:t>
      </w:r>
      <w:bookmarkEnd w:id="42"/>
    </w:p>
    <w:p w14:paraId="63CF032D" w14:textId="77777777" w:rsidR="003B58F5" w:rsidRDefault="003B58F5" w:rsidP="003B58F5">
      <w:pPr>
        <w:pStyle w:val="BodyText"/>
        <w:numPr>
          <w:ilvl w:val="0"/>
          <w:numId w:val="13"/>
        </w:numPr>
        <w:tabs>
          <w:tab w:val="left" w:pos="9000"/>
        </w:tabs>
        <w:spacing w:after="240"/>
        <w:jc w:val="both"/>
      </w:pPr>
      <w:r>
        <w:lastRenderedPageBreak/>
        <w:t xml:space="preserve">the appointed auditor considers that by doing so the interests of depositors of the </w:t>
      </w:r>
      <w:smartTag w:uri="urn:schemas-microsoft-com:office:smarttags" w:element="stockticker">
        <w:r>
          <w:t>ADI</w:t>
        </w:r>
      </w:smartTag>
      <w:r>
        <w:t xml:space="preserve"> would be jeopardised; or where </w:t>
      </w:r>
      <w:r w:rsidRPr="00B87386">
        <w:t xml:space="preserve"> </w:t>
      </w:r>
    </w:p>
    <w:p w14:paraId="17B9CF09" w14:textId="77777777" w:rsidR="003B58F5" w:rsidRDefault="003B58F5" w:rsidP="003B58F5">
      <w:pPr>
        <w:pStyle w:val="BodyText"/>
        <w:numPr>
          <w:ilvl w:val="0"/>
          <w:numId w:val="13"/>
        </w:numPr>
        <w:tabs>
          <w:tab w:val="left" w:pos="9000"/>
        </w:tabs>
        <w:spacing w:after="240"/>
        <w:jc w:val="both"/>
      </w:pPr>
      <w:r w:rsidRPr="00B87386">
        <w:t xml:space="preserve">there is a situation of mistrust between the </w:t>
      </w:r>
      <w:r>
        <w:t xml:space="preserve">appointed </w:t>
      </w:r>
      <w:r w:rsidRPr="00B87386">
        <w:t xml:space="preserve">auditor and the Board or senior management of </w:t>
      </w:r>
      <w:r>
        <w:t>the</w:t>
      </w:r>
      <w:r w:rsidRPr="00B87386">
        <w:t xml:space="preserve"> </w:t>
      </w:r>
      <w:smartTag w:uri="urn:schemas-microsoft-com:office:smarttags" w:element="stockticker">
        <w:r w:rsidRPr="00B87386">
          <w:t>ADI</w:t>
        </w:r>
      </w:smartTag>
      <w:r w:rsidRPr="00B87386">
        <w:t>.</w:t>
      </w:r>
    </w:p>
    <w:p w14:paraId="4E483F25"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As part of its responsibilities, an appointed auditor in preparing reports, whether as part of routine or special purpose engagements, must not place sole reliance on the work performed by APRA.</w:t>
      </w:r>
    </w:p>
    <w:p w14:paraId="44AB5518" w14:textId="77777777" w:rsidR="003B58F5" w:rsidRPr="00B34160" w:rsidRDefault="003B58F5" w:rsidP="00B34160">
      <w:pPr>
        <w:pStyle w:val="BodyText"/>
        <w:tabs>
          <w:tab w:val="left" w:pos="9000"/>
        </w:tabs>
        <w:spacing w:before="120" w:after="240"/>
        <w:rPr>
          <w:rStyle w:val="HeadingChar"/>
          <w:rFonts w:ascii="Arial" w:hAnsi="Arial"/>
          <w:sz w:val="24"/>
          <w:szCs w:val="24"/>
        </w:rPr>
      </w:pPr>
      <w:bookmarkStart w:id="43" w:name="_Toc404607313"/>
      <w:r w:rsidRPr="00B34160">
        <w:rPr>
          <w:rStyle w:val="HeadingChar"/>
          <w:rFonts w:ascii="Arial" w:hAnsi="Arial"/>
          <w:sz w:val="24"/>
          <w:szCs w:val="24"/>
        </w:rPr>
        <w:t>Reports by the appointed auditor</w:t>
      </w:r>
      <w:bookmarkEnd w:id="43"/>
    </w:p>
    <w:p w14:paraId="7BEC4DB6"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Where there is a Level 2 group, then unless otherwise instructed in writing by APRA,</w:t>
      </w:r>
      <w:r w:rsidRPr="000F5583">
        <w:rPr>
          <w:sz w:val="24"/>
          <w:szCs w:val="24"/>
        </w:rPr>
        <w:t xml:space="preserve"> reports, assessments and other material required by this Prudential St</w:t>
      </w:r>
      <w:r>
        <w:rPr>
          <w:sz w:val="24"/>
          <w:szCs w:val="24"/>
        </w:rPr>
        <w:t>andard must be prepared on one or the other of the following bases, as the appointed auditor considers appropriate:</w:t>
      </w:r>
      <w:r w:rsidRPr="000F5583">
        <w:rPr>
          <w:sz w:val="24"/>
          <w:szCs w:val="24"/>
        </w:rPr>
        <w:t xml:space="preserve"> </w:t>
      </w:r>
    </w:p>
    <w:p w14:paraId="336E30B6" w14:textId="77777777" w:rsidR="003B58F5" w:rsidRDefault="003B58F5" w:rsidP="003B58F5">
      <w:pPr>
        <w:pStyle w:val="BodyText"/>
        <w:numPr>
          <w:ilvl w:val="0"/>
          <w:numId w:val="15"/>
        </w:numPr>
        <w:tabs>
          <w:tab w:val="left" w:pos="9000"/>
        </w:tabs>
        <w:spacing w:after="240"/>
        <w:jc w:val="both"/>
      </w:pPr>
      <w:r w:rsidRPr="000F5583">
        <w:t xml:space="preserve">both the </w:t>
      </w:r>
      <w:smartTag w:uri="urn:schemas-microsoft-com:office:smarttags" w:element="stockticker">
        <w:r w:rsidRPr="000F5583">
          <w:t>ADI</w:t>
        </w:r>
      </w:smartTag>
      <w:r w:rsidRPr="000F5583">
        <w:t xml:space="preserve"> on a Level 1 basis and the Level 2 group provided it is clear where the appointed auditor is referring to matters relating to the </w:t>
      </w:r>
      <w:smartTag w:uri="urn:schemas-microsoft-com:office:smarttags" w:element="stockticker">
        <w:r w:rsidRPr="000F5583">
          <w:t>ADI</w:t>
        </w:r>
      </w:smartTag>
      <w:r w:rsidRPr="000F5583">
        <w:t xml:space="preserve"> or the Level 2 group</w:t>
      </w:r>
      <w:r>
        <w:t>; or</w:t>
      </w:r>
    </w:p>
    <w:p w14:paraId="254F77AE" w14:textId="77777777" w:rsidR="003B58F5" w:rsidRPr="000F5583" w:rsidRDefault="003B58F5" w:rsidP="003B58F5">
      <w:pPr>
        <w:pStyle w:val="BodyText"/>
        <w:numPr>
          <w:ilvl w:val="0"/>
          <w:numId w:val="15"/>
        </w:numPr>
        <w:tabs>
          <w:tab w:val="left" w:pos="9000"/>
        </w:tabs>
        <w:spacing w:after="240"/>
        <w:jc w:val="both"/>
      </w:pPr>
      <w:r>
        <w:t xml:space="preserve">the </w:t>
      </w:r>
      <w:smartTag w:uri="urn:schemas-microsoft-com:office:smarttags" w:element="stockticker">
        <w:r>
          <w:t>ADI</w:t>
        </w:r>
      </w:smartTag>
      <w:r>
        <w:t xml:space="preserve"> on a Level 1 basis and Level 2 group separately.</w:t>
      </w:r>
    </w:p>
    <w:p w14:paraId="74AF2593" w14:textId="77777777" w:rsidR="003B58F5" w:rsidRPr="00B34160" w:rsidRDefault="003B58F5" w:rsidP="00B34160">
      <w:pPr>
        <w:pStyle w:val="BodyText"/>
        <w:tabs>
          <w:tab w:val="left" w:pos="9000"/>
        </w:tabs>
        <w:spacing w:before="120" w:after="240"/>
        <w:rPr>
          <w:rStyle w:val="HeadingChar"/>
          <w:rFonts w:ascii="Arial" w:hAnsi="Arial"/>
          <w:sz w:val="24"/>
          <w:szCs w:val="24"/>
        </w:rPr>
      </w:pPr>
      <w:bookmarkStart w:id="44" w:name="_Toc404607314"/>
      <w:r w:rsidRPr="00B34160">
        <w:rPr>
          <w:rStyle w:val="HeadingChar"/>
          <w:rFonts w:ascii="Arial" w:hAnsi="Arial"/>
          <w:sz w:val="24"/>
          <w:szCs w:val="24"/>
        </w:rPr>
        <w:t>Routine reports</w:t>
      </w:r>
      <w:bookmarkEnd w:id="44"/>
      <w:r w:rsidRPr="00B34160">
        <w:rPr>
          <w:rStyle w:val="HeadingChar"/>
          <w:rFonts w:ascii="Arial" w:hAnsi="Arial"/>
          <w:sz w:val="24"/>
          <w:szCs w:val="24"/>
        </w:rPr>
        <w:t xml:space="preserve"> </w:t>
      </w:r>
    </w:p>
    <w:p w14:paraId="7E4170A9" w14:textId="77931C36" w:rsidR="003B58F5" w:rsidRDefault="003B58F5" w:rsidP="003B58F5">
      <w:pPr>
        <w:pStyle w:val="BodyText2"/>
        <w:keepNext/>
        <w:numPr>
          <w:ilvl w:val="0"/>
          <w:numId w:val="4"/>
        </w:numPr>
        <w:tabs>
          <w:tab w:val="clear" w:pos="2007"/>
          <w:tab w:val="num" w:pos="540"/>
          <w:tab w:val="left" w:pos="9000"/>
        </w:tabs>
        <w:spacing w:line="240" w:lineRule="auto"/>
        <w:ind w:left="540" w:hanging="540"/>
        <w:jc w:val="both"/>
        <w:rPr>
          <w:sz w:val="24"/>
          <w:szCs w:val="24"/>
        </w:rPr>
      </w:pPr>
      <w:bookmarkStart w:id="45" w:name="_Ref207181913"/>
      <w:r>
        <w:rPr>
          <w:sz w:val="24"/>
          <w:szCs w:val="24"/>
        </w:rPr>
        <w:t xml:space="preserve">The responsibilities of the appointed auditor include reporting simultaneously (subject to paragraph </w:t>
      </w:r>
      <w:r w:rsidR="00F4022B">
        <w:rPr>
          <w:sz w:val="24"/>
          <w:szCs w:val="24"/>
        </w:rPr>
        <w:fldChar w:fldCharType="begin"/>
      </w:r>
      <w:r>
        <w:rPr>
          <w:sz w:val="24"/>
          <w:szCs w:val="24"/>
        </w:rPr>
        <w:instrText xml:space="preserve"> REF _Ref213475480 \r \h </w:instrText>
      </w:r>
      <w:r w:rsidR="00F4022B">
        <w:rPr>
          <w:sz w:val="24"/>
          <w:szCs w:val="24"/>
        </w:rPr>
      </w:r>
      <w:r w:rsidR="00F4022B">
        <w:rPr>
          <w:sz w:val="24"/>
          <w:szCs w:val="24"/>
        </w:rPr>
        <w:fldChar w:fldCharType="separate"/>
      </w:r>
      <w:r w:rsidR="001813C8">
        <w:rPr>
          <w:sz w:val="24"/>
          <w:szCs w:val="24"/>
        </w:rPr>
        <w:t>32</w:t>
      </w:r>
      <w:r w:rsidR="00F4022B">
        <w:rPr>
          <w:sz w:val="24"/>
          <w:szCs w:val="24"/>
        </w:rPr>
        <w:fldChar w:fldCharType="end"/>
      </w:r>
      <w:r>
        <w:rPr>
          <w:sz w:val="24"/>
          <w:szCs w:val="24"/>
        </w:rPr>
        <w:t xml:space="preserve">) to APRA and the </w:t>
      </w:r>
      <w:smartTag w:uri="urn:schemas-microsoft-com:office:smarttags" w:element="stockticker">
        <w:r>
          <w:rPr>
            <w:sz w:val="24"/>
            <w:szCs w:val="24"/>
          </w:rPr>
          <w:t>ADI</w:t>
        </w:r>
      </w:smartTag>
      <w:r>
        <w:rPr>
          <w:sz w:val="24"/>
          <w:szCs w:val="24"/>
        </w:rPr>
        <w:t xml:space="preserve">’s Board (or Board Audit Committee), within three months of the end of the financial year of the </w:t>
      </w:r>
      <w:smartTag w:uri="urn:schemas-microsoft-com:office:smarttags" w:element="stockticker">
        <w:r>
          <w:rPr>
            <w:sz w:val="24"/>
            <w:szCs w:val="24"/>
          </w:rPr>
          <w:t>ADI</w:t>
        </w:r>
      </w:smartTag>
      <w:r>
        <w:rPr>
          <w:rStyle w:val="FootnoteReference"/>
          <w:sz w:val="24"/>
          <w:szCs w:val="24"/>
        </w:rPr>
        <w:footnoteReference w:id="4"/>
      </w:r>
      <w:r>
        <w:rPr>
          <w:sz w:val="24"/>
          <w:szCs w:val="24"/>
        </w:rPr>
        <w:t>, on:</w:t>
      </w:r>
    </w:p>
    <w:p w14:paraId="2F8BF1C4" w14:textId="77777777" w:rsidR="003B58F5" w:rsidRDefault="003B58F5" w:rsidP="003B58F5">
      <w:pPr>
        <w:pStyle w:val="BodyText"/>
        <w:numPr>
          <w:ilvl w:val="0"/>
          <w:numId w:val="17"/>
        </w:numPr>
        <w:tabs>
          <w:tab w:val="left" w:pos="9000"/>
        </w:tabs>
        <w:spacing w:after="240"/>
        <w:jc w:val="both"/>
      </w:pPr>
      <w:r>
        <w:t xml:space="preserve">the matters relating to </w:t>
      </w:r>
      <w:r w:rsidRPr="00A440DB">
        <w:t>APRA data collections</w:t>
      </w:r>
      <w:r>
        <w:t xml:space="preserve">; and </w:t>
      </w:r>
    </w:p>
    <w:p w14:paraId="26C6B51C" w14:textId="77777777" w:rsidR="003B58F5" w:rsidRDefault="003B58F5" w:rsidP="003B58F5">
      <w:pPr>
        <w:pStyle w:val="BodyText"/>
        <w:numPr>
          <w:ilvl w:val="0"/>
          <w:numId w:val="17"/>
        </w:numPr>
        <w:tabs>
          <w:tab w:val="left" w:pos="9000"/>
        </w:tabs>
        <w:spacing w:after="240"/>
        <w:jc w:val="both"/>
      </w:pPr>
      <w:r>
        <w:t xml:space="preserve">internal controls at both Level 1 and the Level 2 </w:t>
      </w:r>
      <w:r w:rsidRPr="00DC53AD">
        <w:t>grou</w:t>
      </w:r>
      <w:r w:rsidR="00D36459">
        <w:t>p;</w:t>
      </w:r>
    </w:p>
    <w:p w14:paraId="301EC2E6" w14:textId="61AE4DB5" w:rsidR="003B58F5" w:rsidRDefault="003B58F5" w:rsidP="003B58F5">
      <w:pPr>
        <w:pStyle w:val="BodyText2"/>
        <w:tabs>
          <w:tab w:val="left" w:pos="9000"/>
        </w:tabs>
        <w:spacing w:line="240" w:lineRule="auto"/>
        <w:ind w:left="539"/>
        <w:jc w:val="both"/>
        <w:rPr>
          <w:sz w:val="24"/>
          <w:szCs w:val="24"/>
        </w:rPr>
      </w:pPr>
      <w:r>
        <w:rPr>
          <w:sz w:val="24"/>
          <w:szCs w:val="24"/>
        </w:rPr>
        <w:t xml:space="preserve">as referred to in paragraph </w:t>
      </w:r>
      <w:r w:rsidR="00F4022B">
        <w:rPr>
          <w:sz w:val="24"/>
          <w:szCs w:val="24"/>
        </w:rPr>
        <w:fldChar w:fldCharType="begin"/>
      </w:r>
      <w:r>
        <w:rPr>
          <w:sz w:val="24"/>
          <w:szCs w:val="24"/>
        </w:rPr>
        <w:instrText xml:space="preserve"> REF _Ref338773399 \r \h </w:instrText>
      </w:r>
      <w:r w:rsidR="00F4022B">
        <w:rPr>
          <w:sz w:val="24"/>
          <w:szCs w:val="24"/>
        </w:rPr>
      </w:r>
      <w:r w:rsidR="00F4022B">
        <w:rPr>
          <w:sz w:val="24"/>
          <w:szCs w:val="24"/>
        </w:rPr>
        <w:fldChar w:fldCharType="separate"/>
      </w:r>
      <w:r w:rsidR="001813C8">
        <w:rPr>
          <w:sz w:val="24"/>
          <w:szCs w:val="24"/>
        </w:rPr>
        <w:t>36</w:t>
      </w:r>
      <w:r w:rsidR="00F4022B">
        <w:rPr>
          <w:sz w:val="24"/>
          <w:szCs w:val="24"/>
        </w:rPr>
        <w:fldChar w:fldCharType="end"/>
      </w:r>
      <w:r>
        <w:rPr>
          <w:sz w:val="24"/>
          <w:szCs w:val="24"/>
        </w:rPr>
        <w:t xml:space="preserve">. For this purpose, </w:t>
      </w:r>
      <w:r w:rsidRPr="001C3AF0">
        <w:rPr>
          <w:sz w:val="24"/>
          <w:szCs w:val="24"/>
        </w:rPr>
        <w:t>APRA data collections</w:t>
      </w:r>
      <w:r>
        <w:rPr>
          <w:sz w:val="24"/>
          <w:szCs w:val="24"/>
        </w:rPr>
        <w:t xml:space="preserve"> means any data collected in accordance with the </w:t>
      </w:r>
      <w:r w:rsidR="002621F1">
        <w:rPr>
          <w:i/>
          <w:sz w:val="24"/>
          <w:szCs w:val="24"/>
        </w:rPr>
        <w:t xml:space="preserve">Financial Sector (Collection of Data) Act 2001 </w:t>
      </w:r>
      <w:r w:rsidR="002621F1">
        <w:rPr>
          <w:sz w:val="24"/>
          <w:szCs w:val="24"/>
        </w:rPr>
        <w:t>(</w:t>
      </w:r>
      <w:r w:rsidRPr="00E6731A">
        <w:rPr>
          <w:b/>
          <w:sz w:val="24"/>
          <w:szCs w:val="24"/>
        </w:rPr>
        <w:t>FSCODA</w:t>
      </w:r>
      <w:r w:rsidR="002621F1">
        <w:rPr>
          <w:sz w:val="24"/>
          <w:szCs w:val="24"/>
        </w:rPr>
        <w:t>)</w:t>
      </w:r>
      <w:r>
        <w:rPr>
          <w:sz w:val="24"/>
          <w:szCs w:val="24"/>
        </w:rPr>
        <w:t>.</w:t>
      </w:r>
      <w:bookmarkStart w:id="46" w:name="_Ref208392021"/>
      <w:bookmarkEnd w:id="45"/>
    </w:p>
    <w:p w14:paraId="2727AF39" w14:textId="77777777" w:rsidR="003B58F5" w:rsidRDefault="003B58F5" w:rsidP="003B58F5">
      <w:pPr>
        <w:pStyle w:val="BodyText2"/>
        <w:keepNext/>
        <w:numPr>
          <w:ilvl w:val="0"/>
          <w:numId w:val="4"/>
        </w:numPr>
        <w:tabs>
          <w:tab w:val="clear" w:pos="2007"/>
          <w:tab w:val="num" w:pos="540"/>
          <w:tab w:val="left" w:pos="9000"/>
        </w:tabs>
        <w:spacing w:line="240" w:lineRule="auto"/>
        <w:ind w:left="540" w:hanging="540"/>
        <w:jc w:val="both"/>
        <w:rPr>
          <w:sz w:val="24"/>
          <w:szCs w:val="24"/>
        </w:rPr>
      </w:pPr>
      <w:bookmarkStart w:id="47" w:name="_Ref338773399"/>
      <w:r>
        <w:rPr>
          <w:sz w:val="24"/>
          <w:szCs w:val="24"/>
        </w:rPr>
        <w:t xml:space="preserve">An appointed auditor’s responsibilities must </w:t>
      </w:r>
      <w:r w:rsidRPr="00DC53AD">
        <w:rPr>
          <w:sz w:val="24"/>
          <w:szCs w:val="24"/>
        </w:rPr>
        <w:t>specifically</w:t>
      </w:r>
      <w:r>
        <w:rPr>
          <w:sz w:val="24"/>
          <w:szCs w:val="24"/>
        </w:rPr>
        <w:t xml:space="preserve"> include reporting on:</w:t>
      </w:r>
      <w:bookmarkEnd w:id="46"/>
      <w:bookmarkEnd w:id="47"/>
      <w:r>
        <w:rPr>
          <w:sz w:val="24"/>
          <w:szCs w:val="24"/>
        </w:rPr>
        <w:t xml:space="preserve"> </w:t>
      </w:r>
    </w:p>
    <w:p w14:paraId="3879E3FE" w14:textId="77777777" w:rsidR="003B58F5" w:rsidRPr="001C3AF0" w:rsidRDefault="003B58F5" w:rsidP="003B58F5">
      <w:pPr>
        <w:pStyle w:val="BodyText2"/>
        <w:keepNext/>
        <w:tabs>
          <w:tab w:val="left" w:pos="9000"/>
        </w:tabs>
        <w:spacing w:line="240" w:lineRule="auto"/>
        <w:ind w:left="567"/>
        <w:jc w:val="both"/>
        <w:rPr>
          <w:b/>
          <w:sz w:val="24"/>
          <w:szCs w:val="24"/>
        </w:rPr>
      </w:pPr>
      <w:r w:rsidRPr="001C3AF0">
        <w:rPr>
          <w:b/>
          <w:sz w:val="24"/>
          <w:szCs w:val="24"/>
        </w:rPr>
        <w:t xml:space="preserve">APRA data collections referred to in Attachment A covering the financial year </w:t>
      </w:r>
    </w:p>
    <w:p w14:paraId="372C4949" w14:textId="77777777" w:rsidR="003B58F5" w:rsidRPr="003F7CB2" w:rsidRDefault="003B58F5" w:rsidP="003B58F5">
      <w:pPr>
        <w:pStyle w:val="BodyText"/>
        <w:numPr>
          <w:ilvl w:val="0"/>
          <w:numId w:val="18"/>
        </w:numPr>
        <w:tabs>
          <w:tab w:val="left" w:pos="9000"/>
        </w:tabs>
        <w:spacing w:after="240"/>
        <w:jc w:val="both"/>
      </w:pPr>
      <w:r w:rsidRPr="00C63EB0">
        <w:rPr>
          <w:i/>
        </w:rPr>
        <w:t>for those collections where the data are sourced only from accounting records</w:t>
      </w:r>
      <w:r w:rsidRPr="003F7CB2">
        <w:t xml:space="preserve"> </w:t>
      </w:r>
      <w:r>
        <w:t>–</w:t>
      </w:r>
      <w:r w:rsidRPr="003F7CB2">
        <w:t xml:space="preserve"> </w:t>
      </w:r>
      <w:r>
        <w:t xml:space="preserve">the appointed auditor must provide </w:t>
      </w:r>
      <w:r w:rsidRPr="00E6731A">
        <w:rPr>
          <w:b/>
        </w:rPr>
        <w:t>reasonable assurance</w:t>
      </w:r>
      <w:r w:rsidRPr="003F7CB2">
        <w:t xml:space="preserve"> that the information in these </w:t>
      </w:r>
      <w:r>
        <w:t>collections</w:t>
      </w:r>
      <w:r w:rsidRPr="003F7CB2">
        <w:t xml:space="preserve"> at the financial year</w:t>
      </w:r>
      <w:r>
        <w:t>-</w:t>
      </w:r>
      <w:r w:rsidRPr="003F7CB2">
        <w:t xml:space="preserve">end is reliable and in accordance with the relevant prudential standards and reporting standards; </w:t>
      </w:r>
    </w:p>
    <w:p w14:paraId="39045055" w14:textId="77777777" w:rsidR="003B58F5" w:rsidRDefault="003B58F5" w:rsidP="003B58F5">
      <w:pPr>
        <w:pStyle w:val="BodyText"/>
        <w:numPr>
          <w:ilvl w:val="0"/>
          <w:numId w:val="18"/>
        </w:numPr>
        <w:tabs>
          <w:tab w:val="left" w:pos="9000"/>
        </w:tabs>
        <w:spacing w:after="240"/>
        <w:jc w:val="both"/>
      </w:pPr>
      <w:r w:rsidRPr="00C63EB0">
        <w:rPr>
          <w:i/>
        </w:rPr>
        <w:t>for those collections where the data are sourced only from non-accounting records</w:t>
      </w:r>
      <w:r w:rsidRPr="003F7CB2">
        <w:t xml:space="preserve"> </w:t>
      </w:r>
      <w:r>
        <w:t>–</w:t>
      </w:r>
      <w:r w:rsidRPr="003F7CB2">
        <w:t xml:space="preserve"> </w:t>
      </w:r>
      <w:r>
        <w:t xml:space="preserve">unless otherwise indicated by APRA, in writing, the appointed auditor must provide </w:t>
      </w:r>
      <w:r w:rsidRPr="00E6731A">
        <w:rPr>
          <w:b/>
        </w:rPr>
        <w:t>limited assurance</w:t>
      </w:r>
      <w:r w:rsidRPr="003F7CB2">
        <w:t xml:space="preserve"> that the information in these </w:t>
      </w:r>
      <w:r>
        <w:lastRenderedPageBreak/>
        <w:t>collections</w:t>
      </w:r>
      <w:r w:rsidRPr="003F7CB2">
        <w:t xml:space="preserve"> at the financial year</w:t>
      </w:r>
      <w:r>
        <w:t>-</w:t>
      </w:r>
      <w:r w:rsidRPr="003F7CB2">
        <w:t>end is reliable and in accordance with the relevant prudential standards and reporting standards</w:t>
      </w:r>
      <w:r>
        <w:t>;</w:t>
      </w:r>
    </w:p>
    <w:p w14:paraId="758AAC69" w14:textId="77777777" w:rsidR="003B58F5" w:rsidRPr="003F7CB2" w:rsidRDefault="003B58F5" w:rsidP="003B58F5">
      <w:pPr>
        <w:pStyle w:val="BodyText"/>
        <w:numPr>
          <w:ilvl w:val="0"/>
          <w:numId w:val="18"/>
        </w:numPr>
        <w:tabs>
          <w:tab w:val="left" w:pos="9000"/>
        </w:tabs>
        <w:spacing w:after="240"/>
        <w:jc w:val="both"/>
      </w:pPr>
      <w:r w:rsidRPr="00C63EB0">
        <w:rPr>
          <w:i/>
        </w:rPr>
        <w:t>for those collections where the data are sourced from a combination of accounting and non-accounting records</w:t>
      </w:r>
      <w:r>
        <w:t xml:space="preserve"> – unless otherwise indicated by APRA, in writing, the appointed auditor must provide reasonable assurance for information sourced from accounting records, and limited assurance that information sourced from non-accounting records at the financial year-end is reliable. This must be in accordance with the relevant prudential standards and reporting standards;</w:t>
      </w:r>
    </w:p>
    <w:p w14:paraId="640528AF" w14:textId="77777777" w:rsidR="003B58F5" w:rsidRPr="00FF12C5" w:rsidRDefault="003B58F5" w:rsidP="003B58F5">
      <w:pPr>
        <w:pStyle w:val="BodyText2"/>
        <w:tabs>
          <w:tab w:val="left" w:pos="9000"/>
        </w:tabs>
        <w:spacing w:line="240" w:lineRule="auto"/>
        <w:ind w:left="540"/>
        <w:jc w:val="both"/>
        <w:rPr>
          <w:b/>
          <w:sz w:val="24"/>
          <w:szCs w:val="24"/>
        </w:rPr>
      </w:pPr>
      <w:r w:rsidRPr="00FF12C5">
        <w:rPr>
          <w:b/>
          <w:sz w:val="24"/>
          <w:szCs w:val="24"/>
        </w:rPr>
        <w:t>Internal controls relating to prudential requirements</w:t>
      </w:r>
    </w:p>
    <w:p w14:paraId="34F6BB2F" w14:textId="77777777" w:rsidR="003B58F5" w:rsidRPr="00D944B1" w:rsidRDefault="003B58F5" w:rsidP="003B58F5">
      <w:pPr>
        <w:pStyle w:val="BodyText"/>
        <w:numPr>
          <w:ilvl w:val="0"/>
          <w:numId w:val="18"/>
        </w:numPr>
        <w:tabs>
          <w:tab w:val="left" w:pos="9000"/>
        </w:tabs>
        <w:spacing w:after="240"/>
        <w:jc w:val="both"/>
      </w:pPr>
      <w:r w:rsidRPr="00FF12C5">
        <w:t xml:space="preserve">The appointed auditor must provide limited assurance that the </w:t>
      </w:r>
      <w:smartTag w:uri="urn:schemas-microsoft-com:office:smarttags" w:element="stockticker">
        <w:r w:rsidRPr="00FF12C5">
          <w:t>ADI</w:t>
        </w:r>
      </w:smartTag>
      <w:r w:rsidRPr="00FF12C5">
        <w:t xml:space="preserve"> has controls that are designed to ensure the </w:t>
      </w:r>
      <w:smartTag w:uri="urn:schemas-microsoft-com:office:smarttags" w:element="stockticker">
        <w:r w:rsidRPr="00FF12C5">
          <w:t>ADI</w:t>
        </w:r>
      </w:smartTag>
      <w:r w:rsidRPr="00FF12C5">
        <w:t>:</w:t>
      </w:r>
    </w:p>
    <w:p w14:paraId="7877CC58" w14:textId="77777777" w:rsidR="003B58F5" w:rsidRPr="00D944B1" w:rsidRDefault="003B58F5" w:rsidP="003B58F5">
      <w:pPr>
        <w:pStyle w:val="BodyText2"/>
        <w:numPr>
          <w:ilvl w:val="1"/>
          <w:numId w:val="10"/>
        </w:numPr>
        <w:tabs>
          <w:tab w:val="left" w:pos="9000"/>
        </w:tabs>
        <w:spacing w:line="240" w:lineRule="auto"/>
        <w:jc w:val="both"/>
        <w:rPr>
          <w:sz w:val="24"/>
          <w:szCs w:val="24"/>
        </w:rPr>
      </w:pPr>
      <w:r>
        <w:rPr>
          <w:sz w:val="24"/>
          <w:szCs w:val="24"/>
        </w:rPr>
        <w:t>has c</w:t>
      </w:r>
      <w:r w:rsidRPr="00D944B1">
        <w:rPr>
          <w:sz w:val="24"/>
          <w:szCs w:val="24"/>
        </w:rPr>
        <w:t>omplie</w:t>
      </w:r>
      <w:r>
        <w:rPr>
          <w:sz w:val="24"/>
          <w:szCs w:val="24"/>
        </w:rPr>
        <w:t>d</w:t>
      </w:r>
      <w:r w:rsidRPr="00D944B1">
        <w:rPr>
          <w:sz w:val="24"/>
          <w:szCs w:val="24"/>
        </w:rPr>
        <w:t xml:space="preserve"> with all applicable prudential requirements; </w:t>
      </w:r>
    </w:p>
    <w:p w14:paraId="26E736BE" w14:textId="76E80FF6" w:rsidR="003B58F5" w:rsidRPr="00D944B1" w:rsidRDefault="003B58F5" w:rsidP="003B58F5">
      <w:pPr>
        <w:pStyle w:val="BodyText2"/>
        <w:numPr>
          <w:ilvl w:val="1"/>
          <w:numId w:val="10"/>
        </w:numPr>
        <w:tabs>
          <w:tab w:val="left" w:pos="9000"/>
        </w:tabs>
        <w:spacing w:line="240" w:lineRule="auto"/>
        <w:jc w:val="both"/>
        <w:rPr>
          <w:sz w:val="24"/>
          <w:szCs w:val="24"/>
        </w:rPr>
      </w:pPr>
      <w:r>
        <w:rPr>
          <w:sz w:val="24"/>
          <w:szCs w:val="24"/>
        </w:rPr>
        <w:t>has provided r</w:t>
      </w:r>
      <w:r w:rsidRPr="00D944B1">
        <w:rPr>
          <w:sz w:val="24"/>
          <w:szCs w:val="24"/>
        </w:rPr>
        <w:t>eliable data to APRA in the reporting forms prepared under the F</w:t>
      </w:r>
      <w:r>
        <w:rPr>
          <w:sz w:val="24"/>
          <w:szCs w:val="24"/>
        </w:rPr>
        <w:t>SCODA</w:t>
      </w:r>
      <w:r w:rsidR="002621F1">
        <w:rPr>
          <w:sz w:val="24"/>
          <w:szCs w:val="24"/>
        </w:rPr>
        <w:t>,</w:t>
      </w:r>
    </w:p>
    <w:p w14:paraId="0F2BEAB9" w14:textId="77777777" w:rsidR="003B58F5" w:rsidRPr="00D944B1" w:rsidRDefault="003B58F5" w:rsidP="003B58F5">
      <w:pPr>
        <w:pStyle w:val="BodyText2"/>
        <w:tabs>
          <w:tab w:val="left" w:pos="9000"/>
        </w:tabs>
        <w:spacing w:line="240" w:lineRule="auto"/>
        <w:ind w:left="1080"/>
        <w:jc w:val="both"/>
        <w:rPr>
          <w:sz w:val="24"/>
          <w:szCs w:val="24"/>
        </w:rPr>
      </w:pPr>
      <w:r w:rsidRPr="00DC53AD">
        <w:rPr>
          <w:sz w:val="24"/>
          <w:szCs w:val="24"/>
        </w:rPr>
        <w:t>and, in relation to (</w:t>
      </w:r>
      <w:proofErr w:type="spellStart"/>
      <w:r w:rsidRPr="00DC53AD">
        <w:rPr>
          <w:sz w:val="24"/>
          <w:szCs w:val="24"/>
        </w:rPr>
        <w:t>i</w:t>
      </w:r>
      <w:proofErr w:type="spellEnd"/>
      <w:r w:rsidRPr="00DC53AD">
        <w:rPr>
          <w:sz w:val="24"/>
          <w:szCs w:val="24"/>
        </w:rPr>
        <w:t>) and (ii), the appointed auditor must also provide limited assurance that these controls have operated effectively throughout the financial year</w:t>
      </w:r>
      <w:r>
        <w:rPr>
          <w:sz w:val="24"/>
          <w:szCs w:val="24"/>
        </w:rPr>
        <w:t>.</w:t>
      </w:r>
      <w:r w:rsidRPr="00D944B1" w:rsidDel="0005178B">
        <w:rPr>
          <w:sz w:val="24"/>
          <w:szCs w:val="24"/>
        </w:rPr>
        <w:t xml:space="preserve"> </w:t>
      </w:r>
    </w:p>
    <w:p w14:paraId="22D86A90" w14:textId="77777777" w:rsidR="003B58F5" w:rsidRPr="00FF12C5" w:rsidRDefault="003B58F5" w:rsidP="003B58F5">
      <w:pPr>
        <w:pStyle w:val="BodyText2"/>
        <w:tabs>
          <w:tab w:val="left" w:pos="9000"/>
        </w:tabs>
        <w:spacing w:line="240" w:lineRule="auto"/>
        <w:ind w:left="1080" w:hanging="540"/>
        <w:jc w:val="both"/>
        <w:rPr>
          <w:i/>
          <w:sz w:val="24"/>
          <w:szCs w:val="24"/>
        </w:rPr>
      </w:pPr>
      <w:r w:rsidRPr="00FF12C5">
        <w:rPr>
          <w:b/>
          <w:sz w:val="24"/>
          <w:szCs w:val="24"/>
        </w:rPr>
        <w:t xml:space="preserve">Compliance with </w:t>
      </w:r>
      <w:r w:rsidRPr="00DC53AD">
        <w:rPr>
          <w:b/>
          <w:sz w:val="24"/>
          <w:szCs w:val="24"/>
        </w:rPr>
        <w:t xml:space="preserve">prudential </w:t>
      </w:r>
      <w:r w:rsidRPr="00FF12C5">
        <w:rPr>
          <w:b/>
          <w:sz w:val="24"/>
          <w:szCs w:val="24"/>
        </w:rPr>
        <w:t>requirements</w:t>
      </w:r>
    </w:p>
    <w:p w14:paraId="637CE85B" w14:textId="77777777" w:rsidR="003B58F5" w:rsidRPr="007F1ABA" w:rsidRDefault="003B58F5" w:rsidP="00E6731A">
      <w:pPr>
        <w:pStyle w:val="BodyText"/>
        <w:tabs>
          <w:tab w:val="left" w:pos="9000"/>
        </w:tabs>
        <w:spacing w:after="240"/>
        <w:ind w:left="540"/>
        <w:jc w:val="both"/>
        <w:rPr>
          <w:vertAlign w:val="superscript"/>
        </w:rPr>
      </w:pPr>
      <w:r w:rsidRPr="00FF12C5">
        <w:t>The report must take the form of limited assurance</w:t>
      </w:r>
      <w:r>
        <w:t>,</w:t>
      </w:r>
      <w:r w:rsidRPr="00FF12C5">
        <w:t xml:space="preserve"> </w:t>
      </w:r>
      <w:r w:rsidRPr="00DC53AD">
        <w:t>based on the appointed auditor's work in (a) to (d) above,</w:t>
      </w:r>
      <w:r>
        <w:t xml:space="preserve"> that the </w:t>
      </w:r>
      <w:smartTag w:uri="urn:schemas-microsoft-com:office:smarttags" w:element="stockticker">
        <w:r w:rsidRPr="00FF12C5">
          <w:t>ADI</w:t>
        </w:r>
      </w:smartTag>
      <w:r>
        <w:t xml:space="preserve"> has complied </w:t>
      </w:r>
      <w:r w:rsidRPr="00FF12C5">
        <w:t xml:space="preserve">with all relevant </w:t>
      </w:r>
      <w:r w:rsidRPr="00DC53AD">
        <w:t>prudential requirements</w:t>
      </w:r>
      <w:r w:rsidRPr="00FF12C5">
        <w:t xml:space="preserve"> under the Act and the FSCODA, including compliance with prudential standards and reporting standards during the financial year</w:t>
      </w:r>
      <w:r w:rsidRPr="007F1ABA">
        <w:rPr>
          <w:vertAlign w:val="superscript"/>
        </w:rPr>
        <w:footnoteReference w:id="5"/>
      </w:r>
      <w:r>
        <w:t>.</w:t>
      </w:r>
    </w:p>
    <w:p w14:paraId="49EAE74A" w14:textId="3FB95032" w:rsidR="003B58F5" w:rsidRPr="006719B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sidRPr="004172D0">
        <w:rPr>
          <w:sz w:val="24"/>
          <w:szCs w:val="24"/>
        </w:rPr>
        <w:t>The reporting requirement</w:t>
      </w:r>
      <w:r>
        <w:rPr>
          <w:sz w:val="24"/>
          <w:szCs w:val="24"/>
        </w:rPr>
        <w:t>s</w:t>
      </w:r>
      <w:r w:rsidRPr="004172D0">
        <w:rPr>
          <w:sz w:val="24"/>
          <w:szCs w:val="24"/>
        </w:rPr>
        <w:t xml:space="preserve"> in paragraph </w:t>
      </w:r>
      <w:r w:rsidR="00F4022B">
        <w:rPr>
          <w:sz w:val="24"/>
          <w:szCs w:val="24"/>
        </w:rPr>
        <w:fldChar w:fldCharType="begin"/>
      </w:r>
      <w:r>
        <w:rPr>
          <w:sz w:val="24"/>
          <w:szCs w:val="24"/>
        </w:rPr>
        <w:instrText xml:space="preserve"> REF _Ref338773399 \r \h </w:instrText>
      </w:r>
      <w:r w:rsidR="00F4022B">
        <w:rPr>
          <w:sz w:val="24"/>
          <w:szCs w:val="24"/>
        </w:rPr>
      </w:r>
      <w:r w:rsidR="00F4022B">
        <w:rPr>
          <w:sz w:val="24"/>
          <w:szCs w:val="24"/>
        </w:rPr>
        <w:fldChar w:fldCharType="separate"/>
      </w:r>
      <w:r w:rsidR="001813C8">
        <w:rPr>
          <w:sz w:val="24"/>
          <w:szCs w:val="24"/>
        </w:rPr>
        <w:t>36</w:t>
      </w:r>
      <w:r w:rsidR="00F4022B">
        <w:rPr>
          <w:sz w:val="24"/>
          <w:szCs w:val="24"/>
        </w:rPr>
        <w:fldChar w:fldCharType="end"/>
      </w:r>
      <w:r w:rsidRPr="004172D0">
        <w:rPr>
          <w:sz w:val="24"/>
          <w:szCs w:val="24"/>
        </w:rPr>
        <w:t xml:space="preserve"> only appl</w:t>
      </w:r>
      <w:r>
        <w:rPr>
          <w:sz w:val="24"/>
          <w:szCs w:val="24"/>
        </w:rPr>
        <w:t>y</w:t>
      </w:r>
      <w:r w:rsidRPr="004172D0">
        <w:rPr>
          <w:sz w:val="24"/>
          <w:szCs w:val="24"/>
        </w:rPr>
        <w:t xml:space="preserve"> to audit engagements undertaken for the purposes of this Prudential Standard. </w:t>
      </w:r>
      <w:r>
        <w:rPr>
          <w:sz w:val="24"/>
          <w:szCs w:val="24"/>
        </w:rPr>
        <w:t>Where an auditor is engaged for the purposes of another Prudential Standard, the engagement must ensure that the requirements of that other Prudential Standard are addressed.</w:t>
      </w:r>
    </w:p>
    <w:p w14:paraId="53B7E1DD" w14:textId="77777777" w:rsidR="003B58F5" w:rsidRDefault="003B58F5" w:rsidP="00B34160">
      <w:pPr>
        <w:pStyle w:val="BodyText"/>
        <w:tabs>
          <w:tab w:val="left" w:pos="9000"/>
        </w:tabs>
        <w:spacing w:before="120" w:after="240"/>
        <w:rPr>
          <w:rStyle w:val="HeadingChar"/>
          <w:rFonts w:ascii="Arial" w:hAnsi="Arial"/>
          <w:sz w:val="24"/>
          <w:szCs w:val="24"/>
        </w:rPr>
      </w:pPr>
      <w:bookmarkStart w:id="48" w:name="_Toc404607315"/>
      <w:r>
        <w:rPr>
          <w:rStyle w:val="HeadingChar"/>
          <w:rFonts w:ascii="Arial" w:hAnsi="Arial"/>
          <w:sz w:val="24"/>
          <w:szCs w:val="24"/>
        </w:rPr>
        <w:t>Special purpose engagements</w:t>
      </w:r>
      <w:bookmarkEnd w:id="48"/>
    </w:p>
    <w:p w14:paraId="5060CF46" w14:textId="77777777" w:rsidR="003B58F5" w:rsidRDefault="003B58F5" w:rsidP="003B58F5">
      <w:pPr>
        <w:pStyle w:val="BodyText2"/>
        <w:keepNext/>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APRA may require an </w:t>
      </w:r>
      <w:smartTag w:uri="urn:schemas-microsoft-com:office:smarttags" w:element="stockticker">
        <w:r>
          <w:rPr>
            <w:sz w:val="24"/>
            <w:szCs w:val="24"/>
          </w:rPr>
          <w:t>ADI</w:t>
        </w:r>
      </w:smartTag>
      <w:r>
        <w:rPr>
          <w:sz w:val="24"/>
          <w:szCs w:val="24"/>
        </w:rPr>
        <w:t xml:space="preserve">, by notice in writing, to appoint an auditor, </w:t>
      </w:r>
      <w:r w:rsidRPr="00CB34D5">
        <w:rPr>
          <w:sz w:val="24"/>
          <w:szCs w:val="24"/>
        </w:rPr>
        <w:t>w</w:t>
      </w:r>
      <w:r>
        <w:rPr>
          <w:sz w:val="24"/>
          <w:szCs w:val="24"/>
        </w:rPr>
        <w:t xml:space="preserve">ho may be </w:t>
      </w:r>
      <w:r w:rsidRPr="00CB34D5">
        <w:rPr>
          <w:sz w:val="24"/>
          <w:szCs w:val="24"/>
        </w:rPr>
        <w:t xml:space="preserve">the </w:t>
      </w:r>
      <w:r>
        <w:rPr>
          <w:sz w:val="24"/>
          <w:szCs w:val="24"/>
        </w:rPr>
        <w:t xml:space="preserve">existing </w:t>
      </w:r>
      <w:r w:rsidRPr="00CB34D5">
        <w:rPr>
          <w:sz w:val="24"/>
          <w:szCs w:val="24"/>
        </w:rPr>
        <w:t>appointed auditor or another auditor</w:t>
      </w:r>
      <w:r>
        <w:rPr>
          <w:sz w:val="24"/>
          <w:szCs w:val="24"/>
        </w:rPr>
        <w:t xml:space="preserve">, to provide a report on a particular aspect of the </w:t>
      </w:r>
      <w:smartTag w:uri="urn:schemas-microsoft-com:office:smarttags" w:element="stockticker">
        <w:r>
          <w:rPr>
            <w:sz w:val="24"/>
            <w:szCs w:val="24"/>
          </w:rPr>
          <w:t>ADI</w:t>
        </w:r>
      </w:smartTag>
      <w:r>
        <w:rPr>
          <w:sz w:val="24"/>
          <w:szCs w:val="24"/>
        </w:rPr>
        <w:t xml:space="preserve">’s operations, prudential reporting, risk management systems or financial position. A special purpose engagement report will normally only be requested following consultation with the </w:t>
      </w:r>
      <w:smartTag w:uri="urn:schemas-microsoft-com:office:smarttags" w:element="stockticker">
        <w:r>
          <w:rPr>
            <w:sz w:val="24"/>
            <w:szCs w:val="24"/>
          </w:rPr>
          <w:t>ADI</w:t>
        </w:r>
      </w:smartTag>
      <w:r>
        <w:rPr>
          <w:sz w:val="24"/>
          <w:szCs w:val="24"/>
        </w:rPr>
        <w:t xml:space="preserve">. APRA may, however, request such a report without prior consultation with an </w:t>
      </w:r>
      <w:smartTag w:uri="urn:schemas-microsoft-com:office:smarttags" w:element="stockticker">
        <w:r>
          <w:rPr>
            <w:sz w:val="24"/>
            <w:szCs w:val="24"/>
          </w:rPr>
          <w:t>ADI</w:t>
        </w:r>
      </w:smartTag>
      <w:r>
        <w:rPr>
          <w:sz w:val="24"/>
          <w:szCs w:val="24"/>
        </w:rPr>
        <w:t>.</w:t>
      </w:r>
    </w:p>
    <w:p w14:paraId="2CFC912A" w14:textId="77777777"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bookmarkStart w:id="49" w:name="_Ref207181991"/>
      <w:r>
        <w:rPr>
          <w:sz w:val="24"/>
          <w:szCs w:val="24"/>
        </w:rPr>
        <w:t xml:space="preserve">The responsibilities of the appointed auditor for a special purpose </w:t>
      </w:r>
      <w:r w:rsidR="00D36459">
        <w:rPr>
          <w:sz w:val="24"/>
          <w:szCs w:val="24"/>
        </w:rPr>
        <w:t>engagement include</w:t>
      </w:r>
      <w:r>
        <w:rPr>
          <w:sz w:val="24"/>
          <w:szCs w:val="24"/>
        </w:rPr>
        <w:t xml:space="preserve"> an obligation to provide limited assurance on the matters upon which the </w:t>
      </w:r>
      <w:r>
        <w:rPr>
          <w:sz w:val="24"/>
          <w:szCs w:val="24"/>
        </w:rPr>
        <w:lastRenderedPageBreak/>
        <w:t>appointed auditor is required to report, unless otherwise determined by APRA, and advised to the ADI, by notice in writing.</w:t>
      </w:r>
      <w:bookmarkEnd w:id="49"/>
      <w:r>
        <w:rPr>
          <w:sz w:val="24"/>
          <w:szCs w:val="24"/>
        </w:rPr>
        <w:t xml:space="preserve"> </w:t>
      </w:r>
    </w:p>
    <w:p w14:paraId="7059BED6" w14:textId="43466382" w:rsidR="003B58F5" w:rsidRDefault="003B58F5" w:rsidP="003B58F5">
      <w:pPr>
        <w:pStyle w:val="BodyText2"/>
        <w:numPr>
          <w:ilvl w:val="0"/>
          <w:numId w:val="4"/>
        </w:numPr>
        <w:tabs>
          <w:tab w:val="clear" w:pos="2007"/>
          <w:tab w:val="num" w:pos="540"/>
          <w:tab w:val="left" w:pos="9000"/>
        </w:tabs>
        <w:spacing w:line="240" w:lineRule="auto"/>
        <w:ind w:left="540" w:hanging="540"/>
        <w:jc w:val="both"/>
        <w:rPr>
          <w:sz w:val="24"/>
          <w:szCs w:val="24"/>
        </w:rPr>
      </w:pPr>
      <w:r>
        <w:rPr>
          <w:sz w:val="24"/>
          <w:szCs w:val="24"/>
        </w:rPr>
        <w:t xml:space="preserve">Under the responsibilities of an appointed auditor for a special purpose engagement, the auditor's report must be submitted, within three months of the date of the notice commissioning the report, simultaneously to APRA and to the Board (or Board Audit Committee) of the </w:t>
      </w:r>
      <w:smartTag w:uri="urn:schemas-microsoft-com:office:smarttags" w:element="stockticker">
        <w:r>
          <w:rPr>
            <w:sz w:val="24"/>
            <w:szCs w:val="24"/>
          </w:rPr>
          <w:t>ADI</w:t>
        </w:r>
      </w:smartTag>
      <w:r>
        <w:rPr>
          <w:sz w:val="24"/>
          <w:szCs w:val="24"/>
        </w:rPr>
        <w:t xml:space="preserve">, unless otherwise determined by APRA, and advised to the </w:t>
      </w:r>
      <w:smartTag w:uri="urn:schemas-microsoft-com:office:smarttags" w:element="stockticker">
        <w:r>
          <w:rPr>
            <w:sz w:val="24"/>
            <w:szCs w:val="24"/>
          </w:rPr>
          <w:t>ADI,</w:t>
        </w:r>
      </w:smartTag>
      <w:r>
        <w:rPr>
          <w:sz w:val="24"/>
          <w:szCs w:val="24"/>
        </w:rPr>
        <w:t xml:space="preserve"> by notice in writing (subject to paragraph </w:t>
      </w:r>
      <w:r w:rsidR="00F4022B">
        <w:rPr>
          <w:sz w:val="24"/>
          <w:szCs w:val="24"/>
        </w:rPr>
        <w:fldChar w:fldCharType="begin"/>
      </w:r>
      <w:r>
        <w:rPr>
          <w:sz w:val="24"/>
          <w:szCs w:val="24"/>
        </w:rPr>
        <w:instrText xml:space="preserve"> REF _Ref213475480 \r \h </w:instrText>
      </w:r>
      <w:r w:rsidR="00F4022B">
        <w:rPr>
          <w:sz w:val="24"/>
          <w:szCs w:val="24"/>
        </w:rPr>
      </w:r>
      <w:r w:rsidR="00F4022B">
        <w:rPr>
          <w:sz w:val="24"/>
          <w:szCs w:val="24"/>
        </w:rPr>
        <w:fldChar w:fldCharType="separate"/>
      </w:r>
      <w:r w:rsidR="001813C8">
        <w:rPr>
          <w:sz w:val="24"/>
          <w:szCs w:val="24"/>
        </w:rPr>
        <w:t>32</w:t>
      </w:r>
      <w:r w:rsidR="00F4022B">
        <w:rPr>
          <w:sz w:val="24"/>
          <w:szCs w:val="24"/>
        </w:rPr>
        <w:fldChar w:fldCharType="end"/>
      </w:r>
      <w:r>
        <w:rPr>
          <w:sz w:val="24"/>
          <w:szCs w:val="24"/>
        </w:rPr>
        <w:t xml:space="preserve">). </w:t>
      </w:r>
    </w:p>
    <w:p w14:paraId="706F9578" w14:textId="77777777" w:rsidR="00AD6355" w:rsidRPr="00B34160" w:rsidRDefault="00AD6355" w:rsidP="00E6731A">
      <w:pPr>
        <w:pStyle w:val="BodyText"/>
        <w:keepNext/>
        <w:tabs>
          <w:tab w:val="left" w:pos="9000"/>
        </w:tabs>
        <w:spacing w:before="120" w:after="240"/>
        <w:ind w:left="2007"/>
        <w:rPr>
          <w:rStyle w:val="HeadingChar"/>
          <w:rFonts w:ascii="Arial" w:hAnsi="Arial"/>
          <w:sz w:val="24"/>
          <w:szCs w:val="24"/>
        </w:rPr>
      </w:pPr>
    </w:p>
    <w:p w14:paraId="1CF15431" w14:textId="77777777" w:rsidR="00AD6355" w:rsidRPr="00D62081" w:rsidRDefault="00AD6355" w:rsidP="00AD6355">
      <w:pPr>
        <w:pStyle w:val="BodyText2"/>
        <w:keepNext/>
        <w:tabs>
          <w:tab w:val="left" w:pos="9000"/>
        </w:tabs>
        <w:spacing w:line="240" w:lineRule="auto"/>
        <w:jc w:val="both"/>
        <w:rPr>
          <w:sz w:val="24"/>
          <w:szCs w:val="24"/>
        </w:rPr>
      </w:pPr>
    </w:p>
    <w:p w14:paraId="3B1339D9" w14:textId="77777777" w:rsidR="003B58F5" w:rsidRPr="00D62081" w:rsidRDefault="003B58F5" w:rsidP="00605396">
      <w:pPr>
        <w:pStyle w:val="BodyText2"/>
        <w:tabs>
          <w:tab w:val="left" w:pos="9000"/>
        </w:tabs>
        <w:spacing w:line="240" w:lineRule="auto"/>
        <w:ind w:left="539"/>
        <w:jc w:val="both"/>
        <w:rPr>
          <w:sz w:val="24"/>
          <w:szCs w:val="24"/>
        </w:rPr>
      </w:pPr>
    </w:p>
    <w:p w14:paraId="6B9F182A" w14:textId="77777777" w:rsidR="003B58F5" w:rsidRDefault="003B58F5" w:rsidP="003B58F5">
      <w:pPr>
        <w:pStyle w:val="BodyText"/>
        <w:tabs>
          <w:tab w:val="left" w:pos="9000"/>
        </w:tabs>
        <w:spacing w:after="240"/>
        <w:ind w:left="540" w:hanging="540"/>
        <w:jc w:val="both"/>
      </w:pPr>
      <w:r>
        <w:tab/>
      </w:r>
    </w:p>
    <w:p w14:paraId="516EF765" w14:textId="77777777" w:rsidR="003B58F5" w:rsidRDefault="003B58F5" w:rsidP="003B58F5">
      <w:pPr>
        <w:pStyle w:val="BodyText"/>
        <w:tabs>
          <w:tab w:val="left" w:pos="9000"/>
        </w:tabs>
        <w:sectPr w:rsidR="003B58F5" w:rsidSect="00790547">
          <w:pgSz w:w="11906" w:h="16838"/>
          <w:pgMar w:top="1440" w:right="1800" w:bottom="1440" w:left="1620" w:header="708" w:footer="708" w:gutter="0"/>
          <w:cols w:space="708"/>
          <w:docGrid w:linePitch="360"/>
        </w:sectPr>
      </w:pPr>
      <w:bookmarkStart w:id="50" w:name="Paragraph_3a"/>
      <w:bookmarkStart w:id="51" w:name="Paragraph_7"/>
      <w:bookmarkStart w:id="52" w:name="Paragraph_8"/>
      <w:bookmarkStart w:id="53" w:name="Paragraph_4"/>
      <w:bookmarkStart w:id="54" w:name="Paragraph_6"/>
      <w:bookmarkEnd w:id="39"/>
      <w:bookmarkEnd w:id="50"/>
      <w:bookmarkEnd w:id="51"/>
      <w:bookmarkEnd w:id="52"/>
      <w:bookmarkEnd w:id="53"/>
      <w:bookmarkEnd w:id="54"/>
    </w:p>
    <w:p w14:paraId="2915CC83" w14:textId="77777777" w:rsidR="003B58F5" w:rsidRPr="00B83A68" w:rsidRDefault="003B58F5" w:rsidP="00B34160">
      <w:pPr>
        <w:pStyle w:val="BodyText"/>
        <w:tabs>
          <w:tab w:val="left" w:pos="9000"/>
        </w:tabs>
        <w:spacing w:before="120" w:after="360"/>
        <w:rPr>
          <w:rStyle w:val="HeadingChar"/>
          <w:rFonts w:ascii="Arial" w:hAnsi="Arial"/>
          <w:sz w:val="32"/>
        </w:rPr>
      </w:pPr>
      <w:bookmarkStart w:id="55" w:name="_Toc404607317"/>
      <w:r w:rsidRPr="00B34160">
        <w:rPr>
          <w:rStyle w:val="HeadingChar"/>
          <w:rFonts w:ascii="Arial" w:hAnsi="Arial"/>
          <w:sz w:val="32"/>
        </w:rPr>
        <w:lastRenderedPageBreak/>
        <w:t>Attachment A</w:t>
      </w:r>
      <w:bookmarkEnd w:id="55"/>
      <w:r w:rsidRPr="00B34160">
        <w:rPr>
          <w:rStyle w:val="HeadingChar"/>
          <w:rFonts w:ascii="Arial" w:hAnsi="Arial"/>
          <w:sz w:val="32"/>
        </w:rPr>
        <w:t xml:space="preserve"> </w:t>
      </w:r>
    </w:p>
    <w:p w14:paraId="445389DE" w14:textId="77777777" w:rsidR="003B58F5" w:rsidRPr="00B34160" w:rsidRDefault="003B58F5" w:rsidP="00B34160">
      <w:pPr>
        <w:pStyle w:val="BodyText"/>
        <w:tabs>
          <w:tab w:val="left" w:pos="9000"/>
        </w:tabs>
        <w:spacing w:before="120" w:after="360"/>
        <w:rPr>
          <w:rStyle w:val="HeadingChar"/>
          <w:rFonts w:ascii="Arial" w:hAnsi="Arial"/>
          <w:sz w:val="32"/>
        </w:rPr>
      </w:pPr>
      <w:bookmarkStart w:id="56" w:name="_Toc338773961"/>
      <w:bookmarkStart w:id="57" w:name="_Toc404607318"/>
      <w:r w:rsidRPr="00B34160">
        <w:rPr>
          <w:rStyle w:val="HeadingChar"/>
          <w:rFonts w:ascii="Arial" w:hAnsi="Arial"/>
          <w:sz w:val="32"/>
        </w:rPr>
        <w:t>Data Collections subject to reasonable and/or limited assurance</w:t>
      </w:r>
      <w:bookmarkEnd w:id="56"/>
      <w:bookmarkEnd w:id="57"/>
      <w:r w:rsidRPr="00B34160">
        <w:rPr>
          <w:rStyle w:val="HeadingChar"/>
          <w:rFonts w:ascii="Arial" w:hAnsi="Arial"/>
          <w:sz w:val="32"/>
        </w:rPr>
        <w:t xml:space="preserve"> </w:t>
      </w:r>
    </w:p>
    <w:p w14:paraId="38019AF9" w14:textId="35DA54CB" w:rsidR="00F21E21" w:rsidRDefault="003B58F5" w:rsidP="003B58F5">
      <w:pPr>
        <w:pStyle w:val="BodyText"/>
        <w:tabs>
          <w:tab w:val="left" w:pos="9000"/>
        </w:tabs>
      </w:pPr>
      <w:r>
        <w:t xml:space="preserve">This Attachment is not a complete listing of all </w:t>
      </w:r>
      <w:smartTag w:uri="urn:schemas-microsoft-com:office:smarttags" w:element="stockticker">
        <w:r>
          <w:t>ADI</w:t>
        </w:r>
      </w:smartTag>
      <w:r>
        <w:t xml:space="preserve"> data collections, only those reporting forms collected under FSCODA that are subject to audit testing for the purposes of this Prudential Standard.</w:t>
      </w:r>
      <w:r w:rsidR="00904498">
        <w:t xml:space="preserve"> </w:t>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1"/>
        <w:gridCol w:w="7346"/>
        <w:gridCol w:w="1597"/>
        <w:gridCol w:w="1700"/>
        <w:gridCol w:w="1703"/>
      </w:tblGrid>
      <w:tr w:rsidR="005518BD" w:rsidRPr="007D6F06" w14:paraId="0371485A" w14:textId="77777777" w:rsidTr="008F5A47">
        <w:trPr>
          <w:tblHeader/>
        </w:trPr>
        <w:tc>
          <w:tcPr>
            <w:tcW w:w="555" w:type="pct"/>
          </w:tcPr>
          <w:p w14:paraId="5B8BCA08" w14:textId="77777777" w:rsidR="00F21E21" w:rsidRPr="007D6F06" w:rsidRDefault="00F21E21" w:rsidP="00605396">
            <w:pPr>
              <w:pStyle w:val="BodyText"/>
              <w:tabs>
                <w:tab w:val="left" w:pos="9000"/>
              </w:tabs>
              <w:rPr>
                <w:b/>
              </w:rPr>
            </w:pPr>
            <w:r w:rsidRPr="007D6F06">
              <w:rPr>
                <w:b/>
              </w:rPr>
              <w:t>Description</w:t>
            </w:r>
          </w:p>
        </w:tc>
        <w:tc>
          <w:tcPr>
            <w:tcW w:w="2645" w:type="pct"/>
          </w:tcPr>
          <w:p w14:paraId="1CD26C0D" w14:textId="5D3E6B10" w:rsidR="00F21E21" w:rsidRPr="007D6F06" w:rsidRDefault="00F21E21" w:rsidP="00605396">
            <w:pPr>
              <w:pStyle w:val="BodyText"/>
              <w:tabs>
                <w:tab w:val="left" w:pos="9000"/>
              </w:tabs>
              <w:rPr>
                <w:b/>
              </w:rPr>
            </w:pPr>
            <w:r w:rsidRPr="007D6F06">
              <w:rPr>
                <w:b/>
              </w:rPr>
              <w:t xml:space="preserve">APRA ADI reporting </w:t>
            </w:r>
            <w:r w:rsidR="00244DB6" w:rsidRPr="008F5A47">
              <w:rPr>
                <w:b/>
              </w:rPr>
              <w:t>standard</w:t>
            </w:r>
            <w:r w:rsidRPr="008F5A47">
              <w:rPr>
                <w:rStyle w:val="FootnoteReference"/>
                <w:b/>
              </w:rPr>
              <w:footnoteReference w:id="6"/>
            </w:r>
          </w:p>
        </w:tc>
        <w:tc>
          <w:tcPr>
            <w:tcW w:w="575" w:type="pct"/>
          </w:tcPr>
          <w:p w14:paraId="4F87EBB7" w14:textId="77777777" w:rsidR="00F21E21" w:rsidRPr="00543A6D" w:rsidRDefault="00F21E21" w:rsidP="00543A6D">
            <w:pPr>
              <w:pStyle w:val="BodyText"/>
              <w:tabs>
                <w:tab w:val="left" w:pos="9000"/>
              </w:tabs>
              <w:jc w:val="center"/>
              <w:rPr>
                <w:b/>
              </w:rPr>
            </w:pPr>
            <w:r w:rsidRPr="00543A6D">
              <w:rPr>
                <w:b/>
              </w:rPr>
              <w:t>Standardised</w:t>
            </w:r>
          </w:p>
        </w:tc>
        <w:tc>
          <w:tcPr>
            <w:tcW w:w="612" w:type="pct"/>
          </w:tcPr>
          <w:p w14:paraId="2C6A9FC7" w14:textId="77777777" w:rsidR="00F21E21" w:rsidRPr="00543A6D" w:rsidRDefault="00F21E21" w:rsidP="00543A6D">
            <w:pPr>
              <w:pStyle w:val="BodyText"/>
              <w:tabs>
                <w:tab w:val="left" w:pos="9000"/>
              </w:tabs>
              <w:jc w:val="center"/>
              <w:rPr>
                <w:b/>
              </w:rPr>
            </w:pPr>
            <w:r w:rsidRPr="00543A6D">
              <w:rPr>
                <w:b/>
              </w:rPr>
              <w:t>Advanced</w:t>
            </w:r>
          </w:p>
        </w:tc>
        <w:tc>
          <w:tcPr>
            <w:tcW w:w="613" w:type="pct"/>
          </w:tcPr>
          <w:p w14:paraId="11805609" w14:textId="77777777" w:rsidR="00F21E21" w:rsidRPr="00543A6D" w:rsidRDefault="00F21E21" w:rsidP="00543A6D">
            <w:pPr>
              <w:pStyle w:val="BodyText"/>
              <w:tabs>
                <w:tab w:val="left" w:pos="9000"/>
              </w:tabs>
              <w:jc w:val="center"/>
              <w:rPr>
                <w:b/>
              </w:rPr>
            </w:pPr>
            <w:r w:rsidRPr="00543A6D">
              <w:rPr>
                <w:b/>
              </w:rPr>
              <w:t>Foreign ADI</w:t>
            </w:r>
          </w:p>
        </w:tc>
      </w:tr>
      <w:tr w:rsidR="005518BD" w14:paraId="35417FF5" w14:textId="03EDA274" w:rsidTr="008F5A47">
        <w:tc>
          <w:tcPr>
            <w:tcW w:w="555" w:type="pct"/>
          </w:tcPr>
          <w:p w14:paraId="2BF15733" w14:textId="52C91C17" w:rsidR="00F21E21" w:rsidRDefault="00F21E21" w:rsidP="00605396">
            <w:pPr>
              <w:pStyle w:val="BodyText"/>
              <w:tabs>
                <w:tab w:val="left" w:pos="9000"/>
              </w:tabs>
            </w:pPr>
            <w:r>
              <w:t>1. Capital Adequacy</w:t>
            </w:r>
          </w:p>
        </w:tc>
        <w:tc>
          <w:tcPr>
            <w:tcW w:w="2645" w:type="pct"/>
          </w:tcPr>
          <w:p w14:paraId="64AB0356" w14:textId="65CFF33D" w:rsidR="00F21E21" w:rsidRDefault="00F21E21" w:rsidP="00605396">
            <w:pPr>
              <w:pStyle w:val="BodyText"/>
              <w:tabs>
                <w:tab w:val="left" w:pos="9000"/>
              </w:tabs>
            </w:pPr>
            <w:r>
              <w:t>AR</w:t>
            </w:r>
            <w:r w:rsidR="00244DB6">
              <w:t>S</w:t>
            </w:r>
            <w:r>
              <w:t xml:space="preserve"> 110.0 Capital Adequacy</w:t>
            </w:r>
          </w:p>
        </w:tc>
        <w:tc>
          <w:tcPr>
            <w:tcW w:w="575" w:type="pct"/>
          </w:tcPr>
          <w:p w14:paraId="0FABE2D8" w14:textId="3A9E3388" w:rsidR="00F21E21" w:rsidRDefault="00F21E21" w:rsidP="00605396">
            <w:pPr>
              <w:pStyle w:val="BodyText"/>
              <w:tabs>
                <w:tab w:val="left" w:pos="9000"/>
              </w:tabs>
              <w:jc w:val="center"/>
            </w:pPr>
            <w:r w:rsidRPr="007D6F06">
              <w:rPr>
                <w:rFonts w:ascii="MS Mincho" w:eastAsia="MS Mincho" w:hAnsi="MS Mincho" w:hint="eastAsia"/>
              </w:rPr>
              <w:t>✓</w:t>
            </w:r>
          </w:p>
        </w:tc>
        <w:tc>
          <w:tcPr>
            <w:tcW w:w="612" w:type="pct"/>
          </w:tcPr>
          <w:p w14:paraId="502A41D3" w14:textId="622BC6F7" w:rsidR="00F21E21" w:rsidRDefault="00F21E21" w:rsidP="00605396">
            <w:pPr>
              <w:pStyle w:val="BodyText"/>
              <w:tabs>
                <w:tab w:val="left" w:pos="9000"/>
              </w:tabs>
              <w:jc w:val="center"/>
            </w:pPr>
            <w:r w:rsidRPr="007D6F06">
              <w:rPr>
                <w:rFonts w:ascii="MS Mincho" w:eastAsia="MS Mincho" w:hAnsi="MS Mincho" w:hint="eastAsia"/>
              </w:rPr>
              <w:t>✓</w:t>
            </w:r>
          </w:p>
        </w:tc>
        <w:tc>
          <w:tcPr>
            <w:tcW w:w="613" w:type="pct"/>
          </w:tcPr>
          <w:p w14:paraId="002C0ED4" w14:textId="447CD469" w:rsidR="00F21E21" w:rsidRDefault="00F21E21" w:rsidP="00605396">
            <w:pPr>
              <w:pStyle w:val="BodyText"/>
              <w:tabs>
                <w:tab w:val="left" w:pos="9000"/>
              </w:tabs>
              <w:jc w:val="center"/>
            </w:pPr>
          </w:p>
        </w:tc>
      </w:tr>
      <w:tr w:rsidR="00EC14E8" w14:paraId="6FB77579" w14:textId="77777777" w:rsidTr="008F5A47">
        <w:tc>
          <w:tcPr>
            <w:tcW w:w="555" w:type="pct"/>
          </w:tcPr>
          <w:p w14:paraId="1D3B9A34" w14:textId="77777777" w:rsidR="00EC14E8" w:rsidRDefault="00EC14E8" w:rsidP="00605396">
            <w:pPr>
              <w:pStyle w:val="BodyText"/>
              <w:tabs>
                <w:tab w:val="left" w:pos="9000"/>
              </w:tabs>
            </w:pPr>
          </w:p>
        </w:tc>
        <w:tc>
          <w:tcPr>
            <w:tcW w:w="2645" w:type="pct"/>
          </w:tcPr>
          <w:p w14:paraId="129790AA" w14:textId="4EAE816B" w:rsidR="00EC14E8" w:rsidRDefault="00151A02" w:rsidP="00605396">
            <w:pPr>
              <w:pStyle w:val="BodyText"/>
              <w:tabs>
                <w:tab w:val="left" w:pos="9000"/>
              </w:tabs>
            </w:pPr>
            <w:r>
              <w:t>ARS 111.0 Fair Values</w:t>
            </w:r>
          </w:p>
        </w:tc>
        <w:tc>
          <w:tcPr>
            <w:tcW w:w="575" w:type="pct"/>
          </w:tcPr>
          <w:p w14:paraId="5B958014" w14:textId="705875D7" w:rsidR="00EC14E8" w:rsidRPr="007D6F06" w:rsidRDefault="00151A02" w:rsidP="0060539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2" w:type="pct"/>
          </w:tcPr>
          <w:p w14:paraId="115F738F" w14:textId="53C60702" w:rsidR="00EC14E8" w:rsidRPr="007D6F06" w:rsidRDefault="00151A02" w:rsidP="0060539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3" w:type="pct"/>
          </w:tcPr>
          <w:p w14:paraId="15E0E4D5" w14:textId="77777777" w:rsidR="00EC14E8" w:rsidRDefault="00EC14E8" w:rsidP="00605396">
            <w:pPr>
              <w:pStyle w:val="BodyText"/>
              <w:tabs>
                <w:tab w:val="left" w:pos="9000"/>
              </w:tabs>
              <w:jc w:val="center"/>
            </w:pPr>
          </w:p>
        </w:tc>
      </w:tr>
      <w:tr w:rsidR="00244DB6" w14:paraId="56CF62A5" w14:textId="77777777" w:rsidTr="00543A6D">
        <w:tc>
          <w:tcPr>
            <w:tcW w:w="555" w:type="pct"/>
          </w:tcPr>
          <w:p w14:paraId="35FF01E4" w14:textId="77777777" w:rsidR="00244DB6" w:rsidRDefault="00244DB6" w:rsidP="00244DB6">
            <w:pPr>
              <w:pStyle w:val="BodyText"/>
              <w:tabs>
                <w:tab w:val="left" w:pos="9000"/>
              </w:tabs>
            </w:pPr>
          </w:p>
        </w:tc>
        <w:tc>
          <w:tcPr>
            <w:tcW w:w="2645" w:type="pct"/>
          </w:tcPr>
          <w:p w14:paraId="12F86531" w14:textId="4CEA9C92" w:rsidR="00244DB6" w:rsidRDefault="00244DB6" w:rsidP="00244DB6">
            <w:pPr>
              <w:pStyle w:val="BodyText"/>
              <w:tabs>
                <w:tab w:val="left" w:pos="9000"/>
              </w:tabs>
            </w:pPr>
            <w:r>
              <w:t>ARS 112.0 Capital Adequacy: Standardised Approach to Credit Risk</w:t>
            </w:r>
          </w:p>
        </w:tc>
        <w:tc>
          <w:tcPr>
            <w:tcW w:w="575" w:type="pct"/>
          </w:tcPr>
          <w:p w14:paraId="5E4EC8B7" w14:textId="37A601CB"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2" w:type="pct"/>
          </w:tcPr>
          <w:p w14:paraId="0F76EC00" w14:textId="769FAAE6"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3" w:type="pct"/>
          </w:tcPr>
          <w:p w14:paraId="60487578" w14:textId="77777777" w:rsidR="00244DB6" w:rsidRDefault="00244DB6" w:rsidP="00244DB6">
            <w:pPr>
              <w:pStyle w:val="BodyText"/>
              <w:tabs>
                <w:tab w:val="left" w:pos="9000"/>
              </w:tabs>
              <w:jc w:val="center"/>
            </w:pPr>
          </w:p>
        </w:tc>
      </w:tr>
      <w:tr w:rsidR="00244DB6" w14:paraId="44746C27" w14:textId="77777777" w:rsidTr="00543A6D">
        <w:tc>
          <w:tcPr>
            <w:tcW w:w="555" w:type="pct"/>
          </w:tcPr>
          <w:p w14:paraId="6D083CEA" w14:textId="77777777" w:rsidR="00244DB6" w:rsidRDefault="00244DB6" w:rsidP="00244DB6">
            <w:pPr>
              <w:pStyle w:val="BodyText"/>
              <w:tabs>
                <w:tab w:val="left" w:pos="9000"/>
              </w:tabs>
            </w:pPr>
          </w:p>
        </w:tc>
        <w:tc>
          <w:tcPr>
            <w:tcW w:w="2645" w:type="pct"/>
          </w:tcPr>
          <w:p w14:paraId="7015C934" w14:textId="648E2020" w:rsidR="00244DB6" w:rsidRDefault="00244DB6" w:rsidP="00244DB6">
            <w:pPr>
              <w:pStyle w:val="BodyText"/>
              <w:tabs>
                <w:tab w:val="left" w:pos="9000"/>
              </w:tabs>
            </w:pPr>
            <w:r>
              <w:t>ARS 113.0 Capital Adequacy: Internal Ratings-based Approach to Credit Risk</w:t>
            </w:r>
          </w:p>
        </w:tc>
        <w:tc>
          <w:tcPr>
            <w:tcW w:w="575" w:type="pct"/>
          </w:tcPr>
          <w:p w14:paraId="0ED4B4D3" w14:textId="77777777" w:rsidR="00244DB6" w:rsidRPr="007D6F06" w:rsidRDefault="00244DB6" w:rsidP="00244DB6">
            <w:pPr>
              <w:pStyle w:val="BodyText"/>
              <w:tabs>
                <w:tab w:val="left" w:pos="9000"/>
              </w:tabs>
              <w:jc w:val="center"/>
              <w:rPr>
                <w:rFonts w:ascii="MS Mincho" w:eastAsia="MS Mincho" w:hAnsi="MS Mincho"/>
              </w:rPr>
            </w:pPr>
          </w:p>
        </w:tc>
        <w:tc>
          <w:tcPr>
            <w:tcW w:w="612" w:type="pct"/>
          </w:tcPr>
          <w:p w14:paraId="1129A98B" w14:textId="7E1EA99B"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3" w:type="pct"/>
          </w:tcPr>
          <w:p w14:paraId="0659F764" w14:textId="77777777" w:rsidR="00244DB6" w:rsidRDefault="00244DB6" w:rsidP="00244DB6">
            <w:pPr>
              <w:pStyle w:val="BodyText"/>
              <w:tabs>
                <w:tab w:val="left" w:pos="9000"/>
              </w:tabs>
              <w:jc w:val="center"/>
            </w:pPr>
          </w:p>
        </w:tc>
      </w:tr>
      <w:tr w:rsidR="00244DB6" w14:paraId="1B012CED" w14:textId="77777777" w:rsidTr="00543A6D">
        <w:tc>
          <w:tcPr>
            <w:tcW w:w="555" w:type="pct"/>
          </w:tcPr>
          <w:p w14:paraId="4165F02E" w14:textId="77777777" w:rsidR="00244DB6" w:rsidRDefault="00244DB6" w:rsidP="00244DB6">
            <w:pPr>
              <w:pStyle w:val="BodyText"/>
              <w:tabs>
                <w:tab w:val="left" w:pos="9000"/>
              </w:tabs>
            </w:pPr>
          </w:p>
        </w:tc>
        <w:tc>
          <w:tcPr>
            <w:tcW w:w="2645" w:type="pct"/>
          </w:tcPr>
          <w:p w14:paraId="7EBBF0A5" w14:textId="3B734CF5" w:rsidR="00244DB6" w:rsidRDefault="00244DB6" w:rsidP="00244DB6">
            <w:pPr>
              <w:pStyle w:val="BodyText"/>
              <w:tabs>
                <w:tab w:val="left" w:pos="9000"/>
              </w:tabs>
            </w:pPr>
            <w:r>
              <w:t>ARS 115.0 Capital Adequacy: Standardised Measurement Approach to Operational Risk</w:t>
            </w:r>
          </w:p>
        </w:tc>
        <w:tc>
          <w:tcPr>
            <w:tcW w:w="575" w:type="pct"/>
          </w:tcPr>
          <w:p w14:paraId="0B0BE547" w14:textId="17A9172B"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2" w:type="pct"/>
          </w:tcPr>
          <w:p w14:paraId="626787AB" w14:textId="795D9EFC"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3" w:type="pct"/>
          </w:tcPr>
          <w:p w14:paraId="38CC91C6" w14:textId="77777777" w:rsidR="00244DB6" w:rsidRDefault="00244DB6" w:rsidP="00244DB6">
            <w:pPr>
              <w:pStyle w:val="BodyText"/>
              <w:tabs>
                <w:tab w:val="left" w:pos="9000"/>
              </w:tabs>
              <w:jc w:val="center"/>
            </w:pPr>
          </w:p>
        </w:tc>
      </w:tr>
      <w:tr w:rsidR="00244DB6" w14:paraId="11DDD511" w14:textId="77777777" w:rsidTr="00B20B39">
        <w:tc>
          <w:tcPr>
            <w:tcW w:w="555" w:type="pct"/>
          </w:tcPr>
          <w:p w14:paraId="6CA14555" w14:textId="16A9A545" w:rsidR="00244DB6" w:rsidRDefault="00244DB6" w:rsidP="00244DB6">
            <w:pPr>
              <w:pStyle w:val="BodyText"/>
              <w:tabs>
                <w:tab w:val="left" w:pos="9000"/>
              </w:tabs>
            </w:pPr>
          </w:p>
        </w:tc>
        <w:tc>
          <w:tcPr>
            <w:tcW w:w="2645" w:type="pct"/>
          </w:tcPr>
          <w:p w14:paraId="01EDC518" w14:textId="02990D5F" w:rsidR="00244DB6" w:rsidRDefault="00244DB6" w:rsidP="00244DB6">
            <w:pPr>
              <w:pStyle w:val="BodyText"/>
              <w:tabs>
                <w:tab w:val="left" w:pos="9000"/>
              </w:tabs>
            </w:pPr>
            <w:r>
              <w:t>AR</w:t>
            </w:r>
            <w:r w:rsidR="00705A84">
              <w:t>S</w:t>
            </w:r>
            <w:r>
              <w:t xml:space="preserve"> 116.0 Market Risk</w:t>
            </w:r>
          </w:p>
        </w:tc>
        <w:tc>
          <w:tcPr>
            <w:tcW w:w="575" w:type="pct"/>
          </w:tcPr>
          <w:p w14:paraId="19AEDCE6"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645D195B"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62A29292" w14:textId="77777777" w:rsidR="00244DB6" w:rsidRDefault="00244DB6" w:rsidP="00244DB6">
            <w:pPr>
              <w:pStyle w:val="BodyText"/>
              <w:tabs>
                <w:tab w:val="left" w:pos="9000"/>
              </w:tabs>
              <w:jc w:val="center"/>
            </w:pPr>
          </w:p>
        </w:tc>
      </w:tr>
      <w:tr w:rsidR="00244DB6" w14:paraId="08D93396" w14:textId="77777777" w:rsidTr="00B20B39">
        <w:tc>
          <w:tcPr>
            <w:tcW w:w="555" w:type="pct"/>
          </w:tcPr>
          <w:p w14:paraId="0643A17B" w14:textId="77777777" w:rsidR="00244DB6" w:rsidRDefault="00244DB6" w:rsidP="00244DB6">
            <w:pPr>
              <w:pStyle w:val="BodyText"/>
              <w:tabs>
                <w:tab w:val="left" w:pos="9000"/>
              </w:tabs>
            </w:pPr>
          </w:p>
        </w:tc>
        <w:tc>
          <w:tcPr>
            <w:tcW w:w="2645" w:type="pct"/>
          </w:tcPr>
          <w:p w14:paraId="6B9696EA" w14:textId="44A2B1C1" w:rsidR="00244DB6" w:rsidRDefault="00244DB6" w:rsidP="00244DB6">
            <w:pPr>
              <w:pStyle w:val="BodyText"/>
              <w:tabs>
                <w:tab w:val="left" w:pos="9000"/>
              </w:tabs>
            </w:pPr>
            <w:r>
              <w:t>AR</w:t>
            </w:r>
            <w:r w:rsidR="00821266">
              <w:t>S</w:t>
            </w:r>
            <w:r>
              <w:t xml:space="preserve"> 117.0 Repricing Analysis</w:t>
            </w:r>
          </w:p>
        </w:tc>
        <w:tc>
          <w:tcPr>
            <w:tcW w:w="575" w:type="pct"/>
          </w:tcPr>
          <w:p w14:paraId="0B2887CC"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2CEE4918"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4C76E919" w14:textId="77777777"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6DC63EFA" w14:textId="77777777" w:rsidTr="00B20B39">
        <w:tc>
          <w:tcPr>
            <w:tcW w:w="555" w:type="pct"/>
          </w:tcPr>
          <w:p w14:paraId="0F9CAA42" w14:textId="77777777" w:rsidR="00244DB6" w:rsidRDefault="00244DB6" w:rsidP="00244DB6">
            <w:pPr>
              <w:pStyle w:val="BodyText"/>
              <w:tabs>
                <w:tab w:val="left" w:pos="9000"/>
              </w:tabs>
            </w:pPr>
          </w:p>
        </w:tc>
        <w:tc>
          <w:tcPr>
            <w:tcW w:w="2645" w:type="pct"/>
          </w:tcPr>
          <w:p w14:paraId="083C5243" w14:textId="308A1474" w:rsidR="00244DB6" w:rsidRDefault="00244DB6" w:rsidP="00244DB6">
            <w:pPr>
              <w:pStyle w:val="BodyText"/>
              <w:tabs>
                <w:tab w:val="left" w:pos="9000"/>
              </w:tabs>
            </w:pPr>
            <w:r>
              <w:t>AR</w:t>
            </w:r>
            <w:r w:rsidR="00775C85">
              <w:t>S</w:t>
            </w:r>
            <w:r>
              <w:t xml:space="preserve"> 117.1 Interest Rate Risk in the Banking Book</w:t>
            </w:r>
          </w:p>
        </w:tc>
        <w:tc>
          <w:tcPr>
            <w:tcW w:w="575" w:type="pct"/>
          </w:tcPr>
          <w:p w14:paraId="0D2C953B" w14:textId="77777777" w:rsidR="00244DB6" w:rsidRDefault="00244DB6" w:rsidP="00244DB6">
            <w:pPr>
              <w:pStyle w:val="BodyText"/>
              <w:tabs>
                <w:tab w:val="left" w:pos="9000"/>
              </w:tabs>
              <w:jc w:val="center"/>
            </w:pPr>
          </w:p>
        </w:tc>
        <w:tc>
          <w:tcPr>
            <w:tcW w:w="612" w:type="pct"/>
          </w:tcPr>
          <w:p w14:paraId="0265B774"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133B8767" w14:textId="77777777" w:rsidR="00244DB6" w:rsidRDefault="00244DB6" w:rsidP="00244DB6">
            <w:pPr>
              <w:pStyle w:val="BodyText"/>
              <w:tabs>
                <w:tab w:val="left" w:pos="9000"/>
              </w:tabs>
              <w:jc w:val="center"/>
            </w:pPr>
          </w:p>
        </w:tc>
      </w:tr>
      <w:tr w:rsidR="00244DB6" w14:paraId="352ECA9F" w14:textId="77777777" w:rsidTr="00B20B39">
        <w:tc>
          <w:tcPr>
            <w:tcW w:w="555" w:type="pct"/>
          </w:tcPr>
          <w:p w14:paraId="696AF561" w14:textId="77777777" w:rsidR="00244DB6" w:rsidRDefault="00244DB6" w:rsidP="00244DB6">
            <w:pPr>
              <w:pStyle w:val="BodyText"/>
              <w:tabs>
                <w:tab w:val="left" w:pos="9000"/>
              </w:tabs>
            </w:pPr>
          </w:p>
        </w:tc>
        <w:tc>
          <w:tcPr>
            <w:tcW w:w="2645" w:type="pct"/>
          </w:tcPr>
          <w:p w14:paraId="47546E1E" w14:textId="3C3F80BB" w:rsidR="00244DB6" w:rsidRDefault="00244DB6" w:rsidP="00244DB6">
            <w:pPr>
              <w:pStyle w:val="BodyText"/>
              <w:tabs>
                <w:tab w:val="left" w:pos="9000"/>
              </w:tabs>
            </w:pPr>
            <w:r>
              <w:t>AR</w:t>
            </w:r>
            <w:r w:rsidR="007775D2">
              <w:t>S</w:t>
            </w:r>
            <w:r>
              <w:t xml:space="preserve"> 118.0 Off-balance Sheet Business</w:t>
            </w:r>
          </w:p>
        </w:tc>
        <w:tc>
          <w:tcPr>
            <w:tcW w:w="575" w:type="pct"/>
          </w:tcPr>
          <w:p w14:paraId="0D11539C"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6CC151EC"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4F70CB29" w14:textId="77777777"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6C296A2B" w14:textId="77777777" w:rsidTr="00B20B39">
        <w:tc>
          <w:tcPr>
            <w:tcW w:w="555" w:type="pct"/>
          </w:tcPr>
          <w:p w14:paraId="5F2010B9" w14:textId="77777777" w:rsidR="00244DB6" w:rsidRDefault="00244DB6" w:rsidP="00244DB6">
            <w:pPr>
              <w:pStyle w:val="BodyText"/>
              <w:tabs>
                <w:tab w:val="left" w:pos="9000"/>
              </w:tabs>
            </w:pPr>
          </w:p>
        </w:tc>
        <w:tc>
          <w:tcPr>
            <w:tcW w:w="2645" w:type="pct"/>
          </w:tcPr>
          <w:p w14:paraId="6C2E76AD" w14:textId="0042F59C" w:rsidR="00244DB6" w:rsidRDefault="00244DB6" w:rsidP="00244DB6">
            <w:pPr>
              <w:pStyle w:val="BodyText"/>
              <w:tabs>
                <w:tab w:val="left" w:pos="9000"/>
              </w:tabs>
            </w:pPr>
            <w:r>
              <w:t>AR</w:t>
            </w:r>
            <w:r w:rsidR="007C0925">
              <w:t>S</w:t>
            </w:r>
            <w:r>
              <w:t xml:space="preserve"> 120.</w:t>
            </w:r>
            <w:r w:rsidR="007C0925">
              <w:t>1</w:t>
            </w:r>
            <w:r>
              <w:t xml:space="preserve"> Securitisation</w:t>
            </w:r>
            <w:r w:rsidR="007C0925">
              <w:t xml:space="preserve"> – Regulatory Capital</w:t>
            </w:r>
          </w:p>
        </w:tc>
        <w:tc>
          <w:tcPr>
            <w:tcW w:w="575" w:type="pct"/>
          </w:tcPr>
          <w:p w14:paraId="4D8BB326"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03648CA7"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43749FF6" w14:textId="77777777" w:rsidR="00244DB6" w:rsidRDefault="00244DB6" w:rsidP="00244DB6">
            <w:pPr>
              <w:pStyle w:val="BodyText"/>
              <w:tabs>
                <w:tab w:val="left" w:pos="9000"/>
              </w:tabs>
              <w:jc w:val="center"/>
            </w:pPr>
          </w:p>
        </w:tc>
      </w:tr>
      <w:tr w:rsidR="00244DB6" w14:paraId="7F26CDFF" w14:textId="77777777" w:rsidTr="00B20B39">
        <w:tc>
          <w:tcPr>
            <w:tcW w:w="555" w:type="pct"/>
          </w:tcPr>
          <w:p w14:paraId="5E730148" w14:textId="77777777" w:rsidR="00244DB6" w:rsidRDefault="00244DB6" w:rsidP="00244DB6">
            <w:pPr>
              <w:pStyle w:val="BodyText"/>
              <w:tabs>
                <w:tab w:val="left" w:pos="9000"/>
              </w:tabs>
            </w:pPr>
          </w:p>
        </w:tc>
        <w:tc>
          <w:tcPr>
            <w:tcW w:w="2645" w:type="pct"/>
          </w:tcPr>
          <w:p w14:paraId="7D051EE3" w14:textId="407746E5" w:rsidR="00244DB6" w:rsidRDefault="00244DB6" w:rsidP="00244DB6">
            <w:pPr>
              <w:pStyle w:val="BodyText"/>
              <w:tabs>
                <w:tab w:val="left" w:pos="9000"/>
              </w:tabs>
            </w:pPr>
            <w:r>
              <w:t>AR</w:t>
            </w:r>
            <w:r w:rsidR="00F90C56">
              <w:t>S</w:t>
            </w:r>
            <w:r>
              <w:t xml:space="preserve"> 120.2 Securitisation – Supplementary Items</w:t>
            </w:r>
          </w:p>
        </w:tc>
        <w:tc>
          <w:tcPr>
            <w:tcW w:w="575" w:type="pct"/>
          </w:tcPr>
          <w:p w14:paraId="487EF4B5"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497EA28A"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1A2E595C" w14:textId="77777777" w:rsidR="00244DB6" w:rsidRDefault="00244DB6" w:rsidP="00244DB6">
            <w:pPr>
              <w:pStyle w:val="BodyText"/>
              <w:tabs>
                <w:tab w:val="left" w:pos="9000"/>
              </w:tabs>
              <w:jc w:val="center"/>
            </w:pPr>
          </w:p>
        </w:tc>
      </w:tr>
      <w:tr w:rsidR="00244DB6" w14:paraId="02B10E6B" w14:textId="77777777" w:rsidTr="00B20B39">
        <w:tc>
          <w:tcPr>
            <w:tcW w:w="555" w:type="pct"/>
          </w:tcPr>
          <w:p w14:paraId="0EB9BCF4" w14:textId="77777777" w:rsidR="00244DB6" w:rsidRDefault="00244DB6" w:rsidP="00244DB6">
            <w:pPr>
              <w:pStyle w:val="BodyText"/>
              <w:tabs>
                <w:tab w:val="left" w:pos="9000"/>
              </w:tabs>
            </w:pPr>
            <w:r>
              <w:t>2. Statement of Financial Performance</w:t>
            </w:r>
          </w:p>
        </w:tc>
        <w:tc>
          <w:tcPr>
            <w:tcW w:w="2645" w:type="pct"/>
          </w:tcPr>
          <w:p w14:paraId="0692A64D" w14:textId="3AE7A399" w:rsidR="00244DB6" w:rsidRDefault="00244DB6" w:rsidP="00244DB6">
            <w:pPr>
              <w:pStyle w:val="BodyText"/>
              <w:tabs>
                <w:tab w:val="left" w:pos="9000"/>
              </w:tabs>
            </w:pPr>
            <w:r>
              <w:t>AR</w:t>
            </w:r>
            <w:r w:rsidR="00540D1C">
              <w:t>S</w:t>
            </w:r>
            <w:r>
              <w:t xml:space="preserve"> 330.0 Statement of Financial Performance</w:t>
            </w:r>
          </w:p>
        </w:tc>
        <w:tc>
          <w:tcPr>
            <w:tcW w:w="575" w:type="pct"/>
          </w:tcPr>
          <w:p w14:paraId="43027A4A"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511A4A10"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78983834" w14:textId="77777777"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7CEFF93A" w14:textId="77777777" w:rsidTr="00B20B39">
        <w:tc>
          <w:tcPr>
            <w:tcW w:w="555" w:type="pct"/>
          </w:tcPr>
          <w:p w14:paraId="7292DECE" w14:textId="57A2B227" w:rsidR="00244DB6" w:rsidRDefault="00244DB6" w:rsidP="00244DB6">
            <w:pPr>
              <w:pStyle w:val="BodyText"/>
              <w:tabs>
                <w:tab w:val="left" w:pos="9000"/>
              </w:tabs>
            </w:pPr>
            <w:r w:rsidRPr="009A6A4F">
              <w:t>3. Statement of Financial Position</w:t>
            </w:r>
          </w:p>
        </w:tc>
        <w:tc>
          <w:tcPr>
            <w:tcW w:w="2645" w:type="pct"/>
          </w:tcPr>
          <w:p w14:paraId="077A87AB" w14:textId="3FBE5626" w:rsidR="00244DB6" w:rsidRDefault="00244DB6" w:rsidP="00244DB6">
            <w:pPr>
              <w:pStyle w:val="BodyText"/>
              <w:tabs>
                <w:tab w:val="left" w:pos="9000"/>
              </w:tabs>
            </w:pPr>
            <w:r>
              <w:t>AR</w:t>
            </w:r>
            <w:r w:rsidR="00920107">
              <w:t>S</w:t>
            </w:r>
            <w:r>
              <w:t xml:space="preserve"> 720.0</w:t>
            </w:r>
            <w:r w:rsidR="00540D1C">
              <w:t xml:space="preserve"> </w:t>
            </w:r>
            <w:r>
              <w:t xml:space="preserve">ABS/RBA Statement of Financial Position </w:t>
            </w:r>
          </w:p>
        </w:tc>
        <w:tc>
          <w:tcPr>
            <w:tcW w:w="575" w:type="pct"/>
          </w:tcPr>
          <w:p w14:paraId="02B354DC" w14:textId="14DD586A"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2" w:type="pct"/>
          </w:tcPr>
          <w:p w14:paraId="34CB3611" w14:textId="0A959BEC"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3" w:type="pct"/>
          </w:tcPr>
          <w:p w14:paraId="72E60237" w14:textId="52EC8B23"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477D1146" w14:textId="77777777" w:rsidTr="00B20B39">
        <w:tc>
          <w:tcPr>
            <w:tcW w:w="555" w:type="pct"/>
          </w:tcPr>
          <w:p w14:paraId="1D393303" w14:textId="48F3FAE2" w:rsidR="00244DB6" w:rsidRDefault="00244DB6" w:rsidP="00244DB6">
            <w:pPr>
              <w:pStyle w:val="BodyText"/>
              <w:tabs>
                <w:tab w:val="left" w:pos="9000"/>
              </w:tabs>
            </w:pPr>
          </w:p>
        </w:tc>
        <w:tc>
          <w:tcPr>
            <w:tcW w:w="2645" w:type="pct"/>
          </w:tcPr>
          <w:p w14:paraId="3666C731" w14:textId="4D9A4724" w:rsidR="00244DB6" w:rsidRDefault="00244DB6" w:rsidP="00244DB6">
            <w:pPr>
              <w:pStyle w:val="BodyText"/>
              <w:tabs>
                <w:tab w:val="left" w:pos="975"/>
              </w:tabs>
            </w:pPr>
            <w:r>
              <w:t>AR</w:t>
            </w:r>
            <w:r w:rsidR="00920107">
              <w:t>S</w:t>
            </w:r>
            <w:r>
              <w:t xml:space="preserve"> 720.1 ABS/RBA Loans and Finance Leases </w:t>
            </w:r>
          </w:p>
        </w:tc>
        <w:tc>
          <w:tcPr>
            <w:tcW w:w="575" w:type="pct"/>
          </w:tcPr>
          <w:p w14:paraId="1FF4791F" w14:textId="1EEA1811"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2" w:type="pct"/>
          </w:tcPr>
          <w:p w14:paraId="00D75755" w14:textId="15AA13E7"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3" w:type="pct"/>
          </w:tcPr>
          <w:p w14:paraId="603E0CC7" w14:textId="768AE159"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7C500317" w14:textId="77777777" w:rsidTr="00B20B39">
        <w:tc>
          <w:tcPr>
            <w:tcW w:w="555" w:type="pct"/>
          </w:tcPr>
          <w:p w14:paraId="240C8DB6" w14:textId="37313A00" w:rsidR="00244DB6" w:rsidRDefault="00244DB6" w:rsidP="00244DB6">
            <w:pPr>
              <w:pStyle w:val="BodyText"/>
              <w:tabs>
                <w:tab w:val="left" w:pos="9000"/>
              </w:tabs>
            </w:pPr>
          </w:p>
        </w:tc>
        <w:tc>
          <w:tcPr>
            <w:tcW w:w="2645" w:type="pct"/>
          </w:tcPr>
          <w:p w14:paraId="10A54C72" w14:textId="261E5D1C" w:rsidR="00244DB6" w:rsidRDefault="00244DB6" w:rsidP="00244DB6">
            <w:pPr>
              <w:pStyle w:val="BodyText"/>
              <w:tabs>
                <w:tab w:val="left" w:pos="9000"/>
              </w:tabs>
            </w:pPr>
            <w:r>
              <w:t>AR</w:t>
            </w:r>
            <w:r w:rsidR="00F96503">
              <w:t>S</w:t>
            </w:r>
            <w:r>
              <w:t xml:space="preserve"> 720.2 ABS/RBA Deposits</w:t>
            </w:r>
          </w:p>
        </w:tc>
        <w:tc>
          <w:tcPr>
            <w:tcW w:w="575" w:type="pct"/>
          </w:tcPr>
          <w:p w14:paraId="30727646" w14:textId="65F8D926"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2" w:type="pct"/>
          </w:tcPr>
          <w:p w14:paraId="3230327F" w14:textId="16AF6657" w:rsidR="00244DB6" w:rsidRPr="007D6F06" w:rsidRDefault="00244DB6" w:rsidP="00244DB6">
            <w:pPr>
              <w:pStyle w:val="BodyText"/>
              <w:tabs>
                <w:tab w:val="left" w:pos="9000"/>
              </w:tabs>
              <w:jc w:val="center"/>
              <w:rPr>
                <w:rFonts w:ascii="MS Mincho" w:eastAsia="MS Mincho" w:hAnsi="MS Mincho"/>
              </w:rPr>
            </w:pPr>
            <w:r w:rsidRPr="007D6F06">
              <w:rPr>
                <w:rFonts w:ascii="MS Mincho" w:eastAsia="MS Mincho" w:hAnsi="MS Mincho" w:hint="eastAsia"/>
              </w:rPr>
              <w:t>✓</w:t>
            </w:r>
          </w:p>
        </w:tc>
        <w:tc>
          <w:tcPr>
            <w:tcW w:w="613" w:type="pct"/>
          </w:tcPr>
          <w:p w14:paraId="7E0E0E85" w14:textId="62C83F4C"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65CC0945" w14:textId="77777777" w:rsidTr="00B20B39">
        <w:tc>
          <w:tcPr>
            <w:tcW w:w="555" w:type="pct"/>
          </w:tcPr>
          <w:p w14:paraId="2066BFE8" w14:textId="77777777" w:rsidR="00244DB6" w:rsidRDefault="00244DB6" w:rsidP="00244DB6">
            <w:pPr>
              <w:pStyle w:val="BodyText"/>
              <w:tabs>
                <w:tab w:val="left" w:pos="9000"/>
              </w:tabs>
            </w:pPr>
          </w:p>
        </w:tc>
        <w:tc>
          <w:tcPr>
            <w:tcW w:w="2645" w:type="pct"/>
          </w:tcPr>
          <w:p w14:paraId="20DCD85D" w14:textId="326A1291" w:rsidR="00244DB6" w:rsidRDefault="00244DB6" w:rsidP="00244DB6">
            <w:pPr>
              <w:pStyle w:val="BodyText"/>
              <w:tabs>
                <w:tab w:val="left" w:pos="9000"/>
              </w:tabs>
            </w:pPr>
            <w:r>
              <w:t>AR</w:t>
            </w:r>
            <w:r w:rsidR="00F96503">
              <w:t>S</w:t>
            </w:r>
            <w:r>
              <w:t xml:space="preserve"> 322.0 Statement of Financial Position </w:t>
            </w:r>
            <w:r w:rsidR="007B24D6">
              <w:t>(</w:t>
            </w:r>
            <w:r>
              <w:t>Consolidated</w:t>
            </w:r>
            <w:r w:rsidR="007B24D6">
              <w:t>)</w:t>
            </w:r>
          </w:p>
        </w:tc>
        <w:tc>
          <w:tcPr>
            <w:tcW w:w="575" w:type="pct"/>
          </w:tcPr>
          <w:p w14:paraId="53651A49"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68AE4CB1"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01C10AE8" w14:textId="77777777" w:rsidR="00244DB6" w:rsidRDefault="00244DB6" w:rsidP="00244DB6">
            <w:pPr>
              <w:pStyle w:val="BodyText"/>
              <w:tabs>
                <w:tab w:val="left" w:pos="9000"/>
              </w:tabs>
              <w:jc w:val="center"/>
            </w:pPr>
          </w:p>
        </w:tc>
      </w:tr>
      <w:tr w:rsidR="00244DB6" w14:paraId="1886507F" w14:textId="77777777" w:rsidTr="00B20B39">
        <w:tc>
          <w:tcPr>
            <w:tcW w:w="555" w:type="pct"/>
          </w:tcPr>
          <w:p w14:paraId="5F8C959A" w14:textId="77777777" w:rsidR="00244DB6" w:rsidRDefault="00244DB6" w:rsidP="00244DB6">
            <w:pPr>
              <w:pStyle w:val="BodyText"/>
              <w:tabs>
                <w:tab w:val="left" w:pos="9000"/>
              </w:tabs>
            </w:pPr>
          </w:p>
        </w:tc>
        <w:tc>
          <w:tcPr>
            <w:tcW w:w="2645" w:type="pct"/>
          </w:tcPr>
          <w:p w14:paraId="2F541741" w14:textId="69129874" w:rsidR="00244DB6" w:rsidRDefault="00244DB6" w:rsidP="00244DB6">
            <w:pPr>
              <w:pStyle w:val="BodyText"/>
              <w:tabs>
                <w:tab w:val="left" w:pos="9000"/>
              </w:tabs>
            </w:pPr>
            <w:r>
              <w:t>AR</w:t>
            </w:r>
            <w:r w:rsidR="007B24D6">
              <w:t>S</w:t>
            </w:r>
            <w:r>
              <w:t xml:space="preserve"> 323.0 Statement of Financial Position </w:t>
            </w:r>
            <w:r w:rsidR="007B24D6">
              <w:t>(</w:t>
            </w:r>
            <w:r>
              <w:t>Licensed</w:t>
            </w:r>
            <w:r w:rsidR="00AE7FFE">
              <w:t xml:space="preserve"> ADI</w:t>
            </w:r>
            <w:r w:rsidR="007B24D6">
              <w:t>)</w:t>
            </w:r>
          </w:p>
        </w:tc>
        <w:tc>
          <w:tcPr>
            <w:tcW w:w="575" w:type="pct"/>
          </w:tcPr>
          <w:p w14:paraId="480CD814"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2FCA4B56"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7EB8F46F" w14:textId="77777777" w:rsidR="00244DB6" w:rsidRDefault="00244DB6" w:rsidP="00244DB6">
            <w:pPr>
              <w:pStyle w:val="BodyText"/>
              <w:tabs>
                <w:tab w:val="left" w:pos="9000"/>
              </w:tabs>
              <w:jc w:val="center"/>
            </w:pPr>
          </w:p>
        </w:tc>
      </w:tr>
      <w:tr w:rsidR="00244DB6" w14:paraId="5AC11060" w14:textId="77777777" w:rsidTr="00B20B39">
        <w:tc>
          <w:tcPr>
            <w:tcW w:w="555" w:type="pct"/>
          </w:tcPr>
          <w:p w14:paraId="73CAC983" w14:textId="77777777" w:rsidR="00244DB6" w:rsidRDefault="00244DB6" w:rsidP="00244DB6">
            <w:pPr>
              <w:pStyle w:val="BodyText"/>
              <w:tabs>
                <w:tab w:val="left" w:pos="9000"/>
              </w:tabs>
            </w:pPr>
            <w:r>
              <w:t>4. Provisions and Impaired Assets</w:t>
            </w:r>
          </w:p>
        </w:tc>
        <w:tc>
          <w:tcPr>
            <w:tcW w:w="2645" w:type="pct"/>
          </w:tcPr>
          <w:p w14:paraId="45A19B54" w14:textId="1747CD40" w:rsidR="00244DB6" w:rsidRDefault="00244DB6" w:rsidP="00244DB6">
            <w:pPr>
              <w:pStyle w:val="BodyText"/>
              <w:tabs>
                <w:tab w:val="left" w:pos="9000"/>
              </w:tabs>
            </w:pPr>
            <w:r>
              <w:t>AR</w:t>
            </w:r>
            <w:r w:rsidR="00AE7FFE">
              <w:t>S</w:t>
            </w:r>
            <w:r>
              <w:t xml:space="preserve"> 220.0 Credit Quality</w:t>
            </w:r>
          </w:p>
        </w:tc>
        <w:tc>
          <w:tcPr>
            <w:tcW w:w="575" w:type="pct"/>
          </w:tcPr>
          <w:p w14:paraId="63D0BF5A"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5A49D7BB"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5DE5FA52" w14:textId="77777777"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5CD2CC1C" w14:textId="77777777" w:rsidTr="00B20B39">
        <w:tc>
          <w:tcPr>
            <w:tcW w:w="555" w:type="pct"/>
          </w:tcPr>
          <w:p w14:paraId="3B9E24FE" w14:textId="77777777" w:rsidR="00244DB6" w:rsidRDefault="00244DB6" w:rsidP="00244DB6">
            <w:pPr>
              <w:pStyle w:val="BodyText"/>
              <w:tabs>
                <w:tab w:val="left" w:pos="9000"/>
              </w:tabs>
            </w:pPr>
          </w:p>
        </w:tc>
        <w:tc>
          <w:tcPr>
            <w:tcW w:w="2645" w:type="pct"/>
          </w:tcPr>
          <w:p w14:paraId="3CFDF040" w14:textId="3899CD9E" w:rsidR="00244DB6" w:rsidRDefault="00244DB6" w:rsidP="00244DB6">
            <w:pPr>
              <w:pStyle w:val="BodyText"/>
              <w:tabs>
                <w:tab w:val="left" w:pos="9000"/>
              </w:tabs>
            </w:pPr>
            <w:r>
              <w:t>AR</w:t>
            </w:r>
            <w:r w:rsidR="00AE7FFE">
              <w:t>S</w:t>
            </w:r>
            <w:r>
              <w:t xml:space="preserve"> 220.3 Prescribed Provisioning</w:t>
            </w:r>
          </w:p>
        </w:tc>
        <w:tc>
          <w:tcPr>
            <w:tcW w:w="575" w:type="pct"/>
          </w:tcPr>
          <w:p w14:paraId="74F6A821"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359CF4DF"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616AE4A7" w14:textId="77777777"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4122B998" w14:textId="77777777" w:rsidTr="00B20B39">
        <w:tc>
          <w:tcPr>
            <w:tcW w:w="555" w:type="pct"/>
          </w:tcPr>
          <w:p w14:paraId="1DED282A" w14:textId="77777777" w:rsidR="00244DB6" w:rsidRDefault="00244DB6" w:rsidP="00244DB6">
            <w:pPr>
              <w:pStyle w:val="BodyText"/>
              <w:tabs>
                <w:tab w:val="left" w:pos="9000"/>
              </w:tabs>
            </w:pPr>
          </w:p>
        </w:tc>
        <w:tc>
          <w:tcPr>
            <w:tcW w:w="2645" w:type="pct"/>
          </w:tcPr>
          <w:p w14:paraId="2E2A8C81" w14:textId="7F71F72B" w:rsidR="00244DB6" w:rsidRDefault="00244DB6" w:rsidP="00244DB6">
            <w:pPr>
              <w:pStyle w:val="BodyText"/>
              <w:tabs>
                <w:tab w:val="left" w:pos="9000"/>
              </w:tabs>
            </w:pPr>
            <w:r>
              <w:t>AR</w:t>
            </w:r>
            <w:r w:rsidR="00AE7FFE">
              <w:t>S</w:t>
            </w:r>
            <w:r>
              <w:t xml:space="preserve"> 220.5 Movements in Provisions for Impairment</w:t>
            </w:r>
          </w:p>
        </w:tc>
        <w:tc>
          <w:tcPr>
            <w:tcW w:w="575" w:type="pct"/>
          </w:tcPr>
          <w:p w14:paraId="315D0203"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5822FC10"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512CDCE2" w14:textId="77777777"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5EA367D3" w14:textId="77777777" w:rsidTr="00B20B39">
        <w:tc>
          <w:tcPr>
            <w:tcW w:w="555" w:type="pct"/>
          </w:tcPr>
          <w:p w14:paraId="6C36E0D8" w14:textId="77777777" w:rsidR="00244DB6" w:rsidRDefault="00244DB6" w:rsidP="00244DB6">
            <w:pPr>
              <w:pStyle w:val="BodyText"/>
              <w:tabs>
                <w:tab w:val="left" w:pos="9000"/>
              </w:tabs>
            </w:pPr>
          </w:p>
        </w:tc>
        <w:tc>
          <w:tcPr>
            <w:tcW w:w="2645" w:type="pct"/>
          </w:tcPr>
          <w:p w14:paraId="105CBC80" w14:textId="5224257B" w:rsidR="00244DB6" w:rsidRDefault="00244DB6" w:rsidP="00244DB6">
            <w:pPr>
              <w:pStyle w:val="BodyText"/>
              <w:tabs>
                <w:tab w:val="left" w:pos="9000"/>
              </w:tabs>
            </w:pPr>
            <w:r>
              <w:t>AR</w:t>
            </w:r>
            <w:r w:rsidR="00866B10">
              <w:t>S</w:t>
            </w:r>
            <w:r>
              <w:t xml:space="preserve"> 221.0 Large Exposures</w:t>
            </w:r>
          </w:p>
        </w:tc>
        <w:tc>
          <w:tcPr>
            <w:tcW w:w="575" w:type="pct"/>
          </w:tcPr>
          <w:p w14:paraId="50B8420E"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47CAFED5"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519F12DC" w14:textId="77777777"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1CB14729" w14:textId="77777777" w:rsidTr="00B20B39">
        <w:tc>
          <w:tcPr>
            <w:tcW w:w="555" w:type="pct"/>
          </w:tcPr>
          <w:p w14:paraId="3DD2E4B1" w14:textId="77777777" w:rsidR="00244DB6" w:rsidRDefault="00244DB6" w:rsidP="00244DB6">
            <w:pPr>
              <w:pStyle w:val="BodyText"/>
              <w:tabs>
                <w:tab w:val="left" w:pos="9000"/>
              </w:tabs>
            </w:pPr>
          </w:p>
        </w:tc>
        <w:tc>
          <w:tcPr>
            <w:tcW w:w="2645" w:type="pct"/>
          </w:tcPr>
          <w:p w14:paraId="5E9C2860" w14:textId="4FBEB913" w:rsidR="00244DB6" w:rsidRDefault="00244DB6" w:rsidP="00244DB6">
            <w:pPr>
              <w:pStyle w:val="BodyText"/>
              <w:tabs>
                <w:tab w:val="left" w:pos="9000"/>
              </w:tabs>
            </w:pPr>
            <w:r>
              <w:t>AR</w:t>
            </w:r>
            <w:r w:rsidR="005453E4">
              <w:t>S</w:t>
            </w:r>
            <w:r>
              <w:t xml:space="preserve"> 222.0 Exposures to Related Entities</w:t>
            </w:r>
          </w:p>
        </w:tc>
        <w:tc>
          <w:tcPr>
            <w:tcW w:w="575" w:type="pct"/>
          </w:tcPr>
          <w:p w14:paraId="27C5CF0E"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6AA5204E"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5BD53078" w14:textId="77777777" w:rsidR="00244DB6" w:rsidRDefault="00244DB6" w:rsidP="00244DB6">
            <w:pPr>
              <w:pStyle w:val="BodyText"/>
              <w:tabs>
                <w:tab w:val="left" w:pos="9000"/>
              </w:tabs>
              <w:jc w:val="center"/>
            </w:pPr>
            <w:r w:rsidRPr="007D6F06">
              <w:rPr>
                <w:rFonts w:ascii="MS Mincho" w:eastAsia="MS Mincho" w:hAnsi="MS Mincho" w:hint="eastAsia"/>
              </w:rPr>
              <w:t>✓</w:t>
            </w:r>
          </w:p>
        </w:tc>
      </w:tr>
      <w:tr w:rsidR="00244DB6" w14:paraId="171543A4" w14:textId="77777777" w:rsidTr="00B20B39">
        <w:tc>
          <w:tcPr>
            <w:tcW w:w="555" w:type="pct"/>
          </w:tcPr>
          <w:p w14:paraId="5803A205" w14:textId="77777777" w:rsidR="00244DB6" w:rsidRDefault="00244DB6" w:rsidP="00244DB6">
            <w:pPr>
              <w:pStyle w:val="BodyText"/>
              <w:tabs>
                <w:tab w:val="left" w:pos="9000"/>
              </w:tabs>
            </w:pPr>
          </w:p>
        </w:tc>
        <w:tc>
          <w:tcPr>
            <w:tcW w:w="2645" w:type="pct"/>
          </w:tcPr>
          <w:p w14:paraId="1E6B8784" w14:textId="62CEDC20" w:rsidR="00244DB6" w:rsidRDefault="00244DB6" w:rsidP="00244DB6">
            <w:pPr>
              <w:pStyle w:val="BodyText"/>
              <w:tabs>
                <w:tab w:val="left" w:pos="9000"/>
              </w:tabs>
            </w:pPr>
            <w:r>
              <w:t>AR</w:t>
            </w:r>
            <w:r w:rsidR="005453E4">
              <w:t>S</w:t>
            </w:r>
            <w:r>
              <w:t xml:space="preserve"> 230.0 Commercial Property</w:t>
            </w:r>
          </w:p>
        </w:tc>
        <w:tc>
          <w:tcPr>
            <w:tcW w:w="575" w:type="pct"/>
          </w:tcPr>
          <w:p w14:paraId="1E3A836F"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2" w:type="pct"/>
          </w:tcPr>
          <w:p w14:paraId="45D100CE" w14:textId="77777777" w:rsidR="00244DB6" w:rsidRDefault="00244DB6" w:rsidP="00244DB6">
            <w:pPr>
              <w:pStyle w:val="BodyText"/>
              <w:tabs>
                <w:tab w:val="left" w:pos="9000"/>
              </w:tabs>
              <w:jc w:val="center"/>
            </w:pPr>
            <w:r w:rsidRPr="007D6F06">
              <w:rPr>
                <w:rFonts w:ascii="MS Mincho" w:eastAsia="MS Mincho" w:hAnsi="MS Mincho" w:hint="eastAsia"/>
              </w:rPr>
              <w:t>✓</w:t>
            </w:r>
          </w:p>
        </w:tc>
        <w:tc>
          <w:tcPr>
            <w:tcW w:w="613" w:type="pct"/>
          </w:tcPr>
          <w:p w14:paraId="7E18C39C" w14:textId="77777777" w:rsidR="00244DB6" w:rsidRDefault="00244DB6" w:rsidP="00244DB6">
            <w:pPr>
              <w:pStyle w:val="BodyText"/>
              <w:tabs>
                <w:tab w:val="left" w:pos="9000"/>
              </w:tabs>
              <w:jc w:val="center"/>
            </w:pPr>
            <w:r w:rsidRPr="007D6F06">
              <w:rPr>
                <w:rFonts w:ascii="MS Mincho" w:eastAsia="MS Mincho" w:hAnsi="MS Mincho" w:hint="eastAsia"/>
              </w:rPr>
              <w:t>✓</w:t>
            </w:r>
          </w:p>
        </w:tc>
      </w:tr>
      <w:tr w:rsidR="00244DB6" w:rsidRPr="00F4602B" w14:paraId="526D42A6" w14:textId="77777777" w:rsidTr="00B20B39">
        <w:tc>
          <w:tcPr>
            <w:tcW w:w="555" w:type="pct"/>
          </w:tcPr>
          <w:p w14:paraId="310D65CE" w14:textId="3DA87CC3" w:rsidR="00244DB6" w:rsidRPr="008F5A47" w:rsidRDefault="00244DB6" w:rsidP="00244DB6">
            <w:pPr>
              <w:pStyle w:val="BodyText"/>
              <w:tabs>
                <w:tab w:val="left" w:pos="9000"/>
              </w:tabs>
            </w:pPr>
            <w:r w:rsidRPr="008F5A47">
              <w:t>5. Liquidity</w:t>
            </w:r>
          </w:p>
        </w:tc>
        <w:tc>
          <w:tcPr>
            <w:tcW w:w="2645" w:type="pct"/>
          </w:tcPr>
          <w:p w14:paraId="6A074AF4" w14:textId="24D4EA59" w:rsidR="00244DB6" w:rsidRPr="008F5A47" w:rsidRDefault="008F5A47" w:rsidP="00244DB6">
            <w:pPr>
              <w:pStyle w:val="BodyText"/>
              <w:tabs>
                <w:tab w:val="left" w:pos="9000"/>
              </w:tabs>
            </w:pPr>
            <w:r>
              <w:t>ARS 210.0 Liquidity</w:t>
            </w:r>
            <w:r w:rsidR="00730FBE">
              <w:t xml:space="preserve"> in relation to </w:t>
            </w:r>
            <w:r w:rsidR="00730FBE" w:rsidRPr="00730FBE">
              <w:t xml:space="preserve">ARF 210.1A Liquidity Coverage Ratio </w:t>
            </w:r>
            <w:proofErr w:type="gramStart"/>
            <w:r w:rsidR="00730FBE" w:rsidRPr="00730FBE">
              <w:t>-  all</w:t>
            </w:r>
            <w:proofErr w:type="gramEnd"/>
            <w:r w:rsidR="00730FBE" w:rsidRPr="00730FBE">
              <w:t xml:space="preserve"> currencies, ARF 210.1B Liquidity Coverage Ratio - AUD only, and ARF 210.6 Net Stable Funding Ratio</w:t>
            </w:r>
            <w:r w:rsidR="00456402">
              <w:t xml:space="preserve"> only.</w:t>
            </w:r>
            <w:r w:rsidR="002A49B0">
              <w:rPr>
                <w:rStyle w:val="FootnoteReference"/>
              </w:rPr>
              <w:footnoteReference w:id="7"/>
            </w:r>
          </w:p>
        </w:tc>
        <w:tc>
          <w:tcPr>
            <w:tcW w:w="575" w:type="pct"/>
          </w:tcPr>
          <w:p w14:paraId="34D3588B" w14:textId="0BDA7035" w:rsidR="00244DB6" w:rsidRPr="008F5A47" w:rsidRDefault="00244DB6" w:rsidP="00244DB6">
            <w:pPr>
              <w:pStyle w:val="BodyText"/>
              <w:tabs>
                <w:tab w:val="left" w:pos="9000"/>
              </w:tabs>
              <w:jc w:val="center"/>
              <w:rPr>
                <w:rFonts w:ascii="MS Mincho" w:eastAsia="MS Mincho" w:hAnsi="MS Mincho"/>
              </w:rPr>
            </w:pPr>
            <w:r w:rsidRPr="008F5A47">
              <w:rPr>
                <w:rFonts w:ascii="MS Mincho" w:eastAsia="MS Mincho" w:hAnsi="MS Mincho"/>
              </w:rPr>
              <w:t>✓</w:t>
            </w:r>
          </w:p>
        </w:tc>
        <w:tc>
          <w:tcPr>
            <w:tcW w:w="612" w:type="pct"/>
          </w:tcPr>
          <w:p w14:paraId="2AF8A789" w14:textId="549C50F3" w:rsidR="00244DB6" w:rsidRPr="008F5A47" w:rsidRDefault="00244DB6" w:rsidP="00244DB6">
            <w:pPr>
              <w:pStyle w:val="BodyText"/>
              <w:tabs>
                <w:tab w:val="left" w:pos="9000"/>
              </w:tabs>
              <w:jc w:val="center"/>
              <w:rPr>
                <w:rFonts w:ascii="MS Mincho" w:eastAsia="MS Mincho" w:hAnsi="MS Mincho"/>
              </w:rPr>
            </w:pPr>
            <w:r w:rsidRPr="008F5A47">
              <w:rPr>
                <w:rFonts w:ascii="MS Mincho" w:eastAsia="MS Mincho" w:hAnsi="MS Mincho"/>
              </w:rPr>
              <w:t>✓</w:t>
            </w:r>
          </w:p>
        </w:tc>
        <w:tc>
          <w:tcPr>
            <w:tcW w:w="613" w:type="pct"/>
          </w:tcPr>
          <w:p w14:paraId="204000D9" w14:textId="7DB462C5" w:rsidR="00244DB6" w:rsidRPr="008F5A47" w:rsidRDefault="00244DB6" w:rsidP="00244DB6">
            <w:pPr>
              <w:pStyle w:val="BodyText"/>
              <w:tabs>
                <w:tab w:val="left" w:pos="9000"/>
              </w:tabs>
              <w:jc w:val="center"/>
              <w:rPr>
                <w:rFonts w:ascii="MS Mincho" w:eastAsia="MS Mincho" w:hAnsi="MS Mincho"/>
              </w:rPr>
            </w:pPr>
          </w:p>
        </w:tc>
      </w:tr>
    </w:tbl>
    <w:p w14:paraId="25D0A9BF" w14:textId="77777777" w:rsidR="003B58F5" w:rsidRPr="00723860" w:rsidRDefault="003B58F5" w:rsidP="003B58F5">
      <w:pPr>
        <w:pStyle w:val="BodyText"/>
        <w:tabs>
          <w:tab w:val="left" w:pos="9000"/>
        </w:tabs>
      </w:pPr>
    </w:p>
    <w:p w14:paraId="510CBC95" w14:textId="77777777" w:rsidR="003B58F5" w:rsidRDefault="003B58F5" w:rsidP="000953F8">
      <w:pPr>
        <w:pStyle w:val="definition"/>
        <w:spacing w:before="360"/>
        <w:rPr>
          <w:rFonts w:ascii="Arial" w:hAnsi="Arial"/>
          <w:sz w:val="40"/>
          <w:szCs w:val="40"/>
        </w:rPr>
      </w:pPr>
    </w:p>
    <w:sectPr w:rsidR="003B58F5" w:rsidSect="00605396">
      <w:headerReference w:type="even" r:id="rId21"/>
      <w:footerReference w:type="default" r:id="rId22"/>
      <w:headerReference w:type="first" r:id="rId23"/>
      <w:pgSz w:w="16838" w:h="11906" w:orient="landscape"/>
      <w:pgMar w:top="1622"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1DF0" w14:textId="77777777" w:rsidR="00864BD9" w:rsidRDefault="00864BD9" w:rsidP="005C75EC">
      <w:r>
        <w:separator/>
      </w:r>
    </w:p>
  </w:endnote>
  <w:endnote w:type="continuationSeparator" w:id="0">
    <w:p w14:paraId="2A3682D3" w14:textId="77777777" w:rsidR="00864BD9" w:rsidRDefault="00864BD9" w:rsidP="005C75EC">
      <w:r>
        <w:continuationSeparator/>
      </w:r>
    </w:p>
  </w:endnote>
  <w:endnote w:type="continuationNotice" w:id="1">
    <w:p w14:paraId="70BE6CE8" w14:textId="77777777" w:rsidR="006A2AA5" w:rsidRDefault="006A2A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F Arro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1308812633"/>
      <w:docPartObj>
        <w:docPartGallery w:val="Page Numbers (Bottom of Page)"/>
        <w:docPartUnique/>
      </w:docPartObj>
    </w:sdtPr>
    <w:sdtEndPr>
      <w:rPr>
        <w:rFonts w:ascii="Times New Roman" w:hAnsi="Times New Roman" w:cs="Times New Roman"/>
        <w:sz w:val="24"/>
        <w:szCs w:val="24"/>
      </w:rPr>
    </w:sdtEndPr>
    <w:sdtContent>
      <w:sdt>
        <w:sdtPr>
          <w:rPr>
            <w:rFonts w:ascii="Arial" w:hAnsi="Arial" w:cs="Arial"/>
            <w:sz w:val="22"/>
            <w:szCs w:val="22"/>
          </w:rPr>
          <w:id w:val="-1769616900"/>
          <w:docPartObj>
            <w:docPartGallery w:val="Page Numbers (Top of Page)"/>
            <w:docPartUnique/>
          </w:docPartObj>
        </w:sdtPr>
        <w:sdtEndPr>
          <w:rPr>
            <w:rFonts w:ascii="Times New Roman" w:hAnsi="Times New Roman" w:cs="Times New Roman"/>
            <w:sz w:val="24"/>
            <w:szCs w:val="24"/>
          </w:rPr>
        </w:sdtEndPr>
        <w:sdtContent>
          <w:p w14:paraId="46296306" w14:textId="7D54F87D" w:rsidR="009D67ED" w:rsidRDefault="009D67ED">
            <w:pPr>
              <w:pStyle w:val="Footer"/>
              <w:jc w:val="right"/>
            </w:pPr>
            <w:r w:rsidRPr="009D67ED">
              <w:rPr>
                <w:rFonts w:ascii="Arial" w:hAnsi="Arial" w:cs="Arial"/>
                <w:sz w:val="22"/>
                <w:szCs w:val="22"/>
              </w:rPr>
              <w:t xml:space="preserve">Page </w:t>
            </w:r>
            <w:r w:rsidRPr="009D67ED">
              <w:rPr>
                <w:rFonts w:ascii="Arial" w:hAnsi="Arial" w:cs="Arial"/>
                <w:bCs/>
                <w:sz w:val="22"/>
                <w:szCs w:val="22"/>
              </w:rPr>
              <w:fldChar w:fldCharType="begin"/>
            </w:r>
            <w:r w:rsidRPr="009D67ED">
              <w:rPr>
                <w:rFonts w:ascii="Arial" w:hAnsi="Arial" w:cs="Arial"/>
                <w:bCs/>
                <w:sz w:val="22"/>
                <w:szCs w:val="22"/>
              </w:rPr>
              <w:instrText xml:space="preserve"> PAGE </w:instrText>
            </w:r>
            <w:r w:rsidRPr="009D67ED">
              <w:rPr>
                <w:rFonts w:ascii="Arial" w:hAnsi="Arial" w:cs="Arial"/>
                <w:bCs/>
                <w:sz w:val="22"/>
                <w:szCs w:val="22"/>
              </w:rPr>
              <w:fldChar w:fldCharType="separate"/>
            </w:r>
            <w:r w:rsidRPr="009D67ED">
              <w:rPr>
                <w:rFonts w:ascii="Arial" w:hAnsi="Arial" w:cs="Arial"/>
                <w:bCs/>
                <w:noProof/>
                <w:sz w:val="22"/>
                <w:szCs w:val="22"/>
              </w:rPr>
              <w:t>2</w:t>
            </w:r>
            <w:r w:rsidRPr="009D67ED">
              <w:rPr>
                <w:rFonts w:ascii="Arial" w:hAnsi="Arial" w:cs="Arial"/>
                <w:bCs/>
                <w:sz w:val="22"/>
                <w:szCs w:val="22"/>
              </w:rPr>
              <w:fldChar w:fldCharType="end"/>
            </w:r>
            <w:r w:rsidRPr="009D67ED">
              <w:rPr>
                <w:rFonts w:ascii="Arial" w:hAnsi="Arial" w:cs="Arial"/>
                <w:sz w:val="22"/>
                <w:szCs w:val="22"/>
              </w:rPr>
              <w:t xml:space="preserve"> of </w:t>
            </w:r>
            <w:r>
              <w:rPr>
                <w:rFonts w:ascii="Arial" w:hAnsi="Arial" w:cs="Arial"/>
                <w:bCs/>
                <w:sz w:val="22"/>
                <w:szCs w:val="22"/>
              </w:rPr>
              <w:t>2</w:t>
            </w:r>
          </w:p>
        </w:sdtContent>
      </w:sdt>
    </w:sdtContent>
  </w:sdt>
  <w:p w14:paraId="5069B5DD" w14:textId="77777777" w:rsidR="00B14A9E" w:rsidRDefault="00B14A9E" w:rsidP="004F54F9">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4998" w14:textId="77777777" w:rsidR="009D67ED" w:rsidRPr="002E1FB8" w:rsidRDefault="009D67ED" w:rsidP="00407F60">
    <w:pPr>
      <w:pStyle w:val="Footer"/>
      <w:framePr w:wrap="around" w:vAnchor="text" w:hAnchor="margin" w:xAlign="right" w:y="1"/>
      <w:rPr>
        <w:rStyle w:val="PageNumber"/>
      </w:rPr>
    </w:pPr>
    <w:r w:rsidRPr="002E1FB8">
      <w:rPr>
        <w:rStyle w:val="PageNumber"/>
      </w:rPr>
      <w:t xml:space="preserve">APS 310 - </w:t>
    </w:r>
    <w:r w:rsidRPr="002E1FB8">
      <w:rPr>
        <w:rStyle w:val="PageNumber"/>
      </w:rPr>
      <w:fldChar w:fldCharType="begin"/>
    </w:r>
    <w:r w:rsidRPr="002E1FB8">
      <w:rPr>
        <w:rStyle w:val="PageNumber"/>
      </w:rPr>
      <w:instrText xml:space="preserve">PAGE  </w:instrText>
    </w:r>
    <w:r w:rsidRPr="002E1FB8">
      <w:rPr>
        <w:rStyle w:val="PageNumber"/>
      </w:rPr>
      <w:fldChar w:fldCharType="separate"/>
    </w:r>
    <w:r>
      <w:rPr>
        <w:rStyle w:val="PageNumber"/>
        <w:noProof/>
      </w:rPr>
      <w:t>3</w:t>
    </w:r>
    <w:r w:rsidRPr="002E1FB8">
      <w:rPr>
        <w:rStyle w:val="PageNumber"/>
      </w:rPr>
      <w:fldChar w:fldCharType="end"/>
    </w:r>
  </w:p>
  <w:p w14:paraId="608E2DA0" w14:textId="77777777" w:rsidR="009D67ED" w:rsidRDefault="009D67ED" w:rsidP="004F54F9">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C393C" w14:textId="77777777" w:rsidR="009D67ED" w:rsidRDefault="009D67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62DB" w14:textId="77777777" w:rsidR="00864BD9" w:rsidRPr="002E1FB8" w:rsidRDefault="00864BD9" w:rsidP="00407F60">
    <w:pPr>
      <w:pStyle w:val="Footer"/>
      <w:framePr w:wrap="around" w:vAnchor="text" w:hAnchor="margin" w:xAlign="right" w:y="1"/>
      <w:rPr>
        <w:rStyle w:val="PageNumber"/>
      </w:rPr>
    </w:pPr>
    <w:r w:rsidRPr="002E1FB8">
      <w:rPr>
        <w:rStyle w:val="PageNumber"/>
      </w:rPr>
      <w:t xml:space="preserve">APS 310 Attachment A - </w:t>
    </w:r>
    <w:r w:rsidRPr="002E1FB8">
      <w:rPr>
        <w:rStyle w:val="PageNumber"/>
      </w:rPr>
      <w:fldChar w:fldCharType="begin"/>
    </w:r>
    <w:r w:rsidRPr="002E1FB8">
      <w:rPr>
        <w:rStyle w:val="PageNumber"/>
      </w:rPr>
      <w:instrText xml:space="preserve">PAGE  </w:instrText>
    </w:r>
    <w:r w:rsidRPr="002E1FB8">
      <w:rPr>
        <w:rStyle w:val="PageNumber"/>
      </w:rPr>
      <w:fldChar w:fldCharType="separate"/>
    </w:r>
    <w:r w:rsidR="009B2E8A">
      <w:rPr>
        <w:rStyle w:val="PageNumber"/>
        <w:noProof/>
      </w:rPr>
      <w:t>13</w:t>
    </w:r>
    <w:r w:rsidRPr="002E1FB8">
      <w:rPr>
        <w:rStyle w:val="PageNumber"/>
      </w:rPr>
      <w:fldChar w:fldCharType="end"/>
    </w:r>
  </w:p>
  <w:p w14:paraId="1D1E4DB8" w14:textId="77777777" w:rsidR="00864BD9" w:rsidRDefault="00864BD9" w:rsidP="004F54F9">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4FA5F" w14:textId="77777777" w:rsidR="00864BD9" w:rsidRPr="00884876" w:rsidRDefault="00864BD9" w:rsidP="00D030F0">
      <w:r>
        <w:separator/>
      </w:r>
    </w:p>
  </w:footnote>
  <w:footnote w:type="continuationSeparator" w:id="0">
    <w:p w14:paraId="37B34FCA" w14:textId="77777777" w:rsidR="00864BD9" w:rsidRDefault="00864BD9" w:rsidP="005C75EC">
      <w:r>
        <w:continuationSeparator/>
      </w:r>
    </w:p>
  </w:footnote>
  <w:footnote w:type="continuationNotice" w:id="1">
    <w:p w14:paraId="6CA3FB54" w14:textId="77777777" w:rsidR="006A2AA5" w:rsidRDefault="006A2AA5"/>
  </w:footnote>
  <w:footnote w:id="2">
    <w:p w14:paraId="57BBF455" w14:textId="0EC2161F" w:rsidR="00864BD9" w:rsidRPr="00313453" w:rsidRDefault="00864BD9" w:rsidP="00313453">
      <w:pPr>
        <w:pStyle w:val="BodyText2"/>
        <w:spacing w:after="120" w:line="240" w:lineRule="auto"/>
        <w:jc w:val="both"/>
        <w:rPr>
          <w:color w:val="FF0000"/>
          <w:sz w:val="24"/>
          <w:szCs w:val="24"/>
        </w:rPr>
      </w:pPr>
      <w:r w:rsidRPr="00BE0A66">
        <w:rPr>
          <w:rStyle w:val="FootnoteReference"/>
          <w:sz w:val="20"/>
        </w:rPr>
        <w:footnoteRef/>
      </w:r>
      <w:r>
        <w:t xml:space="preserve"> </w:t>
      </w:r>
      <w:r w:rsidRPr="00BE0A66">
        <w:rPr>
          <w:color w:val="000000" w:themeColor="text1"/>
          <w:sz w:val="20"/>
        </w:rPr>
        <w:t>A reference to a Reporting Standard includes any reporting form and instructions that form part of the Reporting Standard.</w:t>
      </w:r>
    </w:p>
  </w:footnote>
  <w:footnote w:id="3">
    <w:p w14:paraId="1070F99A" w14:textId="77777777" w:rsidR="00864BD9" w:rsidRDefault="00864BD9" w:rsidP="008365AD">
      <w:pPr>
        <w:pStyle w:val="FootnoteText"/>
        <w:ind w:left="567" w:hanging="567"/>
      </w:pPr>
      <w:r>
        <w:rPr>
          <w:rStyle w:val="FootnoteReference"/>
        </w:rPr>
        <w:footnoteRef/>
      </w:r>
      <w:r>
        <w:t xml:space="preserve"> </w:t>
      </w:r>
      <w:r>
        <w:tab/>
        <w:t>Refer to section 11AF(2) of the Banking Act.</w:t>
      </w:r>
    </w:p>
  </w:footnote>
  <w:footnote w:id="4">
    <w:p w14:paraId="03041F34" w14:textId="77777777" w:rsidR="00864BD9" w:rsidRDefault="00864BD9" w:rsidP="003B58F5">
      <w:pPr>
        <w:pStyle w:val="FootnoteText"/>
        <w:ind w:left="567" w:hanging="567"/>
      </w:pPr>
      <w:r>
        <w:rPr>
          <w:rStyle w:val="FootnoteReference"/>
        </w:rPr>
        <w:footnoteRef/>
      </w:r>
      <w:r>
        <w:t xml:space="preserve"> </w:t>
      </w:r>
      <w:r>
        <w:tab/>
        <w:t xml:space="preserve">For non-disclosing entities the relevant </w:t>
      </w:r>
      <w:r w:rsidRPr="00DC53AD">
        <w:t>period is four months</w:t>
      </w:r>
      <w:r>
        <w:t>.</w:t>
      </w:r>
    </w:p>
  </w:footnote>
  <w:footnote w:id="5">
    <w:p w14:paraId="502DC018" w14:textId="77777777" w:rsidR="00864BD9" w:rsidRDefault="00864BD9" w:rsidP="003B58F5">
      <w:pPr>
        <w:pStyle w:val="FootnoteText"/>
        <w:ind w:left="567" w:hanging="567"/>
      </w:pPr>
      <w:r>
        <w:rPr>
          <w:rStyle w:val="FootnoteReference"/>
        </w:rPr>
        <w:footnoteRef/>
      </w:r>
      <w:r>
        <w:t xml:space="preserve"> </w:t>
      </w:r>
      <w:r>
        <w:tab/>
        <w:t>With respect to any matters of non-compliance, an appointed auditor should note section 16BA of the Act requires the auditor to immediately notify APRA of certain matters and to notify APRA as soon as practicable about certain other matters.</w:t>
      </w:r>
    </w:p>
  </w:footnote>
  <w:footnote w:id="6">
    <w:p w14:paraId="1D0503AB" w14:textId="6EB6BD01" w:rsidR="00F21E21" w:rsidRPr="00BE5AF4" w:rsidRDefault="00F21E21">
      <w:pPr>
        <w:pStyle w:val="FootnoteText"/>
      </w:pPr>
      <w:r>
        <w:rPr>
          <w:rStyle w:val="FootnoteReference"/>
        </w:rPr>
        <w:footnoteRef/>
      </w:r>
      <w:r>
        <w:t xml:space="preserve"> </w:t>
      </w:r>
      <w:r w:rsidRPr="00462A68">
        <w:t xml:space="preserve">The APRA ADI reporting forms are part of Reporting Standards determined by APRA in writing under section 13 of the </w:t>
      </w:r>
      <w:r w:rsidRPr="00462A68">
        <w:rPr>
          <w:i/>
        </w:rPr>
        <w:t>Financial Sector (Collection of Data) Act 2001</w:t>
      </w:r>
      <w:r w:rsidRPr="00462A68">
        <w:t>.</w:t>
      </w:r>
    </w:p>
  </w:footnote>
  <w:footnote w:id="7">
    <w:p w14:paraId="36AAB739" w14:textId="396B5D2D" w:rsidR="002A49B0" w:rsidRDefault="002A49B0">
      <w:pPr>
        <w:pStyle w:val="FootnoteText"/>
      </w:pPr>
      <w:r>
        <w:rPr>
          <w:rStyle w:val="FootnoteReference"/>
        </w:rPr>
        <w:footnoteRef/>
      </w:r>
      <w:r>
        <w:t xml:space="preserve"> </w:t>
      </w:r>
      <w:r w:rsidR="00730FBE">
        <w:t xml:space="preserve">For the avoidance of doubt, audit testing is required only for </w:t>
      </w:r>
      <w:r w:rsidR="00B0724C">
        <w:t xml:space="preserve">Australian incorporated LCR ADIs.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1344D" w14:textId="77777777" w:rsidR="009D67ED" w:rsidRPr="00007631" w:rsidRDefault="009D67ED" w:rsidP="00790547">
    <w:pPr>
      <w:pStyle w:val="Header"/>
      <w:tabs>
        <w:tab w:val="clear" w:pos="4153"/>
        <w:tab w:val="clear" w:pos="8306"/>
      </w:tabs>
      <w:jc w:val="right"/>
    </w:pPr>
    <w:r>
      <w:t>January</w:t>
    </w:r>
    <w:r w:rsidRPr="00007631">
      <w:t xml:space="preserve"> 20</w:t>
    </w:r>
    <w: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397E" w14:textId="77777777" w:rsidR="009D67ED" w:rsidRPr="00007631" w:rsidRDefault="009D67ED" w:rsidP="009D67ED">
    <w:pPr>
      <w:pStyle w:val="Header"/>
      <w:tabs>
        <w:tab w:val="clear" w:pos="4153"/>
        <w:tab w:val="clear" w:pos="8306"/>
      </w:tabs>
      <w:jc w:val="right"/>
    </w:pPr>
    <w:r>
      <w:t>January</w:t>
    </w:r>
    <w:r w:rsidRPr="00007631">
      <w:t xml:space="preserve"> 20</w:t>
    </w:r>
    <w:r>
      <w:t>23</w:t>
    </w:r>
  </w:p>
  <w:p w14:paraId="6D98757E" w14:textId="77777777" w:rsidR="009D67ED" w:rsidRDefault="009D6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ACA50" w14:textId="77777777" w:rsidR="00864BD9" w:rsidRDefault="00864B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C3C3" w14:textId="77777777" w:rsidR="00864BD9" w:rsidRDefault="00864B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CF50" w14:textId="77777777" w:rsidR="00864BD9" w:rsidRDefault="00864BD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41D3" w14:textId="77777777" w:rsidR="00864BD9" w:rsidRDefault="00864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0C6"/>
    <w:multiLevelType w:val="hybridMultilevel"/>
    <w:tmpl w:val="79E84A96"/>
    <w:lvl w:ilvl="0" w:tplc="2D661BFC">
      <w:start w:val="1"/>
      <w:numFmt w:val="lowerRoman"/>
      <w:lvlText w:val="(%1)"/>
      <w:lvlJc w:val="left"/>
      <w:pPr>
        <w:tabs>
          <w:tab w:val="num" w:pos="1701"/>
        </w:tabs>
        <w:ind w:left="1701" w:hanging="56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16463545"/>
    <w:multiLevelType w:val="multilevel"/>
    <w:tmpl w:val="7CA09028"/>
    <w:lvl w:ilvl="0">
      <w:start w:val="1"/>
      <w:numFmt w:val="decimal"/>
      <w:lvlText w:val="%1."/>
      <w:lvlJc w:val="left"/>
      <w:pPr>
        <w:tabs>
          <w:tab w:val="num" w:pos="567"/>
        </w:tabs>
        <w:ind w:left="567" w:hanging="567"/>
      </w:pPr>
      <w:rPr>
        <w:rFonts w:hint="default"/>
        <w:b w:val="0"/>
      </w:rPr>
    </w:lvl>
    <w:lvl w:ilvl="1">
      <w:start w:val="1"/>
      <w:numFmt w:val="lowerLetter"/>
      <w:pStyle w:val="BodyText3"/>
      <w:lvlText w:val="(%2)"/>
      <w:lvlJc w:val="left"/>
      <w:pPr>
        <w:tabs>
          <w:tab w:val="num" w:pos="1134"/>
        </w:tabs>
        <w:ind w:left="1134" w:hanging="567"/>
      </w:pPr>
      <w:rPr>
        <w:rFonts w:hint="default"/>
      </w:rPr>
    </w:lvl>
    <w:lvl w:ilvl="2">
      <w:start w:val="1"/>
      <w:numFmt w:val="lowerRoman"/>
      <w:pStyle w:val="IntroTo"/>
      <w:lvlText w:val="(%3)"/>
      <w:lvlJc w:val="left"/>
      <w:pPr>
        <w:tabs>
          <w:tab w:val="num" w:pos="1701"/>
        </w:tabs>
        <w:ind w:left="1701" w:hanging="567"/>
      </w:pPr>
      <w:rPr>
        <w:rFonts w:hint="default"/>
      </w:rPr>
    </w:lvl>
    <w:lvl w:ilvl="3">
      <w:start w:val="1"/>
      <w:numFmt w:val="upperLetter"/>
      <w:pStyle w:val="CoverUpdate"/>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4618CA"/>
    <w:multiLevelType w:val="hybridMultilevel"/>
    <w:tmpl w:val="8B164C0C"/>
    <w:lvl w:ilvl="0" w:tplc="EF146BC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C7F5F43"/>
    <w:multiLevelType w:val="hybridMultilevel"/>
    <w:tmpl w:val="B52E4F8A"/>
    <w:lvl w:ilvl="0" w:tplc="B84259D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0564463"/>
    <w:multiLevelType w:val="hybridMultilevel"/>
    <w:tmpl w:val="B9F23094"/>
    <w:lvl w:ilvl="0" w:tplc="7BAC099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29281A78"/>
    <w:multiLevelType w:val="hybridMultilevel"/>
    <w:tmpl w:val="17B4CA60"/>
    <w:lvl w:ilvl="0" w:tplc="355EA246">
      <w:start w:val="1"/>
      <w:numFmt w:val="decimal"/>
      <w:pStyle w:val="Note"/>
      <w:lvlText w:val="Note %1"/>
      <w:lvlJc w:val="left"/>
      <w:pPr>
        <w:tabs>
          <w:tab w:val="num" w:pos="794"/>
        </w:tabs>
        <w:ind w:left="0" w:firstLine="0"/>
      </w:pPr>
      <w:rPr>
        <w:rFonts w:hint="default"/>
        <w:b w:val="0"/>
        <w:i/>
      </w:rPr>
    </w:lvl>
    <w:lvl w:ilvl="1" w:tplc="0C09000F">
      <w:start w:val="1"/>
      <w:numFmt w:val="decimal"/>
      <w:lvlText w:val="%2."/>
      <w:lvlJc w:val="left"/>
      <w:pPr>
        <w:tabs>
          <w:tab w:val="num" w:pos="2404"/>
        </w:tabs>
        <w:ind w:left="2404" w:hanging="360"/>
      </w:pPr>
      <w:rPr>
        <w:rFonts w:hint="default"/>
        <w:b w:val="0"/>
        <w:i/>
      </w:rPr>
    </w:lvl>
    <w:lvl w:ilvl="2" w:tplc="0C09001B" w:tentative="1">
      <w:start w:val="1"/>
      <w:numFmt w:val="lowerRoman"/>
      <w:lvlText w:val="%3."/>
      <w:lvlJc w:val="right"/>
      <w:pPr>
        <w:tabs>
          <w:tab w:val="num" w:pos="3124"/>
        </w:tabs>
        <w:ind w:left="3124" w:hanging="180"/>
      </w:pPr>
    </w:lvl>
    <w:lvl w:ilvl="3" w:tplc="0C09000F" w:tentative="1">
      <w:start w:val="1"/>
      <w:numFmt w:val="decimal"/>
      <w:lvlText w:val="%4."/>
      <w:lvlJc w:val="left"/>
      <w:pPr>
        <w:tabs>
          <w:tab w:val="num" w:pos="3844"/>
        </w:tabs>
        <w:ind w:left="3844" w:hanging="360"/>
      </w:pPr>
    </w:lvl>
    <w:lvl w:ilvl="4" w:tplc="0C090019" w:tentative="1">
      <w:start w:val="1"/>
      <w:numFmt w:val="lowerLetter"/>
      <w:lvlText w:val="%5."/>
      <w:lvlJc w:val="left"/>
      <w:pPr>
        <w:tabs>
          <w:tab w:val="num" w:pos="4564"/>
        </w:tabs>
        <w:ind w:left="4564" w:hanging="360"/>
      </w:pPr>
    </w:lvl>
    <w:lvl w:ilvl="5" w:tplc="0C09001B" w:tentative="1">
      <w:start w:val="1"/>
      <w:numFmt w:val="lowerRoman"/>
      <w:lvlText w:val="%6."/>
      <w:lvlJc w:val="right"/>
      <w:pPr>
        <w:tabs>
          <w:tab w:val="num" w:pos="5284"/>
        </w:tabs>
        <w:ind w:left="5284" w:hanging="180"/>
      </w:pPr>
    </w:lvl>
    <w:lvl w:ilvl="6" w:tplc="0C09000F" w:tentative="1">
      <w:start w:val="1"/>
      <w:numFmt w:val="decimal"/>
      <w:lvlText w:val="%7."/>
      <w:lvlJc w:val="left"/>
      <w:pPr>
        <w:tabs>
          <w:tab w:val="num" w:pos="6004"/>
        </w:tabs>
        <w:ind w:left="6004" w:hanging="360"/>
      </w:pPr>
    </w:lvl>
    <w:lvl w:ilvl="7" w:tplc="0C090019" w:tentative="1">
      <w:start w:val="1"/>
      <w:numFmt w:val="lowerLetter"/>
      <w:lvlText w:val="%8."/>
      <w:lvlJc w:val="left"/>
      <w:pPr>
        <w:tabs>
          <w:tab w:val="num" w:pos="6724"/>
        </w:tabs>
        <w:ind w:left="6724" w:hanging="360"/>
      </w:pPr>
    </w:lvl>
    <w:lvl w:ilvl="8" w:tplc="0C09001B" w:tentative="1">
      <w:start w:val="1"/>
      <w:numFmt w:val="lowerRoman"/>
      <w:lvlText w:val="%9."/>
      <w:lvlJc w:val="right"/>
      <w:pPr>
        <w:tabs>
          <w:tab w:val="num" w:pos="7444"/>
        </w:tabs>
        <w:ind w:left="7444" w:hanging="180"/>
      </w:pPr>
    </w:lvl>
  </w:abstractNum>
  <w:abstractNum w:abstractNumId="6" w15:restartNumberingAfterBreak="0">
    <w:nsid w:val="2C601FCF"/>
    <w:multiLevelType w:val="hybridMultilevel"/>
    <w:tmpl w:val="11B2208C"/>
    <w:lvl w:ilvl="0" w:tplc="B84259D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2E3B4E85"/>
    <w:multiLevelType w:val="hybridMultilevel"/>
    <w:tmpl w:val="284E7F6E"/>
    <w:lvl w:ilvl="0" w:tplc="B84259D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0486BC4"/>
    <w:multiLevelType w:val="hybridMultilevel"/>
    <w:tmpl w:val="38C41AEE"/>
    <w:lvl w:ilvl="0" w:tplc="D71CFBF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3A631727"/>
    <w:multiLevelType w:val="hybridMultilevel"/>
    <w:tmpl w:val="B3E6EEE0"/>
    <w:lvl w:ilvl="0" w:tplc="9236C012">
      <w:start w:val="1"/>
      <w:numFmt w:val="lowerLetter"/>
      <w:lvlText w:val="(%1)"/>
      <w:lvlJc w:val="left"/>
      <w:pPr>
        <w:tabs>
          <w:tab w:val="num" w:pos="720"/>
        </w:tabs>
        <w:ind w:left="720" w:hanging="360"/>
      </w:pPr>
      <w:rPr>
        <w:rFonts w:hint="default"/>
      </w:rPr>
    </w:lvl>
    <w:lvl w:ilvl="1" w:tplc="0C09000F">
      <w:start w:val="1"/>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FE16EBE"/>
    <w:multiLevelType w:val="hybridMultilevel"/>
    <w:tmpl w:val="655CF580"/>
    <w:lvl w:ilvl="0" w:tplc="D71CFBF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489C53DA"/>
    <w:multiLevelType w:val="hybridMultilevel"/>
    <w:tmpl w:val="C1C67162"/>
    <w:lvl w:ilvl="0" w:tplc="29D09B68">
      <w:start w:val="1"/>
      <w:numFmt w:val="decimal"/>
      <w:lvlText w:val="%1."/>
      <w:lvlJc w:val="left"/>
      <w:pPr>
        <w:tabs>
          <w:tab w:val="num" w:pos="2007"/>
        </w:tabs>
        <w:ind w:left="2007" w:hanging="567"/>
      </w:pPr>
      <w:rPr>
        <w:rFonts w:ascii="Times New Roman" w:hAnsi="Times New Roman" w:cs="Times New Roman" w:hint="default"/>
        <w:b w:val="0"/>
      </w:rPr>
    </w:lvl>
    <w:lvl w:ilvl="1" w:tplc="0C090019">
      <w:start w:val="1"/>
      <w:numFmt w:val="lowerLetter"/>
      <w:lvlText w:val="%2."/>
      <w:lvlJc w:val="left"/>
      <w:pPr>
        <w:tabs>
          <w:tab w:val="num" w:pos="1980"/>
        </w:tabs>
        <w:ind w:left="1980" w:hanging="360"/>
      </w:pPr>
    </w:lvl>
    <w:lvl w:ilvl="2" w:tplc="0C09001B" w:tentative="1">
      <w:start w:val="1"/>
      <w:numFmt w:val="lowerRoman"/>
      <w:lvlText w:val="%3."/>
      <w:lvlJc w:val="right"/>
      <w:pPr>
        <w:tabs>
          <w:tab w:val="num" w:pos="2700"/>
        </w:tabs>
        <w:ind w:left="2700" w:hanging="180"/>
      </w:pPr>
    </w:lvl>
    <w:lvl w:ilvl="3" w:tplc="0C09000F" w:tentative="1">
      <w:start w:val="1"/>
      <w:numFmt w:val="decimal"/>
      <w:lvlText w:val="%4."/>
      <w:lvlJc w:val="left"/>
      <w:pPr>
        <w:tabs>
          <w:tab w:val="num" w:pos="3420"/>
        </w:tabs>
        <w:ind w:left="3420" w:hanging="360"/>
      </w:pPr>
    </w:lvl>
    <w:lvl w:ilvl="4" w:tplc="0C090019" w:tentative="1">
      <w:start w:val="1"/>
      <w:numFmt w:val="lowerLetter"/>
      <w:lvlText w:val="%5."/>
      <w:lvlJc w:val="left"/>
      <w:pPr>
        <w:tabs>
          <w:tab w:val="num" w:pos="4140"/>
        </w:tabs>
        <w:ind w:left="4140" w:hanging="360"/>
      </w:pPr>
    </w:lvl>
    <w:lvl w:ilvl="5" w:tplc="0C09001B" w:tentative="1">
      <w:start w:val="1"/>
      <w:numFmt w:val="lowerRoman"/>
      <w:lvlText w:val="%6."/>
      <w:lvlJc w:val="right"/>
      <w:pPr>
        <w:tabs>
          <w:tab w:val="num" w:pos="4860"/>
        </w:tabs>
        <w:ind w:left="4860" w:hanging="180"/>
      </w:pPr>
    </w:lvl>
    <w:lvl w:ilvl="6" w:tplc="0C09000F" w:tentative="1">
      <w:start w:val="1"/>
      <w:numFmt w:val="decimal"/>
      <w:lvlText w:val="%7."/>
      <w:lvlJc w:val="left"/>
      <w:pPr>
        <w:tabs>
          <w:tab w:val="num" w:pos="5580"/>
        </w:tabs>
        <w:ind w:left="5580" w:hanging="360"/>
      </w:pPr>
    </w:lvl>
    <w:lvl w:ilvl="7" w:tplc="0C090019" w:tentative="1">
      <w:start w:val="1"/>
      <w:numFmt w:val="lowerLetter"/>
      <w:lvlText w:val="%8."/>
      <w:lvlJc w:val="left"/>
      <w:pPr>
        <w:tabs>
          <w:tab w:val="num" w:pos="6300"/>
        </w:tabs>
        <w:ind w:left="6300" w:hanging="360"/>
      </w:pPr>
    </w:lvl>
    <w:lvl w:ilvl="8" w:tplc="0C09001B" w:tentative="1">
      <w:start w:val="1"/>
      <w:numFmt w:val="lowerRoman"/>
      <w:lvlText w:val="%9."/>
      <w:lvlJc w:val="right"/>
      <w:pPr>
        <w:tabs>
          <w:tab w:val="num" w:pos="7020"/>
        </w:tabs>
        <w:ind w:left="7020" w:hanging="180"/>
      </w:pPr>
    </w:lvl>
  </w:abstractNum>
  <w:abstractNum w:abstractNumId="12" w15:restartNumberingAfterBreak="0">
    <w:nsid w:val="4E217A82"/>
    <w:multiLevelType w:val="hybridMultilevel"/>
    <w:tmpl w:val="17463CE6"/>
    <w:lvl w:ilvl="0" w:tplc="A33A8938">
      <w:start w:val="1"/>
      <w:numFmt w:val="lowerLetter"/>
      <w:lvlText w:val="(%1)"/>
      <w:lvlJc w:val="left"/>
      <w:pPr>
        <w:tabs>
          <w:tab w:val="num" w:pos="1134"/>
        </w:tabs>
        <w:ind w:left="1134" w:hanging="567"/>
      </w:pPr>
      <w:rPr>
        <w:rFonts w:hint="default"/>
        <w:i w:val="0"/>
        <w:vertAlign w:val="baseli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50730083"/>
    <w:multiLevelType w:val="hybridMultilevel"/>
    <w:tmpl w:val="2B780E3E"/>
    <w:lvl w:ilvl="0" w:tplc="CFA8F4A6">
      <w:start w:val="1"/>
      <w:numFmt w:val="lowerLetter"/>
      <w:lvlText w:val="(%1)"/>
      <w:lvlJc w:val="left"/>
      <w:pPr>
        <w:tabs>
          <w:tab w:val="num" w:pos="1134"/>
        </w:tabs>
        <w:ind w:left="1134" w:hanging="567"/>
      </w:pPr>
      <w:rPr>
        <w:rFonts w:hint="default"/>
        <w:i w:val="0"/>
      </w:rPr>
    </w:lvl>
    <w:lvl w:ilvl="1" w:tplc="7F2AF720">
      <w:start w:val="1"/>
      <w:numFmt w:val="lowerRoman"/>
      <w:lvlText w:val="(%2)"/>
      <w:lvlJc w:val="left"/>
      <w:pPr>
        <w:tabs>
          <w:tab w:val="num" w:pos="1701"/>
        </w:tabs>
        <w:ind w:left="1701" w:hanging="567"/>
      </w:pPr>
      <w:rPr>
        <w:rFonts w:hint="default"/>
        <w:i w:val="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7103D77"/>
    <w:multiLevelType w:val="hybridMultilevel"/>
    <w:tmpl w:val="5F0250B8"/>
    <w:lvl w:ilvl="0" w:tplc="B84259D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5BDA715C"/>
    <w:multiLevelType w:val="hybridMultilevel"/>
    <w:tmpl w:val="38187064"/>
    <w:lvl w:ilvl="0" w:tplc="60B0A44E">
      <w:start w:val="1"/>
      <w:numFmt w:val="bullet"/>
      <w:pStyle w:val="StyleBodyText13ptCharCharChar"/>
      <w:lvlText w:val=""/>
      <w:lvlJc w:val="left"/>
      <w:pPr>
        <w:tabs>
          <w:tab w:val="num" w:pos="720"/>
        </w:tabs>
        <w:ind w:left="720" w:hanging="360"/>
      </w:pPr>
      <w:rPr>
        <w:rFonts w:ascii="Symbol" w:hAnsi="Symbol" w:hint="default"/>
      </w:rPr>
    </w:lvl>
    <w:lvl w:ilvl="1" w:tplc="E264A6F4" w:tentative="1">
      <w:start w:val="1"/>
      <w:numFmt w:val="bullet"/>
      <w:lvlText w:val="o"/>
      <w:lvlJc w:val="left"/>
      <w:pPr>
        <w:tabs>
          <w:tab w:val="num" w:pos="1440"/>
        </w:tabs>
        <w:ind w:left="1440" w:hanging="360"/>
      </w:pPr>
      <w:rPr>
        <w:rFonts w:ascii="Courier New" w:hAnsi="Courier New" w:cs="Courier New" w:hint="default"/>
      </w:rPr>
    </w:lvl>
    <w:lvl w:ilvl="2" w:tplc="7CE612D4" w:tentative="1">
      <w:start w:val="1"/>
      <w:numFmt w:val="bullet"/>
      <w:lvlText w:val=""/>
      <w:lvlJc w:val="left"/>
      <w:pPr>
        <w:tabs>
          <w:tab w:val="num" w:pos="2160"/>
        </w:tabs>
        <w:ind w:left="2160" w:hanging="360"/>
      </w:pPr>
      <w:rPr>
        <w:rFonts w:ascii="Wingdings" w:hAnsi="Wingdings" w:hint="default"/>
      </w:rPr>
    </w:lvl>
    <w:lvl w:ilvl="3" w:tplc="8FA65562" w:tentative="1">
      <w:start w:val="1"/>
      <w:numFmt w:val="bullet"/>
      <w:lvlText w:val=""/>
      <w:lvlJc w:val="left"/>
      <w:pPr>
        <w:tabs>
          <w:tab w:val="num" w:pos="2880"/>
        </w:tabs>
        <w:ind w:left="2880" w:hanging="360"/>
      </w:pPr>
      <w:rPr>
        <w:rFonts w:ascii="Symbol" w:hAnsi="Symbol" w:hint="default"/>
      </w:rPr>
    </w:lvl>
    <w:lvl w:ilvl="4" w:tplc="EDFA29A4" w:tentative="1">
      <w:start w:val="1"/>
      <w:numFmt w:val="bullet"/>
      <w:lvlText w:val="o"/>
      <w:lvlJc w:val="left"/>
      <w:pPr>
        <w:tabs>
          <w:tab w:val="num" w:pos="3600"/>
        </w:tabs>
        <w:ind w:left="3600" w:hanging="360"/>
      </w:pPr>
      <w:rPr>
        <w:rFonts w:ascii="Courier New" w:hAnsi="Courier New" w:cs="Courier New" w:hint="default"/>
      </w:rPr>
    </w:lvl>
    <w:lvl w:ilvl="5" w:tplc="EB5E0C9A" w:tentative="1">
      <w:start w:val="1"/>
      <w:numFmt w:val="bullet"/>
      <w:lvlText w:val=""/>
      <w:lvlJc w:val="left"/>
      <w:pPr>
        <w:tabs>
          <w:tab w:val="num" w:pos="4320"/>
        </w:tabs>
        <w:ind w:left="4320" w:hanging="360"/>
      </w:pPr>
      <w:rPr>
        <w:rFonts w:ascii="Wingdings" w:hAnsi="Wingdings" w:hint="default"/>
      </w:rPr>
    </w:lvl>
    <w:lvl w:ilvl="6" w:tplc="C40EF152" w:tentative="1">
      <w:start w:val="1"/>
      <w:numFmt w:val="bullet"/>
      <w:lvlText w:val=""/>
      <w:lvlJc w:val="left"/>
      <w:pPr>
        <w:tabs>
          <w:tab w:val="num" w:pos="5040"/>
        </w:tabs>
        <w:ind w:left="5040" w:hanging="360"/>
      </w:pPr>
      <w:rPr>
        <w:rFonts w:ascii="Symbol" w:hAnsi="Symbol" w:hint="default"/>
      </w:rPr>
    </w:lvl>
    <w:lvl w:ilvl="7" w:tplc="86A868CA" w:tentative="1">
      <w:start w:val="1"/>
      <w:numFmt w:val="bullet"/>
      <w:lvlText w:val="o"/>
      <w:lvlJc w:val="left"/>
      <w:pPr>
        <w:tabs>
          <w:tab w:val="num" w:pos="5760"/>
        </w:tabs>
        <w:ind w:left="5760" w:hanging="360"/>
      </w:pPr>
      <w:rPr>
        <w:rFonts w:ascii="Courier New" w:hAnsi="Courier New" w:cs="Courier New" w:hint="default"/>
      </w:rPr>
    </w:lvl>
    <w:lvl w:ilvl="8" w:tplc="925C76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C21588"/>
    <w:multiLevelType w:val="singleLevel"/>
    <w:tmpl w:val="8B26B918"/>
    <w:lvl w:ilvl="0">
      <w:start w:val="1"/>
      <w:numFmt w:val="lowerLetter"/>
      <w:pStyle w:val="Normalalpha"/>
      <w:lvlText w:val="(%1)"/>
      <w:lvlJc w:val="left"/>
      <w:pPr>
        <w:tabs>
          <w:tab w:val="num" w:pos="851"/>
        </w:tabs>
        <w:ind w:left="851" w:hanging="567"/>
      </w:pPr>
      <w:rPr>
        <w:rFonts w:hint="default"/>
      </w:rPr>
    </w:lvl>
  </w:abstractNum>
  <w:abstractNum w:abstractNumId="18" w15:restartNumberingAfterBreak="0">
    <w:nsid w:val="740F34FB"/>
    <w:multiLevelType w:val="hybridMultilevel"/>
    <w:tmpl w:val="353E1AFC"/>
    <w:lvl w:ilvl="0" w:tplc="EF146BC0">
      <w:start w:val="1"/>
      <w:numFmt w:val="lowerLetter"/>
      <w:lvlText w:val="(%1)"/>
      <w:lvlJc w:val="left"/>
      <w:pPr>
        <w:tabs>
          <w:tab w:val="num" w:pos="1107"/>
        </w:tabs>
        <w:ind w:left="1107" w:hanging="567"/>
      </w:pPr>
      <w:rPr>
        <w:rFonts w:hint="default"/>
      </w:rPr>
    </w:lvl>
    <w:lvl w:ilvl="1" w:tplc="76AADED6">
      <w:start w:val="1"/>
      <w:numFmt w:val="lowerRoman"/>
      <w:lvlText w:val="(%2)"/>
      <w:lvlJc w:val="left"/>
      <w:pPr>
        <w:tabs>
          <w:tab w:val="num" w:pos="1800"/>
        </w:tabs>
        <w:ind w:left="1800" w:hanging="720"/>
      </w:pPr>
      <w:rPr>
        <w:rFonts w:hint="default"/>
        <w:i w:val="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CBA4D42"/>
    <w:multiLevelType w:val="hybridMultilevel"/>
    <w:tmpl w:val="664CED26"/>
    <w:lvl w:ilvl="0" w:tplc="B84259D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6"/>
  </w:num>
  <w:num w:numId="2">
    <w:abstractNumId w:val="17"/>
  </w:num>
  <w:num w:numId="3">
    <w:abstractNumId w:val="5"/>
  </w:num>
  <w:num w:numId="4">
    <w:abstractNumId w:val="11"/>
  </w:num>
  <w:num w:numId="5">
    <w:abstractNumId w:val="0"/>
  </w:num>
  <w:num w:numId="6">
    <w:abstractNumId w:val="2"/>
  </w:num>
  <w:num w:numId="7">
    <w:abstractNumId w:val="4"/>
  </w:num>
  <w:num w:numId="8">
    <w:abstractNumId w:val="8"/>
  </w:num>
  <w:num w:numId="9">
    <w:abstractNumId w:val="19"/>
  </w:num>
  <w:num w:numId="10">
    <w:abstractNumId w:val="13"/>
  </w:num>
  <w:num w:numId="11">
    <w:abstractNumId w:val="18"/>
  </w:num>
  <w:num w:numId="12">
    <w:abstractNumId w:val="10"/>
  </w:num>
  <w:num w:numId="13">
    <w:abstractNumId w:val="3"/>
  </w:num>
  <w:num w:numId="14">
    <w:abstractNumId w:val="7"/>
  </w:num>
  <w:num w:numId="15">
    <w:abstractNumId w:val="6"/>
  </w:num>
  <w:num w:numId="16">
    <w:abstractNumId w:val="9"/>
  </w:num>
  <w:num w:numId="17">
    <w:abstractNumId w:val="15"/>
  </w:num>
  <w:num w:numId="18">
    <w:abstractNumId w:val="12"/>
  </w:num>
  <w:num w:numId="19">
    <w:abstractNumId w:val="1"/>
  </w:num>
  <w:num w:numId="2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1208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397"/>
    <w:rsid w:val="000001FB"/>
    <w:rsid w:val="000006F1"/>
    <w:rsid w:val="00000701"/>
    <w:rsid w:val="000012C6"/>
    <w:rsid w:val="00001549"/>
    <w:rsid w:val="00002BBA"/>
    <w:rsid w:val="00002DED"/>
    <w:rsid w:val="000060A6"/>
    <w:rsid w:val="0000632B"/>
    <w:rsid w:val="00006C44"/>
    <w:rsid w:val="0000788B"/>
    <w:rsid w:val="00012B53"/>
    <w:rsid w:val="00013145"/>
    <w:rsid w:val="000132B6"/>
    <w:rsid w:val="00015B46"/>
    <w:rsid w:val="00020320"/>
    <w:rsid w:val="00023911"/>
    <w:rsid w:val="00026BE5"/>
    <w:rsid w:val="00027AAE"/>
    <w:rsid w:val="000316AF"/>
    <w:rsid w:val="000343F8"/>
    <w:rsid w:val="00034A91"/>
    <w:rsid w:val="00035AC2"/>
    <w:rsid w:val="00036665"/>
    <w:rsid w:val="0004116C"/>
    <w:rsid w:val="00041ACD"/>
    <w:rsid w:val="00041B0A"/>
    <w:rsid w:val="00043219"/>
    <w:rsid w:val="00044189"/>
    <w:rsid w:val="00044FC1"/>
    <w:rsid w:val="000453FA"/>
    <w:rsid w:val="0004585B"/>
    <w:rsid w:val="000463E6"/>
    <w:rsid w:val="0004693D"/>
    <w:rsid w:val="00050EEA"/>
    <w:rsid w:val="0005299A"/>
    <w:rsid w:val="00052CE2"/>
    <w:rsid w:val="00052DDA"/>
    <w:rsid w:val="00052FED"/>
    <w:rsid w:val="00054D40"/>
    <w:rsid w:val="000559CE"/>
    <w:rsid w:val="000564A0"/>
    <w:rsid w:val="00060092"/>
    <w:rsid w:val="00060B40"/>
    <w:rsid w:val="00062A8C"/>
    <w:rsid w:val="00063D43"/>
    <w:rsid w:val="00064F01"/>
    <w:rsid w:val="00072360"/>
    <w:rsid w:val="000735F1"/>
    <w:rsid w:val="00074598"/>
    <w:rsid w:val="0007476D"/>
    <w:rsid w:val="00074B33"/>
    <w:rsid w:val="00075C51"/>
    <w:rsid w:val="00075D8A"/>
    <w:rsid w:val="00076BF1"/>
    <w:rsid w:val="000811F2"/>
    <w:rsid w:val="00081477"/>
    <w:rsid w:val="00081DE5"/>
    <w:rsid w:val="00084DA4"/>
    <w:rsid w:val="00085993"/>
    <w:rsid w:val="00090ABD"/>
    <w:rsid w:val="00090D91"/>
    <w:rsid w:val="000929A0"/>
    <w:rsid w:val="00093422"/>
    <w:rsid w:val="00093D0A"/>
    <w:rsid w:val="000947EF"/>
    <w:rsid w:val="000953F8"/>
    <w:rsid w:val="0009748E"/>
    <w:rsid w:val="00097C2D"/>
    <w:rsid w:val="000A057B"/>
    <w:rsid w:val="000A0ADF"/>
    <w:rsid w:val="000A1DD9"/>
    <w:rsid w:val="000A372D"/>
    <w:rsid w:val="000A3D56"/>
    <w:rsid w:val="000A5627"/>
    <w:rsid w:val="000B0DB6"/>
    <w:rsid w:val="000B3D72"/>
    <w:rsid w:val="000B7BC7"/>
    <w:rsid w:val="000C1060"/>
    <w:rsid w:val="000C30A6"/>
    <w:rsid w:val="000C3D12"/>
    <w:rsid w:val="000C58C7"/>
    <w:rsid w:val="000C5D42"/>
    <w:rsid w:val="000D143B"/>
    <w:rsid w:val="000D16CB"/>
    <w:rsid w:val="000D1F51"/>
    <w:rsid w:val="000D2533"/>
    <w:rsid w:val="000D2FE8"/>
    <w:rsid w:val="000D3829"/>
    <w:rsid w:val="000D414F"/>
    <w:rsid w:val="000D534B"/>
    <w:rsid w:val="000D5351"/>
    <w:rsid w:val="000D6CB2"/>
    <w:rsid w:val="000E41A0"/>
    <w:rsid w:val="000E5DB9"/>
    <w:rsid w:val="000F3CC3"/>
    <w:rsid w:val="000F5987"/>
    <w:rsid w:val="000F70B9"/>
    <w:rsid w:val="000F72E5"/>
    <w:rsid w:val="0010058F"/>
    <w:rsid w:val="001025AA"/>
    <w:rsid w:val="00103CB3"/>
    <w:rsid w:val="00103E78"/>
    <w:rsid w:val="00107326"/>
    <w:rsid w:val="001101CD"/>
    <w:rsid w:val="00110AE1"/>
    <w:rsid w:val="001133C8"/>
    <w:rsid w:val="00114DF9"/>
    <w:rsid w:val="00115597"/>
    <w:rsid w:val="001226F8"/>
    <w:rsid w:val="00122E93"/>
    <w:rsid w:val="00123776"/>
    <w:rsid w:val="0012630B"/>
    <w:rsid w:val="00126C4F"/>
    <w:rsid w:val="00127D37"/>
    <w:rsid w:val="0013248D"/>
    <w:rsid w:val="001328F1"/>
    <w:rsid w:val="00135A0C"/>
    <w:rsid w:val="00140617"/>
    <w:rsid w:val="00140C04"/>
    <w:rsid w:val="00144279"/>
    <w:rsid w:val="00145A5E"/>
    <w:rsid w:val="00146D87"/>
    <w:rsid w:val="00147246"/>
    <w:rsid w:val="00150365"/>
    <w:rsid w:val="0015189A"/>
    <w:rsid w:val="00151A02"/>
    <w:rsid w:val="00152C6E"/>
    <w:rsid w:val="00152CAE"/>
    <w:rsid w:val="00153627"/>
    <w:rsid w:val="00154066"/>
    <w:rsid w:val="00156B45"/>
    <w:rsid w:val="00156BD5"/>
    <w:rsid w:val="00164EA6"/>
    <w:rsid w:val="0016715F"/>
    <w:rsid w:val="001676AD"/>
    <w:rsid w:val="00167837"/>
    <w:rsid w:val="001700D8"/>
    <w:rsid w:val="00172A95"/>
    <w:rsid w:val="001743B7"/>
    <w:rsid w:val="00174779"/>
    <w:rsid w:val="001754E9"/>
    <w:rsid w:val="0017595E"/>
    <w:rsid w:val="00177C94"/>
    <w:rsid w:val="001813C8"/>
    <w:rsid w:val="00182113"/>
    <w:rsid w:val="00182132"/>
    <w:rsid w:val="0018316D"/>
    <w:rsid w:val="00185779"/>
    <w:rsid w:val="00186B13"/>
    <w:rsid w:val="00190370"/>
    <w:rsid w:val="00194E8A"/>
    <w:rsid w:val="00195001"/>
    <w:rsid w:val="0019558B"/>
    <w:rsid w:val="001A17D3"/>
    <w:rsid w:val="001A1F36"/>
    <w:rsid w:val="001A2581"/>
    <w:rsid w:val="001A25D3"/>
    <w:rsid w:val="001A32DD"/>
    <w:rsid w:val="001A35EB"/>
    <w:rsid w:val="001A3601"/>
    <w:rsid w:val="001A5508"/>
    <w:rsid w:val="001A5896"/>
    <w:rsid w:val="001B152D"/>
    <w:rsid w:val="001B42E5"/>
    <w:rsid w:val="001B4657"/>
    <w:rsid w:val="001C2836"/>
    <w:rsid w:val="001C3FE1"/>
    <w:rsid w:val="001C6CA9"/>
    <w:rsid w:val="001D4F00"/>
    <w:rsid w:val="001D4F04"/>
    <w:rsid w:val="001E0C0F"/>
    <w:rsid w:val="001E0CC6"/>
    <w:rsid w:val="001E0D8C"/>
    <w:rsid w:val="001E223D"/>
    <w:rsid w:val="001E4B19"/>
    <w:rsid w:val="001E5908"/>
    <w:rsid w:val="001E5D24"/>
    <w:rsid w:val="001E709E"/>
    <w:rsid w:val="001F17D5"/>
    <w:rsid w:val="001F1811"/>
    <w:rsid w:val="001F57FC"/>
    <w:rsid w:val="001F612C"/>
    <w:rsid w:val="001F7F87"/>
    <w:rsid w:val="002005CD"/>
    <w:rsid w:val="002015BA"/>
    <w:rsid w:val="00202158"/>
    <w:rsid w:val="00203BFF"/>
    <w:rsid w:val="0020558E"/>
    <w:rsid w:val="002067B0"/>
    <w:rsid w:val="00206C02"/>
    <w:rsid w:val="0021092D"/>
    <w:rsid w:val="002124DC"/>
    <w:rsid w:val="002154C4"/>
    <w:rsid w:val="00216CDB"/>
    <w:rsid w:val="002170D2"/>
    <w:rsid w:val="00217B7E"/>
    <w:rsid w:val="00223B41"/>
    <w:rsid w:val="00224B39"/>
    <w:rsid w:val="00225450"/>
    <w:rsid w:val="00225601"/>
    <w:rsid w:val="00226237"/>
    <w:rsid w:val="002307A8"/>
    <w:rsid w:val="00232E37"/>
    <w:rsid w:val="002335CE"/>
    <w:rsid w:val="002336EA"/>
    <w:rsid w:val="0023599C"/>
    <w:rsid w:val="00237649"/>
    <w:rsid w:val="00237F6B"/>
    <w:rsid w:val="002422AA"/>
    <w:rsid w:val="00242444"/>
    <w:rsid w:val="002425B5"/>
    <w:rsid w:val="0024443C"/>
    <w:rsid w:val="00244D35"/>
    <w:rsid w:val="00244DB6"/>
    <w:rsid w:val="00245DF1"/>
    <w:rsid w:val="0024660D"/>
    <w:rsid w:val="00247F83"/>
    <w:rsid w:val="00250A16"/>
    <w:rsid w:val="00251CAC"/>
    <w:rsid w:val="00252C26"/>
    <w:rsid w:val="00253735"/>
    <w:rsid w:val="00253B2E"/>
    <w:rsid w:val="0025566A"/>
    <w:rsid w:val="002568A4"/>
    <w:rsid w:val="00256ACD"/>
    <w:rsid w:val="00256EEF"/>
    <w:rsid w:val="00260274"/>
    <w:rsid w:val="0026145C"/>
    <w:rsid w:val="00261A31"/>
    <w:rsid w:val="002621F1"/>
    <w:rsid w:val="00262917"/>
    <w:rsid w:val="00262A95"/>
    <w:rsid w:val="00263C63"/>
    <w:rsid w:val="00266BEB"/>
    <w:rsid w:val="00267725"/>
    <w:rsid w:val="00270267"/>
    <w:rsid w:val="00270BFC"/>
    <w:rsid w:val="00272341"/>
    <w:rsid w:val="002730F6"/>
    <w:rsid w:val="002748F0"/>
    <w:rsid w:val="0027683C"/>
    <w:rsid w:val="0028478B"/>
    <w:rsid w:val="00291BEC"/>
    <w:rsid w:val="00292B90"/>
    <w:rsid w:val="0029394C"/>
    <w:rsid w:val="002A2E9E"/>
    <w:rsid w:val="002A49B0"/>
    <w:rsid w:val="002B07A9"/>
    <w:rsid w:val="002B09F8"/>
    <w:rsid w:val="002B0C05"/>
    <w:rsid w:val="002B0C28"/>
    <w:rsid w:val="002B2F6D"/>
    <w:rsid w:val="002B526C"/>
    <w:rsid w:val="002B74BB"/>
    <w:rsid w:val="002B75AE"/>
    <w:rsid w:val="002C0737"/>
    <w:rsid w:val="002C0B6B"/>
    <w:rsid w:val="002C1154"/>
    <w:rsid w:val="002C2087"/>
    <w:rsid w:val="002C2106"/>
    <w:rsid w:val="002C38D5"/>
    <w:rsid w:val="002C40FE"/>
    <w:rsid w:val="002C4284"/>
    <w:rsid w:val="002C4367"/>
    <w:rsid w:val="002C5BA0"/>
    <w:rsid w:val="002C739B"/>
    <w:rsid w:val="002C7DFC"/>
    <w:rsid w:val="002D0FDF"/>
    <w:rsid w:val="002D1D0F"/>
    <w:rsid w:val="002D2312"/>
    <w:rsid w:val="002D2F1E"/>
    <w:rsid w:val="002E0334"/>
    <w:rsid w:val="002E092C"/>
    <w:rsid w:val="002E1086"/>
    <w:rsid w:val="002E1191"/>
    <w:rsid w:val="002E1FB8"/>
    <w:rsid w:val="002E3466"/>
    <w:rsid w:val="002E74BD"/>
    <w:rsid w:val="002E7AAC"/>
    <w:rsid w:val="002E7DA9"/>
    <w:rsid w:val="002F2BDB"/>
    <w:rsid w:val="002F6713"/>
    <w:rsid w:val="002F6CE1"/>
    <w:rsid w:val="002F7C7E"/>
    <w:rsid w:val="002F7CF3"/>
    <w:rsid w:val="00300D1E"/>
    <w:rsid w:val="0030751E"/>
    <w:rsid w:val="00312DAC"/>
    <w:rsid w:val="00313453"/>
    <w:rsid w:val="00313DBF"/>
    <w:rsid w:val="00313FFB"/>
    <w:rsid w:val="00314D43"/>
    <w:rsid w:val="0031509D"/>
    <w:rsid w:val="00322AFF"/>
    <w:rsid w:val="003239C1"/>
    <w:rsid w:val="00324E19"/>
    <w:rsid w:val="00324ECD"/>
    <w:rsid w:val="00331FA5"/>
    <w:rsid w:val="0033688B"/>
    <w:rsid w:val="00337595"/>
    <w:rsid w:val="0034097F"/>
    <w:rsid w:val="00341AD2"/>
    <w:rsid w:val="00341F48"/>
    <w:rsid w:val="0034212B"/>
    <w:rsid w:val="003426FD"/>
    <w:rsid w:val="003451CA"/>
    <w:rsid w:val="00350389"/>
    <w:rsid w:val="0035047F"/>
    <w:rsid w:val="003508F6"/>
    <w:rsid w:val="00352C5A"/>
    <w:rsid w:val="003532DF"/>
    <w:rsid w:val="00353778"/>
    <w:rsid w:val="003543EE"/>
    <w:rsid w:val="003565E3"/>
    <w:rsid w:val="00356B1D"/>
    <w:rsid w:val="00357563"/>
    <w:rsid w:val="00357B2C"/>
    <w:rsid w:val="00361DCC"/>
    <w:rsid w:val="0036256B"/>
    <w:rsid w:val="003625D5"/>
    <w:rsid w:val="00363046"/>
    <w:rsid w:val="0036504A"/>
    <w:rsid w:val="00367CA1"/>
    <w:rsid w:val="00372169"/>
    <w:rsid w:val="00372A7C"/>
    <w:rsid w:val="00373035"/>
    <w:rsid w:val="003733CD"/>
    <w:rsid w:val="00374BDF"/>
    <w:rsid w:val="00381103"/>
    <w:rsid w:val="0038471A"/>
    <w:rsid w:val="003872FB"/>
    <w:rsid w:val="00390842"/>
    <w:rsid w:val="00391FCB"/>
    <w:rsid w:val="00392081"/>
    <w:rsid w:val="003922E6"/>
    <w:rsid w:val="0039441A"/>
    <w:rsid w:val="00395EC6"/>
    <w:rsid w:val="0039600D"/>
    <w:rsid w:val="003962F0"/>
    <w:rsid w:val="003971DB"/>
    <w:rsid w:val="003A4214"/>
    <w:rsid w:val="003B0050"/>
    <w:rsid w:val="003B11CE"/>
    <w:rsid w:val="003B12CB"/>
    <w:rsid w:val="003B253D"/>
    <w:rsid w:val="003B2F7F"/>
    <w:rsid w:val="003B44B7"/>
    <w:rsid w:val="003B44BB"/>
    <w:rsid w:val="003B471E"/>
    <w:rsid w:val="003B58F5"/>
    <w:rsid w:val="003B5CC4"/>
    <w:rsid w:val="003B6C91"/>
    <w:rsid w:val="003B7D59"/>
    <w:rsid w:val="003C061E"/>
    <w:rsid w:val="003C2175"/>
    <w:rsid w:val="003C3A30"/>
    <w:rsid w:val="003C4060"/>
    <w:rsid w:val="003C4B86"/>
    <w:rsid w:val="003C5301"/>
    <w:rsid w:val="003C5693"/>
    <w:rsid w:val="003C58D8"/>
    <w:rsid w:val="003C5A2D"/>
    <w:rsid w:val="003C5F33"/>
    <w:rsid w:val="003C69B2"/>
    <w:rsid w:val="003C7151"/>
    <w:rsid w:val="003D0144"/>
    <w:rsid w:val="003D1600"/>
    <w:rsid w:val="003D28D9"/>
    <w:rsid w:val="003D3B35"/>
    <w:rsid w:val="003D49C1"/>
    <w:rsid w:val="003E050F"/>
    <w:rsid w:val="003E0CA2"/>
    <w:rsid w:val="003E57F5"/>
    <w:rsid w:val="003E594B"/>
    <w:rsid w:val="003F0C85"/>
    <w:rsid w:val="003F1A33"/>
    <w:rsid w:val="003F4B7F"/>
    <w:rsid w:val="003F64CA"/>
    <w:rsid w:val="003F7010"/>
    <w:rsid w:val="00400BA1"/>
    <w:rsid w:val="00402655"/>
    <w:rsid w:val="00402815"/>
    <w:rsid w:val="00402D88"/>
    <w:rsid w:val="004031D0"/>
    <w:rsid w:val="00407B34"/>
    <w:rsid w:val="00407F60"/>
    <w:rsid w:val="00412268"/>
    <w:rsid w:val="00412722"/>
    <w:rsid w:val="00412AD2"/>
    <w:rsid w:val="00412C6A"/>
    <w:rsid w:val="0041659A"/>
    <w:rsid w:val="00416660"/>
    <w:rsid w:val="00416C8F"/>
    <w:rsid w:val="0041789B"/>
    <w:rsid w:val="004215FA"/>
    <w:rsid w:val="00422F01"/>
    <w:rsid w:val="00424939"/>
    <w:rsid w:val="004250EB"/>
    <w:rsid w:val="00427878"/>
    <w:rsid w:val="00427ABF"/>
    <w:rsid w:val="00427C9B"/>
    <w:rsid w:val="00427E99"/>
    <w:rsid w:val="004336F8"/>
    <w:rsid w:val="0043434F"/>
    <w:rsid w:val="00435466"/>
    <w:rsid w:val="004356E3"/>
    <w:rsid w:val="00440101"/>
    <w:rsid w:val="00440463"/>
    <w:rsid w:val="00443C5C"/>
    <w:rsid w:val="004443DA"/>
    <w:rsid w:val="004444CF"/>
    <w:rsid w:val="004445D9"/>
    <w:rsid w:val="00444F1A"/>
    <w:rsid w:val="004453B2"/>
    <w:rsid w:val="004453D4"/>
    <w:rsid w:val="0044763D"/>
    <w:rsid w:val="0045053A"/>
    <w:rsid w:val="0045299B"/>
    <w:rsid w:val="0045302F"/>
    <w:rsid w:val="004545C7"/>
    <w:rsid w:val="00455F96"/>
    <w:rsid w:val="00456402"/>
    <w:rsid w:val="00457CFC"/>
    <w:rsid w:val="0046059E"/>
    <w:rsid w:val="00462A68"/>
    <w:rsid w:val="00465670"/>
    <w:rsid w:val="004663EC"/>
    <w:rsid w:val="00475E62"/>
    <w:rsid w:val="00477502"/>
    <w:rsid w:val="00477634"/>
    <w:rsid w:val="004829FC"/>
    <w:rsid w:val="00483865"/>
    <w:rsid w:val="00484A58"/>
    <w:rsid w:val="00485D2E"/>
    <w:rsid w:val="00487581"/>
    <w:rsid w:val="0049117E"/>
    <w:rsid w:val="0049309D"/>
    <w:rsid w:val="004937F0"/>
    <w:rsid w:val="00494A66"/>
    <w:rsid w:val="0049575E"/>
    <w:rsid w:val="004A3106"/>
    <w:rsid w:val="004A33FA"/>
    <w:rsid w:val="004A40AC"/>
    <w:rsid w:val="004A4D25"/>
    <w:rsid w:val="004B2E7E"/>
    <w:rsid w:val="004B39B0"/>
    <w:rsid w:val="004B6E00"/>
    <w:rsid w:val="004B75AE"/>
    <w:rsid w:val="004C03E1"/>
    <w:rsid w:val="004C358E"/>
    <w:rsid w:val="004C5E80"/>
    <w:rsid w:val="004C6D50"/>
    <w:rsid w:val="004C72AA"/>
    <w:rsid w:val="004D2C33"/>
    <w:rsid w:val="004D6972"/>
    <w:rsid w:val="004D7462"/>
    <w:rsid w:val="004E228B"/>
    <w:rsid w:val="004E30FD"/>
    <w:rsid w:val="004E3B8F"/>
    <w:rsid w:val="004E4082"/>
    <w:rsid w:val="004E55B8"/>
    <w:rsid w:val="004E65CC"/>
    <w:rsid w:val="004E725B"/>
    <w:rsid w:val="004E7DA3"/>
    <w:rsid w:val="004F11CF"/>
    <w:rsid w:val="004F54F9"/>
    <w:rsid w:val="004F6B92"/>
    <w:rsid w:val="0050064C"/>
    <w:rsid w:val="00501F04"/>
    <w:rsid w:val="0050365A"/>
    <w:rsid w:val="005036C4"/>
    <w:rsid w:val="00511401"/>
    <w:rsid w:val="00514166"/>
    <w:rsid w:val="005141F3"/>
    <w:rsid w:val="0051493E"/>
    <w:rsid w:val="0052058C"/>
    <w:rsid w:val="0052160C"/>
    <w:rsid w:val="00521650"/>
    <w:rsid w:val="00521DDF"/>
    <w:rsid w:val="00522267"/>
    <w:rsid w:val="00524A9E"/>
    <w:rsid w:val="005271E2"/>
    <w:rsid w:val="005279B9"/>
    <w:rsid w:val="00527E5F"/>
    <w:rsid w:val="00531324"/>
    <w:rsid w:val="0053723A"/>
    <w:rsid w:val="005372D9"/>
    <w:rsid w:val="00537E71"/>
    <w:rsid w:val="00540C7C"/>
    <w:rsid w:val="00540D1C"/>
    <w:rsid w:val="00541794"/>
    <w:rsid w:val="00541C52"/>
    <w:rsid w:val="005432DA"/>
    <w:rsid w:val="00543A6D"/>
    <w:rsid w:val="00543D95"/>
    <w:rsid w:val="00544360"/>
    <w:rsid w:val="00544D9B"/>
    <w:rsid w:val="005452A4"/>
    <w:rsid w:val="005453E4"/>
    <w:rsid w:val="005513FA"/>
    <w:rsid w:val="005518BD"/>
    <w:rsid w:val="005530BF"/>
    <w:rsid w:val="005563B5"/>
    <w:rsid w:val="00556B58"/>
    <w:rsid w:val="00557583"/>
    <w:rsid w:val="005603B9"/>
    <w:rsid w:val="00560C5A"/>
    <w:rsid w:val="00560EEF"/>
    <w:rsid w:val="00561618"/>
    <w:rsid w:val="00561C97"/>
    <w:rsid w:val="0056325A"/>
    <w:rsid w:val="00564FCD"/>
    <w:rsid w:val="005650B4"/>
    <w:rsid w:val="00565479"/>
    <w:rsid w:val="0056621E"/>
    <w:rsid w:val="0056777D"/>
    <w:rsid w:val="0057078E"/>
    <w:rsid w:val="00570F7F"/>
    <w:rsid w:val="0057169E"/>
    <w:rsid w:val="0057330B"/>
    <w:rsid w:val="00574729"/>
    <w:rsid w:val="00575342"/>
    <w:rsid w:val="00576A31"/>
    <w:rsid w:val="005777F9"/>
    <w:rsid w:val="0058004F"/>
    <w:rsid w:val="00582C75"/>
    <w:rsid w:val="00584B93"/>
    <w:rsid w:val="00584DC9"/>
    <w:rsid w:val="00586C80"/>
    <w:rsid w:val="00592B8B"/>
    <w:rsid w:val="00592E09"/>
    <w:rsid w:val="00593AA6"/>
    <w:rsid w:val="00594C9D"/>
    <w:rsid w:val="005964C7"/>
    <w:rsid w:val="005A0D43"/>
    <w:rsid w:val="005A0D8F"/>
    <w:rsid w:val="005A2617"/>
    <w:rsid w:val="005A43AB"/>
    <w:rsid w:val="005A459F"/>
    <w:rsid w:val="005A4B24"/>
    <w:rsid w:val="005A51D5"/>
    <w:rsid w:val="005A6218"/>
    <w:rsid w:val="005B0136"/>
    <w:rsid w:val="005B096E"/>
    <w:rsid w:val="005B0DC8"/>
    <w:rsid w:val="005B3875"/>
    <w:rsid w:val="005B3DAE"/>
    <w:rsid w:val="005B4EAB"/>
    <w:rsid w:val="005B60A1"/>
    <w:rsid w:val="005C0B77"/>
    <w:rsid w:val="005C2366"/>
    <w:rsid w:val="005C421E"/>
    <w:rsid w:val="005C495B"/>
    <w:rsid w:val="005C50F5"/>
    <w:rsid w:val="005C652B"/>
    <w:rsid w:val="005C75EC"/>
    <w:rsid w:val="005C7F43"/>
    <w:rsid w:val="005D0F9E"/>
    <w:rsid w:val="005D1573"/>
    <w:rsid w:val="005D157E"/>
    <w:rsid w:val="005D18C0"/>
    <w:rsid w:val="005D3A39"/>
    <w:rsid w:val="005D3B20"/>
    <w:rsid w:val="005D46FD"/>
    <w:rsid w:val="005D76A9"/>
    <w:rsid w:val="005E0B1D"/>
    <w:rsid w:val="005E15F3"/>
    <w:rsid w:val="005E5394"/>
    <w:rsid w:val="005E713F"/>
    <w:rsid w:val="005F1723"/>
    <w:rsid w:val="005F1AD3"/>
    <w:rsid w:val="005F335D"/>
    <w:rsid w:val="005F4134"/>
    <w:rsid w:val="005F450A"/>
    <w:rsid w:val="005F54AC"/>
    <w:rsid w:val="005F648F"/>
    <w:rsid w:val="005F7852"/>
    <w:rsid w:val="00605396"/>
    <w:rsid w:val="00606249"/>
    <w:rsid w:val="00612A85"/>
    <w:rsid w:val="006148E6"/>
    <w:rsid w:val="00616F2B"/>
    <w:rsid w:val="00622ED2"/>
    <w:rsid w:val="006240AF"/>
    <w:rsid w:val="006245E9"/>
    <w:rsid w:val="0062580A"/>
    <w:rsid w:val="00625D6C"/>
    <w:rsid w:val="0062609B"/>
    <w:rsid w:val="00627026"/>
    <w:rsid w:val="00627A56"/>
    <w:rsid w:val="00630801"/>
    <w:rsid w:val="00630A7A"/>
    <w:rsid w:val="00630B04"/>
    <w:rsid w:val="00634F6B"/>
    <w:rsid w:val="00634FF0"/>
    <w:rsid w:val="006355AA"/>
    <w:rsid w:val="0064061C"/>
    <w:rsid w:val="0064193B"/>
    <w:rsid w:val="006419D9"/>
    <w:rsid w:val="00642D6E"/>
    <w:rsid w:val="00644801"/>
    <w:rsid w:val="00647DBB"/>
    <w:rsid w:val="00652397"/>
    <w:rsid w:val="00654BAA"/>
    <w:rsid w:val="006552F8"/>
    <w:rsid w:val="006557B3"/>
    <w:rsid w:val="00655B32"/>
    <w:rsid w:val="0065769D"/>
    <w:rsid w:val="0065791E"/>
    <w:rsid w:val="0066080A"/>
    <w:rsid w:val="00661E15"/>
    <w:rsid w:val="00662A2E"/>
    <w:rsid w:val="0066373B"/>
    <w:rsid w:val="00666C91"/>
    <w:rsid w:val="006745B6"/>
    <w:rsid w:val="00677130"/>
    <w:rsid w:val="0068132E"/>
    <w:rsid w:val="00681AAD"/>
    <w:rsid w:val="00682619"/>
    <w:rsid w:val="006829CB"/>
    <w:rsid w:val="00682B20"/>
    <w:rsid w:val="00683C54"/>
    <w:rsid w:val="00684C1E"/>
    <w:rsid w:val="00684D95"/>
    <w:rsid w:val="00685B87"/>
    <w:rsid w:val="0068708E"/>
    <w:rsid w:val="006902A2"/>
    <w:rsid w:val="00693D49"/>
    <w:rsid w:val="00694B04"/>
    <w:rsid w:val="0069572C"/>
    <w:rsid w:val="00696B1A"/>
    <w:rsid w:val="006A2AA5"/>
    <w:rsid w:val="006A6444"/>
    <w:rsid w:val="006B05A9"/>
    <w:rsid w:val="006B0D4B"/>
    <w:rsid w:val="006B20BB"/>
    <w:rsid w:val="006B268C"/>
    <w:rsid w:val="006B3C1A"/>
    <w:rsid w:val="006B44E5"/>
    <w:rsid w:val="006B6DE8"/>
    <w:rsid w:val="006C222D"/>
    <w:rsid w:val="006C23CD"/>
    <w:rsid w:val="006C3190"/>
    <w:rsid w:val="006C4D3A"/>
    <w:rsid w:val="006C6BF2"/>
    <w:rsid w:val="006D0CCD"/>
    <w:rsid w:val="006D139C"/>
    <w:rsid w:val="006D4D86"/>
    <w:rsid w:val="006D64A2"/>
    <w:rsid w:val="006D7A3A"/>
    <w:rsid w:val="006D7D0B"/>
    <w:rsid w:val="006D7E81"/>
    <w:rsid w:val="006E0DFC"/>
    <w:rsid w:val="006E0E3E"/>
    <w:rsid w:val="006E4488"/>
    <w:rsid w:val="006E6181"/>
    <w:rsid w:val="006E6315"/>
    <w:rsid w:val="006E769C"/>
    <w:rsid w:val="006E771E"/>
    <w:rsid w:val="006F0CFE"/>
    <w:rsid w:val="006F13D9"/>
    <w:rsid w:val="006F2036"/>
    <w:rsid w:val="006F34F2"/>
    <w:rsid w:val="006F47BF"/>
    <w:rsid w:val="006F654A"/>
    <w:rsid w:val="0070419F"/>
    <w:rsid w:val="00704569"/>
    <w:rsid w:val="00705A84"/>
    <w:rsid w:val="00706751"/>
    <w:rsid w:val="00707B6B"/>
    <w:rsid w:val="00710451"/>
    <w:rsid w:val="00712CFC"/>
    <w:rsid w:val="007151D4"/>
    <w:rsid w:val="00715F69"/>
    <w:rsid w:val="00720BE2"/>
    <w:rsid w:val="00720FCE"/>
    <w:rsid w:val="0072195F"/>
    <w:rsid w:val="00723860"/>
    <w:rsid w:val="00723DF3"/>
    <w:rsid w:val="00725C36"/>
    <w:rsid w:val="00730A46"/>
    <w:rsid w:val="00730FBE"/>
    <w:rsid w:val="00731007"/>
    <w:rsid w:val="00731FD9"/>
    <w:rsid w:val="0073263D"/>
    <w:rsid w:val="00732DF4"/>
    <w:rsid w:val="007333B4"/>
    <w:rsid w:val="00733968"/>
    <w:rsid w:val="00734220"/>
    <w:rsid w:val="00734E4F"/>
    <w:rsid w:val="007356E1"/>
    <w:rsid w:val="00736914"/>
    <w:rsid w:val="007415FF"/>
    <w:rsid w:val="00741D70"/>
    <w:rsid w:val="0074503B"/>
    <w:rsid w:val="00746998"/>
    <w:rsid w:val="007475CE"/>
    <w:rsid w:val="0074785E"/>
    <w:rsid w:val="00753F69"/>
    <w:rsid w:val="00761DC6"/>
    <w:rsid w:val="0076327D"/>
    <w:rsid w:val="00765A06"/>
    <w:rsid w:val="00767819"/>
    <w:rsid w:val="0076782A"/>
    <w:rsid w:val="0077310D"/>
    <w:rsid w:val="00774848"/>
    <w:rsid w:val="00775243"/>
    <w:rsid w:val="00775476"/>
    <w:rsid w:val="007758C0"/>
    <w:rsid w:val="00775C85"/>
    <w:rsid w:val="00777196"/>
    <w:rsid w:val="007775D2"/>
    <w:rsid w:val="00777619"/>
    <w:rsid w:val="0078032F"/>
    <w:rsid w:val="007815D5"/>
    <w:rsid w:val="00781863"/>
    <w:rsid w:val="00781AD5"/>
    <w:rsid w:val="00781CB2"/>
    <w:rsid w:val="007824AF"/>
    <w:rsid w:val="007825CF"/>
    <w:rsid w:val="00784DAC"/>
    <w:rsid w:val="00787B1E"/>
    <w:rsid w:val="00790547"/>
    <w:rsid w:val="0079087B"/>
    <w:rsid w:val="007914E9"/>
    <w:rsid w:val="00791CEE"/>
    <w:rsid w:val="00792470"/>
    <w:rsid w:val="00793DBF"/>
    <w:rsid w:val="00795D41"/>
    <w:rsid w:val="00797862"/>
    <w:rsid w:val="007A1B81"/>
    <w:rsid w:val="007A22BC"/>
    <w:rsid w:val="007A3A09"/>
    <w:rsid w:val="007A4A40"/>
    <w:rsid w:val="007A4D37"/>
    <w:rsid w:val="007A63A4"/>
    <w:rsid w:val="007A6F3B"/>
    <w:rsid w:val="007A6F9B"/>
    <w:rsid w:val="007B01E5"/>
    <w:rsid w:val="007B1B91"/>
    <w:rsid w:val="007B23AF"/>
    <w:rsid w:val="007B24D6"/>
    <w:rsid w:val="007B2861"/>
    <w:rsid w:val="007B3B18"/>
    <w:rsid w:val="007B5098"/>
    <w:rsid w:val="007B5D3F"/>
    <w:rsid w:val="007B6E5A"/>
    <w:rsid w:val="007B77AA"/>
    <w:rsid w:val="007C0925"/>
    <w:rsid w:val="007C1AA8"/>
    <w:rsid w:val="007C4539"/>
    <w:rsid w:val="007C55B2"/>
    <w:rsid w:val="007C62D8"/>
    <w:rsid w:val="007D0558"/>
    <w:rsid w:val="007D0AA9"/>
    <w:rsid w:val="007D477C"/>
    <w:rsid w:val="007D5123"/>
    <w:rsid w:val="007D553A"/>
    <w:rsid w:val="007D6CC5"/>
    <w:rsid w:val="007E0EFB"/>
    <w:rsid w:val="007E14F5"/>
    <w:rsid w:val="007E213B"/>
    <w:rsid w:val="007E2269"/>
    <w:rsid w:val="007E28F1"/>
    <w:rsid w:val="007E2E01"/>
    <w:rsid w:val="007E365B"/>
    <w:rsid w:val="007E694D"/>
    <w:rsid w:val="007F03E6"/>
    <w:rsid w:val="007F4802"/>
    <w:rsid w:val="007F5A7C"/>
    <w:rsid w:val="007F6A31"/>
    <w:rsid w:val="007F7E7D"/>
    <w:rsid w:val="00801267"/>
    <w:rsid w:val="00806D50"/>
    <w:rsid w:val="00807353"/>
    <w:rsid w:val="00811D3B"/>
    <w:rsid w:val="008142FE"/>
    <w:rsid w:val="0081503F"/>
    <w:rsid w:val="00820B2C"/>
    <w:rsid w:val="00821069"/>
    <w:rsid w:val="00821266"/>
    <w:rsid w:val="00821E4D"/>
    <w:rsid w:val="0082209B"/>
    <w:rsid w:val="0082214E"/>
    <w:rsid w:val="00823157"/>
    <w:rsid w:val="00823ADD"/>
    <w:rsid w:val="00824FC0"/>
    <w:rsid w:val="00825E0E"/>
    <w:rsid w:val="00830D9C"/>
    <w:rsid w:val="00830E37"/>
    <w:rsid w:val="00833239"/>
    <w:rsid w:val="00834CC2"/>
    <w:rsid w:val="00835D2E"/>
    <w:rsid w:val="008361B8"/>
    <w:rsid w:val="008365AD"/>
    <w:rsid w:val="008367D0"/>
    <w:rsid w:val="00836D32"/>
    <w:rsid w:val="00843AC9"/>
    <w:rsid w:val="008473F7"/>
    <w:rsid w:val="00847615"/>
    <w:rsid w:val="00847D3F"/>
    <w:rsid w:val="00853F76"/>
    <w:rsid w:val="00854640"/>
    <w:rsid w:val="0085496F"/>
    <w:rsid w:val="00855077"/>
    <w:rsid w:val="008564AB"/>
    <w:rsid w:val="00863482"/>
    <w:rsid w:val="00863E37"/>
    <w:rsid w:val="008648B5"/>
    <w:rsid w:val="00864BD9"/>
    <w:rsid w:val="00864D3B"/>
    <w:rsid w:val="00865AD9"/>
    <w:rsid w:val="008666A6"/>
    <w:rsid w:val="00866B10"/>
    <w:rsid w:val="00867D2D"/>
    <w:rsid w:val="008773AA"/>
    <w:rsid w:val="0088097F"/>
    <w:rsid w:val="00884876"/>
    <w:rsid w:val="008868CC"/>
    <w:rsid w:val="00887D80"/>
    <w:rsid w:val="00890A59"/>
    <w:rsid w:val="008922E7"/>
    <w:rsid w:val="0089322D"/>
    <w:rsid w:val="00895857"/>
    <w:rsid w:val="008968BA"/>
    <w:rsid w:val="00897114"/>
    <w:rsid w:val="0089772C"/>
    <w:rsid w:val="008A053E"/>
    <w:rsid w:val="008A07A9"/>
    <w:rsid w:val="008A129A"/>
    <w:rsid w:val="008A1678"/>
    <w:rsid w:val="008A2B39"/>
    <w:rsid w:val="008A3809"/>
    <w:rsid w:val="008A3865"/>
    <w:rsid w:val="008A7A1E"/>
    <w:rsid w:val="008A7C51"/>
    <w:rsid w:val="008B28A2"/>
    <w:rsid w:val="008B4D83"/>
    <w:rsid w:val="008B63A1"/>
    <w:rsid w:val="008B649B"/>
    <w:rsid w:val="008B70F7"/>
    <w:rsid w:val="008B7B5C"/>
    <w:rsid w:val="008C0B42"/>
    <w:rsid w:val="008C0BA8"/>
    <w:rsid w:val="008C0CE1"/>
    <w:rsid w:val="008C2A66"/>
    <w:rsid w:val="008C39B4"/>
    <w:rsid w:val="008C463E"/>
    <w:rsid w:val="008C77DB"/>
    <w:rsid w:val="008C7AFB"/>
    <w:rsid w:val="008D2946"/>
    <w:rsid w:val="008D7252"/>
    <w:rsid w:val="008E0110"/>
    <w:rsid w:val="008E1C1A"/>
    <w:rsid w:val="008E23A4"/>
    <w:rsid w:val="008E23BE"/>
    <w:rsid w:val="008E2DDF"/>
    <w:rsid w:val="008E374E"/>
    <w:rsid w:val="008E38A5"/>
    <w:rsid w:val="008E4B6D"/>
    <w:rsid w:val="008E4F70"/>
    <w:rsid w:val="008E5FDE"/>
    <w:rsid w:val="008E619A"/>
    <w:rsid w:val="008E76B8"/>
    <w:rsid w:val="008F0247"/>
    <w:rsid w:val="008F0E6F"/>
    <w:rsid w:val="008F2CE1"/>
    <w:rsid w:val="008F48D1"/>
    <w:rsid w:val="008F5A47"/>
    <w:rsid w:val="008F61D2"/>
    <w:rsid w:val="008F6C1F"/>
    <w:rsid w:val="008F6D76"/>
    <w:rsid w:val="009018B4"/>
    <w:rsid w:val="00901BB9"/>
    <w:rsid w:val="00901C19"/>
    <w:rsid w:val="009021BE"/>
    <w:rsid w:val="00902C9F"/>
    <w:rsid w:val="00904498"/>
    <w:rsid w:val="009064D0"/>
    <w:rsid w:val="00906FA9"/>
    <w:rsid w:val="00913087"/>
    <w:rsid w:val="00913100"/>
    <w:rsid w:val="00914191"/>
    <w:rsid w:val="0091522F"/>
    <w:rsid w:val="00915753"/>
    <w:rsid w:val="00917C77"/>
    <w:rsid w:val="00920107"/>
    <w:rsid w:val="00921DF5"/>
    <w:rsid w:val="009223A5"/>
    <w:rsid w:val="00922E2D"/>
    <w:rsid w:val="00923CE8"/>
    <w:rsid w:val="00924740"/>
    <w:rsid w:val="00924E22"/>
    <w:rsid w:val="009273E1"/>
    <w:rsid w:val="00931845"/>
    <w:rsid w:val="00931FEB"/>
    <w:rsid w:val="00932924"/>
    <w:rsid w:val="00934366"/>
    <w:rsid w:val="0093762A"/>
    <w:rsid w:val="00940DE2"/>
    <w:rsid w:val="00941A58"/>
    <w:rsid w:val="00941F86"/>
    <w:rsid w:val="009433C1"/>
    <w:rsid w:val="00947B12"/>
    <w:rsid w:val="00947C45"/>
    <w:rsid w:val="009500DA"/>
    <w:rsid w:val="00951CD0"/>
    <w:rsid w:val="00953B2D"/>
    <w:rsid w:val="0095561D"/>
    <w:rsid w:val="00960499"/>
    <w:rsid w:val="00960A77"/>
    <w:rsid w:val="00962026"/>
    <w:rsid w:val="00964AE6"/>
    <w:rsid w:val="00964EAD"/>
    <w:rsid w:val="00965991"/>
    <w:rsid w:val="0096682A"/>
    <w:rsid w:val="00967A88"/>
    <w:rsid w:val="009714D7"/>
    <w:rsid w:val="00972D81"/>
    <w:rsid w:val="009733CD"/>
    <w:rsid w:val="009738A9"/>
    <w:rsid w:val="009756F7"/>
    <w:rsid w:val="0097721B"/>
    <w:rsid w:val="00980269"/>
    <w:rsid w:val="00983A9E"/>
    <w:rsid w:val="00984EA0"/>
    <w:rsid w:val="00985100"/>
    <w:rsid w:val="00985D92"/>
    <w:rsid w:val="009875DF"/>
    <w:rsid w:val="0099013E"/>
    <w:rsid w:val="00991C15"/>
    <w:rsid w:val="009930FC"/>
    <w:rsid w:val="00995366"/>
    <w:rsid w:val="009964BB"/>
    <w:rsid w:val="009964C5"/>
    <w:rsid w:val="00997466"/>
    <w:rsid w:val="009A2079"/>
    <w:rsid w:val="009A20AE"/>
    <w:rsid w:val="009A3800"/>
    <w:rsid w:val="009A4292"/>
    <w:rsid w:val="009A5663"/>
    <w:rsid w:val="009A6A4F"/>
    <w:rsid w:val="009A7029"/>
    <w:rsid w:val="009B1365"/>
    <w:rsid w:val="009B2427"/>
    <w:rsid w:val="009B2E8A"/>
    <w:rsid w:val="009B4622"/>
    <w:rsid w:val="009B4B1E"/>
    <w:rsid w:val="009B4CF1"/>
    <w:rsid w:val="009B5197"/>
    <w:rsid w:val="009B5F68"/>
    <w:rsid w:val="009C1952"/>
    <w:rsid w:val="009C4463"/>
    <w:rsid w:val="009C63EC"/>
    <w:rsid w:val="009C6B8F"/>
    <w:rsid w:val="009D27D2"/>
    <w:rsid w:val="009D3055"/>
    <w:rsid w:val="009D3C4A"/>
    <w:rsid w:val="009D4F3B"/>
    <w:rsid w:val="009D67ED"/>
    <w:rsid w:val="009E05EA"/>
    <w:rsid w:val="009E1A51"/>
    <w:rsid w:val="009E26EB"/>
    <w:rsid w:val="009E5F9B"/>
    <w:rsid w:val="009F1CA8"/>
    <w:rsid w:val="009F352E"/>
    <w:rsid w:val="009F6AEA"/>
    <w:rsid w:val="009F77FE"/>
    <w:rsid w:val="009F7EFD"/>
    <w:rsid w:val="00A00CA1"/>
    <w:rsid w:val="00A0113A"/>
    <w:rsid w:val="00A01A85"/>
    <w:rsid w:val="00A043D5"/>
    <w:rsid w:val="00A058E9"/>
    <w:rsid w:val="00A07CA1"/>
    <w:rsid w:val="00A103F9"/>
    <w:rsid w:val="00A10EDE"/>
    <w:rsid w:val="00A132A9"/>
    <w:rsid w:val="00A15CB6"/>
    <w:rsid w:val="00A167E5"/>
    <w:rsid w:val="00A16B89"/>
    <w:rsid w:val="00A225FD"/>
    <w:rsid w:val="00A24084"/>
    <w:rsid w:val="00A2472D"/>
    <w:rsid w:val="00A26258"/>
    <w:rsid w:val="00A272A3"/>
    <w:rsid w:val="00A318FC"/>
    <w:rsid w:val="00A319E3"/>
    <w:rsid w:val="00A35C65"/>
    <w:rsid w:val="00A40948"/>
    <w:rsid w:val="00A473CA"/>
    <w:rsid w:val="00A50082"/>
    <w:rsid w:val="00A528D5"/>
    <w:rsid w:val="00A5374F"/>
    <w:rsid w:val="00A54858"/>
    <w:rsid w:val="00A5726D"/>
    <w:rsid w:val="00A62810"/>
    <w:rsid w:val="00A63752"/>
    <w:rsid w:val="00A65295"/>
    <w:rsid w:val="00A656BF"/>
    <w:rsid w:val="00A65D12"/>
    <w:rsid w:val="00A6660A"/>
    <w:rsid w:val="00A6787C"/>
    <w:rsid w:val="00A71B63"/>
    <w:rsid w:val="00A72126"/>
    <w:rsid w:val="00A72580"/>
    <w:rsid w:val="00A72A0E"/>
    <w:rsid w:val="00A73BF6"/>
    <w:rsid w:val="00A81740"/>
    <w:rsid w:val="00A8235E"/>
    <w:rsid w:val="00A82729"/>
    <w:rsid w:val="00A82DE0"/>
    <w:rsid w:val="00A8594E"/>
    <w:rsid w:val="00A85F2F"/>
    <w:rsid w:val="00A86BC8"/>
    <w:rsid w:val="00A90648"/>
    <w:rsid w:val="00A935CD"/>
    <w:rsid w:val="00A935D1"/>
    <w:rsid w:val="00A93610"/>
    <w:rsid w:val="00A9493E"/>
    <w:rsid w:val="00A951D6"/>
    <w:rsid w:val="00A954E4"/>
    <w:rsid w:val="00A97948"/>
    <w:rsid w:val="00AA0728"/>
    <w:rsid w:val="00AA1F44"/>
    <w:rsid w:val="00AA4F15"/>
    <w:rsid w:val="00AA5970"/>
    <w:rsid w:val="00AB0573"/>
    <w:rsid w:val="00AB108C"/>
    <w:rsid w:val="00AB36CA"/>
    <w:rsid w:val="00AB7EBB"/>
    <w:rsid w:val="00AC187F"/>
    <w:rsid w:val="00AC1B16"/>
    <w:rsid w:val="00AC2584"/>
    <w:rsid w:val="00AC5988"/>
    <w:rsid w:val="00AC6FA2"/>
    <w:rsid w:val="00AD3A8A"/>
    <w:rsid w:val="00AD4AFC"/>
    <w:rsid w:val="00AD6355"/>
    <w:rsid w:val="00AD6CC6"/>
    <w:rsid w:val="00AD795F"/>
    <w:rsid w:val="00AE052B"/>
    <w:rsid w:val="00AE1426"/>
    <w:rsid w:val="00AE21BA"/>
    <w:rsid w:val="00AE23C0"/>
    <w:rsid w:val="00AE2B66"/>
    <w:rsid w:val="00AE3317"/>
    <w:rsid w:val="00AE4690"/>
    <w:rsid w:val="00AE557C"/>
    <w:rsid w:val="00AE6A96"/>
    <w:rsid w:val="00AE6BCD"/>
    <w:rsid w:val="00AE76D1"/>
    <w:rsid w:val="00AE7FFE"/>
    <w:rsid w:val="00AF0EB2"/>
    <w:rsid w:val="00AF4EE7"/>
    <w:rsid w:val="00AF6437"/>
    <w:rsid w:val="00AF6B49"/>
    <w:rsid w:val="00AF7773"/>
    <w:rsid w:val="00B01759"/>
    <w:rsid w:val="00B017AB"/>
    <w:rsid w:val="00B01BA9"/>
    <w:rsid w:val="00B05B2A"/>
    <w:rsid w:val="00B0724C"/>
    <w:rsid w:val="00B1068F"/>
    <w:rsid w:val="00B10786"/>
    <w:rsid w:val="00B12E05"/>
    <w:rsid w:val="00B13E16"/>
    <w:rsid w:val="00B14A9E"/>
    <w:rsid w:val="00B20B39"/>
    <w:rsid w:val="00B20C63"/>
    <w:rsid w:val="00B22A9C"/>
    <w:rsid w:val="00B24369"/>
    <w:rsid w:val="00B262E5"/>
    <w:rsid w:val="00B2654F"/>
    <w:rsid w:val="00B26900"/>
    <w:rsid w:val="00B30010"/>
    <w:rsid w:val="00B31BBE"/>
    <w:rsid w:val="00B34160"/>
    <w:rsid w:val="00B34F6D"/>
    <w:rsid w:val="00B35473"/>
    <w:rsid w:val="00B35C88"/>
    <w:rsid w:val="00B376FA"/>
    <w:rsid w:val="00B41F78"/>
    <w:rsid w:val="00B42D70"/>
    <w:rsid w:val="00B43683"/>
    <w:rsid w:val="00B4427C"/>
    <w:rsid w:val="00B44808"/>
    <w:rsid w:val="00B45F94"/>
    <w:rsid w:val="00B507E4"/>
    <w:rsid w:val="00B51CCB"/>
    <w:rsid w:val="00B5358B"/>
    <w:rsid w:val="00B54734"/>
    <w:rsid w:val="00B54F09"/>
    <w:rsid w:val="00B5640F"/>
    <w:rsid w:val="00B57341"/>
    <w:rsid w:val="00B5748F"/>
    <w:rsid w:val="00B6163D"/>
    <w:rsid w:val="00B67132"/>
    <w:rsid w:val="00B713B0"/>
    <w:rsid w:val="00B722CC"/>
    <w:rsid w:val="00B736DA"/>
    <w:rsid w:val="00B7435C"/>
    <w:rsid w:val="00B75D3E"/>
    <w:rsid w:val="00B8196E"/>
    <w:rsid w:val="00B83A68"/>
    <w:rsid w:val="00B85731"/>
    <w:rsid w:val="00B86A84"/>
    <w:rsid w:val="00B93295"/>
    <w:rsid w:val="00B9347E"/>
    <w:rsid w:val="00B94179"/>
    <w:rsid w:val="00B9564C"/>
    <w:rsid w:val="00B961B4"/>
    <w:rsid w:val="00B96F2C"/>
    <w:rsid w:val="00B9701B"/>
    <w:rsid w:val="00B97329"/>
    <w:rsid w:val="00B9742E"/>
    <w:rsid w:val="00B97624"/>
    <w:rsid w:val="00BA1CF2"/>
    <w:rsid w:val="00BA2185"/>
    <w:rsid w:val="00BA2AC4"/>
    <w:rsid w:val="00BA519D"/>
    <w:rsid w:val="00BB26E8"/>
    <w:rsid w:val="00BB36CF"/>
    <w:rsid w:val="00BB3F20"/>
    <w:rsid w:val="00BB45EF"/>
    <w:rsid w:val="00BB587B"/>
    <w:rsid w:val="00BB5E73"/>
    <w:rsid w:val="00BB6783"/>
    <w:rsid w:val="00BB6EF0"/>
    <w:rsid w:val="00BB789E"/>
    <w:rsid w:val="00BC07BF"/>
    <w:rsid w:val="00BC1C8A"/>
    <w:rsid w:val="00BC4167"/>
    <w:rsid w:val="00BC4603"/>
    <w:rsid w:val="00BC4C52"/>
    <w:rsid w:val="00BC5958"/>
    <w:rsid w:val="00BD0510"/>
    <w:rsid w:val="00BD071B"/>
    <w:rsid w:val="00BD24E7"/>
    <w:rsid w:val="00BD267D"/>
    <w:rsid w:val="00BD6C21"/>
    <w:rsid w:val="00BD7067"/>
    <w:rsid w:val="00BE0669"/>
    <w:rsid w:val="00BE0DD1"/>
    <w:rsid w:val="00BE300F"/>
    <w:rsid w:val="00BE4BAB"/>
    <w:rsid w:val="00BE5AF4"/>
    <w:rsid w:val="00BE5B80"/>
    <w:rsid w:val="00BE741D"/>
    <w:rsid w:val="00BF10A8"/>
    <w:rsid w:val="00BF525A"/>
    <w:rsid w:val="00BF690B"/>
    <w:rsid w:val="00C04761"/>
    <w:rsid w:val="00C04C2E"/>
    <w:rsid w:val="00C04F8A"/>
    <w:rsid w:val="00C07516"/>
    <w:rsid w:val="00C107B3"/>
    <w:rsid w:val="00C10892"/>
    <w:rsid w:val="00C115C5"/>
    <w:rsid w:val="00C116E0"/>
    <w:rsid w:val="00C118A4"/>
    <w:rsid w:val="00C12AC6"/>
    <w:rsid w:val="00C12D23"/>
    <w:rsid w:val="00C1673C"/>
    <w:rsid w:val="00C16CD2"/>
    <w:rsid w:val="00C205AD"/>
    <w:rsid w:val="00C207EE"/>
    <w:rsid w:val="00C20E97"/>
    <w:rsid w:val="00C214AF"/>
    <w:rsid w:val="00C21880"/>
    <w:rsid w:val="00C22B06"/>
    <w:rsid w:val="00C22C2A"/>
    <w:rsid w:val="00C262D3"/>
    <w:rsid w:val="00C26D05"/>
    <w:rsid w:val="00C334BC"/>
    <w:rsid w:val="00C366AD"/>
    <w:rsid w:val="00C36C36"/>
    <w:rsid w:val="00C400F7"/>
    <w:rsid w:val="00C42970"/>
    <w:rsid w:val="00C42C02"/>
    <w:rsid w:val="00C434D4"/>
    <w:rsid w:val="00C43C27"/>
    <w:rsid w:val="00C455D5"/>
    <w:rsid w:val="00C45900"/>
    <w:rsid w:val="00C45F52"/>
    <w:rsid w:val="00C51071"/>
    <w:rsid w:val="00C5159A"/>
    <w:rsid w:val="00C53E0B"/>
    <w:rsid w:val="00C54DAE"/>
    <w:rsid w:val="00C56BE3"/>
    <w:rsid w:val="00C60998"/>
    <w:rsid w:val="00C61734"/>
    <w:rsid w:val="00C66577"/>
    <w:rsid w:val="00C66DC1"/>
    <w:rsid w:val="00C67EA8"/>
    <w:rsid w:val="00C72A67"/>
    <w:rsid w:val="00C75962"/>
    <w:rsid w:val="00C76C1D"/>
    <w:rsid w:val="00C778CF"/>
    <w:rsid w:val="00C77D69"/>
    <w:rsid w:val="00C77F94"/>
    <w:rsid w:val="00C8063E"/>
    <w:rsid w:val="00C8141C"/>
    <w:rsid w:val="00C85CAB"/>
    <w:rsid w:val="00C87D0E"/>
    <w:rsid w:val="00C911EB"/>
    <w:rsid w:val="00C91AEF"/>
    <w:rsid w:val="00C93344"/>
    <w:rsid w:val="00C94E81"/>
    <w:rsid w:val="00C95D8E"/>
    <w:rsid w:val="00C96050"/>
    <w:rsid w:val="00C96CBF"/>
    <w:rsid w:val="00CA0D40"/>
    <w:rsid w:val="00CA1CBD"/>
    <w:rsid w:val="00CA2EB0"/>
    <w:rsid w:val="00CA3787"/>
    <w:rsid w:val="00CB0E39"/>
    <w:rsid w:val="00CB501D"/>
    <w:rsid w:val="00CB5078"/>
    <w:rsid w:val="00CB5E6C"/>
    <w:rsid w:val="00CB6327"/>
    <w:rsid w:val="00CB6678"/>
    <w:rsid w:val="00CC3186"/>
    <w:rsid w:val="00CC5A1E"/>
    <w:rsid w:val="00CC63CC"/>
    <w:rsid w:val="00CC66C1"/>
    <w:rsid w:val="00CD027D"/>
    <w:rsid w:val="00CD0784"/>
    <w:rsid w:val="00CD2A0C"/>
    <w:rsid w:val="00CD537A"/>
    <w:rsid w:val="00CE33CF"/>
    <w:rsid w:val="00CE6947"/>
    <w:rsid w:val="00CE6E32"/>
    <w:rsid w:val="00CE75AE"/>
    <w:rsid w:val="00CE7F26"/>
    <w:rsid w:val="00CF2193"/>
    <w:rsid w:val="00CF2230"/>
    <w:rsid w:val="00CF41B5"/>
    <w:rsid w:val="00CF7991"/>
    <w:rsid w:val="00D01BE8"/>
    <w:rsid w:val="00D030F0"/>
    <w:rsid w:val="00D03E74"/>
    <w:rsid w:val="00D06068"/>
    <w:rsid w:val="00D067EA"/>
    <w:rsid w:val="00D10C2A"/>
    <w:rsid w:val="00D16F66"/>
    <w:rsid w:val="00D21CC5"/>
    <w:rsid w:val="00D23395"/>
    <w:rsid w:val="00D25222"/>
    <w:rsid w:val="00D314F5"/>
    <w:rsid w:val="00D34355"/>
    <w:rsid w:val="00D35365"/>
    <w:rsid w:val="00D36459"/>
    <w:rsid w:val="00D36DFA"/>
    <w:rsid w:val="00D40234"/>
    <w:rsid w:val="00D40871"/>
    <w:rsid w:val="00D4367F"/>
    <w:rsid w:val="00D43BD8"/>
    <w:rsid w:val="00D44479"/>
    <w:rsid w:val="00D459A8"/>
    <w:rsid w:val="00D50684"/>
    <w:rsid w:val="00D51410"/>
    <w:rsid w:val="00D55169"/>
    <w:rsid w:val="00D57610"/>
    <w:rsid w:val="00D6192F"/>
    <w:rsid w:val="00D62D05"/>
    <w:rsid w:val="00D63D68"/>
    <w:rsid w:val="00D663A2"/>
    <w:rsid w:val="00D70159"/>
    <w:rsid w:val="00D77350"/>
    <w:rsid w:val="00D776A1"/>
    <w:rsid w:val="00D840C8"/>
    <w:rsid w:val="00D84FD1"/>
    <w:rsid w:val="00D86A03"/>
    <w:rsid w:val="00D8707E"/>
    <w:rsid w:val="00D90536"/>
    <w:rsid w:val="00D905E5"/>
    <w:rsid w:val="00D916AB"/>
    <w:rsid w:val="00D9272F"/>
    <w:rsid w:val="00D95B89"/>
    <w:rsid w:val="00DA0C3B"/>
    <w:rsid w:val="00DA13F9"/>
    <w:rsid w:val="00DB0A2C"/>
    <w:rsid w:val="00DB126B"/>
    <w:rsid w:val="00DB2D4C"/>
    <w:rsid w:val="00DB2FA0"/>
    <w:rsid w:val="00DC12EA"/>
    <w:rsid w:val="00DC1EB8"/>
    <w:rsid w:val="00DC20A1"/>
    <w:rsid w:val="00DC2B0A"/>
    <w:rsid w:val="00DC2BEC"/>
    <w:rsid w:val="00DC3554"/>
    <w:rsid w:val="00DC4374"/>
    <w:rsid w:val="00DC5149"/>
    <w:rsid w:val="00DC64D4"/>
    <w:rsid w:val="00DC74D0"/>
    <w:rsid w:val="00DC783A"/>
    <w:rsid w:val="00DD35EF"/>
    <w:rsid w:val="00DD3CFE"/>
    <w:rsid w:val="00DD4228"/>
    <w:rsid w:val="00DD5C81"/>
    <w:rsid w:val="00DD5DB0"/>
    <w:rsid w:val="00DE55DF"/>
    <w:rsid w:val="00DF235B"/>
    <w:rsid w:val="00DF786F"/>
    <w:rsid w:val="00E00C5B"/>
    <w:rsid w:val="00E0192C"/>
    <w:rsid w:val="00E05AB0"/>
    <w:rsid w:val="00E07491"/>
    <w:rsid w:val="00E12CAC"/>
    <w:rsid w:val="00E12CB3"/>
    <w:rsid w:val="00E171BA"/>
    <w:rsid w:val="00E20A6F"/>
    <w:rsid w:val="00E2103F"/>
    <w:rsid w:val="00E225F7"/>
    <w:rsid w:val="00E229ED"/>
    <w:rsid w:val="00E241DF"/>
    <w:rsid w:val="00E2554F"/>
    <w:rsid w:val="00E27AEF"/>
    <w:rsid w:val="00E323DE"/>
    <w:rsid w:val="00E33A5A"/>
    <w:rsid w:val="00E35E64"/>
    <w:rsid w:val="00E40BDA"/>
    <w:rsid w:val="00E40BFC"/>
    <w:rsid w:val="00E41367"/>
    <w:rsid w:val="00E42278"/>
    <w:rsid w:val="00E44457"/>
    <w:rsid w:val="00E44605"/>
    <w:rsid w:val="00E46273"/>
    <w:rsid w:val="00E46C7C"/>
    <w:rsid w:val="00E5061C"/>
    <w:rsid w:val="00E51F96"/>
    <w:rsid w:val="00E52895"/>
    <w:rsid w:val="00E54FEF"/>
    <w:rsid w:val="00E552A3"/>
    <w:rsid w:val="00E579FE"/>
    <w:rsid w:val="00E605B2"/>
    <w:rsid w:val="00E60649"/>
    <w:rsid w:val="00E611E2"/>
    <w:rsid w:val="00E61C83"/>
    <w:rsid w:val="00E64571"/>
    <w:rsid w:val="00E649B3"/>
    <w:rsid w:val="00E64E66"/>
    <w:rsid w:val="00E6731A"/>
    <w:rsid w:val="00E67613"/>
    <w:rsid w:val="00E6767A"/>
    <w:rsid w:val="00E71744"/>
    <w:rsid w:val="00E73348"/>
    <w:rsid w:val="00E74157"/>
    <w:rsid w:val="00E7445E"/>
    <w:rsid w:val="00E746C9"/>
    <w:rsid w:val="00E75E58"/>
    <w:rsid w:val="00E7738B"/>
    <w:rsid w:val="00E77B1B"/>
    <w:rsid w:val="00E77DE0"/>
    <w:rsid w:val="00E81738"/>
    <w:rsid w:val="00E967B5"/>
    <w:rsid w:val="00EA3C8E"/>
    <w:rsid w:val="00EA5FE9"/>
    <w:rsid w:val="00EA686B"/>
    <w:rsid w:val="00EA6995"/>
    <w:rsid w:val="00EA6D5E"/>
    <w:rsid w:val="00EA6D90"/>
    <w:rsid w:val="00EA6FB7"/>
    <w:rsid w:val="00EA78E4"/>
    <w:rsid w:val="00EB38A2"/>
    <w:rsid w:val="00EB4BC2"/>
    <w:rsid w:val="00EB4CCA"/>
    <w:rsid w:val="00EB586C"/>
    <w:rsid w:val="00EB5C74"/>
    <w:rsid w:val="00EC0BB1"/>
    <w:rsid w:val="00EC0BDF"/>
    <w:rsid w:val="00EC14E8"/>
    <w:rsid w:val="00EC2AB9"/>
    <w:rsid w:val="00EC2ABF"/>
    <w:rsid w:val="00EC4AEE"/>
    <w:rsid w:val="00EC4E99"/>
    <w:rsid w:val="00EC5739"/>
    <w:rsid w:val="00EC6F4C"/>
    <w:rsid w:val="00EC7EC8"/>
    <w:rsid w:val="00ED0512"/>
    <w:rsid w:val="00ED066B"/>
    <w:rsid w:val="00ED0FE1"/>
    <w:rsid w:val="00ED2D16"/>
    <w:rsid w:val="00ED4A9C"/>
    <w:rsid w:val="00ED65B8"/>
    <w:rsid w:val="00ED7250"/>
    <w:rsid w:val="00EE01E8"/>
    <w:rsid w:val="00EE1748"/>
    <w:rsid w:val="00EE209B"/>
    <w:rsid w:val="00EE24B4"/>
    <w:rsid w:val="00EE2618"/>
    <w:rsid w:val="00EE340B"/>
    <w:rsid w:val="00EE4DFD"/>
    <w:rsid w:val="00EE53E8"/>
    <w:rsid w:val="00EE75EC"/>
    <w:rsid w:val="00EE77C2"/>
    <w:rsid w:val="00EF13A5"/>
    <w:rsid w:val="00EF1F90"/>
    <w:rsid w:val="00EF2605"/>
    <w:rsid w:val="00EF3804"/>
    <w:rsid w:val="00EF6A37"/>
    <w:rsid w:val="00EF6BE5"/>
    <w:rsid w:val="00F0024F"/>
    <w:rsid w:val="00F012C0"/>
    <w:rsid w:val="00F023BF"/>
    <w:rsid w:val="00F04946"/>
    <w:rsid w:val="00F04A60"/>
    <w:rsid w:val="00F05996"/>
    <w:rsid w:val="00F06111"/>
    <w:rsid w:val="00F07FB3"/>
    <w:rsid w:val="00F10CB5"/>
    <w:rsid w:val="00F12EB4"/>
    <w:rsid w:val="00F2081F"/>
    <w:rsid w:val="00F21E21"/>
    <w:rsid w:val="00F22FF3"/>
    <w:rsid w:val="00F23760"/>
    <w:rsid w:val="00F243BA"/>
    <w:rsid w:val="00F24B4A"/>
    <w:rsid w:val="00F253CC"/>
    <w:rsid w:val="00F25F7C"/>
    <w:rsid w:val="00F30934"/>
    <w:rsid w:val="00F32279"/>
    <w:rsid w:val="00F3624B"/>
    <w:rsid w:val="00F37431"/>
    <w:rsid w:val="00F4022B"/>
    <w:rsid w:val="00F40A6E"/>
    <w:rsid w:val="00F447D5"/>
    <w:rsid w:val="00F450CA"/>
    <w:rsid w:val="00F4534A"/>
    <w:rsid w:val="00F4602B"/>
    <w:rsid w:val="00F464EE"/>
    <w:rsid w:val="00F47827"/>
    <w:rsid w:val="00F50A2A"/>
    <w:rsid w:val="00F55BD5"/>
    <w:rsid w:val="00F55C9A"/>
    <w:rsid w:val="00F57574"/>
    <w:rsid w:val="00F57C6A"/>
    <w:rsid w:val="00F604F6"/>
    <w:rsid w:val="00F6191A"/>
    <w:rsid w:val="00F62759"/>
    <w:rsid w:val="00F62858"/>
    <w:rsid w:val="00F62C53"/>
    <w:rsid w:val="00F63D5D"/>
    <w:rsid w:val="00F67855"/>
    <w:rsid w:val="00F67F1B"/>
    <w:rsid w:val="00F67F43"/>
    <w:rsid w:val="00F708E8"/>
    <w:rsid w:val="00F71390"/>
    <w:rsid w:val="00F71B18"/>
    <w:rsid w:val="00F71DAE"/>
    <w:rsid w:val="00F72095"/>
    <w:rsid w:val="00F72D0E"/>
    <w:rsid w:val="00F75A56"/>
    <w:rsid w:val="00F75E3C"/>
    <w:rsid w:val="00F76E02"/>
    <w:rsid w:val="00F80B4A"/>
    <w:rsid w:val="00F81F42"/>
    <w:rsid w:val="00F8306C"/>
    <w:rsid w:val="00F834F1"/>
    <w:rsid w:val="00F84D36"/>
    <w:rsid w:val="00F85C9E"/>
    <w:rsid w:val="00F87511"/>
    <w:rsid w:val="00F87D32"/>
    <w:rsid w:val="00F87E47"/>
    <w:rsid w:val="00F90C56"/>
    <w:rsid w:val="00F91CB1"/>
    <w:rsid w:val="00F91E1C"/>
    <w:rsid w:val="00F94096"/>
    <w:rsid w:val="00F947AA"/>
    <w:rsid w:val="00F949D0"/>
    <w:rsid w:val="00F95FF6"/>
    <w:rsid w:val="00F96190"/>
    <w:rsid w:val="00F96503"/>
    <w:rsid w:val="00F9722A"/>
    <w:rsid w:val="00FA1D61"/>
    <w:rsid w:val="00FA4244"/>
    <w:rsid w:val="00FB0ACA"/>
    <w:rsid w:val="00FB1E32"/>
    <w:rsid w:val="00FB2031"/>
    <w:rsid w:val="00FB51FB"/>
    <w:rsid w:val="00FC1B49"/>
    <w:rsid w:val="00FC3225"/>
    <w:rsid w:val="00FC3234"/>
    <w:rsid w:val="00FC3255"/>
    <w:rsid w:val="00FC6B71"/>
    <w:rsid w:val="00FC7056"/>
    <w:rsid w:val="00FD1EE1"/>
    <w:rsid w:val="00FD3197"/>
    <w:rsid w:val="00FD5A56"/>
    <w:rsid w:val="00FD7BC5"/>
    <w:rsid w:val="00FE0511"/>
    <w:rsid w:val="00FE1E4F"/>
    <w:rsid w:val="00FE3B60"/>
    <w:rsid w:val="00FE4727"/>
    <w:rsid w:val="00FE4C96"/>
    <w:rsid w:val="00FE53A6"/>
    <w:rsid w:val="00FE7661"/>
    <w:rsid w:val="00FF26B7"/>
    <w:rsid w:val="00FF4B88"/>
    <w:rsid w:val="00FF4E7A"/>
    <w:rsid w:val="00FF616D"/>
    <w:rsid w:val="00FF74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20833"/>
    <o:shapelayout v:ext="edit">
      <o:idmap v:ext="edit" data="1"/>
    </o:shapelayout>
  </w:shapeDefaults>
  <w:decimalSymbol w:val="."/>
  <w:listSeparator w:val=","/>
  <w14:docId w14:val="76FEAD99"/>
  <w15:docId w15:val="{A95B70B0-E518-4EF0-8D05-85ED075B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49"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49"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A4F"/>
    <w:rPr>
      <w:sz w:val="24"/>
      <w:szCs w:val="24"/>
    </w:rPr>
  </w:style>
  <w:style w:type="paragraph" w:styleId="Heading1">
    <w:name w:val="heading 1"/>
    <w:basedOn w:val="Normal"/>
    <w:next w:val="Normal"/>
    <w:qFormat/>
    <w:rsid w:val="00B573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5734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57341"/>
    <w:pPr>
      <w:keepNext/>
      <w:spacing w:before="240" w:after="60"/>
      <w:outlineLvl w:val="2"/>
    </w:pPr>
    <w:rPr>
      <w:rFonts w:ascii="Arial" w:hAnsi="Arial" w:cs="Arial"/>
      <w:b/>
      <w:bCs/>
      <w:sz w:val="26"/>
      <w:szCs w:val="26"/>
    </w:rPr>
  </w:style>
  <w:style w:type="paragraph" w:styleId="Heading4">
    <w:name w:val="heading 4"/>
    <w:basedOn w:val="Normal"/>
    <w:next w:val="Normal"/>
    <w:qFormat/>
    <w:rsid w:val="008A2B39"/>
    <w:pPr>
      <w:keepNext/>
      <w:tabs>
        <w:tab w:val="num" w:pos="864"/>
      </w:tabs>
      <w:ind w:left="864" w:hanging="864"/>
      <w:outlineLvl w:val="3"/>
    </w:pPr>
  </w:style>
  <w:style w:type="paragraph" w:styleId="Heading5">
    <w:name w:val="heading 5"/>
    <w:basedOn w:val="Normal"/>
    <w:next w:val="Normal"/>
    <w:qFormat/>
    <w:rsid w:val="008A2B39"/>
    <w:pPr>
      <w:keepNext/>
      <w:tabs>
        <w:tab w:val="num" w:pos="1008"/>
      </w:tabs>
      <w:spacing w:after="240"/>
      <w:ind w:left="1008" w:hanging="1008"/>
      <w:jc w:val="center"/>
      <w:outlineLvl w:val="4"/>
    </w:pPr>
    <w:rPr>
      <w:rFonts w:ascii="Garamond" w:hAnsi="Garamond" w:cs="TF Arrow"/>
      <w:b/>
      <w:bCs/>
    </w:rPr>
  </w:style>
  <w:style w:type="paragraph" w:styleId="Heading6">
    <w:name w:val="heading 6"/>
    <w:basedOn w:val="Normal"/>
    <w:next w:val="Normal"/>
    <w:qFormat/>
    <w:rsid w:val="008A2B39"/>
    <w:pPr>
      <w:keepNext/>
      <w:tabs>
        <w:tab w:val="num" w:pos="1152"/>
      </w:tabs>
      <w:spacing w:after="240"/>
      <w:ind w:left="1152" w:hanging="1152"/>
      <w:jc w:val="center"/>
      <w:outlineLvl w:val="5"/>
    </w:pPr>
    <w:rPr>
      <w:rFonts w:ascii="Garamond" w:hAnsi="Garamond" w:cs="TF Arrow"/>
      <w:b/>
      <w:bCs/>
      <w:sz w:val="26"/>
      <w:szCs w:val="26"/>
    </w:rPr>
  </w:style>
  <w:style w:type="paragraph" w:styleId="Heading7">
    <w:name w:val="heading 7"/>
    <w:basedOn w:val="Normal"/>
    <w:next w:val="Normal"/>
    <w:qFormat/>
    <w:rsid w:val="008A2B39"/>
    <w:pPr>
      <w:keepNext/>
      <w:tabs>
        <w:tab w:val="num" w:pos="1296"/>
      </w:tabs>
      <w:spacing w:after="120" w:line="360" w:lineRule="auto"/>
      <w:ind w:left="1296" w:hanging="1296"/>
      <w:jc w:val="both"/>
      <w:outlineLvl w:val="6"/>
    </w:pPr>
    <w:rPr>
      <w:rFonts w:ascii="Garamond" w:hAnsi="Garamond" w:cs="TF Arrow"/>
      <w:b/>
      <w:bCs/>
      <w:lang w:val="en-US"/>
    </w:rPr>
  </w:style>
  <w:style w:type="paragraph" w:styleId="Heading8">
    <w:name w:val="heading 8"/>
    <w:basedOn w:val="Normal"/>
    <w:next w:val="Normal"/>
    <w:qFormat/>
    <w:rsid w:val="008A2B39"/>
    <w:pPr>
      <w:keepNext/>
      <w:tabs>
        <w:tab w:val="num" w:pos="1440"/>
      </w:tabs>
      <w:spacing w:after="120" w:line="360" w:lineRule="auto"/>
      <w:ind w:left="1440" w:hanging="1440"/>
      <w:jc w:val="both"/>
      <w:outlineLvl w:val="7"/>
    </w:pPr>
    <w:rPr>
      <w:rFonts w:ascii="Garamond" w:hAnsi="Garamond" w:cs="TF Arrow"/>
      <w:i/>
      <w:iCs/>
    </w:rPr>
  </w:style>
  <w:style w:type="paragraph" w:styleId="Heading9">
    <w:name w:val="heading 9"/>
    <w:basedOn w:val="Normal"/>
    <w:next w:val="Normal"/>
    <w:qFormat/>
    <w:rsid w:val="008A2B39"/>
    <w:pPr>
      <w:keepNext/>
      <w:tabs>
        <w:tab w:val="num" w:pos="1584"/>
      </w:tabs>
      <w:spacing w:after="240"/>
      <w:ind w:left="1584" w:hanging="1584"/>
      <w:jc w:val="both"/>
      <w:outlineLvl w:val="8"/>
    </w:pPr>
    <w:rPr>
      <w:rFonts w:ascii="TF Arrow" w:cs="Tahoma"/>
      <w:sz w:val="86"/>
      <w:szCs w:val="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ubHeading"/>
    <w:link w:val="HeadingChar"/>
    <w:rsid w:val="00B57341"/>
    <w:rPr>
      <w:sz w:val="26"/>
    </w:rPr>
  </w:style>
  <w:style w:type="paragraph" w:customStyle="1" w:styleId="SubHeading">
    <w:name w:val="Sub Heading"/>
    <w:basedOn w:val="Normal"/>
    <w:next w:val="Header"/>
    <w:link w:val="SubHeadingChar"/>
    <w:rsid w:val="00B57341"/>
    <w:pPr>
      <w:keepNext/>
      <w:spacing w:before="240" w:after="60"/>
      <w:outlineLvl w:val="0"/>
    </w:pPr>
    <w:rPr>
      <w:rFonts w:cs="Arial"/>
      <w:b/>
      <w:kern w:val="32"/>
      <w:szCs w:val="32"/>
    </w:rPr>
  </w:style>
  <w:style w:type="paragraph" w:styleId="Header">
    <w:name w:val="header"/>
    <w:basedOn w:val="Normal"/>
    <w:link w:val="HeaderChar"/>
    <w:rsid w:val="008F0247"/>
    <w:pPr>
      <w:tabs>
        <w:tab w:val="center" w:pos="4153"/>
        <w:tab w:val="right" w:pos="8306"/>
      </w:tabs>
    </w:pPr>
  </w:style>
  <w:style w:type="table" w:styleId="TableGrid">
    <w:name w:val="Table Grid"/>
    <w:basedOn w:val="TableNormal"/>
    <w:rsid w:val="008F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8F0247"/>
    <w:pPr>
      <w:tabs>
        <w:tab w:val="center" w:pos="4153"/>
        <w:tab w:val="right" w:pos="8306"/>
      </w:tabs>
    </w:pPr>
  </w:style>
  <w:style w:type="character" w:styleId="PageNumber">
    <w:name w:val="page number"/>
    <w:basedOn w:val="DefaultParagraphFont"/>
    <w:rsid w:val="008F0247"/>
  </w:style>
  <w:style w:type="paragraph" w:styleId="BalloonText">
    <w:name w:val="Balloon Text"/>
    <w:basedOn w:val="Normal"/>
    <w:semiHidden/>
    <w:rsid w:val="003B2F7F"/>
    <w:rPr>
      <w:rFonts w:ascii="Tahoma" w:hAnsi="Tahoma" w:cs="Tahoma"/>
      <w:sz w:val="16"/>
      <w:szCs w:val="16"/>
    </w:rPr>
  </w:style>
  <w:style w:type="paragraph" w:customStyle="1" w:styleId="Text">
    <w:name w:val="Text"/>
    <w:basedOn w:val="Normal"/>
    <w:rsid w:val="008968BA"/>
    <w:pPr>
      <w:spacing w:after="360" w:line="360" w:lineRule="exact"/>
      <w:jc w:val="both"/>
    </w:pPr>
    <w:rPr>
      <w:rFonts w:ascii="Garamond" w:hAnsi="Garamond" w:cs="TF Arrow"/>
    </w:rPr>
  </w:style>
  <w:style w:type="paragraph" w:customStyle="1" w:styleId="StyleHeading2TrebuchetMSLeft">
    <w:name w:val="Style Heading 2 + Trebuchet MS Left"/>
    <w:basedOn w:val="Heading2"/>
    <w:rsid w:val="008968BA"/>
    <w:pPr>
      <w:spacing w:before="0" w:after="240" w:line="360" w:lineRule="auto"/>
    </w:pPr>
    <w:rPr>
      <w:rFonts w:ascii="Trebuchet MS" w:hAnsi="Trebuchet MS" w:cs="Times New Roman"/>
      <w:i w:val="0"/>
      <w:iCs w:val="0"/>
      <w:sz w:val="24"/>
      <w:szCs w:val="20"/>
    </w:rPr>
  </w:style>
  <w:style w:type="character" w:styleId="CommentReference">
    <w:name w:val="annotation reference"/>
    <w:basedOn w:val="DefaultParagraphFont"/>
    <w:uiPriority w:val="49"/>
    <w:semiHidden/>
    <w:rsid w:val="00C8141C"/>
    <w:rPr>
      <w:sz w:val="16"/>
      <w:szCs w:val="16"/>
    </w:rPr>
  </w:style>
  <w:style w:type="paragraph" w:styleId="CommentText">
    <w:name w:val="annotation text"/>
    <w:basedOn w:val="Normal"/>
    <w:link w:val="CommentTextChar"/>
    <w:uiPriority w:val="49"/>
    <w:rsid w:val="00C8141C"/>
    <w:rPr>
      <w:sz w:val="20"/>
      <w:szCs w:val="20"/>
    </w:rPr>
  </w:style>
  <w:style w:type="paragraph" w:styleId="BodyText2">
    <w:name w:val="Body Text 2"/>
    <w:basedOn w:val="Normal"/>
    <w:qFormat/>
    <w:rsid w:val="008C7AFB"/>
    <w:pPr>
      <w:spacing w:after="240" w:line="360" w:lineRule="auto"/>
    </w:pPr>
    <w:rPr>
      <w:sz w:val="28"/>
      <w:szCs w:val="20"/>
    </w:rPr>
  </w:style>
  <w:style w:type="paragraph" w:styleId="BodyText3">
    <w:name w:val="Body Text 3"/>
    <w:basedOn w:val="Normal"/>
    <w:qFormat/>
    <w:rsid w:val="008C7AFB"/>
    <w:pPr>
      <w:numPr>
        <w:ilvl w:val="1"/>
        <w:numId w:val="19"/>
      </w:numPr>
      <w:jc w:val="both"/>
    </w:pPr>
    <w:rPr>
      <w:sz w:val="28"/>
      <w:szCs w:val="20"/>
    </w:rPr>
  </w:style>
  <w:style w:type="paragraph" w:styleId="BodyText">
    <w:name w:val="Body Text"/>
    <w:basedOn w:val="Normal"/>
    <w:link w:val="BodyTextChar"/>
    <w:rsid w:val="008C7AFB"/>
    <w:pPr>
      <w:spacing w:after="120"/>
    </w:pPr>
  </w:style>
  <w:style w:type="paragraph" w:styleId="FootnoteText">
    <w:name w:val="footnote text"/>
    <w:basedOn w:val="Normal"/>
    <w:semiHidden/>
    <w:rsid w:val="008C7AFB"/>
    <w:rPr>
      <w:sz w:val="20"/>
      <w:szCs w:val="20"/>
    </w:rPr>
  </w:style>
  <w:style w:type="character" w:styleId="FootnoteReference">
    <w:name w:val="footnote reference"/>
    <w:basedOn w:val="DefaultParagraphFont"/>
    <w:semiHidden/>
    <w:rsid w:val="008C7AFB"/>
    <w:rPr>
      <w:vertAlign w:val="superscript"/>
    </w:rPr>
  </w:style>
  <w:style w:type="character" w:styleId="Hyperlink">
    <w:name w:val="Hyperlink"/>
    <w:basedOn w:val="DefaultParagraphFont"/>
    <w:uiPriority w:val="99"/>
    <w:rsid w:val="00356B1D"/>
    <w:rPr>
      <w:color w:val="0000FF"/>
      <w:u w:val="single"/>
    </w:rPr>
  </w:style>
  <w:style w:type="character" w:styleId="FollowedHyperlink">
    <w:name w:val="FollowedHyperlink"/>
    <w:basedOn w:val="DefaultParagraphFont"/>
    <w:rsid w:val="00356B1D"/>
    <w:rPr>
      <w:color w:val="800080"/>
      <w:u w:val="single"/>
    </w:rPr>
  </w:style>
  <w:style w:type="paragraph" w:customStyle="1" w:styleId="StyleGaramondJustifiedAfter12ptLinespacingExactly18">
    <w:name w:val="Style Garamond Justified After:  12 pt Line spacing:  Exactly 18..."/>
    <w:basedOn w:val="Normal"/>
    <w:rsid w:val="00356B1D"/>
    <w:pPr>
      <w:spacing w:before="240" w:after="240"/>
      <w:jc w:val="both"/>
    </w:pPr>
    <w:rPr>
      <w:rFonts w:ascii="Garamond" w:hAnsi="Garamond"/>
      <w:szCs w:val="20"/>
    </w:rPr>
  </w:style>
  <w:style w:type="paragraph" w:customStyle="1" w:styleId="StyleGaramondJustified">
    <w:name w:val="Style Garamond Justified"/>
    <w:basedOn w:val="Normal"/>
    <w:rsid w:val="00356B1D"/>
    <w:pPr>
      <w:spacing w:before="240" w:after="240"/>
      <w:jc w:val="both"/>
    </w:pPr>
    <w:rPr>
      <w:rFonts w:ascii="Garamond" w:hAnsi="Garamond"/>
      <w:szCs w:val="20"/>
    </w:rPr>
  </w:style>
  <w:style w:type="paragraph" w:styleId="DocumentMap">
    <w:name w:val="Document Map"/>
    <w:basedOn w:val="Normal"/>
    <w:semiHidden/>
    <w:rsid w:val="00AC2584"/>
    <w:pPr>
      <w:shd w:val="clear" w:color="auto" w:fill="000080"/>
    </w:pPr>
    <w:rPr>
      <w:rFonts w:ascii="Tahoma" w:hAnsi="Tahoma" w:cs="Tahoma"/>
    </w:rPr>
  </w:style>
  <w:style w:type="paragraph" w:customStyle="1" w:styleId="StyleBodyText13ptCharCharChar">
    <w:name w:val="Style Body Text + 13 pt Char Char Char"/>
    <w:basedOn w:val="BodyText"/>
    <w:link w:val="StyleBodyText13ptCharCharCharChar"/>
    <w:rsid w:val="004445D9"/>
    <w:pPr>
      <w:numPr>
        <w:numId w:val="1"/>
      </w:numPr>
      <w:spacing w:after="240" w:line="360" w:lineRule="auto"/>
      <w:jc w:val="both"/>
    </w:pPr>
  </w:style>
  <w:style w:type="character" w:customStyle="1" w:styleId="StyleBodyText13ptCharCharCharChar">
    <w:name w:val="Style Body Text + 13 pt Char Char Char Char"/>
    <w:basedOn w:val="DefaultParagraphFont"/>
    <w:link w:val="StyleBodyText13ptCharCharChar"/>
    <w:rsid w:val="004445D9"/>
    <w:rPr>
      <w:sz w:val="24"/>
      <w:szCs w:val="24"/>
    </w:rPr>
  </w:style>
  <w:style w:type="paragraph" w:customStyle="1" w:styleId="NormaltextCharCharCharCharCharChar">
    <w:name w:val="Normal text Char Char Char Char Char Char"/>
    <w:basedOn w:val="BodyText"/>
    <w:link w:val="NormaltextCharCharCharCharCharCharChar"/>
    <w:rsid w:val="004445D9"/>
    <w:pPr>
      <w:tabs>
        <w:tab w:val="num" w:pos="720"/>
      </w:tabs>
      <w:spacing w:after="240"/>
      <w:ind w:left="720" w:hanging="360"/>
      <w:jc w:val="both"/>
    </w:pPr>
  </w:style>
  <w:style w:type="character" w:customStyle="1" w:styleId="NormaltextCharCharCharCharCharCharChar">
    <w:name w:val="Normal text Char Char Char Char Char Char Char"/>
    <w:basedOn w:val="DefaultParagraphFont"/>
    <w:link w:val="NormaltextCharCharCharCharCharChar"/>
    <w:rsid w:val="004445D9"/>
    <w:rPr>
      <w:sz w:val="24"/>
      <w:szCs w:val="24"/>
    </w:rPr>
  </w:style>
  <w:style w:type="paragraph" w:styleId="CommentSubject">
    <w:name w:val="annotation subject"/>
    <w:basedOn w:val="CommentText"/>
    <w:next w:val="CommentText"/>
    <w:semiHidden/>
    <w:rsid w:val="00CE7F26"/>
    <w:rPr>
      <w:b/>
      <w:bCs/>
    </w:rPr>
  </w:style>
  <w:style w:type="paragraph" w:customStyle="1" w:styleId="normaltextcharcharcharcharchar">
    <w:name w:val="normaltextcharcharcharcharchar"/>
    <w:basedOn w:val="Normal"/>
    <w:rsid w:val="001A1F36"/>
    <w:pPr>
      <w:spacing w:after="240"/>
      <w:ind w:left="567" w:hanging="567"/>
      <w:jc w:val="both"/>
    </w:pPr>
    <w:rPr>
      <w:rFonts w:ascii="Trebuchet MS" w:hAnsi="Trebuchet MS"/>
    </w:rPr>
  </w:style>
  <w:style w:type="paragraph" w:customStyle="1" w:styleId="Normalalpha">
    <w:name w:val="Normal alpha"/>
    <w:basedOn w:val="Normal"/>
    <w:rsid w:val="001A1F36"/>
    <w:pPr>
      <w:numPr>
        <w:numId w:val="2"/>
      </w:numPr>
      <w:spacing w:after="240"/>
      <w:jc w:val="both"/>
    </w:pPr>
    <w:rPr>
      <w:szCs w:val="20"/>
    </w:rPr>
  </w:style>
  <w:style w:type="paragraph" w:customStyle="1" w:styleId="PSHeading3">
    <w:name w:val="PS Heading 3"/>
    <w:basedOn w:val="Normal"/>
    <w:rsid w:val="001A1F36"/>
    <w:pPr>
      <w:keepNext/>
      <w:widowControl w:val="0"/>
      <w:spacing w:after="240"/>
      <w:outlineLvl w:val="0"/>
    </w:pPr>
    <w:rPr>
      <w:rFonts w:ascii="Arial" w:hAnsi="Arial"/>
      <w:b/>
      <w:szCs w:val="20"/>
      <w:lang w:val="en-US"/>
    </w:rPr>
  </w:style>
  <w:style w:type="paragraph" w:styleId="Title">
    <w:name w:val="Title"/>
    <w:basedOn w:val="Normal"/>
    <w:next w:val="ActTitle"/>
    <w:qFormat/>
    <w:rsid w:val="001B4657"/>
    <w:pPr>
      <w:spacing w:before="480"/>
    </w:pPr>
    <w:rPr>
      <w:rFonts w:ascii="Arial" w:hAnsi="Arial" w:cs="Arial"/>
      <w:b/>
      <w:bCs/>
      <w:sz w:val="40"/>
      <w:szCs w:val="40"/>
      <w:lang w:eastAsia="en-US"/>
    </w:rPr>
  </w:style>
  <w:style w:type="paragraph" w:styleId="TOC1">
    <w:name w:val="toc 1"/>
    <w:basedOn w:val="Heading"/>
    <w:next w:val="Normal"/>
    <w:autoRedefine/>
    <w:uiPriority w:val="39"/>
    <w:rsid w:val="00E605B2"/>
    <w:pPr>
      <w:tabs>
        <w:tab w:val="right" w:leader="dot" w:pos="8296"/>
      </w:tabs>
      <w:spacing w:before="0" w:after="0"/>
      <w:ind w:left="567"/>
    </w:pPr>
    <w:rPr>
      <w:rFonts w:ascii="Arial" w:hAnsi="Arial"/>
      <w:bCs/>
      <w:iCs/>
      <w:sz w:val="24"/>
      <w:szCs w:val="24"/>
    </w:rPr>
  </w:style>
  <w:style w:type="paragraph" w:styleId="TOC2">
    <w:name w:val="toc 2"/>
    <w:basedOn w:val="Heading2"/>
    <w:next w:val="Normal"/>
    <w:autoRedefine/>
    <w:semiHidden/>
    <w:rsid w:val="00270267"/>
    <w:pPr>
      <w:tabs>
        <w:tab w:val="right" w:leader="dot" w:pos="8296"/>
      </w:tabs>
      <w:spacing w:before="0" w:after="0"/>
    </w:pPr>
    <w:rPr>
      <w:i w:val="0"/>
      <w:noProof/>
      <w:sz w:val="24"/>
      <w:szCs w:val="24"/>
    </w:rPr>
  </w:style>
  <w:style w:type="paragraph" w:customStyle="1" w:styleId="ActTitle">
    <w:name w:val="Act Title"/>
    <w:basedOn w:val="Normal"/>
    <w:next w:val="IntroTo"/>
    <w:rsid w:val="001B4657"/>
    <w:pPr>
      <w:pBdr>
        <w:bottom w:val="single" w:sz="4" w:space="3" w:color="auto"/>
      </w:pBdr>
      <w:spacing w:before="480" w:after="240"/>
    </w:pPr>
    <w:rPr>
      <w:rFonts w:ascii="Arial" w:hAnsi="Arial"/>
      <w:i/>
      <w:iCs/>
      <w:sz w:val="28"/>
      <w:szCs w:val="20"/>
    </w:rPr>
  </w:style>
  <w:style w:type="paragraph" w:customStyle="1" w:styleId="IntroTo">
    <w:name w:val="IntroTo:"/>
    <w:basedOn w:val="Normal"/>
    <w:rsid w:val="001B4657"/>
    <w:pPr>
      <w:numPr>
        <w:ilvl w:val="2"/>
        <w:numId w:val="19"/>
      </w:numPr>
    </w:pPr>
    <w:rPr>
      <w:szCs w:val="20"/>
      <w:lang w:eastAsia="en-US"/>
    </w:rPr>
  </w:style>
  <w:style w:type="paragraph" w:customStyle="1" w:styleId="IP">
    <w:name w:val="IP"/>
    <w:aliases w:val="Interpretation paragraph"/>
    <w:basedOn w:val="Normal"/>
    <w:next w:val="Normal"/>
    <w:rsid w:val="001B4657"/>
    <w:pPr>
      <w:keepNext/>
      <w:tabs>
        <w:tab w:val="right" w:pos="794"/>
      </w:tabs>
      <w:spacing w:before="120" w:line="260" w:lineRule="exact"/>
      <w:ind w:left="964" w:hanging="964"/>
      <w:jc w:val="both"/>
    </w:pPr>
    <w:rPr>
      <w:lang w:eastAsia="en-US"/>
    </w:rPr>
  </w:style>
  <w:style w:type="paragraph" w:customStyle="1" w:styleId="definition">
    <w:name w:val="definition"/>
    <w:basedOn w:val="Normal"/>
    <w:rsid w:val="001B4657"/>
    <w:pPr>
      <w:spacing w:before="80" w:line="260" w:lineRule="exact"/>
      <w:jc w:val="both"/>
    </w:pPr>
    <w:rPr>
      <w:lang w:eastAsia="en-US"/>
    </w:rPr>
  </w:style>
  <w:style w:type="paragraph" w:customStyle="1" w:styleId="AS">
    <w:name w:val="AS"/>
    <w:aliases w:val="Schedule title Amendment"/>
    <w:basedOn w:val="Normal"/>
    <w:next w:val="Normal"/>
    <w:rsid w:val="001B4657"/>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1B4657"/>
  </w:style>
  <w:style w:type="paragraph" w:customStyle="1" w:styleId="HeaderLiteEven">
    <w:name w:val="HeaderLiteEven"/>
    <w:basedOn w:val="Normal"/>
    <w:rsid w:val="00C118A4"/>
    <w:pPr>
      <w:tabs>
        <w:tab w:val="center" w:pos="3969"/>
        <w:tab w:val="right" w:pos="8505"/>
      </w:tabs>
      <w:spacing w:before="60"/>
    </w:pPr>
    <w:rPr>
      <w:rFonts w:ascii="Arial" w:hAnsi="Arial"/>
      <w:sz w:val="18"/>
      <w:lang w:eastAsia="en-US"/>
    </w:rPr>
  </w:style>
  <w:style w:type="paragraph" w:customStyle="1" w:styleId="CoverAct">
    <w:name w:val="CoverAct"/>
    <w:basedOn w:val="Normal"/>
    <w:next w:val="Normal"/>
    <w:rsid w:val="00C118A4"/>
    <w:pPr>
      <w:pBdr>
        <w:bottom w:val="single" w:sz="4" w:space="3" w:color="auto"/>
      </w:pBdr>
    </w:pPr>
    <w:rPr>
      <w:rFonts w:ascii="Arial" w:hAnsi="Arial"/>
      <w:i/>
      <w:noProof/>
      <w:sz w:val="28"/>
    </w:rPr>
  </w:style>
  <w:style w:type="paragraph" w:customStyle="1" w:styleId="CoverUpdate">
    <w:name w:val="CoverUpdate"/>
    <w:basedOn w:val="Normal"/>
    <w:rsid w:val="00C118A4"/>
    <w:pPr>
      <w:numPr>
        <w:ilvl w:val="3"/>
        <w:numId w:val="19"/>
      </w:numPr>
      <w:spacing w:before="240"/>
    </w:pPr>
    <w:rPr>
      <w:noProof/>
    </w:rPr>
  </w:style>
  <w:style w:type="paragraph" w:customStyle="1" w:styleId="CoverMade">
    <w:name w:val="CoverMade"/>
    <w:basedOn w:val="Normal"/>
    <w:rsid w:val="00C118A4"/>
    <w:pPr>
      <w:spacing w:before="240" w:after="240"/>
    </w:pPr>
    <w:rPr>
      <w:rFonts w:ascii="Arial" w:hAnsi="Arial"/>
      <w:noProof/>
    </w:rPr>
  </w:style>
  <w:style w:type="paragraph" w:customStyle="1" w:styleId="SigningPageBreak">
    <w:name w:val="SigningPageBreak"/>
    <w:basedOn w:val="Normal"/>
    <w:next w:val="Normal"/>
    <w:rsid w:val="00C118A4"/>
    <w:rPr>
      <w:lang w:eastAsia="en-US"/>
    </w:rPr>
  </w:style>
  <w:style w:type="paragraph" w:customStyle="1" w:styleId="HeaderBoldEven">
    <w:name w:val="HeaderBoldEven"/>
    <w:basedOn w:val="Normal"/>
    <w:rsid w:val="00C118A4"/>
    <w:pPr>
      <w:spacing w:before="120" w:after="60"/>
    </w:pPr>
    <w:rPr>
      <w:rFonts w:ascii="Arial" w:hAnsi="Arial"/>
      <w:b/>
      <w:sz w:val="20"/>
      <w:lang w:eastAsia="en-US"/>
    </w:rPr>
  </w:style>
  <w:style w:type="paragraph" w:customStyle="1" w:styleId="FooterPageOdd">
    <w:name w:val="FooterPageOdd"/>
    <w:basedOn w:val="Footer"/>
    <w:rsid w:val="00C118A4"/>
    <w:pPr>
      <w:jc w:val="right"/>
    </w:pPr>
    <w:rPr>
      <w:rFonts w:ascii="Arial" w:hAnsi="Arial"/>
      <w:sz w:val="22"/>
    </w:rPr>
  </w:style>
  <w:style w:type="paragraph" w:customStyle="1" w:styleId="Footerinfo">
    <w:name w:val="Footerinfo"/>
    <w:basedOn w:val="Footer"/>
    <w:rsid w:val="00C118A4"/>
    <w:rPr>
      <w:rFonts w:ascii="Arial" w:hAnsi="Arial"/>
      <w:sz w:val="12"/>
    </w:rPr>
  </w:style>
  <w:style w:type="paragraph" w:customStyle="1" w:styleId="FooterPageEven">
    <w:name w:val="FooterPageEven"/>
    <w:basedOn w:val="FooterPageOdd"/>
    <w:rsid w:val="00C118A4"/>
    <w:pPr>
      <w:jc w:val="left"/>
    </w:pPr>
  </w:style>
  <w:style w:type="paragraph" w:customStyle="1" w:styleId="CoverStatRule">
    <w:name w:val="CoverStatRule"/>
    <w:basedOn w:val="Normal"/>
    <w:next w:val="CoverMade"/>
    <w:rsid w:val="00C118A4"/>
    <w:pPr>
      <w:spacing w:before="240"/>
    </w:pPr>
    <w:rPr>
      <w:rFonts w:ascii="Arial" w:hAnsi="Arial"/>
      <w:b/>
    </w:rPr>
  </w:style>
  <w:style w:type="paragraph" w:customStyle="1" w:styleId="FooterCitation">
    <w:name w:val="FooterCitation"/>
    <w:basedOn w:val="Footer"/>
    <w:rsid w:val="00C118A4"/>
    <w:pPr>
      <w:spacing w:before="20"/>
      <w:jc w:val="center"/>
    </w:pPr>
    <w:rPr>
      <w:rFonts w:ascii="Arial" w:hAnsi="Arial"/>
      <w:i/>
      <w:sz w:val="18"/>
    </w:rPr>
  </w:style>
  <w:style w:type="character" w:customStyle="1" w:styleId="FooterChar">
    <w:name w:val="Footer Char"/>
    <w:basedOn w:val="DefaultParagraphFont"/>
    <w:link w:val="Footer"/>
    <w:uiPriority w:val="99"/>
    <w:rsid w:val="00C118A4"/>
    <w:rPr>
      <w:sz w:val="24"/>
      <w:szCs w:val="24"/>
    </w:rPr>
  </w:style>
  <w:style w:type="paragraph" w:styleId="NoteHeading">
    <w:name w:val="Note Heading"/>
    <w:aliases w:val="HN"/>
    <w:basedOn w:val="Normal"/>
    <w:next w:val="Normal"/>
    <w:link w:val="NoteHeadingChar"/>
    <w:rsid w:val="00A16B89"/>
    <w:pPr>
      <w:keepNext/>
      <w:keepLines/>
      <w:spacing w:before="120" w:line="240" w:lineRule="atLeast"/>
    </w:pPr>
    <w:rPr>
      <w:rFonts w:ascii="Arial" w:hAnsi="Arial"/>
      <w:b/>
      <w:sz w:val="32"/>
      <w:szCs w:val="32"/>
      <w:lang w:eastAsia="en-US"/>
    </w:rPr>
  </w:style>
  <w:style w:type="character" w:customStyle="1" w:styleId="NoteHeadingChar">
    <w:name w:val="Note Heading Char"/>
    <w:aliases w:val="HN Char"/>
    <w:basedOn w:val="DefaultParagraphFont"/>
    <w:link w:val="NoteHeading"/>
    <w:rsid w:val="00A16B89"/>
    <w:rPr>
      <w:rFonts w:ascii="Arial" w:hAnsi="Arial"/>
      <w:b/>
      <w:sz w:val="32"/>
      <w:szCs w:val="32"/>
      <w:lang w:eastAsia="en-US"/>
    </w:rPr>
  </w:style>
  <w:style w:type="paragraph" w:customStyle="1" w:styleId="EndNotes">
    <w:name w:val="EndNotes"/>
    <w:basedOn w:val="Normal"/>
    <w:rsid w:val="00A16B89"/>
    <w:pPr>
      <w:spacing w:before="120" w:line="260" w:lineRule="exact"/>
      <w:jc w:val="both"/>
    </w:pPr>
    <w:rPr>
      <w:noProof/>
    </w:rPr>
  </w:style>
  <w:style w:type="paragraph" w:customStyle="1" w:styleId="ENoteNo">
    <w:name w:val="ENoteNo"/>
    <w:basedOn w:val="EndNotes"/>
    <w:rsid w:val="00A16B89"/>
    <w:pPr>
      <w:ind w:left="357" w:hanging="357"/>
    </w:pPr>
    <w:rPr>
      <w:rFonts w:ascii="Arial" w:hAnsi="Arial"/>
      <w:b/>
    </w:rPr>
  </w:style>
  <w:style w:type="paragraph" w:customStyle="1" w:styleId="TableColHead">
    <w:name w:val="TableColHead"/>
    <w:basedOn w:val="Normal"/>
    <w:rsid w:val="00A16B89"/>
    <w:pPr>
      <w:keepNext/>
      <w:spacing w:before="120" w:after="60" w:line="200" w:lineRule="exact"/>
    </w:pPr>
    <w:rPr>
      <w:rFonts w:ascii="Arial" w:hAnsi="Arial"/>
      <w:b/>
      <w:sz w:val="18"/>
      <w:lang w:eastAsia="en-US"/>
    </w:rPr>
  </w:style>
  <w:style w:type="character" w:customStyle="1" w:styleId="CharENotesHeading">
    <w:name w:val="CharENotesHeading"/>
    <w:basedOn w:val="DefaultParagraphFont"/>
    <w:rsid w:val="00A16B89"/>
  </w:style>
  <w:style w:type="paragraph" w:customStyle="1" w:styleId="TableENotesHeading">
    <w:name w:val="TableENotesHeading"/>
    <w:basedOn w:val="NoteHeading"/>
    <w:next w:val="Normal"/>
    <w:rsid w:val="00A16B89"/>
    <w:pPr>
      <w:ind w:left="1800" w:hanging="1800"/>
    </w:pPr>
    <w:rPr>
      <w:sz w:val="28"/>
    </w:rPr>
  </w:style>
  <w:style w:type="paragraph" w:customStyle="1" w:styleId="TableOfStatRules">
    <w:name w:val="TableOfStatRules"/>
    <w:basedOn w:val="Normal"/>
    <w:rsid w:val="00A16B89"/>
    <w:pPr>
      <w:spacing w:before="60" w:line="200" w:lineRule="exact"/>
    </w:pPr>
    <w:rPr>
      <w:rFonts w:ascii="Arial" w:hAnsi="Arial"/>
      <w:sz w:val="18"/>
    </w:rPr>
  </w:style>
  <w:style w:type="paragraph" w:customStyle="1" w:styleId="TableENotesHeadingAmdt">
    <w:name w:val="TableENotesHeadingAmdt"/>
    <w:basedOn w:val="Normal"/>
    <w:next w:val="TableOfAmendHead"/>
    <w:rsid w:val="00A16B89"/>
    <w:pPr>
      <w:pageBreakBefore/>
      <w:spacing w:before="240" w:after="240" w:line="300" w:lineRule="exact"/>
      <w:ind w:left="2410" w:hanging="2410"/>
    </w:pPr>
    <w:rPr>
      <w:rFonts w:ascii="Arial" w:hAnsi="Arial"/>
      <w:b/>
      <w:noProof/>
      <w:sz w:val="28"/>
    </w:rPr>
  </w:style>
  <w:style w:type="paragraph" w:customStyle="1" w:styleId="TableOfAmendHead">
    <w:name w:val="TableOfAmendHead"/>
    <w:basedOn w:val="TableOfAmend"/>
    <w:next w:val="Normal"/>
    <w:rsid w:val="00A16B89"/>
    <w:pPr>
      <w:spacing w:after="60"/>
    </w:pPr>
    <w:rPr>
      <w:sz w:val="16"/>
    </w:rPr>
  </w:style>
  <w:style w:type="paragraph" w:customStyle="1" w:styleId="TableOfAmend">
    <w:name w:val="TableOfAmend"/>
    <w:basedOn w:val="Normal"/>
    <w:rsid w:val="00A16B89"/>
    <w:pPr>
      <w:tabs>
        <w:tab w:val="right" w:leader="dot" w:pos="2268"/>
      </w:tabs>
      <w:spacing w:before="60" w:line="200" w:lineRule="exact"/>
      <w:ind w:left="170" w:right="-11" w:hanging="170"/>
    </w:pPr>
    <w:rPr>
      <w:rFonts w:ascii="Arial" w:hAnsi="Arial"/>
      <w:sz w:val="18"/>
    </w:rPr>
  </w:style>
  <w:style w:type="paragraph" w:customStyle="1" w:styleId="Note">
    <w:name w:val="Note"/>
    <w:basedOn w:val="Normal"/>
    <w:rsid w:val="00733968"/>
    <w:pPr>
      <w:numPr>
        <w:numId w:val="3"/>
      </w:numPr>
      <w:spacing w:before="120" w:line="220" w:lineRule="exact"/>
      <w:jc w:val="both"/>
    </w:pPr>
    <w:rPr>
      <w:sz w:val="20"/>
      <w:lang w:eastAsia="en-US"/>
    </w:rPr>
  </w:style>
  <w:style w:type="character" w:customStyle="1" w:styleId="SubHeadingChar">
    <w:name w:val="Sub Heading Char"/>
    <w:basedOn w:val="DefaultParagraphFont"/>
    <w:link w:val="SubHeading"/>
    <w:rsid w:val="003B58F5"/>
    <w:rPr>
      <w:rFonts w:cs="Arial"/>
      <w:b/>
      <w:kern w:val="32"/>
      <w:sz w:val="24"/>
      <w:szCs w:val="32"/>
    </w:rPr>
  </w:style>
  <w:style w:type="character" w:customStyle="1" w:styleId="HeadingChar">
    <w:name w:val="Heading Char"/>
    <w:basedOn w:val="SubHeadingChar"/>
    <w:link w:val="Heading"/>
    <w:rsid w:val="003B58F5"/>
    <w:rPr>
      <w:rFonts w:cs="Arial"/>
      <w:b/>
      <w:kern w:val="32"/>
      <w:sz w:val="26"/>
      <w:szCs w:val="32"/>
    </w:rPr>
  </w:style>
  <w:style w:type="paragraph" w:styleId="BodyTextIndent">
    <w:name w:val="Body Text Indent"/>
    <w:basedOn w:val="Normal"/>
    <w:link w:val="BodyTextIndentChar"/>
    <w:rsid w:val="003B58F5"/>
    <w:pPr>
      <w:spacing w:after="120"/>
      <w:ind w:left="283"/>
    </w:pPr>
  </w:style>
  <w:style w:type="character" w:customStyle="1" w:styleId="BodyTextIndentChar">
    <w:name w:val="Body Text Indent Char"/>
    <w:basedOn w:val="DefaultParagraphFont"/>
    <w:link w:val="BodyTextIndent"/>
    <w:rsid w:val="003B58F5"/>
    <w:rPr>
      <w:sz w:val="24"/>
      <w:szCs w:val="24"/>
    </w:rPr>
  </w:style>
  <w:style w:type="paragraph" w:styleId="BodyTextFirstIndent2">
    <w:name w:val="Body Text First Indent 2"/>
    <w:basedOn w:val="BodyTextIndent"/>
    <w:link w:val="BodyTextFirstIndent2Char"/>
    <w:rsid w:val="003B58F5"/>
    <w:pPr>
      <w:ind w:firstLine="210"/>
    </w:pPr>
  </w:style>
  <w:style w:type="character" w:customStyle="1" w:styleId="BodyTextFirstIndent2Char">
    <w:name w:val="Body Text First Indent 2 Char"/>
    <w:basedOn w:val="BodyTextIndentChar"/>
    <w:link w:val="BodyTextFirstIndent2"/>
    <w:rsid w:val="003B58F5"/>
    <w:rPr>
      <w:sz w:val="24"/>
      <w:szCs w:val="24"/>
    </w:rPr>
  </w:style>
  <w:style w:type="paragraph" w:styleId="BodyTextIndent2">
    <w:name w:val="Body Text Indent 2"/>
    <w:basedOn w:val="Normal"/>
    <w:link w:val="BodyTextIndent2Char"/>
    <w:rsid w:val="003B58F5"/>
    <w:pPr>
      <w:spacing w:after="120" w:line="480" w:lineRule="auto"/>
      <w:ind w:left="283"/>
    </w:pPr>
  </w:style>
  <w:style w:type="character" w:customStyle="1" w:styleId="BodyTextIndent2Char">
    <w:name w:val="Body Text Indent 2 Char"/>
    <w:basedOn w:val="DefaultParagraphFont"/>
    <w:link w:val="BodyTextIndent2"/>
    <w:rsid w:val="003B58F5"/>
    <w:rPr>
      <w:sz w:val="24"/>
      <w:szCs w:val="24"/>
    </w:rPr>
  </w:style>
  <w:style w:type="paragraph" w:customStyle="1" w:styleId="Style1">
    <w:name w:val="Style1"/>
    <w:basedOn w:val="Heading1"/>
    <w:rsid w:val="003B58F5"/>
    <w:pPr>
      <w:spacing w:before="120" w:after="240"/>
      <w:jc w:val="both"/>
    </w:pPr>
    <w:rPr>
      <w:i/>
      <w:sz w:val="24"/>
      <w:szCs w:val="24"/>
    </w:rPr>
  </w:style>
  <w:style w:type="paragraph" w:customStyle="1" w:styleId="Default">
    <w:name w:val="Default"/>
    <w:rsid w:val="003B58F5"/>
    <w:pPr>
      <w:autoSpaceDE w:val="0"/>
      <w:autoSpaceDN w:val="0"/>
      <w:adjustRightInd w:val="0"/>
    </w:pPr>
    <w:rPr>
      <w:color w:val="000000"/>
      <w:sz w:val="24"/>
      <w:szCs w:val="24"/>
    </w:rPr>
  </w:style>
  <w:style w:type="character" w:customStyle="1" w:styleId="PlainTextChar">
    <w:name w:val="Plain Text Char"/>
    <w:basedOn w:val="DefaultParagraphFont"/>
    <w:link w:val="PlainText"/>
    <w:semiHidden/>
    <w:rsid w:val="003B58F5"/>
    <w:rPr>
      <w:rFonts w:ascii="Verdana" w:eastAsia="Calibri" w:hAnsi="Verdana"/>
      <w:color w:val="000000"/>
      <w:sz w:val="22"/>
      <w:szCs w:val="22"/>
      <w:lang w:eastAsia="en-US"/>
    </w:rPr>
  </w:style>
  <w:style w:type="paragraph" w:styleId="PlainText">
    <w:name w:val="Plain Text"/>
    <w:basedOn w:val="Normal"/>
    <w:link w:val="PlainTextChar"/>
    <w:semiHidden/>
    <w:rsid w:val="003B58F5"/>
    <w:rPr>
      <w:rFonts w:ascii="Verdana" w:eastAsia="Calibri" w:hAnsi="Verdana"/>
      <w:color w:val="000000"/>
      <w:sz w:val="22"/>
      <w:szCs w:val="22"/>
      <w:lang w:eastAsia="en-US"/>
    </w:rPr>
  </w:style>
  <w:style w:type="character" w:customStyle="1" w:styleId="PlainTextChar1">
    <w:name w:val="Plain Text Char1"/>
    <w:basedOn w:val="DefaultParagraphFont"/>
    <w:uiPriority w:val="99"/>
    <w:semiHidden/>
    <w:rsid w:val="003B58F5"/>
    <w:rPr>
      <w:rFonts w:ascii="Consolas" w:hAnsi="Consolas"/>
      <w:sz w:val="21"/>
      <w:szCs w:val="21"/>
    </w:rPr>
  </w:style>
  <w:style w:type="paragraph" w:styleId="Revision">
    <w:name w:val="Revision"/>
    <w:hidden/>
    <w:uiPriority w:val="99"/>
    <w:semiHidden/>
    <w:rsid w:val="003B58F5"/>
    <w:rPr>
      <w:sz w:val="24"/>
      <w:szCs w:val="24"/>
    </w:rPr>
  </w:style>
  <w:style w:type="character" w:customStyle="1" w:styleId="BodyTextChar">
    <w:name w:val="Body Text Char"/>
    <w:basedOn w:val="DefaultParagraphFont"/>
    <w:link w:val="BodyText"/>
    <w:rsid w:val="003B58F5"/>
    <w:rPr>
      <w:sz w:val="24"/>
      <w:szCs w:val="24"/>
    </w:rPr>
  </w:style>
  <w:style w:type="character" w:customStyle="1" w:styleId="BodyText1Char">
    <w:name w:val="Body Text 1 Char"/>
    <w:basedOn w:val="DefaultParagraphFont"/>
    <w:link w:val="BodyText1"/>
    <w:rsid w:val="00AD6355"/>
  </w:style>
  <w:style w:type="paragraph" w:customStyle="1" w:styleId="BodyText1">
    <w:name w:val="Body Text 1"/>
    <w:basedOn w:val="Normal"/>
    <w:link w:val="BodyText1Char"/>
    <w:qFormat/>
    <w:rsid w:val="00AD6355"/>
    <w:pPr>
      <w:tabs>
        <w:tab w:val="num" w:pos="567"/>
      </w:tabs>
      <w:spacing w:after="240"/>
      <w:ind w:left="567" w:hanging="567"/>
      <w:jc w:val="both"/>
    </w:pPr>
    <w:rPr>
      <w:sz w:val="20"/>
      <w:szCs w:val="20"/>
    </w:rPr>
  </w:style>
  <w:style w:type="paragraph" w:customStyle="1" w:styleId="BodyText4">
    <w:name w:val="Body Text 4"/>
    <w:basedOn w:val="Normal"/>
    <w:qFormat/>
    <w:rsid w:val="00AD6355"/>
    <w:pPr>
      <w:tabs>
        <w:tab w:val="num" w:pos="2268"/>
      </w:tabs>
      <w:spacing w:after="240"/>
      <w:ind w:left="2268" w:hanging="567"/>
    </w:pPr>
    <w:rPr>
      <w:rFonts w:eastAsia="Calibri"/>
    </w:rPr>
  </w:style>
  <w:style w:type="character" w:customStyle="1" w:styleId="CommentTextChar">
    <w:name w:val="Comment Text Char"/>
    <w:basedOn w:val="DefaultParagraphFont"/>
    <w:link w:val="CommentText"/>
    <w:uiPriority w:val="49"/>
    <w:rsid w:val="00AD6355"/>
  </w:style>
  <w:style w:type="paragraph" w:styleId="NormalWeb">
    <w:name w:val="Normal (Web)"/>
    <w:basedOn w:val="Normal"/>
    <w:uiPriority w:val="99"/>
    <w:semiHidden/>
    <w:unhideWhenUsed/>
    <w:rsid w:val="00DC74D0"/>
    <w:pPr>
      <w:spacing w:before="100" w:beforeAutospacing="1" w:after="100" w:afterAutospacing="1"/>
    </w:pPr>
  </w:style>
  <w:style w:type="character" w:customStyle="1" w:styleId="HeaderChar">
    <w:name w:val="Header Char"/>
    <w:basedOn w:val="DefaultParagraphFont"/>
    <w:link w:val="Header"/>
    <w:rsid w:val="009D67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79807">
      <w:bodyDiv w:val="1"/>
      <w:marLeft w:val="0"/>
      <w:marRight w:val="0"/>
      <w:marTop w:val="0"/>
      <w:marBottom w:val="0"/>
      <w:divBdr>
        <w:top w:val="none" w:sz="0" w:space="0" w:color="auto"/>
        <w:left w:val="none" w:sz="0" w:space="0" w:color="auto"/>
        <w:bottom w:val="none" w:sz="0" w:space="0" w:color="auto"/>
        <w:right w:val="none" w:sz="0" w:space="0" w:color="auto"/>
      </w:divBdr>
    </w:div>
    <w:div w:id="982346752">
      <w:bodyDiv w:val="1"/>
      <w:marLeft w:val="0"/>
      <w:marRight w:val="0"/>
      <w:marTop w:val="0"/>
      <w:marBottom w:val="0"/>
      <w:divBdr>
        <w:top w:val="none" w:sz="0" w:space="0" w:color="auto"/>
        <w:left w:val="none" w:sz="0" w:space="0" w:color="auto"/>
        <w:bottom w:val="none" w:sz="0" w:space="0" w:color="auto"/>
        <w:right w:val="none" w:sz="0" w:space="0" w:color="auto"/>
      </w:divBdr>
    </w:div>
    <w:div w:id="205477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58</Value>
      <Value>134</Value>
      <Value>10</Value>
      <Value>26</Value>
      <Value>93</Value>
      <Value>109</Value>
      <Value>142</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APS 310 Audit and Related Matters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5JENXJJSCC7A-445999044-11871</_dlc_DocId>
    <_dlc_DocIdUrl xmlns="814d62cb-2db6-4c25-ab62-b9075facbc11">
      <Url>https://im/teams/LEGAL/_layouts/15/DocIdRedir.aspx?ID=5JENXJJSCC7A-445999044-11871</Url>
      <Description>5JENXJJSCC7A-445999044-11871</Description>
    </_dlc_DocIdUrl>
    <APRAMeetingDate xmlns="814d62cb-2db6-4c25-ab62-b9075facbc11" xsi:nil="true"/>
    <APRAMeetingNumber xmlns="814d62cb-2db6-4c25-ab62-b9075facbc11"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8aef97a4-ded2-4e4a-9fbc-e666dae3ecd2" ContentTypeId="0x0101008CA7A4F8331B45C7B0D3158B4994D0CA02" PreviousValue="false"/>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4EC299-EE44-40C5-A43D-6917DB8060E5}">
  <ds:schemaRefs>
    <ds:schemaRef ds:uri="http://schemas.openxmlformats.org/package/2006/metadata/core-properties"/>
    <ds:schemaRef ds:uri="814d62cb-2db6-4c25-ab62-b9075facbc11"/>
    <ds:schemaRef ds:uri="http://purl.org/dc/terms/"/>
    <ds:schemaRef ds:uri="http://purl.org/dc/dcmitype/"/>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07238C16-5CC0-4D15-8C1D-94193F3F1211}">
  <ds:schemaRefs>
    <ds:schemaRef ds:uri="http://schemas.openxmlformats.org/officeDocument/2006/bibliography"/>
  </ds:schemaRefs>
</ds:datastoreItem>
</file>

<file path=customXml/itemProps3.xml><?xml version="1.0" encoding="utf-8"?>
<ds:datastoreItem xmlns:ds="http://schemas.openxmlformats.org/officeDocument/2006/customXml" ds:itemID="{66C371E7-2FE5-4512-8F9B-ED0061D8FE2A}">
  <ds:schemaRefs>
    <ds:schemaRef ds:uri="http://schemas.microsoft.com/sharepoint/v3/contenttype/forms"/>
  </ds:schemaRefs>
</ds:datastoreItem>
</file>

<file path=customXml/itemProps4.xml><?xml version="1.0" encoding="utf-8"?>
<ds:datastoreItem xmlns:ds="http://schemas.openxmlformats.org/officeDocument/2006/customXml" ds:itemID="{86ADF41B-220C-4327-85A5-4DB91AC4B2B5}">
  <ds:schemaRefs>
    <ds:schemaRef ds:uri="http://schemas.microsoft.com/sharepoint/events"/>
  </ds:schemaRefs>
</ds:datastoreItem>
</file>

<file path=customXml/itemProps5.xml><?xml version="1.0" encoding="utf-8"?>
<ds:datastoreItem xmlns:ds="http://schemas.openxmlformats.org/officeDocument/2006/customXml" ds:itemID="{0CD6A3F9-6289-4D22-B13F-57C6D1B10DFA}">
  <ds:schemaRefs>
    <ds:schemaRef ds:uri="Microsoft.SharePoint.Taxonomy.ContentTypeSync"/>
  </ds:schemaRefs>
</ds:datastoreItem>
</file>

<file path=customXml/itemProps6.xml><?xml version="1.0" encoding="utf-8"?>
<ds:datastoreItem xmlns:ds="http://schemas.openxmlformats.org/officeDocument/2006/customXml" ds:itemID="{7CAF48A7-C2C1-4374-B5D5-CE64EB13A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3522</Words>
  <Characters>18319</Characters>
  <Application>Microsoft Office Word</Application>
  <DocSecurity>0</DocSecurity>
  <Lines>508</Lines>
  <Paragraphs>299</Paragraphs>
  <ScaleCrop>false</ScaleCrop>
  <HeadingPairs>
    <vt:vector size="2" baseType="variant">
      <vt:variant>
        <vt:lpstr>Title</vt:lpstr>
      </vt:variant>
      <vt:variant>
        <vt:i4>1</vt:i4>
      </vt:variant>
    </vt:vector>
  </HeadingPairs>
  <TitlesOfParts>
    <vt:vector size="1" baseType="lpstr">
      <vt:lpstr>Prudential Standard APS 310 Audit and Related Matters - marked up</vt:lpstr>
    </vt:vector>
  </TitlesOfParts>
  <Company>APRA</Company>
  <LinksUpToDate>false</LinksUpToDate>
  <CharactersWithSpaces>21542</CharactersWithSpaces>
  <SharedDoc>false</SharedDoc>
  <HLinks>
    <vt:vector size="6" baseType="variant">
      <vt:variant>
        <vt:i4>3342419</vt:i4>
      </vt:variant>
      <vt:variant>
        <vt:i4>0</vt:i4>
      </vt:variant>
      <vt:variant>
        <vt:i4>0</vt:i4>
      </vt:variant>
      <vt:variant>
        <vt:i4>5</vt:i4>
      </vt:variant>
      <vt:variant>
        <vt:lpwstr>http://www.austlii.edu.au/au/legis/cth/consol_act/ba195972/s5.html</vt:lpwstr>
      </vt:variant>
      <vt:variant>
        <vt:lpwstr>authorised_deposit-taking_institution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16 of 2022</dc:title>
  <dc:creator>APRA</dc:creator>
  <cp:keywords>[SEC=OFFICIAL]</cp:keywords>
  <cp:lastModifiedBy>Toni Michalis</cp:lastModifiedBy>
  <cp:revision>2</cp:revision>
  <cp:lastPrinted>2019-06-12T06:32:00Z</cp:lastPrinted>
  <dcterms:created xsi:type="dcterms:W3CDTF">2022-12-01T06:30:00Z</dcterms:created>
  <dcterms:modified xsi:type="dcterms:W3CDTF">2022-12-01T06:30:00Z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OFFICIAL</vt:lpwstr>
  </property>
  <property fmtid="{D5CDD505-2E9C-101B-9397-08002B2CF9AE}" pid="3" name="PM_Caveats_Count">
    <vt:lpwstr>0</vt:lpwstr>
  </property>
  <property fmtid="{D5CDD505-2E9C-101B-9397-08002B2CF9AE}" pid="4" name="PM_Originator_Hash_SHA1">
    <vt:lpwstr>C3AD57350F36D8E1BD75F8F67CB06D435C9C43CA</vt:lpwstr>
  </property>
  <property fmtid="{D5CDD505-2E9C-101B-9397-08002B2CF9AE}" pid="5" name="PM_SecurityClassification">
    <vt:lpwstr>OFFICIAL</vt:lpwstr>
  </property>
  <property fmtid="{D5CDD505-2E9C-101B-9397-08002B2CF9AE}" pid="6" name="PM_DisplayValueSecClassificationWithQualifier">
    <vt:lpwstr>OFFICIAL</vt:lpwstr>
  </property>
  <property fmtid="{D5CDD505-2E9C-101B-9397-08002B2CF9AE}" pid="7" name="PM_Qualifier">
    <vt:lpwstr/>
  </property>
  <property fmtid="{D5CDD505-2E9C-101B-9397-08002B2CF9AE}" pid="8" name="PM_Hash_SHA1">
    <vt:lpwstr>C5BBC7CAA4B0B622CE18CD083E1FBEB7DC3C9459</vt:lpwstr>
  </property>
  <property fmtid="{D5CDD505-2E9C-101B-9397-08002B2CF9AE}" pid="9" name="PM_ProtectiveMarkingImage_Header">
    <vt:lpwstr>C:\Program Files\Common Files\janusNET Shared\janusSEAL\Images\DocumentSlashBlue.png</vt:lpwstr>
  </property>
  <property fmtid="{D5CDD505-2E9C-101B-9397-08002B2CF9AE}" pid="10" name="PM_InsertionValue">
    <vt:lpwstr>OFFICIAL</vt:lpwstr>
  </property>
  <property fmtid="{D5CDD505-2E9C-101B-9397-08002B2CF9AE}" pid="11" name="PM_ProtectiveMarkingValue_Header">
    <vt:lpwstr>OFFICIAL</vt:lpwstr>
  </property>
  <property fmtid="{D5CDD505-2E9C-101B-9397-08002B2CF9AE}" pid="12" name="PM_ProtectiveMarkingImage_Footer">
    <vt:lpwstr>C:\Program Files\Common Files\janusNET Shared\janusSEAL\Images\DocumentSlashBlue.png</vt:lpwstr>
  </property>
  <property fmtid="{D5CDD505-2E9C-101B-9397-08002B2CF9AE}" pid="13" name="PM_Namespace">
    <vt:lpwstr>gov.au</vt:lpwstr>
  </property>
  <property fmtid="{D5CDD505-2E9C-101B-9397-08002B2CF9AE}" pid="14" name="PM_Version">
    <vt:lpwstr>2018.4</vt:lpwstr>
  </property>
  <property fmtid="{D5CDD505-2E9C-101B-9397-08002B2CF9AE}" pid="15" name="PM_Originating_FileId">
    <vt:lpwstr>31F3649BDA6F449DAA44AC814666C8F7</vt:lpwstr>
  </property>
  <property fmtid="{D5CDD505-2E9C-101B-9397-08002B2CF9AE}" pid="16" name="PM_OriginationTimeStamp">
    <vt:lpwstr>2022-12-01T06:30:33Z</vt:lpwstr>
  </property>
  <property fmtid="{D5CDD505-2E9C-101B-9397-08002B2CF9AE}" pid="17" name="PM_Hash_Version">
    <vt:lpwstr>2018.0</vt:lpwstr>
  </property>
  <property fmtid="{D5CDD505-2E9C-101B-9397-08002B2CF9AE}" pid="18" name="PM_Hash_Salt_Prev">
    <vt:lpwstr>791E98C6A7C728ED80A33F2C2D37E311</vt:lpwstr>
  </property>
  <property fmtid="{D5CDD505-2E9C-101B-9397-08002B2CF9AE}" pid="19" name="PM_Hash_Salt">
    <vt:lpwstr>8ABD748D8DE4A18562DA11E567E76361</vt:lpwstr>
  </property>
  <property fmtid="{D5CDD505-2E9C-101B-9397-08002B2CF9AE}" pid="20" name="ContentTypeId">
    <vt:lpwstr>0x0101008CA7A4F8331B45C7B0D3158B4994D0CA0200577EC0F5A1FBFC498F9A8436B963F8A6</vt:lpwstr>
  </property>
  <property fmtid="{D5CDD505-2E9C-101B-9397-08002B2CF9AE}" pid="21" name="APRAExternalOrganisation">
    <vt:lpwstr/>
  </property>
  <property fmtid="{D5CDD505-2E9C-101B-9397-08002B2CF9AE}" pid="22" name="APRAIRTR">
    <vt:lpwstr/>
  </property>
  <property fmtid="{D5CDD505-2E9C-101B-9397-08002B2CF9AE}" pid="23" name="APRAPeriod">
    <vt:lpwstr/>
  </property>
  <property fmtid="{D5CDD505-2E9C-101B-9397-08002B2CF9AE}" pid="24"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5" name="IT system type">
    <vt:lpwstr/>
  </property>
  <property fmtid="{D5CDD505-2E9C-101B-9397-08002B2CF9AE}" pid="26" name="APRACategory">
    <vt:lpwstr/>
  </property>
  <property fmtid="{D5CDD505-2E9C-101B-9397-08002B2CF9AE}" pid="27" name="APRAPRSG">
    <vt:lpwstr/>
  </property>
  <property fmtid="{D5CDD505-2E9C-101B-9397-08002B2CF9AE}" pid="28" name="APRADocumentType">
    <vt:lpwstr>142;#Prudential standard|6ce5a155-9ab2-41e3-9b2a-5baab4b7f1d1;#58;#Legal instrument|71fd6ed3-d6d6-4975-ba99-bfe45802e734</vt:lpwstr>
  </property>
  <property fmtid="{D5CDD505-2E9C-101B-9397-08002B2CF9AE}" pid="29" name="APRAStatus">
    <vt:lpwstr>19;#Final|84d6b2d0-8498-4d62-bf46-bab38babbe9e</vt:lpwstr>
  </property>
  <property fmtid="{D5CDD505-2E9C-101B-9397-08002B2CF9AE}" pid="30" name="APRAActivity">
    <vt:lpwstr>10;#Registration|390476ce-d76d-4e8d-905f-28e32d2df127;#109;#Statutory instrument|fe68928c-5a9c-4caf-bc8c-6c18cedcb17f</vt:lpwstr>
  </property>
  <property fmtid="{D5CDD505-2E9C-101B-9397-08002B2CF9AE}" pid="31" name="APRAEntityAdviceSupport">
    <vt:lpwstr/>
  </property>
  <property fmtid="{D5CDD505-2E9C-101B-9397-08002B2CF9AE}" pid="32" name="APRALegislation">
    <vt:lpwstr/>
  </property>
  <property fmtid="{D5CDD505-2E9C-101B-9397-08002B2CF9AE}" pid="33" name="APRAYear">
    <vt:lpwstr/>
  </property>
  <property fmtid="{D5CDD505-2E9C-101B-9397-08002B2CF9AE}" pid="34" name="APRAIndustry">
    <vt:lpwstr/>
  </property>
  <property fmtid="{D5CDD505-2E9C-101B-9397-08002B2CF9AE}" pid="35" name="_dlc_DocIdItemGuid">
    <vt:lpwstr>219eeb51-b47c-46b5-89cb-cc0467141f72</vt:lpwstr>
  </property>
  <property fmtid="{D5CDD505-2E9C-101B-9397-08002B2CF9AE}" pid="36" name="RecordPoint_WorkflowType">
    <vt:lpwstr>ActiveSubmitStub</vt:lpwstr>
  </property>
  <property fmtid="{D5CDD505-2E9C-101B-9397-08002B2CF9AE}" pid="37" name="RecordPoint_ActiveItemWebId">
    <vt:lpwstr>{75a71c27-8d66-4282-ae60-1bfc22a83be1}</vt:lpwstr>
  </property>
  <property fmtid="{D5CDD505-2E9C-101B-9397-08002B2CF9AE}" pid="38" name="RecordPoint_ActiveItemSiteId">
    <vt:lpwstr>{88691c01-5bbb-4215-adc0-66cb7065b0af}</vt:lpwstr>
  </property>
  <property fmtid="{D5CDD505-2E9C-101B-9397-08002B2CF9AE}" pid="39" name="RecordPoint_ActiveItemListId">
    <vt:lpwstr>{0e59e171-09d8-4401-800a-327154450cb3}</vt:lpwstr>
  </property>
  <property fmtid="{D5CDD505-2E9C-101B-9397-08002B2CF9AE}" pid="40" name="RecordPoint_ActiveItemUniqueId">
    <vt:lpwstr>{219eeb51-b47c-46b5-89cb-cc0467141f72}</vt:lpwstr>
  </property>
  <property fmtid="{D5CDD505-2E9C-101B-9397-08002B2CF9AE}" pid="41" name="IsLocked">
    <vt:lpwstr>False</vt:lpwstr>
  </property>
  <property fmtid="{D5CDD505-2E9C-101B-9397-08002B2CF9AE}" pid="42" name="RecordPoint_RecordNumberSubmitted">
    <vt:lpwstr/>
  </property>
  <property fmtid="{D5CDD505-2E9C-101B-9397-08002B2CF9AE}" pid="43" name="RecordPoint_SubmissionCompleted">
    <vt:lpwstr/>
  </property>
  <property fmtid="{D5CDD505-2E9C-101B-9397-08002B2CF9AE}" pid="44" name="RecordPoint_SubmissionDate">
    <vt:lpwstr/>
  </property>
  <property fmtid="{D5CDD505-2E9C-101B-9397-08002B2CF9AE}" pid="45" name="RecordPoint_ActiveItemMoved">
    <vt:lpwstr/>
  </property>
  <property fmtid="{D5CDD505-2E9C-101B-9397-08002B2CF9AE}" pid="46" name="RecordPoint_RecordFormat">
    <vt:lpwstr/>
  </property>
  <property fmtid="{D5CDD505-2E9C-101B-9397-08002B2CF9AE}" pid="47" name="MSIP_Label_c0129afb-6481-4f92-bc9f-5a4a6346364d_SetDate">
    <vt:lpwstr>2022-12-01T04:37:04Z</vt:lpwstr>
  </property>
  <property fmtid="{D5CDD505-2E9C-101B-9397-08002B2CF9AE}" pid="48" name="PM_SecurityClassification_Prev">
    <vt:lpwstr>OFFICIAL</vt:lpwstr>
  </property>
  <property fmtid="{D5CDD505-2E9C-101B-9397-08002B2CF9AE}" pid="49" name="PM_Qualifier_Prev">
    <vt:lpwstr/>
  </property>
  <property fmtid="{D5CDD505-2E9C-101B-9397-08002B2CF9AE}" pid="50" name="PM_Note">
    <vt:lpwstr/>
  </property>
  <property fmtid="{D5CDD505-2E9C-101B-9397-08002B2CF9AE}" pid="51" name="PM_Markers">
    <vt:lpwstr/>
  </property>
  <property fmtid="{D5CDD505-2E9C-101B-9397-08002B2CF9AE}" pid="52" name="PM_Display">
    <vt:lpwstr>OFFICIAL</vt:lpwstr>
  </property>
  <property fmtid="{D5CDD505-2E9C-101B-9397-08002B2CF9AE}" pid="53" name="PMUuid">
    <vt:lpwstr>ABBFF5E2-9674-55C9-B08D-C9980002FD58</vt:lpwstr>
  </property>
  <property fmtid="{D5CDD505-2E9C-101B-9397-08002B2CF9AE}" pid="54" name="PMUuidVer">
    <vt:lpwstr>2022.1</vt:lpwstr>
  </property>
  <property fmtid="{D5CDD505-2E9C-101B-9397-08002B2CF9AE}" pid="55" name="PM_OriginatorUserAccountName_SHA256">
    <vt:lpwstr>6E3018F28A186D2E5FF5207C041E7A82E907C3008E071057026A53705873B72E</vt:lpwstr>
  </property>
  <property fmtid="{D5CDD505-2E9C-101B-9397-08002B2CF9AE}" pid="56" name="PM_OriginatorDomainName_SHA256">
    <vt:lpwstr>ECBDE2B44A971754412B3FB70606937A119CC0D4B6C1B658A40FBD41C30BE3EC</vt:lpwstr>
  </property>
  <property fmtid="{D5CDD505-2E9C-101B-9397-08002B2CF9AE}" pid="57" name="MSIP_Label_c0129afb-6481-4f92-bc9f-5a4a6346364d_Name">
    <vt:lpwstr>OFFICIAL</vt:lpwstr>
  </property>
  <property fmtid="{D5CDD505-2E9C-101B-9397-08002B2CF9AE}" pid="58" name="MSIP_Label_c0129afb-6481-4f92-bc9f-5a4a6346364d_SiteId">
    <vt:lpwstr>c05e3ffd-b491-4431-9809-e61d4dc78816</vt:lpwstr>
  </property>
  <property fmtid="{D5CDD505-2E9C-101B-9397-08002B2CF9AE}" pid="59" name="MSIP_Label_c0129afb-6481-4f92-bc9f-5a4a6346364d_Enabled">
    <vt:lpwstr>true</vt:lpwstr>
  </property>
  <property fmtid="{D5CDD505-2E9C-101B-9397-08002B2CF9AE}" pid="60" name="PM_MinimumSecurityClassification">
    <vt:lpwstr/>
  </property>
</Properties>
</file>