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C076A" w14:textId="77777777" w:rsidR="00086946" w:rsidRPr="00E80020" w:rsidRDefault="00086946" w:rsidP="00086946">
      <w:pPr>
        <w:rPr>
          <w:color w:val="000000"/>
        </w:rPr>
      </w:pPr>
      <w:bookmarkStart w:id="0" w:name="_Toc168113228"/>
      <w:r>
        <w:rPr>
          <w:noProof/>
          <w:color w:val="000000"/>
        </w:rPr>
        <w:drawing>
          <wp:inline distT="0" distB="0" distL="0" distR="0" wp14:anchorId="1D769755" wp14:editId="4330DD57">
            <wp:extent cx="1419225" cy="1104900"/>
            <wp:effectExtent l="0" t="0" r="9525" b="0"/>
            <wp:docPr id="1" name="Picture 1" descr="Commonwealth Coat of A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mmonwealth Coat of Ar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64A56444" w14:textId="347FC8D4" w:rsidR="00086946" w:rsidRPr="00514125" w:rsidRDefault="00086946" w:rsidP="00514125">
      <w:pPr>
        <w:pStyle w:val="Title"/>
        <w:spacing w:before="480" w:after="120"/>
        <w:jc w:val="both"/>
        <w:rPr>
          <w:rFonts w:ascii="Arial" w:hAnsi="Arial" w:cs="Arial"/>
          <w:color w:val="000000"/>
        </w:rPr>
      </w:pPr>
      <w:r w:rsidRPr="00514125">
        <w:rPr>
          <w:rFonts w:ascii="Arial" w:hAnsi="Arial" w:cs="Arial"/>
          <w:color w:val="000000"/>
        </w:rPr>
        <w:t>Banking (prudential standard) determination No.</w:t>
      </w:r>
      <w:r w:rsidR="00DD39CE" w:rsidRPr="00514125">
        <w:rPr>
          <w:rFonts w:ascii="Arial" w:hAnsi="Arial" w:cs="Arial"/>
          <w:color w:val="000000"/>
        </w:rPr>
        <w:t xml:space="preserve"> 14</w:t>
      </w:r>
      <w:r w:rsidRPr="00514125">
        <w:rPr>
          <w:rFonts w:ascii="Arial" w:hAnsi="Arial" w:cs="Arial"/>
          <w:color w:val="000000"/>
        </w:rPr>
        <w:t xml:space="preserve"> of 2022</w:t>
      </w:r>
    </w:p>
    <w:p w14:paraId="38048116" w14:textId="77777777" w:rsidR="00086946" w:rsidRPr="00514125" w:rsidRDefault="00086946" w:rsidP="00514125">
      <w:pPr>
        <w:pStyle w:val="Title"/>
        <w:spacing w:before="360" w:after="120"/>
        <w:rPr>
          <w:rFonts w:ascii="Arial" w:hAnsi="Arial" w:cs="Arial"/>
          <w:color w:val="000000"/>
          <w:sz w:val="28"/>
          <w:szCs w:val="28"/>
        </w:rPr>
      </w:pPr>
      <w:r w:rsidRPr="00514125">
        <w:rPr>
          <w:rFonts w:ascii="Arial" w:hAnsi="Arial" w:cs="Arial"/>
          <w:color w:val="000000"/>
          <w:sz w:val="28"/>
          <w:szCs w:val="28"/>
        </w:rPr>
        <w:t>Prudential Standard APS 220 Credit Risk Management</w:t>
      </w:r>
    </w:p>
    <w:p w14:paraId="1FD8F08D" w14:textId="77777777" w:rsidR="00086946" w:rsidRPr="00E80020" w:rsidRDefault="00086946" w:rsidP="00514125">
      <w:pPr>
        <w:pStyle w:val="ActTitle"/>
        <w:spacing w:before="360"/>
        <w:rPr>
          <w:color w:val="000000"/>
        </w:rPr>
      </w:pPr>
      <w:r>
        <w:rPr>
          <w:color w:val="000000"/>
        </w:rPr>
        <w:t>Banking Act 1959</w:t>
      </w:r>
    </w:p>
    <w:p w14:paraId="46D78D82" w14:textId="77777777" w:rsidR="00FC0815" w:rsidRPr="005A2039" w:rsidRDefault="00FC0815" w:rsidP="00FC0815">
      <w:pPr>
        <w:spacing w:after="0"/>
        <w:rPr>
          <w:rFonts w:ascii="Arial" w:hAnsi="Arial" w:cs="Arial"/>
          <w:sz w:val="22"/>
          <w:szCs w:val="22"/>
        </w:rPr>
      </w:pPr>
    </w:p>
    <w:p w14:paraId="391D19CB" w14:textId="59FB30E9" w:rsidR="00086946" w:rsidRPr="005A2039" w:rsidRDefault="00086946" w:rsidP="00FC0815">
      <w:pPr>
        <w:spacing w:after="0"/>
        <w:rPr>
          <w:rFonts w:ascii="Arial" w:hAnsi="Arial" w:cs="Arial"/>
          <w:sz w:val="22"/>
          <w:szCs w:val="22"/>
        </w:rPr>
      </w:pPr>
      <w:r w:rsidRPr="005A2039">
        <w:rPr>
          <w:rFonts w:ascii="Arial" w:hAnsi="Arial" w:cs="Arial"/>
          <w:sz w:val="22"/>
          <w:szCs w:val="22"/>
        </w:rPr>
        <w:t xml:space="preserve">I, </w:t>
      </w:r>
      <w:r w:rsidR="00F411C8" w:rsidRPr="005A2039">
        <w:rPr>
          <w:rFonts w:ascii="Arial" w:hAnsi="Arial" w:cs="Arial"/>
          <w:sz w:val="22"/>
          <w:szCs w:val="22"/>
        </w:rPr>
        <w:t>Renée Roberts</w:t>
      </w:r>
      <w:r w:rsidRPr="005A2039">
        <w:rPr>
          <w:rFonts w:ascii="Arial" w:hAnsi="Arial" w:cs="Arial"/>
          <w:sz w:val="22"/>
          <w:szCs w:val="22"/>
        </w:rPr>
        <w:t xml:space="preserve">, </w:t>
      </w:r>
      <w:r w:rsidR="00FF6652">
        <w:rPr>
          <w:rFonts w:ascii="Arial" w:hAnsi="Arial" w:cs="Arial"/>
          <w:sz w:val="22"/>
          <w:szCs w:val="22"/>
        </w:rPr>
        <w:t xml:space="preserve">a </w:t>
      </w:r>
      <w:r w:rsidRPr="005A2039">
        <w:rPr>
          <w:rFonts w:ascii="Arial" w:hAnsi="Arial" w:cs="Arial"/>
          <w:sz w:val="22"/>
          <w:szCs w:val="22"/>
        </w:rPr>
        <w:t>delegate of APRA:</w:t>
      </w:r>
    </w:p>
    <w:p w14:paraId="2C734049" w14:textId="77777777" w:rsidR="00086946" w:rsidRPr="00FC0815" w:rsidRDefault="00086946" w:rsidP="00FC0815">
      <w:pPr>
        <w:pStyle w:val="IntroTo"/>
        <w:ind w:left="0" w:firstLine="0"/>
        <w:jc w:val="both"/>
        <w:rPr>
          <w:rFonts w:ascii="Arial" w:hAnsi="Arial" w:cs="Arial"/>
          <w:sz w:val="22"/>
          <w:szCs w:val="22"/>
        </w:rPr>
      </w:pPr>
    </w:p>
    <w:p w14:paraId="7F33395B" w14:textId="3AC645D3" w:rsidR="00086946" w:rsidRPr="00FC0815" w:rsidRDefault="00086946" w:rsidP="00FC0815">
      <w:pPr>
        <w:pStyle w:val="instrument"/>
        <w:numPr>
          <w:ilvl w:val="1"/>
          <w:numId w:val="3"/>
        </w:numPr>
        <w:tabs>
          <w:tab w:val="clear" w:pos="1843"/>
        </w:tabs>
        <w:spacing w:after="0"/>
        <w:ind w:left="425" w:hanging="425"/>
        <w:rPr>
          <w:rFonts w:ascii="Arial" w:hAnsi="Arial" w:cs="Arial"/>
          <w:sz w:val="22"/>
          <w:szCs w:val="22"/>
        </w:rPr>
      </w:pPr>
      <w:r w:rsidRPr="00FC0815">
        <w:rPr>
          <w:rFonts w:ascii="Arial" w:hAnsi="Arial" w:cs="Arial"/>
          <w:sz w:val="22"/>
          <w:szCs w:val="22"/>
        </w:rPr>
        <w:t>under subsection 11</w:t>
      </w:r>
      <w:proofErr w:type="gramStart"/>
      <w:r w:rsidRPr="00FC0815">
        <w:rPr>
          <w:rFonts w:ascii="Arial" w:hAnsi="Arial" w:cs="Arial"/>
          <w:sz w:val="22"/>
          <w:szCs w:val="22"/>
        </w:rPr>
        <w:t>AF(</w:t>
      </w:r>
      <w:proofErr w:type="gramEnd"/>
      <w:r w:rsidRPr="00FC0815">
        <w:rPr>
          <w:rFonts w:ascii="Arial" w:hAnsi="Arial" w:cs="Arial"/>
          <w:sz w:val="22"/>
          <w:szCs w:val="22"/>
        </w:rPr>
        <w:t xml:space="preserve">3) of the </w:t>
      </w:r>
      <w:r w:rsidRPr="00FC0815">
        <w:rPr>
          <w:rFonts w:ascii="Arial" w:hAnsi="Arial" w:cs="Arial"/>
          <w:i/>
          <w:sz w:val="22"/>
          <w:szCs w:val="22"/>
        </w:rPr>
        <w:t>Banking Act 1959</w:t>
      </w:r>
      <w:r w:rsidRPr="00FC0815">
        <w:rPr>
          <w:rFonts w:ascii="Arial" w:hAnsi="Arial" w:cs="Arial"/>
          <w:sz w:val="22"/>
          <w:szCs w:val="22"/>
        </w:rPr>
        <w:t xml:space="preserve"> (the Act)</w:t>
      </w:r>
      <w:r w:rsidR="009D7102" w:rsidRPr="00FC0815">
        <w:rPr>
          <w:rFonts w:ascii="Arial" w:hAnsi="Arial" w:cs="Arial"/>
          <w:sz w:val="22"/>
          <w:szCs w:val="22"/>
        </w:rPr>
        <w:t>,</w:t>
      </w:r>
      <w:r w:rsidRPr="00FC0815">
        <w:rPr>
          <w:rFonts w:ascii="Arial" w:hAnsi="Arial" w:cs="Arial"/>
          <w:sz w:val="22"/>
          <w:szCs w:val="22"/>
        </w:rPr>
        <w:t xml:space="preserve"> REVOKE</w:t>
      </w:r>
      <w:r w:rsidR="00481E80" w:rsidRPr="00FC0815">
        <w:rPr>
          <w:rFonts w:ascii="Arial" w:hAnsi="Arial" w:cs="Arial"/>
          <w:sz w:val="22"/>
          <w:szCs w:val="22"/>
        </w:rPr>
        <w:t xml:space="preserve"> Banking (prudential standard) determination No. 1 of 2022 including  </w:t>
      </w:r>
      <w:r w:rsidR="00481E80" w:rsidRPr="00FC0815">
        <w:rPr>
          <w:rFonts w:ascii="Arial" w:hAnsi="Arial" w:cs="Arial"/>
          <w:i/>
          <w:iCs/>
          <w:color w:val="000000"/>
          <w:sz w:val="22"/>
          <w:szCs w:val="22"/>
          <w:shd w:val="clear" w:color="auto" w:fill="FFFFFF"/>
        </w:rPr>
        <w:t>Prudential Standard APS 220 Credit Risk Management</w:t>
      </w:r>
      <w:r w:rsidR="00481E80" w:rsidRPr="00FC0815">
        <w:rPr>
          <w:rFonts w:ascii="Arial" w:hAnsi="Arial" w:cs="Arial"/>
          <w:iCs/>
          <w:color w:val="000000"/>
          <w:sz w:val="22"/>
          <w:szCs w:val="22"/>
          <w:shd w:val="clear" w:color="auto" w:fill="FFFFFF"/>
        </w:rPr>
        <w:t xml:space="preserve"> made under that determination; and</w:t>
      </w:r>
    </w:p>
    <w:p w14:paraId="63718119" w14:textId="77777777" w:rsidR="00FC0815" w:rsidRPr="00FC0815" w:rsidRDefault="00FC0815" w:rsidP="00FC0815">
      <w:pPr>
        <w:pStyle w:val="instrument"/>
        <w:numPr>
          <w:ilvl w:val="0"/>
          <w:numId w:val="0"/>
        </w:numPr>
        <w:spacing w:after="0"/>
        <w:ind w:left="425"/>
        <w:rPr>
          <w:rFonts w:ascii="Arial" w:hAnsi="Arial" w:cs="Arial"/>
          <w:sz w:val="22"/>
          <w:szCs w:val="22"/>
        </w:rPr>
      </w:pPr>
    </w:p>
    <w:p w14:paraId="6B2C52A4" w14:textId="2957D54F" w:rsidR="00086946" w:rsidRPr="00FC0815" w:rsidRDefault="00086946" w:rsidP="00FC0815">
      <w:pPr>
        <w:pStyle w:val="instrument"/>
        <w:numPr>
          <w:ilvl w:val="1"/>
          <w:numId w:val="3"/>
        </w:numPr>
        <w:tabs>
          <w:tab w:val="clear" w:pos="1843"/>
        </w:tabs>
        <w:spacing w:after="0"/>
        <w:ind w:left="425" w:hanging="425"/>
        <w:rPr>
          <w:rFonts w:ascii="Arial" w:hAnsi="Arial" w:cs="Arial"/>
          <w:sz w:val="22"/>
          <w:szCs w:val="22"/>
        </w:rPr>
      </w:pPr>
      <w:r w:rsidRPr="00FC0815">
        <w:rPr>
          <w:rFonts w:ascii="Arial" w:hAnsi="Arial" w:cs="Arial"/>
          <w:sz w:val="22"/>
          <w:szCs w:val="22"/>
        </w:rPr>
        <w:t>under subsection 11</w:t>
      </w:r>
      <w:proofErr w:type="gramStart"/>
      <w:r w:rsidRPr="00FC0815">
        <w:rPr>
          <w:rFonts w:ascii="Arial" w:hAnsi="Arial" w:cs="Arial"/>
          <w:sz w:val="22"/>
          <w:szCs w:val="22"/>
        </w:rPr>
        <w:t>AF(</w:t>
      </w:r>
      <w:proofErr w:type="gramEnd"/>
      <w:r w:rsidRPr="00FC0815">
        <w:rPr>
          <w:rFonts w:ascii="Arial" w:hAnsi="Arial" w:cs="Arial"/>
          <w:sz w:val="22"/>
          <w:szCs w:val="22"/>
        </w:rPr>
        <w:t>1) of the Act</w:t>
      </w:r>
      <w:r w:rsidR="009D7102" w:rsidRPr="00FC0815">
        <w:rPr>
          <w:rFonts w:ascii="Arial" w:hAnsi="Arial" w:cs="Arial"/>
          <w:sz w:val="22"/>
          <w:szCs w:val="22"/>
        </w:rPr>
        <w:t>,</w:t>
      </w:r>
      <w:r w:rsidRPr="00FC0815">
        <w:rPr>
          <w:rFonts w:ascii="Arial" w:hAnsi="Arial" w:cs="Arial"/>
          <w:sz w:val="22"/>
          <w:szCs w:val="22"/>
        </w:rPr>
        <w:t xml:space="preserve"> DETERMINE </w:t>
      </w:r>
      <w:r w:rsidRPr="00FC0815">
        <w:rPr>
          <w:rFonts w:ascii="Arial" w:hAnsi="Arial" w:cs="Arial"/>
          <w:i/>
          <w:sz w:val="22"/>
          <w:szCs w:val="22"/>
        </w:rPr>
        <w:t>Prudential Standard APS 220 Credit Risk Management</w:t>
      </w:r>
      <w:r w:rsidRPr="00FC0815">
        <w:rPr>
          <w:rFonts w:ascii="Arial" w:hAnsi="Arial" w:cs="Arial"/>
          <w:sz w:val="22"/>
          <w:szCs w:val="22"/>
        </w:rPr>
        <w:t xml:space="preserve"> in the form set out in the </w:t>
      </w:r>
      <w:r w:rsidR="00FC0815" w:rsidRPr="00FC0815">
        <w:rPr>
          <w:rFonts w:ascii="Arial" w:hAnsi="Arial" w:cs="Arial"/>
          <w:sz w:val="22"/>
          <w:szCs w:val="22"/>
        </w:rPr>
        <w:t>s</w:t>
      </w:r>
      <w:r w:rsidRPr="00FC0815">
        <w:rPr>
          <w:rFonts w:ascii="Arial" w:hAnsi="Arial" w:cs="Arial"/>
          <w:sz w:val="22"/>
          <w:szCs w:val="22"/>
        </w:rPr>
        <w:t xml:space="preserve">chedule, which applies to </w:t>
      </w:r>
      <w:r w:rsidR="00410D70" w:rsidRPr="00FC0815">
        <w:rPr>
          <w:rFonts w:ascii="Arial" w:hAnsi="Arial" w:cs="Arial"/>
          <w:sz w:val="22"/>
          <w:szCs w:val="22"/>
        </w:rPr>
        <w:t xml:space="preserve">all </w:t>
      </w:r>
      <w:r w:rsidRPr="00FC0815">
        <w:rPr>
          <w:rFonts w:ascii="Arial" w:hAnsi="Arial" w:cs="Arial"/>
          <w:sz w:val="22"/>
          <w:szCs w:val="22"/>
        </w:rPr>
        <w:t>ADIs and authorised NOHCs</w:t>
      </w:r>
      <w:r w:rsidR="008C58F8">
        <w:rPr>
          <w:rFonts w:ascii="Arial" w:hAnsi="Arial" w:cs="Arial"/>
          <w:sz w:val="22"/>
          <w:szCs w:val="22"/>
        </w:rPr>
        <w:t xml:space="preserve"> to the extent provided in paragraphs 2 to 6 of the prudential standard</w:t>
      </w:r>
      <w:r w:rsidRPr="00FC0815">
        <w:rPr>
          <w:rFonts w:ascii="Arial" w:hAnsi="Arial" w:cs="Arial"/>
          <w:sz w:val="22"/>
          <w:szCs w:val="22"/>
        </w:rPr>
        <w:t xml:space="preserve">. </w:t>
      </w:r>
    </w:p>
    <w:p w14:paraId="2D74DC5A" w14:textId="77777777" w:rsidR="00FC0815" w:rsidRPr="00FC0815" w:rsidRDefault="00FC0815" w:rsidP="00FC0815">
      <w:pPr>
        <w:spacing w:after="0"/>
        <w:jc w:val="both"/>
        <w:rPr>
          <w:rFonts w:ascii="Arial" w:hAnsi="Arial" w:cs="Arial"/>
          <w:sz w:val="22"/>
          <w:szCs w:val="22"/>
        </w:rPr>
      </w:pPr>
    </w:p>
    <w:p w14:paraId="132B4AC2" w14:textId="379014A5" w:rsidR="00086946" w:rsidRPr="00FC0815" w:rsidRDefault="00086946" w:rsidP="00FC0815">
      <w:pPr>
        <w:spacing w:after="0"/>
        <w:jc w:val="both"/>
        <w:rPr>
          <w:rFonts w:ascii="Arial" w:hAnsi="Arial" w:cs="Arial"/>
          <w:sz w:val="22"/>
          <w:szCs w:val="22"/>
        </w:rPr>
      </w:pPr>
      <w:r w:rsidRPr="00FC0815">
        <w:rPr>
          <w:rFonts w:ascii="Arial" w:hAnsi="Arial" w:cs="Arial"/>
          <w:sz w:val="22"/>
          <w:szCs w:val="22"/>
        </w:rPr>
        <w:t>This instrument commences on 1 January 2023.</w:t>
      </w:r>
    </w:p>
    <w:p w14:paraId="35354265" w14:textId="77777777" w:rsidR="00FC0815" w:rsidRPr="00FC0815" w:rsidRDefault="00FC0815" w:rsidP="00FC0815">
      <w:pPr>
        <w:spacing w:after="0"/>
        <w:jc w:val="both"/>
        <w:rPr>
          <w:rFonts w:ascii="Arial" w:hAnsi="Arial" w:cs="Arial"/>
          <w:sz w:val="22"/>
          <w:szCs w:val="22"/>
        </w:rPr>
      </w:pPr>
    </w:p>
    <w:p w14:paraId="7EDFAD92" w14:textId="6A00CAC9" w:rsidR="00086946" w:rsidRPr="00FC0815" w:rsidRDefault="00086946" w:rsidP="00FC0815">
      <w:pPr>
        <w:pStyle w:val="IntroTo"/>
        <w:jc w:val="both"/>
        <w:rPr>
          <w:rFonts w:ascii="Arial" w:hAnsi="Arial" w:cs="Arial"/>
          <w:sz w:val="22"/>
          <w:szCs w:val="22"/>
        </w:rPr>
      </w:pPr>
      <w:r w:rsidRPr="00FC0815">
        <w:rPr>
          <w:rFonts w:ascii="Arial" w:eastAsia="Calibri" w:hAnsi="Arial" w:cs="Arial"/>
          <w:sz w:val="22"/>
          <w:szCs w:val="22"/>
          <w:lang w:eastAsia="en-AU"/>
        </w:rPr>
        <w:t>Dated</w:t>
      </w:r>
      <w:r w:rsidRPr="007D143B">
        <w:rPr>
          <w:rFonts w:ascii="Arial" w:hAnsi="Arial" w:cs="Arial"/>
          <w:sz w:val="22"/>
          <w:szCs w:val="22"/>
        </w:rPr>
        <w:t xml:space="preserve">: </w:t>
      </w:r>
      <w:sdt>
        <w:sdtPr>
          <w:rPr>
            <w:rFonts w:ascii="Arial" w:hAnsi="Arial" w:cs="Arial"/>
            <w:sz w:val="22"/>
            <w:szCs w:val="22"/>
          </w:rPr>
          <w:alias w:val="Approval date"/>
          <w:tag w:val="APRAApprovalDate"/>
          <w:id w:val="-805078090"/>
          <w:placeholder>
            <w:docPart w:val="7CC13EB73A1B436C8E719BDDCD0DDCD3"/>
          </w:placeholder>
          <w:dataBinding w:prefixMappings="xmlns:ns0='http://schemas.microsoft.com/office/2006/metadata/properties' xmlns:ns1='http://www.w3.org/2001/XMLSchema-instance' xmlns:ns2='http://schemas.microsoft.com/office/infopath/2007/PartnerControls' xmlns:ns3='814d62cb-2db6-4c25-ab62-b9075facbc11' xmlns:ns4='http://schemas.microsoft.com/sharepoint/v3' " w:xpath="/ns0:properties[1]/documentManagement[1]/ns3:APRAApprovalDate[1]" w:storeItemID="{834FACA5-FF25-44EB-9F22-13BC540CEFF1}"/>
          <w:date w:fullDate="2022-12-01T00:00:00Z">
            <w:dateFormat w:val="d MMMM yyyy"/>
            <w:lid w:val="en-AU"/>
            <w:storeMappedDataAs w:val="dateTime"/>
            <w:calendar w:val="gregorian"/>
          </w:date>
        </w:sdtPr>
        <w:sdtEndPr/>
        <w:sdtContent>
          <w:r w:rsidR="007D143B" w:rsidRPr="007D143B">
            <w:rPr>
              <w:rFonts w:ascii="Arial" w:hAnsi="Arial" w:cs="Arial"/>
              <w:sz w:val="22"/>
              <w:szCs w:val="22"/>
            </w:rPr>
            <w:t>1 December 2022</w:t>
          </w:r>
        </w:sdtContent>
      </w:sdt>
    </w:p>
    <w:p w14:paraId="6612A39C" w14:textId="77777777" w:rsidR="00086946" w:rsidRPr="00FC0815" w:rsidRDefault="00086946" w:rsidP="00FC0815">
      <w:pPr>
        <w:spacing w:after="0"/>
        <w:jc w:val="both"/>
        <w:rPr>
          <w:rFonts w:ascii="Arial" w:hAnsi="Arial" w:cs="Arial"/>
          <w:sz w:val="22"/>
          <w:szCs w:val="22"/>
        </w:rPr>
      </w:pPr>
    </w:p>
    <w:p w14:paraId="741B9553" w14:textId="77777777" w:rsidR="00086946" w:rsidRPr="00FC0815" w:rsidRDefault="00086946" w:rsidP="00FC0815">
      <w:pPr>
        <w:spacing w:after="0"/>
        <w:jc w:val="both"/>
        <w:rPr>
          <w:rFonts w:ascii="Arial" w:hAnsi="Arial" w:cs="Arial"/>
          <w:sz w:val="22"/>
          <w:szCs w:val="22"/>
        </w:rPr>
      </w:pPr>
      <w:r w:rsidRPr="007D143B">
        <w:rPr>
          <w:rFonts w:ascii="Arial" w:hAnsi="Arial" w:cs="Arial"/>
          <w:noProof/>
          <w:color w:val="2F2F2F"/>
          <w:w w:val="105"/>
          <w:sz w:val="22"/>
          <w:szCs w:val="22"/>
        </w:rPr>
        <w:t>[Signed]</w:t>
      </w:r>
    </w:p>
    <w:p w14:paraId="4E4678EF" w14:textId="77777777" w:rsidR="00FC0815" w:rsidRPr="00FC0815" w:rsidRDefault="00FC0815" w:rsidP="00FC0815">
      <w:pPr>
        <w:spacing w:after="0"/>
        <w:rPr>
          <w:rFonts w:ascii="Arial" w:hAnsi="Arial" w:cs="Arial"/>
          <w:sz w:val="22"/>
          <w:szCs w:val="22"/>
          <w:highlight w:val="yellow"/>
        </w:rPr>
      </w:pPr>
    </w:p>
    <w:p w14:paraId="1134B783" w14:textId="5A9CD93A" w:rsidR="00876F10" w:rsidRPr="005A2039" w:rsidRDefault="00876F10" w:rsidP="00FC0815">
      <w:pPr>
        <w:spacing w:after="0"/>
        <w:rPr>
          <w:rFonts w:ascii="Arial" w:hAnsi="Arial" w:cs="Arial"/>
          <w:sz w:val="22"/>
          <w:szCs w:val="22"/>
        </w:rPr>
      </w:pPr>
      <w:r w:rsidRPr="005A2039">
        <w:rPr>
          <w:rFonts w:ascii="Arial" w:hAnsi="Arial" w:cs="Arial"/>
          <w:sz w:val="22"/>
          <w:szCs w:val="22"/>
        </w:rPr>
        <w:t>Renée Roberts</w:t>
      </w:r>
    </w:p>
    <w:p w14:paraId="2E70CBA5" w14:textId="77777777" w:rsidR="00876F10" w:rsidRPr="005A2039" w:rsidRDefault="00876F10" w:rsidP="00FC0815">
      <w:pPr>
        <w:spacing w:after="0"/>
        <w:rPr>
          <w:rFonts w:ascii="Arial" w:hAnsi="Arial" w:cs="Arial"/>
          <w:sz w:val="22"/>
          <w:szCs w:val="22"/>
        </w:rPr>
      </w:pPr>
      <w:r w:rsidRPr="005A2039">
        <w:rPr>
          <w:rFonts w:ascii="Arial" w:hAnsi="Arial" w:cs="Arial"/>
          <w:sz w:val="22"/>
          <w:szCs w:val="22"/>
        </w:rPr>
        <w:t>Executive Director</w:t>
      </w:r>
    </w:p>
    <w:p w14:paraId="3841557B" w14:textId="77777777" w:rsidR="00876F10" w:rsidRPr="005A2039" w:rsidRDefault="00876F10" w:rsidP="00FC0815">
      <w:pPr>
        <w:spacing w:after="0"/>
        <w:rPr>
          <w:rFonts w:ascii="Arial" w:hAnsi="Arial" w:cs="Arial"/>
          <w:sz w:val="22"/>
          <w:szCs w:val="22"/>
        </w:rPr>
      </w:pPr>
      <w:r w:rsidRPr="005A2039">
        <w:rPr>
          <w:rFonts w:ascii="Arial" w:hAnsi="Arial" w:cs="Arial"/>
          <w:sz w:val="22"/>
          <w:szCs w:val="22"/>
        </w:rPr>
        <w:t>Policy and Advice Division</w:t>
      </w:r>
    </w:p>
    <w:p w14:paraId="0F99D208" w14:textId="77777777" w:rsidR="00086946" w:rsidRPr="00FC0815" w:rsidRDefault="00086946" w:rsidP="00FC0815">
      <w:pPr>
        <w:pStyle w:val="IH"/>
        <w:ind w:left="0" w:firstLine="0"/>
        <w:rPr>
          <w:rFonts w:cs="Arial"/>
          <w:color w:val="000000"/>
          <w:sz w:val="22"/>
          <w:szCs w:val="22"/>
        </w:rPr>
      </w:pPr>
      <w:r w:rsidRPr="00FC0815">
        <w:rPr>
          <w:rFonts w:cs="Arial"/>
          <w:color w:val="000000"/>
          <w:sz w:val="22"/>
          <w:szCs w:val="22"/>
        </w:rPr>
        <w:t>Interpretation</w:t>
      </w:r>
    </w:p>
    <w:p w14:paraId="7C8957DE" w14:textId="77777777" w:rsidR="00086946" w:rsidRPr="00FC0815" w:rsidRDefault="00086946" w:rsidP="00FC0815">
      <w:pPr>
        <w:pStyle w:val="ip"/>
        <w:keepNext/>
        <w:spacing w:before="120" w:beforeAutospacing="0" w:after="0" w:afterAutospacing="0"/>
        <w:ind w:left="964" w:hanging="964"/>
        <w:jc w:val="both"/>
        <w:rPr>
          <w:rFonts w:ascii="Arial" w:hAnsi="Arial" w:cs="Arial"/>
          <w:color w:val="000000"/>
          <w:sz w:val="22"/>
          <w:szCs w:val="22"/>
        </w:rPr>
      </w:pPr>
      <w:r w:rsidRPr="00FC0815">
        <w:rPr>
          <w:rFonts w:ascii="Arial" w:hAnsi="Arial" w:cs="Arial"/>
          <w:color w:val="000000"/>
          <w:sz w:val="22"/>
          <w:szCs w:val="22"/>
        </w:rPr>
        <w:t>In this instrument:</w:t>
      </w:r>
    </w:p>
    <w:p w14:paraId="760BCDF8" w14:textId="77777777" w:rsidR="00FC0815" w:rsidRPr="00FC0815" w:rsidRDefault="00FC0815" w:rsidP="00FC0815">
      <w:pPr>
        <w:spacing w:before="120" w:after="0"/>
        <w:rPr>
          <w:rFonts w:ascii="Arial" w:hAnsi="Arial" w:cs="Arial"/>
          <w:color w:val="000000"/>
          <w:sz w:val="22"/>
          <w:szCs w:val="22"/>
        </w:rPr>
      </w:pPr>
      <w:r w:rsidRPr="00FC0815">
        <w:rPr>
          <w:rFonts w:ascii="Arial" w:hAnsi="Arial" w:cs="Arial"/>
          <w:b/>
          <w:bCs/>
          <w:i/>
          <w:iCs/>
          <w:color w:val="000000"/>
          <w:sz w:val="22"/>
          <w:szCs w:val="22"/>
        </w:rPr>
        <w:t xml:space="preserve">APRA </w:t>
      </w:r>
      <w:r w:rsidRPr="00FC0815">
        <w:rPr>
          <w:rFonts w:ascii="Arial" w:hAnsi="Arial" w:cs="Arial"/>
          <w:color w:val="000000"/>
          <w:sz w:val="22"/>
          <w:szCs w:val="22"/>
        </w:rPr>
        <w:t>means the Australian Prudential Regulation Authority.</w:t>
      </w:r>
    </w:p>
    <w:p w14:paraId="4D3914A1" w14:textId="5E98D205" w:rsidR="00057FAE" w:rsidRDefault="00086946" w:rsidP="00FC0815">
      <w:pPr>
        <w:spacing w:before="120" w:after="0"/>
        <w:rPr>
          <w:rFonts w:ascii="Arial" w:hAnsi="Arial" w:cs="Arial"/>
          <w:color w:val="000000"/>
          <w:sz w:val="22"/>
          <w:szCs w:val="22"/>
        </w:rPr>
      </w:pPr>
      <w:proofErr w:type="gramStart"/>
      <w:r w:rsidRPr="00FC0815">
        <w:rPr>
          <w:rFonts w:ascii="Arial" w:hAnsi="Arial" w:cs="Arial"/>
          <w:b/>
          <w:bCs/>
          <w:i/>
          <w:iCs/>
          <w:color w:val="000000"/>
          <w:sz w:val="22"/>
          <w:szCs w:val="22"/>
        </w:rPr>
        <w:t>ADI </w:t>
      </w:r>
      <w:r w:rsidRPr="00FC0815">
        <w:rPr>
          <w:rFonts w:ascii="Arial" w:hAnsi="Arial" w:cs="Arial"/>
          <w:color w:val="000000"/>
          <w:sz w:val="22"/>
          <w:szCs w:val="22"/>
        </w:rPr>
        <w:t xml:space="preserve"> </w:t>
      </w:r>
      <w:r w:rsidR="00FC0815">
        <w:rPr>
          <w:rFonts w:ascii="Arial" w:hAnsi="Arial" w:cs="Arial"/>
          <w:color w:val="000000"/>
          <w:sz w:val="22"/>
          <w:szCs w:val="22"/>
        </w:rPr>
        <w:t>and</w:t>
      </w:r>
      <w:proofErr w:type="gramEnd"/>
      <w:r w:rsidR="00FC0815">
        <w:rPr>
          <w:rFonts w:ascii="Arial" w:hAnsi="Arial" w:cs="Arial"/>
          <w:color w:val="000000"/>
          <w:sz w:val="22"/>
          <w:szCs w:val="22"/>
        </w:rPr>
        <w:t xml:space="preserve"> </w:t>
      </w:r>
      <w:r w:rsidRPr="00FC0815">
        <w:rPr>
          <w:rFonts w:ascii="Arial" w:hAnsi="Arial" w:cs="Arial"/>
          <w:b/>
          <w:bCs/>
          <w:i/>
          <w:iCs/>
          <w:color w:val="000000"/>
          <w:sz w:val="22"/>
          <w:szCs w:val="22"/>
        </w:rPr>
        <w:t>authorised NOHC</w:t>
      </w:r>
      <w:r w:rsidRPr="00FC0815">
        <w:rPr>
          <w:rFonts w:ascii="Arial" w:hAnsi="Arial" w:cs="Arial"/>
          <w:color w:val="000000"/>
          <w:sz w:val="22"/>
          <w:szCs w:val="22"/>
        </w:rPr>
        <w:t xml:space="preserve"> </w:t>
      </w:r>
      <w:r w:rsidR="00FC0815">
        <w:rPr>
          <w:rFonts w:ascii="Arial" w:hAnsi="Arial" w:cs="Arial"/>
          <w:color w:val="000000"/>
          <w:sz w:val="22"/>
          <w:szCs w:val="22"/>
        </w:rPr>
        <w:t xml:space="preserve">have their respective meanings </w:t>
      </w:r>
      <w:r w:rsidRPr="00FC0815">
        <w:rPr>
          <w:rFonts w:ascii="Arial" w:hAnsi="Arial" w:cs="Arial"/>
          <w:color w:val="000000"/>
          <w:sz w:val="22"/>
          <w:szCs w:val="22"/>
        </w:rPr>
        <w:t>given in section 5 of the Act</w:t>
      </w:r>
      <w:r w:rsidR="008F1D81">
        <w:rPr>
          <w:rFonts w:ascii="Arial" w:hAnsi="Arial" w:cs="Arial"/>
          <w:color w:val="000000"/>
          <w:sz w:val="22"/>
          <w:szCs w:val="22"/>
        </w:rPr>
        <w:t>.</w:t>
      </w:r>
    </w:p>
    <w:p w14:paraId="7175E9DC" w14:textId="77777777" w:rsidR="00057FAE" w:rsidRDefault="00057FAE">
      <w:pPr>
        <w:rPr>
          <w:rFonts w:ascii="Arial" w:hAnsi="Arial" w:cs="Arial"/>
          <w:color w:val="000000"/>
          <w:sz w:val="22"/>
          <w:szCs w:val="22"/>
        </w:rPr>
      </w:pPr>
      <w:r>
        <w:rPr>
          <w:rFonts w:ascii="Arial" w:hAnsi="Arial" w:cs="Arial"/>
          <w:color w:val="000000"/>
          <w:sz w:val="22"/>
          <w:szCs w:val="22"/>
        </w:rPr>
        <w:br w:type="page"/>
      </w:r>
    </w:p>
    <w:p w14:paraId="6A183D9A" w14:textId="77777777" w:rsidR="00057FAE" w:rsidRPr="00514125" w:rsidRDefault="00057FAE" w:rsidP="00057FAE">
      <w:pPr>
        <w:pStyle w:val="AS"/>
        <w:spacing w:before="0" w:after="240"/>
        <w:ind w:left="0" w:firstLine="0"/>
        <w:rPr>
          <w:rStyle w:val="CharSchText"/>
          <w:color w:val="000000"/>
        </w:rPr>
      </w:pPr>
      <w:r w:rsidRPr="00514125">
        <w:rPr>
          <w:rStyle w:val="CharSchNo"/>
          <w:color w:val="000000"/>
        </w:rPr>
        <w:lastRenderedPageBreak/>
        <w:t xml:space="preserve">Schedule </w:t>
      </w:r>
    </w:p>
    <w:p w14:paraId="3F003CA0" w14:textId="77777777" w:rsidR="00057FAE" w:rsidRPr="00FC0815" w:rsidRDefault="00057FAE" w:rsidP="00057FAE">
      <w:pPr>
        <w:spacing w:after="0"/>
        <w:jc w:val="both"/>
        <w:rPr>
          <w:rFonts w:ascii="Arial" w:hAnsi="Arial" w:cs="Arial"/>
          <w:bCs/>
          <w:sz w:val="22"/>
          <w:szCs w:val="22"/>
        </w:rPr>
      </w:pPr>
      <w:r w:rsidRPr="00FC0815">
        <w:rPr>
          <w:rFonts w:ascii="Arial" w:hAnsi="Arial" w:cs="Arial"/>
          <w:bCs/>
          <w:i/>
          <w:sz w:val="22"/>
          <w:szCs w:val="22"/>
        </w:rPr>
        <w:t>Prudential Standard APS 220 Credit Risk Management</w:t>
      </w:r>
      <w:r w:rsidRPr="00FC0815">
        <w:rPr>
          <w:rFonts w:ascii="Arial" w:hAnsi="Arial" w:cs="Arial"/>
          <w:bCs/>
          <w:sz w:val="22"/>
          <w:szCs w:val="22"/>
        </w:rPr>
        <w:t xml:space="preserve"> comprises the document commencing on the following page.</w:t>
      </w:r>
    </w:p>
    <w:p w14:paraId="07E862BD" w14:textId="77777777" w:rsidR="00086946" w:rsidRPr="00FC0815" w:rsidRDefault="00086946" w:rsidP="00FC0815">
      <w:pPr>
        <w:spacing w:before="120" w:after="0"/>
        <w:rPr>
          <w:rFonts w:ascii="Arial" w:hAnsi="Arial" w:cs="Arial"/>
          <w:color w:val="000000"/>
          <w:sz w:val="22"/>
          <w:szCs w:val="22"/>
        </w:rPr>
      </w:pPr>
    </w:p>
    <w:p w14:paraId="21D93770" w14:textId="77777777" w:rsidR="00086946" w:rsidRPr="00FC0815" w:rsidRDefault="00086946" w:rsidP="00FC0815">
      <w:pPr>
        <w:spacing w:after="0"/>
        <w:rPr>
          <w:rFonts w:ascii="Arial" w:hAnsi="Arial" w:cs="Arial"/>
          <w:sz w:val="22"/>
          <w:szCs w:val="22"/>
          <w:lang w:eastAsia="en-US"/>
        </w:rPr>
      </w:pPr>
    </w:p>
    <w:p w14:paraId="4E406DE2" w14:textId="77777777" w:rsidR="00961815" w:rsidRPr="00FC0815" w:rsidRDefault="00961815" w:rsidP="00FC0815">
      <w:pPr>
        <w:pStyle w:val="AS"/>
        <w:spacing w:before="0"/>
        <w:ind w:left="0" w:firstLine="0"/>
        <w:rPr>
          <w:rStyle w:val="CharSchNo"/>
          <w:color w:val="000000"/>
          <w:sz w:val="22"/>
          <w:szCs w:val="22"/>
        </w:rPr>
        <w:sectPr w:rsidR="00961815" w:rsidRPr="00FC0815" w:rsidSect="00514125">
          <w:headerReference w:type="default" r:id="rId14"/>
          <w:footerReference w:type="default" r:id="rId15"/>
          <w:headerReference w:type="first" r:id="rId16"/>
          <w:pgSz w:w="11906" w:h="16838" w:code="9"/>
          <w:pgMar w:top="1440" w:right="1440" w:bottom="1440" w:left="1440" w:header="709" w:footer="709" w:gutter="0"/>
          <w:pgNumType w:start="1"/>
          <w:cols w:space="708"/>
          <w:titlePg/>
          <w:docGrid w:linePitch="360"/>
        </w:sectPr>
      </w:pPr>
    </w:p>
    <w:bookmarkEnd w:id="0"/>
    <w:p w14:paraId="65E04DB5" w14:textId="6D2FD8CB" w:rsidR="003B52EB" w:rsidRDefault="00506079" w:rsidP="00414895">
      <w:r>
        <w:rPr>
          <w:noProof/>
        </w:rPr>
        <w:lastRenderedPageBreak/>
        <w:drawing>
          <wp:inline distT="0" distB="0" distL="0" distR="0" wp14:anchorId="5615CA6A" wp14:editId="1D687A61">
            <wp:extent cx="1485900" cy="1095375"/>
            <wp:effectExtent l="0" t="0" r="0" b="9525"/>
            <wp:docPr id="2" name="Picture 1" descr="Commonwealth Coat of A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ommonwealth Coat of Arm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85900" cy="1095375"/>
                    </a:xfrm>
                    <a:prstGeom prst="rect">
                      <a:avLst/>
                    </a:prstGeom>
                    <a:noFill/>
                    <a:ln>
                      <a:noFill/>
                    </a:ln>
                  </pic:spPr>
                </pic:pic>
              </a:graphicData>
            </a:graphic>
          </wp:inline>
        </w:drawing>
      </w:r>
    </w:p>
    <w:p w14:paraId="6911F9A2" w14:textId="4E07CEF2" w:rsidR="00DA3651" w:rsidRPr="00B3466B" w:rsidRDefault="006A6A52" w:rsidP="001F6B8D">
      <w:pPr>
        <w:pStyle w:val="Title"/>
      </w:pPr>
      <w:bookmarkStart w:id="1" w:name="_Toc326937696"/>
      <w:r w:rsidRPr="00B3466B">
        <w:t>Prudential Standard</w:t>
      </w:r>
      <w:r w:rsidRPr="00B3466B">
        <w:rPr>
          <w:rStyle w:val="PSNofieldtext"/>
        </w:rPr>
        <w:t xml:space="preserve"> </w:t>
      </w:r>
      <w:r w:rsidR="00007438" w:rsidRPr="00B3466B">
        <w:rPr>
          <w:rStyle w:val="PSNofieldtext"/>
        </w:rPr>
        <w:t>APS 2</w:t>
      </w:r>
      <w:r w:rsidR="00D3352F" w:rsidRPr="00B3466B">
        <w:rPr>
          <w:rStyle w:val="PSNofieldtext"/>
        </w:rPr>
        <w:t>2</w:t>
      </w:r>
      <w:r w:rsidR="00007438" w:rsidRPr="00B3466B">
        <w:rPr>
          <w:rStyle w:val="PSNofieldtext"/>
        </w:rPr>
        <w:t>0</w:t>
      </w:r>
    </w:p>
    <w:bookmarkEnd w:id="1"/>
    <w:p w14:paraId="71A2B6BB" w14:textId="0D39DA59" w:rsidR="00BC2D08" w:rsidRPr="00110917" w:rsidRDefault="00007438" w:rsidP="001F6B8D">
      <w:pPr>
        <w:pStyle w:val="Title"/>
      </w:pPr>
      <w:r>
        <w:rPr>
          <w:rStyle w:val="PSNamefieldtext"/>
        </w:rPr>
        <w:t xml:space="preserve">Credit </w:t>
      </w:r>
      <w:r w:rsidR="00526166">
        <w:rPr>
          <w:rStyle w:val="PSNamefieldtext"/>
        </w:rPr>
        <w:t>R</w:t>
      </w:r>
      <w:r w:rsidR="008D217A">
        <w:rPr>
          <w:rStyle w:val="PSNamefieldtext"/>
        </w:rPr>
        <w:t xml:space="preserve">isk </w:t>
      </w:r>
      <w:r w:rsidR="00526166">
        <w:rPr>
          <w:rStyle w:val="PSNamefieldtext"/>
        </w:rPr>
        <w:t>M</w:t>
      </w:r>
      <w:r w:rsidR="008D217A">
        <w:rPr>
          <w:rStyle w:val="PSNamefieldtext"/>
        </w:rPr>
        <w:t>anagement</w:t>
      </w:r>
    </w:p>
    <w:tbl>
      <w:tblPr>
        <w:tblStyle w:val="TableGrid"/>
        <w:tblW w:w="0" w:type="auto"/>
        <w:shd w:val="clear" w:color="auto" w:fill="DDDDDD"/>
        <w:tblLook w:val="04A0" w:firstRow="1" w:lastRow="0" w:firstColumn="1" w:lastColumn="0" w:noHBand="0" w:noVBand="1"/>
      </w:tblPr>
      <w:tblGrid>
        <w:gridCol w:w="8302"/>
      </w:tblGrid>
      <w:tr w:rsidR="0048511B" w14:paraId="3CAB31E3" w14:textId="77777777" w:rsidTr="00DF539C">
        <w:tc>
          <w:tcPr>
            <w:tcW w:w="8528" w:type="dxa"/>
            <w:shd w:val="clear" w:color="auto" w:fill="DDDDDD"/>
          </w:tcPr>
          <w:p w14:paraId="0A491FF2" w14:textId="0A2446D3" w:rsidR="003C46D7" w:rsidRPr="00B37C03" w:rsidRDefault="003C46D7" w:rsidP="00D43985">
            <w:pPr>
              <w:pStyle w:val="BoxHeading"/>
              <w:jc w:val="both"/>
            </w:pPr>
            <w:r w:rsidRPr="00B37C03">
              <w:t xml:space="preserve">Objectives and key requirements of this Prudential </w:t>
            </w:r>
            <w:r w:rsidRPr="00173A04">
              <w:t>Standard</w:t>
            </w:r>
          </w:p>
          <w:p w14:paraId="7A784132" w14:textId="014FB814" w:rsidR="008E19E2" w:rsidRPr="00BE57FC" w:rsidRDefault="00037658" w:rsidP="00D43985">
            <w:pPr>
              <w:jc w:val="both"/>
            </w:pPr>
            <w:r w:rsidRPr="00BE57FC">
              <w:t xml:space="preserve">This Prudential Standard requires an </w:t>
            </w:r>
            <w:r w:rsidR="00584A0D" w:rsidRPr="00620C2A">
              <w:t>a</w:t>
            </w:r>
            <w:r w:rsidRPr="00620C2A">
              <w:t xml:space="preserve">uthorised </w:t>
            </w:r>
            <w:r w:rsidR="00584A0D" w:rsidRPr="00620C2A">
              <w:t>d</w:t>
            </w:r>
            <w:r w:rsidRPr="00620C2A">
              <w:t>eposit</w:t>
            </w:r>
            <w:r w:rsidR="00B52FD0" w:rsidRPr="00620C2A">
              <w:t>-</w:t>
            </w:r>
            <w:r w:rsidRPr="00BE57FC">
              <w:t xml:space="preserve">taking </w:t>
            </w:r>
            <w:r w:rsidR="00584A0D" w:rsidRPr="00620C2A">
              <w:t>i</w:t>
            </w:r>
            <w:r w:rsidRPr="00620C2A">
              <w:t>nstitution</w:t>
            </w:r>
            <w:r w:rsidRPr="00BE57FC">
              <w:t xml:space="preserve"> to</w:t>
            </w:r>
            <w:r w:rsidR="007B437D" w:rsidRPr="00BE57FC">
              <w:t xml:space="preserve"> </w:t>
            </w:r>
            <w:r w:rsidR="006A1671">
              <w:t>implement</w:t>
            </w:r>
            <w:r w:rsidR="00A81058" w:rsidRPr="00BE57FC">
              <w:t xml:space="preserve"> </w:t>
            </w:r>
            <w:r w:rsidR="002535AC" w:rsidRPr="00BE57FC">
              <w:t xml:space="preserve">a credit risk management framework that is appropriate to </w:t>
            </w:r>
            <w:r w:rsidR="005755D5">
              <w:t>its</w:t>
            </w:r>
            <w:r w:rsidR="005755D5" w:rsidRPr="00BE57FC">
              <w:t xml:space="preserve"> </w:t>
            </w:r>
            <w:r w:rsidR="002535AC" w:rsidRPr="00BE57FC">
              <w:t>size, business mix and complexity.</w:t>
            </w:r>
          </w:p>
          <w:p w14:paraId="6EA87958" w14:textId="03656A82" w:rsidR="0048511B" w:rsidRPr="00BE57FC" w:rsidRDefault="0048511B" w:rsidP="00D43985">
            <w:pPr>
              <w:jc w:val="both"/>
            </w:pPr>
            <w:r w:rsidRPr="00BE57FC">
              <w:t xml:space="preserve">The key requirements of this Prudential Standard </w:t>
            </w:r>
            <w:r w:rsidR="00A81058" w:rsidRPr="00BE57FC">
              <w:t xml:space="preserve">are that an </w:t>
            </w:r>
            <w:r w:rsidR="00B52FD0" w:rsidRPr="00BE57FC">
              <w:t>authorised deposit-taking institution</w:t>
            </w:r>
            <w:r w:rsidR="00A81058" w:rsidRPr="00620C2A">
              <w:t xml:space="preserve"> </w:t>
            </w:r>
            <w:r w:rsidR="00A81058" w:rsidRPr="00BE57FC">
              <w:t>must</w:t>
            </w:r>
            <w:r w:rsidR="004F3780">
              <w:t xml:space="preserve"> </w:t>
            </w:r>
            <w:r w:rsidR="00835A95">
              <w:t>maintain</w:t>
            </w:r>
            <w:r w:rsidRPr="00BE57FC">
              <w:t>:</w:t>
            </w:r>
          </w:p>
          <w:p w14:paraId="3DC8778F" w14:textId="42880397" w:rsidR="001676BC" w:rsidRPr="00BE57FC" w:rsidRDefault="00A81058" w:rsidP="00D43985">
            <w:pPr>
              <w:pStyle w:val="BoxBullet"/>
              <w:jc w:val="both"/>
              <w:rPr>
                <w:szCs w:val="24"/>
              </w:rPr>
            </w:pPr>
            <w:r w:rsidRPr="00BE57FC">
              <w:rPr>
                <w:szCs w:val="24"/>
              </w:rPr>
              <w:t xml:space="preserve">an appropriate credit risk </w:t>
            </w:r>
            <w:r w:rsidR="00A91B64">
              <w:rPr>
                <w:szCs w:val="24"/>
              </w:rPr>
              <w:t xml:space="preserve">appetite statement and credit risk </w:t>
            </w:r>
            <w:r w:rsidR="008221EA" w:rsidRPr="00BE57FC">
              <w:rPr>
                <w:szCs w:val="24"/>
              </w:rPr>
              <w:t xml:space="preserve">management </w:t>
            </w:r>
            <w:r w:rsidRPr="00BE57FC">
              <w:rPr>
                <w:szCs w:val="24"/>
              </w:rPr>
              <w:t>strategy</w:t>
            </w:r>
            <w:r w:rsidR="00B75EF4" w:rsidRPr="00BE57FC">
              <w:rPr>
                <w:szCs w:val="24"/>
              </w:rPr>
              <w:t xml:space="preserve"> that reflects </w:t>
            </w:r>
            <w:r w:rsidR="00B52FD0" w:rsidRPr="00620C2A">
              <w:rPr>
                <w:szCs w:val="24"/>
              </w:rPr>
              <w:t>its</w:t>
            </w:r>
            <w:r w:rsidR="002535AC" w:rsidRPr="00BE57FC">
              <w:rPr>
                <w:szCs w:val="24"/>
              </w:rPr>
              <w:t xml:space="preserve"> </w:t>
            </w:r>
            <w:r w:rsidR="00CB6085" w:rsidRPr="00BE57FC">
              <w:rPr>
                <w:szCs w:val="24"/>
              </w:rPr>
              <w:t xml:space="preserve">credit </w:t>
            </w:r>
            <w:r w:rsidR="00B75EF4" w:rsidRPr="00BE57FC">
              <w:rPr>
                <w:szCs w:val="24"/>
              </w:rPr>
              <w:t>risk appetite</w:t>
            </w:r>
            <w:r w:rsidR="00CB6085" w:rsidRPr="00BE57FC">
              <w:rPr>
                <w:szCs w:val="24"/>
              </w:rPr>
              <w:t xml:space="preserve"> and</w:t>
            </w:r>
            <w:r w:rsidR="00B75EF4" w:rsidRPr="00BE57FC">
              <w:rPr>
                <w:szCs w:val="24"/>
              </w:rPr>
              <w:t xml:space="preserve"> </w:t>
            </w:r>
            <w:r w:rsidR="00CB6085" w:rsidRPr="00BE57FC">
              <w:rPr>
                <w:szCs w:val="24"/>
              </w:rPr>
              <w:t xml:space="preserve">credit </w:t>
            </w:r>
            <w:r w:rsidR="00B75EF4" w:rsidRPr="00BE57FC">
              <w:rPr>
                <w:szCs w:val="24"/>
              </w:rPr>
              <w:t>risk profile</w:t>
            </w:r>
            <w:r w:rsidR="00CB6085" w:rsidRPr="00BE57FC">
              <w:rPr>
                <w:szCs w:val="24"/>
              </w:rPr>
              <w:t>;</w:t>
            </w:r>
          </w:p>
          <w:p w14:paraId="00178233" w14:textId="0B6CA18B" w:rsidR="00540BB5" w:rsidRPr="00BE57FC" w:rsidRDefault="00AB28BD" w:rsidP="00D43985">
            <w:pPr>
              <w:pStyle w:val="BoxBullet"/>
              <w:jc w:val="both"/>
              <w:rPr>
                <w:szCs w:val="24"/>
              </w:rPr>
            </w:pPr>
            <w:r>
              <w:rPr>
                <w:szCs w:val="24"/>
              </w:rPr>
              <w:t xml:space="preserve">prudent </w:t>
            </w:r>
            <w:r w:rsidR="007A5F15" w:rsidRPr="00BE57FC">
              <w:rPr>
                <w:szCs w:val="24"/>
              </w:rPr>
              <w:t xml:space="preserve">policies and processes to identify, measure, monitor, report and control </w:t>
            </w:r>
            <w:r w:rsidR="00BC5BD0">
              <w:rPr>
                <w:szCs w:val="24"/>
              </w:rPr>
              <w:t xml:space="preserve">or mitigate </w:t>
            </w:r>
            <w:r w:rsidR="007A5F15" w:rsidRPr="00BE57FC">
              <w:rPr>
                <w:szCs w:val="24"/>
              </w:rPr>
              <w:t>credit risk</w:t>
            </w:r>
            <w:r w:rsidR="008055E2" w:rsidRPr="00BE57FC">
              <w:rPr>
                <w:szCs w:val="24"/>
              </w:rPr>
              <w:t xml:space="preserve"> over the</w:t>
            </w:r>
            <w:r w:rsidR="007A5F15" w:rsidRPr="00BE57FC">
              <w:rPr>
                <w:szCs w:val="24"/>
              </w:rPr>
              <w:t xml:space="preserve"> </w:t>
            </w:r>
            <w:r w:rsidR="008055E2" w:rsidRPr="00BE57FC">
              <w:rPr>
                <w:szCs w:val="24"/>
              </w:rPr>
              <w:t>full credit life</w:t>
            </w:r>
            <w:r w:rsidR="00B52FD0" w:rsidRPr="00620C2A">
              <w:rPr>
                <w:szCs w:val="24"/>
              </w:rPr>
              <w:t>-</w:t>
            </w:r>
            <w:r w:rsidR="008055E2" w:rsidRPr="00BE57FC">
              <w:rPr>
                <w:szCs w:val="24"/>
              </w:rPr>
              <w:t>cycle;</w:t>
            </w:r>
          </w:p>
          <w:p w14:paraId="22C4900D" w14:textId="50C6E17E" w:rsidR="008055E2" w:rsidRPr="00BE57FC" w:rsidRDefault="008055E2" w:rsidP="00D43985">
            <w:pPr>
              <w:pStyle w:val="BoxBullet"/>
              <w:jc w:val="both"/>
              <w:rPr>
                <w:szCs w:val="24"/>
              </w:rPr>
            </w:pPr>
            <w:r w:rsidRPr="00BE57FC">
              <w:rPr>
                <w:szCs w:val="24"/>
              </w:rPr>
              <w:t>sound credit assessment and approval criteria</w:t>
            </w:r>
            <w:r w:rsidR="002038D5" w:rsidRPr="00BE57FC">
              <w:rPr>
                <w:szCs w:val="24"/>
              </w:rPr>
              <w:t xml:space="preserve">, including </w:t>
            </w:r>
            <w:r w:rsidR="00A73A15" w:rsidRPr="00BE57FC">
              <w:rPr>
                <w:szCs w:val="24"/>
              </w:rPr>
              <w:t>for the</w:t>
            </w:r>
            <w:r w:rsidR="000F5D82" w:rsidRPr="00BE57FC">
              <w:rPr>
                <w:szCs w:val="24"/>
              </w:rPr>
              <w:t xml:space="preserve"> comprehensive assessment of a </w:t>
            </w:r>
            <w:r w:rsidR="002038D5" w:rsidRPr="00620C2A">
              <w:rPr>
                <w:szCs w:val="24"/>
              </w:rPr>
              <w:t>borrower’s</w:t>
            </w:r>
            <w:r w:rsidR="002038D5" w:rsidRPr="00BE57FC">
              <w:rPr>
                <w:szCs w:val="24"/>
              </w:rPr>
              <w:t xml:space="preserve"> repayment capacity</w:t>
            </w:r>
            <w:r w:rsidRPr="00BE57FC">
              <w:rPr>
                <w:szCs w:val="24"/>
              </w:rPr>
              <w:t>;</w:t>
            </w:r>
          </w:p>
          <w:p w14:paraId="4D5234DC" w14:textId="32E05099" w:rsidR="000B0E2A" w:rsidRPr="00BE57FC" w:rsidRDefault="000B0E2A" w:rsidP="00D43985">
            <w:pPr>
              <w:pStyle w:val="BoxBullet"/>
              <w:jc w:val="both"/>
              <w:rPr>
                <w:szCs w:val="24"/>
              </w:rPr>
            </w:pPr>
            <w:r w:rsidRPr="00BE57FC">
              <w:rPr>
                <w:szCs w:val="24"/>
              </w:rPr>
              <w:t xml:space="preserve">an appropriate system for the </w:t>
            </w:r>
            <w:r w:rsidRPr="00620C2A">
              <w:rPr>
                <w:szCs w:val="24"/>
              </w:rPr>
              <w:t>ongoing</w:t>
            </w:r>
            <w:r w:rsidRPr="00BE57FC">
              <w:rPr>
                <w:szCs w:val="24"/>
              </w:rPr>
              <w:t xml:space="preserve"> administration of its credit portfolio;</w:t>
            </w:r>
          </w:p>
          <w:p w14:paraId="627A5539" w14:textId="69DCF383" w:rsidR="00A81058" w:rsidRPr="006C7D1B" w:rsidRDefault="00AB28BD" w:rsidP="00D43985">
            <w:pPr>
              <w:pStyle w:val="BoxBullet"/>
              <w:jc w:val="both"/>
              <w:rPr>
                <w:szCs w:val="24"/>
              </w:rPr>
            </w:pPr>
            <w:r w:rsidRPr="006C7D1B">
              <w:rPr>
                <w:szCs w:val="24"/>
              </w:rPr>
              <w:t xml:space="preserve">prudent </w:t>
            </w:r>
            <w:r w:rsidR="00A81058" w:rsidRPr="006C7D1B">
              <w:rPr>
                <w:szCs w:val="24"/>
              </w:rPr>
              <w:t xml:space="preserve">policies and processes for the early identification and management of </w:t>
            </w:r>
            <w:r w:rsidR="006C7D1B" w:rsidRPr="006C7D1B">
              <w:rPr>
                <w:szCs w:val="24"/>
              </w:rPr>
              <w:t>problem exposures, including non-performing and restructured exposures and other transactions</w:t>
            </w:r>
            <w:r w:rsidR="00A81058" w:rsidRPr="006C7D1B">
              <w:rPr>
                <w:szCs w:val="24"/>
              </w:rPr>
              <w:t>;</w:t>
            </w:r>
            <w:r w:rsidR="00E41F51" w:rsidRPr="006C7D1B">
              <w:rPr>
                <w:szCs w:val="24"/>
              </w:rPr>
              <w:t xml:space="preserve"> and</w:t>
            </w:r>
          </w:p>
          <w:p w14:paraId="619217E2" w14:textId="7970537B" w:rsidR="00540BB5" w:rsidRDefault="00540BB5" w:rsidP="00D43985">
            <w:pPr>
              <w:pStyle w:val="BoxBullet"/>
              <w:jc w:val="both"/>
            </w:pPr>
            <w:r w:rsidRPr="00BE57FC">
              <w:rPr>
                <w:szCs w:val="24"/>
              </w:rPr>
              <w:t xml:space="preserve">appropriate credit risk practices, including an effective system of internal control, to consistently determine adequate provisions in accordance with the </w:t>
            </w:r>
            <w:r w:rsidR="005868DF">
              <w:rPr>
                <w:szCs w:val="24"/>
              </w:rPr>
              <w:t>authorised deposit-taking institution’s</w:t>
            </w:r>
            <w:r w:rsidR="005868DF" w:rsidRPr="00BE57FC">
              <w:rPr>
                <w:szCs w:val="24"/>
              </w:rPr>
              <w:t xml:space="preserve"> </w:t>
            </w:r>
            <w:r w:rsidRPr="00BE57FC">
              <w:rPr>
                <w:szCs w:val="24"/>
              </w:rPr>
              <w:t>stated policies and processes and Australian Accounting Standards.</w:t>
            </w:r>
          </w:p>
        </w:tc>
      </w:tr>
    </w:tbl>
    <w:p w14:paraId="0EA5A3D0" w14:textId="77777777" w:rsidR="00BC2D08" w:rsidRDefault="00BC2D08" w:rsidP="00BC2D08">
      <w:pPr>
        <w:spacing w:after="0"/>
      </w:pPr>
    </w:p>
    <w:p w14:paraId="038A2DF2" w14:textId="77777777" w:rsidR="00C67A76" w:rsidRDefault="00C67A76" w:rsidP="00C67A76"/>
    <w:p w14:paraId="6711460C" w14:textId="6B65B51E" w:rsidR="00C67A76" w:rsidRDefault="00C67A76" w:rsidP="00C67A76">
      <w:pPr>
        <w:sectPr w:rsidR="00C67A76" w:rsidSect="00961815">
          <w:headerReference w:type="default" r:id="rId18"/>
          <w:footerReference w:type="default" r:id="rId19"/>
          <w:headerReference w:type="first" r:id="rId20"/>
          <w:footerReference w:type="first" r:id="rId21"/>
          <w:pgSz w:w="11906" w:h="16838" w:code="9"/>
          <w:pgMar w:top="1440" w:right="1797" w:bottom="1440" w:left="1797" w:header="709" w:footer="709" w:gutter="0"/>
          <w:pgNumType w:start="1"/>
          <w:cols w:space="708"/>
          <w:titlePg/>
          <w:docGrid w:linePitch="360"/>
        </w:sectPr>
      </w:pPr>
    </w:p>
    <w:p w14:paraId="1CB92FD9" w14:textId="418B2386" w:rsidR="00C6788C" w:rsidRDefault="009D467A" w:rsidP="001F6B8D">
      <w:pPr>
        <w:pStyle w:val="TOCHeading"/>
      </w:pPr>
      <w:r>
        <w:lastRenderedPageBreak/>
        <w:t>Table of Contents</w:t>
      </w:r>
      <w:r w:rsidR="00345807">
        <w:tab/>
      </w:r>
    </w:p>
    <w:p w14:paraId="3F068C42" w14:textId="77777777" w:rsidR="00372FE1" w:rsidRPr="00372FE1" w:rsidRDefault="00372FE1" w:rsidP="00372FE1"/>
    <w:p w14:paraId="7F5E8D07" w14:textId="7484ADEC" w:rsidR="00E076EA" w:rsidRDefault="009B0A33">
      <w:pPr>
        <w:pStyle w:val="TOC1"/>
        <w:rPr>
          <w:rFonts w:asciiTheme="minorHAnsi" w:eastAsiaTheme="minorEastAsia" w:hAnsiTheme="minorHAnsi" w:cstheme="minorBidi"/>
          <w:sz w:val="22"/>
          <w:szCs w:val="22"/>
        </w:rPr>
      </w:pPr>
      <w:r w:rsidRPr="00EA431A">
        <w:rPr>
          <w:rFonts w:ascii="Arial" w:hAnsi="Arial"/>
        </w:rPr>
        <w:fldChar w:fldCharType="begin"/>
      </w:r>
      <w:r w:rsidR="00C6788C" w:rsidRPr="008D217A">
        <w:instrText xml:space="preserve"> TOC \o "</w:instrText>
      </w:r>
      <w:r w:rsidR="00E96B6D" w:rsidRPr="008D217A">
        <w:instrText>1</w:instrText>
      </w:r>
      <w:r w:rsidR="00C86748" w:rsidRPr="008D217A">
        <w:instrText>-4</w:instrText>
      </w:r>
      <w:r w:rsidR="00C6788C" w:rsidRPr="008D217A">
        <w:instrText xml:space="preserve">" \h \z \u </w:instrText>
      </w:r>
      <w:r w:rsidRPr="00EA431A">
        <w:rPr>
          <w:rFonts w:ascii="Arial" w:hAnsi="Arial"/>
        </w:rPr>
        <w:fldChar w:fldCharType="separate"/>
      </w:r>
      <w:hyperlink w:anchor="_Toc105754838" w:history="1">
        <w:r w:rsidR="00E076EA" w:rsidRPr="00F047A5">
          <w:rPr>
            <w:rStyle w:val="Hyperlink"/>
          </w:rPr>
          <w:t>Authority</w:t>
        </w:r>
        <w:r w:rsidR="00E076EA">
          <w:rPr>
            <w:webHidden/>
          </w:rPr>
          <w:tab/>
        </w:r>
        <w:r w:rsidR="00E076EA">
          <w:rPr>
            <w:webHidden/>
          </w:rPr>
          <w:fldChar w:fldCharType="begin"/>
        </w:r>
        <w:r w:rsidR="00E076EA">
          <w:rPr>
            <w:webHidden/>
          </w:rPr>
          <w:instrText xml:space="preserve"> PAGEREF _Toc105754838 \h </w:instrText>
        </w:r>
        <w:r w:rsidR="00E076EA">
          <w:rPr>
            <w:webHidden/>
          </w:rPr>
        </w:r>
        <w:r w:rsidR="00E076EA">
          <w:rPr>
            <w:webHidden/>
          </w:rPr>
          <w:fldChar w:fldCharType="separate"/>
        </w:r>
        <w:r w:rsidR="00A86E02">
          <w:rPr>
            <w:webHidden/>
          </w:rPr>
          <w:t>3</w:t>
        </w:r>
        <w:r w:rsidR="00E076EA">
          <w:rPr>
            <w:webHidden/>
          </w:rPr>
          <w:fldChar w:fldCharType="end"/>
        </w:r>
      </w:hyperlink>
    </w:p>
    <w:p w14:paraId="69554299" w14:textId="49621117" w:rsidR="00E076EA" w:rsidRDefault="00612AB8">
      <w:pPr>
        <w:pStyle w:val="TOC1"/>
        <w:rPr>
          <w:rFonts w:asciiTheme="minorHAnsi" w:eastAsiaTheme="minorEastAsia" w:hAnsiTheme="minorHAnsi" w:cstheme="minorBidi"/>
          <w:sz w:val="22"/>
          <w:szCs w:val="22"/>
        </w:rPr>
      </w:pPr>
      <w:hyperlink w:anchor="_Toc105754839" w:history="1">
        <w:r w:rsidR="00E076EA" w:rsidRPr="00F047A5">
          <w:rPr>
            <w:rStyle w:val="Hyperlink"/>
          </w:rPr>
          <w:t>Application</w:t>
        </w:r>
        <w:r w:rsidR="00E076EA">
          <w:rPr>
            <w:webHidden/>
          </w:rPr>
          <w:tab/>
        </w:r>
        <w:r w:rsidR="00E076EA">
          <w:rPr>
            <w:webHidden/>
          </w:rPr>
          <w:fldChar w:fldCharType="begin"/>
        </w:r>
        <w:r w:rsidR="00E076EA">
          <w:rPr>
            <w:webHidden/>
          </w:rPr>
          <w:instrText xml:space="preserve"> PAGEREF _Toc105754839 \h </w:instrText>
        </w:r>
        <w:r w:rsidR="00E076EA">
          <w:rPr>
            <w:webHidden/>
          </w:rPr>
        </w:r>
        <w:r w:rsidR="00E076EA">
          <w:rPr>
            <w:webHidden/>
          </w:rPr>
          <w:fldChar w:fldCharType="separate"/>
        </w:r>
        <w:r w:rsidR="00A86E02">
          <w:rPr>
            <w:webHidden/>
          </w:rPr>
          <w:t>3</w:t>
        </w:r>
        <w:r w:rsidR="00E076EA">
          <w:rPr>
            <w:webHidden/>
          </w:rPr>
          <w:fldChar w:fldCharType="end"/>
        </w:r>
      </w:hyperlink>
    </w:p>
    <w:p w14:paraId="06E8C792" w14:textId="11EDA125" w:rsidR="00E076EA" w:rsidRDefault="00612AB8">
      <w:pPr>
        <w:pStyle w:val="TOC1"/>
        <w:rPr>
          <w:rFonts w:asciiTheme="minorHAnsi" w:eastAsiaTheme="minorEastAsia" w:hAnsiTheme="minorHAnsi" w:cstheme="minorBidi"/>
          <w:sz w:val="22"/>
          <w:szCs w:val="22"/>
        </w:rPr>
      </w:pPr>
      <w:hyperlink w:anchor="_Toc105754840" w:history="1">
        <w:r w:rsidR="00E076EA" w:rsidRPr="00F047A5">
          <w:rPr>
            <w:rStyle w:val="Hyperlink"/>
          </w:rPr>
          <w:t>Scope</w:t>
        </w:r>
        <w:r w:rsidR="00E076EA">
          <w:rPr>
            <w:webHidden/>
          </w:rPr>
          <w:tab/>
        </w:r>
        <w:r w:rsidR="00E076EA">
          <w:rPr>
            <w:webHidden/>
          </w:rPr>
          <w:fldChar w:fldCharType="begin"/>
        </w:r>
        <w:r w:rsidR="00E076EA">
          <w:rPr>
            <w:webHidden/>
          </w:rPr>
          <w:instrText xml:space="preserve"> PAGEREF _Toc105754840 \h </w:instrText>
        </w:r>
        <w:r w:rsidR="00E076EA">
          <w:rPr>
            <w:webHidden/>
          </w:rPr>
        </w:r>
        <w:r w:rsidR="00E076EA">
          <w:rPr>
            <w:webHidden/>
          </w:rPr>
          <w:fldChar w:fldCharType="separate"/>
        </w:r>
        <w:r w:rsidR="00A86E02">
          <w:rPr>
            <w:webHidden/>
          </w:rPr>
          <w:t>3</w:t>
        </w:r>
        <w:r w:rsidR="00E076EA">
          <w:rPr>
            <w:webHidden/>
          </w:rPr>
          <w:fldChar w:fldCharType="end"/>
        </w:r>
      </w:hyperlink>
    </w:p>
    <w:p w14:paraId="2B3CD34E" w14:textId="4A69218A" w:rsidR="00E076EA" w:rsidRDefault="00612AB8">
      <w:pPr>
        <w:pStyle w:val="TOC1"/>
        <w:rPr>
          <w:rFonts w:asciiTheme="minorHAnsi" w:eastAsiaTheme="minorEastAsia" w:hAnsiTheme="minorHAnsi" w:cstheme="minorBidi"/>
          <w:sz w:val="22"/>
          <w:szCs w:val="22"/>
        </w:rPr>
      </w:pPr>
      <w:hyperlink w:anchor="_Toc105754841" w:history="1">
        <w:r w:rsidR="00E076EA" w:rsidRPr="00F047A5">
          <w:rPr>
            <w:rStyle w:val="Hyperlink"/>
          </w:rPr>
          <w:t>Interpretation</w:t>
        </w:r>
        <w:r w:rsidR="00E076EA">
          <w:rPr>
            <w:webHidden/>
          </w:rPr>
          <w:tab/>
        </w:r>
        <w:r w:rsidR="00E076EA">
          <w:rPr>
            <w:webHidden/>
          </w:rPr>
          <w:fldChar w:fldCharType="begin"/>
        </w:r>
        <w:r w:rsidR="00E076EA">
          <w:rPr>
            <w:webHidden/>
          </w:rPr>
          <w:instrText xml:space="preserve"> PAGEREF _Toc105754841 \h </w:instrText>
        </w:r>
        <w:r w:rsidR="00E076EA">
          <w:rPr>
            <w:webHidden/>
          </w:rPr>
        </w:r>
        <w:r w:rsidR="00E076EA">
          <w:rPr>
            <w:webHidden/>
          </w:rPr>
          <w:fldChar w:fldCharType="separate"/>
        </w:r>
        <w:r w:rsidR="00A86E02">
          <w:rPr>
            <w:webHidden/>
          </w:rPr>
          <w:t>3</w:t>
        </w:r>
        <w:r w:rsidR="00E076EA">
          <w:rPr>
            <w:webHidden/>
          </w:rPr>
          <w:fldChar w:fldCharType="end"/>
        </w:r>
      </w:hyperlink>
    </w:p>
    <w:p w14:paraId="578311B4" w14:textId="1B070279" w:rsidR="00E076EA" w:rsidRDefault="00612AB8">
      <w:pPr>
        <w:pStyle w:val="TOC1"/>
        <w:rPr>
          <w:rFonts w:asciiTheme="minorHAnsi" w:eastAsiaTheme="minorEastAsia" w:hAnsiTheme="minorHAnsi" w:cstheme="minorBidi"/>
          <w:sz w:val="22"/>
          <w:szCs w:val="22"/>
        </w:rPr>
      </w:pPr>
      <w:hyperlink w:anchor="_Toc105754842" w:history="1">
        <w:r w:rsidR="00E076EA" w:rsidRPr="00F047A5">
          <w:rPr>
            <w:rStyle w:val="Hyperlink"/>
          </w:rPr>
          <w:t>Definitions</w:t>
        </w:r>
        <w:r w:rsidR="00E076EA">
          <w:rPr>
            <w:webHidden/>
          </w:rPr>
          <w:tab/>
        </w:r>
        <w:r w:rsidR="00E076EA">
          <w:rPr>
            <w:webHidden/>
          </w:rPr>
          <w:fldChar w:fldCharType="begin"/>
        </w:r>
        <w:r w:rsidR="00E076EA">
          <w:rPr>
            <w:webHidden/>
          </w:rPr>
          <w:instrText xml:space="preserve"> PAGEREF _Toc105754842 \h </w:instrText>
        </w:r>
        <w:r w:rsidR="00E076EA">
          <w:rPr>
            <w:webHidden/>
          </w:rPr>
        </w:r>
        <w:r w:rsidR="00E076EA">
          <w:rPr>
            <w:webHidden/>
          </w:rPr>
          <w:fldChar w:fldCharType="separate"/>
        </w:r>
        <w:r w:rsidR="00A86E02">
          <w:rPr>
            <w:webHidden/>
          </w:rPr>
          <w:t>4</w:t>
        </w:r>
        <w:r w:rsidR="00E076EA">
          <w:rPr>
            <w:webHidden/>
          </w:rPr>
          <w:fldChar w:fldCharType="end"/>
        </w:r>
      </w:hyperlink>
    </w:p>
    <w:p w14:paraId="5A4B1356" w14:textId="6FB4FB48" w:rsidR="00E076EA" w:rsidRDefault="00612AB8">
      <w:pPr>
        <w:pStyle w:val="TOC1"/>
        <w:rPr>
          <w:rFonts w:asciiTheme="minorHAnsi" w:eastAsiaTheme="minorEastAsia" w:hAnsiTheme="minorHAnsi" w:cstheme="minorBidi"/>
          <w:sz w:val="22"/>
          <w:szCs w:val="22"/>
        </w:rPr>
      </w:pPr>
      <w:hyperlink w:anchor="_Toc105754843" w:history="1">
        <w:r w:rsidR="00E076EA" w:rsidRPr="00F047A5">
          <w:rPr>
            <w:rStyle w:val="Hyperlink"/>
          </w:rPr>
          <w:t>Adjustments and exclusions</w:t>
        </w:r>
        <w:r w:rsidR="00E076EA">
          <w:rPr>
            <w:webHidden/>
          </w:rPr>
          <w:tab/>
        </w:r>
        <w:r w:rsidR="00E076EA">
          <w:rPr>
            <w:webHidden/>
          </w:rPr>
          <w:fldChar w:fldCharType="begin"/>
        </w:r>
        <w:r w:rsidR="00E076EA">
          <w:rPr>
            <w:webHidden/>
          </w:rPr>
          <w:instrText xml:space="preserve"> PAGEREF _Toc105754843 \h </w:instrText>
        </w:r>
        <w:r w:rsidR="00E076EA">
          <w:rPr>
            <w:webHidden/>
          </w:rPr>
        </w:r>
        <w:r w:rsidR="00E076EA">
          <w:rPr>
            <w:webHidden/>
          </w:rPr>
          <w:fldChar w:fldCharType="separate"/>
        </w:r>
        <w:r w:rsidR="00A86E02">
          <w:rPr>
            <w:webHidden/>
          </w:rPr>
          <w:t>6</w:t>
        </w:r>
        <w:r w:rsidR="00E076EA">
          <w:rPr>
            <w:webHidden/>
          </w:rPr>
          <w:fldChar w:fldCharType="end"/>
        </w:r>
      </w:hyperlink>
    </w:p>
    <w:p w14:paraId="0D31A821" w14:textId="104BA562" w:rsidR="00E076EA" w:rsidRDefault="00612AB8">
      <w:pPr>
        <w:pStyle w:val="TOC1"/>
        <w:rPr>
          <w:rFonts w:asciiTheme="minorHAnsi" w:eastAsiaTheme="minorEastAsia" w:hAnsiTheme="minorHAnsi" w:cstheme="minorBidi"/>
          <w:sz w:val="22"/>
          <w:szCs w:val="22"/>
        </w:rPr>
      </w:pPr>
      <w:hyperlink w:anchor="_Toc105754844" w:history="1">
        <w:r w:rsidR="00E076EA" w:rsidRPr="00F047A5">
          <w:rPr>
            <w:rStyle w:val="Hyperlink"/>
          </w:rPr>
          <w:t>Previous exercise of discretion</w:t>
        </w:r>
        <w:r w:rsidR="00E076EA">
          <w:rPr>
            <w:webHidden/>
          </w:rPr>
          <w:tab/>
        </w:r>
        <w:r w:rsidR="00E076EA">
          <w:rPr>
            <w:webHidden/>
          </w:rPr>
          <w:fldChar w:fldCharType="begin"/>
        </w:r>
        <w:r w:rsidR="00E076EA">
          <w:rPr>
            <w:webHidden/>
          </w:rPr>
          <w:instrText xml:space="preserve"> PAGEREF _Toc105754844 \h </w:instrText>
        </w:r>
        <w:r w:rsidR="00E076EA">
          <w:rPr>
            <w:webHidden/>
          </w:rPr>
        </w:r>
        <w:r w:rsidR="00E076EA">
          <w:rPr>
            <w:webHidden/>
          </w:rPr>
          <w:fldChar w:fldCharType="separate"/>
        </w:r>
        <w:r w:rsidR="00A86E02">
          <w:rPr>
            <w:webHidden/>
          </w:rPr>
          <w:t>6</w:t>
        </w:r>
        <w:r w:rsidR="00E076EA">
          <w:rPr>
            <w:webHidden/>
          </w:rPr>
          <w:fldChar w:fldCharType="end"/>
        </w:r>
      </w:hyperlink>
    </w:p>
    <w:p w14:paraId="450BC451" w14:textId="42B10309" w:rsidR="00E076EA" w:rsidRDefault="00612AB8">
      <w:pPr>
        <w:pStyle w:val="TOC1"/>
        <w:rPr>
          <w:rFonts w:asciiTheme="minorHAnsi" w:eastAsiaTheme="minorEastAsia" w:hAnsiTheme="minorHAnsi" w:cstheme="minorBidi"/>
          <w:sz w:val="22"/>
          <w:szCs w:val="22"/>
        </w:rPr>
      </w:pPr>
      <w:hyperlink w:anchor="_Toc105754845" w:history="1">
        <w:r w:rsidR="00E076EA" w:rsidRPr="00F047A5">
          <w:rPr>
            <w:rStyle w:val="Hyperlink"/>
          </w:rPr>
          <w:t>Credit risk management framework</w:t>
        </w:r>
        <w:r w:rsidR="00E076EA">
          <w:rPr>
            <w:webHidden/>
          </w:rPr>
          <w:tab/>
        </w:r>
        <w:r w:rsidR="00E076EA">
          <w:rPr>
            <w:webHidden/>
          </w:rPr>
          <w:fldChar w:fldCharType="begin"/>
        </w:r>
        <w:r w:rsidR="00E076EA">
          <w:rPr>
            <w:webHidden/>
          </w:rPr>
          <w:instrText xml:space="preserve"> PAGEREF _Toc105754845 \h </w:instrText>
        </w:r>
        <w:r w:rsidR="00E076EA">
          <w:rPr>
            <w:webHidden/>
          </w:rPr>
        </w:r>
        <w:r w:rsidR="00E076EA">
          <w:rPr>
            <w:webHidden/>
          </w:rPr>
          <w:fldChar w:fldCharType="separate"/>
        </w:r>
        <w:r w:rsidR="00A86E02">
          <w:rPr>
            <w:webHidden/>
          </w:rPr>
          <w:t>6</w:t>
        </w:r>
        <w:r w:rsidR="00E076EA">
          <w:rPr>
            <w:webHidden/>
          </w:rPr>
          <w:fldChar w:fldCharType="end"/>
        </w:r>
      </w:hyperlink>
    </w:p>
    <w:p w14:paraId="6F773875" w14:textId="524059E3" w:rsidR="00E076EA" w:rsidRDefault="00612AB8">
      <w:pPr>
        <w:pStyle w:val="TOC1"/>
        <w:rPr>
          <w:rFonts w:asciiTheme="minorHAnsi" w:eastAsiaTheme="minorEastAsia" w:hAnsiTheme="minorHAnsi" w:cstheme="minorBidi"/>
          <w:sz w:val="22"/>
          <w:szCs w:val="22"/>
        </w:rPr>
      </w:pPr>
      <w:hyperlink w:anchor="_Toc105754846" w:history="1">
        <w:r w:rsidR="00E076EA" w:rsidRPr="00F047A5">
          <w:rPr>
            <w:rStyle w:val="Hyperlink"/>
          </w:rPr>
          <w:t>Outsourcing</w:t>
        </w:r>
        <w:r w:rsidR="00E076EA">
          <w:rPr>
            <w:webHidden/>
          </w:rPr>
          <w:tab/>
        </w:r>
        <w:r w:rsidR="00E076EA">
          <w:rPr>
            <w:webHidden/>
          </w:rPr>
          <w:fldChar w:fldCharType="begin"/>
        </w:r>
        <w:r w:rsidR="00E076EA">
          <w:rPr>
            <w:webHidden/>
          </w:rPr>
          <w:instrText xml:space="preserve"> PAGEREF _Toc105754846 \h </w:instrText>
        </w:r>
        <w:r w:rsidR="00E076EA">
          <w:rPr>
            <w:webHidden/>
          </w:rPr>
        </w:r>
        <w:r w:rsidR="00E076EA">
          <w:rPr>
            <w:webHidden/>
          </w:rPr>
          <w:fldChar w:fldCharType="separate"/>
        </w:r>
        <w:r w:rsidR="00A86E02">
          <w:rPr>
            <w:webHidden/>
          </w:rPr>
          <w:t>7</w:t>
        </w:r>
        <w:r w:rsidR="00E076EA">
          <w:rPr>
            <w:webHidden/>
          </w:rPr>
          <w:fldChar w:fldCharType="end"/>
        </w:r>
      </w:hyperlink>
    </w:p>
    <w:p w14:paraId="4BBDC2F6" w14:textId="70F9FEB7" w:rsidR="00E076EA" w:rsidRDefault="00612AB8">
      <w:pPr>
        <w:pStyle w:val="TOC1"/>
        <w:rPr>
          <w:rFonts w:asciiTheme="minorHAnsi" w:eastAsiaTheme="minorEastAsia" w:hAnsiTheme="minorHAnsi" w:cstheme="minorBidi"/>
          <w:sz w:val="22"/>
          <w:szCs w:val="22"/>
        </w:rPr>
      </w:pPr>
      <w:hyperlink w:anchor="_Toc105754847" w:history="1">
        <w:r w:rsidR="00E076EA" w:rsidRPr="00F047A5">
          <w:rPr>
            <w:rStyle w:val="Hyperlink"/>
          </w:rPr>
          <w:t>Large exposures and associations with related entities</w:t>
        </w:r>
        <w:r w:rsidR="00E076EA">
          <w:rPr>
            <w:webHidden/>
          </w:rPr>
          <w:tab/>
        </w:r>
        <w:r w:rsidR="00E076EA">
          <w:rPr>
            <w:webHidden/>
          </w:rPr>
          <w:fldChar w:fldCharType="begin"/>
        </w:r>
        <w:r w:rsidR="00E076EA">
          <w:rPr>
            <w:webHidden/>
          </w:rPr>
          <w:instrText xml:space="preserve"> PAGEREF _Toc105754847 \h </w:instrText>
        </w:r>
        <w:r w:rsidR="00E076EA">
          <w:rPr>
            <w:webHidden/>
          </w:rPr>
        </w:r>
        <w:r w:rsidR="00E076EA">
          <w:rPr>
            <w:webHidden/>
          </w:rPr>
          <w:fldChar w:fldCharType="separate"/>
        </w:r>
        <w:r w:rsidR="00A86E02">
          <w:rPr>
            <w:webHidden/>
          </w:rPr>
          <w:t>7</w:t>
        </w:r>
        <w:r w:rsidR="00E076EA">
          <w:rPr>
            <w:webHidden/>
          </w:rPr>
          <w:fldChar w:fldCharType="end"/>
        </w:r>
      </w:hyperlink>
    </w:p>
    <w:p w14:paraId="49ED24EB" w14:textId="3EE09E6E" w:rsidR="00E076EA" w:rsidRDefault="00612AB8">
      <w:pPr>
        <w:pStyle w:val="TOC1"/>
        <w:rPr>
          <w:rFonts w:asciiTheme="minorHAnsi" w:eastAsiaTheme="minorEastAsia" w:hAnsiTheme="minorHAnsi" w:cstheme="minorBidi"/>
          <w:sz w:val="22"/>
          <w:szCs w:val="22"/>
        </w:rPr>
      </w:pPr>
      <w:hyperlink w:anchor="_Toc105754848" w:history="1">
        <w:r w:rsidR="00E076EA" w:rsidRPr="00F047A5">
          <w:rPr>
            <w:rStyle w:val="Hyperlink"/>
          </w:rPr>
          <w:t>Credit risk appetite</w:t>
        </w:r>
        <w:r w:rsidR="00E076EA">
          <w:rPr>
            <w:webHidden/>
          </w:rPr>
          <w:tab/>
        </w:r>
        <w:r w:rsidR="00E076EA">
          <w:rPr>
            <w:webHidden/>
          </w:rPr>
          <w:fldChar w:fldCharType="begin"/>
        </w:r>
        <w:r w:rsidR="00E076EA">
          <w:rPr>
            <w:webHidden/>
          </w:rPr>
          <w:instrText xml:space="preserve"> PAGEREF _Toc105754848 \h </w:instrText>
        </w:r>
        <w:r w:rsidR="00E076EA">
          <w:rPr>
            <w:webHidden/>
          </w:rPr>
        </w:r>
        <w:r w:rsidR="00E076EA">
          <w:rPr>
            <w:webHidden/>
          </w:rPr>
          <w:fldChar w:fldCharType="separate"/>
        </w:r>
        <w:r w:rsidR="00A86E02">
          <w:rPr>
            <w:webHidden/>
          </w:rPr>
          <w:t>7</w:t>
        </w:r>
        <w:r w:rsidR="00E076EA">
          <w:rPr>
            <w:webHidden/>
          </w:rPr>
          <w:fldChar w:fldCharType="end"/>
        </w:r>
      </w:hyperlink>
    </w:p>
    <w:p w14:paraId="29AE2523" w14:textId="623D329F" w:rsidR="00E076EA" w:rsidRDefault="00612AB8">
      <w:pPr>
        <w:pStyle w:val="TOC1"/>
        <w:rPr>
          <w:rFonts w:asciiTheme="minorHAnsi" w:eastAsiaTheme="minorEastAsia" w:hAnsiTheme="minorHAnsi" w:cstheme="minorBidi"/>
          <w:sz w:val="22"/>
          <w:szCs w:val="22"/>
        </w:rPr>
      </w:pPr>
      <w:hyperlink w:anchor="_Toc105754849" w:history="1">
        <w:r w:rsidR="00E076EA" w:rsidRPr="00F047A5">
          <w:rPr>
            <w:rStyle w:val="Hyperlink"/>
          </w:rPr>
          <w:t>Credit risk management strategy</w:t>
        </w:r>
        <w:r w:rsidR="00E076EA">
          <w:rPr>
            <w:webHidden/>
          </w:rPr>
          <w:tab/>
        </w:r>
        <w:r w:rsidR="00E076EA">
          <w:rPr>
            <w:webHidden/>
          </w:rPr>
          <w:fldChar w:fldCharType="begin"/>
        </w:r>
        <w:r w:rsidR="00E076EA">
          <w:rPr>
            <w:webHidden/>
          </w:rPr>
          <w:instrText xml:space="preserve"> PAGEREF _Toc105754849 \h </w:instrText>
        </w:r>
        <w:r w:rsidR="00E076EA">
          <w:rPr>
            <w:webHidden/>
          </w:rPr>
        </w:r>
        <w:r w:rsidR="00E076EA">
          <w:rPr>
            <w:webHidden/>
          </w:rPr>
          <w:fldChar w:fldCharType="separate"/>
        </w:r>
        <w:r w:rsidR="00A86E02">
          <w:rPr>
            <w:webHidden/>
          </w:rPr>
          <w:t>7</w:t>
        </w:r>
        <w:r w:rsidR="00E076EA">
          <w:rPr>
            <w:webHidden/>
          </w:rPr>
          <w:fldChar w:fldCharType="end"/>
        </w:r>
      </w:hyperlink>
    </w:p>
    <w:p w14:paraId="18D37A6C" w14:textId="07F856AA" w:rsidR="00E076EA" w:rsidRDefault="00612AB8">
      <w:pPr>
        <w:pStyle w:val="TOC1"/>
        <w:rPr>
          <w:rFonts w:asciiTheme="minorHAnsi" w:eastAsiaTheme="minorEastAsia" w:hAnsiTheme="minorHAnsi" w:cstheme="minorBidi"/>
          <w:sz w:val="22"/>
          <w:szCs w:val="22"/>
        </w:rPr>
      </w:pPr>
      <w:hyperlink w:anchor="_Toc105754850" w:history="1">
        <w:r w:rsidR="00E076EA" w:rsidRPr="00F047A5">
          <w:rPr>
            <w:rStyle w:val="Hyperlink"/>
          </w:rPr>
          <w:t>The role of the Board and senior management</w:t>
        </w:r>
        <w:r w:rsidR="00E076EA">
          <w:rPr>
            <w:webHidden/>
          </w:rPr>
          <w:tab/>
        </w:r>
        <w:r w:rsidR="00E076EA">
          <w:rPr>
            <w:webHidden/>
          </w:rPr>
          <w:fldChar w:fldCharType="begin"/>
        </w:r>
        <w:r w:rsidR="00E076EA">
          <w:rPr>
            <w:webHidden/>
          </w:rPr>
          <w:instrText xml:space="preserve"> PAGEREF _Toc105754850 \h </w:instrText>
        </w:r>
        <w:r w:rsidR="00E076EA">
          <w:rPr>
            <w:webHidden/>
          </w:rPr>
        </w:r>
        <w:r w:rsidR="00E076EA">
          <w:rPr>
            <w:webHidden/>
          </w:rPr>
          <w:fldChar w:fldCharType="separate"/>
        </w:r>
        <w:r w:rsidR="00A86E02">
          <w:rPr>
            <w:webHidden/>
          </w:rPr>
          <w:t>8</w:t>
        </w:r>
        <w:r w:rsidR="00E076EA">
          <w:rPr>
            <w:webHidden/>
          </w:rPr>
          <w:fldChar w:fldCharType="end"/>
        </w:r>
      </w:hyperlink>
    </w:p>
    <w:p w14:paraId="0398926B" w14:textId="647AE138" w:rsidR="00E076EA" w:rsidRDefault="00612AB8">
      <w:pPr>
        <w:pStyle w:val="TOC1"/>
        <w:rPr>
          <w:rFonts w:asciiTheme="minorHAnsi" w:eastAsiaTheme="minorEastAsia" w:hAnsiTheme="minorHAnsi" w:cstheme="minorBidi"/>
          <w:sz w:val="22"/>
          <w:szCs w:val="22"/>
        </w:rPr>
      </w:pPr>
      <w:hyperlink w:anchor="_Toc105754853" w:history="1">
        <w:r w:rsidR="00E076EA" w:rsidRPr="00F047A5">
          <w:rPr>
            <w:rStyle w:val="Hyperlink"/>
          </w:rPr>
          <w:t>Credit risk policies and processes</w:t>
        </w:r>
        <w:r w:rsidR="00E076EA">
          <w:rPr>
            <w:webHidden/>
          </w:rPr>
          <w:tab/>
        </w:r>
        <w:r w:rsidR="00E076EA">
          <w:rPr>
            <w:webHidden/>
          </w:rPr>
          <w:fldChar w:fldCharType="begin"/>
        </w:r>
        <w:r w:rsidR="00E076EA">
          <w:rPr>
            <w:webHidden/>
          </w:rPr>
          <w:instrText xml:space="preserve"> PAGEREF _Toc105754853 \h </w:instrText>
        </w:r>
        <w:r w:rsidR="00E076EA">
          <w:rPr>
            <w:webHidden/>
          </w:rPr>
        </w:r>
        <w:r w:rsidR="00E076EA">
          <w:rPr>
            <w:webHidden/>
          </w:rPr>
          <w:fldChar w:fldCharType="separate"/>
        </w:r>
        <w:r w:rsidR="00A86E02">
          <w:rPr>
            <w:webHidden/>
          </w:rPr>
          <w:t>9</w:t>
        </w:r>
        <w:r w:rsidR="00E076EA">
          <w:rPr>
            <w:webHidden/>
          </w:rPr>
          <w:fldChar w:fldCharType="end"/>
        </w:r>
      </w:hyperlink>
    </w:p>
    <w:p w14:paraId="78A537E9" w14:textId="17D5C660" w:rsidR="00E076EA" w:rsidRDefault="00612AB8">
      <w:pPr>
        <w:pStyle w:val="TOC1"/>
        <w:rPr>
          <w:rFonts w:asciiTheme="minorHAnsi" w:eastAsiaTheme="minorEastAsia" w:hAnsiTheme="minorHAnsi" w:cstheme="minorBidi"/>
          <w:sz w:val="22"/>
          <w:szCs w:val="22"/>
        </w:rPr>
      </w:pPr>
      <w:hyperlink w:anchor="_Toc105754856" w:history="1">
        <w:r w:rsidR="00E076EA" w:rsidRPr="00F047A5">
          <w:rPr>
            <w:rStyle w:val="Hyperlink"/>
          </w:rPr>
          <w:t>Credit origination</w:t>
        </w:r>
        <w:r w:rsidR="00E076EA">
          <w:rPr>
            <w:webHidden/>
          </w:rPr>
          <w:tab/>
        </w:r>
        <w:r w:rsidR="00E076EA">
          <w:rPr>
            <w:webHidden/>
          </w:rPr>
          <w:fldChar w:fldCharType="begin"/>
        </w:r>
        <w:r w:rsidR="00E076EA">
          <w:rPr>
            <w:webHidden/>
          </w:rPr>
          <w:instrText xml:space="preserve"> PAGEREF _Toc105754856 \h </w:instrText>
        </w:r>
        <w:r w:rsidR="00E076EA">
          <w:rPr>
            <w:webHidden/>
          </w:rPr>
        </w:r>
        <w:r w:rsidR="00E076EA">
          <w:rPr>
            <w:webHidden/>
          </w:rPr>
          <w:fldChar w:fldCharType="separate"/>
        </w:r>
        <w:r w:rsidR="00A86E02">
          <w:rPr>
            <w:webHidden/>
          </w:rPr>
          <w:t>10</w:t>
        </w:r>
        <w:r w:rsidR="00E076EA">
          <w:rPr>
            <w:webHidden/>
          </w:rPr>
          <w:fldChar w:fldCharType="end"/>
        </w:r>
      </w:hyperlink>
    </w:p>
    <w:p w14:paraId="755ED596" w14:textId="3CE8661E" w:rsidR="00E076EA" w:rsidRDefault="00612AB8">
      <w:pPr>
        <w:pStyle w:val="TOC1"/>
        <w:rPr>
          <w:rFonts w:asciiTheme="minorHAnsi" w:eastAsiaTheme="minorEastAsia" w:hAnsiTheme="minorHAnsi" w:cstheme="minorBidi"/>
          <w:sz w:val="22"/>
          <w:szCs w:val="22"/>
        </w:rPr>
      </w:pPr>
      <w:hyperlink w:anchor="_Toc105754857" w:history="1">
        <w:r w:rsidR="00E076EA" w:rsidRPr="00F047A5">
          <w:rPr>
            <w:rStyle w:val="Hyperlink"/>
          </w:rPr>
          <w:t>Credit assessment and approval process</w:t>
        </w:r>
        <w:r w:rsidR="00E076EA">
          <w:rPr>
            <w:webHidden/>
          </w:rPr>
          <w:tab/>
        </w:r>
        <w:r w:rsidR="00E076EA">
          <w:rPr>
            <w:webHidden/>
          </w:rPr>
          <w:fldChar w:fldCharType="begin"/>
        </w:r>
        <w:r w:rsidR="00E076EA">
          <w:rPr>
            <w:webHidden/>
          </w:rPr>
          <w:instrText xml:space="preserve"> PAGEREF _Toc105754857 \h </w:instrText>
        </w:r>
        <w:r w:rsidR="00E076EA">
          <w:rPr>
            <w:webHidden/>
          </w:rPr>
        </w:r>
        <w:r w:rsidR="00E076EA">
          <w:rPr>
            <w:webHidden/>
          </w:rPr>
          <w:fldChar w:fldCharType="separate"/>
        </w:r>
        <w:r w:rsidR="00A86E02">
          <w:rPr>
            <w:webHidden/>
          </w:rPr>
          <w:t>11</w:t>
        </w:r>
        <w:r w:rsidR="00E076EA">
          <w:rPr>
            <w:webHidden/>
          </w:rPr>
          <w:fldChar w:fldCharType="end"/>
        </w:r>
      </w:hyperlink>
    </w:p>
    <w:p w14:paraId="556E260C" w14:textId="03E76B5A" w:rsidR="00E076EA" w:rsidRDefault="00612AB8">
      <w:pPr>
        <w:pStyle w:val="TOC1"/>
        <w:rPr>
          <w:rFonts w:asciiTheme="minorHAnsi" w:eastAsiaTheme="minorEastAsia" w:hAnsiTheme="minorHAnsi" w:cstheme="minorBidi"/>
          <w:sz w:val="22"/>
          <w:szCs w:val="22"/>
        </w:rPr>
      </w:pPr>
      <w:hyperlink w:anchor="_Toc105754863" w:history="1">
        <w:r w:rsidR="00E076EA" w:rsidRPr="00F047A5">
          <w:rPr>
            <w:rStyle w:val="Hyperlink"/>
          </w:rPr>
          <w:t>Credit administration, measurement and monitoring</w:t>
        </w:r>
        <w:r w:rsidR="00E076EA">
          <w:rPr>
            <w:webHidden/>
          </w:rPr>
          <w:tab/>
        </w:r>
        <w:r w:rsidR="00E076EA">
          <w:rPr>
            <w:webHidden/>
          </w:rPr>
          <w:fldChar w:fldCharType="begin"/>
        </w:r>
        <w:r w:rsidR="00E076EA">
          <w:rPr>
            <w:webHidden/>
          </w:rPr>
          <w:instrText xml:space="preserve"> PAGEREF _Toc105754863 \h </w:instrText>
        </w:r>
        <w:r w:rsidR="00E076EA">
          <w:rPr>
            <w:webHidden/>
          </w:rPr>
        </w:r>
        <w:r w:rsidR="00E076EA">
          <w:rPr>
            <w:webHidden/>
          </w:rPr>
          <w:fldChar w:fldCharType="separate"/>
        </w:r>
        <w:r w:rsidR="00A86E02">
          <w:rPr>
            <w:webHidden/>
          </w:rPr>
          <w:t>14</w:t>
        </w:r>
        <w:r w:rsidR="00E076EA">
          <w:rPr>
            <w:webHidden/>
          </w:rPr>
          <w:fldChar w:fldCharType="end"/>
        </w:r>
      </w:hyperlink>
    </w:p>
    <w:p w14:paraId="0A66B4A3" w14:textId="177CD03E" w:rsidR="00E076EA" w:rsidRDefault="00612AB8">
      <w:pPr>
        <w:pStyle w:val="TOC1"/>
        <w:rPr>
          <w:rFonts w:asciiTheme="minorHAnsi" w:eastAsiaTheme="minorEastAsia" w:hAnsiTheme="minorHAnsi" w:cstheme="minorBidi"/>
          <w:sz w:val="22"/>
          <w:szCs w:val="22"/>
        </w:rPr>
      </w:pPr>
      <w:hyperlink w:anchor="_Toc105754866" w:history="1">
        <w:r w:rsidR="00E076EA" w:rsidRPr="00F047A5">
          <w:rPr>
            <w:rStyle w:val="Hyperlink"/>
          </w:rPr>
          <w:t>Controls over credit risk</w:t>
        </w:r>
        <w:r w:rsidR="00E076EA">
          <w:rPr>
            <w:webHidden/>
          </w:rPr>
          <w:tab/>
        </w:r>
        <w:r w:rsidR="00E076EA">
          <w:rPr>
            <w:webHidden/>
          </w:rPr>
          <w:fldChar w:fldCharType="begin"/>
        </w:r>
        <w:r w:rsidR="00E076EA">
          <w:rPr>
            <w:webHidden/>
          </w:rPr>
          <w:instrText xml:space="preserve"> PAGEREF _Toc105754866 \h </w:instrText>
        </w:r>
        <w:r w:rsidR="00E076EA">
          <w:rPr>
            <w:webHidden/>
          </w:rPr>
        </w:r>
        <w:r w:rsidR="00E076EA">
          <w:rPr>
            <w:webHidden/>
          </w:rPr>
          <w:fldChar w:fldCharType="separate"/>
        </w:r>
        <w:r w:rsidR="00A86E02">
          <w:rPr>
            <w:webHidden/>
          </w:rPr>
          <w:t>16</w:t>
        </w:r>
        <w:r w:rsidR="00E076EA">
          <w:rPr>
            <w:webHidden/>
          </w:rPr>
          <w:fldChar w:fldCharType="end"/>
        </w:r>
      </w:hyperlink>
    </w:p>
    <w:p w14:paraId="4926702A" w14:textId="002FFAEE" w:rsidR="00E076EA" w:rsidRDefault="00612AB8">
      <w:pPr>
        <w:pStyle w:val="TOC1"/>
        <w:rPr>
          <w:rFonts w:asciiTheme="minorHAnsi" w:eastAsiaTheme="minorEastAsia" w:hAnsiTheme="minorHAnsi" w:cstheme="minorBidi"/>
          <w:sz w:val="22"/>
          <w:szCs w:val="22"/>
        </w:rPr>
      </w:pPr>
      <w:hyperlink w:anchor="_Toc105754870" w:history="1">
        <w:r w:rsidR="00E076EA" w:rsidRPr="00F047A5">
          <w:rPr>
            <w:rStyle w:val="Hyperlink"/>
          </w:rPr>
          <w:t>Classification of exposures and provisions</w:t>
        </w:r>
        <w:r w:rsidR="00E076EA">
          <w:rPr>
            <w:webHidden/>
          </w:rPr>
          <w:tab/>
        </w:r>
        <w:r w:rsidR="00E076EA">
          <w:rPr>
            <w:webHidden/>
          </w:rPr>
          <w:fldChar w:fldCharType="begin"/>
        </w:r>
        <w:r w:rsidR="00E076EA">
          <w:rPr>
            <w:webHidden/>
          </w:rPr>
          <w:instrText xml:space="preserve"> PAGEREF _Toc105754870 \h </w:instrText>
        </w:r>
        <w:r w:rsidR="00E076EA">
          <w:rPr>
            <w:webHidden/>
          </w:rPr>
        </w:r>
        <w:r w:rsidR="00E076EA">
          <w:rPr>
            <w:webHidden/>
          </w:rPr>
          <w:fldChar w:fldCharType="separate"/>
        </w:r>
        <w:r w:rsidR="00A86E02">
          <w:rPr>
            <w:webHidden/>
          </w:rPr>
          <w:t>17</w:t>
        </w:r>
        <w:r w:rsidR="00E076EA">
          <w:rPr>
            <w:webHidden/>
          </w:rPr>
          <w:fldChar w:fldCharType="end"/>
        </w:r>
      </w:hyperlink>
    </w:p>
    <w:p w14:paraId="62A9CEBA" w14:textId="3FC567C2" w:rsidR="00E076EA" w:rsidRDefault="00612AB8">
      <w:pPr>
        <w:pStyle w:val="TOC1"/>
        <w:rPr>
          <w:rFonts w:asciiTheme="minorHAnsi" w:eastAsiaTheme="minorEastAsia" w:hAnsiTheme="minorHAnsi" w:cstheme="minorBidi"/>
          <w:sz w:val="22"/>
          <w:szCs w:val="22"/>
        </w:rPr>
      </w:pPr>
      <w:hyperlink w:anchor="_Toc105754871" w:history="1">
        <w:r w:rsidR="00E076EA" w:rsidRPr="00F047A5">
          <w:rPr>
            <w:rStyle w:val="Hyperlink"/>
          </w:rPr>
          <w:t>Non-performing exposures</w:t>
        </w:r>
        <w:r w:rsidR="00E076EA">
          <w:rPr>
            <w:webHidden/>
          </w:rPr>
          <w:tab/>
        </w:r>
        <w:r w:rsidR="00E076EA">
          <w:rPr>
            <w:webHidden/>
          </w:rPr>
          <w:fldChar w:fldCharType="begin"/>
        </w:r>
        <w:r w:rsidR="00E076EA">
          <w:rPr>
            <w:webHidden/>
          </w:rPr>
          <w:instrText xml:space="preserve"> PAGEREF _Toc105754871 \h </w:instrText>
        </w:r>
        <w:r w:rsidR="00E076EA">
          <w:rPr>
            <w:webHidden/>
          </w:rPr>
        </w:r>
        <w:r w:rsidR="00E076EA">
          <w:rPr>
            <w:webHidden/>
          </w:rPr>
          <w:fldChar w:fldCharType="separate"/>
        </w:r>
        <w:r w:rsidR="00A86E02">
          <w:rPr>
            <w:webHidden/>
          </w:rPr>
          <w:t>17</w:t>
        </w:r>
        <w:r w:rsidR="00E076EA">
          <w:rPr>
            <w:webHidden/>
          </w:rPr>
          <w:fldChar w:fldCharType="end"/>
        </w:r>
      </w:hyperlink>
    </w:p>
    <w:p w14:paraId="293E4BDB" w14:textId="5BCEBFCD" w:rsidR="00E076EA" w:rsidRDefault="00612AB8">
      <w:pPr>
        <w:pStyle w:val="TOC1"/>
        <w:rPr>
          <w:rFonts w:asciiTheme="minorHAnsi" w:eastAsiaTheme="minorEastAsia" w:hAnsiTheme="minorHAnsi" w:cstheme="minorBidi"/>
          <w:sz w:val="22"/>
          <w:szCs w:val="22"/>
        </w:rPr>
      </w:pPr>
      <w:hyperlink w:anchor="_Toc105754874" w:history="1">
        <w:r w:rsidR="00E076EA" w:rsidRPr="00F047A5">
          <w:rPr>
            <w:rStyle w:val="Hyperlink"/>
          </w:rPr>
          <w:t>Restructured exposures</w:t>
        </w:r>
        <w:r w:rsidR="00E076EA">
          <w:rPr>
            <w:webHidden/>
          </w:rPr>
          <w:tab/>
        </w:r>
        <w:r w:rsidR="00E076EA">
          <w:rPr>
            <w:webHidden/>
          </w:rPr>
          <w:fldChar w:fldCharType="begin"/>
        </w:r>
        <w:r w:rsidR="00E076EA">
          <w:rPr>
            <w:webHidden/>
          </w:rPr>
          <w:instrText xml:space="preserve"> PAGEREF _Toc105754874 \h </w:instrText>
        </w:r>
        <w:r w:rsidR="00E076EA">
          <w:rPr>
            <w:webHidden/>
          </w:rPr>
        </w:r>
        <w:r w:rsidR="00E076EA">
          <w:rPr>
            <w:webHidden/>
          </w:rPr>
          <w:fldChar w:fldCharType="separate"/>
        </w:r>
        <w:r w:rsidR="00A86E02">
          <w:rPr>
            <w:webHidden/>
          </w:rPr>
          <w:t>19</w:t>
        </w:r>
        <w:r w:rsidR="00E076EA">
          <w:rPr>
            <w:webHidden/>
          </w:rPr>
          <w:fldChar w:fldCharType="end"/>
        </w:r>
      </w:hyperlink>
    </w:p>
    <w:p w14:paraId="131E621B" w14:textId="2D8AB1BB" w:rsidR="00E076EA" w:rsidRDefault="00612AB8">
      <w:pPr>
        <w:pStyle w:val="TOC1"/>
        <w:rPr>
          <w:rFonts w:asciiTheme="minorHAnsi" w:eastAsiaTheme="minorEastAsia" w:hAnsiTheme="minorHAnsi" w:cstheme="minorBidi"/>
          <w:sz w:val="22"/>
          <w:szCs w:val="22"/>
        </w:rPr>
      </w:pPr>
      <w:hyperlink w:anchor="_Toc105754876" w:history="1">
        <w:r w:rsidR="00E076EA" w:rsidRPr="00F047A5">
          <w:rPr>
            <w:rStyle w:val="Hyperlink"/>
          </w:rPr>
          <w:t>Credit risk and accounting for expected credit losses</w:t>
        </w:r>
        <w:r w:rsidR="00E076EA">
          <w:rPr>
            <w:webHidden/>
          </w:rPr>
          <w:tab/>
        </w:r>
        <w:r w:rsidR="00E076EA">
          <w:rPr>
            <w:webHidden/>
          </w:rPr>
          <w:fldChar w:fldCharType="begin"/>
        </w:r>
        <w:r w:rsidR="00E076EA">
          <w:rPr>
            <w:webHidden/>
          </w:rPr>
          <w:instrText xml:space="preserve"> PAGEREF _Toc105754876 \h </w:instrText>
        </w:r>
        <w:r w:rsidR="00E076EA">
          <w:rPr>
            <w:webHidden/>
          </w:rPr>
        </w:r>
        <w:r w:rsidR="00E076EA">
          <w:rPr>
            <w:webHidden/>
          </w:rPr>
          <w:fldChar w:fldCharType="separate"/>
        </w:r>
        <w:r w:rsidR="00A86E02">
          <w:rPr>
            <w:webHidden/>
          </w:rPr>
          <w:t>20</w:t>
        </w:r>
        <w:r w:rsidR="00E076EA">
          <w:rPr>
            <w:webHidden/>
          </w:rPr>
          <w:fldChar w:fldCharType="end"/>
        </w:r>
      </w:hyperlink>
    </w:p>
    <w:p w14:paraId="0FA65A90" w14:textId="40113534" w:rsidR="00E076EA" w:rsidRDefault="00612AB8">
      <w:pPr>
        <w:pStyle w:val="TOC1"/>
        <w:rPr>
          <w:rFonts w:asciiTheme="minorHAnsi" w:eastAsiaTheme="minorEastAsia" w:hAnsiTheme="minorHAnsi" w:cstheme="minorBidi"/>
          <w:sz w:val="22"/>
          <w:szCs w:val="22"/>
        </w:rPr>
      </w:pPr>
      <w:hyperlink w:anchor="_Toc105754877" w:history="1">
        <w:r w:rsidR="00E076EA" w:rsidRPr="00F047A5">
          <w:rPr>
            <w:rStyle w:val="Hyperlink"/>
          </w:rPr>
          <w:t>Prescribed provisioning</w:t>
        </w:r>
        <w:r w:rsidR="00E076EA">
          <w:rPr>
            <w:webHidden/>
          </w:rPr>
          <w:tab/>
        </w:r>
        <w:r w:rsidR="00E076EA">
          <w:rPr>
            <w:webHidden/>
          </w:rPr>
          <w:fldChar w:fldCharType="begin"/>
        </w:r>
        <w:r w:rsidR="00E076EA">
          <w:rPr>
            <w:webHidden/>
          </w:rPr>
          <w:instrText xml:space="preserve"> PAGEREF _Toc105754877 \h </w:instrText>
        </w:r>
        <w:r w:rsidR="00E076EA">
          <w:rPr>
            <w:webHidden/>
          </w:rPr>
        </w:r>
        <w:r w:rsidR="00E076EA">
          <w:rPr>
            <w:webHidden/>
          </w:rPr>
          <w:fldChar w:fldCharType="separate"/>
        </w:r>
        <w:r w:rsidR="00A86E02">
          <w:rPr>
            <w:webHidden/>
          </w:rPr>
          <w:t>20</w:t>
        </w:r>
        <w:r w:rsidR="00E076EA">
          <w:rPr>
            <w:webHidden/>
          </w:rPr>
          <w:fldChar w:fldCharType="end"/>
        </w:r>
      </w:hyperlink>
    </w:p>
    <w:p w14:paraId="7BECF4FD" w14:textId="1092725D" w:rsidR="00E076EA" w:rsidRDefault="00612AB8">
      <w:pPr>
        <w:pStyle w:val="TOC1"/>
        <w:rPr>
          <w:rFonts w:asciiTheme="minorHAnsi" w:eastAsiaTheme="minorEastAsia" w:hAnsiTheme="minorHAnsi" w:cstheme="minorBidi"/>
          <w:sz w:val="22"/>
          <w:szCs w:val="22"/>
        </w:rPr>
      </w:pPr>
      <w:hyperlink w:anchor="_Toc105754878" w:history="1">
        <w:r w:rsidR="00E076EA" w:rsidRPr="00F047A5">
          <w:rPr>
            <w:rStyle w:val="Hyperlink"/>
          </w:rPr>
          <w:t>Supervisory limits</w:t>
        </w:r>
        <w:r w:rsidR="00E076EA">
          <w:rPr>
            <w:webHidden/>
          </w:rPr>
          <w:tab/>
        </w:r>
        <w:r w:rsidR="00E076EA">
          <w:rPr>
            <w:webHidden/>
          </w:rPr>
          <w:fldChar w:fldCharType="begin"/>
        </w:r>
        <w:r w:rsidR="00E076EA">
          <w:rPr>
            <w:webHidden/>
          </w:rPr>
          <w:instrText xml:space="preserve"> PAGEREF _Toc105754878 \h </w:instrText>
        </w:r>
        <w:r w:rsidR="00E076EA">
          <w:rPr>
            <w:webHidden/>
          </w:rPr>
        </w:r>
        <w:r w:rsidR="00E076EA">
          <w:rPr>
            <w:webHidden/>
          </w:rPr>
          <w:fldChar w:fldCharType="separate"/>
        </w:r>
        <w:r w:rsidR="00A86E02">
          <w:rPr>
            <w:webHidden/>
          </w:rPr>
          <w:t>21</w:t>
        </w:r>
        <w:r w:rsidR="00E076EA">
          <w:rPr>
            <w:webHidden/>
          </w:rPr>
          <w:fldChar w:fldCharType="end"/>
        </w:r>
      </w:hyperlink>
    </w:p>
    <w:p w14:paraId="4C7F9455" w14:textId="1A1272DF" w:rsidR="00E076EA" w:rsidRDefault="00612AB8">
      <w:pPr>
        <w:pStyle w:val="TOC1"/>
        <w:rPr>
          <w:rFonts w:asciiTheme="minorHAnsi" w:eastAsiaTheme="minorEastAsia" w:hAnsiTheme="minorHAnsi" w:cstheme="minorBidi"/>
          <w:sz w:val="22"/>
          <w:szCs w:val="22"/>
        </w:rPr>
      </w:pPr>
      <w:hyperlink w:anchor="_Toc105754879" w:history="1">
        <w:r w:rsidR="00E076EA" w:rsidRPr="00F047A5">
          <w:rPr>
            <w:rStyle w:val="Hyperlink"/>
          </w:rPr>
          <w:t>Adequacy of credit risk management and provisions</w:t>
        </w:r>
        <w:r w:rsidR="00E076EA">
          <w:rPr>
            <w:webHidden/>
          </w:rPr>
          <w:tab/>
        </w:r>
        <w:r w:rsidR="00E076EA">
          <w:rPr>
            <w:webHidden/>
          </w:rPr>
          <w:fldChar w:fldCharType="begin"/>
        </w:r>
        <w:r w:rsidR="00E076EA">
          <w:rPr>
            <w:webHidden/>
          </w:rPr>
          <w:instrText xml:space="preserve"> PAGEREF _Toc105754879 \h </w:instrText>
        </w:r>
        <w:r w:rsidR="00E076EA">
          <w:rPr>
            <w:webHidden/>
          </w:rPr>
        </w:r>
        <w:r w:rsidR="00E076EA">
          <w:rPr>
            <w:webHidden/>
          </w:rPr>
          <w:fldChar w:fldCharType="separate"/>
        </w:r>
        <w:r w:rsidR="00A86E02">
          <w:rPr>
            <w:webHidden/>
          </w:rPr>
          <w:t>21</w:t>
        </w:r>
        <w:r w:rsidR="00E076EA">
          <w:rPr>
            <w:webHidden/>
          </w:rPr>
          <w:fldChar w:fldCharType="end"/>
        </w:r>
      </w:hyperlink>
    </w:p>
    <w:p w14:paraId="556A559F" w14:textId="7B978B70" w:rsidR="00E076EA" w:rsidRDefault="00612AB8">
      <w:pPr>
        <w:pStyle w:val="TOC1"/>
        <w:rPr>
          <w:rFonts w:asciiTheme="minorHAnsi" w:eastAsiaTheme="minorEastAsia" w:hAnsiTheme="minorHAnsi" w:cstheme="minorBidi"/>
          <w:sz w:val="22"/>
          <w:szCs w:val="22"/>
        </w:rPr>
      </w:pPr>
      <w:hyperlink w:anchor="_Toc105754880" w:history="1">
        <w:r w:rsidR="00E076EA" w:rsidRPr="00F047A5">
          <w:rPr>
            <w:rStyle w:val="Hyperlink"/>
          </w:rPr>
          <w:t>Special purpose engagements</w:t>
        </w:r>
        <w:r w:rsidR="00E076EA">
          <w:rPr>
            <w:webHidden/>
          </w:rPr>
          <w:tab/>
        </w:r>
        <w:r w:rsidR="00E076EA">
          <w:rPr>
            <w:webHidden/>
          </w:rPr>
          <w:fldChar w:fldCharType="begin"/>
        </w:r>
        <w:r w:rsidR="00E076EA">
          <w:rPr>
            <w:webHidden/>
          </w:rPr>
          <w:instrText xml:space="preserve"> PAGEREF _Toc105754880 \h </w:instrText>
        </w:r>
        <w:r w:rsidR="00E076EA">
          <w:rPr>
            <w:webHidden/>
          </w:rPr>
        </w:r>
        <w:r w:rsidR="00E076EA">
          <w:rPr>
            <w:webHidden/>
          </w:rPr>
          <w:fldChar w:fldCharType="separate"/>
        </w:r>
        <w:r w:rsidR="00A86E02">
          <w:rPr>
            <w:webHidden/>
          </w:rPr>
          <w:t>21</w:t>
        </w:r>
        <w:r w:rsidR="00E076EA">
          <w:rPr>
            <w:webHidden/>
          </w:rPr>
          <w:fldChar w:fldCharType="end"/>
        </w:r>
      </w:hyperlink>
    </w:p>
    <w:p w14:paraId="6B639F4F" w14:textId="7DD66F67" w:rsidR="00E076EA" w:rsidRDefault="00612AB8">
      <w:pPr>
        <w:pStyle w:val="TOC2"/>
        <w:rPr>
          <w:rFonts w:asciiTheme="minorHAnsi" w:eastAsiaTheme="minorEastAsia" w:hAnsiTheme="minorHAnsi" w:cstheme="minorBidi"/>
          <w:sz w:val="22"/>
          <w:szCs w:val="22"/>
        </w:rPr>
      </w:pPr>
      <w:hyperlink w:anchor="_Toc105754881" w:history="1">
        <w:r w:rsidR="00E076EA" w:rsidRPr="00F047A5">
          <w:rPr>
            <w:rStyle w:val="Hyperlink"/>
          </w:rPr>
          <w:t>Attachment A – Collateral valuation</w:t>
        </w:r>
        <w:r w:rsidR="00E076EA">
          <w:rPr>
            <w:webHidden/>
          </w:rPr>
          <w:tab/>
        </w:r>
        <w:r w:rsidR="00E076EA">
          <w:rPr>
            <w:webHidden/>
          </w:rPr>
          <w:fldChar w:fldCharType="begin"/>
        </w:r>
        <w:r w:rsidR="00E076EA">
          <w:rPr>
            <w:webHidden/>
          </w:rPr>
          <w:instrText xml:space="preserve"> PAGEREF _Toc105754881 \h </w:instrText>
        </w:r>
        <w:r w:rsidR="00E076EA">
          <w:rPr>
            <w:webHidden/>
          </w:rPr>
        </w:r>
        <w:r w:rsidR="00E076EA">
          <w:rPr>
            <w:webHidden/>
          </w:rPr>
          <w:fldChar w:fldCharType="separate"/>
        </w:r>
        <w:r w:rsidR="00A86E02">
          <w:rPr>
            <w:webHidden/>
          </w:rPr>
          <w:t>22</w:t>
        </w:r>
        <w:r w:rsidR="00E076EA">
          <w:rPr>
            <w:webHidden/>
          </w:rPr>
          <w:fldChar w:fldCharType="end"/>
        </w:r>
      </w:hyperlink>
    </w:p>
    <w:p w14:paraId="56F211B2" w14:textId="1CBE8E71" w:rsidR="00E076EA" w:rsidRDefault="00612AB8">
      <w:pPr>
        <w:pStyle w:val="TOC2"/>
        <w:rPr>
          <w:rFonts w:asciiTheme="minorHAnsi" w:eastAsiaTheme="minorEastAsia" w:hAnsiTheme="minorHAnsi" w:cstheme="minorBidi"/>
          <w:sz w:val="22"/>
          <w:szCs w:val="22"/>
        </w:rPr>
      </w:pPr>
      <w:hyperlink w:anchor="_Toc105754884" w:history="1">
        <w:r w:rsidR="00E076EA" w:rsidRPr="00F047A5">
          <w:rPr>
            <w:rStyle w:val="Hyperlink"/>
          </w:rPr>
          <w:t>Attachment B – Prescribed provisioning</w:t>
        </w:r>
        <w:r w:rsidR="00E076EA">
          <w:rPr>
            <w:webHidden/>
          </w:rPr>
          <w:tab/>
        </w:r>
        <w:r w:rsidR="00E076EA">
          <w:rPr>
            <w:webHidden/>
          </w:rPr>
          <w:fldChar w:fldCharType="begin"/>
        </w:r>
        <w:r w:rsidR="00E076EA">
          <w:rPr>
            <w:webHidden/>
          </w:rPr>
          <w:instrText xml:space="preserve"> PAGEREF _Toc105754884 \h </w:instrText>
        </w:r>
        <w:r w:rsidR="00E076EA">
          <w:rPr>
            <w:webHidden/>
          </w:rPr>
        </w:r>
        <w:r w:rsidR="00E076EA">
          <w:rPr>
            <w:webHidden/>
          </w:rPr>
          <w:fldChar w:fldCharType="separate"/>
        </w:r>
        <w:r w:rsidR="00A86E02">
          <w:rPr>
            <w:webHidden/>
          </w:rPr>
          <w:t>26</w:t>
        </w:r>
        <w:r w:rsidR="00E076EA">
          <w:rPr>
            <w:webHidden/>
          </w:rPr>
          <w:fldChar w:fldCharType="end"/>
        </w:r>
      </w:hyperlink>
    </w:p>
    <w:p w14:paraId="13E56AB0" w14:textId="0D56055D" w:rsidR="00E076EA" w:rsidRDefault="00612AB8">
      <w:pPr>
        <w:pStyle w:val="TOC2"/>
        <w:rPr>
          <w:rFonts w:asciiTheme="minorHAnsi" w:eastAsiaTheme="minorEastAsia" w:hAnsiTheme="minorHAnsi" w:cstheme="minorBidi"/>
          <w:sz w:val="22"/>
          <w:szCs w:val="22"/>
        </w:rPr>
      </w:pPr>
      <w:hyperlink w:anchor="_Toc105754892" w:history="1">
        <w:r w:rsidR="00E076EA" w:rsidRPr="00F047A5">
          <w:rPr>
            <w:rStyle w:val="Hyperlink"/>
          </w:rPr>
          <w:t>Attachment C – Macroprudential policy: credit measures</w:t>
        </w:r>
        <w:r w:rsidR="00E076EA">
          <w:rPr>
            <w:webHidden/>
          </w:rPr>
          <w:tab/>
        </w:r>
        <w:r w:rsidR="00E076EA">
          <w:rPr>
            <w:webHidden/>
          </w:rPr>
          <w:fldChar w:fldCharType="begin"/>
        </w:r>
        <w:r w:rsidR="00E076EA">
          <w:rPr>
            <w:webHidden/>
          </w:rPr>
          <w:instrText xml:space="preserve"> PAGEREF _Toc105754892 \h </w:instrText>
        </w:r>
        <w:r w:rsidR="00E076EA">
          <w:rPr>
            <w:webHidden/>
          </w:rPr>
        </w:r>
        <w:r w:rsidR="00E076EA">
          <w:rPr>
            <w:webHidden/>
          </w:rPr>
          <w:fldChar w:fldCharType="separate"/>
        </w:r>
        <w:r w:rsidR="00A86E02">
          <w:rPr>
            <w:webHidden/>
          </w:rPr>
          <w:t>31</w:t>
        </w:r>
        <w:r w:rsidR="00E076EA">
          <w:rPr>
            <w:webHidden/>
          </w:rPr>
          <w:fldChar w:fldCharType="end"/>
        </w:r>
      </w:hyperlink>
    </w:p>
    <w:p w14:paraId="4872E19A" w14:textId="633A8E5F" w:rsidR="009D467A" w:rsidRDefault="009B0A33" w:rsidP="00FF513E">
      <w:pPr>
        <w:pStyle w:val="NoSpacing"/>
      </w:pPr>
      <w:r w:rsidRPr="00EA431A">
        <w:fldChar w:fldCharType="end"/>
      </w:r>
      <w:bookmarkStart w:id="2" w:name="_Toc326937698"/>
      <w:bookmarkStart w:id="3" w:name="_Toc326938615"/>
      <w:bookmarkStart w:id="4" w:name="_Toc326938830"/>
    </w:p>
    <w:p w14:paraId="7A45A310" w14:textId="77777777" w:rsidR="00E96B6D" w:rsidRDefault="00E96B6D" w:rsidP="001F6B8D">
      <w:pPr>
        <w:pStyle w:val="Heading1"/>
        <w:sectPr w:rsidR="00E96B6D" w:rsidSect="000D63A8">
          <w:pgSz w:w="11906" w:h="16838" w:code="9"/>
          <w:pgMar w:top="1440" w:right="1797" w:bottom="1440" w:left="1797" w:header="709" w:footer="709" w:gutter="0"/>
          <w:cols w:space="708"/>
          <w:docGrid w:linePitch="360"/>
        </w:sectPr>
      </w:pPr>
      <w:bookmarkStart w:id="5" w:name="_Toc314733116"/>
      <w:bookmarkStart w:id="6" w:name="_Toc341686774"/>
      <w:bookmarkEnd w:id="2"/>
      <w:bookmarkEnd w:id="3"/>
      <w:bookmarkEnd w:id="4"/>
    </w:p>
    <w:p w14:paraId="5C8DA003" w14:textId="5A3111F9" w:rsidR="00E07F40" w:rsidRPr="00666895" w:rsidRDefault="00E07F40" w:rsidP="00BE57FC">
      <w:pPr>
        <w:pStyle w:val="Heading1"/>
      </w:pPr>
      <w:bookmarkStart w:id="7" w:name="_Toc510011065"/>
      <w:bookmarkStart w:id="8" w:name="_Toc105754838"/>
      <w:r w:rsidRPr="00BE57FC">
        <w:lastRenderedPageBreak/>
        <w:t>Authority</w:t>
      </w:r>
      <w:bookmarkEnd w:id="5"/>
      <w:bookmarkEnd w:id="6"/>
      <w:bookmarkEnd w:id="7"/>
      <w:bookmarkEnd w:id="8"/>
    </w:p>
    <w:p w14:paraId="40406F07" w14:textId="0415C57A" w:rsidR="00E07F40" w:rsidRPr="00BE57FC" w:rsidRDefault="00E07F40" w:rsidP="00B35912">
      <w:pPr>
        <w:pStyle w:val="BodyText1"/>
        <w:numPr>
          <w:ilvl w:val="0"/>
          <w:numId w:val="23"/>
        </w:numPr>
      </w:pPr>
      <w:r w:rsidRPr="00BE57FC">
        <w:t xml:space="preserve">This Prudential Standard is made under section 11AF of the </w:t>
      </w:r>
      <w:r w:rsidRPr="00B35912">
        <w:rPr>
          <w:i/>
        </w:rPr>
        <w:t>Banking Act 1959</w:t>
      </w:r>
      <w:r w:rsidRPr="00BE57FC">
        <w:t xml:space="preserve"> (</w:t>
      </w:r>
      <w:r w:rsidRPr="00B35912">
        <w:rPr>
          <w:b/>
        </w:rPr>
        <w:t>Banking Act</w:t>
      </w:r>
      <w:r w:rsidRPr="00BE57FC">
        <w:t>).</w:t>
      </w:r>
      <w:r w:rsidR="00E96B6D" w:rsidRPr="00BE57FC">
        <w:t xml:space="preserve"> </w:t>
      </w:r>
    </w:p>
    <w:p w14:paraId="02F03484" w14:textId="77777777" w:rsidR="00E07F40" w:rsidRPr="00666895" w:rsidRDefault="00E07F40" w:rsidP="00BE57FC">
      <w:pPr>
        <w:pStyle w:val="Heading1"/>
      </w:pPr>
      <w:bookmarkStart w:id="9" w:name="_Toc314733118"/>
      <w:bookmarkStart w:id="10" w:name="_Toc341686775"/>
      <w:bookmarkStart w:id="11" w:name="_Toc510011066"/>
      <w:bookmarkStart w:id="12" w:name="_Toc105754839"/>
      <w:r w:rsidRPr="00BE57FC">
        <w:t>Application</w:t>
      </w:r>
      <w:bookmarkEnd w:id="9"/>
      <w:bookmarkEnd w:id="10"/>
      <w:bookmarkEnd w:id="11"/>
      <w:bookmarkEnd w:id="12"/>
    </w:p>
    <w:p w14:paraId="7FBA85C4" w14:textId="633BFE70" w:rsidR="00286323" w:rsidRDefault="009E2CBC" w:rsidP="00286323">
      <w:pPr>
        <w:pStyle w:val="BodyText1"/>
      </w:pPr>
      <w:r w:rsidRPr="00BE57FC">
        <w:t>This Prudential Standard applies to all authorised deposit</w:t>
      </w:r>
      <w:r w:rsidR="00B52FD0" w:rsidRPr="00620C2A">
        <w:t>-</w:t>
      </w:r>
      <w:r w:rsidRPr="00BE57FC">
        <w:t>taking institutions (</w:t>
      </w:r>
      <w:r w:rsidRPr="00BE57FC">
        <w:rPr>
          <w:b/>
        </w:rPr>
        <w:t>ADIs</w:t>
      </w:r>
      <w:r w:rsidRPr="00BE57FC">
        <w:t xml:space="preserve">) other than </w:t>
      </w:r>
      <w:r w:rsidRPr="00BE57FC">
        <w:rPr>
          <w:b/>
        </w:rPr>
        <w:t>purchased payment facility providers</w:t>
      </w:r>
      <w:r w:rsidRPr="00BE57FC">
        <w:t xml:space="preserve"> (</w:t>
      </w:r>
      <w:r w:rsidRPr="00BE57FC">
        <w:rPr>
          <w:b/>
        </w:rPr>
        <w:t>PPF providers</w:t>
      </w:r>
      <w:r w:rsidRPr="00BE57FC">
        <w:t>), subject to paragraph</w:t>
      </w:r>
      <w:r w:rsidR="00361AAF">
        <w:t xml:space="preserve"> </w:t>
      </w:r>
      <w:r w:rsidR="00361AAF">
        <w:fldChar w:fldCharType="begin"/>
      </w:r>
      <w:r w:rsidR="00361AAF">
        <w:instrText xml:space="preserve"> REF _Ref3894516 \r \h </w:instrText>
      </w:r>
      <w:r w:rsidR="00361AAF">
        <w:fldChar w:fldCharType="separate"/>
      </w:r>
      <w:r w:rsidR="00A86E02">
        <w:t>3</w:t>
      </w:r>
      <w:r w:rsidR="00361AAF">
        <w:fldChar w:fldCharType="end"/>
      </w:r>
      <w:r w:rsidR="001027DC" w:rsidRPr="004C5B57">
        <w:t>.</w:t>
      </w:r>
      <w:bookmarkStart w:id="13" w:name="_Ref454389904"/>
    </w:p>
    <w:p w14:paraId="04A33707" w14:textId="32C31A0C" w:rsidR="001A0D76" w:rsidRDefault="00286323" w:rsidP="00C24D3E">
      <w:pPr>
        <w:pStyle w:val="BodyText1"/>
      </w:pPr>
      <w:bookmarkStart w:id="14" w:name="_Ref529524157"/>
      <w:bookmarkStart w:id="15" w:name="_Ref3894516"/>
      <w:r w:rsidRPr="00C24D3E">
        <w:rPr>
          <w:b/>
          <w:bCs/>
          <w:color w:val="000000"/>
        </w:rPr>
        <w:t xml:space="preserve">Foreign ADIs </w:t>
      </w:r>
      <w:r w:rsidRPr="00C24D3E">
        <w:rPr>
          <w:color w:val="000000"/>
        </w:rPr>
        <w:t>must comply with the provisions in this Prudential Standard with the exception of</w:t>
      </w:r>
      <w:bookmarkEnd w:id="14"/>
      <w:r w:rsidR="00C24D3E" w:rsidRPr="00C24D3E">
        <w:rPr>
          <w:color w:val="000000"/>
        </w:rPr>
        <w:t xml:space="preserve"> </w:t>
      </w:r>
      <w:r w:rsidR="00DD6C21">
        <w:t>p</w:t>
      </w:r>
      <w:r w:rsidR="001A0D76">
        <w:t>aragraphs</w:t>
      </w:r>
      <w:r w:rsidR="009C20DD">
        <w:t xml:space="preserve"> </w:t>
      </w:r>
      <w:r w:rsidR="007F3161">
        <w:fldChar w:fldCharType="begin"/>
      </w:r>
      <w:r w:rsidR="007F3161">
        <w:instrText xml:space="preserve"> REF _Ref529524181 \r \h </w:instrText>
      </w:r>
      <w:r w:rsidR="007F3161">
        <w:fldChar w:fldCharType="separate"/>
      </w:r>
      <w:r w:rsidR="00A86E02">
        <w:t>24</w:t>
      </w:r>
      <w:r w:rsidR="007F3161">
        <w:fldChar w:fldCharType="end"/>
      </w:r>
      <w:r w:rsidR="00530731">
        <w:t xml:space="preserve">, </w:t>
      </w:r>
      <w:r w:rsidR="007F3161">
        <w:fldChar w:fldCharType="begin"/>
      </w:r>
      <w:r w:rsidR="007F3161">
        <w:instrText xml:space="preserve"> REF _Ref529785096 \r \h </w:instrText>
      </w:r>
      <w:r w:rsidR="007F3161">
        <w:fldChar w:fldCharType="separate"/>
      </w:r>
      <w:r w:rsidR="00A86E02">
        <w:t>75</w:t>
      </w:r>
      <w:r w:rsidR="007F3161">
        <w:fldChar w:fldCharType="end"/>
      </w:r>
      <w:r w:rsidR="00530731">
        <w:t xml:space="preserve"> and</w:t>
      </w:r>
      <w:r w:rsidR="009C20DD">
        <w:t xml:space="preserve"> </w:t>
      </w:r>
      <w:r w:rsidR="007F3161">
        <w:fldChar w:fldCharType="begin"/>
      </w:r>
      <w:r w:rsidR="007F3161">
        <w:instrText xml:space="preserve"> REF _Ref3894605 \r \h </w:instrText>
      </w:r>
      <w:r w:rsidR="007F3161">
        <w:fldChar w:fldCharType="separate"/>
      </w:r>
      <w:r w:rsidR="00A86E02">
        <w:t>94</w:t>
      </w:r>
      <w:r w:rsidR="007F3161">
        <w:fldChar w:fldCharType="end"/>
      </w:r>
      <w:r w:rsidR="001A0D76">
        <w:t xml:space="preserve"> as relates to </w:t>
      </w:r>
      <w:r w:rsidR="005A2878">
        <w:t>the qua</w:t>
      </w:r>
      <w:r w:rsidR="00593AB4">
        <w:t>nt</w:t>
      </w:r>
      <w:r w:rsidR="005A2878">
        <w:t xml:space="preserve">itative aspects of </w:t>
      </w:r>
      <w:r w:rsidR="001A0D76">
        <w:t>capital</w:t>
      </w:r>
      <w:r w:rsidR="009C6A84">
        <w:t xml:space="preserve"> adequacy</w:t>
      </w:r>
      <w:r w:rsidR="005A2878">
        <w:t>.</w:t>
      </w:r>
      <w:bookmarkEnd w:id="15"/>
    </w:p>
    <w:p w14:paraId="79667D26" w14:textId="2CEC9829" w:rsidR="00930CCC" w:rsidRPr="00BE57FC" w:rsidRDefault="00930CCC" w:rsidP="00E461D3">
      <w:pPr>
        <w:pStyle w:val="BodyText1"/>
      </w:pPr>
      <w:r w:rsidRPr="00675E82">
        <w:t xml:space="preserve">The obligations imposed by this Prudential Standard on, or in relation to, </w:t>
      </w:r>
      <w:r w:rsidR="00675E82" w:rsidRPr="00675E82">
        <w:t>f</w:t>
      </w:r>
      <w:r w:rsidRPr="00675E82">
        <w:t>oreign ADIs only apply</w:t>
      </w:r>
      <w:r w:rsidRPr="00BE57FC">
        <w:t xml:space="preserve"> in relation to their Australian business.</w:t>
      </w:r>
    </w:p>
    <w:p w14:paraId="390C11EE" w14:textId="2DF625B2" w:rsidR="00E07F40" w:rsidRPr="00BE57FC" w:rsidRDefault="009E2CBC" w:rsidP="00E461D3">
      <w:pPr>
        <w:pStyle w:val="BodyText1"/>
      </w:pPr>
      <w:r w:rsidRPr="00BE57FC">
        <w:t>A reference to an ADI in this Prudential Standard, unless otherwise indicated</w:t>
      </w:r>
      <w:r w:rsidR="00B47494">
        <w:t>,</w:t>
      </w:r>
      <w:r w:rsidRPr="00BE57FC">
        <w:t xml:space="preserve"> is a reference to:</w:t>
      </w:r>
      <w:bookmarkEnd w:id="13"/>
    </w:p>
    <w:p w14:paraId="7C7EF402" w14:textId="5363FB56" w:rsidR="009E2CBC" w:rsidRPr="00BE57FC" w:rsidRDefault="009E2CBC" w:rsidP="00AB0B8D">
      <w:pPr>
        <w:pStyle w:val="BodyText2"/>
        <w:ind w:left="1134"/>
      </w:pPr>
      <w:r w:rsidRPr="00BE57FC">
        <w:t xml:space="preserve">an ADI on a </w:t>
      </w:r>
      <w:r w:rsidRPr="00BE57FC">
        <w:rPr>
          <w:b/>
        </w:rPr>
        <w:t>Level 1</w:t>
      </w:r>
      <w:r w:rsidRPr="00BE57FC">
        <w:t xml:space="preserve"> basis; and</w:t>
      </w:r>
    </w:p>
    <w:p w14:paraId="1F18A457" w14:textId="25601033" w:rsidR="00110917" w:rsidRPr="00BE57FC" w:rsidRDefault="009E2CBC" w:rsidP="00AB0B8D">
      <w:pPr>
        <w:pStyle w:val="BodyText2"/>
        <w:ind w:left="1134"/>
      </w:pPr>
      <w:r w:rsidRPr="00BE57FC">
        <w:t xml:space="preserve">a </w:t>
      </w:r>
      <w:r w:rsidRPr="00BE57FC">
        <w:rPr>
          <w:b/>
        </w:rPr>
        <w:t>group</w:t>
      </w:r>
      <w:r w:rsidRPr="00BE57FC">
        <w:t xml:space="preserve"> of which an ADI is a member on a </w:t>
      </w:r>
      <w:r w:rsidRPr="00BE57FC">
        <w:rPr>
          <w:b/>
        </w:rPr>
        <w:t>Level 2</w:t>
      </w:r>
      <w:r w:rsidRPr="00BE57FC">
        <w:t xml:space="preserve"> basis.</w:t>
      </w:r>
    </w:p>
    <w:p w14:paraId="4011A707" w14:textId="35BF9873" w:rsidR="00E07F40" w:rsidRPr="00BE57FC" w:rsidRDefault="001716C8" w:rsidP="00E461D3">
      <w:pPr>
        <w:pStyle w:val="BodyText1"/>
      </w:pPr>
      <w:r w:rsidRPr="00BE57FC">
        <w:t>If an ADI to which this Prudential Standard applies is</w:t>
      </w:r>
      <w:r w:rsidR="00E07F40" w:rsidRPr="00BE57FC">
        <w:t>:</w:t>
      </w:r>
    </w:p>
    <w:p w14:paraId="47F83E4F" w14:textId="74807643" w:rsidR="001716C8" w:rsidRPr="00BE57FC" w:rsidRDefault="001716C8" w:rsidP="00D43985">
      <w:pPr>
        <w:pStyle w:val="BodyText2"/>
        <w:ind w:left="1134"/>
        <w:jc w:val="both"/>
      </w:pPr>
      <w:r w:rsidRPr="00BE57FC">
        <w:t>the holding company for a group, the ADI must ensure that the requirements in this Prudential Standard</w:t>
      </w:r>
      <w:r w:rsidR="006A074A" w:rsidRPr="00BE57FC">
        <w:t xml:space="preserve"> </w:t>
      </w:r>
      <w:r w:rsidRPr="00BE57FC">
        <w:t xml:space="preserve">are met on a </w:t>
      </w:r>
      <w:r w:rsidR="009A7C30" w:rsidRPr="00BE57FC">
        <w:t>L</w:t>
      </w:r>
      <w:r w:rsidRPr="00BE57FC">
        <w:t>evel 2 basis, where applicable; or</w:t>
      </w:r>
    </w:p>
    <w:p w14:paraId="00417EBB" w14:textId="231AED6D" w:rsidR="00E07F40" w:rsidRDefault="006A074A" w:rsidP="00D43985">
      <w:pPr>
        <w:pStyle w:val="BodyText2"/>
        <w:ind w:left="1134"/>
        <w:jc w:val="both"/>
      </w:pPr>
      <w:r w:rsidRPr="00BE57FC">
        <w:t>a subsidiary of an authorised non</w:t>
      </w:r>
      <w:r w:rsidR="00A41CCE">
        <w:t>-</w:t>
      </w:r>
      <w:r w:rsidRPr="00BE57FC">
        <w:t>operating holding company (</w:t>
      </w:r>
      <w:r w:rsidRPr="00BE57FC">
        <w:rPr>
          <w:b/>
        </w:rPr>
        <w:t>authorised NOHC</w:t>
      </w:r>
      <w:r w:rsidRPr="00BE57FC">
        <w:t>), the authorised NOHC must ensure that the requirements in this Prudential Standard are met on a Level 2 basis, where applicable.</w:t>
      </w:r>
    </w:p>
    <w:p w14:paraId="5B132478" w14:textId="66895B90" w:rsidR="008D1718" w:rsidRPr="00BE57FC" w:rsidRDefault="008D1718" w:rsidP="008D1718">
      <w:pPr>
        <w:pStyle w:val="BodyText1"/>
      </w:pPr>
      <w:r>
        <w:t xml:space="preserve">This Prudential Standard commences on 1 </w:t>
      </w:r>
      <w:r w:rsidR="00B3466B">
        <w:t xml:space="preserve">January </w:t>
      </w:r>
      <w:r>
        <w:t>202</w:t>
      </w:r>
      <w:r w:rsidR="00B3466B">
        <w:t>3</w:t>
      </w:r>
      <w:r>
        <w:t>.</w:t>
      </w:r>
    </w:p>
    <w:p w14:paraId="2B9C0EFF" w14:textId="19654AF6" w:rsidR="00C316E2" w:rsidRPr="00666895" w:rsidRDefault="00C316E2" w:rsidP="00E461D3">
      <w:pPr>
        <w:pStyle w:val="Heading1"/>
      </w:pPr>
      <w:bookmarkStart w:id="16" w:name="_Toc510011067"/>
      <w:bookmarkStart w:id="17" w:name="_Toc105754840"/>
      <w:r w:rsidRPr="00BE57FC">
        <w:t>Scope</w:t>
      </w:r>
      <w:bookmarkEnd w:id="16"/>
      <w:bookmarkEnd w:id="17"/>
    </w:p>
    <w:p w14:paraId="6991CCA8" w14:textId="3EB79166" w:rsidR="00C316E2" w:rsidRPr="00BE57FC" w:rsidRDefault="00C316E2" w:rsidP="00E461D3">
      <w:pPr>
        <w:pStyle w:val="BodyText1"/>
      </w:pPr>
      <w:r w:rsidRPr="00BE57FC">
        <w:t xml:space="preserve">This Prudential Standard </w:t>
      </w:r>
      <w:r w:rsidR="003D67AE" w:rsidRPr="00BE57FC">
        <w:t xml:space="preserve">applies to all </w:t>
      </w:r>
      <w:r w:rsidR="00C54C5D" w:rsidRPr="00BE57FC">
        <w:t>activities</w:t>
      </w:r>
      <w:r w:rsidR="00CB66F5" w:rsidRPr="00BE57FC">
        <w:t xml:space="preserve"> </w:t>
      </w:r>
      <w:r w:rsidR="003A5472" w:rsidRPr="00BE57FC">
        <w:t>of the ADI</w:t>
      </w:r>
      <w:r w:rsidR="00E93B8B" w:rsidRPr="00BE57FC">
        <w:t xml:space="preserve"> that give rise to credit risk</w:t>
      </w:r>
      <w:r w:rsidR="008C1FCE" w:rsidRPr="00BE57FC">
        <w:t>, except e</w:t>
      </w:r>
      <w:r w:rsidR="00BB450D" w:rsidRPr="00BE57FC">
        <w:t>xposures</w:t>
      </w:r>
      <w:r w:rsidRPr="00BE57FC">
        <w:t xml:space="preserve"> </w:t>
      </w:r>
      <w:r w:rsidR="005A2D62">
        <w:t xml:space="preserve">that have been </w:t>
      </w:r>
      <w:r w:rsidRPr="00BE57FC">
        <w:t xml:space="preserve">securitised, transferred or originated into securitisation vehicles that meet APRA’s operational requirements for regulatory capital relief in </w:t>
      </w:r>
      <w:r w:rsidRPr="00BE57FC">
        <w:rPr>
          <w:i/>
        </w:rPr>
        <w:t>Prudential Standard APS 120 Securitisation</w:t>
      </w:r>
      <w:r w:rsidRPr="00BE57FC">
        <w:t xml:space="preserve"> (APS 120).</w:t>
      </w:r>
    </w:p>
    <w:p w14:paraId="4795AE69" w14:textId="2A347F6B" w:rsidR="00E83A76" w:rsidRPr="00666895" w:rsidRDefault="00FA30A6" w:rsidP="00E461D3">
      <w:pPr>
        <w:pStyle w:val="Heading1"/>
      </w:pPr>
      <w:bookmarkStart w:id="18" w:name="_Toc510011068"/>
      <w:bookmarkStart w:id="19" w:name="_Toc105754841"/>
      <w:r w:rsidRPr="00BE57FC">
        <w:t>Interpretation</w:t>
      </w:r>
      <w:bookmarkEnd w:id="18"/>
      <w:bookmarkEnd w:id="19"/>
      <w:r w:rsidR="00E83A76" w:rsidRPr="00666895">
        <w:t xml:space="preserve"> </w:t>
      </w:r>
    </w:p>
    <w:p w14:paraId="42874544" w14:textId="1E776FE5" w:rsidR="004E31DF" w:rsidRPr="00BE57FC" w:rsidRDefault="00FA30A6" w:rsidP="00E461D3">
      <w:pPr>
        <w:pStyle w:val="BodyText1"/>
      </w:pPr>
      <w:r w:rsidRPr="00BE57FC">
        <w:t xml:space="preserve">Terms that are defined in </w:t>
      </w:r>
      <w:r w:rsidRPr="00BE57FC">
        <w:rPr>
          <w:i/>
        </w:rPr>
        <w:t>Prudential Standard APS 001 Definitions</w:t>
      </w:r>
      <w:r w:rsidRPr="00BE57FC">
        <w:t xml:space="preserve"> </w:t>
      </w:r>
      <w:r w:rsidR="00B42FA4" w:rsidRPr="00BE57FC">
        <w:t xml:space="preserve">(APS 001) </w:t>
      </w:r>
      <w:r w:rsidRPr="00BE57FC">
        <w:t>appear in bold the first time they are used in this Prudential Standard.</w:t>
      </w:r>
    </w:p>
    <w:p w14:paraId="27557C98" w14:textId="77777777" w:rsidR="00A826D4" w:rsidRPr="00961AD3" w:rsidRDefault="00A826D4" w:rsidP="00A826D4">
      <w:pPr>
        <w:pStyle w:val="BodyText1"/>
      </w:pPr>
      <w:r w:rsidRPr="00BE57FC">
        <w:t>Where this Prudential Standard provides for APRA to exercise a power or discretion, this power or discretion is to be exercised in writing.</w:t>
      </w:r>
    </w:p>
    <w:p w14:paraId="24966577" w14:textId="0ADF90B7" w:rsidR="00AD41C8" w:rsidRPr="00BE57FC" w:rsidRDefault="00F56FC7" w:rsidP="00E461D3">
      <w:pPr>
        <w:pStyle w:val="BodyText1"/>
      </w:pPr>
      <w:r w:rsidRPr="00BE57FC">
        <w:lastRenderedPageBreak/>
        <w:t>In this Prudential Standard, unless the contrary intention appears, a reference to an Act, Regulations</w:t>
      </w:r>
      <w:r w:rsidR="00674148">
        <w:t>,</w:t>
      </w:r>
      <w:r w:rsidRPr="00BE57FC">
        <w:t xml:space="preserve"> Prudential Standard</w:t>
      </w:r>
      <w:r w:rsidR="00674148">
        <w:t xml:space="preserve">, or Reporting Standard </w:t>
      </w:r>
      <w:r w:rsidRPr="00BE57FC">
        <w:t>is a reference to the Act, Regulations</w:t>
      </w:r>
      <w:r w:rsidR="00674148">
        <w:t>,</w:t>
      </w:r>
      <w:r w:rsidRPr="00BE57FC">
        <w:t xml:space="preserve"> Prudential Standard</w:t>
      </w:r>
      <w:r w:rsidR="00E20B46" w:rsidRPr="00BE57FC">
        <w:t>s</w:t>
      </w:r>
      <w:r w:rsidR="00674148">
        <w:t>, or Reporting Standard</w:t>
      </w:r>
      <w:r w:rsidRPr="00BE57FC">
        <w:t xml:space="preserve"> as in force from time to time.</w:t>
      </w:r>
    </w:p>
    <w:p w14:paraId="17A50707" w14:textId="0EA10002" w:rsidR="004663B4" w:rsidRPr="00BE57FC" w:rsidRDefault="004663B4" w:rsidP="00E461D3">
      <w:pPr>
        <w:pStyle w:val="BodyText1"/>
      </w:pPr>
      <w:r>
        <w:t xml:space="preserve">In this Prudential Standard, a reference </w:t>
      </w:r>
      <w:r w:rsidR="00593613">
        <w:t xml:space="preserve">to a borrower </w:t>
      </w:r>
      <w:r w:rsidR="00E52233">
        <w:t>is also a reference to a counterparty</w:t>
      </w:r>
      <w:r>
        <w:t>.</w:t>
      </w:r>
    </w:p>
    <w:p w14:paraId="7F5EA8F8" w14:textId="77777777" w:rsidR="008D217A" w:rsidRPr="008D217A" w:rsidRDefault="008D217A" w:rsidP="00E461D3">
      <w:pPr>
        <w:pStyle w:val="Heading1"/>
        <w:rPr>
          <w:rStyle w:val="Heading4Char"/>
          <w:rFonts w:asciiTheme="majorHAnsi" w:hAnsiTheme="majorHAnsi"/>
          <w:b/>
          <w:szCs w:val="22"/>
        </w:rPr>
      </w:pPr>
      <w:bookmarkStart w:id="20" w:name="_Toc105754842"/>
      <w:bookmarkStart w:id="21" w:name="_Toc510011069"/>
      <w:r w:rsidRPr="00BE57FC">
        <w:rPr>
          <w:rStyle w:val="Heading4Char"/>
          <w:rFonts w:asciiTheme="majorHAnsi" w:hAnsiTheme="majorHAnsi"/>
          <w:b/>
          <w:sz w:val="24"/>
        </w:rPr>
        <w:t>Definitions</w:t>
      </w:r>
      <w:bookmarkEnd w:id="20"/>
    </w:p>
    <w:p w14:paraId="47C8B648" w14:textId="4610FC62" w:rsidR="008D217A" w:rsidRPr="00FF35E0" w:rsidRDefault="008D217A" w:rsidP="00E461D3">
      <w:pPr>
        <w:pStyle w:val="BodyText1"/>
      </w:pPr>
      <w:bookmarkStart w:id="22" w:name="_Ref529524587"/>
      <w:r w:rsidRPr="008717F4">
        <w:t xml:space="preserve">The following definitions are used in this </w:t>
      </w:r>
      <w:r w:rsidRPr="00BE57FC">
        <w:t>Prudential</w:t>
      </w:r>
      <w:r w:rsidRPr="008717F4">
        <w:t xml:space="preserve"> Standard</w:t>
      </w:r>
      <w:r w:rsidR="001B78E4">
        <w:t xml:space="preserve"> in reference to an exposure</w:t>
      </w:r>
      <w:r w:rsidRPr="00FF35E0">
        <w:t>:</w:t>
      </w:r>
      <w:bookmarkEnd w:id="22"/>
    </w:p>
    <w:p w14:paraId="0E20C30D" w14:textId="1AAF2BE2" w:rsidR="00357E02" w:rsidRDefault="00404589" w:rsidP="00D43985">
      <w:pPr>
        <w:pStyle w:val="BodyText2"/>
        <w:ind w:left="1134"/>
        <w:jc w:val="both"/>
      </w:pPr>
      <w:bookmarkStart w:id="23" w:name="_Ref529524338"/>
      <w:bookmarkStart w:id="24" w:name="_Ref3896702"/>
      <w:r w:rsidRPr="00BE57FC">
        <w:t>non</w:t>
      </w:r>
      <w:r w:rsidR="002B759D" w:rsidRPr="00620C2A">
        <w:t>-</w:t>
      </w:r>
      <w:r w:rsidR="00357E02" w:rsidRPr="00BE57FC">
        <w:t>performing</w:t>
      </w:r>
      <w:r w:rsidR="001B78E4">
        <w:t xml:space="preserve"> </w:t>
      </w:r>
      <w:r w:rsidR="00357E02" w:rsidRPr="00BE57FC">
        <w:t>– an exposure that</w:t>
      </w:r>
      <w:bookmarkEnd w:id="23"/>
      <w:r w:rsidR="007F3161">
        <w:t xml:space="preserve"> </w:t>
      </w:r>
      <w:r w:rsidR="007F3161" w:rsidRPr="007F3161">
        <w:t>is in default.</w:t>
      </w:r>
      <w:bookmarkEnd w:id="24"/>
      <w:r w:rsidR="00F7299F" w:rsidRPr="00F7299F">
        <w:t xml:space="preserve"> </w:t>
      </w:r>
      <w:r w:rsidR="00E414CD" w:rsidRPr="00F7299F">
        <w:t>A</w:t>
      </w:r>
      <w:r w:rsidR="00F7299F" w:rsidRPr="00F7299F">
        <w:t xml:space="preserve"> default is considered to have occurred </w:t>
      </w:r>
      <w:proofErr w:type="gramStart"/>
      <w:r w:rsidR="00F7299F" w:rsidRPr="00F7299F">
        <w:t>with regard to</w:t>
      </w:r>
      <w:proofErr w:type="gramEnd"/>
      <w:r w:rsidR="00F7299F" w:rsidRPr="00F7299F">
        <w:t xml:space="preserve"> a particular </w:t>
      </w:r>
      <w:r w:rsidR="00FE39D9">
        <w:t>borrower</w:t>
      </w:r>
      <w:r w:rsidR="00F7299F" w:rsidRPr="00F7299F">
        <w:t xml:space="preserve"> when either, or both, of the events</w:t>
      </w:r>
      <w:r w:rsidR="003C13D0">
        <w:t xml:space="preserve"> in sub-paragraphs </w:t>
      </w:r>
      <w:r w:rsidR="003C4686">
        <w:fldChar w:fldCharType="begin"/>
      </w:r>
      <w:r w:rsidR="003C4686">
        <w:instrText xml:space="preserve"> REF _Ref24114823 \r \h </w:instrText>
      </w:r>
      <w:r w:rsidR="003C4686">
        <w:fldChar w:fldCharType="separate"/>
      </w:r>
      <w:r w:rsidR="00A86E02">
        <w:t>(</w:t>
      </w:r>
      <w:proofErr w:type="spellStart"/>
      <w:r w:rsidR="00A86E02">
        <w:t>i</w:t>
      </w:r>
      <w:proofErr w:type="spellEnd"/>
      <w:r w:rsidR="00A86E02">
        <w:t>)</w:t>
      </w:r>
      <w:r w:rsidR="003C4686">
        <w:fldChar w:fldCharType="end"/>
      </w:r>
      <w:r w:rsidR="003C13D0">
        <w:t xml:space="preserve"> or </w:t>
      </w:r>
      <w:r w:rsidR="003C4686">
        <w:fldChar w:fldCharType="begin"/>
      </w:r>
      <w:r w:rsidR="003C4686">
        <w:instrText xml:space="preserve"> REF _Ref24114839 \r \h </w:instrText>
      </w:r>
      <w:r w:rsidR="003C4686">
        <w:fldChar w:fldCharType="separate"/>
      </w:r>
      <w:r w:rsidR="00A86E02">
        <w:t>(ii)</w:t>
      </w:r>
      <w:r w:rsidR="003C4686">
        <w:fldChar w:fldCharType="end"/>
      </w:r>
      <w:r w:rsidR="003C13D0">
        <w:t xml:space="preserve"> </w:t>
      </w:r>
      <w:r w:rsidR="00F7299F" w:rsidRPr="00F7299F">
        <w:t>have taken place:</w:t>
      </w:r>
    </w:p>
    <w:p w14:paraId="760295A1" w14:textId="61DAE1B0" w:rsidR="00213685" w:rsidRDefault="00213685" w:rsidP="00D43985">
      <w:pPr>
        <w:pStyle w:val="BodyText3"/>
        <w:jc w:val="both"/>
      </w:pPr>
      <w:bookmarkStart w:id="25" w:name="_Ref24114823"/>
      <w:r>
        <w:t xml:space="preserve">the ADI considers </w:t>
      </w:r>
      <w:r w:rsidRPr="00213685">
        <w:t xml:space="preserve">that the </w:t>
      </w:r>
      <w:r w:rsidR="00345D44">
        <w:t xml:space="preserve">borrower </w:t>
      </w:r>
      <w:r w:rsidRPr="00213685">
        <w:t>is unlikely to pay its credit obligations to the ADI in full, without recourse by the ADI to actions such as realising available security</w:t>
      </w:r>
      <w:r>
        <w:t>;</w:t>
      </w:r>
      <w:bookmarkEnd w:id="25"/>
    </w:p>
    <w:p w14:paraId="47616236" w14:textId="77777777" w:rsidR="00340AF4" w:rsidRDefault="00340AF4" w:rsidP="00D43985">
      <w:pPr>
        <w:pStyle w:val="BodyText3"/>
        <w:numPr>
          <w:ilvl w:val="0"/>
          <w:numId w:val="0"/>
        </w:numPr>
        <w:ind w:left="2268" w:hanging="567"/>
        <w:jc w:val="both"/>
      </w:pPr>
      <w:r>
        <w:t>Elements to be taken as indications of unlikeliness to pay include:</w:t>
      </w:r>
    </w:p>
    <w:p w14:paraId="7E019C3D" w14:textId="77777777" w:rsidR="00340AF4" w:rsidRDefault="00340AF4" w:rsidP="00D43985">
      <w:pPr>
        <w:pStyle w:val="BodyText3"/>
        <w:numPr>
          <w:ilvl w:val="2"/>
          <w:numId w:val="17"/>
        </w:numPr>
        <w:ind w:left="2268"/>
        <w:jc w:val="both"/>
      </w:pPr>
      <w:r>
        <w:t>the ADI puts the credit obligation on non-accrued status (e.g. the lending ADI no longer recognises accrued interest as income or, if recognised, makes an equivalent amount of provisions);</w:t>
      </w:r>
    </w:p>
    <w:p w14:paraId="1ED3BC36" w14:textId="77777777" w:rsidR="00340AF4" w:rsidRDefault="00340AF4" w:rsidP="00D43985">
      <w:pPr>
        <w:pStyle w:val="BodyText3"/>
        <w:numPr>
          <w:ilvl w:val="2"/>
          <w:numId w:val="17"/>
        </w:numPr>
        <w:ind w:left="2268"/>
        <w:jc w:val="both"/>
      </w:pPr>
      <w:r>
        <w:t xml:space="preserve">the ADI makes a charge-off or account-specific provision resulting from a significant perceived decline in credit quality subsequent to the ADI taking on the </w:t>
      </w:r>
      <w:proofErr w:type="gramStart"/>
      <w:r>
        <w:t>exposure;</w:t>
      </w:r>
      <w:proofErr w:type="gramEnd"/>
    </w:p>
    <w:p w14:paraId="3BE81465" w14:textId="77777777" w:rsidR="00340AF4" w:rsidRDefault="00340AF4" w:rsidP="00D43985">
      <w:pPr>
        <w:pStyle w:val="BodyText3"/>
        <w:numPr>
          <w:ilvl w:val="2"/>
          <w:numId w:val="17"/>
        </w:numPr>
        <w:ind w:left="2268"/>
        <w:jc w:val="both"/>
      </w:pPr>
      <w:r>
        <w:t>the ADI consents to a distressed restructuring of the credit obligation where this is likely to result in a diminished financial obligation caused by the material forgiveness, or postponement, of principal, interest or fees;</w:t>
      </w:r>
    </w:p>
    <w:p w14:paraId="51634A0C" w14:textId="76BF6E9A" w:rsidR="00340AF4" w:rsidRDefault="00340AF4" w:rsidP="00D43985">
      <w:pPr>
        <w:pStyle w:val="BodyText3"/>
        <w:numPr>
          <w:ilvl w:val="2"/>
          <w:numId w:val="17"/>
        </w:numPr>
        <w:ind w:left="2268"/>
        <w:jc w:val="both"/>
      </w:pPr>
      <w:r>
        <w:t xml:space="preserve">the ADI has </w:t>
      </w:r>
      <w:r w:rsidR="00E414CD">
        <w:t>applied</w:t>
      </w:r>
      <w:r>
        <w:t xml:space="preserve"> for the </w:t>
      </w:r>
      <w:r w:rsidR="00345D44">
        <w:t>borrower</w:t>
      </w:r>
      <w:r>
        <w:t xml:space="preserve">’s bankruptcy or a similar order in respect of the </w:t>
      </w:r>
      <w:r w:rsidR="00345D44">
        <w:t>borrower</w:t>
      </w:r>
      <w:r>
        <w:t>’s credit obligation to the ADI;</w:t>
      </w:r>
    </w:p>
    <w:p w14:paraId="691C82A7" w14:textId="74F6C222" w:rsidR="00340AF4" w:rsidRDefault="00340AF4" w:rsidP="00D43985">
      <w:pPr>
        <w:pStyle w:val="BodyText3"/>
        <w:numPr>
          <w:ilvl w:val="2"/>
          <w:numId w:val="17"/>
        </w:numPr>
        <w:ind w:left="2268"/>
        <w:jc w:val="both"/>
      </w:pPr>
      <w:r>
        <w:t xml:space="preserve">the </w:t>
      </w:r>
      <w:r w:rsidR="00345D44">
        <w:t>borrower</w:t>
      </w:r>
      <w:r>
        <w:t xml:space="preserve"> has sought or has been placed in bankruptcy or </w:t>
      </w:r>
      <w:r w:rsidR="00384C32">
        <w:t xml:space="preserve">afforded </w:t>
      </w:r>
      <w:r>
        <w:t>similar protection where this would avoid or delay repayment of any of the credit obligations to the ADI;</w:t>
      </w:r>
    </w:p>
    <w:p w14:paraId="05CD27C6" w14:textId="77777777" w:rsidR="00340AF4" w:rsidRDefault="00340AF4" w:rsidP="00D43985">
      <w:pPr>
        <w:pStyle w:val="BodyText3"/>
        <w:numPr>
          <w:ilvl w:val="2"/>
          <w:numId w:val="17"/>
        </w:numPr>
        <w:ind w:left="2268"/>
        <w:jc w:val="both"/>
      </w:pPr>
      <w:r>
        <w:t>the ADI sells the credit obligation at a material credit-related economic loss; and</w:t>
      </w:r>
    </w:p>
    <w:p w14:paraId="2A7B8802" w14:textId="39827D80" w:rsidR="00340AF4" w:rsidRDefault="00340AF4" w:rsidP="00D43985">
      <w:pPr>
        <w:pStyle w:val="BodyText3"/>
        <w:numPr>
          <w:ilvl w:val="2"/>
          <w:numId w:val="17"/>
        </w:numPr>
        <w:ind w:left="2268"/>
        <w:jc w:val="both"/>
      </w:pPr>
      <w:r>
        <w:t>the exposure is a reverse mortgage with a loan-to-valuation ratio (LVR) greater than 100 per cent.</w:t>
      </w:r>
    </w:p>
    <w:p w14:paraId="51AFB10A" w14:textId="23461136" w:rsidR="00213685" w:rsidRDefault="00213685" w:rsidP="00D43985">
      <w:pPr>
        <w:pStyle w:val="BodyText3"/>
        <w:jc w:val="both"/>
      </w:pPr>
      <w:bookmarkStart w:id="26" w:name="_Ref24114839"/>
      <w:r w:rsidRPr="00213685">
        <w:lastRenderedPageBreak/>
        <w:t xml:space="preserve">the </w:t>
      </w:r>
      <w:r w:rsidR="00345D44">
        <w:t>borrower</w:t>
      </w:r>
      <w:r w:rsidRPr="00213685">
        <w:t xml:space="preserve"> is 90 days or more past-due on a credit obligation to the ADI</w:t>
      </w:r>
      <w:r w:rsidR="004C373F">
        <w:t xml:space="preserve"> or, in the case of subsidiaries in jurisdictions where a different number of days past-due is set for exposures to individuals </w:t>
      </w:r>
      <w:r w:rsidR="003C5AA6">
        <w:t xml:space="preserve">(i.e. natural persons) </w:t>
      </w:r>
      <w:r w:rsidR="004C373F">
        <w:t>or public sector entities by the national regulator, the borrower is past-due by the number of days (or more) specified by that national regulator</w:t>
      </w:r>
      <w:r w:rsidR="004C373F" w:rsidRPr="00213685">
        <w:t>.</w:t>
      </w:r>
      <w:bookmarkEnd w:id="26"/>
    </w:p>
    <w:p w14:paraId="00DE9B86" w14:textId="77777777" w:rsidR="00A826D4" w:rsidRDefault="00962ED7" w:rsidP="00D43985">
      <w:pPr>
        <w:pStyle w:val="BodyText2"/>
        <w:numPr>
          <w:ilvl w:val="0"/>
          <w:numId w:val="0"/>
        </w:numPr>
        <w:ind w:left="1701"/>
        <w:jc w:val="both"/>
      </w:pPr>
      <w:r>
        <w:t>An exposure subject to a regular repayment schedule is considered 90 days past-due when</w:t>
      </w:r>
      <w:r w:rsidR="00A826D4">
        <w:t>:</w:t>
      </w:r>
    </w:p>
    <w:p w14:paraId="7F8A79FE" w14:textId="0A5232F4" w:rsidR="00A826D4" w:rsidRDefault="00962ED7" w:rsidP="00D43985">
      <w:pPr>
        <w:pStyle w:val="BodyText2"/>
        <w:numPr>
          <w:ilvl w:val="0"/>
          <w:numId w:val="20"/>
        </w:numPr>
        <w:ind w:left="2268" w:hanging="567"/>
        <w:jc w:val="both"/>
      </w:pPr>
      <w:r>
        <w:t xml:space="preserve">at least 90 calendar days </w:t>
      </w:r>
      <w:r w:rsidRPr="00810E8D">
        <w:t>have elapsed since the due date of a contractual payment which has not been met in full;</w:t>
      </w:r>
      <w:r w:rsidR="004C373F">
        <w:rPr>
          <w:rStyle w:val="FootnoteReference"/>
        </w:rPr>
        <w:footnoteReference w:id="2"/>
      </w:r>
      <w:r w:rsidRPr="00810E8D">
        <w:t xml:space="preserve"> and</w:t>
      </w:r>
      <w:r>
        <w:t xml:space="preserve"> </w:t>
      </w:r>
    </w:p>
    <w:p w14:paraId="54FDA7A0" w14:textId="7E770446" w:rsidR="00962ED7" w:rsidRDefault="00962ED7" w:rsidP="00D43985">
      <w:pPr>
        <w:pStyle w:val="BodyText2"/>
        <w:numPr>
          <w:ilvl w:val="0"/>
          <w:numId w:val="20"/>
        </w:numPr>
        <w:ind w:left="2268" w:hanging="567"/>
        <w:jc w:val="both"/>
      </w:pPr>
      <w:r w:rsidRPr="00810E8D">
        <w:t>the total amount unpaid outside contractual arrangements is equivalent to at least 90 days</w:t>
      </w:r>
      <w:r>
        <w:t>’</w:t>
      </w:r>
      <w:r w:rsidRPr="00810E8D">
        <w:t xml:space="preserve"> worth of contractual payments</w:t>
      </w:r>
      <w:r>
        <w:t>.</w:t>
      </w:r>
      <w:r>
        <w:rPr>
          <w:rStyle w:val="FootnoteReference"/>
        </w:rPr>
        <w:footnoteReference w:id="3"/>
      </w:r>
    </w:p>
    <w:p w14:paraId="0F291B7B" w14:textId="25478BC3" w:rsidR="00484A7E" w:rsidRDefault="00484A7E" w:rsidP="00D43985">
      <w:pPr>
        <w:pStyle w:val="BodyText3"/>
        <w:numPr>
          <w:ilvl w:val="0"/>
          <w:numId w:val="0"/>
        </w:numPr>
        <w:ind w:left="1134"/>
        <w:jc w:val="both"/>
      </w:pPr>
      <w:r w:rsidRPr="00484A7E">
        <w:t>For exposures</w:t>
      </w:r>
      <w:r w:rsidR="00330CE9">
        <w:t xml:space="preserve"> </w:t>
      </w:r>
      <w:r w:rsidR="00D57247">
        <w:t>to individuals</w:t>
      </w:r>
      <w:r w:rsidR="00325717">
        <w:t xml:space="preserve">, </w:t>
      </w:r>
      <w:r w:rsidRPr="00484A7E">
        <w:t xml:space="preserve">the definition of default may be applied at the level of a particular credit obligation, rather than at the level of the </w:t>
      </w:r>
      <w:r w:rsidR="00345D44">
        <w:t>borrower</w:t>
      </w:r>
      <w:r w:rsidRPr="00484A7E">
        <w:t xml:space="preserve">. As such, default by a </w:t>
      </w:r>
      <w:r w:rsidR="00345D44">
        <w:t>borrower</w:t>
      </w:r>
      <w:r w:rsidRPr="00484A7E">
        <w:t xml:space="preserve"> on one obligation, does not require an ADI to treat all other obligations to the ADI as being in default.</w:t>
      </w:r>
    </w:p>
    <w:p w14:paraId="13161F9E" w14:textId="7721062C" w:rsidR="00E52C45" w:rsidRDefault="00E3338F" w:rsidP="00D43985">
      <w:pPr>
        <w:pStyle w:val="BodyText2"/>
        <w:ind w:left="1134"/>
        <w:jc w:val="both"/>
      </w:pPr>
      <w:r>
        <w:t>past</w:t>
      </w:r>
      <w:r w:rsidR="002B759D">
        <w:rPr>
          <w:rFonts w:asciiTheme="minorHAnsi" w:hAnsiTheme="minorHAnsi" w:cstheme="minorHAnsi"/>
        </w:rPr>
        <w:t>-</w:t>
      </w:r>
      <w:r w:rsidR="00D9188D">
        <w:t xml:space="preserve">due </w:t>
      </w:r>
      <w:r w:rsidR="00D9188D" w:rsidRPr="000E6D69">
        <w:rPr>
          <w:sz w:val="18"/>
          <w:szCs w:val="18"/>
        </w:rPr>
        <w:t>–</w:t>
      </w:r>
      <w:r w:rsidR="00BC53DF">
        <w:rPr>
          <w:rFonts w:asciiTheme="minorHAnsi" w:hAnsiTheme="minorHAnsi" w:cstheme="minorHAnsi"/>
        </w:rPr>
        <w:t xml:space="preserve"> </w:t>
      </w:r>
      <w:r w:rsidR="001B78E4">
        <w:rPr>
          <w:rFonts w:asciiTheme="minorHAnsi" w:hAnsiTheme="minorHAnsi" w:cstheme="minorHAnsi"/>
        </w:rPr>
        <w:t>an exposure for which</w:t>
      </w:r>
      <w:r w:rsidR="000E6D69" w:rsidRPr="000E6D69">
        <w:t xml:space="preserve"> any amount due under </w:t>
      </w:r>
      <w:r w:rsidR="00BC53DF">
        <w:t>a</w:t>
      </w:r>
      <w:r w:rsidR="000E6D69" w:rsidRPr="000E6D69">
        <w:t xml:space="preserve"> contract (interest, principal, fee or other amount) has not been paid in full at the date when it was due. An exposure </w:t>
      </w:r>
      <w:r w:rsidR="000E6D69">
        <w:t>is</w:t>
      </w:r>
      <w:r w:rsidR="000E6D69" w:rsidRPr="000E6D69">
        <w:t xml:space="preserve"> considered past</w:t>
      </w:r>
      <w:r w:rsidR="002B759D">
        <w:t>-</w:t>
      </w:r>
      <w:r w:rsidR="000E6D69" w:rsidRPr="000E6D69">
        <w:t>due from the first day of missed payment.</w:t>
      </w:r>
    </w:p>
    <w:p w14:paraId="10C53287" w14:textId="16C355B6" w:rsidR="00E52C45" w:rsidRDefault="00E52C45" w:rsidP="00D43985">
      <w:pPr>
        <w:pStyle w:val="BodyText2"/>
        <w:numPr>
          <w:ilvl w:val="0"/>
          <w:numId w:val="0"/>
        </w:numPr>
        <w:ind w:left="1134"/>
        <w:jc w:val="both"/>
      </w:pPr>
      <w:r w:rsidRPr="00E52C45">
        <w:t>A</w:t>
      </w:r>
      <w:r>
        <w:t>n exposure</w:t>
      </w:r>
      <w:r w:rsidRPr="00E52C45">
        <w:t xml:space="preserve"> will remain outside </w:t>
      </w:r>
      <w:r w:rsidR="00490047">
        <w:t xml:space="preserve">of </w:t>
      </w:r>
      <w:r w:rsidR="003804BC" w:rsidRPr="003804BC">
        <w:t xml:space="preserve">contractual arrangements </w:t>
      </w:r>
      <w:r w:rsidRPr="00E52C45">
        <w:t>notwithstanding any waiver of payments unless such a</w:t>
      </w:r>
      <w:r>
        <w:t>n exposure</w:t>
      </w:r>
      <w:r w:rsidRPr="00E52C45">
        <w:t xml:space="preserve"> has been restructured</w:t>
      </w:r>
      <w:r>
        <w:t>.</w:t>
      </w:r>
    </w:p>
    <w:p w14:paraId="7329DE9B" w14:textId="57F81503" w:rsidR="00AF7812" w:rsidRPr="003977B3" w:rsidRDefault="00AF7812" w:rsidP="00D43985">
      <w:pPr>
        <w:pStyle w:val="BodyText2"/>
        <w:ind w:left="1134"/>
        <w:jc w:val="both"/>
      </w:pPr>
      <w:r w:rsidRPr="003977B3">
        <w:t>r</w:t>
      </w:r>
      <w:r w:rsidR="002D0A2E" w:rsidRPr="003977B3">
        <w:t>estructured –</w:t>
      </w:r>
      <w:r w:rsidRPr="003977B3">
        <w:t xml:space="preserve"> an exposure </w:t>
      </w:r>
      <w:r w:rsidR="001B78E4">
        <w:t>for which</w:t>
      </w:r>
      <w:r w:rsidRPr="003977B3">
        <w:t>:</w:t>
      </w:r>
    </w:p>
    <w:p w14:paraId="284DC371" w14:textId="48F6B3C1" w:rsidR="00AF7812" w:rsidRPr="001B1F5C" w:rsidRDefault="00AF7812" w:rsidP="00D43985">
      <w:pPr>
        <w:pStyle w:val="BodyText3"/>
        <w:jc w:val="both"/>
      </w:pPr>
      <w:r w:rsidRPr="003977B3">
        <w:rPr>
          <w:szCs w:val="24"/>
        </w:rPr>
        <w:t xml:space="preserve">a borrower is experiencing financial difficulty </w:t>
      </w:r>
      <w:r w:rsidR="00EA6976">
        <w:rPr>
          <w:szCs w:val="24"/>
        </w:rPr>
        <w:t xml:space="preserve">or hardship </w:t>
      </w:r>
      <w:r w:rsidRPr="003977B3">
        <w:rPr>
          <w:szCs w:val="24"/>
        </w:rPr>
        <w:t>in meeting its financial commitments; and</w:t>
      </w:r>
    </w:p>
    <w:p w14:paraId="4A4F8584" w14:textId="59A1BFCD" w:rsidR="00AF7812" w:rsidRPr="003977B3" w:rsidRDefault="00AF7812" w:rsidP="00D43985">
      <w:pPr>
        <w:pStyle w:val="BodyText3"/>
        <w:jc w:val="both"/>
      </w:pPr>
      <w:r w:rsidRPr="001B1F5C">
        <w:rPr>
          <w:szCs w:val="24"/>
        </w:rPr>
        <w:t>the ADI grants a concession</w:t>
      </w:r>
      <w:r w:rsidR="00BE5502">
        <w:rPr>
          <w:szCs w:val="24"/>
        </w:rPr>
        <w:t xml:space="preserve"> to the borrower</w:t>
      </w:r>
      <w:r w:rsidRPr="001B1F5C">
        <w:rPr>
          <w:szCs w:val="24"/>
        </w:rPr>
        <w:t xml:space="preserve"> that it would not otherwise </w:t>
      </w:r>
      <w:proofErr w:type="gramStart"/>
      <w:r w:rsidRPr="001B1F5C">
        <w:rPr>
          <w:szCs w:val="24"/>
        </w:rPr>
        <w:t>consider,</w:t>
      </w:r>
      <w:proofErr w:type="gramEnd"/>
      <w:r w:rsidR="003977B3">
        <w:rPr>
          <w:szCs w:val="24"/>
        </w:rPr>
        <w:t xml:space="preserve"> </w:t>
      </w:r>
      <w:r w:rsidRPr="003977B3">
        <w:rPr>
          <w:szCs w:val="24"/>
        </w:rPr>
        <w:t>whether or not the concession is at the discretion of the ADI or the borrower.</w:t>
      </w:r>
      <w:r w:rsidR="00F53750">
        <w:rPr>
          <w:rStyle w:val="FootnoteReference"/>
          <w:szCs w:val="24"/>
        </w:rPr>
        <w:footnoteReference w:id="4"/>
      </w:r>
    </w:p>
    <w:p w14:paraId="530336B8" w14:textId="4CB601D4" w:rsidR="0051089F" w:rsidRPr="0051089F" w:rsidRDefault="0051089F" w:rsidP="00D43985">
      <w:pPr>
        <w:pStyle w:val="BodyText3"/>
        <w:numPr>
          <w:ilvl w:val="0"/>
          <w:numId w:val="0"/>
        </w:numPr>
        <w:ind w:left="1701"/>
        <w:jc w:val="both"/>
        <w:rPr>
          <w:szCs w:val="24"/>
        </w:rPr>
      </w:pPr>
      <w:r>
        <w:rPr>
          <w:szCs w:val="24"/>
        </w:rPr>
        <w:t xml:space="preserve">Examples of concessions include, but </w:t>
      </w:r>
      <w:r w:rsidR="003F0384">
        <w:rPr>
          <w:szCs w:val="24"/>
        </w:rPr>
        <w:t xml:space="preserve">are </w:t>
      </w:r>
      <w:r>
        <w:rPr>
          <w:szCs w:val="24"/>
        </w:rPr>
        <w:t>not limited to</w:t>
      </w:r>
      <w:r w:rsidRPr="0051089F">
        <w:rPr>
          <w:szCs w:val="24"/>
        </w:rPr>
        <w:t>:</w:t>
      </w:r>
    </w:p>
    <w:p w14:paraId="3D5718FF" w14:textId="1CFD9C56" w:rsidR="0051089F" w:rsidRPr="0051089F" w:rsidRDefault="0051089F" w:rsidP="00893679">
      <w:pPr>
        <w:pStyle w:val="BodyText3"/>
        <w:numPr>
          <w:ilvl w:val="0"/>
          <w:numId w:val="21"/>
        </w:numPr>
        <w:ind w:left="2268" w:hanging="567"/>
        <w:rPr>
          <w:szCs w:val="24"/>
        </w:rPr>
      </w:pPr>
      <w:r w:rsidRPr="0051089F">
        <w:rPr>
          <w:szCs w:val="24"/>
        </w:rPr>
        <w:lastRenderedPageBreak/>
        <w:t>extending a loan term;</w:t>
      </w:r>
    </w:p>
    <w:p w14:paraId="5166B48B" w14:textId="3F63C419" w:rsidR="0051089F" w:rsidRPr="0051089F" w:rsidRDefault="0051089F" w:rsidP="00893679">
      <w:pPr>
        <w:pStyle w:val="BodyText3"/>
        <w:numPr>
          <w:ilvl w:val="0"/>
          <w:numId w:val="21"/>
        </w:numPr>
        <w:ind w:left="2268" w:hanging="567"/>
        <w:rPr>
          <w:szCs w:val="24"/>
        </w:rPr>
      </w:pPr>
      <w:r w:rsidRPr="0051089F">
        <w:rPr>
          <w:szCs w:val="24"/>
        </w:rPr>
        <w:t>rescheduling the dates of principal or interest payments;</w:t>
      </w:r>
    </w:p>
    <w:p w14:paraId="6C292464" w14:textId="7166CB0C" w:rsidR="0051089F" w:rsidRPr="0051089F" w:rsidRDefault="0051089F" w:rsidP="00D43985">
      <w:pPr>
        <w:pStyle w:val="BodyText3"/>
        <w:numPr>
          <w:ilvl w:val="0"/>
          <w:numId w:val="21"/>
        </w:numPr>
        <w:ind w:left="2268" w:hanging="567"/>
        <w:jc w:val="both"/>
        <w:rPr>
          <w:szCs w:val="24"/>
        </w:rPr>
      </w:pPr>
      <w:r w:rsidRPr="0051089F">
        <w:rPr>
          <w:szCs w:val="24"/>
        </w:rPr>
        <w:t>granting new or additional periods of non-payment (grace period);</w:t>
      </w:r>
    </w:p>
    <w:p w14:paraId="0165FFC0" w14:textId="0F886EA5" w:rsidR="0051089F" w:rsidRPr="0051089F" w:rsidRDefault="0051089F" w:rsidP="00D43985">
      <w:pPr>
        <w:pStyle w:val="BodyText3"/>
        <w:numPr>
          <w:ilvl w:val="0"/>
          <w:numId w:val="21"/>
        </w:numPr>
        <w:ind w:left="2268" w:hanging="567"/>
        <w:jc w:val="both"/>
        <w:rPr>
          <w:szCs w:val="24"/>
        </w:rPr>
      </w:pPr>
      <w:r w:rsidRPr="0051089F">
        <w:rPr>
          <w:szCs w:val="24"/>
        </w:rPr>
        <w:t>reducing the interest rate, resulting in an effective interest rate below the current interest rate that borrowers with similar risk characteristics could obtain from the ADI or other institutions in the market;</w:t>
      </w:r>
    </w:p>
    <w:p w14:paraId="4111201F" w14:textId="000956FC" w:rsidR="0051089F" w:rsidRPr="0051089F" w:rsidRDefault="0051089F" w:rsidP="00893679">
      <w:pPr>
        <w:pStyle w:val="BodyText3"/>
        <w:numPr>
          <w:ilvl w:val="0"/>
          <w:numId w:val="21"/>
        </w:numPr>
        <w:ind w:left="2268" w:hanging="567"/>
        <w:rPr>
          <w:szCs w:val="24"/>
        </w:rPr>
      </w:pPr>
      <w:r w:rsidRPr="0051089F">
        <w:rPr>
          <w:szCs w:val="24"/>
        </w:rPr>
        <w:t>capitalising arrears;</w:t>
      </w:r>
    </w:p>
    <w:p w14:paraId="490A2805" w14:textId="015AA704" w:rsidR="0051089F" w:rsidRPr="0051089F" w:rsidRDefault="0051089F" w:rsidP="00D43985">
      <w:pPr>
        <w:pStyle w:val="BodyText3"/>
        <w:numPr>
          <w:ilvl w:val="0"/>
          <w:numId w:val="21"/>
        </w:numPr>
        <w:ind w:left="2268" w:hanging="567"/>
        <w:jc w:val="both"/>
        <w:rPr>
          <w:szCs w:val="24"/>
        </w:rPr>
      </w:pPr>
      <w:r w:rsidRPr="0051089F">
        <w:rPr>
          <w:szCs w:val="24"/>
        </w:rPr>
        <w:t>forgiving, deferring or postponing principal, interest or relevant fees;</w:t>
      </w:r>
    </w:p>
    <w:p w14:paraId="25AE1631" w14:textId="0DC5F10A" w:rsidR="0051089F" w:rsidRPr="0051089F" w:rsidRDefault="0051089F" w:rsidP="00893679">
      <w:pPr>
        <w:pStyle w:val="BodyText3"/>
        <w:numPr>
          <w:ilvl w:val="0"/>
          <w:numId w:val="21"/>
        </w:numPr>
        <w:ind w:left="2268" w:hanging="567"/>
        <w:rPr>
          <w:szCs w:val="24"/>
        </w:rPr>
      </w:pPr>
      <w:r w:rsidRPr="0051089F">
        <w:rPr>
          <w:szCs w:val="24"/>
        </w:rPr>
        <w:t>changing an amortising loan to an interest payment only;</w:t>
      </w:r>
    </w:p>
    <w:p w14:paraId="22962F7E" w14:textId="7DBCD0AF" w:rsidR="0051089F" w:rsidRPr="0051089F" w:rsidRDefault="0051089F" w:rsidP="00893679">
      <w:pPr>
        <w:pStyle w:val="BodyText3"/>
        <w:numPr>
          <w:ilvl w:val="0"/>
          <w:numId w:val="21"/>
        </w:numPr>
        <w:ind w:left="2268" w:hanging="567"/>
        <w:rPr>
          <w:szCs w:val="24"/>
        </w:rPr>
      </w:pPr>
      <w:r w:rsidRPr="0051089F">
        <w:rPr>
          <w:szCs w:val="24"/>
        </w:rPr>
        <w:t>allowing the conversion of debt to equity of the borrower;</w:t>
      </w:r>
    </w:p>
    <w:p w14:paraId="76A8B881" w14:textId="60937E07" w:rsidR="0051089F" w:rsidRPr="0051089F" w:rsidRDefault="0051089F" w:rsidP="00D43985">
      <w:pPr>
        <w:pStyle w:val="BodyText3"/>
        <w:numPr>
          <w:ilvl w:val="0"/>
          <w:numId w:val="21"/>
        </w:numPr>
        <w:ind w:left="2268" w:hanging="567"/>
        <w:jc w:val="both"/>
        <w:rPr>
          <w:szCs w:val="24"/>
        </w:rPr>
      </w:pPr>
      <w:r w:rsidRPr="0051089F">
        <w:rPr>
          <w:szCs w:val="24"/>
        </w:rPr>
        <w:t>deferring recovery/collection actions for extended periods of time;</w:t>
      </w:r>
    </w:p>
    <w:p w14:paraId="35F722BA" w14:textId="34202E9C" w:rsidR="0051089F" w:rsidRPr="00703919" w:rsidRDefault="0051089F" w:rsidP="00D43985">
      <w:pPr>
        <w:pStyle w:val="BodyText3"/>
        <w:numPr>
          <w:ilvl w:val="0"/>
          <w:numId w:val="21"/>
        </w:numPr>
        <w:ind w:left="2268" w:hanging="567"/>
        <w:jc w:val="both"/>
        <w:rPr>
          <w:szCs w:val="24"/>
        </w:rPr>
      </w:pPr>
      <w:r w:rsidRPr="00703919">
        <w:rPr>
          <w:szCs w:val="24"/>
        </w:rPr>
        <w:t>easing of covenants; and</w:t>
      </w:r>
    </w:p>
    <w:p w14:paraId="2D34CC11" w14:textId="294082FB" w:rsidR="0051089F" w:rsidRPr="00E52233" w:rsidRDefault="0051089F" w:rsidP="00D43985">
      <w:pPr>
        <w:pStyle w:val="BodyText3"/>
        <w:numPr>
          <w:ilvl w:val="0"/>
          <w:numId w:val="21"/>
        </w:numPr>
        <w:ind w:left="2268" w:hanging="567"/>
        <w:jc w:val="both"/>
        <w:rPr>
          <w:szCs w:val="24"/>
        </w:rPr>
      </w:pPr>
      <w:r w:rsidRPr="0051089F">
        <w:rPr>
          <w:szCs w:val="24"/>
        </w:rPr>
        <w:t>refinancing an existing exposure with a new contract, even if the terms of the new contract are no more favourable for the borrower than those of the existing transaction.</w:t>
      </w:r>
    </w:p>
    <w:p w14:paraId="53A5DB70" w14:textId="77777777" w:rsidR="005505D9" w:rsidRPr="00666895" w:rsidRDefault="005505D9" w:rsidP="005505D9">
      <w:pPr>
        <w:pStyle w:val="Heading1"/>
      </w:pPr>
      <w:bookmarkStart w:id="27" w:name="_Toc105754843"/>
      <w:r w:rsidRPr="00666895">
        <w:t>Adjustments and exclusions</w:t>
      </w:r>
      <w:bookmarkEnd w:id="27"/>
    </w:p>
    <w:p w14:paraId="1CE03640" w14:textId="23BFEF22" w:rsidR="005505D9" w:rsidRPr="00666895" w:rsidRDefault="005505D9" w:rsidP="005505D9">
      <w:pPr>
        <w:pStyle w:val="BodyText1"/>
      </w:pPr>
      <w:r w:rsidRPr="00666895">
        <w:t xml:space="preserve">APRA may adjust or exclude a specific requirement in this Prudential Standard in relation to </w:t>
      </w:r>
      <w:r w:rsidR="005A0B7F">
        <w:t>one or more specified</w:t>
      </w:r>
      <w:r w:rsidRPr="00666895">
        <w:t xml:space="preserve"> ADI</w:t>
      </w:r>
      <w:r w:rsidR="005A0B7F">
        <w:t>s</w:t>
      </w:r>
      <w:r w:rsidR="00CF65E3">
        <w:t xml:space="preserve"> or</w:t>
      </w:r>
      <w:r w:rsidR="005A0B7F">
        <w:t xml:space="preserve"> authorised NOHCs</w:t>
      </w:r>
      <w:r w:rsidRPr="00666895">
        <w:t>.</w:t>
      </w:r>
    </w:p>
    <w:p w14:paraId="608DF191" w14:textId="77777777" w:rsidR="005505D9" w:rsidRPr="00666895" w:rsidRDefault="005505D9" w:rsidP="005505D9">
      <w:pPr>
        <w:pStyle w:val="Heading1"/>
      </w:pPr>
      <w:bookmarkStart w:id="28" w:name="_Toc105754844"/>
      <w:r w:rsidRPr="00666895">
        <w:t>Previous exercise of discretion</w:t>
      </w:r>
      <w:bookmarkEnd w:id="28"/>
    </w:p>
    <w:p w14:paraId="407929FB" w14:textId="691B1E35" w:rsidR="005505D9" w:rsidRPr="00666895" w:rsidRDefault="005505D9" w:rsidP="005505D9">
      <w:pPr>
        <w:pStyle w:val="BodyText1"/>
      </w:pPr>
      <w:r w:rsidRPr="00666895">
        <w:t>An ADI must contact APRA if it seeks to place reliance, for the purposes of complying with this Prudential Standard, on a previous exemption or other exercise of discretion by APRA under a previous version of this Prudential Standard.</w:t>
      </w:r>
    </w:p>
    <w:p w14:paraId="4D1F404B" w14:textId="7DDC72B3" w:rsidR="00596ACB" w:rsidRPr="005800E7" w:rsidRDefault="008C5EFE" w:rsidP="00493D14">
      <w:pPr>
        <w:pStyle w:val="Heading1"/>
        <w:rPr>
          <w:rStyle w:val="Heading4Char"/>
          <w:rFonts w:asciiTheme="majorHAnsi" w:hAnsiTheme="majorHAnsi"/>
          <w:b/>
          <w:sz w:val="24"/>
        </w:rPr>
      </w:pPr>
      <w:bookmarkStart w:id="29" w:name="_Toc105754845"/>
      <w:r>
        <w:rPr>
          <w:rStyle w:val="Heading4Char"/>
          <w:rFonts w:asciiTheme="majorHAnsi" w:hAnsiTheme="majorHAnsi"/>
          <w:b/>
          <w:sz w:val="24"/>
        </w:rPr>
        <w:t xml:space="preserve">Credit risk </w:t>
      </w:r>
      <w:r w:rsidR="00596ACB" w:rsidRPr="00AB06F6">
        <w:rPr>
          <w:rStyle w:val="Heading4Char"/>
          <w:rFonts w:asciiTheme="majorHAnsi" w:hAnsiTheme="majorHAnsi"/>
          <w:b/>
          <w:sz w:val="24"/>
        </w:rPr>
        <w:t>management</w:t>
      </w:r>
      <w:bookmarkEnd w:id="21"/>
      <w:r>
        <w:rPr>
          <w:rStyle w:val="Heading4Char"/>
          <w:rFonts w:asciiTheme="majorHAnsi" w:hAnsiTheme="majorHAnsi"/>
          <w:b/>
          <w:sz w:val="24"/>
        </w:rPr>
        <w:t xml:space="preserve"> framework</w:t>
      </w:r>
      <w:bookmarkEnd w:id="29"/>
    </w:p>
    <w:p w14:paraId="38F808B9" w14:textId="2CAF249C" w:rsidR="003A44A8" w:rsidRDefault="003A44A8" w:rsidP="00F705AE">
      <w:pPr>
        <w:pStyle w:val="BodyText1"/>
      </w:pPr>
      <w:r>
        <w:t xml:space="preserve">An ADI must </w:t>
      </w:r>
      <w:r w:rsidR="00EB4A5D">
        <w:t>implement</w:t>
      </w:r>
      <w:r>
        <w:t xml:space="preserve"> a credit risk management framework that is appropriate to its size, business mix and complexity.</w:t>
      </w:r>
      <w:r w:rsidR="008C5EFE">
        <w:t xml:space="preserve"> The credit risk management framework must, at a minimum, include:</w:t>
      </w:r>
    </w:p>
    <w:p w14:paraId="3F76DAB3" w14:textId="4A48EE8D" w:rsidR="004A03CC" w:rsidRDefault="004A03CC" w:rsidP="000D7657">
      <w:pPr>
        <w:pStyle w:val="BodyText2"/>
        <w:ind w:left="1134"/>
      </w:pPr>
      <w:r>
        <w:t>a credit risk appetite statement;</w:t>
      </w:r>
    </w:p>
    <w:p w14:paraId="2D69D771" w14:textId="67B47437" w:rsidR="00BC5466" w:rsidRDefault="00BC5466" w:rsidP="000D7657">
      <w:pPr>
        <w:pStyle w:val="BodyText2"/>
        <w:ind w:left="1134"/>
      </w:pPr>
      <w:r>
        <w:t>a credit risk management strategy;</w:t>
      </w:r>
    </w:p>
    <w:p w14:paraId="254A1113" w14:textId="61597DD5" w:rsidR="00146D3E" w:rsidRDefault="00146D3E" w:rsidP="00D43985">
      <w:pPr>
        <w:pStyle w:val="BodyText2"/>
        <w:ind w:left="1134"/>
        <w:jc w:val="both"/>
      </w:pPr>
      <w:r w:rsidRPr="00146D3E">
        <w:lastRenderedPageBreak/>
        <w:t>policies and proce</w:t>
      </w:r>
      <w:r>
        <w:t>sses</w:t>
      </w:r>
      <w:r w:rsidRPr="00146D3E">
        <w:t xml:space="preserve"> supporting clearly defined and documented roles, responsibilities and formal reporting structures for the management of </w:t>
      </w:r>
      <w:r>
        <w:t>credit</w:t>
      </w:r>
      <w:r w:rsidRPr="00146D3E">
        <w:t xml:space="preserve"> risk</w:t>
      </w:r>
      <w:r>
        <w:t>;</w:t>
      </w:r>
    </w:p>
    <w:p w14:paraId="09C58639" w14:textId="7A7FB7BC" w:rsidR="00146D3E" w:rsidRDefault="00146D3E" w:rsidP="000D7657">
      <w:pPr>
        <w:pStyle w:val="BodyText2"/>
        <w:ind w:left="1134"/>
      </w:pPr>
      <w:r>
        <w:t>a designated credit risk management function;</w:t>
      </w:r>
    </w:p>
    <w:p w14:paraId="59A7193A" w14:textId="6771FB3B" w:rsidR="00146D3E" w:rsidRDefault="00146D3E" w:rsidP="00D43985">
      <w:pPr>
        <w:pStyle w:val="BodyText2"/>
        <w:ind w:left="1134"/>
        <w:jc w:val="both"/>
      </w:pPr>
      <w:r>
        <w:t xml:space="preserve">a </w:t>
      </w:r>
      <w:r w:rsidRPr="00146D3E">
        <w:t>management information system that is adequate, both under normal circumstances and in periods of stress, for measuring, assessing and reporting on</w:t>
      </w:r>
      <w:r w:rsidR="00823676">
        <w:t xml:space="preserve"> credit risk;</w:t>
      </w:r>
      <w:r w:rsidR="00726490">
        <w:t xml:space="preserve"> and</w:t>
      </w:r>
    </w:p>
    <w:p w14:paraId="2BAD5C1C" w14:textId="7438739F" w:rsidR="00D60D69" w:rsidRDefault="00823676" w:rsidP="00D43985">
      <w:pPr>
        <w:pStyle w:val="BodyText2"/>
        <w:ind w:left="1134"/>
        <w:jc w:val="both"/>
      </w:pPr>
      <w:r w:rsidRPr="00823676">
        <w:t>a</w:t>
      </w:r>
      <w:r w:rsidR="00726490">
        <w:t xml:space="preserve">n independent </w:t>
      </w:r>
      <w:r w:rsidRPr="00823676">
        <w:t xml:space="preserve">review process to ensure that the </w:t>
      </w:r>
      <w:r>
        <w:t xml:space="preserve">credit </w:t>
      </w:r>
      <w:r w:rsidRPr="00823676">
        <w:t>risk management framework is effective in identifying, measuring, evaluating, monitoring, reporting</w:t>
      </w:r>
      <w:r w:rsidR="00BF258A">
        <w:t>,</w:t>
      </w:r>
      <w:r w:rsidRPr="00823676">
        <w:t xml:space="preserve"> and controlling </w:t>
      </w:r>
      <w:r w:rsidR="00BC5BD0">
        <w:t xml:space="preserve">or mitigating </w:t>
      </w:r>
      <w:r>
        <w:t>credit risk</w:t>
      </w:r>
      <w:bookmarkStart w:id="30" w:name="_Toc527382462"/>
      <w:r w:rsidR="00DE7C33">
        <w:t>.</w:t>
      </w:r>
      <w:r w:rsidR="00FC521B">
        <w:rPr>
          <w:rStyle w:val="FootnoteReference"/>
        </w:rPr>
        <w:footnoteReference w:id="5"/>
      </w:r>
    </w:p>
    <w:p w14:paraId="63812324" w14:textId="62229673" w:rsidR="00D60D69" w:rsidRPr="00AB0B8D" w:rsidRDefault="00D60D69" w:rsidP="00D43985">
      <w:pPr>
        <w:pStyle w:val="BodyText1"/>
      </w:pPr>
      <w:r w:rsidRPr="00AB0B8D">
        <w:t xml:space="preserve">An ADI </w:t>
      </w:r>
      <w:r w:rsidRPr="00D60D69">
        <w:t xml:space="preserve">need not have a stand-alone </w:t>
      </w:r>
      <w:r w:rsidR="004A03CC" w:rsidRPr="00D60D69">
        <w:t xml:space="preserve">credit risk appetite statement </w:t>
      </w:r>
      <w:r w:rsidR="004A03CC">
        <w:t xml:space="preserve">or </w:t>
      </w:r>
      <w:r w:rsidRPr="00D60D69">
        <w:t>credit risk management strategy document</w:t>
      </w:r>
      <w:r w:rsidR="00846B5A" w:rsidRPr="00846B5A">
        <w:t xml:space="preserve"> </w:t>
      </w:r>
      <w:r w:rsidRPr="00D60D69">
        <w:t xml:space="preserve">where they form part of the ADI’s overall </w:t>
      </w:r>
      <w:r w:rsidR="009D7355">
        <w:t xml:space="preserve">risk </w:t>
      </w:r>
      <w:r w:rsidR="009D7355" w:rsidRPr="009D7355">
        <w:t xml:space="preserve">appetite statement </w:t>
      </w:r>
      <w:r w:rsidR="00761B35">
        <w:t xml:space="preserve">or </w:t>
      </w:r>
      <w:r w:rsidR="00761B35" w:rsidRPr="00D60D69">
        <w:t xml:space="preserve">risk management strategy document </w:t>
      </w:r>
      <w:r w:rsidRPr="00D60D69">
        <w:t xml:space="preserve">required under </w:t>
      </w:r>
      <w:r w:rsidRPr="00D60D69">
        <w:rPr>
          <w:i/>
        </w:rPr>
        <w:t>Prudential Standard CPS 220 Risk Management</w:t>
      </w:r>
      <w:r w:rsidRPr="00D60D69">
        <w:t xml:space="preserve"> (CPS 220).</w:t>
      </w:r>
    </w:p>
    <w:p w14:paraId="433CE1BB" w14:textId="2855EA28" w:rsidR="006139C1" w:rsidRPr="00AF74EE" w:rsidRDefault="0025579A" w:rsidP="00AB0B8D">
      <w:pPr>
        <w:pStyle w:val="Heading1"/>
      </w:pPr>
      <w:bookmarkStart w:id="31" w:name="_Toc527384481"/>
      <w:bookmarkStart w:id="32" w:name="_Toc105754846"/>
      <w:r w:rsidRPr="00BE57FC">
        <w:t>Outsourcing</w:t>
      </w:r>
      <w:bookmarkEnd w:id="30"/>
      <w:bookmarkEnd w:id="31"/>
      <w:bookmarkEnd w:id="32"/>
    </w:p>
    <w:p w14:paraId="6D5B35E4" w14:textId="6009281E" w:rsidR="001945DE" w:rsidRPr="00AB0B8D" w:rsidRDefault="001945DE" w:rsidP="0000276C">
      <w:pPr>
        <w:pStyle w:val="BodyText1"/>
      </w:pPr>
      <w:r w:rsidRPr="00AB0B8D">
        <w:t xml:space="preserve">An ADI may outsource aspects of its credit risk management, </w:t>
      </w:r>
      <w:r w:rsidR="0000276C">
        <w:t>including credit origination, credit assessment and approval</w:t>
      </w:r>
      <w:r w:rsidR="00C57561">
        <w:t>, however</w:t>
      </w:r>
      <w:r w:rsidR="00C65ED7">
        <w:t>,</w:t>
      </w:r>
      <w:r w:rsidR="00C57561">
        <w:t xml:space="preserve"> it must have regard to </w:t>
      </w:r>
      <w:r w:rsidRPr="00AB0B8D">
        <w:rPr>
          <w:i/>
        </w:rPr>
        <w:t>Prudential Standard CPS 231 Outsourcing</w:t>
      </w:r>
      <w:r w:rsidRPr="00AB0B8D">
        <w:t xml:space="preserve"> (CPS 231) for outsourced functions.</w:t>
      </w:r>
    </w:p>
    <w:p w14:paraId="191952AD" w14:textId="4E0C9F80" w:rsidR="00292BE2" w:rsidRPr="00BC35AB" w:rsidRDefault="00292BE2" w:rsidP="00F705AE">
      <w:pPr>
        <w:pStyle w:val="Heading1"/>
      </w:pPr>
      <w:bookmarkStart w:id="33" w:name="_Toc510011070"/>
      <w:bookmarkStart w:id="34" w:name="_Toc105754847"/>
      <w:r w:rsidRPr="00BC35AB">
        <w:t xml:space="preserve">Large exposures and </w:t>
      </w:r>
      <w:r w:rsidRPr="00BE57FC">
        <w:t>associations</w:t>
      </w:r>
      <w:r w:rsidRPr="00BC35AB">
        <w:t xml:space="preserve"> with related entities</w:t>
      </w:r>
      <w:bookmarkEnd w:id="33"/>
      <w:bookmarkEnd w:id="34"/>
    </w:p>
    <w:p w14:paraId="546BDC2E" w14:textId="6596FBAC" w:rsidR="00F15AB8" w:rsidRDefault="00282D30" w:rsidP="00F705AE">
      <w:pPr>
        <w:pStyle w:val="BodyText1"/>
      </w:pPr>
      <w:r w:rsidRPr="00292BE2">
        <w:t xml:space="preserve">For large exposures and </w:t>
      </w:r>
      <w:r w:rsidR="009215A2">
        <w:t>associations with</w:t>
      </w:r>
      <w:r w:rsidR="00C70032">
        <w:t xml:space="preserve"> related entities</w:t>
      </w:r>
      <w:r w:rsidRPr="00292BE2">
        <w:t>, an ADI must</w:t>
      </w:r>
      <w:r w:rsidR="00BA5884" w:rsidRPr="00292BE2">
        <w:t xml:space="preserve"> </w:t>
      </w:r>
      <w:r w:rsidR="00195396">
        <w:t xml:space="preserve">also </w:t>
      </w:r>
      <w:r w:rsidRPr="00292BE2">
        <w:t xml:space="preserve">have regard to </w:t>
      </w:r>
      <w:r w:rsidRPr="00292BE2">
        <w:rPr>
          <w:i/>
        </w:rPr>
        <w:t>Prudential Standard APS 221 Large Exposures</w:t>
      </w:r>
      <w:r w:rsidRPr="00292BE2">
        <w:t xml:space="preserve"> (APS 221) and </w:t>
      </w:r>
      <w:r w:rsidRPr="00292BE2">
        <w:rPr>
          <w:i/>
        </w:rPr>
        <w:t xml:space="preserve">Prudential Standard APS 222 Associations with Related Entities </w:t>
      </w:r>
      <w:r w:rsidRPr="00292BE2">
        <w:t>(APS 222</w:t>
      </w:r>
      <w:r w:rsidR="00D94FFA">
        <w:t>)</w:t>
      </w:r>
      <w:r w:rsidR="0008290C">
        <w:t>, respectively</w:t>
      </w:r>
      <w:r w:rsidRPr="00292BE2">
        <w:t>.</w:t>
      </w:r>
    </w:p>
    <w:p w14:paraId="657A9195" w14:textId="304C81E1" w:rsidR="00761B35" w:rsidRPr="00580262" w:rsidRDefault="00761B35" w:rsidP="00761B35">
      <w:pPr>
        <w:pStyle w:val="Heading1"/>
      </w:pPr>
      <w:bookmarkStart w:id="35" w:name="_Toc105754848"/>
      <w:r>
        <w:t>C</w:t>
      </w:r>
      <w:r w:rsidRPr="00580262">
        <w:t>redit risk</w:t>
      </w:r>
      <w:r>
        <w:t xml:space="preserve"> appetite</w:t>
      </w:r>
      <w:bookmarkEnd w:id="35"/>
    </w:p>
    <w:p w14:paraId="2A2FEEFA" w14:textId="3A00712F" w:rsidR="00761B35" w:rsidRDefault="00761B35" w:rsidP="00E95D21">
      <w:pPr>
        <w:pStyle w:val="BodyText1"/>
      </w:pPr>
      <w:r>
        <w:t>A</w:t>
      </w:r>
      <w:r w:rsidRPr="007E3472">
        <w:t xml:space="preserve">n ADI </w:t>
      </w:r>
      <w:r w:rsidRPr="007E3472" w:rsidDel="00891750">
        <w:t xml:space="preserve">must </w:t>
      </w:r>
      <w:r w:rsidRPr="00761B35">
        <w:t>maintain an appropriate</w:t>
      </w:r>
      <w:r>
        <w:t xml:space="preserve"> and well-documented credit </w:t>
      </w:r>
      <w:r w:rsidRPr="00761B35">
        <w:t xml:space="preserve">risk appetite statement. </w:t>
      </w:r>
      <w:r>
        <w:t>The statement must</w:t>
      </w:r>
      <w:r w:rsidR="00970D56">
        <w:t xml:space="preserve">, at a minimum, </w:t>
      </w:r>
      <w:r w:rsidR="001A07C8">
        <w:t>articulate</w:t>
      </w:r>
      <w:r w:rsidR="000A419D">
        <w:t xml:space="preserve"> the</w:t>
      </w:r>
      <w:r w:rsidR="00E95D21" w:rsidRPr="00E95D21">
        <w:t xml:space="preserve"> degree of </w:t>
      </w:r>
      <w:r w:rsidR="00E95D21">
        <w:t xml:space="preserve">credit </w:t>
      </w:r>
      <w:r w:rsidR="00E95D21" w:rsidRPr="00E95D21">
        <w:t xml:space="preserve">risk that the </w:t>
      </w:r>
      <w:r w:rsidR="00E95D21">
        <w:t xml:space="preserve">ADI </w:t>
      </w:r>
      <w:r w:rsidR="00E95D21" w:rsidRPr="00E95D21">
        <w:t>is prepared to accept</w:t>
      </w:r>
      <w:r w:rsidR="00DE67E8">
        <w:t xml:space="preserve"> (credit risk appetite)</w:t>
      </w:r>
      <w:r w:rsidR="00E95D21">
        <w:t>, the maximum level of credit risk that the ADI is willing to operate within</w:t>
      </w:r>
      <w:r w:rsidR="00DE67E8">
        <w:t xml:space="preserve"> (credit risk tolerance)</w:t>
      </w:r>
      <w:r w:rsidR="00E95D21">
        <w:t xml:space="preserve">, </w:t>
      </w:r>
      <w:r w:rsidR="00970D56">
        <w:t xml:space="preserve">the process </w:t>
      </w:r>
      <w:r w:rsidR="00970D56" w:rsidRPr="00970D56">
        <w:t xml:space="preserve">for </w:t>
      </w:r>
      <w:r w:rsidR="000A419D">
        <w:t xml:space="preserve">ensuring </w:t>
      </w:r>
      <w:r w:rsidR="000D3A75">
        <w:t xml:space="preserve">credit </w:t>
      </w:r>
      <w:r w:rsidR="000A419D">
        <w:t>risk t</w:t>
      </w:r>
      <w:r w:rsidR="00970D56" w:rsidRPr="00970D56">
        <w:t>olerance</w:t>
      </w:r>
      <w:r w:rsidR="000D3A75">
        <w:t>s</w:t>
      </w:r>
      <w:r w:rsidR="000A419D">
        <w:t xml:space="preserve"> </w:t>
      </w:r>
      <w:r w:rsidR="000D3A75">
        <w:t>are</w:t>
      </w:r>
      <w:r w:rsidR="000A419D">
        <w:t xml:space="preserve"> set at an appropriate level, the process for m</w:t>
      </w:r>
      <w:r w:rsidR="009C20DD">
        <w:t>o</w:t>
      </w:r>
      <w:r w:rsidR="000A419D">
        <w:t>n</w:t>
      </w:r>
      <w:r w:rsidR="000D3A75">
        <w:t>it</w:t>
      </w:r>
      <w:r w:rsidR="000A419D">
        <w:t xml:space="preserve">oring compliance with </w:t>
      </w:r>
      <w:r w:rsidR="000D3A75">
        <w:t xml:space="preserve">credit </w:t>
      </w:r>
      <w:r w:rsidR="00970D56" w:rsidRPr="00970D56">
        <w:t>risk tolerance</w:t>
      </w:r>
      <w:r w:rsidR="000D3A75">
        <w:t>s</w:t>
      </w:r>
      <w:r w:rsidR="00DE67E8">
        <w:t xml:space="preserve"> and for taking appropriate action in the event it is breached</w:t>
      </w:r>
      <w:r w:rsidR="00863978">
        <w:t xml:space="preserve">, and the timing and process for review of the </w:t>
      </w:r>
      <w:r w:rsidR="000D3A75">
        <w:t xml:space="preserve">credit </w:t>
      </w:r>
      <w:r w:rsidR="00863978">
        <w:t>risk appetite and tolerance</w:t>
      </w:r>
      <w:r w:rsidR="000D3A75">
        <w:t>s</w:t>
      </w:r>
      <w:r w:rsidR="00970D56" w:rsidRPr="00970D56">
        <w:t>.</w:t>
      </w:r>
    </w:p>
    <w:p w14:paraId="3ED12B0B" w14:textId="1FBE554B" w:rsidR="00580262" w:rsidRPr="00580262" w:rsidRDefault="009A457B" w:rsidP="00F705AE">
      <w:pPr>
        <w:pStyle w:val="Heading1"/>
      </w:pPr>
      <w:bookmarkStart w:id="36" w:name="_Toc105754849"/>
      <w:bookmarkStart w:id="37" w:name="_Toc510011071"/>
      <w:r>
        <w:t>C</w:t>
      </w:r>
      <w:r w:rsidR="00580262" w:rsidRPr="00580262">
        <w:t>redit risk</w:t>
      </w:r>
      <w:r w:rsidR="008221EA">
        <w:t xml:space="preserve"> </w:t>
      </w:r>
      <w:r w:rsidR="008221EA" w:rsidRPr="00BE57FC">
        <w:t>management</w:t>
      </w:r>
      <w:r w:rsidR="008221EA">
        <w:t xml:space="preserve"> </w:t>
      </w:r>
      <w:r w:rsidR="00D47B1C">
        <w:t>strategy</w:t>
      </w:r>
      <w:bookmarkEnd w:id="36"/>
    </w:p>
    <w:p w14:paraId="4BDDA17D" w14:textId="2A6342FD" w:rsidR="00744B87" w:rsidRDefault="00FE75F3" w:rsidP="00F705AE">
      <w:pPr>
        <w:pStyle w:val="BodyText1"/>
      </w:pPr>
      <w:bookmarkStart w:id="38" w:name="_Toc525564913"/>
      <w:bookmarkStart w:id="39" w:name="_Toc525716584"/>
      <w:bookmarkStart w:id="40" w:name="_Toc526242479"/>
      <w:bookmarkStart w:id="41" w:name="_Toc526249217"/>
      <w:bookmarkStart w:id="42" w:name="_Toc526343636"/>
      <w:bookmarkStart w:id="43" w:name="_Toc526502176"/>
      <w:bookmarkStart w:id="44" w:name="_Toc526506245"/>
      <w:r>
        <w:t>A</w:t>
      </w:r>
      <w:r w:rsidR="004F0546" w:rsidRPr="007E3472">
        <w:t xml:space="preserve">n ADI </w:t>
      </w:r>
      <w:r w:rsidR="004F0546" w:rsidRPr="007E3472" w:rsidDel="00891750">
        <w:t xml:space="preserve">must </w:t>
      </w:r>
      <w:r w:rsidR="00493B41">
        <w:t xml:space="preserve">maintain </w:t>
      </w:r>
      <w:r w:rsidR="004F0546" w:rsidRPr="007E3472" w:rsidDel="00891750">
        <w:t xml:space="preserve">an appropriate </w:t>
      </w:r>
      <w:r w:rsidR="00B4724E">
        <w:t>and well</w:t>
      </w:r>
      <w:r w:rsidR="00A3792D">
        <w:t>-</w:t>
      </w:r>
      <w:r w:rsidR="00B4724E">
        <w:t xml:space="preserve">documented </w:t>
      </w:r>
      <w:r w:rsidR="004F0546" w:rsidRPr="007E3472">
        <w:t xml:space="preserve">credit risk </w:t>
      </w:r>
      <w:r w:rsidR="008221EA">
        <w:t xml:space="preserve">management </w:t>
      </w:r>
      <w:r w:rsidR="004F0546" w:rsidRPr="007E3472">
        <w:t xml:space="preserve">strategy </w:t>
      </w:r>
      <w:r w:rsidR="00684E4E">
        <w:t xml:space="preserve">that </w:t>
      </w:r>
      <w:r w:rsidR="00493B41">
        <w:t>outlines</w:t>
      </w:r>
      <w:r w:rsidR="004F0546" w:rsidRPr="007E3472">
        <w:t xml:space="preserve"> the objectives guiding the ADI’s </w:t>
      </w:r>
      <w:r w:rsidR="000B5EE8">
        <w:t xml:space="preserve">credit </w:t>
      </w:r>
      <w:r w:rsidR="000B5EE8">
        <w:lastRenderedPageBreak/>
        <w:t xml:space="preserve">origination, </w:t>
      </w:r>
      <w:r w:rsidR="004F0546" w:rsidRPr="007E3472">
        <w:t>credit assessment and approval activities and adopt</w:t>
      </w:r>
      <w:r w:rsidR="00A3792D">
        <w:t>s</w:t>
      </w:r>
      <w:r w:rsidR="004F0546" w:rsidRPr="007E3472">
        <w:t xml:space="preserve"> the necessary policies and processes for conducting such activities.</w:t>
      </w:r>
    </w:p>
    <w:p w14:paraId="1E28684D" w14:textId="7D4E8D06" w:rsidR="004F0546" w:rsidRPr="007E3472" w:rsidRDefault="00744B87" w:rsidP="00F705AE">
      <w:pPr>
        <w:pStyle w:val="BodyText1"/>
      </w:pPr>
      <w:r>
        <w:t>An ADI’s credit risk management</w:t>
      </w:r>
      <w:r w:rsidR="004F0546" w:rsidRPr="007E3472">
        <w:t xml:space="preserve"> strategy must reflect the ADI’s </w:t>
      </w:r>
      <w:r w:rsidR="008221EA">
        <w:t xml:space="preserve">credit </w:t>
      </w:r>
      <w:r w:rsidR="004F0546" w:rsidRPr="007E3472">
        <w:t>risk appetite</w:t>
      </w:r>
      <w:r w:rsidR="00684E4E">
        <w:t xml:space="preserve">, </w:t>
      </w:r>
      <w:r w:rsidR="008221EA">
        <w:t xml:space="preserve">credit </w:t>
      </w:r>
      <w:r w:rsidR="00684E4E">
        <w:t>risk profile</w:t>
      </w:r>
      <w:r w:rsidR="00CA0C87">
        <w:t xml:space="preserve"> and</w:t>
      </w:r>
      <w:r w:rsidR="00684E4E">
        <w:t xml:space="preserve"> market and macroeconomic conditions</w:t>
      </w:r>
      <w:r w:rsidR="004F0546" w:rsidRPr="007E3472">
        <w:t>.</w:t>
      </w:r>
    </w:p>
    <w:p w14:paraId="0F361B1B" w14:textId="49850814" w:rsidR="004F0546" w:rsidRPr="00C20946" w:rsidRDefault="004F0546" w:rsidP="002F7984">
      <w:pPr>
        <w:pStyle w:val="BodyText1"/>
      </w:pPr>
      <w:r w:rsidRPr="003C45B0">
        <w:t xml:space="preserve">An ADI’s credit risk </w:t>
      </w:r>
      <w:r w:rsidR="008221EA">
        <w:t xml:space="preserve">management </w:t>
      </w:r>
      <w:r w:rsidRPr="003C45B0">
        <w:t xml:space="preserve">strategy must describe the ADI’s willingness to accept credit risk based on exposure type, economic </w:t>
      </w:r>
      <w:r w:rsidR="009C55BD">
        <w:t xml:space="preserve">or industry </w:t>
      </w:r>
      <w:r w:rsidRPr="003C45B0">
        <w:t>sector, geographical location, currency and maturity</w:t>
      </w:r>
      <w:r w:rsidRPr="00861D95">
        <w:t xml:space="preserve">. </w:t>
      </w:r>
      <w:r w:rsidRPr="00861D95">
        <w:rPr>
          <w:rFonts w:asciiTheme="minorHAnsi" w:hAnsiTheme="minorHAnsi" w:cstheme="minorHAnsi"/>
        </w:rPr>
        <w:t>This must also include</w:t>
      </w:r>
      <w:r w:rsidRPr="00D86B74">
        <w:rPr>
          <w:rFonts w:asciiTheme="minorHAnsi" w:hAnsiTheme="minorHAnsi" w:cstheme="minorHAnsi"/>
        </w:rPr>
        <w:t xml:space="preserve"> the overall characteristics that the ADI would want to achieve in its credit portfolio</w:t>
      </w:r>
      <w:r w:rsidRPr="00C20946">
        <w:rPr>
          <w:rFonts w:asciiTheme="minorHAnsi" w:hAnsiTheme="minorHAnsi" w:cstheme="minorHAnsi"/>
        </w:rPr>
        <w:t>.</w:t>
      </w:r>
    </w:p>
    <w:p w14:paraId="429517B0" w14:textId="73636546" w:rsidR="006C24FA" w:rsidRDefault="00711EF0" w:rsidP="00F705AE">
      <w:pPr>
        <w:pStyle w:val="BodyText1"/>
      </w:pPr>
      <w:bookmarkStart w:id="45" w:name="_Ref529524181"/>
      <w:r>
        <w:t>An</w:t>
      </w:r>
      <w:r w:rsidR="006C24FA">
        <w:t xml:space="preserve"> ADI’s credit risk</w:t>
      </w:r>
      <w:r w:rsidR="008221EA">
        <w:t xml:space="preserve"> management </w:t>
      </w:r>
      <w:r w:rsidR="006C24FA">
        <w:t xml:space="preserve">strategy must consider the sustainability of earnings </w:t>
      </w:r>
      <w:r w:rsidR="003A7DCB">
        <w:t>from</w:t>
      </w:r>
      <w:r w:rsidR="006C24FA">
        <w:t xml:space="preserve"> its credit </w:t>
      </w:r>
      <w:r w:rsidR="00312EE8">
        <w:t xml:space="preserve">risk </w:t>
      </w:r>
      <w:r w:rsidR="006C24FA">
        <w:t xml:space="preserve">activities </w:t>
      </w:r>
      <w:r w:rsidR="006C24FA" w:rsidRPr="00C20946">
        <w:t xml:space="preserve">including </w:t>
      </w:r>
      <w:r w:rsidR="00312EE8">
        <w:t>an</w:t>
      </w:r>
      <w:r w:rsidR="006C24FA" w:rsidRPr="00C20946">
        <w:t xml:space="preserve"> acceptable risk/reward trade</w:t>
      </w:r>
      <w:r w:rsidR="00A3792D">
        <w:t>-</w:t>
      </w:r>
      <w:r w:rsidR="006C24FA" w:rsidRPr="00C20946">
        <w:t xml:space="preserve">off </w:t>
      </w:r>
      <w:r w:rsidR="00312EE8">
        <w:t>that</w:t>
      </w:r>
      <w:r w:rsidR="006C24FA" w:rsidRPr="00C20946">
        <w:t xml:space="preserve"> would factor</w:t>
      </w:r>
      <w:r w:rsidR="006C24FA" w:rsidRPr="00CA7E94">
        <w:t xml:space="preserve"> in </w:t>
      </w:r>
      <w:r w:rsidR="006C24FA" w:rsidRPr="00571DA0">
        <w:t xml:space="preserve">cost </w:t>
      </w:r>
      <w:r w:rsidR="006C24FA" w:rsidRPr="007E0869">
        <w:t>of capital</w:t>
      </w:r>
      <w:r w:rsidR="006C24FA" w:rsidRPr="0075380E">
        <w:t xml:space="preserve"> estimates</w:t>
      </w:r>
      <w:r w:rsidR="006C24FA">
        <w:t>.</w:t>
      </w:r>
      <w:bookmarkEnd w:id="45"/>
    </w:p>
    <w:p w14:paraId="19C1C75A" w14:textId="5A6B3485" w:rsidR="008863E9" w:rsidRPr="008863E9" w:rsidRDefault="008863E9" w:rsidP="00F705AE">
      <w:pPr>
        <w:pStyle w:val="Heading1"/>
      </w:pPr>
      <w:bookmarkStart w:id="46" w:name="_Toc105754850"/>
      <w:r w:rsidRPr="00BE57FC">
        <w:t>The</w:t>
      </w:r>
      <w:r w:rsidRPr="008863E9">
        <w:t xml:space="preserve"> role of the Board and senior manag</w:t>
      </w:r>
      <w:r>
        <w:t>e</w:t>
      </w:r>
      <w:r w:rsidRPr="008863E9">
        <w:t>ment</w:t>
      </w:r>
      <w:bookmarkEnd w:id="46"/>
    </w:p>
    <w:p w14:paraId="717BF1EA" w14:textId="29C994C9" w:rsidR="00767933" w:rsidRPr="00BE57FC" w:rsidRDefault="00767933" w:rsidP="00F705AE">
      <w:pPr>
        <w:pStyle w:val="Heading3"/>
      </w:pPr>
      <w:bookmarkStart w:id="47" w:name="_Toc527023802"/>
      <w:bookmarkStart w:id="48" w:name="_Toc527025619"/>
      <w:bookmarkStart w:id="49" w:name="_Toc527029570"/>
      <w:bookmarkStart w:id="50" w:name="_Toc527033952"/>
      <w:bookmarkStart w:id="51" w:name="_Toc527040453"/>
      <w:bookmarkStart w:id="52" w:name="_Toc527109035"/>
      <w:bookmarkStart w:id="53" w:name="_Toc527382466"/>
      <w:bookmarkStart w:id="54" w:name="_Toc527384485"/>
      <w:bookmarkStart w:id="55" w:name="_Toc527466126"/>
      <w:bookmarkStart w:id="56" w:name="_Toc527466347"/>
      <w:bookmarkStart w:id="57" w:name="_Toc527467218"/>
      <w:bookmarkStart w:id="58" w:name="_Toc528756576"/>
      <w:bookmarkStart w:id="59" w:name="_Toc528756794"/>
      <w:bookmarkStart w:id="60" w:name="_Toc528759500"/>
      <w:bookmarkStart w:id="61" w:name="_Toc528853328"/>
      <w:bookmarkStart w:id="62" w:name="_Toc528854257"/>
      <w:bookmarkStart w:id="63" w:name="_Toc528854550"/>
      <w:bookmarkStart w:id="64" w:name="_Toc529439199"/>
      <w:bookmarkStart w:id="65" w:name="_Toc529456713"/>
      <w:bookmarkStart w:id="66" w:name="_Toc529518478"/>
      <w:bookmarkStart w:id="67" w:name="_Toc529523928"/>
      <w:bookmarkStart w:id="68" w:name="_Toc529536601"/>
      <w:bookmarkStart w:id="69" w:name="_Toc529776607"/>
      <w:bookmarkStart w:id="70" w:name="_Toc532908824"/>
      <w:bookmarkStart w:id="71" w:name="_Toc533068378"/>
      <w:bookmarkStart w:id="72" w:name="_Toc533074572"/>
      <w:bookmarkStart w:id="73" w:name="_Toc535483671"/>
      <w:bookmarkStart w:id="74" w:name="_Toc536533456"/>
      <w:bookmarkStart w:id="75" w:name="_Toc3894324"/>
      <w:bookmarkStart w:id="76" w:name="_Toc3897488"/>
      <w:bookmarkStart w:id="77" w:name="_Toc3973400"/>
      <w:bookmarkStart w:id="78" w:name="_Toc3985292"/>
      <w:bookmarkStart w:id="79" w:name="_Toc25741752"/>
      <w:bookmarkStart w:id="80" w:name="_Toc25747184"/>
      <w:bookmarkStart w:id="81" w:name="_Toc25748927"/>
      <w:bookmarkStart w:id="82" w:name="_Toc25749059"/>
      <w:bookmarkStart w:id="83" w:name="_Toc26951164"/>
      <w:bookmarkStart w:id="84" w:name="_Toc26951268"/>
      <w:bookmarkStart w:id="85" w:name="_Toc105754851"/>
      <w:r w:rsidRPr="00BE57FC">
        <w:t>Board</w:t>
      </w:r>
      <w:bookmarkEnd w:id="38"/>
      <w:r w:rsidR="00961B4A" w:rsidRPr="00BE57FC">
        <w:t xml:space="preserve"> responsibilities</w:t>
      </w:r>
      <w:bookmarkEnd w:id="39"/>
      <w:bookmarkEnd w:id="40"/>
      <w:bookmarkEnd w:id="41"/>
      <w:bookmarkEnd w:id="42"/>
      <w:bookmarkEnd w:id="43"/>
      <w:bookmarkEnd w:id="44"/>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14:paraId="63031D4F" w14:textId="03514E3C" w:rsidR="00580262" w:rsidRPr="009E5658" w:rsidRDefault="00891750" w:rsidP="00F705AE">
      <w:pPr>
        <w:pStyle w:val="BodyText1"/>
      </w:pPr>
      <w:r w:rsidRPr="009F327E">
        <w:t>T</w:t>
      </w:r>
      <w:r w:rsidR="00580262" w:rsidRPr="009F327E">
        <w:t xml:space="preserve">he </w:t>
      </w:r>
      <w:r w:rsidR="00580262" w:rsidRPr="009F327E">
        <w:rPr>
          <w:b/>
        </w:rPr>
        <w:t>Board</w:t>
      </w:r>
      <w:r w:rsidR="00F65235" w:rsidRPr="00856328">
        <w:rPr>
          <w:rStyle w:val="FootnoteReference"/>
          <w:sz w:val="22"/>
          <w:szCs w:val="22"/>
        </w:rPr>
        <w:footnoteReference w:id="6"/>
      </w:r>
      <w:r w:rsidR="00580262" w:rsidRPr="009F327E">
        <w:t xml:space="preserve"> of an ADI must review</w:t>
      </w:r>
      <w:r w:rsidR="00F11F6B" w:rsidRPr="00F11F6B">
        <w:t xml:space="preserve"> </w:t>
      </w:r>
      <w:r w:rsidR="00F11F6B">
        <w:t xml:space="preserve">and </w:t>
      </w:r>
      <w:r w:rsidR="00F11F6B" w:rsidRPr="009F327E">
        <w:t>approve</w:t>
      </w:r>
      <w:r w:rsidR="004B2998">
        <w:t>,</w:t>
      </w:r>
      <w:r w:rsidR="00580262" w:rsidRPr="009F327E">
        <w:t xml:space="preserve"> </w:t>
      </w:r>
      <w:r w:rsidR="004B2998">
        <w:t xml:space="preserve">on at least an annual basis, </w:t>
      </w:r>
      <w:r w:rsidR="00580262" w:rsidRPr="009F327E">
        <w:t xml:space="preserve">the </w:t>
      </w:r>
      <w:r w:rsidR="009F3091">
        <w:t xml:space="preserve">ADI’s </w:t>
      </w:r>
      <w:r w:rsidR="00863978">
        <w:t xml:space="preserve">credit risk appetite and </w:t>
      </w:r>
      <w:r w:rsidR="00580262" w:rsidRPr="009F327E">
        <w:t xml:space="preserve">credit risk </w:t>
      </w:r>
      <w:r w:rsidR="00047A8F">
        <w:t xml:space="preserve">management </w:t>
      </w:r>
      <w:r w:rsidR="00580262" w:rsidRPr="009F327E">
        <w:t>strategy</w:t>
      </w:r>
      <w:r w:rsidR="00580262" w:rsidRPr="009E5658">
        <w:t>.</w:t>
      </w:r>
    </w:p>
    <w:p w14:paraId="0D28F090" w14:textId="3228097B" w:rsidR="00053184" w:rsidRPr="009E5658" w:rsidRDefault="00053184" w:rsidP="00053184">
      <w:pPr>
        <w:pStyle w:val="BodyText1"/>
      </w:pPr>
      <w:r w:rsidRPr="009E5658">
        <w:rPr>
          <w:rFonts w:eastAsia="Calibri"/>
        </w:rPr>
        <w:t xml:space="preserve">The Board must regularly </w:t>
      </w:r>
      <w:r w:rsidR="00E5579F" w:rsidRPr="003122A2">
        <w:rPr>
          <w:rFonts w:eastAsia="Calibri"/>
        </w:rPr>
        <w:t>challenge</w:t>
      </w:r>
      <w:r w:rsidR="009E5658">
        <w:rPr>
          <w:rFonts w:eastAsia="Calibri"/>
        </w:rPr>
        <w:t>,</w:t>
      </w:r>
      <w:r w:rsidR="00E5579F" w:rsidRPr="003122A2">
        <w:rPr>
          <w:rFonts w:eastAsia="Calibri"/>
        </w:rPr>
        <w:t xml:space="preserve"> </w:t>
      </w:r>
      <w:r w:rsidRPr="009E5658">
        <w:rPr>
          <w:rFonts w:eastAsia="Calibri"/>
        </w:rPr>
        <w:t xml:space="preserve">seek assurance </w:t>
      </w:r>
      <w:r w:rsidR="00E5579F" w:rsidRPr="003122A2">
        <w:rPr>
          <w:rFonts w:eastAsia="Calibri"/>
        </w:rPr>
        <w:t xml:space="preserve">and evidence </w:t>
      </w:r>
      <w:r w:rsidRPr="009E5658">
        <w:rPr>
          <w:rFonts w:eastAsia="Calibri"/>
        </w:rPr>
        <w:t>from senior management that the credit risk policies, processes</w:t>
      </w:r>
      <w:r w:rsidR="0069143F">
        <w:rPr>
          <w:rFonts w:eastAsia="Calibri"/>
        </w:rPr>
        <w:t xml:space="preserve"> and </w:t>
      </w:r>
      <w:r w:rsidRPr="009E5658">
        <w:rPr>
          <w:rFonts w:eastAsia="Calibri"/>
        </w:rPr>
        <w:t>practices</w:t>
      </w:r>
      <w:r w:rsidR="0069143F">
        <w:rPr>
          <w:rFonts w:eastAsia="Calibri"/>
        </w:rPr>
        <w:t xml:space="preserve"> </w:t>
      </w:r>
      <w:r w:rsidRPr="009E5658">
        <w:rPr>
          <w:rFonts w:eastAsia="Calibri"/>
        </w:rPr>
        <w:t xml:space="preserve">are consistent with the credit risk management strategy (and, in turn, the credit risk appetite) of the ADI. The Board must </w:t>
      </w:r>
      <w:r w:rsidR="00B00401">
        <w:rPr>
          <w:rFonts w:eastAsia="Calibri"/>
        </w:rPr>
        <w:t>obtain sufficient information to confirm whether or not</w:t>
      </w:r>
      <w:r w:rsidRPr="009E5658">
        <w:rPr>
          <w:rFonts w:eastAsia="Calibri"/>
        </w:rPr>
        <w:t xml:space="preserve"> the credit risk profile of the ADI is consistent with the credit risk management </w:t>
      </w:r>
      <w:proofErr w:type="gramStart"/>
      <w:r w:rsidRPr="009E5658">
        <w:rPr>
          <w:rFonts w:eastAsia="Calibri"/>
        </w:rPr>
        <w:t>strategy</w:t>
      </w:r>
      <w:r w:rsidR="00B00401">
        <w:rPr>
          <w:rFonts w:eastAsia="Calibri"/>
        </w:rPr>
        <w:t>, and</w:t>
      </w:r>
      <w:proofErr w:type="gramEnd"/>
      <w:r w:rsidR="00B00401">
        <w:rPr>
          <w:rFonts w:eastAsia="Calibri"/>
        </w:rPr>
        <w:t xml:space="preserve"> require senior management to take appropriate </w:t>
      </w:r>
      <w:r w:rsidR="00BF258A">
        <w:rPr>
          <w:rFonts w:eastAsia="Calibri"/>
        </w:rPr>
        <w:t xml:space="preserve">and timely </w:t>
      </w:r>
      <w:r w:rsidR="00B00401">
        <w:rPr>
          <w:rFonts w:eastAsia="Calibri"/>
        </w:rPr>
        <w:t>action if it is not</w:t>
      </w:r>
      <w:r w:rsidRPr="009E5658">
        <w:rPr>
          <w:rFonts w:eastAsia="Calibri"/>
        </w:rPr>
        <w:t>.</w:t>
      </w:r>
    </w:p>
    <w:p w14:paraId="1B7CCF09" w14:textId="53B9DCA6" w:rsidR="00515006" w:rsidRDefault="00515006" w:rsidP="00515006">
      <w:pPr>
        <w:pStyle w:val="BodyText1"/>
      </w:pPr>
      <w:r>
        <w:t xml:space="preserve">The Board must ensure that senior management of the ADI </w:t>
      </w:r>
      <w:r w:rsidR="009A7444">
        <w:t xml:space="preserve">has the capability and resources to appropriately </w:t>
      </w:r>
      <w:r>
        <w:t>manag</w:t>
      </w:r>
      <w:r w:rsidR="009A7444">
        <w:t>e</w:t>
      </w:r>
      <w:r>
        <w:t xml:space="preserve"> the credit risk activities conducted by the ADI and that such activities operate within the credit risk management strategy, credit risk policies and credit risk appetite</w:t>
      </w:r>
      <w:r w:rsidR="002837ED">
        <w:t>.</w:t>
      </w:r>
    </w:p>
    <w:p w14:paraId="7271E913" w14:textId="77332EB2" w:rsidR="00767933" w:rsidRPr="00767933" w:rsidRDefault="00767933">
      <w:pPr>
        <w:pStyle w:val="Heading3"/>
        <w:rPr>
          <w:rFonts w:eastAsia="Calibri"/>
        </w:rPr>
      </w:pPr>
      <w:bookmarkStart w:id="86" w:name="_Toc525564914"/>
      <w:bookmarkStart w:id="87" w:name="_Toc525716585"/>
      <w:bookmarkStart w:id="88" w:name="_Toc526242480"/>
      <w:bookmarkStart w:id="89" w:name="_Toc526249218"/>
      <w:bookmarkStart w:id="90" w:name="_Toc526343637"/>
      <w:bookmarkStart w:id="91" w:name="_Toc526502177"/>
      <w:bookmarkStart w:id="92" w:name="_Toc526506246"/>
      <w:bookmarkStart w:id="93" w:name="_Toc527023803"/>
      <w:bookmarkStart w:id="94" w:name="_Toc527025620"/>
      <w:bookmarkStart w:id="95" w:name="_Toc527029571"/>
      <w:bookmarkStart w:id="96" w:name="_Toc527033953"/>
      <w:bookmarkStart w:id="97" w:name="_Toc527040454"/>
      <w:bookmarkStart w:id="98" w:name="_Toc527109036"/>
      <w:bookmarkStart w:id="99" w:name="_Toc527382467"/>
      <w:bookmarkStart w:id="100" w:name="_Toc527384486"/>
      <w:bookmarkStart w:id="101" w:name="_Toc527466127"/>
      <w:bookmarkStart w:id="102" w:name="_Toc527466348"/>
      <w:bookmarkStart w:id="103" w:name="_Toc527467219"/>
      <w:bookmarkStart w:id="104" w:name="_Toc528756577"/>
      <w:bookmarkStart w:id="105" w:name="_Toc528756795"/>
      <w:bookmarkStart w:id="106" w:name="_Toc528759501"/>
      <w:bookmarkStart w:id="107" w:name="_Toc528853329"/>
      <w:bookmarkStart w:id="108" w:name="_Toc528854258"/>
      <w:bookmarkStart w:id="109" w:name="_Toc528854551"/>
      <w:bookmarkStart w:id="110" w:name="_Toc529439200"/>
      <w:bookmarkStart w:id="111" w:name="_Toc529456714"/>
      <w:bookmarkStart w:id="112" w:name="_Toc529518479"/>
      <w:bookmarkStart w:id="113" w:name="_Toc529523929"/>
      <w:bookmarkStart w:id="114" w:name="_Toc529536602"/>
      <w:bookmarkStart w:id="115" w:name="_Toc529776608"/>
      <w:bookmarkStart w:id="116" w:name="_Toc532908825"/>
      <w:bookmarkStart w:id="117" w:name="_Toc533068379"/>
      <w:bookmarkStart w:id="118" w:name="_Toc533074573"/>
      <w:bookmarkStart w:id="119" w:name="_Toc535483672"/>
      <w:bookmarkStart w:id="120" w:name="_Toc536533457"/>
      <w:bookmarkStart w:id="121" w:name="_Toc3894325"/>
      <w:bookmarkStart w:id="122" w:name="_Toc3897489"/>
      <w:bookmarkStart w:id="123" w:name="_Toc3973401"/>
      <w:bookmarkStart w:id="124" w:name="_Toc3985293"/>
      <w:bookmarkStart w:id="125" w:name="_Toc25741753"/>
      <w:bookmarkStart w:id="126" w:name="_Toc25747185"/>
      <w:bookmarkStart w:id="127" w:name="_Toc25748928"/>
      <w:bookmarkStart w:id="128" w:name="_Toc25749060"/>
      <w:bookmarkStart w:id="129" w:name="_Toc26951165"/>
      <w:bookmarkStart w:id="130" w:name="_Toc26951269"/>
      <w:bookmarkStart w:id="131" w:name="_Toc105754852"/>
      <w:r w:rsidRPr="00BE57FC">
        <w:rPr>
          <w:rFonts w:eastAsia="Calibri"/>
        </w:rPr>
        <w:t>Senior</w:t>
      </w:r>
      <w:r w:rsidRPr="00767933">
        <w:rPr>
          <w:rFonts w:eastAsia="Calibri"/>
        </w:rPr>
        <w:t xml:space="preserve"> </w:t>
      </w:r>
      <w:r w:rsidR="00845B27">
        <w:rPr>
          <w:rFonts w:eastAsia="Calibri"/>
        </w:rPr>
        <w:t>m</w:t>
      </w:r>
      <w:r w:rsidRPr="00767933">
        <w:rPr>
          <w:rFonts w:eastAsia="Calibri"/>
        </w:rPr>
        <w:t>anagement</w:t>
      </w:r>
      <w:bookmarkEnd w:id="86"/>
      <w:r w:rsidR="00961B4A">
        <w:rPr>
          <w:rFonts w:eastAsia="Calibri"/>
        </w:rPr>
        <w:t xml:space="preserve"> responsibilities</w:t>
      </w:r>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14:paraId="4213199D" w14:textId="75D78D39" w:rsidR="0038250A" w:rsidRDefault="008151B5">
      <w:pPr>
        <w:pStyle w:val="BodyText1"/>
        <w:rPr>
          <w:rFonts w:asciiTheme="minorHAnsi" w:eastAsia="Calibri" w:hAnsiTheme="minorHAnsi" w:cstheme="minorHAnsi"/>
        </w:rPr>
      </w:pPr>
      <w:r w:rsidRPr="00901202">
        <w:rPr>
          <w:rFonts w:eastAsia="Calibri"/>
        </w:rPr>
        <w:t>Senior management of an ADI</w:t>
      </w:r>
      <w:r w:rsidR="00E14507" w:rsidRPr="00901202">
        <w:rPr>
          <w:rFonts w:eastAsia="Calibri"/>
        </w:rPr>
        <w:t xml:space="preserve"> must have </w:t>
      </w:r>
      <w:r w:rsidRPr="00901202">
        <w:rPr>
          <w:rFonts w:eastAsia="Calibri"/>
        </w:rPr>
        <w:t>responsibil</w:t>
      </w:r>
      <w:r w:rsidR="00E14507" w:rsidRPr="00901202">
        <w:rPr>
          <w:rFonts w:eastAsia="Calibri"/>
        </w:rPr>
        <w:t xml:space="preserve">ity </w:t>
      </w:r>
      <w:r w:rsidRPr="00901202">
        <w:rPr>
          <w:rFonts w:eastAsia="Calibri"/>
        </w:rPr>
        <w:t>for implementing the</w:t>
      </w:r>
      <w:r w:rsidR="00404BA9">
        <w:rPr>
          <w:rFonts w:eastAsia="Calibri"/>
        </w:rPr>
        <w:t xml:space="preserve"> </w:t>
      </w:r>
      <w:r w:rsidR="00E86C2F">
        <w:rPr>
          <w:rFonts w:eastAsia="Calibri"/>
        </w:rPr>
        <w:t xml:space="preserve">Board approved </w:t>
      </w:r>
      <w:r w:rsidRPr="00901202">
        <w:rPr>
          <w:rFonts w:eastAsia="Calibri"/>
        </w:rPr>
        <w:t xml:space="preserve">credit risk </w:t>
      </w:r>
      <w:r w:rsidR="00047A8F">
        <w:rPr>
          <w:rFonts w:eastAsia="Calibri"/>
        </w:rPr>
        <w:t xml:space="preserve">management </w:t>
      </w:r>
      <w:r w:rsidR="00FD4CB6" w:rsidRPr="00901202">
        <w:rPr>
          <w:rFonts w:eastAsia="Calibri"/>
        </w:rPr>
        <w:t xml:space="preserve">strategy and </w:t>
      </w:r>
      <w:r w:rsidR="00A2176C">
        <w:rPr>
          <w:rFonts w:eastAsia="Calibri"/>
        </w:rPr>
        <w:t xml:space="preserve">for </w:t>
      </w:r>
      <w:r w:rsidR="00D003D6">
        <w:rPr>
          <w:rFonts w:eastAsia="Calibri"/>
        </w:rPr>
        <w:t xml:space="preserve">developing and implementing </w:t>
      </w:r>
      <w:r w:rsidR="00E86C2F">
        <w:rPr>
          <w:rFonts w:eastAsia="Calibri"/>
        </w:rPr>
        <w:t>appropriate</w:t>
      </w:r>
      <w:r w:rsidR="00FC184A">
        <w:rPr>
          <w:rFonts w:eastAsia="Calibri"/>
        </w:rPr>
        <w:t xml:space="preserve"> </w:t>
      </w:r>
      <w:r w:rsidR="00FC184A" w:rsidRPr="00901202">
        <w:rPr>
          <w:rFonts w:eastAsia="Calibri"/>
        </w:rPr>
        <w:t xml:space="preserve">policies </w:t>
      </w:r>
      <w:r w:rsidR="00FD4CB6" w:rsidRPr="00901202">
        <w:rPr>
          <w:rFonts w:eastAsia="Calibri"/>
        </w:rPr>
        <w:t xml:space="preserve">and processes </w:t>
      </w:r>
      <w:r w:rsidR="00EB659F" w:rsidRPr="00901202">
        <w:rPr>
          <w:rFonts w:eastAsia="Calibri"/>
        </w:rPr>
        <w:t>for</w:t>
      </w:r>
      <w:r w:rsidR="00FD4CB6" w:rsidRPr="00901202">
        <w:rPr>
          <w:rFonts w:eastAsia="Calibri"/>
        </w:rPr>
        <w:t xml:space="preserve"> </w:t>
      </w:r>
      <w:r w:rsidR="00EB659F" w:rsidRPr="00901202">
        <w:rPr>
          <w:rFonts w:asciiTheme="minorHAnsi" w:hAnsiTheme="minorHAnsi" w:cstheme="minorHAnsi"/>
        </w:rPr>
        <w:t xml:space="preserve">identifying, measuring, monitoring, reporting and controlling </w:t>
      </w:r>
      <w:r w:rsidR="00BC5BD0">
        <w:rPr>
          <w:rFonts w:asciiTheme="minorHAnsi" w:hAnsiTheme="minorHAnsi" w:cstheme="minorHAnsi"/>
        </w:rPr>
        <w:t xml:space="preserve">or mitigating </w:t>
      </w:r>
      <w:r w:rsidR="00EB659F" w:rsidRPr="00901202">
        <w:rPr>
          <w:rFonts w:asciiTheme="minorHAnsi" w:hAnsiTheme="minorHAnsi" w:cstheme="minorHAnsi"/>
        </w:rPr>
        <w:t>credit risk. S</w:t>
      </w:r>
      <w:r w:rsidR="00EB659F" w:rsidRPr="00901202">
        <w:rPr>
          <w:rFonts w:asciiTheme="minorHAnsi" w:eastAsia="Calibri" w:hAnsiTheme="minorHAnsi" w:cstheme="minorHAnsi"/>
        </w:rPr>
        <w:t xml:space="preserve">uch policies and processes must address credit risk in </w:t>
      </w:r>
      <w:proofErr w:type="gramStart"/>
      <w:r w:rsidR="00EB659F" w:rsidRPr="00901202">
        <w:rPr>
          <w:rFonts w:asciiTheme="minorHAnsi" w:eastAsia="Calibri" w:hAnsiTheme="minorHAnsi" w:cstheme="minorHAnsi"/>
        </w:rPr>
        <w:t>all of</w:t>
      </w:r>
      <w:proofErr w:type="gramEnd"/>
      <w:r w:rsidR="00EB659F" w:rsidRPr="00901202">
        <w:rPr>
          <w:rFonts w:asciiTheme="minorHAnsi" w:eastAsia="Calibri" w:hAnsiTheme="minorHAnsi" w:cstheme="minorHAnsi"/>
        </w:rPr>
        <w:t xml:space="preserve"> the ADI’s activities and at both the individual </w:t>
      </w:r>
      <w:r w:rsidR="008F6A56">
        <w:rPr>
          <w:rFonts w:asciiTheme="minorHAnsi" w:eastAsia="Calibri" w:hAnsiTheme="minorHAnsi" w:cstheme="minorHAnsi"/>
        </w:rPr>
        <w:t>exposure</w:t>
      </w:r>
      <w:r w:rsidR="00EB659F" w:rsidRPr="00901202">
        <w:rPr>
          <w:rFonts w:asciiTheme="minorHAnsi" w:eastAsia="Calibri" w:hAnsiTheme="minorHAnsi" w:cstheme="minorHAnsi"/>
        </w:rPr>
        <w:t xml:space="preserve"> and portfolio levels.</w:t>
      </w:r>
    </w:p>
    <w:p w14:paraId="27A2781B" w14:textId="3BBBEF15" w:rsidR="00D1160D" w:rsidRDefault="00EB659F" w:rsidP="00CA67FA">
      <w:pPr>
        <w:pStyle w:val="BodyText1"/>
        <w:rPr>
          <w:rFonts w:eastAsia="Calibri"/>
        </w:rPr>
      </w:pPr>
      <w:r w:rsidRPr="003D1370">
        <w:rPr>
          <w:rFonts w:eastAsia="Calibri"/>
        </w:rPr>
        <w:lastRenderedPageBreak/>
        <w:t>Senior management</w:t>
      </w:r>
      <w:r w:rsidR="00E14507">
        <w:rPr>
          <w:rFonts w:eastAsia="Calibri"/>
        </w:rPr>
        <w:t xml:space="preserve">’s </w:t>
      </w:r>
      <w:r w:rsidRPr="003D1370">
        <w:rPr>
          <w:rFonts w:eastAsia="Calibri"/>
        </w:rPr>
        <w:t xml:space="preserve">responsibility for </w:t>
      </w:r>
      <w:r w:rsidR="000F31BD">
        <w:rPr>
          <w:rFonts w:eastAsia="Calibri"/>
        </w:rPr>
        <w:t>i</w:t>
      </w:r>
      <w:r w:rsidRPr="003D1370">
        <w:rPr>
          <w:rFonts w:eastAsia="Calibri"/>
        </w:rPr>
        <w:t xml:space="preserve">mplementing the credit risk </w:t>
      </w:r>
      <w:r w:rsidR="00047A8F">
        <w:rPr>
          <w:rFonts w:eastAsia="Calibri"/>
        </w:rPr>
        <w:t xml:space="preserve">management </w:t>
      </w:r>
      <w:r w:rsidRPr="003D1370">
        <w:rPr>
          <w:rFonts w:eastAsia="Calibri"/>
        </w:rPr>
        <w:t xml:space="preserve">strategy </w:t>
      </w:r>
      <w:r w:rsidR="00421440">
        <w:rPr>
          <w:rFonts w:eastAsia="Calibri"/>
        </w:rPr>
        <w:t xml:space="preserve">and </w:t>
      </w:r>
      <w:r w:rsidR="00A2176C">
        <w:rPr>
          <w:rFonts w:eastAsia="Calibri"/>
        </w:rPr>
        <w:t xml:space="preserve">for </w:t>
      </w:r>
      <w:r w:rsidR="00D003D6">
        <w:rPr>
          <w:rFonts w:eastAsia="Calibri"/>
        </w:rPr>
        <w:t xml:space="preserve">developing and implementing the </w:t>
      </w:r>
      <w:r w:rsidR="00421440">
        <w:rPr>
          <w:rFonts w:eastAsia="Calibri"/>
        </w:rPr>
        <w:t xml:space="preserve">credit risk policies </w:t>
      </w:r>
      <w:r w:rsidR="00A44A78">
        <w:rPr>
          <w:rFonts w:eastAsia="Calibri"/>
        </w:rPr>
        <w:t xml:space="preserve">of the ADI </w:t>
      </w:r>
      <w:r w:rsidRPr="003D1370">
        <w:rPr>
          <w:rFonts w:eastAsia="Calibri"/>
        </w:rPr>
        <w:t>includes ensuring</w:t>
      </w:r>
      <w:r w:rsidR="00D1160D">
        <w:rPr>
          <w:rFonts w:eastAsia="Calibri"/>
        </w:rPr>
        <w:t>:</w:t>
      </w:r>
    </w:p>
    <w:p w14:paraId="1B4E7B15" w14:textId="28867AD1" w:rsidR="00D1160D" w:rsidRDefault="005D2E56" w:rsidP="00D43985">
      <w:pPr>
        <w:pStyle w:val="BodyText2"/>
        <w:ind w:left="1134"/>
        <w:jc w:val="both"/>
      </w:pPr>
      <w:r>
        <w:t xml:space="preserve">credit origination, </w:t>
      </w:r>
      <w:r w:rsidR="00EB659F" w:rsidRPr="003D1370">
        <w:t>credit assessment and approval activities conform to the established strategy</w:t>
      </w:r>
      <w:r w:rsidR="00D1160D">
        <w:t xml:space="preserve"> and policies;</w:t>
      </w:r>
    </w:p>
    <w:p w14:paraId="57207E52" w14:textId="0B9259E4" w:rsidR="00D1160D" w:rsidRDefault="00EB659F" w:rsidP="00D43985">
      <w:pPr>
        <w:pStyle w:val="BodyText2"/>
        <w:ind w:left="1134"/>
        <w:jc w:val="both"/>
      </w:pPr>
      <w:r w:rsidRPr="003D1370">
        <w:t xml:space="preserve">written processes are developed </w:t>
      </w:r>
      <w:r w:rsidR="00E86C2F">
        <w:t>consistent with the credit risk management strategy and credit risk policies</w:t>
      </w:r>
      <w:r w:rsidR="00D1160D">
        <w:t>;</w:t>
      </w:r>
    </w:p>
    <w:p w14:paraId="719017AE" w14:textId="1E52866A" w:rsidR="00D1160D" w:rsidRDefault="005D2E56" w:rsidP="00D43985">
      <w:pPr>
        <w:pStyle w:val="BodyText2"/>
        <w:ind w:left="1134"/>
        <w:jc w:val="both"/>
      </w:pPr>
      <w:r>
        <w:t xml:space="preserve">credit origination, </w:t>
      </w:r>
      <w:r w:rsidR="00EB659F" w:rsidRPr="003D1370">
        <w:t xml:space="preserve">credit </w:t>
      </w:r>
      <w:r w:rsidR="007C4259">
        <w:t xml:space="preserve">assessment and </w:t>
      </w:r>
      <w:r w:rsidR="00EB659F" w:rsidRPr="003D1370">
        <w:t>approval and review responsibilities are clearly and properly assigned</w:t>
      </w:r>
      <w:r w:rsidR="00D1160D">
        <w:t>;</w:t>
      </w:r>
    </w:p>
    <w:p w14:paraId="3F120E6E" w14:textId="15DA7715" w:rsidR="00D1160D" w:rsidRPr="00E35199" w:rsidRDefault="00531D05" w:rsidP="00D43985">
      <w:pPr>
        <w:pStyle w:val="BodyText2"/>
        <w:ind w:left="1134"/>
        <w:jc w:val="both"/>
      </w:pPr>
      <w:r w:rsidRPr="00E35199">
        <w:t xml:space="preserve">the strategy, </w:t>
      </w:r>
      <w:r w:rsidR="00D1160D" w:rsidRPr="00E35199">
        <w:t>policies</w:t>
      </w:r>
      <w:r w:rsidRPr="00E35199">
        <w:t xml:space="preserve"> and processes </w:t>
      </w:r>
      <w:r w:rsidR="00D1160D" w:rsidRPr="00E35199">
        <w:t xml:space="preserve">are effectively communicated throughout the ADI and that all relevant personnel clearly understand the ADI’s approach to </w:t>
      </w:r>
      <w:r w:rsidR="005D2E56" w:rsidRPr="00E35199">
        <w:t xml:space="preserve">originating, </w:t>
      </w:r>
      <w:r w:rsidR="00D1160D" w:rsidRPr="00E35199">
        <w:t xml:space="preserve">assessing, approving and managing credit risk and are held accountable for complying with </w:t>
      </w:r>
      <w:r w:rsidRPr="00E35199">
        <w:t xml:space="preserve">the </w:t>
      </w:r>
      <w:r w:rsidR="00D1160D" w:rsidRPr="00E35199">
        <w:t>established policies and processes</w:t>
      </w:r>
      <w:r w:rsidRPr="00E35199">
        <w:t>; and</w:t>
      </w:r>
    </w:p>
    <w:p w14:paraId="602E4B12" w14:textId="4545BF4D" w:rsidR="00EB659F" w:rsidRDefault="00EB659F" w:rsidP="00D43985">
      <w:pPr>
        <w:pStyle w:val="BodyText2"/>
        <w:ind w:left="1134"/>
        <w:jc w:val="both"/>
      </w:pPr>
      <w:bookmarkStart w:id="132" w:name="_Ref23938705"/>
      <w:r w:rsidRPr="003D1370">
        <w:t xml:space="preserve">there is </w:t>
      </w:r>
      <w:r w:rsidR="0095678C">
        <w:t xml:space="preserve">a </w:t>
      </w:r>
      <w:r w:rsidR="003D1370">
        <w:t xml:space="preserve">regular </w:t>
      </w:r>
      <w:r w:rsidRPr="003D1370">
        <w:t>independent internal</w:t>
      </w:r>
      <w:r w:rsidR="003D1370" w:rsidRPr="003D1370">
        <w:t xml:space="preserve"> </w:t>
      </w:r>
      <w:r w:rsidR="00F2498E">
        <w:t>review</w:t>
      </w:r>
      <w:r w:rsidRPr="003D1370">
        <w:t xml:space="preserve"> of the </w:t>
      </w:r>
      <w:r w:rsidR="003D1370">
        <w:t>ADI</w:t>
      </w:r>
      <w:r w:rsidRPr="003D1370">
        <w:t xml:space="preserve">’s </w:t>
      </w:r>
      <w:r w:rsidR="005D2E56">
        <w:t>credit originatio</w:t>
      </w:r>
      <w:r w:rsidR="006F0D3D">
        <w:t>n</w:t>
      </w:r>
      <w:r w:rsidR="005D2E56">
        <w:t xml:space="preserve">, </w:t>
      </w:r>
      <w:r w:rsidRPr="003D1370">
        <w:t>credit</w:t>
      </w:r>
      <w:r w:rsidR="003D1370">
        <w:t xml:space="preserve"> assessment and approval </w:t>
      </w:r>
      <w:r w:rsidRPr="003D1370">
        <w:t>and management functions</w:t>
      </w:r>
      <w:r w:rsidR="00A82DB0">
        <w:t>.</w:t>
      </w:r>
      <w:r w:rsidR="00A82DB0" w:rsidRPr="00A82DB0">
        <w:t xml:space="preserve"> Such reviews must be conducted independently from the business function. This may involve an ADI’s independent risk management and compliance function or an independent internal audit function</w:t>
      </w:r>
      <w:r w:rsidR="000032AA">
        <w:t xml:space="preserve"> or qualified external party</w:t>
      </w:r>
      <w:r w:rsidR="003D1370">
        <w:t>.</w:t>
      </w:r>
      <w:bookmarkEnd w:id="132"/>
      <w:r w:rsidR="00A82DB0" w:rsidDel="00A82DB0">
        <w:rPr>
          <w:rStyle w:val="FootnoteReference"/>
        </w:rPr>
        <w:t xml:space="preserve"> </w:t>
      </w:r>
    </w:p>
    <w:p w14:paraId="5DCAB7B1" w14:textId="44475C06" w:rsidR="006127E9" w:rsidRPr="008863E9" w:rsidRDefault="008863E9">
      <w:pPr>
        <w:pStyle w:val="Heading1"/>
      </w:pPr>
      <w:bookmarkStart w:id="133" w:name="_Toc105754853"/>
      <w:r>
        <w:t>Credit risk p</w:t>
      </w:r>
      <w:r w:rsidR="006127E9" w:rsidRPr="008863E9">
        <w:t>olicies and processes</w:t>
      </w:r>
      <w:bookmarkEnd w:id="133"/>
    </w:p>
    <w:p w14:paraId="5378060F" w14:textId="7FB20913" w:rsidR="006127E9" w:rsidRPr="008863E9" w:rsidRDefault="006127E9" w:rsidP="00C575E9">
      <w:pPr>
        <w:pStyle w:val="BodyText1"/>
      </w:pPr>
      <w:r w:rsidRPr="008863E9">
        <w:t xml:space="preserve">An ADI </w:t>
      </w:r>
      <w:r w:rsidR="00862FB8" w:rsidRPr="008863E9">
        <w:t xml:space="preserve">must </w:t>
      </w:r>
      <w:r w:rsidR="00862FB8">
        <w:t>adopt</w:t>
      </w:r>
      <w:r w:rsidR="00B240C2">
        <w:t xml:space="preserve"> and implement</w:t>
      </w:r>
      <w:r w:rsidRPr="008863E9">
        <w:t xml:space="preserve"> prudent and well</w:t>
      </w:r>
      <w:r w:rsidR="005F0A61">
        <w:t>-</w:t>
      </w:r>
      <w:r w:rsidRPr="008863E9">
        <w:t xml:space="preserve">documented policies and processes to identify, measure, monitor, report and control </w:t>
      </w:r>
      <w:r w:rsidR="00BC5BD0">
        <w:t xml:space="preserve">or mitigate </w:t>
      </w:r>
      <w:r w:rsidRPr="008863E9">
        <w:t>credit risk. The full credit life</w:t>
      </w:r>
      <w:r w:rsidR="005F0A61">
        <w:t>-</w:t>
      </w:r>
      <w:r w:rsidRPr="008863E9">
        <w:t>cycle must be considered</w:t>
      </w:r>
      <w:r w:rsidR="005F0A61">
        <w:t>,</w:t>
      </w:r>
      <w:r w:rsidRPr="008863E9">
        <w:t xml:space="preserve"> including </w:t>
      </w:r>
      <w:r w:rsidR="00416C4D">
        <w:t xml:space="preserve">credit origination, </w:t>
      </w:r>
      <w:r w:rsidRPr="008863E9">
        <w:t>initial and subsequent credit assessment and approval processes and the ongoing monitoring and management of the ADI’s credit exposures and portfolio.</w:t>
      </w:r>
    </w:p>
    <w:p w14:paraId="0B8735EA" w14:textId="35D3AEB1" w:rsidR="003D1370" w:rsidRDefault="003D1370">
      <w:pPr>
        <w:pStyle w:val="BodyText1"/>
        <w:rPr>
          <w:rFonts w:eastAsia="Calibri"/>
        </w:rPr>
      </w:pPr>
      <w:r w:rsidRPr="003D1370">
        <w:rPr>
          <w:rFonts w:eastAsia="Calibri"/>
        </w:rPr>
        <w:t xml:space="preserve">Credit </w:t>
      </w:r>
      <w:r>
        <w:rPr>
          <w:rFonts w:eastAsia="Calibri"/>
        </w:rPr>
        <w:t xml:space="preserve">risk </w:t>
      </w:r>
      <w:r w:rsidRPr="003D1370">
        <w:rPr>
          <w:rFonts w:eastAsia="Calibri"/>
        </w:rPr>
        <w:t xml:space="preserve">policies </w:t>
      </w:r>
      <w:r>
        <w:rPr>
          <w:rFonts w:eastAsia="Calibri"/>
        </w:rPr>
        <w:t xml:space="preserve">must </w:t>
      </w:r>
      <w:r w:rsidRPr="003D1370">
        <w:rPr>
          <w:rFonts w:eastAsia="Calibri"/>
        </w:rPr>
        <w:t>address such topics as target markets, portfolio mix, price and non</w:t>
      </w:r>
      <w:r w:rsidR="005F0A61">
        <w:t>-</w:t>
      </w:r>
      <w:r w:rsidRPr="003D1370">
        <w:rPr>
          <w:rFonts w:eastAsia="Calibri"/>
        </w:rPr>
        <w:t>price terms, the structure of limits,</w:t>
      </w:r>
      <w:r w:rsidR="00097908">
        <w:rPr>
          <w:rFonts w:eastAsia="Calibri"/>
        </w:rPr>
        <w:t xml:space="preserve"> </w:t>
      </w:r>
      <w:r w:rsidRPr="003D1370">
        <w:rPr>
          <w:rFonts w:eastAsia="Calibri"/>
        </w:rPr>
        <w:t>approval authorities</w:t>
      </w:r>
      <w:r w:rsidR="006F0F1E">
        <w:rPr>
          <w:rFonts w:eastAsia="Calibri"/>
        </w:rPr>
        <w:t xml:space="preserve"> and</w:t>
      </w:r>
      <w:r w:rsidRPr="003D1370">
        <w:rPr>
          <w:rFonts w:eastAsia="Calibri"/>
        </w:rPr>
        <w:t xml:space="preserve"> </w:t>
      </w:r>
      <w:r w:rsidR="00D3352F">
        <w:t xml:space="preserve">overrides, waivers or </w:t>
      </w:r>
      <w:r w:rsidRPr="003D1370">
        <w:rPr>
          <w:rFonts w:eastAsia="Calibri"/>
        </w:rPr>
        <w:t>exception</w:t>
      </w:r>
      <w:r w:rsidR="00D3352F">
        <w:rPr>
          <w:rFonts w:eastAsia="Calibri"/>
        </w:rPr>
        <w:t>s</w:t>
      </w:r>
      <w:r w:rsidRPr="003D1370">
        <w:rPr>
          <w:rFonts w:eastAsia="Calibri"/>
        </w:rPr>
        <w:t xml:space="preserve"> proce</w:t>
      </w:r>
      <w:r>
        <w:rPr>
          <w:rFonts w:eastAsia="Calibri"/>
        </w:rPr>
        <w:t>s</w:t>
      </w:r>
      <w:r w:rsidRPr="003D1370">
        <w:rPr>
          <w:rFonts w:eastAsia="Calibri"/>
        </w:rPr>
        <w:t>sing</w:t>
      </w:r>
      <w:r w:rsidR="00E07858">
        <w:rPr>
          <w:rFonts w:eastAsia="Calibri"/>
        </w:rPr>
        <w:t xml:space="preserve"> and </w:t>
      </w:r>
      <w:r w:rsidR="007C4259">
        <w:rPr>
          <w:rFonts w:eastAsia="Calibri"/>
        </w:rPr>
        <w:t>r</w:t>
      </w:r>
      <w:r w:rsidRPr="003D1370">
        <w:rPr>
          <w:rFonts w:eastAsia="Calibri"/>
        </w:rPr>
        <w:t xml:space="preserve">eporting. Such policies </w:t>
      </w:r>
      <w:r>
        <w:rPr>
          <w:rFonts w:eastAsia="Calibri"/>
        </w:rPr>
        <w:t xml:space="preserve">must be </w:t>
      </w:r>
      <w:r w:rsidR="004B7F44">
        <w:rPr>
          <w:rFonts w:eastAsia="Calibri"/>
        </w:rPr>
        <w:t xml:space="preserve">well-documented, </w:t>
      </w:r>
      <w:r w:rsidRPr="003D1370">
        <w:rPr>
          <w:rFonts w:eastAsia="Calibri"/>
        </w:rPr>
        <w:t xml:space="preserve">clearly defined, consistent with prudent practices and </w:t>
      </w:r>
      <w:r w:rsidR="00484A33">
        <w:rPr>
          <w:rFonts w:eastAsia="Calibri"/>
        </w:rPr>
        <w:t>applicable laws and regulations</w:t>
      </w:r>
      <w:r w:rsidRPr="003D1370">
        <w:rPr>
          <w:rFonts w:eastAsia="Calibri"/>
        </w:rPr>
        <w:t>, and adequate for the</w:t>
      </w:r>
      <w:r w:rsidR="00702986">
        <w:rPr>
          <w:rFonts w:eastAsia="Calibri"/>
        </w:rPr>
        <w:t xml:space="preserve"> size,</w:t>
      </w:r>
      <w:r w:rsidRPr="003D1370">
        <w:rPr>
          <w:rFonts w:eastAsia="Calibri"/>
        </w:rPr>
        <w:t xml:space="preserve"> nature and complexity of the </w:t>
      </w:r>
      <w:r w:rsidR="00484A33">
        <w:rPr>
          <w:rFonts w:eastAsia="Calibri"/>
        </w:rPr>
        <w:t>ADI</w:t>
      </w:r>
      <w:r w:rsidRPr="003D1370">
        <w:rPr>
          <w:rFonts w:eastAsia="Calibri"/>
        </w:rPr>
        <w:t>’s activities.</w:t>
      </w:r>
    </w:p>
    <w:p w14:paraId="7E07B285" w14:textId="5C7D025B" w:rsidR="00A811B9" w:rsidRDefault="00484A33">
      <w:pPr>
        <w:pStyle w:val="BodyText1"/>
        <w:rPr>
          <w:rFonts w:eastAsia="Calibri"/>
        </w:rPr>
      </w:pPr>
      <w:r w:rsidRPr="00A811B9">
        <w:rPr>
          <w:rFonts w:eastAsia="Calibri"/>
        </w:rPr>
        <w:t xml:space="preserve">Credit risk policies must be designed and implemented within the context of internal and external factors such as the ADI’s market position, </w:t>
      </w:r>
      <w:r w:rsidR="003C35CA" w:rsidRPr="00A811B9">
        <w:rPr>
          <w:rFonts w:eastAsia="Calibri"/>
        </w:rPr>
        <w:t xml:space="preserve">personnel </w:t>
      </w:r>
      <w:r w:rsidRPr="00A811B9">
        <w:rPr>
          <w:rFonts w:eastAsia="Calibri"/>
        </w:rPr>
        <w:t>capabilities and technology.</w:t>
      </w:r>
      <w:r w:rsidR="00A811B9" w:rsidRPr="00A811B9">
        <w:rPr>
          <w:rFonts w:eastAsia="Calibri"/>
        </w:rPr>
        <w:t xml:space="preserve"> </w:t>
      </w:r>
      <w:r w:rsidR="006F409A">
        <w:rPr>
          <w:rFonts w:eastAsia="Calibri"/>
        </w:rPr>
        <w:t>A</w:t>
      </w:r>
      <w:r w:rsidR="005F0A61">
        <w:rPr>
          <w:rFonts w:eastAsia="Calibri"/>
        </w:rPr>
        <w:t>ppropriate operati</w:t>
      </w:r>
      <w:r w:rsidR="00DB3903">
        <w:rPr>
          <w:rFonts w:eastAsia="Calibri"/>
        </w:rPr>
        <w:t>o</w:t>
      </w:r>
      <w:r w:rsidR="005F0A61">
        <w:rPr>
          <w:rFonts w:eastAsia="Calibri"/>
        </w:rPr>
        <w:t>n</w:t>
      </w:r>
      <w:r w:rsidR="00DB3903">
        <w:rPr>
          <w:rFonts w:eastAsia="Calibri"/>
        </w:rPr>
        <w:t>al</w:t>
      </w:r>
      <w:r w:rsidR="005F0A61">
        <w:rPr>
          <w:rFonts w:eastAsia="Calibri"/>
        </w:rPr>
        <w:t xml:space="preserve"> </w:t>
      </w:r>
      <w:r w:rsidR="005E23F7">
        <w:rPr>
          <w:rFonts w:eastAsia="Calibri"/>
        </w:rPr>
        <w:t>capacity</w:t>
      </w:r>
      <w:r w:rsidR="005F0A61">
        <w:rPr>
          <w:rFonts w:eastAsia="Calibri"/>
        </w:rPr>
        <w:t xml:space="preserve"> and </w:t>
      </w:r>
      <w:r w:rsidR="00612E8E">
        <w:rPr>
          <w:rFonts w:eastAsia="Calibri"/>
        </w:rPr>
        <w:t>b</w:t>
      </w:r>
      <w:r w:rsidR="00A811B9" w:rsidRPr="00A811B9">
        <w:rPr>
          <w:rFonts w:eastAsia="Calibri"/>
        </w:rPr>
        <w:t xml:space="preserve">usiness systems must be in place to support the credit risk </w:t>
      </w:r>
      <w:r w:rsidR="00047A8F">
        <w:rPr>
          <w:rFonts w:eastAsia="Calibri"/>
        </w:rPr>
        <w:t xml:space="preserve">management </w:t>
      </w:r>
      <w:r w:rsidR="00A811B9" w:rsidRPr="00A811B9">
        <w:rPr>
          <w:rFonts w:eastAsia="Calibri"/>
        </w:rPr>
        <w:t xml:space="preserve">strategy before the strategy is </w:t>
      </w:r>
      <w:r w:rsidR="0030664D">
        <w:rPr>
          <w:rFonts w:eastAsia="Calibri"/>
        </w:rPr>
        <w:t>implemented</w:t>
      </w:r>
      <w:r w:rsidR="00A811B9" w:rsidRPr="00A811B9">
        <w:rPr>
          <w:rFonts w:eastAsia="Calibri"/>
        </w:rPr>
        <w:t>.</w:t>
      </w:r>
    </w:p>
    <w:p w14:paraId="3734B72F" w14:textId="757DB7F2" w:rsidR="006127E9" w:rsidRDefault="006127E9">
      <w:pPr>
        <w:pStyle w:val="BodyText1"/>
      </w:pPr>
      <w:bookmarkStart w:id="134" w:name="_Ref532909584"/>
      <w:r>
        <w:t>An ADI must have prudent</w:t>
      </w:r>
      <w:r w:rsidRPr="00580262">
        <w:t xml:space="preserve"> </w:t>
      </w:r>
      <w:r>
        <w:t>and well</w:t>
      </w:r>
      <w:r w:rsidR="005F0A61">
        <w:t>-</w:t>
      </w:r>
      <w:r>
        <w:t xml:space="preserve">documented </w:t>
      </w:r>
      <w:r w:rsidRPr="00580262">
        <w:t xml:space="preserve">policies and processes for the early identification and management of </w:t>
      </w:r>
      <w:r w:rsidR="007F0340">
        <w:t>problem exposures, including</w:t>
      </w:r>
      <w:r>
        <w:t xml:space="preserve"> non</w:t>
      </w:r>
      <w:r w:rsidR="005F0A61">
        <w:t>-</w:t>
      </w:r>
      <w:r>
        <w:lastRenderedPageBreak/>
        <w:t xml:space="preserve">performing </w:t>
      </w:r>
      <w:r w:rsidR="00545A72">
        <w:t xml:space="preserve">and restructured </w:t>
      </w:r>
      <w:r>
        <w:t>exposures</w:t>
      </w:r>
      <w:r w:rsidR="0031002D">
        <w:t xml:space="preserve"> and other transactions</w:t>
      </w:r>
      <w:r w:rsidRPr="00580262">
        <w:t>, and the maintenance of adequate provisions.</w:t>
      </w:r>
      <w:bookmarkEnd w:id="134"/>
    </w:p>
    <w:p w14:paraId="7C646275" w14:textId="412024FB" w:rsidR="006127E9" w:rsidRPr="007E7377" w:rsidRDefault="006127E9">
      <w:pPr>
        <w:pStyle w:val="BodyText1"/>
      </w:pPr>
      <w:bookmarkStart w:id="135" w:name="_Ref529524214"/>
      <w:r>
        <w:t xml:space="preserve">An ADI must have </w:t>
      </w:r>
      <w:r w:rsidRPr="007E7377">
        <w:t>appropriate credit risk practices, including an effective system of internal control, to consistently determine adequate provisions in accordance with the ADI’s stated policies and processes and Australian Accounting Standards.</w:t>
      </w:r>
      <w:bookmarkEnd w:id="135"/>
    </w:p>
    <w:p w14:paraId="7805B7AE" w14:textId="6E829C98" w:rsidR="00961B4A" w:rsidRPr="00BE57FC" w:rsidRDefault="000406A3">
      <w:pPr>
        <w:pStyle w:val="Heading3"/>
        <w:rPr>
          <w:rFonts w:eastAsia="Calibri"/>
        </w:rPr>
      </w:pPr>
      <w:bookmarkStart w:id="136" w:name="_Toc525716586"/>
      <w:bookmarkStart w:id="137" w:name="_Toc526242481"/>
      <w:bookmarkStart w:id="138" w:name="_Toc526249219"/>
      <w:bookmarkStart w:id="139" w:name="_Toc526343638"/>
      <w:bookmarkStart w:id="140" w:name="_Toc526502178"/>
      <w:bookmarkStart w:id="141" w:name="_Toc526506247"/>
      <w:bookmarkStart w:id="142" w:name="_Toc527023804"/>
      <w:bookmarkStart w:id="143" w:name="_Toc527025621"/>
      <w:bookmarkStart w:id="144" w:name="_Toc527029573"/>
      <w:bookmarkStart w:id="145" w:name="_Toc527033955"/>
      <w:bookmarkStart w:id="146" w:name="_Toc527040456"/>
      <w:bookmarkStart w:id="147" w:name="_Toc527109038"/>
      <w:bookmarkStart w:id="148" w:name="_Toc527382469"/>
      <w:bookmarkStart w:id="149" w:name="_Toc527384488"/>
      <w:bookmarkStart w:id="150" w:name="_Toc527466129"/>
      <w:bookmarkStart w:id="151" w:name="_Toc527466350"/>
      <w:bookmarkStart w:id="152" w:name="_Toc527467221"/>
      <w:bookmarkStart w:id="153" w:name="_Toc528756579"/>
      <w:bookmarkStart w:id="154" w:name="_Toc528756797"/>
      <w:bookmarkStart w:id="155" w:name="_Toc528759503"/>
      <w:bookmarkStart w:id="156" w:name="_Toc528853331"/>
      <w:bookmarkStart w:id="157" w:name="_Toc528854260"/>
      <w:bookmarkStart w:id="158" w:name="_Toc528854553"/>
      <w:bookmarkStart w:id="159" w:name="_Toc529439202"/>
      <w:bookmarkStart w:id="160" w:name="_Toc529456716"/>
      <w:bookmarkStart w:id="161" w:name="_Toc529518481"/>
      <w:bookmarkStart w:id="162" w:name="_Toc529523931"/>
      <w:bookmarkStart w:id="163" w:name="_Toc529536604"/>
      <w:bookmarkStart w:id="164" w:name="_Toc529776610"/>
      <w:bookmarkStart w:id="165" w:name="_Toc532908827"/>
      <w:bookmarkStart w:id="166" w:name="_Toc533068381"/>
      <w:bookmarkStart w:id="167" w:name="_Toc533074575"/>
      <w:bookmarkStart w:id="168" w:name="_Toc535483674"/>
      <w:bookmarkStart w:id="169" w:name="_Toc536533459"/>
      <w:bookmarkStart w:id="170" w:name="_Toc3894327"/>
      <w:bookmarkStart w:id="171" w:name="_Toc3897491"/>
      <w:bookmarkStart w:id="172" w:name="_Toc3973403"/>
      <w:bookmarkStart w:id="173" w:name="_Toc3985295"/>
      <w:bookmarkStart w:id="174" w:name="_Toc25741755"/>
      <w:bookmarkStart w:id="175" w:name="_Toc25747187"/>
      <w:bookmarkStart w:id="176" w:name="_Toc25748930"/>
      <w:bookmarkStart w:id="177" w:name="_Toc25749062"/>
      <w:bookmarkStart w:id="178" w:name="_Toc26951167"/>
      <w:bookmarkStart w:id="179" w:name="_Toc26951271"/>
      <w:bookmarkStart w:id="180" w:name="_Toc105754854"/>
      <w:r w:rsidRPr="00BE57FC">
        <w:rPr>
          <w:rFonts w:eastAsia="Calibri"/>
        </w:rPr>
        <w:t xml:space="preserve">Internal </w:t>
      </w:r>
      <w:r w:rsidR="00021877" w:rsidRPr="00BE57FC">
        <w:rPr>
          <w:rFonts w:eastAsia="Calibri"/>
        </w:rPr>
        <w:t xml:space="preserve">risk appetite </w:t>
      </w:r>
      <w:r w:rsidRPr="00BE57FC">
        <w:rPr>
          <w:rFonts w:eastAsia="Calibri"/>
        </w:rPr>
        <w:t>l</w:t>
      </w:r>
      <w:r w:rsidR="00961B4A" w:rsidRPr="00BE57FC">
        <w:rPr>
          <w:rFonts w:eastAsia="Calibri"/>
        </w:rPr>
        <w:t>imits</w:t>
      </w:r>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p>
    <w:p w14:paraId="19007451" w14:textId="1FDD16DE" w:rsidR="00893C51" w:rsidRDefault="001B4BE6">
      <w:pPr>
        <w:pStyle w:val="BodyText1"/>
        <w:rPr>
          <w:rFonts w:eastAsia="Calibri"/>
        </w:rPr>
      </w:pPr>
      <w:r>
        <w:rPr>
          <w:rFonts w:eastAsia="Calibri"/>
        </w:rPr>
        <w:t xml:space="preserve">In addition to the requirements in </w:t>
      </w:r>
      <w:r w:rsidR="006F2457">
        <w:rPr>
          <w:rFonts w:eastAsia="Calibri"/>
        </w:rPr>
        <w:t xml:space="preserve">CPS 220, </w:t>
      </w:r>
      <w:r>
        <w:rPr>
          <w:rFonts w:eastAsia="Calibri"/>
        </w:rPr>
        <w:t xml:space="preserve">APS 221 and APS 222, </w:t>
      </w:r>
      <w:r w:rsidRPr="00572F93">
        <w:rPr>
          <w:rFonts w:eastAsia="Calibri"/>
        </w:rPr>
        <w:t>a</w:t>
      </w:r>
      <w:r w:rsidR="00572F93" w:rsidRPr="00572F93">
        <w:rPr>
          <w:rFonts w:eastAsia="Calibri"/>
        </w:rPr>
        <w:t xml:space="preserve">n ADI must </w:t>
      </w:r>
      <w:r w:rsidR="00572F93" w:rsidRPr="00572F93" w:rsidDel="001B4BE6">
        <w:rPr>
          <w:rFonts w:eastAsia="Calibri"/>
        </w:rPr>
        <w:t xml:space="preserve">develop and implement </w:t>
      </w:r>
      <w:r w:rsidR="00984D8A" w:rsidDel="001B4BE6">
        <w:rPr>
          <w:rFonts w:eastAsia="Calibri"/>
        </w:rPr>
        <w:t xml:space="preserve">appropriate </w:t>
      </w:r>
      <w:r w:rsidR="00572F93" w:rsidRPr="00572F93" w:rsidDel="001B4BE6">
        <w:rPr>
          <w:rFonts w:eastAsia="Calibri"/>
        </w:rPr>
        <w:t xml:space="preserve">policies and processes to ensure that the credit portfolio is adequately diversified given the ADI’s target markets and credit </w:t>
      </w:r>
      <w:r w:rsidR="00564279" w:rsidDel="001B4BE6">
        <w:rPr>
          <w:rFonts w:eastAsia="Calibri"/>
        </w:rPr>
        <w:t xml:space="preserve">risk </w:t>
      </w:r>
      <w:r w:rsidR="00047A8F">
        <w:rPr>
          <w:rFonts w:eastAsia="Calibri"/>
        </w:rPr>
        <w:t xml:space="preserve">management </w:t>
      </w:r>
      <w:r w:rsidR="00572F93" w:rsidRPr="00572F93" w:rsidDel="001B4BE6">
        <w:rPr>
          <w:rFonts w:eastAsia="Calibri"/>
        </w:rPr>
        <w:t xml:space="preserve">strategy. </w:t>
      </w:r>
      <w:proofErr w:type="gramStart"/>
      <w:r w:rsidR="00572F93" w:rsidRPr="00572F93" w:rsidDel="001B4BE6">
        <w:rPr>
          <w:rFonts w:eastAsia="Calibri"/>
        </w:rPr>
        <w:t>In particular, such</w:t>
      </w:r>
      <w:proofErr w:type="gramEnd"/>
      <w:r w:rsidR="00572F93" w:rsidRPr="00572F93" w:rsidDel="001B4BE6">
        <w:rPr>
          <w:rFonts w:eastAsia="Calibri"/>
        </w:rPr>
        <w:t xml:space="preserve"> policies must </w:t>
      </w:r>
      <w:r w:rsidR="00572F93" w:rsidRPr="00572F93">
        <w:rPr>
          <w:rFonts w:eastAsia="Calibri"/>
        </w:rPr>
        <w:t xml:space="preserve">establish </w:t>
      </w:r>
      <w:r w:rsidR="00572F93" w:rsidRPr="00572F93" w:rsidDel="00A77185">
        <w:rPr>
          <w:rFonts w:eastAsia="Calibri"/>
        </w:rPr>
        <w:t xml:space="preserve">targets for portfolio mix as well as set </w:t>
      </w:r>
      <w:r w:rsidR="0069587E" w:rsidDel="00A77185">
        <w:rPr>
          <w:rFonts w:eastAsia="Calibri"/>
        </w:rPr>
        <w:t>prudent</w:t>
      </w:r>
      <w:r w:rsidR="00572F93" w:rsidRPr="00572F93">
        <w:rPr>
          <w:rFonts w:eastAsia="Calibri"/>
        </w:rPr>
        <w:t xml:space="preserve"> limits</w:t>
      </w:r>
      <w:r w:rsidR="00893C51">
        <w:rPr>
          <w:rFonts w:eastAsia="Calibri"/>
        </w:rPr>
        <w:t xml:space="preserve"> on</w:t>
      </w:r>
      <w:r w:rsidR="00275AA1">
        <w:rPr>
          <w:rFonts w:eastAsia="Calibri"/>
        </w:rPr>
        <w:t xml:space="preserve"> exposures to</w:t>
      </w:r>
      <w:r w:rsidR="00893C51">
        <w:rPr>
          <w:rFonts w:eastAsia="Calibri"/>
        </w:rPr>
        <w:t>:</w:t>
      </w:r>
    </w:p>
    <w:p w14:paraId="61D55D41" w14:textId="43FE8906" w:rsidR="00893C51" w:rsidRPr="00272750" w:rsidRDefault="00893C51" w:rsidP="00AB0B8D">
      <w:pPr>
        <w:pStyle w:val="BodyText2"/>
        <w:ind w:left="1134"/>
      </w:pPr>
      <w:r w:rsidRPr="00272750">
        <w:t>high</w:t>
      </w:r>
      <w:r w:rsidR="00275AA1">
        <w:t>er risk</w:t>
      </w:r>
      <w:r w:rsidR="0037758C" w:rsidRPr="00272750">
        <w:t xml:space="preserve"> </w:t>
      </w:r>
      <w:r w:rsidRPr="00272750">
        <w:t>borrowers</w:t>
      </w:r>
      <w:r w:rsidR="00A83DDE" w:rsidRPr="00272750">
        <w:t>;</w:t>
      </w:r>
    </w:p>
    <w:p w14:paraId="34898559" w14:textId="69ECEFDB" w:rsidR="00275AA1" w:rsidRDefault="00275AA1" w:rsidP="00AB0B8D">
      <w:pPr>
        <w:pStyle w:val="BodyText2"/>
        <w:ind w:left="1134"/>
      </w:pPr>
      <w:r>
        <w:t xml:space="preserve">higher risk </w:t>
      </w:r>
      <w:r w:rsidR="00DD4D69">
        <w:t xml:space="preserve">credit </w:t>
      </w:r>
      <w:r>
        <w:t>products</w:t>
      </w:r>
      <w:r w:rsidR="00DD4D69">
        <w:t xml:space="preserve"> and activities</w:t>
      </w:r>
      <w:r>
        <w:t>; and</w:t>
      </w:r>
    </w:p>
    <w:p w14:paraId="09084FFE" w14:textId="0E014DEF" w:rsidR="00893C51" w:rsidRPr="00893C51" w:rsidRDefault="00572F93" w:rsidP="00AB0B8D">
      <w:pPr>
        <w:pStyle w:val="BodyText2"/>
        <w:ind w:left="1134"/>
      </w:pPr>
      <w:proofErr w:type="gramStart"/>
      <w:r w:rsidRPr="00893C51">
        <w:t xml:space="preserve">particular </w:t>
      </w:r>
      <w:r w:rsidR="00E66D19">
        <w:t>industry</w:t>
      </w:r>
      <w:proofErr w:type="gramEnd"/>
      <w:r w:rsidR="00E66D19">
        <w:t xml:space="preserve"> sectors and </w:t>
      </w:r>
      <w:r w:rsidRPr="00893C51">
        <w:t>geographic</w:t>
      </w:r>
      <w:r w:rsidR="00F6763F">
        <w:t>al</w:t>
      </w:r>
      <w:r w:rsidRPr="00893C51">
        <w:t xml:space="preserve"> </w:t>
      </w:r>
      <w:r w:rsidR="00F6763F">
        <w:t>locations</w:t>
      </w:r>
      <w:r w:rsidR="0031002D">
        <w:t>,</w:t>
      </w:r>
      <w:r w:rsidR="001B4BE6">
        <w:t xml:space="preserve"> where appropriate</w:t>
      </w:r>
      <w:r w:rsidR="00275AA1">
        <w:t>.</w:t>
      </w:r>
    </w:p>
    <w:p w14:paraId="0C9CCCFE" w14:textId="6E6CD21E" w:rsidR="00862FB8" w:rsidRPr="00862FB8" w:rsidRDefault="00DD4D69" w:rsidP="00862FB8">
      <w:pPr>
        <w:pStyle w:val="Heading3"/>
        <w:rPr>
          <w:rFonts w:eastAsia="Calibri" w:cs="Times New Roman"/>
          <w:sz w:val="24"/>
        </w:rPr>
      </w:pPr>
      <w:bookmarkStart w:id="181" w:name="_Toc525564915"/>
      <w:bookmarkStart w:id="182" w:name="_Toc525716587"/>
      <w:bookmarkStart w:id="183" w:name="_Toc526242482"/>
      <w:bookmarkStart w:id="184" w:name="_Toc526249220"/>
      <w:bookmarkStart w:id="185" w:name="_Toc526343639"/>
      <w:bookmarkStart w:id="186" w:name="_Toc526502179"/>
      <w:bookmarkStart w:id="187" w:name="_Toc526506248"/>
      <w:bookmarkStart w:id="188" w:name="_Toc527023805"/>
      <w:bookmarkStart w:id="189" w:name="_Toc527025622"/>
      <w:bookmarkStart w:id="190" w:name="_Toc527029574"/>
      <w:bookmarkStart w:id="191" w:name="_Toc527033956"/>
      <w:bookmarkStart w:id="192" w:name="_Toc527040457"/>
      <w:bookmarkStart w:id="193" w:name="_Toc527109039"/>
      <w:bookmarkStart w:id="194" w:name="_Toc527382470"/>
      <w:bookmarkStart w:id="195" w:name="_Toc527384489"/>
      <w:bookmarkStart w:id="196" w:name="_Toc527466130"/>
      <w:bookmarkStart w:id="197" w:name="_Toc527466351"/>
      <w:bookmarkStart w:id="198" w:name="_Toc527467222"/>
      <w:bookmarkStart w:id="199" w:name="_Toc528756580"/>
      <w:bookmarkStart w:id="200" w:name="_Toc528756798"/>
      <w:bookmarkStart w:id="201" w:name="_Toc528759504"/>
      <w:bookmarkStart w:id="202" w:name="_Toc528854261"/>
      <w:bookmarkStart w:id="203" w:name="_Toc528854554"/>
      <w:bookmarkStart w:id="204" w:name="_Toc529439203"/>
      <w:bookmarkStart w:id="205" w:name="_Toc529456717"/>
      <w:bookmarkStart w:id="206" w:name="_Toc529518482"/>
      <w:bookmarkStart w:id="207" w:name="_Toc529523932"/>
      <w:bookmarkStart w:id="208" w:name="_Toc529536605"/>
      <w:bookmarkStart w:id="209" w:name="_Toc529776611"/>
      <w:bookmarkStart w:id="210" w:name="_Toc532908828"/>
      <w:bookmarkStart w:id="211" w:name="_Toc533068382"/>
      <w:bookmarkStart w:id="212" w:name="_Toc533074576"/>
      <w:bookmarkStart w:id="213" w:name="_Toc535483675"/>
      <w:bookmarkStart w:id="214" w:name="_Toc536533460"/>
      <w:bookmarkStart w:id="215" w:name="_Toc3894328"/>
      <w:bookmarkStart w:id="216" w:name="_Toc3897492"/>
      <w:bookmarkStart w:id="217" w:name="_Toc3973404"/>
      <w:bookmarkStart w:id="218" w:name="_Toc3985296"/>
      <w:bookmarkStart w:id="219" w:name="_Toc25741756"/>
      <w:bookmarkStart w:id="220" w:name="_Toc25747188"/>
      <w:bookmarkStart w:id="221" w:name="_Toc25748931"/>
      <w:bookmarkStart w:id="222" w:name="_Toc25749063"/>
      <w:bookmarkStart w:id="223" w:name="_Toc26951168"/>
      <w:bookmarkStart w:id="224" w:name="_Toc26951272"/>
      <w:bookmarkStart w:id="225" w:name="_Toc105754855"/>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r w:rsidRPr="00F547CA">
        <w:rPr>
          <w:rFonts w:eastAsia="Calibri"/>
        </w:rPr>
        <w:t xml:space="preserve">Country </w:t>
      </w:r>
      <w:bookmarkEnd w:id="199"/>
      <w:bookmarkEnd w:id="200"/>
      <w:bookmarkEnd w:id="201"/>
      <w:r w:rsidR="001F3AD6">
        <w:rPr>
          <w:rFonts w:eastAsia="Calibri"/>
        </w:rPr>
        <w:t xml:space="preserve">and transfer </w:t>
      </w:r>
      <w:r w:rsidR="003F2279" w:rsidRPr="00F547CA">
        <w:rPr>
          <w:rFonts w:eastAsia="Calibri"/>
        </w:rPr>
        <w:t>risk</w:t>
      </w:r>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p>
    <w:p w14:paraId="5B548645" w14:textId="722C16B8" w:rsidR="00D83B49" w:rsidRPr="00862FB8" w:rsidRDefault="003F2279" w:rsidP="0051089F">
      <w:pPr>
        <w:pStyle w:val="BodyText1"/>
        <w:rPr>
          <w:rFonts w:eastAsia="Calibri"/>
        </w:rPr>
      </w:pPr>
      <w:r w:rsidRPr="00862FB8">
        <w:rPr>
          <w:rFonts w:eastAsia="Calibri" w:cs="Arial"/>
          <w:bCs/>
        </w:rPr>
        <w:t>An</w:t>
      </w:r>
      <w:r w:rsidR="00A83DDE" w:rsidRPr="00862FB8">
        <w:rPr>
          <w:rFonts w:eastAsia="Calibri"/>
        </w:rPr>
        <w:t xml:space="preserve"> ADI that </w:t>
      </w:r>
      <w:r w:rsidR="00D161D5" w:rsidRPr="00862FB8">
        <w:rPr>
          <w:rFonts w:eastAsia="Calibri"/>
        </w:rPr>
        <w:t>originates credit exposures in geographic</w:t>
      </w:r>
      <w:r w:rsidR="001E0F63">
        <w:rPr>
          <w:rFonts w:eastAsia="Calibri"/>
        </w:rPr>
        <w:t>al</w:t>
      </w:r>
      <w:r w:rsidR="00D161D5" w:rsidRPr="00862FB8">
        <w:rPr>
          <w:rFonts w:eastAsia="Calibri"/>
        </w:rPr>
        <w:t xml:space="preserve"> </w:t>
      </w:r>
      <w:r w:rsidR="00471677">
        <w:rPr>
          <w:rFonts w:eastAsia="Calibri"/>
        </w:rPr>
        <w:t>locations</w:t>
      </w:r>
      <w:r w:rsidR="00D161D5" w:rsidRPr="00862FB8">
        <w:rPr>
          <w:rFonts w:eastAsia="Calibri"/>
        </w:rPr>
        <w:t xml:space="preserve"> other than Australia </w:t>
      </w:r>
      <w:r w:rsidR="00A83DDE" w:rsidRPr="00862FB8">
        <w:rPr>
          <w:rFonts w:eastAsia="Calibri"/>
        </w:rPr>
        <w:t xml:space="preserve">must have prudent policies and processes for </w:t>
      </w:r>
      <w:r w:rsidR="00A83DDE" w:rsidRPr="00862FB8">
        <w:t xml:space="preserve">identifying, </w:t>
      </w:r>
      <w:r w:rsidR="001B744E" w:rsidRPr="00862FB8">
        <w:t xml:space="preserve">evaluating, </w:t>
      </w:r>
      <w:r w:rsidR="00A83DDE" w:rsidRPr="00862FB8">
        <w:t xml:space="preserve">measuring, monitoring, reporting and controlling </w:t>
      </w:r>
      <w:r w:rsidR="00BC5BD0">
        <w:t xml:space="preserve">or mitigating </w:t>
      </w:r>
      <w:r w:rsidR="00A83DDE" w:rsidRPr="00862FB8">
        <w:rPr>
          <w:rFonts w:eastAsia="Calibri"/>
        </w:rPr>
        <w:t>country risk</w:t>
      </w:r>
      <w:r w:rsidR="001F3AD6">
        <w:rPr>
          <w:rFonts w:eastAsia="Calibri"/>
        </w:rPr>
        <w:t xml:space="preserve"> and transfer risk</w:t>
      </w:r>
      <w:r w:rsidR="00D66DFE">
        <w:rPr>
          <w:rFonts w:eastAsia="Calibri"/>
        </w:rPr>
        <w:t>.</w:t>
      </w:r>
      <w:r w:rsidR="00A51EB7" w:rsidRPr="00862FB8" w:rsidDel="00A51EB7">
        <w:rPr>
          <w:rStyle w:val="FootnoteReference"/>
          <w:rFonts w:asciiTheme="minorHAnsi" w:eastAsia="Calibri" w:hAnsiTheme="minorHAnsi" w:cstheme="minorHAnsi"/>
        </w:rPr>
        <w:t xml:space="preserve"> </w:t>
      </w:r>
      <w:r w:rsidR="00A83DDE" w:rsidRPr="00862FB8">
        <w:rPr>
          <w:rFonts w:eastAsia="Calibri"/>
        </w:rPr>
        <w:t xml:space="preserve"> </w:t>
      </w:r>
      <w:r w:rsidR="0051089F" w:rsidRPr="0051089F">
        <w:rPr>
          <w:rFonts w:eastAsia="Calibri"/>
        </w:rPr>
        <w:t>Country or sovereign risk encompasses the entire spectrum of risks arising from the economic, political and social environments of a foreign country that may have potential consequences for foreigners’ debt and equity investments in that country. Transfer risk focuses more specifically on a borrower’s capacity to obtain the foreign exchange necessary to service its cross-border debt and other contractual obligations.</w:t>
      </w:r>
      <w:r w:rsidR="0051089F">
        <w:rPr>
          <w:rFonts w:eastAsia="Calibri"/>
        </w:rPr>
        <w:t xml:space="preserve"> </w:t>
      </w:r>
      <w:r w:rsidR="00A83DDE" w:rsidRPr="00862FB8">
        <w:rPr>
          <w:rFonts w:eastAsia="Calibri"/>
        </w:rPr>
        <w:t>The monitoring of country risk factors must incorporate</w:t>
      </w:r>
      <w:r w:rsidR="00D83B49" w:rsidRPr="00862FB8">
        <w:rPr>
          <w:rFonts w:eastAsia="Calibri"/>
        </w:rPr>
        <w:t>:</w:t>
      </w:r>
    </w:p>
    <w:p w14:paraId="617F4C21" w14:textId="16909A28" w:rsidR="00D83B49" w:rsidRDefault="00A83DDE" w:rsidP="00D43985">
      <w:pPr>
        <w:pStyle w:val="BodyText2"/>
        <w:ind w:left="1134"/>
        <w:jc w:val="both"/>
      </w:pPr>
      <w:r w:rsidRPr="00A83DDE">
        <w:t>the potential default of foreign borrowers arising from country</w:t>
      </w:r>
      <w:r w:rsidR="00954525">
        <w:t>-</w:t>
      </w:r>
      <w:r w:rsidRPr="00A83DDE">
        <w:t>specific economic factors</w:t>
      </w:r>
      <w:r w:rsidR="00D83B49">
        <w:t>; and</w:t>
      </w:r>
    </w:p>
    <w:p w14:paraId="29150047" w14:textId="4E9B9817" w:rsidR="00A83DDE" w:rsidRPr="00A83DDE" w:rsidRDefault="00A83DDE" w:rsidP="00D43985">
      <w:pPr>
        <w:pStyle w:val="BodyText2"/>
        <w:ind w:left="1134"/>
        <w:jc w:val="both"/>
      </w:pPr>
      <w:r w:rsidRPr="00A83DDE">
        <w:t>the enforceability of agreements</w:t>
      </w:r>
      <w:r w:rsidR="00954525">
        <w:t>,</w:t>
      </w:r>
      <w:r w:rsidRPr="00A83DDE">
        <w:t xml:space="preserve"> </w:t>
      </w:r>
      <w:r w:rsidR="00954525">
        <w:t>including</w:t>
      </w:r>
      <w:r w:rsidRPr="00A83DDE">
        <w:t xml:space="preserve"> the timing and ability to realise collateral under the relevant legal framework.</w:t>
      </w:r>
    </w:p>
    <w:p w14:paraId="72E7055B" w14:textId="77777777" w:rsidR="00DD4D69" w:rsidRDefault="00DD4D69">
      <w:pPr>
        <w:pStyle w:val="Heading1"/>
      </w:pPr>
      <w:bookmarkStart w:id="226" w:name="_Toc105754856"/>
      <w:bookmarkStart w:id="227" w:name="_Toc510011073"/>
      <w:bookmarkEnd w:id="37"/>
      <w:r>
        <w:t>Credit origination</w:t>
      </w:r>
      <w:bookmarkEnd w:id="226"/>
    </w:p>
    <w:p w14:paraId="749477BB" w14:textId="71F17820" w:rsidR="00261FD8" w:rsidRDefault="00261FD8" w:rsidP="00261FD8">
      <w:pPr>
        <w:pStyle w:val="BodyText1"/>
      </w:pPr>
      <w:r>
        <w:t>An ADI must recognise and address the risks arising from different credit origination channels in its credit risk management framework. An ADI must exercise a higher level of diligence where credit assessment and approval decision</w:t>
      </w:r>
      <w:r w:rsidR="00963A48">
        <w:t>s are made</w:t>
      </w:r>
      <w:r>
        <w:t xml:space="preserve"> distant from the </w:t>
      </w:r>
      <w:r w:rsidR="006F2825">
        <w:t xml:space="preserve">geographical </w:t>
      </w:r>
      <w:r>
        <w:t xml:space="preserve">location of </w:t>
      </w:r>
      <w:r w:rsidR="00963A48">
        <w:t>a</w:t>
      </w:r>
      <w:r>
        <w:t xml:space="preserve"> borrower or underlying collateral.</w:t>
      </w:r>
    </w:p>
    <w:p w14:paraId="681B6ABE" w14:textId="4D5CAC5E" w:rsidR="00DD4D69" w:rsidRDefault="00261FD8" w:rsidP="003F2279">
      <w:pPr>
        <w:pStyle w:val="BodyText1"/>
      </w:pPr>
      <w:r>
        <w:lastRenderedPageBreak/>
        <w:t xml:space="preserve">Where there are material changes to </w:t>
      </w:r>
      <w:r w:rsidR="00D348FD">
        <w:t>origination</w:t>
      </w:r>
      <w:r>
        <w:t xml:space="preserve"> channels, </w:t>
      </w:r>
      <w:r w:rsidR="00DC6450">
        <w:t xml:space="preserve">including their relative significance, </w:t>
      </w:r>
      <w:r>
        <w:t xml:space="preserve">an </w:t>
      </w:r>
      <w:r w:rsidR="006609F8">
        <w:t xml:space="preserve">ADI </w:t>
      </w:r>
      <w:r>
        <w:t xml:space="preserve">must assess </w:t>
      </w:r>
      <w:r w:rsidR="00AD22DA">
        <w:t xml:space="preserve">the impact of these </w:t>
      </w:r>
      <w:r>
        <w:t xml:space="preserve">changes </w:t>
      </w:r>
      <w:r w:rsidR="00AD22DA">
        <w:t>on</w:t>
      </w:r>
      <w:r>
        <w:t xml:space="preserve"> </w:t>
      </w:r>
      <w:r w:rsidR="00AD22DA">
        <w:t>the</w:t>
      </w:r>
      <w:r>
        <w:t xml:space="preserve"> ADI’s </w:t>
      </w:r>
      <w:r w:rsidR="00AD22DA">
        <w:t xml:space="preserve">credit </w:t>
      </w:r>
      <w:r>
        <w:t>risk profile</w:t>
      </w:r>
      <w:r w:rsidR="007D5732">
        <w:t xml:space="preserve">, and </w:t>
      </w:r>
      <w:r w:rsidR="006F2457">
        <w:t xml:space="preserve">appropriately </w:t>
      </w:r>
      <w:r w:rsidR="007D5732">
        <w:t xml:space="preserve">address </w:t>
      </w:r>
      <w:r w:rsidR="0017745A">
        <w:t>the</w:t>
      </w:r>
      <w:r w:rsidR="007D5732">
        <w:t xml:space="preserve"> risks</w:t>
      </w:r>
      <w:r w:rsidR="006F2457">
        <w:t xml:space="preserve"> of </w:t>
      </w:r>
      <w:r w:rsidR="00686A9F">
        <w:t>such</w:t>
      </w:r>
      <w:r w:rsidR="006F2457">
        <w:t xml:space="preserve"> changes</w:t>
      </w:r>
      <w:r>
        <w:t>.</w:t>
      </w:r>
    </w:p>
    <w:p w14:paraId="682A4BF7" w14:textId="32824ACE" w:rsidR="00583D13" w:rsidRDefault="00583D13" w:rsidP="00583D13">
      <w:pPr>
        <w:pStyle w:val="BodyText1"/>
      </w:pPr>
      <w:r w:rsidRPr="00583D13">
        <w:t xml:space="preserve">In circumstances where third </w:t>
      </w:r>
      <w:r w:rsidR="003122A2" w:rsidRPr="00583D13">
        <w:t>part</w:t>
      </w:r>
      <w:r w:rsidR="003122A2">
        <w:t>ies</w:t>
      </w:r>
      <w:r w:rsidR="00B32152">
        <w:t>,</w:t>
      </w:r>
      <w:r w:rsidRPr="00583D13">
        <w:t xml:space="preserve"> such as</w:t>
      </w:r>
      <w:r w:rsidR="002367CD">
        <w:t xml:space="preserve"> </w:t>
      </w:r>
      <w:r w:rsidRPr="00583D13">
        <w:t>broker</w:t>
      </w:r>
      <w:r w:rsidR="0037301B">
        <w:t>s</w:t>
      </w:r>
      <w:r w:rsidR="00B32152">
        <w:t xml:space="preserve"> or introducers,</w:t>
      </w:r>
      <w:r w:rsidRPr="00583D13">
        <w:t xml:space="preserve"> </w:t>
      </w:r>
      <w:r w:rsidR="00714283">
        <w:t>are</w:t>
      </w:r>
      <w:r>
        <w:t xml:space="preserve"> involved in credit origination</w:t>
      </w:r>
      <w:r w:rsidRPr="00583D13">
        <w:t>, but ha</w:t>
      </w:r>
      <w:r w:rsidR="00FB3922">
        <w:t>ve</w:t>
      </w:r>
      <w:r w:rsidRPr="00583D13">
        <w:t xml:space="preserve"> no ability to approve </w:t>
      </w:r>
      <w:r>
        <w:t>credit risk</w:t>
      </w:r>
      <w:r w:rsidRPr="00583D13">
        <w:t>, a</w:t>
      </w:r>
      <w:r>
        <w:t xml:space="preserve">n ADI must have a </w:t>
      </w:r>
      <w:r w:rsidRPr="00583D13">
        <w:t>sound oversight process</w:t>
      </w:r>
      <w:r w:rsidR="00292251">
        <w:t xml:space="preserve"> of the third party</w:t>
      </w:r>
      <w:r w:rsidRPr="00583D13">
        <w:t xml:space="preserve">. </w:t>
      </w:r>
      <w:proofErr w:type="gramStart"/>
      <w:r w:rsidRPr="00583D13">
        <w:t>In particular, a</w:t>
      </w:r>
      <w:r>
        <w:t>n</w:t>
      </w:r>
      <w:proofErr w:type="gramEnd"/>
      <w:r>
        <w:t xml:space="preserve"> </w:t>
      </w:r>
      <w:r w:rsidRPr="00583D13">
        <w:t xml:space="preserve">ADI </w:t>
      </w:r>
      <w:r>
        <w:t xml:space="preserve">must have prudent policies and </w:t>
      </w:r>
      <w:r w:rsidRPr="00583D13">
        <w:t>proce</w:t>
      </w:r>
      <w:r>
        <w:t>sses</w:t>
      </w:r>
      <w:r w:rsidRPr="00583D13">
        <w:t xml:space="preserve"> to </w:t>
      </w:r>
      <w:r w:rsidR="00CE4534">
        <w:t>ensure</w:t>
      </w:r>
      <w:r w:rsidRPr="00583D13">
        <w:t xml:space="preserve"> </w:t>
      </w:r>
      <w:r w:rsidR="00CE4534">
        <w:t xml:space="preserve">that </w:t>
      </w:r>
      <w:r w:rsidR="00E677BC">
        <w:t xml:space="preserve">reasonable inquiries have been made and </w:t>
      </w:r>
      <w:r w:rsidR="00CE4534">
        <w:t xml:space="preserve">reasonable steps have been taken to verify </w:t>
      </w:r>
      <w:r w:rsidRPr="00583D13">
        <w:t xml:space="preserve">the accuracy and completeness of </w:t>
      </w:r>
      <w:r w:rsidR="00373784">
        <w:t>all relevant</w:t>
      </w:r>
      <w:r w:rsidRPr="00583D13">
        <w:t xml:space="preserve"> </w:t>
      </w:r>
      <w:r w:rsidR="003E49B6">
        <w:t xml:space="preserve">borrower </w:t>
      </w:r>
      <w:r w:rsidRPr="00583D13">
        <w:t>information provided</w:t>
      </w:r>
      <w:r w:rsidR="003E49B6">
        <w:t xml:space="preserve"> by </w:t>
      </w:r>
      <w:r w:rsidR="00292251">
        <w:t xml:space="preserve">the </w:t>
      </w:r>
      <w:r w:rsidR="003E49B6">
        <w:t>third part</w:t>
      </w:r>
      <w:r w:rsidR="00292251">
        <w:t>y</w:t>
      </w:r>
      <w:r w:rsidR="00A82DB0">
        <w:t xml:space="preserve"> and the outcomes of these processes must be documented.</w:t>
      </w:r>
    </w:p>
    <w:p w14:paraId="7372FD59" w14:textId="23C56E0B" w:rsidR="00640D35" w:rsidRPr="00BE57FC" w:rsidRDefault="008C31AD">
      <w:pPr>
        <w:pStyle w:val="Heading1"/>
      </w:pPr>
      <w:bookmarkStart w:id="228" w:name="_Toc105754857"/>
      <w:r w:rsidRPr="00BE57FC">
        <w:t>C</w:t>
      </w:r>
      <w:r w:rsidR="001956F1" w:rsidRPr="00BE57FC">
        <w:t xml:space="preserve">redit </w:t>
      </w:r>
      <w:bookmarkEnd w:id="227"/>
      <w:r w:rsidR="00BA48BC" w:rsidRPr="00BE57FC">
        <w:t>assessment</w:t>
      </w:r>
      <w:r w:rsidR="00387D06" w:rsidRPr="00BE57FC">
        <w:t xml:space="preserve"> </w:t>
      </w:r>
      <w:r w:rsidR="004A6247" w:rsidRPr="00BE57FC">
        <w:t xml:space="preserve">and approval </w:t>
      </w:r>
      <w:r w:rsidR="00387D06" w:rsidRPr="00BE57FC">
        <w:t>process</w:t>
      </w:r>
      <w:bookmarkEnd w:id="228"/>
    </w:p>
    <w:p w14:paraId="75227F1F" w14:textId="33D42557" w:rsidR="00631DF9" w:rsidRDefault="00392E54">
      <w:pPr>
        <w:pStyle w:val="BodyText1"/>
      </w:pPr>
      <w:r w:rsidRPr="00392E54">
        <w:t xml:space="preserve">An ADI must </w:t>
      </w:r>
      <w:r w:rsidR="00E56B9C">
        <w:t>establish</w:t>
      </w:r>
      <w:r w:rsidRPr="00392E54">
        <w:t xml:space="preserve"> sound </w:t>
      </w:r>
      <w:r w:rsidR="00EA1014">
        <w:t>credit assessment and approval criteria.</w:t>
      </w:r>
      <w:r w:rsidR="00D161D5" w:rsidRPr="00D161D5">
        <w:t xml:space="preserve"> </w:t>
      </w:r>
      <w:r w:rsidR="00D161D5" w:rsidRPr="00571DA0">
        <w:t xml:space="preserve">These criteria must set out </w:t>
      </w:r>
      <w:r w:rsidR="00D161D5" w:rsidRPr="00D33BF6">
        <w:t xml:space="preserve">the </w:t>
      </w:r>
      <w:r w:rsidR="00D161D5" w:rsidRPr="00F24974">
        <w:t xml:space="preserve">borrowers </w:t>
      </w:r>
      <w:r w:rsidR="00D161D5">
        <w:t>that are</w:t>
      </w:r>
      <w:r w:rsidR="00D161D5" w:rsidRPr="00F10769">
        <w:t xml:space="preserve"> eligible for credit</w:t>
      </w:r>
      <w:r w:rsidR="00FA165C">
        <w:t xml:space="preserve">, the extent </w:t>
      </w:r>
      <w:r w:rsidR="00170229">
        <w:t xml:space="preserve">and nature </w:t>
      </w:r>
      <w:r w:rsidR="00FA165C">
        <w:t>of credit the ADI is willing to provide</w:t>
      </w:r>
      <w:r w:rsidR="00D161D5" w:rsidRPr="00F10769">
        <w:t xml:space="preserve"> and </w:t>
      </w:r>
      <w:r w:rsidR="00170229">
        <w:t>the</w:t>
      </w:r>
      <w:r w:rsidR="00D161D5" w:rsidRPr="00F10769">
        <w:t xml:space="preserve"> terms and conditions the exposures </w:t>
      </w:r>
      <w:r w:rsidR="00170229">
        <w:t>would be subject to</w:t>
      </w:r>
      <w:r>
        <w:t>.</w:t>
      </w:r>
    </w:p>
    <w:p w14:paraId="403D63CD" w14:textId="7AA44258" w:rsidR="003F7897" w:rsidRDefault="006404B9" w:rsidP="007934CD">
      <w:pPr>
        <w:pStyle w:val="BodyText1"/>
      </w:pPr>
      <w:r>
        <w:t xml:space="preserve">An </w:t>
      </w:r>
      <w:r w:rsidR="00170229">
        <w:t xml:space="preserve">ADI must undertake a comprehensive assessment of </w:t>
      </w:r>
      <w:r w:rsidR="00B61CBB">
        <w:t xml:space="preserve">a </w:t>
      </w:r>
      <w:r w:rsidR="00170229">
        <w:t xml:space="preserve">borrower’s credit risk which </w:t>
      </w:r>
      <w:r w:rsidR="007E0869">
        <w:t>would</w:t>
      </w:r>
      <w:r w:rsidR="00170229">
        <w:t xml:space="preserve"> </w:t>
      </w:r>
      <w:r w:rsidR="000E551E">
        <w:t xml:space="preserve">consider and </w:t>
      </w:r>
      <w:r w:rsidR="00170229">
        <w:t xml:space="preserve">be proportionate to the </w:t>
      </w:r>
      <w:r w:rsidR="00141B10">
        <w:t>nature, type and size</w:t>
      </w:r>
      <w:r w:rsidR="00E873AD" w:rsidRPr="00141B10">
        <w:t xml:space="preserve"> of </w:t>
      </w:r>
      <w:r w:rsidR="00141B10">
        <w:t xml:space="preserve">the </w:t>
      </w:r>
      <w:r w:rsidR="00E873AD" w:rsidRPr="00141B10">
        <w:t>exposure</w:t>
      </w:r>
      <w:r w:rsidR="00BA0F78">
        <w:t>.</w:t>
      </w:r>
      <w:r w:rsidR="007934CD" w:rsidRPr="007934CD">
        <w:t xml:space="preserve"> An ADI must use experienced credit judgement in adopting a scalable and flexible approach to its credit risk assessment of a borrower</w:t>
      </w:r>
      <w:r w:rsidR="002756B3">
        <w:t>.</w:t>
      </w:r>
    </w:p>
    <w:p w14:paraId="1F21F415" w14:textId="18523883" w:rsidR="003F7897" w:rsidRDefault="003F7897" w:rsidP="003F7897">
      <w:pPr>
        <w:pStyle w:val="BodyText1"/>
      </w:pPr>
      <w:r w:rsidRPr="003F7897">
        <w:t>An ADI must assess credit risk primarily on the strength of a borrower’s repayment capacity. The ADI must not place undue reliance on collateral provided by the borrower as a substitute for a comprehensive credit assessment.</w:t>
      </w:r>
      <w:r w:rsidR="0064105D">
        <w:t xml:space="preserve"> </w:t>
      </w:r>
    </w:p>
    <w:p w14:paraId="62A54DAB" w14:textId="1835D6AA" w:rsidR="003F7897" w:rsidRPr="009A7444" w:rsidRDefault="003F7897" w:rsidP="00F82D3C">
      <w:pPr>
        <w:pStyle w:val="BodyText1"/>
      </w:pPr>
      <w:r w:rsidRPr="00583D13">
        <w:t xml:space="preserve">An ADI must not place undue reliance on external credit </w:t>
      </w:r>
      <w:r w:rsidR="009A7444">
        <w:t>ratings</w:t>
      </w:r>
      <w:r w:rsidR="00F82D3C" w:rsidRPr="00583D13">
        <w:t>.</w:t>
      </w:r>
      <w:r w:rsidR="00515757" w:rsidRPr="00583D13">
        <w:t xml:space="preserve"> </w:t>
      </w:r>
      <w:r w:rsidR="00515757" w:rsidRPr="009A7444">
        <w:t>A</w:t>
      </w:r>
      <w:r w:rsidR="00F82D3C" w:rsidRPr="009A7444">
        <w:t>n ADI must</w:t>
      </w:r>
      <w:r w:rsidR="009A7444">
        <w:t xml:space="preserve"> obtain </w:t>
      </w:r>
      <w:r w:rsidR="00515757" w:rsidRPr="009A7444">
        <w:t xml:space="preserve">adequate </w:t>
      </w:r>
      <w:r w:rsidR="00F82D3C" w:rsidRPr="009A7444">
        <w:t>information</w:t>
      </w:r>
      <w:r w:rsidR="00515757" w:rsidRPr="009A7444">
        <w:t xml:space="preserve"> to undertake a comprehensive credit assessment of a borrower.</w:t>
      </w:r>
    </w:p>
    <w:p w14:paraId="13EC4DDB" w14:textId="77777777" w:rsidR="008623B0" w:rsidRDefault="00422423" w:rsidP="003F7897">
      <w:pPr>
        <w:pStyle w:val="BodyText1"/>
      </w:pPr>
      <w:r>
        <w:t xml:space="preserve">An ADI must give due consideration to the integrity and reputation of the borrower as well as </w:t>
      </w:r>
      <w:r w:rsidR="00802FD1">
        <w:t>its</w:t>
      </w:r>
      <w:r>
        <w:t xml:space="preserve"> legal capacity to assume liability.</w:t>
      </w:r>
    </w:p>
    <w:p w14:paraId="5C5B0E1A" w14:textId="102F0446" w:rsidR="00545E11" w:rsidRDefault="000602DD" w:rsidP="003F2279">
      <w:pPr>
        <w:pStyle w:val="Heading3"/>
      </w:pPr>
      <w:bookmarkStart w:id="229" w:name="_Toc528756583"/>
      <w:bookmarkStart w:id="230" w:name="_Toc528756801"/>
      <w:bookmarkStart w:id="231" w:name="_Toc528759507"/>
      <w:bookmarkStart w:id="232" w:name="_Toc528853334"/>
      <w:bookmarkStart w:id="233" w:name="_Toc528854264"/>
      <w:bookmarkStart w:id="234" w:name="_Toc528854557"/>
      <w:bookmarkStart w:id="235" w:name="_Toc529439206"/>
      <w:bookmarkStart w:id="236" w:name="_Toc529456720"/>
      <w:bookmarkStart w:id="237" w:name="_Toc529518485"/>
      <w:bookmarkStart w:id="238" w:name="_Toc529523935"/>
      <w:bookmarkStart w:id="239" w:name="_Toc529536608"/>
      <w:bookmarkStart w:id="240" w:name="_Toc529776614"/>
      <w:bookmarkStart w:id="241" w:name="_Toc532908831"/>
      <w:bookmarkStart w:id="242" w:name="_Toc533068385"/>
      <w:bookmarkStart w:id="243" w:name="_Toc533074579"/>
      <w:bookmarkStart w:id="244" w:name="_Toc535483678"/>
      <w:bookmarkStart w:id="245" w:name="_Toc536533463"/>
      <w:bookmarkStart w:id="246" w:name="_Toc3894331"/>
      <w:bookmarkStart w:id="247" w:name="_Toc3897495"/>
      <w:bookmarkStart w:id="248" w:name="_Toc3973407"/>
      <w:bookmarkStart w:id="249" w:name="_Toc3985299"/>
      <w:bookmarkStart w:id="250" w:name="_Toc25741759"/>
      <w:bookmarkStart w:id="251" w:name="_Toc25747191"/>
      <w:bookmarkStart w:id="252" w:name="_Toc25748934"/>
      <w:bookmarkStart w:id="253" w:name="_Toc25749066"/>
      <w:bookmarkStart w:id="254" w:name="_Toc26951171"/>
      <w:bookmarkStart w:id="255" w:name="_Toc26951275"/>
      <w:bookmarkStart w:id="256" w:name="_Toc105754858"/>
      <w:r>
        <w:t>E</w:t>
      </w:r>
      <w:r w:rsidR="00545E11">
        <w:t>xposures</w:t>
      </w:r>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r>
        <w:t xml:space="preserve"> to individuals</w:t>
      </w:r>
      <w:bookmarkEnd w:id="246"/>
      <w:bookmarkEnd w:id="247"/>
      <w:bookmarkEnd w:id="248"/>
      <w:bookmarkEnd w:id="249"/>
      <w:bookmarkEnd w:id="250"/>
      <w:bookmarkEnd w:id="251"/>
      <w:bookmarkEnd w:id="252"/>
      <w:bookmarkEnd w:id="253"/>
      <w:bookmarkEnd w:id="254"/>
      <w:bookmarkEnd w:id="255"/>
      <w:bookmarkEnd w:id="256"/>
    </w:p>
    <w:p w14:paraId="19C87703" w14:textId="27B6E108" w:rsidR="00545E11" w:rsidRDefault="00545E11">
      <w:pPr>
        <w:pStyle w:val="BodyText1"/>
      </w:pPr>
      <w:r>
        <w:t>For exposures</w:t>
      </w:r>
      <w:r w:rsidR="000602DD">
        <w:t xml:space="preserve"> to individuals</w:t>
      </w:r>
      <w:r>
        <w:t xml:space="preserve">, an ADI’s credit assessment </w:t>
      </w:r>
      <w:r w:rsidR="008626E7">
        <w:t>must</w:t>
      </w:r>
      <w:r>
        <w:t xml:space="preserve"> include consideration of</w:t>
      </w:r>
      <w:r w:rsidR="00680C8C">
        <w:t xml:space="preserve"> the following</w:t>
      </w:r>
      <w:r w:rsidR="00FF6227">
        <w:t xml:space="preserve"> cr</w:t>
      </w:r>
      <w:r w:rsidR="007934CD">
        <w:t>i</w:t>
      </w:r>
      <w:r w:rsidR="00FF6227">
        <w:t>teria</w:t>
      </w:r>
      <w:r w:rsidR="00680C8C">
        <w:t>, where relevant</w:t>
      </w:r>
      <w:r>
        <w:t>:</w:t>
      </w:r>
    </w:p>
    <w:p w14:paraId="7E5E8B7E" w14:textId="6F8F2837" w:rsidR="00FA5F26" w:rsidRPr="001C2B67" w:rsidRDefault="00FA5F26" w:rsidP="00D43985">
      <w:pPr>
        <w:pStyle w:val="BodyText2"/>
        <w:ind w:left="1134"/>
        <w:jc w:val="both"/>
      </w:pPr>
      <w:bookmarkStart w:id="257" w:name="_Ref3895825"/>
      <w:r w:rsidRPr="001C2B67">
        <w:t xml:space="preserve">the purpose </w:t>
      </w:r>
      <w:r w:rsidR="00D7064F">
        <w:t xml:space="preserve">and structure </w:t>
      </w:r>
      <w:r w:rsidRPr="001C2B67">
        <w:t xml:space="preserve">of the </w:t>
      </w:r>
      <w:r w:rsidR="0049124D" w:rsidRPr="001C2B67">
        <w:t>exposure</w:t>
      </w:r>
      <w:r w:rsidR="00A54314">
        <w:t xml:space="preserve"> </w:t>
      </w:r>
      <w:r w:rsidRPr="001C2B67">
        <w:t>and sources of repayment</w:t>
      </w:r>
      <w:r w:rsidR="007E0869">
        <w:t>,</w:t>
      </w:r>
      <w:r w:rsidR="001E7362">
        <w:t xml:space="preserve"> including </w:t>
      </w:r>
      <w:r w:rsidR="00935A42">
        <w:t xml:space="preserve">making reasonable </w:t>
      </w:r>
      <w:r w:rsidR="008B5380">
        <w:t>in</w:t>
      </w:r>
      <w:r w:rsidR="00935A42">
        <w:t xml:space="preserve">quiries and </w:t>
      </w:r>
      <w:r w:rsidR="00CE4534">
        <w:t>taking reasonable steps to</w:t>
      </w:r>
      <w:r w:rsidR="001E7362">
        <w:t xml:space="preserve"> verif</w:t>
      </w:r>
      <w:r w:rsidR="00CE4534">
        <w:t>y</w:t>
      </w:r>
      <w:r w:rsidR="001E7362">
        <w:t xml:space="preserve"> </w:t>
      </w:r>
      <w:r w:rsidR="00B532C0">
        <w:t xml:space="preserve">income or </w:t>
      </w:r>
      <w:r w:rsidR="003B61A4">
        <w:t>cash flows</w:t>
      </w:r>
      <w:r w:rsidR="003C4A2F">
        <w:t>;</w:t>
      </w:r>
      <w:bookmarkEnd w:id="257"/>
    </w:p>
    <w:p w14:paraId="77955CDC" w14:textId="17392FE8" w:rsidR="00FA5F26" w:rsidRDefault="00FA5F26" w:rsidP="00D43985">
      <w:pPr>
        <w:pStyle w:val="BodyText2"/>
        <w:ind w:left="1134"/>
        <w:jc w:val="both"/>
      </w:pPr>
      <w:bookmarkStart w:id="258" w:name="_Ref3895844"/>
      <w:r w:rsidRPr="00FA5F26">
        <w:t>the current risk profile</w:t>
      </w:r>
      <w:r w:rsidR="00B76F8C">
        <w:t xml:space="preserve"> of the borrower</w:t>
      </w:r>
      <w:r w:rsidR="00F64477">
        <w:t>,</w:t>
      </w:r>
      <w:r w:rsidR="00B76F8C">
        <w:t xml:space="preserve"> </w:t>
      </w:r>
      <w:r w:rsidR="00327449">
        <w:t xml:space="preserve">including </w:t>
      </w:r>
      <w:r w:rsidR="00935A42">
        <w:t xml:space="preserve">making reasonable inquiries and </w:t>
      </w:r>
      <w:r w:rsidR="009D2CA2">
        <w:t xml:space="preserve">taking reasonable steps to verify </w:t>
      </w:r>
      <w:r w:rsidR="00247A46">
        <w:t>commitments and total indebtednes</w:t>
      </w:r>
      <w:r w:rsidR="00B76F8C">
        <w:t>s</w:t>
      </w:r>
      <w:r w:rsidR="00392F9E">
        <w:t>;</w:t>
      </w:r>
      <w:bookmarkEnd w:id="258"/>
    </w:p>
    <w:p w14:paraId="7C5C1D5B" w14:textId="33D53234" w:rsidR="00EE5032" w:rsidRDefault="00FA5F26" w:rsidP="00D43985">
      <w:pPr>
        <w:pStyle w:val="BodyText2"/>
        <w:ind w:left="1134"/>
        <w:jc w:val="both"/>
      </w:pPr>
      <w:bookmarkStart w:id="259" w:name="_Ref3895861"/>
      <w:r w:rsidRPr="00F5257D">
        <w:t>the borrower’s repayment history and capacity</w:t>
      </w:r>
      <w:r w:rsidR="00B53327">
        <w:t>,</w:t>
      </w:r>
      <w:r w:rsidR="00E11486">
        <w:t xml:space="preserve"> assessed</w:t>
      </w:r>
      <w:r w:rsidRPr="00F5257D">
        <w:t xml:space="preserve"> under </w:t>
      </w:r>
      <w:r w:rsidR="00320927">
        <w:t>various</w:t>
      </w:r>
      <w:r w:rsidRPr="00F5257D">
        <w:t xml:space="preserve"> </w:t>
      </w:r>
      <w:r w:rsidR="008E3FB0" w:rsidRPr="00F5257D">
        <w:t>scenarios</w:t>
      </w:r>
      <w:r w:rsidR="008E3FB0">
        <w:t xml:space="preserve"> such</w:t>
      </w:r>
      <w:r w:rsidR="00EE5032">
        <w:t xml:space="preserve"> as:</w:t>
      </w:r>
      <w:bookmarkEnd w:id="259"/>
    </w:p>
    <w:p w14:paraId="1DE20650" w14:textId="14F3B2B6" w:rsidR="00EE5032" w:rsidRDefault="00CD2BFC" w:rsidP="00AB0B8D">
      <w:pPr>
        <w:pStyle w:val="BodyText3"/>
      </w:pPr>
      <w:r>
        <w:lastRenderedPageBreak/>
        <w:t xml:space="preserve">an </w:t>
      </w:r>
      <w:r w:rsidR="00530339">
        <w:t>increase in interest rates</w:t>
      </w:r>
      <w:r w:rsidR="00A5084D">
        <w:t>;</w:t>
      </w:r>
    </w:p>
    <w:p w14:paraId="6CD33DA8" w14:textId="53CA34CD" w:rsidR="00EE5032" w:rsidRDefault="00530339" w:rsidP="00A630ED">
      <w:pPr>
        <w:pStyle w:val="BodyText3"/>
      </w:pPr>
      <w:r>
        <w:t xml:space="preserve">a change from </w:t>
      </w:r>
      <w:r w:rsidR="00CD2BFC">
        <w:t xml:space="preserve">a </w:t>
      </w:r>
      <w:r>
        <w:t>fixed</w:t>
      </w:r>
      <w:r w:rsidR="006404B9">
        <w:t>-</w:t>
      </w:r>
      <w:r>
        <w:t>rate to a floating</w:t>
      </w:r>
      <w:r w:rsidR="00802FD1">
        <w:t xml:space="preserve"> interest </w:t>
      </w:r>
      <w:r>
        <w:t>rate</w:t>
      </w:r>
      <w:r w:rsidR="00A630ED" w:rsidRPr="00A630ED">
        <w:t xml:space="preserve"> </w:t>
      </w:r>
      <w:r w:rsidR="00A630ED">
        <w:t>(</w:t>
      </w:r>
      <w:r w:rsidR="00FB001F">
        <w:t>and</w:t>
      </w:r>
      <w:r w:rsidR="00A630ED" w:rsidRPr="00A630ED">
        <w:t xml:space="preserve"> vice versa)</w:t>
      </w:r>
      <w:r w:rsidR="00A5084D">
        <w:t>;</w:t>
      </w:r>
    </w:p>
    <w:p w14:paraId="3FAC277C" w14:textId="5A159441" w:rsidR="00F5257D" w:rsidRDefault="00EE5032" w:rsidP="00D43985">
      <w:pPr>
        <w:pStyle w:val="BodyText3"/>
        <w:jc w:val="both"/>
      </w:pPr>
      <w:r>
        <w:t xml:space="preserve">a </w:t>
      </w:r>
      <w:r w:rsidR="005D5A28" w:rsidRPr="00530339">
        <w:t xml:space="preserve">decrease in </w:t>
      </w:r>
      <w:r w:rsidR="005D5A28">
        <w:t>income</w:t>
      </w:r>
      <w:r w:rsidR="00B53327">
        <w:t xml:space="preserve"> or cash flows</w:t>
      </w:r>
      <w:r w:rsidR="005D5A28" w:rsidRPr="00530339">
        <w:t xml:space="preserve">, particularly for less stable </w:t>
      </w:r>
      <w:r w:rsidR="005D5A28">
        <w:t xml:space="preserve">income or </w:t>
      </w:r>
      <w:r w:rsidR="005D5A28" w:rsidRPr="00530339">
        <w:t>cash flow sources</w:t>
      </w:r>
      <w:r w:rsidR="00530339">
        <w:t>;</w:t>
      </w:r>
      <w:r w:rsidR="00E11486">
        <w:t xml:space="preserve"> and</w:t>
      </w:r>
    </w:p>
    <w:p w14:paraId="011DD0C5" w14:textId="0AEEC20F" w:rsidR="00E11486" w:rsidRPr="00F5257D" w:rsidRDefault="00E11486" w:rsidP="00D43985">
      <w:pPr>
        <w:pStyle w:val="BodyText3"/>
        <w:jc w:val="both"/>
      </w:pPr>
      <w:r>
        <w:t xml:space="preserve">for </w:t>
      </w:r>
      <w:r w:rsidR="00802FD1">
        <w:t xml:space="preserve">exposures with an </w:t>
      </w:r>
      <w:r>
        <w:t>interest</w:t>
      </w:r>
      <w:r w:rsidR="00802FD1">
        <w:t>-</w:t>
      </w:r>
      <w:r>
        <w:t xml:space="preserve">only </w:t>
      </w:r>
      <w:r w:rsidR="00802FD1">
        <w:t>period that subsequently converts to principal and interest payments</w:t>
      </w:r>
      <w:r>
        <w:t>, on a principal and interest basis of repayment;</w:t>
      </w:r>
    </w:p>
    <w:p w14:paraId="46CA5F52" w14:textId="10BBB293" w:rsidR="00173089" w:rsidRPr="00D33BF6" w:rsidRDefault="0031301B" w:rsidP="00D43985">
      <w:pPr>
        <w:pStyle w:val="BodyText2"/>
        <w:ind w:left="1134"/>
        <w:jc w:val="both"/>
      </w:pPr>
      <w:r>
        <w:t xml:space="preserve">the borrower’s expenses, including </w:t>
      </w:r>
      <w:r w:rsidR="00482CDA" w:rsidRPr="00D33BF6">
        <w:t>the</w:t>
      </w:r>
      <w:r w:rsidR="00F24974">
        <w:t xml:space="preserve"> collection of </w:t>
      </w:r>
      <w:r w:rsidR="009D3C1D">
        <w:t>reasonable</w:t>
      </w:r>
      <w:r w:rsidR="00F24974">
        <w:t xml:space="preserve"> estimates</w:t>
      </w:r>
      <w:r w:rsidR="00D33BF6" w:rsidRPr="00F24974">
        <w:t>. Expense benchmarks must not be used as a substitute for an ADI making reasonable enquiries of a borrower’s expenses</w:t>
      </w:r>
      <w:r w:rsidR="00173089" w:rsidRPr="00D33BF6">
        <w:t>;</w:t>
      </w:r>
    </w:p>
    <w:p w14:paraId="30D0CC13" w14:textId="2544F328" w:rsidR="007D6DFD" w:rsidRPr="007D6DFD" w:rsidRDefault="007D6DFD" w:rsidP="00D43985">
      <w:pPr>
        <w:pStyle w:val="BodyText2"/>
        <w:ind w:left="1134"/>
        <w:jc w:val="both"/>
      </w:pPr>
      <w:bookmarkStart w:id="260" w:name="_Ref3895878"/>
      <w:r w:rsidRPr="007D6DFD">
        <w:t>the proposed terms and conditions of the exposure, including covenants designed to limit the ADI’s exposure to changes in the future risk profile of the borrower to an acceptable level to the ADI</w:t>
      </w:r>
      <w:r>
        <w:t>; and</w:t>
      </w:r>
      <w:bookmarkEnd w:id="260"/>
    </w:p>
    <w:p w14:paraId="7536535C" w14:textId="0B678D75" w:rsidR="00E873AD" w:rsidRDefault="00FA5F26" w:rsidP="00D43985">
      <w:pPr>
        <w:pStyle w:val="BodyText2"/>
        <w:ind w:left="1134"/>
        <w:jc w:val="both"/>
      </w:pPr>
      <w:bookmarkStart w:id="261" w:name="_Ref3895894"/>
      <w:r w:rsidRPr="00FA5F26">
        <w:t xml:space="preserve">where applicable, </w:t>
      </w:r>
      <w:r w:rsidR="0050016E">
        <w:t xml:space="preserve">the </w:t>
      </w:r>
      <w:r w:rsidRPr="00FA5F26">
        <w:t>adequacy and enforceability of collateral</w:t>
      </w:r>
      <w:r w:rsidR="00BD2775">
        <w:t>,</w:t>
      </w:r>
      <w:r w:rsidR="00384415">
        <w:t xml:space="preserve"> </w:t>
      </w:r>
      <w:r w:rsidRPr="00FA5F26">
        <w:t>guarantees</w:t>
      </w:r>
      <w:r w:rsidR="00BD2775">
        <w:t xml:space="preserve"> and other risk mitigants</w:t>
      </w:r>
      <w:r w:rsidRPr="00FA5F26">
        <w:t>, including under various scenarios</w:t>
      </w:r>
      <w:r w:rsidR="007D6DFD">
        <w:t>.</w:t>
      </w:r>
      <w:bookmarkEnd w:id="261"/>
    </w:p>
    <w:p w14:paraId="4C8ACECF" w14:textId="5F61E59A" w:rsidR="00B70DB1" w:rsidRPr="00FA5F26" w:rsidRDefault="00A63191" w:rsidP="003F2279">
      <w:pPr>
        <w:pStyle w:val="Heading3"/>
      </w:pPr>
      <w:bookmarkStart w:id="262" w:name="_Toc528756584"/>
      <w:bookmarkStart w:id="263" w:name="_Toc528756802"/>
      <w:bookmarkStart w:id="264" w:name="_Toc528759508"/>
      <w:bookmarkStart w:id="265" w:name="_Toc528853335"/>
      <w:bookmarkStart w:id="266" w:name="_Toc528854265"/>
      <w:bookmarkStart w:id="267" w:name="_Toc528854558"/>
      <w:bookmarkStart w:id="268" w:name="_Toc529439207"/>
      <w:bookmarkStart w:id="269" w:name="_Toc529456721"/>
      <w:bookmarkStart w:id="270" w:name="_Toc529518486"/>
      <w:bookmarkStart w:id="271" w:name="_Toc529523936"/>
      <w:bookmarkStart w:id="272" w:name="_Toc529536609"/>
      <w:bookmarkStart w:id="273" w:name="_Toc529776615"/>
      <w:bookmarkStart w:id="274" w:name="_Toc532908832"/>
      <w:bookmarkStart w:id="275" w:name="_Toc533068386"/>
      <w:bookmarkStart w:id="276" w:name="_Toc533074580"/>
      <w:bookmarkStart w:id="277" w:name="_Toc535483679"/>
      <w:bookmarkStart w:id="278" w:name="_Toc536533464"/>
      <w:bookmarkStart w:id="279" w:name="_Toc3894332"/>
      <w:bookmarkStart w:id="280" w:name="_Toc3897496"/>
      <w:bookmarkStart w:id="281" w:name="_Toc3973408"/>
      <w:bookmarkStart w:id="282" w:name="_Toc3985300"/>
      <w:bookmarkStart w:id="283" w:name="_Toc25741760"/>
      <w:bookmarkStart w:id="284" w:name="_Toc25747192"/>
      <w:bookmarkStart w:id="285" w:name="_Toc25748935"/>
      <w:bookmarkStart w:id="286" w:name="_Toc25749067"/>
      <w:bookmarkStart w:id="287" w:name="_Toc26951172"/>
      <w:bookmarkStart w:id="288" w:name="_Toc26951276"/>
      <w:bookmarkStart w:id="289" w:name="_Toc105754859"/>
      <w:r>
        <w:t>E</w:t>
      </w:r>
      <w:r w:rsidR="00B70DB1">
        <w:t>xposures</w:t>
      </w:r>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r>
        <w:t xml:space="preserve"> other than to individuals</w:t>
      </w:r>
      <w:bookmarkEnd w:id="279"/>
      <w:bookmarkEnd w:id="280"/>
      <w:bookmarkEnd w:id="281"/>
      <w:bookmarkEnd w:id="282"/>
      <w:bookmarkEnd w:id="283"/>
      <w:bookmarkEnd w:id="284"/>
      <w:bookmarkEnd w:id="285"/>
      <w:bookmarkEnd w:id="286"/>
      <w:bookmarkEnd w:id="287"/>
      <w:bookmarkEnd w:id="288"/>
      <w:bookmarkEnd w:id="289"/>
    </w:p>
    <w:p w14:paraId="505650B7" w14:textId="76DE5726" w:rsidR="00B70DB1" w:rsidRDefault="00B70DB1" w:rsidP="00B70DB1">
      <w:pPr>
        <w:pStyle w:val="BodyText1"/>
      </w:pPr>
      <w:r>
        <w:t>For exposures</w:t>
      </w:r>
      <w:r w:rsidR="00A63191">
        <w:t xml:space="preserve"> other than to individuals</w:t>
      </w:r>
      <w:r>
        <w:t xml:space="preserve">, </w:t>
      </w:r>
      <w:r w:rsidR="00840683">
        <w:t>i</w:t>
      </w:r>
      <w:r>
        <w:t>n</w:t>
      </w:r>
      <w:r w:rsidR="00840683">
        <w:t xml:space="preserve"> addition to paragraphs </w:t>
      </w:r>
      <w:r w:rsidR="0090582F">
        <w:fldChar w:fldCharType="begin"/>
      </w:r>
      <w:r w:rsidR="0090582F">
        <w:instrText xml:space="preserve"> REF _Ref3895825 \r \h </w:instrText>
      </w:r>
      <w:r w:rsidR="0090582F">
        <w:fldChar w:fldCharType="separate"/>
      </w:r>
      <w:r w:rsidR="00A86E02">
        <w:t>45(a)</w:t>
      </w:r>
      <w:r w:rsidR="0090582F">
        <w:fldChar w:fldCharType="end"/>
      </w:r>
      <w:r w:rsidR="009F769E">
        <w:t xml:space="preserve">, </w:t>
      </w:r>
      <w:r w:rsidR="0090582F">
        <w:fldChar w:fldCharType="begin"/>
      </w:r>
      <w:r w:rsidR="0090582F">
        <w:instrText xml:space="preserve"> REF _Ref3895844 \r \h </w:instrText>
      </w:r>
      <w:r w:rsidR="0090582F">
        <w:fldChar w:fldCharType="separate"/>
      </w:r>
      <w:r w:rsidR="00A86E02">
        <w:t>45(b)</w:t>
      </w:r>
      <w:r w:rsidR="0090582F">
        <w:fldChar w:fldCharType="end"/>
      </w:r>
      <w:r w:rsidR="009F769E">
        <w:t xml:space="preserve">, </w:t>
      </w:r>
      <w:r w:rsidR="0090582F">
        <w:fldChar w:fldCharType="begin"/>
      </w:r>
      <w:r w:rsidR="0090582F">
        <w:instrText xml:space="preserve"> REF _Ref3895861 \r \h </w:instrText>
      </w:r>
      <w:r w:rsidR="0090582F">
        <w:fldChar w:fldCharType="separate"/>
      </w:r>
      <w:r w:rsidR="00A86E02">
        <w:t>45(c)</w:t>
      </w:r>
      <w:r w:rsidR="0090582F">
        <w:fldChar w:fldCharType="end"/>
      </w:r>
      <w:r w:rsidR="009F769E">
        <w:t xml:space="preserve">, </w:t>
      </w:r>
      <w:r w:rsidR="0090582F">
        <w:fldChar w:fldCharType="begin"/>
      </w:r>
      <w:r w:rsidR="0090582F">
        <w:instrText xml:space="preserve"> REF _Ref3895878 \r \h </w:instrText>
      </w:r>
      <w:r w:rsidR="0090582F">
        <w:fldChar w:fldCharType="separate"/>
      </w:r>
      <w:r w:rsidR="00A86E02">
        <w:t>45(e)</w:t>
      </w:r>
      <w:r w:rsidR="0090582F">
        <w:fldChar w:fldCharType="end"/>
      </w:r>
      <w:r w:rsidR="007D6DFD">
        <w:t xml:space="preserve"> </w:t>
      </w:r>
      <w:r w:rsidR="009F769E">
        <w:t>and</w:t>
      </w:r>
      <w:r w:rsidR="007D6DFD">
        <w:t xml:space="preserve"> </w:t>
      </w:r>
      <w:r w:rsidR="0090582F">
        <w:fldChar w:fldCharType="begin"/>
      </w:r>
      <w:r w:rsidR="0090582F">
        <w:instrText xml:space="preserve"> REF _Ref3895894 \r \h </w:instrText>
      </w:r>
      <w:r w:rsidR="0090582F">
        <w:fldChar w:fldCharType="separate"/>
      </w:r>
      <w:r w:rsidR="00A86E02">
        <w:t>45(f)</w:t>
      </w:r>
      <w:r w:rsidR="0090582F">
        <w:fldChar w:fldCharType="end"/>
      </w:r>
      <w:r w:rsidR="00AA28C4">
        <w:t>, an</w:t>
      </w:r>
      <w:r>
        <w:t xml:space="preserve"> ADI’s credit assessment </w:t>
      </w:r>
      <w:r w:rsidR="008B5702">
        <w:t>must</w:t>
      </w:r>
      <w:r>
        <w:t xml:space="preserve"> </w:t>
      </w:r>
      <w:r w:rsidR="00465B62">
        <w:t xml:space="preserve">also </w:t>
      </w:r>
      <w:r>
        <w:t>include consideration of</w:t>
      </w:r>
      <w:r w:rsidR="00680C8C">
        <w:t xml:space="preserve"> the following</w:t>
      </w:r>
      <w:r w:rsidR="00FF6227">
        <w:t xml:space="preserve"> criteria</w:t>
      </w:r>
      <w:r w:rsidR="00680C8C">
        <w:t>, where relevant</w:t>
      </w:r>
      <w:r>
        <w:t>:</w:t>
      </w:r>
    </w:p>
    <w:p w14:paraId="39A65578" w14:textId="6F9A8C36" w:rsidR="00B70DB1" w:rsidRDefault="00422423" w:rsidP="00D43985">
      <w:pPr>
        <w:pStyle w:val="BodyText2"/>
        <w:ind w:left="1134"/>
        <w:jc w:val="both"/>
      </w:pPr>
      <w:r w:rsidRPr="004355BF">
        <w:t>the borrower’s business expertise</w:t>
      </w:r>
      <w:r>
        <w:t>,</w:t>
      </w:r>
      <w:r w:rsidRPr="004355BF">
        <w:t xml:space="preserve"> economic </w:t>
      </w:r>
      <w:r w:rsidR="004B263F">
        <w:t xml:space="preserve">or industry </w:t>
      </w:r>
      <w:r w:rsidRPr="004355BF">
        <w:t>sector and its position within that sector</w:t>
      </w:r>
      <w:r w:rsidR="00DB0A58">
        <w:t>;</w:t>
      </w:r>
    </w:p>
    <w:p w14:paraId="20798A7B" w14:textId="01C49B36" w:rsidR="00F72787" w:rsidRDefault="00F72787" w:rsidP="003F2279">
      <w:pPr>
        <w:pStyle w:val="BodyText2"/>
        <w:ind w:left="1134"/>
      </w:pPr>
      <w:r>
        <w:t xml:space="preserve">the borrower’s historical financial and future </w:t>
      </w:r>
      <w:r w:rsidR="003F2279">
        <w:t>cash flows</w:t>
      </w:r>
      <w:r>
        <w:t>;</w:t>
      </w:r>
    </w:p>
    <w:p w14:paraId="145FFD9D" w14:textId="186FD7B6" w:rsidR="00C21AE8" w:rsidRDefault="00DB0A58" w:rsidP="00C21AE8">
      <w:pPr>
        <w:pStyle w:val="BodyText2"/>
        <w:ind w:left="1134"/>
      </w:pPr>
      <w:r>
        <w:t>the borrower’s</w:t>
      </w:r>
      <w:r w:rsidR="00572811">
        <w:t xml:space="preserve"> e</w:t>
      </w:r>
      <w:r>
        <w:t>quity capital invested in the business;</w:t>
      </w:r>
      <w:r w:rsidR="007B479F">
        <w:t xml:space="preserve"> and</w:t>
      </w:r>
    </w:p>
    <w:p w14:paraId="0250EAB0" w14:textId="0BF822B6" w:rsidR="00B70DB1" w:rsidRDefault="00C21AE8" w:rsidP="00D43985">
      <w:pPr>
        <w:pStyle w:val="BodyText2"/>
        <w:ind w:left="1134"/>
        <w:jc w:val="both"/>
      </w:pPr>
      <w:r w:rsidRPr="00C21AE8">
        <w:t>the availability and enforce</w:t>
      </w:r>
      <w:r w:rsidR="00C46BA6">
        <w:t>ability o</w:t>
      </w:r>
      <w:r w:rsidRPr="00C21AE8">
        <w:t>f risk mitig</w:t>
      </w:r>
      <w:r w:rsidR="006D3A0D">
        <w:t>ants</w:t>
      </w:r>
      <w:r w:rsidRPr="00C21AE8">
        <w:t xml:space="preserve"> other than collateral</w:t>
      </w:r>
      <w:r>
        <w:t xml:space="preserve">, such as </w:t>
      </w:r>
      <w:r w:rsidRPr="00C21AE8">
        <w:t>hedging</w:t>
      </w:r>
      <w:r>
        <w:t xml:space="preserve"> and </w:t>
      </w:r>
      <w:r w:rsidRPr="00C21AE8">
        <w:t>insurance</w:t>
      </w:r>
      <w:r w:rsidR="007B479F">
        <w:t>.</w:t>
      </w:r>
    </w:p>
    <w:p w14:paraId="12B2B445" w14:textId="04A17069" w:rsidR="00F72787" w:rsidRPr="00E543D1" w:rsidRDefault="003F7897" w:rsidP="003F2279">
      <w:pPr>
        <w:pStyle w:val="Heading3"/>
      </w:pPr>
      <w:bookmarkStart w:id="290" w:name="_Toc528756585"/>
      <w:bookmarkStart w:id="291" w:name="_Toc528756803"/>
      <w:bookmarkStart w:id="292" w:name="_Toc528759509"/>
      <w:bookmarkStart w:id="293" w:name="_Toc528853336"/>
      <w:bookmarkStart w:id="294" w:name="_Toc528854266"/>
      <w:bookmarkStart w:id="295" w:name="_Toc528854559"/>
      <w:bookmarkStart w:id="296" w:name="_Toc529439208"/>
      <w:bookmarkStart w:id="297" w:name="_Toc529456722"/>
      <w:bookmarkStart w:id="298" w:name="_Toc529518487"/>
      <w:bookmarkStart w:id="299" w:name="_Toc529523937"/>
      <w:bookmarkStart w:id="300" w:name="_Toc529536610"/>
      <w:bookmarkStart w:id="301" w:name="_Toc529776616"/>
      <w:bookmarkStart w:id="302" w:name="_Toc532908833"/>
      <w:bookmarkStart w:id="303" w:name="_Toc533068387"/>
      <w:bookmarkStart w:id="304" w:name="_Toc533074581"/>
      <w:bookmarkStart w:id="305" w:name="_Toc535483680"/>
      <w:bookmarkStart w:id="306" w:name="_Toc536533465"/>
      <w:bookmarkStart w:id="307" w:name="_Toc3894333"/>
      <w:bookmarkStart w:id="308" w:name="_Toc3897497"/>
      <w:bookmarkStart w:id="309" w:name="_Toc3973409"/>
      <w:bookmarkStart w:id="310" w:name="_Toc3985301"/>
      <w:bookmarkStart w:id="311" w:name="_Toc25741761"/>
      <w:bookmarkStart w:id="312" w:name="_Toc25747193"/>
      <w:bookmarkStart w:id="313" w:name="_Toc25748936"/>
      <w:bookmarkStart w:id="314" w:name="_Toc25749068"/>
      <w:bookmarkStart w:id="315" w:name="_Toc26951173"/>
      <w:bookmarkStart w:id="316" w:name="_Toc26951277"/>
      <w:bookmarkStart w:id="317" w:name="_Toc105754860"/>
      <w:r>
        <w:t xml:space="preserve">Collateral and </w:t>
      </w:r>
      <w:bookmarkEnd w:id="290"/>
      <w:bookmarkEnd w:id="291"/>
      <w:bookmarkEnd w:id="292"/>
      <w:r w:rsidR="00F72787">
        <w:t>guarantees</w:t>
      </w:r>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p>
    <w:p w14:paraId="40DF5ED3" w14:textId="12773A61" w:rsidR="006933A4" w:rsidRDefault="006933A4" w:rsidP="00F705AE">
      <w:pPr>
        <w:pStyle w:val="BodyText1"/>
      </w:pPr>
      <w:r w:rsidRPr="006F37C5">
        <w:t xml:space="preserve">An ADI must have prudent </w:t>
      </w:r>
      <w:r w:rsidR="00AD7BDE" w:rsidRPr="006F37C5">
        <w:t xml:space="preserve">credit risk </w:t>
      </w:r>
      <w:r w:rsidR="007F5C35">
        <w:t xml:space="preserve">policies </w:t>
      </w:r>
      <w:r w:rsidRPr="006F37C5">
        <w:t>covering</w:t>
      </w:r>
      <w:r w:rsidR="006F37C5" w:rsidRPr="006F37C5">
        <w:t xml:space="preserve"> </w:t>
      </w:r>
      <w:r w:rsidRPr="006F37C5">
        <w:t>the acceptability of various forms of collateral</w:t>
      </w:r>
      <w:r w:rsidR="009D5808">
        <w:t>,</w:t>
      </w:r>
      <w:r w:rsidR="00B61078">
        <w:t xml:space="preserve"> </w:t>
      </w:r>
      <w:r w:rsidR="00984D8A">
        <w:t>appropriate</w:t>
      </w:r>
      <w:r w:rsidR="00383376">
        <w:t xml:space="preserve"> </w:t>
      </w:r>
      <w:r w:rsidR="007F5C35">
        <w:t xml:space="preserve">processes for the </w:t>
      </w:r>
      <w:r w:rsidRPr="006F37C5">
        <w:t xml:space="preserve">valuation of such collateral </w:t>
      </w:r>
      <w:r w:rsidR="00383376">
        <w:t>(</w:t>
      </w:r>
      <w:r w:rsidR="00BE1C99">
        <w:t xml:space="preserve">including the </w:t>
      </w:r>
      <w:r w:rsidR="00EF5F42">
        <w:t xml:space="preserve">valuation of collateral </w:t>
      </w:r>
      <w:r w:rsidR="007F5C35">
        <w:t xml:space="preserve">prior to </w:t>
      </w:r>
      <w:proofErr w:type="gramStart"/>
      <w:r w:rsidR="007F5C35">
        <w:t xml:space="preserve">entering </w:t>
      </w:r>
      <w:r w:rsidR="00383376">
        <w:t>into</w:t>
      </w:r>
      <w:proofErr w:type="gramEnd"/>
      <w:r w:rsidR="00383376">
        <w:t xml:space="preserve"> an exposure </w:t>
      </w:r>
      <w:r w:rsidR="007F5C35">
        <w:t xml:space="preserve">and </w:t>
      </w:r>
      <w:r w:rsidR="002B24CC">
        <w:t xml:space="preserve">the </w:t>
      </w:r>
      <w:r w:rsidR="007F5C35">
        <w:t>ongoing</w:t>
      </w:r>
      <w:r w:rsidR="00BE1C99">
        <w:t xml:space="preserve"> valuation</w:t>
      </w:r>
      <w:r w:rsidR="002B24CC">
        <w:t xml:space="preserve"> of collateral, where appropriate</w:t>
      </w:r>
      <w:r w:rsidR="00383376">
        <w:t>)</w:t>
      </w:r>
      <w:r w:rsidRPr="006F37C5">
        <w:t xml:space="preserve">, and </w:t>
      </w:r>
      <w:r w:rsidR="007F5C35">
        <w:t>a</w:t>
      </w:r>
      <w:r w:rsidR="00984D8A">
        <w:t>n appropriate</w:t>
      </w:r>
      <w:r w:rsidR="00383376">
        <w:t xml:space="preserve"> </w:t>
      </w:r>
      <w:r w:rsidR="007F5C35">
        <w:t xml:space="preserve">process </w:t>
      </w:r>
      <w:r w:rsidR="00B61078">
        <w:t xml:space="preserve">to ensure </w:t>
      </w:r>
      <w:r w:rsidRPr="006F37C5">
        <w:t>that collateral is, and continues to be, enforceable and realisable</w:t>
      </w:r>
      <w:r w:rsidR="00C45373">
        <w:t xml:space="preserve"> </w:t>
      </w:r>
      <w:r w:rsidR="006F37C5">
        <w:t>(</w:t>
      </w:r>
      <w:r w:rsidR="00C253FC">
        <w:t xml:space="preserve">refer to </w:t>
      </w:r>
      <w:r w:rsidR="00F61E6D">
        <w:t>A</w:t>
      </w:r>
      <w:r w:rsidR="006F37C5" w:rsidRPr="006F37C5">
        <w:t xml:space="preserve">ttachment </w:t>
      </w:r>
      <w:r w:rsidR="00283545">
        <w:t>A</w:t>
      </w:r>
      <w:r w:rsidR="00BD2775">
        <w:t xml:space="preserve"> to this Prudential Standard</w:t>
      </w:r>
      <w:r w:rsidR="006F37C5" w:rsidRPr="006F37C5">
        <w:t>).</w:t>
      </w:r>
    </w:p>
    <w:p w14:paraId="33E4247D" w14:textId="77777777" w:rsidR="005F5ABF" w:rsidRPr="00B17EE3" w:rsidRDefault="005F5ABF" w:rsidP="005F5ABF">
      <w:pPr>
        <w:pStyle w:val="BodyText1"/>
      </w:pPr>
      <w:r w:rsidRPr="00B17EE3">
        <w:t xml:space="preserve">An ADI must ensure all valuations are appraised independently from </w:t>
      </w:r>
      <w:r>
        <w:t>the</w:t>
      </w:r>
      <w:r w:rsidRPr="00B17EE3">
        <w:t xml:space="preserve"> ADI’s </w:t>
      </w:r>
      <w:r>
        <w:t>credit origination</w:t>
      </w:r>
      <w:r w:rsidRPr="00B17EE3">
        <w:t xml:space="preserve">, </w:t>
      </w:r>
      <w:r>
        <w:t>credit assessment and approval</w:t>
      </w:r>
      <w:r w:rsidRPr="00B17EE3">
        <w:t xml:space="preserve"> process.</w:t>
      </w:r>
    </w:p>
    <w:p w14:paraId="02070A1A" w14:textId="668D8E19" w:rsidR="00432E0A" w:rsidRDefault="00432E0A" w:rsidP="00432E0A">
      <w:pPr>
        <w:pStyle w:val="BodyText1"/>
      </w:pPr>
      <w:r w:rsidRPr="00F50ADF">
        <w:lastRenderedPageBreak/>
        <w:t>The valuation of collateral must reflect fair value</w:t>
      </w:r>
      <w:r>
        <w:t>s</w:t>
      </w:r>
      <w:r w:rsidRPr="00F50ADF">
        <w:t xml:space="preserve">, </w:t>
      </w:r>
      <w:proofErr w:type="gramStart"/>
      <w:r w:rsidRPr="00F50ADF">
        <w:t>taking into account</w:t>
      </w:r>
      <w:proofErr w:type="gramEnd"/>
      <w:r w:rsidRPr="00F50ADF">
        <w:t xml:space="preserve"> prevailing market conditions</w:t>
      </w:r>
      <w:r>
        <w:t xml:space="preserve"> such as time taken for the liquidation or realisation of collateral.</w:t>
      </w:r>
    </w:p>
    <w:p w14:paraId="631B37B3" w14:textId="5D94038E" w:rsidR="00432E0A" w:rsidRDefault="00432E0A" w:rsidP="00432E0A">
      <w:pPr>
        <w:pStyle w:val="BodyText1"/>
      </w:pPr>
      <w:r>
        <w:t>An A</w:t>
      </w:r>
      <w:r w:rsidRPr="00FD410B">
        <w:t xml:space="preserve">DI must </w:t>
      </w:r>
      <w:r>
        <w:t xml:space="preserve">also </w:t>
      </w:r>
      <w:r w:rsidRPr="00FD410B">
        <w:t xml:space="preserve">ensure </w:t>
      </w:r>
      <w:r w:rsidR="00FF1DE4">
        <w:t xml:space="preserve">that </w:t>
      </w:r>
      <w:r>
        <w:t xml:space="preserve">the valuation of collateral </w:t>
      </w:r>
      <w:r w:rsidR="000D237A">
        <w:t xml:space="preserve">such as land </w:t>
      </w:r>
      <w:proofErr w:type="gramStart"/>
      <w:r>
        <w:t>takes into account</w:t>
      </w:r>
      <w:proofErr w:type="gramEnd"/>
      <w:r>
        <w:t>, to the extent possible,</w:t>
      </w:r>
      <w:r w:rsidRPr="00FD410B">
        <w:t xml:space="preserve"> the likelihood of external events, </w:t>
      </w:r>
      <w:r>
        <w:t>including but not limited to</w:t>
      </w:r>
      <w:r w:rsidRPr="00FD410B">
        <w:t xml:space="preserve"> </w:t>
      </w:r>
      <w:r w:rsidR="00FF1DE4">
        <w:t xml:space="preserve">fire, </w:t>
      </w:r>
      <w:r w:rsidRPr="00FD410B">
        <w:t xml:space="preserve">drought and flood, </w:t>
      </w:r>
      <w:r>
        <w:t xml:space="preserve">which </w:t>
      </w:r>
      <w:r w:rsidRPr="00FD410B">
        <w:t xml:space="preserve">may impact the valuation of the </w:t>
      </w:r>
      <w:r>
        <w:t>asset taken as collateral.</w:t>
      </w:r>
    </w:p>
    <w:p w14:paraId="2927CA6B" w14:textId="63CC6B02" w:rsidR="00432E0A" w:rsidRDefault="00432E0A" w:rsidP="00432E0A">
      <w:pPr>
        <w:pStyle w:val="BodyText1"/>
      </w:pPr>
      <w:r w:rsidRPr="00F50ADF">
        <w:t xml:space="preserve">An ADI must have appropriate mechanisms in place for regularly assessing the value of </w:t>
      </w:r>
      <w:r w:rsidR="00BD2775">
        <w:t xml:space="preserve">collateral, </w:t>
      </w:r>
      <w:r w:rsidRPr="00F50ADF">
        <w:t>guarantees</w:t>
      </w:r>
      <w:r w:rsidR="00BD2775">
        <w:t xml:space="preserve"> and other risk mitigants</w:t>
      </w:r>
      <w:r w:rsidRPr="00F50ADF">
        <w:t>.</w:t>
      </w:r>
    </w:p>
    <w:p w14:paraId="4C7DA63C" w14:textId="7AD4F8A4" w:rsidR="006B3DB2" w:rsidRPr="006B3DB2" w:rsidRDefault="00097908" w:rsidP="00F705AE">
      <w:pPr>
        <w:pStyle w:val="BodyText1"/>
      </w:pPr>
      <w:r w:rsidRPr="006B3DB2">
        <w:t xml:space="preserve">An ADI must establish </w:t>
      </w:r>
      <w:r w:rsidR="00747BE7">
        <w:t xml:space="preserve">appropriate </w:t>
      </w:r>
      <w:r w:rsidR="00F13DC8">
        <w:t xml:space="preserve">limits on </w:t>
      </w:r>
      <w:r w:rsidR="00CA59A1">
        <w:t>LVR</w:t>
      </w:r>
      <w:r w:rsidR="008C31AD" w:rsidRPr="006B3DB2">
        <w:t xml:space="preserve"> </w:t>
      </w:r>
      <w:r w:rsidRPr="006B3DB2">
        <w:t xml:space="preserve">to minimise the risk that </w:t>
      </w:r>
      <w:r w:rsidR="00FB5CE2" w:rsidRPr="006B3DB2">
        <w:t xml:space="preserve">a </w:t>
      </w:r>
      <w:r w:rsidRPr="006B3DB2">
        <w:t>property serving as collateral will be insufficient to cover any repayment shortfall.</w:t>
      </w:r>
      <w:r w:rsidR="006B3DB2" w:rsidRPr="006B3DB2">
        <w:t xml:space="preserve"> An ADI must ensure there is </w:t>
      </w:r>
      <w:r w:rsidR="004C73F8">
        <w:t>appropriate</w:t>
      </w:r>
      <w:r w:rsidR="006B3DB2" w:rsidRPr="006B3DB2">
        <w:t xml:space="preserve"> scrutiny of any instances of lending with </w:t>
      </w:r>
      <w:r w:rsidR="006B3DB2">
        <w:t xml:space="preserve">high </w:t>
      </w:r>
      <w:r w:rsidR="00CA59A1">
        <w:t>LVR</w:t>
      </w:r>
      <w:r w:rsidR="006B3DB2" w:rsidRPr="006B3DB2">
        <w:t>.</w:t>
      </w:r>
    </w:p>
    <w:p w14:paraId="651BE636" w14:textId="77777777" w:rsidR="006A180A" w:rsidRDefault="006A180A" w:rsidP="00F16653">
      <w:pPr>
        <w:pStyle w:val="BodyText1"/>
      </w:pPr>
      <w:r w:rsidRPr="003E32D6">
        <w:t xml:space="preserve">An ADI must </w:t>
      </w:r>
      <w:r w:rsidR="00D34478">
        <w:t xml:space="preserve">appropriately </w:t>
      </w:r>
      <w:r w:rsidR="00DE64A7" w:rsidRPr="003E32D6">
        <w:t xml:space="preserve">evaluate </w:t>
      </w:r>
      <w:r w:rsidRPr="003E32D6">
        <w:t xml:space="preserve">the level of coverage being provided in relation to </w:t>
      </w:r>
      <w:r w:rsidR="00287DF9">
        <w:t>the</w:t>
      </w:r>
      <w:r w:rsidR="00F16653">
        <w:t xml:space="preserve"> </w:t>
      </w:r>
      <w:r w:rsidR="00F16653" w:rsidRPr="00F16653">
        <w:t>credit quality of the guarantor and legal enforceability of the guarantee</w:t>
      </w:r>
      <w:r w:rsidRPr="003E32D6">
        <w:t>.</w:t>
      </w:r>
      <w:r w:rsidR="002E7F5C">
        <w:t xml:space="preserve"> For exposures</w:t>
      </w:r>
      <w:r w:rsidR="00465B62">
        <w:t xml:space="preserve"> </w:t>
      </w:r>
      <w:r w:rsidR="000602DD">
        <w:t xml:space="preserve">to individuals </w:t>
      </w:r>
      <w:r w:rsidR="00465B62">
        <w:t>in particular</w:t>
      </w:r>
      <w:r w:rsidR="002E7F5C">
        <w:t>, an ADI must ensure a guarantor ha</w:t>
      </w:r>
      <w:r w:rsidR="00465B62">
        <w:t>s</w:t>
      </w:r>
      <w:r w:rsidR="002E7F5C">
        <w:t xml:space="preserve"> a clear understanding of </w:t>
      </w:r>
      <w:r w:rsidR="008E3FB0">
        <w:t xml:space="preserve">the </w:t>
      </w:r>
      <w:r w:rsidR="002E7F5C">
        <w:t>risks</w:t>
      </w:r>
      <w:r w:rsidR="00465B62">
        <w:t xml:space="preserve"> involved</w:t>
      </w:r>
      <w:r w:rsidR="002E7F5C">
        <w:t>.</w:t>
      </w:r>
    </w:p>
    <w:p w14:paraId="6DC5B618" w14:textId="4B013D6D" w:rsidR="002F2790" w:rsidRPr="004600AB" w:rsidRDefault="002F2790" w:rsidP="003F2279">
      <w:pPr>
        <w:pStyle w:val="Heading3"/>
      </w:pPr>
      <w:bookmarkStart w:id="318" w:name="_Toc528756586"/>
      <w:bookmarkStart w:id="319" w:name="_Toc528756804"/>
      <w:bookmarkStart w:id="320" w:name="_Toc528759510"/>
      <w:bookmarkStart w:id="321" w:name="_Toc528853337"/>
      <w:bookmarkStart w:id="322" w:name="_Toc528854267"/>
      <w:bookmarkStart w:id="323" w:name="_Toc528854560"/>
      <w:bookmarkStart w:id="324" w:name="_Toc529439209"/>
      <w:bookmarkStart w:id="325" w:name="_Toc529456723"/>
      <w:bookmarkStart w:id="326" w:name="_Toc529518488"/>
      <w:bookmarkStart w:id="327" w:name="_Toc529523938"/>
      <w:bookmarkStart w:id="328" w:name="_Toc529536611"/>
      <w:bookmarkStart w:id="329" w:name="_Toc529776617"/>
      <w:bookmarkStart w:id="330" w:name="_Toc532908834"/>
      <w:bookmarkStart w:id="331" w:name="_Toc533068388"/>
      <w:bookmarkStart w:id="332" w:name="_Toc533074582"/>
      <w:bookmarkStart w:id="333" w:name="_Toc535483681"/>
      <w:bookmarkStart w:id="334" w:name="_Toc536533466"/>
      <w:bookmarkStart w:id="335" w:name="_Toc3894334"/>
      <w:bookmarkStart w:id="336" w:name="_Toc3897498"/>
      <w:bookmarkStart w:id="337" w:name="_Toc3973410"/>
      <w:bookmarkStart w:id="338" w:name="_Toc3985302"/>
      <w:bookmarkStart w:id="339" w:name="_Toc25741762"/>
      <w:bookmarkStart w:id="340" w:name="_Toc25747194"/>
      <w:bookmarkStart w:id="341" w:name="_Toc25748937"/>
      <w:bookmarkStart w:id="342" w:name="_Toc25749069"/>
      <w:bookmarkStart w:id="343" w:name="_Toc26951174"/>
      <w:bookmarkStart w:id="344" w:name="_Toc26951278"/>
      <w:bookmarkStart w:id="345" w:name="_Toc105754861"/>
      <w:r>
        <w:t>Credit approval and experienced credit judgement</w:t>
      </w:r>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p>
    <w:p w14:paraId="39F56F2A" w14:textId="1D950AD1" w:rsidR="006D6CFD" w:rsidRPr="006D6CFD" w:rsidRDefault="00E342DF" w:rsidP="00F705AE">
      <w:pPr>
        <w:pStyle w:val="BodyText1"/>
      </w:pPr>
      <w:r w:rsidRPr="006D6CFD">
        <w:t>An ADI must have a clearly</w:t>
      </w:r>
      <w:r w:rsidR="006404B9">
        <w:t xml:space="preserve"> </w:t>
      </w:r>
      <w:r w:rsidRPr="006D6CFD">
        <w:t>established process in place for</w:t>
      </w:r>
      <w:r w:rsidR="006D6CFD" w:rsidRPr="006D6CFD">
        <w:t>:</w:t>
      </w:r>
    </w:p>
    <w:p w14:paraId="785081E5" w14:textId="7755A011" w:rsidR="006D6CFD" w:rsidRPr="006D6CFD" w:rsidRDefault="00E342DF" w:rsidP="00AB0B8D">
      <w:pPr>
        <w:pStyle w:val="BodyText2"/>
        <w:ind w:left="1134"/>
      </w:pPr>
      <w:r w:rsidRPr="006D6CFD">
        <w:t xml:space="preserve">approving new exposures </w:t>
      </w:r>
      <w:r w:rsidR="006D6CFD" w:rsidRPr="006D6CFD">
        <w:t>(including prudent credit standards);</w:t>
      </w:r>
    </w:p>
    <w:p w14:paraId="43942ACC" w14:textId="3140024E" w:rsidR="006D6CFD" w:rsidRPr="006D6CFD" w:rsidRDefault="006D6CFD" w:rsidP="00AB0B8D">
      <w:pPr>
        <w:pStyle w:val="BodyText2"/>
        <w:ind w:left="1134"/>
      </w:pPr>
      <w:r w:rsidRPr="006D6CFD">
        <w:t>renewing and refinancing existing exposures; and</w:t>
      </w:r>
    </w:p>
    <w:p w14:paraId="263AB0A6" w14:textId="7FA533D6" w:rsidR="006D6CFD" w:rsidRPr="006D6CFD" w:rsidRDefault="006D6CFD" w:rsidP="00D43985">
      <w:pPr>
        <w:pStyle w:val="BodyText2"/>
        <w:ind w:left="1134"/>
        <w:jc w:val="both"/>
      </w:pPr>
      <w:r w:rsidRPr="006D6CFD">
        <w:t>identifying the appropriate approval authority for the size and complexity of the exposures.</w:t>
      </w:r>
    </w:p>
    <w:p w14:paraId="24AB5FBB" w14:textId="719D03A0" w:rsidR="00F702FE" w:rsidRPr="00410408" w:rsidRDefault="00BE4027" w:rsidP="00F705AE">
      <w:pPr>
        <w:pStyle w:val="BodyText1"/>
      </w:pPr>
      <w:r w:rsidRPr="00410408">
        <w:t>An ADI must document the credit assessment and approval process and identify the approval authority</w:t>
      </w:r>
      <w:r w:rsidR="00647432" w:rsidRPr="00410408">
        <w:t xml:space="preserve"> for each exposure</w:t>
      </w:r>
      <w:r w:rsidR="004E1E31" w:rsidRPr="00410408">
        <w:t xml:space="preserve">, so that it is clear which personnel are accountable for </w:t>
      </w:r>
      <w:r w:rsidR="00EC0487" w:rsidRPr="00410408">
        <w:t xml:space="preserve">the individual </w:t>
      </w:r>
      <w:r w:rsidR="004E1E31" w:rsidRPr="00410408">
        <w:t>credit decision</w:t>
      </w:r>
      <w:r w:rsidRPr="00410408">
        <w:t>.</w:t>
      </w:r>
    </w:p>
    <w:p w14:paraId="738DF99F" w14:textId="7DA46078" w:rsidR="00EE6489" w:rsidRPr="00F702FE" w:rsidRDefault="001A7BDE" w:rsidP="00F705AE">
      <w:pPr>
        <w:pStyle w:val="BodyText1"/>
      </w:pPr>
      <w:r w:rsidRPr="00F702FE">
        <w:t xml:space="preserve">An </w:t>
      </w:r>
      <w:r w:rsidR="00891B81" w:rsidRPr="00F702FE">
        <w:t xml:space="preserve">ADI must ensure </w:t>
      </w:r>
      <w:r w:rsidR="00E522BC" w:rsidRPr="00F702FE">
        <w:t xml:space="preserve">personnel involved in the credit assessment and approval process have </w:t>
      </w:r>
      <w:r w:rsidR="00AD7BDE" w:rsidRPr="00F702FE">
        <w:t>appropriate e</w:t>
      </w:r>
      <w:r w:rsidR="00E522BC" w:rsidRPr="00F702FE">
        <w:t>xperience</w:t>
      </w:r>
      <w:r w:rsidR="00945003" w:rsidRPr="00F702FE">
        <w:t xml:space="preserve"> and</w:t>
      </w:r>
      <w:r w:rsidR="00E522BC" w:rsidRPr="00F702FE">
        <w:t xml:space="preserve"> knowledge </w:t>
      </w:r>
      <w:r w:rsidRPr="00F702FE">
        <w:t>to exercise prudent credit judgement</w:t>
      </w:r>
      <w:r w:rsidR="00CD3A68" w:rsidRPr="00F702FE">
        <w:t xml:space="preserve"> commensurate with the </w:t>
      </w:r>
      <w:r w:rsidR="008A075C">
        <w:t xml:space="preserve">nature, </w:t>
      </w:r>
      <w:r w:rsidR="00CD3A68" w:rsidRPr="00F702FE">
        <w:t>size and complexity of the transaction</w:t>
      </w:r>
      <w:r w:rsidR="00945003" w:rsidRPr="00F702FE">
        <w:t xml:space="preserve"> to which they are involved</w:t>
      </w:r>
      <w:r w:rsidR="00EE6489" w:rsidRPr="00F702FE">
        <w:t>.</w:t>
      </w:r>
    </w:p>
    <w:p w14:paraId="163B316A" w14:textId="2FDD7864" w:rsidR="00BF2FF8" w:rsidRDefault="00BF2FF8" w:rsidP="00F705AE">
      <w:pPr>
        <w:pStyle w:val="BodyText1"/>
      </w:pPr>
      <w:r w:rsidRPr="00BF2FF8">
        <w:t xml:space="preserve">An ADI must have prudent </w:t>
      </w:r>
      <w:r w:rsidR="00AD7BDE">
        <w:t xml:space="preserve">credit risk </w:t>
      </w:r>
      <w:r w:rsidRPr="00BF2FF8">
        <w:t>policies and processes with respect to overrides, waivers or exceptions, including clear identification</w:t>
      </w:r>
      <w:r w:rsidR="00483BE1">
        <w:t xml:space="preserve"> of</w:t>
      </w:r>
      <w:r w:rsidR="00E64C07">
        <w:t xml:space="preserve"> a</w:t>
      </w:r>
      <w:r w:rsidRPr="00BF2FF8">
        <w:t>pproval authorities and limits that reflect the maximum level of allowable overrides, waivers or exceptions</w:t>
      </w:r>
      <w:r w:rsidR="006E227C">
        <w:t>.</w:t>
      </w:r>
      <w:r w:rsidRPr="00BF2FF8">
        <w:rPr>
          <w:rStyle w:val="FootnoteReference"/>
          <w:sz w:val="22"/>
          <w:szCs w:val="22"/>
        </w:rPr>
        <w:footnoteReference w:id="7"/>
      </w:r>
    </w:p>
    <w:p w14:paraId="1C088A39" w14:textId="00DE7322" w:rsidR="00CA6434" w:rsidRDefault="00CA6434" w:rsidP="00F705AE">
      <w:pPr>
        <w:pStyle w:val="BodyText1"/>
      </w:pPr>
      <w:r>
        <w:lastRenderedPageBreak/>
        <w:t>Exposure</w:t>
      </w:r>
      <w:r w:rsidR="00087D3A">
        <w:t>s</w:t>
      </w:r>
      <w:r>
        <w:t xml:space="preserve"> originated as </w:t>
      </w:r>
      <w:r w:rsidR="00837576">
        <w:t xml:space="preserve">overrides, waivers or </w:t>
      </w:r>
      <w:r>
        <w:t xml:space="preserve">exceptions to, or otherwise not in compliance with, credit </w:t>
      </w:r>
      <w:r w:rsidR="00087D3A">
        <w:t xml:space="preserve">risk </w:t>
      </w:r>
      <w:r>
        <w:t xml:space="preserve">policies must be regularly reported to </w:t>
      </w:r>
      <w:r w:rsidR="000D17C1">
        <w:t xml:space="preserve">an ADI’s </w:t>
      </w:r>
      <w:r>
        <w:t>relevant internal governance bodies and review functions.</w:t>
      </w:r>
    </w:p>
    <w:p w14:paraId="7B5913AA" w14:textId="20E74FB9" w:rsidR="00D81DE1" w:rsidRDefault="00D81DE1" w:rsidP="003122A2">
      <w:pPr>
        <w:pStyle w:val="Heading3"/>
      </w:pPr>
      <w:bookmarkStart w:id="346" w:name="_Toc532908835"/>
      <w:bookmarkStart w:id="347" w:name="_Toc533068389"/>
      <w:bookmarkStart w:id="348" w:name="_Toc533074583"/>
      <w:bookmarkStart w:id="349" w:name="_Toc535483682"/>
      <w:bookmarkStart w:id="350" w:name="_Toc536533467"/>
      <w:bookmarkStart w:id="351" w:name="_Toc3894335"/>
      <w:bookmarkStart w:id="352" w:name="_Toc3897499"/>
      <w:bookmarkStart w:id="353" w:name="_Toc3973411"/>
      <w:bookmarkStart w:id="354" w:name="_Toc3985303"/>
      <w:bookmarkStart w:id="355" w:name="_Toc25741763"/>
      <w:bookmarkStart w:id="356" w:name="_Toc25747195"/>
      <w:bookmarkStart w:id="357" w:name="_Toc25748938"/>
      <w:bookmarkStart w:id="358" w:name="_Toc25749070"/>
      <w:bookmarkStart w:id="359" w:name="_Toc26951175"/>
      <w:bookmarkStart w:id="360" w:name="_Toc26951279"/>
      <w:bookmarkStart w:id="361" w:name="_Toc105754862"/>
      <w:r>
        <w:t>Third party credit assessment and approval</w:t>
      </w:r>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p>
    <w:p w14:paraId="44CD97FA" w14:textId="135883AB" w:rsidR="00583D13" w:rsidRDefault="00583D13" w:rsidP="00830674">
      <w:pPr>
        <w:pStyle w:val="BodyText1"/>
      </w:pPr>
      <w:r>
        <w:t>Where an ADI uses a third party</w:t>
      </w:r>
      <w:r w:rsidR="00A1301B">
        <w:t>,</w:t>
      </w:r>
      <w:r>
        <w:t xml:space="preserve"> </w:t>
      </w:r>
      <w:r w:rsidR="00B50CFE">
        <w:t>such as a broker</w:t>
      </w:r>
      <w:r w:rsidR="00A1301B">
        <w:t>,</w:t>
      </w:r>
      <w:r w:rsidR="00B50CFE">
        <w:t xml:space="preserve"> </w:t>
      </w:r>
      <w:r>
        <w:t>to undertake</w:t>
      </w:r>
      <w:r w:rsidR="0000276C">
        <w:t xml:space="preserve"> </w:t>
      </w:r>
      <w:r w:rsidR="00A1301B">
        <w:t xml:space="preserve">any aspects of the </w:t>
      </w:r>
      <w:r>
        <w:t xml:space="preserve">credit assessment </w:t>
      </w:r>
      <w:r w:rsidR="00A1301B">
        <w:t>or</w:t>
      </w:r>
      <w:r>
        <w:t xml:space="preserve"> approval, an ADI must </w:t>
      </w:r>
      <w:r w:rsidRPr="00583D13">
        <w:t>implement appropriate oversight processes</w:t>
      </w:r>
      <w:r w:rsidR="00266FFB">
        <w:t xml:space="preserve"> of the third party</w:t>
      </w:r>
      <w:r w:rsidRPr="00583D13">
        <w:t>.</w:t>
      </w:r>
      <w:r>
        <w:t xml:space="preserve"> </w:t>
      </w:r>
      <w:r w:rsidRPr="00583D13">
        <w:t xml:space="preserve">An ADI </w:t>
      </w:r>
      <w:r>
        <w:t xml:space="preserve">must </w:t>
      </w:r>
      <w:r w:rsidRPr="00583D13">
        <w:t xml:space="preserve">monitor and test the integrity of the third-party </w:t>
      </w:r>
      <w:r>
        <w:t xml:space="preserve">assessment and </w:t>
      </w:r>
      <w:r w:rsidRPr="00583D13">
        <w:t xml:space="preserve">approval </w:t>
      </w:r>
      <w:r>
        <w:t>on a regular basis</w:t>
      </w:r>
      <w:r w:rsidRPr="00583D13">
        <w:t>, either directly or through operationally independent person</w:t>
      </w:r>
      <w:r>
        <w:t>ne</w:t>
      </w:r>
      <w:r w:rsidR="00A92988">
        <w:t>l</w:t>
      </w:r>
      <w:r w:rsidR="00830674">
        <w:t xml:space="preserve"> to ensure it aligns with the ADI’s credit assessment and approval criteria</w:t>
      </w:r>
      <w:r w:rsidRPr="00583D13">
        <w:t>.</w:t>
      </w:r>
    </w:p>
    <w:p w14:paraId="3AD8779B" w14:textId="593C53BB" w:rsidR="00C92983" w:rsidRDefault="00846285" w:rsidP="006A3052">
      <w:pPr>
        <w:pStyle w:val="BodyText1"/>
      </w:pPr>
      <w:r>
        <w:t xml:space="preserve">Where an ADI has </w:t>
      </w:r>
      <w:r w:rsidR="00585DFD">
        <w:t xml:space="preserve">direct </w:t>
      </w:r>
      <w:r>
        <w:t xml:space="preserve">exposure to credit risk through </w:t>
      </w:r>
      <w:r w:rsidR="00B50CFE">
        <w:t>a third party</w:t>
      </w:r>
      <w:r w:rsidR="00A1301B">
        <w:t>,</w:t>
      </w:r>
      <w:r w:rsidR="00B50CFE">
        <w:t xml:space="preserve"> such as </w:t>
      </w:r>
      <w:r>
        <w:t>an on-line lending platform</w:t>
      </w:r>
      <w:r w:rsidR="009E7C1C">
        <w:t xml:space="preserve"> </w:t>
      </w:r>
      <w:r>
        <w:t xml:space="preserve">and </w:t>
      </w:r>
      <w:r w:rsidR="00716835">
        <w:t xml:space="preserve">the </w:t>
      </w:r>
      <w:r>
        <w:t xml:space="preserve">platform operator or other third party undertakes the credit assessment </w:t>
      </w:r>
      <w:r w:rsidR="00FE3396">
        <w:t xml:space="preserve">and approval </w:t>
      </w:r>
      <w:r w:rsidR="00716835">
        <w:t xml:space="preserve">of the underlying </w:t>
      </w:r>
      <w:r w:rsidR="00BD23AB">
        <w:t>borrowers</w:t>
      </w:r>
      <w:r w:rsidR="00B50CFE">
        <w:t xml:space="preserve"> under its own credit risk </w:t>
      </w:r>
      <w:r w:rsidR="004E6FDD">
        <w:t>policies and processes</w:t>
      </w:r>
      <w:r>
        <w:t xml:space="preserve">, </w:t>
      </w:r>
      <w:r w:rsidR="00C92983">
        <w:t>the</w:t>
      </w:r>
      <w:r>
        <w:t xml:space="preserve"> </w:t>
      </w:r>
      <w:r w:rsidR="002E4659">
        <w:t xml:space="preserve">ADI </w:t>
      </w:r>
      <w:r w:rsidR="002E4659" w:rsidRPr="002E4659">
        <w:t xml:space="preserve">must </w:t>
      </w:r>
      <w:r w:rsidR="00460474">
        <w:t xml:space="preserve">perform </w:t>
      </w:r>
      <w:r w:rsidR="00DE237E">
        <w:t xml:space="preserve">adequate </w:t>
      </w:r>
      <w:r w:rsidR="00A25BBE">
        <w:t>due diligence on these exposures, including</w:t>
      </w:r>
      <w:r w:rsidR="00837576">
        <w:t xml:space="preserve"> </w:t>
      </w:r>
      <w:r w:rsidR="00A1301B">
        <w:t>obtaining</w:t>
      </w:r>
      <w:r w:rsidR="00C92983">
        <w:t>:</w:t>
      </w:r>
    </w:p>
    <w:p w14:paraId="52BD2B2C" w14:textId="1C0FB256" w:rsidR="00C92983" w:rsidRDefault="002E4659" w:rsidP="00410408">
      <w:pPr>
        <w:pStyle w:val="BodyText2"/>
        <w:ind w:left="1134"/>
      </w:pPr>
      <w:r w:rsidRPr="002E4659">
        <w:t xml:space="preserve">a comprehensive understanding of the risk characteristics of </w:t>
      </w:r>
      <w:r w:rsidR="00716835">
        <w:t>the</w:t>
      </w:r>
      <w:r w:rsidRPr="002E4659">
        <w:t xml:space="preserve"> </w:t>
      </w:r>
      <w:r w:rsidR="00527FDF">
        <w:t xml:space="preserve">prospective and actual </w:t>
      </w:r>
      <w:r w:rsidR="00B50CFE">
        <w:t>e</w:t>
      </w:r>
      <w:r w:rsidRPr="002E4659">
        <w:t>xposures</w:t>
      </w:r>
      <w:r w:rsidR="00A25BBE">
        <w:t>;</w:t>
      </w:r>
    </w:p>
    <w:p w14:paraId="62420AAD" w14:textId="68383E3D" w:rsidR="00A25BBE" w:rsidRDefault="00527FDF" w:rsidP="00410408">
      <w:pPr>
        <w:pStyle w:val="BodyText2"/>
        <w:ind w:left="1134"/>
      </w:pPr>
      <w:r>
        <w:t xml:space="preserve">timely </w:t>
      </w:r>
      <w:r w:rsidR="00A25BBE" w:rsidRPr="00A25BBE">
        <w:t xml:space="preserve">access to </w:t>
      </w:r>
      <w:r>
        <w:t xml:space="preserve">and review of </w:t>
      </w:r>
      <w:r w:rsidR="00A25BBE" w:rsidRPr="00A25BBE">
        <w:t>performance information on the exposures</w:t>
      </w:r>
      <w:r w:rsidR="00A25BBE">
        <w:t>; and</w:t>
      </w:r>
    </w:p>
    <w:p w14:paraId="68EE5902" w14:textId="2D9282CC" w:rsidR="00B50CFE" w:rsidRDefault="00A25BBE" w:rsidP="00410408">
      <w:pPr>
        <w:pStyle w:val="BodyText2"/>
        <w:ind w:left="1134"/>
      </w:pPr>
      <w:r w:rsidRPr="00A25BBE">
        <w:t>a comprehensive understanding of all structural features of the transaction</w:t>
      </w:r>
      <w:r w:rsidR="00B50CFE">
        <w:t>.</w:t>
      </w:r>
    </w:p>
    <w:p w14:paraId="20F142F5" w14:textId="52C1B4B0" w:rsidR="001E6085" w:rsidRPr="001E6085" w:rsidRDefault="007E3FF4" w:rsidP="00F705AE">
      <w:pPr>
        <w:pStyle w:val="Heading1"/>
      </w:pPr>
      <w:bookmarkStart w:id="362" w:name="_Toc510011074"/>
      <w:bookmarkStart w:id="363" w:name="_Toc105754863"/>
      <w:r>
        <w:t>C</w:t>
      </w:r>
      <w:r w:rsidR="00684701" w:rsidRPr="00684701">
        <w:t>redit administration, measurement and monitoring</w:t>
      </w:r>
      <w:bookmarkEnd w:id="362"/>
      <w:bookmarkEnd w:id="363"/>
    </w:p>
    <w:p w14:paraId="49634127" w14:textId="7259BF34" w:rsidR="002A795D" w:rsidRDefault="002A795D" w:rsidP="00F705AE">
      <w:pPr>
        <w:pStyle w:val="BodyText1"/>
      </w:pPr>
      <w:r w:rsidRPr="002A795D">
        <w:t>An ADI must have an appropriate system for the ongoing administration of its credit portfolio.</w:t>
      </w:r>
    </w:p>
    <w:p w14:paraId="35B141A3" w14:textId="53119B37" w:rsidR="002A795D" w:rsidRPr="002A795D" w:rsidRDefault="002A795D" w:rsidP="00F705AE">
      <w:pPr>
        <w:pStyle w:val="BodyText1"/>
      </w:pPr>
      <w:r w:rsidRPr="002A795D">
        <w:t>An ADI’s credit administration system must have regard to:</w:t>
      </w:r>
    </w:p>
    <w:p w14:paraId="0BBB460A" w14:textId="79336E71" w:rsidR="002A795D" w:rsidRPr="002A795D" w:rsidRDefault="002A795D" w:rsidP="00D43985">
      <w:pPr>
        <w:pStyle w:val="BodyText2"/>
        <w:ind w:left="1134"/>
        <w:jc w:val="both"/>
      </w:pPr>
      <w:r w:rsidRPr="002A795D">
        <w:t>the efficiency and effectiveness of credit administration operations, including monitoring documentation</w:t>
      </w:r>
      <w:r w:rsidR="00F82B66">
        <w:t>,</w:t>
      </w:r>
      <w:r w:rsidRPr="002A795D">
        <w:t xml:space="preserve"> contractual requirements</w:t>
      </w:r>
      <w:r w:rsidR="00F82B66">
        <w:t>, covenants and collateral</w:t>
      </w:r>
      <w:r w:rsidRPr="002A795D">
        <w:t>;</w:t>
      </w:r>
    </w:p>
    <w:p w14:paraId="7A3BDBCF" w14:textId="2C2D2C9F" w:rsidR="002A795D" w:rsidRPr="002A795D" w:rsidRDefault="002A795D" w:rsidP="00D43985">
      <w:pPr>
        <w:pStyle w:val="BodyText2"/>
        <w:ind w:left="1134"/>
        <w:jc w:val="both"/>
      </w:pPr>
      <w:r w:rsidRPr="002A795D">
        <w:t>the accuracy and timeliness of information provided to management</w:t>
      </w:r>
      <w:r w:rsidR="00F82B66">
        <w:t xml:space="preserve"> information systems</w:t>
      </w:r>
      <w:r w:rsidRPr="002A795D">
        <w:t>;</w:t>
      </w:r>
    </w:p>
    <w:p w14:paraId="2677B4B4" w14:textId="286185BD" w:rsidR="002A795D" w:rsidRPr="002A795D" w:rsidRDefault="002A795D" w:rsidP="00AB0B8D">
      <w:pPr>
        <w:pStyle w:val="BodyText2"/>
        <w:ind w:left="1134"/>
      </w:pPr>
      <w:r w:rsidRPr="002A795D">
        <w:t>adequate segregation of duties;</w:t>
      </w:r>
    </w:p>
    <w:p w14:paraId="6A9304D1" w14:textId="1EB5EBBF" w:rsidR="002A795D" w:rsidRPr="002A795D" w:rsidRDefault="002A795D" w:rsidP="00AB0B8D">
      <w:pPr>
        <w:pStyle w:val="BodyText2"/>
        <w:ind w:left="1134"/>
      </w:pPr>
      <w:r w:rsidRPr="002A795D">
        <w:t xml:space="preserve">the adequacy of controls over all </w:t>
      </w:r>
      <w:r w:rsidR="00FF4948">
        <w:t xml:space="preserve">credit </w:t>
      </w:r>
      <w:r w:rsidR="00AC4FED">
        <w:t>administration</w:t>
      </w:r>
      <w:r w:rsidRPr="002A795D">
        <w:t xml:space="preserve"> proce</w:t>
      </w:r>
      <w:r w:rsidR="005D065E">
        <w:t>sses</w:t>
      </w:r>
      <w:r w:rsidRPr="002A795D">
        <w:t>; and</w:t>
      </w:r>
    </w:p>
    <w:p w14:paraId="44FDF29D" w14:textId="62A434CD" w:rsidR="002A795D" w:rsidRPr="002A795D" w:rsidRDefault="002A795D" w:rsidP="00D43985">
      <w:pPr>
        <w:pStyle w:val="BodyText2"/>
        <w:ind w:left="1134"/>
        <w:jc w:val="both"/>
      </w:pPr>
      <w:r w:rsidRPr="002A795D">
        <w:t xml:space="preserve">compliance with </w:t>
      </w:r>
      <w:r w:rsidR="005D065E">
        <w:t xml:space="preserve">credit risk </w:t>
      </w:r>
      <w:r w:rsidRPr="002A795D">
        <w:t>policies and processes as well as applicable laws and regulations.</w:t>
      </w:r>
    </w:p>
    <w:p w14:paraId="202BEE0E" w14:textId="5C158BC7" w:rsidR="00A92703" w:rsidRDefault="0099739F" w:rsidP="007208DE">
      <w:pPr>
        <w:pStyle w:val="BodyText1"/>
      </w:pPr>
      <w:r w:rsidRPr="00A92703">
        <w:t xml:space="preserve">An ADI must ensure </w:t>
      </w:r>
      <w:r w:rsidR="00EE71F6" w:rsidRPr="00A92703">
        <w:t xml:space="preserve">its credit administration system captures </w:t>
      </w:r>
      <w:r w:rsidR="007208DE">
        <w:t>all the information necessary to ascertain the current financial condition of the borrower as well as</w:t>
      </w:r>
      <w:r w:rsidR="00706DFE">
        <w:t xml:space="preserve"> sufficient information</w:t>
      </w:r>
      <w:r w:rsidR="007208DE">
        <w:t xml:space="preserve"> </w:t>
      </w:r>
      <w:r w:rsidRPr="00A92703">
        <w:t xml:space="preserve">to track </w:t>
      </w:r>
      <w:r w:rsidR="00553B4B">
        <w:t xml:space="preserve">all credit </w:t>
      </w:r>
      <w:r w:rsidRPr="00A92703">
        <w:t xml:space="preserve">decisions made and the history of </w:t>
      </w:r>
      <w:r w:rsidR="00553B4B">
        <w:t>each</w:t>
      </w:r>
      <w:r w:rsidRPr="00A92703">
        <w:t xml:space="preserve"> </w:t>
      </w:r>
      <w:r w:rsidRPr="00A92703">
        <w:lastRenderedPageBreak/>
        <w:t>exposure.</w:t>
      </w:r>
      <w:r w:rsidR="008C6A76" w:rsidRPr="00A92703">
        <w:t xml:space="preserve"> </w:t>
      </w:r>
      <w:r w:rsidR="00A92703">
        <w:t xml:space="preserve">An ADI’s </w:t>
      </w:r>
      <w:r w:rsidR="00A92703" w:rsidRPr="00A92703">
        <w:t>credit risk review function must determine that credit administration is complete and that all approvals and other necessary documents have been obtained.</w:t>
      </w:r>
    </w:p>
    <w:p w14:paraId="59EEA5E3" w14:textId="0806EA16" w:rsidR="00862FB8" w:rsidRDefault="0099739F" w:rsidP="00C575E9">
      <w:pPr>
        <w:pStyle w:val="BodyText1"/>
      </w:pPr>
      <w:r w:rsidRPr="00982224">
        <w:t xml:space="preserve">An ADI must </w:t>
      </w:r>
      <w:r w:rsidR="00A33A59" w:rsidRPr="00982224">
        <w:t xml:space="preserve">have </w:t>
      </w:r>
      <w:r w:rsidRPr="00982224">
        <w:t xml:space="preserve">an appropriate system for monitoring the condition of individual </w:t>
      </w:r>
      <w:r w:rsidRPr="00A36C86">
        <w:t>exposures, including determining the adequacy of provisions.</w:t>
      </w:r>
      <w:bookmarkStart w:id="364" w:name="_Toc528853339"/>
    </w:p>
    <w:p w14:paraId="1C49A489" w14:textId="2DF7A101" w:rsidR="00862FB8" w:rsidRDefault="00CB46CA" w:rsidP="00B95312">
      <w:pPr>
        <w:pStyle w:val="BodyText1"/>
      </w:pPr>
      <w:r w:rsidRPr="007E3472">
        <w:t>A</w:t>
      </w:r>
      <w:r w:rsidR="00750B37" w:rsidRPr="007E3472">
        <w:t>n ADI must have in place a</w:t>
      </w:r>
      <w:r w:rsidR="00750B37">
        <w:t>n appropriate</w:t>
      </w:r>
      <w:r w:rsidR="00750B37" w:rsidRPr="007E3472">
        <w:t xml:space="preserve"> system for monitoring the overall composition and quality of the credit portfolio. </w:t>
      </w:r>
      <w:bookmarkStart w:id="365" w:name="_Toc527023810"/>
      <w:bookmarkStart w:id="366" w:name="_Toc527025627"/>
      <w:bookmarkStart w:id="367" w:name="_Toc527029579"/>
      <w:bookmarkStart w:id="368" w:name="_Toc527033961"/>
      <w:bookmarkStart w:id="369" w:name="_Toc527040462"/>
      <w:bookmarkStart w:id="370" w:name="_Toc527109044"/>
      <w:bookmarkStart w:id="371" w:name="_Toc527382475"/>
      <w:bookmarkStart w:id="372" w:name="_Toc527384494"/>
      <w:bookmarkStart w:id="373" w:name="_Toc527466135"/>
      <w:bookmarkStart w:id="374" w:name="_Toc527466356"/>
      <w:bookmarkStart w:id="375" w:name="_Toc527467227"/>
      <w:bookmarkStart w:id="376" w:name="_Toc528756590"/>
      <w:bookmarkStart w:id="377" w:name="_Toc528756808"/>
      <w:bookmarkStart w:id="378" w:name="_Toc528759512"/>
    </w:p>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p w14:paraId="2A899C42" w14:textId="536B73A7" w:rsidR="00E12F9B" w:rsidRDefault="00E12F9B" w:rsidP="00B95312">
      <w:pPr>
        <w:pStyle w:val="BodyText1"/>
      </w:pPr>
      <w:r w:rsidRPr="00E12F9B">
        <w:t xml:space="preserve">An ADI must have an </w:t>
      </w:r>
      <w:r w:rsidR="00751B4A">
        <w:t>appropriate</w:t>
      </w:r>
      <w:r w:rsidRPr="00E12F9B">
        <w:t xml:space="preserve"> information system and analytical techniques that enable management to measure the credit risk inherent in all on</w:t>
      </w:r>
      <w:r w:rsidR="005755D5">
        <w:t>-</w:t>
      </w:r>
      <w:r w:rsidRPr="00E12F9B">
        <w:t xml:space="preserve"> and off</w:t>
      </w:r>
      <w:r w:rsidR="005755D5">
        <w:t>-</w:t>
      </w:r>
      <w:r w:rsidRPr="00E12F9B">
        <w:t xml:space="preserve">balance sheet activities. The management information system </w:t>
      </w:r>
      <w:r>
        <w:t>must p</w:t>
      </w:r>
      <w:r w:rsidRPr="00E12F9B">
        <w:t xml:space="preserve">rovide adequate information on the composition of the </w:t>
      </w:r>
      <w:r w:rsidR="00953512">
        <w:t xml:space="preserve">ADI’s </w:t>
      </w:r>
      <w:r w:rsidRPr="00E12F9B">
        <w:t>credit portfolio, including identification of any concentrations of risk.</w:t>
      </w:r>
    </w:p>
    <w:p w14:paraId="0209A9D2" w14:textId="77777777" w:rsidR="00673FE9" w:rsidRPr="00BE57FC" w:rsidRDefault="00673FE9" w:rsidP="00673FE9">
      <w:pPr>
        <w:pStyle w:val="Heading3"/>
      </w:pPr>
      <w:bookmarkStart w:id="379" w:name="_Toc528854269"/>
      <w:bookmarkStart w:id="380" w:name="_Toc528854562"/>
      <w:bookmarkStart w:id="381" w:name="_Toc529439211"/>
      <w:bookmarkStart w:id="382" w:name="_Toc529456725"/>
      <w:bookmarkStart w:id="383" w:name="_Toc529518490"/>
      <w:bookmarkStart w:id="384" w:name="_Toc529523940"/>
      <w:bookmarkStart w:id="385" w:name="_Toc529536613"/>
      <w:bookmarkStart w:id="386" w:name="_Toc529776619"/>
      <w:bookmarkStart w:id="387" w:name="_Toc532908837"/>
      <w:bookmarkStart w:id="388" w:name="_Toc533068391"/>
      <w:bookmarkStart w:id="389" w:name="_Toc533074585"/>
      <w:bookmarkStart w:id="390" w:name="_Toc535483684"/>
      <w:bookmarkStart w:id="391" w:name="_Toc536533469"/>
      <w:bookmarkStart w:id="392" w:name="_Toc3894337"/>
      <w:bookmarkStart w:id="393" w:name="_Toc3897501"/>
      <w:bookmarkStart w:id="394" w:name="_Toc3973413"/>
      <w:bookmarkStart w:id="395" w:name="_Toc3985305"/>
      <w:bookmarkStart w:id="396" w:name="_Toc25741765"/>
      <w:bookmarkStart w:id="397" w:name="_Toc25747197"/>
      <w:bookmarkStart w:id="398" w:name="_Toc25748940"/>
      <w:bookmarkStart w:id="399" w:name="_Toc25749072"/>
      <w:bookmarkStart w:id="400" w:name="_Toc26951177"/>
      <w:bookmarkStart w:id="401" w:name="_Toc26951281"/>
      <w:bookmarkStart w:id="402" w:name="_Toc105754864"/>
      <w:r w:rsidRPr="00BE57FC">
        <w:t>Credit risk grading systems</w:t>
      </w:r>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p>
    <w:p w14:paraId="47C47D6F" w14:textId="1C84F0E5" w:rsidR="00673FE9" w:rsidRPr="00673FE9" w:rsidRDefault="00673FE9" w:rsidP="00673FE9">
      <w:pPr>
        <w:pStyle w:val="BodyText1"/>
      </w:pPr>
      <w:r w:rsidRPr="00673FE9">
        <w:t>Where appropriate for the scope, scale and complexity of its operations, an ADI must have in place an internal credit risk grading system.</w:t>
      </w:r>
    </w:p>
    <w:p w14:paraId="580CE23E" w14:textId="77777777" w:rsidR="00673FE9" w:rsidRPr="00673FE9" w:rsidRDefault="00673FE9" w:rsidP="00673FE9">
      <w:pPr>
        <w:pStyle w:val="BodyText1"/>
      </w:pPr>
      <w:r w:rsidRPr="00673FE9">
        <w:t>An ADI must have in place prudent policies and processes governing the development, validation, operation and oversight of its credit risk grading system.</w:t>
      </w:r>
    </w:p>
    <w:p w14:paraId="015049FB" w14:textId="5D0071BF" w:rsidR="00673FE9" w:rsidRPr="00673FE9" w:rsidRDefault="00673FE9" w:rsidP="00673FE9">
      <w:pPr>
        <w:pStyle w:val="BodyText1"/>
      </w:pPr>
      <w:r w:rsidRPr="00673FE9">
        <w:t xml:space="preserve">Coverage of the credit risk grading system must extend to as much of the ADI’s credit portfolio as possible, including off-balance sheet exposures. The credit risk grading system must meaningfully assess and differentiate risk and be able to rank risk consistently and through time. </w:t>
      </w:r>
      <w:proofErr w:type="gramStart"/>
      <w:r w:rsidRPr="00673FE9">
        <w:t>A sufficient number of</w:t>
      </w:r>
      <w:proofErr w:type="gramEnd"/>
      <w:r w:rsidRPr="00673FE9">
        <w:t xml:space="preserve"> risk grades must be included to ensure that the system adequately captures gradation of risk and the definitions and criteria for each risk grade must be plausible and intuitive.</w:t>
      </w:r>
    </w:p>
    <w:p w14:paraId="7958AC1E" w14:textId="0F85C013" w:rsidR="00982224" w:rsidRPr="00BE57FC" w:rsidRDefault="00982224" w:rsidP="00584C12">
      <w:pPr>
        <w:pStyle w:val="Heading3"/>
      </w:pPr>
      <w:bookmarkStart w:id="403" w:name="_Toc527023812"/>
      <w:bookmarkStart w:id="404" w:name="_Toc527025629"/>
      <w:bookmarkStart w:id="405" w:name="_Toc527029581"/>
      <w:bookmarkStart w:id="406" w:name="_Toc527033963"/>
      <w:bookmarkStart w:id="407" w:name="_Toc527040464"/>
      <w:bookmarkStart w:id="408" w:name="_Toc527109046"/>
      <w:bookmarkStart w:id="409" w:name="_Toc527382477"/>
      <w:bookmarkStart w:id="410" w:name="_Toc527384496"/>
      <w:bookmarkStart w:id="411" w:name="_Toc527466137"/>
      <w:bookmarkStart w:id="412" w:name="_Toc527466358"/>
      <w:bookmarkStart w:id="413" w:name="_Toc527467229"/>
      <w:bookmarkStart w:id="414" w:name="_Toc528756810"/>
      <w:bookmarkStart w:id="415" w:name="_Toc528759513"/>
      <w:bookmarkStart w:id="416" w:name="_Toc528853340"/>
      <w:bookmarkStart w:id="417" w:name="_Toc528854270"/>
      <w:bookmarkStart w:id="418" w:name="_Toc528854563"/>
      <w:bookmarkStart w:id="419" w:name="_Toc529439212"/>
      <w:bookmarkStart w:id="420" w:name="_Toc529456726"/>
      <w:bookmarkStart w:id="421" w:name="_Toc529518491"/>
      <w:bookmarkStart w:id="422" w:name="_Toc529523941"/>
      <w:bookmarkStart w:id="423" w:name="_Toc529536614"/>
      <w:bookmarkStart w:id="424" w:name="_Toc529776620"/>
      <w:bookmarkStart w:id="425" w:name="_Toc532908838"/>
      <w:bookmarkStart w:id="426" w:name="_Toc533068392"/>
      <w:bookmarkStart w:id="427" w:name="_Toc533074586"/>
      <w:bookmarkStart w:id="428" w:name="_Toc535483685"/>
      <w:bookmarkStart w:id="429" w:name="_Toc536533470"/>
      <w:bookmarkStart w:id="430" w:name="_Toc3894338"/>
      <w:bookmarkStart w:id="431" w:name="_Toc3897502"/>
      <w:bookmarkStart w:id="432" w:name="_Toc3973414"/>
      <w:bookmarkStart w:id="433" w:name="_Toc3985306"/>
      <w:bookmarkStart w:id="434" w:name="_Toc25741766"/>
      <w:bookmarkStart w:id="435" w:name="_Toc25747198"/>
      <w:bookmarkStart w:id="436" w:name="_Toc25748941"/>
      <w:bookmarkStart w:id="437" w:name="_Toc25749073"/>
      <w:bookmarkStart w:id="438" w:name="_Toc26951178"/>
      <w:bookmarkStart w:id="439" w:name="_Toc26951282"/>
      <w:bookmarkStart w:id="440" w:name="_Toc105754865"/>
      <w:r w:rsidRPr="00BE57FC">
        <w:t>Stress testing</w:t>
      </w:r>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p>
    <w:p w14:paraId="6B643F43" w14:textId="00791F94" w:rsidR="009802DA" w:rsidRDefault="002132C7" w:rsidP="00B95312">
      <w:pPr>
        <w:pStyle w:val="BodyText1"/>
      </w:pPr>
      <w:r w:rsidRPr="00FF3CF5">
        <w:t>An ADI must t</w:t>
      </w:r>
      <w:r w:rsidR="009802DA" w:rsidRPr="00FF3CF5">
        <w:t>ake into consideration potential future changes in economic</w:t>
      </w:r>
      <w:r w:rsidR="00BA5D8E" w:rsidRPr="00FF3CF5">
        <w:t xml:space="preserve"> </w:t>
      </w:r>
      <w:r w:rsidR="009802DA" w:rsidRPr="00FF3CF5">
        <w:t xml:space="preserve">conditions when assessing individual </w:t>
      </w:r>
      <w:r w:rsidR="00745FBA" w:rsidRPr="00FF3CF5">
        <w:t>exposures</w:t>
      </w:r>
      <w:r w:rsidR="009802DA" w:rsidRPr="00FF3CF5">
        <w:t xml:space="preserve"> and </w:t>
      </w:r>
      <w:r w:rsidR="00E2769D">
        <w:t>its</w:t>
      </w:r>
      <w:r w:rsidR="009802DA" w:rsidRPr="00FF3CF5">
        <w:t xml:space="preserve"> credit </w:t>
      </w:r>
      <w:proofErr w:type="gramStart"/>
      <w:r w:rsidR="009802DA" w:rsidRPr="00FF3CF5">
        <w:t>portfolio, and</w:t>
      </w:r>
      <w:proofErr w:type="gramEnd"/>
      <w:r w:rsidR="009802DA" w:rsidRPr="00FF3CF5">
        <w:t xml:space="preserve"> </w:t>
      </w:r>
      <w:r w:rsidRPr="00FF3CF5">
        <w:t>must</w:t>
      </w:r>
      <w:r w:rsidR="00BA5D8E" w:rsidRPr="00FF3CF5">
        <w:t xml:space="preserve"> </w:t>
      </w:r>
      <w:r w:rsidR="009802DA" w:rsidRPr="00FF3CF5">
        <w:t xml:space="preserve">assess </w:t>
      </w:r>
      <w:r w:rsidRPr="00FF3CF5">
        <w:t xml:space="preserve">its </w:t>
      </w:r>
      <w:r w:rsidR="009802DA" w:rsidRPr="00FF3CF5">
        <w:t xml:space="preserve">credit risk exposures under </w:t>
      </w:r>
      <w:r w:rsidR="006C16E0">
        <w:t>stressed</w:t>
      </w:r>
      <w:r w:rsidR="006C16E0" w:rsidRPr="00FF3CF5">
        <w:t xml:space="preserve"> conditions</w:t>
      </w:r>
      <w:r w:rsidR="009802DA" w:rsidRPr="00FF3CF5">
        <w:t>.</w:t>
      </w:r>
    </w:p>
    <w:p w14:paraId="73D2EFC2" w14:textId="504673F7" w:rsidR="00450A89" w:rsidRPr="000E0EB8" w:rsidRDefault="00450A89" w:rsidP="006E0D70">
      <w:pPr>
        <w:pStyle w:val="BodyText1"/>
      </w:pPr>
      <w:r w:rsidRPr="000E0EB8">
        <w:t xml:space="preserve">An </w:t>
      </w:r>
      <w:r w:rsidR="00853534">
        <w:t xml:space="preserve">ADI </w:t>
      </w:r>
      <w:r w:rsidRPr="000E0EB8">
        <w:t>must undertake regular portfolio</w:t>
      </w:r>
      <w:r w:rsidR="00677C71">
        <w:t xml:space="preserve"> </w:t>
      </w:r>
      <w:r w:rsidRPr="000E0EB8">
        <w:t>level and risk</w:t>
      </w:r>
      <w:r w:rsidR="00677C71">
        <w:t xml:space="preserve"> </w:t>
      </w:r>
      <w:r w:rsidRPr="000E0EB8">
        <w:t xml:space="preserve">specific stress testing of its credit exposures. </w:t>
      </w:r>
    </w:p>
    <w:p w14:paraId="0B793EE8" w14:textId="437B1EA1" w:rsidR="00D424AE" w:rsidRPr="00D424AE" w:rsidRDefault="00FF3CF5" w:rsidP="00B95312">
      <w:pPr>
        <w:pStyle w:val="BodyText1"/>
      </w:pPr>
      <w:r w:rsidRPr="00D424AE">
        <w:t xml:space="preserve">The complexity and granularity of an ADI’s stress testing must </w:t>
      </w:r>
      <w:proofErr w:type="gramStart"/>
      <w:r w:rsidRPr="00D424AE">
        <w:t>take into account</w:t>
      </w:r>
      <w:proofErr w:type="gramEnd"/>
      <w:r w:rsidRPr="00D424AE">
        <w:t xml:space="preserve"> the </w:t>
      </w:r>
      <w:r w:rsidR="00DD16CE">
        <w:t xml:space="preserve">nature and </w:t>
      </w:r>
      <w:r w:rsidRPr="00D424AE">
        <w:t xml:space="preserve">scale </w:t>
      </w:r>
      <w:r w:rsidR="00DD16CE">
        <w:t>of the</w:t>
      </w:r>
      <w:r w:rsidRPr="00D424AE">
        <w:t xml:space="preserve"> ADI’s credit portfolio. An ADI must conduct stress testing at a sufficiently granular level to enable adequate sensitivity to the risk characteristics of different exposure types.</w:t>
      </w:r>
      <w:r w:rsidR="00D424AE" w:rsidRPr="00D424AE">
        <w:t xml:space="preserve"> Scenarios used for stress testing must include severe but plausible adverse conditions.</w:t>
      </w:r>
    </w:p>
    <w:p w14:paraId="4D8D5A3F" w14:textId="56C6CD8A" w:rsidR="00F4336B" w:rsidRDefault="004003DF" w:rsidP="00B95312">
      <w:pPr>
        <w:pStyle w:val="BodyText1"/>
      </w:pPr>
      <w:r w:rsidRPr="00F4336B">
        <w:t xml:space="preserve">An ADI must consider the results of stress testing in </w:t>
      </w:r>
      <w:r w:rsidR="00694E44" w:rsidRPr="00F4336B">
        <w:t>its</w:t>
      </w:r>
      <w:r w:rsidRPr="00F4336B">
        <w:t xml:space="preserve"> overall</w:t>
      </w:r>
      <w:r w:rsidR="00CC4F7D" w:rsidRPr="00F4336B">
        <w:t xml:space="preserve"> </w:t>
      </w:r>
      <w:r w:rsidRPr="00F4336B">
        <w:t>limit setting and monitoring process.</w:t>
      </w:r>
    </w:p>
    <w:p w14:paraId="7DBD6941" w14:textId="3FC41EE4" w:rsidR="00F4336B" w:rsidRPr="00F4336B" w:rsidRDefault="00F4336B" w:rsidP="00B95312">
      <w:pPr>
        <w:pStyle w:val="BodyText1"/>
      </w:pPr>
      <w:r w:rsidRPr="00F4336B">
        <w:lastRenderedPageBreak/>
        <w:t>Stress</w:t>
      </w:r>
      <w:r w:rsidR="006C16E0">
        <w:t xml:space="preserve"> </w:t>
      </w:r>
      <w:r w:rsidRPr="00F4336B">
        <w:t xml:space="preserve">testing analyses must include contingency plans regarding actions the Board and senior management </w:t>
      </w:r>
      <w:r w:rsidR="008C7267">
        <w:t>may</w:t>
      </w:r>
      <w:r w:rsidRPr="00F4336B">
        <w:t xml:space="preserve"> take given certain scenarios.</w:t>
      </w:r>
    </w:p>
    <w:p w14:paraId="30393058" w14:textId="61E1D47D" w:rsidR="00FF3CF5" w:rsidRDefault="00FF3CF5" w:rsidP="00B95312">
      <w:pPr>
        <w:pStyle w:val="BodyText1"/>
      </w:pPr>
      <w:bookmarkStart w:id="441" w:name="_Ref529785096"/>
      <w:r w:rsidRPr="00FF3CF5">
        <w:t>An ADI’s stress testing arrangements must include well</w:t>
      </w:r>
      <w:r w:rsidR="006C16E0">
        <w:t>-</w:t>
      </w:r>
      <w:r w:rsidRPr="00FF3CF5">
        <w:t>documented and sound policies and processes governing the stress testing program, including the timely communication of information on scenarios, key assumptions, results and capital impacts to the ADI’s Board</w:t>
      </w:r>
      <w:r w:rsidR="00F4336B">
        <w:t xml:space="preserve"> and</w:t>
      </w:r>
      <w:r w:rsidRPr="00FF3CF5">
        <w:t xml:space="preserve"> senior management.</w:t>
      </w:r>
      <w:bookmarkEnd w:id="441"/>
    </w:p>
    <w:p w14:paraId="1D00734B" w14:textId="685FFE6F" w:rsidR="00FF3CF5" w:rsidRPr="00FF3CF5" w:rsidRDefault="00FF3CF5" w:rsidP="00A80A8D">
      <w:pPr>
        <w:pStyle w:val="BodyText1"/>
      </w:pPr>
      <w:r w:rsidRPr="00FF3CF5">
        <w:t>Stress testing models must be appropriately validated and checked independently or by an appropriately qualified external party.</w:t>
      </w:r>
    </w:p>
    <w:p w14:paraId="6DF37CDE" w14:textId="0BE89FC0" w:rsidR="00684701" w:rsidRPr="00BE57FC" w:rsidRDefault="007E3FF4" w:rsidP="00B95312">
      <w:pPr>
        <w:pStyle w:val="Heading1"/>
      </w:pPr>
      <w:bookmarkStart w:id="442" w:name="_Toc510011075"/>
      <w:bookmarkStart w:id="443" w:name="_Toc527029582"/>
      <w:bookmarkStart w:id="444" w:name="_Toc105754866"/>
      <w:r w:rsidRPr="00BE57FC">
        <w:t>C</w:t>
      </w:r>
      <w:r w:rsidR="00684701" w:rsidRPr="00BE57FC">
        <w:t>ontrols over credit risk</w:t>
      </w:r>
      <w:bookmarkEnd w:id="442"/>
      <w:bookmarkEnd w:id="443"/>
      <w:bookmarkEnd w:id="444"/>
    </w:p>
    <w:p w14:paraId="5E70EE19" w14:textId="77777777" w:rsidR="0009342D" w:rsidRPr="00BE57FC" w:rsidRDefault="005A5264" w:rsidP="00B041C3">
      <w:pPr>
        <w:pStyle w:val="Heading3"/>
      </w:pPr>
      <w:bookmarkStart w:id="445" w:name="_Toc527025632"/>
      <w:bookmarkStart w:id="446" w:name="_Toc527029584"/>
      <w:bookmarkStart w:id="447" w:name="_Toc527033966"/>
      <w:bookmarkStart w:id="448" w:name="_Toc527040467"/>
      <w:bookmarkStart w:id="449" w:name="_Toc527109049"/>
      <w:bookmarkStart w:id="450" w:name="_Toc527382480"/>
      <w:bookmarkStart w:id="451" w:name="_Toc527384499"/>
      <w:bookmarkStart w:id="452" w:name="_Toc527466140"/>
      <w:bookmarkStart w:id="453" w:name="_Toc527466361"/>
      <w:bookmarkStart w:id="454" w:name="_Toc527467232"/>
      <w:bookmarkStart w:id="455" w:name="_Toc528756594"/>
      <w:bookmarkStart w:id="456" w:name="_Toc528756812"/>
      <w:bookmarkStart w:id="457" w:name="_Toc528759515"/>
      <w:bookmarkStart w:id="458" w:name="_Toc528853342"/>
      <w:bookmarkStart w:id="459" w:name="_Toc528854272"/>
      <w:bookmarkStart w:id="460" w:name="_Toc528854565"/>
      <w:bookmarkStart w:id="461" w:name="_Toc529439214"/>
      <w:bookmarkStart w:id="462" w:name="_Toc529456728"/>
      <w:bookmarkStart w:id="463" w:name="_Toc529518493"/>
      <w:bookmarkStart w:id="464" w:name="_Toc529523943"/>
      <w:bookmarkStart w:id="465" w:name="_Toc529536616"/>
      <w:bookmarkStart w:id="466" w:name="_Toc529776622"/>
      <w:bookmarkStart w:id="467" w:name="_Toc532908840"/>
      <w:bookmarkStart w:id="468" w:name="_Toc533068394"/>
      <w:bookmarkStart w:id="469" w:name="_Toc533074588"/>
      <w:bookmarkStart w:id="470" w:name="_Toc535483687"/>
      <w:bookmarkStart w:id="471" w:name="_Toc536533472"/>
      <w:bookmarkStart w:id="472" w:name="_Toc3894340"/>
      <w:bookmarkStart w:id="473" w:name="_Toc3897504"/>
      <w:bookmarkStart w:id="474" w:name="_Toc3973416"/>
      <w:bookmarkStart w:id="475" w:name="_Toc3985308"/>
      <w:bookmarkStart w:id="476" w:name="_Toc25741768"/>
      <w:bookmarkStart w:id="477" w:name="_Toc25747200"/>
      <w:bookmarkStart w:id="478" w:name="_Toc25748943"/>
      <w:bookmarkStart w:id="479" w:name="_Toc25749075"/>
      <w:bookmarkStart w:id="480" w:name="_Toc26951180"/>
      <w:bookmarkStart w:id="481" w:name="_Toc26951284"/>
      <w:bookmarkStart w:id="482" w:name="_Toc105754867"/>
      <w:r w:rsidRPr="00BE57FC">
        <w:t>Review of credit risk management process</w:t>
      </w:r>
      <w:r w:rsidR="00A72A27" w:rsidRPr="00BE57FC">
        <w:t>es</w:t>
      </w:r>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p>
    <w:p w14:paraId="6A61A958" w14:textId="1C4D4940" w:rsidR="001479C1" w:rsidRDefault="00293BE6" w:rsidP="005B53B0">
      <w:pPr>
        <w:pStyle w:val="BodyText1"/>
      </w:pPr>
      <w:r w:rsidRPr="00FB2FAC">
        <w:t xml:space="preserve">An ADI must establish </w:t>
      </w:r>
      <w:r w:rsidR="00595797">
        <w:t xml:space="preserve">a </w:t>
      </w:r>
      <w:r w:rsidRPr="00FB2FAC">
        <w:t xml:space="preserve">system of independent, </w:t>
      </w:r>
      <w:r w:rsidR="00AA4996" w:rsidRPr="00FB2FAC">
        <w:t xml:space="preserve">regular </w:t>
      </w:r>
      <w:r w:rsidR="00FB2FAC">
        <w:t>reviews</w:t>
      </w:r>
      <w:r w:rsidRPr="00FB2FAC">
        <w:t xml:space="preserve"> of the ADI’s credit risk management processes and </w:t>
      </w:r>
      <w:r w:rsidR="00AA4996" w:rsidRPr="00FB2FAC">
        <w:t xml:space="preserve">practices </w:t>
      </w:r>
      <w:r w:rsidR="003E2D7F">
        <w:t xml:space="preserve">(refer to paragraph </w:t>
      </w:r>
      <w:r w:rsidR="00C76871">
        <w:fldChar w:fldCharType="begin"/>
      </w:r>
      <w:r w:rsidR="00C76871">
        <w:instrText xml:space="preserve"> REF _Ref23938705 \r \h </w:instrText>
      </w:r>
      <w:r w:rsidR="00C76871">
        <w:fldChar w:fldCharType="separate"/>
      </w:r>
      <w:r w:rsidR="00A86E02">
        <w:t>29(e)</w:t>
      </w:r>
      <w:r w:rsidR="00C76871">
        <w:fldChar w:fldCharType="end"/>
      </w:r>
      <w:r w:rsidR="003E2D7F">
        <w:t xml:space="preserve"> of this Prudential Standard) </w:t>
      </w:r>
      <w:r w:rsidR="00AA4996" w:rsidRPr="00FB2FAC">
        <w:t xml:space="preserve">and </w:t>
      </w:r>
      <w:r w:rsidR="007D7C0F" w:rsidRPr="00FB2FAC">
        <w:t>t</w:t>
      </w:r>
      <w:r w:rsidRPr="00FB2FAC">
        <w:t>he results of such reviews must be communicated directly to the Board and senior management.</w:t>
      </w:r>
    </w:p>
    <w:p w14:paraId="51B4884D" w14:textId="3C88D5D8" w:rsidR="005B53B0" w:rsidRPr="00BE57FC" w:rsidRDefault="005B53B0" w:rsidP="005B53B0">
      <w:pPr>
        <w:pStyle w:val="Heading3"/>
      </w:pPr>
      <w:bookmarkStart w:id="483" w:name="_Toc528756595"/>
      <w:bookmarkStart w:id="484" w:name="_Toc528756813"/>
      <w:bookmarkStart w:id="485" w:name="_Toc528759516"/>
      <w:bookmarkStart w:id="486" w:name="_Toc528853343"/>
      <w:bookmarkStart w:id="487" w:name="_Toc528854273"/>
      <w:bookmarkStart w:id="488" w:name="_Toc528854566"/>
      <w:bookmarkStart w:id="489" w:name="_Toc529439215"/>
      <w:bookmarkStart w:id="490" w:name="_Toc529456729"/>
      <w:bookmarkStart w:id="491" w:name="_Toc529518494"/>
      <w:bookmarkStart w:id="492" w:name="_Toc529523944"/>
      <w:bookmarkStart w:id="493" w:name="_Toc529536617"/>
      <w:bookmarkStart w:id="494" w:name="_Toc529776623"/>
      <w:bookmarkStart w:id="495" w:name="_Toc532908841"/>
      <w:bookmarkStart w:id="496" w:name="_Toc533068395"/>
      <w:bookmarkStart w:id="497" w:name="_Toc533074589"/>
      <w:bookmarkStart w:id="498" w:name="_Toc535483688"/>
      <w:bookmarkStart w:id="499" w:name="_Toc536533473"/>
      <w:bookmarkStart w:id="500" w:name="_Toc3894341"/>
      <w:bookmarkStart w:id="501" w:name="_Toc3897505"/>
      <w:bookmarkStart w:id="502" w:name="_Toc3973417"/>
      <w:bookmarkStart w:id="503" w:name="_Toc3985309"/>
      <w:bookmarkStart w:id="504" w:name="_Toc25741769"/>
      <w:bookmarkStart w:id="505" w:name="_Toc25747201"/>
      <w:bookmarkStart w:id="506" w:name="_Toc25748944"/>
      <w:bookmarkStart w:id="507" w:name="_Toc25749076"/>
      <w:bookmarkStart w:id="508" w:name="_Toc26951181"/>
      <w:bookmarkStart w:id="509" w:name="_Toc26951285"/>
      <w:bookmarkStart w:id="510" w:name="_Toc105754868"/>
      <w:r w:rsidRPr="00BE57FC">
        <w:t>Internal controls and limits</w:t>
      </w:r>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p>
    <w:p w14:paraId="15DDCD8A" w14:textId="33612F21" w:rsidR="005B53B0" w:rsidRPr="005B53B0" w:rsidRDefault="005B53B0" w:rsidP="006008D2">
      <w:pPr>
        <w:pStyle w:val="BodyText1"/>
        <w:rPr>
          <w:bCs/>
        </w:rPr>
      </w:pPr>
      <w:r w:rsidRPr="0009342D">
        <w:t xml:space="preserve">An ADI must ensure that the </w:t>
      </w:r>
      <w:r>
        <w:t xml:space="preserve">credit origination, </w:t>
      </w:r>
      <w:r w:rsidRPr="0009342D">
        <w:t xml:space="preserve">credit assessment and approval function is properly managed and that credit exposures are within levels consistent with an ADI’s limits. </w:t>
      </w:r>
      <w:r>
        <w:t xml:space="preserve">An ADI must establish and enforce internal controls and other practices to ensure that </w:t>
      </w:r>
      <w:r w:rsidR="00D3352F">
        <w:t xml:space="preserve">overrides, waivers or </w:t>
      </w:r>
      <w:r>
        <w:t>exceptions to policies, proces</w:t>
      </w:r>
      <w:r w:rsidR="00BF0E1C">
        <w:t>s</w:t>
      </w:r>
      <w:r>
        <w:t>es and limits are reported in a timely manner to the appropriate level of management for action.</w:t>
      </w:r>
    </w:p>
    <w:p w14:paraId="01B917ED" w14:textId="29A87E89" w:rsidR="00DD363D" w:rsidRPr="007E3472" w:rsidRDefault="0095260E" w:rsidP="00B041C3">
      <w:pPr>
        <w:pStyle w:val="Heading3"/>
      </w:pPr>
      <w:bookmarkStart w:id="511" w:name="_Toc527023815"/>
      <w:bookmarkStart w:id="512" w:name="_Toc527025633"/>
      <w:bookmarkStart w:id="513" w:name="_Toc527029585"/>
      <w:bookmarkStart w:id="514" w:name="_Toc527033967"/>
      <w:bookmarkStart w:id="515" w:name="_Toc527040468"/>
      <w:bookmarkStart w:id="516" w:name="_Toc527109050"/>
      <w:bookmarkStart w:id="517" w:name="_Toc527382481"/>
      <w:bookmarkStart w:id="518" w:name="_Toc527384500"/>
      <w:bookmarkStart w:id="519" w:name="_Toc527466141"/>
      <w:bookmarkStart w:id="520" w:name="_Toc527466362"/>
      <w:bookmarkStart w:id="521" w:name="_Toc527467233"/>
      <w:bookmarkStart w:id="522" w:name="_Toc528756596"/>
      <w:bookmarkStart w:id="523" w:name="_Toc528756814"/>
      <w:bookmarkStart w:id="524" w:name="_Toc528759517"/>
      <w:bookmarkStart w:id="525" w:name="_Toc528853344"/>
      <w:bookmarkStart w:id="526" w:name="_Toc528854274"/>
      <w:bookmarkStart w:id="527" w:name="_Toc528854567"/>
      <w:bookmarkStart w:id="528" w:name="_Toc529439216"/>
      <w:bookmarkStart w:id="529" w:name="_Toc529456730"/>
      <w:bookmarkStart w:id="530" w:name="_Toc529518495"/>
      <w:bookmarkStart w:id="531" w:name="_Toc529523945"/>
      <w:bookmarkStart w:id="532" w:name="_Toc529536618"/>
      <w:bookmarkStart w:id="533" w:name="_Toc529776624"/>
      <w:bookmarkStart w:id="534" w:name="_Toc532908842"/>
      <w:bookmarkStart w:id="535" w:name="_Toc533068396"/>
      <w:bookmarkStart w:id="536" w:name="_Toc533074590"/>
      <w:bookmarkStart w:id="537" w:name="_Toc535483689"/>
      <w:bookmarkStart w:id="538" w:name="_Toc536533474"/>
      <w:bookmarkStart w:id="539" w:name="_Toc3894342"/>
      <w:bookmarkStart w:id="540" w:name="_Toc3897506"/>
      <w:bookmarkStart w:id="541" w:name="_Toc3973418"/>
      <w:bookmarkStart w:id="542" w:name="_Toc3985310"/>
      <w:bookmarkStart w:id="543" w:name="_Toc25741770"/>
      <w:bookmarkStart w:id="544" w:name="_Toc25747202"/>
      <w:bookmarkStart w:id="545" w:name="_Toc25748945"/>
      <w:bookmarkStart w:id="546" w:name="_Toc25749077"/>
      <w:bookmarkStart w:id="547" w:name="_Toc26951182"/>
      <w:bookmarkStart w:id="548" w:name="_Toc26951286"/>
      <w:bookmarkStart w:id="549" w:name="_Toc105754869"/>
      <w:r w:rsidRPr="007E3472">
        <w:t>Systems for remedial action</w:t>
      </w:r>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p>
    <w:p w14:paraId="6847D1C8" w14:textId="1947EDBF" w:rsidR="0081228E" w:rsidRDefault="0081228E" w:rsidP="006008D2">
      <w:pPr>
        <w:pStyle w:val="BodyText1"/>
      </w:pPr>
      <w:r>
        <w:t xml:space="preserve">An ADI must have an appropriate system in place for early remedial action on </w:t>
      </w:r>
      <w:r w:rsidR="007F0340">
        <w:t xml:space="preserve">problem </w:t>
      </w:r>
      <w:r w:rsidR="00732DA9">
        <w:t>exposures</w:t>
      </w:r>
      <w:r>
        <w:t xml:space="preserve">, managing </w:t>
      </w:r>
      <w:r w:rsidR="00D34AD6">
        <w:t xml:space="preserve">problem </w:t>
      </w:r>
      <w:r w:rsidR="00732DA9">
        <w:t>exposures</w:t>
      </w:r>
      <w:r>
        <w:t xml:space="preserve"> and similar workout situations.</w:t>
      </w:r>
      <w:r w:rsidR="00387BE6">
        <w:t xml:space="preserve"> An ADI’s collections systems must bring together a </w:t>
      </w:r>
      <w:r w:rsidR="008B11B0">
        <w:t>borrower</w:t>
      </w:r>
      <w:r w:rsidR="00387BE6">
        <w:t xml:space="preserve">’s arrears profile and be able to be scaled </w:t>
      </w:r>
      <w:r w:rsidR="004D093A">
        <w:t xml:space="preserve">to manage high volumes </w:t>
      </w:r>
      <w:r w:rsidR="00387BE6">
        <w:t>in a time of stress.</w:t>
      </w:r>
    </w:p>
    <w:p w14:paraId="2A2C92D0" w14:textId="161F29F0" w:rsidR="00737E36" w:rsidRDefault="009C0E99" w:rsidP="00C65ABC">
      <w:pPr>
        <w:pStyle w:val="BodyText1"/>
      </w:pPr>
      <w:r w:rsidRPr="004607CC">
        <w:t>An A</w:t>
      </w:r>
      <w:r w:rsidR="005511CD" w:rsidRPr="004607CC">
        <w:t>DI</w:t>
      </w:r>
      <w:r w:rsidR="00FB2FAC" w:rsidRPr="004607CC">
        <w:t xml:space="preserve"> </w:t>
      </w:r>
      <w:r w:rsidRPr="004607CC">
        <w:t xml:space="preserve">must </w:t>
      </w:r>
      <w:r w:rsidR="00F9762F">
        <w:t xml:space="preserve">have an effective workout program </w:t>
      </w:r>
      <w:r w:rsidR="00862FB8">
        <w:t xml:space="preserve">for </w:t>
      </w:r>
      <w:r w:rsidR="007F0340">
        <w:t>problem</w:t>
      </w:r>
      <w:r w:rsidR="0081228E">
        <w:t xml:space="preserve"> </w:t>
      </w:r>
      <w:r w:rsidR="00732DA9">
        <w:t>exposures</w:t>
      </w:r>
      <w:r w:rsidR="00940C2C">
        <w:t>,</w:t>
      </w:r>
      <w:r w:rsidR="00B7020F">
        <w:t xml:space="preserve"> </w:t>
      </w:r>
      <w:r w:rsidR="00F9762F">
        <w:t xml:space="preserve">with the </w:t>
      </w:r>
      <w:r w:rsidR="006E5172" w:rsidRPr="004607CC">
        <w:t>segregat</w:t>
      </w:r>
      <w:r w:rsidR="00F9762F">
        <w:t>ion of</w:t>
      </w:r>
      <w:r w:rsidR="006E5172" w:rsidRPr="004607CC">
        <w:t xml:space="preserve"> the workout function</w:t>
      </w:r>
      <w:r w:rsidR="00FB2FAC" w:rsidRPr="004607CC">
        <w:t xml:space="preserve"> </w:t>
      </w:r>
      <w:r w:rsidR="006E5172" w:rsidRPr="004607CC">
        <w:t xml:space="preserve">from the area that originated the </w:t>
      </w:r>
      <w:r w:rsidRPr="004607CC">
        <w:t>exposure</w:t>
      </w:r>
      <w:r w:rsidR="006E5172" w:rsidRPr="004607CC">
        <w:t xml:space="preserve">. </w:t>
      </w:r>
      <w:r w:rsidR="00FB2FAC" w:rsidRPr="004607CC">
        <w:t>A</w:t>
      </w:r>
      <w:r w:rsidRPr="004607CC">
        <w:t>n ADI must</w:t>
      </w:r>
      <w:r w:rsidR="00FB2FAC" w:rsidRPr="004607CC">
        <w:t xml:space="preserve"> </w:t>
      </w:r>
      <w:r w:rsidRPr="004607CC">
        <w:t xml:space="preserve">have </w:t>
      </w:r>
      <w:r w:rsidR="006E5172" w:rsidRPr="004607CC">
        <w:t xml:space="preserve">an effective strategy </w:t>
      </w:r>
      <w:r w:rsidR="00C833C3">
        <w:t xml:space="preserve">and appropriate organisational </w:t>
      </w:r>
      <w:r w:rsidR="007F0340">
        <w:t xml:space="preserve">resources and personnel </w:t>
      </w:r>
      <w:r w:rsidRPr="004607CC">
        <w:t xml:space="preserve">in place </w:t>
      </w:r>
      <w:r w:rsidR="006E5172" w:rsidRPr="004607CC">
        <w:t xml:space="preserve">to </w:t>
      </w:r>
      <w:r w:rsidR="00837576">
        <w:t>manage</w:t>
      </w:r>
      <w:r w:rsidR="006E5172" w:rsidRPr="004607CC">
        <w:t xml:space="preserve"> </w:t>
      </w:r>
      <w:r w:rsidR="00B7020F">
        <w:t xml:space="preserve">these </w:t>
      </w:r>
      <w:r w:rsidR="009353DA" w:rsidRPr="004607CC">
        <w:t>exposures</w:t>
      </w:r>
      <w:r w:rsidR="006E5172" w:rsidRPr="004607CC">
        <w:t>.</w:t>
      </w:r>
    </w:p>
    <w:p w14:paraId="2C2B19FB" w14:textId="2C0E5B75" w:rsidR="00737E36" w:rsidRDefault="00737E36" w:rsidP="00C65ABC">
      <w:pPr>
        <w:pStyle w:val="BodyText1"/>
      </w:pPr>
      <w:r>
        <w:t xml:space="preserve">An ADI must have prudent policies and processes that </w:t>
      </w:r>
      <w:r w:rsidRPr="00737E36">
        <w:t xml:space="preserve">assist the ADI to recover as much of </w:t>
      </w:r>
      <w:r>
        <w:t>an</w:t>
      </w:r>
      <w:r w:rsidRPr="00737E36">
        <w:t xml:space="preserve"> exposure as is reasonably achievable with</w:t>
      </w:r>
      <w:r w:rsidR="00DC7155">
        <w:t>in</w:t>
      </w:r>
      <w:r w:rsidRPr="00737E36">
        <w:t xml:space="preserve"> the </w:t>
      </w:r>
      <w:r w:rsidR="00DC7155">
        <w:t xml:space="preserve">requirements established by </w:t>
      </w:r>
      <w:r w:rsidRPr="00737E36">
        <w:t xml:space="preserve">law </w:t>
      </w:r>
      <w:proofErr w:type="gramStart"/>
      <w:r w:rsidRPr="00737E36">
        <w:t xml:space="preserve">and </w:t>
      </w:r>
      <w:r w:rsidR="00DC7155">
        <w:t>also</w:t>
      </w:r>
      <w:proofErr w:type="gramEnd"/>
      <w:r w:rsidR="00DC7155">
        <w:t xml:space="preserve"> having regard to </w:t>
      </w:r>
      <w:r w:rsidRPr="00737E36">
        <w:t xml:space="preserve">community expectation as to how borrowers </w:t>
      </w:r>
      <w:r w:rsidR="00FF1DE4">
        <w:t>are to</w:t>
      </w:r>
      <w:r w:rsidRPr="00737E36">
        <w:t xml:space="preserve"> be treated. An ADI must consider the risk to its reputation in such circumstances.</w:t>
      </w:r>
    </w:p>
    <w:p w14:paraId="4C3828F6" w14:textId="1856F215" w:rsidR="008078CE" w:rsidRPr="00666895" w:rsidRDefault="00FC696A" w:rsidP="00935BA2">
      <w:pPr>
        <w:pStyle w:val="Heading1"/>
        <w:rPr>
          <w:rStyle w:val="Heading4Char"/>
          <w:rFonts w:asciiTheme="majorHAnsi" w:hAnsiTheme="majorHAnsi"/>
          <w:b/>
          <w:szCs w:val="22"/>
        </w:rPr>
      </w:pPr>
      <w:bookmarkStart w:id="550" w:name="_Toc510011079"/>
      <w:bookmarkStart w:id="551" w:name="_Toc105754870"/>
      <w:r>
        <w:rPr>
          <w:rStyle w:val="Heading4Char"/>
          <w:rFonts w:asciiTheme="majorHAnsi" w:hAnsiTheme="majorHAnsi"/>
          <w:b/>
          <w:szCs w:val="22"/>
        </w:rPr>
        <w:lastRenderedPageBreak/>
        <w:t xml:space="preserve">Classification of </w:t>
      </w:r>
      <w:r w:rsidR="00217E54">
        <w:rPr>
          <w:rStyle w:val="Heading4Char"/>
          <w:rFonts w:asciiTheme="majorHAnsi" w:hAnsiTheme="majorHAnsi"/>
          <w:b/>
          <w:szCs w:val="22"/>
        </w:rPr>
        <w:t>e</w:t>
      </w:r>
      <w:r w:rsidR="00503ACB">
        <w:rPr>
          <w:rStyle w:val="Heading4Char"/>
          <w:rFonts w:asciiTheme="majorHAnsi" w:hAnsiTheme="majorHAnsi"/>
          <w:b/>
          <w:szCs w:val="22"/>
        </w:rPr>
        <w:t>xposures</w:t>
      </w:r>
      <w:r w:rsidR="00BA2C25">
        <w:rPr>
          <w:rStyle w:val="Heading4Char"/>
          <w:rFonts w:asciiTheme="majorHAnsi" w:hAnsiTheme="majorHAnsi"/>
          <w:b/>
          <w:szCs w:val="22"/>
        </w:rPr>
        <w:t xml:space="preserve"> and</w:t>
      </w:r>
      <w:r w:rsidR="008078CE" w:rsidRPr="00666895">
        <w:rPr>
          <w:rStyle w:val="Heading4Char"/>
          <w:rFonts w:asciiTheme="majorHAnsi" w:hAnsiTheme="majorHAnsi"/>
          <w:b/>
          <w:szCs w:val="22"/>
        </w:rPr>
        <w:t xml:space="preserve"> provisions</w:t>
      </w:r>
      <w:bookmarkEnd w:id="550"/>
      <w:bookmarkEnd w:id="551"/>
    </w:p>
    <w:p w14:paraId="7D879A18" w14:textId="63DE0E88" w:rsidR="00B645B8" w:rsidRPr="008717F4" w:rsidRDefault="00B645B8" w:rsidP="00314BC7">
      <w:pPr>
        <w:pStyle w:val="BodyText1"/>
      </w:pPr>
      <w:bookmarkStart w:id="552" w:name="_Ref529524233"/>
      <w:r w:rsidRPr="008717F4">
        <w:t xml:space="preserve">An ADI must </w:t>
      </w:r>
      <w:r w:rsidR="00FB2FFF">
        <w:t xml:space="preserve">have </w:t>
      </w:r>
      <w:r w:rsidR="007B628D">
        <w:t xml:space="preserve">prudent </w:t>
      </w:r>
      <w:r w:rsidR="00FB2FFF" w:rsidRPr="008717F4">
        <w:t>policies</w:t>
      </w:r>
      <w:r w:rsidRPr="008717F4">
        <w:t xml:space="preserve"> and processes for classifying its </w:t>
      </w:r>
      <w:r w:rsidR="00BF3353">
        <w:t xml:space="preserve">credit risk </w:t>
      </w:r>
      <w:r w:rsidRPr="008717F4">
        <w:t>exposures</w:t>
      </w:r>
      <w:r w:rsidR="00FC696A">
        <w:t xml:space="preserve"> </w:t>
      </w:r>
      <w:r w:rsidR="00CA3B9F">
        <w:t xml:space="preserve">for prudential reporting purposes </w:t>
      </w:r>
      <w:r w:rsidR="00FC696A">
        <w:t>and for establishing appropriate and robust provisioning levels</w:t>
      </w:r>
      <w:r w:rsidRPr="008717F4">
        <w:t xml:space="preserve">. An ADI’s system for classification </w:t>
      </w:r>
      <w:r w:rsidR="00FC696A">
        <w:t xml:space="preserve">and provisioning </w:t>
      </w:r>
      <w:r w:rsidRPr="008717F4">
        <w:t xml:space="preserve">must </w:t>
      </w:r>
      <w:proofErr w:type="gramStart"/>
      <w:r w:rsidRPr="008717F4">
        <w:t>take into account</w:t>
      </w:r>
      <w:proofErr w:type="gramEnd"/>
      <w:r w:rsidRPr="008717F4">
        <w:t xml:space="preserve"> on</w:t>
      </w:r>
      <w:r w:rsidR="00935BA2">
        <w:t>-</w:t>
      </w:r>
      <w:r w:rsidRPr="008717F4">
        <w:t xml:space="preserve"> and off</w:t>
      </w:r>
      <w:r w:rsidR="00935BA2">
        <w:t>-</w:t>
      </w:r>
      <w:r w:rsidRPr="008717F4">
        <w:t>balance sheet exposures.</w:t>
      </w:r>
      <w:bookmarkEnd w:id="552"/>
      <w:r w:rsidR="00544168" w:rsidRPr="00CE6686" w:rsidDel="00544168">
        <w:rPr>
          <w:rStyle w:val="FootnoteReference"/>
          <w:sz w:val="22"/>
          <w:szCs w:val="22"/>
        </w:rPr>
        <w:t xml:space="preserve"> </w:t>
      </w:r>
    </w:p>
    <w:p w14:paraId="73F9A6B5" w14:textId="0BBE78AA" w:rsidR="00544168" w:rsidRPr="008717F4" w:rsidRDefault="005312F9" w:rsidP="00544168">
      <w:pPr>
        <w:pStyle w:val="BodyText1"/>
      </w:pPr>
      <w:r w:rsidRPr="008717F4">
        <w:t>A</w:t>
      </w:r>
      <w:r w:rsidR="00AB6D68" w:rsidRPr="008717F4">
        <w:t xml:space="preserve">n ADI must classify its </w:t>
      </w:r>
      <w:r w:rsidR="00D36405">
        <w:t xml:space="preserve">credit risk </w:t>
      </w:r>
      <w:r w:rsidR="00AB6D68" w:rsidRPr="008717F4">
        <w:t>exposures as performing or non</w:t>
      </w:r>
      <w:r w:rsidR="00935BA2">
        <w:t>-</w:t>
      </w:r>
      <w:r w:rsidR="00AB6D68" w:rsidRPr="008717F4">
        <w:t>performing</w:t>
      </w:r>
      <w:r w:rsidR="00CD241E">
        <w:t>. An ADI must</w:t>
      </w:r>
      <w:r w:rsidR="00544168">
        <w:t xml:space="preserve"> have </w:t>
      </w:r>
      <w:r w:rsidR="00544168" w:rsidRPr="00177920">
        <w:t>adequate documentation to support its classification</w:t>
      </w:r>
      <w:r w:rsidR="00544168">
        <w:t xml:space="preserve"> of exposures and its provisioning levels.</w:t>
      </w:r>
      <w:r w:rsidR="00CE6686" w:rsidRPr="00CE6686">
        <w:t xml:space="preserve"> </w:t>
      </w:r>
      <w:r w:rsidR="00CE6686" w:rsidRPr="00374677">
        <w:t xml:space="preserve">An ADI must </w:t>
      </w:r>
      <w:r w:rsidR="00CE6686">
        <w:t xml:space="preserve">also </w:t>
      </w:r>
      <w:r w:rsidR="00CE6686" w:rsidRPr="00374677">
        <w:t xml:space="preserve">classify its exposures when payments are </w:t>
      </w:r>
      <w:r w:rsidR="00371B5F">
        <w:t>past-due</w:t>
      </w:r>
      <w:r w:rsidR="00CE6686" w:rsidRPr="00374677">
        <w:t xml:space="preserve"> for a minimum number of days (i.e. 30, 60 and 90 days).</w:t>
      </w:r>
    </w:p>
    <w:p w14:paraId="040C27E5" w14:textId="07007013" w:rsidR="005811BA" w:rsidRPr="001A0B3E" w:rsidRDefault="00BA2C25" w:rsidP="00860021">
      <w:pPr>
        <w:pStyle w:val="BodyText1"/>
      </w:pPr>
      <w:r w:rsidRPr="001A0B3E">
        <w:t>A</w:t>
      </w:r>
      <w:r w:rsidR="005811BA" w:rsidRPr="001A0B3E">
        <w:t xml:space="preserve">n ADI must regularly review </w:t>
      </w:r>
      <w:r w:rsidR="00B25728" w:rsidRPr="001A0B3E">
        <w:t>its</w:t>
      </w:r>
      <w:r w:rsidR="005811BA" w:rsidRPr="001A0B3E">
        <w:t xml:space="preserve"> </w:t>
      </w:r>
      <w:r w:rsidR="00730C6C" w:rsidRPr="001A0B3E">
        <w:t>exposures</w:t>
      </w:r>
      <w:r w:rsidR="005811BA" w:rsidRPr="001A0B3E">
        <w:t xml:space="preserve"> at an individual level or at a portfolio level</w:t>
      </w:r>
      <w:r w:rsidR="00DE4B61">
        <w:t xml:space="preserve"> </w:t>
      </w:r>
      <w:r w:rsidR="00F75E3E">
        <w:t xml:space="preserve">to ensure appropriate </w:t>
      </w:r>
      <w:r w:rsidR="005811BA" w:rsidRPr="001A0B3E">
        <w:t>classification</w:t>
      </w:r>
      <w:r w:rsidR="00F75E3E">
        <w:t xml:space="preserve"> of exposures</w:t>
      </w:r>
      <w:r w:rsidR="005811BA" w:rsidRPr="001A0B3E">
        <w:t>, provisioning</w:t>
      </w:r>
      <w:r w:rsidR="00F75E3E">
        <w:t xml:space="preserve"> levels</w:t>
      </w:r>
      <w:r w:rsidR="00337E00">
        <w:t xml:space="preserve"> </w:t>
      </w:r>
      <w:r w:rsidR="005811BA" w:rsidRPr="001A0B3E">
        <w:t>and write</w:t>
      </w:r>
      <w:r w:rsidR="00C4039B">
        <w:t>-</w:t>
      </w:r>
      <w:r w:rsidR="005811BA" w:rsidRPr="001A0B3E">
        <w:t>offs.</w:t>
      </w:r>
    </w:p>
    <w:p w14:paraId="2831ACD1" w14:textId="70297E3F" w:rsidR="005811BA" w:rsidRPr="00666895" w:rsidRDefault="005811BA" w:rsidP="00860021">
      <w:pPr>
        <w:pStyle w:val="BodyText1"/>
      </w:pPr>
      <w:r w:rsidRPr="00666895">
        <w:t xml:space="preserve">An ADI must have </w:t>
      </w:r>
      <w:r w:rsidR="00093726">
        <w:t>sound</w:t>
      </w:r>
      <w:r w:rsidRPr="00666895">
        <w:t xml:space="preserve"> policies and processes to ensure that provisions </w:t>
      </w:r>
      <w:r w:rsidR="00337E00">
        <w:t>and</w:t>
      </w:r>
      <w:r w:rsidRPr="00666895">
        <w:t xml:space="preserve"> write</w:t>
      </w:r>
      <w:r w:rsidR="00D71452">
        <w:t>-</w:t>
      </w:r>
      <w:r w:rsidRPr="00666895">
        <w:t xml:space="preserve">offs are timely and reflect realistic repayment and recovery expectations, </w:t>
      </w:r>
      <w:proofErr w:type="gramStart"/>
      <w:r w:rsidRPr="00666895">
        <w:t>taking into account</w:t>
      </w:r>
      <w:proofErr w:type="gramEnd"/>
      <w:r w:rsidRPr="00666895">
        <w:t xml:space="preserve"> market and macroeconomic conditions.</w:t>
      </w:r>
    </w:p>
    <w:p w14:paraId="4C7FDE9D" w14:textId="3F8D012A" w:rsidR="005811BA" w:rsidRPr="00666895" w:rsidRDefault="005811BA" w:rsidP="000D423B">
      <w:pPr>
        <w:pStyle w:val="BodyText1"/>
      </w:pPr>
      <w:r w:rsidRPr="00666895">
        <w:t xml:space="preserve">An </w:t>
      </w:r>
      <w:r w:rsidRPr="00B6546B">
        <w:t>ADI’s Board</w:t>
      </w:r>
      <w:r w:rsidRPr="00666895">
        <w:t xml:space="preserve"> must obtain timely and appropriate information on the condition of the ADI’s </w:t>
      </w:r>
      <w:r w:rsidR="00F9762F">
        <w:t>credit</w:t>
      </w:r>
      <w:r w:rsidR="00F9762F" w:rsidRPr="00666895">
        <w:t xml:space="preserve"> </w:t>
      </w:r>
      <w:r w:rsidRPr="00666895">
        <w:t xml:space="preserve">portfolio, including </w:t>
      </w:r>
      <w:r w:rsidR="002710FC">
        <w:t xml:space="preserve">the </w:t>
      </w:r>
      <w:r w:rsidRPr="00666895">
        <w:t xml:space="preserve">classification of </w:t>
      </w:r>
      <w:r w:rsidR="00F9762F">
        <w:t>exposures</w:t>
      </w:r>
      <w:r w:rsidR="002710FC">
        <w:t xml:space="preserve"> as </w:t>
      </w:r>
      <w:r w:rsidR="00DB783D">
        <w:t>performing</w:t>
      </w:r>
      <w:r w:rsidR="002710FC" w:rsidRPr="00DD65EC">
        <w:t xml:space="preserve"> </w:t>
      </w:r>
      <w:r w:rsidR="002710FC">
        <w:t>and non</w:t>
      </w:r>
      <w:r w:rsidR="0053656E">
        <w:t>-</w:t>
      </w:r>
      <w:r w:rsidR="002710FC">
        <w:t>performing and</w:t>
      </w:r>
      <w:r w:rsidRPr="00666895">
        <w:t xml:space="preserve"> the level of provisions. The information </w:t>
      </w:r>
      <w:r w:rsidR="00A553D7">
        <w:t xml:space="preserve">must </w:t>
      </w:r>
      <w:r w:rsidRPr="00666895">
        <w:t xml:space="preserve">include, at a minimum, results of the latest </w:t>
      </w:r>
      <w:r w:rsidR="002710FC">
        <w:t xml:space="preserve">credit </w:t>
      </w:r>
      <w:r w:rsidR="00D22268">
        <w:t xml:space="preserve">risk </w:t>
      </w:r>
      <w:r w:rsidRPr="00666895">
        <w:t xml:space="preserve">review process, comparative trends in the overall quality of </w:t>
      </w:r>
      <w:r w:rsidR="00730C6C">
        <w:t>exposures</w:t>
      </w:r>
      <w:r w:rsidR="00B75384">
        <w:t xml:space="preserve"> and</w:t>
      </w:r>
      <w:r w:rsidRPr="00666895">
        <w:t xml:space="preserve"> measurements of existing or anticipated deterioration in asset quality and </w:t>
      </w:r>
      <w:r w:rsidR="002A73A2">
        <w:t xml:space="preserve">expected credit </w:t>
      </w:r>
      <w:r w:rsidRPr="00666895">
        <w:t>losses</w:t>
      </w:r>
      <w:r w:rsidR="002A73A2">
        <w:t>.</w:t>
      </w:r>
    </w:p>
    <w:p w14:paraId="608C115D" w14:textId="21740089" w:rsidR="005811BA" w:rsidRPr="00736F45" w:rsidRDefault="005811BA" w:rsidP="0053656E">
      <w:pPr>
        <w:pStyle w:val="BodyText1"/>
      </w:pPr>
      <w:r w:rsidRPr="00736F45">
        <w:t>An ADI must ensure that valuation, classification and provisioning</w:t>
      </w:r>
      <w:r w:rsidR="0020546A" w:rsidRPr="00736F45">
        <w:t xml:space="preserve"> for </w:t>
      </w:r>
      <w:r w:rsidR="00CF3B9F">
        <w:t xml:space="preserve">material </w:t>
      </w:r>
      <w:r w:rsidR="00706281">
        <w:t>non</w:t>
      </w:r>
      <w:r w:rsidR="0053656E">
        <w:t>-</w:t>
      </w:r>
      <w:r w:rsidR="00706281">
        <w:t>performing</w:t>
      </w:r>
      <w:r w:rsidR="00736F45">
        <w:t xml:space="preserve"> </w:t>
      </w:r>
      <w:r w:rsidR="0020546A" w:rsidRPr="00736F45">
        <w:t xml:space="preserve">exposures </w:t>
      </w:r>
      <w:r w:rsidRPr="00736F45">
        <w:t xml:space="preserve">are conducted on an individual </w:t>
      </w:r>
      <w:r w:rsidR="002710FC">
        <w:t>exposure</w:t>
      </w:r>
      <w:r w:rsidR="002710FC" w:rsidRPr="00736F45">
        <w:t xml:space="preserve"> </w:t>
      </w:r>
      <w:r w:rsidRPr="00736F45">
        <w:t>basis</w:t>
      </w:r>
      <w:r w:rsidR="00875AC0">
        <w:t>.</w:t>
      </w:r>
    </w:p>
    <w:p w14:paraId="7882FEF0" w14:textId="5B7E3F8D" w:rsidR="005811BA" w:rsidRPr="00666895" w:rsidRDefault="005811BA" w:rsidP="0053656E">
      <w:pPr>
        <w:pStyle w:val="BodyText1"/>
      </w:pPr>
      <w:bookmarkStart w:id="553" w:name="_Ref529524245"/>
      <w:r w:rsidRPr="00666895">
        <w:t>An ADI must regularly assess any trends and concentrations in risk and risk build</w:t>
      </w:r>
      <w:r w:rsidR="0053656E">
        <w:t>-</w:t>
      </w:r>
      <w:r w:rsidRPr="00666895">
        <w:t xml:space="preserve">up in relation to </w:t>
      </w:r>
      <w:r w:rsidR="002710FC">
        <w:t xml:space="preserve">credit </w:t>
      </w:r>
      <w:r w:rsidR="00730C6C">
        <w:t>exposures</w:t>
      </w:r>
      <w:r w:rsidRPr="00666895">
        <w:t xml:space="preserve"> and </w:t>
      </w:r>
      <w:proofErr w:type="gramStart"/>
      <w:r w:rsidRPr="00666895">
        <w:t>take into account</w:t>
      </w:r>
      <w:proofErr w:type="gramEnd"/>
      <w:r w:rsidRPr="00666895">
        <w:t xml:space="preserve"> any observed concentration in the risk mitigation strategies adopted and the potential effect on the efficacy of the mitigant in reducing loss. An ADI must consider the adequacy of provisions </w:t>
      </w:r>
      <w:proofErr w:type="gramStart"/>
      <w:r w:rsidRPr="00666895">
        <w:t>in light of</w:t>
      </w:r>
      <w:proofErr w:type="gramEnd"/>
      <w:r w:rsidRPr="00666895">
        <w:t xml:space="preserve"> this assessment.</w:t>
      </w:r>
      <w:bookmarkEnd w:id="553"/>
    </w:p>
    <w:p w14:paraId="5D65B07C" w14:textId="69E3D4EC" w:rsidR="00A079EA" w:rsidRPr="00666895" w:rsidRDefault="000E6D69" w:rsidP="0053656E">
      <w:pPr>
        <w:pStyle w:val="Heading1"/>
      </w:pPr>
      <w:bookmarkStart w:id="554" w:name="_Toc510011081"/>
      <w:bookmarkStart w:id="555" w:name="_Toc105754871"/>
      <w:r>
        <w:t>N</w:t>
      </w:r>
      <w:r w:rsidR="00706281">
        <w:t>on</w:t>
      </w:r>
      <w:r w:rsidR="002C6892">
        <w:t>-</w:t>
      </w:r>
      <w:r w:rsidR="00706281" w:rsidRPr="008D2745">
        <w:t>performing</w:t>
      </w:r>
      <w:r w:rsidR="00706281">
        <w:t xml:space="preserve"> </w:t>
      </w:r>
      <w:r w:rsidR="005C1EDD">
        <w:t>exposures</w:t>
      </w:r>
      <w:bookmarkEnd w:id="554"/>
      <w:bookmarkEnd w:id="555"/>
    </w:p>
    <w:p w14:paraId="59D4E62D" w14:textId="4A2AF60B" w:rsidR="003F6675" w:rsidRPr="000833DC" w:rsidRDefault="007B628D" w:rsidP="0053656E">
      <w:pPr>
        <w:pStyle w:val="BodyText1"/>
      </w:pPr>
      <w:bookmarkStart w:id="556" w:name="_Toc510011082"/>
      <w:bookmarkStart w:id="557" w:name="_Toc524615205"/>
      <w:bookmarkStart w:id="558" w:name="_Toc524686106"/>
      <w:bookmarkStart w:id="559" w:name="_Toc524700157"/>
      <w:bookmarkStart w:id="560" w:name="_Toc525032629"/>
      <w:bookmarkStart w:id="561" w:name="_Toc525224957"/>
      <w:bookmarkStart w:id="562" w:name="_Toc525293386"/>
      <w:bookmarkStart w:id="563" w:name="_Toc525553673"/>
      <w:bookmarkStart w:id="564" w:name="_Toc525564921"/>
      <w:bookmarkStart w:id="565" w:name="_Toc525716593"/>
      <w:bookmarkStart w:id="566" w:name="_Toc526242488"/>
      <w:bookmarkStart w:id="567" w:name="_Toc526249226"/>
      <w:bookmarkStart w:id="568" w:name="_Toc526343645"/>
      <w:bookmarkStart w:id="569" w:name="_Toc526502185"/>
      <w:bookmarkStart w:id="570" w:name="_Toc526506254"/>
      <w:r>
        <w:t xml:space="preserve">For </w:t>
      </w:r>
      <w:r w:rsidRPr="009750A5">
        <w:t>the purposes of this Prudential Standard</w:t>
      </w:r>
      <w:r>
        <w:t>, n</w:t>
      </w:r>
      <w:r w:rsidR="00014EC7">
        <w:t xml:space="preserve">on-performing exposures must be measured as the whole amount of the exposure including where non-performance relates </w:t>
      </w:r>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r w:rsidR="003F6675" w:rsidRPr="000833DC">
        <w:t xml:space="preserve">to only a part of the exposure, for </w:t>
      </w:r>
      <w:r w:rsidR="009A155D">
        <w:t>example</w:t>
      </w:r>
      <w:r w:rsidR="003F6675" w:rsidRPr="000833DC">
        <w:t>, unpaid interest. For off</w:t>
      </w:r>
      <w:r w:rsidR="00AB4CFD">
        <w:t>-</w:t>
      </w:r>
      <w:r w:rsidR="003F6675" w:rsidRPr="000833DC">
        <w:t xml:space="preserve">balance sheet exposures, the whole exposure is the entire </w:t>
      </w:r>
      <w:r w:rsidR="00AE4A82">
        <w:t xml:space="preserve">notional </w:t>
      </w:r>
      <w:r w:rsidR="003F6675" w:rsidRPr="000833DC">
        <w:t>amount</w:t>
      </w:r>
      <w:r w:rsidR="00B47431" w:rsidRPr="000833DC">
        <w:t>.</w:t>
      </w:r>
    </w:p>
    <w:p w14:paraId="16015F36" w14:textId="540D3CB8" w:rsidR="00E13A43" w:rsidRPr="002710FC" w:rsidRDefault="00BE3A7A" w:rsidP="00AB4CFD">
      <w:pPr>
        <w:pStyle w:val="BodyText1"/>
      </w:pPr>
      <w:r w:rsidRPr="00222D9E">
        <w:t>Collateral</w:t>
      </w:r>
      <w:r w:rsidR="00E6680E" w:rsidRPr="002710FC">
        <w:t xml:space="preserve"> </w:t>
      </w:r>
      <w:r w:rsidR="004B075F" w:rsidRPr="002710FC">
        <w:t xml:space="preserve">and </w:t>
      </w:r>
      <w:r w:rsidR="008A7433" w:rsidRPr="002710FC">
        <w:t xml:space="preserve">other risk mitigation arrangements </w:t>
      </w:r>
      <w:r w:rsidRPr="002710FC">
        <w:t xml:space="preserve">must </w:t>
      </w:r>
      <w:r w:rsidR="00E60B24">
        <w:t>not</w:t>
      </w:r>
      <w:r w:rsidRPr="002710FC">
        <w:t xml:space="preserve"> </w:t>
      </w:r>
      <w:r w:rsidR="001455D1" w:rsidRPr="002710FC">
        <w:t>direct</w:t>
      </w:r>
      <w:r w:rsidR="00E60B24">
        <w:t>ly</w:t>
      </w:r>
      <w:r w:rsidR="001455D1" w:rsidRPr="002710FC">
        <w:t xml:space="preserve"> </w:t>
      </w:r>
      <w:r w:rsidRPr="002710FC">
        <w:t xml:space="preserve">influence the categorisation of an exposure as </w:t>
      </w:r>
      <w:r w:rsidR="003A0ED0" w:rsidRPr="002710FC">
        <w:t>non</w:t>
      </w:r>
      <w:r w:rsidR="00AB4CFD">
        <w:t>-</w:t>
      </w:r>
      <w:r w:rsidR="003A0ED0" w:rsidRPr="002710FC">
        <w:t>performing</w:t>
      </w:r>
      <w:r w:rsidRPr="002710FC">
        <w:t>.</w:t>
      </w:r>
    </w:p>
    <w:p w14:paraId="66742E04" w14:textId="7F146D5F" w:rsidR="00A359F1" w:rsidRPr="00462B9C" w:rsidRDefault="00A359F1" w:rsidP="00E60B24">
      <w:pPr>
        <w:pStyle w:val="BodyText1"/>
      </w:pPr>
      <w:r w:rsidRPr="00A359F1">
        <w:t xml:space="preserve">Collateral may be </w:t>
      </w:r>
      <w:r w:rsidR="00E60B24">
        <w:t>considered</w:t>
      </w:r>
      <w:r w:rsidRPr="00A359F1">
        <w:t xml:space="preserve">, along with other factors, in assessing </w:t>
      </w:r>
      <w:r w:rsidR="00837576">
        <w:t>whether</w:t>
      </w:r>
      <w:r w:rsidRPr="00A359F1">
        <w:t xml:space="preserve"> </w:t>
      </w:r>
      <w:r w:rsidR="00837576">
        <w:t xml:space="preserve">a </w:t>
      </w:r>
      <w:r w:rsidR="00EE2E84">
        <w:t>borrower</w:t>
      </w:r>
      <w:r w:rsidR="00C064D0">
        <w:t xml:space="preserve"> is</w:t>
      </w:r>
      <w:r w:rsidRPr="00A359F1">
        <w:t xml:space="preserve"> lik</w:t>
      </w:r>
      <w:r w:rsidR="00B47AD0">
        <w:t>e</w:t>
      </w:r>
      <w:r w:rsidRPr="00A359F1">
        <w:t>l</w:t>
      </w:r>
      <w:r w:rsidR="00837576">
        <w:t>y</w:t>
      </w:r>
      <w:r w:rsidRPr="00A359F1">
        <w:t xml:space="preserve"> to pay. </w:t>
      </w:r>
      <w:r w:rsidR="00E60B24">
        <w:t>C</w:t>
      </w:r>
      <w:r w:rsidR="00E60B24" w:rsidRPr="00A359F1">
        <w:t>ollateralisation must</w:t>
      </w:r>
      <w:r w:rsidRPr="00A359F1">
        <w:t xml:space="preserve"> not influence the past</w:t>
      </w:r>
      <w:r w:rsidR="00E60B24">
        <w:t>-</w:t>
      </w:r>
      <w:r w:rsidRPr="00A359F1">
        <w:t>due status, including the counting of past</w:t>
      </w:r>
      <w:r w:rsidR="00E60B24">
        <w:t>-</w:t>
      </w:r>
      <w:r w:rsidRPr="00A359F1">
        <w:t xml:space="preserve">due days and the determination of the exposure as </w:t>
      </w:r>
      <w:r w:rsidRPr="00A359F1">
        <w:lastRenderedPageBreak/>
        <w:t>non</w:t>
      </w:r>
      <w:r w:rsidR="00E60B24">
        <w:t>-</w:t>
      </w:r>
      <w:r w:rsidRPr="00A359F1">
        <w:t xml:space="preserve">performing. </w:t>
      </w:r>
      <w:r w:rsidR="00283545">
        <w:t>A</w:t>
      </w:r>
      <w:r w:rsidRPr="00A359F1">
        <w:t xml:space="preserve">n exposure must </w:t>
      </w:r>
      <w:r>
        <w:t xml:space="preserve">be </w:t>
      </w:r>
      <w:r w:rsidR="00CA3B9F">
        <w:t>classified</w:t>
      </w:r>
      <w:r w:rsidRPr="00A359F1">
        <w:t xml:space="preserve"> as non</w:t>
      </w:r>
      <w:r w:rsidR="00E60B24">
        <w:t>-</w:t>
      </w:r>
      <w:r w:rsidRPr="00A359F1">
        <w:t xml:space="preserve">performing </w:t>
      </w:r>
      <w:r w:rsidR="00FD0822">
        <w:t xml:space="preserve">where it meets the definition of non-performing </w:t>
      </w:r>
      <w:r w:rsidRPr="00A359F1">
        <w:t>even if the collateral value exceeds the amount of the past</w:t>
      </w:r>
      <w:r w:rsidR="00E60B24">
        <w:t>-</w:t>
      </w:r>
      <w:r w:rsidRPr="00A359F1">
        <w:t>due exposure.</w:t>
      </w:r>
    </w:p>
    <w:p w14:paraId="2DCB6308" w14:textId="77777777" w:rsidR="00130507" w:rsidRPr="00BE57FC" w:rsidRDefault="00130507" w:rsidP="00EB091D">
      <w:pPr>
        <w:pStyle w:val="Heading3"/>
      </w:pPr>
      <w:bookmarkStart w:id="571" w:name="_Toc524615207"/>
      <w:bookmarkStart w:id="572" w:name="_Toc524686108"/>
      <w:bookmarkStart w:id="573" w:name="_Toc524700159"/>
      <w:bookmarkStart w:id="574" w:name="_Toc525032631"/>
      <w:bookmarkStart w:id="575" w:name="_Toc525224959"/>
      <w:bookmarkStart w:id="576" w:name="_Toc525293388"/>
      <w:bookmarkStart w:id="577" w:name="_Toc525553675"/>
      <w:bookmarkStart w:id="578" w:name="_Toc525564923"/>
      <w:bookmarkStart w:id="579" w:name="_Toc525716595"/>
      <w:bookmarkStart w:id="580" w:name="_Toc526242490"/>
      <w:bookmarkStart w:id="581" w:name="_Toc526249228"/>
      <w:bookmarkStart w:id="582" w:name="_Toc526343647"/>
      <w:bookmarkStart w:id="583" w:name="_Toc526502187"/>
      <w:bookmarkStart w:id="584" w:name="_Toc526506256"/>
      <w:bookmarkStart w:id="585" w:name="_Toc527023819"/>
      <w:bookmarkStart w:id="586" w:name="_Toc527025637"/>
      <w:bookmarkStart w:id="587" w:name="_Toc527029589"/>
      <w:bookmarkStart w:id="588" w:name="_Toc527033971"/>
      <w:bookmarkStart w:id="589" w:name="_Toc527040472"/>
      <w:bookmarkStart w:id="590" w:name="_Toc527109054"/>
      <w:bookmarkStart w:id="591" w:name="_Toc527382485"/>
      <w:bookmarkStart w:id="592" w:name="_Toc527384504"/>
      <w:bookmarkStart w:id="593" w:name="_Toc527466145"/>
      <w:bookmarkStart w:id="594" w:name="_Toc527466366"/>
      <w:bookmarkStart w:id="595" w:name="_Toc527467237"/>
      <w:bookmarkStart w:id="596" w:name="_Toc528756600"/>
      <w:bookmarkStart w:id="597" w:name="_Toc528756818"/>
      <w:bookmarkStart w:id="598" w:name="_Toc528759521"/>
      <w:bookmarkStart w:id="599" w:name="_Toc528853348"/>
      <w:bookmarkStart w:id="600" w:name="_Toc528854278"/>
      <w:bookmarkStart w:id="601" w:name="_Toc528854571"/>
      <w:bookmarkStart w:id="602" w:name="_Toc529439220"/>
      <w:bookmarkStart w:id="603" w:name="_Toc529456734"/>
      <w:bookmarkStart w:id="604" w:name="_Toc529518499"/>
      <w:bookmarkStart w:id="605" w:name="_Toc529523949"/>
      <w:bookmarkStart w:id="606" w:name="_Toc529536622"/>
      <w:bookmarkStart w:id="607" w:name="_Toc529776628"/>
      <w:bookmarkStart w:id="608" w:name="_Toc532908846"/>
      <w:bookmarkStart w:id="609" w:name="_Toc533068400"/>
      <w:bookmarkStart w:id="610" w:name="_Toc533074594"/>
      <w:bookmarkStart w:id="611" w:name="_Toc535483693"/>
      <w:bookmarkStart w:id="612" w:name="_Toc536533477"/>
      <w:bookmarkStart w:id="613" w:name="_Toc3894345"/>
      <w:bookmarkStart w:id="614" w:name="_Toc3897509"/>
      <w:bookmarkStart w:id="615" w:name="_Toc3973421"/>
      <w:bookmarkStart w:id="616" w:name="_Toc3985313"/>
      <w:bookmarkStart w:id="617" w:name="_Toc25741773"/>
      <w:bookmarkStart w:id="618" w:name="_Toc25747205"/>
      <w:bookmarkStart w:id="619" w:name="_Toc25748948"/>
      <w:bookmarkStart w:id="620" w:name="_Toc25749080"/>
      <w:bookmarkStart w:id="621" w:name="_Toc26951185"/>
      <w:bookmarkStart w:id="622" w:name="_Toc26951289"/>
      <w:bookmarkStart w:id="623" w:name="_Toc105754872"/>
      <w:bookmarkStart w:id="624" w:name="_Toc510011083"/>
      <w:r>
        <w:t>Off-balance sheet exposures</w:t>
      </w:r>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p>
    <w:p w14:paraId="2AEAD2A1" w14:textId="2527BB45" w:rsidR="00D172D5" w:rsidRDefault="009D3A5B" w:rsidP="00EB091D">
      <w:pPr>
        <w:pStyle w:val="BodyText1"/>
      </w:pPr>
      <w:r>
        <w:t xml:space="preserve">An ADI must </w:t>
      </w:r>
      <w:r w:rsidR="00CA3B9F">
        <w:t>classify</w:t>
      </w:r>
      <w:r>
        <w:t xml:space="preserve"> off-balance sheet </w:t>
      </w:r>
      <w:r w:rsidR="00525AC0">
        <w:t>exposures as non</w:t>
      </w:r>
      <w:r w:rsidR="00EB091D">
        <w:t>-</w:t>
      </w:r>
      <w:r w:rsidR="00525AC0">
        <w:t xml:space="preserve">performing where the ADI has </w:t>
      </w:r>
      <w:r w:rsidR="00F85F7F" w:rsidRPr="00F85F7F">
        <w:t xml:space="preserve">cause to believe that </w:t>
      </w:r>
      <w:r w:rsidR="00525AC0">
        <w:t>it</w:t>
      </w:r>
      <w:r w:rsidR="00F85F7F" w:rsidRPr="00F85F7F">
        <w:t xml:space="preserve"> </w:t>
      </w:r>
      <w:r w:rsidR="00D5041B">
        <w:t xml:space="preserve">is unlikely </w:t>
      </w:r>
      <w:r w:rsidR="00F85F7F" w:rsidRPr="00F85F7F">
        <w:t>to recoup, in a timely manner, the full amounts it may be required to advance.</w:t>
      </w:r>
    </w:p>
    <w:p w14:paraId="5A81FC82" w14:textId="004811AC" w:rsidR="00776F5F" w:rsidRPr="00776F5F" w:rsidRDefault="00776F5F" w:rsidP="00EB091D">
      <w:pPr>
        <w:pStyle w:val="BodyText1"/>
      </w:pPr>
      <w:r w:rsidRPr="00776F5F">
        <w:t xml:space="preserve">Commitments must also be classified as </w:t>
      </w:r>
      <w:r w:rsidR="00B200E5">
        <w:t>non</w:t>
      </w:r>
      <w:r w:rsidR="00EB091D">
        <w:t>-</w:t>
      </w:r>
      <w:r w:rsidR="00B200E5">
        <w:t xml:space="preserve">performing </w:t>
      </w:r>
      <w:r w:rsidRPr="00776F5F">
        <w:t xml:space="preserve">if the creditworthiness of a borrower has deteriorated to an extent that the timely repayment in full by the borrower of any potential drawdown or associated interest payments or fees is </w:t>
      </w:r>
      <w:r w:rsidR="00D5041B">
        <w:t>unlikely</w:t>
      </w:r>
      <w:r w:rsidRPr="00776F5F">
        <w:t>.</w:t>
      </w:r>
    </w:p>
    <w:p w14:paraId="38B78A59" w14:textId="7E14E188" w:rsidR="000E6F3F" w:rsidRPr="008C3FBC" w:rsidRDefault="00130507" w:rsidP="00EB091D">
      <w:pPr>
        <w:pStyle w:val="BodyText1"/>
      </w:pPr>
      <w:bookmarkStart w:id="625" w:name="_Ref532909203"/>
      <w:bookmarkStart w:id="626" w:name="_Ref3894605"/>
      <w:r w:rsidRPr="008C3FBC">
        <w:t xml:space="preserve">If an ADI </w:t>
      </w:r>
      <w:r w:rsidR="00E4173B">
        <w:t xml:space="preserve">considers it </w:t>
      </w:r>
      <w:r w:rsidR="00821AF7">
        <w:t xml:space="preserve">unlikely </w:t>
      </w:r>
      <w:r w:rsidR="00821AF7" w:rsidRPr="008C3FBC">
        <w:t>that</w:t>
      </w:r>
      <w:r w:rsidR="00E4173B">
        <w:t xml:space="preserve"> it will receive timely repayment</w:t>
      </w:r>
      <w:r w:rsidR="00821AF7">
        <w:t xml:space="preserve">, </w:t>
      </w:r>
      <w:r w:rsidR="00821AF7" w:rsidRPr="008C3FBC">
        <w:t>in</w:t>
      </w:r>
      <w:r w:rsidRPr="008C3FBC">
        <w:t xml:space="preserve"> full, of cash flow entitlements which are or will be due from a counterparty to a derivative transaction, it must </w:t>
      </w:r>
      <w:r w:rsidR="00CA3B9F">
        <w:t>classify</w:t>
      </w:r>
      <w:r w:rsidRPr="008C3FBC">
        <w:t xml:space="preserve"> such an exposure as </w:t>
      </w:r>
      <w:r w:rsidR="00B200E5" w:rsidRPr="008C3FBC">
        <w:t>non</w:t>
      </w:r>
      <w:r w:rsidR="00EB091D">
        <w:t>-</w:t>
      </w:r>
      <w:r w:rsidR="00B200E5" w:rsidRPr="008C3FBC">
        <w:t>performing</w:t>
      </w:r>
      <w:r w:rsidRPr="008C3FBC">
        <w:t xml:space="preserve">. In this regard, an ADI must calculate </w:t>
      </w:r>
      <w:r w:rsidR="00402C85" w:rsidRPr="008C3FBC">
        <w:t>its</w:t>
      </w:r>
      <w:r w:rsidRPr="008C3FBC">
        <w:t xml:space="preserve"> derivative transaction exposures to counterparties for </w:t>
      </w:r>
      <w:r w:rsidR="005E470D" w:rsidRPr="008C3FBC">
        <w:t xml:space="preserve">the </w:t>
      </w:r>
      <w:r w:rsidRPr="008C3FBC">
        <w:t xml:space="preserve">purposes of measuring </w:t>
      </w:r>
      <w:r w:rsidR="00217D6F" w:rsidRPr="008C3FBC">
        <w:t>non</w:t>
      </w:r>
      <w:r w:rsidR="00DB783D">
        <w:t>-</w:t>
      </w:r>
      <w:r w:rsidR="00217D6F" w:rsidRPr="008C3FBC">
        <w:t>performance</w:t>
      </w:r>
      <w:r w:rsidRPr="008C3FBC">
        <w:t xml:space="preserve"> </w:t>
      </w:r>
      <w:r w:rsidR="00510087" w:rsidRPr="008C3FBC">
        <w:t xml:space="preserve">under the </w:t>
      </w:r>
      <w:r w:rsidR="008C3FBC" w:rsidRPr="008C3FBC">
        <w:t>standardised approach or the adjusted current exposure method</w:t>
      </w:r>
      <w:r w:rsidR="00510087" w:rsidRPr="008C3FBC">
        <w:t xml:space="preserve"> prescribed in </w:t>
      </w:r>
      <w:r w:rsidR="00716779" w:rsidRPr="00361AAF">
        <w:rPr>
          <w:i/>
        </w:rPr>
        <w:t>Prudential Standard APS 180 Capital Adequacy: Counterparty Credit Risk</w:t>
      </w:r>
      <w:r w:rsidR="00716779" w:rsidRPr="00286866">
        <w:t xml:space="preserve"> (APS 180</w:t>
      </w:r>
      <w:r w:rsidR="00716779">
        <w:t xml:space="preserve">). </w:t>
      </w:r>
      <w:r w:rsidR="000E6F3F" w:rsidRPr="008C3FBC">
        <w:t>Potential exposure add</w:t>
      </w:r>
      <w:r w:rsidR="00EB091D">
        <w:t>-</w:t>
      </w:r>
      <w:r w:rsidR="000E6F3F" w:rsidRPr="008C3FBC">
        <w:t>on</w:t>
      </w:r>
      <w:r w:rsidR="008C3FBC" w:rsidRPr="008C3FBC">
        <w:t>s</w:t>
      </w:r>
      <w:r w:rsidR="000E6F3F" w:rsidRPr="008C3FBC">
        <w:t xml:space="preserve"> applied in calculating such exposures must reflect the nature of the individual facility involved. Derivative transaction exposures must be revalued regularly </w:t>
      </w:r>
      <w:proofErr w:type="gramStart"/>
      <w:r w:rsidR="000E6F3F" w:rsidRPr="008C3FBC">
        <w:t>so as to</w:t>
      </w:r>
      <w:proofErr w:type="gramEnd"/>
      <w:r w:rsidR="000E6F3F" w:rsidRPr="008C3FBC">
        <w:t xml:space="preserve"> maintain reasonably current assessments of the extent of credit risk attaching to these transactions.</w:t>
      </w:r>
      <w:bookmarkEnd w:id="625"/>
      <w:bookmarkEnd w:id="626"/>
    </w:p>
    <w:p w14:paraId="6F07BD85" w14:textId="64547214" w:rsidR="00DE726E" w:rsidRPr="00D3009D" w:rsidRDefault="00C564F2" w:rsidP="00EB091D">
      <w:pPr>
        <w:pStyle w:val="Heading3"/>
      </w:pPr>
      <w:bookmarkStart w:id="627" w:name="_Toc524615208"/>
      <w:bookmarkStart w:id="628" w:name="_Toc524686109"/>
      <w:bookmarkStart w:id="629" w:name="_Toc524700160"/>
      <w:bookmarkStart w:id="630" w:name="_Toc525032632"/>
      <w:bookmarkStart w:id="631" w:name="_Toc525224960"/>
      <w:bookmarkStart w:id="632" w:name="_Toc525293389"/>
      <w:bookmarkStart w:id="633" w:name="_Toc525553676"/>
      <w:bookmarkStart w:id="634" w:name="_Toc525564924"/>
      <w:bookmarkStart w:id="635" w:name="_Toc525716596"/>
      <w:bookmarkStart w:id="636" w:name="_Toc526242491"/>
      <w:bookmarkStart w:id="637" w:name="_Toc526249229"/>
      <w:bookmarkStart w:id="638" w:name="_Toc526343648"/>
      <w:bookmarkStart w:id="639" w:name="_Toc526502188"/>
      <w:bookmarkStart w:id="640" w:name="_Toc526506257"/>
      <w:bookmarkStart w:id="641" w:name="_Toc527023820"/>
      <w:bookmarkStart w:id="642" w:name="_Toc527025638"/>
      <w:bookmarkStart w:id="643" w:name="_Toc527029590"/>
      <w:bookmarkStart w:id="644" w:name="_Toc527033972"/>
      <w:bookmarkStart w:id="645" w:name="_Toc527040473"/>
      <w:bookmarkStart w:id="646" w:name="_Toc527109055"/>
      <w:bookmarkStart w:id="647" w:name="_Toc527382486"/>
      <w:bookmarkStart w:id="648" w:name="_Toc527384505"/>
      <w:bookmarkStart w:id="649" w:name="_Toc527466146"/>
      <w:bookmarkStart w:id="650" w:name="_Toc527466367"/>
      <w:bookmarkStart w:id="651" w:name="_Toc527467238"/>
      <w:bookmarkStart w:id="652" w:name="_Toc528756601"/>
      <w:bookmarkStart w:id="653" w:name="_Toc528756819"/>
      <w:bookmarkStart w:id="654" w:name="_Toc528759522"/>
      <w:bookmarkStart w:id="655" w:name="_Toc528853349"/>
      <w:bookmarkStart w:id="656" w:name="_Toc528854279"/>
      <w:bookmarkStart w:id="657" w:name="_Toc528854572"/>
      <w:bookmarkStart w:id="658" w:name="_Toc529439221"/>
      <w:bookmarkStart w:id="659" w:name="_Toc529456735"/>
      <w:bookmarkStart w:id="660" w:name="_Toc529518500"/>
      <w:bookmarkStart w:id="661" w:name="_Toc529523950"/>
      <w:bookmarkStart w:id="662" w:name="_Toc529536623"/>
      <w:bookmarkStart w:id="663" w:name="_Toc529776629"/>
      <w:bookmarkStart w:id="664" w:name="_Toc532908847"/>
      <w:bookmarkStart w:id="665" w:name="_Toc533068401"/>
      <w:bookmarkStart w:id="666" w:name="_Toc533074595"/>
      <w:bookmarkStart w:id="667" w:name="_Toc535483694"/>
      <w:bookmarkStart w:id="668" w:name="_Toc536533478"/>
      <w:bookmarkStart w:id="669" w:name="_Toc3894346"/>
      <w:bookmarkStart w:id="670" w:name="_Toc3897510"/>
      <w:bookmarkStart w:id="671" w:name="_Toc3973422"/>
      <w:bookmarkStart w:id="672" w:name="_Toc3985314"/>
      <w:bookmarkStart w:id="673" w:name="_Toc25741774"/>
      <w:bookmarkStart w:id="674" w:name="_Toc25747206"/>
      <w:bookmarkStart w:id="675" w:name="_Toc25748949"/>
      <w:bookmarkStart w:id="676" w:name="_Toc25749081"/>
      <w:bookmarkStart w:id="677" w:name="_Toc26951186"/>
      <w:bookmarkStart w:id="678" w:name="_Toc26951290"/>
      <w:bookmarkStart w:id="679" w:name="_Toc105754873"/>
      <w:r w:rsidRPr="00D3009D">
        <w:t>Rec</w:t>
      </w:r>
      <w:r w:rsidR="007F7E08">
        <w:t>lassif</w:t>
      </w:r>
      <w:r w:rsidR="00BE57FC">
        <w:t>i</w:t>
      </w:r>
      <w:r w:rsidR="007F7E08">
        <w:t>cation</w:t>
      </w:r>
      <w:r w:rsidR="00BE57FC">
        <w:t xml:space="preserve"> o</w:t>
      </w:r>
      <w:r w:rsidRPr="00D3009D">
        <w:t xml:space="preserve">f </w:t>
      </w:r>
      <w:r w:rsidR="00EA473D">
        <w:t>non</w:t>
      </w:r>
      <w:r w:rsidR="002C6892">
        <w:t>-</w:t>
      </w:r>
      <w:r w:rsidR="00EA473D">
        <w:t>performing</w:t>
      </w:r>
      <w:r w:rsidR="00572053">
        <w:t xml:space="preserve"> </w:t>
      </w:r>
      <w:r w:rsidRPr="00D3009D">
        <w:t xml:space="preserve">exposures </w:t>
      </w:r>
      <w:r w:rsidR="00572053">
        <w:t>to</w:t>
      </w:r>
      <w:r w:rsidRPr="00D3009D">
        <w:t xml:space="preserve"> performing</w:t>
      </w:r>
      <w:bookmarkEnd w:id="624"/>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p>
    <w:p w14:paraId="1166FF18" w14:textId="16A9619A" w:rsidR="00DE726E" w:rsidRPr="00666895" w:rsidRDefault="00C564F2" w:rsidP="00EB091D">
      <w:pPr>
        <w:pStyle w:val="BodyText1"/>
      </w:pPr>
      <w:bookmarkStart w:id="680" w:name="_Ref22639311"/>
      <w:r w:rsidRPr="00666895">
        <w:t xml:space="preserve">An </w:t>
      </w:r>
      <w:r w:rsidR="008E25F7" w:rsidRPr="00666895">
        <w:t>ADI may re</w:t>
      </w:r>
      <w:r w:rsidR="007F7E08">
        <w:t>classify</w:t>
      </w:r>
      <w:r w:rsidR="008E25F7" w:rsidRPr="00666895">
        <w:t xml:space="preserve"> an exposure from</w:t>
      </w:r>
      <w:r w:rsidRPr="00666895">
        <w:t xml:space="preserve"> </w:t>
      </w:r>
      <w:r w:rsidR="00EA473D">
        <w:t>non</w:t>
      </w:r>
      <w:r w:rsidR="00EB091D">
        <w:t>-</w:t>
      </w:r>
      <w:r w:rsidR="00EA473D">
        <w:t>performing</w:t>
      </w:r>
      <w:r w:rsidRPr="00666895">
        <w:t xml:space="preserve"> </w:t>
      </w:r>
      <w:r w:rsidR="008E25F7" w:rsidRPr="00666895">
        <w:t>to</w:t>
      </w:r>
      <w:r w:rsidRPr="00666895">
        <w:t xml:space="preserve"> performing when </w:t>
      </w:r>
      <w:proofErr w:type="gramStart"/>
      <w:r w:rsidRPr="00666895">
        <w:t xml:space="preserve">all </w:t>
      </w:r>
      <w:r w:rsidR="00EB091D">
        <w:t>of</w:t>
      </w:r>
      <w:proofErr w:type="gramEnd"/>
      <w:r w:rsidR="00EB091D">
        <w:t xml:space="preserve"> </w:t>
      </w:r>
      <w:r w:rsidRPr="00666895">
        <w:t>the following criteria are met:</w:t>
      </w:r>
      <w:bookmarkEnd w:id="680"/>
    </w:p>
    <w:p w14:paraId="18279344" w14:textId="29092546" w:rsidR="00C564F2" w:rsidRPr="0080628E" w:rsidRDefault="00C564F2" w:rsidP="00AB0B8D">
      <w:pPr>
        <w:pStyle w:val="BodyText2"/>
        <w:ind w:left="1134"/>
      </w:pPr>
      <w:bookmarkStart w:id="681" w:name="_Ref3896813"/>
      <w:r w:rsidRPr="00666895">
        <w:t xml:space="preserve">the </w:t>
      </w:r>
      <w:r w:rsidR="0078383D">
        <w:t xml:space="preserve">borrower </w:t>
      </w:r>
      <w:r w:rsidRPr="00666895">
        <w:t xml:space="preserve">does not have any exposure 90 days </w:t>
      </w:r>
      <w:r w:rsidR="007F7E08">
        <w:t xml:space="preserve">or more </w:t>
      </w:r>
      <w:r w:rsidRPr="00666895">
        <w:t>past</w:t>
      </w:r>
      <w:r w:rsidR="00EB091D">
        <w:t>-</w:t>
      </w:r>
      <w:r w:rsidRPr="0080628E">
        <w:t>due;</w:t>
      </w:r>
      <w:bookmarkEnd w:id="681"/>
    </w:p>
    <w:p w14:paraId="3AD36F4A" w14:textId="6BAEE4E7" w:rsidR="00C564F2" w:rsidRPr="00F70248" w:rsidRDefault="00C564F2" w:rsidP="00D43985">
      <w:pPr>
        <w:pStyle w:val="BodyText2"/>
        <w:ind w:left="1134"/>
        <w:jc w:val="both"/>
      </w:pPr>
      <w:r w:rsidRPr="00F70248">
        <w:t xml:space="preserve">repayments have been made when due over a continuous repayment period of at least </w:t>
      </w:r>
      <w:r w:rsidR="00E207A9" w:rsidRPr="00F70248">
        <w:t>90 days</w:t>
      </w:r>
      <w:r w:rsidR="00287637">
        <w:t>, except for restructured exposures for which repayments</w:t>
      </w:r>
      <w:r w:rsidR="00D75078" w:rsidRPr="003F2279">
        <w:t xml:space="preserve">, as per the revised contractual terms, </w:t>
      </w:r>
      <w:r w:rsidR="00D75078">
        <w:t xml:space="preserve">must </w:t>
      </w:r>
      <w:r w:rsidR="00D75078" w:rsidRPr="003F2279">
        <w:t xml:space="preserve">have been made in a timely manner over a continuous repayment period of not less than </w:t>
      </w:r>
      <w:r w:rsidR="00D75078">
        <w:t>six months</w:t>
      </w:r>
      <w:r w:rsidR="00872088">
        <w:t xml:space="preserve"> (the probation period)</w:t>
      </w:r>
      <w:r w:rsidRPr="00F70248">
        <w:t>;</w:t>
      </w:r>
    </w:p>
    <w:p w14:paraId="5386816F" w14:textId="2E92BA36" w:rsidR="00C564F2" w:rsidRPr="00F04C70" w:rsidRDefault="00C564F2" w:rsidP="00D43985">
      <w:pPr>
        <w:pStyle w:val="BodyText2"/>
        <w:ind w:left="1134"/>
        <w:jc w:val="both"/>
      </w:pPr>
      <w:r w:rsidRPr="00F04C70">
        <w:t xml:space="preserve">the </w:t>
      </w:r>
      <w:r w:rsidR="0078383D">
        <w:t>borrower</w:t>
      </w:r>
      <w:r w:rsidRPr="00F04C70">
        <w:t>’s situation has improved so that the full repayment of the exposure is likely, according to the original or, when applicable, modified conditions; and</w:t>
      </w:r>
    </w:p>
    <w:p w14:paraId="17F0F765" w14:textId="01D92CD7" w:rsidR="00C564F2" w:rsidRPr="00F04C70" w:rsidRDefault="00C564F2" w:rsidP="00D43985">
      <w:pPr>
        <w:pStyle w:val="BodyText2"/>
        <w:ind w:left="1134"/>
        <w:jc w:val="both"/>
      </w:pPr>
      <w:bookmarkStart w:id="682" w:name="_Ref3896835"/>
      <w:r w:rsidRPr="00F04C70">
        <w:t xml:space="preserve">the exposure </w:t>
      </w:r>
      <w:r w:rsidR="00FD0822">
        <w:t>does not meet the definition of non-performing in paragraph</w:t>
      </w:r>
      <w:r w:rsidR="00DF7C76">
        <w:t xml:space="preserve"> </w:t>
      </w:r>
      <w:r w:rsidR="00DF7C76">
        <w:fldChar w:fldCharType="begin"/>
      </w:r>
      <w:r w:rsidR="00DF7C76">
        <w:instrText xml:space="preserve"> REF _Ref3896702 \r \h </w:instrText>
      </w:r>
      <w:r w:rsidR="00DF7C76">
        <w:fldChar w:fldCharType="separate"/>
      </w:r>
      <w:r w:rsidR="00A86E02">
        <w:t>13(a)</w:t>
      </w:r>
      <w:r w:rsidR="00DF7C76">
        <w:fldChar w:fldCharType="end"/>
      </w:r>
      <w:r w:rsidR="00DF7C76">
        <w:t>.</w:t>
      </w:r>
      <w:bookmarkEnd w:id="682"/>
    </w:p>
    <w:p w14:paraId="0621A642" w14:textId="557D25A7" w:rsidR="00C564F2" w:rsidRPr="00666895" w:rsidRDefault="008E25F7" w:rsidP="00EB091D">
      <w:pPr>
        <w:pStyle w:val="BodyText1"/>
      </w:pPr>
      <w:r w:rsidRPr="00BE57FC">
        <w:t>An</w:t>
      </w:r>
      <w:r w:rsidRPr="00666895">
        <w:t xml:space="preserve"> ADI must not re</w:t>
      </w:r>
      <w:r w:rsidR="00C564F2" w:rsidRPr="00666895">
        <w:t>c</w:t>
      </w:r>
      <w:r w:rsidR="00544168">
        <w:t>l</w:t>
      </w:r>
      <w:r w:rsidR="00C564F2" w:rsidRPr="00666895">
        <w:t>a</w:t>
      </w:r>
      <w:r w:rsidR="00544168">
        <w:t>ssify</w:t>
      </w:r>
      <w:r w:rsidR="00C564F2" w:rsidRPr="00666895">
        <w:t xml:space="preserve"> a</w:t>
      </w:r>
      <w:r w:rsidR="003C08C8">
        <w:t xml:space="preserve"> </w:t>
      </w:r>
      <w:r w:rsidR="00EA473D">
        <w:t>non</w:t>
      </w:r>
      <w:r w:rsidR="00EB091D">
        <w:t>-</w:t>
      </w:r>
      <w:r w:rsidR="00EA473D">
        <w:t>performing</w:t>
      </w:r>
      <w:r w:rsidR="00C564F2" w:rsidRPr="00666895">
        <w:t xml:space="preserve"> exposure as performing</w:t>
      </w:r>
      <w:r w:rsidRPr="00666895">
        <w:t xml:space="preserve"> in the following </w:t>
      </w:r>
      <w:r w:rsidR="008D2E6C" w:rsidRPr="00666895">
        <w:t>circumstances</w:t>
      </w:r>
      <w:r w:rsidR="00C564F2" w:rsidRPr="00666895">
        <w:t>:</w:t>
      </w:r>
    </w:p>
    <w:p w14:paraId="20C01E34" w14:textId="14AAF740" w:rsidR="001F2A41" w:rsidRPr="00E43199" w:rsidRDefault="00C564F2" w:rsidP="00D43985">
      <w:pPr>
        <w:pStyle w:val="BodyText2"/>
        <w:ind w:left="1134"/>
        <w:jc w:val="both"/>
      </w:pPr>
      <w:r w:rsidRPr="00E43199">
        <w:lastRenderedPageBreak/>
        <w:t>partial write</w:t>
      </w:r>
      <w:r w:rsidR="002B41AE">
        <w:t>-</w:t>
      </w:r>
      <w:r w:rsidRPr="00E43199">
        <w:t xml:space="preserve">off of an existing </w:t>
      </w:r>
      <w:r w:rsidR="00EA473D">
        <w:t>non</w:t>
      </w:r>
      <w:r w:rsidR="002B41AE">
        <w:t>-</w:t>
      </w:r>
      <w:r w:rsidR="00EA473D">
        <w:t>performing</w:t>
      </w:r>
      <w:r w:rsidR="003C08C8" w:rsidRPr="00E43199">
        <w:t xml:space="preserve"> </w:t>
      </w:r>
      <w:r w:rsidRPr="00E43199">
        <w:t>exposure (i.e. when an ADI writes</w:t>
      </w:r>
      <w:r w:rsidR="002B41AE">
        <w:t>-</w:t>
      </w:r>
      <w:r w:rsidRPr="00E43199">
        <w:t xml:space="preserve">off part of a </w:t>
      </w:r>
      <w:r w:rsidR="00EA473D">
        <w:t>non</w:t>
      </w:r>
      <w:r w:rsidR="00BE57FC">
        <w:t>-</w:t>
      </w:r>
      <w:r w:rsidR="00EA473D">
        <w:t>performing</w:t>
      </w:r>
      <w:r w:rsidRPr="00E43199">
        <w:t xml:space="preserve"> exposure that it deems to be uncollectible);</w:t>
      </w:r>
    </w:p>
    <w:p w14:paraId="44DB1007" w14:textId="2F9F2560" w:rsidR="001F2A41" w:rsidRPr="00666895" w:rsidRDefault="001F2A41" w:rsidP="00D43985">
      <w:pPr>
        <w:pStyle w:val="BodyText2"/>
        <w:ind w:left="1134"/>
        <w:jc w:val="both"/>
      </w:pPr>
      <w:r w:rsidRPr="00666895">
        <w:t>repossession of collateral on a</w:t>
      </w:r>
      <w:r w:rsidR="003C08C8">
        <w:t xml:space="preserve"> </w:t>
      </w:r>
      <w:r w:rsidR="00EA473D">
        <w:t>non</w:t>
      </w:r>
      <w:r w:rsidR="002B41AE">
        <w:t>-</w:t>
      </w:r>
      <w:r w:rsidR="00EA473D">
        <w:t>performing</w:t>
      </w:r>
      <w:r w:rsidRPr="00666895">
        <w:t xml:space="preserve"> exposure, until the collateral is actually disposed </w:t>
      </w:r>
      <w:proofErr w:type="gramStart"/>
      <w:r w:rsidRPr="00666895">
        <w:t>of</w:t>
      </w:r>
      <w:proofErr w:type="gramEnd"/>
      <w:r w:rsidRPr="00666895">
        <w:t xml:space="preserve"> and the ADI realises the proceeds; or</w:t>
      </w:r>
    </w:p>
    <w:p w14:paraId="2D1A8B4D" w14:textId="7428AA67" w:rsidR="00C564F2" w:rsidRPr="00666895" w:rsidRDefault="001F2A41" w:rsidP="00D43985">
      <w:pPr>
        <w:pStyle w:val="BodyText2"/>
        <w:ind w:left="1134"/>
        <w:jc w:val="both"/>
      </w:pPr>
      <w:r w:rsidRPr="00666895">
        <w:t xml:space="preserve">extension or granting of </w:t>
      </w:r>
      <w:r w:rsidR="00887DBD">
        <w:t>restructure</w:t>
      </w:r>
      <w:r w:rsidR="00F931F9">
        <w:t xml:space="preserve"> </w:t>
      </w:r>
      <w:r w:rsidRPr="00666895">
        <w:t xml:space="preserve">measures to an exposure that is already identified as </w:t>
      </w:r>
      <w:r w:rsidR="00EA473D">
        <w:t>non</w:t>
      </w:r>
      <w:r w:rsidR="002B41AE">
        <w:t>-</w:t>
      </w:r>
      <w:r w:rsidR="00EA473D">
        <w:t>performing</w:t>
      </w:r>
      <w:r w:rsidRPr="00666895">
        <w:t xml:space="preserve"> subject to the relevant exit criteria for </w:t>
      </w:r>
      <w:r w:rsidR="00EA473D">
        <w:t>non</w:t>
      </w:r>
      <w:r w:rsidR="002B41AE">
        <w:t>-</w:t>
      </w:r>
      <w:r w:rsidR="00EA473D">
        <w:t>performing</w:t>
      </w:r>
      <w:r w:rsidRPr="00666895">
        <w:t xml:space="preserve"> exposures</w:t>
      </w:r>
      <w:r w:rsidR="0003529B">
        <w:t xml:space="preserve"> (refer to paragraphs </w:t>
      </w:r>
      <w:r w:rsidR="00DF7C76">
        <w:fldChar w:fldCharType="begin"/>
      </w:r>
      <w:r w:rsidR="00DF7C76">
        <w:instrText xml:space="preserve"> REF _Ref3896813 \r \h </w:instrText>
      </w:r>
      <w:r w:rsidR="00DF7C76">
        <w:fldChar w:fldCharType="separate"/>
      </w:r>
      <w:r w:rsidR="00A86E02">
        <w:t>95(a)</w:t>
      </w:r>
      <w:r w:rsidR="00DF7C76">
        <w:fldChar w:fldCharType="end"/>
      </w:r>
      <w:r w:rsidR="00FD0822">
        <w:t xml:space="preserve"> to </w:t>
      </w:r>
      <w:r w:rsidR="00DF7C76">
        <w:fldChar w:fldCharType="begin"/>
      </w:r>
      <w:r w:rsidR="00DF7C76">
        <w:instrText xml:space="preserve"> REF _Ref3896835 \r \h </w:instrText>
      </w:r>
      <w:r w:rsidR="00DF7C76">
        <w:fldChar w:fldCharType="separate"/>
      </w:r>
      <w:r w:rsidR="00A86E02">
        <w:t>95(d)</w:t>
      </w:r>
      <w:r w:rsidR="00DF7C76">
        <w:fldChar w:fldCharType="end"/>
      </w:r>
      <w:r w:rsidR="00FD0822">
        <w:t>)</w:t>
      </w:r>
      <w:r w:rsidRPr="00666895">
        <w:t xml:space="preserve">. </w:t>
      </w:r>
    </w:p>
    <w:p w14:paraId="04047F61" w14:textId="02F0A2D6" w:rsidR="001F2A41" w:rsidRPr="00666895" w:rsidRDefault="001F2A41" w:rsidP="002B41AE">
      <w:pPr>
        <w:pStyle w:val="BodyText1"/>
      </w:pPr>
      <w:r w:rsidRPr="00620C2A">
        <w:t>The</w:t>
      </w:r>
      <w:r w:rsidRPr="00666895">
        <w:t xml:space="preserve"> rec</w:t>
      </w:r>
      <w:r w:rsidR="00941860">
        <w:t>lassif</w:t>
      </w:r>
      <w:r w:rsidR="00BE57FC">
        <w:t>i</w:t>
      </w:r>
      <w:r w:rsidR="00941860">
        <w:t>cation</w:t>
      </w:r>
      <w:r w:rsidRPr="00666895">
        <w:t xml:space="preserve"> of </w:t>
      </w:r>
      <w:r w:rsidR="00402C85">
        <w:t>a</w:t>
      </w:r>
      <w:r w:rsidR="0003529B">
        <w:t xml:space="preserve"> </w:t>
      </w:r>
      <w:r w:rsidR="00EA473D">
        <w:t>non</w:t>
      </w:r>
      <w:r w:rsidR="002B41AE">
        <w:t>-</w:t>
      </w:r>
      <w:r w:rsidR="00EA473D">
        <w:t>performing</w:t>
      </w:r>
      <w:r w:rsidRPr="00666895">
        <w:t xml:space="preserve"> exposure as performing </w:t>
      </w:r>
      <w:r w:rsidR="00144295" w:rsidRPr="00666895">
        <w:t>must</w:t>
      </w:r>
      <w:r w:rsidRPr="00666895">
        <w:t xml:space="preserve"> be made on the same level (</w:t>
      </w:r>
      <w:r w:rsidR="00B123FF">
        <w:t xml:space="preserve">such as </w:t>
      </w:r>
      <w:r w:rsidR="00A67FD7">
        <w:t xml:space="preserve">a borrower or </w:t>
      </w:r>
      <w:r w:rsidRPr="00666895">
        <w:t xml:space="preserve">transaction approach) as when the exposure was originally categorised as </w:t>
      </w:r>
      <w:r w:rsidR="00EA473D">
        <w:t>non</w:t>
      </w:r>
      <w:r w:rsidR="002B41AE">
        <w:t>-</w:t>
      </w:r>
      <w:r w:rsidR="00EA473D">
        <w:t>performing</w:t>
      </w:r>
      <w:r w:rsidR="0003529B">
        <w:t>.</w:t>
      </w:r>
    </w:p>
    <w:p w14:paraId="01334132" w14:textId="51506AE4" w:rsidR="00C564F2" w:rsidRPr="008717F4" w:rsidRDefault="0051089F" w:rsidP="008D2745">
      <w:pPr>
        <w:pStyle w:val="Heading1"/>
      </w:pPr>
      <w:bookmarkStart w:id="683" w:name="_Toc510011084"/>
      <w:bookmarkStart w:id="684" w:name="_Toc524615209"/>
      <w:bookmarkStart w:id="685" w:name="_Toc524686110"/>
      <w:bookmarkStart w:id="686" w:name="_Toc524700161"/>
      <w:bookmarkStart w:id="687" w:name="_Toc525032633"/>
      <w:bookmarkStart w:id="688" w:name="_Toc525224961"/>
      <w:bookmarkStart w:id="689" w:name="_Toc525293390"/>
      <w:bookmarkStart w:id="690" w:name="_Toc525553677"/>
      <w:bookmarkStart w:id="691" w:name="_Toc525564925"/>
      <w:bookmarkStart w:id="692" w:name="_Toc525716597"/>
      <w:bookmarkStart w:id="693" w:name="_Toc526242492"/>
      <w:bookmarkStart w:id="694" w:name="_Toc526249230"/>
      <w:bookmarkStart w:id="695" w:name="_Toc526343649"/>
      <w:bookmarkStart w:id="696" w:name="_Toc526502189"/>
      <w:bookmarkStart w:id="697" w:name="_Toc526506258"/>
      <w:bookmarkStart w:id="698" w:name="_Toc527023821"/>
      <w:bookmarkStart w:id="699" w:name="_Toc527025639"/>
      <w:bookmarkStart w:id="700" w:name="_Toc527029591"/>
      <w:bookmarkStart w:id="701" w:name="_Toc527033973"/>
      <w:bookmarkStart w:id="702" w:name="_Toc527040474"/>
      <w:bookmarkStart w:id="703" w:name="_Toc527109056"/>
      <w:bookmarkStart w:id="704" w:name="_Toc527382487"/>
      <w:bookmarkStart w:id="705" w:name="_Toc527384506"/>
      <w:bookmarkStart w:id="706" w:name="_Toc527466147"/>
      <w:bookmarkStart w:id="707" w:name="_Toc527466368"/>
      <w:bookmarkStart w:id="708" w:name="_Toc527467239"/>
      <w:bookmarkStart w:id="709" w:name="_Toc528756602"/>
      <w:bookmarkStart w:id="710" w:name="_Toc528756820"/>
      <w:bookmarkStart w:id="711" w:name="_Toc528759523"/>
      <w:bookmarkStart w:id="712" w:name="_Toc528853350"/>
      <w:bookmarkStart w:id="713" w:name="_Toc528854280"/>
      <w:bookmarkStart w:id="714" w:name="_Toc528854573"/>
      <w:bookmarkStart w:id="715" w:name="_Toc529439222"/>
      <w:bookmarkStart w:id="716" w:name="_Toc529456736"/>
      <w:bookmarkStart w:id="717" w:name="_Toc529518501"/>
      <w:bookmarkStart w:id="718" w:name="_Toc529523951"/>
      <w:bookmarkStart w:id="719" w:name="_Toc529536624"/>
      <w:bookmarkStart w:id="720" w:name="_Toc529776630"/>
      <w:bookmarkStart w:id="721" w:name="_Toc532908848"/>
      <w:bookmarkStart w:id="722" w:name="_Toc533068402"/>
      <w:bookmarkStart w:id="723" w:name="_Toc533074596"/>
      <w:bookmarkStart w:id="724" w:name="_Toc535483695"/>
      <w:bookmarkStart w:id="725" w:name="_Toc536533479"/>
      <w:bookmarkStart w:id="726" w:name="_Toc3894347"/>
      <w:bookmarkStart w:id="727" w:name="_Toc3897511"/>
      <w:bookmarkStart w:id="728" w:name="_Toc3973423"/>
      <w:bookmarkStart w:id="729" w:name="_Toc3985315"/>
      <w:bookmarkStart w:id="730" w:name="_Toc25741775"/>
      <w:bookmarkStart w:id="731" w:name="_Toc25747207"/>
      <w:bookmarkStart w:id="732" w:name="_Toc25748950"/>
      <w:bookmarkStart w:id="733" w:name="_Toc105754874"/>
      <w:r w:rsidRPr="008717F4">
        <w:t>R</w:t>
      </w:r>
      <w:r w:rsidR="00572053" w:rsidRPr="008717F4">
        <w:t>estructured exposures</w:t>
      </w:r>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p>
    <w:p w14:paraId="0C8515FD" w14:textId="16FC990C" w:rsidR="00941860" w:rsidRDefault="00941860" w:rsidP="00941860">
      <w:pPr>
        <w:pStyle w:val="BodyText1"/>
      </w:pPr>
      <w:bookmarkStart w:id="734" w:name="_Ref529524258"/>
      <w:r w:rsidRPr="002934EF">
        <w:t>Any restructuring of an exposure must be supported by a current, well</w:t>
      </w:r>
      <w:r>
        <w:t>-d</w:t>
      </w:r>
      <w:r w:rsidRPr="002934EF">
        <w:t xml:space="preserve">ocumented </w:t>
      </w:r>
      <w:r>
        <w:t xml:space="preserve">credit evaluation </w:t>
      </w:r>
      <w:r w:rsidRPr="002934EF">
        <w:t xml:space="preserve">of the borrower’s financial condition and prospects for repayment under the modified terms. Renegotiation of an exposure must not be used to obscure the poor quality of a </w:t>
      </w:r>
      <w:proofErr w:type="gramStart"/>
      <w:r w:rsidRPr="002934EF">
        <w:t>loan’s</w:t>
      </w:r>
      <w:proofErr w:type="gramEnd"/>
      <w:r w:rsidRPr="002934EF">
        <w:t xml:space="preserve"> or other financial instrument’s performance, or avoid an increase in provisions. Before any concession is made to a borrower, the appropriate level of </w:t>
      </w:r>
      <w:r>
        <w:t xml:space="preserve">the ADI’s </w:t>
      </w:r>
      <w:r w:rsidRPr="002934EF">
        <w:t>management must approve the restructure.</w:t>
      </w:r>
      <w:bookmarkEnd w:id="734"/>
    </w:p>
    <w:p w14:paraId="5FF4058C" w14:textId="7D761A70" w:rsidR="00BA7B6B" w:rsidRDefault="00514A83" w:rsidP="00B62DB8">
      <w:pPr>
        <w:pStyle w:val="BodyText1"/>
      </w:pPr>
      <w:r>
        <w:t xml:space="preserve">Restructure </w:t>
      </w:r>
      <w:r w:rsidR="00C27283" w:rsidRPr="00C27283">
        <w:t xml:space="preserve">may be granted on </w:t>
      </w:r>
      <w:r w:rsidR="00BA7B6B" w:rsidRPr="00C27283">
        <w:t>performing or non-performing exposure</w:t>
      </w:r>
      <w:r w:rsidR="00C27283" w:rsidRPr="00C27283">
        <w:t>s</w:t>
      </w:r>
      <w:r w:rsidR="00BA7B6B" w:rsidRPr="00C27283">
        <w:t xml:space="preserve">. When </w:t>
      </w:r>
      <w:r>
        <w:t>restructure</w:t>
      </w:r>
      <w:r w:rsidR="00C27283" w:rsidRPr="00514A83">
        <w:t xml:space="preserve"> </w:t>
      </w:r>
      <w:r w:rsidR="00BA7B6B" w:rsidRPr="00514A83">
        <w:t xml:space="preserve">is </w:t>
      </w:r>
      <w:r w:rsidR="00C27283" w:rsidRPr="00514A83">
        <w:t xml:space="preserve">applied to </w:t>
      </w:r>
      <w:r w:rsidR="00BA7B6B" w:rsidRPr="00514A83">
        <w:t xml:space="preserve">a non-performing exposure, the exposure must </w:t>
      </w:r>
      <w:r w:rsidR="004C61E6">
        <w:t>continue to be classified as</w:t>
      </w:r>
      <w:r w:rsidR="00BA7B6B" w:rsidRPr="00514A83">
        <w:t xml:space="preserve"> non-performing.</w:t>
      </w:r>
      <w:r w:rsidR="002C50D2">
        <w:t xml:space="preserve"> </w:t>
      </w:r>
      <w:r w:rsidR="00BA7B6B" w:rsidRPr="00514A83">
        <w:t>Wh</w:t>
      </w:r>
      <w:r w:rsidR="00C27283" w:rsidRPr="00514A83">
        <w:t>en</w:t>
      </w:r>
      <w:r w:rsidR="00BA7B6B" w:rsidRPr="00514A83">
        <w:t xml:space="preserve"> </w:t>
      </w:r>
      <w:r>
        <w:t>restructure</w:t>
      </w:r>
      <w:r w:rsidR="004B63D5" w:rsidRPr="00514A83">
        <w:t xml:space="preserve"> </w:t>
      </w:r>
      <w:r w:rsidR="00BA7B6B" w:rsidRPr="00514A83">
        <w:t>is applied to a</w:t>
      </w:r>
      <w:r w:rsidR="00863AF2">
        <w:t xml:space="preserve"> </w:t>
      </w:r>
      <w:r w:rsidR="00336F3B">
        <w:t xml:space="preserve">performing </w:t>
      </w:r>
      <w:r w:rsidR="00863AF2">
        <w:t>exp</w:t>
      </w:r>
      <w:r w:rsidR="006275DF">
        <w:t>osure</w:t>
      </w:r>
      <w:r w:rsidR="00BA7B6B" w:rsidRPr="00514A83">
        <w:t>, the ADI must assess whether the exposure meet</w:t>
      </w:r>
      <w:r w:rsidR="00336F3B">
        <w:t>s</w:t>
      </w:r>
      <w:r w:rsidR="00BA7B6B" w:rsidRPr="00514A83">
        <w:t xml:space="preserve"> the definition of non-performing, even if the </w:t>
      </w:r>
      <w:r>
        <w:t>restructure</w:t>
      </w:r>
      <w:r w:rsidR="00C27283" w:rsidRPr="00514A83">
        <w:t xml:space="preserve"> </w:t>
      </w:r>
      <w:r w:rsidR="00BA7B6B" w:rsidRPr="00514A83">
        <w:t xml:space="preserve">resulted in a new exposure. </w:t>
      </w:r>
      <w:r w:rsidR="006275DF">
        <w:t xml:space="preserve">If the assessment is that the original </w:t>
      </w:r>
      <w:r w:rsidR="00BA7B6B" w:rsidRPr="00514A83">
        <w:t xml:space="preserve">exposure would have been </w:t>
      </w:r>
      <w:r w:rsidR="00022FB2" w:rsidRPr="00514A83">
        <w:t xml:space="preserve">treated </w:t>
      </w:r>
      <w:r w:rsidR="004B63D5" w:rsidRPr="00514A83">
        <w:t xml:space="preserve">as </w:t>
      </w:r>
      <w:r w:rsidR="00BA7B6B" w:rsidRPr="00514A83">
        <w:t>non-performing at the time o</w:t>
      </w:r>
      <w:r w:rsidR="00C27283">
        <w:t xml:space="preserve">f </w:t>
      </w:r>
      <w:r>
        <w:t>restructure</w:t>
      </w:r>
      <w:r w:rsidR="00BA7B6B" w:rsidRPr="00C27283">
        <w:t xml:space="preserve">, had the </w:t>
      </w:r>
      <w:r>
        <w:t>restructure</w:t>
      </w:r>
      <w:r w:rsidR="004B63D5" w:rsidRPr="00C27283">
        <w:t xml:space="preserve"> </w:t>
      </w:r>
      <w:r w:rsidR="00BA7B6B" w:rsidRPr="00C27283">
        <w:t xml:space="preserve">not been </w:t>
      </w:r>
      <w:r w:rsidR="00B75F1B" w:rsidRPr="00C27283">
        <w:t>granted</w:t>
      </w:r>
      <w:r w:rsidR="00BA7B6B" w:rsidRPr="00C27283">
        <w:t xml:space="preserve">, the new exposure </w:t>
      </w:r>
      <w:r w:rsidR="004B63D5" w:rsidRPr="00C27283">
        <w:t xml:space="preserve">must </w:t>
      </w:r>
      <w:r w:rsidR="00BA7B6B" w:rsidRPr="00C27283">
        <w:t xml:space="preserve">be </w:t>
      </w:r>
      <w:r w:rsidR="00022FB2" w:rsidRPr="00C27283">
        <w:t xml:space="preserve">treated </w:t>
      </w:r>
      <w:r w:rsidR="00BA7B6B" w:rsidRPr="00C27283">
        <w:t>as non-performing.</w:t>
      </w:r>
    </w:p>
    <w:p w14:paraId="01D8E105" w14:textId="5E3F481D" w:rsidR="00C7223F" w:rsidRDefault="00C7223F" w:rsidP="00C7223F">
      <w:pPr>
        <w:pStyle w:val="BodyText1"/>
      </w:pPr>
      <w:r w:rsidRPr="00C7223F">
        <w:t xml:space="preserve">An ADI must </w:t>
      </w:r>
      <w:r w:rsidR="00557795">
        <w:t>monitor</w:t>
      </w:r>
      <w:r w:rsidRPr="00C7223F">
        <w:t xml:space="preserve"> the appropriate categorisation of exposures on which restructure has been granted more than once. When a restructured exposure under the probation period is granted new forbearance, this must trigger a restart of the probation period.</w:t>
      </w:r>
    </w:p>
    <w:p w14:paraId="0D0D9650" w14:textId="3B3D3FB3" w:rsidR="00045EC1" w:rsidRPr="00C7223F" w:rsidRDefault="00C7223F" w:rsidP="00AC4836">
      <w:pPr>
        <w:pStyle w:val="BodyText1"/>
      </w:pPr>
      <w:r w:rsidRPr="00C7223F">
        <w:t xml:space="preserve">The continuous repayment period for non-performing </w:t>
      </w:r>
      <w:r>
        <w:t xml:space="preserve">exposures </w:t>
      </w:r>
      <w:r w:rsidRPr="00C7223F">
        <w:t xml:space="preserve">and the probation period for </w:t>
      </w:r>
      <w:r>
        <w:t>restructured</w:t>
      </w:r>
      <w:r w:rsidRPr="00C7223F">
        <w:t xml:space="preserve"> </w:t>
      </w:r>
      <w:r>
        <w:t xml:space="preserve">exposures </w:t>
      </w:r>
      <w:r w:rsidR="00045EC1">
        <w:t>may</w:t>
      </w:r>
      <w:r w:rsidRPr="00C7223F">
        <w:t xml:space="preserve"> run concurrently. </w:t>
      </w:r>
      <w:r>
        <w:t>N</w:t>
      </w:r>
      <w:r w:rsidRPr="00C7223F">
        <w:t xml:space="preserve">on-performing exposures </w:t>
      </w:r>
      <w:r>
        <w:t>that are restructured must</w:t>
      </w:r>
      <w:r w:rsidRPr="00C7223F">
        <w:t xml:space="preserve"> </w:t>
      </w:r>
      <w:r w:rsidR="004C61E6">
        <w:t xml:space="preserve">continue to be classified as </w:t>
      </w:r>
      <w:r w:rsidRPr="00C7223F">
        <w:t>non</w:t>
      </w:r>
      <w:r>
        <w:t>-</w:t>
      </w:r>
      <w:r w:rsidRPr="00C7223F">
        <w:t xml:space="preserve">performing until they meet the criteria in paragraph </w:t>
      </w:r>
      <w:r w:rsidR="00F0021C">
        <w:fldChar w:fldCharType="begin"/>
      </w:r>
      <w:r w:rsidR="00F0021C">
        <w:instrText xml:space="preserve"> REF _Ref22639311 \r \h </w:instrText>
      </w:r>
      <w:r w:rsidR="00F0021C">
        <w:fldChar w:fldCharType="separate"/>
      </w:r>
      <w:r w:rsidR="00A86E02">
        <w:t>95</w:t>
      </w:r>
      <w:r w:rsidR="00F0021C">
        <w:fldChar w:fldCharType="end"/>
      </w:r>
      <w:r w:rsidRPr="00C7223F">
        <w:t>.</w:t>
      </w:r>
      <w:r w:rsidR="006275DF">
        <w:t xml:space="preserve"> </w:t>
      </w:r>
      <w:r w:rsidR="00045EC1">
        <w:t>When a restructured exposure becomes non-performing during the probation period, the probation period must start again.</w:t>
      </w:r>
    </w:p>
    <w:p w14:paraId="2F6D53B0" w14:textId="0855CB67" w:rsidR="00A66728" w:rsidRPr="00C27283" w:rsidRDefault="00A66728" w:rsidP="009725CF">
      <w:pPr>
        <w:pStyle w:val="BodyText1"/>
      </w:pPr>
      <w:r w:rsidRPr="00A66728">
        <w:lastRenderedPageBreak/>
        <w:t>A</w:t>
      </w:r>
      <w:r w:rsidR="00826081">
        <w:t>n</w:t>
      </w:r>
      <w:r w:rsidRPr="00A66728">
        <w:t xml:space="preserve"> </w:t>
      </w:r>
      <w:r>
        <w:t>exposure</w:t>
      </w:r>
      <w:r w:rsidRPr="00A66728">
        <w:t xml:space="preserve"> </w:t>
      </w:r>
      <w:r w:rsidR="00826081">
        <w:t xml:space="preserve">that is not subject to the </w:t>
      </w:r>
      <w:r w:rsidR="00826081" w:rsidRPr="00826081">
        <w:t>National Credit Code</w:t>
      </w:r>
      <w:r w:rsidR="001B4983">
        <w:rPr>
          <w:rStyle w:val="FootnoteReference"/>
        </w:rPr>
        <w:footnoteReference w:id="8"/>
      </w:r>
      <w:r w:rsidR="00826081">
        <w:t xml:space="preserve"> need</w:t>
      </w:r>
      <w:r w:rsidRPr="00A66728">
        <w:t xml:space="preserve"> not be reported as restructured where it is placed on restructured terms for less than </w:t>
      </w:r>
      <w:r w:rsidR="00C22B40">
        <w:t>twelve</w:t>
      </w:r>
      <w:r w:rsidR="00EA3E46">
        <w:t xml:space="preserve"> months</w:t>
      </w:r>
      <w:r w:rsidR="00826081">
        <w:t xml:space="preserve"> </w:t>
      </w:r>
      <w:r w:rsidRPr="00A66728">
        <w:t xml:space="preserve">due to financial difficulty being experienced by the </w:t>
      </w:r>
      <w:r w:rsidR="00826081">
        <w:t>borrower</w:t>
      </w:r>
      <w:r w:rsidRPr="00A66728">
        <w:t xml:space="preserve"> but where long-term viability is unquestioned (e.g. </w:t>
      </w:r>
      <w:r w:rsidR="00474BC3">
        <w:t xml:space="preserve">an </w:t>
      </w:r>
      <w:r w:rsidR="003E6718">
        <w:t xml:space="preserve">agricultural </w:t>
      </w:r>
      <w:r w:rsidR="00826081">
        <w:t xml:space="preserve">exposure </w:t>
      </w:r>
      <w:r w:rsidRPr="00A66728">
        <w:t xml:space="preserve">encountering a bad season). The ADI must, however, be reasonably confident that the </w:t>
      </w:r>
      <w:r w:rsidR="00826081">
        <w:t>borrower</w:t>
      </w:r>
      <w:r w:rsidRPr="00A66728">
        <w:t xml:space="preserve"> is able to fully perform with no loss of principal and the originally contracted amount of interest or other payments due, and the ADI must not maintain any provisions assessed against the </w:t>
      </w:r>
      <w:r w:rsidR="00826081">
        <w:t>exposure</w:t>
      </w:r>
      <w:r w:rsidRPr="00A66728">
        <w:t xml:space="preserve"> on an individual basis.</w:t>
      </w:r>
    </w:p>
    <w:p w14:paraId="7792C6C7" w14:textId="3745055C" w:rsidR="00A74A88" w:rsidRPr="008717F4" w:rsidRDefault="00A74A88" w:rsidP="00D3009D">
      <w:pPr>
        <w:pStyle w:val="Heading3"/>
      </w:pPr>
      <w:bookmarkStart w:id="735" w:name="_Toc510011085"/>
      <w:bookmarkStart w:id="736" w:name="_Toc524615210"/>
      <w:bookmarkStart w:id="737" w:name="_Toc524686111"/>
      <w:bookmarkStart w:id="738" w:name="_Toc524700162"/>
      <w:bookmarkStart w:id="739" w:name="_Toc525032634"/>
      <w:bookmarkStart w:id="740" w:name="_Toc525224962"/>
      <w:bookmarkStart w:id="741" w:name="_Toc525293391"/>
      <w:bookmarkStart w:id="742" w:name="_Toc525553678"/>
      <w:bookmarkStart w:id="743" w:name="_Toc525564926"/>
      <w:bookmarkStart w:id="744" w:name="_Toc525716598"/>
      <w:bookmarkStart w:id="745" w:name="_Toc526242493"/>
      <w:bookmarkStart w:id="746" w:name="_Toc526249231"/>
      <w:bookmarkStart w:id="747" w:name="_Toc526343650"/>
      <w:bookmarkStart w:id="748" w:name="_Toc526502190"/>
      <w:bookmarkStart w:id="749" w:name="_Toc526506259"/>
      <w:bookmarkStart w:id="750" w:name="_Toc527023822"/>
      <w:bookmarkStart w:id="751" w:name="_Toc527025640"/>
      <w:bookmarkStart w:id="752" w:name="_Toc527029592"/>
      <w:bookmarkStart w:id="753" w:name="_Toc527033974"/>
      <w:bookmarkStart w:id="754" w:name="_Toc527040475"/>
      <w:bookmarkStart w:id="755" w:name="_Toc527109057"/>
      <w:bookmarkStart w:id="756" w:name="_Toc527382488"/>
      <w:bookmarkStart w:id="757" w:name="_Toc527384507"/>
      <w:bookmarkStart w:id="758" w:name="_Toc527466148"/>
      <w:bookmarkStart w:id="759" w:name="_Toc527466369"/>
      <w:bookmarkStart w:id="760" w:name="_Toc527467240"/>
      <w:bookmarkStart w:id="761" w:name="_Toc528756603"/>
      <w:bookmarkStart w:id="762" w:name="_Toc528756821"/>
      <w:bookmarkStart w:id="763" w:name="_Toc528759524"/>
      <w:bookmarkStart w:id="764" w:name="_Toc528853351"/>
      <w:bookmarkStart w:id="765" w:name="_Toc528854281"/>
      <w:bookmarkStart w:id="766" w:name="_Toc528854574"/>
      <w:bookmarkStart w:id="767" w:name="_Toc529439223"/>
      <w:bookmarkStart w:id="768" w:name="_Toc529456737"/>
      <w:bookmarkStart w:id="769" w:name="_Toc529518502"/>
      <w:bookmarkStart w:id="770" w:name="_Toc529523952"/>
      <w:bookmarkStart w:id="771" w:name="_Toc529536625"/>
      <w:bookmarkStart w:id="772" w:name="_Toc529776631"/>
      <w:bookmarkStart w:id="773" w:name="_Toc532908849"/>
      <w:bookmarkStart w:id="774" w:name="_Toc533068403"/>
      <w:bookmarkStart w:id="775" w:name="_Toc533074597"/>
      <w:bookmarkStart w:id="776" w:name="_Toc535483696"/>
      <w:bookmarkStart w:id="777" w:name="_Toc536533480"/>
      <w:bookmarkStart w:id="778" w:name="_Toc3894348"/>
      <w:bookmarkStart w:id="779" w:name="_Toc3897512"/>
      <w:bookmarkStart w:id="780" w:name="_Toc3973424"/>
      <w:bookmarkStart w:id="781" w:name="_Toc3985316"/>
      <w:bookmarkStart w:id="782" w:name="_Toc25741776"/>
      <w:bookmarkStart w:id="783" w:name="_Toc25747208"/>
      <w:bookmarkStart w:id="784" w:name="_Toc25748951"/>
      <w:bookmarkStart w:id="785" w:name="_Toc25749083"/>
      <w:bookmarkStart w:id="786" w:name="_Toc26951188"/>
      <w:bookmarkStart w:id="787" w:name="_Toc26951292"/>
      <w:bookmarkStart w:id="788" w:name="_Toc105754875"/>
      <w:r w:rsidRPr="008717F4">
        <w:t xml:space="preserve">Criteria for exit from the </w:t>
      </w:r>
      <w:r w:rsidR="007B58C2" w:rsidRPr="008717F4">
        <w:t xml:space="preserve">restructured </w:t>
      </w:r>
      <w:r w:rsidRPr="008717F4">
        <w:t>exposures category</w:t>
      </w:r>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p>
    <w:p w14:paraId="564A4CAF" w14:textId="29A3E399" w:rsidR="00802DEC" w:rsidRPr="008717F4" w:rsidRDefault="00A74A88" w:rsidP="00216F7C">
      <w:pPr>
        <w:pStyle w:val="BodyText1"/>
      </w:pPr>
      <w:bookmarkStart w:id="789" w:name="_Ref22639330"/>
      <w:r w:rsidRPr="008717F4">
        <w:t>A</w:t>
      </w:r>
      <w:r w:rsidR="008E25F7" w:rsidRPr="008717F4">
        <w:t xml:space="preserve">n ADI must </w:t>
      </w:r>
      <w:r w:rsidR="00D2666A">
        <w:t>classify</w:t>
      </w:r>
      <w:r w:rsidR="008E25F7" w:rsidRPr="008717F4">
        <w:t xml:space="preserve"> a</w:t>
      </w:r>
      <w:r w:rsidRPr="008717F4">
        <w:t xml:space="preserve"> </w:t>
      </w:r>
      <w:r w:rsidR="007B58C2" w:rsidRPr="008717F4">
        <w:t xml:space="preserve">restructured </w:t>
      </w:r>
      <w:r w:rsidRPr="008717F4">
        <w:t>exposure</w:t>
      </w:r>
      <w:r w:rsidR="00A87BA6">
        <w:t xml:space="preserve"> </w:t>
      </w:r>
      <w:r w:rsidR="009622D7">
        <w:t xml:space="preserve">as such </w:t>
      </w:r>
      <w:r w:rsidRPr="008717F4">
        <w:t xml:space="preserve">until it meets both </w:t>
      </w:r>
      <w:r w:rsidR="00802DEC" w:rsidRPr="008717F4">
        <w:t>of the following exit criteria:</w:t>
      </w:r>
      <w:bookmarkEnd w:id="789"/>
    </w:p>
    <w:p w14:paraId="52DB603D" w14:textId="11CEB55C" w:rsidR="00802DEC" w:rsidRPr="003F2279" w:rsidRDefault="00802DEC" w:rsidP="00D43985">
      <w:pPr>
        <w:pStyle w:val="BodyText2"/>
        <w:ind w:left="1134"/>
        <w:jc w:val="both"/>
      </w:pPr>
      <w:r w:rsidRPr="003F2279">
        <w:t>w</w:t>
      </w:r>
      <w:r w:rsidR="00A74A88" w:rsidRPr="003F2279">
        <w:t xml:space="preserve">hen all payments, as per the </w:t>
      </w:r>
      <w:r w:rsidR="00E71B72" w:rsidRPr="003F2279">
        <w:t xml:space="preserve">revised </w:t>
      </w:r>
      <w:r w:rsidR="00A74A88" w:rsidRPr="003F2279">
        <w:t>contractual terms, have been made in a timely manner</w:t>
      </w:r>
      <w:r w:rsidRPr="003F2279">
        <w:t xml:space="preserve"> </w:t>
      </w:r>
      <w:r w:rsidR="00A74A88" w:rsidRPr="003F2279">
        <w:t xml:space="preserve">over a continuous repayment period of not less than </w:t>
      </w:r>
      <w:r w:rsidR="00C22B40">
        <w:t>six months</w:t>
      </w:r>
      <w:r w:rsidR="00A74A88" w:rsidRPr="003F2279">
        <w:t xml:space="preserve"> (probation period)</w:t>
      </w:r>
      <w:r w:rsidR="00E92691">
        <w:t>.</w:t>
      </w:r>
      <w:r w:rsidR="00E92691" w:rsidRPr="00E92691">
        <w:t xml:space="preserve"> The starting date of the probation period must be the scheduled start of payments under the revised terms</w:t>
      </w:r>
      <w:r w:rsidR="00E92691">
        <w:t>;</w:t>
      </w:r>
      <w:r w:rsidR="006E3214" w:rsidRPr="003F2279">
        <w:t xml:space="preserve"> and</w:t>
      </w:r>
    </w:p>
    <w:p w14:paraId="55BC0918" w14:textId="103375C1" w:rsidR="00A74A88" w:rsidRPr="003F2279" w:rsidRDefault="007B58C2" w:rsidP="00AB0B8D">
      <w:pPr>
        <w:pStyle w:val="BodyText2"/>
        <w:ind w:left="1134"/>
        <w:jc w:val="both"/>
      </w:pPr>
      <w:r w:rsidRPr="003F2279">
        <w:t xml:space="preserve">the </w:t>
      </w:r>
      <w:r w:rsidR="0078383D" w:rsidRPr="003F2279">
        <w:t xml:space="preserve">borrower </w:t>
      </w:r>
      <w:r w:rsidR="00A74A88" w:rsidRPr="003F2279">
        <w:t>has resolved its financial difficulty</w:t>
      </w:r>
      <w:r w:rsidR="00B2220A" w:rsidRPr="003F2279">
        <w:t>.</w:t>
      </w:r>
    </w:p>
    <w:p w14:paraId="76144085" w14:textId="44A41C0A" w:rsidR="00216F7C" w:rsidRPr="00666895" w:rsidRDefault="00216F7C" w:rsidP="0076048D">
      <w:pPr>
        <w:pStyle w:val="Heading1"/>
      </w:pPr>
      <w:bookmarkStart w:id="790" w:name="_Toc510011087"/>
      <w:bookmarkStart w:id="791" w:name="_Toc105754876"/>
      <w:r w:rsidRPr="00666895">
        <w:t>Credit risk and accounting for expected credit losses</w:t>
      </w:r>
      <w:bookmarkEnd w:id="790"/>
      <w:bookmarkEnd w:id="791"/>
    </w:p>
    <w:p w14:paraId="3FC2D665" w14:textId="2B790E66" w:rsidR="00216F7C" w:rsidRPr="003720D4" w:rsidRDefault="00216F7C" w:rsidP="0076048D">
      <w:pPr>
        <w:pStyle w:val="BodyText1"/>
      </w:pPr>
      <w:bookmarkStart w:id="792" w:name="_Ref529524273"/>
      <w:r w:rsidRPr="00666895">
        <w:t>An ADI must adopt, document and adhere to sound methodologies that address policies, proce</w:t>
      </w:r>
      <w:r w:rsidR="00B2220A">
        <w:t>sses</w:t>
      </w:r>
      <w:r w:rsidRPr="00666895">
        <w:t xml:space="preserve"> and controls for assessing and measuring credit </w:t>
      </w:r>
      <w:r w:rsidR="00BF4D6F">
        <w:t>losses</w:t>
      </w:r>
      <w:r w:rsidR="00BF4D6F" w:rsidRPr="00666895">
        <w:t xml:space="preserve"> </w:t>
      </w:r>
      <w:r w:rsidRPr="00666895">
        <w:t>on all exposures. The measurement of provisions must build on robust methodologies and result in the appropriate and timely recognition of expected credit losses in accordance with</w:t>
      </w:r>
      <w:r w:rsidR="00AA5B1D">
        <w:t xml:space="preserve"> </w:t>
      </w:r>
      <w:r w:rsidR="00AA5B1D" w:rsidRPr="003720D4">
        <w:t>Australian Accounting Standards</w:t>
      </w:r>
      <w:r w:rsidRPr="003720D4">
        <w:t>.</w:t>
      </w:r>
      <w:bookmarkEnd w:id="792"/>
    </w:p>
    <w:p w14:paraId="2DD13A67" w14:textId="3B7E9F03" w:rsidR="00216F7C" w:rsidRPr="00666895" w:rsidRDefault="00216F7C" w:rsidP="00391677">
      <w:pPr>
        <w:pStyle w:val="BodyText1"/>
      </w:pPr>
      <w:r w:rsidRPr="00666895">
        <w:t xml:space="preserve">An ADI’s aggregate </w:t>
      </w:r>
      <w:proofErr w:type="gramStart"/>
      <w:r w:rsidRPr="00666895">
        <w:t>amount</w:t>
      </w:r>
      <w:proofErr w:type="gramEnd"/>
      <w:r w:rsidRPr="00666895">
        <w:t xml:space="preserve"> of provisions must be adequate and consistent with the objectives of </w:t>
      </w:r>
      <w:r w:rsidR="00067EB4">
        <w:t>Australian Accounting Standards.</w:t>
      </w:r>
    </w:p>
    <w:p w14:paraId="4EBA4288" w14:textId="45367566" w:rsidR="00216F7C" w:rsidRPr="00666895" w:rsidRDefault="00216F7C" w:rsidP="00391677">
      <w:pPr>
        <w:pStyle w:val="BodyText1"/>
      </w:pPr>
      <w:r w:rsidRPr="00666895">
        <w:t xml:space="preserve">An ADI must have </w:t>
      </w:r>
      <w:r w:rsidR="0090792B">
        <w:t xml:space="preserve">sound </w:t>
      </w:r>
      <w:r w:rsidRPr="00666895">
        <w:t>policies and proce</w:t>
      </w:r>
      <w:r w:rsidR="00B2220A">
        <w:t>sses</w:t>
      </w:r>
      <w:r w:rsidRPr="00666895">
        <w:t xml:space="preserve"> in place to appropriately validate models used to assess and measure expected credit losses.</w:t>
      </w:r>
    </w:p>
    <w:p w14:paraId="5A972F53" w14:textId="02BBA26E" w:rsidR="00216F7C" w:rsidRDefault="00216F7C" w:rsidP="00391677">
      <w:pPr>
        <w:pStyle w:val="BodyText1"/>
      </w:pPr>
      <w:r w:rsidRPr="00666895">
        <w:t>An ADI must use experienced credit judg</w:t>
      </w:r>
      <w:r w:rsidR="00391677">
        <w:t>e</w:t>
      </w:r>
      <w:r w:rsidRPr="00666895">
        <w:t xml:space="preserve">ment, </w:t>
      </w:r>
      <w:r w:rsidR="00B43CFA">
        <w:t>particularly</w:t>
      </w:r>
      <w:r w:rsidRPr="00666895">
        <w:t xml:space="preserve"> in the robust consideration of reasonable and supportable forward</w:t>
      </w:r>
      <w:r w:rsidR="00391677">
        <w:t>-</w:t>
      </w:r>
      <w:r w:rsidRPr="00666895">
        <w:t>looking information, including macroeconomic factors, in its assessment and measurement of expected credit losses.</w:t>
      </w:r>
    </w:p>
    <w:p w14:paraId="39F68652" w14:textId="435380C4" w:rsidR="00A55561" w:rsidRDefault="00A55561" w:rsidP="00A55561">
      <w:pPr>
        <w:pStyle w:val="BodyText1"/>
      </w:pPr>
      <w:bookmarkStart w:id="793" w:name="_Ref529524292"/>
      <w:r>
        <w:t xml:space="preserve">An ADI must </w:t>
      </w:r>
      <w:r w:rsidRPr="00A55561">
        <w:t>have a</w:t>
      </w:r>
      <w:r w:rsidR="00875AC0">
        <w:t>n</w:t>
      </w:r>
      <w:r w:rsidRPr="00A55561">
        <w:t xml:space="preserve"> </w:t>
      </w:r>
      <w:r w:rsidR="00BF0E1C">
        <w:t xml:space="preserve">appropriate </w:t>
      </w:r>
      <w:r w:rsidRPr="00A55561">
        <w:t>credit risk assessment and measurement process that provides it with a</w:t>
      </w:r>
      <w:r w:rsidR="00BF0E1C">
        <w:t xml:space="preserve"> sound</w:t>
      </w:r>
      <w:r w:rsidRPr="00A55561">
        <w:t xml:space="preserve"> basis for common systems, tools and data to assess credit risk and to account for expected credit losse</w:t>
      </w:r>
      <w:r>
        <w:t>s.</w:t>
      </w:r>
      <w:bookmarkEnd w:id="793"/>
    </w:p>
    <w:p w14:paraId="32D305B5" w14:textId="4FE3C172" w:rsidR="00E54827" w:rsidRPr="003720D4" w:rsidRDefault="00E54827" w:rsidP="00391677">
      <w:pPr>
        <w:pStyle w:val="Heading1"/>
      </w:pPr>
      <w:bookmarkStart w:id="794" w:name="_Toc510011088"/>
      <w:bookmarkStart w:id="795" w:name="_Toc105754877"/>
      <w:bookmarkStart w:id="796" w:name="_Toc510011089"/>
      <w:r w:rsidRPr="008717F4">
        <w:t>Prescribed provisioning</w:t>
      </w:r>
      <w:bookmarkEnd w:id="794"/>
      <w:bookmarkEnd w:id="795"/>
    </w:p>
    <w:p w14:paraId="648EB2FD" w14:textId="37AC7E7F" w:rsidR="00E54827" w:rsidRPr="00B8033E" w:rsidRDefault="00E54827" w:rsidP="00391677">
      <w:pPr>
        <w:pStyle w:val="BodyText1"/>
      </w:pPr>
      <w:r w:rsidRPr="00B8033E">
        <w:t xml:space="preserve">Where APRA considers that a simple overall approach to determining provisions is acceptable for regulatory purposes, or APRA judges an ADI’s own practices </w:t>
      </w:r>
      <w:r w:rsidRPr="00B8033E">
        <w:lastRenderedPageBreak/>
        <w:t xml:space="preserve">for identifying provisions to be inadequate in view of its credit risk profile, APRA may permit, or require, an ADI to implement the prescribed provisioning approach described in Attachment </w:t>
      </w:r>
      <w:r w:rsidR="00E23409">
        <w:t>B</w:t>
      </w:r>
      <w:r w:rsidR="00F0021C">
        <w:t xml:space="preserve"> to this Prudential Standard</w:t>
      </w:r>
      <w:r w:rsidRPr="00B8033E">
        <w:t>.</w:t>
      </w:r>
    </w:p>
    <w:p w14:paraId="171225A6" w14:textId="11D2EFA8" w:rsidR="008144B2" w:rsidRPr="008144B2" w:rsidRDefault="00624904" w:rsidP="00391677">
      <w:pPr>
        <w:pStyle w:val="BodyText1"/>
      </w:pPr>
      <w:r>
        <w:t xml:space="preserve">Prescribed provisions are minimum provisions that an ADI must hold. </w:t>
      </w:r>
      <w:r w:rsidR="008144B2" w:rsidRPr="008144B2">
        <w:t xml:space="preserve">Where an ADI establishes provisions </w:t>
      </w:r>
      <w:r w:rsidR="001C1C89">
        <w:t xml:space="preserve">under Australian Accounting Standards </w:t>
      </w:r>
      <w:proofErr w:type="gramStart"/>
      <w:r w:rsidR="008144B2" w:rsidRPr="008144B2">
        <w:t>in excess of</w:t>
      </w:r>
      <w:proofErr w:type="gramEnd"/>
      <w:r w:rsidR="008144B2" w:rsidRPr="008144B2">
        <w:t xml:space="preserve"> those prescribed, the ADI must continue for </w:t>
      </w:r>
      <w:r w:rsidR="00002A03">
        <w:t xml:space="preserve">regulatory </w:t>
      </w:r>
      <w:r w:rsidR="008144B2" w:rsidRPr="008144B2">
        <w:t>capital and APRA reporting purposes</w:t>
      </w:r>
      <w:r w:rsidR="00391677">
        <w:t>,</w:t>
      </w:r>
      <w:r w:rsidR="008144B2" w:rsidRPr="008144B2">
        <w:t xml:space="preserve"> to include any excess provisions as part of its specific provisions or </w:t>
      </w:r>
      <w:r w:rsidR="00B3466B">
        <w:t>provisions held against performing exposures that represent unidentified losses,</w:t>
      </w:r>
      <w:r w:rsidR="008144B2" w:rsidRPr="008144B2">
        <w:t xml:space="preserve"> as appropriate.</w:t>
      </w:r>
    </w:p>
    <w:p w14:paraId="18871457" w14:textId="6E3F71C6" w:rsidR="00BF2EDC" w:rsidRPr="00673FE9" w:rsidRDefault="00924A50" w:rsidP="00673FE9">
      <w:pPr>
        <w:pStyle w:val="Heading1"/>
      </w:pPr>
      <w:bookmarkStart w:id="797" w:name="_Toc528853357"/>
      <w:bookmarkStart w:id="798" w:name="_Toc105754878"/>
      <w:bookmarkEnd w:id="796"/>
      <w:r>
        <w:t>Supervisory</w:t>
      </w:r>
      <w:r w:rsidR="00B74E35">
        <w:t xml:space="preserve"> limits</w:t>
      </w:r>
      <w:bookmarkEnd w:id="797"/>
      <w:bookmarkEnd w:id="798"/>
    </w:p>
    <w:p w14:paraId="1E5E5878" w14:textId="2794CCDC" w:rsidR="00B74E35" w:rsidRDefault="00B74E35" w:rsidP="009D46AA">
      <w:pPr>
        <w:pStyle w:val="BodyText1"/>
      </w:pPr>
      <w:bookmarkStart w:id="799" w:name="_Toc465172386"/>
      <w:r>
        <w:t xml:space="preserve">Where APRA considers that an ADI is taking excessive credit risk relative to its financial or operational capacity to manage or absorb that risk, APRA may set limits on </w:t>
      </w:r>
      <w:proofErr w:type="gramStart"/>
      <w:r>
        <w:t>particular exposures</w:t>
      </w:r>
      <w:proofErr w:type="gramEnd"/>
      <w:r>
        <w:t xml:space="preserve"> or categories of exposures </w:t>
      </w:r>
      <w:r w:rsidR="004B6444">
        <w:t>that may be held by</w:t>
      </w:r>
      <w:r>
        <w:t xml:space="preserve"> that ADI</w:t>
      </w:r>
      <w:r w:rsidR="004B6444">
        <w:t>, including but not limited to limits on growth or limits on the share of the ADI's portfolio,</w:t>
      </w:r>
      <w:r>
        <w:t xml:space="preserve"> or may require the ADI to cease a particular type of lending</w:t>
      </w:r>
      <w:r w:rsidR="004B6444">
        <w:t xml:space="preserve"> or </w:t>
      </w:r>
      <w:r w:rsidR="009371B4">
        <w:t>credit activity</w:t>
      </w:r>
      <w:r>
        <w:t>.</w:t>
      </w:r>
    </w:p>
    <w:p w14:paraId="78195C18" w14:textId="40C91DE9" w:rsidR="00A474F2" w:rsidRPr="00A94B0F" w:rsidRDefault="00A474F2" w:rsidP="00AC4836">
      <w:pPr>
        <w:pStyle w:val="BodyText1"/>
      </w:pPr>
      <w:r w:rsidRPr="00A94B0F">
        <w:t xml:space="preserve">If APRA considers that there is an excessive </w:t>
      </w:r>
      <w:r w:rsidR="008D3DB3" w:rsidRPr="00F055EF">
        <w:t xml:space="preserve">level or </w:t>
      </w:r>
      <w:r w:rsidRPr="00F055EF">
        <w:t xml:space="preserve">growth in higher risk lending or credit </w:t>
      </w:r>
      <w:r w:rsidR="001A3692" w:rsidRPr="00F055EF">
        <w:t>activity</w:t>
      </w:r>
      <w:r w:rsidRPr="00F055EF">
        <w:t xml:space="preserve"> more broadly, APRA may set limits on </w:t>
      </w:r>
      <w:proofErr w:type="gramStart"/>
      <w:r w:rsidRPr="00F055EF">
        <w:t>particular types</w:t>
      </w:r>
      <w:proofErr w:type="gramEnd"/>
      <w:r w:rsidRPr="00F055EF">
        <w:t xml:space="preserve"> of lending, including but not limited to</w:t>
      </w:r>
      <w:r w:rsidR="00377FC2">
        <w:t xml:space="preserve"> those set out in Attachment C to this prudential standard</w:t>
      </w:r>
      <w:r w:rsidRPr="00F055EF">
        <w:t>, to be complied with by all ADIs or a specified class of ADIs.</w:t>
      </w:r>
      <w:r w:rsidR="009212A3" w:rsidRPr="00F055EF">
        <w:t xml:space="preserve"> </w:t>
      </w:r>
    </w:p>
    <w:p w14:paraId="04EC8C9C" w14:textId="31FB7728" w:rsidR="006008D2" w:rsidRDefault="006008D2" w:rsidP="003F2279">
      <w:pPr>
        <w:pStyle w:val="Heading1"/>
      </w:pPr>
      <w:bookmarkStart w:id="800" w:name="_Toc528853358"/>
      <w:bookmarkStart w:id="801" w:name="_Toc105754879"/>
      <w:r>
        <w:t>Adequacy of credit risk management and provisions</w:t>
      </w:r>
      <w:bookmarkEnd w:id="800"/>
      <w:bookmarkEnd w:id="801"/>
    </w:p>
    <w:p w14:paraId="7E038883" w14:textId="6FED703A" w:rsidR="00621224" w:rsidRPr="00621224" w:rsidRDefault="006008D2" w:rsidP="00621224">
      <w:pPr>
        <w:pStyle w:val="BodyText1"/>
      </w:pPr>
      <w:r>
        <w:t xml:space="preserve">Where APRA considers </w:t>
      </w:r>
      <w:r w:rsidR="00B25D49" w:rsidRPr="00EF2287">
        <w:t>an ADI’s policies, proce</w:t>
      </w:r>
      <w:r w:rsidR="0066658E" w:rsidRPr="00EF2287">
        <w:t>sses</w:t>
      </w:r>
      <w:r w:rsidR="00B25D49" w:rsidRPr="00EF2287">
        <w:t xml:space="preserve"> and practices across its </w:t>
      </w:r>
      <w:r w:rsidR="00F62815" w:rsidRPr="00EF2287">
        <w:t xml:space="preserve">credit risk </w:t>
      </w:r>
      <w:r w:rsidR="00B25D49" w:rsidRPr="00EF2287">
        <w:t>activities</w:t>
      </w:r>
      <w:r w:rsidR="00C30FB3" w:rsidRPr="00EF2287">
        <w:t xml:space="preserve"> </w:t>
      </w:r>
      <w:r w:rsidR="00285EB1" w:rsidRPr="00EF2287">
        <w:t>do not meet the requirements of this Prudential Standard</w:t>
      </w:r>
      <w:r w:rsidR="00071CB5">
        <w:t xml:space="preserve"> or otherwise considers its credit risk management deficient</w:t>
      </w:r>
      <w:r w:rsidR="00285EB1" w:rsidRPr="00EF2287">
        <w:t xml:space="preserve">, APRA may require </w:t>
      </w:r>
      <w:r>
        <w:t>the</w:t>
      </w:r>
      <w:r w:rsidR="00285EB1" w:rsidRPr="00EF2287">
        <w:t xml:space="preserve"> ADI to a</w:t>
      </w:r>
      <w:r w:rsidR="007F5AF6">
        <w:t>mend</w:t>
      </w:r>
      <w:r w:rsidR="00285EB1" w:rsidRPr="00EF2287">
        <w:t xml:space="preserve"> credit risk management policies, proce</w:t>
      </w:r>
      <w:r w:rsidR="0066658E" w:rsidRPr="00EF2287">
        <w:t>sses</w:t>
      </w:r>
      <w:r w:rsidR="00285EB1" w:rsidRPr="00EF2287">
        <w:t xml:space="preserve">, and practices, </w:t>
      </w:r>
      <w:r w:rsidR="007F5AF6">
        <w:t>or adopt</w:t>
      </w:r>
      <w:r w:rsidR="00285EB1" w:rsidRPr="00EF2287">
        <w:t xml:space="preserve"> </w:t>
      </w:r>
      <w:r w:rsidR="007F5AF6">
        <w:t xml:space="preserve">appropriate </w:t>
      </w:r>
      <w:r w:rsidR="00285EB1" w:rsidRPr="00EF2287">
        <w:t>credit risk management policies, proce</w:t>
      </w:r>
      <w:r w:rsidR="0066658E" w:rsidRPr="00EF2287">
        <w:t>sses</w:t>
      </w:r>
      <w:r w:rsidR="00285EB1" w:rsidRPr="00EF2287">
        <w:t xml:space="preserve"> and practices, </w:t>
      </w:r>
      <w:r>
        <w:t xml:space="preserve">or </w:t>
      </w:r>
      <w:r w:rsidR="00285EB1" w:rsidRPr="00EF2287">
        <w:t>increase the levels of provisions or write</w:t>
      </w:r>
      <w:r w:rsidR="001A426F">
        <w:t>-</w:t>
      </w:r>
      <w:r w:rsidR="00285EB1" w:rsidRPr="00EF2287">
        <w:t xml:space="preserve">offs reported, or otherwise increase its </w:t>
      </w:r>
      <w:r w:rsidR="007F5AF6">
        <w:t xml:space="preserve">capital </w:t>
      </w:r>
      <w:r w:rsidR="007F5AF6" w:rsidRPr="00621224">
        <w:t>adequacy</w:t>
      </w:r>
      <w:r w:rsidR="00285EB1" w:rsidRPr="00621224">
        <w:t>.</w:t>
      </w:r>
      <w:bookmarkEnd w:id="799"/>
      <w:r w:rsidR="00BA3490">
        <w:rPr>
          <w:rStyle w:val="FootnoteReference"/>
        </w:rPr>
        <w:footnoteReference w:id="9"/>
      </w:r>
      <w:r w:rsidR="00BA3490">
        <w:t xml:space="preserve"> </w:t>
      </w:r>
    </w:p>
    <w:p w14:paraId="390FEA45" w14:textId="00B8105F" w:rsidR="00621224" w:rsidRDefault="00D41BF2" w:rsidP="00D41BF2">
      <w:pPr>
        <w:pStyle w:val="Heading1"/>
      </w:pPr>
      <w:bookmarkStart w:id="802" w:name="_Toc105754880"/>
      <w:r>
        <w:t>Special purpose engagements</w:t>
      </w:r>
      <w:bookmarkEnd w:id="802"/>
    </w:p>
    <w:p w14:paraId="7CEF664B" w14:textId="62A47341" w:rsidR="002616A9" w:rsidRDefault="00D41BF2" w:rsidP="00C80989">
      <w:pPr>
        <w:pStyle w:val="BodyText1"/>
      </w:pPr>
      <w:r>
        <w:t xml:space="preserve">APRA may require an ADI to appoint an independent party to </w:t>
      </w:r>
      <w:r w:rsidR="005B36D9">
        <w:t xml:space="preserve">review and </w:t>
      </w:r>
      <w:r>
        <w:t xml:space="preserve">provide a report </w:t>
      </w:r>
      <w:r w:rsidR="008C4323">
        <w:t xml:space="preserve">to APRA </w:t>
      </w:r>
      <w:r>
        <w:t xml:space="preserve">on all or a particular aspect of the ADI’s credit risk management, including provisioning practices. APRA may, however, request such a report without prior consultation with an ADI. </w:t>
      </w:r>
      <w:r w:rsidR="00621224" w:rsidRPr="00621224">
        <w:t xml:space="preserve">APRA </w:t>
      </w:r>
      <w:r>
        <w:t>may</w:t>
      </w:r>
      <w:r w:rsidR="00621224" w:rsidRPr="00621224">
        <w:t xml:space="preserve"> set the terms of </w:t>
      </w:r>
      <w:r w:rsidR="005B36D9">
        <w:t xml:space="preserve">the </w:t>
      </w:r>
      <w:r w:rsidR="00621224" w:rsidRPr="00621224">
        <w:t>review and at the ADI’s expense.</w:t>
      </w:r>
    </w:p>
    <w:p w14:paraId="2F6583EB" w14:textId="77777777" w:rsidR="00621224" w:rsidRPr="00621224" w:rsidRDefault="00621224" w:rsidP="00621224">
      <w:pPr>
        <w:pStyle w:val="BodyText1"/>
        <w:numPr>
          <w:ilvl w:val="0"/>
          <w:numId w:val="0"/>
        </w:numPr>
        <w:ind w:left="567"/>
        <w:sectPr w:rsidR="00621224" w:rsidRPr="00621224" w:rsidSect="000D63A8">
          <w:pgSz w:w="11906" w:h="16838" w:code="9"/>
          <w:pgMar w:top="1440" w:right="1797" w:bottom="1440" w:left="1797" w:header="709" w:footer="709" w:gutter="0"/>
          <w:cols w:space="708"/>
          <w:docGrid w:linePitch="360"/>
        </w:sectPr>
      </w:pPr>
    </w:p>
    <w:p w14:paraId="33F595C7" w14:textId="77B4D81D" w:rsidR="0038413F" w:rsidRPr="0038413F" w:rsidRDefault="0038413F" w:rsidP="00B17EE3">
      <w:pPr>
        <w:pStyle w:val="Heading2"/>
      </w:pPr>
      <w:bookmarkStart w:id="803" w:name="_Toc510011093"/>
      <w:bookmarkStart w:id="804" w:name="_Toc105754881"/>
      <w:r w:rsidRPr="008717F4">
        <w:lastRenderedPageBreak/>
        <w:t xml:space="preserve">Attachment </w:t>
      </w:r>
      <w:r w:rsidR="005B6DC2" w:rsidRPr="008717F4">
        <w:rPr>
          <w:rStyle w:val="Attachmentfieldtext"/>
        </w:rPr>
        <w:fldChar w:fldCharType="begin"/>
      </w:r>
      <w:r w:rsidR="005B6DC2" w:rsidRPr="008717F4">
        <w:rPr>
          <w:rStyle w:val="Attachmentfieldtext"/>
        </w:rPr>
        <w:instrText xml:space="preserve"> SEQ Attach \* ALPHABETIC \* MERGEFORMAT </w:instrText>
      </w:r>
      <w:r w:rsidR="005B6DC2" w:rsidRPr="008717F4">
        <w:rPr>
          <w:rStyle w:val="Attachmentfieldtext"/>
        </w:rPr>
        <w:fldChar w:fldCharType="separate"/>
      </w:r>
      <w:r w:rsidR="00A86E02">
        <w:rPr>
          <w:rStyle w:val="Attachmentfieldtext"/>
          <w:noProof/>
        </w:rPr>
        <w:t>A</w:t>
      </w:r>
      <w:r w:rsidR="005B6DC2" w:rsidRPr="008717F4">
        <w:rPr>
          <w:rStyle w:val="Attachmentfieldtext"/>
        </w:rPr>
        <w:fldChar w:fldCharType="end"/>
      </w:r>
      <w:r w:rsidR="001F6B8D" w:rsidRPr="008717F4">
        <w:rPr>
          <w:rStyle w:val="Attachmentfieldtext"/>
        </w:rPr>
        <w:t xml:space="preserve"> </w:t>
      </w:r>
      <w:r w:rsidR="00960C6E" w:rsidRPr="008717F4">
        <w:rPr>
          <w:rStyle w:val="Attachmentfieldtext"/>
        </w:rPr>
        <w:t>–</w:t>
      </w:r>
      <w:r w:rsidR="001F6B8D" w:rsidRPr="008717F4">
        <w:rPr>
          <w:rStyle w:val="Attachmentfieldtext"/>
        </w:rPr>
        <w:t xml:space="preserve"> </w:t>
      </w:r>
      <w:r w:rsidR="00810E3A">
        <w:rPr>
          <w:rStyle w:val="Attachmentfieldtext"/>
        </w:rPr>
        <w:t>Collateral valuation</w:t>
      </w:r>
      <w:bookmarkEnd w:id="803"/>
      <w:bookmarkEnd w:id="804"/>
    </w:p>
    <w:p w14:paraId="00597144" w14:textId="160C5800" w:rsidR="005C3205" w:rsidRDefault="008B19C7" w:rsidP="00051B8D">
      <w:pPr>
        <w:pStyle w:val="BodyText1"/>
        <w:numPr>
          <w:ilvl w:val="0"/>
          <w:numId w:val="15"/>
        </w:numPr>
      </w:pPr>
      <w:r w:rsidRPr="008B19C7">
        <w:t>Collateral can include guarantees, insurance arrangements and, importantly, security held over various forms of assets</w:t>
      </w:r>
      <w:r>
        <w:t>.</w:t>
      </w:r>
      <w:r w:rsidR="00557795">
        <w:t xml:space="preserve"> </w:t>
      </w:r>
      <w:r w:rsidR="006275DF">
        <w:t xml:space="preserve">This Attachment applies to all forms of collateral, including all types of assets taken as security. </w:t>
      </w:r>
      <w:r w:rsidR="00162E84">
        <w:t>An ADI must apply this Attachment, having regard to the nature and type of security held.</w:t>
      </w:r>
    </w:p>
    <w:p w14:paraId="410B26B1" w14:textId="3AB99BDE" w:rsidR="00E636D4" w:rsidRPr="00DF569A" w:rsidRDefault="00810E3A" w:rsidP="00565552">
      <w:pPr>
        <w:pStyle w:val="BodyText1"/>
        <w:numPr>
          <w:ilvl w:val="0"/>
          <w:numId w:val="15"/>
        </w:numPr>
      </w:pPr>
      <w:r w:rsidRPr="00B17EE3">
        <w:t xml:space="preserve">An ADI must ensure that assets to be taken as </w:t>
      </w:r>
      <w:r w:rsidR="00CC79EA" w:rsidRPr="00B17EE3">
        <w:t>security</w:t>
      </w:r>
      <w:r w:rsidRPr="00B17EE3">
        <w:t xml:space="preserve"> are accurately identified and documented in exposure documentation. </w:t>
      </w:r>
      <w:r w:rsidR="00E1292C" w:rsidRPr="00B17EE3">
        <w:t>An</w:t>
      </w:r>
      <w:r w:rsidRPr="00B17EE3">
        <w:t xml:space="preserve"> AD</w:t>
      </w:r>
      <w:r w:rsidR="00143C2E" w:rsidRPr="00B17EE3">
        <w:t>I</w:t>
      </w:r>
      <w:r w:rsidRPr="00B17EE3">
        <w:t xml:space="preserve"> must ensure that the relevant legal requirements are met to maintain the ADI’s </w:t>
      </w:r>
      <w:r w:rsidR="004B075F" w:rsidRPr="000C0473">
        <w:t xml:space="preserve">security </w:t>
      </w:r>
      <w:r w:rsidRPr="000C0473">
        <w:t>position and to provide for its enforcement.</w:t>
      </w:r>
      <w:r w:rsidR="00E636D4" w:rsidRPr="00D55EA5">
        <w:t xml:space="preserve"> This include</w:t>
      </w:r>
      <w:r w:rsidR="00E636D4" w:rsidRPr="00DF569A">
        <w:t>s the ADI confirming that:</w:t>
      </w:r>
    </w:p>
    <w:p w14:paraId="22BE5125" w14:textId="6774BA6E" w:rsidR="00E636D4" w:rsidRPr="00BE57FC" w:rsidRDefault="00E636D4" w:rsidP="00D43985">
      <w:pPr>
        <w:pStyle w:val="BodyText2"/>
        <w:ind w:left="1134"/>
        <w:jc w:val="both"/>
      </w:pPr>
      <w:r w:rsidRPr="00BE57FC">
        <w:t xml:space="preserve">the borrower has, or will have when the exposure is extended, clear title to the </w:t>
      </w:r>
      <w:r w:rsidR="007B5416">
        <w:t>assets</w:t>
      </w:r>
      <w:r w:rsidRPr="00BE57FC">
        <w:t>;</w:t>
      </w:r>
    </w:p>
    <w:p w14:paraId="7A3BB98D" w14:textId="3BEE6138" w:rsidR="00E636D4" w:rsidRPr="00BE57FC" w:rsidRDefault="00E636D4" w:rsidP="00D43985">
      <w:pPr>
        <w:pStyle w:val="BodyText2"/>
        <w:ind w:left="1134"/>
        <w:jc w:val="both"/>
      </w:pPr>
      <w:r w:rsidRPr="00BE57FC">
        <w:t>the characteristics of the collateral are as they have been represented; and</w:t>
      </w:r>
    </w:p>
    <w:p w14:paraId="1B8A862C" w14:textId="7EA886C9" w:rsidR="00E636D4" w:rsidRPr="00BE57FC" w:rsidRDefault="007B5416" w:rsidP="00D43985">
      <w:pPr>
        <w:pStyle w:val="BodyText2"/>
        <w:ind w:left="1134"/>
        <w:jc w:val="both"/>
      </w:pPr>
      <w:r>
        <w:t>assets</w:t>
      </w:r>
      <w:r w:rsidR="00E636D4" w:rsidRPr="00BE57FC">
        <w:t xml:space="preserve"> serving as collateral</w:t>
      </w:r>
      <w:r w:rsidR="008B19C7">
        <w:t>, where relevant</w:t>
      </w:r>
      <w:r w:rsidR="00252927">
        <w:t>,</w:t>
      </w:r>
      <w:r w:rsidR="00E636D4" w:rsidRPr="00BE57FC">
        <w:t xml:space="preserve"> </w:t>
      </w:r>
      <w:r>
        <w:t xml:space="preserve">are </w:t>
      </w:r>
      <w:r w:rsidR="00E636D4" w:rsidRPr="00BE57FC">
        <w:t>appropriately insured at the time of origination and</w:t>
      </w:r>
      <w:r w:rsidR="00B17EE3">
        <w:t xml:space="preserve"> this insurance</w:t>
      </w:r>
      <w:r w:rsidR="00E636D4" w:rsidRPr="00BE57FC">
        <w:t xml:space="preserve"> is maintained under the contractual terms</w:t>
      </w:r>
      <w:r w:rsidR="001F1A6D" w:rsidRPr="00BE57FC">
        <w:t xml:space="preserve"> of the exposure</w:t>
      </w:r>
      <w:r w:rsidR="00E636D4" w:rsidRPr="00BE57FC">
        <w:t>.</w:t>
      </w:r>
    </w:p>
    <w:p w14:paraId="14F80CE5" w14:textId="74D250AB" w:rsidR="00810E3A" w:rsidRPr="00B17EE3" w:rsidRDefault="00810E3A" w:rsidP="00673FE9">
      <w:pPr>
        <w:pStyle w:val="BodyText1"/>
      </w:pPr>
      <w:r w:rsidRPr="00B17EE3">
        <w:t xml:space="preserve">Valuation of </w:t>
      </w:r>
      <w:r w:rsidR="00CC79EA" w:rsidRPr="00B17EE3">
        <w:t>security</w:t>
      </w:r>
      <w:r w:rsidRPr="00B17EE3">
        <w:t xml:space="preserve"> must be undertaken </w:t>
      </w:r>
      <w:r w:rsidR="003501F8">
        <w:t xml:space="preserve">on </w:t>
      </w:r>
      <w:r w:rsidR="00C26CAC">
        <w:t>a</w:t>
      </w:r>
      <w:r w:rsidR="003501F8">
        <w:t xml:space="preserve">ny exposure </w:t>
      </w:r>
      <w:r w:rsidRPr="00B17EE3">
        <w:t xml:space="preserve">prior to drawdown </w:t>
      </w:r>
      <w:r w:rsidR="006D2628">
        <w:t>and</w:t>
      </w:r>
      <w:r w:rsidR="00145ADF">
        <w:t xml:space="preserve">, where appropriate, an </w:t>
      </w:r>
      <w:r w:rsidR="006D2628">
        <w:t>on-going basis</w:t>
      </w:r>
      <w:r w:rsidRPr="00B17EE3">
        <w:t>.</w:t>
      </w:r>
    </w:p>
    <w:p w14:paraId="0B1373C7" w14:textId="6652D2C9" w:rsidR="00810E3A" w:rsidRPr="00D55EA5" w:rsidRDefault="00810E3A" w:rsidP="00673FE9">
      <w:pPr>
        <w:pStyle w:val="BodyText1"/>
      </w:pPr>
      <w:proofErr w:type="gramStart"/>
      <w:r w:rsidRPr="00B17EE3">
        <w:t>In the event that</w:t>
      </w:r>
      <w:proofErr w:type="gramEnd"/>
      <w:r w:rsidRPr="00B17EE3">
        <w:t xml:space="preserve"> the fair value of </w:t>
      </w:r>
      <w:r w:rsidR="00CC79EA" w:rsidRPr="00B17EE3">
        <w:t>security</w:t>
      </w:r>
      <w:r w:rsidRPr="00B17EE3">
        <w:t xml:space="preserve"> is based on observable market values, an ADI’s policies and processes must </w:t>
      </w:r>
      <w:r w:rsidR="005576E0" w:rsidRPr="000C0473">
        <w:t>have</w:t>
      </w:r>
      <w:r w:rsidRPr="000C0473">
        <w:t xml:space="preserve"> regard to:</w:t>
      </w:r>
    </w:p>
    <w:p w14:paraId="044D50D2" w14:textId="77777777" w:rsidR="00810E3A" w:rsidRPr="00BE57FC" w:rsidRDefault="00810E3A" w:rsidP="00673FE9">
      <w:pPr>
        <w:pStyle w:val="BodyText2"/>
        <w:ind w:left="1134"/>
        <w:rPr>
          <w:lang w:val="en-US"/>
        </w:rPr>
      </w:pPr>
      <w:r w:rsidRPr="00BE57FC">
        <w:rPr>
          <w:lang w:val="en-US"/>
        </w:rPr>
        <w:t xml:space="preserve">when observable market prices would be </w:t>
      </w:r>
      <w:proofErr w:type="gramStart"/>
      <w:r w:rsidRPr="00BE57FC">
        <w:rPr>
          <w:lang w:val="en-US"/>
        </w:rPr>
        <w:t>used;</w:t>
      </w:r>
      <w:proofErr w:type="gramEnd"/>
    </w:p>
    <w:p w14:paraId="25222C42" w14:textId="1B144D87" w:rsidR="00810E3A" w:rsidRPr="00BE57FC" w:rsidRDefault="00810E3A" w:rsidP="00673FE9">
      <w:pPr>
        <w:pStyle w:val="BodyText2"/>
        <w:ind w:left="1134"/>
        <w:rPr>
          <w:lang w:val="en-US"/>
        </w:rPr>
      </w:pPr>
      <w:r w:rsidRPr="00BE57FC">
        <w:rPr>
          <w:lang w:val="en-US"/>
        </w:rPr>
        <w:t xml:space="preserve">the basis for selecting the market prices to be </w:t>
      </w:r>
      <w:proofErr w:type="gramStart"/>
      <w:r w:rsidRPr="00BE57FC">
        <w:rPr>
          <w:lang w:val="en-US"/>
        </w:rPr>
        <w:t>used;</w:t>
      </w:r>
      <w:proofErr w:type="gramEnd"/>
    </w:p>
    <w:p w14:paraId="2B089AA6" w14:textId="77777777" w:rsidR="00810E3A" w:rsidRPr="00BE57FC" w:rsidRDefault="00810E3A" w:rsidP="00D43985">
      <w:pPr>
        <w:pStyle w:val="BodyText2"/>
        <w:ind w:left="1134"/>
        <w:jc w:val="both"/>
        <w:rPr>
          <w:lang w:val="en-US"/>
        </w:rPr>
      </w:pPr>
      <w:r w:rsidRPr="00BE57FC">
        <w:rPr>
          <w:lang w:val="en-US"/>
        </w:rPr>
        <w:t>the impact of market liquidity on the pricing of assets and the timing of their disposal; and</w:t>
      </w:r>
    </w:p>
    <w:p w14:paraId="04218E67" w14:textId="3AE366E3" w:rsidR="00810E3A" w:rsidRPr="00BE57FC" w:rsidRDefault="00810E3A" w:rsidP="00D43985">
      <w:pPr>
        <w:pStyle w:val="BodyText2"/>
        <w:ind w:left="1134"/>
        <w:jc w:val="both"/>
        <w:rPr>
          <w:lang w:val="en-US"/>
        </w:rPr>
      </w:pPr>
      <w:r w:rsidRPr="00BE57FC">
        <w:rPr>
          <w:lang w:val="en-US"/>
        </w:rPr>
        <w:t xml:space="preserve">costs which would arise in accessing and disposing of assets held as </w:t>
      </w:r>
      <w:r w:rsidRPr="00BE57FC">
        <w:t>collateral</w:t>
      </w:r>
      <w:r w:rsidRPr="00BE57FC">
        <w:rPr>
          <w:lang w:val="en-US"/>
        </w:rPr>
        <w:t>.</w:t>
      </w:r>
    </w:p>
    <w:p w14:paraId="1660AC75" w14:textId="1CB386AC" w:rsidR="00810E3A" w:rsidRPr="00BE34C6" w:rsidRDefault="00810E3A" w:rsidP="00673FE9">
      <w:pPr>
        <w:pStyle w:val="BodyText1"/>
      </w:pPr>
      <w:r w:rsidRPr="00B17EE3">
        <w:t xml:space="preserve">In determining the fair value of </w:t>
      </w:r>
      <w:r w:rsidR="008736EF" w:rsidRPr="00B17EE3">
        <w:t>security,</w:t>
      </w:r>
      <w:r w:rsidRPr="000C0473">
        <w:t xml:space="preserve"> an ADI may utilise the valuations of suitably qualified internal appraisers</w:t>
      </w:r>
      <w:r w:rsidR="00E1292C" w:rsidRPr="000C0473">
        <w:t xml:space="preserve">, </w:t>
      </w:r>
      <w:r w:rsidRPr="00D55EA5">
        <w:t>external valuers</w:t>
      </w:r>
      <w:r w:rsidR="00E1292C" w:rsidRPr="00DF569A">
        <w:t xml:space="preserve"> or automated valuation m</w:t>
      </w:r>
      <w:r w:rsidR="00B41BC0">
        <w:t>ethods</w:t>
      </w:r>
      <w:r w:rsidRPr="00DF569A">
        <w:t>. Policies and proce</w:t>
      </w:r>
      <w:r w:rsidR="00576D16" w:rsidRPr="00D71838">
        <w:t>sses</w:t>
      </w:r>
      <w:r w:rsidRPr="00D71838">
        <w:t xml:space="preserve"> covering the fair value of </w:t>
      </w:r>
      <w:r w:rsidR="008736EF" w:rsidRPr="00D71838">
        <w:t>security</w:t>
      </w:r>
      <w:r w:rsidR="00576D16" w:rsidRPr="007043AA">
        <w:t xml:space="preserve"> </w:t>
      </w:r>
      <w:r w:rsidRPr="00BE34C6">
        <w:t>must address the circumstances in which such valuations would be sought.</w:t>
      </w:r>
    </w:p>
    <w:p w14:paraId="15C4D056" w14:textId="417EBE68" w:rsidR="00810E3A" w:rsidRPr="002C6892" w:rsidRDefault="00810E3A" w:rsidP="00673FE9">
      <w:pPr>
        <w:pStyle w:val="BodyText1"/>
      </w:pPr>
      <w:r w:rsidRPr="005755D5">
        <w:t>Where an ADI uses valuations from internal appraisers, it must have policies and proce</w:t>
      </w:r>
      <w:r w:rsidR="000E1848" w:rsidRPr="005755D5">
        <w:t>sses</w:t>
      </w:r>
      <w:r w:rsidRPr="002C6892">
        <w:t xml:space="preserve"> which address:</w:t>
      </w:r>
    </w:p>
    <w:p w14:paraId="3A791FD3" w14:textId="7E30E242" w:rsidR="00810E3A" w:rsidRPr="00BE57FC" w:rsidRDefault="00810E3A" w:rsidP="00D43985">
      <w:pPr>
        <w:pStyle w:val="BodyText2"/>
        <w:ind w:left="1134"/>
        <w:jc w:val="both"/>
        <w:rPr>
          <w:lang w:val="en-US"/>
        </w:rPr>
      </w:pPr>
      <w:r w:rsidRPr="00BE57FC">
        <w:rPr>
          <w:lang w:val="en-US"/>
        </w:rPr>
        <w:t>when valuations would be provided by internal appraisers</w:t>
      </w:r>
      <w:r w:rsidR="00E1292C" w:rsidRPr="00BE57FC">
        <w:t xml:space="preserve"> </w:t>
      </w:r>
      <w:r w:rsidR="00E1292C" w:rsidRPr="00BE57FC">
        <w:rPr>
          <w:lang w:val="en-US"/>
        </w:rPr>
        <w:t>to remove the potential for real or perceived conflicts of interests which may affect the valuations</w:t>
      </w:r>
      <w:r w:rsidRPr="00620C2A">
        <w:rPr>
          <w:lang w:val="en-US"/>
        </w:rPr>
        <w:t>;</w:t>
      </w:r>
      <w:r w:rsidRPr="00BE57FC">
        <w:rPr>
          <w:lang w:val="en-US"/>
        </w:rPr>
        <w:t xml:space="preserve"> and</w:t>
      </w:r>
    </w:p>
    <w:p w14:paraId="53C6BE6A" w14:textId="77777777" w:rsidR="00810E3A" w:rsidRPr="00BE57FC" w:rsidRDefault="00810E3A" w:rsidP="00D43985">
      <w:pPr>
        <w:pStyle w:val="BodyText2"/>
        <w:ind w:left="1134"/>
        <w:jc w:val="both"/>
        <w:rPr>
          <w:lang w:val="en-US"/>
        </w:rPr>
      </w:pPr>
      <w:r w:rsidRPr="00BE57FC">
        <w:rPr>
          <w:lang w:val="en-US"/>
        </w:rPr>
        <w:lastRenderedPageBreak/>
        <w:t>the qualifications and experience required of internal appraisers when undertaking valuations.</w:t>
      </w:r>
    </w:p>
    <w:p w14:paraId="0A83BD68" w14:textId="2B2A0598" w:rsidR="00810E3A" w:rsidRPr="000C0473" w:rsidRDefault="00810E3A" w:rsidP="00673FE9">
      <w:pPr>
        <w:pStyle w:val="BodyText1"/>
      </w:pPr>
      <w:r w:rsidRPr="000C0473">
        <w:t>If an ADI relies on external expertise for its security valuation needs, it must establish robust selection and review mechanisms. Factors that must be considered in the selection process include:</w:t>
      </w:r>
    </w:p>
    <w:p w14:paraId="7B05EA89" w14:textId="77777777" w:rsidR="00810E3A" w:rsidRPr="00BE57FC" w:rsidRDefault="00810E3A" w:rsidP="00673FE9">
      <w:pPr>
        <w:pStyle w:val="BodyText2"/>
        <w:ind w:left="1134"/>
        <w:rPr>
          <w:lang w:val="en-US"/>
        </w:rPr>
      </w:pPr>
      <w:r w:rsidRPr="00BE57FC">
        <w:rPr>
          <w:lang w:val="en-US"/>
        </w:rPr>
        <w:t xml:space="preserve">professional qualifications </w:t>
      </w:r>
      <w:proofErr w:type="gramStart"/>
      <w:r w:rsidRPr="00BE57FC">
        <w:rPr>
          <w:lang w:val="en-US"/>
        </w:rPr>
        <w:t>required;</w:t>
      </w:r>
      <w:proofErr w:type="gramEnd"/>
    </w:p>
    <w:p w14:paraId="2D038CF8" w14:textId="1EB7BC38" w:rsidR="00810E3A" w:rsidRPr="00BE57FC" w:rsidRDefault="00810E3A" w:rsidP="00673FE9">
      <w:pPr>
        <w:pStyle w:val="BodyText2"/>
        <w:ind w:left="1134"/>
        <w:rPr>
          <w:lang w:val="en-US"/>
        </w:rPr>
      </w:pPr>
      <w:r w:rsidRPr="00BE57FC">
        <w:rPr>
          <w:lang w:val="en-US"/>
        </w:rPr>
        <w:t>relevant experience</w:t>
      </w:r>
      <w:r w:rsidR="00847F3B">
        <w:rPr>
          <w:lang w:val="en-US"/>
        </w:rPr>
        <w:t>,</w:t>
      </w:r>
      <w:r w:rsidRPr="00BE57FC">
        <w:rPr>
          <w:lang w:val="en-US"/>
        </w:rPr>
        <w:t xml:space="preserve"> including local </w:t>
      </w:r>
      <w:proofErr w:type="gramStart"/>
      <w:r w:rsidRPr="00BE57FC">
        <w:rPr>
          <w:lang w:val="en-US"/>
        </w:rPr>
        <w:t>knowledge;</w:t>
      </w:r>
      <w:proofErr w:type="gramEnd"/>
    </w:p>
    <w:p w14:paraId="7C43E207" w14:textId="58D509AE" w:rsidR="00810E3A" w:rsidRPr="00BE57FC" w:rsidRDefault="00810E3A" w:rsidP="00D43985">
      <w:pPr>
        <w:pStyle w:val="BodyText2"/>
        <w:ind w:left="1134"/>
        <w:jc w:val="both"/>
        <w:rPr>
          <w:lang w:val="en-US"/>
        </w:rPr>
      </w:pPr>
      <w:r w:rsidRPr="00BE57FC">
        <w:rPr>
          <w:lang w:val="en-US"/>
        </w:rPr>
        <w:t xml:space="preserve">breadth of expertise to cover both standard and </w:t>
      </w:r>
      <w:proofErr w:type="spellStart"/>
      <w:r w:rsidRPr="00BE57FC">
        <w:rPr>
          <w:lang w:val="en-US"/>
        </w:rPr>
        <w:t>specialised</w:t>
      </w:r>
      <w:proofErr w:type="spellEnd"/>
      <w:r w:rsidRPr="00BE57FC">
        <w:rPr>
          <w:lang w:val="en-US"/>
        </w:rPr>
        <w:t xml:space="preserve"> security assessments; and</w:t>
      </w:r>
    </w:p>
    <w:p w14:paraId="534321E0" w14:textId="77777777" w:rsidR="00810E3A" w:rsidRPr="00BE57FC" w:rsidRDefault="00810E3A" w:rsidP="00673FE9">
      <w:pPr>
        <w:pStyle w:val="BodyText2"/>
        <w:ind w:left="1134"/>
        <w:rPr>
          <w:lang w:val="en-US"/>
        </w:rPr>
      </w:pPr>
      <w:r w:rsidRPr="00BE57FC">
        <w:rPr>
          <w:lang w:val="en-US"/>
        </w:rPr>
        <w:t>appropriate professional insurance cover.</w:t>
      </w:r>
    </w:p>
    <w:p w14:paraId="1D74BC31" w14:textId="09BC7D86" w:rsidR="00E1292C" w:rsidRPr="000C0473" w:rsidRDefault="00E1292C" w:rsidP="00673FE9">
      <w:pPr>
        <w:pStyle w:val="BodyText1"/>
      </w:pPr>
      <w:r w:rsidRPr="000C0473">
        <w:t>If an ADI relies on</w:t>
      </w:r>
      <w:r w:rsidR="009A7823" w:rsidRPr="000C0473">
        <w:t xml:space="preserve"> the use of alternative valuation methods such </w:t>
      </w:r>
      <w:r w:rsidRPr="000C0473">
        <w:t>a</w:t>
      </w:r>
      <w:r w:rsidR="009A7823" w:rsidRPr="000C0473">
        <w:t>s</w:t>
      </w:r>
      <w:r w:rsidRPr="000C0473">
        <w:t xml:space="preserve"> </w:t>
      </w:r>
      <w:r w:rsidR="009A7823" w:rsidRPr="000C0473">
        <w:t>desktop assessments, kerbside assessments</w:t>
      </w:r>
      <w:r w:rsidR="002F6E9A" w:rsidRPr="000C0473">
        <w:t xml:space="preserve"> and</w:t>
      </w:r>
      <w:r w:rsidR="009A7823" w:rsidRPr="000C0473">
        <w:t xml:space="preserve"> </w:t>
      </w:r>
      <w:r w:rsidR="005D1794">
        <w:t>automated valuation m</w:t>
      </w:r>
      <w:r w:rsidR="00B41BC0">
        <w:t>ethods</w:t>
      </w:r>
      <w:r w:rsidR="009A7823" w:rsidRPr="000C0473">
        <w:t xml:space="preserve"> to</w:t>
      </w:r>
      <w:r w:rsidRPr="000C0473">
        <w:t xml:space="preserve"> produce a security valuation, it must have appropriate policies and processes which address:</w:t>
      </w:r>
    </w:p>
    <w:p w14:paraId="226459FA" w14:textId="4FD42BB7" w:rsidR="00E1292C" w:rsidRPr="00BE57FC" w:rsidRDefault="00E1292C" w:rsidP="00673FE9">
      <w:pPr>
        <w:pStyle w:val="BodyText2"/>
        <w:ind w:left="1134"/>
        <w:rPr>
          <w:rFonts w:asciiTheme="minorHAnsi" w:hAnsiTheme="minorHAnsi" w:cstheme="minorHAnsi"/>
        </w:rPr>
      </w:pPr>
      <w:r w:rsidRPr="00BE57FC">
        <w:rPr>
          <w:rFonts w:asciiTheme="minorHAnsi" w:hAnsiTheme="minorHAnsi" w:cstheme="minorHAnsi"/>
        </w:rPr>
        <w:t xml:space="preserve">when valuations would be provided by </w:t>
      </w:r>
      <w:r w:rsidR="009A7823" w:rsidRPr="00BE57FC">
        <w:rPr>
          <w:rFonts w:asciiTheme="minorHAnsi" w:hAnsiTheme="minorHAnsi" w:cstheme="minorHAnsi"/>
        </w:rPr>
        <w:t>the alternative method;</w:t>
      </w:r>
      <w:r w:rsidRPr="00BE57FC">
        <w:rPr>
          <w:rFonts w:asciiTheme="minorHAnsi" w:hAnsiTheme="minorHAnsi" w:cstheme="minorHAnsi"/>
        </w:rPr>
        <w:t xml:space="preserve"> </w:t>
      </w:r>
    </w:p>
    <w:p w14:paraId="7EDC8BCE" w14:textId="3F0B7787" w:rsidR="00E1292C" w:rsidRDefault="00E1292C" w:rsidP="00673FE9">
      <w:pPr>
        <w:pStyle w:val="BodyText2"/>
        <w:ind w:left="1134"/>
        <w:rPr>
          <w:rFonts w:asciiTheme="minorHAnsi" w:hAnsiTheme="minorHAnsi" w:cstheme="minorHAnsi"/>
        </w:rPr>
      </w:pPr>
      <w:r w:rsidRPr="00BE57FC">
        <w:rPr>
          <w:rFonts w:asciiTheme="minorHAnsi" w:hAnsiTheme="minorHAnsi" w:cstheme="minorHAnsi"/>
        </w:rPr>
        <w:t>monitoring, validation and reporting of valuation data</w:t>
      </w:r>
      <w:r w:rsidR="00342B98">
        <w:rPr>
          <w:rFonts w:asciiTheme="minorHAnsi" w:hAnsiTheme="minorHAnsi" w:cstheme="minorHAnsi"/>
        </w:rPr>
        <w:t>; and</w:t>
      </w:r>
    </w:p>
    <w:p w14:paraId="4BF43158" w14:textId="6476D741" w:rsidR="005E3F82" w:rsidRPr="00BE57FC" w:rsidRDefault="005E3F82" w:rsidP="00D43985">
      <w:pPr>
        <w:pStyle w:val="BodyText2"/>
        <w:ind w:left="1134"/>
        <w:jc w:val="both"/>
        <w:rPr>
          <w:rFonts w:asciiTheme="minorHAnsi" w:hAnsiTheme="minorHAnsi" w:cstheme="minorHAnsi"/>
        </w:rPr>
      </w:pPr>
      <w:r>
        <w:rPr>
          <w:rFonts w:asciiTheme="minorHAnsi" w:hAnsiTheme="minorHAnsi" w:cstheme="minorHAnsi"/>
        </w:rPr>
        <w:t>asset values includ</w:t>
      </w:r>
      <w:r w:rsidR="00145ADF">
        <w:rPr>
          <w:rFonts w:asciiTheme="minorHAnsi" w:hAnsiTheme="minorHAnsi" w:cstheme="minorHAnsi"/>
        </w:rPr>
        <w:t>ing</w:t>
      </w:r>
      <w:r>
        <w:rPr>
          <w:rFonts w:asciiTheme="minorHAnsi" w:hAnsiTheme="minorHAnsi" w:cstheme="minorHAnsi"/>
        </w:rPr>
        <w:t xml:space="preserve"> adequate haircuts for conservatism when using </w:t>
      </w:r>
      <w:r w:rsidR="005D1794">
        <w:rPr>
          <w:rFonts w:asciiTheme="minorHAnsi" w:hAnsiTheme="minorHAnsi" w:cstheme="minorHAnsi"/>
        </w:rPr>
        <w:t>automated valuation methods</w:t>
      </w:r>
      <w:r>
        <w:rPr>
          <w:rFonts w:asciiTheme="minorHAnsi" w:hAnsiTheme="minorHAnsi" w:cstheme="minorHAnsi"/>
        </w:rPr>
        <w:t>.</w:t>
      </w:r>
    </w:p>
    <w:p w14:paraId="61DE7376" w14:textId="635546AA" w:rsidR="00711058" w:rsidRPr="000C0473" w:rsidRDefault="00711058" w:rsidP="00673FE9">
      <w:pPr>
        <w:pStyle w:val="BodyText1"/>
      </w:pPr>
      <w:r w:rsidRPr="000C0473">
        <w:t>An ADI contemplating the use of alternative valuation methods must subject proposals to thorough analysis and develop a risk management capability that includes:</w:t>
      </w:r>
    </w:p>
    <w:p w14:paraId="35AFE6D9" w14:textId="13E71E2C" w:rsidR="00711058" w:rsidRPr="00BE57FC" w:rsidRDefault="00711058" w:rsidP="00673FE9">
      <w:pPr>
        <w:pStyle w:val="BodyText2"/>
        <w:ind w:left="1134"/>
      </w:pPr>
      <w:r w:rsidRPr="00BE57FC">
        <w:t>a hierarchy of acceptable methods of determining value that is appropriate to the level of risk;</w:t>
      </w:r>
    </w:p>
    <w:p w14:paraId="0DE48C4D" w14:textId="3E2CB440" w:rsidR="00711058" w:rsidRPr="00BE57FC" w:rsidRDefault="00711058" w:rsidP="00D43985">
      <w:pPr>
        <w:pStyle w:val="BodyText2"/>
        <w:ind w:left="1134"/>
        <w:jc w:val="both"/>
      </w:pPr>
      <w:r w:rsidRPr="00BE57FC">
        <w:t>analysis of the strengths and weaknesses of the relevant approaches</w:t>
      </w:r>
      <w:r w:rsidR="00847F3B">
        <w:t xml:space="preserve"> or </w:t>
      </w:r>
      <w:r w:rsidRPr="00BE57FC">
        <w:t xml:space="preserve">models being considered, including an understanding of the methodologies used, sources of data employed and how </w:t>
      </w:r>
      <w:r w:rsidR="002F6E9A" w:rsidRPr="00BE57FC">
        <w:t>a</w:t>
      </w:r>
      <w:r w:rsidRPr="00BE57FC">
        <w:t xml:space="preserve"> service provider may be able to assist in </w:t>
      </w:r>
      <w:r w:rsidRPr="00620C2A">
        <w:t>reengineering</w:t>
      </w:r>
      <w:r w:rsidRPr="00BE57FC">
        <w:t xml:space="preserve"> the ADI’s processes;</w:t>
      </w:r>
    </w:p>
    <w:p w14:paraId="03C1CA8B" w14:textId="4486AA0C" w:rsidR="00711058" w:rsidRPr="00BE57FC" w:rsidRDefault="00711058" w:rsidP="00D43985">
      <w:pPr>
        <w:pStyle w:val="BodyText2"/>
        <w:ind w:left="1134"/>
        <w:jc w:val="both"/>
      </w:pPr>
      <w:r w:rsidRPr="00BE57FC">
        <w:t>details of any back</w:t>
      </w:r>
      <w:r w:rsidR="000C0473">
        <w:t xml:space="preserve"> </w:t>
      </w:r>
      <w:r w:rsidRPr="00BE57FC">
        <w:t xml:space="preserve">testing of a statistically random sample of </w:t>
      </w:r>
      <w:r w:rsidR="002F6E9A" w:rsidRPr="00BE57FC">
        <w:t xml:space="preserve">alternative methods </w:t>
      </w:r>
      <w:r w:rsidRPr="00BE57FC">
        <w:t xml:space="preserve">or auditing arrangements undertaken by </w:t>
      </w:r>
      <w:r w:rsidR="002F6E9A" w:rsidRPr="00BE57FC">
        <w:t>a</w:t>
      </w:r>
      <w:r w:rsidRPr="00BE57FC">
        <w:t xml:space="preserve"> service provider;</w:t>
      </w:r>
    </w:p>
    <w:p w14:paraId="581823E6" w14:textId="309D05CA" w:rsidR="00711058" w:rsidRPr="00BE57FC" w:rsidRDefault="00711058" w:rsidP="00D43985">
      <w:pPr>
        <w:pStyle w:val="BodyText2"/>
        <w:ind w:left="1134"/>
        <w:jc w:val="both"/>
      </w:pPr>
      <w:r w:rsidRPr="00BE57FC">
        <w:t>clarity of the output to be provided and how it would be integrated with the ADI’s processes;</w:t>
      </w:r>
      <w:r w:rsidR="0016530A">
        <w:t xml:space="preserve"> and</w:t>
      </w:r>
    </w:p>
    <w:p w14:paraId="35D23CBF" w14:textId="540BDAB5" w:rsidR="00711058" w:rsidRPr="00BE57FC" w:rsidRDefault="00711058" w:rsidP="00D43985">
      <w:pPr>
        <w:pStyle w:val="BodyText2"/>
        <w:ind w:left="1134"/>
        <w:jc w:val="both"/>
      </w:pPr>
      <w:r w:rsidRPr="00620C2A">
        <w:t>ongoing</w:t>
      </w:r>
      <w:r w:rsidRPr="00BE57FC">
        <w:t xml:space="preserve"> monitoring of tools </w:t>
      </w:r>
      <w:proofErr w:type="gramStart"/>
      <w:r w:rsidRPr="00BE57FC">
        <w:t>used,</w:t>
      </w:r>
      <w:proofErr w:type="gramEnd"/>
      <w:r w:rsidRPr="00BE57FC">
        <w:t xml:space="preserve"> processes that capture evidence of action taken when values are deemed to be unreliable and periodic back</w:t>
      </w:r>
      <w:r w:rsidR="000C0473">
        <w:rPr>
          <w:rFonts w:asciiTheme="minorHAnsi" w:hAnsiTheme="minorHAnsi" w:cstheme="minorHAnsi"/>
        </w:rPr>
        <w:t xml:space="preserve"> </w:t>
      </w:r>
      <w:r w:rsidRPr="00BE57FC">
        <w:t>testing undertaken by the ADI to independently validate reliability of outcomes</w:t>
      </w:r>
      <w:r w:rsidR="004D3257">
        <w:t>.</w:t>
      </w:r>
    </w:p>
    <w:p w14:paraId="5177679D" w14:textId="668AEDD6" w:rsidR="00810E3A" w:rsidRPr="00197E29" w:rsidRDefault="00810E3A" w:rsidP="00673FE9">
      <w:pPr>
        <w:pStyle w:val="BodyText1"/>
      </w:pPr>
      <w:r w:rsidRPr="000C0473">
        <w:lastRenderedPageBreak/>
        <w:t>Policies and proce</w:t>
      </w:r>
      <w:r w:rsidR="00576D16" w:rsidRPr="000C0473">
        <w:t>sses</w:t>
      </w:r>
      <w:r w:rsidRPr="000C0473">
        <w:t xml:space="preserve"> must also provide for the formulation of instructions for the conduct of valuations. Each valuation request must be the subject of specific instructions to the appraiser or valuer. These instructions must cover (as relevant in each instance) appropriate issues such as valuation purpose</w:t>
      </w:r>
      <w:r w:rsidR="005576E0" w:rsidRPr="000C0473">
        <w:t xml:space="preserve">, </w:t>
      </w:r>
      <w:r w:rsidRPr="007010F1">
        <w:t>valuation basis required</w:t>
      </w:r>
      <w:r w:rsidR="000E1848" w:rsidRPr="007010F1">
        <w:t>,</w:t>
      </w:r>
      <w:r w:rsidRPr="00D55EA5">
        <w:t xml:space="preserve"> valuation for insurance purposes</w:t>
      </w:r>
      <w:r w:rsidR="000E1848" w:rsidRPr="00DF569A">
        <w:t>,</w:t>
      </w:r>
      <w:r w:rsidRPr="00DF569A">
        <w:t xml:space="preserve"> valuation method</w:t>
      </w:r>
      <w:r w:rsidR="000E1848" w:rsidRPr="00D71838">
        <w:t>,</w:t>
      </w:r>
      <w:r w:rsidRPr="00D71838">
        <w:t xml:space="preserve"> market summary/commentary and form of report required. Where a party other than the ADI instructs the valuer, the valuation must be appropriately endorsed for </w:t>
      </w:r>
      <w:r w:rsidRPr="005755D5">
        <w:t xml:space="preserve">the ADI’s use. </w:t>
      </w:r>
      <w:r w:rsidR="00576D16" w:rsidRPr="002C6892">
        <w:t>In</w:t>
      </w:r>
      <w:r w:rsidRPr="002C6892">
        <w:t xml:space="preserve"> these circumstances</w:t>
      </w:r>
      <w:r w:rsidR="00576D16" w:rsidRPr="002C6892">
        <w:t xml:space="preserve">, the </w:t>
      </w:r>
      <w:r w:rsidRPr="002C6892">
        <w:t xml:space="preserve">valuation </w:t>
      </w:r>
      <w:r w:rsidR="00576D16" w:rsidRPr="002C6892">
        <w:t xml:space="preserve">must be </w:t>
      </w:r>
      <w:r w:rsidRPr="00197E29">
        <w:t>confirmed by an internal appraiser, or an external valuer, with the appropriate expertise.</w:t>
      </w:r>
    </w:p>
    <w:p w14:paraId="35A46503" w14:textId="3F64B948" w:rsidR="00711058" w:rsidRPr="000C0473" w:rsidRDefault="00711058" w:rsidP="00673FE9">
      <w:pPr>
        <w:pStyle w:val="BodyText1"/>
      </w:pPr>
      <w:r w:rsidRPr="00197E29">
        <w:t xml:space="preserve">Where an ADI relies on a panel of approved valuation professionals, </w:t>
      </w:r>
      <w:r w:rsidR="009A7823" w:rsidRPr="000C0473">
        <w:t xml:space="preserve">an ADI’s </w:t>
      </w:r>
      <w:r w:rsidRPr="000C0473">
        <w:t xml:space="preserve">credit risk management must provide for the panel to be </w:t>
      </w:r>
      <w:r w:rsidR="001F1A6D" w:rsidRPr="000C0473">
        <w:t>regularly</w:t>
      </w:r>
      <w:r w:rsidRPr="000C0473">
        <w:t xml:space="preserve"> reviewed </w:t>
      </w:r>
      <w:r w:rsidR="009A7823" w:rsidRPr="000C0473">
        <w:t xml:space="preserve">at least annually by </w:t>
      </w:r>
      <w:r w:rsidRPr="000C0473">
        <w:t xml:space="preserve">the ADI. </w:t>
      </w:r>
    </w:p>
    <w:p w14:paraId="6CCED8AF" w14:textId="2247CFB2" w:rsidR="00810E3A" w:rsidRPr="000C0473" w:rsidRDefault="000C0473" w:rsidP="00673FE9">
      <w:pPr>
        <w:pStyle w:val="BodyText1"/>
      </w:pPr>
      <w:r>
        <w:t>If</w:t>
      </w:r>
      <w:r w:rsidR="00810E3A" w:rsidRPr="000C0473">
        <w:t xml:space="preserve"> an ADI use</w:t>
      </w:r>
      <w:r>
        <w:t>s</w:t>
      </w:r>
      <w:r w:rsidR="00810E3A" w:rsidRPr="000C0473">
        <w:t xml:space="preserve"> valuations in determining the fair value of </w:t>
      </w:r>
      <w:r w:rsidR="00CD42A8">
        <w:t>security</w:t>
      </w:r>
      <w:r w:rsidR="00810E3A" w:rsidRPr="000C0473">
        <w:t>, the ADI must require valuers and appraisers, in preparing their valuation reports, to adopt the valuation standards and practices of any relevant professional bodies. For example, in the case of property valuations, the standards and practices of the Australian Property Institute or equivalent local or offshore bodies must be used. Valuation reports must be based on the standard format advocated by any relevant professional bodies.</w:t>
      </w:r>
    </w:p>
    <w:p w14:paraId="565BABEE" w14:textId="1DC26A87" w:rsidR="00810E3A" w:rsidRPr="000C0473" w:rsidRDefault="000C0473" w:rsidP="00673FE9">
      <w:pPr>
        <w:pStyle w:val="BodyText1"/>
      </w:pPr>
      <w:r>
        <w:t>A</w:t>
      </w:r>
      <w:r w:rsidRPr="000C0473">
        <w:t xml:space="preserve">n </w:t>
      </w:r>
      <w:r w:rsidR="00810E3A" w:rsidRPr="000C0473">
        <w:t>ADI must have policies and proce</w:t>
      </w:r>
      <w:r w:rsidR="00576D16" w:rsidRPr="000C0473">
        <w:t>sses</w:t>
      </w:r>
      <w:r w:rsidR="00810E3A" w:rsidRPr="000C0473">
        <w:t xml:space="preserve"> directed at ensuring the reliability of the valuation processes and valuations received in respect of security held. This m</w:t>
      </w:r>
      <w:r w:rsidR="003244AF" w:rsidRPr="000C0473">
        <w:t>ust involve independent and regular</w:t>
      </w:r>
      <w:r w:rsidR="00810E3A" w:rsidRPr="000C0473">
        <w:t xml:space="preserve"> internal reviews of valuations </w:t>
      </w:r>
      <w:r w:rsidR="003244AF" w:rsidRPr="000C0473">
        <w:t xml:space="preserve">and </w:t>
      </w:r>
      <w:r w:rsidR="005D1794">
        <w:t>automated valuation methods</w:t>
      </w:r>
      <w:r w:rsidR="003244AF" w:rsidRPr="000C0473">
        <w:t xml:space="preserve"> results </w:t>
      </w:r>
      <w:r w:rsidR="00810E3A" w:rsidRPr="000C0473">
        <w:t xml:space="preserve">by appropriate management or audit </w:t>
      </w:r>
      <w:r w:rsidR="00143C2E" w:rsidRPr="000C0473">
        <w:t xml:space="preserve">personnel </w:t>
      </w:r>
      <w:r w:rsidR="00810E3A" w:rsidRPr="000C0473">
        <w:t>and formal reviews by an independent valuer.</w:t>
      </w:r>
    </w:p>
    <w:p w14:paraId="15DFBB21" w14:textId="275497A2" w:rsidR="00810E3A" w:rsidRPr="000C0473" w:rsidRDefault="00810E3A" w:rsidP="00673FE9">
      <w:pPr>
        <w:pStyle w:val="BodyText1"/>
      </w:pPr>
      <w:r w:rsidRPr="000C0473">
        <w:t>An ADI’s policies and proce</w:t>
      </w:r>
      <w:r w:rsidR="00576D16" w:rsidRPr="000C0473">
        <w:t>sses</w:t>
      </w:r>
      <w:r w:rsidRPr="000C0473">
        <w:t xml:space="preserve"> must provide for regular assessment of security values </w:t>
      </w:r>
      <w:proofErr w:type="gramStart"/>
      <w:r w:rsidRPr="000C0473">
        <w:t>so as to</w:t>
      </w:r>
      <w:proofErr w:type="gramEnd"/>
      <w:r w:rsidRPr="000C0473">
        <w:t xml:space="preserve"> ensure that the fair value of </w:t>
      </w:r>
      <w:r w:rsidR="008736EF" w:rsidRPr="000C0473">
        <w:t>security</w:t>
      </w:r>
      <w:r w:rsidR="00576D16" w:rsidRPr="007010F1">
        <w:t xml:space="preserve"> </w:t>
      </w:r>
      <w:r w:rsidRPr="007010F1">
        <w:t>underpinning provisioning</w:t>
      </w:r>
      <w:r w:rsidR="00143C2E" w:rsidRPr="007010F1">
        <w:t xml:space="preserve"> and reserves</w:t>
      </w:r>
      <w:r w:rsidRPr="00D55EA5">
        <w:t xml:space="preserve">, and any security coverage measures applied to </w:t>
      </w:r>
      <w:r w:rsidR="00576D16" w:rsidRPr="00DF569A">
        <w:t>exposures</w:t>
      </w:r>
      <w:r w:rsidRPr="00DF569A">
        <w:t xml:space="preserve">, is </w:t>
      </w:r>
      <w:r w:rsidRPr="00D71838">
        <w:t xml:space="preserve">timely and reliably reflects values which an ADI might realise if needed. This is especially important where </w:t>
      </w:r>
      <w:r w:rsidR="000E1848" w:rsidRPr="005755D5">
        <w:t>exposures</w:t>
      </w:r>
      <w:r w:rsidRPr="005755D5">
        <w:t xml:space="preserve"> are secured by assets that are susceptible to significant changes in value</w:t>
      </w:r>
      <w:r w:rsidR="007E7C93">
        <w:t>,</w:t>
      </w:r>
      <w:r w:rsidRPr="005755D5">
        <w:t xml:space="preserve"> </w:t>
      </w:r>
      <w:r w:rsidRPr="002C6892">
        <w:t>or where the margin for dim</w:t>
      </w:r>
      <w:r w:rsidRPr="00197E29">
        <w:t>inution of value of security is small</w:t>
      </w:r>
      <w:r w:rsidRPr="000C0473">
        <w:t>.</w:t>
      </w:r>
    </w:p>
    <w:p w14:paraId="431AA985" w14:textId="63CF8F40" w:rsidR="00810E3A" w:rsidRPr="00BE57FC" w:rsidRDefault="00810E3A" w:rsidP="000C0473">
      <w:pPr>
        <w:pStyle w:val="Heading3"/>
      </w:pPr>
      <w:bookmarkStart w:id="805" w:name="_Toc524615219"/>
      <w:bookmarkStart w:id="806" w:name="_Toc524686120"/>
      <w:bookmarkStart w:id="807" w:name="_Toc524700171"/>
      <w:bookmarkStart w:id="808" w:name="_Toc525032643"/>
      <w:bookmarkStart w:id="809" w:name="_Toc525224971"/>
      <w:bookmarkStart w:id="810" w:name="_Toc525293400"/>
      <w:bookmarkStart w:id="811" w:name="_Toc525553687"/>
      <w:bookmarkStart w:id="812" w:name="_Toc525564935"/>
      <w:bookmarkStart w:id="813" w:name="_Toc525716607"/>
      <w:bookmarkStart w:id="814" w:name="_Toc526242502"/>
      <w:bookmarkStart w:id="815" w:name="_Toc526249240"/>
      <w:bookmarkStart w:id="816" w:name="_Toc526343659"/>
      <w:bookmarkStart w:id="817" w:name="_Toc526502199"/>
      <w:bookmarkStart w:id="818" w:name="_Toc526506268"/>
      <w:bookmarkStart w:id="819" w:name="_Toc527023831"/>
      <w:bookmarkStart w:id="820" w:name="_Toc527025649"/>
      <w:bookmarkStart w:id="821" w:name="_Toc527029601"/>
      <w:bookmarkStart w:id="822" w:name="_Toc527033983"/>
      <w:bookmarkStart w:id="823" w:name="_Toc527040484"/>
      <w:bookmarkStart w:id="824" w:name="_Toc527109066"/>
      <w:bookmarkStart w:id="825" w:name="_Toc527382495"/>
      <w:bookmarkStart w:id="826" w:name="_Toc527384514"/>
      <w:bookmarkStart w:id="827" w:name="_Toc527466155"/>
      <w:bookmarkStart w:id="828" w:name="_Toc527466376"/>
      <w:bookmarkStart w:id="829" w:name="_Toc527467247"/>
      <w:bookmarkStart w:id="830" w:name="_Toc528756612"/>
      <w:bookmarkStart w:id="831" w:name="_Toc528756830"/>
      <w:bookmarkStart w:id="832" w:name="_Toc528759533"/>
      <w:bookmarkStart w:id="833" w:name="_Toc528853360"/>
      <w:bookmarkStart w:id="834" w:name="_Toc528854290"/>
      <w:bookmarkStart w:id="835" w:name="_Toc528854583"/>
      <w:bookmarkStart w:id="836" w:name="_Toc529439229"/>
      <w:bookmarkStart w:id="837" w:name="_Toc529456743"/>
      <w:bookmarkStart w:id="838" w:name="_Toc529518508"/>
      <w:bookmarkStart w:id="839" w:name="_Toc529523958"/>
      <w:bookmarkStart w:id="840" w:name="_Toc529536631"/>
      <w:bookmarkStart w:id="841" w:name="_Toc529776638"/>
      <w:bookmarkStart w:id="842" w:name="_Toc532908856"/>
      <w:bookmarkStart w:id="843" w:name="_Toc533068410"/>
      <w:bookmarkStart w:id="844" w:name="_Toc533074604"/>
      <w:bookmarkStart w:id="845" w:name="_Toc535483703"/>
      <w:bookmarkStart w:id="846" w:name="_Toc536533487"/>
      <w:bookmarkStart w:id="847" w:name="_Toc3894355"/>
      <w:bookmarkStart w:id="848" w:name="_Toc3897519"/>
      <w:bookmarkStart w:id="849" w:name="_Toc3973431"/>
      <w:bookmarkStart w:id="850" w:name="_Toc3985323"/>
      <w:bookmarkStart w:id="851" w:name="_Toc25741783"/>
      <w:bookmarkStart w:id="852" w:name="_Toc25747215"/>
      <w:bookmarkStart w:id="853" w:name="_Toc25748958"/>
      <w:bookmarkStart w:id="854" w:name="_Toc25749090"/>
      <w:bookmarkStart w:id="855" w:name="_Toc26951195"/>
      <w:bookmarkStart w:id="856" w:name="_Toc26951299"/>
      <w:bookmarkStart w:id="857" w:name="_Toc105754882"/>
      <w:r w:rsidRPr="00BE57FC">
        <w:t xml:space="preserve">Valuation of </w:t>
      </w:r>
      <w:r w:rsidR="004B075F" w:rsidRPr="00BE57FC">
        <w:t>security</w:t>
      </w:r>
      <w:r w:rsidR="00576D16" w:rsidRPr="00BE57FC">
        <w:t xml:space="preserve"> </w:t>
      </w:r>
      <w:r w:rsidRPr="00BE57FC">
        <w:t>in the form of property</w:t>
      </w:r>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p>
    <w:p w14:paraId="48623495" w14:textId="7BF022D2" w:rsidR="00810E3A" w:rsidRPr="000C0473" w:rsidRDefault="00810E3A" w:rsidP="00673FE9">
      <w:pPr>
        <w:pStyle w:val="BodyText1"/>
      </w:pPr>
      <w:bookmarkStart w:id="858" w:name="Paragraph_1"/>
      <w:bookmarkEnd w:id="858"/>
      <w:r w:rsidRPr="000C0473">
        <w:t xml:space="preserve">For </w:t>
      </w:r>
      <w:r w:rsidR="007010F1">
        <w:t xml:space="preserve">the </w:t>
      </w:r>
      <w:r w:rsidRPr="000C0473">
        <w:t>purposes of determining the fair value of security involving property, an ADI must assume:</w:t>
      </w:r>
    </w:p>
    <w:p w14:paraId="7A88230C" w14:textId="34E06421" w:rsidR="00810E3A" w:rsidRPr="00BE57FC" w:rsidRDefault="00810E3A" w:rsidP="00673FE9">
      <w:pPr>
        <w:pStyle w:val="BodyText2"/>
        <w:ind w:left="1134"/>
        <w:rPr>
          <w:lang w:val="en-US"/>
        </w:rPr>
      </w:pPr>
      <w:r w:rsidRPr="00BE57FC">
        <w:rPr>
          <w:lang w:val="en-US"/>
        </w:rPr>
        <w:t xml:space="preserve">a property would be accessed in the near </w:t>
      </w:r>
      <w:proofErr w:type="gramStart"/>
      <w:r w:rsidRPr="00BE57FC">
        <w:rPr>
          <w:lang w:val="en-US"/>
        </w:rPr>
        <w:t>future;</w:t>
      </w:r>
      <w:proofErr w:type="gramEnd"/>
    </w:p>
    <w:p w14:paraId="53B58B47" w14:textId="53BB466B" w:rsidR="00810E3A" w:rsidRPr="00BE57FC" w:rsidRDefault="00810E3A" w:rsidP="00D43985">
      <w:pPr>
        <w:pStyle w:val="BodyText2"/>
        <w:ind w:left="1134"/>
        <w:jc w:val="both"/>
        <w:rPr>
          <w:lang w:val="en-US"/>
        </w:rPr>
      </w:pPr>
      <w:r w:rsidRPr="00BE57FC">
        <w:rPr>
          <w:lang w:val="en-US"/>
        </w:rPr>
        <w:t>the period for marketing a property would be up to 12 months, although a longer period (up to a maximum of 24</w:t>
      </w:r>
      <w:r w:rsidR="00B573ED" w:rsidRPr="00BE57FC">
        <w:rPr>
          <w:lang w:val="en-US"/>
        </w:rPr>
        <w:t xml:space="preserve"> </w:t>
      </w:r>
      <w:r w:rsidRPr="00BE57FC">
        <w:rPr>
          <w:lang w:val="en-US"/>
        </w:rPr>
        <w:t xml:space="preserve">months) may be adopted for </w:t>
      </w:r>
      <w:proofErr w:type="spellStart"/>
      <w:r w:rsidRPr="00BE57FC">
        <w:rPr>
          <w:lang w:val="en-US"/>
        </w:rPr>
        <w:t>specialised</w:t>
      </w:r>
      <w:proofErr w:type="spellEnd"/>
      <w:r w:rsidRPr="00BE57FC">
        <w:rPr>
          <w:lang w:val="en-US"/>
        </w:rPr>
        <w:t xml:space="preserve"> or unusual properties when professional valuers advise that this is appropriate; and</w:t>
      </w:r>
    </w:p>
    <w:p w14:paraId="76AD0FD0" w14:textId="1C0AAB38" w:rsidR="00810E3A" w:rsidRPr="00BE57FC" w:rsidRDefault="00810E3A" w:rsidP="00D43985">
      <w:pPr>
        <w:pStyle w:val="BodyText2"/>
        <w:ind w:left="1134"/>
        <w:jc w:val="both"/>
        <w:rPr>
          <w:lang w:val="en-US"/>
        </w:rPr>
      </w:pPr>
      <w:r w:rsidRPr="00BE57FC">
        <w:rPr>
          <w:lang w:val="en-US"/>
        </w:rPr>
        <w:t xml:space="preserve">market conditions and asset values remain static over the marketing period. </w:t>
      </w:r>
      <w:r w:rsidR="007E7C93">
        <w:rPr>
          <w:lang w:val="en-US"/>
        </w:rPr>
        <w:t>M</w:t>
      </w:r>
      <w:r w:rsidRPr="00BE57FC">
        <w:rPr>
          <w:lang w:val="en-US"/>
        </w:rPr>
        <w:t xml:space="preserve">arketing periods </w:t>
      </w:r>
      <w:r w:rsidR="007010F1">
        <w:rPr>
          <w:lang w:val="en-US"/>
        </w:rPr>
        <w:t>must</w:t>
      </w:r>
      <w:r w:rsidRPr="00620C2A">
        <w:rPr>
          <w:lang w:val="en-US"/>
        </w:rPr>
        <w:t xml:space="preserve"> be</w:t>
      </w:r>
      <w:r w:rsidR="007E7C93">
        <w:rPr>
          <w:lang w:val="en-US"/>
        </w:rPr>
        <w:t xml:space="preserve"> retrospective and</w:t>
      </w:r>
      <w:r w:rsidRPr="00620C2A">
        <w:rPr>
          <w:lang w:val="en-US"/>
        </w:rPr>
        <w:t xml:space="preserve"> </w:t>
      </w:r>
      <w:r w:rsidRPr="00BE57FC">
        <w:rPr>
          <w:lang w:val="en-US"/>
        </w:rPr>
        <w:t xml:space="preserve">assumed to have elapsed at the </w:t>
      </w:r>
      <w:r w:rsidRPr="00BE57FC">
        <w:rPr>
          <w:lang w:val="en-US"/>
        </w:rPr>
        <w:lastRenderedPageBreak/>
        <w:t xml:space="preserve">date of valuation, </w:t>
      </w:r>
      <w:r w:rsidR="007E7C93">
        <w:rPr>
          <w:lang w:val="en-US"/>
        </w:rPr>
        <w:t xml:space="preserve">rather than incorporating any </w:t>
      </w:r>
      <w:r w:rsidRPr="00BE57FC">
        <w:rPr>
          <w:lang w:val="en-US"/>
        </w:rPr>
        <w:t>improved market conditions.</w:t>
      </w:r>
    </w:p>
    <w:p w14:paraId="6844836A" w14:textId="0E71380D" w:rsidR="00810E3A" w:rsidRDefault="007010F1" w:rsidP="000E1577">
      <w:pPr>
        <w:pStyle w:val="BodyText1"/>
      </w:pPr>
      <w:r>
        <w:t>P</w:t>
      </w:r>
      <w:r w:rsidRPr="007010F1">
        <w:t xml:space="preserve">roperty </w:t>
      </w:r>
      <w:r w:rsidR="00810E3A" w:rsidRPr="007010F1">
        <w:t xml:space="preserve">assets must be </w:t>
      </w:r>
      <w:r w:rsidR="00E95398">
        <w:t xml:space="preserve">based on fair </w:t>
      </w:r>
      <w:r w:rsidR="00810E3A" w:rsidRPr="007010F1">
        <w:t>value</w:t>
      </w:r>
      <w:r w:rsidR="00E95398">
        <w:t>s</w:t>
      </w:r>
      <w:r w:rsidR="00C22A59">
        <w:t xml:space="preserve">. </w:t>
      </w:r>
      <w:r w:rsidR="00810E3A" w:rsidRPr="007010F1">
        <w:t xml:space="preserve">In determining </w:t>
      </w:r>
      <w:r w:rsidR="00E95398">
        <w:t xml:space="preserve">fair </w:t>
      </w:r>
      <w:r w:rsidR="00810E3A" w:rsidRPr="007010F1">
        <w:t xml:space="preserve">values, </w:t>
      </w:r>
      <w:r w:rsidR="003501F8">
        <w:t xml:space="preserve">an ADI must use conservative estimates </w:t>
      </w:r>
      <w:r w:rsidR="00810E3A" w:rsidRPr="007010F1">
        <w:t>in imputing future income streams</w:t>
      </w:r>
      <w:r w:rsidR="003501F8">
        <w:t>,</w:t>
      </w:r>
      <w:r w:rsidR="00810E3A" w:rsidRPr="007010F1">
        <w:t xml:space="preserve"> </w:t>
      </w:r>
      <w:r w:rsidR="003501F8">
        <w:t>such as</w:t>
      </w:r>
      <w:r w:rsidR="00AA6AA2" w:rsidRPr="007010F1">
        <w:t xml:space="preserve"> </w:t>
      </w:r>
      <w:r w:rsidR="00810E3A" w:rsidRPr="007010F1">
        <w:t>lease payments which are not already contracted.</w:t>
      </w:r>
      <w:r w:rsidR="000E1577" w:rsidRPr="000E1577">
        <w:t xml:space="preserve"> An ADI must ensure key assumptions used in the valuation approach are appropriate and there is sufficient evidence to support the assumptions. An ADI must review and</w:t>
      </w:r>
      <w:r w:rsidR="00E95398">
        <w:t xml:space="preserve"> </w:t>
      </w:r>
      <w:r w:rsidR="005B1F44">
        <w:t xml:space="preserve">be satisfied of </w:t>
      </w:r>
      <w:r w:rsidR="000E1577" w:rsidRPr="000E1577">
        <w:t>the reasonableness of key assumptions before the valuation takes place</w:t>
      </w:r>
      <w:r w:rsidR="00AE3D9D">
        <w:t>.</w:t>
      </w:r>
    </w:p>
    <w:p w14:paraId="29B1C408" w14:textId="01009B35" w:rsidR="00772C53" w:rsidRPr="007010F1" w:rsidRDefault="00772C53" w:rsidP="000E1577">
      <w:pPr>
        <w:pStyle w:val="BodyText1"/>
      </w:pPr>
      <w:r>
        <w:t>In determining fair values, a</w:t>
      </w:r>
      <w:r w:rsidRPr="007010F1">
        <w:t>ny valu</w:t>
      </w:r>
      <w:r>
        <w:t>ation</w:t>
      </w:r>
      <w:r w:rsidRPr="007010F1">
        <w:t xml:space="preserve"> </w:t>
      </w:r>
      <w:r>
        <w:t>based on</w:t>
      </w:r>
      <w:r w:rsidRPr="007010F1">
        <w:t xml:space="preserve"> </w:t>
      </w:r>
      <w:r>
        <w:t xml:space="preserve">highest and best use rather than existing use </w:t>
      </w:r>
      <w:r w:rsidRPr="007010F1">
        <w:t xml:space="preserve">must be </w:t>
      </w:r>
      <w:r>
        <w:t>adequately supported and documented.</w:t>
      </w:r>
      <w:r w:rsidR="005B1F44">
        <w:rPr>
          <w:rStyle w:val="FootnoteReference"/>
        </w:rPr>
        <w:footnoteReference w:id="10"/>
      </w:r>
      <w:r w:rsidR="005B1F44">
        <w:t xml:space="preserve"> W</w:t>
      </w:r>
      <w:r>
        <w:t xml:space="preserve">here applicable, the valuation report must set out </w:t>
      </w:r>
      <w:r w:rsidRPr="000E1577">
        <w:t>how highest and best use was determined</w:t>
      </w:r>
      <w:r>
        <w:t>.</w:t>
      </w:r>
      <w:r w:rsidR="005B1F44">
        <w:t xml:space="preserve"> </w:t>
      </w:r>
    </w:p>
    <w:p w14:paraId="66A1A7FD" w14:textId="0AE18B93" w:rsidR="00B6312D" w:rsidRPr="007010F1" w:rsidRDefault="00810E3A" w:rsidP="00154DF1">
      <w:pPr>
        <w:pStyle w:val="BodyText1"/>
      </w:pPr>
      <w:r w:rsidRPr="007010F1">
        <w:t xml:space="preserve">In some circumstances, it may be difficult to determine the fair value of property assets that have not yet achieved a stable income, or properties that are experiencing fluctuations in income. In such cases, a forecast of expected cash flows must be used to estimate the value of the property. The discount rates used in calculating the </w:t>
      </w:r>
      <w:r w:rsidRPr="00D55EA5">
        <w:t>value of security must reflect the opportunity cost</w:t>
      </w:r>
      <w:r w:rsidR="00074BD6">
        <w:t>,</w:t>
      </w:r>
      <w:r w:rsidRPr="00D55EA5">
        <w:t xml:space="preserve"> determined by way of comparison with prevailing returns on competing investments</w:t>
      </w:r>
      <w:r w:rsidR="00074BD6">
        <w:t>,</w:t>
      </w:r>
      <w:r w:rsidRPr="00D55EA5">
        <w:t xml:space="preserve"> of holding the property, assuming a long</w:t>
      </w:r>
      <w:r w:rsidR="007010F1">
        <w:rPr>
          <w:rFonts w:asciiTheme="minorHAnsi" w:hAnsiTheme="minorHAnsi" w:cstheme="minorHAnsi"/>
        </w:rPr>
        <w:t>-</w:t>
      </w:r>
      <w:r w:rsidRPr="007010F1">
        <w:t>term holding. Capitalisation rates must reflect expectations about the long</w:t>
      </w:r>
      <w:r w:rsidR="007010F1">
        <w:rPr>
          <w:rFonts w:asciiTheme="minorHAnsi" w:hAnsiTheme="minorHAnsi" w:cstheme="minorHAnsi"/>
        </w:rPr>
        <w:t>-</w:t>
      </w:r>
      <w:r w:rsidRPr="007010F1">
        <w:t>term rate of return investors require under normal, orderly and sustainable market conditions.</w:t>
      </w:r>
    </w:p>
    <w:p w14:paraId="6AC8AE69" w14:textId="6B526BA2" w:rsidR="00810E3A" w:rsidRPr="00081CCD" w:rsidRDefault="00810E3A" w:rsidP="007010F1">
      <w:pPr>
        <w:pStyle w:val="Heading3"/>
        <w:rPr>
          <w:lang w:val="en-US"/>
        </w:rPr>
      </w:pPr>
      <w:bookmarkStart w:id="859" w:name="_Toc524615220"/>
      <w:bookmarkStart w:id="860" w:name="_Toc524686121"/>
      <w:bookmarkStart w:id="861" w:name="_Toc524700172"/>
      <w:bookmarkStart w:id="862" w:name="_Toc525032644"/>
      <w:bookmarkStart w:id="863" w:name="_Toc525224972"/>
      <w:bookmarkStart w:id="864" w:name="_Toc525293401"/>
      <w:bookmarkStart w:id="865" w:name="_Toc525553688"/>
      <w:bookmarkStart w:id="866" w:name="_Toc525564936"/>
      <w:bookmarkStart w:id="867" w:name="_Toc525716608"/>
      <w:bookmarkStart w:id="868" w:name="_Toc526242503"/>
      <w:bookmarkStart w:id="869" w:name="_Toc526249241"/>
      <w:bookmarkStart w:id="870" w:name="_Toc526343660"/>
      <w:bookmarkStart w:id="871" w:name="_Toc526502200"/>
      <w:bookmarkStart w:id="872" w:name="_Toc526506269"/>
      <w:bookmarkStart w:id="873" w:name="_Toc527023832"/>
      <w:bookmarkStart w:id="874" w:name="_Toc527025650"/>
      <w:bookmarkStart w:id="875" w:name="_Toc527029602"/>
      <w:bookmarkStart w:id="876" w:name="_Toc527033984"/>
      <w:bookmarkStart w:id="877" w:name="_Toc527040485"/>
      <w:bookmarkStart w:id="878" w:name="_Toc527109067"/>
      <w:bookmarkStart w:id="879" w:name="_Toc527382496"/>
      <w:bookmarkStart w:id="880" w:name="_Toc527384515"/>
      <w:bookmarkStart w:id="881" w:name="_Toc527466156"/>
      <w:bookmarkStart w:id="882" w:name="_Toc527466377"/>
      <w:bookmarkStart w:id="883" w:name="_Toc527467248"/>
      <w:bookmarkStart w:id="884" w:name="_Toc528756613"/>
      <w:bookmarkStart w:id="885" w:name="_Toc528756831"/>
      <w:bookmarkStart w:id="886" w:name="_Toc528759534"/>
      <w:bookmarkStart w:id="887" w:name="_Toc528853361"/>
      <w:bookmarkStart w:id="888" w:name="_Toc528854291"/>
      <w:bookmarkStart w:id="889" w:name="_Toc528854584"/>
      <w:bookmarkStart w:id="890" w:name="_Toc529439230"/>
      <w:bookmarkStart w:id="891" w:name="_Toc529456744"/>
      <w:bookmarkStart w:id="892" w:name="_Toc529518509"/>
      <w:bookmarkStart w:id="893" w:name="_Toc529523959"/>
      <w:bookmarkStart w:id="894" w:name="_Toc529536632"/>
      <w:bookmarkStart w:id="895" w:name="_Toc529776639"/>
      <w:bookmarkStart w:id="896" w:name="_Toc532908857"/>
      <w:bookmarkStart w:id="897" w:name="_Toc533068411"/>
      <w:bookmarkStart w:id="898" w:name="_Toc533074605"/>
      <w:bookmarkStart w:id="899" w:name="_Toc535483704"/>
      <w:bookmarkStart w:id="900" w:name="_Toc536533488"/>
      <w:bookmarkStart w:id="901" w:name="_Toc3894356"/>
      <w:bookmarkStart w:id="902" w:name="_Toc3897520"/>
      <w:bookmarkStart w:id="903" w:name="_Toc3973432"/>
      <w:bookmarkStart w:id="904" w:name="_Toc3985324"/>
      <w:bookmarkStart w:id="905" w:name="_Toc25741784"/>
      <w:bookmarkStart w:id="906" w:name="_Toc25747216"/>
      <w:bookmarkStart w:id="907" w:name="_Toc25748959"/>
      <w:bookmarkStart w:id="908" w:name="_Toc25749091"/>
      <w:bookmarkStart w:id="909" w:name="_Toc26951196"/>
      <w:bookmarkStart w:id="910" w:name="_Toc26951300"/>
      <w:bookmarkStart w:id="911" w:name="_Toc105754883"/>
      <w:r w:rsidRPr="00081CCD">
        <w:rPr>
          <w:lang w:val="en-US"/>
        </w:rPr>
        <w:t>Valuation of security in the form of non</w:t>
      </w:r>
      <w:r w:rsidR="00403042" w:rsidRPr="00D441F0">
        <w:rPr>
          <w:rFonts w:asciiTheme="minorHAnsi" w:hAnsiTheme="minorHAnsi" w:cstheme="minorHAnsi"/>
        </w:rPr>
        <w:t>–</w:t>
      </w:r>
      <w:r w:rsidR="00403042">
        <w:rPr>
          <w:rFonts w:asciiTheme="minorHAnsi" w:hAnsiTheme="minorHAnsi" w:cstheme="minorHAnsi"/>
        </w:rPr>
        <w:t>r</w:t>
      </w:r>
      <w:proofErr w:type="spellStart"/>
      <w:r w:rsidRPr="00081CCD">
        <w:rPr>
          <w:lang w:val="en-US"/>
        </w:rPr>
        <w:t>eal</w:t>
      </w:r>
      <w:proofErr w:type="spellEnd"/>
      <w:r w:rsidRPr="00081CCD">
        <w:rPr>
          <w:lang w:val="en-US"/>
        </w:rPr>
        <w:t xml:space="preserve"> estate assets</w:t>
      </w:r>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p>
    <w:p w14:paraId="2FD7EF33" w14:textId="7298C16D" w:rsidR="00810E3A" w:rsidRPr="007010F1" w:rsidRDefault="00810E3A" w:rsidP="00673FE9">
      <w:pPr>
        <w:pStyle w:val="BodyText1"/>
      </w:pPr>
      <w:r w:rsidRPr="007010F1">
        <w:t xml:space="preserve">Where </w:t>
      </w:r>
      <w:r w:rsidR="006275DF">
        <w:t xml:space="preserve">collateral is </w:t>
      </w:r>
      <w:r w:rsidR="009520BF">
        <w:t>in</w:t>
      </w:r>
      <w:r w:rsidRPr="007010F1">
        <w:t xml:space="preserve"> the form of a </w:t>
      </w:r>
      <w:r w:rsidR="003244AF" w:rsidRPr="007010F1">
        <w:t xml:space="preserve">security interest </w:t>
      </w:r>
      <w:r w:rsidR="00D55EA5">
        <w:t xml:space="preserve">over </w:t>
      </w:r>
      <w:r w:rsidRPr="007010F1">
        <w:t>assets</w:t>
      </w:r>
      <w:r w:rsidR="003244AF" w:rsidRPr="003244AF">
        <w:t xml:space="preserve"> </w:t>
      </w:r>
      <w:r w:rsidR="003244AF" w:rsidRPr="007010F1">
        <w:t xml:space="preserve">as defined in the </w:t>
      </w:r>
      <w:r w:rsidR="003244AF" w:rsidRPr="007010F1">
        <w:rPr>
          <w:i/>
        </w:rPr>
        <w:t>Personal Property Securities Act 2009</w:t>
      </w:r>
      <w:r w:rsidRPr="007010F1">
        <w:t xml:space="preserve">, an ADI must ensure that all relevant </w:t>
      </w:r>
      <w:r w:rsidR="00403042" w:rsidRPr="007010F1">
        <w:t xml:space="preserve">security </w:t>
      </w:r>
      <w:r w:rsidRPr="007010F1">
        <w:t xml:space="preserve">is properly scrutinised.  </w:t>
      </w:r>
    </w:p>
    <w:p w14:paraId="0A005784" w14:textId="63C3CB66" w:rsidR="00810E3A" w:rsidRPr="00D55EA5" w:rsidRDefault="00810E3A" w:rsidP="00673FE9">
      <w:pPr>
        <w:pStyle w:val="BodyText1"/>
      </w:pPr>
      <w:r w:rsidRPr="00D55EA5">
        <w:t xml:space="preserve">Where </w:t>
      </w:r>
      <w:r w:rsidR="00D55EA5">
        <w:t xml:space="preserve">a </w:t>
      </w:r>
      <w:proofErr w:type="gramStart"/>
      <w:r w:rsidR="00D55EA5">
        <w:t>third party</w:t>
      </w:r>
      <w:proofErr w:type="gramEnd"/>
      <w:r w:rsidR="00FE4D6A" w:rsidRPr="00D55EA5">
        <w:t xml:space="preserve"> </w:t>
      </w:r>
      <w:r w:rsidRPr="00D55EA5">
        <w:t xml:space="preserve">supplies information relating to </w:t>
      </w:r>
      <w:r w:rsidR="00D55EA5">
        <w:t>a</w:t>
      </w:r>
      <w:r w:rsidR="00D55EA5" w:rsidRPr="00D55EA5">
        <w:t xml:space="preserve"> </w:t>
      </w:r>
      <w:r w:rsidRPr="00D55EA5">
        <w:t xml:space="preserve">security </w:t>
      </w:r>
      <w:r w:rsidR="00D55EA5">
        <w:t>interest held by an ADI</w:t>
      </w:r>
      <w:r w:rsidR="00074BD6">
        <w:t>,</w:t>
      </w:r>
      <w:r w:rsidRPr="00D55EA5">
        <w:t xml:space="preserve"> </w:t>
      </w:r>
      <w:r w:rsidR="00AA6AA2" w:rsidRPr="00D55EA5">
        <w:t xml:space="preserve">for example, </w:t>
      </w:r>
      <w:r w:rsidRPr="00D55EA5">
        <w:t>outstanding debtors, asset values must be objectively assessed to ensure security coverage is adequate. This may include testing of information supplied.</w:t>
      </w:r>
    </w:p>
    <w:p w14:paraId="4A2A0A37" w14:textId="117E8BA1" w:rsidR="00810E3A" w:rsidRPr="00D55EA5" w:rsidRDefault="00810E3A" w:rsidP="00673FE9">
      <w:pPr>
        <w:pStyle w:val="BodyText1"/>
      </w:pPr>
      <w:r w:rsidRPr="00D55EA5">
        <w:t>In determining the fair value of</w:t>
      </w:r>
      <w:r w:rsidRPr="00D55EA5" w:rsidDel="00656922">
        <w:t xml:space="preserve"> </w:t>
      </w:r>
      <w:r w:rsidRPr="00D55EA5">
        <w:t xml:space="preserve">security </w:t>
      </w:r>
      <w:r w:rsidR="00D55EA5">
        <w:t>not in the form of real property</w:t>
      </w:r>
      <w:r w:rsidRPr="00D55EA5">
        <w:t xml:space="preserve">, an ADI must also have regard to considerations such as market liquidity, legal costs, impediments to realisation and prior charges. </w:t>
      </w:r>
    </w:p>
    <w:p w14:paraId="0F5FC20D" w14:textId="77777777" w:rsidR="00F546C0" w:rsidRDefault="00F546C0" w:rsidP="00DC75F5">
      <w:pPr>
        <w:pStyle w:val="BodyText1"/>
        <w:numPr>
          <w:ilvl w:val="0"/>
          <w:numId w:val="0"/>
        </w:numPr>
        <w:ind w:left="567"/>
        <w:sectPr w:rsidR="00F546C0" w:rsidSect="000D63A8">
          <w:footerReference w:type="default" r:id="rId22"/>
          <w:pgSz w:w="11906" w:h="16838" w:code="9"/>
          <w:pgMar w:top="1440" w:right="1797" w:bottom="1440" w:left="1797" w:header="709" w:footer="709" w:gutter="0"/>
          <w:cols w:space="708"/>
          <w:docGrid w:linePitch="360"/>
        </w:sectPr>
      </w:pPr>
    </w:p>
    <w:p w14:paraId="192BBFB2" w14:textId="3FB511FB" w:rsidR="00870D43" w:rsidRPr="0038413F" w:rsidRDefault="00870D43" w:rsidP="00870D43">
      <w:pPr>
        <w:pStyle w:val="Heading2"/>
      </w:pPr>
      <w:bookmarkStart w:id="912" w:name="_Toc510011094"/>
      <w:bookmarkStart w:id="913" w:name="_Toc105754884"/>
      <w:r w:rsidRPr="008717F4">
        <w:lastRenderedPageBreak/>
        <w:t xml:space="preserve">Attachment </w:t>
      </w:r>
      <w:r w:rsidR="00DE402A">
        <w:t>B</w:t>
      </w:r>
      <w:r w:rsidRPr="008717F4">
        <w:rPr>
          <w:rStyle w:val="Attachmentfieldtext"/>
        </w:rPr>
        <w:t xml:space="preserve"> – Prescribed provisioning</w:t>
      </w:r>
      <w:bookmarkEnd w:id="912"/>
      <w:bookmarkEnd w:id="913"/>
    </w:p>
    <w:p w14:paraId="6FE4019E" w14:textId="7A54AC1C" w:rsidR="00337E00" w:rsidRPr="00E00A1F" w:rsidRDefault="00337E00" w:rsidP="00673FE9">
      <w:pPr>
        <w:pStyle w:val="BodyText1"/>
        <w:numPr>
          <w:ilvl w:val="0"/>
          <w:numId w:val="8"/>
        </w:numPr>
      </w:pPr>
      <w:bookmarkStart w:id="914" w:name="_Hlt13038802"/>
      <w:bookmarkEnd w:id="914"/>
      <w:r w:rsidRPr="00E00A1F">
        <w:t xml:space="preserve">Where an ADI undertakes prescribed provisioning, the level of prescribed provisions must be reported to APRA notwithstanding the level of any provisions which an </w:t>
      </w:r>
      <w:smartTag w:uri="urn:schemas-microsoft-com:office:smarttags" w:element="stockticker">
        <w:r w:rsidRPr="00E00A1F">
          <w:t>ADI</w:t>
        </w:r>
      </w:smartTag>
      <w:r w:rsidRPr="00E00A1F">
        <w:t xml:space="preserve"> may have </w:t>
      </w:r>
      <w:proofErr w:type="gramStart"/>
      <w:r w:rsidRPr="00E00A1F">
        <w:t>actually raised</w:t>
      </w:r>
      <w:proofErr w:type="gramEnd"/>
      <w:r w:rsidRPr="00E00A1F">
        <w:t>, or the form in which such provisions have been reported, in its audited published financial reports</w:t>
      </w:r>
      <w:r w:rsidR="00F1714F" w:rsidRPr="00E00A1F">
        <w:t>.</w:t>
      </w:r>
      <w:r w:rsidRPr="00E00A1F">
        <w:t xml:space="preserve"> Where an </w:t>
      </w:r>
      <w:smartTag w:uri="urn:schemas-microsoft-com:office:smarttags" w:element="stockticker">
        <w:r w:rsidRPr="00E00A1F">
          <w:t>ADI</w:t>
        </w:r>
      </w:smartTag>
      <w:r w:rsidRPr="00E00A1F">
        <w:t xml:space="preserve"> establishes such provisions </w:t>
      </w:r>
      <w:proofErr w:type="gramStart"/>
      <w:r w:rsidRPr="00E00A1F">
        <w:t>in excess of</w:t>
      </w:r>
      <w:proofErr w:type="gramEnd"/>
      <w:r w:rsidRPr="00E00A1F">
        <w:t xml:space="preserve"> those prescribed, the </w:t>
      </w:r>
      <w:smartTag w:uri="urn:schemas-microsoft-com:office:smarttags" w:element="stockticker">
        <w:r w:rsidRPr="00E00A1F">
          <w:t>ADI</w:t>
        </w:r>
      </w:smartTag>
      <w:r w:rsidRPr="00E00A1F">
        <w:t xml:space="preserve"> must continue, for </w:t>
      </w:r>
      <w:r w:rsidR="00D87B8D">
        <w:t xml:space="preserve">capital </w:t>
      </w:r>
      <w:r w:rsidRPr="00E00A1F">
        <w:t xml:space="preserve">and APRA reporting purposes to include any excess provisions, as part of its specific provisions or </w:t>
      </w:r>
      <w:r w:rsidR="00820095">
        <w:t>provisions held against performing exposures that represent unidentified losses,</w:t>
      </w:r>
      <w:r w:rsidR="00941D4C">
        <w:t xml:space="preserve"> </w:t>
      </w:r>
      <w:r w:rsidRPr="00E00A1F">
        <w:t>as appropriate.</w:t>
      </w:r>
    </w:p>
    <w:p w14:paraId="73622F39" w14:textId="153AD456" w:rsidR="008D2805" w:rsidRDefault="00337E00" w:rsidP="00BE57FC">
      <w:pPr>
        <w:pStyle w:val="BodyText1"/>
      </w:pPr>
      <w:r w:rsidRPr="00E00A1F">
        <w:t xml:space="preserve">The amount of prescribed provisions that an ADI is required to hold will, unless otherwise agreed with APRA, be in addition to any </w:t>
      </w:r>
      <w:r w:rsidR="00820095">
        <w:t xml:space="preserve">provisions held against performing exposures that </w:t>
      </w:r>
      <w:proofErr w:type="spellStart"/>
      <w:r w:rsidR="00820095">
        <w:t>repreent</w:t>
      </w:r>
      <w:proofErr w:type="spellEnd"/>
      <w:r w:rsidR="00820095">
        <w:t xml:space="preserve"> unidentified losses</w:t>
      </w:r>
      <w:r w:rsidR="00941D4C">
        <w:t xml:space="preserve"> w</w:t>
      </w:r>
      <w:r w:rsidRPr="00E00A1F">
        <w:t xml:space="preserve">hich it </w:t>
      </w:r>
      <w:r w:rsidR="00941D4C">
        <w:t>may hold</w:t>
      </w:r>
      <w:r w:rsidRPr="00E00A1F">
        <w:t>.</w:t>
      </w:r>
    </w:p>
    <w:p w14:paraId="47AE660F" w14:textId="4781310E" w:rsidR="00337E00" w:rsidRPr="008D2805" w:rsidRDefault="00337E00" w:rsidP="00BE57FC">
      <w:pPr>
        <w:pStyle w:val="BodyText1"/>
      </w:pPr>
      <w:r w:rsidRPr="008D2805">
        <w:t xml:space="preserve">A prescribed provision must be treated as a specific provision for </w:t>
      </w:r>
      <w:r w:rsidR="00D87B8D" w:rsidRPr="008D2805">
        <w:t>c</w:t>
      </w:r>
      <w:r w:rsidRPr="008D2805">
        <w:t>apital and APRA reporting purposes and reported on an after</w:t>
      </w:r>
      <w:r w:rsidR="00D71838">
        <w:t>-</w:t>
      </w:r>
      <w:r w:rsidRPr="008D2805">
        <w:t>tax basis. Any deferred tax asset associated with the prescribed provision must be removed.</w:t>
      </w:r>
      <w:r w:rsidR="008D2805" w:rsidRPr="008D2805">
        <w:t xml:space="preserve"> Prescribed provisions must be deducted from an ADI’s </w:t>
      </w:r>
      <w:r w:rsidR="008D2805" w:rsidRPr="007E3472">
        <w:rPr>
          <w:b/>
        </w:rPr>
        <w:t>Common Equity Tier 1 Capital</w:t>
      </w:r>
      <w:r w:rsidR="008D2805" w:rsidRPr="008D2805">
        <w:t xml:space="preserve"> unless the amount of the prescribed provision has otherwise not been included in Common Equity Tier 1 Capital.</w:t>
      </w:r>
    </w:p>
    <w:p w14:paraId="49F8DAF9" w14:textId="4243B523" w:rsidR="00292BBD" w:rsidRPr="00292BBD" w:rsidRDefault="00337E00" w:rsidP="00BE57FC">
      <w:pPr>
        <w:pStyle w:val="BodyText1"/>
      </w:pPr>
      <w:r w:rsidRPr="00E00A1F">
        <w:t xml:space="preserve">Where the Board or senior management of an ADI believe that the prescribed provisions calculated in accordance with this Prudential Standard do not reasonably address assessed loss outcomes, they must report additional specific provisions. The level of specific provisions required will depend on the type of </w:t>
      </w:r>
      <w:r w:rsidR="00FC61AB" w:rsidRPr="00E00A1F">
        <w:t>exposure</w:t>
      </w:r>
      <w:r w:rsidRPr="00E00A1F">
        <w:t xml:space="preserve"> and term of payments </w:t>
      </w:r>
      <w:r w:rsidRPr="00292BBD">
        <w:t>past</w:t>
      </w:r>
      <w:r w:rsidR="00D71838">
        <w:t>-</w:t>
      </w:r>
      <w:r w:rsidRPr="00292BBD">
        <w:t>due or the period of irregularity in cash flows due on a</w:t>
      </w:r>
      <w:r w:rsidR="00FC61AB" w:rsidRPr="00292BBD">
        <w:t>n exposure</w:t>
      </w:r>
      <w:r w:rsidRPr="00292BBD">
        <w:t>.</w:t>
      </w:r>
    </w:p>
    <w:p w14:paraId="475F2706" w14:textId="5CC25416" w:rsidR="00292BBD" w:rsidRDefault="00337E00" w:rsidP="00BE57FC">
      <w:pPr>
        <w:pStyle w:val="BodyText1"/>
      </w:pPr>
      <w:bookmarkStart w:id="915" w:name="_Ref529524795"/>
      <w:r w:rsidRPr="00292BBD">
        <w:t xml:space="preserve">Alternatively, where an ADI can satisfy APRA that the level of provisioning prescribed under this Attachment is higher than it might prudently require, the ADI may seek APRA’s written agreement to report a lower level of such provisions as specific provisions. </w:t>
      </w:r>
      <w:r w:rsidR="00292BBD" w:rsidRPr="00292BBD">
        <w:t xml:space="preserve">The difference between the level of provisions prescribed under this Attachment and that which it is agreed an ADI might prudently report may instead be included as part of the ADI’s </w:t>
      </w:r>
      <w:r w:rsidR="00820095">
        <w:t>provisions held against performing exposures that represent unidentified losses</w:t>
      </w:r>
      <w:r w:rsidR="00941D4C">
        <w:t xml:space="preserve"> </w:t>
      </w:r>
      <w:r w:rsidR="00292BBD" w:rsidRPr="00292BBD">
        <w:t xml:space="preserve">or, alternatively, may be returned to Common Equity Tier 1 Capital as agreed with APRA. </w:t>
      </w:r>
      <w:r w:rsidRPr="00292BBD">
        <w:t>An ADI will need to fully satisfy APRA that its estimates of its provisioning needs are both prudent and comprehensive.</w:t>
      </w:r>
      <w:bookmarkEnd w:id="915"/>
      <w:r w:rsidRPr="00292BBD">
        <w:t xml:space="preserve"> </w:t>
      </w:r>
    </w:p>
    <w:p w14:paraId="544380FA" w14:textId="129B9544" w:rsidR="00337E00" w:rsidRPr="00292BBD" w:rsidRDefault="00337E00" w:rsidP="00BE57FC">
      <w:pPr>
        <w:pStyle w:val="BodyText1"/>
      </w:pPr>
      <w:r w:rsidRPr="00292BBD">
        <w:t xml:space="preserve">An ADI subject to prescribed provisioning arrangements must determine its specific provisions </w:t>
      </w:r>
      <w:r w:rsidR="00A726E1" w:rsidRPr="00292BBD">
        <w:t xml:space="preserve">for </w:t>
      </w:r>
      <w:r w:rsidR="00D87B8D" w:rsidRPr="00292BBD">
        <w:t>c</w:t>
      </w:r>
      <w:r w:rsidRPr="00292BBD">
        <w:t>apital and APRA reporting purposes in accordance with the four categories of past</w:t>
      </w:r>
      <w:r w:rsidR="00D71838">
        <w:t>-</w:t>
      </w:r>
      <w:r w:rsidRPr="00292BBD">
        <w:t xml:space="preserve">due </w:t>
      </w:r>
      <w:r w:rsidR="004A559B" w:rsidRPr="00292BBD">
        <w:t>exposures</w:t>
      </w:r>
      <w:r w:rsidRPr="00292BBD">
        <w:t xml:space="preserve"> defined in this Attachment. The prescribed provisions calculated represent a minimum level of provisioning</w:t>
      </w:r>
      <w:r w:rsidRPr="00292BBD">
        <w:rPr>
          <w:i/>
        </w:rPr>
        <w:t xml:space="preserve"> </w:t>
      </w:r>
      <w:r w:rsidRPr="00292BBD">
        <w:t xml:space="preserve">that an ADI must report, subject to paragraph </w:t>
      </w:r>
      <w:r w:rsidR="00312D05">
        <w:fldChar w:fldCharType="begin"/>
      </w:r>
      <w:r w:rsidR="00312D05">
        <w:instrText xml:space="preserve"> REF _Ref529524795 \r \h </w:instrText>
      </w:r>
      <w:r w:rsidR="00312D05">
        <w:fldChar w:fldCharType="separate"/>
      </w:r>
      <w:r w:rsidR="00A86E02">
        <w:t>5</w:t>
      </w:r>
      <w:r w:rsidR="00312D05">
        <w:fldChar w:fldCharType="end"/>
      </w:r>
      <w:r w:rsidRPr="00292BBD">
        <w:t xml:space="preserve"> of this Attachment</w:t>
      </w:r>
      <w:r w:rsidR="00A726E1" w:rsidRPr="00292BBD">
        <w:t>.</w:t>
      </w:r>
    </w:p>
    <w:p w14:paraId="74A6FFBA" w14:textId="6D83350C" w:rsidR="00337E00" w:rsidRPr="00E00A1F" w:rsidRDefault="00337E00" w:rsidP="00BE57FC">
      <w:pPr>
        <w:pStyle w:val="BodyText1"/>
      </w:pPr>
      <w:r w:rsidRPr="00BE57FC">
        <w:t>Where a</w:t>
      </w:r>
      <w:r w:rsidR="00FC61AB" w:rsidRPr="00BE57FC">
        <w:t>n exposure</w:t>
      </w:r>
      <w:r w:rsidRPr="00BE57FC">
        <w:t xml:space="preserve"> maintained by an ADI utilising prescribed provisioning does not fall into the four </w:t>
      </w:r>
      <w:r w:rsidRPr="00D71838">
        <w:t xml:space="preserve">categories of </w:t>
      </w:r>
      <w:r w:rsidR="00FC61AB" w:rsidRPr="00D71838">
        <w:t>exposures</w:t>
      </w:r>
      <w:r w:rsidRPr="00D71838">
        <w:t xml:space="preserve"> outlined in this Attachment and the </w:t>
      </w:r>
      <w:r w:rsidR="00FC61AB" w:rsidRPr="00D71838">
        <w:lastRenderedPageBreak/>
        <w:t>exposure</w:t>
      </w:r>
      <w:r w:rsidRPr="00D71838">
        <w:t xml:space="preserve"> is a </w:t>
      </w:r>
      <w:r w:rsidR="00FC61AB" w:rsidRPr="00D71838">
        <w:t>non</w:t>
      </w:r>
      <w:r w:rsidR="00D71838">
        <w:t>-</w:t>
      </w:r>
      <w:r w:rsidR="00FC61AB" w:rsidRPr="00D71838">
        <w:t>performing</w:t>
      </w:r>
      <w:r w:rsidR="004A559B" w:rsidRPr="00D71838">
        <w:t xml:space="preserve"> exposure</w:t>
      </w:r>
      <w:r w:rsidRPr="00D71838">
        <w:t>, the amount of provision to be held against this item must reflect the risk involved and must be agreed with APRA</w:t>
      </w:r>
      <w:r w:rsidRPr="00E00A1F">
        <w:t>.</w:t>
      </w:r>
    </w:p>
    <w:p w14:paraId="621532A3" w14:textId="516A9B57" w:rsidR="00337E00" w:rsidRPr="00C35285" w:rsidRDefault="00337E00" w:rsidP="00BE57FC">
      <w:pPr>
        <w:pStyle w:val="Heading1"/>
        <w:rPr>
          <w:lang w:val="en-US"/>
        </w:rPr>
      </w:pPr>
      <w:bookmarkStart w:id="916" w:name="_Toc524615222"/>
      <w:bookmarkStart w:id="917" w:name="_Toc524686123"/>
      <w:bookmarkStart w:id="918" w:name="_Toc524700174"/>
      <w:bookmarkStart w:id="919" w:name="_Toc525032646"/>
      <w:bookmarkStart w:id="920" w:name="_Toc525224974"/>
      <w:bookmarkStart w:id="921" w:name="_Toc525293403"/>
      <w:bookmarkStart w:id="922" w:name="_Toc525553690"/>
      <w:bookmarkStart w:id="923" w:name="_Toc525564938"/>
      <w:bookmarkStart w:id="924" w:name="_Toc525716610"/>
      <w:bookmarkStart w:id="925" w:name="_Toc526242505"/>
      <w:bookmarkStart w:id="926" w:name="_Toc526249243"/>
      <w:bookmarkStart w:id="927" w:name="_Toc526343662"/>
      <w:bookmarkStart w:id="928" w:name="_Toc526502202"/>
      <w:bookmarkStart w:id="929" w:name="_Toc526506271"/>
      <w:bookmarkStart w:id="930" w:name="_Toc527023834"/>
      <w:bookmarkStart w:id="931" w:name="_Toc527025652"/>
      <w:bookmarkStart w:id="932" w:name="_Toc527029604"/>
      <w:bookmarkStart w:id="933" w:name="_Toc527033986"/>
      <w:bookmarkStart w:id="934" w:name="_Toc527040487"/>
      <w:bookmarkStart w:id="935" w:name="_Toc527109069"/>
      <w:bookmarkStart w:id="936" w:name="_Toc527382498"/>
      <w:bookmarkStart w:id="937" w:name="_Toc527384517"/>
      <w:bookmarkStart w:id="938" w:name="_Toc527466379"/>
      <w:bookmarkStart w:id="939" w:name="_Toc527467250"/>
      <w:bookmarkStart w:id="940" w:name="_Toc528756615"/>
      <w:bookmarkStart w:id="941" w:name="_Toc528756833"/>
      <w:bookmarkStart w:id="942" w:name="_Toc528759536"/>
      <w:bookmarkStart w:id="943" w:name="_Toc528853363"/>
      <w:bookmarkStart w:id="944" w:name="_Toc528854293"/>
      <w:bookmarkStart w:id="945" w:name="_Toc528854586"/>
      <w:bookmarkStart w:id="946" w:name="_Toc529439232"/>
      <w:bookmarkStart w:id="947" w:name="_Toc529523961"/>
      <w:bookmarkStart w:id="948" w:name="_Toc529536634"/>
      <w:bookmarkStart w:id="949" w:name="_Toc529776641"/>
      <w:bookmarkStart w:id="950" w:name="_Toc532908859"/>
      <w:bookmarkStart w:id="951" w:name="_Toc533068413"/>
      <w:bookmarkStart w:id="952" w:name="_Toc533074607"/>
      <w:bookmarkStart w:id="953" w:name="_Toc535483706"/>
      <w:bookmarkStart w:id="954" w:name="_Toc536533490"/>
      <w:bookmarkStart w:id="955" w:name="_Toc3894358"/>
      <w:bookmarkStart w:id="956" w:name="_Toc3897522"/>
      <w:bookmarkStart w:id="957" w:name="_Toc3973434"/>
      <w:bookmarkStart w:id="958" w:name="_Toc3985326"/>
      <w:bookmarkStart w:id="959" w:name="_Toc25741786"/>
      <w:bookmarkStart w:id="960" w:name="_Toc25747218"/>
      <w:bookmarkStart w:id="961" w:name="_Toc25748961"/>
      <w:bookmarkStart w:id="962" w:name="_Toc25749093"/>
      <w:bookmarkStart w:id="963" w:name="_Toc26951198"/>
      <w:bookmarkStart w:id="964" w:name="_Toc26951302"/>
      <w:bookmarkStart w:id="965" w:name="_Toc105754885"/>
      <w:r w:rsidRPr="00C35285">
        <w:t>Categories of past</w:t>
      </w:r>
      <w:r w:rsidR="004B66C8" w:rsidRPr="00C35285">
        <w:t>–</w:t>
      </w:r>
      <w:r w:rsidRPr="00C35285">
        <w:t xml:space="preserve">due </w:t>
      </w:r>
      <w:r w:rsidR="004B66C8" w:rsidRPr="00C35285">
        <w:t>exposures</w:t>
      </w:r>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p>
    <w:p w14:paraId="62449551" w14:textId="37244B30" w:rsidR="00337E00" w:rsidRPr="00817AA2" w:rsidRDefault="00337E00" w:rsidP="00BE57FC">
      <w:pPr>
        <w:pStyle w:val="Heading3"/>
      </w:pPr>
      <w:bookmarkStart w:id="966" w:name="_Toc522179753"/>
      <w:bookmarkStart w:id="967" w:name="_Toc522267493"/>
      <w:bookmarkStart w:id="968" w:name="_Toc522268314"/>
      <w:bookmarkStart w:id="969" w:name="_Toc522271527"/>
      <w:bookmarkStart w:id="970" w:name="_Toc523226649"/>
      <w:bookmarkStart w:id="971" w:name="_Toc524614262"/>
      <w:bookmarkStart w:id="972" w:name="_Toc524615223"/>
      <w:bookmarkStart w:id="973" w:name="_Toc524686124"/>
      <w:bookmarkStart w:id="974" w:name="_Toc524700175"/>
      <w:bookmarkStart w:id="975" w:name="_Toc525032647"/>
      <w:bookmarkStart w:id="976" w:name="_Toc525224975"/>
      <w:bookmarkStart w:id="977" w:name="_Toc525293404"/>
      <w:bookmarkStart w:id="978" w:name="_Toc525553691"/>
      <w:bookmarkStart w:id="979" w:name="_Toc525564939"/>
      <w:bookmarkStart w:id="980" w:name="_Toc525716611"/>
      <w:bookmarkStart w:id="981" w:name="_Toc526242506"/>
      <w:bookmarkStart w:id="982" w:name="_Toc526249244"/>
      <w:bookmarkStart w:id="983" w:name="_Toc526343663"/>
      <w:bookmarkStart w:id="984" w:name="_Toc526502203"/>
      <w:bookmarkStart w:id="985" w:name="_Toc526506272"/>
      <w:bookmarkStart w:id="986" w:name="_Toc527023835"/>
      <w:bookmarkStart w:id="987" w:name="_Toc527025653"/>
      <w:bookmarkStart w:id="988" w:name="_Toc527029605"/>
      <w:bookmarkStart w:id="989" w:name="_Toc527033987"/>
      <w:bookmarkStart w:id="990" w:name="_Toc527040488"/>
      <w:bookmarkStart w:id="991" w:name="_Toc527109070"/>
      <w:bookmarkStart w:id="992" w:name="_Toc527382499"/>
      <w:bookmarkStart w:id="993" w:name="_Toc527384518"/>
      <w:bookmarkStart w:id="994" w:name="_Toc527466159"/>
      <w:bookmarkStart w:id="995" w:name="_Toc527466380"/>
      <w:bookmarkStart w:id="996" w:name="_Toc527467251"/>
      <w:bookmarkStart w:id="997" w:name="_Toc528756616"/>
      <w:bookmarkStart w:id="998" w:name="_Toc528756834"/>
      <w:bookmarkStart w:id="999" w:name="_Toc528759537"/>
      <w:bookmarkStart w:id="1000" w:name="_Toc528853364"/>
      <w:bookmarkStart w:id="1001" w:name="_Toc528854294"/>
      <w:bookmarkStart w:id="1002" w:name="_Toc528854587"/>
      <w:bookmarkStart w:id="1003" w:name="_Toc529439233"/>
      <w:bookmarkStart w:id="1004" w:name="_Toc529456747"/>
      <w:bookmarkStart w:id="1005" w:name="_Toc529518512"/>
      <w:bookmarkStart w:id="1006" w:name="_Toc529523962"/>
      <w:bookmarkStart w:id="1007" w:name="_Toc529536635"/>
      <w:bookmarkStart w:id="1008" w:name="_Toc529776642"/>
      <w:bookmarkStart w:id="1009" w:name="_Toc532908860"/>
      <w:bookmarkStart w:id="1010" w:name="_Toc533068414"/>
      <w:bookmarkStart w:id="1011" w:name="_Toc533074608"/>
      <w:bookmarkStart w:id="1012" w:name="_Toc535483707"/>
      <w:bookmarkStart w:id="1013" w:name="_Toc536533491"/>
      <w:bookmarkStart w:id="1014" w:name="_Toc3894359"/>
      <w:bookmarkStart w:id="1015" w:name="_Toc3897523"/>
      <w:bookmarkStart w:id="1016" w:name="_Toc3973435"/>
      <w:bookmarkStart w:id="1017" w:name="_Toc3985327"/>
      <w:bookmarkStart w:id="1018" w:name="_Toc25741787"/>
      <w:bookmarkStart w:id="1019" w:name="_Toc25747219"/>
      <w:bookmarkStart w:id="1020" w:name="_Toc25748962"/>
      <w:bookmarkStart w:id="1021" w:name="_Toc25749094"/>
      <w:bookmarkStart w:id="1022" w:name="_Toc26951199"/>
      <w:bookmarkStart w:id="1023" w:name="_Toc26951303"/>
      <w:bookmarkStart w:id="1024" w:name="_Toc105754886"/>
      <w:r w:rsidRPr="00817AA2">
        <w:t>Category One</w:t>
      </w:r>
      <w:bookmarkEnd w:id="966"/>
      <w:bookmarkEnd w:id="967"/>
      <w:bookmarkEnd w:id="968"/>
      <w:r w:rsidR="00BA560C">
        <w:t xml:space="preserve"> exposures</w:t>
      </w:r>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p>
    <w:p w14:paraId="1678C04E" w14:textId="77777777" w:rsidR="00FB54DC" w:rsidRPr="00FB54DC" w:rsidRDefault="00FB54DC" w:rsidP="00FB54DC">
      <w:pPr>
        <w:pStyle w:val="BodyText1"/>
      </w:pPr>
      <w:r w:rsidRPr="00FB54DC">
        <w:t>No prescribed provisions are mandated for Category One exposures.</w:t>
      </w:r>
    </w:p>
    <w:p w14:paraId="7C213929" w14:textId="4D550BCE" w:rsidR="00337E00" w:rsidRPr="00E00A1F" w:rsidRDefault="00337E00" w:rsidP="00BE57FC">
      <w:pPr>
        <w:pStyle w:val="BodyText1"/>
      </w:pPr>
      <w:r w:rsidRPr="00E00A1F">
        <w:t xml:space="preserve">Category One </w:t>
      </w:r>
      <w:r w:rsidR="004B66C8" w:rsidRPr="00E00A1F">
        <w:t>exposures</w:t>
      </w:r>
      <w:r w:rsidRPr="00E00A1F">
        <w:t xml:space="preserve"> are well</w:t>
      </w:r>
      <w:r w:rsidR="007043AA">
        <w:t>-</w:t>
      </w:r>
      <w:r w:rsidRPr="00E00A1F">
        <w:t>secured (refer</w:t>
      </w:r>
      <w:r w:rsidR="004B66C8" w:rsidRPr="00E00A1F">
        <w:t xml:space="preserve"> to paragraphs </w:t>
      </w:r>
      <w:r w:rsidR="00312D05">
        <w:fldChar w:fldCharType="begin"/>
      </w:r>
      <w:r w:rsidR="00312D05">
        <w:instrText xml:space="preserve"> REF _Ref529524852 \r \h </w:instrText>
      </w:r>
      <w:r w:rsidR="00312D05">
        <w:fldChar w:fldCharType="separate"/>
      </w:r>
      <w:r w:rsidR="00A86E02">
        <w:t>18</w:t>
      </w:r>
      <w:r w:rsidR="00312D05">
        <w:fldChar w:fldCharType="end"/>
      </w:r>
      <w:r w:rsidR="001D742E">
        <w:t xml:space="preserve"> and </w:t>
      </w:r>
      <w:r w:rsidR="00312D05">
        <w:fldChar w:fldCharType="begin"/>
      </w:r>
      <w:r w:rsidR="00312D05">
        <w:instrText xml:space="preserve"> REF _Ref529524868 \r \h </w:instrText>
      </w:r>
      <w:r w:rsidR="00312D05">
        <w:fldChar w:fldCharType="separate"/>
      </w:r>
      <w:r w:rsidR="00A86E02">
        <w:t>19</w:t>
      </w:r>
      <w:r w:rsidR="00312D05">
        <w:fldChar w:fldCharType="end"/>
      </w:r>
      <w:r w:rsidR="00631B33">
        <w:t xml:space="preserve"> of this Attachment</w:t>
      </w:r>
      <w:r w:rsidRPr="00E00A1F">
        <w:t>) and include:</w:t>
      </w:r>
    </w:p>
    <w:p w14:paraId="219AD9F3" w14:textId="2A3399F4" w:rsidR="00337E00" w:rsidRPr="00BE57FC" w:rsidRDefault="007E3FF0" w:rsidP="00D43985">
      <w:pPr>
        <w:pStyle w:val="BodyText2"/>
        <w:ind w:left="1134"/>
        <w:jc w:val="both"/>
        <w:rPr>
          <w:rFonts w:asciiTheme="minorHAnsi" w:hAnsiTheme="minorHAnsi" w:cstheme="minorHAnsi"/>
        </w:rPr>
      </w:pPr>
      <w:r w:rsidRPr="00BE57FC">
        <w:rPr>
          <w:rFonts w:asciiTheme="minorHAnsi" w:hAnsiTheme="minorHAnsi" w:cstheme="minorHAnsi"/>
        </w:rPr>
        <w:t xml:space="preserve">an exposure </w:t>
      </w:r>
      <w:r w:rsidR="00337E00" w:rsidRPr="00BE57FC">
        <w:rPr>
          <w:rFonts w:asciiTheme="minorHAnsi" w:hAnsiTheme="minorHAnsi" w:cstheme="minorHAnsi"/>
        </w:rPr>
        <w:t xml:space="preserve">that is secured by a registered first mortgage against a residential property and is insured by an eligible </w:t>
      </w:r>
      <w:r w:rsidR="00337E00" w:rsidRPr="00620C2A">
        <w:rPr>
          <w:rFonts w:asciiTheme="minorHAnsi" w:hAnsiTheme="minorHAnsi" w:cstheme="minorHAnsi"/>
        </w:rPr>
        <w:t>lenders</w:t>
      </w:r>
      <w:r w:rsidR="00337E00" w:rsidRPr="00BE57FC">
        <w:rPr>
          <w:rFonts w:asciiTheme="minorHAnsi" w:hAnsiTheme="minorHAnsi" w:cstheme="minorHAnsi"/>
        </w:rPr>
        <w:t xml:space="preserve"> mortgage insurer (as defined in APS 112) for 100 per cent of the outstanding balance;</w:t>
      </w:r>
    </w:p>
    <w:p w14:paraId="4CA80316" w14:textId="18A5FA3D" w:rsidR="00337E00" w:rsidRDefault="007E3FF0" w:rsidP="00D43985">
      <w:pPr>
        <w:pStyle w:val="BodyText2"/>
        <w:ind w:left="1134"/>
        <w:jc w:val="both"/>
        <w:rPr>
          <w:rFonts w:asciiTheme="minorHAnsi" w:hAnsiTheme="minorHAnsi" w:cstheme="minorHAnsi"/>
        </w:rPr>
      </w:pPr>
      <w:r w:rsidRPr="00BE57FC">
        <w:rPr>
          <w:rFonts w:asciiTheme="minorHAnsi" w:hAnsiTheme="minorHAnsi" w:cstheme="minorHAnsi"/>
        </w:rPr>
        <w:t>an exposure</w:t>
      </w:r>
      <w:r w:rsidR="00337E00" w:rsidRPr="00BE57FC">
        <w:rPr>
          <w:rFonts w:asciiTheme="minorHAnsi" w:hAnsiTheme="minorHAnsi" w:cstheme="minorHAnsi"/>
        </w:rPr>
        <w:t xml:space="preserve"> that is secured by a registered first mortgage against a residential property, where the ratio of the outstanding balance, less the amount of mortgage insurance, to the valuation of the </w:t>
      </w:r>
      <w:r w:rsidR="00EB39A4" w:rsidRPr="00BE57FC">
        <w:rPr>
          <w:rFonts w:asciiTheme="minorHAnsi" w:hAnsiTheme="minorHAnsi" w:cstheme="minorHAnsi"/>
        </w:rPr>
        <w:t>s</w:t>
      </w:r>
      <w:r w:rsidR="00337E00" w:rsidRPr="00BE57FC">
        <w:rPr>
          <w:rFonts w:asciiTheme="minorHAnsi" w:hAnsiTheme="minorHAnsi" w:cstheme="minorHAnsi"/>
        </w:rPr>
        <w:t>ecurity is no more than 80 per cent (where the exposure is 90 days or more worth of payments past</w:t>
      </w:r>
      <w:r w:rsidR="007043AA">
        <w:t>-</w:t>
      </w:r>
      <w:r w:rsidR="00337E00" w:rsidRPr="00BE57FC">
        <w:rPr>
          <w:rFonts w:asciiTheme="minorHAnsi" w:hAnsiTheme="minorHAnsi" w:cstheme="minorHAnsi"/>
        </w:rPr>
        <w:t>due, and the valuation is not older than 12 months); and</w:t>
      </w:r>
    </w:p>
    <w:p w14:paraId="648B4B97" w14:textId="2A53D189" w:rsidR="00337E00" w:rsidRPr="00CB3202" w:rsidRDefault="00337E00" w:rsidP="00D43985">
      <w:pPr>
        <w:pStyle w:val="BodyText2"/>
        <w:ind w:left="1134"/>
        <w:jc w:val="both"/>
        <w:rPr>
          <w:rFonts w:asciiTheme="minorHAnsi" w:hAnsiTheme="minorHAnsi" w:cstheme="minorHAnsi"/>
        </w:rPr>
      </w:pPr>
      <w:r w:rsidRPr="00CB3202">
        <w:rPr>
          <w:rFonts w:asciiTheme="minorHAnsi" w:hAnsiTheme="minorHAnsi" w:cstheme="minorHAnsi"/>
        </w:rPr>
        <w:t>a</w:t>
      </w:r>
      <w:r w:rsidR="007E3FF0" w:rsidRPr="00CB3202">
        <w:rPr>
          <w:rFonts w:asciiTheme="minorHAnsi" w:hAnsiTheme="minorHAnsi" w:cstheme="minorHAnsi"/>
        </w:rPr>
        <w:t>n exposure</w:t>
      </w:r>
      <w:r w:rsidRPr="00CB3202">
        <w:rPr>
          <w:rFonts w:asciiTheme="minorHAnsi" w:hAnsiTheme="minorHAnsi" w:cstheme="minorHAnsi"/>
        </w:rPr>
        <w:t xml:space="preserve"> that is secured by a registered second mortgage against a residential property where:</w:t>
      </w:r>
    </w:p>
    <w:p w14:paraId="4EDFCF93" w14:textId="664051F0" w:rsidR="00337E00" w:rsidRPr="00BE57FC" w:rsidRDefault="00337E00" w:rsidP="00673FE9">
      <w:pPr>
        <w:pStyle w:val="BodyTextIndent"/>
        <w:numPr>
          <w:ilvl w:val="1"/>
          <w:numId w:val="5"/>
        </w:numPr>
        <w:spacing w:after="240"/>
        <w:ind w:left="1701" w:hanging="567"/>
        <w:jc w:val="both"/>
        <w:rPr>
          <w:rFonts w:asciiTheme="minorHAnsi" w:hAnsiTheme="minorHAnsi" w:cstheme="minorHAnsi"/>
        </w:rPr>
      </w:pPr>
      <w:r w:rsidRPr="00BE57FC">
        <w:rPr>
          <w:rFonts w:asciiTheme="minorHAnsi" w:hAnsiTheme="minorHAnsi" w:cstheme="minorHAnsi"/>
        </w:rPr>
        <w:t xml:space="preserve">the ratio of the outstanding balances of the </w:t>
      </w:r>
      <w:r w:rsidR="007E3FF0" w:rsidRPr="00BE57FC">
        <w:rPr>
          <w:rFonts w:asciiTheme="minorHAnsi" w:hAnsiTheme="minorHAnsi" w:cstheme="minorHAnsi"/>
        </w:rPr>
        <w:t>exposure</w:t>
      </w:r>
      <w:r w:rsidRPr="00BE57FC">
        <w:rPr>
          <w:rFonts w:asciiTheme="minorHAnsi" w:hAnsiTheme="minorHAnsi" w:cstheme="minorHAnsi"/>
        </w:rPr>
        <w:t xml:space="preserve"> secured by both first and second mortgages to the valuation of the residential property does not exceed 80 per cent, and the first mortgage cannot be extended without it being subordinated to the second mortgage; or</w:t>
      </w:r>
    </w:p>
    <w:p w14:paraId="7B2B0D92" w14:textId="327DAC69" w:rsidR="00337E00" w:rsidRPr="00BE57FC" w:rsidRDefault="00337E00" w:rsidP="00673FE9">
      <w:pPr>
        <w:pStyle w:val="BodyTextIndent"/>
        <w:numPr>
          <w:ilvl w:val="1"/>
          <w:numId w:val="5"/>
        </w:numPr>
        <w:spacing w:after="240"/>
        <w:ind w:left="1701" w:hanging="567"/>
        <w:jc w:val="both"/>
        <w:rPr>
          <w:rFonts w:asciiTheme="minorHAnsi" w:hAnsiTheme="minorHAnsi" w:cstheme="minorHAnsi"/>
        </w:rPr>
      </w:pPr>
      <w:r w:rsidRPr="00BE57FC">
        <w:rPr>
          <w:rFonts w:asciiTheme="minorHAnsi" w:hAnsiTheme="minorHAnsi" w:cstheme="minorHAnsi"/>
        </w:rPr>
        <w:t xml:space="preserve">where the ratio of the outstanding balances of the </w:t>
      </w:r>
      <w:r w:rsidR="007E3FF0" w:rsidRPr="00BE57FC">
        <w:rPr>
          <w:rFonts w:asciiTheme="minorHAnsi" w:hAnsiTheme="minorHAnsi" w:cstheme="minorHAnsi"/>
        </w:rPr>
        <w:t>exposure</w:t>
      </w:r>
      <w:r w:rsidRPr="00BE57FC">
        <w:rPr>
          <w:rFonts w:asciiTheme="minorHAnsi" w:hAnsiTheme="minorHAnsi" w:cstheme="minorHAnsi"/>
        </w:rPr>
        <w:t xml:space="preserve"> secured by both first and second mortgages to the valuation of the residential property exceeds 80 per cent, and the first mortgage cannot be extended without it being subordinated to the second mortgage, and the outstanding balance is 100 per cent mortgage insured by an eligible </w:t>
      </w:r>
      <w:r w:rsidRPr="00620C2A">
        <w:rPr>
          <w:rFonts w:asciiTheme="minorHAnsi" w:hAnsiTheme="minorHAnsi" w:cstheme="minorHAnsi"/>
        </w:rPr>
        <w:t>lenders</w:t>
      </w:r>
      <w:r w:rsidRPr="00BE57FC">
        <w:rPr>
          <w:rFonts w:asciiTheme="minorHAnsi" w:hAnsiTheme="minorHAnsi" w:cstheme="minorHAnsi"/>
        </w:rPr>
        <w:t xml:space="preserve"> mortgage insurer (as defined in APS 112).</w:t>
      </w:r>
    </w:p>
    <w:p w14:paraId="5260675C" w14:textId="0EDE6563" w:rsidR="00337E00" w:rsidRPr="00817AA2" w:rsidRDefault="00337E00" w:rsidP="00BE57FC">
      <w:pPr>
        <w:pStyle w:val="Heading3"/>
      </w:pPr>
      <w:bookmarkStart w:id="1025" w:name="_Toc522179754"/>
      <w:bookmarkStart w:id="1026" w:name="_Toc522267494"/>
      <w:bookmarkStart w:id="1027" w:name="_Toc522268315"/>
      <w:bookmarkStart w:id="1028" w:name="_Toc522271528"/>
      <w:bookmarkStart w:id="1029" w:name="_Toc523226650"/>
      <w:bookmarkStart w:id="1030" w:name="_Toc524614263"/>
      <w:bookmarkStart w:id="1031" w:name="_Toc524615224"/>
      <w:bookmarkStart w:id="1032" w:name="_Toc524686125"/>
      <w:bookmarkStart w:id="1033" w:name="_Toc524700176"/>
      <w:bookmarkStart w:id="1034" w:name="_Toc525032648"/>
      <w:bookmarkStart w:id="1035" w:name="_Toc525224976"/>
      <w:bookmarkStart w:id="1036" w:name="_Toc525293405"/>
      <w:bookmarkStart w:id="1037" w:name="_Toc525553692"/>
      <w:bookmarkStart w:id="1038" w:name="_Toc525564940"/>
      <w:bookmarkStart w:id="1039" w:name="_Toc525716612"/>
      <w:bookmarkStart w:id="1040" w:name="_Toc526242507"/>
      <w:bookmarkStart w:id="1041" w:name="_Toc526249245"/>
      <w:bookmarkStart w:id="1042" w:name="_Toc526343664"/>
      <w:bookmarkStart w:id="1043" w:name="_Toc526502204"/>
      <w:bookmarkStart w:id="1044" w:name="_Toc526506273"/>
      <w:bookmarkStart w:id="1045" w:name="_Toc527023836"/>
      <w:bookmarkStart w:id="1046" w:name="_Toc527025654"/>
      <w:bookmarkStart w:id="1047" w:name="_Toc527029606"/>
      <w:bookmarkStart w:id="1048" w:name="_Toc527033988"/>
      <w:bookmarkStart w:id="1049" w:name="_Toc527040489"/>
      <w:bookmarkStart w:id="1050" w:name="_Toc527109071"/>
      <w:bookmarkStart w:id="1051" w:name="_Toc527382500"/>
      <w:bookmarkStart w:id="1052" w:name="_Toc527384519"/>
      <w:bookmarkStart w:id="1053" w:name="_Toc527466160"/>
      <w:bookmarkStart w:id="1054" w:name="_Toc527466381"/>
      <w:bookmarkStart w:id="1055" w:name="_Toc527467252"/>
      <w:bookmarkStart w:id="1056" w:name="_Toc528756617"/>
      <w:bookmarkStart w:id="1057" w:name="_Toc528756835"/>
      <w:bookmarkStart w:id="1058" w:name="_Toc528759538"/>
      <w:bookmarkStart w:id="1059" w:name="_Toc528853365"/>
      <w:bookmarkStart w:id="1060" w:name="_Toc528854295"/>
      <w:bookmarkStart w:id="1061" w:name="_Toc528854588"/>
      <w:bookmarkStart w:id="1062" w:name="_Toc529439234"/>
      <w:bookmarkStart w:id="1063" w:name="_Toc529456748"/>
      <w:bookmarkStart w:id="1064" w:name="_Toc529518513"/>
      <w:bookmarkStart w:id="1065" w:name="_Toc529523963"/>
      <w:bookmarkStart w:id="1066" w:name="_Toc529536636"/>
      <w:bookmarkStart w:id="1067" w:name="_Toc529776643"/>
      <w:bookmarkStart w:id="1068" w:name="_Toc532908861"/>
      <w:bookmarkStart w:id="1069" w:name="_Toc533068415"/>
      <w:bookmarkStart w:id="1070" w:name="_Toc533074609"/>
      <w:bookmarkStart w:id="1071" w:name="_Toc535483708"/>
      <w:bookmarkStart w:id="1072" w:name="_Toc536533492"/>
      <w:bookmarkStart w:id="1073" w:name="_Toc3894360"/>
      <w:bookmarkStart w:id="1074" w:name="_Toc3897524"/>
      <w:bookmarkStart w:id="1075" w:name="_Toc3973436"/>
      <w:bookmarkStart w:id="1076" w:name="_Toc3985328"/>
      <w:bookmarkStart w:id="1077" w:name="_Toc25741788"/>
      <w:bookmarkStart w:id="1078" w:name="_Toc25747220"/>
      <w:bookmarkStart w:id="1079" w:name="_Toc25748963"/>
      <w:bookmarkStart w:id="1080" w:name="_Toc25749095"/>
      <w:bookmarkStart w:id="1081" w:name="_Toc26951200"/>
      <w:bookmarkStart w:id="1082" w:name="_Toc26951304"/>
      <w:bookmarkStart w:id="1083" w:name="_Toc105754887"/>
      <w:r w:rsidRPr="00817AA2">
        <w:t>Category Two</w:t>
      </w:r>
      <w:bookmarkEnd w:id="1025"/>
      <w:bookmarkEnd w:id="1026"/>
      <w:bookmarkEnd w:id="1027"/>
      <w:r w:rsidR="00BA560C">
        <w:t xml:space="preserve"> exposures</w:t>
      </w:r>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p>
    <w:p w14:paraId="576A0EA2" w14:textId="465AEC2F" w:rsidR="00337E00" w:rsidRPr="00E00A1F" w:rsidRDefault="00337E00" w:rsidP="00BE57FC">
      <w:pPr>
        <w:pStyle w:val="BodyText1"/>
      </w:pPr>
      <w:r w:rsidRPr="00E00A1F">
        <w:t xml:space="preserve">A Category Two </w:t>
      </w:r>
      <w:r w:rsidR="007E3FF0" w:rsidRPr="00E00A1F">
        <w:t>exposure</w:t>
      </w:r>
      <w:r w:rsidRPr="00E00A1F">
        <w:t xml:space="preserve"> is defined as a</w:t>
      </w:r>
      <w:r w:rsidR="007E3FF0" w:rsidRPr="00E00A1F">
        <w:t>n exposure</w:t>
      </w:r>
      <w:r w:rsidRPr="00E00A1F">
        <w:t xml:space="preserve"> that is secured by a registered first mortgage against a residential property, where the ratio of the outstanding balance, less the amount of </w:t>
      </w:r>
      <w:r w:rsidR="004E484F">
        <w:t xml:space="preserve">lenders’ </w:t>
      </w:r>
      <w:r w:rsidRPr="00E00A1F">
        <w:t>mortgage insurance, to the valuation of the security is greater than 80 per cent but no more than 100 per cent (where the loan is 90 days or more worth of payments past</w:t>
      </w:r>
      <w:r w:rsidR="0051619F" w:rsidRPr="00E00A1F">
        <w:t>–</w:t>
      </w:r>
      <w:r w:rsidRPr="00E00A1F">
        <w:t>due, and the valuation is not older than 12 months).</w:t>
      </w:r>
    </w:p>
    <w:p w14:paraId="1AC0515E" w14:textId="56748987" w:rsidR="00337E00" w:rsidRDefault="00337E00" w:rsidP="00BE57FC">
      <w:pPr>
        <w:pStyle w:val="BodyText1"/>
      </w:pPr>
      <w:r w:rsidRPr="00E00A1F">
        <w:t xml:space="preserve">For Category Two </w:t>
      </w:r>
      <w:r w:rsidR="007E3FF0" w:rsidRPr="00E00A1F">
        <w:t>exposures</w:t>
      </w:r>
      <w:r w:rsidRPr="00E00A1F">
        <w:t xml:space="preserve">, the prescribed provision </w:t>
      </w:r>
      <w:r w:rsidR="007E3FF0" w:rsidRPr="00E00A1F">
        <w:t>is</w:t>
      </w:r>
      <w:r w:rsidRPr="00E00A1F">
        <w:t xml:space="preserve"> a percentage of the balance outstanding, where the percentage depends upon the term of payments past</w:t>
      </w:r>
      <w:r w:rsidR="00BE34C6">
        <w:t>-</w:t>
      </w:r>
      <w:r w:rsidRPr="00E00A1F">
        <w:t>due.</w:t>
      </w:r>
      <w:r w:rsidR="00C26CAC">
        <w:t xml:space="preserve"> </w:t>
      </w:r>
      <w:r w:rsidR="009C0D4E">
        <w:t xml:space="preserve">An ADI must apply the minimum provisions for Category Two exposures in Table </w:t>
      </w:r>
      <w:r w:rsidR="001D742E">
        <w:t>1</w:t>
      </w:r>
      <w:r w:rsidR="009C0D4E">
        <w:t>.</w:t>
      </w:r>
    </w:p>
    <w:p w14:paraId="72EBA823" w14:textId="6FAA628F" w:rsidR="00C26CAC" w:rsidRPr="00AB0B8D" w:rsidRDefault="00C26CAC" w:rsidP="00312D05">
      <w:pPr>
        <w:pStyle w:val="BodyText1"/>
        <w:keepNext/>
        <w:numPr>
          <w:ilvl w:val="0"/>
          <w:numId w:val="0"/>
        </w:numPr>
        <w:rPr>
          <w:b/>
        </w:rPr>
      </w:pPr>
      <w:r w:rsidRPr="00AB0B8D">
        <w:rPr>
          <w:b/>
        </w:rPr>
        <w:lastRenderedPageBreak/>
        <w:t xml:space="preserve">Table </w:t>
      </w:r>
      <w:r w:rsidR="001D742E">
        <w:rPr>
          <w:b/>
        </w:rPr>
        <w:t>1</w:t>
      </w:r>
      <w:r w:rsidR="001A6889" w:rsidRPr="00AB0B8D">
        <w:rPr>
          <w:b/>
        </w:rPr>
        <w:t>:</w:t>
      </w:r>
      <w:r w:rsidRPr="00AB0B8D">
        <w:rPr>
          <w:b/>
        </w:rPr>
        <w:t xml:space="preserve"> Category Two exposures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09"/>
        <w:gridCol w:w="3262"/>
      </w:tblGrid>
      <w:tr w:rsidR="00337E00" w:rsidRPr="00E00A1F" w14:paraId="7CAB1D3D" w14:textId="77777777" w:rsidTr="00D9188D">
        <w:tc>
          <w:tcPr>
            <w:tcW w:w="4109" w:type="dxa"/>
          </w:tcPr>
          <w:p w14:paraId="5EFE47EE" w14:textId="1FB6FE55" w:rsidR="00337E00" w:rsidRPr="00E00A1F" w:rsidRDefault="00337E00" w:rsidP="00312D05">
            <w:pPr>
              <w:pStyle w:val="BodyText"/>
              <w:keepNext/>
              <w:ind w:left="720" w:hanging="360"/>
              <w:rPr>
                <w:rFonts w:asciiTheme="minorHAnsi" w:hAnsiTheme="minorHAnsi" w:cstheme="minorHAnsi"/>
                <w:b/>
                <w:sz w:val="22"/>
                <w:szCs w:val="22"/>
              </w:rPr>
            </w:pPr>
            <w:r w:rsidRPr="00E00A1F">
              <w:rPr>
                <w:rFonts w:asciiTheme="minorHAnsi" w:hAnsiTheme="minorHAnsi" w:cstheme="minorHAnsi"/>
                <w:b/>
                <w:sz w:val="22"/>
                <w:szCs w:val="22"/>
              </w:rPr>
              <w:t>Term of payments past</w:t>
            </w:r>
            <w:r w:rsidR="007E3FF0" w:rsidRPr="00E00A1F">
              <w:rPr>
                <w:sz w:val="22"/>
                <w:szCs w:val="22"/>
              </w:rPr>
              <w:t>–</w:t>
            </w:r>
            <w:r w:rsidRPr="00E00A1F">
              <w:rPr>
                <w:rFonts w:asciiTheme="minorHAnsi" w:hAnsiTheme="minorHAnsi" w:cstheme="minorHAnsi"/>
                <w:b/>
                <w:sz w:val="22"/>
                <w:szCs w:val="22"/>
              </w:rPr>
              <w:t>due</w:t>
            </w:r>
          </w:p>
        </w:tc>
        <w:tc>
          <w:tcPr>
            <w:tcW w:w="3262" w:type="dxa"/>
          </w:tcPr>
          <w:p w14:paraId="5C1A6BEC" w14:textId="77777777" w:rsidR="00337E00" w:rsidRPr="00E00A1F" w:rsidRDefault="00337E00" w:rsidP="00312D05">
            <w:pPr>
              <w:pStyle w:val="BodyText"/>
              <w:keepNext/>
              <w:ind w:left="720" w:hanging="360"/>
              <w:rPr>
                <w:rFonts w:asciiTheme="minorHAnsi" w:hAnsiTheme="minorHAnsi" w:cstheme="minorHAnsi"/>
                <w:b/>
                <w:sz w:val="22"/>
                <w:szCs w:val="22"/>
              </w:rPr>
            </w:pPr>
            <w:r w:rsidRPr="00E00A1F">
              <w:rPr>
                <w:rFonts w:asciiTheme="minorHAnsi" w:hAnsiTheme="minorHAnsi" w:cstheme="minorHAnsi"/>
                <w:b/>
                <w:sz w:val="22"/>
                <w:szCs w:val="22"/>
              </w:rPr>
              <w:t>Amount of Provision (%)</w:t>
            </w:r>
          </w:p>
        </w:tc>
      </w:tr>
      <w:tr w:rsidR="00337E00" w:rsidRPr="00E00A1F" w14:paraId="13DB4664" w14:textId="77777777" w:rsidTr="00D9188D">
        <w:tc>
          <w:tcPr>
            <w:tcW w:w="4109" w:type="dxa"/>
          </w:tcPr>
          <w:p w14:paraId="4B8DAB90" w14:textId="77777777" w:rsidR="00337E00" w:rsidRPr="00E00A1F" w:rsidRDefault="00337E00" w:rsidP="00312D05">
            <w:pPr>
              <w:pStyle w:val="BodyText"/>
              <w:keepNext/>
              <w:ind w:left="720"/>
              <w:rPr>
                <w:rFonts w:asciiTheme="minorHAnsi" w:hAnsiTheme="minorHAnsi" w:cstheme="minorHAnsi"/>
                <w:sz w:val="22"/>
                <w:szCs w:val="22"/>
              </w:rPr>
            </w:pPr>
            <w:r w:rsidRPr="00E00A1F">
              <w:rPr>
                <w:rFonts w:asciiTheme="minorHAnsi" w:hAnsiTheme="minorHAnsi" w:cstheme="minorHAnsi"/>
                <w:sz w:val="22"/>
                <w:szCs w:val="22"/>
              </w:rPr>
              <w:t>Up to 90 days</w:t>
            </w:r>
          </w:p>
        </w:tc>
        <w:tc>
          <w:tcPr>
            <w:tcW w:w="3262" w:type="dxa"/>
          </w:tcPr>
          <w:p w14:paraId="14FB9DA4" w14:textId="77777777" w:rsidR="00337E00" w:rsidRPr="00E00A1F" w:rsidRDefault="00337E00" w:rsidP="009F2D61">
            <w:pPr>
              <w:pStyle w:val="BodyText"/>
              <w:keepNext/>
              <w:ind w:left="299" w:hanging="283"/>
              <w:jc w:val="center"/>
              <w:rPr>
                <w:rFonts w:asciiTheme="minorHAnsi" w:hAnsiTheme="minorHAnsi" w:cstheme="minorHAnsi"/>
                <w:sz w:val="22"/>
                <w:szCs w:val="22"/>
              </w:rPr>
            </w:pPr>
            <w:r w:rsidRPr="00E00A1F">
              <w:rPr>
                <w:rFonts w:asciiTheme="minorHAnsi" w:hAnsiTheme="minorHAnsi" w:cstheme="minorHAnsi"/>
                <w:sz w:val="22"/>
                <w:szCs w:val="22"/>
              </w:rPr>
              <w:t>0</w:t>
            </w:r>
          </w:p>
        </w:tc>
      </w:tr>
      <w:tr w:rsidR="00337E00" w:rsidRPr="00E00A1F" w14:paraId="0A1651B8" w14:textId="77777777" w:rsidTr="00D9188D">
        <w:tc>
          <w:tcPr>
            <w:tcW w:w="4109" w:type="dxa"/>
          </w:tcPr>
          <w:p w14:paraId="5E282B70" w14:textId="77777777" w:rsidR="00337E00" w:rsidRPr="00E00A1F" w:rsidRDefault="00337E00" w:rsidP="00312D05">
            <w:pPr>
              <w:pStyle w:val="BodyText"/>
              <w:keepNext/>
              <w:ind w:left="720"/>
              <w:rPr>
                <w:rFonts w:asciiTheme="minorHAnsi" w:hAnsiTheme="minorHAnsi" w:cstheme="minorHAnsi"/>
                <w:sz w:val="22"/>
                <w:szCs w:val="22"/>
              </w:rPr>
            </w:pPr>
            <w:r w:rsidRPr="00E00A1F">
              <w:rPr>
                <w:rFonts w:asciiTheme="minorHAnsi" w:hAnsiTheme="minorHAnsi" w:cstheme="minorHAnsi"/>
                <w:sz w:val="22"/>
                <w:szCs w:val="22"/>
              </w:rPr>
              <w:t>90 days and less than 182 days</w:t>
            </w:r>
          </w:p>
        </w:tc>
        <w:tc>
          <w:tcPr>
            <w:tcW w:w="3262" w:type="dxa"/>
          </w:tcPr>
          <w:p w14:paraId="461761F8" w14:textId="77777777" w:rsidR="00337E00" w:rsidRPr="00E00A1F" w:rsidRDefault="00337E00" w:rsidP="009F2D61">
            <w:pPr>
              <w:pStyle w:val="BodyText"/>
              <w:keepNext/>
              <w:ind w:left="299" w:hanging="283"/>
              <w:jc w:val="center"/>
              <w:rPr>
                <w:rFonts w:asciiTheme="minorHAnsi" w:hAnsiTheme="minorHAnsi" w:cstheme="minorHAnsi"/>
                <w:sz w:val="22"/>
                <w:szCs w:val="22"/>
              </w:rPr>
            </w:pPr>
            <w:r w:rsidRPr="00E00A1F">
              <w:rPr>
                <w:rFonts w:asciiTheme="minorHAnsi" w:hAnsiTheme="minorHAnsi" w:cstheme="minorHAnsi"/>
                <w:sz w:val="22"/>
                <w:szCs w:val="22"/>
              </w:rPr>
              <w:t>5</w:t>
            </w:r>
          </w:p>
        </w:tc>
      </w:tr>
      <w:tr w:rsidR="00337E00" w:rsidRPr="00E00A1F" w14:paraId="071A65B1" w14:textId="77777777" w:rsidTr="00D9188D">
        <w:tc>
          <w:tcPr>
            <w:tcW w:w="4109" w:type="dxa"/>
          </w:tcPr>
          <w:p w14:paraId="1549C588" w14:textId="77777777" w:rsidR="00337E00" w:rsidRPr="00E00A1F" w:rsidRDefault="00337E00" w:rsidP="00312D05">
            <w:pPr>
              <w:pStyle w:val="BodyText"/>
              <w:keepNext/>
              <w:ind w:left="720"/>
              <w:rPr>
                <w:rFonts w:asciiTheme="minorHAnsi" w:hAnsiTheme="minorHAnsi" w:cstheme="minorHAnsi"/>
                <w:sz w:val="22"/>
                <w:szCs w:val="22"/>
              </w:rPr>
            </w:pPr>
            <w:r w:rsidRPr="00E00A1F">
              <w:rPr>
                <w:rFonts w:asciiTheme="minorHAnsi" w:hAnsiTheme="minorHAnsi" w:cstheme="minorHAnsi"/>
                <w:sz w:val="22"/>
                <w:szCs w:val="22"/>
              </w:rPr>
              <w:t>182 days and less than 273 days</w:t>
            </w:r>
          </w:p>
        </w:tc>
        <w:tc>
          <w:tcPr>
            <w:tcW w:w="3262" w:type="dxa"/>
          </w:tcPr>
          <w:p w14:paraId="4A2BA309" w14:textId="77777777" w:rsidR="00337E00" w:rsidRPr="00E00A1F" w:rsidRDefault="00337E00" w:rsidP="009F2D61">
            <w:pPr>
              <w:pStyle w:val="BodyText"/>
              <w:keepNext/>
              <w:ind w:left="299" w:hanging="283"/>
              <w:jc w:val="center"/>
              <w:rPr>
                <w:rFonts w:asciiTheme="minorHAnsi" w:hAnsiTheme="minorHAnsi" w:cstheme="minorHAnsi"/>
                <w:sz w:val="22"/>
                <w:szCs w:val="22"/>
              </w:rPr>
            </w:pPr>
            <w:r w:rsidRPr="00E00A1F">
              <w:rPr>
                <w:rFonts w:asciiTheme="minorHAnsi" w:hAnsiTheme="minorHAnsi" w:cstheme="minorHAnsi"/>
                <w:sz w:val="22"/>
                <w:szCs w:val="22"/>
              </w:rPr>
              <w:t>10</w:t>
            </w:r>
          </w:p>
        </w:tc>
      </w:tr>
      <w:tr w:rsidR="00337E00" w:rsidRPr="00E00A1F" w14:paraId="1F14B230" w14:textId="77777777" w:rsidTr="00D9188D">
        <w:tc>
          <w:tcPr>
            <w:tcW w:w="4109" w:type="dxa"/>
          </w:tcPr>
          <w:p w14:paraId="1ABBED7A" w14:textId="77777777" w:rsidR="00337E00" w:rsidRPr="00E00A1F" w:rsidRDefault="00337E00" w:rsidP="00312D05">
            <w:pPr>
              <w:pStyle w:val="BodyText"/>
              <w:keepNext/>
              <w:ind w:left="720"/>
              <w:rPr>
                <w:rFonts w:asciiTheme="minorHAnsi" w:hAnsiTheme="minorHAnsi" w:cstheme="minorHAnsi"/>
                <w:sz w:val="22"/>
                <w:szCs w:val="22"/>
              </w:rPr>
            </w:pPr>
            <w:r w:rsidRPr="00E00A1F">
              <w:rPr>
                <w:rFonts w:asciiTheme="minorHAnsi" w:hAnsiTheme="minorHAnsi" w:cstheme="minorHAnsi"/>
                <w:sz w:val="22"/>
                <w:szCs w:val="22"/>
              </w:rPr>
              <w:t>273 days and less than 365 days</w:t>
            </w:r>
          </w:p>
        </w:tc>
        <w:tc>
          <w:tcPr>
            <w:tcW w:w="3262" w:type="dxa"/>
          </w:tcPr>
          <w:p w14:paraId="3692214F" w14:textId="77777777" w:rsidR="00337E00" w:rsidRPr="00E00A1F" w:rsidRDefault="00337E00" w:rsidP="009F2D61">
            <w:pPr>
              <w:pStyle w:val="BodyText"/>
              <w:keepNext/>
              <w:ind w:left="299" w:hanging="283"/>
              <w:jc w:val="center"/>
              <w:rPr>
                <w:rFonts w:asciiTheme="minorHAnsi" w:hAnsiTheme="minorHAnsi" w:cstheme="minorHAnsi"/>
                <w:sz w:val="22"/>
                <w:szCs w:val="22"/>
              </w:rPr>
            </w:pPr>
            <w:r w:rsidRPr="00E00A1F">
              <w:rPr>
                <w:rFonts w:asciiTheme="minorHAnsi" w:hAnsiTheme="minorHAnsi" w:cstheme="minorHAnsi"/>
                <w:sz w:val="22"/>
                <w:szCs w:val="22"/>
              </w:rPr>
              <w:t>15</w:t>
            </w:r>
          </w:p>
        </w:tc>
      </w:tr>
      <w:tr w:rsidR="00337E00" w:rsidRPr="00E00A1F" w14:paraId="6661DBF1" w14:textId="77777777" w:rsidTr="00D9188D">
        <w:tc>
          <w:tcPr>
            <w:tcW w:w="4109" w:type="dxa"/>
          </w:tcPr>
          <w:p w14:paraId="780490C9" w14:textId="77777777" w:rsidR="00337E00" w:rsidRPr="00E00A1F" w:rsidRDefault="00337E00" w:rsidP="00312D05">
            <w:pPr>
              <w:pStyle w:val="BodyText"/>
              <w:keepNext/>
              <w:ind w:left="720"/>
              <w:rPr>
                <w:rFonts w:asciiTheme="minorHAnsi" w:hAnsiTheme="minorHAnsi" w:cstheme="minorHAnsi"/>
                <w:sz w:val="22"/>
                <w:szCs w:val="22"/>
              </w:rPr>
            </w:pPr>
            <w:r w:rsidRPr="00E00A1F">
              <w:rPr>
                <w:rFonts w:asciiTheme="minorHAnsi" w:hAnsiTheme="minorHAnsi" w:cstheme="minorHAnsi"/>
                <w:sz w:val="22"/>
                <w:szCs w:val="22"/>
              </w:rPr>
              <w:t>365 days and over</w:t>
            </w:r>
          </w:p>
        </w:tc>
        <w:tc>
          <w:tcPr>
            <w:tcW w:w="3262" w:type="dxa"/>
          </w:tcPr>
          <w:p w14:paraId="62335572" w14:textId="77777777" w:rsidR="00337E00" w:rsidRPr="00E00A1F" w:rsidRDefault="00337E00" w:rsidP="009F2D61">
            <w:pPr>
              <w:pStyle w:val="BodyText"/>
              <w:keepNext/>
              <w:ind w:left="299" w:hanging="283"/>
              <w:jc w:val="center"/>
              <w:rPr>
                <w:rFonts w:asciiTheme="minorHAnsi" w:hAnsiTheme="minorHAnsi" w:cstheme="minorHAnsi"/>
                <w:sz w:val="22"/>
                <w:szCs w:val="22"/>
              </w:rPr>
            </w:pPr>
            <w:r w:rsidRPr="00E00A1F">
              <w:rPr>
                <w:rFonts w:asciiTheme="minorHAnsi" w:hAnsiTheme="minorHAnsi" w:cstheme="minorHAnsi"/>
                <w:sz w:val="22"/>
                <w:szCs w:val="22"/>
              </w:rPr>
              <w:t>20</w:t>
            </w:r>
          </w:p>
        </w:tc>
      </w:tr>
    </w:tbl>
    <w:p w14:paraId="533F8B1C" w14:textId="77777777" w:rsidR="00337E00" w:rsidRPr="00E00A1F" w:rsidRDefault="00337E00" w:rsidP="00312D05">
      <w:pPr>
        <w:keepNext/>
        <w:rPr>
          <w:rFonts w:asciiTheme="minorHAnsi" w:hAnsiTheme="minorHAnsi" w:cstheme="minorHAnsi"/>
          <w:sz w:val="22"/>
          <w:szCs w:val="22"/>
        </w:rPr>
      </w:pPr>
    </w:p>
    <w:p w14:paraId="47C893DA" w14:textId="79D1310E" w:rsidR="00337E00" w:rsidRPr="00E00A1F" w:rsidRDefault="00337E00" w:rsidP="00BE57FC">
      <w:pPr>
        <w:pStyle w:val="BodyText1"/>
      </w:pPr>
      <w:r w:rsidRPr="00E00A1F">
        <w:t xml:space="preserve">Where the provision calculated under Category Two </w:t>
      </w:r>
      <w:r w:rsidR="007E3FF0" w:rsidRPr="00E00A1F">
        <w:t>exposures</w:t>
      </w:r>
      <w:r w:rsidRPr="00E00A1F">
        <w:t xml:space="preserve"> is greater than the provision that would have been calculated under Category Three </w:t>
      </w:r>
      <w:r w:rsidR="007E3FF0" w:rsidRPr="00E00A1F">
        <w:t>exposures</w:t>
      </w:r>
      <w:r w:rsidRPr="00E00A1F">
        <w:t>, the latter must be taken as the prescribed provision.</w:t>
      </w:r>
    </w:p>
    <w:p w14:paraId="74DCF480" w14:textId="18F07740" w:rsidR="00337E00" w:rsidRPr="00817AA2" w:rsidRDefault="00337E00" w:rsidP="00BE57FC">
      <w:pPr>
        <w:pStyle w:val="Heading3"/>
      </w:pPr>
      <w:bookmarkStart w:id="1084" w:name="_Toc522179755"/>
      <w:bookmarkStart w:id="1085" w:name="_Toc522267495"/>
      <w:bookmarkStart w:id="1086" w:name="_Toc522268316"/>
      <w:bookmarkStart w:id="1087" w:name="_Toc522271529"/>
      <w:bookmarkStart w:id="1088" w:name="_Toc523226651"/>
      <w:bookmarkStart w:id="1089" w:name="_Toc524614264"/>
      <w:bookmarkStart w:id="1090" w:name="_Toc524615225"/>
      <w:bookmarkStart w:id="1091" w:name="_Toc524686126"/>
      <w:bookmarkStart w:id="1092" w:name="_Toc524700177"/>
      <w:bookmarkStart w:id="1093" w:name="_Toc525032649"/>
      <w:bookmarkStart w:id="1094" w:name="_Toc525224977"/>
      <w:bookmarkStart w:id="1095" w:name="_Toc525293406"/>
      <w:bookmarkStart w:id="1096" w:name="_Toc525553693"/>
      <w:bookmarkStart w:id="1097" w:name="_Toc525564941"/>
      <w:bookmarkStart w:id="1098" w:name="_Toc525716613"/>
      <w:bookmarkStart w:id="1099" w:name="_Toc526242508"/>
      <w:bookmarkStart w:id="1100" w:name="_Toc526249246"/>
      <w:bookmarkStart w:id="1101" w:name="_Toc526343665"/>
      <w:bookmarkStart w:id="1102" w:name="_Toc526502205"/>
      <w:bookmarkStart w:id="1103" w:name="_Toc526506274"/>
      <w:bookmarkStart w:id="1104" w:name="_Toc527023837"/>
      <w:bookmarkStart w:id="1105" w:name="_Toc527025655"/>
      <w:bookmarkStart w:id="1106" w:name="_Toc527029607"/>
      <w:bookmarkStart w:id="1107" w:name="_Toc527033989"/>
      <w:bookmarkStart w:id="1108" w:name="_Toc527040490"/>
      <w:bookmarkStart w:id="1109" w:name="_Toc527109072"/>
      <w:bookmarkStart w:id="1110" w:name="_Toc527382501"/>
      <w:bookmarkStart w:id="1111" w:name="_Toc527384520"/>
      <w:bookmarkStart w:id="1112" w:name="_Toc527466161"/>
      <w:bookmarkStart w:id="1113" w:name="_Toc527466382"/>
      <w:bookmarkStart w:id="1114" w:name="_Toc527467253"/>
      <w:bookmarkStart w:id="1115" w:name="_Toc528756618"/>
      <w:bookmarkStart w:id="1116" w:name="_Toc528756836"/>
      <w:bookmarkStart w:id="1117" w:name="_Toc528759539"/>
      <w:bookmarkStart w:id="1118" w:name="_Toc528853366"/>
      <w:bookmarkStart w:id="1119" w:name="_Toc528854296"/>
      <w:bookmarkStart w:id="1120" w:name="_Toc528854589"/>
      <w:bookmarkStart w:id="1121" w:name="_Toc529439235"/>
      <w:bookmarkStart w:id="1122" w:name="_Toc529456749"/>
      <w:bookmarkStart w:id="1123" w:name="_Toc529518514"/>
      <w:bookmarkStart w:id="1124" w:name="_Toc529523964"/>
      <w:bookmarkStart w:id="1125" w:name="_Toc529536637"/>
      <w:bookmarkStart w:id="1126" w:name="_Toc529776644"/>
      <w:bookmarkStart w:id="1127" w:name="_Toc532908862"/>
      <w:bookmarkStart w:id="1128" w:name="_Toc533068416"/>
      <w:bookmarkStart w:id="1129" w:name="_Toc533074610"/>
      <w:bookmarkStart w:id="1130" w:name="_Toc535483709"/>
      <w:bookmarkStart w:id="1131" w:name="_Toc536533493"/>
      <w:bookmarkStart w:id="1132" w:name="_Toc3894361"/>
      <w:bookmarkStart w:id="1133" w:name="_Toc3897525"/>
      <w:bookmarkStart w:id="1134" w:name="_Toc3973437"/>
      <w:bookmarkStart w:id="1135" w:name="_Toc3985329"/>
      <w:bookmarkStart w:id="1136" w:name="_Toc25741789"/>
      <w:bookmarkStart w:id="1137" w:name="_Toc25747221"/>
      <w:bookmarkStart w:id="1138" w:name="_Toc25748964"/>
      <w:bookmarkStart w:id="1139" w:name="_Toc25749096"/>
      <w:bookmarkStart w:id="1140" w:name="_Toc26951201"/>
      <w:bookmarkStart w:id="1141" w:name="_Toc26951305"/>
      <w:bookmarkStart w:id="1142" w:name="_Toc105754888"/>
      <w:r w:rsidRPr="00817AA2">
        <w:t>Category Three</w:t>
      </w:r>
      <w:bookmarkEnd w:id="1084"/>
      <w:bookmarkEnd w:id="1085"/>
      <w:bookmarkEnd w:id="1086"/>
      <w:r w:rsidR="00BA560C">
        <w:t xml:space="preserve"> exposures</w:t>
      </w:r>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p>
    <w:p w14:paraId="5B9CB854" w14:textId="2DDA0009" w:rsidR="00337E00" w:rsidRPr="00E00A1F" w:rsidRDefault="00631B33" w:rsidP="00BE57FC">
      <w:pPr>
        <w:pStyle w:val="BodyText1"/>
      </w:pPr>
      <w:r>
        <w:t>Category Three exposures</w:t>
      </w:r>
      <w:r w:rsidR="00337E00" w:rsidRPr="00E00A1F">
        <w:t xml:space="preserve"> appl</w:t>
      </w:r>
      <w:r>
        <w:t>y</w:t>
      </w:r>
      <w:r w:rsidR="00337E00" w:rsidRPr="00E00A1F">
        <w:t xml:space="preserve"> to all </w:t>
      </w:r>
      <w:r w:rsidR="007E3FF0" w:rsidRPr="00E00A1F">
        <w:t>exposures</w:t>
      </w:r>
      <w:r w:rsidR="00337E00" w:rsidRPr="00E00A1F">
        <w:t xml:space="preserve"> that do not fall into Categories</w:t>
      </w:r>
      <w:r w:rsidR="007E3FF0" w:rsidRPr="00E00A1F">
        <w:t>’</w:t>
      </w:r>
      <w:r w:rsidR="00337E00" w:rsidRPr="00E00A1F">
        <w:t xml:space="preserve"> One, Two, or</w:t>
      </w:r>
      <w:r w:rsidR="00A23817">
        <w:t xml:space="preserve"> </w:t>
      </w:r>
      <w:r w:rsidR="00337E00" w:rsidRPr="00E00A1F">
        <w:t xml:space="preserve">Four. Personal and commercial loans (both secured and unsecured), and </w:t>
      </w:r>
      <w:r w:rsidR="00BE34C6">
        <w:t xml:space="preserve">residential </w:t>
      </w:r>
      <w:r w:rsidR="00337E00" w:rsidRPr="00E00A1F">
        <w:t xml:space="preserve">mortgage loans where the ratio of the outstanding balance, less the amount of </w:t>
      </w:r>
      <w:r>
        <w:t xml:space="preserve">lenders </w:t>
      </w:r>
      <w:r w:rsidR="00337E00" w:rsidRPr="00E00A1F">
        <w:t>mortgage insurance, to the valuation of the security is greater than 100 per cent, are included.</w:t>
      </w:r>
    </w:p>
    <w:p w14:paraId="265842A9" w14:textId="732296B8" w:rsidR="00337E00" w:rsidRDefault="00337E00" w:rsidP="00BE57FC">
      <w:pPr>
        <w:pStyle w:val="BodyText1"/>
      </w:pPr>
      <w:r w:rsidRPr="00E00A1F">
        <w:t xml:space="preserve">The minimum provision for these items </w:t>
      </w:r>
      <w:r w:rsidR="007E3FF0" w:rsidRPr="00E00A1F">
        <w:t>is</w:t>
      </w:r>
      <w:r w:rsidRPr="00E00A1F">
        <w:t xml:space="preserve"> a percentage of the balance outstanding, where the percentage depends upon the term of payments past</w:t>
      </w:r>
      <w:r w:rsidR="00BE34C6">
        <w:t>-</w:t>
      </w:r>
      <w:r w:rsidRPr="00E00A1F">
        <w:t>due.</w:t>
      </w:r>
      <w:r w:rsidR="009C0D4E">
        <w:t xml:space="preserve"> An ADI must apply the minimum provisions for Category Three exposures in Table </w:t>
      </w:r>
      <w:r w:rsidR="001D742E">
        <w:t>2</w:t>
      </w:r>
      <w:r w:rsidR="009C0D4E">
        <w:t>.</w:t>
      </w:r>
    </w:p>
    <w:p w14:paraId="665E6666" w14:textId="08F95AC5" w:rsidR="009C0D4E" w:rsidRPr="00AB0B8D" w:rsidRDefault="009C0D4E" w:rsidP="00BE57FC">
      <w:pPr>
        <w:pStyle w:val="BodyText1"/>
        <w:numPr>
          <w:ilvl w:val="0"/>
          <w:numId w:val="0"/>
        </w:numPr>
        <w:rPr>
          <w:b/>
        </w:rPr>
      </w:pPr>
      <w:r w:rsidRPr="00AB0B8D">
        <w:rPr>
          <w:b/>
        </w:rPr>
        <w:t xml:space="preserve">Table </w:t>
      </w:r>
      <w:r w:rsidR="001D742E">
        <w:rPr>
          <w:b/>
        </w:rPr>
        <w:t>2</w:t>
      </w:r>
      <w:r w:rsidR="001A6889">
        <w:rPr>
          <w:b/>
        </w:rPr>
        <w:t>:</w:t>
      </w:r>
      <w:r w:rsidRPr="00AB0B8D">
        <w:rPr>
          <w:b/>
        </w:rPr>
        <w:t xml:space="preserve"> Category Three exposures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4109"/>
        <w:gridCol w:w="3262"/>
      </w:tblGrid>
      <w:tr w:rsidR="00337E00" w:rsidRPr="00E00A1F" w14:paraId="7AC6EDF7" w14:textId="77777777" w:rsidTr="00D9188D">
        <w:tc>
          <w:tcPr>
            <w:tcW w:w="4109" w:type="dxa"/>
          </w:tcPr>
          <w:p w14:paraId="23022690" w14:textId="2278966C" w:rsidR="00337E00" w:rsidRPr="00E00A1F" w:rsidRDefault="00337E00" w:rsidP="007E3FF0">
            <w:pPr>
              <w:pStyle w:val="BodyText"/>
              <w:keepNext/>
              <w:ind w:left="720" w:hanging="360"/>
              <w:rPr>
                <w:rFonts w:asciiTheme="minorHAnsi" w:hAnsiTheme="minorHAnsi" w:cstheme="minorHAnsi"/>
                <w:b/>
                <w:sz w:val="22"/>
                <w:szCs w:val="22"/>
              </w:rPr>
            </w:pPr>
            <w:r w:rsidRPr="00E00A1F">
              <w:rPr>
                <w:rFonts w:asciiTheme="minorHAnsi" w:hAnsiTheme="minorHAnsi" w:cstheme="minorHAnsi"/>
                <w:b/>
                <w:sz w:val="22"/>
                <w:szCs w:val="22"/>
              </w:rPr>
              <w:t>Term of payments past</w:t>
            </w:r>
            <w:r w:rsidR="007E3FF0" w:rsidRPr="00E00A1F">
              <w:rPr>
                <w:sz w:val="22"/>
                <w:szCs w:val="22"/>
              </w:rPr>
              <w:t>–</w:t>
            </w:r>
            <w:r w:rsidRPr="00E00A1F">
              <w:rPr>
                <w:rFonts w:asciiTheme="minorHAnsi" w:hAnsiTheme="minorHAnsi" w:cstheme="minorHAnsi"/>
                <w:b/>
                <w:sz w:val="22"/>
                <w:szCs w:val="22"/>
              </w:rPr>
              <w:t>due</w:t>
            </w:r>
          </w:p>
        </w:tc>
        <w:tc>
          <w:tcPr>
            <w:tcW w:w="3262" w:type="dxa"/>
          </w:tcPr>
          <w:p w14:paraId="248E1BA2" w14:textId="77777777" w:rsidR="00337E00" w:rsidRPr="00E00A1F" w:rsidRDefault="00337E00" w:rsidP="00D9188D">
            <w:pPr>
              <w:pStyle w:val="BodyText"/>
              <w:keepNext/>
              <w:ind w:left="720" w:hanging="360"/>
              <w:rPr>
                <w:rFonts w:asciiTheme="minorHAnsi" w:hAnsiTheme="minorHAnsi" w:cstheme="minorHAnsi"/>
                <w:b/>
                <w:sz w:val="22"/>
                <w:szCs w:val="22"/>
              </w:rPr>
            </w:pPr>
            <w:r w:rsidRPr="00E00A1F">
              <w:rPr>
                <w:rFonts w:asciiTheme="minorHAnsi" w:hAnsiTheme="minorHAnsi" w:cstheme="minorHAnsi"/>
                <w:b/>
                <w:sz w:val="22"/>
                <w:szCs w:val="22"/>
              </w:rPr>
              <w:t>Amount of Provision (%)</w:t>
            </w:r>
          </w:p>
        </w:tc>
      </w:tr>
      <w:tr w:rsidR="00337E00" w:rsidRPr="00E00A1F" w14:paraId="365CDD44" w14:textId="77777777" w:rsidTr="00D9188D">
        <w:tc>
          <w:tcPr>
            <w:tcW w:w="4109" w:type="dxa"/>
          </w:tcPr>
          <w:p w14:paraId="3CA40DF3" w14:textId="77777777" w:rsidR="00337E00" w:rsidRPr="00E00A1F" w:rsidRDefault="00337E00" w:rsidP="00D9188D">
            <w:pPr>
              <w:pStyle w:val="BodyText"/>
              <w:keepNext/>
              <w:ind w:left="556"/>
              <w:rPr>
                <w:rFonts w:asciiTheme="minorHAnsi" w:hAnsiTheme="minorHAnsi" w:cstheme="minorHAnsi"/>
                <w:sz w:val="22"/>
                <w:szCs w:val="22"/>
              </w:rPr>
            </w:pPr>
            <w:r w:rsidRPr="00E00A1F">
              <w:rPr>
                <w:rFonts w:asciiTheme="minorHAnsi" w:hAnsiTheme="minorHAnsi" w:cstheme="minorHAnsi"/>
                <w:sz w:val="22"/>
                <w:szCs w:val="22"/>
              </w:rPr>
              <w:t>Up to 90 days</w:t>
            </w:r>
          </w:p>
        </w:tc>
        <w:tc>
          <w:tcPr>
            <w:tcW w:w="3262" w:type="dxa"/>
          </w:tcPr>
          <w:p w14:paraId="7CB7E86F" w14:textId="77777777" w:rsidR="00337E00" w:rsidRPr="00E00A1F" w:rsidRDefault="00337E00" w:rsidP="009F2D61">
            <w:pPr>
              <w:pStyle w:val="BodyText"/>
              <w:keepNext/>
              <w:ind w:left="583" w:hanging="567"/>
              <w:jc w:val="center"/>
              <w:rPr>
                <w:rFonts w:asciiTheme="minorHAnsi" w:hAnsiTheme="minorHAnsi" w:cstheme="minorHAnsi"/>
                <w:sz w:val="22"/>
                <w:szCs w:val="22"/>
              </w:rPr>
            </w:pPr>
            <w:r w:rsidRPr="00E00A1F">
              <w:rPr>
                <w:rFonts w:asciiTheme="minorHAnsi" w:hAnsiTheme="minorHAnsi" w:cstheme="minorHAnsi"/>
                <w:sz w:val="22"/>
                <w:szCs w:val="22"/>
              </w:rPr>
              <w:t>0</w:t>
            </w:r>
          </w:p>
        </w:tc>
      </w:tr>
      <w:tr w:rsidR="00337E00" w:rsidRPr="00E00A1F" w14:paraId="3345A821" w14:textId="77777777" w:rsidTr="00D9188D">
        <w:tc>
          <w:tcPr>
            <w:tcW w:w="4109" w:type="dxa"/>
          </w:tcPr>
          <w:p w14:paraId="23A145C2" w14:textId="77777777" w:rsidR="00337E00" w:rsidRPr="00E00A1F" w:rsidRDefault="00337E00" w:rsidP="00D9188D">
            <w:pPr>
              <w:pStyle w:val="BodyText"/>
              <w:keepNext/>
              <w:ind w:left="556"/>
              <w:rPr>
                <w:rFonts w:asciiTheme="minorHAnsi" w:hAnsiTheme="minorHAnsi" w:cstheme="minorHAnsi"/>
                <w:sz w:val="22"/>
                <w:szCs w:val="22"/>
              </w:rPr>
            </w:pPr>
            <w:r w:rsidRPr="00E00A1F">
              <w:rPr>
                <w:rFonts w:asciiTheme="minorHAnsi" w:hAnsiTheme="minorHAnsi" w:cstheme="minorHAnsi"/>
                <w:sz w:val="22"/>
                <w:szCs w:val="22"/>
              </w:rPr>
              <w:t>90 days and less than 182 days</w:t>
            </w:r>
          </w:p>
        </w:tc>
        <w:tc>
          <w:tcPr>
            <w:tcW w:w="3262" w:type="dxa"/>
          </w:tcPr>
          <w:p w14:paraId="7CFDE4F6" w14:textId="77777777" w:rsidR="00337E00" w:rsidRPr="00E00A1F" w:rsidRDefault="00337E00" w:rsidP="009F2D61">
            <w:pPr>
              <w:pStyle w:val="BodyText"/>
              <w:keepNext/>
              <w:ind w:left="583" w:hanging="567"/>
              <w:jc w:val="center"/>
              <w:rPr>
                <w:rFonts w:asciiTheme="minorHAnsi" w:hAnsiTheme="minorHAnsi" w:cstheme="minorHAnsi"/>
                <w:sz w:val="22"/>
                <w:szCs w:val="22"/>
              </w:rPr>
            </w:pPr>
            <w:r w:rsidRPr="00E00A1F">
              <w:rPr>
                <w:rFonts w:asciiTheme="minorHAnsi" w:hAnsiTheme="minorHAnsi" w:cstheme="minorHAnsi"/>
                <w:sz w:val="22"/>
                <w:szCs w:val="22"/>
              </w:rPr>
              <w:t>40</w:t>
            </w:r>
          </w:p>
        </w:tc>
      </w:tr>
      <w:tr w:rsidR="00337E00" w:rsidRPr="00E00A1F" w14:paraId="4B50B3CB" w14:textId="77777777" w:rsidTr="00D9188D">
        <w:tc>
          <w:tcPr>
            <w:tcW w:w="4109" w:type="dxa"/>
          </w:tcPr>
          <w:p w14:paraId="124FD016" w14:textId="77777777" w:rsidR="00337E00" w:rsidRPr="00E00A1F" w:rsidRDefault="00337E00" w:rsidP="00D9188D">
            <w:pPr>
              <w:pStyle w:val="BodyText"/>
              <w:keepNext/>
              <w:ind w:left="556"/>
              <w:rPr>
                <w:rFonts w:asciiTheme="minorHAnsi" w:hAnsiTheme="minorHAnsi" w:cstheme="minorHAnsi"/>
                <w:sz w:val="22"/>
                <w:szCs w:val="22"/>
              </w:rPr>
            </w:pPr>
            <w:r w:rsidRPr="00E00A1F">
              <w:rPr>
                <w:rFonts w:asciiTheme="minorHAnsi" w:hAnsiTheme="minorHAnsi" w:cstheme="minorHAnsi"/>
                <w:sz w:val="22"/>
                <w:szCs w:val="22"/>
              </w:rPr>
              <w:t>182 days and less than 273 days</w:t>
            </w:r>
          </w:p>
        </w:tc>
        <w:tc>
          <w:tcPr>
            <w:tcW w:w="3262" w:type="dxa"/>
          </w:tcPr>
          <w:p w14:paraId="1AEE8428" w14:textId="77777777" w:rsidR="00337E00" w:rsidRPr="00E00A1F" w:rsidRDefault="00337E00" w:rsidP="009F2D61">
            <w:pPr>
              <w:pStyle w:val="BodyText"/>
              <w:keepNext/>
              <w:ind w:left="583" w:hanging="567"/>
              <w:jc w:val="center"/>
              <w:rPr>
                <w:rFonts w:asciiTheme="minorHAnsi" w:hAnsiTheme="minorHAnsi" w:cstheme="minorHAnsi"/>
                <w:sz w:val="22"/>
                <w:szCs w:val="22"/>
              </w:rPr>
            </w:pPr>
            <w:r w:rsidRPr="00E00A1F">
              <w:rPr>
                <w:rFonts w:asciiTheme="minorHAnsi" w:hAnsiTheme="minorHAnsi" w:cstheme="minorHAnsi"/>
                <w:sz w:val="22"/>
                <w:szCs w:val="22"/>
              </w:rPr>
              <w:t>60</w:t>
            </w:r>
          </w:p>
        </w:tc>
      </w:tr>
      <w:tr w:rsidR="00337E00" w:rsidRPr="00E00A1F" w14:paraId="1AF1AF07" w14:textId="77777777" w:rsidTr="00D9188D">
        <w:tc>
          <w:tcPr>
            <w:tcW w:w="4109" w:type="dxa"/>
          </w:tcPr>
          <w:p w14:paraId="720E549A" w14:textId="77777777" w:rsidR="00337E00" w:rsidRPr="00E00A1F" w:rsidRDefault="00337E00" w:rsidP="00D9188D">
            <w:pPr>
              <w:pStyle w:val="BodyText"/>
              <w:keepNext/>
              <w:ind w:left="556"/>
              <w:rPr>
                <w:rFonts w:asciiTheme="minorHAnsi" w:hAnsiTheme="minorHAnsi" w:cstheme="minorHAnsi"/>
                <w:sz w:val="22"/>
                <w:szCs w:val="22"/>
              </w:rPr>
            </w:pPr>
            <w:r w:rsidRPr="00E00A1F">
              <w:rPr>
                <w:rFonts w:asciiTheme="minorHAnsi" w:hAnsiTheme="minorHAnsi" w:cstheme="minorHAnsi"/>
                <w:sz w:val="22"/>
                <w:szCs w:val="22"/>
              </w:rPr>
              <w:t>273 days and less than 365 days</w:t>
            </w:r>
          </w:p>
        </w:tc>
        <w:tc>
          <w:tcPr>
            <w:tcW w:w="3262" w:type="dxa"/>
          </w:tcPr>
          <w:p w14:paraId="2AD07A54" w14:textId="77777777" w:rsidR="00337E00" w:rsidRPr="00E00A1F" w:rsidRDefault="00337E00" w:rsidP="009F2D61">
            <w:pPr>
              <w:pStyle w:val="BodyText"/>
              <w:keepNext/>
              <w:ind w:left="583" w:hanging="567"/>
              <w:jc w:val="center"/>
              <w:rPr>
                <w:rFonts w:asciiTheme="minorHAnsi" w:hAnsiTheme="minorHAnsi" w:cstheme="minorHAnsi"/>
                <w:sz w:val="22"/>
                <w:szCs w:val="22"/>
              </w:rPr>
            </w:pPr>
            <w:r w:rsidRPr="00E00A1F">
              <w:rPr>
                <w:rFonts w:asciiTheme="minorHAnsi" w:hAnsiTheme="minorHAnsi" w:cstheme="minorHAnsi"/>
                <w:sz w:val="22"/>
                <w:szCs w:val="22"/>
              </w:rPr>
              <w:t>80</w:t>
            </w:r>
          </w:p>
        </w:tc>
      </w:tr>
      <w:tr w:rsidR="00337E00" w:rsidRPr="00E00A1F" w14:paraId="5ED54B10" w14:textId="77777777" w:rsidTr="00D9188D">
        <w:tc>
          <w:tcPr>
            <w:tcW w:w="4109" w:type="dxa"/>
          </w:tcPr>
          <w:p w14:paraId="44D45019" w14:textId="77777777" w:rsidR="00337E00" w:rsidRPr="00E00A1F" w:rsidRDefault="00337E00" w:rsidP="00D9188D">
            <w:pPr>
              <w:pStyle w:val="BodyText"/>
              <w:ind w:left="556"/>
              <w:rPr>
                <w:rFonts w:asciiTheme="minorHAnsi" w:hAnsiTheme="minorHAnsi" w:cstheme="minorHAnsi"/>
                <w:sz w:val="22"/>
                <w:szCs w:val="22"/>
              </w:rPr>
            </w:pPr>
            <w:r w:rsidRPr="00E00A1F">
              <w:rPr>
                <w:rFonts w:asciiTheme="minorHAnsi" w:hAnsiTheme="minorHAnsi" w:cstheme="minorHAnsi"/>
                <w:sz w:val="22"/>
                <w:szCs w:val="22"/>
              </w:rPr>
              <w:t>365 days and over</w:t>
            </w:r>
          </w:p>
        </w:tc>
        <w:tc>
          <w:tcPr>
            <w:tcW w:w="3262" w:type="dxa"/>
          </w:tcPr>
          <w:p w14:paraId="20119D89" w14:textId="77777777" w:rsidR="00337E00" w:rsidRPr="00E00A1F" w:rsidRDefault="00337E00" w:rsidP="009F2D61">
            <w:pPr>
              <w:pStyle w:val="BodyText"/>
              <w:keepNext/>
              <w:ind w:left="583" w:hanging="567"/>
              <w:jc w:val="center"/>
              <w:rPr>
                <w:rFonts w:asciiTheme="minorHAnsi" w:hAnsiTheme="minorHAnsi" w:cstheme="minorHAnsi"/>
                <w:sz w:val="22"/>
                <w:szCs w:val="22"/>
              </w:rPr>
            </w:pPr>
            <w:r w:rsidRPr="00E00A1F">
              <w:rPr>
                <w:rFonts w:asciiTheme="minorHAnsi" w:hAnsiTheme="minorHAnsi" w:cstheme="minorHAnsi"/>
                <w:sz w:val="22"/>
                <w:szCs w:val="22"/>
              </w:rPr>
              <w:t>100</w:t>
            </w:r>
          </w:p>
        </w:tc>
      </w:tr>
    </w:tbl>
    <w:p w14:paraId="37AD8ACA" w14:textId="77777777" w:rsidR="00337E00" w:rsidRPr="00E00A1F" w:rsidRDefault="00337E00" w:rsidP="00337E00">
      <w:pPr>
        <w:rPr>
          <w:rFonts w:asciiTheme="minorHAnsi" w:hAnsiTheme="minorHAnsi" w:cstheme="minorHAnsi"/>
          <w:sz w:val="22"/>
          <w:szCs w:val="22"/>
        </w:rPr>
      </w:pPr>
      <w:bookmarkStart w:id="1143" w:name="paragraph_15"/>
      <w:bookmarkEnd w:id="1143"/>
    </w:p>
    <w:p w14:paraId="17B24964" w14:textId="6FE29767" w:rsidR="00337E00" w:rsidRPr="00337E00" w:rsidRDefault="00337E00" w:rsidP="00BE57FC">
      <w:pPr>
        <w:pStyle w:val="BodyText1"/>
      </w:pPr>
      <w:bookmarkStart w:id="1144" w:name="_Ref3897426"/>
      <w:r w:rsidRPr="00337E00">
        <w:t>Where a</w:t>
      </w:r>
      <w:r w:rsidR="007E3FF0">
        <w:t>n exposure</w:t>
      </w:r>
      <w:r w:rsidRPr="00337E00">
        <w:t xml:space="preserve"> is secured by a mortgage over a residential property, the provision may be adjusted to reflect a part of the fair value of </w:t>
      </w:r>
      <w:r w:rsidR="004E484F">
        <w:t xml:space="preserve">security </w:t>
      </w:r>
      <w:r w:rsidRPr="00337E00">
        <w:t xml:space="preserve">held. When this occurs, the minimum provision percentage in the table above must be applied to the difference between the outstanding balance less any </w:t>
      </w:r>
      <w:r w:rsidR="004E484F">
        <w:t>lenders’ mortgage</w:t>
      </w:r>
      <w:r w:rsidRPr="00337E00">
        <w:t xml:space="preserve"> insurance and 70 per cent of the security value</w:t>
      </w:r>
      <w:r w:rsidR="00074BD6">
        <w:t>,</w:t>
      </w:r>
      <w:r w:rsidRPr="00337E00">
        <w:t xml:space="preserve"> where the exposure is 90 days or more worth of payments past</w:t>
      </w:r>
      <w:r w:rsidR="00BE34C6">
        <w:t>-</w:t>
      </w:r>
      <w:r w:rsidRPr="00337E00">
        <w:t>due, and the valuation is not older than 12 months. Where a</w:t>
      </w:r>
      <w:r w:rsidR="00E00A1F">
        <w:t>n exposure</w:t>
      </w:r>
      <w:r w:rsidRPr="00337E00">
        <w:t xml:space="preserve"> is secured by </w:t>
      </w:r>
      <w:r w:rsidR="00BE34C6">
        <w:t xml:space="preserve">collateral </w:t>
      </w:r>
      <w:r w:rsidRPr="00337E00">
        <w:t xml:space="preserve">other than residential property, an ADI </w:t>
      </w:r>
      <w:r w:rsidRPr="00337E00">
        <w:lastRenderedPageBreak/>
        <w:t>may approach APRA to discuss an appropriate basis upon which to value security held.</w:t>
      </w:r>
      <w:bookmarkEnd w:id="1144"/>
    </w:p>
    <w:p w14:paraId="2DB64B49" w14:textId="2B4BEFE5" w:rsidR="00337E00" w:rsidRPr="00337E00" w:rsidRDefault="00337E00" w:rsidP="00BE57FC">
      <w:pPr>
        <w:pStyle w:val="BodyText1"/>
      </w:pPr>
      <w:r w:rsidRPr="00337E00">
        <w:t>Where a</w:t>
      </w:r>
      <w:r w:rsidR="00E00A1F">
        <w:t>n exposure</w:t>
      </w:r>
      <w:r w:rsidRPr="00337E00">
        <w:t xml:space="preserve"> is otherwise secured by equivalent or better security arrangements than that described in </w:t>
      </w:r>
      <w:bookmarkStart w:id="1145" w:name="_Hlt13038946"/>
      <w:r w:rsidRPr="00337E00">
        <w:t>paragra</w:t>
      </w:r>
      <w:bookmarkStart w:id="1146" w:name="_Hlt13038561"/>
      <w:r w:rsidRPr="00337E00">
        <w:t>p</w:t>
      </w:r>
      <w:bookmarkStart w:id="1147" w:name="_Hlt13038986"/>
      <w:bookmarkEnd w:id="1146"/>
      <w:r w:rsidRPr="00337E00">
        <w:t>h</w:t>
      </w:r>
      <w:bookmarkEnd w:id="1147"/>
      <w:r w:rsidRPr="00337E00">
        <w:t xml:space="preserve"> </w:t>
      </w:r>
      <w:bookmarkEnd w:id="1145"/>
      <w:r w:rsidR="00312D05">
        <w:fldChar w:fldCharType="begin"/>
      </w:r>
      <w:r w:rsidR="00312D05">
        <w:instrText xml:space="preserve"> REF _Ref3897426 \r \h </w:instrText>
      </w:r>
      <w:r w:rsidR="00312D05">
        <w:fldChar w:fldCharType="separate"/>
      </w:r>
      <w:r w:rsidR="00A86E02">
        <w:t>15</w:t>
      </w:r>
      <w:r w:rsidR="00312D05">
        <w:fldChar w:fldCharType="end"/>
      </w:r>
      <w:r w:rsidRPr="00337E00">
        <w:t xml:space="preserve"> of this </w:t>
      </w:r>
      <w:r w:rsidR="00F06950">
        <w:t>A</w:t>
      </w:r>
      <w:r w:rsidRPr="00337E00">
        <w:t xml:space="preserve">ttachment, an ADI may, on application to APRA, seek to have the provision adjusted to reflect the whole or part of the fair value of </w:t>
      </w:r>
      <w:r w:rsidR="004A559B">
        <w:t xml:space="preserve">security </w:t>
      </w:r>
      <w:r w:rsidRPr="00337E00">
        <w:t xml:space="preserve">held. APRA may agree to an adjustment if it is satisfied that the provision, as adjusted, more appropriately covers the risk on the </w:t>
      </w:r>
      <w:r w:rsidR="00E00A1F">
        <w:t>exposures</w:t>
      </w:r>
      <w:r w:rsidRPr="00337E00">
        <w:t>. APRA will apply the following guidelines in considering the application:</w:t>
      </w:r>
    </w:p>
    <w:p w14:paraId="4572EDB6" w14:textId="5887F6A8" w:rsidR="00337E00" w:rsidRPr="00BE57FC" w:rsidRDefault="00337E00" w:rsidP="00673FE9">
      <w:pPr>
        <w:pStyle w:val="BodyText2"/>
        <w:numPr>
          <w:ilvl w:val="0"/>
          <w:numId w:val="7"/>
        </w:numPr>
        <w:ind w:left="1134" w:hanging="567"/>
        <w:jc w:val="both"/>
        <w:rPr>
          <w:rFonts w:asciiTheme="minorHAnsi" w:hAnsiTheme="minorHAnsi" w:cstheme="minorHAnsi"/>
        </w:rPr>
      </w:pPr>
      <w:r w:rsidRPr="00BE57FC">
        <w:rPr>
          <w:rFonts w:asciiTheme="minorHAnsi" w:hAnsiTheme="minorHAnsi" w:cstheme="minorHAnsi"/>
        </w:rPr>
        <w:t xml:space="preserve">guarantees provided by Commonwealth or State Governments, or ADIs, may be deducted from the full value of the </w:t>
      </w:r>
      <w:r w:rsidR="00E00A1F" w:rsidRPr="00BE57FC">
        <w:rPr>
          <w:rFonts w:asciiTheme="minorHAnsi" w:hAnsiTheme="minorHAnsi" w:cstheme="minorHAnsi"/>
        </w:rPr>
        <w:t>exposure</w:t>
      </w:r>
      <w:r w:rsidRPr="00BE57FC">
        <w:rPr>
          <w:rFonts w:asciiTheme="minorHAnsi" w:hAnsiTheme="minorHAnsi" w:cstheme="minorHAnsi"/>
        </w:rPr>
        <w:t xml:space="preserve"> prior to applying the prescribed provisioning requirements;</w:t>
      </w:r>
    </w:p>
    <w:p w14:paraId="65162FD0" w14:textId="77777777" w:rsidR="00337E00" w:rsidRPr="00BE57FC" w:rsidRDefault="00337E00" w:rsidP="00673FE9">
      <w:pPr>
        <w:pStyle w:val="BodyTextIndent"/>
        <w:numPr>
          <w:ilvl w:val="0"/>
          <w:numId w:val="7"/>
        </w:numPr>
        <w:spacing w:after="240"/>
        <w:ind w:left="1134" w:hanging="567"/>
        <w:jc w:val="both"/>
        <w:rPr>
          <w:rFonts w:asciiTheme="minorHAnsi" w:hAnsiTheme="minorHAnsi" w:cstheme="minorHAnsi"/>
        </w:rPr>
      </w:pPr>
      <w:r w:rsidRPr="00BE57FC">
        <w:rPr>
          <w:rFonts w:asciiTheme="minorHAnsi" w:hAnsiTheme="minorHAnsi" w:cstheme="minorHAnsi"/>
        </w:rPr>
        <w:t>Crown leases involving property used for residential purposes may be adjusted in accordance with this Attachment;</w:t>
      </w:r>
    </w:p>
    <w:p w14:paraId="1F353075" w14:textId="03CF89BA" w:rsidR="00337E00" w:rsidRPr="00BE57FC" w:rsidRDefault="00337E00" w:rsidP="00673FE9">
      <w:pPr>
        <w:pStyle w:val="BodyTextIndent"/>
        <w:numPr>
          <w:ilvl w:val="0"/>
          <w:numId w:val="7"/>
        </w:numPr>
        <w:spacing w:after="240"/>
        <w:ind w:left="1134" w:hanging="567"/>
        <w:jc w:val="both"/>
        <w:rPr>
          <w:rFonts w:asciiTheme="minorHAnsi" w:hAnsiTheme="minorHAnsi" w:cstheme="minorHAnsi"/>
        </w:rPr>
      </w:pPr>
      <w:r w:rsidRPr="00BE57FC">
        <w:rPr>
          <w:rFonts w:asciiTheme="minorHAnsi" w:hAnsiTheme="minorHAnsi" w:cstheme="minorHAnsi"/>
        </w:rPr>
        <w:t xml:space="preserve">bank bills and </w:t>
      </w:r>
      <w:r w:rsidR="00BE34C6">
        <w:rPr>
          <w:rFonts w:asciiTheme="minorHAnsi" w:hAnsiTheme="minorHAnsi" w:cstheme="minorHAnsi"/>
        </w:rPr>
        <w:t>g</w:t>
      </w:r>
      <w:r w:rsidR="00BE34C6" w:rsidRPr="00620C2A">
        <w:rPr>
          <w:rFonts w:asciiTheme="minorHAnsi" w:hAnsiTheme="minorHAnsi" w:cstheme="minorHAnsi"/>
        </w:rPr>
        <w:t>overnment</w:t>
      </w:r>
      <w:r w:rsidR="00BE34C6" w:rsidRPr="00BE57FC">
        <w:rPr>
          <w:rFonts w:asciiTheme="minorHAnsi" w:hAnsiTheme="minorHAnsi" w:cstheme="minorHAnsi"/>
        </w:rPr>
        <w:t xml:space="preserve"> </w:t>
      </w:r>
      <w:r w:rsidR="00BE34C6">
        <w:rPr>
          <w:rFonts w:asciiTheme="minorHAnsi" w:hAnsiTheme="minorHAnsi" w:cstheme="minorHAnsi"/>
        </w:rPr>
        <w:t>s</w:t>
      </w:r>
      <w:r w:rsidR="00BE34C6" w:rsidRPr="00BE57FC">
        <w:rPr>
          <w:rFonts w:asciiTheme="minorHAnsi" w:hAnsiTheme="minorHAnsi" w:cstheme="minorHAnsi"/>
        </w:rPr>
        <w:t xml:space="preserve">ecurities </w:t>
      </w:r>
      <w:r w:rsidRPr="00BE57FC">
        <w:rPr>
          <w:rFonts w:asciiTheme="minorHAnsi" w:hAnsiTheme="minorHAnsi" w:cstheme="minorHAnsi"/>
        </w:rPr>
        <w:t xml:space="preserve">held as collateral, if subject to enforceable security in favour of the ADI, may be deducted from the value of the </w:t>
      </w:r>
      <w:r w:rsidR="00E00A1F" w:rsidRPr="00BE57FC">
        <w:rPr>
          <w:rFonts w:asciiTheme="minorHAnsi" w:hAnsiTheme="minorHAnsi" w:cstheme="minorHAnsi"/>
        </w:rPr>
        <w:t>exposure</w:t>
      </w:r>
      <w:r w:rsidRPr="00BE57FC">
        <w:rPr>
          <w:rFonts w:asciiTheme="minorHAnsi" w:hAnsiTheme="minorHAnsi" w:cstheme="minorHAnsi"/>
        </w:rPr>
        <w:t xml:space="preserve"> at their fair value prior to applying the prescribed provisioning requirements; and</w:t>
      </w:r>
    </w:p>
    <w:p w14:paraId="5690AF93" w14:textId="765C9E44" w:rsidR="00337E00" w:rsidRPr="00BE57FC" w:rsidRDefault="00337E00" w:rsidP="00673FE9">
      <w:pPr>
        <w:pStyle w:val="BodyTextIndent"/>
        <w:numPr>
          <w:ilvl w:val="0"/>
          <w:numId w:val="7"/>
        </w:numPr>
        <w:spacing w:after="240"/>
        <w:ind w:left="1134" w:hanging="567"/>
        <w:jc w:val="both"/>
        <w:rPr>
          <w:rFonts w:asciiTheme="minorHAnsi" w:hAnsiTheme="minorHAnsi" w:cstheme="minorHAnsi"/>
        </w:rPr>
      </w:pPr>
      <w:r w:rsidRPr="00BE57FC">
        <w:rPr>
          <w:rFonts w:asciiTheme="minorHAnsi" w:hAnsiTheme="minorHAnsi" w:cstheme="minorHAnsi"/>
        </w:rPr>
        <w:t xml:space="preserve">cash on deposit with the ADI may only be deducted from the full value of the </w:t>
      </w:r>
      <w:r w:rsidR="00E00A1F" w:rsidRPr="00BE57FC">
        <w:rPr>
          <w:rFonts w:asciiTheme="minorHAnsi" w:hAnsiTheme="minorHAnsi" w:cstheme="minorHAnsi"/>
        </w:rPr>
        <w:t>exposure</w:t>
      </w:r>
      <w:r w:rsidRPr="00BE57FC">
        <w:rPr>
          <w:rFonts w:asciiTheme="minorHAnsi" w:hAnsiTheme="minorHAnsi" w:cstheme="minorHAnsi"/>
        </w:rPr>
        <w:t xml:space="preserve"> prior to applying the prescribed provisioning requirements for the purposes of prescribed provisioning where the deposits are secured by appropriate contractual arrangements that satisfy the eligible collateral provisions contained in APS 112. A right of offset is not considered to provide appropriate </w:t>
      </w:r>
      <w:r w:rsidR="00F13A96" w:rsidRPr="00BE57FC">
        <w:rPr>
          <w:rFonts w:asciiTheme="minorHAnsi" w:hAnsiTheme="minorHAnsi" w:cstheme="minorHAnsi"/>
        </w:rPr>
        <w:t>security</w:t>
      </w:r>
      <w:r w:rsidR="004E484F" w:rsidRPr="00BE57FC">
        <w:rPr>
          <w:rFonts w:asciiTheme="minorHAnsi" w:hAnsiTheme="minorHAnsi" w:cstheme="minorHAnsi"/>
        </w:rPr>
        <w:t xml:space="preserve"> </w:t>
      </w:r>
      <w:r w:rsidRPr="00BE57FC">
        <w:rPr>
          <w:rFonts w:asciiTheme="minorHAnsi" w:hAnsiTheme="minorHAnsi" w:cstheme="minorHAnsi"/>
          <w:i/>
        </w:rPr>
        <w:t>per se</w:t>
      </w:r>
      <w:r w:rsidRPr="00BE57FC">
        <w:rPr>
          <w:rFonts w:asciiTheme="minorHAnsi" w:hAnsiTheme="minorHAnsi" w:cstheme="minorHAnsi"/>
        </w:rPr>
        <w:t>.</w:t>
      </w:r>
    </w:p>
    <w:p w14:paraId="07AC87A7" w14:textId="65C6C4A3" w:rsidR="00337E00" w:rsidRPr="00817AA2" w:rsidRDefault="00337E00" w:rsidP="00BE57FC">
      <w:pPr>
        <w:pStyle w:val="Heading3"/>
      </w:pPr>
      <w:bookmarkStart w:id="1148" w:name="_Toc522179756"/>
      <w:bookmarkStart w:id="1149" w:name="_Toc522267496"/>
      <w:bookmarkStart w:id="1150" w:name="_Toc522268317"/>
      <w:bookmarkStart w:id="1151" w:name="_Toc522271530"/>
      <w:bookmarkStart w:id="1152" w:name="_Toc523226652"/>
      <w:bookmarkStart w:id="1153" w:name="_Toc524614265"/>
      <w:bookmarkStart w:id="1154" w:name="_Toc524615226"/>
      <w:bookmarkStart w:id="1155" w:name="_Toc524686127"/>
      <w:bookmarkStart w:id="1156" w:name="_Toc524700178"/>
      <w:bookmarkStart w:id="1157" w:name="_Toc525032650"/>
      <w:bookmarkStart w:id="1158" w:name="_Toc525224978"/>
      <w:bookmarkStart w:id="1159" w:name="_Toc525293407"/>
      <w:bookmarkStart w:id="1160" w:name="_Toc525553694"/>
      <w:bookmarkStart w:id="1161" w:name="_Toc525564942"/>
      <w:bookmarkStart w:id="1162" w:name="_Toc525716614"/>
      <w:bookmarkStart w:id="1163" w:name="_Toc526242509"/>
      <w:bookmarkStart w:id="1164" w:name="_Toc526249247"/>
      <w:bookmarkStart w:id="1165" w:name="_Toc526343666"/>
      <w:bookmarkStart w:id="1166" w:name="_Toc526502206"/>
      <w:bookmarkStart w:id="1167" w:name="_Toc526506275"/>
      <w:bookmarkStart w:id="1168" w:name="_Toc527023838"/>
      <w:bookmarkStart w:id="1169" w:name="_Toc527025656"/>
      <w:bookmarkStart w:id="1170" w:name="_Toc527029608"/>
      <w:bookmarkStart w:id="1171" w:name="_Toc527033990"/>
      <w:bookmarkStart w:id="1172" w:name="_Toc527040491"/>
      <w:bookmarkStart w:id="1173" w:name="_Toc527109073"/>
      <w:bookmarkStart w:id="1174" w:name="_Toc527382502"/>
      <w:bookmarkStart w:id="1175" w:name="_Toc527384521"/>
      <w:bookmarkStart w:id="1176" w:name="_Toc527466162"/>
      <w:bookmarkStart w:id="1177" w:name="_Toc527466383"/>
      <w:bookmarkStart w:id="1178" w:name="_Toc527467254"/>
      <w:bookmarkStart w:id="1179" w:name="_Toc528756619"/>
      <w:bookmarkStart w:id="1180" w:name="_Toc528756837"/>
      <w:bookmarkStart w:id="1181" w:name="_Toc528759540"/>
      <w:bookmarkStart w:id="1182" w:name="_Toc528853367"/>
      <w:bookmarkStart w:id="1183" w:name="_Toc528854297"/>
      <w:bookmarkStart w:id="1184" w:name="_Toc528854590"/>
      <w:bookmarkStart w:id="1185" w:name="_Toc529439236"/>
      <w:bookmarkStart w:id="1186" w:name="_Toc529456750"/>
      <w:bookmarkStart w:id="1187" w:name="_Toc529518515"/>
      <w:bookmarkStart w:id="1188" w:name="_Toc529523965"/>
      <w:bookmarkStart w:id="1189" w:name="_Toc529536638"/>
      <w:bookmarkStart w:id="1190" w:name="_Toc529776645"/>
      <w:bookmarkStart w:id="1191" w:name="_Toc532908863"/>
      <w:bookmarkStart w:id="1192" w:name="_Toc533068417"/>
      <w:bookmarkStart w:id="1193" w:name="_Toc533074611"/>
      <w:bookmarkStart w:id="1194" w:name="_Toc535483710"/>
      <w:bookmarkStart w:id="1195" w:name="_Toc536533494"/>
      <w:bookmarkStart w:id="1196" w:name="_Toc3894362"/>
      <w:bookmarkStart w:id="1197" w:name="_Toc3897526"/>
      <w:bookmarkStart w:id="1198" w:name="_Toc3973438"/>
      <w:bookmarkStart w:id="1199" w:name="_Toc3985330"/>
      <w:bookmarkStart w:id="1200" w:name="_Toc25741790"/>
      <w:bookmarkStart w:id="1201" w:name="_Toc25747222"/>
      <w:bookmarkStart w:id="1202" w:name="_Toc25748965"/>
      <w:bookmarkStart w:id="1203" w:name="_Toc25749097"/>
      <w:bookmarkStart w:id="1204" w:name="_Toc26951202"/>
      <w:bookmarkStart w:id="1205" w:name="_Toc26951306"/>
      <w:bookmarkStart w:id="1206" w:name="_Toc105754889"/>
      <w:r w:rsidRPr="00817AA2">
        <w:t>Category Four</w:t>
      </w:r>
      <w:bookmarkEnd w:id="1148"/>
      <w:bookmarkEnd w:id="1149"/>
      <w:bookmarkEnd w:id="1150"/>
      <w:r w:rsidRPr="00817AA2">
        <w:t xml:space="preserve"> </w:t>
      </w:r>
      <w:r w:rsidR="00BA560C">
        <w:t>exposures</w:t>
      </w:r>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p>
    <w:p w14:paraId="00DCBEB4" w14:textId="2B773335" w:rsidR="00337E00" w:rsidRPr="00337E00" w:rsidRDefault="00337E00" w:rsidP="00FB54DC">
      <w:pPr>
        <w:pStyle w:val="BodyText1"/>
        <w:keepNext/>
      </w:pPr>
      <w:r w:rsidRPr="00337E00">
        <w:t xml:space="preserve">This category applies to overdrawn savings accounts and overdrawn limits on </w:t>
      </w:r>
      <w:r w:rsidR="00270A15">
        <w:t xml:space="preserve">revolving exposures such as </w:t>
      </w:r>
      <w:r w:rsidRPr="00337E00">
        <w:t xml:space="preserve">credit cards, overdrafts and line of credit advances. The minimum provision on these items </w:t>
      </w:r>
      <w:r w:rsidR="00E00A1F">
        <w:t>is a</w:t>
      </w:r>
      <w:r w:rsidRPr="00337E00">
        <w:t xml:space="preserve"> percentage of the balance outstanding, where the percentage depends on the period of irregularity, as shown below. In calculating the minimum provision for each item, except for overdrawn savings accounts, the full amount of the credit drawn </w:t>
      </w:r>
      <w:r w:rsidR="00BE34C6">
        <w:t>must</w:t>
      </w:r>
      <w:r w:rsidRPr="00337E00">
        <w:t xml:space="preserve"> be included in the balance outstanding. For overdrawn savings accounts, the provision is only applied to the overdrawn amount.</w:t>
      </w:r>
      <w:r w:rsidR="009707C3">
        <w:t xml:space="preserve"> Refer to Table </w:t>
      </w:r>
      <w:r w:rsidR="00D7634B">
        <w:t>3</w:t>
      </w:r>
      <w:r w:rsidR="009707C3">
        <w:t>.</w:t>
      </w:r>
    </w:p>
    <w:p w14:paraId="7BFE8E8C" w14:textId="37362BD7" w:rsidR="00391136" w:rsidRPr="00AB0B8D" w:rsidRDefault="00391136" w:rsidP="00FB54DC">
      <w:pPr>
        <w:pStyle w:val="BodyText1"/>
        <w:keepNext/>
        <w:numPr>
          <w:ilvl w:val="0"/>
          <w:numId w:val="0"/>
        </w:numPr>
        <w:rPr>
          <w:b/>
        </w:rPr>
      </w:pPr>
      <w:r w:rsidRPr="00AB0B8D">
        <w:rPr>
          <w:b/>
        </w:rPr>
        <w:t xml:space="preserve">Table </w:t>
      </w:r>
      <w:r w:rsidR="00D7634B">
        <w:rPr>
          <w:b/>
        </w:rPr>
        <w:t>3</w:t>
      </w:r>
      <w:r w:rsidR="001A6889">
        <w:rPr>
          <w:b/>
        </w:rPr>
        <w:t>:</w:t>
      </w:r>
      <w:r w:rsidRPr="00AB0B8D">
        <w:rPr>
          <w:b/>
        </w:rPr>
        <w:t xml:space="preserve"> Category Four exposures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09"/>
        <w:gridCol w:w="3262"/>
      </w:tblGrid>
      <w:tr w:rsidR="00337E00" w:rsidRPr="00337E00" w14:paraId="1EB40749" w14:textId="77777777" w:rsidTr="00D9188D">
        <w:tc>
          <w:tcPr>
            <w:tcW w:w="4109" w:type="dxa"/>
          </w:tcPr>
          <w:p w14:paraId="44AB1554" w14:textId="77777777" w:rsidR="00337E00" w:rsidRPr="00337E00" w:rsidRDefault="00337E00" w:rsidP="00FB54DC">
            <w:pPr>
              <w:pStyle w:val="BodyText"/>
              <w:keepNext/>
              <w:ind w:left="720" w:hanging="360"/>
              <w:rPr>
                <w:rFonts w:asciiTheme="minorHAnsi" w:hAnsiTheme="minorHAnsi" w:cstheme="minorHAnsi"/>
                <w:b/>
                <w:sz w:val="22"/>
                <w:szCs w:val="22"/>
              </w:rPr>
            </w:pPr>
            <w:r w:rsidRPr="00337E00">
              <w:rPr>
                <w:rFonts w:asciiTheme="minorHAnsi" w:hAnsiTheme="minorHAnsi" w:cstheme="minorHAnsi"/>
                <w:b/>
                <w:sz w:val="22"/>
                <w:szCs w:val="22"/>
              </w:rPr>
              <w:t>Period of Irregularity</w:t>
            </w:r>
          </w:p>
        </w:tc>
        <w:tc>
          <w:tcPr>
            <w:tcW w:w="3262" w:type="dxa"/>
          </w:tcPr>
          <w:p w14:paraId="725E1762" w14:textId="77777777" w:rsidR="00337E00" w:rsidRPr="00337E00" w:rsidRDefault="00337E00" w:rsidP="00FB54DC">
            <w:pPr>
              <w:pStyle w:val="BodyText"/>
              <w:keepNext/>
              <w:ind w:left="720" w:hanging="360"/>
              <w:rPr>
                <w:rFonts w:asciiTheme="minorHAnsi" w:hAnsiTheme="minorHAnsi" w:cstheme="minorHAnsi"/>
                <w:b/>
                <w:sz w:val="22"/>
                <w:szCs w:val="22"/>
              </w:rPr>
            </w:pPr>
            <w:r w:rsidRPr="00337E00">
              <w:rPr>
                <w:rFonts w:asciiTheme="minorHAnsi" w:hAnsiTheme="minorHAnsi" w:cstheme="minorHAnsi"/>
                <w:b/>
                <w:sz w:val="22"/>
                <w:szCs w:val="22"/>
              </w:rPr>
              <w:t>Amount of Provision (%)</w:t>
            </w:r>
          </w:p>
        </w:tc>
      </w:tr>
      <w:tr w:rsidR="00337E00" w:rsidRPr="00337E00" w14:paraId="0CE9A83F" w14:textId="77777777" w:rsidTr="00D9188D">
        <w:tc>
          <w:tcPr>
            <w:tcW w:w="4109" w:type="dxa"/>
          </w:tcPr>
          <w:p w14:paraId="7B883895" w14:textId="77777777" w:rsidR="00337E00" w:rsidRPr="00337E00" w:rsidRDefault="00337E00" w:rsidP="00FB54DC">
            <w:pPr>
              <w:pStyle w:val="BodyText"/>
              <w:keepNext/>
              <w:ind w:left="720" w:hanging="360"/>
              <w:rPr>
                <w:rFonts w:asciiTheme="minorHAnsi" w:hAnsiTheme="minorHAnsi" w:cstheme="minorHAnsi"/>
                <w:sz w:val="22"/>
                <w:szCs w:val="22"/>
              </w:rPr>
            </w:pPr>
            <w:r w:rsidRPr="00337E00">
              <w:rPr>
                <w:rFonts w:asciiTheme="minorHAnsi" w:hAnsiTheme="minorHAnsi" w:cstheme="minorHAnsi"/>
                <w:sz w:val="22"/>
                <w:szCs w:val="22"/>
              </w:rPr>
              <w:t>Up to 14 days</w:t>
            </w:r>
          </w:p>
        </w:tc>
        <w:tc>
          <w:tcPr>
            <w:tcW w:w="3262" w:type="dxa"/>
          </w:tcPr>
          <w:p w14:paraId="33EFADC2" w14:textId="77777777" w:rsidR="00337E00" w:rsidRPr="00337E00" w:rsidRDefault="00337E00" w:rsidP="009F2D61">
            <w:pPr>
              <w:pStyle w:val="BodyText"/>
              <w:keepNext/>
              <w:ind w:left="720" w:hanging="720"/>
              <w:jc w:val="center"/>
              <w:rPr>
                <w:rFonts w:asciiTheme="minorHAnsi" w:hAnsiTheme="minorHAnsi" w:cstheme="minorHAnsi"/>
                <w:sz w:val="22"/>
                <w:szCs w:val="22"/>
              </w:rPr>
            </w:pPr>
            <w:r w:rsidRPr="00337E00">
              <w:rPr>
                <w:rFonts w:asciiTheme="minorHAnsi" w:hAnsiTheme="minorHAnsi" w:cstheme="minorHAnsi"/>
                <w:sz w:val="22"/>
                <w:szCs w:val="22"/>
              </w:rPr>
              <w:t>0</w:t>
            </w:r>
          </w:p>
        </w:tc>
      </w:tr>
      <w:tr w:rsidR="00337E00" w:rsidRPr="00337E00" w14:paraId="26FECF96" w14:textId="77777777" w:rsidTr="00D9188D">
        <w:tc>
          <w:tcPr>
            <w:tcW w:w="4109" w:type="dxa"/>
          </w:tcPr>
          <w:p w14:paraId="7AE83846" w14:textId="5972D34C" w:rsidR="00337E00" w:rsidRPr="00337E00" w:rsidRDefault="00AE6525" w:rsidP="00AE6525">
            <w:pPr>
              <w:pStyle w:val="BodyText"/>
              <w:ind w:left="714" w:hanging="357"/>
              <w:jc w:val="both"/>
              <w:rPr>
                <w:rFonts w:asciiTheme="minorHAnsi" w:hAnsiTheme="minorHAnsi" w:cstheme="minorHAnsi"/>
                <w:sz w:val="22"/>
                <w:szCs w:val="22"/>
              </w:rPr>
            </w:pPr>
            <w:r>
              <w:rPr>
                <w:rFonts w:asciiTheme="minorHAnsi" w:hAnsiTheme="minorHAnsi" w:cstheme="minorHAnsi"/>
                <w:sz w:val="22"/>
                <w:szCs w:val="22"/>
              </w:rPr>
              <w:t xml:space="preserve">14 days </w:t>
            </w:r>
            <w:r w:rsidR="00337E00" w:rsidRPr="00337E00">
              <w:rPr>
                <w:rFonts w:asciiTheme="minorHAnsi" w:hAnsiTheme="minorHAnsi" w:cstheme="minorHAnsi"/>
                <w:sz w:val="22"/>
                <w:szCs w:val="22"/>
              </w:rPr>
              <w:t>and less than 90 days</w:t>
            </w:r>
          </w:p>
        </w:tc>
        <w:tc>
          <w:tcPr>
            <w:tcW w:w="3262" w:type="dxa"/>
          </w:tcPr>
          <w:p w14:paraId="39C3C8E5" w14:textId="77777777" w:rsidR="00337E00" w:rsidRPr="00337E00" w:rsidRDefault="00337E00" w:rsidP="009F2D61">
            <w:pPr>
              <w:pStyle w:val="BodyText"/>
              <w:ind w:left="720" w:hanging="720"/>
              <w:jc w:val="center"/>
              <w:rPr>
                <w:rFonts w:asciiTheme="minorHAnsi" w:hAnsiTheme="minorHAnsi" w:cstheme="minorHAnsi"/>
                <w:sz w:val="22"/>
                <w:szCs w:val="22"/>
              </w:rPr>
            </w:pPr>
            <w:r w:rsidRPr="00337E00">
              <w:rPr>
                <w:rFonts w:asciiTheme="minorHAnsi" w:hAnsiTheme="minorHAnsi" w:cstheme="minorHAnsi"/>
                <w:sz w:val="22"/>
                <w:szCs w:val="22"/>
              </w:rPr>
              <w:t>40</w:t>
            </w:r>
          </w:p>
        </w:tc>
      </w:tr>
      <w:tr w:rsidR="00337E00" w:rsidRPr="00337E00" w14:paraId="65E7316D" w14:textId="77777777" w:rsidTr="00D9188D">
        <w:tc>
          <w:tcPr>
            <w:tcW w:w="4109" w:type="dxa"/>
          </w:tcPr>
          <w:p w14:paraId="186E7188" w14:textId="77777777" w:rsidR="00337E00" w:rsidRPr="00337E00" w:rsidRDefault="00337E00" w:rsidP="00D9188D">
            <w:pPr>
              <w:pStyle w:val="BodyText"/>
              <w:ind w:left="720" w:hanging="360"/>
              <w:rPr>
                <w:rFonts w:asciiTheme="minorHAnsi" w:hAnsiTheme="minorHAnsi" w:cstheme="minorHAnsi"/>
                <w:sz w:val="22"/>
                <w:szCs w:val="22"/>
              </w:rPr>
            </w:pPr>
            <w:r w:rsidRPr="00337E00">
              <w:rPr>
                <w:rFonts w:asciiTheme="minorHAnsi" w:hAnsiTheme="minorHAnsi" w:cstheme="minorHAnsi"/>
                <w:sz w:val="22"/>
                <w:szCs w:val="22"/>
              </w:rPr>
              <w:t>90 days and less than 182 days</w:t>
            </w:r>
          </w:p>
        </w:tc>
        <w:tc>
          <w:tcPr>
            <w:tcW w:w="3262" w:type="dxa"/>
          </w:tcPr>
          <w:p w14:paraId="60061F2F" w14:textId="77777777" w:rsidR="00337E00" w:rsidRPr="00337E00" w:rsidRDefault="00337E00" w:rsidP="009F2D61">
            <w:pPr>
              <w:pStyle w:val="BodyText"/>
              <w:ind w:left="720" w:hanging="720"/>
              <w:jc w:val="center"/>
              <w:rPr>
                <w:rFonts w:asciiTheme="minorHAnsi" w:hAnsiTheme="minorHAnsi" w:cstheme="minorHAnsi"/>
                <w:sz w:val="22"/>
                <w:szCs w:val="22"/>
              </w:rPr>
            </w:pPr>
            <w:r w:rsidRPr="00337E00">
              <w:rPr>
                <w:rFonts w:asciiTheme="minorHAnsi" w:hAnsiTheme="minorHAnsi" w:cstheme="minorHAnsi"/>
                <w:sz w:val="22"/>
                <w:szCs w:val="22"/>
              </w:rPr>
              <w:t>75</w:t>
            </w:r>
          </w:p>
        </w:tc>
      </w:tr>
      <w:tr w:rsidR="00337E00" w:rsidRPr="00337E00" w14:paraId="6B999CEB" w14:textId="77777777" w:rsidTr="00D9188D">
        <w:tc>
          <w:tcPr>
            <w:tcW w:w="4109" w:type="dxa"/>
          </w:tcPr>
          <w:p w14:paraId="71601D41" w14:textId="77777777" w:rsidR="00337E00" w:rsidRPr="00337E00" w:rsidRDefault="00337E00" w:rsidP="00D9188D">
            <w:pPr>
              <w:pStyle w:val="BodyText"/>
              <w:ind w:left="720" w:hanging="360"/>
              <w:rPr>
                <w:rFonts w:asciiTheme="minorHAnsi" w:hAnsiTheme="minorHAnsi" w:cstheme="minorHAnsi"/>
                <w:sz w:val="22"/>
                <w:szCs w:val="22"/>
              </w:rPr>
            </w:pPr>
            <w:r w:rsidRPr="00337E00">
              <w:rPr>
                <w:rFonts w:asciiTheme="minorHAnsi" w:hAnsiTheme="minorHAnsi" w:cstheme="minorHAnsi"/>
                <w:sz w:val="22"/>
                <w:szCs w:val="22"/>
              </w:rPr>
              <w:t>182 days and over</w:t>
            </w:r>
          </w:p>
        </w:tc>
        <w:tc>
          <w:tcPr>
            <w:tcW w:w="3262" w:type="dxa"/>
          </w:tcPr>
          <w:p w14:paraId="0F4F2DB8" w14:textId="77777777" w:rsidR="00337E00" w:rsidRPr="00337E00" w:rsidRDefault="00337E00" w:rsidP="009F2D61">
            <w:pPr>
              <w:pStyle w:val="BodyText"/>
              <w:ind w:left="720" w:hanging="720"/>
              <w:jc w:val="center"/>
              <w:rPr>
                <w:rFonts w:asciiTheme="minorHAnsi" w:hAnsiTheme="minorHAnsi" w:cstheme="minorHAnsi"/>
                <w:sz w:val="22"/>
                <w:szCs w:val="22"/>
              </w:rPr>
            </w:pPr>
            <w:r w:rsidRPr="00337E00">
              <w:rPr>
                <w:rFonts w:asciiTheme="minorHAnsi" w:hAnsiTheme="minorHAnsi" w:cstheme="minorHAnsi"/>
                <w:sz w:val="22"/>
                <w:szCs w:val="22"/>
              </w:rPr>
              <w:t>100</w:t>
            </w:r>
          </w:p>
        </w:tc>
      </w:tr>
    </w:tbl>
    <w:p w14:paraId="7F25E299" w14:textId="77777777" w:rsidR="00337E00" w:rsidRDefault="00337E00" w:rsidP="00270A15"/>
    <w:p w14:paraId="528A2799" w14:textId="3587A441" w:rsidR="00ED5B8B" w:rsidRPr="00BE57FC" w:rsidRDefault="00ED5B8B" w:rsidP="00BE34C6">
      <w:pPr>
        <w:pStyle w:val="Heading3"/>
      </w:pPr>
      <w:bookmarkStart w:id="1207" w:name="_Toc522179757"/>
      <w:bookmarkStart w:id="1208" w:name="_Toc522267497"/>
      <w:bookmarkStart w:id="1209" w:name="_Toc522268318"/>
      <w:bookmarkStart w:id="1210" w:name="_Toc522271531"/>
      <w:bookmarkStart w:id="1211" w:name="_Toc524615227"/>
      <w:bookmarkStart w:id="1212" w:name="_Toc524686128"/>
      <w:bookmarkStart w:id="1213" w:name="_Toc524700179"/>
      <w:bookmarkStart w:id="1214" w:name="_Toc525032651"/>
      <w:bookmarkStart w:id="1215" w:name="_Toc525224979"/>
      <w:bookmarkStart w:id="1216" w:name="_Toc525293408"/>
      <w:bookmarkStart w:id="1217" w:name="_Toc525553695"/>
      <w:bookmarkStart w:id="1218" w:name="_Toc525564943"/>
      <w:bookmarkStart w:id="1219" w:name="_Toc525716615"/>
      <w:bookmarkStart w:id="1220" w:name="_Toc526242510"/>
      <w:bookmarkStart w:id="1221" w:name="_Toc526249248"/>
      <w:bookmarkStart w:id="1222" w:name="_Toc526343667"/>
      <w:bookmarkStart w:id="1223" w:name="_Toc526502207"/>
      <w:bookmarkStart w:id="1224" w:name="_Toc526506276"/>
      <w:bookmarkStart w:id="1225" w:name="_Toc527023839"/>
      <w:bookmarkStart w:id="1226" w:name="_Toc527025657"/>
      <w:bookmarkStart w:id="1227" w:name="_Toc527029609"/>
      <w:bookmarkStart w:id="1228" w:name="_Toc527033991"/>
      <w:bookmarkStart w:id="1229" w:name="_Toc527040492"/>
      <w:bookmarkStart w:id="1230" w:name="_Toc527109074"/>
      <w:bookmarkStart w:id="1231" w:name="_Toc527382503"/>
      <w:bookmarkStart w:id="1232" w:name="_Toc527384522"/>
      <w:bookmarkStart w:id="1233" w:name="_Toc527466163"/>
      <w:bookmarkStart w:id="1234" w:name="_Toc527466384"/>
      <w:bookmarkStart w:id="1235" w:name="_Toc527467255"/>
      <w:bookmarkStart w:id="1236" w:name="_Toc528756620"/>
      <w:bookmarkStart w:id="1237" w:name="_Toc528756838"/>
      <w:bookmarkStart w:id="1238" w:name="_Toc528759541"/>
      <w:bookmarkStart w:id="1239" w:name="_Toc528853368"/>
      <w:bookmarkStart w:id="1240" w:name="_Toc528854298"/>
      <w:bookmarkStart w:id="1241" w:name="_Toc528854591"/>
      <w:bookmarkStart w:id="1242" w:name="_Toc529439237"/>
      <w:bookmarkStart w:id="1243" w:name="_Toc529456751"/>
      <w:bookmarkStart w:id="1244" w:name="_Toc529518516"/>
      <w:bookmarkStart w:id="1245" w:name="_Toc529523966"/>
      <w:bookmarkStart w:id="1246" w:name="_Toc529536639"/>
      <w:bookmarkStart w:id="1247" w:name="_Toc529776646"/>
      <w:bookmarkStart w:id="1248" w:name="_Toc532908864"/>
      <w:bookmarkStart w:id="1249" w:name="_Toc533068418"/>
      <w:bookmarkStart w:id="1250" w:name="_Toc533074612"/>
      <w:bookmarkStart w:id="1251" w:name="_Toc535483711"/>
      <w:bookmarkStart w:id="1252" w:name="_Toc536533495"/>
      <w:bookmarkStart w:id="1253" w:name="_Toc3894363"/>
      <w:bookmarkStart w:id="1254" w:name="_Toc3897527"/>
      <w:bookmarkStart w:id="1255" w:name="_Toc3973439"/>
      <w:bookmarkStart w:id="1256" w:name="_Toc3985331"/>
      <w:bookmarkStart w:id="1257" w:name="_Toc25741791"/>
      <w:bookmarkStart w:id="1258" w:name="_Toc25747223"/>
      <w:bookmarkStart w:id="1259" w:name="_Toc25748966"/>
      <w:bookmarkStart w:id="1260" w:name="_Toc25749098"/>
      <w:bookmarkStart w:id="1261" w:name="_Toc26951203"/>
      <w:bookmarkStart w:id="1262" w:name="_Toc26951307"/>
      <w:bookmarkStart w:id="1263" w:name="_Toc105754890"/>
      <w:r w:rsidRPr="00BE57FC">
        <w:t>Well</w:t>
      </w:r>
      <w:r w:rsidR="00BE34C6">
        <w:t>-</w:t>
      </w:r>
      <w:r w:rsidRPr="00BE57FC">
        <w:t>secured</w:t>
      </w:r>
      <w:bookmarkEnd w:id="1207"/>
      <w:bookmarkEnd w:id="1208"/>
      <w:bookmarkEnd w:id="1209"/>
      <w:r w:rsidR="00BA560C" w:rsidRPr="00BE57FC">
        <w:t xml:space="preserve"> exposures</w:t>
      </w:r>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p>
    <w:p w14:paraId="7B3ABD84" w14:textId="09A50FBE" w:rsidR="00793EBE" w:rsidRDefault="00ED5B8B" w:rsidP="00BE57FC">
      <w:pPr>
        <w:pStyle w:val="BodyText1"/>
      </w:pPr>
      <w:bookmarkStart w:id="1264" w:name="_Ref529524852"/>
      <w:r w:rsidRPr="00ED5B8B">
        <w:t>A well</w:t>
      </w:r>
      <w:r w:rsidR="00BE34C6">
        <w:t>-</w:t>
      </w:r>
      <w:r w:rsidRPr="00ED5B8B">
        <w:t xml:space="preserve">secured </w:t>
      </w:r>
      <w:r>
        <w:t>exposure</w:t>
      </w:r>
      <w:r w:rsidRPr="00ED5B8B">
        <w:t xml:space="preserve"> is, for the purposes of this </w:t>
      </w:r>
      <w:r>
        <w:t>Attachment</w:t>
      </w:r>
      <w:r w:rsidRPr="00ED5B8B">
        <w:t>, defined as one where an ADI judges that:</w:t>
      </w:r>
      <w:bookmarkEnd w:id="1264"/>
      <w:r w:rsidRPr="00ED5B8B">
        <w:t xml:space="preserve"> </w:t>
      </w:r>
    </w:p>
    <w:p w14:paraId="054112AE" w14:textId="2D6A79D2" w:rsidR="00793EBE" w:rsidRDefault="00ED5B8B" w:rsidP="00D43985">
      <w:pPr>
        <w:pStyle w:val="BodyText2"/>
        <w:ind w:left="1134"/>
        <w:jc w:val="both"/>
      </w:pPr>
      <w:r w:rsidRPr="00793EBE">
        <w:t>the value of collateral</w:t>
      </w:r>
      <w:r w:rsidR="00074BD6">
        <w:t>,</w:t>
      </w:r>
      <w:r w:rsidRPr="00793EBE">
        <w:t xml:space="preserve"> including the fair value of associated security is sufficient to ensure that the ADI will recover the outstanding principal</w:t>
      </w:r>
      <w:r w:rsidR="00074BD6">
        <w:t>,</w:t>
      </w:r>
      <w:r w:rsidRPr="00793EBE">
        <w:t xml:space="preserve"> </w:t>
      </w:r>
      <w:r w:rsidR="006376D0">
        <w:t xml:space="preserve">including </w:t>
      </w:r>
      <w:r w:rsidR="006376D0" w:rsidRPr="006376D0">
        <w:t>any previously due but unpaid interest</w:t>
      </w:r>
      <w:r w:rsidR="00D8669F">
        <w:t xml:space="preserve"> or</w:t>
      </w:r>
      <w:r w:rsidR="006376D0" w:rsidRPr="006376D0">
        <w:t xml:space="preserve"> fees</w:t>
      </w:r>
      <w:r w:rsidR="00074BD6">
        <w:t>,</w:t>
      </w:r>
      <w:r w:rsidR="006376D0">
        <w:t xml:space="preserve"> a</w:t>
      </w:r>
      <w:r w:rsidRPr="00793EBE">
        <w:t xml:space="preserve">nd other previously unpaid amounts, and any estimated shortfall in all remaining cash flows due over the life of the </w:t>
      </w:r>
      <w:r w:rsidR="00793EBE" w:rsidRPr="00793EBE">
        <w:t>exposure</w:t>
      </w:r>
      <w:r w:rsidRPr="00793EBE">
        <w:t>. This includes any amounts arising over the period until collateral is obtained and settled. Collateral includes any arrangement that protects the ADI from losing, partially or fully, the principal, interest or other amounts due on a</w:t>
      </w:r>
      <w:r w:rsidR="00793EBE" w:rsidRPr="00793EBE">
        <w:t>n exposure</w:t>
      </w:r>
      <w:r w:rsidRPr="00793EBE">
        <w:t xml:space="preserve">. This </w:t>
      </w:r>
      <w:r w:rsidR="00793EBE" w:rsidRPr="00793EBE">
        <w:t xml:space="preserve">will </w:t>
      </w:r>
      <w:r w:rsidRPr="00793EBE">
        <w:t xml:space="preserve">include secured interests in assets, </w:t>
      </w:r>
      <w:r w:rsidR="00830BA4">
        <w:t xml:space="preserve">lenders </w:t>
      </w:r>
      <w:r w:rsidRPr="00793EBE">
        <w:t xml:space="preserve">mortgage insurance, cash collateral, guarantees, put options and interest servicing arrangements. An ADI must be able to demonstrate to APRA, if required, that any value ascribed to collateral is reliable in a recovery situation; and </w:t>
      </w:r>
    </w:p>
    <w:p w14:paraId="72125D9C" w14:textId="19B2C9C0" w:rsidR="00ED5B8B" w:rsidRDefault="00ED5B8B" w:rsidP="00D43985">
      <w:pPr>
        <w:pStyle w:val="BodyText2"/>
        <w:ind w:left="1134"/>
        <w:jc w:val="both"/>
      </w:pPr>
      <w:r w:rsidRPr="00793EBE">
        <w:t>there is reasonable assurance that collection efforts will result in payment of amounts due in a timely manner</w:t>
      </w:r>
      <w:r w:rsidR="00074BD6">
        <w:t>,</w:t>
      </w:r>
      <w:r w:rsidRPr="00793EBE">
        <w:t xml:space="preserve"> including full compensation for overdue payments. </w:t>
      </w:r>
    </w:p>
    <w:p w14:paraId="4E59F5A3" w14:textId="530BB8BE" w:rsidR="00FB54DC" w:rsidRDefault="00FB54DC" w:rsidP="00FB54DC">
      <w:pPr>
        <w:pStyle w:val="BodyText1"/>
      </w:pPr>
      <w:bookmarkStart w:id="1265" w:name="_Ref529524868"/>
      <w:r w:rsidRPr="00FB54DC">
        <w:t>In determining whether the coverage provided by collateral will enable an ADI to recoup all cash flows due over the life of the exposure</w:t>
      </w:r>
      <w:r w:rsidR="00074BD6">
        <w:t>,</w:t>
      </w:r>
      <w:r w:rsidRPr="00FB54DC">
        <w:t xml:space="preserve"> including any outstanding payments due but not yet received, the ADI must take account of any costs</w:t>
      </w:r>
      <w:r w:rsidR="00074BD6">
        <w:t>,</w:t>
      </w:r>
      <w:r w:rsidRPr="00FB54DC">
        <w:t xml:space="preserve"> for example, selling costs</w:t>
      </w:r>
      <w:r w:rsidR="00074BD6">
        <w:t>,</w:t>
      </w:r>
      <w:r w:rsidRPr="00FB54DC">
        <w:t xml:space="preserve"> involved in taking possession of and realising the value of collateral.</w:t>
      </w:r>
      <w:bookmarkEnd w:id="1265"/>
    </w:p>
    <w:p w14:paraId="5B13F54B" w14:textId="7A4CA468" w:rsidR="009750A5" w:rsidRPr="009750A5" w:rsidRDefault="009750A5" w:rsidP="00D8669F">
      <w:pPr>
        <w:pStyle w:val="Heading3"/>
      </w:pPr>
      <w:bookmarkStart w:id="1266" w:name="_Toc524615228"/>
      <w:bookmarkStart w:id="1267" w:name="_Toc524686129"/>
      <w:bookmarkStart w:id="1268" w:name="_Toc524700180"/>
      <w:bookmarkStart w:id="1269" w:name="_Toc525032652"/>
      <w:bookmarkStart w:id="1270" w:name="_Toc525224980"/>
      <w:bookmarkStart w:id="1271" w:name="_Toc525293409"/>
      <w:bookmarkStart w:id="1272" w:name="_Toc525553696"/>
      <w:bookmarkStart w:id="1273" w:name="_Toc525564944"/>
      <w:bookmarkStart w:id="1274" w:name="_Toc525716616"/>
      <w:bookmarkStart w:id="1275" w:name="_Toc526242511"/>
      <w:bookmarkStart w:id="1276" w:name="_Toc526249249"/>
      <w:bookmarkStart w:id="1277" w:name="_Toc526343668"/>
      <w:bookmarkStart w:id="1278" w:name="_Toc526502208"/>
      <w:bookmarkStart w:id="1279" w:name="_Toc526506277"/>
      <w:bookmarkStart w:id="1280" w:name="_Toc527023840"/>
      <w:bookmarkStart w:id="1281" w:name="_Toc527025658"/>
      <w:bookmarkStart w:id="1282" w:name="_Toc527029610"/>
      <w:bookmarkStart w:id="1283" w:name="_Toc527033992"/>
      <w:bookmarkStart w:id="1284" w:name="_Toc527040493"/>
      <w:bookmarkStart w:id="1285" w:name="_Toc527109075"/>
      <w:bookmarkStart w:id="1286" w:name="_Toc527382504"/>
      <w:bookmarkStart w:id="1287" w:name="_Toc527384523"/>
      <w:bookmarkStart w:id="1288" w:name="_Toc527466164"/>
      <w:bookmarkStart w:id="1289" w:name="_Toc527466385"/>
      <w:bookmarkStart w:id="1290" w:name="_Toc527467256"/>
      <w:bookmarkStart w:id="1291" w:name="_Toc528756621"/>
      <w:bookmarkStart w:id="1292" w:name="_Toc528756839"/>
      <w:bookmarkStart w:id="1293" w:name="_Toc528759542"/>
      <w:bookmarkStart w:id="1294" w:name="_Toc528853369"/>
      <w:bookmarkStart w:id="1295" w:name="_Toc528854299"/>
      <w:bookmarkStart w:id="1296" w:name="_Toc528854592"/>
      <w:bookmarkStart w:id="1297" w:name="_Toc529439238"/>
      <w:bookmarkStart w:id="1298" w:name="_Toc529456752"/>
      <w:bookmarkStart w:id="1299" w:name="_Toc529518517"/>
      <w:bookmarkStart w:id="1300" w:name="_Toc529523967"/>
      <w:bookmarkStart w:id="1301" w:name="_Toc529536640"/>
      <w:bookmarkStart w:id="1302" w:name="_Toc529776647"/>
      <w:bookmarkStart w:id="1303" w:name="_Toc532908865"/>
      <w:bookmarkStart w:id="1304" w:name="_Toc533068419"/>
      <w:bookmarkStart w:id="1305" w:name="_Toc533074613"/>
      <w:bookmarkStart w:id="1306" w:name="_Toc535483712"/>
      <w:bookmarkStart w:id="1307" w:name="_Toc536533496"/>
      <w:bookmarkStart w:id="1308" w:name="_Toc3894364"/>
      <w:bookmarkStart w:id="1309" w:name="_Toc3897528"/>
      <w:bookmarkStart w:id="1310" w:name="_Toc3973440"/>
      <w:bookmarkStart w:id="1311" w:name="_Toc3985332"/>
      <w:bookmarkStart w:id="1312" w:name="_Toc25741792"/>
      <w:bookmarkStart w:id="1313" w:name="_Toc25747224"/>
      <w:bookmarkStart w:id="1314" w:name="_Toc25748967"/>
      <w:bookmarkStart w:id="1315" w:name="_Toc25749099"/>
      <w:bookmarkStart w:id="1316" w:name="_Toc26951204"/>
      <w:bookmarkStart w:id="1317" w:name="_Toc26951308"/>
      <w:bookmarkStart w:id="1318" w:name="_Toc105754891"/>
      <w:r w:rsidRPr="009750A5">
        <w:t xml:space="preserve">Restructured </w:t>
      </w:r>
      <w:r w:rsidR="00D03AF6">
        <w:t>exposures</w:t>
      </w:r>
      <w:r w:rsidRPr="009750A5">
        <w:t>, assets acquired through security enforcement and other real estate owned</w:t>
      </w:r>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p>
    <w:p w14:paraId="33B22DDB" w14:textId="31F6D900" w:rsidR="009750A5" w:rsidRPr="00D03AF6" w:rsidRDefault="00D03AF6" w:rsidP="00BE57FC">
      <w:pPr>
        <w:pStyle w:val="BodyText1"/>
        <w:rPr>
          <w:color w:val="000000"/>
        </w:rPr>
      </w:pPr>
      <w:r>
        <w:t>P</w:t>
      </w:r>
      <w:r w:rsidR="009750A5" w:rsidRPr="00D03AF6">
        <w:t xml:space="preserve">rescribed provisioning does not apply to </w:t>
      </w:r>
      <w:r w:rsidR="00082FB7">
        <w:t>r</w:t>
      </w:r>
      <w:r w:rsidR="009750A5" w:rsidRPr="00D03AF6">
        <w:t>estructured exposures, assets acquired through security enforcement and other real estate owned which meet the requirements for items to qualify as</w:t>
      </w:r>
      <w:r w:rsidR="00242818">
        <w:t xml:space="preserve"> </w:t>
      </w:r>
      <w:r w:rsidRPr="00D03AF6">
        <w:t>performing</w:t>
      </w:r>
      <w:r w:rsidR="009750A5" w:rsidRPr="00D03AF6">
        <w:t>.</w:t>
      </w:r>
    </w:p>
    <w:p w14:paraId="1EB21799" w14:textId="4BE09209" w:rsidR="00377FC2" w:rsidRDefault="00F546C0" w:rsidP="00F546C0">
      <w:pPr>
        <w:tabs>
          <w:tab w:val="left" w:pos="6588"/>
        </w:tabs>
      </w:pPr>
      <w:r>
        <w:tab/>
      </w:r>
    </w:p>
    <w:p w14:paraId="7C24D4E8" w14:textId="77777777" w:rsidR="00EC4238" w:rsidRDefault="00EC4238">
      <w:pPr>
        <w:sectPr w:rsidR="00EC4238" w:rsidSect="000D63A8">
          <w:footerReference w:type="default" r:id="rId23"/>
          <w:pgSz w:w="11906" w:h="16838" w:code="9"/>
          <w:pgMar w:top="1440" w:right="1797" w:bottom="1440" w:left="1797" w:header="709" w:footer="709" w:gutter="0"/>
          <w:cols w:space="708"/>
          <w:docGrid w:linePitch="360"/>
        </w:sectPr>
      </w:pPr>
    </w:p>
    <w:p w14:paraId="578F752B" w14:textId="6F32625E" w:rsidR="00EC4238" w:rsidRPr="0038413F" w:rsidRDefault="00EC4238" w:rsidP="008F61E9">
      <w:pPr>
        <w:pStyle w:val="Heading2"/>
        <w:jc w:val="both"/>
      </w:pPr>
      <w:bookmarkStart w:id="1322" w:name="_Toc105754892"/>
      <w:r w:rsidRPr="008717F4">
        <w:lastRenderedPageBreak/>
        <w:t xml:space="preserve">Attachment </w:t>
      </w:r>
      <w:r>
        <w:t>C</w:t>
      </w:r>
      <w:r w:rsidRPr="008717F4">
        <w:rPr>
          <w:rStyle w:val="Attachmentfieldtext"/>
        </w:rPr>
        <w:t xml:space="preserve"> – </w:t>
      </w:r>
      <w:r>
        <w:rPr>
          <w:rStyle w:val="Attachmentfieldtext"/>
        </w:rPr>
        <w:t xml:space="preserve">Macroprudential </w:t>
      </w:r>
      <w:r w:rsidR="005D7271">
        <w:rPr>
          <w:rStyle w:val="Attachmentfieldtext"/>
        </w:rPr>
        <w:t>p</w:t>
      </w:r>
      <w:r>
        <w:rPr>
          <w:rStyle w:val="Attachmentfieldtext"/>
        </w:rPr>
        <w:t>olicy: credit measures</w:t>
      </w:r>
      <w:bookmarkEnd w:id="1322"/>
    </w:p>
    <w:p w14:paraId="1010AC58" w14:textId="77777777" w:rsidR="00EC4238" w:rsidRPr="007E63CA" w:rsidRDefault="00EC4238" w:rsidP="00EC4238">
      <w:pPr>
        <w:pStyle w:val="BodyText1"/>
        <w:numPr>
          <w:ilvl w:val="0"/>
          <w:numId w:val="26"/>
        </w:numPr>
      </w:pPr>
      <w:r w:rsidRPr="007E63CA">
        <w:t xml:space="preserve">This Attachment applies to credit exposures in Australia. </w:t>
      </w:r>
      <w:r>
        <w:t xml:space="preserve">Credit exposures in Australia are exposures where </w:t>
      </w:r>
      <w:r w:rsidRPr="007E63CA">
        <w:t>the majority of the collateral</w:t>
      </w:r>
      <w:r>
        <w:t xml:space="preserve"> value</w:t>
      </w:r>
      <w:r w:rsidRPr="007E63CA">
        <w:t xml:space="preserve"> securing the loan is located in Australia</w:t>
      </w:r>
      <w:r>
        <w:t>, or for unsecured loans where the ultimate risk of the exposure is located in Australia</w:t>
      </w:r>
      <w:r w:rsidRPr="007E63CA">
        <w:t>.</w:t>
      </w:r>
    </w:p>
    <w:p w14:paraId="6AB053C1" w14:textId="77777777" w:rsidR="00EC4238" w:rsidRPr="00720DA9" w:rsidRDefault="00EC4238" w:rsidP="00720DA9">
      <w:pPr>
        <w:rPr>
          <w:b/>
        </w:rPr>
      </w:pPr>
      <w:r w:rsidRPr="00720DA9">
        <w:rPr>
          <w:b/>
        </w:rPr>
        <w:t>Definitions</w:t>
      </w:r>
    </w:p>
    <w:p w14:paraId="0989FE44" w14:textId="00DCBA6D" w:rsidR="00EC4238" w:rsidRDefault="00EC4238" w:rsidP="00EC4238">
      <w:pPr>
        <w:pStyle w:val="BodyText1"/>
        <w:numPr>
          <w:ilvl w:val="0"/>
          <w:numId w:val="26"/>
        </w:numPr>
      </w:pPr>
      <w:r w:rsidRPr="009836A7">
        <w:t xml:space="preserve">For the loan types specified in paragraph </w:t>
      </w:r>
      <w:r>
        <w:t>7</w:t>
      </w:r>
      <w:r w:rsidRPr="009836A7">
        <w:t xml:space="preserve"> of this Attachment</w:t>
      </w:r>
      <w:r>
        <w:t xml:space="preserve">, </w:t>
      </w:r>
      <w:r w:rsidRPr="009836A7">
        <w:t xml:space="preserve">definitions are contained in </w:t>
      </w:r>
      <w:r w:rsidRPr="009836A7">
        <w:rPr>
          <w:i/>
        </w:rPr>
        <w:t>Reporting Standard ARS 223.0 Residential Mortgage Lending</w:t>
      </w:r>
      <w:r>
        <w:t xml:space="preserve">. </w:t>
      </w:r>
    </w:p>
    <w:p w14:paraId="0DEC2071" w14:textId="64ED874C" w:rsidR="00EC4238" w:rsidRPr="007E63CA" w:rsidRDefault="00EC4238" w:rsidP="00EC4238">
      <w:pPr>
        <w:pStyle w:val="BodyText1"/>
        <w:numPr>
          <w:ilvl w:val="0"/>
          <w:numId w:val="26"/>
        </w:numPr>
      </w:pPr>
      <w:r w:rsidRPr="009836A7">
        <w:t xml:space="preserve">For the loan types specified in paragraph </w:t>
      </w:r>
      <w:r>
        <w:t>8</w:t>
      </w:r>
      <w:r w:rsidRPr="009836A7">
        <w:t xml:space="preserve"> of this Attachment, definitions are contained in </w:t>
      </w:r>
      <w:r w:rsidRPr="009836A7">
        <w:rPr>
          <w:i/>
        </w:rPr>
        <w:t>Reporting</w:t>
      </w:r>
      <w:r w:rsidRPr="00DE4CF4">
        <w:rPr>
          <w:i/>
        </w:rPr>
        <w:t xml:space="preserve"> Standard ARS 230.0 Commercial Property</w:t>
      </w:r>
      <w:r>
        <w:t>.</w:t>
      </w:r>
    </w:p>
    <w:p w14:paraId="5CB30499" w14:textId="77777777" w:rsidR="00EC4238" w:rsidRPr="00537BAB" w:rsidRDefault="00EC4238" w:rsidP="00EC4238">
      <w:pPr>
        <w:keepNext/>
        <w:rPr>
          <w:b/>
        </w:rPr>
      </w:pPr>
      <w:r w:rsidRPr="00716C4F">
        <w:rPr>
          <w:b/>
        </w:rPr>
        <w:t>Serviceability buffer</w:t>
      </w:r>
    </w:p>
    <w:p w14:paraId="5AC456B2" w14:textId="77777777" w:rsidR="00EC4238" w:rsidRPr="008605D9" w:rsidRDefault="00EC4238" w:rsidP="00EC4238">
      <w:pPr>
        <w:pStyle w:val="BodyText1"/>
        <w:numPr>
          <w:ilvl w:val="0"/>
          <w:numId w:val="26"/>
        </w:numPr>
      </w:pPr>
      <w:bookmarkStart w:id="1323" w:name="_Hlk100438246"/>
      <w:r w:rsidRPr="0011695B">
        <w:t>For residential mortgage lending, an ADI must apply a buffer over a loan’s interest rate to assess the serviceability of a borrower. The serviceability buffer must be applied to</w:t>
      </w:r>
      <w:r w:rsidRPr="00BA65C9">
        <w:t xml:space="preserve"> the interest rate on the loan to be paid by the borrower, ignoring any discounted introductory rates offered for a limited period at origination of the loan.</w:t>
      </w:r>
      <w:r>
        <w:t xml:space="preserve"> </w:t>
      </w:r>
      <w:r w:rsidRPr="0011695B">
        <w:t>The level of the serviceability buffer must be at least 3.0 per cent, unless determined otherwise by APRA. APRA may vary the minimum level of the buffer between 2.0 and 5.0 per cent.</w:t>
      </w:r>
    </w:p>
    <w:p w14:paraId="393EC0D5" w14:textId="77777777" w:rsidR="00EC4238" w:rsidRPr="00716C4F" w:rsidRDefault="00EC4238" w:rsidP="00EC4238">
      <w:pPr>
        <w:pStyle w:val="BodyText1"/>
        <w:numPr>
          <w:ilvl w:val="0"/>
          <w:numId w:val="0"/>
        </w:numPr>
        <w:rPr>
          <w:b/>
        </w:rPr>
      </w:pPr>
      <w:r>
        <w:rPr>
          <w:b/>
        </w:rPr>
        <w:t>Lending limits</w:t>
      </w:r>
    </w:p>
    <w:p w14:paraId="377880DF" w14:textId="0F3D4418" w:rsidR="00EC4238" w:rsidRPr="00716C4F" w:rsidRDefault="00EC4238" w:rsidP="00EC4238">
      <w:pPr>
        <w:pStyle w:val="BodyText1"/>
        <w:numPr>
          <w:ilvl w:val="0"/>
          <w:numId w:val="26"/>
        </w:numPr>
      </w:pPr>
      <w:r w:rsidRPr="00716C4F">
        <w:t>Under paragraph 112 of this Prudential Standard, if APRA considers that there is an excessive level or growth in higher risk lending or credit activity more broadly, APRA may set limits on particular types of lending.</w:t>
      </w:r>
    </w:p>
    <w:p w14:paraId="24F4CE85" w14:textId="77777777" w:rsidR="00EC4238" w:rsidRPr="007E63CA" w:rsidRDefault="00EC4238" w:rsidP="00EC4238">
      <w:pPr>
        <w:pStyle w:val="BodyText1"/>
        <w:numPr>
          <w:ilvl w:val="0"/>
          <w:numId w:val="26"/>
        </w:numPr>
      </w:pPr>
      <w:r w:rsidRPr="007E63CA">
        <w:t xml:space="preserve">In considering whether there is an excessive </w:t>
      </w:r>
      <w:r>
        <w:t>risk being generated</w:t>
      </w:r>
      <w:r w:rsidRPr="007E63CA">
        <w:t xml:space="preserve"> </w:t>
      </w:r>
      <w:r>
        <w:t>at a system level</w:t>
      </w:r>
      <w:r w:rsidRPr="007E63CA">
        <w:t xml:space="preserve">, APRA will have regard to, among other factors, </w:t>
      </w:r>
      <w:r>
        <w:t>trends in credit growth and leverage, growth in asset prices, lending conditions and ADI financial resilience</w:t>
      </w:r>
      <w:r w:rsidRPr="007E63CA">
        <w:t xml:space="preserve">. </w:t>
      </w:r>
    </w:p>
    <w:bookmarkEnd w:id="1323"/>
    <w:p w14:paraId="5EA3802F" w14:textId="77777777" w:rsidR="00EC4238" w:rsidRPr="007E63CA" w:rsidRDefault="00EC4238" w:rsidP="00EC4238">
      <w:pPr>
        <w:pStyle w:val="BodyText1"/>
        <w:numPr>
          <w:ilvl w:val="0"/>
          <w:numId w:val="26"/>
        </w:numPr>
      </w:pPr>
      <w:r>
        <w:t xml:space="preserve">For residential mortgage lending, </w:t>
      </w:r>
      <w:r w:rsidRPr="00BA65C9">
        <w:t xml:space="preserve">an ADI must </w:t>
      </w:r>
      <w:r w:rsidRPr="00802886">
        <w:t xml:space="preserve">ensure that it has the ability to </w:t>
      </w:r>
      <w:r w:rsidRPr="007E63CA">
        <w:t xml:space="preserve">limit </w:t>
      </w:r>
      <w:r>
        <w:t xml:space="preserve">the extent of lending in </w:t>
      </w:r>
      <w:r w:rsidRPr="007E63CA">
        <w:t xml:space="preserve">the following </w:t>
      </w:r>
      <w:r>
        <w:t>loan types</w:t>
      </w:r>
      <w:r w:rsidRPr="007E63CA">
        <w:t>:</w:t>
      </w:r>
    </w:p>
    <w:p w14:paraId="417969EF" w14:textId="77777777" w:rsidR="00EC4238" w:rsidRPr="007E63CA" w:rsidRDefault="00EC4238" w:rsidP="00D43985">
      <w:pPr>
        <w:pStyle w:val="BodyText2"/>
        <w:numPr>
          <w:ilvl w:val="1"/>
          <w:numId w:val="27"/>
        </w:numPr>
        <w:jc w:val="both"/>
      </w:pPr>
      <w:r w:rsidRPr="007E63CA">
        <w:t xml:space="preserve">lending with a debt-to-income ratio </w:t>
      </w:r>
      <w:r>
        <w:t>greater than or equal to</w:t>
      </w:r>
      <w:r w:rsidRPr="007E63CA">
        <w:t xml:space="preserve"> four times or six times;</w:t>
      </w:r>
    </w:p>
    <w:p w14:paraId="69E1CE03" w14:textId="77777777" w:rsidR="00EC4238" w:rsidRPr="007E63CA" w:rsidRDefault="00EC4238" w:rsidP="00D43985">
      <w:pPr>
        <w:pStyle w:val="BodyText2"/>
        <w:numPr>
          <w:ilvl w:val="1"/>
          <w:numId w:val="26"/>
        </w:numPr>
        <w:jc w:val="both"/>
      </w:pPr>
      <w:r w:rsidRPr="007E63CA">
        <w:t xml:space="preserve">lending with a loan-to-valuation ratio </w:t>
      </w:r>
      <w:r>
        <w:t>greater than or equal to</w:t>
      </w:r>
      <w:r w:rsidRPr="007E63CA">
        <w:t xml:space="preserve"> 80 per cent or 90 per cent;</w:t>
      </w:r>
    </w:p>
    <w:p w14:paraId="16A94147" w14:textId="77777777" w:rsidR="00EC4238" w:rsidRPr="007E63CA" w:rsidRDefault="00EC4238" w:rsidP="00D43985">
      <w:pPr>
        <w:pStyle w:val="BodyText2"/>
        <w:numPr>
          <w:ilvl w:val="1"/>
          <w:numId w:val="26"/>
        </w:numPr>
        <w:jc w:val="both"/>
      </w:pPr>
      <w:r w:rsidRPr="007E63CA">
        <w:t>lending for the purposes of investment;</w:t>
      </w:r>
      <w:r>
        <w:t xml:space="preserve"> </w:t>
      </w:r>
    </w:p>
    <w:p w14:paraId="763A01C1" w14:textId="77777777" w:rsidR="00EC4238" w:rsidRPr="007E63CA" w:rsidRDefault="00EC4238" w:rsidP="00D43985">
      <w:pPr>
        <w:pStyle w:val="BodyText2"/>
        <w:numPr>
          <w:ilvl w:val="1"/>
          <w:numId w:val="26"/>
        </w:numPr>
        <w:jc w:val="both"/>
      </w:pPr>
      <w:r w:rsidRPr="007E63CA">
        <w:t>lending on an interest-only basis; and</w:t>
      </w:r>
    </w:p>
    <w:p w14:paraId="2A623576" w14:textId="77777777" w:rsidR="00EC4238" w:rsidRPr="007E63CA" w:rsidRDefault="00EC4238" w:rsidP="00D43985">
      <w:pPr>
        <w:pStyle w:val="BodyText2"/>
        <w:numPr>
          <w:ilvl w:val="1"/>
          <w:numId w:val="26"/>
        </w:numPr>
        <w:jc w:val="both"/>
      </w:pPr>
      <w:r>
        <w:t>lending with a combination of any two of the types specified in (a) to (d).</w:t>
      </w:r>
    </w:p>
    <w:p w14:paraId="1FB0C03C" w14:textId="77777777" w:rsidR="00EC4238" w:rsidRPr="007E63CA" w:rsidRDefault="00EC4238" w:rsidP="00AC50D7">
      <w:pPr>
        <w:pStyle w:val="BodyText1"/>
        <w:numPr>
          <w:ilvl w:val="0"/>
          <w:numId w:val="26"/>
        </w:numPr>
      </w:pPr>
      <w:r>
        <w:lastRenderedPageBreak/>
        <w:t xml:space="preserve">For commercial property lending, </w:t>
      </w:r>
      <w:r w:rsidRPr="001B3448">
        <w:t>an ADI must ensure that it has the ability to limit the extent of lending in the following loan types</w:t>
      </w:r>
      <w:r w:rsidRPr="007E63CA">
        <w:t>:</w:t>
      </w:r>
    </w:p>
    <w:p w14:paraId="5ACB7072" w14:textId="77777777" w:rsidR="00EC4238" w:rsidRDefault="00EC4238" w:rsidP="00AC50D7">
      <w:pPr>
        <w:pStyle w:val="BodyText2"/>
        <w:numPr>
          <w:ilvl w:val="1"/>
          <w:numId w:val="26"/>
        </w:numPr>
        <w:jc w:val="both"/>
      </w:pPr>
      <w:r w:rsidRPr="007E63CA">
        <w:t xml:space="preserve">lending </w:t>
      </w:r>
      <w:r>
        <w:t>for land acquisition, development and construction</w:t>
      </w:r>
      <w:r w:rsidRPr="007E63CA">
        <w:t>;</w:t>
      </w:r>
      <w:r>
        <w:t xml:space="preserve"> and</w:t>
      </w:r>
    </w:p>
    <w:p w14:paraId="49A5BD86" w14:textId="77777777" w:rsidR="00EC4238" w:rsidRDefault="00EC4238" w:rsidP="00AC50D7">
      <w:pPr>
        <w:pStyle w:val="BodyText2"/>
        <w:numPr>
          <w:ilvl w:val="1"/>
          <w:numId w:val="26"/>
        </w:numPr>
        <w:jc w:val="both"/>
      </w:pPr>
      <w:r>
        <w:t>lending for the purposes of investment.</w:t>
      </w:r>
    </w:p>
    <w:p w14:paraId="0D0FAFBE" w14:textId="3C43492D" w:rsidR="00EC4238" w:rsidDel="00466469" w:rsidRDefault="00EC4238" w:rsidP="00AC50D7">
      <w:pPr>
        <w:pStyle w:val="BodyText1"/>
        <w:numPr>
          <w:ilvl w:val="0"/>
          <w:numId w:val="26"/>
        </w:numPr>
      </w:pPr>
      <w:r w:rsidRPr="007E63CA" w:rsidDel="00EE767E">
        <w:t xml:space="preserve">APRA will notify ADIs of </w:t>
      </w:r>
      <w:r w:rsidRPr="007E63CA">
        <w:t xml:space="preserve">any decision to </w:t>
      </w:r>
      <w:r w:rsidR="00A045C1">
        <w:t xml:space="preserve">set </w:t>
      </w:r>
      <w:r>
        <w:t>a limit</w:t>
      </w:r>
      <w:r w:rsidR="00A045C1">
        <w:t xml:space="preserve"> on particular types of lending at least one month before its implementation date</w:t>
      </w:r>
      <w:r>
        <w:t>.</w:t>
      </w:r>
      <w:r w:rsidRPr="007E63CA">
        <w:t xml:space="preserve"> </w:t>
      </w:r>
    </w:p>
    <w:p w14:paraId="7A153AB5" w14:textId="77777777" w:rsidR="00EC4238" w:rsidRPr="006F084F" w:rsidRDefault="00EC4238" w:rsidP="00AC50D7">
      <w:pPr>
        <w:pStyle w:val="BodyText1"/>
        <w:numPr>
          <w:ilvl w:val="0"/>
          <w:numId w:val="26"/>
        </w:numPr>
      </w:pPr>
      <w:r w:rsidRPr="007E63CA">
        <w:t xml:space="preserve">APRA may require </w:t>
      </w:r>
      <w:r w:rsidRPr="009B4A5C">
        <w:t>ADI</w:t>
      </w:r>
      <w:r>
        <w:t xml:space="preserve">s </w:t>
      </w:r>
      <w:r w:rsidRPr="007E63CA">
        <w:t xml:space="preserve">to publicly disclose the level of lending against any limits specified by APRA, for the period in which the limits apply. </w:t>
      </w:r>
    </w:p>
    <w:p w14:paraId="611709D1" w14:textId="77777777" w:rsidR="00377FC2" w:rsidRPr="00F546C0" w:rsidRDefault="00377FC2" w:rsidP="00F546C0">
      <w:pPr>
        <w:tabs>
          <w:tab w:val="left" w:pos="6588"/>
        </w:tabs>
      </w:pPr>
    </w:p>
    <w:sectPr w:rsidR="00377FC2" w:rsidRPr="00F546C0" w:rsidSect="000D63A8">
      <w:footerReference w:type="default" r:id="rId24"/>
      <w:pgSz w:w="11906" w:h="16838"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9DF3C" w14:textId="77777777" w:rsidR="00224934" w:rsidRDefault="00224934" w:rsidP="006A6A52">
      <w:pPr>
        <w:spacing w:after="0"/>
      </w:pPr>
      <w:r>
        <w:separator/>
      </w:r>
    </w:p>
  </w:endnote>
  <w:endnote w:type="continuationSeparator" w:id="0">
    <w:p w14:paraId="2BE26565" w14:textId="77777777" w:rsidR="00224934" w:rsidRDefault="00224934" w:rsidP="006A6A52">
      <w:pPr>
        <w:spacing w:after="0"/>
      </w:pPr>
      <w:r>
        <w:continuationSeparator/>
      </w:r>
    </w:p>
  </w:endnote>
  <w:endnote w:type="continuationNotice" w:id="1">
    <w:p w14:paraId="0DBBA677" w14:textId="77777777" w:rsidR="00224934" w:rsidRDefault="0022493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5431849"/>
      <w:docPartObj>
        <w:docPartGallery w:val="Page Numbers (Bottom of Page)"/>
        <w:docPartUnique/>
      </w:docPartObj>
    </w:sdtPr>
    <w:sdtEndPr/>
    <w:sdtContent>
      <w:sdt>
        <w:sdtPr>
          <w:id w:val="-1769616900"/>
          <w:docPartObj>
            <w:docPartGallery w:val="Page Numbers (Top of Page)"/>
            <w:docPartUnique/>
          </w:docPartObj>
        </w:sdtPr>
        <w:sdtEndPr/>
        <w:sdtContent>
          <w:p w14:paraId="5F006028" w14:textId="0E651519" w:rsidR="00057FAE" w:rsidRDefault="00057FAE">
            <w:pPr>
              <w:pStyle w:val="Footer"/>
            </w:pPr>
            <w:r w:rsidRPr="00057FAE">
              <w:rPr>
                <w:rFonts w:ascii="Arial" w:hAnsi="Arial" w:cs="Arial"/>
                <w:b w:val="0"/>
                <w:sz w:val="22"/>
                <w:szCs w:val="22"/>
              </w:rPr>
              <w:t xml:space="preserve">Page </w:t>
            </w:r>
            <w:r w:rsidRPr="00057FAE">
              <w:rPr>
                <w:rFonts w:ascii="Arial" w:hAnsi="Arial" w:cs="Arial"/>
                <w:b w:val="0"/>
                <w:bCs/>
                <w:sz w:val="22"/>
                <w:szCs w:val="22"/>
              </w:rPr>
              <w:fldChar w:fldCharType="begin"/>
            </w:r>
            <w:r w:rsidRPr="00057FAE">
              <w:rPr>
                <w:rFonts w:ascii="Arial" w:hAnsi="Arial" w:cs="Arial"/>
                <w:b w:val="0"/>
                <w:bCs/>
                <w:sz w:val="22"/>
                <w:szCs w:val="22"/>
              </w:rPr>
              <w:instrText xml:space="preserve"> PAGE </w:instrText>
            </w:r>
            <w:r w:rsidRPr="00057FAE">
              <w:rPr>
                <w:rFonts w:ascii="Arial" w:hAnsi="Arial" w:cs="Arial"/>
                <w:b w:val="0"/>
                <w:bCs/>
                <w:sz w:val="22"/>
                <w:szCs w:val="22"/>
              </w:rPr>
              <w:fldChar w:fldCharType="separate"/>
            </w:r>
            <w:r w:rsidRPr="00057FAE">
              <w:rPr>
                <w:rFonts w:ascii="Arial" w:hAnsi="Arial" w:cs="Arial"/>
                <w:b w:val="0"/>
                <w:bCs/>
                <w:noProof/>
                <w:sz w:val="22"/>
                <w:szCs w:val="22"/>
              </w:rPr>
              <w:t>2</w:t>
            </w:r>
            <w:r w:rsidRPr="00057FAE">
              <w:rPr>
                <w:rFonts w:ascii="Arial" w:hAnsi="Arial" w:cs="Arial"/>
                <w:b w:val="0"/>
                <w:bCs/>
                <w:sz w:val="22"/>
                <w:szCs w:val="22"/>
              </w:rPr>
              <w:fldChar w:fldCharType="end"/>
            </w:r>
            <w:r w:rsidRPr="00057FAE">
              <w:rPr>
                <w:rFonts w:ascii="Arial" w:hAnsi="Arial" w:cs="Arial"/>
                <w:b w:val="0"/>
                <w:sz w:val="22"/>
                <w:szCs w:val="22"/>
              </w:rPr>
              <w:t xml:space="preserve"> of </w:t>
            </w:r>
            <w:r>
              <w:rPr>
                <w:rFonts w:ascii="Arial" w:hAnsi="Arial" w:cs="Arial"/>
                <w:b w:val="0"/>
                <w:bCs/>
                <w:sz w:val="22"/>
                <w:szCs w:val="22"/>
              </w:rPr>
              <w:t>2</w:t>
            </w:r>
          </w:p>
        </w:sdtContent>
      </w:sdt>
    </w:sdtContent>
  </w:sdt>
  <w:p w14:paraId="24D932E0" w14:textId="68AF5926" w:rsidR="00224934" w:rsidRPr="00842FBD" w:rsidRDefault="00224934" w:rsidP="004148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0DD5F" w14:textId="52BE18A4" w:rsidR="00A10346" w:rsidRPr="00842FBD" w:rsidRDefault="00A10346" w:rsidP="00414895">
    <w:pPr>
      <w:pStyle w:val="Footer"/>
    </w:pPr>
    <w:r>
      <w:rPr>
        <w:noProof/>
      </w:rPr>
      <w:fldChar w:fldCharType="begin"/>
    </w:r>
    <w:r>
      <w:rPr>
        <w:noProof/>
      </w:rPr>
      <w:instrText xml:space="preserve"> STYLEREF  "PS No. field text"  \* MERGEFORMAT </w:instrText>
    </w:r>
    <w:r>
      <w:rPr>
        <w:noProof/>
      </w:rPr>
      <w:fldChar w:fldCharType="separate"/>
    </w:r>
    <w:r w:rsidR="00612AB8">
      <w:rPr>
        <w:noProof/>
      </w:rPr>
      <w:t>APS 220</w:t>
    </w:r>
    <w:r>
      <w:rPr>
        <w:noProof/>
      </w:rPr>
      <w:fldChar w:fldCharType="end"/>
    </w:r>
    <w:r>
      <w:t xml:space="preserve"> - </w:t>
    </w:r>
    <w:r w:rsidRPr="00842FBD">
      <w:fldChar w:fldCharType="begin"/>
    </w:r>
    <w:r w:rsidRPr="00842FBD">
      <w:instrText xml:space="preserve"> PAGE </w:instrText>
    </w:r>
    <w:r w:rsidRPr="00842FBD">
      <w:fldChar w:fldCharType="separate"/>
    </w:r>
    <w:r>
      <w:rPr>
        <w:noProof/>
      </w:rPr>
      <w:t>4</w:t>
    </w:r>
    <w:r w:rsidRPr="00842FBD">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CFE4F" w14:textId="77777777" w:rsidR="00A10346" w:rsidRPr="00A10346" w:rsidRDefault="00A1034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F8233" w14:textId="2D28F8C9" w:rsidR="00224934" w:rsidRPr="00842FBD" w:rsidRDefault="00224934" w:rsidP="00842FBD">
    <w:pPr>
      <w:pStyle w:val="Footer"/>
    </w:pPr>
    <w:r>
      <w:rPr>
        <w:noProof/>
      </w:rPr>
      <w:fldChar w:fldCharType="begin"/>
    </w:r>
    <w:r>
      <w:rPr>
        <w:noProof/>
      </w:rPr>
      <w:instrText xml:space="preserve"> STYLEREF  "PS No. field text"  \* MERGEFORMAT </w:instrText>
    </w:r>
    <w:r>
      <w:rPr>
        <w:noProof/>
      </w:rPr>
      <w:fldChar w:fldCharType="separate"/>
    </w:r>
    <w:r w:rsidR="00612AB8">
      <w:rPr>
        <w:noProof/>
      </w:rPr>
      <w:t>APS 220</w:t>
    </w:r>
    <w:r>
      <w:rPr>
        <w:noProof/>
      </w:rPr>
      <w:fldChar w:fldCharType="end"/>
    </w:r>
    <w:r>
      <w:t xml:space="preserve"> – Attachment </w:t>
    </w:r>
    <w:r>
      <w:rPr>
        <w:noProof/>
      </w:rPr>
      <w:fldChar w:fldCharType="begin"/>
    </w:r>
    <w:r>
      <w:rPr>
        <w:noProof/>
      </w:rPr>
      <w:instrText xml:space="preserve"> SEQ Attach\* ALPHABETIC\c  \* MERGEFORMAT </w:instrText>
    </w:r>
    <w:r>
      <w:rPr>
        <w:noProof/>
      </w:rPr>
      <w:fldChar w:fldCharType="separate"/>
    </w:r>
    <w:r w:rsidR="00612AB8">
      <w:rPr>
        <w:noProof/>
      </w:rPr>
      <w:t>1</w:t>
    </w:r>
    <w:r>
      <w:rPr>
        <w:noProof/>
      </w:rPr>
      <w:fldChar w:fldCharType="end"/>
    </w:r>
    <w:r>
      <w:t xml:space="preserve"> - </w:t>
    </w:r>
    <w:r w:rsidRPr="00842FBD">
      <w:fldChar w:fldCharType="begin"/>
    </w:r>
    <w:r w:rsidRPr="00842FBD">
      <w:instrText xml:space="preserve"> PAGE </w:instrText>
    </w:r>
    <w:r w:rsidRPr="00842FBD">
      <w:fldChar w:fldCharType="separate"/>
    </w:r>
    <w:r>
      <w:rPr>
        <w:noProof/>
      </w:rPr>
      <w:t>22</w:t>
    </w:r>
    <w:r w:rsidRPr="00842FBD">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5DAB6" w14:textId="57AAF1E5" w:rsidR="00224934" w:rsidRPr="00842FBD" w:rsidRDefault="00224934" w:rsidP="00842FBD">
    <w:pPr>
      <w:pStyle w:val="Footer"/>
    </w:pPr>
    <w:r>
      <w:rPr>
        <w:noProof/>
      </w:rPr>
      <w:fldChar w:fldCharType="begin"/>
    </w:r>
    <w:r>
      <w:rPr>
        <w:noProof/>
      </w:rPr>
      <w:instrText xml:space="preserve"> STYLEREF  "PS No. field text"  \* MERGEFORMAT </w:instrText>
    </w:r>
    <w:r>
      <w:rPr>
        <w:noProof/>
      </w:rPr>
      <w:fldChar w:fldCharType="separate"/>
    </w:r>
    <w:r w:rsidR="00612AB8">
      <w:rPr>
        <w:noProof/>
      </w:rPr>
      <w:t>APS 220</w:t>
    </w:r>
    <w:r>
      <w:rPr>
        <w:noProof/>
      </w:rPr>
      <w:fldChar w:fldCharType="end"/>
    </w:r>
    <w:bookmarkStart w:id="1319" w:name="_Toc326676936"/>
    <w:bookmarkStart w:id="1320" w:name="_Toc326756341"/>
    <w:bookmarkStart w:id="1321" w:name="_Toc256519850"/>
    <w:r>
      <w:t xml:space="preserve"> – Attachment B - </w:t>
    </w:r>
    <w:r w:rsidRPr="00842FBD">
      <w:fldChar w:fldCharType="begin"/>
    </w:r>
    <w:r w:rsidRPr="00842FBD">
      <w:instrText xml:space="preserve"> PAGE </w:instrText>
    </w:r>
    <w:r w:rsidRPr="00842FBD">
      <w:fldChar w:fldCharType="separate"/>
    </w:r>
    <w:r>
      <w:rPr>
        <w:noProof/>
      </w:rPr>
      <w:t>30</w:t>
    </w:r>
    <w:r w:rsidRPr="00842FBD">
      <w:fldChar w:fldCharType="end"/>
    </w:r>
    <w:bookmarkEnd w:id="1319"/>
    <w:bookmarkEnd w:id="1320"/>
    <w:bookmarkEnd w:id="1321"/>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A0F99" w14:textId="10B426BC" w:rsidR="00EC4238" w:rsidRPr="00842FBD" w:rsidRDefault="00EC4238" w:rsidP="00842FBD">
    <w:pPr>
      <w:pStyle w:val="Footer"/>
    </w:pPr>
    <w:r>
      <w:rPr>
        <w:noProof/>
      </w:rPr>
      <w:fldChar w:fldCharType="begin"/>
    </w:r>
    <w:r>
      <w:rPr>
        <w:noProof/>
      </w:rPr>
      <w:instrText xml:space="preserve"> STYLEREF  "PS No. field text"  \* MERGEFORMAT </w:instrText>
    </w:r>
    <w:r>
      <w:rPr>
        <w:noProof/>
      </w:rPr>
      <w:fldChar w:fldCharType="separate"/>
    </w:r>
    <w:r w:rsidR="00612AB8">
      <w:rPr>
        <w:noProof/>
      </w:rPr>
      <w:t>APS 220</w:t>
    </w:r>
    <w:r>
      <w:rPr>
        <w:noProof/>
      </w:rPr>
      <w:fldChar w:fldCharType="end"/>
    </w:r>
    <w:r>
      <w:t xml:space="preserve"> – Attachment C - </w:t>
    </w:r>
    <w:r w:rsidRPr="00842FBD">
      <w:fldChar w:fldCharType="begin"/>
    </w:r>
    <w:r w:rsidRPr="00842FBD">
      <w:instrText xml:space="preserve"> PAGE </w:instrText>
    </w:r>
    <w:r w:rsidRPr="00842FBD">
      <w:fldChar w:fldCharType="separate"/>
    </w:r>
    <w:r>
      <w:rPr>
        <w:noProof/>
      </w:rPr>
      <w:t>30</w:t>
    </w:r>
    <w:r w:rsidRPr="00842FB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7030D" w14:textId="77777777" w:rsidR="00224934" w:rsidRDefault="00224934" w:rsidP="006A6A52">
      <w:pPr>
        <w:spacing w:after="0"/>
      </w:pPr>
      <w:r>
        <w:separator/>
      </w:r>
    </w:p>
  </w:footnote>
  <w:footnote w:type="continuationSeparator" w:id="0">
    <w:p w14:paraId="01378904" w14:textId="77777777" w:rsidR="00224934" w:rsidRDefault="00224934" w:rsidP="006A6A52">
      <w:pPr>
        <w:spacing w:after="0"/>
      </w:pPr>
      <w:r>
        <w:continuationSeparator/>
      </w:r>
    </w:p>
  </w:footnote>
  <w:footnote w:type="continuationNotice" w:id="1">
    <w:p w14:paraId="13ED0A8F" w14:textId="77777777" w:rsidR="00224934" w:rsidRDefault="00224934">
      <w:pPr>
        <w:spacing w:after="0"/>
      </w:pPr>
    </w:p>
  </w:footnote>
  <w:footnote w:id="2">
    <w:p w14:paraId="0E79807A" w14:textId="74C1818D" w:rsidR="00224934" w:rsidRDefault="00224934">
      <w:pPr>
        <w:pStyle w:val="FootnoteText"/>
      </w:pPr>
      <w:r>
        <w:rPr>
          <w:rStyle w:val="FootnoteReference"/>
        </w:rPr>
        <w:footnoteRef/>
      </w:r>
      <w:r>
        <w:t xml:space="preserve"> </w:t>
      </w:r>
      <w:r>
        <w:tab/>
      </w:r>
      <w:r w:rsidRPr="004C373F">
        <w:t>Overdrafts are considered past-due once the borrower has breached an advised limit or been advised of a limit smaller than current outstandings. Non-authorised overdrafts are considered to have a zero limit for regulatory capital purposes. An ADI must, therefore, treat days past-due as commencing once any credit is granted to an unauthorised borrower and if such credit is not repaid within 90 days, the exposure must be considered to be in default.</w:t>
      </w:r>
    </w:p>
  </w:footnote>
  <w:footnote w:id="3">
    <w:p w14:paraId="12030FB2" w14:textId="77777777" w:rsidR="00224934" w:rsidRDefault="00224934" w:rsidP="00962ED7">
      <w:pPr>
        <w:pStyle w:val="FootnoteText"/>
      </w:pPr>
      <w:r>
        <w:rPr>
          <w:rStyle w:val="FootnoteReference"/>
        </w:rPr>
        <w:footnoteRef/>
      </w:r>
      <w:r>
        <w:t xml:space="preserve"> </w:t>
      </w:r>
      <w:r>
        <w:tab/>
      </w:r>
      <w:r w:rsidRPr="00E52C45">
        <w:t>This includes all fees and any charges that are due but unpaid as a result of missed payments.</w:t>
      </w:r>
    </w:p>
  </w:footnote>
  <w:footnote w:id="4">
    <w:p w14:paraId="2D4808B8" w14:textId="44DFEA1D" w:rsidR="00224934" w:rsidRDefault="00224934">
      <w:pPr>
        <w:pStyle w:val="FootnoteText"/>
      </w:pPr>
      <w:r>
        <w:rPr>
          <w:rStyle w:val="FootnoteReference"/>
        </w:rPr>
        <w:footnoteRef/>
      </w:r>
      <w:r>
        <w:t xml:space="preserve"> </w:t>
      </w:r>
      <w:r>
        <w:tab/>
      </w:r>
      <w:r w:rsidRPr="00F53750">
        <w:t>The main characteristic of these concessions are that an ADI would not extend loans or grant commitments to borrowers, or purchase their debt securities, on such terms and conditions under normal market conditions.</w:t>
      </w:r>
    </w:p>
  </w:footnote>
  <w:footnote w:id="5">
    <w:p w14:paraId="34B89173" w14:textId="13AF76A2" w:rsidR="00224934" w:rsidRDefault="00224934">
      <w:pPr>
        <w:pStyle w:val="FootnoteText"/>
      </w:pPr>
      <w:r>
        <w:rPr>
          <w:rStyle w:val="FootnoteReference"/>
        </w:rPr>
        <w:footnoteRef/>
      </w:r>
      <w:r>
        <w:t xml:space="preserve"> </w:t>
      </w:r>
      <w:r>
        <w:tab/>
      </w:r>
      <w:r w:rsidRPr="00FC521B">
        <w:t>Refer to paragraph 2</w:t>
      </w:r>
      <w:r>
        <w:t>9</w:t>
      </w:r>
      <w:r w:rsidRPr="00FC521B">
        <w:t>(e) of this Prudential Standard.</w:t>
      </w:r>
    </w:p>
  </w:footnote>
  <w:footnote w:id="6">
    <w:p w14:paraId="5360BEF7" w14:textId="0ACEE6FC" w:rsidR="00224934" w:rsidRPr="00AA38F0" w:rsidRDefault="00224934">
      <w:pPr>
        <w:pStyle w:val="FootnoteText"/>
        <w:rPr>
          <w:szCs w:val="20"/>
        </w:rPr>
      </w:pPr>
      <w:r w:rsidRPr="00AA38F0">
        <w:rPr>
          <w:rStyle w:val="FootnoteReference"/>
          <w:szCs w:val="20"/>
        </w:rPr>
        <w:footnoteRef/>
      </w:r>
      <w:r w:rsidRPr="00AA38F0">
        <w:rPr>
          <w:szCs w:val="20"/>
        </w:rPr>
        <w:t xml:space="preserve"> </w:t>
      </w:r>
      <w:r w:rsidRPr="00AA38F0">
        <w:rPr>
          <w:szCs w:val="20"/>
        </w:rPr>
        <w:tab/>
        <w:t xml:space="preserve">The requirements to be met by the Board must, in the case of a foreign ADI, be read subject to </w:t>
      </w:r>
      <w:r w:rsidRPr="00CB62F7">
        <w:rPr>
          <w:i/>
          <w:szCs w:val="20"/>
        </w:rPr>
        <w:t>Prudential Standard CPS 510 Governance</w:t>
      </w:r>
      <w:r>
        <w:rPr>
          <w:szCs w:val="20"/>
        </w:rPr>
        <w:t xml:space="preserve"> (CPS 510)</w:t>
      </w:r>
      <w:r w:rsidRPr="00AA38F0">
        <w:rPr>
          <w:szCs w:val="20"/>
        </w:rPr>
        <w:t>, which requires a foreign ADI to nominate a senior officer (whether a director or senior executive) outside Australia with delegated authority.</w:t>
      </w:r>
    </w:p>
  </w:footnote>
  <w:footnote w:id="7">
    <w:p w14:paraId="77E37650" w14:textId="2B3E6BB6" w:rsidR="00224934" w:rsidRPr="00AA38F0" w:rsidRDefault="00224934" w:rsidP="00BF2FF8">
      <w:pPr>
        <w:pStyle w:val="FootnoteText"/>
        <w:rPr>
          <w:szCs w:val="20"/>
        </w:rPr>
      </w:pPr>
      <w:r w:rsidRPr="00AA38F0">
        <w:rPr>
          <w:rStyle w:val="FootnoteReference"/>
          <w:szCs w:val="20"/>
        </w:rPr>
        <w:footnoteRef/>
      </w:r>
      <w:r w:rsidRPr="00AA38F0">
        <w:rPr>
          <w:szCs w:val="20"/>
        </w:rPr>
        <w:t xml:space="preserve"> </w:t>
      </w:r>
      <w:r w:rsidRPr="00AA38F0">
        <w:rPr>
          <w:szCs w:val="20"/>
        </w:rPr>
        <w:tab/>
        <w:t>An override occurs when an exposure is approved outside the ADI’s credit assessment criteria. This may also include where decisions suggested by models, such as a scorecard, are overridden. Overrides may occasionally be needed to deal with exceptional or complex credit applications.</w:t>
      </w:r>
    </w:p>
  </w:footnote>
  <w:footnote w:id="8">
    <w:p w14:paraId="45DF4D8C" w14:textId="1D5162E4" w:rsidR="00224934" w:rsidRDefault="00224934">
      <w:pPr>
        <w:pStyle w:val="FootnoteText"/>
      </w:pPr>
      <w:r>
        <w:rPr>
          <w:rStyle w:val="FootnoteReference"/>
        </w:rPr>
        <w:footnoteRef/>
      </w:r>
      <w:r>
        <w:t xml:space="preserve"> </w:t>
      </w:r>
      <w:r>
        <w:tab/>
        <w:t>T</w:t>
      </w:r>
      <w:r w:rsidRPr="001B4983">
        <w:t xml:space="preserve">he National Credit Code as </w:t>
      </w:r>
      <w:r>
        <w:t xml:space="preserve">per </w:t>
      </w:r>
      <w:r w:rsidRPr="001B4983">
        <w:t xml:space="preserve">Schedule 1 to the </w:t>
      </w:r>
      <w:r w:rsidRPr="0012534A">
        <w:rPr>
          <w:i/>
        </w:rPr>
        <w:t>National Consumer Credit Protection Act 2009</w:t>
      </w:r>
      <w:r w:rsidRPr="001B4983">
        <w:t xml:space="preserve"> (Cth)</w:t>
      </w:r>
      <w:r>
        <w:t>.</w:t>
      </w:r>
    </w:p>
  </w:footnote>
  <w:footnote w:id="9">
    <w:p w14:paraId="02F7487A" w14:textId="6D2281CE" w:rsidR="00224934" w:rsidRDefault="00224934">
      <w:pPr>
        <w:pStyle w:val="FootnoteText"/>
      </w:pPr>
      <w:r>
        <w:rPr>
          <w:rStyle w:val="FootnoteReference"/>
        </w:rPr>
        <w:footnoteRef/>
      </w:r>
      <w:r>
        <w:t xml:space="preserve"> </w:t>
      </w:r>
      <w:r>
        <w:tab/>
        <w:t xml:space="preserve">This also includes an </w:t>
      </w:r>
      <w:r w:rsidRPr="00EF2287">
        <w:t xml:space="preserve">ADI’s policies, processes and practices </w:t>
      </w:r>
      <w:r>
        <w:t xml:space="preserve">for collateral measured at fair value that </w:t>
      </w:r>
      <w:r w:rsidRPr="00EF2287">
        <w:t>do not meet the requirements of this Prudential Standard</w:t>
      </w:r>
      <w:r>
        <w:t>, including circumstances where an ADI’s collateral valuations are considered deficient.</w:t>
      </w:r>
    </w:p>
  </w:footnote>
  <w:footnote w:id="10">
    <w:p w14:paraId="6454E897" w14:textId="10919C39" w:rsidR="00224934" w:rsidRDefault="00224934">
      <w:pPr>
        <w:pStyle w:val="FootnoteText"/>
      </w:pPr>
      <w:r>
        <w:rPr>
          <w:rStyle w:val="FootnoteReference"/>
        </w:rPr>
        <w:footnoteRef/>
      </w:r>
      <w:r>
        <w:t xml:space="preserve"> </w:t>
      </w:r>
      <w:r>
        <w:tab/>
      </w:r>
      <w:r w:rsidRPr="005B1F44">
        <w:t>For example, highest and best use arising from redevelopment prospects, and any possible increase in value consequent upon special investment or finance transactions</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5AB2E" w14:textId="77777777" w:rsidR="00224934" w:rsidRDefault="00224934"/>
  <w:p w14:paraId="6A427C4F" w14:textId="77777777" w:rsidR="00224934" w:rsidRDefault="002249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5574" w14:textId="77777777" w:rsidR="00057FAE" w:rsidRDefault="00057FAE" w:rsidP="00057FAE">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17BB3" w14:textId="77777777" w:rsidR="00A10346" w:rsidRDefault="00A10346"/>
  <w:tbl>
    <w:tblPr>
      <w:tblStyle w:val="TableGrid"/>
      <w:tblW w:w="0" w:type="auto"/>
      <w:tblLook w:val="04A0" w:firstRow="1" w:lastRow="0" w:firstColumn="1" w:lastColumn="0" w:noHBand="0" w:noVBand="1"/>
    </w:tblPr>
    <w:tblGrid>
      <w:gridCol w:w="4158"/>
      <w:gridCol w:w="4154"/>
    </w:tblGrid>
    <w:tr w:rsidR="00A10346" w:rsidRPr="007E3472" w14:paraId="050E0441" w14:textId="77777777" w:rsidTr="00E56275">
      <w:tc>
        <w:tcPr>
          <w:tcW w:w="4158" w:type="dxa"/>
          <w:tcBorders>
            <w:top w:val="nil"/>
            <w:left w:val="nil"/>
            <w:bottom w:val="nil"/>
            <w:right w:val="nil"/>
          </w:tcBorders>
        </w:tcPr>
        <w:p w14:paraId="5D037724" w14:textId="77777777" w:rsidR="00A10346" w:rsidRDefault="00A10346" w:rsidP="00E25CAE">
          <w:pPr>
            <w:pStyle w:val="Header"/>
          </w:pPr>
        </w:p>
      </w:tc>
      <w:tc>
        <w:tcPr>
          <w:tcW w:w="4154" w:type="dxa"/>
          <w:tcBorders>
            <w:top w:val="nil"/>
            <w:left w:val="nil"/>
            <w:bottom w:val="nil"/>
            <w:right w:val="nil"/>
          </w:tcBorders>
        </w:tcPr>
        <w:p w14:paraId="68FE7652" w14:textId="77777777" w:rsidR="00A10346" w:rsidRPr="00F4414C" w:rsidRDefault="00A10346" w:rsidP="0065710E">
          <w:pPr>
            <w:pStyle w:val="Header"/>
            <w:rPr>
              <w:b w:val="0"/>
            </w:rPr>
          </w:pPr>
          <w:r w:rsidRPr="00F4414C">
            <w:rPr>
              <w:b w:val="0"/>
            </w:rPr>
            <w:t>January 2023</w:t>
          </w:r>
        </w:p>
      </w:tc>
    </w:tr>
  </w:tbl>
  <w:p w14:paraId="05C5EAA3" w14:textId="77777777" w:rsidR="00A10346" w:rsidRDefault="00A1034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4158"/>
      <w:gridCol w:w="4154"/>
    </w:tblGrid>
    <w:tr w:rsidR="00CE506A" w:rsidRPr="007E3472" w14:paraId="393D5468" w14:textId="77777777" w:rsidTr="00A90389">
      <w:tc>
        <w:tcPr>
          <w:tcW w:w="4158" w:type="dxa"/>
          <w:tcBorders>
            <w:top w:val="nil"/>
            <w:left w:val="nil"/>
            <w:bottom w:val="nil"/>
            <w:right w:val="nil"/>
          </w:tcBorders>
        </w:tcPr>
        <w:p w14:paraId="670E4156" w14:textId="77777777" w:rsidR="00CE506A" w:rsidRDefault="00CE506A" w:rsidP="00CE506A">
          <w:pPr>
            <w:pStyle w:val="Header"/>
          </w:pPr>
        </w:p>
      </w:tc>
      <w:tc>
        <w:tcPr>
          <w:tcW w:w="4154" w:type="dxa"/>
          <w:tcBorders>
            <w:top w:val="nil"/>
            <w:left w:val="nil"/>
            <w:bottom w:val="nil"/>
            <w:right w:val="nil"/>
          </w:tcBorders>
        </w:tcPr>
        <w:p w14:paraId="28ED78BB" w14:textId="77777777" w:rsidR="00CE506A" w:rsidRPr="00F4414C" w:rsidRDefault="00CE506A" w:rsidP="00CE506A">
          <w:pPr>
            <w:pStyle w:val="Header"/>
            <w:rPr>
              <w:b w:val="0"/>
            </w:rPr>
          </w:pPr>
          <w:r w:rsidRPr="00F4414C">
            <w:rPr>
              <w:b w:val="0"/>
            </w:rPr>
            <w:t>January 2023</w:t>
          </w:r>
        </w:p>
      </w:tc>
    </w:tr>
  </w:tbl>
  <w:p w14:paraId="6B1811AD" w14:textId="77777777" w:rsidR="00A10346" w:rsidRDefault="00A10346" w:rsidP="00CE506A">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A048E4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E942FE"/>
    <w:multiLevelType w:val="hybridMultilevel"/>
    <w:tmpl w:val="B19EA750"/>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7DA6720"/>
    <w:multiLevelType w:val="hybridMultilevel"/>
    <w:tmpl w:val="F258D916"/>
    <w:lvl w:ilvl="0" w:tplc="BB7E6474">
      <w:start w:val="1"/>
      <w:numFmt w:val="upperLetter"/>
      <w:lvlText w:val="(%1)"/>
      <w:lvlJc w:val="left"/>
      <w:pPr>
        <w:ind w:left="720" w:hanging="360"/>
      </w:pPr>
      <w:rPr>
        <w:rFonts w:hint="default"/>
        <w:b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BC247D4"/>
    <w:multiLevelType w:val="multilevel"/>
    <w:tmpl w:val="C610EBD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upperLetter"/>
      <w:lvlText w:val="(%4)"/>
      <w:lvlJc w:val="left"/>
      <w:pPr>
        <w:ind w:left="1525" w:hanging="445"/>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DEF31D8"/>
    <w:multiLevelType w:val="hybridMultilevel"/>
    <w:tmpl w:val="D6806816"/>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3351A8B"/>
    <w:multiLevelType w:val="hybridMultilevel"/>
    <w:tmpl w:val="19986268"/>
    <w:lvl w:ilvl="0" w:tplc="3BE40E38">
      <w:start w:val="1"/>
      <w:numFmt w:val="lowerRoman"/>
      <w:lvlText w:val="(%1)"/>
      <w:lvlJc w:val="left"/>
      <w:pPr>
        <w:ind w:left="2421" w:hanging="360"/>
      </w:pPr>
      <w:rPr>
        <w:rFonts w:hint="default"/>
      </w:rPr>
    </w:lvl>
    <w:lvl w:ilvl="1" w:tplc="0C090019" w:tentative="1">
      <w:start w:val="1"/>
      <w:numFmt w:val="lowerLetter"/>
      <w:lvlText w:val="%2."/>
      <w:lvlJc w:val="left"/>
      <w:pPr>
        <w:ind w:left="3141" w:hanging="360"/>
      </w:pPr>
    </w:lvl>
    <w:lvl w:ilvl="2" w:tplc="0C09001B" w:tentative="1">
      <w:start w:val="1"/>
      <w:numFmt w:val="lowerRoman"/>
      <w:lvlText w:val="%3."/>
      <w:lvlJc w:val="right"/>
      <w:pPr>
        <w:ind w:left="3861" w:hanging="180"/>
      </w:pPr>
    </w:lvl>
    <w:lvl w:ilvl="3" w:tplc="0C09000F" w:tentative="1">
      <w:start w:val="1"/>
      <w:numFmt w:val="decimal"/>
      <w:lvlText w:val="%4."/>
      <w:lvlJc w:val="left"/>
      <w:pPr>
        <w:ind w:left="4581" w:hanging="360"/>
      </w:pPr>
    </w:lvl>
    <w:lvl w:ilvl="4" w:tplc="0C090019" w:tentative="1">
      <w:start w:val="1"/>
      <w:numFmt w:val="lowerLetter"/>
      <w:lvlText w:val="%5."/>
      <w:lvlJc w:val="left"/>
      <w:pPr>
        <w:ind w:left="5301" w:hanging="360"/>
      </w:pPr>
    </w:lvl>
    <w:lvl w:ilvl="5" w:tplc="0C09001B" w:tentative="1">
      <w:start w:val="1"/>
      <w:numFmt w:val="lowerRoman"/>
      <w:lvlText w:val="%6."/>
      <w:lvlJc w:val="right"/>
      <w:pPr>
        <w:ind w:left="6021" w:hanging="180"/>
      </w:pPr>
    </w:lvl>
    <w:lvl w:ilvl="6" w:tplc="0C09000F" w:tentative="1">
      <w:start w:val="1"/>
      <w:numFmt w:val="decimal"/>
      <w:lvlText w:val="%7."/>
      <w:lvlJc w:val="left"/>
      <w:pPr>
        <w:ind w:left="6741" w:hanging="360"/>
      </w:pPr>
    </w:lvl>
    <w:lvl w:ilvl="7" w:tplc="0C090019" w:tentative="1">
      <w:start w:val="1"/>
      <w:numFmt w:val="lowerLetter"/>
      <w:lvlText w:val="%8."/>
      <w:lvlJc w:val="left"/>
      <w:pPr>
        <w:ind w:left="7461" w:hanging="360"/>
      </w:pPr>
    </w:lvl>
    <w:lvl w:ilvl="8" w:tplc="0C09001B" w:tentative="1">
      <w:start w:val="1"/>
      <w:numFmt w:val="lowerRoman"/>
      <w:lvlText w:val="%9."/>
      <w:lvlJc w:val="right"/>
      <w:pPr>
        <w:ind w:left="8181" w:hanging="180"/>
      </w:pPr>
    </w:lvl>
  </w:abstractNum>
  <w:abstractNum w:abstractNumId="6" w15:restartNumberingAfterBreak="0">
    <w:nsid w:val="16463545"/>
    <w:multiLevelType w:val="multilevel"/>
    <w:tmpl w:val="130E79A2"/>
    <w:lvl w:ilvl="0">
      <w:start w:val="1"/>
      <w:numFmt w:val="decimal"/>
      <w:pStyle w:val="BodyText1"/>
      <w:lvlText w:val="%1."/>
      <w:lvlJc w:val="left"/>
      <w:pPr>
        <w:tabs>
          <w:tab w:val="num" w:pos="567"/>
        </w:tabs>
        <w:ind w:left="567" w:hanging="567"/>
      </w:pPr>
      <w:rPr>
        <w:rFonts w:hint="default"/>
      </w:rPr>
    </w:lvl>
    <w:lvl w:ilvl="1">
      <w:start w:val="1"/>
      <w:numFmt w:val="lowerLetter"/>
      <w:pStyle w:val="BodyText2"/>
      <w:lvlText w:val="(%2)"/>
      <w:lvlJc w:val="left"/>
      <w:pPr>
        <w:tabs>
          <w:tab w:val="num" w:pos="1843"/>
        </w:tabs>
        <w:ind w:left="1843" w:hanging="567"/>
      </w:pPr>
      <w:rPr>
        <w:rFonts w:hint="default"/>
      </w:rPr>
    </w:lvl>
    <w:lvl w:ilvl="2">
      <w:start w:val="1"/>
      <w:numFmt w:val="lowerRoman"/>
      <w:pStyle w:val="BodyText3"/>
      <w:lvlText w:val="(%3)"/>
      <w:lvlJc w:val="left"/>
      <w:pPr>
        <w:tabs>
          <w:tab w:val="num" w:pos="1701"/>
        </w:tabs>
        <w:ind w:left="1701" w:hanging="567"/>
      </w:pPr>
      <w:rPr>
        <w:rFonts w:hint="default"/>
      </w:rPr>
    </w:lvl>
    <w:lvl w:ilvl="3">
      <w:start w:val="1"/>
      <w:numFmt w:val="upperLetter"/>
      <w:pStyle w:val="BodyText4"/>
      <w:lvlText w:val="(%4)"/>
      <w:lvlJc w:val="left"/>
      <w:pPr>
        <w:tabs>
          <w:tab w:val="num" w:pos="2268"/>
        </w:tabs>
        <w:ind w:left="226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D296655"/>
    <w:multiLevelType w:val="hybridMultilevel"/>
    <w:tmpl w:val="A0D48F3E"/>
    <w:lvl w:ilvl="0" w:tplc="83387360">
      <w:start w:val="1"/>
      <w:numFmt w:val="lowerLetter"/>
      <w:lvlText w:val="(%1)"/>
      <w:lvlJc w:val="left"/>
      <w:pPr>
        <w:ind w:left="927" w:hanging="360"/>
      </w:pPr>
      <w:rPr>
        <w:rFonts w:hint="default"/>
        <w:b w:val="0"/>
      </w:rPr>
    </w:lvl>
    <w:lvl w:ilvl="1" w:tplc="3BE40E38">
      <w:start w:val="1"/>
      <w:numFmt w:val="lowerRoman"/>
      <w:lvlText w:val="(%2)"/>
      <w:lvlJc w:val="left"/>
      <w:pPr>
        <w:ind w:left="1440" w:hanging="360"/>
      </w:pPr>
      <w:rPr>
        <w:rFonts w:hint="default"/>
      </w:rPr>
    </w:lvl>
    <w:lvl w:ilvl="2" w:tplc="B6CADF1A">
      <w:start w:val="90"/>
      <w:numFmt w:val="decimal"/>
      <w:lvlText w:val="%3"/>
      <w:lvlJc w:val="left"/>
      <w:pPr>
        <w:ind w:left="2340" w:hanging="36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73D7BFD"/>
    <w:multiLevelType w:val="hybridMultilevel"/>
    <w:tmpl w:val="38706AD0"/>
    <w:lvl w:ilvl="0" w:tplc="0C86B534">
      <w:start w:val="1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5490221"/>
    <w:multiLevelType w:val="hybridMultilevel"/>
    <w:tmpl w:val="F368A5CC"/>
    <w:lvl w:ilvl="0" w:tplc="2A3C967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57B632A"/>
    <w:multiLevelType w:val="hybridMultilevel"/>
    <w:tmpl w:val="A61C2FEE"/>
    <w:lvl w:ilvl="0" w:tplc="BB7E6474">
      <w:start w:val="1"/>
      <w:numFmt w:val="upperLetter"/>
      <w:lvlText w:val="(%1)"/>
      <w:lvlJc w:val="left"/>
      <w:pPr>
        <w:ind w:left="2988" w:hanging="360"/>
      </w:pPr>
      <w:rPr>
        <w:rFonts w:hint="default"/>
        <w:b w:val="0"/>
      </w:rPr>
    </w:lvl>
    <w:lvl w:ilvl="1" w:tplc="0C090019" w:tentative="1">
      <w:start w:val="1"/>
      <w:numFmt w:val="lowerLetter"/>
      <w:lvlText w:val="%2."/>
      <w:lvlJc w:val="left"/>
      <w:pPr>
        <w:ind w:left="3708" w:hanging="360"/>
      </w:pPr>
    </w:lvl>
    <w:lvl w:ilvl="2" w:tplc="0C09001B" w:tentative="1">
      <w:start w:val="1"/>
      <w:numFmt w:val="lowerRoman"/>
      <w:lvlText w:val="%3."/>
      <w:lvlJc w:val="right"/>
      <w:pPr>
        <w:ind w:left="4428" w:hanging="180"/>
      </w:pPr>
    </w:lvl>
    <w:lvl w:ilvl="3" w:tplc="0C09000F" w:tentative="1">
      <w:start w:val="1"/>
      <w:numFmt w:val="decimal"/>
      <w:lvlText w:val="%4."/>
      <w:lvlJc w:val="left"/>
      <w:pPr>
        <w:ind w:left="5148" w:hanging="360"/>
      </w:pPr>
    </w:lvl>
    <w:lvl w:ilvl="4" w:tplc="0C090019" w:tentative="1">
      <w:start w:val="1"/>
      <w:numFmt w:val="lowerLetter"/>
      <w:lvlText w:val="%5."/>
      <w:lvlJc w:val="left"/>
      <w:pPr>
        <w:ind w:left="5868" w:hanging="360"/>
      </w:pPr>
    </w:lvl>
    <w:lvl w:ilvl="5" w:tplc="0C09001B" w:tentative="1">
      <w:start w:val="1"/>
      <w:numFmt w:val="lowerRoman"/>
      <w:lvlText w:val="%6."/>
      <w:lvlJc w:val="right"/>
      <w:pPr>
        <w:ind w:left="6588" w:hanging="180"/>
      </w:pPr>
    </w:lvl>
    <w:lvl w:ilvl="6" w:tplc="0C09000F" w:tentative="1">
      <w:start w:val="1"/>
      <w:numFmt w:val="decimal"/>
      <w:lvlText w:val="%7."/>
      <w:lvlJc w:val="left"/>
      <w:pPr>
        <w:ind w:left="7308" w:hanging="360"/>
      </w:pPr>
    </w:lvl>
    <w:lvl w:ilvl="7" w:tplc="0C090019" w:tentative="1">
      <w:start w:val="1"/>
      <w:numFmt w:val="lowerLetter"/>
      <w:lvlText w:val="%8."/>
      <w:lvlJc w:val="left"/>
      <w:pPr>
        <w:ind w:left="8028" w:hanging="360"/>
      </w:pPr>
    </w:lvl>
    <w:lvl w:ilvl="8" w:tplc="0C09001B" w:tentative="1">
      <w:start w:val="1"/>
      <w:numFmt w:val="lowerRoman"/>
      <w:lvlText w:val="%9."/>
      <w:lvlJc w:val="right"/>
      <w:pPr>
        <w:ind w:left="8748" w:hanging="180"/>
      </w:pPr>
    </w:lvl>
  </w:abstractNum>
  <w:abstractNum w:abstractNumId="11" w15:restartNumberingAfterBreak="0">
    <w:nsid w:val="364E024E"/>
    <w:multiLevelType w:val="multilevel"/>
    <w:tmpl w:val="C610EBD0"/>
    <w:styleLink w:val="BodyTextnumberinghierarchyliststyl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upperLetter"/>
      <w:lvlText w:val="(%4)"/>
      <w:lvlJc w:val="left"/>
      <w:pPr>
        <w:ind w:left="1525" w:hanging="445"/>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8073334"/>
    <w:multiLevelType w:val="hybridMultilevel"/>
    <w:tmpl w:val="0BB6B2C2"/>
    <w:lvl w:ilvl="0" w:tplc="19623CE4">
      <w:start w:val="1"/>
      <w:numFmt w:val="lowerLetter"/>
      <w:lvlText w:val="(%1)"/>
      <w:lvlJc w:val="left"/>
      <w:pPr>
        <w:tabs>
          <w:tab w:val="num" w:pos="1134"/>
        </w:tabs>
        <w:ind w:left="1134" w:hanging="567"/>
      </w:pPr>
      <w:rPr>
        <w:rFonts w:hint="default"/>
      </w:rPr>
    </w:lvl>
    <w:lvl w:ilvl="1" w:tplc="4FC6CD72">
      <w:start w:val="1"/>
      <w:numFmt w:val="lowerLetter"/>
      <w:lvlText w:val="(%2)"/>
      <w:lvlJc w:val="left"/>
      <w:pPr>
        <w:tabs>
          <w:tab w:val="num" w:pos="1135"/>
        </w:tabs>
        <w:ind w:left="1135" w:hanging="567"/>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3" w15:restartNumberingAfterBreak="0">
    <w:nsid w:val="3CAE1A2C"/>
    <w:multiLevelType w:val="hybridMultilevel"/>
    <w:tmpl w:val="D82A6A2C"/>
    <w:lvl w:ilvl="0" w:tplc="0C090015">
      <w:start w:val="1"/>
      <w:numFmt w:val="upp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16B76E5"/>
    <w:multiLevelType w:val="hybridMultilevel"/>
    <w:tmpl w:val="61E279AE"/>
    <w:lvl w:ilvl="0" w:tplc="561CE6E2">
      <w:start w:val="1"/>
      <w:numFmt w:val="lowerLetter"/>
      <w:lvlText w:val="(%1)"/>
      <w:lvlJc w:val="left"/>
      <w:pPr>
        <w:ind w:left="1080" w:hanging="360"/>
      </w:pPr>
      <w:rPr>
        <w:rFonts w:ascii="Times New Roman" w:eastAsia="Times New Roman" w:hAnsi="Times New Roman" w:cs="Times New Roman"/>
        <w:b w:val="0"/>
      </w:rPr>
    </w:lvl>
    <w:lvl w:ilvl="1" w:tplc="0C090019">
      <w:start w:val="1"/>
      <w:numFmt w:val="lowerLetter"/>
      <w:lvlText w:val="%2."/>
      <w:lvlJc w:val="left"/>
      <w:pPr>
        <w:ind w:left="1593" w:hanging="360"/>
      </w:pPr>
    </w:lvl>
    <w:lvl w:ilvl="2" w:tplc="DE9802B4">
      <w:start w:val="182"/>
      <w:numFmt w:val="decimal"/>
      <w:lvlText w:val="%3"/>
      <w:lvlJc w:val="left"/>
      <w:pPr>
        <w:ind w:left="2493" w:hanging="360"/>
      </w:pPr>
      <w:rPr>
        <w:rFonts w:hint="default"/>
      </w:rPr>
    </w:lvl>
    <w:lvl w:ilvl="3" w:tplc="0C09000F" w:tentative="1">
      <w:start w:val="1"/>
      <w:numFmt w:val="decimal"/>
      <w:lvlText w:val="%4."/>
      <w:lvlJc w:val="left"/>
      <w:pPr>
        <w:ind w:left="3033" w:hanging="360"/>
      </w:pPr>
    </w:lvl>
    <w:lvl w:ilvl="4" w:tplc="0C090019" w:tentative="1">
      <w:start w:val="1"/>
      <w:numFmt w:val="lowerLetter"/>
      <w:lvlText w:val="%5."/>
      <w:lvlJc w:val="left"/>
      <w:pPr>
        <w:ind w:left="3753" w:hanging="360"/>
      </w:pPr>
    </w:lvl>
    <w:lvl w:ilvl="5" w:tplc="0C09001B" w:tentative="1">
      <w:start w:val="1"/>
      <w:numFmt w:val="lowerRoman"/>
      <w:lvlText w:val="%6."/>
      <w:lvlJc w:val="right"/>
      <w:pPr>
        <w:ind w:left="4473" w:hanging="180"/>
      </w:pPr>
    </w:lvl>
    <w:lvl w:ilvl="6" w:tplc="0C09000F" w:tentative="1">
      <w:start w:val="1"/>
      <w:numFmt w:val="decimal"/>
      <w:lvlText w:val="%7."/>
      <w:lvlJc w:val="left"/>
      <w:pPr>
        <w:ind w:left="5193" w:hanging="360"/>
      </w:pPr>
    </w:lvl>
    <w:lvl w:ilvl="7" w:tplc="0C090019" w:tentative="1">
      <w:start w:val="1"/>
      <w:numFmt w:val="lowerLetter"/>
      <w:lvlText w:val="%8."/>
      <w:lvlJc w:val="left"/>
      <w:pPr>
        <w:ind w:left="5913" w:hanging="360"/>
      </w:pPr>
    </w:lvl>
    <w:lvl w:ilvl="8" w:tplc="0C09001B" w:tentative="1">
      <w:start w:val="1"/>
      <w:numFmt w:val="lowerRoman"/>
      <w:lvlText w:val="%9."/>
      <w:lvlJc w:val="right"/>
      <w:pPr>
        <w:ind w:left="6633" w:hanging="180"/>
      </w:pPr>
    </w:lvl>
  </w:abstractNum>
  <w:abstractNum w:abstractNumId="15" w15:restartNumberingAfterBreak="0">
    <w:nsid w:val="48622405"/>
    <w:multiLevelType w:val="hybridMultilevel"/>
    <w:tmpl w:val="E538465A"/>
    <w:lvl w:ilvl="0" w:tplc="E1809684">
      <w:start w:val="1"/>
      <w:numFmt w:val="lowerLetter"/>
      <w:lvlText w:val="(%1)"/>
      <w:lvlJc w:val="left"/>
      <w:pPr>
        <w:ind w:left="1697" w:hanging="570"/>
      </w:pPr>
      <w:rPr>
        <w:rFonts w:hint="default"/>
      </w:rPr>
    </w:lvl>
    <w:lvl w:ilvl="1" w:tplc="0C090019" w:tentative="1">
      <w:start w:val="1"/>
      <w:numFmt w:val="lowerLetter"/>
      <w:lvlText w:val="%2."/>
      <w:lvlJc w:val="left"/>
      <w:pPr>
        <w:ind w:left="2207" w:hanging="360"/>
      </w:pPr>
    </w:lvl>
    <w:lvl w:ilvl="2" w:tplc="0C09001B" w:tentative="1">
      <w:start w:val="1"/>
      <w:numFmt w:val="lowerRoman"/>
      <w:lvlText w:val="%3."/>
      <w:lvlJc w:val="right"/>
      <w:pPr>
        <w:ind w:left="2927" w:hanging="180"/>
      </w:pPr>
    </w:lvl>
    <w:lvl w:ilvl="3" w:tplc="0C09000F" w:tentative="1">
      <w:start w:val="1"/>
      <w:numFmt w:val="decimal"/>
      <w:lvlText w:val="%4."/>
      <w:lvlJc w:val="left"/>
      <w:pPr>
        <w:ind w:left="3647" w:hanging="360"/>
      </w:pPr>
    </w:lvl>
    <w:lvl w:ilvl="4" w:tplc="0C090019" w:tentative="1">
      <w:start w:val="1"/>
      <w:numFmt w:val="lowerLetter"/>
      <w:lvlText w:val="%5."/>
      <w:lvlJc w:val="left"/>
      <w:pPr>
        <w:ind w:left="4367" w:hanging="360"/>
      </w:pPr>
    </w:lvl>
    <w:lvl w:ilvl="5" w:tplc="0C09001B" w:tentative="1">
      <w:start w:val="1"/>
      <w:numFmt w:val="lowerRoman"/>
      <w:lvlText w:val="%6."/>
      <w:lvlJc w:val="right"/>
      <w:pPr>
        <w:ind w:left="5087" w:hanging="180"/>
      </w:pPr>
    </w:lvl>
    <w:lvl w:ilvl="6" w:tplc="0C09000F" w:tentative="1">
      <w:start w:val="1"/>
      <w:numFmt w:val="decimal"/>
      <w:lvlText w:val="%7."/>
      <w:lvlJc w:val="left"/>
      <w:pPr>
        <w:ind w:left="5807" w:hanging="360"/>
      </w:pPr>
    </w:lvl>
    <w:lvl w:ilvl="7" w:tplc="0C090019" w:tentative="1">
      <w:start w:val="1"/>
      <w:numFmt w:val="lowerLetter"/>
      <w:lvlText w:val="%8."/>
      <w:lvlJc w:val="left"/>
      <w:pPr>
        <w:ind w:left="6527" w:hanging="360"/>
      </w:pPr>
    </w:lvl>
    <w:lvl w:ilvl="8" w:tplc="0C09001B" w:tentative="1">
      <w:start w:val="1"/>
      <w:numFmt w:val="lowerRoman"/>
      <w:lvlText w:val="%9."/>
      <w:lvlJc w:val="right"/>
      <w:pPr>
        <w:ind w:left="7247" w:hanging="180"/>
      </w:pPr>
    </w:lvl>
  </w:abstractNum>
  <w:abstractNum w:abstractNumId="16" w15:restartNumberingAfterBreak="0">
    <w:nsid w:val="48BE6DA4"/>
    <w:multiLevelType w:val="multilevel"/>
    <w:tmpl w:val="FAF04EA0"/>
    <w:lvl w:ilvl="0">
      <w:start w:val="1"/>
      <w:numFmt w:val="bullet"/>
      <w:pStyle w:val="BoxBullet"/>
      <w:lvlText w:val=""/>
      <w:lvlJc w:val="left"/>
      <w:pPr>
        <w:tabs>
          <w:tab w:val="num" w:pos="567"/>
        </w:tabs>
        <w:ind w:left="567" w:hanging="567"/>
      </w:pPr>
      <w:rPr>
        <w:rFonts w:ascii="Symbol" w:hAnsi="Symbol" w:cs="Symbol" w:hint="default"/>
        <w:b/>
        <w:bCs/>
        <w:i w:val="0"/>
        <w:iCs w:val="0"/>
        <w:sz w:val="24"/>
        <w:szCs w:val="24"/>
      </w:rPr>
    </w:lvl>
    <w:lvl w:ilvl="1">
      <w:start w:val="1"/>
      <w:numFmt w:val="decimal"/>
      <w:isLgl/>
      <w:lvlText w:val="%1.%2"/>
      <w:lvlJc w:val="left"/>
      <w:pPr>
        <w:tabs>
          <w:tab w:val="num" w:pos="936"/>
        </w:tabs>
        <w:ind w:left="936" w:hanging="576"/>
      </w:pPr>
      <w:rPr>
        <w:rFonts w:ascii="Trebuchet MS" w:hAnsi="Trebuchet MS" w:cs="Trebuchet MS" w:hint="default"/>
        <w:b/>
        <w:bCs/>
        <w:i w:val="0"/>
        <w:iCs w:val="0"/>
        <w:sz w:val="24"/>
        <w:szCs w:val="24"/>
      </w:rPr>
    </w:lvl>
    <w:lvl w:ilvl="2">
      <w:start w:val="1"/>
      <w:numFmt w:val="decimal"/>
      <w:lvlText w:val="1%1.%2.%3"/>
      <w:lvlJc w:val="left"/>
      <w:pPr>
        <w:tabs>
          <w:tab w:val="num" w:pos="1080"/>
        </w:tabs>
        <w:ind w:left="1080" w:hanging="720"/>
      </w:pPr>
      <w:rPr>
        <w:rFonts w:ascii="Trebuchet MS" w:hAnsi="Trebuchet MS" w:cs="Trebuchet MS" w:hint="default"/>
        <w:b/>
        <w:bCs/>
        <w:i w:val="0"/>
        <w:iCs w:val="0"/>
        <w:sz w:val="24"/>
        <w:szCs w:val="24"/>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b/>
        <w:bCs/>
        <w:i w:val="0"/>
        <w:iCs w:val="0"/>
        <w:sz w:val="24"/>
        <w:szCs w:val="24"/>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7" w15:restartNumberingAfterBreak="0">
    <w:nsid w:val="4D284770"/>
    <w:multiLevelType w:val="hybridMultilevel"/>
    <w:tmpl w:val="D4347804"/>
    <w:lvl w:ilvl="0" w:tplc="098C7FDC">
      <w:start w:val="2"/>
      <w:numFmt w:val="lowerRoman"/>
      <w:lvlText w:val="(%1)"/>
      <w:lvlJc w:val="left"/>
      <w:pPr>
        <w:ind w:left="2421"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3053827"/>
    <w:multiLevelType w:val="hybridMultilevel"/>
    <w:tmpl w:val="173E2B18"/>
    <w:lvl w:ilvl="0" w:tplc="B96CD2FE">
      <w:start w:val="14"/>
      <w:numFmt w:val="decimal"/>
      <w:lvlText w:val="%1"/>
      <w:lvlJc w:val="left"/>
      <w:pPr>
        <w:ind w:left="774" w:hanging="360"/>
      </w:pPr>
      <w:rPr>
        <w:rFonts w:hint="default"/>
      </w:rPr>
    </w:lvl>
    <w:lvl w:ilvl="1" w:tplc="0C090019" w:tentative="1">
      <w:start w:val="1"/>
      <w:numFmt w:val="lowerLetter"/>
      <w:lvlText w:val="%2."/>
      <w:lvlJc w:val="left"/>
      <w:pPr>
        <w:ind w:left="1494" w:hanging="360"/>
      </w:pPr>
    </w:lvl>
    <w:lvl w:ilvl="2" w:tplc="0C09001B" w:tentative="1">
      <w:start w:val="1"/>
      <w:numFmt w:val="lowerRoman"/>
      <w:lvlText w:val="%3."/>
      <w:lvlJc w:val="right"/>
      <w:pPr>
        <w:ind w:left="2214" w:hanging="180"/>
      </w:pPr>
    </w:lvl>
    <w:lvl w:ilvl="3" w:tplc="0C09000F" w:tentative="1">
      <w:start w:val="1"/>
      <w:numFmt w:val="decimal"/>
      <w:lvlText w:val="%4."/>
      <w:lvlJc w:val="left"/>
      <w:pPr>
        <w:ind w:left="2934" w:hanging="360"/>
      </w:pPr>
    </w:lvl>
    <w:lvl w:ilvl="4" w:tplc="0C090019" w:tentative="1">
      <w:start w:val="1"/>
      <w:numFmt w:val="lowerLetter"/>
      <w:lvlText w:val="%5."/>
      <w:lvlJc w:val="left"/>
      <w:pPr>
        <w:ind w:left="3654" w:hanging="360"/>
      </w:pPr>
    </w:lvl>
    <w:lvl w:ilvl="5" w:tplc="0C09001B" w:tentative="1">
      <w:start w:val="1"/>
      <w:numFmt w:val="lowerRoman"/>
      <w:lvlText w:val="%6."/>
      <w:lvlJc w:val="right"/>
      <w:pPr>
        <w:ind w:left="4374" w:hanging="180"/>
      </w:pPr>
    </w:lvl>
    <w:lvl w:ilvl="6" w:tplc="0C09000F" w:tentative="1">
      <w:start w:val="1"/>
      <w:numFmt w:val="decimal"/>
      <w:lvlText w:val="%7."/>
      <w:lvlJc w:val="left"/>
      <w:pPr>
        <w:ind w:left="5094" w:hanging="360"/>
      </w:pPr>
    </w:lvl>
    <w:lvl w:ilvl="7" w:tplc="0C090019" w:tentative="1">
      <w:start w:val="1"/>
      <w:numFmt w:val="lowerLetter"/>
      <w:lvlText w:val="%8."/>
      <w:lvlJc w:val="left"/>
      <w:pPr>
        <w:ind w:left="5814" w:hanging="360"/>
      </w:pPr>
    </w:lvl>
    <w:lvl w:ilvl="8" w:tplc="0C09001B" w:tentative="1">
      <w:start w:val="1"/>
      <w:numFmt w:val="lowerRoman"/>
      <w:lvlText w:val="%9."/>
      <w:lvlJc w:val="right"/>
      <w:pPr>
        <w:ind w:left="6534" w:hanging="180"/>
      </w:pPr>
    </w:lvl>
  </w:abstractNum>
  <w:abstractNum w:abstractNumId="19" w15:restartNumberingAfterBreak="0">
    <w:nsid w:val="57C85B24"/>
    <w:multiLevelType w:val="hybridMultilevel"/>
    <w:tmpl w:val="011E3A30"/>
    <w:lvl w:ilvl="0" w:tplc="4F026FA2">
      <w:start w:val="1"/>
      <w:numFmt w:val="lowerLetter"/>
      <w:lvlText w:val="(%1)"/>
      <w:lvlJc w:val="left"/>
      <w:pPr>
        <w:tabs>
          <w:tab w:val="num" w:pos="567"/>
        </w:tabs>
        <w:ind w:left="567" w:hanging="56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B8A4BED"/>
    <w:multiLevelType w:val="hybridMultilevel"/>
    <w:tmpl w:val="2910ABD0"/>
    <w:lvl w:ilvl="0" w:tplc="3BE40E38">
      <w:start w:val="1"/>
      <w:numFmt w:val="lowerRoman"/>
      <w:lvlText w:val="(%1)"/>
      <w:lvlJc w:val="left"/>
      <w:pPr>
        <w:ind w:left="2988" w:hanging="360"/>
      </w:pPr>
      <w:rPr>
        <w:rFonts w:hint="default"/>
      </w:rPr>
    </w:lvl>
    <w:lvl w:ilvl="1" w:tplc="0C090019" w:tentative="1">
      <w:start w:val="1"/>
      <w:numFmt w:val="lowerLetter"/>
      <w:lvlText w:val="%2."/>
      <w:lvlJc w:val="left"/>
      <w:pPr>
        <w:ind w:left="3708" w:hanging="360"/>
      </w:pPr>
    </w:lvl>
    <w:lvl w:ilvl="2" w:tplc="0C09001B" w:tentative="1">
      <w:start w:val="1"/>
      <w:numFmt w:val="lowerRoman"/>
      <w:lvlText w:val="%3."/>
      <w:lvlJc w:val="right"/>
      <w:pPr>
        <w:ind w:left="4428" w:hanging="180"/>
      </w:pPr>
    </w:lvl>
    <w:lvl w:ilvl="3" w:tplc="0C09000F" w:tentative="1">
      <w:start w:val="1"/>
      <w:numFmt w:val="decimal"/>
      <w:lvlText w:val="%4."/>
      <w:lvlJc w:val="left"/>
      <w:pPr>
        <w:ind w:left="5148" w:hanging="360"/>
      </w:pPr>
    </w:lvl>
    <w:lvl w:ilvl="4" w:tplc="0C090019" w:tentative="1">
      <w:start w:val="1"/>
      <w:numFmt w:val="lowerLetter"/>
      <w:lvlText w:val="%5."/>
      <w:lvlJc w:val="left"/>
      <w:pPr>
        <w:ind w:left="5868" w:hanging="360"/>
      </w:pPr>
    </w:lvl>
    <w:lvl w:ilvl="5" w:tplc="0C09001B" w:tentative="1">
      <w:start w:val="1"/>
      <w:numFmt w:val="lowerRoman"/>
      <w:lvlText w:val="%6."/>
      <w:lvlJc w:val="right"/>
      <w:pPr>
        <w:ind w:left="6588" w:hanging="180"/>
      </w:pPr>
    </w:lvl>
    <w:lvl w:ilvl="6" w:tplc="0C09000F" w:tentative="1">
      <w:start w:val="1"/>
      <w:numFmt w:val="decimal"/>
      <w:lvlText w:val="%7."/>
      <w:lvlJc w:val="left"/>
      <w:pPr>
        <w:ind w:left="7308" w:hanging="360"/>
      </w:pPr>
    </w:lvl>
    <w:lvl w:ilvl="7" w:tplc="0C090019" w:tentative="1">
      <w:start w:val="1"/>
      <w:numFmt w:val="lowerLetter"/>
      <w:lvlText w:val="%8."/>
      <w:lvlJc w:val="left"/>
      <w:pPr>
        <w:ind w:left="8028" w:hanging="360"/>
      </w:pPr>
    </w:lvl>
    <w:lvl w:ilvl="8" w:tplc="0C09001B" w:tentative="1">
      <w:start w:val="1"/>
      <w:numFmt w:val="lowerRoman"/>
      <w:lvlText w:val="%9."/>
      <w:lvlJc w:val="right"/>
      <w:pPr>
        <w:ind w:left="8748" w:hanging="180"/>
      </w:pPr>
    </w:lvl>
  </w:abstractNum>
  <w:abstractNum w:abstractNumId="21" w15:restartNumberingAfterBreak="0">
    <w:nsid w:val="764C1E70"/>
    <w:multiLevelType w:val="multilevel"/>
    <w:tmpl w:val="2B50FFF8"/>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843"/>
        </w:tabs>
        <w:ind w:left="1843" w:hanging="567"/>
      </w:pPr>
      <w:rPr>
        <w:rFonts w:hint="default"/>
      </w:rPr>
    </w:lvl>
    <w:lvl w:ilvl="2">
      <w:start w:val="1"/>
      <w:numFmt w:val="upperLetter"/>
      <w:lvlText w:val="(%3)"/>
      <w:lvlJc w:val="left"/>
      <w:pPr>
        <w:tabs>
          <w:tab w:val="num" w:pos="1701"/>
        </w:tabs>
        <w:ind w:left="1701" w:hanging="567"/>
      </w:pPr>
      <w:rPr>
        <w:rFonts w:hint="default"/>
        <w:b w:val="0"/>
      </w:rPr>
    </w:lvl>
    <w:lvl w:ilvl="3">
      <w:start w:val="1"/>
      <w:numFmt w:val="upperLetter"/>
      <w:lvlText w:val="(%4)"/>
      <w:lvlJc w:val="left"/>
      <w:pPr>
        <w:tabs>
          <w:tab w:val="num" w:pos="2268"/>
        </w:tabs>
        <w:ind w:left="226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16"/>
  </w:num>
  <w:num w:numId="3">
    <w:abstractNumId w:val="6"/>
  </w:num>
  <w:num w:numId="4">
    <w:abstractNumId w:val="6"/>
  </w:num>
  <w:num w:numId="5">
    <w:abstractNumId w:val="7"/>
  </w:num>
  <w:num w:numId="6">
    <w:abstractNumId w:val="18"/>
  </w:num>
  <w:num w:numId="7">
    <w:abstractNumId w:val="14"/>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7"/>
  </w:num>
  <w:num w:numId="11">
    <w:abstractNumId w:val="1"/>
  </w:num>
  <w:num w:numId="12">
    <w:abstractNumId w:val="15"/>
  </w:num>
  <w:num w:numId="13">
    <w:abstractNumId w:val="4"/>
  </w:num>
  <w:num w:numId="14">
    <w:abstractNumId w:val="13"/>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21"/>
  </w:num>
  <w:num w:numId="18">
    <w:abstractNumId w:val="9"/>
  </w:num>
  <w:num w:numId="19">
    <w:abstractNumId w:val="20"/>
  </w:num>
  <w:num w:numId="20">
    <w:abstractNumId w:val="10"/>
  </w:num>
  <w:num w:numId="21">
    <w:abstractNumId w:val="2"/>
  </w:num>
  <w:num w:numId="22">
    <w:abstractNumId w:val="12"/>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num>
  <w:num w:numId="25">
    <w:abstractNumId w:val="11"/>
  </w:num>
  <w:num w:numId="26">
    <w:abstractNumId w:val="3"/>
    <w:lvlOverride w:ilvl="0">
      <w:lvl w:ilvl="0">
        <w:start w:val="1"/>
        <w:numFmt w:val="decimal"/>
        <w:lvlText w:val="%1."/>
        <w:lvlJc w:val="left"/>
        <w:pPr>
          <w:ind w:left="360" w:hanging="360"/>
        </w:pPr>
        <w:rPr>
          <w:rFonts w:hint="default"/>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upperLetter"/>
        <w:lvlText w:val="(%4)"/>
        <w:lvlJc w:val="left"/>
        <w:pPr>
          <w:ind w:left="1525" w:hanging="445"/>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7">
    <w:abstractNumId w:val="3"/>
    <w:lvlOverride w:ilvl="0">
      <w:startOverride w:val="1"/>
      <w:lvl w:ilvl="0">
        <w:start w:val="1"/>
        <w:numFmt w:val="decimal"/>
        <w:lvlText w:val="%1."/>
        <w:lvlJc w:val="left"/>
        <w:pPr>
          <w:ind w:left="360" w:hanging="360"/>
        </w:pPr>
        <w:rPr>
          <w:rFonts w:hint="default"/>
        </w:rPr>
      </w:lvl>
    </w:lvlOverride>
    <w:lvlOverride w:ilvl="1">
      <w:startOverride w:val="1"/>
      <w:lvl w:ilvl="1">
        <w:start w:val="1"/>
        <w:numFmt w:val="lowerLetter"/>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upperLetter"/>
        <w:lvlText w:val="(%4)"/>
        <w:lvlJc w:val="left"/>
        <w:pPr>
          <w:ind w:left="1525" w:hanging="445"/>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8">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567"/>
  <w:drawingGridHorizontalSpacing w:val="110"/>
  <w:displayHorizontalDrawingGridEvery w:val="2"/>
  <w:displayVerticalDrawingGridEvery w:val="2"/>
  <w:characterSpacingControl w:val="doNotCompress"/>
  <w:hdrShapeDefaults>
    <o:shapedefaults v:ext="edit" spidmax="1679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9C3"/>
    <w:rsid w:val="000002B3"/>
    <w:rsid w:val="00000EF2"/>
    <w:rsid w:val="0000164F"/>
    <w:rsid w:val="00001665"/>
    <w:rsid w:val="0000183A"/>
    <w:rsid w:val="00001852"/>
    <w:rsid w:val="00001C88"/>
    <w:rsid w:val="00001D43"/>
    <w:rsid w:val="0000228A"/>
    <w:rsid w:val="0000276C"/>
    <w:rsid w:val="00002A03"/>
    <w:rsid w:val="00002B04"/>
    <w:rsid w:val="00002C02"/>
    <w:rsid w:val="000032AA"/>
    <w:rsid w:val="000037F3"/>
    <w:rsid w:val="0000398A"/>
    <w:rsid w:val="00003B02"/>
    <w:rsid w:val="000043B6"/>
    <w:rsid w:val="00004996"/>
    <w:rsid w:val="00005113"/>
    <w:rsid w:val="000053C1"/>
    <w:rsid w:val="0000563D"/>
    <w:rsid w:val="000058F1"/>
    <w:rsid w:val="00005C89"/>
    <w:rsid w:val="00005E3D"/>
    <w:rsid w:val="000060EE"/>
    <w:rsid w:val="000061A6"/>
    <w:rsid w:val="000072EA"/>
    <w:rsid w:val="00007438"/>
    <w:rsid w:val="000100D5"/>
    <w:rsid w:val="00010237"/>
    <w:rsid w:val="000105AE"/>
    <w:rsid w:val="00010B9D"/>
    <w:rsid w:val="00010CC2"/>
    <w:rsid w:val="00011443"/>
    <w:rsid w:val="00011DBC"/>
    <w:rsid w:val="000127A7"/>
    <w:rsid w:val="00012BB3"/>
    <w:rsid w:val="00012FC4"/>
    <w:rsid w:val="00013459"/>
    <w:rsid w:val="00013ADC"/>
    <w:rsid w:val="00013AE7"/>
    <w:rsid w:val="00014104"/>
    <w:rsid w:val="00014483"/>
    <w:rsid w:val="00014E9D"/>
    <w:rsid w:val="00014EC7"/>
    <w:rsid w:val="0001525F"/>
    <w:rsid w:val="00015AF5"/>
    <w:rsid w:val="00015EB3"/>
    <w:rsid w:val="00016017"/>
    <w:rsid w:val="00016422"/>
    <w:rsid w:val="00017D91"/>
    <w:rsid w:val="0002009B"/>
    <w:rsid w:val="0002097F"/>
    <w:rsid w:val="00021877"/>
    <w:rsid w:val="00021AAA"/>
    <w:rsid w:val="00021BDB"/>
    <w:rsid w:val="00021FBE"/>
    <w:rsid w:val="0002203B"/>
    <w:rsid w:val="000225FA"/>
    <w:rsid w:val="000229DF"/>
    <w:rsid w:val="000229F1"/>
    <w:rsid w:val="00022B2D"/>
    <w:rsid w:val="00022C76"/>
    <w:rsid w:val="00022FB2"/>
    <w:rsid w:val="00023566"/>
    <w:rsid w:val="00024556"/>
    <w:rsid w:val="000249FC"/>
    <w:rsid w:val="00024C70"/>
    <w:rsid w:val="00025E0D"/>
    <w:rsid w:val="0002624B"/>
    <w:rsid w:val="00026294"/>
    <w:rsid w:val="00026C75"/>
    <w:rsid w:val="0002744A"/>
    <w:rsid w:val="00027767"/>
    <w:rsid w:val="00031180"/>
    <w:rsid w:val="00032BF6"/>
    <w:rsid w:val="00033944"/>
    <w:rsid w:val="00033B74"/>
    <w:rsid w:val="00033D81"/>
    <w:rsid w:val="0003529B"/>
    <w:rsid w:val="00035E77"/>
    <w:rsid w:val="000372C1"/>
    <w:rsid w:val="00037658"/>
    <w:rsid w:val="000376CA"/>
    <w:rsid w:val="000378DB"/>
    <w:rsid w:val="00040488"/>
    <w:rsid w:val="00040607"/>
    <w:rsid w:val="000406A3"/>
    <w:rsid w:val="000424AD"/>
    <w:rsid w:val="00042F49"/>
    <w:rsid w:val="0004373A"/>
    <w:rsid w:val="00043F77"/>
    <w:rsid w:val="00044B29"/>
    <w:rsid w:val="00045295"/>
    <w:rsid w:val="0004548A"/>
    <w:rsid w:val="00045CB0"/>
    <w:rsid w:val="00045EC1"/>
    <w:rsid w:val="00046273"/>
    <w:rsid w:val="000468AD"/>
    <w:rsid w:val="00047832"/>
    <w:rsid w:val="00047A8F"/>
    <w:rsid w:val="00047AD5"/>
    <w:rsid w:val="0005012D"/>
    <w:rsid w:val="00050551"/>
    <w:rsid w:val="00050C0B"/>
    <w:rsid w:val="00050F2B"/>
    <w:rsid w:val="000511C9"/>
    <w:rsid w:val="0005128A"/>
    <w:rsid w:val="00051420"/>
    <w:rsid w:val="00051772"/>
    <w:rsid w:val="000517BD"/>
    <w:rsid w:val="000518B9"/>
    <w:rsid w:val="00051B8D"/>
    <w:rsid w:val="00051C79"/>
    <w:rsid w:val="00051F96"/>
    <w:rsid w:val="000527BD"/>
    <w:rsid w:val="000528B5"/>
    <w:rsid w:val="00052F51"/>
    <w:rsid w:val="00053184"/>
    <w:rsid w:val="00053457"/>
    <w:rsid w:val="000535B2"/>
    <w:rsid w:val="00053D9E"/>
    <w:rsid w:val="0005447F"/>
    <w:rsid w:val="00055326"/>
    <w:rsid w:val="0005580D"/>
    <w:rsid w:val="00056340"/>
    <w:rsid w:val="00056475"/>
    <w:rsid w:val="0005665C"/>
    <w:rsid w:val="00056B79"/>
    <w:rsid w:val="00056D01"/>
    <w:rsid w:val="00057ABA"/>
    <w:rsid w:val="00057FAE"/>
    <w:rsid w:val="000602DD"/>
    <w:rsid w:val="000608FB"/>
    <w:rsid w:val="0006119B"/>
    <w:rsid w:val="000613C4"/>
    <w:rsid w:val="00061597"/>
    <w:rsid w:val="000617CF"/>
    <w:rsid w:val="00061921"/>
    <w:rsid w:val="000626C5"/>
    <w:rsid w:val="00062711"/>
    <w:rsid w:val="00062AED"/>
    <w:rsid w:val="00062E2E"/>
    <w:rsid w:val="0006337F"/>
    <w:rsid w:val="0006357D"/>
    <w:rsid w:val="00063633"/>
    <w:rsid w:val="0006374C"/>
    <w:rsid w:val="0006388D"/>
    <w:rsid w:val="00063C1A"/>
    <w:rsid w:val="0006491C"/>
    <w:rsid w:val="00065069"/>
    <w:rsid w:val="00065652"/>
    <w:rsid w:val="0006657A"/>
    <w:rsid w:val="000666B0"/>
    <w:rsid w:val="00066BD0"/>
    <w:rsid w:val="00067CB8"/>
    <w:rsid w:val="00067DCB"/>
    <w:rsid w:val="00067E1D"/>
    <w:rsid w:val="00067EB4"/>
    <w:rsid w:val="00070635"/>
    <w:rsid w:val="000715B1"/>
    <w:rsid w:val="00071CB5"/>
    <w:rsid w:val="00072013"/>
    <w:rsid w:val="0007219B"/>
    <w:rsid w:val="00072AB7"/>
    <w:rsid w:val="00072AE6"/>
    <w:rsid w:val="00072B71"/>
    <w:rsid w:val="00072C30"/>
    <w:rsid w:val="00074569"/>
    <w:rsid w:val="0007468C"/>
    <w:rsid w:val="000748F8"/>
    <w:rsid w:val="00074BD6"/>
    <w:rsid w:val="00076EBC"/>
    <w:rsid w:val="00080FC6"/>
    <w:rsid w:val="000810D9"/>
    <w:rsid w:val="00081A91"/>
    <w:rsid w:val="00081C86"/>
    <w:rsid w:val="00081CCD"/>
    <w:rsid w:val="00081F3E"/>
    <w:rsid w:val="0008290C"/>
    <w:rsid w:val="00082FB7"/>
    <w:rsid w:val="000833DC"/>
    <w:rsid w:val="00083474"/>
    <w:rsid w:val="000837F8"/>
    <w:rsid w:val="00083FA5"/>
    <w:rsid w:val="0008431A"/>
    <w:rsid w:val="0008479E"/>
    <w:rsid w:val="00084B7B"/>
    <w:rsid w:val="0008507F"/>
    <w:rsid w:val="00085270"/>
    <w:rsid w:val="00085614"/>
    <w:rsid w:val="00085C4F"/>
    <w:rsid w:val="00086946"/>
    <w:rsid w:val="00086987"/>
    <w:rsid w:val="000872A2"/>
    <w:rsid w:val="0008746B"/>
    <w:rsid w:val="00087D3A"/>
    <w:rsid w:val="00087D3E"/>
    <w:rsid w:val="0009065E"/>
    <w:rsid w:val="000910EB"/>
    <w:rsid w:val="0009143C"/>
    <w:rsid w:val="00091A85"/>
    <w:rsid w:val="00091F81"/>
    <w:rsid w:val="0009230D"/>
    <w:rsid w:val="000927E8"/>
    <w:rsid w:val="00092A57"/>
    <w:rsid w:val="00092BA6"/>
    <w:rsid w:val="00092DD1"/>
    <w:rsid w:val="0009342D"/>
    <w:rsid w:val="00093726"/>
    <w:rsid w:val="00093D29"/>
    <w:rsid w:val="00094CD0"/>
    <w:rsid w:val="00094E92"/>
    <w:rsid w:val="0009584E"/>
    <w:rsid w:val="00096212"/>
    <w:rsid w:val="00096E90"/>
    <w:rsid w:val="000976D1"/>
    <w:rsid w:val="00097908"/>
    <w:rsid w:val="00097E60"/>
    <w:rsid w:val="000A0287"/>
    <w:rsid w:val="000A08A1"/>
    <w:rsid w:val="000A0907"/>
    <w:rsid w:val="000A09D5"/>
    <w:rsid w:val="000A0BE4"/>
    <w:rsid w:val="000A0C92"/>
    <w:rsid w:val="000A103A"/>
    <w:rsid w:val="000A1B32"/>
    <w:rsid w:val="000A267A"/>
    <w:rsid w:val="000A3DE2"/>
    <w:rsid w:val="000A419D"/>
    <w:rsid w:val="000A4360"/>
    <w:rsid w:val="000A4399"/>
    <w:rsid w:val="000A4EE3"/>
    <w:rsid w:val="000A5557"/>
    <w:rsid w:val="000A5838"/>
    <w:rsid w:val="000A5B43"/>
    <w:rsid w:val="000A61BE"/>
    <w:rsid w:val="000A6934"/>
    <w:rsid w:val="000A7089"/>
    <w:rsid w:val="000A715E"/>
    <w:rsid w:val="000B002E"/>
    <w:rsid w:val="000B02D0"/>
    <w:rsid w:val="000B0662"/>
    <w:rsid w:val="000B0E2A"/>
    <w:rsid w:val="000B13F2"/>
    <w:rsid w:val="000B175B"/>
    <w:rsid w:val="000B1786"/>
    <w:rsid w:val="000B1833"/>
    <w:rsid w:val="000B244D"/>
    <w:rsid w:val="000B2839"/>
    <w:rsid w:val="000B2E8B"/>
    <w:rsid w:val="000B39D6"/>
    <w:rsid w:val="000B49BC"/>
    <w:rsid w:val="000B4B36"/>
    <w:rsid w:val="000B4C6F"/>
    <w:rsid w:val="000B50BB"/>
    <w:rsid w:val="000B5269"/>
    <w:rsid w:val="000B5EE8"/>
    <w:rsid w:val="000B67F1"/>
    <w:rsid w:val="000B70C8"/>
    <w:rsid w:val="000B7C4B"/>
    <w:rsid w:val="000B7CED"/>
    <w:rsid w:val="000B7EF5"/>
    <w:rsid w:val="000C0473"/>
    <w:rsid w:val="000C1565"/>
    <w:rsid w:val="000C1D94"/>
    <w:rsid w:val="000C2D2A"/>
    <w:rsid w:val="000C3548"/>
    <w:rsid w:val="000C43E6"/>
    <w:rsid w:val="000C4EEC"/>
    <w:rsid w:val="000C502A"/>
    <w:rsid w:val="000C504B"/>
    <w:rsid w:val="000C5179"/>
    <w:rsid w:val="000C5AB0"/>
    <w:rsid w:val="000C5F8D"/>
    <w:rsid w:val="000C6265"/>
    <w:rsid w:val="000C703E"/>
    <w:rsid w:val="000D054A"/>
    <w:rsid w:val="000D05E5"/>
    <w:rsid w:val="000D05EB"/>
    <w:rsid w:val="000D0D70"/>
    <w:rsid w:val="000D17C1"/>
    <w:rsid w:val="000D237A"/>
    <w:rsid w:val="000D3A75"/>
    <w:rsid w:val="000D40A6"/>
    <w:rsid w:val="000D423B"/>
    <w:rsid w:val="000D4323"/>
    <w:rsid w:val="000D5122"/>
    <w:rsid w:val="000D55B6"/>
    <w:rsid w:val="000D63A8"/>
    <w:rsid w:val="000D6492"/>
    <w:rsid w:val="000D679E"/>
    <w:rsid w:val="000D6BDD"/>
    <w:rsid w:val="000D72B0"/>
    <w:rsid w:val="000D7520"/>
    <w:rsid w:val="000D7657"/>
    <w:rsid w:val="000D7A3C"/>
    <w:rsid w:val="000D7A9C"/>
    <w:rsid w:val="000E01BE"/>
    <w:rsid w:val="000E0266"/>
    <w:rsid w:val="000E04CB"/>
    <w:rsid w:val="000E0EB8"/>
    <w:rsid w:val="000E103C"/>
    <w:rsid w:val="000E1256"/>
    <w:rsid w:val="000E1498"/>
    <w:rsid w:val="000E1577"/>
    <w:rsid w:val="000E1848"/>
    <w:rsid w:val="000E18CE"/>
    <w:rsid w:val="000E2D85"/>
    <w:rsid w:val="000E2DA8"/>
    <w:rsid w:val="000E300E"/>
    <w:rsid w:val="000E34E9"/>
    <w:rsid w:val="000E3976"/>
    <w:rsid w:val="000E39A2"/>
    <w:rsid w:val="000E3D3E"/>
    <w:rsid w:val="000E4198"/>
    <w:rsid w:val="000E4242"/>
    <w:rsid w:val="000E42E3"/>
    <w:rsid w:val="000E4E52"/>
    <w:rsid w:val="000E5369"/>
    <w:rsid w:val="000E54E7"/>
    <w:rsid w:val="000E551E"/>
    <w:rsid w:val="000E58B0"/>
    <w:rsid w:val="000E5F88"/>
    <w:rsid w:val="000E6706"/>
    <w:rsid w:val="000E6BDC"/>
    <w:rsid w:val="000E6D69"/>
    <w:rsid w:val="000E6F3F"/>
    <w:rsid w:val="000E7538"/>
    <w:rsid w:val="000E7B31"/>
    <w:rsid w:val="000E7F2D"/>
    <w:rsid w:val="000F0741"/>
    <w:rsid w:val="000F0E47"/>
    <w:rsid w:val="000F139E"/>
    <w:rsid w:val="000F15F7"/>
    <w:rsid w:val="000F1E34"/>
    <w:rsid w:val="000F2640"/>
    <w:rsid w:val="000F2AA0"/>
    <w:rsid w:val="000F2BBE"/>
    <w:rsid w:val="000F2CAA"/>
    <w:rsid w:val="000F31BD"/>
    <w:rsid w:val="000F32F6"/>
    <w:rsid w:val="000F3856"/>
    <w:rsid w:val="000F42C1"/>
    <w:rsid w:val="000F4902"/>
    <w:rsid w:val="000F4D15"/>
    <w:rsid w:val="000F503E"/>
    <w:rsid w:val="000F56FF"/>
    <w:rsid w:val="000F57D4"/>
    <w:rsid w:val="000F5B30"/>
    <w:rsid w:val="000F5D82"/>
    <w:rsid w:val="000F5FA5"/>
    <w:rsid w:val="000F61A9"/>
    <w:rsid w:val="000F622F"/>
    <w:rsid w:val="000F6629"/>
    <w:rsid w:val="000F6684"/>
    <w:rsid w:val="000F68C1"/>
    <w:rsid w:val="000F71D6"/>
    <w:rsid w:val="000F759D"/>
    <w:rsid w:val="000F77C1"/>
    <w:rsid w:val="0010002E"/>
    <w:rsid w:val="001014AD"/>
    <w:rsid w:val="00101D83"/>
    <w:rsid w:val="001026BA"/>
    <w:rsid w:val="001027DC"/>
    <w:rsid w:val="00103FBD"/>
    <w:rsid w:val="0010419B"/>
    <w:rsid w:val="00104711"/>
    <w:rsid w:val="00105809"/>
    <w:rsid w:val="00105B7F"/>
    <w:rsid w:val="00105B8D"/>
    <w:rsid w:val="00105CC0"/>
    <w:rsid w:val="00105E2C"/>
    <w:rsid w:val="00107414"/>
    <w:rsid w:val="001074B3"/>
    <w:rsid w:val="001076E7"/>
    <w:rsid w:val="001103B6"/>
    <w:rsid w:val="0011089B"/>
    <w:rsid w:val="00110917"/>
    <w:rsid w:val="00110A0F"/>
    <w:rsid w:val="0011157B"/>
    <w:rsid w:val="00111778"/>
    <w:rsid w:val="00111E1F"/>
    <w:rsid w:val="0011214F"/>
    <w:rsid w:val="0011222C"/>
    <w:rsid w:val="001124C7"/>
    <w:rsid w:val="0011328A"/>
    <w:rsid w:val="00113CF2"/>
    <w:rsid w:val="00113E5B"/>
    <w:rsid w:val="00113F76"/>
    <w:rsid w:val="0011418C"/>
    <w:rsid w:val="001141C2"/>
    <w:rsid w:val="00115216"/>
    <w:rsid w:val="00115434"/>
    <w:rsid w:val="00115747"/>
    <w:rsid w:val="00115BE1"/>
    <w:rsid w:val="00115C89"/>
    <w:rsid w:val="00115DF9"/>
    <w:rsid w:val="00116757"/>
    <w:rsid w:val="00116CA8"/>
    <w:rsid w:val="00116CFD"/>
    <w:rsid w:val="0011773B"/>
    <w:rsid w:val="00117C30"/>
    <w:rsid w:val="00120032"/>
    <w:rsid w:val="00120717"/>
    <w:rsid w:val="00120EC5"/>
    <w:rsid w:val="00120EC7"/>
    <w:rsid w:val="00121651"/>
    <w:rsid w:val="00122101"/>
    <w:rsid w:val="0012261B"/>
    <w:rsid w:val="00122C47"/>
    <w:rsid w:val="00122C8A"/>
    <w:rsid w:val="00123BA5"/>
    <w:rsid w:val="00123C3F"/>
    <w:rsid w:val="00124B97"/>
    <w:rsid w:val="00124D78"/>
    <w:rsid w:val="0012534A"/>
    <w:rsid w:val="001256DC"/>
    <w:rsid w:val="00125706"/>
    <w:rsid w:val="0012598D"/>
    <w:rsid w:val="00125C46"/>
    <w:rsid w:val="001264DF"/>
    <w:rsid w:val="00126561"/>
    <w:rsid w:val="00126663"/>
    <w:rsid w:val="001269D9"/>
    <w:rsid w:val="00126AD2"/>
    <w:rsid w:val="00127605"/>
    <w:rsid w:val="001276D3"/>
    <w:rsid w:val="00127861"/>
    <w:rsid w:val="00130244"/>
    <w:rsid w:val="00130507"/>
    <w:rsid w:val="00130732"/>
    <w:rsid w:val="001311EF"/>
    <w:rsid w:val="001317C8"/>
    <w:rsid w:val="0013237B"/>
    <w:rsid w:val="00132A4D"/>
    <w:rsid w:val="001330B5"/>
    <w:rsid w:val="00133F71"/>
    <w:rsid w:val="00134400"/>
    <w:rsid w:val="001346F2"/>
    <w:rsid w:val="0013482A"/>
    <w:rsid w:val="00134C24"/>
    <w:rsid w:val="00134E31"/>
    <w:rsid w:val="00135337"/>
    <w:rsid w:val="001364BF"/>
    <w:rsid w:val="00136EDD"/>
    <w:rsid w:val="0014095E"/>
    <w:rsid w:val="0014133D"/>
    <w:rsid w:val="0014137F"/>
    <w:rsid w:val="00141B10"/>
    <w:rsid w:val="00141C58"/>
    <w:rsid w:val="00141CA6"/>
    <w:rsid w:val="0014212B"/>
    <w:rsid w:val="00142443"/>
    <w:rsid w:val="00142C8A"/>
    <w:rsid w:val="00142F6D"/>
    <w:rsid w:val="001439F7"/>
    <w:rsid w:val="00143C25"/>
    <w:rsid w:val="00143C2E"/>
    <w:rsid w:val="00144295"/>
    <w:rsid w:val="001450BB"/>
    <w:rsid w:val="0014516E"/>
    <w:rsid w:val="001455D1"/>
    <w:rsid w:val="0014579F"/>
    <w:rsid w:val="00145ADF"/>
    <w:rsid w:val="00145CE5"/>
    <w:rsid w:val="00146D3E"/>
    <w:rsid w:val="001473BB"/>
    <w:rsid w:val="00147824"/>
    <w:rsid w:val="0014794F"/>
    <w:rsid w:val="001479C1"/>
    <w:rsid w:val="00147A1F"/>
    <w:rsid w:val="00147B4E"/>
    <w:rsid w:val="00147C8A"/>
    <w:rsid w:val="001502D6"/>
    <w:rsid w:val="001507A7"/>
    <w:rsid w:val="00151745"/>
    <w:rsid w:val="00151B73"/>
    <w:rsid w:val="00151F35"/>
    <w:rsid w:val="00152039"/>
    <w:rsid w:val="001536C5"/>
    <w:rsid w:val="00153C86"/>
    <w:rsid w:val="001542EA"/>
    <w:rsid w:val="001543C1"/>
    <w:rsid w:val="001547E2"/>
    <w:rsid w:val="00154A09"/>
    <w:rsid w:val="00154DF1"/>
    <w:rsid w:val="001551A2"/>
    <w:rsid w:val="001554D6"/>
    <w:rsid w:val="0015574A"/>
    <w:rsid w:val="00155D9C"/>
    <w:rsid w:val="00155E51"/>
    <w:rsid w:val="00156C6A"/>
    <w:rsid w:val="00156C73"/>
    <w:rsid w:val="00156FEF"/>
    <w:rsid w:val="00157522"/>
    <w:rsid w:val="0016099D"/>
    <w:rsid w:val="001611BD"/>
    <w:rsid w:val="0016174E"/>
    <w:rsid w:val="001618BE"/>
    <w:rsid w:val="00161B94"/>
    <w:rsid w:val="0016276A"/>
    <w:rsid w:val="001627CD"/>
    <w:rsid w:val="00162E84"/>
    <w:rsid w:val="00162FB3"/>
    <w:rsid w:val="0016306B"/>
    <w:rsid w:val="0016377A"/>
    <w:rsid w:val="00163D56"/>
    <w:rsid w:val="00163E77"/>
    <w:rsid w:val="00164D8F"/>
    <w:rsid w:val="0016530A"/>
    <w:rsid w:val="001656F9"/>
    <w:rsid w:val="00165873"/>
    <w:rsid w:val="00165C8B"/>
    <w:rsid w:val="00166759"/>
    <w:rsid w:val="00166C20"/>
    <w:rsid w:val="00167259"/>
    <w:rsid w:val="001676BC"/>
    <w:rsid w:val="00167BBA"/>
    <w:rsid w:val="00167C5E"/>
    <w:rsid w:val="00170229"/>
    <w:rsid w:val="0017048B"/>
    <w:rsid w:val="001716C8"/>
    <w:rsid w:val="00171CF7"/>
    <w:rsid w:val="00171DD5"/>
    <w:rsid w:val="00172451"/>
    <w:rsid w:val="00172AEA"/>
    <w:rsid w:val="00172D12"/>
    <w:rsid w:val="00172EDF"/>
    <w:rsid w:val="00173089"/>
    <w:rsid w:val="00173A04"/>
    <w:rsid w:val="00174325"/>
    <w:rsid w:val="0017439A"/>
    <w:rsid w:val="00174BCE"/>
    <w:rsid w:val="00174C11"/>
    <w:rsid w:val="00174D1E"/>
    <w:rsid w:val="00174D33"/>
    <w:rsid w:val="00174F2C"/>
    <w:rsid w:val="00175108"/>
    <w:rsid w:val="00175C34"/>
    <w:rsid w:val="00175DD7"/>
    <w:rsid w:val="001769FE"/>
    <w:rsid w:val="00176A05"/>
    <w:rsid w:val="00176E0A"/>
    <w:rsid w:val="0017745A"/>
    <w:rsid w:val="00177844"/>
    <w:rsid w:val="0018030D"/>
    <w:rsid w:val="00182265"/>
    <w:rsid w:val="00182D70"/>
    <w:rsid w:val="00182FA1"/>
    <w:rsid w:val="001832D8"/>
    <w:rsid w:val="0018419E"/>
    <w:rsid w:val="00184718"/>
    <w:rsid w:val="0018491D"/>
    <w:rsid w:val="00184964"/>
    <w:rsid w:val="0018658D"/>
    <w:rsid w:val="00187131"/>
    <w:rsid w:val="0018762D"/>
    <w:rsid w:val="00187ABD"/>
    <w:rsid w:val="00190134"/>
    <w:rsid w:val="00190202"/>
    <w:rsid w:val="001907FE"/>
    <w:rsid w:val="00190B17"/>
    <w:rsid w:val="00190C9A"/>
    <w:rsid w:val="00191DC3"/>
    <w:rsid w:val="00191E06"/>
    <w:rsid w:val="00191F98"/>
    <w:rsid w:val="00191FEF"/>
    <w:rsid w:val="00192344"/>
    <w:rsid w:val="00192A78"/>
    <w:rsid w:val="00193D9A"/>
    <w:rsid w:val="001945DE"/>
    <w:rsid w:val="00194783"/>
    <w:rsid w:val="00195396"/>
    <w:rsid w:val="001956F1"/>
    <w:rsid w:val="00195F19"/>
    <w:rsid w:val="00195FF7"/>
    <w:rsid w:val="0019631A"/>
    <w:rsid w:val="001963CE"/>
    <w:rsid w:val="0019670D"/>
    <w:rsid w:val="0019680B"/>
    <w:rsid w:val="001968B7"/>
    <w:rsid w:val="00196DEC"/>
    <w:rsid w:val="00196FE0"/>
    <w:rsid w:val="0019700C"/>
    <w:rsid w:val="00197A1C"/>
    <w:rsid w:val="00197E29"/>
    <w:rsid w:val="00197E92"/>
    <w:rsid w:val="001A07C8"/>
    <w:rsid w:val="001A0AF3"/>
    <w:rsid w:val="001A0B3E"/>
    <w:rsid w:val="001A0D76"/>
    <w:rsid w:val="001A107B"/>
    <w:rsid w:val="001A1431"/>
    <w:rsid w:val="001A185F"/>
    <w:rsid w:val="001A26A1"/>
    <w:rsid w:val="001A2E3E"/>
    <w:rsid w:val="001A3692"/>
    <w:rsid w:val="001A3756"/>
    <w:rsid w:val="001A378D"/>
    <w:rsid w:val="001A426F"/>
    <w:rsid w:val="001A42C2"/>
    <w:rsid w:val="001A45F4"/>
    <w:rsid w:val="001A4D12"/>
    <w:rsid w:val="001A4D85"/>
    <w:rsid w:val="001A5322"/>
    <w:rsid w:val="001A664F"/>
    <w:rsid w:val="001A6889"/>
    <w:rsid w:val="001A69D8"/>
    <w:rsid w:val="001A7214"/>
    <w:rsid w:val="001A7636"/>
    <w:rsid w:val="001A7BDE"/>
    <w:rsid w:val="001A7F2F"/>
    <w:rsid w:val="001B078D"/>
    <w:rsid w:val="001B0E52"/>
    <w:rsid w:val="001B0F11"/>
    <w:rsid w:val="001B1F5C"/>
    <w:rsid w:val="001B1FA9"/>
    <w:rsid w:val="001B2521"/>
    <w:rsid w:val="001B273B"/>
    <w:rsid w:val="001B2876"/>
    <w:rsid w:val="001B2B92"/>
    <w:rsid w:val="001B2FA0"/>
    <w:rsid w:val="001B3C22"/>
    <w:rsid w:val="001B3DBE"/>
    <w:rsid w:val="001B45BD"/>
    <w:rsid w:val="001B4983"/>
    <w:rsid w:val="001B4BE6"/>
    <w:rsid w:val="001B4F89"/>
    <w:rsid w:val="001B539A"/>
    <w:rsid w:val="001B58A0"/>
    <w:rsid w:val="001B5B70"/>
    <w:rsid w:val="001B5D5E"/>
    <w:rsid w:val="001B6001"/>
    <w:rsid w:val="001B6083"/>
    <w:rsid w:val="001B62B1"/>
    <w:rsid w:val="001B6B5A"/>
    <w:rsid w:val="001B744E"/>
    <w:rsid w:val="001B78E4"/>
    <w:rsid w:val="001C00E3"/>
    <w:rsid w:val="001C0E9E"/>
    <w:rsid w:val="001C1C89"/>
    <w:rsid w:val="001C270E"/>
    <w:rsid w:val="001C297B"/>
    <w:rsid w:val="001C2AE1"/>
    <w:rsid w:val="001C2B0A"/>
    <w:rsid w:val="001C2B67"/>
    <w:rsid w:val="001C2BA1"/>
    <w:rsid w:val="001C2E94"/>
    <w:rsid w:val="001C326F"/>
    <w:rsid w:val="001C5290"/>
    <w:rsid w:val="001C5373"/>
    <w:rsid w:val="001C5810"/>
    <w:rsid w:val="001C59A0"/>
    <w:rsid w:val="001C60A8"/>
    <w:rsid w:val="001C614E"/>
    <w:rsid w:val="001C6715"/>
    <w:rsid w:val="001C6C84"/>
    <w:rsid w:val="001C6FD7"/>
    <w:rsid w:val="001C7341"/>
    <w:rsid w:val="001C7353"/>
    <w:rsid w:val="001C755C"/>
    <w:rsid w:val="001C7691"/>
    <w:rsid w:val="001C76BB"/>
    <w:rsid w:val="001C7758"/>
    <w:rsid w:val="001C77AF"/>
    <w:rsid w:val="001D00B7"/>
    <w:rsid w:val="001D0563"/>
    <w:rsid w:val="001D1685"/>
    <w:rsid w:val="001D19A2"/>
    <w:rsid w:val="001D1EFC"/>
    <w:rsid w:val="001D259D"/>
    <w:rsid w:val="001D27DC"/>
    <w:rsid w:val="001D293B"/>
    <w:rsid w:val="001D2CE3"/>
    <w:rsid w:val="001D3284"/>
    <w:rsid w:val="001D38E4"/>
    <w:rsid w:val="001D3A6F"/>
    <w:rsid w:val="001D3A87"/>
    <w:rsid w:val="001D42AA"/>
    <w:rsid w:val="001D4F6A"/>
    <w:rsid w:val="001D5EC8"/>
    <w:rsid w:val="001D615A"/>
    <w:rsid w:val="001D620B"/>
    <w:rsid w:val="001D6B8E"/>
    <w:rsid w:val="001D742E"/>
    <w:rsid w:val="001D7485"/>
    <w:rsid w:val="001D7863"/>
    <w:rsid w:val="001D7997"/>
    <w:rsid w:val="001D7D69"/>
    <w:rsid w:val="001E0C72"/>
    <w:rsid w:val="001E0F63"/>
    <w:rsid w:val="001E1767"/>
    <w:rsid w:val="001E18E3"/>
    <w:rsid w:val="001E193F"/>
    <w:rsid w:val="001E1990"/>
    <w:rsid w:val="001E1D4A"/>
    <w:rsid w:val="001E22AE"/>
    <w:rsid w:val="001E3CC9"/>
    <w:rsid w:val="001E4733"/>
    <w:rsid w:val="001E4DFC"/>
    <w:rsid w:val="001E54E4"/>
    <w:rsid w:val="001E5BF3"/>
    <w:rsid w:val="001E6085"/>
    <w:rsid w:val="001E7045"/>
    <w:rsid w:val="001E7362"/>
    <w:rsid w:val="001E7B23"/>
    <w:rsid w:val="001E7EA9"/>
    <w:rsid w:val="001E7FC7"/>
    <w:rsid w:val="001F028F"/>
    <w:rsid w:val="001F0F2F"/>
    <w:rsid w:val="001F0FD4"/>
    <w:rsid w:val="001F1455"/>
    <w:rsid w:val="001F1A6D"/>
    <w:rsid w:val="001F1B26"/>
    <w:rsid w:val="001F22FD"/>
    <w:rsid w:val="001F2A41"/>
    <w:rsid w:val="001F35DA"/>
    <w:rsid w:val="001F3AD6"/>
    <w:rsid w:val="001F3B37"/>
    <w:rsid w:val="001F417B"/>
    <w:rsid w:val="001F462E"/>
    <w:rsid w:val="001F4C68"/>
    <w:rsid w:val="001F694C"/>
    <w:rsid w:val="001F6B8D"/>
    <w:rsid w:val="001F6CC6"/>
    <w:rsid w:val="001F77DE"/>
    <w:rsid w:val="002003C4"/>
    <w:rsid w:val="00200E53"/>
    <w:rsid w:val="00201A7C"/>
    <w:rsid w:val="00202489"/>
    <w:rsid w:val="002036AD"/>
    <w:rsid w:val="002036C8"/>
    <w:rsid w:val="002038D5"/>
    <w:rsid w:val="00203BEE"/>
    <w:rsid w:val="00204051"/>
    <w:rsid w:val="0020546A"/>
    <w:rsid w:val="0020577D"/>
    <w:rsid w:val="00206C3B"/>
    <w:rsid w:val="00207688"/>
    <w:rsid w:val="002076EF"/>
    <w:rsid w:val="00207A3C"/>
    <w:rsid w:val="00207BED"/>
    <w:rsid w:val="002103F5"/>
    <w:rsid w:val="00210921"/>
    <w:rsid w:val="00210FC8"/>
    <w:rsid w:val="002113B7"/>
    <w:rsid w:val="00212564"/>
    <w:rsid w:val="00212705"/>
    <w:rsid w:val="002127AF"/>
    <w:rsid w:val="0021287F"/>
    <w:rsid w:val="002130EB"/>
    <w:rsid w:val="002132C7"/>
    <w:rsid w:val="00213685"/>
    <w:rsid w:val="00214467"/>
    <w:rsid w:val="0021588B"/>
    <w:rsid w:val="00215983"/>
    <w:rsid w:val="002163B3"/>
    <w:rsid w:val="00216D0B"/>
    <w:rsid w:val="00216F7C"/>
    <w:rsid w:val="00217450"/>
    <w:rsid w:val="00217D6F"/>
    <w:rsid w:val="00217E54"/>
    <w:rsid w:val="002202A2"/>
    <w:rsid w:val="002206F4"/>
    <w:rsid w:val="00221469"/>
    <w:rsid w:val="0022185B"/>
    <w:rsid w:val="002219E2"/>
    <w:rsid w:val="002222C6"/>
    <w:rsid w:val="0022260E"/>
    <w:rsid w:val="00222A5B"/>
    <w:rsid w:val="00222D9E"/>
    <w:rsid w:val="002235D9"/>
    <w:rsid w:val="00223B40"/>
    <w:rsid w:val="00224390"/>
    <w:rsid w:val="00224934"/>
    <w:rsid w:val="002266C9"/>
    <w:rsid w:val="002276B6"/>
    <w:rsid w:val="00227B8F"/>
    <w:rsid w:val="002301A7"/>
    <w:rsid w:val="00230664"/>
    <w:rsid w:val="00230BCB"/>
    <w:rsid w:val="00231486"/>
    <w:rsid w:val="0023154A"/>
    <w:rsid w:val="0023199A"/>
    <w:rsid w:val="00233192"/>
    <w:rsid w:val="00233562"/>
    <w:rsid w:val="002338DC"/>
    <w:rsid w:val="00233962"/>
    <w:rsid w:val="002339D8"/>
    <w:rsid w:val="0023415D"/>
    <w:rsid w:val="002341D5"/>
    <w:rsid w:val="00234385"/>
    <w:rsid w:val="00235175"/>
    <w:rsid w:val="00235E15"/>
    <w:rsid w:val="00235F45"/>
    <w:rsid w:val="00235FEC"/>
    <w:rsid w:val="00236057"/>
    <w:rsid w:val="002367CD"/>
    <w:rsid w:val="00237268"/>
    <w:rsid w:val="0023746E"/>
    <w:rsid w:val="00237A63"/>
    <w:rsid w:val="00237CA6"/>
    <w:rsid w:val="00237F99"/>
    <w:rsid w:val="0024051A"/>
    <w:rsid w:val="00240867"/>
    <w:rsid w:val="00240FDA"/>
    <w:rsid w:val="00241184"/>
    <w:rsid w:val="00241C85"/>
    <w:rsid w:val="0024212A"/>
    <w:rsid w:val="002424A2"/>
    <w:rsid w:val="00242818"/>
    <w:rsid w:val="002429AA"/>
    <w:rsid w:val="00243198"/>
    <w:rsid w:val="0024345D"/>
    <w:rsid w:val="0024372A"/>
    <w:rsid w:val="002437E5"/>
    <w:rsid w:val="00243C4E"/>
    <w:rsid w:val="00244591"/>
    <w:rsid w:val="00244BFE"/>
    <w:rsid w:val="0024571C"/>
    <w:rsid w:val="00245EFE"/>
    <w:rsid w:val="00247128"/>
    <w:rsid w:val="002476BF"/>
    <w:rsid w:val="00247A46"/>
    <w:rsid w:val="002500F9"/>
    <w:rsid w:val="00250882"/>
    <w:rsid w:val="00250E38"/>
    <w:rsid w:val="00250F3C"/>
    <w:rsid w:val="00251FFA"/>
    <w:rsid w:val="00252927"/>
    <w:rsid w:val="002535AC"/>
    <w:rsid w:val="0025386C"/>
    <w:rsid w:val="00254D3B"/>
    <w:rsid w:val="0025513D"/>
    <w:rsid w:val="0025579A"/>
    <w:rsid w:val="00255D7F"/>
    <w:rsid w:val="002560A6"/>
    <w:rsid w:val="00256F11"/>
    <w:rsid w:val="00256FF7"/>
    <w:rsid w:val="00257B6F"/>
    <w:rsid w:val="00260946"/>
    <w:rsid w:val="0026157D"/>
    <w:rsid w:val="002616A9"/>
    <w:rsid w:val="002616BE"/>
    <w:rsid w:val="00261EBB"/>
    <w:rsid w:val="00261EFC"/>
    <w:rsid w:val="00261FD8"/>
    <w:rsid w:val="00262073"/>
    <w:rsid w:val="002622DB"/>
    <w:rsid w:val="00262954"/>
    <w:rsid w:val="00262C05"/>
    <w:rsid w:val="00262DC4"/>
    <w:rsid w:val="0026364D"/>
    <w:rsid w:val="00263735"/>
    <w:rsid w:val="0026383B"/>
    <w:rsid w:val="0026410E"/>
    <w:rsid w:val="0026455F"/>
    <w:rsid w:val="0026500E"/>
    <w:rsid w:val="0026518B"/>
    <w:rsid w:val="002660E2"/>
    <w:rsid w:val="00266855"/>
    <w:rsid w:val="00266D29"/>
    <w:rsid w:val="00266FFB"/>
    <w:rsid w:val="00267E9B"/>
    <w:rsid w:val="00270428"/>
    <w:rsid w:val="002704BC"/>
    <w:rsid w:val="00270A15"/>
    <w:rsid w:val="00270BFE"/>
    <w:rsid w:val="00270C65"/>
    <w:rsid w:val="00270CD4"/>
    <w:rsid w:val="00270D1F"/>
    <w:rsid w:val="00270EBE"/>
    <w:rsid w:val="00271087"/>
    <w:rsid w:val="002710FC"/>
    <w:rsid w:val="00271F7C"/>
    <w:rsid w:val="0027228A"/>
    <w:rsid w:val="00272750"/>
    <w:rsid w:val="0027301B"/>
    <w:rsid w:val="00273111"/>
    <w:rsid w:val="0027328E"/>
    <w:rsid w:val="00273688"/>
    <w:rsid w:val="002736B5"/>
    <w:rsid w:val="0027384F"/>
    <w:rsid w:val="00273CDC"/>
    <w:rsid w:val="00273FE6"/>
    <w:rsid w:val="00274125"/>
    <w:rsid w:val="0027419F"/>
    <w:rsid w:val="0027444B"/>
    <w:rsid w:val="00275177"/>
    <w:rsid w:val="002756B3"/>
    <w:rsid w:val="00275AA1"/>
    <w:rsid w:val="0027608B"/>
    <w:rsid w:val="0027668B"/>
    <w:rsid w:val="00276A94"/>
    <w:rsid w:val="00277395"/>
    <w:rsid w:val="00277C75"/>
    <w:rsid w:val="00277E50"/>
    <w:rsid w:val="00280391"/>
    <w:rsid w:val="00281809"/>
    <w:rsid w:val="002822EA"/>
    <w:rsid w:val="0028263D"/>
    <w:rsid w:val="00282AAA"/>
    <w:rsid w:val="00282D30"/>
    <w:rsid w:val="00282E81"/>
    <w:rsid w:val="00283545"/>
    <w:rsid w:val="002836CF"/>
    <w:rsid w:val="002837ED"/>
    <w:rsid w:val="002839F7"/>
    <w:rsid w:val="00283F33"/>
    <w:rsid w:val="0028484C"/>
    <w:rsid w:val="0028511B"/>
    <w:rsid w:val="002851C1"/>
    <w:rsid w:val="0028535E"/>
    <w:rsid w:val="0028562A"/>
    <w:rsid w:val="00285EB1"/>
    <w:rsid w:val="00285FBE"/>
    <w:rsid w:val="002862DD"/>
    <w:rsid w:val="00286323"/>
    <w:rsid w:val="00286866"/>
    <w:rsid w:val="00286A3E"/>
    <w:rsid w:val="00286CAC"/>
    <w:rsid w:val="00286F8E"/>
    <w:rsid w:val="00287637"/>
    <w:rsid w:val="00287DF9"/>
    <w:rsid w:val="00290EC3"/>
    <w:rsid w:val="00290F38"/>
    <w:rsid w:val="002910BF"/>
    <w:rsid w:val="00291613"/>
    <w:rsid w:val="0029179C"/>
    <w:rsid w:val="002917A3"/>
    <w:rsid w:val="00292251"/>
    <w:rsid w:val="002925BF"/>
    <w:rsid w:val="00292BBD"/>
    <w:rsid w:val="00292BE2"/>
    <w:rsid w:val="00292DE0"/>
    <w:rsid w:val="002934EF"/>
    <w:rsid w:val="00293AE5"/>
    <w:rsid w:val="00293BE6"/>
    <w:rsid w:val="0029455F"/>
    <w:rsid w:val="0029538B"/>
    <w:rsid w:val="00295817"/>
    <w:rsid w:val="00295BA2"/>
    <w:rsid w:val="002978A9"/>
    <w:rsid w:val="00297C60"/>
    <w:rsid w:val="00297CBA"/>
    <w:rsid w:val="002A05DF"/>
    <w:rsid w:val="002A07EA"/>
    <w:rsid w:val="002A07F8"/>
    <w:rsid w:val="002A0CDB"/>
    <w:rsid w:val="002A11E4"/>
    <w:rsid w:val="002A11F8"/>
    <w:rsid w:val="002A169F"/>
    <w:rsid w:val="002A1FC2"/>
    <w:rsid w:val="002A21C6"/>
    <w:rsid w:val="002A2B09"/>
    <w:rsid w:val="002A2E10"/>
    <w:rsid w:val="002A2FEB"/>
    <w:rsid w:val="002A38B4"/>
    <w:rsid w:val="002A392E"/>
    <w:rsid w:val="002A3CE8"/>
    <w:rsid w:val="002A445A"/>
    <w:rsid w:val="002A54DF"/>
    <w:rsid w:val="002A5AEE"/>
    <w:rsid w:val="002A5D15"/>
    <w:rsid w:val="002A5FF7"/>
    <w:rsid w:val="002A6456"/>
    <w:rsid w:val="002A6AB7"/>
    <w:rsid w:val="002A7069"/>
    <w:rsid w:val="002A73A2"/>
    <w:rsid w:val="002A7430"/>
    <w:rsid w:val="002A77AF"/>
    <w:rsid w:val="002A795D"/>
    <w:rsid w:val="002A7CBC"/>
    <w:rsid w:val="002B007E"/>
    <w:rsid w:val="002B048B"/>
    <w:rsid w:val="002B1598"/>
    <w:rsid w:val="002B1A56"/>
    <w:rsid w:val="002B1B49"/>
    <w:rsid w:val="002B24CC"/>
    <w:rsid w:val="002B2BB3"/>
    <w:rsid w:val="002B310E"/>
    <w:rsid w:val="002B31CA"/>
    <w:rsid w:val="002B3606"/>
    <w:rsid w:val="002B3DFA"/>
    <w:rsid w:val="002B41AE"/>
    <w:rsid w:val="002B43EC"/>
    <w:rsid w:val="002B47B9"/>
    <w:rsid w:val="002B5282"/>
    <w:rsid w:val="002B53AB"/>
    <w:rsid w:val="002B580D"/>
    <w:rsid w:val="002B6091"/>
    <w:rsid w:val="002B6726"/>
    <w:rsid w:val="002B69EE"/>
    <w:rsid w:val="002B6D43"/>
    <w:rsid w:val="002B7194"/>
    <w:rsid w:val="002B74D4"/>
    <w:rsid w:val="002B759D"/>
    <w:rsid w:val="002B7B6D"/>
    <w:rsid w:val="002C0B37"/>
    <w:rsid w:val="002C1190"/>
    <w:rsid w:val="002C1E4B"/>
    <w:rsid w:val="002C23B5"/>
    <w:rsid w:val="002C283F"/>
    <w:rsid w:val="002C2996"/>
    <w:rsid w:val="002C2E1F"/>
    <w:rsid w:val="002C3814"/>
    <w:rsid w:val="002C4353"/>
    <w:rsid w:val="002C50D2"/>
    <w:rsid w:val="002C5994"/>
    <w:rsid w:val="002C5B75"/>
    <w:rsid w:val="002C5D4A"/>
    <w:rsid w:val="002C659C"/>
    <w:rsid w:val="002C6892"/>
    <w:rsid w:val="002C72CF"/>
    <w:rsid w:val="002C76ED"/>
    <w:rsid w:val="002C7A67"/>
    <w:rsid w:val="002C7B3D"/>
    <w:rsid w:val="002D012F"/>
    <w:rsid w:val="002D0536"/>
    <w:rsid w:val="002D091A"/>
    <w:rsid w:val="002D0A2E"/>
    <w:rsid w:val="002D0B19"/>
    <w:rsid w:val="002D0F4D"/>
    <w:rsid w:val="002D10B9"/>
    <w:rsid w:val="002D27EC"/>
    <w:rsid w:val="002D2881"/>
    <w:rsid w:val="002D2A1C"/>
    <w:rsid w:val="002D2B2F"/>
    <w:rsid w:val="002D2FA7"/>
    <w:rsid w:val="002D3E1B"/>
    <w:rsid w:val="002D622A"/>
    <w:rsid w:val="002D6601"/>
    <w:rsid w:val="002D689E"/>
    <w:rsid w:val="002D6DEE"/>
    <w:rsid w:val="002D728B"/>
    <w:rsid w:val="002D736F"/>
    <w:rsid w:val="002D7F57"/>
    <w:rsid w:val="002E0E03"/>
    <w:rsid w:val="002E12F3"/>
    <w:rsid w:val="002E228B"/>
    <w:rsid w:val="002E25BF"/>
    <w:rsid w:val="002E3079"/>
    <w:rsid w:val="002E3304"/>
    <w:rsid w:val="002E370A"/>
    <w:rsid w:val="002E3C11"/>
    <w:rsid w:val="002E3D9A"/>
    <w:rsid w:val="002E3ECB"/>
    <w:rsid w:val="002E4280"/>
    <w:rsid w:val="002E4659"/>
    <w:rsid w:val="002E51CA"/>
    <w:rsid w:val="002E5865"/>
    <w:rsid w:val="002E5889"/>
    <w:rsid w:val="002E6317"/>
    <w:rsid w:val="002E649A"/>
    <w:rsid w:val="002E6917"/>
    <w:rsid w:val="002E6AFF"/>
    <w:rsid w:val="002E6B9B"/>
    <w:rsid w:val="002E7B43"/>
    <w:rsid w:val="002E7F5C"/>
    <w:rsid w:val="002F0955"/>
    <w:rsid w:val="002F0E1C"/>
    <w:rsid w:val="002F0E5A"/>
    <w:rsid w:val="002F11C4"/>
    <w:rsid w:val="002F140E"/>
    <w:rsid w:val="002F155B"/>
    <w:rsid w:val="002F1B1C"/>
    <w:rsid w:val="002F2073"/>
    <w:rsid w:val="002F2790"/>
    <w:rsid w:val="002F2B98"/>
    <w:rsid w:val="002F3779"/>
    <w:rsid w:val="002F3FC3"/>
    <w:rsid w:val="002F4447"/>
    <w:rsid w:val="002F4C62"/>
    <w:rsid w:val="002F53DD"/>
    <w:rsid w:val="002F58CA"/>
    <w:rsid w:val="002F5A88"/>
    <w:rsid w:val="002F645C"/>
    <w:rsid w:val="002F6B88"/>
    <w:rsid w:val="002F6E9A"/>
    <w:rsid w:val="002F7785"/>
    <w:rsid w:val="002F7984"/>
    <w:rsid w:val="00300619"/>
    <w:rsid w:val="00300741"/>
    <w:rsid w:val="00300D0A"/>
    <w:rsid w:val="0030124A"/>
    <w:rsid w:val="003017E2"/>
    <w:rsid w:val="00301979"/>
    <w:rsid w:val="003019D4"/>
    <w:rsid w:val="00301BBC"/>
    <w:rsid w:val="003020A7"/>
    <w:rsid w:val="003021FD"/>
    <w:rsid w:val="003033CE"/>
    <w:rsid w:val="00303567"/>
    <w:rsid w:val="00303BB2"/>
    <w:rsid w:val="003047BE"/>
    <w:rsid w:val="0030576F"/>
    <w:rsid w:val="003057C4"/>
    <w:rsid w:val="003058AA"/>
    <w:rsid w:val="00305E26"/>
    <w:rsid w:val="0030613D"/>
    <w:rsid w:val="00306313"/>
    <w:rsid w:val="0030651A"/>
    <w:rsid w:val="0030664D"/>
    <w:rsid w:val="00306984"/>
    <w:rsid w:val="00306FF6"/>
    <w:rsid w:val="00307D0C"/>
    <w:rsid w:val="0031002D"/>
    <w:rsid w:val="00310E5D"/>
    <w:rsid w:val="00311A2B"/>
    <w:rsid w:val="0031203E"/>
    <w:rsid w:val="003122A2"/>
    <w:rsid w:val="00312A81"/>
    <w:rsid w:val="00312D05"/>
    <w:rsid w:val="00312EE8"/>
    <w:rsid w:val="0031301B"/>
    <w:rsid w:val="00313402"/>
    <w:rsid w:val="00313ACB"/>
    <w:rsid w:val="00314B5A"/>
    <w:rsid w:val="00314BC7"/>
    <w:rsid w:val="00314D54"/>
    <w:rsid w:val="003151A1"/>
    <w:rsid w:val="00315823"/>
    <w:rsid w:val="00316917"/>
    <w:rsid w:val="003176DD"/>
    <w:rsid w:val="00317FFD"/>
    <w:rsid w:val="0032013A"/>
    <w:rsid w:val="00320184"/>
    <w:rsid w:val="0032088F"/>
    <w:rsid w:val="00320927"/>
    <w:rsid w:val="00320A16"/>
    <w:rsid w:val="00320AB1"/>
    <w:rsid w:val="003211E2"/>
    <w:rsid w:val="00321487"/>
    <w:rsid w:val="003217CE"/>
    <w:rsid w:val="0032202A"/>
    <w:rsid w:val="00322B5E"/>
    <w:rsid w:val="00322BDA"/>
    <w:rsid w:val="003244AF"/>
    <w:rsid w:val="00324971"/>
    <w:rsid w:val="00325717"/>
    <w:rsid w:val="003258D6"/>
    <w:rsid w:val="00325954"/>
    <w:rsid w:val="00325E1A"/>
    <w:rsid w:val="003261E8"/>
    <w:rsid w:val="00326315"/>
    <w:rsid w:val="00326D17"/>
    <w:rsid w:val="00327449"/>
    <w:rsid w:val="00327752"/>
    <w:rsid w:val="003278CA"/>
    <w:rsid w:val="00327A22"/>
    <w:rsid w:val="00327B2E"/>
    <w:rsid w:val="00327E2B"/>
    <w:rsid w:val="003300C0"/>
    <w:rsid w:val="003308FB"/>
    <w:rsid w:val="00330CE9"/>
    <w:rsid w:val="00330E69"/>
    <w:rsid w:val="003319E1"/>
    <w:rsid w:val="0033203E"/>
    <w:rsid w:val="003321E1"/>
    <w:rsid w:val="003331F3"/>
    <w:rsid w:val="00333326"/>
    <w:rsid w:val="00333FE8"/>
    <w:rsid w:val="003340D7"/>
    <w:rsid w:val="00334580"/>
    <w:rsid w:val="003345EA"/>
    <w:rsid w:val="00334758"/>
    <w:rsid w:val="0033516D"/>
    <w:rsid w:val="0033529C"/>
    <w:rsid w:val="003353A0"/>
    <w:rsid w:val="00335634"/>
    <w:rsid w:val="00335D93"/>
    <w:rsid w:val="00335E91"/>
    <w:rsid w:val="00336605"/>
    <w:rsid w:val="00336F3B"/>
    <w:rsid w:val="00336F9A"/>
    <w:rsid w:val="00337E00"/>
    <w:rsid w:val="00337FD7"/>
    <w:rsid w:val="00340AF4"/>
    <w:rsid w:val="003410F6"/>
    <w:rsid w:val="003413F8"/>
    <w:rsid w:val="003413FF"/>
    <w:rsid w:val="00341501"/>
    <w:rsid w:val="00341731"/>
    <w:rsid w:val="00341B87"/>
    <w:rsid w:val="00341D09"/>
    <w:rsid w:val="00342B98"/>
    <w:rsid w:val="00342D9B"/>
    <w:rsid w:val="00343173"/>
    <w:rsid w:val="003438EF"/>
    <w:rsid w:val="00343BC8"/>
    <w:rsid w:val="003445D8"/>
    <w:rsid w:val="00344ED7"/>
    <w:rsid w:val="00345807"/>
    <w:rsid w:val="00345D44"/>
    <w:rsid w:val="00346339"/>
    <w:rsid w:val="00346466"/>
    <w:rsid w:val="003466C6"/>
    <w:rsid w:val="00346772"/>
    <w:rsid w:val="003468EF"/>
    <w:rsid w:val="00346C4E"/>
    <w:rsid w:val="00347D1F"/>
    <w:rsid w:val="00347F4A"/>
    <w:rsid w:val="00347FC0"/>
    <w:rsid w:val="003501F8"/>
    <w:rsid w:val="003509F7"/>
    <w:rsid w:val="00350AAF"/>
    <w:rsid w:val="00350C3C"/>
    <w:rsid w:val="00350EB6"/>
    <w:rsid w:val="00351A8F"/>
    <w:rsid w:val="00352069"/>
    <w:rsid w:val="0035297E"/>
    <w:rsid w:val="00352B21"/>
    <w:rsid w:val="00353E0B"/>
    <w:rsid w:val="00353EAA"/>
    <w:rsid w:val="00354774"/>
    <w:rsid w:val="003549D5"/>
    <w:rsid w:val="00354F94"/>
    <w:rsid w:val="0035545A"/>
    <w:rsid w:val="00355A28"/>
    <w:rsid w:val="00356554"/>
    <w:rsid w:val="00357068"/>
    <w:rsid w:val="00357A1D"/>
    <w:rsid w:val="00357E02"/>
    <w:rsid w:val="003602C5"/>
    <w:rsid w:val="00360563"/>
    <w:rsid w:val="00360C10"/>
    <w:rsid w:val="00360F44"/>
    <w:rsid w:val="003614FD"/>
    <w:rsid w:val="00361AAF"/>
    <w:rsid w:val="00362F52"/>
    <w:rsid w:val="00362FDD"/>
    <w:rsid w:val="00364870"/>
    <w:rsid w:val="00364C4D"/>
    <w:rsid w:val="00364F6E"/>
    <w:rsid w:val="00365101"/>
    <w:rsid w:val="003656A7"/>
    <w:rsid w:val="00365900"/>
    <w:rsid w:val="00365BBE"/>
    <w:rsid w:val="00366037"/>
    <w:rsid w:val="00366DEE"/>
    <w:rsid w:val="00367489"/>
    <w:rsid w:val="00367794"/>
    <w:rsid w:val="00367986"/>
    <w:rsid w:val="00371B5F"/>
    <w:rsid w:val="00371E73"/>
    <w:rsid w:val="003720D4"/>
    <w:rsid w:val="003726DC"/>
    <w:rsid w:val="00372A79"/>
    <w:rsid w:val="00372FE1"/>
    <w:rsid w:val="0037301B"/>
    <w:rsid w:val="00373422"/>
    <w:rsid w:val="0037343B"/>
    <w:rsid w:val="00373784"/>
    <w:rsid w:val="003738EE"/>
    <w:rsid w:val="00373C5C"/>
    <w:rsid w:val="00373D5C"/>
    <w:rsid w:val="00374677"/>
    <w:rsid w:val="00374C81"/>
    <w:rsid w:val="00375278"/>
    <w:rsid w:val="003752C6"/>
    <w:rsid w:val="00375B30"/>
    <w:rsid w:val="00375C16"/>
    <w:rsid w:val="00376C22"/>
    <w:rsid w:val="0037720A"/>
    <w:rsid w:val="003772AB"/>
    <w:rsid w:val="003773DE"/>
    <w:rsid w:val="0037758C"/>
    <w:rsid w:val="003779B9"/>
    <w:rsid w:val="00377D81"/>
    <w:rsid w:val="00377FC2"/>
    <w:rsid w:val="003800FD"/>
    <w:rsid w:val="003804BC"/>
    <w:rsid w:val="00380C54"/>
    <w:rsid w:val="00380E01"/>
    <w:rsid w:val="0038250A"/>
    <w:rsid w:val="003829FF"/>
    <w:rsid w:val="00382AD4"/>
    <w:rsid w:val="00382B64"/>
    <w:rsid w:val="0038321A"/>
    <w:rsid w:val="00383376"/>
    <w:rsid w:val="0038353B"/>
    <w:rsid w:val="0038355F"/>
    <w:rsid w:val="003836AC"/>
    <w:rsid w:val="00383B30"/>
    <w:rsid w:val="0038413F"/>
    <w:rsid w:val="00384415"/>
    <w:rsid w:val="0038449A"/>
    <w:rsid w:val="0038490E"/>
    <w:rsid w:val="003849BD"/>
    <w:rsid w:val="00384AD7"/>
    <w:rsid w:val="00384C32"/>
    <w:rsid w:val="00385332"/>
    <w:rsid w:val="00386D5F"/>
    <w:rsid w:val="00387A2C"/>
    <w:rsid w:val="00387BE6"/>
    <w:rsid w:val="00387D06"/>
    <w:rsid w:val="00391136"/>
    <w:rsid w:val="00391395"/>
    <w:rsid w:val="003914B3"/>
    <w:rsid w:val="00391677"/>
    <w:rsid w:val="00391795"/>
    <w:rsid w:val="00391AD7"/>
    <w:rsid w:val="0039207B"/>
    <w:rsid w:val="00392155"/>
    <w:rsid w:val="003925E1"/>
    <w:rsid w:val="0039295D"/>
    <w:rsid w:val="00392E54"/>
    <w:rsid w:val="00392F9E"/>
    <w:rsid w:val="003936EA"/>
    <w:rsid w:val="0039486F"/>
    <w:rsid w:val="003948AB"/>
    <w:rsid w:val="00394FD1"/>
    <w:rsid w:val="00395219"/>
    <w:rsid w:val="003955F5"/>
    <w:rsid w:val="003962F6"/>
    <w:rsid w:val="00396951"/>
    <w:rsid w:val="00397269"/>
    <w:rsid w:val="003977B3"/>
    <w:rsid w:val="003A0630"/>
    <w:rsid w:val="003A06B9"/>
    <w:rsid w:val="003A0C0A"/>
    <w:rsid w:val="003A0ED0"/>
    <w:rsid w:val="003A14E5"/>
    <w:rsid w:val="003A1C7D"/>
    <w:rsid w:val="003A2EC9"/>
    <w:rsid w:val="003A382F"/>
    <w:rsid w:val="003A3CC7"/>
    <w:rsid w:val="003A44A8"/>
    <w:rsid w:val="003A501C"/>
    <w:rsid w:val="003A53AF"/>
    <w:rsid w:val="003A5472"/>
    <w:rsid w:val="003A55C1"/>
    <w:rsid w:val="003A5AD0"/>
    <w:rsid w:val="003A621B"/>
    <w:rsid w:val="003A68AD"/>
    <w:rsid w:val="003A6AC3"/>
    <w:rsid w:val="003A6D98"/>
    <w:rsid w:val="003A77FE"/>
    <w:rsid w:val="003A7B48"/>
    <w:rsid w:val="003A7DCB"/>
    <w:rsid w:val="003B019E"/>
    <w:rsid w:val="003B024B"/>
    <w:rsid w:val="003B054E"/>
    <w:rsid w:val="003B088A"/>
    <w:rsid w:val="003B12F0"/>
    <w:rsid w:val="003B17D0"/>
    <w:rsid w:val="003B1D00"/>
    <w:rsid w:val="003B223B"/>
    <w:rsid w:val="003B25BF"/>
    <w:rsid w:val="003B277F"/>
    <w:rsid w:val="003B2BBE"/>
    <w:rsid w:val="003B2ED4"/>
    <w:rsid w:val="003B3A38"/>
    <w:rsid w:val="003B3A9E"/>
    <w:rsid w:val="003B3ABB"/>
    <w:rsid w:val="003B4031"/>
    <w:rsid w:val="003B4706"/>
    <w:rsid w:val="003B4E04"/>
    <w:rsid w:val="003B5010"/>
    <w:rsid w:val="003B528F"/>
    <w:rsid w:val="003B52EB"/>
    <w:rsid w:val="003B53E6"/>
    <w:rsid w:val="003B599D"/>
    <w:rsid w:val="003B5C35"/>
    <w:rsid w:val="003B5C7C"/>
    <w:rsid w:val="003B5D91"/>
    <w:rsid w:val="003B5F21"/>
    <w:rsid w:val="003B61A4"/>
    <w:rsid w:val="003B6336"/>
    <w:rsid w:val="003B6E70"/>
    <w:rsid w:val="003B71B7"/>
    <w:rsid w:val="003B72D5"/>
    <w:rsid w:val="003B7353"/>
    <w:rsid w:val="003B73D3"/>
    <w:rsid w:val="003B7633"/>
    <w:rsid w:val="003C067A"/>
    <w:rsid w:val="003C08C8"/>
    <w:rsid w:val="003C13D0"/>
    <w:rsid w:val="003C1EC9"/>
    <w:rsid w:val="003C2F79"/>
    <w:rsid w:val="003C35CA"/>
    <w:rsid w:val="003C3E08"/>
    <w:rsid w:val="003C45B0"/>
    <w:rsid w:val="003C4686"/>
    <w:rsid w:val="003C46D7"/>
    <w:rsid w:val="003C4A1C"/>
    <w:rsid w:val="003C4A2F"/>
    <w:rsid w:val="003C4E3A"/>
    <w:rsid w:val="003C5AA6"/>
    <w:rsid w:val="003C631E"/>
    <w:rsid w:val="003C68BB"/>
    <w:rsid w:val="003C7833"/>
    <w:rsid w:val="003D0AE7"/>
    <w:rsid w:val="003D1370"/>
    <w:rsid w:val="003D20A8"/>
    <w:rsid w:val="003D21EF"/>
    <w:rsid w:val="003D2909"/>
    <w:rsid w:val="003D2F64"/>
    <w:rsid w:val="003D369E"/>
    <w:rsid w:val="003D5032"/>
    <w:rsid w:val="003D5E8C"/>
    <w:rsid w:val="003D60C5"/>
    <w:rsid w:val="003D67AE"/>
    <w:rsid w:val="003D6A05"/>
    <w:rsid w:val="003D759A"/>
    <w:rsid w:val="003D7AA0"/>
    <w:rsid w:val="003E022B"/>
    <w:rsid w:val="003E03F0"/>
    <w:rsid w:val="003E04D0"/>
    <w:rsid w:val="003E0989"/>
    <w:rsid w:val="003E0B09"/>
    <w:rsid w:val="003E264D"/>
    <w:rsid w:val="003E2CB0"/>
    <w:rsid w:val="003E2D7F"/>
    <w:rsid w:val="003E32D6"/>
    <w:rsid w:val="003E38E1"/>
    <w:rsid w:val="003E400B"/>
    <w:rsid w:val="003E44AB"/>
    <w:rsid w:val="003E49B6"/>
    <w:rsid w:val="003E5136"/>
    <w:rsid w:val="003E6718"/>
    <w:rsid w:val="003E6814"/>
    <w:rsid w:val="003E7E12"/>
    <w:rsid w:val="003F02CE"/>
    <w:rsid w:val="003F0384"/>
    <w:rsid w:val="003F039F"/>
    <w:rsid w:val="003F0E6F"/>
    <w:rsid w:val="003F1358"/>
    <w:rsid w:val="003F1684"/>
    <w:rsid w:val="003F2188"/>
    <w:rsid w:val="003F2279"/>
    <w:rsid w:val="003F2476"/>
    <w:rsid w:val="003F2684"/>
    <w:rsid w:val="003F2839"/>
    <w:rsid w:val="003F2B8E"/>
    <w:rsid w:val="003F413F"/>
    <w:rsid w:val="003F438A"/>
    <w:rsid w:val="003F4500"/>
    <w:rsid w:val="003F4E20"/>
    <w:rsid w:val="003F6675"/>
    <w:rsid w:val="003F6756"/>
    <w:rsid w:val="003F6869"/>
    <w:rsid w:val="003F6B8B"/>
    <w:rsid w:val="003F7222"/>
    <w:rsid w:val="003F7346"/>
    <w:rsid w:val="003F7883"/>
    <w:rsid w:val="003F7897"/>
    <w:rsid w:val="003F7FE7"/>
    <w:rsid w:val="004003DF"/>
    <w:rsid w:val="0040042C"/>
    <w:rsid w:val="0040107A"/>
    <w:rsid w:val="00401BC2"/>
    <w:rsid w:val="00402C85"/>
    <w:rsid w:val="00402D8C"/>
    <w:rsid w:val="00403042"/>
    <w:rsid w:val="00403182"/>
    <w:rsid w:val="00403719"/>
    <w:rsid w:val="004039E3"/>
    <w:rsid w:val="00403BA3"/>
    <w:rsid w:val="0040409A"/>
    <w:rsid w:val="00404589"/>
    <w:rsid w:val="00404AC6"/>
    <w:rsid w:val="00404BA9"/>
    <w:rsid w:val="004071F8"/>
    <w:rsid w:val="00407295"/>
    <w:rsid w:val="00407CD0"/>
    <w:rsid w:val="00407D0B"/>
    <w:rsid w:val="00407EB5"/>
    <w:rsid w:val="00410408"/>
    <w:rsid w:val="004107B0"/>
    <w:rsid w:val="00410B03"/>
    <w:rsid w:val="00410D70"/>
    <w:rsid w:val="00410EEC"/>
    <w:rsid w:val="00411096"/>
    <w:rsid w:val="00411382"/>
    <w:rsid w:val="00411406"/>
    <w:rsid w:val="0041150D"/>
    <w:rsid w:val="00412007"/>
    <w:rsid w:val="004121F5"/>
    <w:rsid w:val="004127AA"/>
    <w:rsid w:val="00412B8E"/>
    <w:rsid w:val="004136EC"/>
    <w:rsid w:val="00414622"/>
    <w:rsid w:val="00414895"/>
    <w:rsid w:val="00414FEE"/>
    <w:rsid w:val="004159A6"/>
    <w:rsid w:val="0041632F"/>
    <w:rsid w:val="00416C4D"/>
    <w:rsid w:val="00416EB7"/>
    <w:rsid w:val="0042072E"/>
    <w:rsid w:val="004207A5"/>
    <w:rsid w:val="00421440"/>
    <w:rsid w:val="004215F6"/>
    <w:rsid w:val="004218B5"/>
    <w:rsid w:val="00421C38"/>
    <w:rsid w:val="00422298"/>
    <w:rsid w:val="00422423"/>
    <w:rsid w:val="004224F0"/>
    <w:rsid w:val="00422F9E"/>
    <w:rsid w:val="00424116"/>
    <w:rsid w:val="004243DE"/>
    <w:rsid w:val="004244B7"/>
    <w:rsid w:val="00424610"/>
    <w:rsid w:val="00424E6D"/>
    <w:rsid w:val="00425B69"/>
    <w:rsid w:val="004274F9"/>
    <w:rsid w:val="004301C2"/>
    <w:rsid w:val="004308AA"/>
    <w:rsid w:val="004315D5"/>
    <w:rsid w:val="00431938"/>
    <w:rsid w:val="00431E98"/>
    <w:rsid w:val="00432173"/>
    <w:rsid w:val="0043236B"/>
    <w:rsid w:val="004323FD"/>
    <w:rsid w:val="00432CFB"/>
    <w:rsid w:val="00432E0A"/>
    <w:rsid w:val="00433082"/>
    <w:rsid w:val="00433694"/>
    <w:rsid w:val="00433C9C"/>
    <w:rsid w:val="004351FE"/>
    <w:rsid w:val="00435394"/>
    <w:rsid w:val="004355BF"/>
    <w:rsid w:val="004357F3"/>
    <w:rsid w:val="00435CC0"/>
    <w:rsid w:val="004369F7"/>
    <w:rsid w:val="00436BE4"/>
    <w:rsid w:val="00437AFE"/>
    <w:rsid w:val="004402C3"/>
    <w:rsid w:val="00440719"/>
    <w:rsid w:val="004416B0"/>
    <w:rsid w:val="004444A7"/>
    <w:rsid w:val="00445230"/>
    <w:rsid w:val="00445A6F"/>
    <w:rsid w:val="00445E10"/>
    <w:rsid w:val="00445F6D"/>
    <w:rsid w:val="00446C59"/>
    <w:rsid w:val="00446E2B"/>
    <w:rsid w:val="00447009"/>
    <w:rsid w:val="004475F2"/>
    <w:rsid w:val="00447D60"/>
    <w:rsid w:val="00450A89"/>
    <w:rsid w:val="00450FF2"/>
    <w:rsid w:val="004513AF"/>
    <w:rsid w:val="00451694"/>
    <w:rsid w:val="00451791"/>
    <w:rsid w:val="00451B24"/>
    <w:rsid w:val="00451C14"/>
    <w:rsid w:val="00451E0F"/>
    <w:rsid w:val="00452D60"/>
    <w:rsid w:val="0045304D"/>
    <w:rsid w:val="004530D3"/>
    <w:rsid w:val="004531CC"/>
    <w:rsid w:val="0045327E"/>
    <w:rsid w:val="004538F5"/>
    <w:rsid w:val="00453E3A"/>
    <w:rsid w:val="00455EA4"/>
    <w:rsid w:val="004560E3"/>
    <w:rsid w:val="0045682D"/>
    <w:rsid w:val="00456C9A"/>
    <w:rsid w:val="00457B2F"/>
    <w:rsid w:val="004600AB"/>
    <w:rsid w:val="004602A1"/>
    <w:rsid w:val="00460474"/>
    <w:rsid w:val="004607CC"/>
    <w:rsid w:val="00460C63"/>
    <w:rsid w:val="00460E4C"/>
    <w:rsid w:val="00461500"/>
    <w:rsid w:val="00461E0B"/>
    <w:rsid w:val="00462132"/>
    <w:rsid w:val="004622FA"/>
    <w:rsid w:val="00462B9C"/>
    <w:rsid w:val="00462E10"/>
    <w:rsid w:val="00463B3E"/>
    <w:rsid w:val="00463BDA"/>
    <w:rsid w:val="00464728"/>
    <w:rsid w:val="004650B2"/>
    <w:rsid w:val="00465B62"/>
    <w:rsid w:val="004662F6"/>
    <w:rsid w:val="004663B4"/>
    <w:rsid w:val="0046731C"/>
    <w:rsid w:val="004679CA"/>
    <w:rsid w:val="00470C35"/>
    <w:rsid w:val="00470F7F"/>
    <w:rsid w:val="004710B1"/>
    <w:rsid w:val="004713E5"/>
    <w:rsid w:val="00471677"/>
    <w:rsid w:val="00471D0E"/>
    <w:rsid w:val="00472E4B"/>
    <w:rsid w:val="00474BC3"/>
    <w:rsid w:val="00474FF3"/>
    <w:rsid w:val="00475716"/>
    <w:rsid w:val="00475FDC"/>
    <w:rsid w:val="00476C45"/>
    <w:rsid w:val="004773D5"/>
    <w:rsid w:val="004776D4"/>
    <w:rsid w:val="004778D2"/>
    <w:rsid w:val="0048087A"/>
    <w:rsid w:val="00481E80"/>
    <w:rsid w:val="00482CDA"/>
    <w:rsid w:val="004837FC"/>
    <w:rsid w:val="00483BE1"/>
    <w:rsid w:val="00483DFC"/>
    <w:rsid w:val="00484938"/>
    <w:rsid w:val="00484A33"/>
    <w:rsid w:val="00484A7E"/>
    <w:rsid w:val="00485081"/>
    <w:rsid w:val="0048511B"/>
    <w:rsid w:val="00485C83"/>
    <w:rsid w:val="004866FC"/>
    <w:rsid w:val="00487490"/>
    <w:rsid w:val="00487875"/>
    <w:rsid w:val="00490047"/>
    <w:rsid w:val="00490910"/>
    <w:rsid w:val="00490D8F"/>
    <w:rsid w:val="0049124D"/>
    <w:rsid w:val="004913F5"/>
    <w:rsid w:val="00491578"/>
    <w:rsid w:val="004921FB"/>
    <w:rsid w:val="004928E2"/>
    <w:rsid w:val="00492964"/>
    <w:rsid w:val="00492A3F"/>
    <w:rsid w:val="0049332C"/>
    <w:rsid w:val="00493906"/>
    <w:rsid w:val="00493B41"/>
    <w:rsid w:val="00493C47"/>
    <w:rsid w:val="00493D14"/>
    <w:rsid w:val="00494A82"/>
    <w:rsid w:val="004950AB"/>
    <w:rsid w:val="00495631"/>
    <w:rsid w:val="0049587E"/>
    <w:rsid w:val="00496C4B"/>
    <w:rsid w:val="004977CD"/>
    <w:rsid w:val="00497A4C"/>
    <w:rsid w:val="004A03BA"/>
    <w:rsid w:val="004A03CC"/>
    <w:rsid w:val="004A0817"/>
    <w:rsid w:val="004A0AAF"/>
    <w:rsid w:val="004A1C89"/>
    <w:rsid w:val="004A20AE"/>
    <w:rsid w:val="004A226F"/>
    <w:rsid w:val="004A2AE4"/>
    <w:rsid w:val="004A3908"/>
    <w:rsid w:val="004A3ECB"/>
    <w:rsid w:val="004A48B6"/>
    <w:rsid w:val="004A4BDE"/>
    <w:rsid w:val="004A559B"/>
    <w:rsid w:val="004A593E"/>
    <w:rsid w:val="004A5D40"/>
    <w:rsid w:val="004A5FBC"/>
    <w:rsid w:val="004A6247"/>
    <w:rsid w:val="004A628F"/>
    <w:rsid w:val="004A77A9"/>
    <w:rsid w:val="004B075F"/>
    <w:rsid w:val="004B0AA2"/>
    <w:rsid w:val="004B1A38"/>
    <w:rsid w:val="004B1E2D"/>
    <w:rsid w:val="004B263F"/>
    <w:rsid w:val="004B2781"/>
    <w:rsid w:val="004B298A"/>
    <w:rsid w:val="004B2998"/>
    <w:rsid w:val="004B341C"/>
    <w:rsid w:val="004B3451"/>
    <w:rsid w:val="004B3810"/>
    <w:rsid w:val="004B3C9E"/>
    <w:rsid w:val="004B4346"/>
    <w:rsid w:val="004B4A17"/>
    <w:rsid w:val="004B4B76"/>
    <w:rsid w:val="004B4CE0"/>
    <w:rsid w:val="004B5371"/>
    <w:rsid w:val="004B5502"/>
    <w:rsid w:val="004B63D5"/>
    <w:rsid w:val="004B6444"/>
    <w:rsid w:val="004B6678"/>
    <w:rsid w:val="004B66C8"/>
    <w:rsid w:val="004B6931"/>
    <w:rsid w:val="004B7410"/>
    <w:rsid w:val="004B7AA9"/>
    <w:rsid w:val="004B7F44"/>
    <w:rsid w:val="004C0539"/>
    <w:rsid w:val="004C0DCC"/>
    <w:rsid w:val="004C1424"/>
    <w:rsid w:val="004C14E7"/>
    <w:rsid w:val="004C19CB"/>
    <w:rsid w:val="004C27DC"/>
    <w:rsid w:val="004C2AD7"/>
    <w:rsid w:val="004C373F"/>
    <w:rsid w:val="004C3D07"/>
    <w:rsid w:val="004C40DD"/>
    <w:rsid w:val="004C41D6"/>
    <w:rsid w:val="004C43B0"/>
    <w:rsid w:val="004C4502"/>
    <w:rsid w:val="004C4DF1"/>
    <w:rsid w:val="004C56FB"/>
    <w:rsid w:val="004C5B57"/>
    <w:rsid w:val="004C61E6"/>
    <w:rsid w:val="004C64B0"/>
    <w:rsid w:val="004C6543"/>
    <w:rsid w:val="004C6F2B"/>
    <w:rsid w:val="004C73F8"/>
    <w:rsid w:val="004C7818"/>
    <w:rsid w:val="004D03D8"/>
    <w:rsid w:val="004D063D"/>
    <w:rsid w:val="004D06B1"/>
    <w:rsid w:val="004D093A"/>
    <w:rsid w:val="004D0D0C"/>
    <w:rsid w:val="004D19D4"/>
    <w:rsid w:val="004D237E"/>
    <w:rsid w:val="004D2A0F"/>
    <w:rsid w:val="004D3257"/>
    <w:rsid w:val="004D3F9F"/>
    <w:rsid w:val="004D4110"/>
    <w:rsid w:val="004D42F8"/>
    <w:rsid w:val="004D433D"/>
    <w:rsid w:val="004D4D83"/>
    <w:rsid w:val="004D4DCB"/>
    <w:rsid w:val="004D5AD8"/>
    <w:rsid w:val="004D5EFC"/>
    <w:rsid w:val="004D6170"/>
    <w:rsid w:val="004D6189"/>
    <w:rsid w:val="004D6EDE"/>
    <w:rsid w:val="004D79F9"/>
    <w:rsid w:val="004D7A09"/>
    <w:rsid w:val="004D7A87"/>
    <w:rsid w:val="004E09A1"/>
    <w:rsid w:val="004E16CF"/>
    <w:rsid w:val="004E1DAA"/>
    <w:rsid w:val="004E1E31"/>
    <w:rsid w:val="004E1E80"/>
    <w:rsid w:val="004E2057"/>
    <w:rsid w:val="004E300A"/>
    <w:rsid w:val="004E31DF"/>
    <w:rsid w:val="004E3DA9"/>
    <w:rsid w:val="004E484F"/>
    <w:rsid w:val="004E49CC"/>
    <w:rsid w:val="004E4C76"/>
    <w:rsid w:val="004E4D42"/>
    <w:rsid w:val="004E589F"/>
    <w:rsid w:val="004E5BD3"/>
    <w:rsid w:val="004E5F1A"/>
    <w:rsid w:val="004E6AD5"/>
    <w:rsid w:val="004E6CCE"/>
    <w:rsid w:val="004E6F0D"/>
    <w:rsid w:val="004E6FDD"/>
    <w:rsid w:val="004E6FEC"/>
    <w:rsid w:val="004E78F6"/>
    <w:rsid w:val="004E7AF7"/>
    <w:rsid w:val="004F03AA"/>
    <w:rsid w:val="004F0546"/>
    <w:rsid w:val="004F161E"/>
    <w:rsid w:val="004F18F9"/>
    <w:rsid w:val="004F1A0E"/>
    <w:rsid w:val="004F269F"/>
    <w:rsid w:val="004F2AC1"/>
    <w:rsid w:val="004F2B5A"/>
    <w:rsid w:val="004F3780"/>
    <w:rsid w:val="004F40CA"/>
    <w:rsid w:val="004F472B"/>
    <w:rsid w:val="004F4762"/>
    <w:rsid w:val="004F54EA"/>
    <w:rsid w:val="004F5EA6"/>
    <w:rsid w:val="004F63A6"/>
    <w:rsid w:val="004F646D"/>
    <w:rsid w:val="004F6847"/>
    <w:rsid w:val="004F6959"/>
    <w:rsid w:val="004F7341"/>
    <w:rsid w:val="004F7614"/>
    <w:rsid w:val="004F7C18"/>
    <w:rsid w:val="004F7E58"/>
    <w:rsid w:val="0050016E"/>
    <w:rsid w:val="0050108F"/>
    <w:rsid w:val="005019C9"/>
    <w:rsid w:val="00501B70"/>
    <w:rsid w:val="0050227B"/>
    <w:rsid w:val="005025A5"/>
    <w:rsid w:val="00502DEA"/>
    <w:rsid w:val="00502E61"/>
    <w:rsid w:val="005030CF"/>
    <w:rsid w:val="0050330F"/>
    <w:rsid w:val="00503396"/>
    <w:rsid w:val="005037B9"/>
    <w:rsid w:val="00503ACB"/>
    <w:rsid w:val="005042AE"/>
    <w:rsid w:val="00504394"/>
    <w:rsid w:val="005047C7"/>
    <w:rsid w:val="00504B0A"/>
    <w:rsid w:val="00505033"/>
    <w:rsid w:val="005050E8"/>
    <w:rsid w:val="00505F3E"/>
    <w:rsid w:val="00506079"/>
    <w:rsid w:val="0050618E"/>
    <w:rsid w:val="005065C6"/>
    <w:rsid w:val="00506A18"/>
    <w:rsid w:val="00506C9E"/>
    <w:rsid w:val="00506D5A"/>
    <w:rsid w:val="005071E8"/>
    <w:rsid w:val="00510087"/>
    <w:rsid w:val="005100FD"/>
    <w:rsid w:val="005103BE"/>
    <w:rsid w:val="0051048A"/>
    <w:rsid w:val="0051089F"/>
    <w:rsid w:val="00510DEE"/>
    <w:rsid w:val="005110CA"/>
    <w:rsid w:val="00511910"/>
    <w:rsid w:val="00511B81"/>
    <w:rsid w:val="005122D2"/>
    <w:rsid w:val="005128B6"/>
    <w:rsid w:val="00512946"/>
    <w:rsid w:val="00512C7F"/>
    <w:rsid w:val="00512D6A"/>
    <w:rsid w:val="00513476"/>
    <w:rsid w:val="00513C5A"/>
    <w:rsid w:val="00513E22"/>
    <w:rsid w:val="00514125"/>
    <w:rsid w:val="005141A6"/>
    <w:rsid w:val="005141E0"/>
    <w:rsid w:val="0051429C"/>
    <w:rsid w:val="00514A83"/>
    <w:rsid w:val="00514B0B"/>
    <w:rsid w:val="00514F56"/>
    <w:rsid w:val="00515006"/>
    <w:rsid w:val="00515055"/>
    <w:rsid w:val="00515757"/>
    <w:rsid w:val="005158B4"/>
    <w:rsid w:val="0051619F"/>
    <w:rsid w:val="00516543"/>
    <w:rsid w:val="005165BF"/>
    <w:rsid w:val="00517807"/>
    <w:rsid w:val="005204C2"/>
    <w:rsid w:val="0052056F"/>
    <w:rsid w:val="00521673"/>
    <w:rsid w:val="00521BA9"/>
    <w:rsid w:val="00521BE3"/>
    <w:rsid w:val="00521DD2"/>
    <w:rsid w:val="0052358C"/>
    <w:rsid w:val="005245DA"/>
    <w:rsid w:val="00525386"/>
    <w:rsid w:val="00525AC0"/>
    <w:rsid w:val="00526166"/>
    <w:rsid w:val="0052616D"/>
    <w:rsid w:val="00526429"/>
    <w:rsid w:val="0052649B"/>
    <w:rsid w:val="005264F3"/>
    <w:rsid w:val="005267BA"/>
    <w:rsid w:val="005277F5"/>
    <w:rsid w:val="00527EDE"/>
    <w:rsid w:val="00527FDF"/>
    <w:rsid w:val="00530339"/>
    <w:rsid w:val="00530731"/>
    <w:rsid w:val="00530C6A"/>
    <w:rsid w:val="00530DA8"/>
    <w:rsid w:val="005312F9"/>
    <w:rsid w:val="00531D05"/>
    <w:rsid w:val="00531E9A"/>
    <w:rsid w:val="00532AB9"/>
    <w:rsid w:val="00532BD4"/>
    <w:rsid w:val="00532E0B"/>
    <w:rsid w:val="00532E0C"/>
    <w:rsid w:val="0053368E"/>
    <w:rsid w:val="0053376B"/>
    <w:rsid w:val="00533AC2"/>
    <w:rsid w:val="00534046"/>
    <w:rsid w:val="00534234"/>
    <w:rsid w:val="0053438A"/>
    <w:rsid w:val="00534765"/>
    <w:rsid w:val="00534EB8"/>
    <w:rsid w:val="00534FFE"/>
    <w:rsid w:val="005350F1"/>
    <w:rsid w:val="00535C67"/>
    <w:rsid w:val="00535E95"/>
    <w:rsid w:val="005364A0"/>
    <w:rsid w:val="0053656E"/>
    <w:rsid w:val="00536E4E"/>
    <w:rsid w:val="00536E6D"/>
    <w:rsid w:val="005370DF"/>
    <w:rsid w:val="005374F3"/>
    <w:rsid w:val="005376F5"/>
    <w:rsid w:val="00537FD4"/>
    <w:rsid w:val="0054032D"/>
    <w:rsid w:val="00540665"/>
    <w:rsid w:val="00540BB5"/>
    <w:rsid w:val="005413BA"/>
    <w:rsid w:val="0054145A"/>
    <w:rsid w:val="0054179C"/>
    <w:rsid w:val="00541903"/>
    <w:rsid w:val="00541C0D"/>
    <w:rsid w:val="00541C6F"/>
    <w:rsid w:val="00542104"/>
    <w:rsid w:val="0054277B"/>
    <w:rsid w:val="00542C51"/>
    <w:rsid w:val="00542E9A"/>
    <w:rsid w:val="005431F2"/>
    <w:rsid w:val="00543345"/>
    <w:rsid w:val="00544072"/>
    <w:rsid w:val="00544168"/>
    <w:rsid w:val="005442C5"/>
    <w:rsid w:val="00544BC6"/>
    <w:rsid w:val="00545A72"/>
    <w:rsid w:val="00545B21"/>
    <w:rsid w:val="00545C89"/>
    <w:rsid w:val="00545E11"/>
    <w:rsid w:val="005461E0"/>
    <w:rsid w:val="005463CB"/>
    <w:rsid w:val="00547B96"/>
    <w:rsid w:val="00550528"/>
    <w:rsid w:val="005505D9"/>
    <w:rsid w:val="00550A82"/>
    <w:rsid w:val="00550E11"/>
    <w:rsid w:val="005511CD"/>
    <w:rsid w:val="0055132D"/>
    <w:rsid w:val="00551548"/>
    <w:rsid w:val="005515EB"/>
    <w:rsid w:val="00551C22"/>
    <w:rsid w:val="00551FC7"/>
    <w:rsid w:val="00552216"/>
    <w:rsid w:val="0055241B"/>
    <w:rsid w:val="005531A5"/>
    <w:rsid w:val="00553886"/>
    <w:rsid w:val="00553B4B"/>
    <w:rsid w:val="00553BD8"/>
    <w:rsid w:val="00554219"/>
    <w:rsid w:val="0055469E"/>
    <w:rsid w:val="00554B15"/>
    <w:rsid w:val="005556FC"/>
    <w:rsid w:val="00555972"/>
    <w:rsid w:val="00555E56"/>
    <w:rsid w:val="005562AC"/>
    <w:rsid w:val="00556BFD"/>
    <w:rsid w:val="00556CF2"/>
    <w:rsid w:val="005576E0"/>
    <w:rsid w:val="00557795"/>
    <w:rsid w:val="00557A25"/>
    <w:rsid w:val="00560935"/>
    <w:rsid w:val="0056116C"/>
    <w:rsid w:val="005627C1"/>
    <w:rsid w:val="00562A1B"/>
    <w:rsid w:val="00563699"/>
    <w:rsid w:val="00563862"/>
    <w:rsid w:val="005638AC"/>
    <w:rsid w:val="00563B81"/>
    <w:rsid w:val="00564279"/>
    <w:rsid w:val="005649E2"/>
    <w:rsid w:val="0056527F"/>
    <w:rsid w:val="00565552"/>
    <w:rsid w:val="005655F2"/>
    <w:rsid w:val="00565AD7"/>
    <w:rsid w:val="00565FC4"/>
    <w:rsid w:val="00566303"/>
    <w:rsid w:val="00566637"/>
    <w:rsid w:val="005666E8"/>
    <w:rsid w:val="00566C55"/>
    <w:rsid w:val="00567D28"/>
    <w:rsid w:val="00571793"/>
    <w:rsid w:val="00571B03"/>
    <w:rsid w:val="00571DA0"/>
    <w:rsid w:val="00572053"/>
    <w:rsid w:val="00572811"/>
    <w:rsid w:val="00572F93"/>
    <w:rsid w:val="005738C4"/>
    <w:rsid w:val="00574DA5"/>
    <w:rsid w:val="005755D5"/>
    <w:rsid w:val="00575609"/>
    <w:rsid w:val="005766A4"/>
    <w:rsid w:val="005766BB"/>
    <w:rsid w:val="00576882"/>
    <w:rsid w:val="00576AFA"/>
    <w:rsid w:val="00576D16"/>
    <w:rsid w:val="00576F0C"/>
    <w:rsid w:val="00577193"/>
    <w:rsid w:val="0057755E"/>
    <w:rsid w:val="005800D4"/>
    <w:rsid w:val="005800E7"/>
    <w:rsid w:val="00580262"/>
    <w:rsid w:val="005802CF"/>
    <w:rsid w:val="0058058B"/>
    <w:rsid w:val="00580601"/>
    <w:rsid w:val="005811BA"/>
    <w:rsid w:val="005811FE"/>
    <w:rsid w:val="005815C8"/>
    <w:rsid w:val="00582444"/>
    <w:rsid w:val="00582E22"/>
    <w:rsid w:val="005836E5"/>
    <w:rsid w:val="00583D13"/>
    <w:rsid w:val="00583F8F"/>
    <w:rsid w:val="00583F9B"/>
    <w:rsid w:val="005847D2"/>
    <w:rsid w:val="005847D5"/>
    <w:rsid w:val="005849C6"/>
    <w:rsid w:val="00584A0D"/>
    <w:rsid w:val="00584A63"/>
    <w:rsid w:val="00584C12"/>
    <w:rsid w:val="005852DE"/>
    <w:rsid w:val="0058546A"/>
    <w:rsid w:val="00585727"/>
    <w:rsid w:val="00585C9C"/>
    <w:rsid w:val="00585DFD"/>
    <w:rsid w:val="00586102"/>
    <w:rsid w:val="005861CE"/>
    <w:rsid w:val="0058633A"/>
    <w:rsid w:val="005868DF"/>
    <w:rsid w:val="00586B1F"/>
    <w:rsid w:val="00586C6B"/>
    <w:rsid w:val="00587318"/>
    <w:rsid w:val="00587C49"/>
    <w:rsid w:val="00587CC4"/>
    <w:rsid w:val="00590068"/>
    <w:rsid w:val="00590F38"/>
    <w:rsid w:val="00591462"/>
    <w:rsid w:val="005914C5"/>
    <w:rsid w:val="00591570"/>
    <w:rsid w:val="005921BA"/>
    <w:rsid w:val="005924C4"/>
    <w:rsid w:val="00593613"/>
    <w:rsid w:val="00593AB4"/>
    <w:rsid w:val="00594433"/>
    <w:rsid w:val="00594895"/>
    <w:rsid w:val="005949DA"/>
    <w:rsid w:val="00595356"/>
    <w:rsid w:val="00595797"/>
    <w:rsid w:val="00596091"/>
    <w:rsid w:val="00596123"/>
    <w:rsid w:val="005961D1"/>
    <w:rsid w:val="0059640B"/>
    <w:rsid w:val="00596443"/>
    <w:rsid w:val="00596ACB"/>
    <w:rsid w:val="00596D0D"/>
    <w:rsid w:val="00596E0F"/>
    <w:rsid w:val="00597500"/>
    <w:rsid w:val="00597572"/>
    <w:rsid w:val="005A0032"/>
    <w:rsid w:val="005A02CD"/>
    <w:rsid w:val="005A0AD1"/>
    <w:rsid w:val="005A0B7F"/>
    <w:rsid w:val="005A12D0"/>
    <w:rsid w:val="005A13B9"/>
    <w:rsid w:val="005A1556"/>
    <w:rsid w:val="005A174A"/>
    <w:rsid w:val="005A2039"/>
    <w:rsid w:val="005A2878"/>
    <w:rsid w:val="005A28F9"/>
    <w:rsid w:val="005A2C6D"/>
    <w:rsid w:val="005A2D62"/>
    <w:rsid w:val="005A314D"/>
    <w:rsid w:val="005A334B"/>
    <w:rsid w:val="005A395C"/>
    <w:rsid w:val="005A39F8"/>
    <w:rsid w:val="005A3C36"/>
    <w:rsid w:val="005A48CD"/>
    <w:rsid w:val="005A4C61"/>
    <w:rsid w:val="005A4E01"/>
    <w:rsid w:val="005A4FA9"/>
    <w:rsid w:val="005A5260"/>
    <w:rsid w:val="005A5264"/>
    <w:rsid w:val="005A54EC"/>
    <w:rsid w:val="005A5B07"/>
    <w:rsid w:val="005A5B97"/>
    <w:rsid w:val="005A6C65"/>
    <w:rsid w:val="005A75C6"/>
    <w:rsid w:val="005A7F35"/>
    <w:rsid w:val="005B012D"/>
    <w:rsid w:val="005B0F83"/>
    <w:rsid w:val="005B10AB"/>
    <w:rsid w:val="005B1544"/>
    <w:rsid w:val="005B1EB6"/>
    <w:rsid w:val="005B1F44"/>
    <w:rsid w:val="005B248B"/>
    <w:rsid w:val="005B248E"/>
    <w:rsid w:val="005B2617"/>
    <w:rsid w:val="005B2B9E"/>
    <w:rsid w:val="005B36D9"/>
    <w:rsid w:val="005B3ECA"/>
    <w:rsid w:val="005B40EE"/>
    <w:rsid w:val="005B4946"/>
    <w:rsid w:val="005B4DE1"/>
    <w:rsid w:val="005B510B"/>
    <w:rsid w:val="005B539B"/>
    <w:rsid w:val="005B53B0"/>
    <w:rsid w:val="005B5936"/>
    <w:rsid w:val="005B595A"/>
    <w:rsid w:val="005B5B93"/>
    <w:rsid w:val="005B5DBD"/>
    <w:rsid w:val="005B6497"/>
    <w:rsid w:val="005B6B6B"/>
    <w:rsid w:val="005B6D58"/>
    <w:rsid w:val="005B6DC2"/>
    <w:rsid w:val="005B716D"/>
    <w:rsid w:val="005B7896"/>
    <w:rsid w:val="005C0052"/>
    <w:rsid w:val="005C0594"/>
    <w:rsid w:val="005C1D4B"/>
    <w:rsid w:val="005C1E64"/>
    <w:rsid w:val="005C1EDD"/>
    <w:rsid w:val="005C1F03"/>
    <w:rsid w:val="005C2116"/>
    <w:rsid w:val="005C2314"/>
    <w:rsid w:val="005C24C2"/>
    <w:rsid w:val="005C28F2"/>
    <w:rsid w:val="005C3205"/>
    <w:rsid w:val="005C33BE"/>
    <w:rsid w:val="005C3A8C"/>
    <w:rsid w:val="005C44B0"/>
    <w:rsid w:val="005C49BB"/>
    <w:rsid w:val="005C4A05"/>
    <w:rsid w:val="005C5028"/>
    <w:rsid w:val="005C55FF"/>
    <w:rsid w:val="005C6199"/>
    <w:rsid w:val="005C6400"/>
    <w:rsid w:val="005C7179"/>
    <w:rsid w:val="005D059A"/>
    <w:rsid w:val="005D065E"/>
    <w:rsid w:val="005D07DA"/>
    <w:rsid w:val="005D1015"/>
    <w:rsid w:val="005D1120"/>
    <w:rsid w:val="005D12E9"/>
    <w:rsid w:val="005D1794"/>
    <w:rsid w:val="005D2210"/>
    <w:rsid w:val="005D221B"/>
    <w:rsid w:val="005D26D1"/>
    <w:rsid w:val="005D2E56"/>
    <w:rsid w:val="005D3948"/>
    <w:rsid w:val="005D3C49"/>
    <w:rsid w:val="005D44BB"/>
    <w:rsid w:val="005D47F2"/>
    <w:rsid w:val="005D4835"/>
    <w:rsid w:val="005D4BDA"/>
    <w:rsid w:val="005D51CB"/>
    <w:rsid w:val="005D5A28"/>
    <w:rsid w:val="005D6D4F"/>
    <w:rsid w:val="005D7271"/>
    <w:rsid w:val="005D7287"/>
    <w:rsid w:val="005D7B2E"/>
    <w:rsid w:val="005D7B8C"/>
    <w:rsid w:val="005D7EF7"/>
    <w:rsid w:val="005E132F"/>
    <w:rsid w:val="005E19A1"/>
    <w:rsid w:val="005E19B3"/>
    <w:rsid w:val="005E1E75"/>
    <w:rsid w:val="005E23F7"/>
    <w:rsid w:val="005E26DA"/>
    <w:rsid w:val="005E2A3F"/>
    <w:rsid w:val="005E3064"/>
    <w:rsid w:val="005E36CB"/>
    <w:rsid w:val="005E37C2"/>
    <w:rsid w:val="005E3C7D"/>
    <w:rsid w:val="005E3F82"/>
    <w:rsid w:val="005E470D"/>
    <w:rsid w:val="005E4879"/>
    <w:rsid w:val="005E5524"/>
    <w:rsid w:val="005E5663"/>
    <w:rsid w:val="005E5910"/>
    <w:rsid w:val="005E59D9"/>
    <w:rsid w:val="005E5ED3"/>
    <w:rsid w:val="005E759F"/>
    <w:rsid w:val="005E783D"/>
    <w:rsid w:val="005E7870"/>
    <w:rsid w:val="005E7C55"/>
    <w:rsid w:val="005F0086"/>
    <w:rsid w:val="005F0439"/>
    <w:rsid w:val="005F04B8"/>
    <w:rsid w:val="005F07DA"/>
    <w:rsid w:val="005F0946"/>
    <w:rsid w:val="005F0A61"/>
    <w:rsid w:val="005F0AD5"/>
    <w:rsid w:val="005F2089"/>
    <w:rsid w:val="005F2507"/>
    <w:rsid w:val="005F2658"/>
    <w:rsid w:val="005F271A"/>
    <w:rsid w:val="005F31DF"/>
    <w:rsid w:val="005F3EF8"/>
    <w:rsid w:val="005F4222"/>
    <w:rsid w:val="005F47CF"/>
    <w:rsid w:val="005F4A1A"/>
    <w:rsid w:val="005F5535"/>
    <w:rsid w:val="005F5ABF"/>
    <w:rsid w:val="005F658A"/>
    <w:rsid w:val="005F6F74"/>
    <w:rsid w:val="0060021B"/>
    <w:rsid w:val="00600671"/>
    <w:rsid w:val="006008D2"/>
    <w:rsid w:val="00600E63"/>
    <w:rsid w:val="00601B7D"/>
    <w:rsid w:val="00601C50"/>
    <w:rsid w:val="00601FBE"/>
    <w:rsid w:val="00602B92"/>
    <w:rsid w:val="00602D98"/>
    <w:rsid w:val="00602EEE"/>
    <w:rsid w:val="006030BF"/>
    <w:rsid w:val="00603BD5"/>
    <w:rsid w:val="00603E11"/>
    <w:rsid w:val="00604673"/>
    <w:rsid w:val="00605994"/>
    <w:rsid w:val="00606497"/>
    <w:rsid w:val="006075C8"/>
    <w:rsid w:val="00607B27"/>
    <w:rsid w:val="00610146"/>
    <w:rsid w:val="0061061A"/>
    <w:rsid w:val="00611149"/>
    <w:rsid w:val="006115A6"/>
    <w:rsid w:val="00611C4D"/>
    <w:rsid w:val="00612072"/>
    <w:rsid w:val="00612612"/>
    <w:rsid w:val="006127D3"/>
    <w:rsid w:val="006127E9"/>
    <w:rsid w:val="00612930"/>
    <w:rsid w:val="00612AB8"/>
    <w:rsid w:val="00612E8E"/>
    <w:rsid w:val="006139C1"/>
    <w:rsid w:val="00613E34"/>
    <w:rsid w:val="00614054"/>
    <w:rsid w:val="00614178"/>
    <w:rsid w:val="0061487E"/>
    <w:rsid w:val="00614DF0"/>
    <w:rsid w:val="006157B0"/>
    <w:rsid w:val="006169D7"/>
    <w:rsid w:val="00617744"/>
    <w:rsid w:val="00617EC0"/>
    <w:rsid w:val="00620C2A"/>
    <w:rsid w:val="00621045"/>
    <w:rsid w:val="00621224"/>
    <w:rsid w:val="0062200C"/>
    <w:rsid w:val="00622480"/>
    <w:rsid w:val="00622925"/>
    <w:rsid w:val="00622E4A"/>
    <w:rsid w:val="00623802"/>
    <w:rsid w:val="00623DCC"/>
    <w:rsid w:val="00624904"/>
    <w:rsid w:val="00624AC1"/>
    <w:rsid w:val="0062565D"/>
    <w:rsid w:val="00625C0E"/>
    <w:rsid w:val="00626F3D"/>
    <w:rsid w:val="00627595"/>
    <w:rsid w:val="006275DF"/>
    <w:rsid w:val="0062787E"/>
    <w:rsid w:val="00630B4C"/>
    <w:rsid w:val="0063106C"/>
    <w:rsid w:val="006312B2"/>
    <w:rsid w:val="00631B33"/>
    <w:rsid w:val="00631D27"/>
    <w:rsid w:val="00631DF9"/>
    <w:rsid w:val="006321AB"/>
    <w:rsid w:val="006326B0"/>
    <w:rsid w:val="00632CE4"/>
    <w:rsid w:val="00632F58"/>
    <w:rsid w:val="0063380E"/>
    <w:rsid w:val="00633979"/>
    <w:rsid w:val="006340FB"/>
    <w:rsid w:val="0063494A"/>
    <w:rsid w:val="00634A68"/>
    <w:rsid w:val="006350DA"/>
    <w:rsid w:val="00635389"/>
    <w:rsid w:val="00635A98"/>
    <w:rsid w:val="0063620B"/>
    <w:rsid w:val="006363FC"/>
    <w:rsid w:val="00636523"/>
    <w:rsid w:val="00636A4D"/>
    <w:rsid w:val="00636BBE"/>
    <w:rsid w:val="0063714C"/>
    <w:rsid w:val="00637477"/>
    <w:rsid w:val="006376D0"/>
    <w:rsid w:val="00637AC7"/>
    <w:rsid w:val="00637AFC"/>
    <w:rsid w:val="00637D5A"/>
    <w:rsid w:val="00637DAD"/>
    <w:rsid w:val="006403C4"/>
    <w:rsid w:val="006404B9"/>
    <w:rsid w:val="00640B8F"/>
    <w:rsid w:val="00640CE9"/>
    <w:rsid w:val="00640D35"/>
    <w:rsid w:val="0064105D"/>
    <w:rsid w:val="00641C14"/>
    <w:rsid w:val="0064236B"/>
    <w:rsid w:val="006425C0"/>
    <w:rsid w:val="0064297E"/>
    <w:rsid w:val="00642AEB"/>
    <w:rsid w:val="00642D67"/>
    <w:rsid w:val="0064332F"/>
    <w:rsid w:val="006436BC"/>
    <w:rsid w:val="00643994"/>
    <w:rsid w:val="00643C75"/>
    <w:rsid w:val="00644A85"/>
    <w:rsid w:val="006454E4"/>
    <w:rsid w:val="006456FD"/>
    <w:rsid w:val="00645BA8"/>
    <w:rsid w:val="00645D9D"/>
    <w:rsid w:val="00645F1E"/>
    <w:rsid w:val="00646121"/>
    <w:rsid w:val="0064613E"/>
    <w:rsid w:val="006462A2"/>
    <w:rsid w:val="006469C2"/>
    <w:rsid w:val="00646A6E"/>
    <w:rsid w:val="00646C28"/>
    <w:rsid w:val="00647432"/>
    <w:rsid w:val="006474B2"/>
    <w:rsid w:val="00647548"/>
    <w:rsid w:val="00647D58"/>
    <w:rsid w:val="00650B28"/>
    <w:rsid w:val="00650C42"/>
    <w:rsid w:val="00650FBC"/>
    <w:rsid w:val="00651171"/>
    <w:rsid w:val="00651662"/>
    <w:rsid w:val="00651C14"/>
    <w:rsid w:val="00652155"/>
    <w:rsid w:val="00652254"/>
    <w:rsid w:val="00652449"/>
    <w:rsid w:val="00652736"/>
    <w:rsid w:val="00652A0C"/>
    <w:rsid w:val="00653AE6"/>
    <w:rsid w:val="00654BEC"/>
    <w:rsid w:val="00654ED3"/>
    <w:rsid w:val="006554B4"/>
    <w:rsid w:val="00655C44"/>
    <w:rsid w:val="00655FC5"/>
    <w:rsid w:val="00656D42"/>
    <w:rsid w:val="0065710E"/>
    <w:rsid w:val="0065759E"/>
    <w:rsid w:val="0065783B"/>
    <w:rsid w:val="00657BAC"/>
    <w:rsid w:val="006600F3"/>
    <w:rsid w:val="006609A5"/>
    <w:rsid w:val="006609F8"/>
    <w:rsid w:val="00660DCE"/>
    <w:rsid w:val="00660F96"/>
    <w:rsid w:val="006612C2"/>
    <w:rsid w:val="00661746"/>
    <w:rsid w:val="00662EA5"/>
    <w:rsid w:val="00663190"/>
    <w:rsid w:val="00663222"/>
    <w:rsid w:val="00663471"/>
    <w:rsid w:val="00663B3E"/>
    <w:rsid w:val="00663E4A"/>
    <w:rsid w:val="00663E9E"/>
    <w:rsid w:val="0066411F"/>
    <w:rsid w:val="00664A26"/>
    <w:rsid w:val="00665ADF"/>
    <w:rsid w:val="0066658E"/>
    <w:rsid w:val="006665D9"/>
    <w:rsid w:val="00666895"/>
    <w:rsid w:val="00667049"/>
    <w:rsid w:val="0066763F"/>
    <w:rsid w:val="00667BA1"/>
    <w:rsid w:val="006705E4"/>
    <w:rsid w:val="006706F0"/>
    <w:rsid w:val="0067072E"/>
    <w:rsid w:val="00670C62"/>
    <w:rsid w:val="0067126F"/>
    <w:rsid w:val="006712C2"/>
    <w:rsid w:val="00671A6F"/>
    <w:rsid w:val="00671F57"/>
    <w:rsid w:val="0067213B"/>
    <w:rsid w:val="006726BD"/>
    <w:rsid w:val="006728AB"/>
    <w:rsid w:val="006728CA"/>
    <w:rsid w:val="00672AAC"/>
    <w:rsid w:val="00672CB4"/>
    <w:rsid w:val="00672FF4"/>
    <w:rsid w:val="00673A92"/>
    <w:rsid w:val="00673F97"/>
    <w:rsid w:val="00673FE9"/>
    <w:rsid w:val="00674148"/>
    <w:rsid w:val="0067418B"/>
    <w:rsid w:val="00674377"/>
    <w:rsid w:val="00675A2C"/>
    <w:rsid w:val="00675E82"/>
    <w:rsid w:val="006760D6"/>
    <w:rsid w:val="006765FA"/>
    <w:rsid w:val="00676A27"/>
    <w:rsid w:val="00676DCA"/>
    <w:rsid w:val="006772B4"/>
    <w:rsid w:val="006773F2"/>
    <w:rsid w:val="00677C71"/>
    <w:rsid w:val="00677C78"/>
    <w:rsid w:val="00677CD4"/>
    <w:rsid w:val="00680C8C"/>
    <w:rsid w:val="00680E84"/>
    <w:rsid w:val="00681456"/>
    <w:rsid w:val="0068186B"/>
    <w:rsid w:val="00682E74"/>
    <w:rsid w:val="00683053"/>
    <w:rsid w:val="00683546"/>
    <w:rsid w:val="006836F2"/>
    <w:rsid w:val="00683F28"/>
    <w:rsid w:val="0068415F"/>
    <w:rsid w:val="006841ED"/>
    <w:rsid w:val="00684341"/>
    <w:rsid w:val="00684701"/>
    <w:rsid w:val="00684E4E"/>
    <w:rsid w:val="00684F73"/>
    <w:rsid w:val="0068507A"/>
    <w:rsid w:val="00685585"/>
    <w:rsid w:val="00685750"/>
    <w:rsid w:val="00685873"/>
    <w:rsid w:val="00685ACC"/>
    <w:rsid w:val="00685B8E"/>
    <w:rsid w:val="006862AF"/>
    <w:rsid w:val="00686A9F"/>
    <w:rsid w:val="0069095C"/>
    <w:rsid w:val="0069143F"/>
    <w:rsid w:val="0069164E"/>
    <w:rsid w:val="00691879"/>
    <w:rsid w:val="006919D6"/>
    <w:rsid w:val="00691BCB"/>
    <w:rsid w:val="006931B4"/>
    <w:rsid w:val="006933A4"/>
    <w:rsid w:val="00693555"/>
    <w:rsid w:val="006935E0"/>
    <w:rsid w:val="00693720"/>
    <w:rsid w:val="00693E5D"/>
    <w:rsid w:val="006948EE"/>
    <w:rsid w:val="00694CB6"/>
    <w:rsid w:val="00694E44"/>
    <w:rsid w:val="006956D7"/>
    <w:rsid w:val="00695823"/>
    <w:rsid w:val="0069587E"/>
    <w:rsid w:val="006958FE"/>
    <w:rsid w:val="006968E6"/>
    <w:rsid w:val="00696E43"/>
    <w:rsid w:val="00697F35"/>
    <w:rsid w:val="006A031E"/>
    <w:rsid w:val="006A0583"/>
    <w:rsid w:val="006A069D"/>
    <w:rsid w:val="006A074A"/>
    <w:rsid w:val="006A098B"/>
    <w:rsid w:val="006A10B4"/>
    <w:rsid w:val="006A1671"/>
    <w:rsid w:val="006A180A"/>
    <w:rsid w:val="006A2239"/>
    <w:rsid w:val="006A2CCC"/>
    <w:rsid w:val="006A2D62"/>
    <w:rsid w:val="006A2D9F"/>
    <w:rsid w:val="006A3052"/>
    <w:rsid w:val="006A31D6"/>
    <w:rsid w:val="006A4228"/>
    <w:rsid w:val="006A424A"/>
    <w:rsid w:val="006A4603"/>
    <w:rsid w:val="006A63B8"/>
    <w:rsid w:val="006A6A52"/>
    <w:rsid w:val="006A6B3E"/>
    <w:rsid w:val="006A6B40"/>
    <w:rsid w:val="006A6D6D"/>
    <w:rsid w:val="006A706C"/>
    <w:rsid w:val="006A7363"/>
    <w:rsid w:val="006A76B3"/>
    <w:rsid w:val="006A7B5C"/>
    <w:rsid w:val="006A7B87"/>
    <w:rsid w:val="006B02A4"/>
    <w:rsid w:val="006B03E0"/>
    <w:rsid w:val="006B0447"/>
    <w:rsid w:val="006B16F4"/>
    <w:rsid w:val="006B1989"/>
    <w:rsid w:val="006B1D1F"/>
    <w:rsid w:val="006B1FDE"/>
    <w:rsid w:val="006B25F7"/>
    <w:rsid w:val="006B2719"/>
    <w:rsid w:val="006B38CE"/>
    <w:rsid w:val="006B3DB2"/>
    <w:rsid w:val="006B4065"/>
    <w:rsid w:val="006B4C94"/>
    <w:rsid w:val="006B5310"/>
    <w:rsid w:val="006B5EF2"/>
    <w:rsid w:val="006B6423"/>
    <w:rsid w:val="006B755D"/>
    <w:rsid w:val="006B7822"/>
    <w:rsid w:val="006C0686"/>
    <w:rsid w:val="006C06E6"/>
    <w:rsid w:val="006C0D33"/>
    <w:rsid w:val="006C15B5"/>
    <w:rsid w:val="006C16E0"/>
    <w:rsid w:val="006C1D18"/>
    <w:rsid w:val="006C24FA"/>
    <w:rsid w:val="006C2E6C"/>
    <w:rsid w:val="006C3050"/>
    <w:rsid w:val="006C32F9"/>
    <w:rsid w:val="006C3539"/>
    <w:rsid w:val="006C3DEC"/>
    <w:rsid w:val="006C45CB"/>
    <w:rsid w:val="006C4F14"/>
    <w:rsid w:val="006C5492"/>
    <w:rsid w:val="006C58AC"/>
    <w:rsid w:val="006C5941"/>
    <w:rsid w:val="006C5B07"/>
    <w:rsid w:val="006C5C1E"/>
    <w:rsid w:val="006C62FE"/>
    <w:rsid w:val="006C6359"/>
    <w:rsid w:val="006C6633"/>
    <w:rsid w:val="006C68AB"/>
    <w:rsid w:val="006C7D1B"/>
    <w:rsid w:val="006D02DA"/>
    <w:rsid w:val="006D0634"/>
    <w:rsid w:val="006D1CE6"/>
    <w:rsid w:val="006D22FE"/>
    <w:rsid w:val="006D24B4"/>
    <w:rsid w:val="006D2628"/>
    <w:rsid w:val="006D2927"/>
    <w:rsid w:val="006D3A0D"/>
    <w:rsid w:val="006D3B9C"/>
    <w:rsid w:val="006D3F25"/>
    <w:rsid w:val="006D4866"/>
    <w:rsid w:val="006D55C1"/>
    <w:rsid w:val="006D6BE2"/>
    <w:rsid w:val="006D6CFD"/>
    <w:rsid w:val="006D7774"/>
    <w:rsid w:val="006D7933"/>
    <w:rsid w:val="006D7F3F"/>
    <w:rsid w:val="006E052A"/>
    <w:rsid w:val="006E0B9C"/>
    <w:rsid w:val="006E0D70"/>
    <w:rsid w:val="006E17FF"/>
    <w:rsid w:val="006E227C"/>
    <w:rsid w:val="006E251E"/>
    <w:rsid w:val="006E2727"/>
    <w:rsid w:val="006E3214"/>
    <w:rsid w:val="006E417E"/>
    <w:rsid w:val="006E4210"/>
    <w:rsid w:val="006E4563"/>
    <w:rsid w:val="006E4F9D"/>
    <w:rsid w:val="006E5172"/>
    <w:rsid w:val="006E5DD8"/>
    <w:rsid w:val="006E6DC9"/>
    <w:rsid w:val="006E7B1D"/>
    <w:rsid w:val="006F03D7"/>
    <w:rsid w:val="006F04CB"/>
    <w:rsid w:val="006F0D19"/>
    <w:rsid w:val="006F0D3D"/>
    <w:rsid w:val="006F0F1E"/>
    <w:rsid w:val="006F106F"/>
    <w:rsid w:val="006F203E"/>
    <w:rsid w:val="006F2457"/>
    <w:rsid w:val="006F2825"/>
    <w:rsid w:val="006F2B0B"/>
    <w:rsid w:val="006F2C00"/>
    <w:rsid w:val="006F3277"/>
    <w:rsid w:val="006F35CF"/>
    <w:rsid w:val="006F37C5"/>
    <w:rsid w:val="006F409A"/>
    <w:rsid w:val="006F439D"/>
    <w:rsid w:val="006F4B3F"/>
    <w:rsid w:val="006F4DC5"/>
    <w:rsid w:val="006F4E4A"/>
    <w:rsid w:val="006F501B"/>
    <w:rsid w:val="006F5398"/>
    <w:rsid w:val="006F5AB5"/>
    <w:rsid w:val="006F5F42"/>
    <w:rsid w:val="006F62F8"/>
    <w:rsid w:val="006F6760"/>
    <w:rsid w:val="006F705F"/>
    <w:rsid w:val="0070055B"/>
    <w:rsid w:val="0070085B"/>
    <w:rsid w:val="00700B9C"/>
    <w:rsid w:val="007010F1"/>
    <w:rsid w:val="00701F97"/>
    <w:rsid w:val="00701FBD"/>
    <w:rsid w:val="007025A6"/>
    <w:rsid w:val="00702986"/>
    <w:rsid w:val="00702BB2"/>
    <w:rsid w:val="007031F4"/>
    <w:rsid w:val="0070378A"/>
    <w:rsid w:val="00703919"/>
    <w:rsid w:val="00703A0C"/>
    <w:rsid w:val="00703D9A"/>
    <w:rsid w:val="007043AA"/>
    <w:rsid w:val="00704846"/>
    <w:rsid w:val="00704883"/>
    <w:rsid w:val="00704CA2"/>
    <w:rsid w:val="00705454"/>
    <w:rsid w:val="007059E7"/>
    <w:rsid w:val="00705D3D"/>
    <w:rsid w:val="00706281"/>
    <w:rsid w:val="00706CA9"/>
    <w:rsid w:val="00706CAB"/>
    <w:rsid w:val="00706DFE"/>
    <w:rsid w:val="00707C77"/>
    <w:rsid w:val="0071024D"/>
    <w:rsid w:val="0071065A"/>
    <w:rsid w:val="00710BBD"/>
    <w:rsid w:val="00710D4E"/>
    <w:rsid w:val="00711058"/>
    <w:rsid w:val="0071148F"/>
    <w:rsid w:val="00711733"/>
    <w:rsid w:val="00711A57"/>
    <w:rsid w:val="00711AB1"/>
    <w:rsid w:val="00711EF0"/>
    <w:rsid w:val="0071215C"/>
    <w:rsid w:val="007121F8"/>
    <w:rsid w:val="007129D7"/>
    <w:rsid w:val="00712C96"/>
    <w:rsid w:val="00713754"/>
    <w:rsid w:val="00713DD0"/>
    <w:rsid w:val="00713E22"/>
    <w:rsid w:val="00714283"/>
    <w:rsid w:val="00714F26"/>
    <w:rsid w:val="007150DB"/>
    <w:rsid w:val="00715430"/>
    <w:rsid w:val="007159B9"/>
    <w:rsid w:val="00715F90"/>
    <w:rsid w:val="00716416"/>
    <w:rsid w:val="00716435"/>
    <w:rsid w:val="00716779"/>
    <w:rsid w:val="00716835"/>
    <w:rsid w:val="00716A90"/>
    <w:rsid w:val="00716E10"/>
    <w:rsid w:val="007171C0"/>
    <w:rsid w:val="007172E8"/>
    <w:rsid w:val="00717680"/>
    <w:rsid w:val="00717861"/>
    <w:rsid w:val="00717AF3"/>
    <w:rsid w:val="007208DE"/>
    <w:rsid w:val="00720DA9"/>
    <w:rsid w:val="00721DCB"/>
    <w:rsid w:val="00721F4A"/>
    <w:rsid w:val="00722BCA"/>
    <w:rsid w:val="00723029"/>
    <w:rsid w:val="0072423D"/>
    <w:rsid w:val="00724772"/>
    <w:rsid w:val="00724A57"/>
    <w:rsid w:val="00725045"/>
    <w:rsid w:val="007257D5"/>
    <w:rsid w:val="00725A8E"/>
    <w:rsid w:val="00725AA6"/>
    <w:rsid w:val="0072608F"/>
    <w:rsid w:val="00726490"/>
    <w:rsid w:val="0072667D"/>
    <w:rsid w:val="00727A77"/>
    <w:rsid w:val="00730803"/>
    <w:rsid w:val="00730953"/>
    <w:rsid w:val="007309E2"/>
    <w:rsid w:val="00730C6C"/>
    <w:rsid w:val="00732928"/>
    <w:rsid w:val="00732DA9"/>
    <w:rsid w:val="00733654"/>
    <w:rsid w:val="007339A3"/>
    <w:rsid w:val="00733BEC"/>
    <w:rsid w:val="00733CA0"/>
    <w:rsid w:val="00733D29"/>
    <w:rsid w:val="00734528"/>
    <w:rsid w:val="00735161"/>
    <w:rsid w:val="007353C4"/>
    <w:rsid w:val="00735830"/>
    <w:rsid w:val="00735F1C"/>
    <w:rsid w:val="00735FCF"/>
    <w:rsid w:val="007360F7"/>
    <w:rsid w:val="00736F45"/>
    <w:rsid w:val="00737293"/>
    <w:rsid w:val="007374F1"/>
    <w:rsid w:val="00737946"/>
    <w:rsid w:val="00737E36"/>
    <w:rsid w:val="007400E2"/>
    <w:rsid w:val="007406AD"/>
    <w:rsid w:val="00740C1C"/>
    <w:rsid w:val="00741E25"/>
    <w:rsid w:val="0074201E"/>
    <w:rsid w:val="00742105"/>
    <w:rsid w:val="007430F6"/>
    <w:rsid w:val="007439E4"/>
    <w:rsid w:val="00744A06"/>
    <w:rsid w:val="00744B56"/>
    <w:rsid w:val="00744B87"/>
    <w:rsid w:val="00745324"/>
    <w:rsid w:val="0074598F"/>
    <w:rsid w:val="00745B81"/>
    <w:rsid w:val="00745FBA"/>
    <w:rsid w:val="007469D0"/>
    <w:rsid w:val="00746A27"/>
    <w:rsid w:val="0074709F"/>
    <w:rsid w:val="007473BD"/>
    <w:rsid w:val="00747BE7"/>
    <w:rsid w:val="00750768"/>
    <w:rsid w:val="0075087B"/>
    <w:rsid w:val="00750B37"/>
    <w:rsid w:val="007510A0"/>
    <w:rsid w:val="007510E4"/>
    <w:rsid w:val="007511BB"/>
    <w:rsid w:val="00751B4A"/>
    <w:rsid w:val="00751D77"/>
    <w:rsid w:val="007522AD"/>
    <w:rsid w:val="00752653"/>
    <w:rsid w:val="00752F66"/>
    <w:rsid w:val="00753150"/>
    <w:rsid w:val="00753308"/>
    <w:rsid w:val="0075377C"/>
    <w:rsid w:val="0075380E"/>
    <w:rsid w:val="007538E6"/>
    <w:rsid w:val="00753FEA"/>
    <w:rsid w:val="0075483E"/>
    <w:rsid w:val="00755419"/>
    <w:rsid w:val="007559D9"/>
    <w:rsid w:val="00755AC8"/>
    <w:rsid w:val="00755CCD"/>
    <w:rsid w:val="00755DD2"/>
    <w:rsid w:val="0075660A"/>
    <w:rsid w:val="00756C84"/>
    <w:rsid w:val="00757327"/>
    <w:rsid w:val="00757335"/>
    <w:rsid w:val="007576F1"/>
    <w:rsid w:val="00757C48"/>
    <w:rsid w:val="0076048D"/>
    <w:rsid w:val="00760FD3"/>
    <w:rsid w:val="00760FEF"/>
    <w:rsid w:val="0076110B"/>
    <w:rsid w:val="00761556"/>
    <w:rsid w:val="00761629"/>
    <w:rsid w:val="007616D5"/>
    <w:rsid w:val="00761A39"/>
    <w:rsid w:val="00761B35"/>
    <w:rsid w:val="00761DA2"/>
    <w:rsid w:val="00762876"/>
    <w:rsid w:val="007628E3"/>
    <w:rsid w:val="007643B5"/>
    <w:rsid w:val="00764AB2"/>
    <w:rsid w:val="00764ED8"/>
    <w:rsid w:val="00766188"/>
    <w:rsid w:val="00766EAD"/>
    <w:rsid w:val="00767933"/>
    <w:rsid w:val="00767E46"/>
    <w:rsid w:val="00770397"/>
    <w:rsid w:val="00770546"/>
    <w:rsid w:val="00771BDF"/>
    <w:rsid w:val="0077240D"/>
    <w:rsid w:val="00772AD1"/>
    <w:rsid w:val="00772C53"/>
    <w:rsid w:val="00772EC8"/>
    <w:rsid w:val="007731C8"/>
    <w:rsid w:val="00773223"/>
    <w:rsid w:val="0077454F"/>
    <w:rsid w:val="00774A60"/>
    <w:rsid w:val="00774ED3"/>
    <w:rsid w:val="00775530"/>
    <w:rsid w:val="0077611B"/>
    <w:rsid w:val="00776602"/>
    <w:rsid w:val="0077682C"/>
    <w:rsid w:val="00776D66"/>
    <w:rsid w:val="00776F5F"/>
    <w:rsid w:val="007778C1"/>
    <w:rsid w:val="00777ACD"/>
    <w:rsid w:val="00780161"/>
    <w:rsid w:val="007809F3"/>
    <w:rsid w:val="00780D73"/>
    <w:rsid w:val="00781338"/>
    <w:rsid w:val="00781C19"/>
    <w:rsid w:val="00781C3F"/>
    <w:rsid w:val="007824D6"/>
    <w:rsid w:val="00782A12"/>
    <w:rsid w:val="00782FDD"/>
    <w:rsid w:val="00783282"/>
    <w:rsid w:val="007832D0"/>
    <w:rsid w:val="0078383D"/>
    <w:rsid w:val="00783D8A"/>
    <w:rsid w:val="00784415"/>
    <w:rsid w:val="007857F7"/>
    <w:rsid w:val="0078628B"/>
    <w:rsid w:val="007867BA"/>
    <w:rsid w:val="00786A86"/>
    <w:rsid w:val="007873F9"/>
    <w:rsid w:val="00787803"/>
    <w:rsid w:val="00787B9B"/>
    <w:rsid w:val="00787FA9"/>
    <w:rsid w:val="00790CBB"/>
    <w:rsid w:val="007915B7"/>
    <w:rsid w:val="007922C6"/>
    <w:rsid w:val="0079345B"/>
    <w:rsid w:val="007934CD"/>
    <w:rsid w:val="00793B19"/>
    <w:rsid w:val="00793EBE"/>
    <w:rsid w:val="00794815"/>
    <w:rsid w:val="00796EB2"/>
    <w:rsid w:val="007975F3"/>
    <w:rsid w:val="00797B68"/>
    <w:rsid w:val="007A02A0"/>
    <w:rsid w:val="007A0FD5"/>
    <w:rsid w:val="007A191F"/>
    <w:rsid w:val="007A1C15"/>
    <w:rsid w:val="007A2305"/>
    <w:rsid w:val="007A25C2"/>
    <w:rsid w:val="007A2B50"/>
    <w:rsid w:val="007A2B5C"/>
    <w:rsid w:val="007A2C46"/>
    <w:rsid w:val="007A33E6"/>
    <w:rsid w:val="007A3D7B"/>
    <w:rsid w:val="007A4EB0"/>
    <w:rsid w:val="007A53AC"/>
    <w:rsid w:val="007A53AE"/>
    <w:rsid w:val="007A53EC"/>
    <w:rsid w:val="007A5A2F"/>
    <w:rsid w:val="007A5DC4"/>
    <w:rsid w:val="007A5F15"/>
    <w:rsid w:val="007A6000"/>
    <w:rsid w:val="007A60CD"/>
    <w:rsid w:val="007A62EE"/>
    <w:rsid w:val="007A6477"/>
    <w:rsid w:val="007A66D5"/>
    <w:rsid w:val="007B0915"/>
    <w:rsid w:val="007B0B38"/>
    <w:rsid w:val="007B0BE6"/>
    <w:rsid w:val="007B10E5"/>
    <w:rsid w:val="007B1282"/>
    <w:rsid w:val="007B1672"/>
    <w:rsid w:val="007B1AE7"/>
    <w:rsid w:val="007B284E"/>
    <w:rsid w:val="007B29E5"/>
    <w:rsid w:val="007B415B"/>
    <w:rsid w:val="007B437D"/>
    <w:rsid w:val="007B478B"/>
    <w:rsid w:val="007B479F"/>
    <w:rsid w:val="007B4B9E"/>
    <w:rsid w:val="007B5416"/>
    <w:rsid w:val="007B5745"/>
    <w:rsid w:val="007B58C2"/>
    <w:rsid w:val="007B59E1"/>
    <w:rsid w:val="007B5DF7"/>
    <w:rsid w:val="007B5EE5"/>
    <w:rsid w:val="007B628D"/>
    <w:rsid w:val="007B6914"/>
    <w:rsid w:val="007B69C5"/>
    <w:rsid w:val="007B75FD"/>
    <w:rsid w:val="007B7958"/>
    <w:rsid w:val="007C029D"/>
    <w:rsid w:val="007C0CEE"/>
    <w:rsid w:val="007C0F49"/>
    <w:rsid w:val="007C2318"/>
    <w:rsid w:val="007C23CF"/>
    <w:rsid w:val="007C29CA"/>
    <w:rsid w:val="007C2A7C"/>
    <w:rsid w:val="007C4259"/>
    <w:rsid w:val="007C4E99"/>
    <w:rsid w:val="007C4FF5"/>
    <w:rsid w:val="007C5313"/>
    <w:rsid w:val="007C5D82"/>
    <w:rsid w:val="007C67A3"/>
    <w:rsid w:val="007C6AAD"/>
    <w:rsid w:val="007C6F7F"/>
    <w:rsid w:val="007C7089"/>
    <w:rsid w:val="007D080D"/>
    <w:rsid w:val="007D0E56"/>
    <w:rsid w:val="007D12E7"/>
    <w:rsid w:val="007D143B"/>
    <w:rsid w:val="007D16BC"/>
    <w:rsid w:val="007D1DE9"/>
    <w:rsid w:val="007D2028"/>
    <w:rsid w:val="007D288B"/>
    <w:rsid w:val="007D2D72"/>
    <w:rsid w:val="007D2D7F"/>
    <w:rsid w:val="007D3749"/>
    <w:rsid w:val="007D3EAB"/>
    <w:rsid w:val="007D403E"/>
    <w:rsid w:val="007D4099"/>
    <w:rsid w:val="007D4465"/>
    <w:rsid w:val="007D46FC"/>
    <w:rsid w:val="007D50C6"/>
    <w:rsid w:val="007D512D"/>
    <w:rsid w:val="007D5732"/>
    <w:rsid w:val="007D605B"/>
    <w:rsid w:val="007D68F4"/>
    <w:rsid w:val="007D6DFD"/>
    <w:rsid w:val="007D7170"/>
    <w:rsid w:val="007D7C0F"/>
    <w:rsid w:val="007E008F"/>
    <w:rsid w:val="007E0605"/>
    <w:rsid w:val="007E0817"/>
    <w:rsid w:val="007E0863"/>
    <w:rsid w:val="007E0869"/>
    <w:rsid w:val="007E1686"/>
    <w:rsid w:val="007E242A"/>
    <w:rsid w:val="007E26CA"/>
    <w:rsid w:val="007E3472"/>
    <w:rsid w:val="007E359B"/>
    <w:rsid w:val="007E3AE3"/>
    <w:rsid w:val="007E3FF0"/>
    <w:rsid w:val="007E3FF4"/>
    <w:rsid w:val="007E4004"/>
    <w:rsid w:val="007E4E39"/>
    <w:rsid w:val="007E4F7A"/>
    <w:rsid w:val="007E57AF"/>
    <w:rsid w:val="007E66B5"/>
    <w:rsid w:val="007E67FA"/>
    <w:rsid w:val="007E6931"/>
    <w:rsid w:val="007E7377"/>
    <w:rsid w:val="007E74E2"/>
    <w:rsid w:val="007E7B25"/>
    <w:rsid w:val="007E7C93"/>
    <w:rsid w:val="007F0340"/>
    <w:rsid w:val="007F0581"/>
    <w:rsid w:val="007F1487"/>
    <w:rsid w:val="007F16D1"/>
    <w:rsid w:val="007F186F"/>
    <w:rsid w:val="007F1AAE"/>
    <w:rsid w:val="007F1AEE"/>
    <w:rsid w:val="007F1F03"/>
    <w:rsid w:val="007F2012"/>
    <w:rsid w:val="007F2160"/>
    <w:rsid w:val="007F22AF"/>
    <w:rsid w:val="007F3161"/>
    <w:rsid w:val="007F384A"/>
    <w:rsid w:val="007F41E4"/>
    <w:rsid w:val="007F4A58"/>
    <w:rsid w:val="007F4BD0"/>
    <w:rsid w:val="007F51B1"/>
    <w:rsid w:val="007F545C"/>
    <w:rsid w:val="007F59EB"/>
    <w:rsid w:val="007F5AF6"/>
    <w:rsid w:val="007F5C35"/>
    <w:rsid w:val="007F5DFF"/>
    <w:rsid w:val="007F5E9E"/>
    <w:rsid w:val="007F7447"/>
    <w:rsid w:val="007F77B8"/>
    <w:rsid w:val="007F7E08"/>
    <w:rsid w:val="008006B3"/>
    <w:rsid w:val="008006D7"/>
    <w:rsid w:val="00800BCA"/>
    <w:rsid w:val="00800FF8"/>
    <w:rsid w:val="0080192B"/>
    <w:rsid w:val="00801AB0"/>
    <w:rsid w:val="00801E94"/>
    <w:rsid w:val="008022DF"/>
    <w:rsid w:val="00802C11"/>
    <w:rsid w:val="00802CCA"/>
    <w:rsid w:val="00802CDA"/>
    <w:rsid w:val="00802DBA"/>
    <w:rsid w:val="00802DEC"/>
    <w:rsid w:val="00802F7A"/>
    <w:rsid w:val="00802FD1"/>
    <w:rsid w:val="00804430"/>
    <w:rsid w:val="00804870"/>
    <w:rsid w:val="00805055"/>
    <w:rsid w:val="008055E2"/>
    <w:rsid w:val="00805FC2"/>
    <w:rsid w:val="0080628E"/>
    <w:rsid w:val="008064EA"/>
    <w:rsid w:val="00806E05"/>
    <w:rsid w:val="00807077"/>
    <w:rsid w:val="00807885"/>
    <w:rsid w:val="008078CE"/>
    <w:rsid w:val="008104B9"/>
    <w:rsid w:val="00810D29"/>
    <w:rsid w:val="00810E3A"/>
    <w:rsid w:val="00810E8D"/>
    <w:rsid w:val="00811576"/>
    <w:rsid w:val="00811773"/>
    <w:rsid w:val="00811B4E"/>
    <w:rsid w:val="0081228E"/>
    <w:rsid w:val="0081388B"/>
    <w:rsid w:val="008144B2"/>
    <w:rsid w:val="008145EE"/>
    <w:rsid w:val="008149B4"/>
    <w:rsid w:val="00814A21"/>
    <w:rsid w:val="008151B5"/>
    <w:rsid w:val="00815655"/>
    <w:rsid w:val="00816A77"/>
    <w:rsid w:val="00816FCE"/>
    <w:rsid w:val="008175B3"/>
    <w:rsid w:val="00817AA2"/>
    <w:rsid w:val="00820095"/>
    <w:rsid w:val="00821990"/>
    <w:rsid w:val="00821AF7"/>
    <w:rsid w:val="008221EA"/>
    <w:rsid w:val="00822367"/>
    <w:rsid w:val="00822E14"/>
    <w:rsid w:val="00823145"/>
    <w:rsid w:val="00823676"/>
    <w:rsid w:val="00823FBB"/>
    <w:rsid w:val="00824528"/>
    <w:rsid w:val="00824606"/>
    <w:rsid w:val="0082493F"/>
    <w:rsid w:val="00824BD8"/>
    <w:rsid w:val="00825311"/>
    <w:rsid w:val="00825454"/>
    <w:rsid w:val="00825551"/>
    <w:rsid w:val="00825C33"/>
    <w:rsid w:val="00826011"/>
    <w:rsid w:val="00826081"/>
    <w:rsid w:val="008263F5"/>
    <w:rsid w:val="00826E9D"/>
    <w:rsid w:val="00827A79"/>
    <w:rsid w:val="00827D3F"/>
    <w:rsid w:val="00827FF2"/>
    <w:rsid w:val="00830674"/>
    <w:rsid w:val="00830BA4"/>
    <w:rsid w:val="00830E50"/>
    <w:rsid w:val="00830E5C"/>
    <w:rsid w:val="00830FFB"/>
    <w:rsid w:val="00832557"/>
    <w:rsid w:val="00832782"/>
    <w:rsid w:val="008327B5"/>
    <w:rsid w:val="008328AB"/>
    <w:rsid w:val="00832A2F"/>
    <w:rsid w:val="00834850"/>
    <w:rsid w:val="00835A95"/>
    <w:rsid w:val="00835B76"/>
    <w:rsid w:val="00835EA6"/>
    <w:rsid w:val="00836447"/>
    <w:rsid w:val="00836D77"/>
    <w:rsid w:val="008374CD"/>
    <w:rsid w:val="00837576"/>
    <w:rsid w:val="00837640"/>
    <w:rsid w:val="0083773E"/>
    <w:rsid w:val="008377B5"/>
    <w:rsid w:val="00837BD8"/>
    <w:rsid w:val="00840683"/>
    <w:rsid w:val="00842646"/>
    <w:rsid w:val="00842730"/>
    <w:rsid w:val="00842FBD"/>
    <w:rsid w:val="0084362D"/>
    <w:rsid w:val="008437FC"/>
    <w:rsid w:val="00843CD8"/>
    <w:rsid w:val="008443EA"/>
    <w:rsid w:val="0084479F"/>
    <w:rsid w:val="008451DE"/>
    <w:rsid w:val="008456EC"/>
    <w:rsid w:val="0084585A"/>
    <w:rsid w:val="00845951"/>
    <w:rsid w:val="00845A85"/>
    <w:rsid w:val="00845B27"/>
    <w:rsid w:val="00845D26"/>
    <w:rsid w:val="00846285"/>
    <w:rsid w:val="00846398"/>
    <w:rsid w:val="00846B5A"/>
    <w:rsid w:val="00846F35"/>
    <w:rsid w:val="00847754"/>
    <w:rsid w:val="00847924"/>
    <w:rsid w:val="00847B3D"/>
    <w:rsid w:val="00847E81"/>
    <w:rsid w:val="00847F3B"/>
    <w:rsid w:val="008507C4"/>
    <w:rsid w:val="00850F05"/>
    <w:rsid w:val="0085187C"/>
    <w:rsid w:val="0085192D"/>
    <w:rsid w:val="008520F2"/>
    <w:rsid w:val="00852A1E"/>
    <w:rsid w:val="00853534"/>
    <w:rsid w:val="0085372A"/>
    <w:rsid w:val="0085375B"/>
    <w:rsid w:val="008539CA"/>
    <w:rsid w:val="00854799"/>
    <w:rsid w:val="00855235"/>
    <w:rsid w:val="0085537F"/>
    <w:rsid w:val="008553B3"/>
    <w:rsid w:val="00856328"/>
    <w:rsid w:val="00856AD8"/>
    <w:rsid w:val="00856B8A"/>
    <w:rsid w:val="00856CA6"/>
    <w:rsid w:val="00857280"/>
    <w:rsid w:val="00857712"/>
    <w:rsid w:val="00857E41"/>
    <w:rsid w:val="00860021"/>
    <w:rsid w:val="0086014F"/>
    <w:rsid w:val="00860F2A"/>
    <w:rsid w:val="008613F2"/>
    <w:rsid w:val="0086194F"/>
    <w:rsid w:val="00861D95"/>
    <w:rsid w:val="00861E76"/>
    <w:rsid w:val="008623B0"/>
    <w:rsid w:val="008626E7"/>
    <w:rsid w:val="00862FB8"/>
    <w:rsid w:val="00862FEA"/>
    <w:rsid w:val="00863121"/>
    <w:rsid w:val="008631CE"/>
    <w:rsid w:val="008632C4"/>
    <w:rsid w:val="008638C2"/>
    <w:rsid w:val="00863978"/>
    <w:rsid w:val="00863AF2"/>
    <w:rsid w:val="008640DC"/>
    <w:rsid w:val="008643A2"/>
    <w:rsid w:val="00864997"/>
    <w:rsid w:val="00864C6E"/>
    <w:rsid w:val="008651A5"/>
    <w:rsid w:val="008654CF"/>
    <w:rsid w:val="008655F3"/>
    <w:rsid w:val="00865D5D"/>
    <w:rsid w:val="00865F36"/>
    <w:rsid w:val="00866266"/>
    <w:rsid w:val="008662AE"/>
    <w:rsid w:val="008665F4"/>
    <w:rsid w:val="00866777"/>
    <w:rsid w:val="00866F73"/>
    <w:rsid w:val="00867092"/>
    <w:rsid w:val="0086737B"/>
    <w:rsid w:val="00867A4B"/>
    <w:rsid w:val="0087018F"/>
    <w:rsid w:val="008702DA"/>
    <w:rsid w:val="00870C9C"/>
    <w:rsid w:val="00870D43"/>
    <w:rsid w:val="0087140B"/>
    <w:rsid w:val="008717F4"/>
    <w:rsid w:val="00871810"/>
    <w:rsid w:val="00871DCE"/>
    <w:rsid w:val="00872088"/>
    <w:rsid w:val="008720B1"/>
    <w:rsid w:val="0087218D"/>
    <w:rsid w:val="008721A2"/>
    <w:rsid w:val="0087280C"/>
    <w:rsid w:val="0087283A"/>
    <w:rsid w:val="00872888"/>
    <w:rsid w:val="00872ACA"/>
    <w:rsid w:val="00872D5C"/>
    <w:rsid w:val="00873613"/>
    <w:rsid w:val="008736EF"/>
    <w:rsid w:val="00873A0E"/>
    <w:rsid w:val="008740BB"/>
    <w:rsid w:val="008748E4"/>
    <w:rsid w:val="00874DBD"/>
    <w:rsid w:val="0087517F"/>
    <w:rsid w:val="008751EF"/>
    <w:rsid w:val="0087528B"/>
    <w:rsid w:val="008753FD"/>
    <w:rsid w:val="0087554B"/>
    <w:rsid w:val="008755E9"/>
    <w:rsid w:val="00875948"/>
    <w:rsid w:val="00875AC0"/>
    <w:rsid w:val="00876080"/>
    <w:rsid w:val="008762CB"/>
    <w:rsid w:val="00876383"/>
    <w:rsid w:val="00876F10"/>
    <w:rsid w:val="0087766A"/>
    <w:rsid w:val="00880151"/>
    <w:rsid w:val="0088016C"/>
    <w:rsid w:val="00880B68"/>
    <w:rsid w:val="00880C64"/>
    <w:rsid w:val="008820AF"/>
    <w:rsid w:val="008821B6"/>
    <w:rsid w:val="00882360"/>
    <w:rsid w:val="0088247D"/>
    <w:rsid w:val="00882602"/>
    <w:rsid w:val="00882B19"/>
    <w:rsid w:val="00882CDD"/>
    <w:rsid w:val="00883436"/>
    <w:rsid w:val="008845A2"/>
    <w:rsid w:val="0088486F"/>
    <w:rsid w:val="0088539E"/>
    <w:rsid w:val="008863E9"/>
    <w:rsid w:val="00887222"/>
    <w:rsid w:val="008872AA"/>
    <w:rsid w:val="008873BF"/>
    <w:rsid w:val="008874B3"/>
    <w:rsid w:val="008876F6"/>
    <w:rsid w:val="00887DBD"/>
    <w:rsid w:val="00890735"/>
    <w:rsid w:val="00890A41"/>
    <w:rsid w:val="00890DDF"/>
    <w:rsid w:val="00890EFF"/>
    <w:rsid w:val="0089149B"/>
    <w:rsid w:val="00891750"/>
    <w:rsid w:val="008919FA"/>
    <w:rsid w:val="00891B81"/>
    <w:rsid w:val="00891DB1"/>
    <w:rsid w:val="00891F57"/>
    <w:rsid w:val="008929D7"/>
    <w:rsid w:val="0089318B"/>
    <w:rsid w:val="00893679"/>
    <w:rsid w:val="00893726"/>
    <w:rsid w:val="00893BB6"/>
    <w:rsid w:val="00893C51"/>
    <w:rsid w:val="00893D37"/>
    <w:rsid w:val="0089413E"/>
    <w:rsid w:val="0089435C"/>
    <w:rsid w:val="00894B59"/>
    <w:rsid w:val="00894B9F"/>
    <w:rsid w:val="00894F23"/>
    <w:rsid w:val="00895B80"/>
    <w:rsid w:val="00895BB5"/>
    <w:rsid w:val="00895D74"/>
    <w:rsid w:val="008961C9"/>
    <w:rsid w:val="00897047"/>
    <w:rsid w:val="008972CF"/>
    <w:rsid w:val="00897387"/>
    <w:rsid w:val="00897CB3"/>
    <w:rsid w:val="008A01E9"/>
    <w:rsid w:val="008A02CD"/>
    <w:rsid w:val="008A075C"/>
    <w:rsid w:val="008A0803"/>
    <w:rsid w:val="008A0826"/>
    <w:rsid w:val="008A0AA9"/>
    <w:rsid w:val="008A134D"/>
    <w:rsid w:val="008A1453"/>
    <w:rsid w:val="008A19F5"/>
    <w:rsid w:val="008A1A9D"/>
    <w:rsid w:val="008A1F3F"/>
    <w:rsid w:val="008A22B0"/>
    <w:rsid w:val="008A2631"/>
    <w:rsid w:val="008A2D57"/>
    <w:rsid w:val="008A3B22"/>
    <w:rsid w:val="008A4833"/>
    <w:rsid w:val="008A483D"/>
    <w:rsid w:val="008A5297"/>
    <w:rsid w:val="008A567B"/>
    <w:rsid w:val="008A5731"/>
    <w:rsid w:val="008A5792"/>
    <w:rsid w:val="008A5FCE"/>
    <w:rsid w:val="008A6B5E"/>
    <w:rsid w:val="008A70F3"/>
    <w:rsid w:val="008A7401"/>
    <w:rsid w:val="008A7433"/>
    <w:rsid w:val="008A7501"/>
    <w:rsid w:val="008A7880"/>
    <w:rsid w:val="008A7C99"/>
    <w:rsid w:val="008B035D"/>
    <w:rsid w:val="008B1036"/>
    <w:rsid w:val="008B11B0"/>
    <w:rsid w:val="008B14D7"/>
    <w:rsid w:val="008B1737"/>
    <w:rsid w:val="008B19C7"/>
    <w:rsid w:val="008B3B52"/>
    <w:rsid w:val="008B3F22"/>
    <w:rsid w:val="008B4C0E"/>
    <w:rsid w:val="008B4E29"/>
    <w:rsid w:val="008B5380"/>
    <w:rsid w:val="008B5702"/>
    <w:rsid w:val="008B5EFD"/>
    <w:rsid w:val="008B63CF"/>
    <w:rsid w:val="008B6BD2"/>
    <w:rsid w:val="008B7B31"/>
    <w:rsid w:val="008C0A12"/>
    <w:rsid w:val="008C0BA7"/>
    <w:rsid w:val="008C0CA1"/>
    <w:rsid w:val="008C0D05"/>
    <w:rsid w:val="008C12DD"/>
    <w:rsid w:val="008C135E"/>
    <w:rsid w:val="008C147C"/>
    <w:rsid w:val="008C14B2"/>
    <w:rsid w:val="008C1B5D"/>
    <w:rsid w:val="008C1E2E"/>
    <w:rsid w:val="008C1FCE"/>
    <w:rsid w:val="008C2168"/>
    <w:rsid w:val="008C22E6"/>
    <w:rsid w:val="008C2396"/>
    <w:rsid w:val="008C2616"/>
    <w:rsid w:val="008C2865"/>
    <w:rsid w:val="008C28FF"/>
    <w:rsid w:val="008C2924"/>
    <w:rsid w:val="008C2BA9"/>
    <w:rsid w:val="008C31AD"/>
    <w:rsid w:val="008C3D40"/>
    <w:rsid w:val="008C3D9F"/>
    <w:rsid w:val="008C3FBC"/>
    <w:rsid w:val="008C4323"/>
    <w:rsid w:val="008C444D"/>
    <w:rsid w:val="008C4A57"/>
    <w:rsid w:val="008C4F30"/>
    <w:rsid w:val="008C52D3"/>
    <w:rsid w:val="008C58F8"/>
    <w:rsid w:val="008C5A70"/>
    <w:rsid w:val="008C5BAB"/>
    <w:rsid w:val="008C5E24"/>
    <w:rsid w:val="008C5EFE"/>
    <w:rsid w:val="008C6A76"/>
    <w:rsid w:val="008C6DAF"/>
    <w:rsid w:val="008C7267"/>
    <w:rsid w:val="008C7C95"/>
    <w:rsid w:val="008C7CAD"/>
    <w:rsid w:val="008D08F1"/>
    <w:rsid w:val="008D0A7C"/>
    <w:rsid w:val="008D0D3A"/>
    <w:rsid w:val="008D106A"/>
    <w:rsid w:val="008D128B"/>
    <w:rsid w:val="008D131F"/>
    <w:rsid w:val="008D1718"/>
    <w:rsid w:val="008D1D11"/>
    <w:rsid w:val="008D1E5A"/>
    <w:rsid w:val="008D217A"/>
    <w:rsid w:val="008D2580"/>
    <w:rsid w:val="008D2745"/>
    <w:rsid w:val="008D2805"/>
    <w:rsid w:val="008D2D15"/>
    <w:rsid w:val="008D2E6C"/>
    <w:rsid w:val="008D354C"/>
    <w:rsid w:val="008D39B5"/>
    <w:rsid w:val="008D3DB3"/>
    <w:rsid w:val="008D4B05"/>
    <w:rsid w:val="008D4B86"/>
    <w:rsid w:val="008D6B53"/>
    <w:rsid w:val="008D74B0"/>
    <w:rsid w:val="008D7574"/>
    <w:rsid w:val="008D76C5"/>
    <w:rsid w:val="008D7905"/>
    <w:rsid w:val="008D7B99"/>
    <w:rsid w:val="008D7BE0"/>
    <w:rsid w:val="008D7EFC"/>
    <w:rsid w:val="008E022E"/>
    <w:rsid w:val="008E0E86"/>
    <w:rsid w:val="008E14F3"/>
    <w:rsid w:val="008E1950"/>
    <w:rsid w:val="008E19E2"/>
    <w:rsid w:val="008E1CFF"/>
    <w:rsid w:val="008E1D1F"/>
    <w:rsid w:val="008E1DE6"/>
    <w:rsid w:val="008E24CA"/>
    <w:rsid w:val="008E25F7"/>
    <w:rsid w:val="008E3E64"/>
    <w:rsid w:val="008E3FB0"/>
    <w:rsid w:val="008E452C"/>
    <w:rsid w:val="008E4724"/>
    <w:rsid w:val="008E4F1B"/>
    <w:rsid w:val="008E5DA1"/>
    <w:rsid w:val="008E5E89"/>
    <w:rsid w:val="008E64F0"/>
    <w:rsid w:val="008E68BF"/>
    <w:rsid w:val="008E6F35"/>
    <w:rsid w:val="008E70C4"/>
    <w:rsid w:val="008E727F"/>
    <w:rsid w:val="008F005E"/>
    <w:rsid w:val="008F0552"/>
    <w:rsid w:val="008F1762"/>
    <w:rsid w:val="008F1860"/>
    <w:rsid w:val="008F1931"/>
    <w:rsid w:val="008F19C4"/>
    <w:rsid w:val="008F1BD5"/>
    <w:rsid w:val="008F1BEC"/>
    <w:rsid w:val="008F1D81"/>
    <w:rsid w:val="008F31C6"/>
    <w:rsid w:val="008F3202"/>
    <w:rsid w:val="008F415F"/>
    <w:rsid w:val="008F45C1"/>
    <w:rsid w:val="008F4EC9"/>
    <w:rsid w:val="008F551D"/>
    <w:rsid w:val="008F61E9"/>
    <w:rsid w:val="008F62E0"/>
    <w:rsid w:val="008F62E2"/>
    <w:rsid w:val="008F6A56"/>
    <w:rsid w:val="008F6EFA"/>
    <w:rsid w:val="008F7494"/>
    <w:rsid w:val="009001AE"/>
    <w:rsid w:val="00900323"/>
    <w:rsid w:val="009003B2"/>
    <w:rsid w:val="009005FC"/>
    <w:rsid w:val="00900ACB"/>
    <w:rsid w:val="00901202"/>
    <w:rsid w:val="00901C91"/>
    <w:rsid w:val="009027FE"/>
    <w:rsid w:val="0090339B"/>
    <w:rsid w:val="00904122"/>
    <w:rsid w:val="009041C8"/>
    <w:rsid w:val="00904C2C"/>
    <w:rsid w:val="009052CB"/>
    <w:rsid w:val="00905432"/>
    <w:rsid w:val="0090569C"/>
    <w:rsid w:val="0090582F"/>
    <w:rsid w:val="00907135"/>
    <w:rsid w:val="0090792B"/>
    <w:rsid w:val="00907DA1"/>
    <w:rsid w:val="009101E1"/>
    <w:rsid w:val="0091062C"/>
    <w:rsid w:val="009106CB"/>
    <w:rsid w:val="00911189"/>
    <w:rsid w:val="00911211"/>
    <w:rsid w:val="0091189F"/>
    <w:rsid w:val="0091207B"/>
    <w:rsid w:val="009123D5"/>
    <w:rsid w:val="00912728"/>
    <w:rsid w:val="00912B66"/>
    <w:rsid w:val="00912C89"/>
    <w:rsid w:val="00913532"/>
    <w:rsid w:val="00913DF7"/>
    <w:rsid w:val="00913F8E"/>
    <w:rsid w:val="00914AF9"/>
    <w:rsid w:val="00914DF8"/>
    <w:rsid w:val="00915AFC"/>
    <w:rsid w:val="00916B0F"/>
    <w:rsid w:val="00917248"/>
    <w:rsid w:val="009174C0"/>
    <w:rsid w:val="00917A1C"/>
    <w:rsid w:val="00920432"/>
    <w:rsid w:val="009209EE"/>
    <w:rsid w:val="00920A63"/>
    <w:rsid w:val="00920CE3"/>
    <w:rsid w:val="009212A3"/>
    <w:rsid w:val="009215A2"/>
    <w:rsid w:val="00921855"/>
    <w:rsid w:val="00921B0A"/>
    <w:rsid w:val="009221C5"/>
    <w:rsid w:val="00922A4E"/>
    <w:rsid w:val="009237ED"/>
    <w:rsid w:val="00924A50"/>
    <w:rsid w:val="0092506C"/>
    <w:rsid w:val="00925532"/>
    <w:rsid w:val="00926969"/>
    <w:rsid w:val="00927B85"/>
    <w:rsid w:val="00927D67"/>
    <w:rsid w:val="00927E43"/>
    <w:rsid w:val="009301A3"/>
    <w:rsid w:val="00930CCC"/>
    <w:rsid w:val="00931756"/>
    <w:rsid w:val="00932183"/>
    <w:rsid w:val="00932BAB"/>
    <w:rsid w:val="00932D8B"/>
    <w:rsid w:val="00932E4A"/>
    <w:rsid w:val="009343E4"/>
    <w:rsid w:val="009350CD"/>
    <w:rsid w:val="00935333"/>
    <w:rsid w:val="009353CC"/>
    <w:rsid w:val="009353DA"/>
    <w:rsid w:val="009355AB"/>
    <w:rsid w:val="00935A42"/>
    <w:rsid w:val="00935BA2"/>
    <w:rsid w:val="00936DCE"/>
    <w:rsid w:val="00936EE7"/>
    <w:rsid w:val="009371B4"/>
    <w:rsid w:val="00937476"/>
    <w:rsid w:val="0093768C"/>
    <w:rsid w:val="009378B6"/>
    <w:rsid w:val="0094026F"/>
    <w:rsid w:val="00940937"/>
    <w:rsid w:val="00940C2C"/>
    <w:rsid w:val="009412C8"/>
    <w:rsid w:val="00941860"/>
    <w:rsid w:val="00941A4E"/>
    <w:rsid w:val="00941D4C"/>
    <w:rsid w:val="00941D7E"/>
    <w:rsid w:val="0094225A"/>
    <w:rsid w:val="0094300A"/>
    <w:rsid w:val="009438AD"/>
    <w:rsid w:val="00943D75"/>
    <w:rsid w:val="009440D8"/>
    <w:rsid w:val="009443B2"/>
    <w:rsid w:val="009447D6"/>
    <w:rsid w:val="00944EDF"/>
    <w:rsid w:val="00945003"/>
    <w:rsid w:val="00945927"/>
    <w:rsid w:val="00945C9A"/>
    <w:rsid w:val="00946FE5"/>
    <w:rsid w:val="0094707A"/>
    <w:rsid w:val="009470CC"/>
    <w:rsid w:val="00947225"/>
    <w:rsid w:val="0094723B"/>
    <w:rsid w:val="00947990"/>
    <w:rsid w:val="009503AB"/>
    <w:rsid w:val="00950B6E"/>
    <w:rsid w:val="00951A3A"/>
    <w:rsid w:val="009520BF"/>
    <w:rsid w:val="0095210C"/>
    <w:rsid w:val="0095212E"/>
    <w:rsid w:val="009523B3"/>
    <w:rsid w:val="0095260E"/>
    <w:rsid w:val="00952C7F"/>
    <w:rsid w:val="00953512"/>
    <w:rsid w:val="00954523"/>
    <w:rsid w:val="00954525"/>
    <w:rsid w:val="00954661"/>
    <w:rsid w:val="00955681"/>
    <w:rsid w:val="00955914"/>
    <w:rsid w:val="0095678C"/>
    <w:rsid w:val="00956999"/>
    <w:rsid w:val="00957217"/>
    <w:rsid w:val="00957662"/>
    <w:rsid w:val="0096025F"/>
    <w:rsid w:val="00960C6E"/>
    <w:rsid w:val="00960C75"/>
    <w:rsid w:val="00960CE6"/>
    <w:rsid w:val="00961356"/>
    <w:rsid w:val="009614A4"/>
    <w:rsid w:val="00961815"/>
    <w:rsid w:val="00961AD3"/>
    <w:rsid w:val="00961B4A"/>
    <w:rsid w:val="009622D7"/>
    <w:rsid w:val="00962ED7"/>
    <w:rsid w:val="00963344"/>
    <w:rsid w:val="00963A48"/>
    <w:rsid w:val="00963E34"/>
    <w:rsid w:val="00964192"/>
    <w:rsid w:val="009649F5"/>
    <w:rsid w:val="00964F5D"/>
    <w:rsid w:val="009652B5"/>
    <w:rsid w:val="00965711"/>
    <w:rsid w:val="00965C8B"/>
    <w:rsid w:val="00965D5A"/>
    <w:rsid w:val="00965D82"/>
    <w:rsid w:val="009670EE"/>
    <w:rsid w:val="00967FA8"/>
    <w:rsid w:val="00970332"/>
    <w:rsid w:val="009707C3"/>
    <w:rsid w:val="00970D56"/>
    <w:rsid w:val="00970D95"/>
    <w:rsid w:val="00971175"/>
    <w:rsid w:val="00971180"/>
    <w:rsid w:val="009725CF"/>
    <w:rsid w:val="009727F9"/>
    <w:rsid w:val="00972A77"/>
    <w:rsid w:val="00972F4B"/>
    <w:rsid w:val="00973CFE"/>
    <w:rsid w:val="00974D17"/>
    <w:rsid w:val="009750A5"/>
    <w:rsid w:val="009760B2"/>
    <w:rsid w:val="00976131"/>
    <w:rsid w:val="0097636C"/>
    <w:rsid w:val="0097713F"/>
    <w:rsid w:val="009771D4"/>
    <w:rsid w:val="00977599"/>
    <w:rsid w:val="0097765E"/>
    <w:rsid w:val="00977E32"/>
    <w:rsid w:val="009802DA"/>
    <w:rsid w:val="00980CA2"/>
    <w:rsid w:val="00980D66"/>
    <w:rsid w:val="00980D87"/>
    <w:rsid w:val="00980FFE"/>
    <w:rsid w:val="0098118C"/>
    <w:rsid w:val="00982224"/>
    <w:rsid w:val="0098244F"/>
    <w:rsid w:val="00982B85"/>
    <w:rsid w:val="0098413E"/>
    <w:rsid w:val="00984D8A"/>
    <w:rsid w:val="00985E55"/>
    <w:rsid w:val="00985ED3"/>
    <w:rsid w:val="00986126"/>
    <w:rsid w:val="009868A8"/>
    <w:rsid w:val="009871FB"/>
    <w:rsid w:val="009875B3"/>
    <w:rsid w:val="00987733"/>
    <w:rsid w:val="00987BA3"/>
    <w:rsid w:val="0099026E"/>
    <w:rsid w:val="00990D47"/>
    <w:rsid w:val="00990E66"/>
    <w:rsid w:val="00991976"/>
    <w:rsid w:val="00992104"/>
    <w:rsid w:val="00992D45"/>
    <w:rsid w:val="0099349C"/>
    <w:rsid w:val="00993BC9"/>
    <w:rsid w:val="00993E35"/>
    <w:rsid w:val="00994788"/>
    <w:rsid w:val="00995305"/>
    <w:rsid w:val="00995796"/>
    <w:rsid w:val="00995EB3"/>
    <w:rsid w:val="009961F1"/>
    <w:rsid w:val="00996EA7"/>
    <w:rsid w:val="0099739F"/>
    <w:rsid w:val="00997E82"/>
    <w:rsid w:val="009A006B"/>
    <w:rsid w:val="009A104E"/>
    <w:rsid w:val="009A13D8"/>
    <w:rsid w:val="009A155D"/>
    <w:rsid w:val="009A20DC"/>
    <w:rsid w:val="009A22B9"/>
    <w:rsid w:val="009A2812"/>
    <w:rsid w:val="009A40CC"/>
    <w:rsid w:val="009A457B"/>
    <w:rsid w:val="009A45D7"/>
    <w:rsid w:val="009A5B37"/>
    <w:rsid w:val="009A6104"/>
    <w:rsid w:val="009A63BD"/>
    <w:rsid w:val="009A6CBD"/>
    <w:rsid w:val="009A701F"/>
    <w:rsid w:val="009A7444"/>
    <w:rsid w:val="009A7823"/>
    <w:rsid w:val="009A7C30"/>
    <w:rsid w:val="009A7E47"/>
    <w:rsid w:val="009A7EAF"/>
    <w:rsid w:val="009B0360"/>
    <w:rsid w:val="009B0A33"/>
    <w:rsid w:val="009B114F"/>
    <w:rsid w:val="009B1657"/>
    <w:rsid w:val="009B184A"/>
    <w:rsid w:val="009B228B"/>
    <w:rsid w:val="009B2387"/>
    <w:rsid w:val="009B254B"/>
    <w:rsid w:val="009B28A5"/>
    <w:rsid w:val="009B3002"/>
    <w:rsid w:val="009B326D"/>
    <w:rsid w:val="009B3D01"/>
    <w:rsid w:val="009B44AE"/>
    <w:rsid w:val="009B4E55"/>
    <w:rsid w:val="009B5252"/>
    <w:rsid w:val="009B5AB9"/>
    <w:rsid w:val="009B5D5B"/>
    <w:rsid w:val="009B6115"/>
    <w:rsid w:val="009B6212"/>
    <w:rsid w:val="009B6599"/>
    <w:rsid w:val="009B6620"/>
    <w:rsid w:val="009B668C"/>
    <w:rsid w:val="009B6883"/>
    <w:rsid w:val="009B6964"/>
    <w:rsid w:val="009B6BF6"/>
    <w:rsid w:val="009C0728"/>
    <w:rsid w:val="009C0BEE"/>
    <w:rsid w:val="009C0D4E"/>
    <w:rsid w:val="009C0E99"/>
    <w:rsid w:val="009C1DB0"/>
    <w:rsid w:val="009C20DD"/>
    <w:rsid w:val="009C3702"/>
    <w:rsid w:val="009C3935"/>
    <w:rsid w:val="009C478F"/>
    <w:rsid w:val="009C51D4"/>
    <w:rsid w:val="009C5368"/>
    <w:rsid w:val="009C55BD"/>
    <w:rsid w:val="009C62A9"/>
    <w:rsid w:val="009C6A84"/>
    <w:rsid w:val="009C6BA9"/>
    <w:rsid w:val="009C77A0"/>
    <w:rsid w:val="009C7C1F"/>
    <w:rsid w:val="009D000D"/>
    <w:rsid w:val="009D0085"/>
    <w:rsid w:val="009D050A"/>
    <w:rsid w:val="009D0797"/>
    <w:rsid w:val="009D0927"/>
    <w:rsid w:val="009D0C34"/>
    <w:rsid w:val="009D0D65"/>
    <w:rsid w:val="009D24D7"/>
    <w:rsid w:val="009D26C3"/>
    <w:rsid w:val="009D26EC"/>
    <w:rsid w:val="009D28E5"/>
    <w:rsid w:val="009D2CA2"/>
    <w:rsid w:val="009D2E68"/>
    <w:rsid w:val="009D33E9"/>
    <w:rsid w:val="009D3A5B"/>
    <w:rsid w:val="009D3C1D"/>
    <w:rsid w:val="009D467A"/>
    <w:rsid w:val="009D46AA"/>
    <w:rsid w:val="009D4E48"/>
    <w:rsid w:val="009D550D"/>
    <w:rsid w:val="009D5682"/>
    <w:rsid w:val="009D5808"/>
    <w:rsid w:val="009D5AF4"/>
    <w:rsid w:val="009D5BAF"/>
    <w:rsid w:val="009D5FF2"/>
    <w:rsid w:val="009D6A68"/>
    <w:rsid w:val="009D6E47"/>
    <w:rsid w:val="009D7102"/>
    <w:rsid w:val="009D7355"/>
    <w:rsid w:val="009D7494"/>
    <w:rsid w:val="009D7B80"/>
    <w:rsid w:val="009D7F16"/>
    <w:rsid w:val="009E060B"/>
    <w:rsid w:val="009E0A07"/>
    <w:rsid w:val="009E0D2E"/>
    <w:rsid w:val="009E1281"/>
    <w:rsid w:val="009E1FAE"/>
    <w:rsid w:val="009E262D"/>
    <w:rsid w:val="009E2659"/>
    <w:rsid w:val="009E2CBC"/>
    <w:rsid w:val="009E39CA"/>
    <w:rsid w:val="009E3FB1"/>
    <w:rsid w:val="009E41AE"/>
    <w:rsid w:val="009E4FD3"/>
    <w:rsid w:val="009E514F"/>
    <w:rsid w:val="009E5544"/>
    <w:rsid w:val="009E5658"/>
    <w:rsid w:val="009E6316"/>
    <w:rsid w:val="009E6679"/>
    <w:rsid w:val="009E763F"/>
    <w:rsid w:val="009E76B1"/>
    <w:rsid w:val="009E781D"/>
    <w:rsid w:val="009E78CE"/>
    <w:rsid w:val="009E7C1C"/>
    <w:rsid w:val="009F0D43"/>
    <w:rsid w:val="009F16B3"/>
    <w:rsid w:val="009F17E0"/>
    <w:rsid w:val="009F215F"/>
    <w:rsid w:val="009F25DF"/>
    <w:rsid w:val="009F2D61"/>
    <w:rsid w:val="009F3091"/>
    <w:rsid w:val="009F327E"/>
    <w:rsid w:val="009F3FE7"/>
    <w:rsid w:val="009F40F5"/>
    <w:rsid w:val="009F46A4"/>
    <w:rsid w:val="009F5B8F"/>
    <w:rsid w:val="009F5E78"/>
    <w:rsid w:val="009F601F"/>
    <w:rsid w:val="009F6770"/>
    <w:rsid w:val="009F7699"/>
    <w:rsid w:val="009F769E"/>
    <w:rsid w:val="009F78B3"/>
    <w:rsid w:val="009F7957"/>
    <w:rsid w:val="009F7EA0"/>
    <w:rsid w:val="00A003A0"/>
    <w:rsid w:val="00A003FF"/>
    <w:rsid w:val="00A0070F"/>
    <w:rsid w:val="00A0089E"/>
    <w:rsid w:val="00A01DA7"/>
    <w:rsid w:val="00A02591"/>
    <w:rsid w:val="00A0412C"/>
    <w:rsid w:val="00A045C1"/>
    <w:rsid w:val="00A053A8"/>
    <w:rsid w:val="00A0588B"/>
    <w:rsid w:val="00A05B24"/>
    <w:rsid w:val="00A062FE"/>
    <w:rsid w:val="00A07228"/>
    <w:rsid w:val="00A079EA"/>
    <w:rsid w:val="00A07FEB"/>
    <w:rsid w:val="00A10346"/>
    <w:rsid w:val="00A10565"/>
    <w:rsid w:val="00A11030"/>
    <w:rsid w:val="00A11A3B"/>
    <w:rsid w:val="00A11DCE"/>
    <w:rsid w:val="00A1205D"/>
    <w:rsid w:val="00A125DB"/>
    <w:rsid w:val="00A1301B"/>
    <w:rsid w:val="00A13AD3"/>
    <w:rsid w:val="00A142FD"/>
    <w:rsid w:val="00A143D3"/>
    <w:rsid w:val="00A15435"/>
    <w:rsid w:val="00A15898"/>
    <w:rsid w:val="00A166DE"/>
    <w:rsid w:val="00A16819"/>
    <w:rsid w:val="00A16D7A"/>
    <w:rsid w:val="00A172A3"/>
    <w:rsid w:val="00A174BF"/>
    <w:rsid w:val="00A1759A"/>
    <w:rsid w:val="00A17636"/>
    <w:rsid w:val="00A207FC"/>
    <w:rsid w:val="00A208E9"/>
    <w:rsid w:val="00A20ABA"/>
    <w:rsid w:val="00A212F0"/>
    <w:rsid w:val="00A2176C"/>
    <w:rsid w:val="00A218E4"/>
    <w:rsid w:val="00A21C78"/>
    <w:rsid w:val="00A22D82"/>
    <w:rsid w:val="00A23817"/>
    <w:rsid w:val="00A24347"/>
    <w:rsid w:val="00A2505C"/>
    <w:rsid w:val="00A25719"/>
    <w:rsid w:val="00A259B1"/>
    <w:rsid w:val="00A25BBE"/>
    <w:rsid w:val="00A263B5"/>
    <w:rsid w:val="00A264A7"/>
    <w:rsid w:val="00A26B30"/>
    <w:rsid w:val="00A26E8E"/>
    <w:rsid w:val="00A270E1"/>
    <w:rsid w:val="00A2751A"/>
    <w:rsid w:val="00A3029C"/>
    <w:rsid w:val="00A31261"/>
    <w:rsid w:val="00A312AC"/>
    <w:rsid w:val="00A3296D"/>
    <w:rsid w:val="00A32FD7"/>
    <w:rsid w:val="00A33A59"/>
    <w:rsid w:val="00A33B12"/>
    <w:rsid w:val="00A33BC9"/>
    <w:rsid w:val="00A34596"/>
    <w:rsid w:val="00A34BD1"/>
    <w:rsid w:val="00A34D16"/>
    <w:rsid w:val="00A3526E"/>
    <w:rsid w:val="00A35371"/>
    <w:rsid w:val="00A359F1"/>
    <w:rsid w:val="00A35A0E"/>
    <w:rsid w:val="00A35E05"/>
    <w:rsid w:val="00A360FA"/>
    <w:rsid w:val="00A3675E"/>
    <w:rsid w:val="00A367C7"/>
    <w:rsid w:val="00A36A3D"/>
    <w:rsid w:val="00A36C86"/>
    <w:rsid w:val="00A373AA"/>
    <w:rsid w:val="00A3792D"/>
    <w:rsid w:val="00A37954"/>
    <w:rsid w:val="00A37FDA"/>
    <w:rsid w:val="00A40477"/>
    <w:rsid w:val="00A40DAB"/>
    <w:rsid w:val="00A40DE4"/>
    <w:rsid w:val="00A40E2A"/>
    <w:rsid w:val="00A41144"/>
    <w:rsid w:val="00A4137E"/>
    <w:rsid w:val="00A41CCE"/>
    <w:rsid w:val="00A42496"/>
    <w:rsid w:val="00A4306F"/>
    <w:rsid w:val="00A449A9"/>
    <w:rsid w:val="00A44A78"/>
    <w:rsid w:val="00A45193"/>
    <w:rsid w:val="00A45684"/>
    <w:rsid w:val="00A45744"/>
    <w:rsid w:val="00A45A23"/>
    <w:rsid w:val="00A45DB9"/>
    <w:rsid w:val="00A46148"/>
    <w:rsid w:val="00A4693C"/>
    <w:rsid w:val="00A46FD5"/>
    <w:rsid w:val="00A47009"/>
    <w:rsid w:val="00A474F2"/>
    <w:rsid w:val="00A4767C"/>
    <w:rsid w:val="00A47B16"/>
    <w:rsid w:val="00A47EA5"/>
    <w:rsid w:val="00A50073"/>
    <w:rsid w:val="00A500A0"/>
    <w:rsid w:val="00A501A9"/>
    <w:rsid w:val="00A501DD"/>
    <w:rsid w:val="00A50372"/>
    <w:rsid w:val="00A5084D"/>
    <w:rsid w:val="00A510DF"/>
    <w:rsid w:val="00A5159D"/>
    <w:rsid w:val="00A51E8F"/>
    <w:rsid w:val="00A51EB7"/>
    <w:rsid w:val="00A528AA"/>
    <w:rsid w:val="00A52B1C"/>
    <w:rsid w:val="00A53383"/>
    <w:rsid w:val="00A53DAF"/>
    <w:rsid w:val="00A54314"/>
    <w:rsid w:val="00A54615"/>
    <w:rsid w:val="00A54C23"/>
    <w:rsid w:val="00A553D7"/>
    <w:rsid w:val="00A55561"/>
    <w:rsid w:val="00A558A3"/>
    <w:rsid w:val="00A56E15"/>
    <w:rsid w:val="00A57400"/>
    <w:rsid w:val="00A574B1"/>
    <w:rsid w:val="00A574FA"/>
    <w:rsid w:val="00A5775C"/>
    <w:rsid w:val="00A57AC8"/>
    <w:rsid w:val="00A57B60"/>
    <w:rsid w:val="00A57B70"/>
    <w:rsid w:val="00A57D15"/>
    <w:rsid w:val="00A61772"/>
    <w:rsid w:val="00A625F4"/>
    <w:rsid w:val="00A62AE3"/>
    <w:rsid w:val="00A62BD2"/>
    <w:rsid w:val="00A62CC3"/>
    <w:rsid w:val="00A62DCA"/>
    <w:rsid w:val="00A630ED"/>
    <w:rsid w:val="00A63191"/>
    <w:rsid w:val="00A6375B"/>
    <w:rsid w:val="00A63A2B"/>
    <w:rsid w:val="00A65061"/>
    <w:rsid w:val="00A65BD8"/>
    <w:rsid w:val="00A66728"/>
    <w:rsid w:val="00A667DC"/>
    <w:rsid w:val="00A675AA"/>
    <w:rsid w:val="00A67FD7"/>
    <w:rsid w:val="00A700A7"/>
    <w:rsid w:val="00A7016F"/>
    <w:rsid w:val="00A70ACB"/>
    <w:rsid w:val="00A70F89"/>
    <w:rsid w:val="00A71283"/>
    <w:rsid w:val="00A7138E"/>
    <w:rsid w:val="00A714A1"/>
    <w:rsid w:val="00A71568"/>
    <w:rsid w:val="00A726E1"/>
    <w:rsid w:val="00A72A27"/>
    <w:rsid w:val="00A73A15"/>
    <w:rsid w:val="00A748A6"/>
    <w:rsid w:val="00A74A88"/>
    <w:rsid w:val="00A74EE9"/>
    <w:rsid w:val="00A7504E"/>
    <w:rsid w:val="00A7555E"/>
    <w:rsid w:val="00A7572A"/>
    <w:rsid w:val="00A76696"/>
    <w:rsid w:val="00A76B1A"/>
    <w:rsid w:val="00A76B33"/>
    <w:rsid w:val="00A77185"/>
    <w:rsid w:val="00A774CF"/>
    <w:rsid w:val="00A779A3"/>
    <w:rsid w:val="00A77BB5"/>
    <w:rsid w:val="00A77BCF"/>
    <w:rsid w:val="00A77DA3"/>
    <w:rsid w:val="00A80155"/>
    <w:rsid w:val="00A8015A"/>
    <w:rsid w:val="00A80A8D"/>
    <w:rsid w:val="00A80E31"/>
    <w:rsid w:val="00A81058"/>
    <w:rsid w:val="00A811B9"/>
    <w:rsid w:val="00A81B26"/>
    <w:rsid w:val="00A81BE8"/>
    <w:rsid w:val="00A81DD3"/>
    <w:rsid w:val="00A826D4"/>
    <w:rsid w:val="00A82DB0"/>
    <w:rsid w:val="00A830BF"/>
    <w:rsid w:val="00A83236"/>
    <w:rsid w:val="00A83DDE"/>
    <w:rsid w:val="00A83F51"/>
    <w:rsid w:val="00A842D7"/>
    <w:rsid w:val="00A84322"/>
    <w:rsid w:val="00A84FE6"/>
    <w:rsid w:val="00A85723"/>
    <w:rsid w:val="00A858AD"/>
    <w:rsid w:val="00A85B52"/>
    <w:rsid w:val="00A86A6A"/>
    <w:rsid w:val="00A86E02"/>
    <w:rsid w:val="00A86F12"/>
    <w:rsid w:val="00A87244"/>
    <w:rsid w:val="00A87A91"/>
    <w:rsid w:val="00A87BA6"/>
    <w:rsid w:val="00A87BED"/>
    <w:rsid w:val="00A90220"/>
    <w:rsid w:val="00A908BB"/>
    <w:rsid w:val="00A90A74"/>
    <w:rsid w:val="00A90E92"/>
    <w:rsid w:val="00A91327"/>
    <w:rsid w:val="00A91B64"/>
    <w:rsid w:val="00A923B0"/>
    <w:rsid w:val="00A92703"/>
    <w:rsid w:val="00A92988"/>
    <w:rsid w:val="00A92EBB"/>
    <w:rsid w:val="00A941F3"/>
    <w:rsid w:val="00A94B0F"/>
    <w:rsid w:val="00A95094"/>
    <w:rsid w:val="00A9569C"/>
    <w:rsid w:val="00A95B23"/>
    <w:rsid w:val="00A95D48"/>
    <w:rsid w:val="00A96150"/>
    <w:rsid w:val="00A964CE"/>
    <w:rsid w:val="00A9721B"/>
    <w:rsid w:val="00A974DB"/>
    <w:rsid w:val="00A97802"/>
    <w:rsid w:val="00A97C3D"/>
    <w:rsid w:val="00AA04C0"/>
    <w:rsid w:val="00AA0E77"/>
    <w:rsid w:val="00AA0F6B"/>
    <w:rsid w:val="00AA1134"/>
    <w:rsid w:val="00AA17AC"/>
    <w:rsid w:val="00AA19CA"/>
    <w:rsid w:val="00AA28C4"/>
    <w:rsid w:val="00AA2B42"/>
    <w:rsid w:val="00AA2F1C"/>
    <w:rsid w:val="00AA311D"/>
    <w:rsid w:val="00AA328D"/>
    <w:rsid w:val="00AA38F0"/>
    <w:rsid w:val="00AA3B2C"/>
    <w:rsid w:val="00AA40F3"/>
    <w:rsid w:val="00AA453E"/>
    <w:rsid w:val="00AA4996"/>
    <w:rsid w:val="00AA52F5"/>
    <w:rsid w:val="00AA578D"/>
    <w:rsid w:val="00AA58B9"/>
    <w:rsid w:val="00AA5B1D"/>
    <w:rsid w:val="00AA5E28"/>
    <w:rsid w:val="00AA6725"/>
    <w:rsid w:val="00AA6AA2"/>
    <w:rsid w:val="00AA7789"/>
    <w:rsid w:val="00AA7E8A"/>
    <w:rsid w:val="00AB06F6"/>
    <w:rsid w:val="00AB0746"/>
    <w:rsid w:val="00AB0B8D"/>
    <w:rsid w:val="00AB20EC"/>
    <w:rsid w:val="00AB23C4"/>
    <w:rsid w:val="00AB23CA"/>
    <w:rsid w:val="00AB28BD"/>
    <w:rsid w:val="00AB2C98"/>
    <w:rsid w:val="00AB34B3"/>
    <w:rsid w:val="00AB3523"/>
    <w:rsid w:val="00AB3692"/>
    <w:rsid w:val="00AB4706"/>
    <w:rsid w:val="00AB4B52"/>
    <w:rsid w:val="00AB4C78"/>
    <w:rsid w:val="00AB4CFD"/>
    <w:rsid w:val="00AB4F2B"/>
    <w:rsid w:val="00AB51E2"/>
    <w:rsid w:val="00AB53FE"/>
    <w:rsid w:val="00AB64AB"/>
    <w:rsid w:val="00AB698E"/>
    <w:rsid w:val="00AB6D68"/>
    <w:rsid w:val="00AB6D9D"/>
    <w:rsid w:val="00AB72CC"/>
    <w:rsid w:val="00AB766D"/>
    <w:rsid w:val="00AB7739"/>
    <w:rsid w:val="00AB7DA9"/>
    <w:rsid w:val="00AC0080"/>
    <w:rsid w:val="00AC0F35"/>
    <w:rsid w:val="00AC159A"/>
    <w:rsid w:val="00AC19E3"/>
    <w:rsid w:val="00AC1DA8"/>
    <w:rsid w:val="00AC2353"/>
    <w:rsid w:val="00AC2517"/>
    <w:rsid w:val="00AC312E"/>
    <w:rsid w:val="00AC3B8E"/>
    <w:rsid w:val="00AC40EB"/>
    <w:rsid w:val="00AC438E"/>
    <w:rsid w:val="00AC47BC"/>
    <w:rsid w:val="00AC4836"/>
    <w:rsid w:val="00AC4A08"/>
    <w:rsid w:val="00AC4D0F"/>
    <w:rsid w:val="00AC4FED"/>
    <w:rsid w:val="00AC50D7"/>
    <w:rsid w:val="00AC5810"/>
    <w:rsid w:val="00AC5D54"/>
    <w:rsid w:val="00AC6949"/>
    <w:rsid w:val="00AD15FB"/>
    <w:rsid w:val="00AD1BD3"/>
    <w:rsid w:val="00AD1DE3"/>
    <w:rsid w:val="00AD22DA"/>
    <w:rsid w:val="00AD40C4"/>
    <w:rsid w:val="00AD41C8"/>
    <w:rsid w:val="00AD44EA"/>
    <w:rsid w:val="00AD569A"/>
    <w:rsid w:val="00AD5729"/>
    <w:rsid w:val="00AD62ED"/>
    <w:rsid w:val="00AD68F4"/>
    <w:rsid w:val="00AD70C2"/>
    <w:rsid w:val="00AD7555"/>
    <w:rsid w:val="00AD7AC5"/>
    <w:rsid w:val="00AD7AF2"/>
    <w:rsid w:val="00AD7BDE"/>
    <w:rsid w:val="00AD7C28"/>
    <w:rsid w:val="00AE0236"/>
    <w:rsid w:val="00AE0C8B"/>
    <w:rsid w:val="00AE1650"/>
    <w:rsid w:val="00AE2F3A"/>
    <w:rsid w:val="00AE3D4B"/>
    <w:rsid w:val="00AE3D9D"/>
    <w:rsid w:val="00AE3F07"/>
    <w:rsid w:val="00AE4195"/>
    <w:rsid w:val="00AE4A82"/>
    <w:rsid w:val="00AE50D5"/>
    <w:rsid w:val="00AE5532"/>
    <w:rsid w:val="00AE59B6"/>
    <w:rsid w:val="00AE61D7"/>
    <w:rsid w:val="00AE6525"/>
    <w:rsid w:val="00AE6D02"/>
    <w:rsid w:val="00AE6D2F"/>
    <w:rsid w:val="00AE70C1"/>
    <w:rsid w:val="00AE7897"/>
    <w:rsid w:val="00AE7A4F"/>
    <w:rsid w:val="00AF0197"/>
    <w:rsid w:val="00AF08AE"/>
    <w:rsid w:val="00AF10B7"/>
    <w:rsid w:val="00AF144A"/>
    <w:rsid w:val="00AF155F"/>
    <w:rsid w:val="00AF1D1C"/>
    <w:rsid w:val="00AF1E54"/>
    <w:rsid w:val="00AF2723"/>
    <w:rsid w:val="00AF280C"/>
    <w:rsid w:val="00AF293F"/>
    <w:rsid w:val="00AF2C21"/>
    <w:rsid w:val="00AF2C8C"/>
    <w:rsid w:val="00AF36AC"/>
    <w:rsid w:val="00AF375A"/>
    <w:rsid w:val="00AF3FCE"/>
    <w:rsid w:val="00AF4F04"/>
    <w:rsid w:val="00AF5929"/>
    <w:rsid w:val="00AF59B9"/>
    <w:rsid w:val="00AF6022"/>
    <w:rsid w:val="00AF6E7D"/>
    <w:rsid w:val="00AF74EE"/>
    <w:rsid w:val="00AF7812"/>
    <w:rsid w:val="00AF7A61"/>
    <w:rsid w:val="00AF7E31"/>
    <w:rsid w:val="00B00401"/>
    <w:rsid w:val="00B00697"/>
    <w:rsid w:val="00B00F99"/>
    <w:rsid w:val="00B0140E"/>
    <w:rsid w:val="00B016B5"/>
    <w:rsid w:val="00B016E5"/>
    <w:rsid w:val="00B01ACA"/>
    <w:rsid w:val="00B01DD4"/>
    <w:rsid w:val="00B02093"/>
    <w:rsid w:val="00B03F01"/>
    <w:rsid w:val="00B041C3"/>
    <w:rsid w:val="00B04B20"/>
    <w:rsid w:val="00B04C56"/>
    <w:rsid w:val="00B04DF6"/>
    <w:rsid w:val="00B04DFC"/>
    <w:rsid w:val="00B0518E"/>
    <w:rsid w:val="00B05243"/>
    <w:rsid w:val="00B0526E"/>
    <w:rsid w:val="00B055DA"/>
    <w:rsid w:val="00B06B2F"/>
    <w:rsid w:val="00B074FD"/>
    <w:rsid w:val="00B07B6C"/>
    <w:rsid w:val="00B10791"/>
    <w:rsid w:val="00B11856"/>
    <w:rsid w:val="00B11E75"/>
    <w:rsid w:val="00B1211D"/>
    <w:rsid w:val="00B123FF"/>
    <w:rsid w:val="00B1296C"/>
    <w:rsid w:val="00B13133"/>
    <w:rsid w:val="00B13CF6"/>
    <w:rsid w:val="00B13D4C"/>
    <w:rsid w:val="00B145AC"/>
    <w:rsid w:val="00B14C82"/>
    <w:rsid w:val="00B16806"/>
    <w:rsid w:val="00B17469"/>
    <w:rsid w:val="00B1748C"/>
    <w:rsid w:val="00B17EE3"/>
    <w:rsid w:val="00B17F1D"/>
    <w:rsid w:val="00B200E5"/>
    <w:rsid w:val="00B20404"/>
    <w:rsid w:val="00B20F72"/>
    <w:rsid w:val="00B22142"/>
    <w:rsid w:val="00B2220A"/>
    <w:rsid w:val="00B22555"/>
    <w:rsid w:val="00B2299F"/>
    <w:rsid w:val="00B229AA"/>
    <w:rsid w:val="00B22BCD"/>
    <w:rsid w:val="00B23956"/>
    <w:rsid w:val="00B23A09"/>
    <w:rsid w:val="00B23B29"/>
    <w:rsid w:val="00B23E82"/>
    <w:rsid w:val="00B240C2"/>
    <w:rsid w:val="00B24626"/>
    <w:rsid w:val="00B24A83"/>
    <w:rsid w:val="00B25325"/>
    <w:rsid w:val="00B25649"/>
    <w:rsid w:val="00B25728"/>
    <w:rsid w:val="00B257D3"/>
    <w:rsid w:val="00B25BC2"/>
    <w:rsid w:val="00B25D0A"/>
    <w:rsid w:val="00B25D49"/>
    <w:rsid w:val="00B269D4"/>
    <w:rsid w:val="00B26A23"/>
    <w:rsid w:val="00B277A6"/>
    <w:rsid w:val="00B306CB"/>
    <w:rsid w:val="00B30CEC"/>
    <w:rsid w:val="00B31416"/>
    <w:rsid w:val="00B31AE0"/>
    <w:rsid w:val="00B31C90"/>
    <w:rsid w:val="00B32152"/>
    <w:rsid w:val="00B32281"/>
    <w:rsid w:val="00B32507"/>
    <w:rsid w:val="00B32E7D"/>
    <w:rsid w:val="00B3305B"/>
    <w:rsid w:val="00B3383A"/>
    <w:rsid w:val="00B3466B"/>
    <w:rsid w:val="00B34790"/>
    <w:rsid w:val="00B348EC"/>
    <w:rsid w:val="00B34CAC"/>
    <w:rsid w:val="00B34FFF"/>
    <w:rsid w:val="00B35056"/>
    <w:rsid w:val="00B35625"/>
    <w:rsid w:val="00B35912"/>
    <w:rsid w:val="00B3694D"/>
    <w:rsid w:val="00B36FDA"/>
    <w:rsid w:val="00B3766B"/>
    <w:rsid w:val="00B3769D"/>
    <w:rsid w:val="00B379A6"/>
    <w:rsid w:val="00B406BD"/>
    <w:rsid w:val="00B408B2"/>
    <w:rsid w:val="00B40EB0"/>
    <w:rsid w:val="00B41BC0"/>
    <w:rsid w:val="00B42A5E"/>
    <w:rsid w:val="00B42B7F"/>
    <w:rsid w:val="00B42FA4"/>
    <w:rsid w:val="00B43199"/>
    <w:rsid w:val="00B43CFA"/>
    <w:rsid w:val="00B43F29"/>
    <w:rsid w:val="00B45C38"/>
    <w:rsid w:val="00B45C55"/>
    <w:rsid w:val="00B46153"/>
    <w:rsid w:val="00B46170"/>
    <w:rsid w:val="00B463DF"/>
    <w:rsid w:val="00B468C0"/>
    <w:rsid w:val="00B4724E"/>
    <w:rsid w:val="00B47431"/>
    <w:rsid w:val="00B47494"/>
    <w:rsid w:val="00B47A7D"/>
    <w:rsid w:val="00B47AD0"/>
    <w:rsid w:val="00B47BD7"/>
    <w:rsid w:val="00B47DF6"/>
    <w:rsid w:val="00B50CFE"/>
    <w:rsid w:val="00B516A7"/>
    <w:rsid w:val="00B51811"/>
    <w:rsid w:val="00B51CB4"/>
    <w:rsid w:val="00B524F8"/>
    <w:rsid w:val="00B5259D"/>
    <w:rsid w:val="00B5295A"/>
    <w:rsid w:val="00B52FD0"/>
    <w:rsid w:val="00B532C0"/>
    <w:rsid w:val="00B53327"/>
    <w:rsid w:val="00B53B45"/>
    <w:rsid w:val="00B540DB"/>
    <w:rsid w:val="00B54674"/>
    <w:rsid w:val="00B55065"/>
    <w:rsid w:val="00B5525E"/>
    <w:rsid w:val="00B5587C"/>
    <w:rsid w:val="00B55939"/>
    <w:rsid w:val="00B55B29"/>
    <w:rsid w:val="00B55CD1"/>
    <w:rsid w:val="00B5630B"/>
    <w:rsid w:val="00B573ED"/>
    <w:rsid w:val="00B60590"/>
    <w:rsid w:val="00B6068B"/>
    <w:rsid w:val="00B60D10"/>
    <w:rsid w:val="00B6101D"/>
    <w:rsid w:val="00B61078"/>
    <w:rsid w:val="00B61CBB"/>
    <w:rsid w:val="00B61D7F"/>
    <w:rsid w:val="00B61E3D"/>
    <w:rsid w:val="00B623B9"/>
    <w:rsid w:val="00B62755"/>
    <w:rsid w:val="00B628A0"/>
    <w:rsid w:val="00B62A62"/>
    <w:rsid w:val="00B62DB8"/>
    <w:rsid w:val="00B6312D"/>
    <w:rsid w:val="00B6354D"/>
    <w:rsid w:val="00B63A74"/>
    <w:rsid w:val="00B63A92"/>
    <w:rsid w:val="00B645B8"/>
    <w:rsid w:val="00B649CA"/>
    <w:rsid w:val="00B64E49"/>
    <w:rsid w:val="00B6533A"/>
    <w:rsid w:val="00B6546B"/>
    <w:rsid w:val="00B65591"/>
    <w:rsid w:val="00B6732D"/>
    <w:rsid w:val="00B67A08"/>
    <w:rsid w:val="00B7020F"/>
    <w:rsid w:val="00B70DB1"/>
    <w:rsid w:val="00B70DE0"/>
    <w:rsid w:val="00B71186"/>
    <w:rsid w:val="00B7190D"/>
    <w:rsid w:val="00B71CCD"/>
    <w:rsid w:val="00B7229F"/>
    <w:rsid w:val="00B722B4"/>
    <w:rsid w:val="00B72549"/>
    <w:rsid w:val="00B7280E"/>
    <w:rsid w:val="00B72B99"/>
    <w:rsid w:val="00B72E08"/>
    <w:rsid w:val="00B73B04"/>
    <w:rsid w:val="00B73B1B"/>
    <w:rsid w:val="00B743E7"/>
    <w:rsid w:val="00B7450C"/>
    <w:rsid w:val="00B748D0"/>
    <w:rsid w:val="00B74E35"/>
    <w:rsid w:val="00B74EAD"/>
    <w:rsid w:val="00B75384"/>
    <w:rsid w:val="00B7566F"/>
    <w:rsid w:val="00B75EF4"/>
    <w:rsid w:val="00B75F1B"/>
    <w:rsid w:val="00B761E8"/>
    <w:rsid w:val="00B766FA"/>
    <w:rsid w:val="00B767D2"/>
    <w:rsid w:val="00B76D62"/>
    <w:rsid w:val="00B76E61"/>
    <w:rsid w:val="00B76F8C"/>
    <w:rsid w:val="00B773AE"/>
    <w:rsid w:val="00B77713"/>
    <w:rsid w:val="00B779B5"/>
    <w:rsid w:val="00B77B68"/>
    <w:rsid w:val="00B77C21"/>
    <w:rsid w:val="00B77CA7"/>
    <w:rsid w:val="00B8033E"/>
    <w:rsid w:val="00B8054D"/>
    <w:rsid w:val="00B808C5"/>
    <w:rsid w:val="00B80E6A"/>
    <w:rsid w:val="00B80EAD"/>
    <w:rsid w:val="00B8131E"/>
    <w:rsid w:val="00B817DD"/>
    <w:rsid w:val="00B824EA"/>
    <w:rsid w:val="00B8362B"/>
    <w:rsid w:val="00B83BC4"/>
    <w:rsid w:val="00B84A92"/>
    <w:rsid w:val="00B84C67"/>
    <w:rsid w:val="00B851E7"/>
    <w:rsid w:val="00B8558F"/>
    <w:rsid w:val="00B858FF"/>
    <w:rsid w:val="00B85EF4"/>
    <w:rsid w:val="00B8619F"/>
    <w:rsid w:val="00B86550"/>
    <w:rsid w:val="00B8695B"/>
    <w:rsid w:val="00B86ED2"/>
    <w:rsid w:val="00B8702E"/>
    <w:rsid w:val="00B872F5"/>
    <w:rsid w:val="00B876C8"/>
    <w:rsid w:val="00B878A6"/>
    <w:rsid w:val="00B87AB5"/>
    <w:rsid w:val="00B87D5F"/>
    <w:rsid w:val="00B87D80"/>
    <w:rsid w:val="00B90236"/>
    <w:rsid w:val="00B9033F"/>
    <w:rsid w:val="00B90842"/>
    <w:rsid w:val="00B90880"/>
    <w:rsid w:val="00B90D04"/>
    <w:rsid w:val="00B90EAE"/>
    <w:rsid w:val="00B9118A"/>
    <w:rsid w:val="00B912EA"/>
    <w:rsid w:val="00B91DCA"/>
    <w:rsid w:val="00B923C8"/>
    <w:rsid w:val="00B92D54"/>
    <w:rsid w:val="00B9306C"/>
    <w:rsid w:val="00B93220"/>
    <w:rsid w:val="00B934D5"/>
    <w:rsid w:val="00B935A6"/>
    <w:rsid w:val="00B937F9"/>
    <w:rsid w:val="00B93FBD"/>
    <w:rsid w:val="00B94401"/>
    <w:rsid w:val="00B944A6"/>
    <w:rsid w:val="00B94C90"/>
    <w:rsid w:val="00B95312"/>
    <w:rsid w:val="00B956CC"/>
    <w:rsid w:val="00B964AF"/>
    <w:rsid w:val="00B96D2C"/>
    <w:rsid w:val="00B96E33"/>
    <w:rsid w:val="00B970E7"/>
    <w:rsid w:val="00B9756C"/>
    <w:rsid w:val="00B97E37"/>
    <w:rsid w:val="00BA084A"/>
    <w:rsid w:val="00BA0F78"/>
    <w:rsid w:val="00BA12D7"/>
    <w:rsid w:val="00BA1D91"/>
    <w:rsid w:val="00BA263E"/>
    <w:rsid w:val="00BA2C25"/>
    <w:rsid w:val="00BA3148"/>
    <w:rsid w:val="00BA3153"/>
    <w:rsid w:val="00BA33CD"/>
    <w:rsid w:val="00BA3490"/>
    <w:rsid w:val="00BA3AEA"/>
    <w:rsid w:val="00BA3F88"/>
    <w:rsid w:val="00BA48BC"/>
    <w:rsid w:val="00BA4C45"/>
    <w:rsid w:val="00BA505F"/>
    <w:rsid w:val="00BA560C"/>
    <w:rsid w:val="00BA5884"/>
    <w:rsid w:val="00BA5D8E"/>
    <w:rsid w:val="00BA5DBD"/>
    <w:rsid w:val="00BA65FC"/>
    <w:rsid w:val="00BA6964"/>
    <w:rsid w:val="00BA6967"/>
    <w:rsid w:val="00BA6D10"/>
    <w:rsid w:val="00BA7508"/>
    <w:rsid w:val="00BA771E"/>
    <w:rsid w:val="00BA79A5"/>
    <w:rsid w:val="00BA7B6B"/>
    <w:rsid w:val="00BB0161"/>
    <w:rsid w:val="00BB0606"/>
    <w:rsid w:val="00BB06A0"/>
    <w:rsid w:val="00BB0C73"/>
    <w:rsid w:val="00BB107F"/>
    <w:rsid w:val="00BB183C"/>
    <w:rsid w:val="00BB189D"/>
    <w:rsid w:val="00BB1993"/>
    <w:rsid w:val="00BB1AD3"/>
    <w:rsid w:val="00BB1C2E"/>
    <w:rsid w:val="00BB211A"/>
    <w:rsid w:val="00BB23AB"/>
    <w:rsid w:val="00BB3336"/>
    <w:rsid w:val="00BB3A05"/>
    <w:rsid w:val="00BB3C0D"/>
    <w:rsid w:val="00BB450D"/>
    <w:rsid w:val="00BB4B3F"/>
    <w:rsid w:val="00BB5E17"/>
    <w:rsid w:val="00BB5EE6"/>
    <w:rsid w:val="00BB6021"/>
    <w:rsid w:val="00BB67A0"/>
    <w:rsid w:val="00BB68CC"/>
    <w:rsid w:val="00BB694E"/>
    <w:rsid w:val="00BB79B4"/>
    <w:rsid w:val="00BC01F1"/>
    <w:rsid w:val="00BC0670"/>
    <w:rsid w:val="00BC0B61"/>
    <w:rsid w:val="00BC14AB"/>
    <w:rsid w:val="00BC1E0C"/>
    <w:rsid w:val="00BC23D0"/>
    <w:rsid w:val="00BC24EA"/>
    <w:rsid w:val="00BC2D08"/>
    <w:rsid w:val="00BC3055"/>
    <w:rsid w:val="00BC343D"/>
    <w:rsid w:val="00BC35AB"/>
    <w:rsid w:val="00BC3AD2"/>
    <w:rsid w:val="00BC4710"/>
    <w:rsid w:val="00BC4934"/>
    <w:rsid w:val="00BC4CCE"/>
    <w:rsid w:val="00BC5044"/>
    <w:rsid w:val="00BC53DF"/>
    <w:rsid w:val="00BC5466"/>
    <w:rsid w:val="00BC5598"/>
    <w:rsid w:val="00BC5A7C"/>
    <w:rsid w:val="00BC5B39"/>
    <w:rsid w:val="00BC5BD0"/>
    <w:rsid w:val="00BC62E0"/>
    <w:rsid w:val="00BC664E"/>
    <w:rsid w:val="00BC77B0"/>
    <w:rsid w:val="00BC7CCB"/>
    <w:rsid w:val="00BD0085"/>
    <w:rsid w:val="00BD0100"/>
    <w:rsid w:val="00BD03FD"/>
    <w:rsid w:val="00BD05A2"/>
    <w:rsid w:val="00BD05C2"/>
    <w:rsid w:val="00BD0E2C"/>
    <w:rsid w:val="00BD131E"/>
    <w:rsid w:val="00BD13A3"/>
    <w:rsid w:val="00BD1950"/>
    <w:rsid w:val="00BD1D15"/>
    <w:rsid w:val="00BD1E3B"/>
    <w:rsid w:val="00BD23AB"/>
    <w:rsid w:val="00BD2775"/>
    <w:rsid w:val="00BD2AEF"/>
    <w:rsid w:val="00BD2EE2"/>
    <w:rsid w:val="00BD3564"/>
    <w:rsid w:val="00BD3C59"/>
    <w:rsid w:val="00BD3FE3"/>
    <w:rsid w:val="00BD50BD"/>
    <w:rsid w:val="00BD5E0E"/>
    <w:rsid w:val="00BD5F11"/>
    <w:rsid w:val="00BD6243"/>
    <w:rsid w:val="00BD6ABC"/>
    <w:rsid w:val="00BD6B5C"/>
    <w:rsid w:val="00BD6B8D"/>
    <w:rsid w:val="00BD7C0F"/>
    <w:rsid w:val="00BD7D43"/>
    <w:rsid w:val="00BE0EF9"/>
    <w:rsid w:val="00BE11A0"/>
    <w:rsid w:val="00BE1567"/>
    <w:rsid w:val="00BE188C"/>
    <w:rsid w:val="00BE1C99"/>
    <w:rsid w:val="00BE2819"/>
    <w:rsid w:val="00BE2C3C"/>
    <w:rsid w:val="00BE30AE"/>
    <w:rsid w:val="00BE3471"/>
    <w:rsid w:val="00BE34C6"/>
    <w:rsid w:val="00BE3544"/>
    <w:rsid w:val="00BE3868"/>
    <w:rsid w:val="00BE3A7A"/>
    <w:rsid w:val="00BE3EED"/>
    <w:rsid w:val="00BE4003"/>
    <w:rsid w:val="00BE4027"/>
    <w:rsid w:val="00BE4263"/>
    <w:rsid w:val="00BE47D0"/>
    <w:rsid w:val="00BE4AF9"/>
    <w:rsid w:val="00BE5502"/>
    <w:rsid w:val="00BE57FC"/>
    <w:rsid w:val="00BE59F9"/>
    <w:rsid w:val="00BE5A26"/>
    <w:rsid w:val="00BE5C04"/>
    <w:rsid w:val="00BE6736"/>
    <w:rsid w:val="00BE6E2C"/>
    <w:rsid w:val="00BE6FF5"/>
    <w:rsid w:val="00BE77F5"/>
    <w:rsid w:val="00BE780A"/>
    <w:rsid w:val="00BF0E1C"/>
    <w:rsid w:val="00BF12FC"/>
    <w:rsid w:val="00BF1691"/>
    <w:rsid w:val="00BF1968"/>
    <w:rsid w:val="00BF1FB6"/>
    <w:rsid w:val="00BF21EC"/>
    <w:rsid w:val="00BF227B"/>
    <w:rsid w:val="00BF258A"/>
    <w:rsid w:val="00BF261F"/>
    <w:rsid w:val="00BF2EDC"/>
    <w:rsid w:val="00BF2FF8"/>
    <w:rsid w:val="00BF3353"/>
    <w:rsid w:val="00BF3D82"/>
    <w:rsid w:val="00BF3ED2"/>
    <w:rsid w:val="00BF4149"/>
    <w:rsid w:val="00BF43A2"/>
    <w:rsid w:val="00BF4B0F"/>
    <w:rsid w:val="00BF4D6F"/>
    <w:rsid w:val="00BF6587"/>
    <w:rsid w:val="00BF6623"/>
    <w:rsid w:val="00BF6692"/>
    <w:rsid w:val="00BF6CDF"/>
    <w:rsid w:val="00BF7F07"/>
    <w:rsid w:val="00C0088E"/>
    <w:rsid w:val="00C00AFB"/>
    <w:rsid w:val="00C0120F"/>
    <w:rsid w:val="00C02E9E"/>
    <w:rsid w:val="00C03498"/>
    <w:rsid w:val="00C04063"/>
    <w:rsid w:val="00C044B9"/>
    <w:rsid w:val="00C0461A"/>
    <w:rsid w:val="00C0489E"/>
    <w:rsid w:val="00C0557D"/>
    <w:rsid w:val="00C05AE3"/>
    <w:rsid w:val="00C05AF0"/>
    <w:rsid w:val="00C0617B"/>
    <w:rsid w:val="00C064D0"/>
    <w:rsid w:val="00C06AB2"/>
    <w:rsid w:val="00C06E1B"/>
    <w:rsid w:val="00C07150"/>
    <w:rsid w:val="00C074FF"/>
    <w:rsid w:val="00C07653"/>
    <w:rsid w:val="00C07B5F"/>
    <w:rsid w:val="00C13443"/>
    <w:rsid w:val="00C13947"/>
    <w:rsid w:val="00C14222"/>
    <w:rsid w:val="00C14367"/>
    <w:rsid w:val="00C14E55"/>
    <w:rsid w:val="00C14FEA"/>
    <w:rsid w:val="00C15342"/>
    <w:rsid w:val="00C160B5"/>
    <w:rsid w:val="00C167D5"/>
    <w:rsid w:val="00C16807"/>
    <w:rsid w:val="00C16EF9"/>
    <w:rsid w:val="00C176EE"/>
    <w:rsid w:val="00C17BA9"/>
    <w:rsid w:val="00C17D9D"/>
    <w:rsid w:val="00C20207"/>
    <w:rsid w:val="00C20353"/>
    <w:rsid w:val="00C20665"/>
    <w:rsid w:val="00C2083B"/>
    <w:rsid w:val="00C20946"/>
    <w:rsid w:val="00C209E9"/>
    <w:rsid w:val="00C2116E"/>
    <w:rsid w:val="00C21A2A"/>
    <w:rsid w:val="00C21AE8"/>
    <w:rsid w:val="00C21F4D"/>
    <w:rsid w:val="00C21FB0"/>
    <w:rsid w:val="00C22799"/>
    <w:rsid w:val="00C22894"/>
    <w:rsid w:val="00C22A59"/>
    <w:rsid w:val="00C22B40"/>
    <w:rsid w:val="00C22E23"/>
    <w:rsid w:val="00C23172"/>
    <w:rsid w:val="00C23E41"/>
    <w:rsid w:val="00C24D3E"/>
    <w:rsid w:val="00C251B1"/>
    <w:rsid w:val="00C253FC"/>
    <w:rsid w:val="00C25DF4"/>
    <w:rsid w:val="00C26CAC"/>
    <w:rsid w:val="00C27283"/>
    <w:rsid w:val="00C2761D"/>
    <w:rsid w:val="00C27734"/>
    <w:rsid w:val="00C27A0E"/>
    <w:rsid w:val="00C27C92"/>
    <w:rsid w:val="00C302F0"/>
    <w:rsid w:val="00C302FA"/>
    <w:rsid w:val="00C30833"/>
    <w:rsid w:val="00C3083A"/>
    <w:rsid w:val="00C309EC"/>
    <w:rsid w:val="00C30FB3"/>
    <w:rsid w:val="00C316E2"/>
    <w:rsid w:val="00C31D80"/>
    <w:rsid w:val="00C326A4"/>
    <w:rsid w:val="00C3346F"/>
    <w:rsid w:val="00C33997"/>
    <w:rsid w:val="00C33D70"/>
    <w:rsid w:val="00C35285"/>
    <w:rsid w:val="00C35720"/>
    <w:rsid w:val="00C37B59"/>
    <w:rsid w:val="00C37C1B"/>
    <w:rsid w:val="00C37CD8"/>
    <w:rsid w:val="00C4039B"/>
    <w:rsid w:val="00C4046F"/>
    <w:rsid w:val="00C409A2"/>
    <w:rsid w:val="00C40C1F"/>
    <w:rsid w:val="00C415FC"/>
    <w:rsid w:val="00C41956"/>
    <w:rsid w:val="00C41A0D"/>
    <w:rsid w:val="00C428E2"/>
    <w:rsid w:val="00C428EF"/>
    <w:rsid w:val="00C42A5C"/>
    <w:rsid w:val="00C43381"/>
    <w:rsid w:val="00C436E7"/>
    <w:rsid w:val="00C4429D"/>
    <w:rsid w:val="00C442E3"/>
    <w:rsid w:val="00C4436F"/>
    <w:rsid w:val="00C446CD"/>
    <w:rsid w:val="00C44913"/>
    <w:rsid w:val="00C44FA3"/>
    <w:rsid w:val="00C45203"/>
    <w:rsid w:val="00C45373"/>
    <w:rsid w:val="00C454FD"/>
    <w:rsid w:val="00C45D74"/>
    <w:rsid w:val="00C45F30"/>
    <w:rsid w:val="00C4678E"/>
    <w:rsid w:val="00C46BA6"/>
    <w:rsid w:val="00C47034"/>
    <w:rsid w:val="00C502A7"/>
    <w:rsid w:val="00C50E82"/>
    <w:rsid w:val="00C511A7"/>
    <w:rsid w:val="00C5175E"/>
    <w:rsid w:val="00C51ACB"/>
    <w:rsid w:val="00C51B32"/>
    <w:rsid w:val="00C531F7"/>
    <w:rsid w:val="00C5362C"/>
    <w:rsid w:val="00C541D2"/>
    <w:rsid w:val="00C54321"/>
    <w:rsid w:val="00C547AB"/>
    <w:rsid w:val="00C54C5D"/>
    <w:rsid w:val="00C552BA"/>
    <w:rsid w:val="00C564F2"/>
    <w:rsid w:val="00C5686C"/>
    <w:rsid w:val="00C56DE1"/>
    <w:rsid w:val="00C56EDA"/>
    <w:rsid w:val="00C57561"/>
    <w:rsid w:val="00C575E9"/>
    <w:rsid w:val="00C579C7"/>
    <w:rsid w:val="00C57B0B"/>
    <w:rsid w:val="00C57C05"/>
    <w:rsid w:val="00C6041C"/>
    <w:rsid w:val="00C6050D"/>
    <w:rsid w:val="00C6070C"/>
    <w:rsid w:val="00C6188C"/>
    <w:rsid w:val="00C61A7E"/>
    <w:rsid w:val="00C621BC"/>
    <w:rsid w:val="00C62D10"/>
    <w:rsid w:val="00C63BEF"/>
    <w:rsid w:val="00C63C9F"/>
    <w:rsid w:val="00C640FF"/>
    <w:rsid w:val="00C64B3D"/>
    <w:rsid w:val="00C64B65"/>
    <w:rsid w:val="00C64E81"/>
    <w:rsid w:val="00C6537A"/>
    <w:rsid w:val="00C65A99"/>
    <w:rsid w:val="00C65ABC"/>
    <w:rsid w:val="00C65B93"/>
    <w:rsid w:val="00C65C5C"/>
    <w:rsid w:val="00C65ED7"/>
    <w:rsid w:val="00C66208"/>
    <w:rsid w:val="00C66DF3"/>
    <w:rsid w:val="00C67673"/>
    <w:rsid w:val="00C6788C"/>
    <w:rsid w:val="00C679A2"/>
    <w:rsid w:val="00C67A76"/>
    <w:rsid w:val="00C67BCD"/>
    <w:rsid w:val="00C70032"/>
    <w:rsid w:val="00C707BA"/>
    <w:rsid w:val="00C70A11"/>
    <w:rsid w:val="00C71090"/>
    <w:rsid w:val="00C7118B"/>
    <w:rsid w:val="00C71292"/>
    <w:rsid w:val="00C7215A"/>
    <w:rsid w:val="00C7223F"/>
    <w:rsid w:val="00C7233E"/>
    <w:rsid w:val="00C72A03"/>
    <w:rsid w:val="00C72D03"/>
    <w:rsid w:val="00C730F2"/>
    <w:rsid w:val="00C7364E"/>
    <w:rsid w:val="00C7392B"/>
    <w:rsid w:val="00C747A2"/>
    <w:rsid w:val="00C74819"/>
    <w:rsid w:val="00C74B43"/>
    <w:rsid w:val="00C76143"/>
    <w:rsid w:val="00C761C7"/>
    <w:rsid w:val="00C76300"/>
    <w:rsid w:val="00C76871"/>
    <w:rsid w:val="00C768D1"/>
    <w:rsid w:val="00C76E03"/>
    <w:rsid w:val="00C76FB3"/>
    <w:rsid w:val="00C76FBF"/>
    <w:rsid w:val="00C775C7"/>
    <w:rsid w:val="00C77A4C"/>
    <w:rsid w:val="00C77F25"/>
    <w:rsid w:val="00C80989"/>
    <w:rsid w:val="00C80B10"/>
    <w:rsid w:val="00C8186B"/>
    <w:rsid w:val="00C81B44"/>
    <w:rsid w:val="00C833C3"/>
    <w:rsid w:val="00C836C2"/>
    <w:rsid w:val="00C84121"/>
    <w:rsid w:val="00C8464B"/>
    <w:rsid w:val="00C846D3"/>
    <w:rsid w:val="00C84B21"/>
    <w:rsid w:val="00C859C3"/>
    <w:rsid w:val="00C85F02"/>
    <w:rsid w:val="00C86175"/>
    <w:rsid w:val="00C86748"/>
    <w:rsid w:val="00C86E49"/>
    <w:rsid w:val="00C879A7"/>
    <w:rsid w:val="00C87AD1"/>
    <w:rsid w:val="00C901FF"/>
    <w:rsid w:val="00C9039F"/>
    <w:rsid w:val="00C91887"/>
    <w:rsid w:val="00C91AA3"/>
    <w:rsid w:val="00C9247B"/>
    <w:rsid w:val="00C92861"/>
    <w:rsid w:val="00C92933"/>
    <w:rsid w:val="00C92983"/>
    <w:rsid w:val="00C931DA"/>
    <w:rsid w:val="00C9384E"/>
    <w:rsid w:val="00C94272"/>
    <w:rsid w:val="00C94B92"/>
    <w:rsid w:val="00C94C4D"/>
    <w:rsid w:val="00C94F34"/>
    <w:rsid w:val="00C96675"/>
    <w:rsid w:val="00C967F3"/>
    <w:rsid w:val="00C9689C"/>
    <w:rsid w:val="00C96B60"/>
    <w:rsid w:val="00C96BD8"/>
    <w:rsid w:val="00C9740F"/>
    <w:rsid w:val="00C9786B"/>
    <w:rsid w:val="00C97C11"/>
    <w:rsid w:val="00CA0587"/>
    <w:rsid w:val="00CA0C87"/>
    <w:rsid w:val="00CA0CFB"/>
    <w:rsid w:val="00CA0E0C"/>
    <w:rsid w:val="00CA11CB"/>
    <w:rsid w:val="00CA1529"/>
    <w:rsid w:val="00CA21E2"/>
    <w:rsid w:val="00CA2212"/>
    <w:rsid w:val="00CA2F37"/>
    <w:rsid w:val="00CA332A"/>
    <w:rsid w:val="00CA35FD"/>
    <w:rsid w:val="00CA3917"/>
    <w:rsid w:val="00CA3B49"/>
    <w:rsid w:val="00CA3B9F"/>
    <w:rsid w:val="00CA5330"/>
    <w:rsid w:val="00CA55FD"/>
    <w:rsid w:val="00CA59A1"/>
    <w:rsid w:val="00CA5B70"/>
    <w:rsid w:val="00CA6032"/>
    <w:rsid w:val="00CA6434"/>
    <w:rsid w:val="00CA67FA"/>
    <w:rsid w:val="00CA6CB3"/>
    <w:rsid w:val="00CA6D86"/>
    <w:rsid w:val="00CA6DDA"/>
    <w:rsid w:val="00CA6EDA"/>
    <w:rsid w:val="00CA7926"/>
    <w:rsid w:val="00CA7971"/>
    <w:rsid w:val="00CA7E94"/>
    <w:rsid w:val="00CA7F89"/>
    <w:rsid w:val="00CB02FB"/>
    <w:rsid w:val="00CB1673"/>
    <w:rsid w:val="00CB1865"/>
    <w:rsid w:val="00CB1C4D"/>
    <w:rsid w:val="00CB22AB"/>
    <w:rsid w:val="00CB2343"/>
    <w:rsid w:val="00CB24D1"/>
    <w:rsid w:val="00CB3202"/>
    <w:rsid w:val="00CB34B2"/>
    <w:rsid w:val="00CB3718"/>
    <w:rsid w:val="00CB3749"/>
    <w:rsid w:val="00CB3BAB"/>
    <w:rsid w:val="00CB4464"/>
    <w:rsid w:val="00CB46CA"/>
    <w:rsid w:val="00CB4D4A"/>
    <w:rsid w:val="00CB4DD1"/>
    <w:rsid w:val="00CB598A"/>
    <w:rsid w:val="00CB5A5C"/>
    <w:rsid w:val="00CB5CA2"/>
    <w:rsid w:val="00CB5FD3"/>
    <w:rsid w:val="00CB6085"/>
    <w:rsid w:val="00CB6278"/>
    <w:rsid w:val="00CB62F7"/>
    <w:rsid w:val="00CB66F5"/>
    <w:rsid w:val="00CB6D84"/>
    <w:rsid w:val="00CB7762"/>
    <w:rsid w:val="00CC0ECA"/>
    <w:rsid w:val="00CC1051"/>
    <w:rsid w:val="00CC19DC"/>
    <w:rsid w:val="00CC19E5"/>
    <w:rsid w:val="00CC2504"/>
    <w:rsid w:val="00CC35AB"/>
    <w:rsid w:val="00CC3971"/>
    <w:rsid w:val="00CC3A7E"/>
    <w:rsid w:val="00CC3AD3"/>
    <w:rsid w:val="00CC43D4"/>
    <w:rsid w:val="00CC456C"/>
    <w:rsid w:val="00CC49C2"/>
    <w:rsid w:val="00CC4B31"/>
    <w:rsid w:val="00CC4F7D"/>
    <w:rsid w:val="00CC528E"/>
    <w:rsid w:val="00CC65B3"/>
    <w:rsid w:val="00CC79EA"/>
    <w:rsid w:val="00CC7C8A"/>
    <w:rsid w:val="00CC7D2D"/>
    <w:rsid w:val="00CC7F88"/>
    <w:rsid w:val="00CD0AB2"/>
    <w:rsid w:val="00CD1211"/>
    <w:rsid w:val="00CD12D6"/>
    <w:rsid w:val="00CD14AB"/>
    <w:rsid w:val="00CD1AFA"/>
    <w:rsid w:val="00CD241E"/>
    <w:rsid w:val="00CD2511"/>
    <w:rsid w:val="00CD2559"/>
    <w:rsid w:val="00CD2BFC"/>
    <w:rsid w:val="00CD32A4"/>
    <w:rsid w:val="00CD3962"/>
    <w:rsid w:val="00CD3A68"/>
    <w:rsid w:val="00CD412C"/>
    <w:rsid w:val="00CD42A8"/>
    <w:rsid w:val="00CD4380"/>
    <w:rsid w:val="00CD4B44"/>
    <w:rsid w:val="00CD5ADB"/>
    <w:rsid w:val="00CD69D4"/>
    <w:rsid w:val="00CD6F32"/>
    <w:rsid w:val="00CD7B03"/>
    <w:rsid w:val="00CD7CC5"/>
    <w:rsid w:val="00CE011C"/>
    <w:rsid w:val="00CE052D"/>
    <w:rsid w:val="00CE0560"/>
    <w:rsid w:val="00CE0711"/>
    <w:rsid w:val="00CE0D57"/>
    <w:rsid w:val="00CE13F6"/>
    <w:rsid w:val="00CE14D3"/>
    <w:rsid w:val="00CE2B20"/>
    <w:rsid w:val="00CE32E6"/>
    <w:rsid w:val="00CE3BD4"/>
    <w:rsid w:val="00CE3BDA"/>
    <w:rsid w:val="00CE3BF0"/>
    <w:rsid w:val="00CE3DA9"/>
    <w:rsid w:val="00CE43D9"/>
    <w:rsid w:val="00CE4534"/>
    <w:rsid w:val="00CE4B96"/>
    <w:rsid w:val="00CE506A"/>
    <w:rsid w:val="00CE537F"/>
    <w:rsid w:val="00CE56F6"/>
    <w:rsid w:val="00CE5792"/>
    <w:rsid w:val="00CE5C89"/>
    <w:rsid w:val="00CE60C7"/>
    <w:rsid w:val="00CE6117"/>
    <w:rsid w:val="00CE64DF"/>
    <w:rsid w:val="00CE6686"/>
    <w:rsid w:val="00CE74C6"/>
    <w:rsid w:val="00CE774D"/>
    <w:rsid w:val="00CE7904"/>
    <w:rsid w:val="00CE7D7C"/>
    <w:rsid w:val="00CF0275"/>
    <w:rsid w:val="00CF0820"/>
    <w:rsid w:val="00CF0B17"/>
    <w:rsid w:val="00CF0B6F"/>
    <w:rsid w:val="00CF0F79"/>
    <w:rsid w:val="00CF17BE"/>
    <w:rsid w:val="00CF1C15"/>
    <w:rsid w:val="00CF1EC6"/>
    <w:rsid w:val="00CF1FB7"/>
    <w:rsid w:val="00CF28D7"/>
    <w:rsid w:val="00CF3B9F"/>
    <w:rsid w:val="00CF3E77"/>
    <w:rsid w:val="00CF577B"/>
    <w:rsid w:val="00CF65E3"/>
    <w:rsid w:val="00CF6846"/>
    <w:rsid w:val="00CF6D77"/>
    <w:rsid w:val="00CF6DB9"/>
    <w:rsid w:val="00CF744F"/>
    <w:rsid w:val="00CF74DD"/>
    <w:rsid w:val="00CF798C"/>
    <w:rsid w:val="00CF7993"/>
    <w:rsid w:val="00CF7AD1"/>
    <w:rsid w:val="00D000C8"/>
    <w:rsid w:val="00D003D6"/>
    <w:rsid w:val="00D00A8D"/>
    <w:rsid w:val="00D0134F"/>
    <w:rsid w:val="00D01427"/>
    <w:rsid w:val="00D0159E"/>
    <w:rsid w:val="00D0166F"/>
    <w:rsid w:val="00D018CB"/>
    <w:rsid w:val="00D01A39"/>
    <w:rsid w:val="00D02CD2"/>
    <w:rsid w:val="00D033EA"/>
    <w:rsid w:val="00D03897"/>
    <w:rsid w:val="00D03AF6"/>
    <w:rsid w:val="00D03BB5"/>
    <w:rsid w:val="00D04CD8"/>
    <w:rsid w:val="00D055FF"/>
    <w:rsid w:val="00D05682"/>
    <w:rsid w:val="00D06B35"/>
    <w:rsid w:val="00D06C90"/>
    <w:rsid w:val="00D06EEE"/>
    <w:rsid w:val="00D06F6D"/>
    <w:rsid w:val="00D1030E"/>
    <w:rsid w:val="00D103C0"/>
    <w:rsid w:val="00D107E8"/>
    <w:rsid w:val="00D10AFC"/>
    <w:rsid w:val="00D110CF"/>
    <w:rsid w:val="00D114FD"/>
    <w:rsid w:val="00D1160D"/>
    <w:rsid w:val="00D11970"/>
    <w:rsid w:val="00D119F2"/>
    <w:rsid w:val="00D121A4"/>
    <w:rsid w:val="00D124EA"/>
    <w:rsid w:val="00D12AE6"/>
    <w:rsid w:val="00D12CFD"/>
    <w:rsid w:val="00D13D1A"/>
    <w:rsid w:val="00D13F2C"/>
    <w:rsid w:val="00D161D5"/>
    <w:rsid w:val="00D165CB"/>
    <w:rsid w:val="00D171A4"/>
    <w:rsid w:val="00D172D5"/>
    <w:rsid w:val="00D1744D"/>
    <w:rsid w:val="00D17608"/>
    <w:rsid w:val="00D2030D"/>
    <w:rsid w:val="00D207C5"/>
    <w:rsid w:val="00D2207C"/>
    <w:rsid w:val="00D22147"/>
    <w:rsid w:val="00D22268"/>
    <w:rsid w:val="00D222AB"/>
    <w:rsid w:val="00D229DE"/>
    <w:rsid w:val="00D22D6C"/>
    <w:rsid w:val="00D23AC2"/>
    <w:rsid w:val="00D243F4"/>
    <w:rsid w:val="00D245F2"/>
    <w:rsid w:val="00D24AF1"/>
    <w:rsid w:val="00D25451"/>
    <w:rsid w:val="00D258B8"/>
    <w:rsid w:val="00D25CCD"/>
    <w:rsid w:val="00D25DEB"/>
    <w:rsid w:val="00D25EC5"/>
    <w:rsid w:val="00D2666A"/>
    <w:rsid w:val="00D270BE"/>
    <w:rsid w:val="00D27366"/>
    <w:rsid w:val="00D27801"/>
    <w:rsid w:val="00D27D04"/>
    <w:rsid w:val="00D3009D"/>
    <w:rsid w:val="00D30104"/>
    <w:rsid w:val="00D302B9"/>
    <w:rsid w:val="00D30837"/>
    <w:rsid w:val="00D30CD3"/>
    <w:rsid w:val="00D31217"/>
    <w:rsid w:val="00D31336"/>
    <w:rsid w:val="00D3134B"/>
    <w:rsid w:val="00D31755"/>
    <w:rsid w:val="00D31A6C"/>
    <w:rsid w:val="00D3278A"/>
    <w:rsid w:val="00D32C66"/>
    <w:rsid w:val="00D32C70"/>
    <w:rsid w:val="00D32FA1"/>
    <w:rsid w:val="00D3352F"/>
    <w:rsid w:val="00D339BE"/>
    <w:rsid w:val="00D33BF6"/>
    <w:rsid w:val="00D34478"/>
    <w:rsid w:val="00D348FD"/>
    <w:rsid w:val="00D34982"/>
    <w:rsid w:val="00D34AD6"/>
    <w:rsid w:val="00D34D09"/>
    <w:rsid w:val="00D34EA0"/>
    <w:rsid w:val="00D35BE1"/>
    <w:rsid w:val="00D35C12"/>
    <w:rsid w:val="00D35FCA"/>
    <w:rsid w:val="00D36405"/>
    <w:rsid w:val="00D36889"/>
    <w:rsid w:val="00D36BB5"/>
    <w:rsid w:val="00D372E7"/>
    <w:rsid w:val="00D3742B"/>
    <w:rsid w:val="00D3750E"/>
    <w:rsid w:val="00D37A13"/>
    <w:rsid w:val="00D37AD9"/>
    <w:rsid w:val="00D37D3D"/>
    <w:rsid w:val="00D37E06"/>
    <w:rsid w:val="00D40040"/>
    <w:rsid w:val="00D404E9"/>
    <w:rsid w:val="00D4086A"/>
    <w:rsid w:val="00D4198F"/>
    <w:rsid w:val="00D41BF2"/>
    <w:rsid w:val="00D42123"/>
    <w:rsid w:val="00D424AE"/>
    <w:rsid w:val="00D425CD"/>
    <w:rsid w:val="00D42833"/>
    <w:rsid w:val="00D43584"/>
    <w:rsid w:val="00D436BE"/>
    <w:rsid w:val="00D43847"/>
    <w:rsid w:val="00D43985"/>
    <w:rsid w:val="00D44161"/>
    <w:rsid w:val="00D441F0"/>
    <w:rsid w:val="00D44DBF"/>
    <w:rsid w:val="00D45A6C"/>
    <w:rsid w:val="00D45C74"/>
    <w:rsid w:val="00D46124"/>
    <w:rsid w:val="00D466AD"/>
    <w:rsid w:val="00D46C5A"/>
    <w:rsid w:val="00D46EBF"/>
    <w:rsid w:val="00D47051"/>
    <w:rsid w:val="00D478D1"/>
    <w:rsid w:val="00D479DF"/>
    <w:rsid w:val="00D47B1C"/>
    <w:rsid w:val="00D47BE7"/>
    <w:rsid w:val="00D47DA5"/>
    <w:rsid w:val="00D5041B"/>
    <w:rsid w:val="00D5060C"/>
    <w:rsid w:val="00D50D13"/>
    <w:rsid w:val="00D511BE"/>
    <w:rsid w:val="00D5133D"/>
    <w:rsid w:val="00D52A05"/>
    <w:rsid w:val="00D52BCD"/>
    <w:rsid w:val="00D53536"/>
    <w:rsid w:val="00D53580"/>
    <w:rsid w:val="00D53DD4"/>
    <w:rsid w:val="00D53E78"/>
    <w:rsid w:val="00D547CF"/>
    <w:rsid w:val="00D552E0"/>
    <w:rsid w:val="00D55C9C"/>
    <w:rsid w:val="00D55EA5"/>
    <w:rsid w:val="00D56121"/>
    <w:rsid w:val="00D5664F"/>
    <w:rsid w:val="00D56A46"/>
    <w:rsid w:val="00D57247"/>
    <w:rsid w:val="00D57596"/>
    <w:rsid w:val="00D57D2D"/>
    <w:rsid w:val="00D57EE9"/>
    <w:rsid w:val="00D60394"/>
    <w:rsid w:val="00D607DE"/>
    <w:rsid w:val="00D60D69"/>
    <w:rsid w:val="00D61188"/>
    <w:rsid w:val="00D6187E"/>
    <w:rsid w:val="00D61882"/>
    <w:rsid w:val="00D61AD6"/>
    <w:rsid w:val="00D6259C"/>
    <w:rsid w:val="00D62643"/>
    <w:rsid w:val="00D62EFA"/>
    <w:rsid w:val="00D63B12"/>
    <w:rsid w:val="00D63BB2"/>
    <w:rsid w:val="00D63E6D"/>
    <w:rsid w:val="00D64906"/>
    <w:rsid w:val="00D64EA9"/>
    <w:rsid w:val="00D65281"/>
    <w:rsid w:val="00D65450"/>
    <w:rsid w:val="00D659D6"/>
    <w:rsid w:val="00D65DB7"/>
    <w:rsid w:val="00D66A22"/>
    <w:rsid w:val="00D66A4A"/>
    <w:rsid w:val="00D66DFE"/>
    <w:rsid w:val="00D67029"/>
    <w:rsid w:val="00D67890"/>
    <w:rsid w:val="00D7064F"/>
    <w:rsid w:val="00D70870"/>
    <w:rsid w:val="00D70878"/>
    <w:rsid w:val="00D70B5E"/>
    <w:rsid w:val="00D70BCD"/>
    <w:rsid w:val="00D71008"/>
    <w:rsid w:val="00D71452"/>
    <w:rsid w:val="00D71838"/>
    <w:rsid w:val="00D7219B"/>
    <w:rsid w:val="00D7234D"/>
    <w:rsid w:val="00D72DDD"/>
    <w:rsid w:val="00D72FAC"/>
    <w:rsid w:val="00D733C0"/>
    <w:rsid w:val="00D7347D"/>
    <w:rsid w:val="00D735C6"/>
    <w:rsid w:val="00D73B6B"/>
    <w:rsid w:val="00D740F6"/>
    <w:rsid w:val="00D745A5"/>
    <w:rsid w:val="00D74796"/>
    <w:rsid w:val="00D75078"/>
    <w:rsid w:val="00D7582D"/>
    <w:rsid w:val="00D75903"/>
    <w:rsid w:val="00D75B5E"/>
    <w:rsid w:val="00D75C82"/>
    <w:rsid w:val="00D7634B"/>
    <w:rsid w:val="00D76593"/>
    <w:rsid w:val="00D76B0E"/>
    <w:rsid w:val="00D77265"/>
    <w:rsid w:val="00D7769B"/>
    <w:rsid w:val="00D77FE5"/>
    <w:rsid w:val="00D802EE"/>
    <w:rsid w:val="00D80311"/>
    <w:rsid w:val="00D80484"/>
    <w:rsid w:val="00D807B7"/>
    <w:rsid w:val="00D8083F"/>
    <w:rsid w:val="00D80D81"/>
    <w:rsid w:val="00D81575"/>
    <w:rsid w:val="00D81668"/>
    <w:rsid w:val="00D81970"/>
    <w:rsid w:val="00D81DE1"/>
    <w:rsid w:val="00D81DF3"/>
    <w:rsid w:val="00D820FE"/>
    <w:rsid w:val="00D821EC"/>
    <w:rsid w:val="00D8244C"/>
    <w:rsid w:val="00D82732"/>
    <w:rsid w:val="00D82735"/>
    <w:rsid w:val="00D82F08"/>
    <w:rsid w:val="00D83733"/>
    <w:rsid w:val="00D83AE6"/>
    <w:rsid w:val="00D83B49"/>
    <w:rsid w:val="00D840F8"/>
    <w:rsid w:val="00D8455F"/>
    <w:rsid w:val="00D848C4"/>
    <w:rsid w:val="00D84AF1"/>
    <w:rsid w:val="00D84E30"/>
    <w:rsid w:val="00D84F02"/>
    <w:rsid w:val="00D8574B"/>
    <w:rsid w:val="00D857C7"/>
    <w:rsid w:val="00D8599D"/>
    <w:rsid w:val="00D85A89"/>
    <w:rsid w:val="00D86246"/>
    <w:rsid w:val="00D8669F"/>
    <w:rsid w:val="00D86B74"/>
    <w:rsid w:val="00D87547"/>
    <w:rsid w:val="00D87703"/>
    <w:rsid w:val="00D87B8D"/>
    <w:rsid w:val="00D909D8"/>
    <w:rsid w:val="00D9103D"/>
    <w:rsid w:val="00D916FB"/>
    <w:rsid w:val="00D9188D"/>
    <w:rsid w:val="00D92283"/>
    <w:rsid w:val="00D92620"/>
    <w:rsid w:val="00D92779"/>
    <w:rsid w:val="00D92996"/>
    <w:rsid w:val="00D92EE5"/>
    <w:rsid w:val="00D92F99"/>
    <w:rsid w:val="00D93113"/>
    <w:rsid w:val="00D9328D"/>
    <w:rsid w:val="00D93553"/>
    <w:rsid w:val="00D93798"/>
    <w:rsid w:val="00D9490E"/>
    <w:rsid w:val="00D94E3A"/>
    <w:rsid w:val="00D94FFA"/>
    <w:rsid w:val="00D961D7"/>
    <w:rsid w:val="00D96D5C"/>
    <w:rsid w:val="00D96F61"/>
    <w:rsid w:val="00D97D5B"/>
    <w:rsid w:val="00DA0265"/>
    <w:rsid w:val="00DA0551"/>
    <w:rsid w:val="00DA058B"/>
    <w:rsid w:val="00DA0E5F"/>
    <w:rsid w:val="00DA1467"/>
    <w:rsid w:val="00DA1DB5"/>
    <w:rsid w:val="00DA27F9"/>
    <w:rsid w:val="00DA3651"/>
    <w:rsid w:val="00DA36B6"/>
    <w:rsid w:val="00DA38F7"/>
    <w:rsid w:val="00DA4475"/>
    <w:rsid w:val="00DA4610"/>
    <w:rsid w:val="00DA52A8"/>
    <w:rsid w:val="00DA5878"/>
    <w:rsid w:val="00DA5980"/>
    <w:rsid w:val="00DA6388"/>
    <w:rsid w:val="00DA721C"/>
    <w:rsid w:val="00DA7933"/>
    <w:rsid w:val="00DA7D39"/>
    <w:rsid w:val="00DB00A7"/>
    <w:rsid w:val="00DB0456"/>
    <w:rsid w:val="00DB0583"/>
    <w:rsid w:val="00DB0614"/>
    <w:rsid w:val="00DB0A58"/>
    <w:rsid w:val="00DB10A5"/>
    <w:rsid w:val="00DB18C1"/>
    <w:rsid w:val="00DB22A4"/>
    <w:rsid w:val="00DB28BF"/>
    <w:rsid w:val="00DB2B22"/>
    <w:rsid w:val="00DB3208"/>
    <w:rsid w:val="00DB350E"/>
    <w:rsid w:val="00DB36DF"/>
    <w:rsid w:val="00DB3903"/>
    <w:rsid w:val="00DB49B9"/>
    <w:rsid w:val="00DB4D6B"/>
    <w:rsid w:val="00DB4DBE"/>
    <w:rsid w:val="00DB53B9"/>
    <w:rsid w:val="00DB53C0"/>
    <w:rsid w:val="00DB6048"/>
    <w:rsid w:val="00DB6C83"/>
    <w:rsid w:val="00DB6E31"/>
    <w:rsid w:val="00DB7108"/>
    <w:rsid w:val="00DB72CC"/>
    <w:rsid w:val="00DB7527"/>
    <w:rsid w:val="00DB783D"/>
    <w:rsid w:val="00DC0152"/>
    <w:rsid w:val="00DC0CDE"/>
    <w:rsid w:val="00DC1831"/>
    <w:rsid w:val="00DC2268"/>
    <w:rsid w:val="00DC2D8C"/>
    <w:rsid w:val="00DC3707"/>
    <w:rsid w:val="00DC3749"/>
    <w:rsid w:val="00DC3907"/>
    <w:rsid w:val="00DC3BC1"/>
    <w:rsid w:val="00DC40D7"/>
    <w:rsid w:val="00DC49FD"/>
    <w:rsid w:val="00DC5128"/>
    <w:rsid w:val="00DC52E3"/>
    <w:rsid w:val="00DC53C1"/>
    <w:rsid w:val="00DC549B"/>
    <w:rsid w:val="00DC54E6"/>
    <w:rsid w:val="00DC5658"/>
    <w:rsid w:val="00DC5CA0"/>
    <w:rsid w:val="00DC6285"/>
    <w:rsid w:val="00DC6450"/>
    <w:rsid w:val="00DC64B6"/>
    <w:rsid w:val="00DC6697"/>
    <w:rsid w:val="00DC7155"/>
    <w:rsid w:val="00DC72EB"/>
    <w:rsid w:val="00DC74F5"/>
    <w:rsid w:val="00DC75F5"/>
    <w:rsid w:val="00DC7600"/>
    <w:rsid w:val="00DC7BB4"/>
    <w:rsid w:val="00DC7FC6"/>
    <w:rsid w:val="00DD0134"/>
    <w:rsid w:val="00DD0C8B"/>
    <w:rsid w:val="00DD0DB3"/>
    <w:rsid w:val="00DD0E3C"/>
    <w:rsid w:val="00DD118C"/>
    <w:rsid w:val="00DD1361"/>
    <w:rsid w:val="00DD14B4"/>
    <w:rsid w:val="00DD16CE"/>
    <w:rsid w:val="00DD16D0"/>
    <w:rsid w:val="00DD1BB1"/>
    <w:rsid w:val="00DD1F89"/>
    <w:rsid w:val="00DD2717"/>
    <w:rsid w:val="00DD363D"/>
    <w:rsid w:val="00DD3653"/>
    <w:rsid w:val="00DD39CE"/>
    <w:rsid w:val="00DD3A43"/>
    <w:rsid w:val="00DD3B5D"/>
    <w:rsid w:val="00DD3DA0"/>
    <w:rsid w:val="00DD4120"/>
    <w:rsid w:val="00DD474E"/>
    <w:rsid w:val="00DD4D69"/>
    <w:rsid w:val="00DD4ED3"/>
    <w:rsid w:val="00DD52D3"/>
    <w:rsid w:val="00DD5987"/>
    <w:rsid w:val="00DD604B"/>
    <w:rsid w:val="00DD606E"/>
    <w:rsid w:val="00DD61DD"/>
    <w:rsid w:val="00DD65EC"/>
    <w:rsid w:val="00DD6C21"/>
    <w:rsid w:val="00DD6C47"/>
    <w:rsid w:val="00DD6F6D"/>
    <w:rsid w:val="00DD72C5"/>
    <w:rsid w:val="00DD72E6"/>
    <w:rsid w:val="00DD75D3"/>
    <w:rsid w:val="00DD786C"/>
    <w:rsid w:val="00DD7CE4"/>
    <w:rsid w:val="00DD7D96"/>
    <w:rsid w:val="00DE0338"/>
    <w:rsid w:val="00DE074E"/>
    <w:rsid w:val="00DE0B72"/>
    <w:rsid w:val="00DE0D69"/>
    <w:rsid w:val="00DE1575"/>
    <w:rsid w:val="00DE1715"/>
    <w:rsid w:val="00DE237E"/>
    <w:rsid w:val="00DE2635"/>
    <w:rsid w:val="00DE29B5"/>
    <w:rsid w:val="00DE2AE7"/>
    <w:rsid w:val="00DE2EED"/>
    <w:rsid w:val="00DE2F5C"/>
    <w:rsid w:val="00DE3174"/>
    <w:rsid w:val="00DE352C"/>
    <w:rsid w:val="00DE3574"/>
    <w:rsid w:val="00DE39E3"/>
    <w:rsid w:val="00DE3AB7"/>
    <w:rsid w:val="00DE3EAC"/>
    <w:rsid w:val="00DE402A"/>
    <w:rsid w:val="00DE438B"/>
    <w:rsid w:val="00DE4B61"/>
    <w:rsid w:val="00DE4CAA"/>
    <w:rsid w:val="00DE4CCC"/>
    <w:rsid w:val="00DE5951"/>
    <w:rsid w:val="00DE6340"/>
    <w:rsid w:val="00DE64A7"/>
    <w:rsid w:val="00DE67E8"/>
    <w:rsid w:val="00DE68F9"/>
    <w:rsid w:val="00DE6E8B"/>
    <w:rsid w:val="00DE726E"/>
    <w:rsid w:val="00DE7C33"/>
    <w:rsid w:val="00DF0D73"/>
    <w:rsid w:val="00DF0E70"/>
    <w:rsid w:val="00DF0EE1"/>
    <w:rsid w:val="00DF1035"/>
    <w:rsid w:val="00DF1075"/>
    <w:rsid w:val="00DF10B1"/>
    <w:rsid w:val="00DF1115"/>
    <w:rsid w:val="00DF198B"/>
    <w:rsid w:val="00DF211C"/>
    <w:rsid w:val="00DF2133"/>
    <w:rsid w:val="00DF37AD"/>
    <w:rsid w:val="00DF3B54"/>
    <w:rsid w:val="00DF449A"/>
    <w:rsid w:val="00DF52D7"/>
    <w:rsid w:val="00DF539C"/>
    <w:rsid w:val="00DF55A7"/>
    <w:rsid w:val="00DF569A"/>
    <w:rsid w:val="00DF5B7B"/>
    <w:rsid w:val="00DF7C76"/>
    <w:rsid w:val="00DF7E4B"/>
    <w:rsid w:val="00E001FE"/>
    <w:rsid w:val="00E00A1F"/>
    <w:rsid w:val="00E01645"/>
    <w:rsid w:val="00E016B6"/>
    <w:rsid w:val="00E0170E"/>
    <w:rsid w:val="00E02618"/>
    <w:rsid w:val="00E02905"/>
    <w:rsid w:val="00E029FB"/>
    <w:rsid w:val="00E03311"/>
    <w:rsid w:val="00E0334D"/>
    <w:rsid w:val="00E037A3"/>
    <w:rsid w:val="00E037ED"/>
    <w:rsid w:val="00E03EF4"/>
    <w:rsid w:val="00E048A4"/>
    <w:rsid w:val="00E04DB6"/>
    <w:rsid w:val="00E0527A"/>
    <w:rsid w:val="00E056A4"/>
    <w:rsid w:val="00E05BC3"/>
    <w:rsid w:val="00E05F5F"/>
    <w:rsid w:val="00E05FB3"/>
    <w:rsid w:val="00E05FF3"/>
    <w:rsid w:val="00E06B4B"/>
    <w:rsid w:val="00E06F91"/>
    <w:rsid w:val="00E073E0"/>
    <w:rsid w:val="00E076EA"/>
    <w:rsid w:val="00E07858"/>
    <w:rsid w:val="00E07F40"/>
    <w:rsid w:val="00E109D8"/>
    <w:rsid w:val="00E11079"/>
    <w:rsid w:val="00E11136"/>
    <w:rsid w:val="00E113B2"/>
    <w:rsid w:val="00E11486"/>
    <w:rsid w:val="00E1292C"/>
    <w:rsid w:val="00E12AFB"/>
    <w:rsid w:val="00E12C7C"/>
    <w:rsid w:val="00E12CE3"/>
    <w:rsid w:val="00E12F9B"/>
    <w:rsid w:val="00E13041"/>
    <w:rsid w:val="00E13A43"/>
    <w:rsid w:val="00E13BF3"/>
    <w:rsid w:val="00E1445C"/>
    <w:rsid w:val="00E14507"/>
    <w:rsid w:val="00E146FC"/>
    <w:rsid w:val="00E15497"/>
    <w:rsid w:val="00E15D87"/>
    <w:rsid w:val="00E15FA7"/>
    <w:rsid w:val="00E16041"/>
    <w:rsid w:val="00E162E9"/>
    <w:rsid w:val="00E1653E"/>
    <w:rsid w:val="00E165EC"/>
    <w:rsid w:val="00E16D4D"/>
    <w:rsid w:val="00E16DD9"/>
    <w:rsid w:val="00E17031"/>
    <w:rsid w:val="00E17EB2"/>
    <w:rsid w:val="00E17F27"/>
    <w:rsid w:val="00E201A8"/>
    <w:rsid w:val="00E207A9"/>
    <w:rsid w:val="00E20B46"/>
    <w:rsid w:val="00E20D69"/>
    <w:rsid w:val="00E21755"/>
    <w:rsid w:val="00E2203E"/>
    <w:rsid w:val="00E224BA"/>
    <w:rsid w:val="00E227F2"/>
    <w:rsid w:val="00E228F1"/>
    <w:rsid w:val="00E229D2"/>
    <w:rsid w:val="00E2321B"/>
    <w:rsid w:val="00E23409"/>
    <w:rsid w:val="00E239C1"/>
    <w:rsid w:val="00E23D69"/>
    <w:rsid w:val="00E23EB1"/>
    <w:rsid w:val="00E2488D"/>
    <w:rsid w:val="00E249F8"/>
    <w:rsid w:val="00E24B3E"/>
    <w:rsid w:val="00E24F2C"/>
    <w:rsid w:val="00E2572E"/>
    <w:rsid w:val="00E25CAE"/>
    <w:rsid w:val="00E263DA"/>
    <w:rsid w:val="00E26706"/>
    <w:rsid w:val="00E26B59"/>
    <w:rsid w:val="00E274A3"/>
    <w:rsid w:val="00E27644"/>
    <w:rsid w:val="00E2769D"/>
    <w:rsid w:val="00E277E9"/>
    <w:rsid w:val="00E279C1"/>
    <w:rsid w:val="00E3018F"/>
    <w:rsid w:val="00E30AB3"/>
    <w:rsid w:val="00E30D7F"/>
    <w:rsid w:val="00E3152E"/>
    <w:rsid w:val="00E31692"/>
    <w:rsid w:val="00E319D5"/>
    <w:rsid w:val="00E32ACB"/>
    <w:rsid w:val="00E32B60"/>
    <w:rsid w:val="00E32EB0"/>
    <w:rsid w:val="00E3338F"/>
    <w:rsid w:val="00E33BF7"/>
    <w:rsid w:val="00E342DF"/>
    <w:rsid w:val="00E34778"/>
    <w:rsid w:val="00E34BA1"/>
    <w:rsid w:val="00E35199"/>
    <w:rsid w:val="00E3551E"/>
    <w:rsid w:val="00E35A98"/>
    <w:rsid w:val="00E363F8"/>
    <w:rsid w:val="00E36B51"/>
    <w:rsid w:val="00E370D1"/>
    <w:rsid w:val="00E37160"/>
    <w:rsid w:val="00E37FBA"/>
    <w:rsid w:val="00E4030E"/>
    <w:rsid w:val="00E40B65"/>
    <w:rsid w:val="00E40BE1"/>
    <w:rsid w:val="00E41111"/>
    <w:rsid w:val="00E41431"/>
    <w:rsid w:val="00E414CD"/>
    <w:rsid w:val="00E4173B"/>
    <w:rsid w:val="00E41AEF"/>
    <w:rsid w:val="00E41F51"/>
    <w:rsid w:val="00E4297F"/>
    <w:rsid w:val="00E42F63"/>
    <w:rsid w:val="00E43199"/>
    <w:rsid w:val="00E440A1"/>
    <w:rsid w:val="00E445EA"/>
    <w:rsid w:val="00E4477A"/>
    <w:rsid w:val="00E44A96"/>
    <w:rsid w:val="00E4537C"/>
    <w:rsid w:val="00E453F9"/>
    <w:rsid w:val="00E45641"/>
    <w:rsid w:val="00E45A6F"/>
    <w:rsid w:val="00E45AB7"/>
    <w:rsid w:val="00E45E60"/>
    <w:rsid w:val="00E461D3"/>
    <w:rsid w:val="00E46D87"/>
    <w:rsid w:val="00E47080"/>
    <w:rsid w:val="00E471B0"/>
    <w:rsid w:val="00E4720B"/>
    <w:rsid w:val="00E47219"/>
    <w:rsid w:val="00E47968"/>
    <w:rsid w:val="00E47C11"/>
    <w:rsid w:val="00E47F7A"/>
    <w:rsid w:val="00E50A07"/>
    <w:rsid w:val="00E50FA5"/>
    <w:rsid w:val="00E52233"/>
    <w:rsid w:val="00E522BC"/>
    <w:rsid w:val="00E52BEB"/>
    <w:rsid w:val="00E52C45"/>
    <w:rsid w:val="00E53AC8"/>
    <w:rsid w:val="00E543D1"/>
    <w:rsid w:val="00E544D0"/>
    <w:rsid w:val="00E545D8"/>
    <w:rsid w:val="00E54827"/>
    <w:rsid w:val="00E54B8A"/>
    <w:rsid w:val="00E55017"/>
    <w:rsid w:val="00E5502B"/>
    <w:rsid w:val="00E5579C"/>
    <w:rsid w:val="00E5579F"/>
    <w:rsid w:val="00E5598D"/>
    <w:rsid w:val="00E55D7C"/>
    <w:rsid w:val="00E56275"/>
    <w:rsid w:val="00E566A3"/>
    <w:rsid w:val="00E56B9C"/>
    <w:rsid w:val="00E574C0"/>
    <w:rsid w:val="00E5772E"/>
    <w:rsid w:val="00E5780F"/>
    <w:rsid w:val="00E57D12"/>
    <w:rsid w:val="00E60B24"/>
    <w:rsid w:val="00E60F70"/>
    <w:rsid w:val="00E615AB"/>
    <w:rsid w:val="00E61D57"/>
    <w:rsid w:val="00E623F6"/>
    <w:rsid w:val="00E6272E"/>
    <w:rsid w:val="00E62AA0"/>
    <w:rsid w:val="00E636D4"/>
    <w:rsid w:val="00E63D35"/>
    <w:rsid w:val="00E642E8"/>
    <w:rsid w:val="00E64310"/>
    <w:rsid w:val="00E6480A"/>
    <w:rsid w:val="00E64C07"/>
    <w:rsid w:val="00E64DE3"/>
    <w:rsid w:val="00E651EE"/>
    <w:rsid w:val="00E66683"/>
    <w:rsid w:val="00E6680E"/>
    <w:rsid w:val="00E66D19"/>
    <w:rsid w:val="00E677BC"/>
    <w:rsid w:val="00E70195"/>
    <w:rsid w:val="00E701EC"/>
    <w:rsid w:val="00E7053E"/>
    <w:rsid w:val="00E7166A"/>
    <w:rsid w:val="00E7180D"/>
    <w:rsid w:val="00E71B72"/>
    <w:rsid w:val="00E721D3"/>
    <w:rsid w:val="00E7234F"/>
    <w:rsid w:val="00E736F6"/>
    <w:rsid w:val="00E73A93"/>
    <w:rsid w:val="00E73E88"/>
    <w:rsid w:val="00E74186"/>
    <w:rsid w:val="00E74374"/>
    <w:rsid w:val="00E74BE1"/>
    <w:rsid w:val="00E74FED"/>
    <w:rsid w:val="00E75717"/>
    <w:rsid w:val="00E75875"/>
    <w:rsid w:val="00E75959"/>
    <w:rsid w:val="00E75AAB"/>
    <w:rsid w:val="00E75C8E"/>
    <w:rsid w:val="00E75D08"/>
    <w:rsid w:val="00E761A5"/>
    <w:rsid w:val="00E766BD"/>
    <w:rsid w:val="00E77237"/>
    <w:rsid w:val="00E77533"/>
    <w:rsid w:val="00E80524"/>
    <w:rsid w:val="00E80992"/>
    <w:rsid w:val="00E809C8"/>
    <w:rsid w:val="00E80FF8"/>
    <w:rsid w:val="00E811C0"/>
    <w:rsid w:val="00E811D8"/>
    <w:rsid w:val="00E8238B"/>
    <w:rsid w:val="00E8320B"/>
    <w:rsid w:val="00E83342"/>
    <w:rsid w:val="00E8346E"/>
    <w:rsid w:val="00E83A76"/>
    <w:rsid w:val="00E844C0"/>
    <w:rsid w:val="00E84ECC"/>
    <w:rsid w:val="00E853AB"/>
    <w:rsid w:val="00E8579B"/>
    <w:rsid w:val="00E8647B"/>
    <w:rsid w:val="00E86AA7"/>
    <w:rsid w:val="00E86C2F"/>
    <w:rsid w:val="00E8710F"/>
    <w:rsid w:val="00E873AD"/>
    <w:rsid w:val="00E87584"/>
    <w:rsid w:val="00E87AA6"/>
    <w:rsid w:val="00E87AA7"/>
    <w:rsid w:val="00E902AC"/>
    <w:rsid w:val="00E90C89"/>
    <w:rsid w:val="00E9136C"/>
    <w:rsid w:val="00E91F22"/>
    <w:rsid w:val="00E92452"/>
    <w:rsid w:val="00E92691"/>
    <w:rsid w:val="00E93200"/>
    <w:rsid w:val="00E939D5"/>
    <w:rsid w:val="00E93B8B"/>
    <w:rsid w:val="00E9421E"/>
    <w:rsid w:val="00E9423A"/>
    <w:rsid w:val="00E945FF"/>
    <w:rsid w:val="00E94B22"/>
    <w:rsid w:val="00E95398"/>
    <w:rsid w:val="00E95D21"/>
    <w:rsid w:val="00E96391"/>
    <w:rsid w:val="00E96B6D"/>
    <w:rsid w:val="00E96CC6"/>
    <w:rsid w:val="00E96D59"/>
    <w:rsid w:val="00E97066"/>
    <w:rsid w:val="00E9747D"/>
    <w:rsid w:val="00E97B54"/>
    <w:rsid w:val="00E97BD5"/>
    <w:rsid w:val="00E97BDC"/>
    <w:rsid w:val="00E97C10"/>
    <w:rsid w:val="00E97D55"/>
    <w:rsid w:val="00E97D76"/>
    <w:rsid w:val="00EA04FB"/>
    <w:rsid w:val="00EA06E3"/>
    <w:rsid w:val="00EA1014"/>
    <w:rsid w:val="00EA1D46"/>
    <w:rsid w:val="00EA2F53"/>
    <w:rsid w:val="00EA32D8"/>
    <w:rsid w:val="00EA387F"/>
    <w:rsid w:val="00EA3E46"/>
    <w:rsid w:val="00EA431A"/>
    <w:rsid w:val="00EA473D"/>
    <w:rsid w:val="00EA49E0"/>
    <w:rsid w:val="00EA5215"/>
    <w:rsid w:val="00EA5422"/>
    <w:rsid w:val="00EA5694"/>
    <w:rsid w:val="00EA58EB"/>
    <w:rsid w:val="00EA5E3C"/>
    <w:rsid w:val="00EA6047"/>
    <w:rsid w:val="00EA658F"/>
    <w:rsid w:val="00EA6976"/>
    <w:rsid w:val="00EA70A8"/>
    <w:rsid w:val="00EB091D"/>
    <w:rsid w:val="00EB0A2F"/>
    <w:rsid w:val="00EB10CA"/>
    <w:rsid w:val="00EB14D3"/>
    <w:rsid w:val="00EB18F2"/>
    <w:rsid w:val="00EB1A8E"/>
    <w:rsid w:val="00EB1BC0"/>
    <w:rsid w:val="00EB2163"/>
    <w:rsid w:val="00EB3146"/>
    <w:rsid w:val="00EB39A4"/>
    <w:rsid w:val="00EB3CA1"/>
    <w:rsid w:val="00EB3D2E"/>
    <w:rsid w:val="00EB4A5D"/>
    <w:rsid w:val="00EB507F"/>
    <w:rsid w:val="00EB5734"/>
    <w:rsid w:val="00EB588E"/>
    <w:rsid w:val="00EB5B6D"/>
    <w:rsid w:val="00EB659F"/>
    <w:rsid w:val="00EB697A"/>
    <w:rsid w:val="00EB6CAC"/>
    <w:rsid w:val="00EB798B"/>
    <w:rsid w:val="00EB7FEE"/>
    <w:rsid w:val="00EC0487"/>
    <w:rsid w:val="00EC119C"/>
    <w:rsid w:val="00EC130E"/>
    <w:rsid w:val="00EC1B14"/>
    <w:rsid w:val="00EC2966"/>
    <w:rsid w:val="00EC3CD1"/>
    <w:rsid w:val="00EC41C8"/>
    <w:rsid w:val="00EC4238"/>
    <w:rsid w:val="00EC4521"/>
    <w:rsid w:val="00EC4A8E"/>
    <w:rsid w:val="00EC5653"/>
    <w:rsid w:val="00EC5D48"/>
    <w:rsid w:val="00EC6325"/>
    <w:rsid w:val="00EC68F5"/>
    <w:rsid w:val="00EC703F"/>
    <w:rsid w:val="00EC7136"/>
    <w:rsid w:val="00EC71FE"/>
    <w:rsid w:val="00EC78FA"/>
    <w:rsid w:val="00EC7C97"/>
    <w:rsid w:val="00EC7D11"/>
    <w:rsid w:val="00ED0A1D"/>
    <w:rsid w:val="00ED0AC6"/>
    <w:rsid w:val="00ED1135"/>
    <w:rsid w:val="00ED1195"/>
    <w:rsid w:val="00ED1C99"/>
    <w:rsid w:val="00ED1D0A"/>
    <w:rsid w:val="00ED33C9"/>
    <w:rsid w:val="00ED3A59"/>
    <w:rsid w:val="00ED44FE"/>
    <w:rsid w:val="00ED4BF1"/>
    <w:rsid w:val="00ED4D92"/>
    <w:rsid w:val="00ED4F2E"/>
    <w:rsid w:val="00ED4F56"/>
    <w:rsid w:val="00ED55BC"/>
    <w:rsid w:val="00ED56AE"/>
    <w:rsid w:val="00ED5B8B"/>
    <w:rsid w:val="00ED6630"/>
    <w:rsid w:val="00ED7D03"/>
    <w:rsid w:val="00ED7F52"/>
    <w:rsid w:val="00EE0147"/>
    <w:rsid w:val="00EE01DE"/>
    <w:rsid w:val="00EE0A71"/>
    <w:rsid w:val="00EE0A81"/>
    <w:rsid w:val="00EE1052"/>
    <w:rsid w:val="00EE1E05"/>
    <w:rsid w:val="00EE1F00"/>
    <w:rsid w:val="00EE1FAB"/>
    <w:rsid w:val="00EE2593"/>
    <w:rsid w:val="00EE2E84"/>
    <w:rsid w:val="00EE3104"/>
    <w:rsid w:val="00EE3811"/>
    <w:rsid w:val="00EE3A95"/>
    <w:rsid w:val="00EE47D5"/>
    <w:rsid w:val="00EE4B5F"/>
    <w:rsid w:val="00EE4FA9"/>
    <w:rsid w:val="00EE500F"/>
    <w:rsid w:val="00EE5032"/>
    <w:rsid w:val="00EE5FEB"/>
    <w:rsid w:val="00EE6489"/>
    <w:rsid w:val="00EE669B"/>
    <w:rsid w:val="00EE7103"/>
    <w:rsid w:val="00EE71F6"/>
    <w:rsid w:val="00EE7D34"/>
    <w:rsid w:val="00EF08D1"/>
    <w:rsid w:val="00EF0E29"/>
    <w:rsid w:val="00EF143B"/>
    <w:rsid w:val="00EF14EC"/>
    <w:rsid w:val="00EF1A61"/>
    <w:rsid w:val="00EF21F7"/>
    <w:rsid w:val="00EF2266"/>
    <w:rsid w:val="00EF2287"/>
    <w:rsid w:val="00EF2667"/>
    <w:rsid w:val="00EF2D62"/>
    <w:rsid w:val="00EF3349"/>
    <w:rsid w:val="00EF362D"/>
    <w:rsid w:val="00EF38A8"/>
    <w:rsid w:val="00EF3998"/>
    <w:rsid w:val="00EF3C79"/>
    <w:rsid w:val="00EF4D53"/>
    <w:rsid w:val="00EF5239"/>
    <w:rsid w:val="00EF5958"/>
    <w:rsid w:val="00EF5F42"/>
    <w:rsid w:val="00EF6000"/>
    <w:rsid w:val="00EF617A"/>
    <w:rsid w:val="00EF6701"/>
    <w:rsid w:val="00EF766D"/>
    <w:rsid w:val="00EF7F5C"/>
    <w:rsid w:val="00F0021C"/>
    <w:rsid w:val="00F0066A"/>
    <w:rsid w:val="00F008A1"/>
    <w:rsid w:val="00F016AF"/>
    <w:rsid w:val="00F02574"/>
    <w:rsid w:val="00F0258D"/>
    <w:rsid w:val="00F02F1F"/>
    <w:rsid w:val="00F032BA"/>
    <w:rsid w:val="00F03F2E"/>
    <w:rsid w:val="00F04057"/>
    <w:rsid w:val="00F04784"/>
    <w:rsid w:val="00F04C70"/>
    <w:rsid w:val="00F05213"/>
    <w:rsid w:val="00F055EF"/>
    <w:rsid w:val="00F058F7"/>
    <w:rsid w:val="00F063C8"/>
    <w:rsid w:val="00F065E2"/>
    <w:rsid w:val="00F06950"/>
    <w:rsid w:val="00F06DD3"/>
    <w:rsid w:val="00F07B9A"/>
    <w:rsid w:val="00F07DE3"/>
    <w:rsid w:val="00F07E1F"/>
    <w:rsid w:val="00F07E96"/>
    <w:rsid w:val="00F10360"/>
    <w:rsid w:val="00F10769"/>
    <w:rsid w:val="00F11F6B"/>
    <w:rsid w:val="00F12C27"/>
    <w:rsid w:val="00F1370B"/>
    <w:rsid w:val="00F13A96"/>
    <w:rsid w:val="00F13BBE"/>
    <w:rsid w:val="00F13DC8"/>
    <w:rsid w:val="00F15AB8"/>
    <w:rsid w:val="00F1632E"/>
    <w:rsid w:val="00F16653"/>
    <w:rsid w:val="00F1672D"/>
    <w:rsid w:val="00F16816"/>
    <w:rsid w:val="00F16D46"/>
    <w:rsid w:val="00F1714F"/>
    <w:rsid w:val="00F1717F"/>
    <w:rsid w:val="00F201FA"/>
    <w:rsid w:val="00F203EE"/>
    <w:rsid w:val="00F20923"/>
    <w:rsid w:val="00F20BD7"/>
    <w:rsid w:val="00F21446"/>
    <w:rsid w:val="00F21B8B"/>
    <w:rsid w:val="00F2245B"/>
    <w:rsid w:val="00F225F1"/>
    <w:rsid w:val="00F2312C"/>
    <w:rsid w:val="00F23DD0"/>
    <w:rsid w:val="00F23E38"/>
    <w:rsid w:val="00F2465E"/>
    <w:rsid w:val="00F24749"/>
    <w:rsid w:val="00F24974"/>
    <w:rsid w:val="00F2498E"/>
    <w:rsid w:val="00F249A6"/>
    <w:rsid w:val="00F24FA5"/>
    <w:rsid w:val="00F2534D"/>
    <w:rsid w:val="00F25551"/>
    <w:rsid w:val="00F258CD"/>
    <w:rsid w:val="00F25949"/>
    <w:rsid w:val="00F269FC"/>
    <w:rsid w:val="00F27E55"/>
    <w:rsid w:val="00F30546"/>
    <w:rsid w:val="00F30C5A"/>
    <w:rsid w:val="00F31170"/>
    <w:rsid w:val="00F315FD"/>
    <w:rsid w:val="00F3344D"/>
    <w:rsid w:val="00F3386D"/>
    <w:rsid w:val="00F33F6F"/>
    <w:rsid w:val="00F344FF"/>
    <w:rsid w:val="00F34AC3"/>
    <w:rsid w:val="00F34B12"/>
    <w:rsid w:val="00F3545D"/>
    <w:rsid w:val="00F356D5"/>
    <w:rsid w:val="00F35917"/>
    <w:rsid w:val="00F36550"/>
    <w:rsid w:val="00F366AF"/>
    <w:rsid w:val="00F36876"/>
    <w:rsid w:val="00F36A97"/>
    <w:rsid w:val="00F36B9C"/>
    <w:rsid w:val="00F36D3B"/>
    <w:rsid w:val="00F37700"/>
    <w:rsid w:val="00F3782A"/>
    <w:rsid w:val="00F37B09"/>
    <w:rsid w:val="00F400C8"/>
    <w:rsid w:val="00F4061F"/>
    <w:rsid w:val="00F40D16"/>
    <w:rsid w:val="00F40E5A"/>
    <w:rsid w:val="00F40EA5"/>
    <w:rsid w:val="00F411C8"/>
    <w:rsid w:val="00F41F36"/>
    <w:rsid w:val="00F42146"/>
    <w:rsid w:val="00F4336B"/>
    <w:rsid w:val="00F435DE"/>
    <w:rsid w:val="00F43A4D"/>
    <w:rsid w:val="00F4414C"/>
    <w:rsid w:val="00F4479A"/>
    <w:rsid w:val="00F457EB"/>
    <w:rsid w:val="00F45F21"/>
    <w:rsid w:val="00F45F7E"/>
    <w:rsid w:val="00F4653E"/>
    <w:rsid w:val="00F468C4"/>
    <w:rsid w:val="00F474F5"/>
    <w:rsid w:val="00F4769D"/>
    <w:rsid w:val="00F5014C"/>
    <w:rsid w:val="00F505BD"/>
    <w:rsid w:val="00F50ADF"/>
    <w:rsid w:val="00F51475"/>
    <w:rsid w:val="00F514B8"/>
    <w:rsid w:val="00F5237E"/>
    <w:rsid w:val="00F5257D"/>
    <w:rsid w:val="00F52941"/>
    <w:rsid w:val="00F52EA1"/>
    <w:rsid w:val="00F53750"/>
    <w:rsid w:val="00F53866"/>
    <w:rsid w:val="00F54478"/>
    <w:rsid w:val="00F546C0"/>
    <w:rsid w:val="00F547CA"/>
    <w:rsid w:val="00F549FD"/>
    <w:rsid w:val="00F54BE7"/>
    <w:rsid w:val="00F55200"/>
    <w:rsid w:val="00F55987"/>
    <w:rsid w:val="00F56597"/>
    <w:rsid w:val="00F567BA"/>
    <w:rsid w:val="00F56B2E"/>
    <w:rsid w:val="00F56D2D"/>
    <w:rsid w:val="00F56FC7"/>
    <w:rsid w:val="00F57646"/>
    <w:rsid w:val="00F57E73"/>
    <w:rsid w:val="00F600B5"/>
    <w:rsid w:val="00F60BDB"/>
    <w:rsid w:val="00F60CDA"/>
    <w:rsid w:val="00F61009"/>
    <w:rsid w:val="00F6150D"/>
    <w:rsid w:val="00F61671"/>
    <w:rsid w:val="00F61AB2"/>
    <w:rsid w:val="00F61E6D"/>
    <w:rsid w:val="00F624BA"/>
    <w:rsid w:val="00F62815"/>
    <w:rsid w:val="00F6385D"/>
    <w:rsid w:val="00F63BD7"/>
    <w:rsid w:val="00F6431E"/>
    <w:rsid w:val="00F64477"/>
    <w:rsid w:val="00F64D71"/>
    <w:rsid w:val="00F64D9A"/>
    <w:rsid w:val="00F6514F"/>
    <w:rsid w:val="00F6521C"/>
    <w:rsid w:val="00F65235"/>
    <w:rsid w:val="00F652EB"/>
    <w:rsid w:val="00F6575B"/>
    <w:rsid w:val="00F65A73"/>
    <w:rsid w:val="00F6615E"/>
    <w:rsid w:val="00F66381"/>
    <w:rsid w:val="00F6670C"/>
    <w:rsid w:val="00F6674C"/>
    <w:rsid w:val="00F67053"/>
    <w:rsid w:val="00F6763F"/>
    <w:rsid w:val="00F67C56"/>
    <w:rsid w:val="00F7018F"/>
    <w:rsid w:val="00F70248"/>
    <w:rsid w:val="00F702FE"/>
    <w:rsid w:val="00F705AE"/>
    <w:rsid w:val="00F708B3"/>
    <w:rsid w:val="00F71090"/>
    <w:rsid w:val="00F71145"/>
    <w:rsid w:val="00F71AAA"/>
    <w:rsid w:val="00F72175"/>
    <w:rsid w:val="00F72787"/>
    <w:rsid w:val="00F7299F"/>
    <w:rsid w:val="00F7322A"/>
    <w:rsid w:val="00F735AF"/>
    <w:rsid w:val="00F73BF6"/>
    <w:rsid w:val="00F74B52"/>
    <w:rsid w:val="00F7540E"/>
    <w:rsid w:val="00F75CDF"/>
    <w:rsid w:val="00F75D21"/>
    <w:rsid w:val="00F75E3E"/>
    <w:rsid w:val="00F762C1"/>
    <w:rsid w:val="00F765E1"/>
    <w:rsid w:val="00F766F4"/>
    <w:rsid w:val="00F76773"/>
    <w:rsid w:val="00F7706D"/>
    <w:rsid w:val="00F77AD3"/>
    <w:rsid w:val="00F77C33"/>
    <w:rsid w:val="00F77CBF"/>
    <w:rsid w:val="00F77E31"/>
    <w:rsid w:val="00F8001D"/>
    <w:rsid w:val="00F8012F"/>
    <w:rsid w:val="00F8023C"/>
    <w:rsid w:val="00F80344"/>
    <w:rsid w:val="00F808AF"/>
    <w:rsid w:val="00F80EAD"/>
    <w:rsid w:val="00F819F5"/>
    <w:rsid w:val="00F81B3E"/>
    <w:rsid w:val="00F81DDA"/>
    <w:rsid w:val="00F8207A"/>
    <w:rsid w:val="00F82B66"/>
    <w:rsid w:val="00F82D3C"/>
    <w:rsid w:val="00F83929"/>
    <w:rsid w:val="00F83F15"/>
    <w:rsid w:val="00F84A79"/>
    <w:rsid w:val="00F84A8F"/>
    <w:rsid w:val="00F84EDB"/>
    <w:rsid w:val="00F851B5"/>
    <w:rsid w:val="00F852EE"/>
    <w:rsid w:val="00F855E4"/>
    <w:rsid w:val="00F857A7"/>
    <w:rsid w:val="00F85B2C"/>
    <w:rsid w:val="00F85F7F"/>
    <w:rsid w:val="00F86281"/>
    <w:rsid w:val="00F86ECF"/>
    <w:rsid w:val="00F87327"/>
    <w:rsid w:val="00F877D4"/>
    <w:rsid w:val="00F87AE7"/>
    <w:rsid w:val="00F90289"/>
    <w:rsid w:val="00F90400"/>
    <w:rsid w:val="00F90711"/>
    <w:rsid w:val="00F9092E"/>
    <w:rsid w:val="00F91388"/>
    <w:rsid w:val="00F9179B"/>
    <w:rsid w:val="00F92260"/>
    <w:rsid w:val="00F922E3"/>
    <w:rsid w:val="00F92CDB"/>
    <w:rsid w:val="00F92ECD"/>
    <w:rsid w:val="00F9302C"/>
    <w:rsid w:val="00F931F9"/>
    <w:rsid w:val="00F93569"/>
    <w:rsid w:val="00F942E8"/>
    <w:rsid w:val="00F94A84"/>
    <w:rsid w:val="00F94ED3"/>
    <w:rsid w:val="00F95AB1"/>
    <w:rsid w:val="00F95BBF"/>
    <w:rsid w:val="00F95BFC"/>
    <w:rsid w:val="00F96E39"/>
    <w:rsid w:val="00F97080"/>
    <w:rsid w:val="00F975CC"/>
    <w:rsid w:val="00F9762F"/>
    <w:rsid w:val="00F97C49"/>
    <w:rsid w:val="00FA0CF8"/>
    <w:rsid w:val="00FA127B"/>
    <w:rsid w:val="00FA165C"/>
    <w:rsid w:val="00FA18FA"/>
    <w:rsid w:val="00FA1BC2"/>
    <w:rsid w:val="00FA2399"/>
    <w:rsid w:val="00FA27E0"/>
    <w:rsid w:val="00FA2911"/>
    <w:rsid w:val="00FA2C33"/>
    <w:rsid w:val="00FA30A6"/>
    <w:rsid w:val="00FA3FB7"/>
    <w:rsid w:val="00FA40CF"/>
    <w:rsid w:val="00FA44B7"/>
    <w:rsid w:val="00FA5345"/>
    <w:rsid w:val="00FA5618"/>
    <w:rsid w:val="00FA59CD"/>
    <w:rsid w:val="00FA5C23"/>
    <w:rsid w:val="00FA5F26"/>
    <w:rsid w:val="00FA652F"/>
    <w:rsid w:val="00FA75EA"/>
    <w:rsid w:val="00FB001F"/>
    <w:rsid w:val="00FB0230"/>
    <w:rsid w:val="00FB06F4"/>
    <w:rsid w:val="00FB0E6D"/>
    <w:rsid w:val="00FB1451"/>
    <w:rsid w:val="00FB2417"/>
    <w:rsid w:val="00FB2441"/>
    <w:rsid w:val="00FB2810"/>
    <w:rsid w:val="00FB2CEC"/>
    <w:rsid w:val="00FB2FAC"/>
    <w:rsid w:val="00FB2FFF"/>
    <w:rsid w:val="00FB3922"/>
    <w:rsid w:val="00FB438F"/>
    <w:rsid w:val="00FB49D0"/>
    <w:rsid w:val="00FB4B08"/>
    <w:rsid w:val="00FB54DC"/>
    <w:rsid w:val="00FB58B7"/>
    <w:rsid w:val="00FB5B6A"/>
    <w:rsid w:val="00FB5CE2"/>
    <w:rsid w:val="00FB6276"/>
    <w:rsid w:val="00FB6C66"/>
    <w:rsid w:val="00FB7113"/>
    <w:rsid w:val="00FB769D"/>
    <w:rsid w:val="00FB7CB1"/>
    <w:rsid w:val="00FC0815"/>
    <w:rsid w:val="00FC091C"/>
    <w:rsid w:val="00FC09C6"/>
    <w:rsid w:val="00FC0D5E"/>
    <w:rsid w:val="00FC12A2"/>
    <w:rsid w:val="00FC184A"/>
    <w:rsid w:val="00FC1B88"/>
    <w:rsid w:val="00FC1CB9"/>
    <w:rsid w:val="00FC1CD4"/>
    <w:rsid w:val="00FC1D86"/>
    <w:rsid w:val="00FC2022"/>
    <w:rsid w:val="00FC2164"/>
    <w:rsid w:val="00FC21C6"/>
    <w:rsid w:val="00FC2664"/>
    <w:rsid w:val="00FC2A7C"/>
    <w:rsid w:val="00FC2D1C"/>
    <w:rsid w:val="00FC2D94"/>
    <w:rsid w:val="00FC41B4"/>
    <w:rsid w:val="00FC4306"/>
    <w:rsid w:val="00FC45D7"/>
    <w:rsid w:val="00FC4655"/>
    <w:rsid w:val="00FC468B"/>
    <w:rsid w:val="00FC521B"/>
    <w:rsid w:val="00FC61AB"/>
    <w:rsid w:val="00FC61EE"/>
    <w:rsid w:val="00FC696A"/>
    <w:rsid w:val="00FC6DCC"/>
    <w:rsid w:val="00FC73CD"/>
    <w:rsid w:val="00FC7DE2"/>
    <w:rsid w:val="00FD0822"/>
    <w:rsid w:val="00FD0C80"/>
    <w:rsid w:val="00FD1650"/>
    <w:rsid w:val="00FD218B"/>
    <w:rsid w:val="00FD2A97"/>
    <w:rsid w:val="00FD37B5"/>
    <w:rsid w:val="00FD3A4C"/>
    <w:rsid w:val="00FD410B"/>
    <w:rsid w:val="00FD4A5F"/>
    <w:rsid w:val="00FD4CB6"/>
    <w:rsid w:val="00FD4D4F"/>
    <w:rsid w:val="00FD5BB9"/>
    <w:rsid w:val="00FD746D"/>
    <w:rsid w:val="00FD7520"/>
    <w:rsid w:val="00FD7F07"/>
    <w:rsid w:val="00FE00C9"/>
    <w:rsid w:val="00FE02CA"/>
    <w:rsid w:val="00FE02DF"/>
    <w:rsid w:val="00FE0338"/>
    <w:rsid w:val="00FE0B75"/>
    <w:rsid w:val="00FE0C46"/>
    <w:rsid w:val="00FE0CE3"/>
    <w:rsid w:val="00FE1323"/>
    <w:rsid w:val="00FE181A"/>
    <w:rsid w:val="00FE1B96"/>
    <w:rsid w:val="00FE2368"/>
    <w:rsid w:val="00FE26FF"/>
    <w:rsid w:val="00FE2C3F"/>
    <w:rsid w:val="00FE30F9"/>
    <w:rsid w:val="00FE3396"/>
    <w:rsid w:val="00FE39D9"/>
    <w:rsid w:val="00FE3A40"/>
    <w:rsid w:val="00FE4401"/>
    <w:rsid w:val="00FE4CE2"/>
    <w:rsid w:val="00FE4D6A"/>
    <w:rsid w:val="00FE676C"/>
    <w:rsid w:val="00FE698B"/>
    <w:rsid w:val="00FE75F3"/>
    <w:rsid w:val="00FE7EFC"/>
    <w:rsid w:val="00FE7F9F"/>
    <w:rsid w:val="00FF040D"/>
    <w:rsid w:val="00FF0713"/>
    <w:rsid w:val="00FF098E"/>
    <w:rsid w:val="00FF0F1C"/>
    <w:rsid w:val="00FF0F42"/>
    <w:rsid w:val="00FF1061"/>
    <w:rsid w:val="00FF17A0"/>
    <w:rsid w:val="00FF1DE4"/>
    <w:rsid w:val="00FF2550"/>
    <w:rsid w:val="00FF2E36"/>
    <w:rsid w:val="00FF32F6"/>
    <w:rsid w:val="00FF333F"/>
    <w:rsid w:val="00FF35E0"/>
    <w:rsid w:val="00FF37C0"/>
    <w:rsid w:val="00FF37DB"/>
    <w:rsid w:val="00FF3B8D"/>
    <w:rsid w:val="00FF3CF5"/>
    <w:rsid w:val="00FF4025"/>
    <w:rsid w:val="00FF41B2"/>
    <w:rsid w:val="00FF4948"/>
    <w:rsid w:val="00FF4B79"/>
    <w:rsid w:val="00FF513E"/>
    <w:rsid w:val="00FF5599"/>
    <w:rsid w:val="00FF559A"/>
    <w:rsid w:val="00FF5B76"/>
    <w:rsid w:val="00FF5BCE"/>
    <w:rsid w:val="00FF5D48"/>
    <w:rsid w:val="00FF5E42"/>
    <w:rsid w:val="00FF6227"/>
    <w:rsid w:val="00FF6652"/>
    <w:rsid w:val="00FF7121"/>
    <w:rsid w:val="00FF731F"/>
    <w:rsid w:val="00FF7F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67937"/>
    <o:shapelayout v:ext="edit">
      <o:idmap v:ext="edit" data="1"/>
    </o:shapelayout>
  </w:shapeDefaults>
  <w:decimalSymbol w:val="."/>
  <w:listSeparator w:val=","/>
  <w14:docId w14:val="6207DB6C"/>
  <w15:docId w15:val="{F33146ED-CA54-45AF-828D-C13559F4D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sz w:val="24"/>
        <w:szCs w:val="24"/>
        <w:lang w:val="en-AU" w:eastAsia="en-AU"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4" w:unhideWhenUsed="1" w:qFormat="1"/>
    <w:lsdException w:name="heading 6" w:semiHidden="1" w:uiPriority="5" w:unhideWhenUsed="1" w:qFormat="1"/>
    <w:lsdException w:name="heading 7" w:semiHidden="1" w:uiPriority="6" w:qFormat="1"/>
    <w:lsdException w:name="heading 8" w:semiHidden="1" w:uiPriority="7" w:qFormat="1"/>
    <w:lsdException w:name="heading 9" w:semiHidden="1" w:uiPriority="8"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iPriority="49" w:unhideWhenUsed="1"/>
    <w:lsdException w:name="envelope return" w:semiHidden="1" w:uiPriority="49" w:unhideWhenUsed="1"/>
    <w:lsdException w:name="footnote reference" w:semiHidden="1" w:uiPriority="0" w:unhideWhenUsed="1"/>
    <w:lsdException w:name="annotation reference" w:semiHidden="1" w:uiPriority="49" w:unhideWhenUsed="1"/>
    <w:lsdException w:name="line number" w:semiHidden="1" w:unhideWhenUsed="1"/>
    <w:lsdException w:name="page number" w:semiHidden="1" w:unhideWhenUsed="1"/>
    <w:lsdException w:name="endnote reference" w:semiHidden="1" w:uiPriority="49" w:unhideWhenUsed="1"/>
    <w:lsdException w:name="endnote text" w:semiHidden="1" w:uiPriority="4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8"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8" w:unhideWhenUsed="1"/>
    <w:lsdException w:name="List Bullet 3" w:semiHidden="1" w:uiPriority="38"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49"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4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iPriority="49" w:unhideWhenUsed="1"/>
    <w:lsdException w:name="Body Text First Indent" w:semiHidden="1" w:uiPriority="49" w:unhideWhenUsed="1"/>
    <w:lsdException w:name="Body Text First Indent 2" w:semiHidden="1" w:uiPriority="49" w:unhideWhenUsed="1"/>
    <w:lsdException w:name="Note Heading" w:semiHidden="1" w:unhideWhenUsed="1"/>
    <w:lsdException w:name="Body Text 2" w:semiHidden="1" w:uiPriority="0" w:unhideWhenUsed="1" w:qFormat="1"/>
    <w:lsdException w:name="Body Text 3" w:uiPriority="0" w:qFormat="1"/>
    <w:lsdException w:name="Body Text Indent 2" w:semiHidden="1" w:uiPriority="49" w:unhideWhenUsed="1"/>
    <w:lsdException w:name="Body Text Indent 3" w:semiHidden="1" w:uiPriority="49" w:unhideWhenUsed="1"/>
    <w:lsdException w:name="Block Text" w:semiHidden="1" w:uiPriority="49" w:unhideWhenUsed="1"/>
    <w:lsdException w:name="Hyperlink" w:semiHidden="1" w:unhideWhenUsed="1"/>
    <w:lsdException w:name="FollowedHyperlink" w:semiHidden="1" w:uiPriority="49" w:unhideWhenUsed="1"/>
    <w:lsdException w:name="Emphasis" w:uiPriority="20" w:qFormat="1"/>
    <w:lsdException w:name="Document Map" w:semiHidden="1" w:uiPriority="49" w:unhideWhenUsed="1"/>
    <w:lsdException w:name="Plain Text" w:semiHidden="1" w:unhideWhenUsed="1"/>
    <w:lsdException w:name="E-mail Signature" w:semiHidden="1" w:uiPriority="49" w:unhideWhenUsed="1"/>
    <w:lsdException w:name="HTML Top of Form" w:semiHidden="1" w:unhideWhenUsed="1"/>
    <w:lsdException w:name="HTML Bottom of Form" w:semiHidden="1" w:unhideWhenUsed="1"/>
    <w:lsdException w:name="Normal (Web)" w:semiHidden="1" w:unhideWhenUsed="1"/>
    <w:lsdException w:name="HTML Acronym" w:semiHidden="1" w:uiPriority="49" w:unhideWhenUsed="1"/>
    <w:lsdException w:name="HTML Address" w:semiHidden="1" w:uiPriority="49" w:unhideWhenUsed="1"/>
    <w:lsdException w:name="HTML Cite" w:semiHidden="1" w:uiPriority="49" w:unhideWhenUsed="1"/>
    <w:lsdException w:name="HTML Code" w:semiHidden="1" w:uiPriority="49" w:unhideWhenUsed="1"/>
    <w:lsdException w:name="HTML Definition" w:semiHidden="1" w:uiPriority="49" w:unhideWhenUsed="1"/>
    <w:lsdException w:name="HTML Keyboard" w:semiHidden="1" w:uiPriority="49" w:unhideWhenUsed="1"/>
    <w:lsdException w:name="HTML Preformatted" w:semiHidden="1" w:uiPriority="49" w:unhideWhenUsed="1"/>
    <w:lsdException w:name="HTML Sample" w:semiHidden="1" w:uiPriority="49" w:unhideWhenUsed="1"/>
    <w:lsdException w:name="HTML Typewriter" w:semiHidden="1" w:uiPriority="49" w:unhideWhenUsed="1"/>
    <w:lsdException w:name="HTML Variable" w:semiHidden="1" w:uiPriority="49" w:unhideWhenUsed="1"/>
    <w:lsdException w:name="Normal Table" w:semiHidden="1" w:unhideWhenUsed="1"/>
    <w:lsdException w:name="annotation subject" w:semiHidden="1" w:uiPriority="4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4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06A"/>
  </w:style>
  <w:style w:type="paragraph" w:styleId="Heading1">
    <w:name w:val="heading 1"/>
    <w:basedOn w:val="Normal"/>
    <w:next w:val="BodyText1"/>
    <w:link w:val="Heading1Char"/>
    <w:qFormat/>
    <w:rsid w:val="006C06E6"/>
    <w:pPr>
      <w:keepNext/>
      <w:outlineLvl w:val="0"/>
    </w:pPr>
    <w:rPr>
      <w:rFonts w:asciiTheme="majorHAnsi" w:hAnsiTheme="majorHAnsi"/>
      <w:b/>
    </w:rPr>
  </w:style>
  <w:style w:type="paragraph" w:styleId="Heading2">
    <w:name w:val="heading 2"/>
    <w:basedOn w:val="Normal"/>
    <w:next w:val="BodyText1"/>
    <w:link w:val="Heading2Char"/>
    <w:qFormat/>
    <w:rsid w:val="00C86748"/>
    <w:pPr>
      <w:keepNext/>
      <w:autoSpaceDE w:val="0"/>
      <w:autoSpaceDN w:val="0"/>
      <w:adjustRightInd w:val="0"/>
      <w:spacing w:before="120" w:after="360"/>
      <w:outlineLvl w:val="1"/>
    </w:pPr>
    <w:rPr>
      <w:rFonts w:asciiTheme="majorHAnsi" w:eastAsia="Times New Roman" w:hAnsiTheme="majorHAnsi" w:cs="Arial"/>
      <w:b/>
      <w:bCs/>
      <w:sz w:val="32"/>
    </w:rPr>
  </w:style>
  <w:style w:type="paragraph" w:styleId="Heading3">
    <w:name w:val="heading 3"/>
    <w:basedOn w:val="Normal"/>
    <w:next w:val="BodyText1"/>
    <w:link w:val="Heading3Char"/>
    <w:qFormat/>
    <w:rsid w:val="006C06E6"/>
    <w:pPr>
      <w:keepNext/>
      <w:outlineLvl w:val="2"/>
    </w:pPr>
    <w:rPr>
      <w:rFonts w:eastAsia="Times New Roman" w:cs="Arial"/>
      <w:bCs/>
      <w:i/>
      <w:sz w:val="26"/>
    </w:rPr>
  </w:style>
  <w:style w:type="paragraph" w:styleId="Heading4">
    <w:name w:val="heading 4"/>
    <w:basedOn w:val="Normal"/>
    <w:next w:val="BodyText1"/>
    <w:link w:val="Heading4Char"/>
    <w:qFormat/>
    <w:rsid w:val="00E83A76"/>
    <w:pPr>
      <w:keepNext/>
      <w:outlineLvl w:val="3"/>
    </w:pPr>
    <w:rPr>
      <w:rFonts w:ascii="Arial" w:hAnsi="Arial"/>
      <w:b/>
      <w:sz w:val="22"/>
    </w:rPr>
  </w:style>
  <w:style w:type="paragraph" w:styleId="Heading5">
    <w:name w:val="heading 5"/>
    <w:basedOn w:val="Normal"/>
    <w:next w:val="Normal"/>
    <w:link w:val="Heading5Char"/>
    <w:uiPriority w:val="4"/>
    <w:semiHidden/>
    <w:qFormat/>
    <w:rsid w:val="00DC52E3"/>
    <w:pPr>
      <w:outlineLvl w:val="4"/>
    </w:pPr>
    <w:rPr>
      <w:rFonts w:ascii="Trebuchet MS" w:hAnsi="Trebuchet MS"/>
      <w:b/>
      <w:sz w:val="32"/>
    </w:rPr>
  </w:style>
  <w:style w:type="paragraph" w:styleId="Heading6">
    <w:name w:val="heading 6"/>
    <w:basedOn w:val="Normal"/>
    <w:next w:val="Normal"/>
    <w:link w:val="Heading6Char"/>
    <w:uiPriority w:val="5"/>
    <w:semiHidden/>
    <w:qFormat/>
    <w:rsid w:val="00DC52E3"/>
    <w:pPr>
      <w:keepNext/>
      <w:keepLines/>
      <w:spacing w:before="200"/>
      <w:outlineLvl w:val="5"/>
    </w:pPr>
    <w:rPr>
      <w:rFonts w:ascii="Trebuchet MS" w:eastAsia="Times New Roman" w:hAnsi="Trebuchet MS"/>
      <w:iCs/>
      <w:color w:val="0C2577"/>
      <w:sz w:val="9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06E6"/>
    <w:rPr>
      <w:rFonts w:asciiTheme="majorHAnsi" w:hAnsiTheme="majorHAnsi"/>
      <w:b/>
    </w:rPr>
  </w:style>
  <w:style w:type="character" w:customStyle="1" w:styleId="Heading2Char">
    <w:name w:val="Heading 2 Char"/>
    <w:basedOn w:val="DefaultParagraphFont"/>
    <w:link w:val="Heading2"/>
    <w:rsid w:val="00C86748"/>
    <w:rPr>
      <w:rFonts w:asciiTheme="majorHAnsi" w:eastAsia="Times New Roman" w:hAnsiTheme="majorHAnsi" w:cs="Arial"/>
      <w:b/>
      <w:bCs/>
      <w:sz w:val="32"/>
    </w:rPr>
  </w:style>
  <w:style w:type="character" w:styleId="PlaceholderText">
    <w:name w:val="Placeholder Text"/>
    <w:basedOn w:val="DefaultParagraphFont"/>
    <w:uiPriority w:val="99"/>
    <w:semiHidden/>
    <w:rsid w:val="00B04B20"/>
    <w:rPr>
      <w:color w:val="808080"/>
    </w:rPr>
  </w:style>
  <w:style w:type="paragraph" w:styleId="BalloonText">
    <w:name w:val="Balloon Text"/>
    <w:basedOn w:val="Normal"/>
    <w:link w:val="BalloonTextChar"/>
    <w:uiPriority w:val="49"/>
    <w:semiHidden/>
    <w:unhideWhenUsed/>
    <w:rsid w:val="00B04B20"/>
    <w:rPr>
      <w:rFonts w:ascii="Tahoma" w:hAnsi="Tahoma" w:cs="Tahoma"/>
      <w:sz w:val="16"/>
      <w:szCs w:val="16"/>
    </w:rPr>
  </w:style>
  <w:style w:type="character" w:customStyle="1" w:styleId="BalloonTextChar">
    <w:name w:val="Balloon Text Char"/>
    <w:basedOn w:val="DefaultParagraphFont"/>
    <w:link w:val="BalloonText"/>
    <w:uiPriority w:val="49"/>
    <w:semiHidden/>
    <w:rsid w:val="001F6B8D"/>
    <w:rPr>
      <w:rFonts w:ascii="Tahoma" w:hAnsi="Tahoma" w:cs="Tahoma"/>
      <w:sz w:val="16"/>
      <w:szCs w:val="16"/>
    </w:rPr>
  </w:style>
  <w:style w:type="character" w:customStyle="1" w:styleId="Heading3Char">
    <w:name w:val="Heading 3 Char"/>
    <w:basedOn w:val="DefaultParagraphFont"/>
    <w:link w:val="Heading3"/>
    <w:rsid w:val="006C06E6"/>
    <w:rPr>
      <w:rFonts w:eastAsia="Times New Roman" w:cs="Arial"/>
      <w:bCs/>
      <w:i/>
      <w:sz w:val="26"/>
    </w:rPr>
  </w:style>
  <w:style w:type="character" w:customStyle="1" w:styleId="Heading4Char">
    <w:name w:val="Heading 4 Char"/>
    <w:basedOn w:val="DefaultParagraphFont"/>
    <w:link w:val="Heading4"/>
    <w:rsid w:val="00E83A76"/>
    <w:rPr>
      <w:rFonts w:ascii="Arial" w:hAnsi="Arial"/>
      <w:b/>
      <w:sz w:val="22"/>
    </w:rPr>
  </w:style>
  <w:style w:type="character" w:customStyle="1" w:styleId="Heading5Char">
    <w:name w:val="Heading 5 Char"/>
    <w:basedOn w:val="DefaultParagraphFont"/>
    <w:link w:val="Heading5"/>
    <w:uiPriority w:val="4"/>
    <w:semiHidden/>
    <w:rsid w:val="00842FBD"/>
    <w:rPr>
      <w:rFonts w:ascii="Trebuchet MS" w:hAnsi="Trebuchet MS"/>
      <w:b/>
      <w:sz w:val="32"/>
    </w:rPr>
  </w:style>
  <w:style w:type="character" w:customStyle="1" w:styleId="Heading6Char">
    <w:name w:val="Heading 6 Char"/>
    <w:basedOn w:val="DefaultParagraphFont"/>
    <w:link w:val="Heading6"/>
    <w:uiPriority w:val="5"/>
    <w:semiHidden/>
    <w:rsid w:val="00787FA9"/>
    <w:rPr>
      <w:rFonts w:ascii="Trebuchet MS" w:eastAsia="Times New Roman" w:hAnsi="Trebuchet MS"/>
      <w:iCs/>
      <w:color w:val="0C2577"/>
      <w:sz w:val="90"/>
    </w:rPr>
  </w:style>
  <w:style w:type="paragraph" w:styleId="EnvelopeAddress">
    <w:name w:val="envelope address"/>
    <w:basedOn w:val="Normal"/>
    <w:uiPriority w:val="49"/>
    <w:semiHidden/>
    <w:unhideWhenUsed/>
    <w:rsid w:val="007031F4"/>
    <w:pPr>
      <w:framePr w:w="7920" w:h="1980" w:hRule="exact" w:hSpace="180" w:wrap="auto" w:hAnchor="page" w:xAlign="center" w:yAlign="bottom"/>
      <w:ind w:left="2880"/>
    </w:pPr>
    <w:rPr>
      <w:rFonts w:eastAsia="Times New Roman"/>
    </w:rPr>
  </w:style>
  <w:style w:type="paragraph" w:styleId="EnvelopeReturn">
    <w:name w:val="envelope return"/>
    <w:basedOn w:val="Normal"/>
    <w:uiPriority w:val="49"/>
    <w:semiHidden/>
    <w:unhideWhenUsed/>
    <w:rsid w:val="007031F4"/>
    <w:rPr>
      <w:rFonts w:eastAsia="Times New Roman"/>
      <w:sz w:val="20"/>
      <w:szCs w:val="20"/>
    </w:rPr>
  </w:style>
  <w:style w:type="character" w:styleId="Hyperlink">
    <w:name w:val="Hyperlink"/>
    <w:basedOn w:val="DefaultParagraphFont"/>
    <w:uiPriority w:val="99"/>
    <w:rsid w:val="00BC2D08"/>
    <w:rPr>
      <w:color w:val="0000FF"/>
      <w:u w:val="single"/>
    </w:rPr>
  </w:style>
  <w:style w:type="paragraph" w:styleId="BodyText2">
    <w:name w:val="Body Text 2"/>
    <w:basedOn w:val="Normal"/>
    <w:link w:val="BodyText2Char"/>
    <w:qFormat/>
    <w:rsid w:val="007D0E56"/>
    <w:pPr>
      <w:numPr>
        <w:ilvl w:val="1"/>
        <w:numId w:val="4"/>
      </w:numPr>
    </w:pPr>
  </w:style>
  <w:style w:type="character" w:customStyle="1" w:styleId="BodyText2Char">
    <w:name w:val="Body Text 2 Char"/>
    <w:basedOn w:val="DefaultParagraphFont"/>
    <w:link w:val="BodyText2"/>
    <w:rsid w:val="007D0E56"/>
  </w:style>
  <w:style w:type="paragraph" w:styleId="ListBullet">
    <w:name w:val="List Bullet"/>
    <w:basedOn w:val="Normal"/>
    <w:uiPriority w:val="38"/>
    <w:semiHidden/>
    <w:unhideWhenUsed/>
    <w:rsid w:val="005050E8"/>
    <w:pPr>
      <w:numPr>
        <w:numId w:val="1"/>
      </w:numPr>
      <w:ind w:left="357" w:hanging="357"/>
      <w:contextualSpacing/>
    </w:pPr>
  </w:style>
  <w:style w:type="paragraph" w:styleId="Header">
    <w:name w:val="header"/>
    <w:basedOn w:val="Normal"/>
    <w:next w:val="Normal"/>
    <w:link w:val="HeaderChar"/>
    <w:uiPriority w:val="1"/>
    <w:rsid w:val="00110917"/>
    <w:pPr>
      <w:tabs>
        <w:tab w:val="center" w:pos="4513"/>
        <w:tab w:val="right" w:pos="9026"/>
      </w:tabs>
      <w:spacing w:after="0"/>
      <w:contextualSpacing/>
      <w:jc w:val="right"/>
    </w:pPr>
    <w:rPr>
      <w:b/>
    </w:rPr>
  </w:style>
  <w:style w:type="character" w:customStyle="1" w:styleId="HeaderChar">
    <w:name w:val="Header Char"/>
    <w:basedOn w:val="DefaultParagraphFont"/>
    <w:link w:val="Header"/>
    <w:uiPriority w:val="1"/>
    <w:rsid w:val="00E83A76"/>
    <w:rPr>
      <w:b/>
    </w:rPr>
  </w:style>
  <w:style w:type="paragraph" w:styleId="Footer">
    <w:name w:val="footer"/>
    <w:basedOn w:val="Normal"/>
    <w:link w:val="FooterChar"/>
    <w:uiPriority w:val="99"/>
    <w:rsid w:val="00867092"/>
    <w:pPr>
      <w:tabs>
        <w:tab w:val="center" w:pos="4513"/>
        <w:tab w:val="right" w:pos="9026"/>
      </w:tabs>
      <w:spacing w:after="120"/>
      <w:jc w:val="right"/>
    </w:pPr>
    <w:rPr>
      <w:b/>
    </w:rPr>
  </w:style>
  <w:style w:type="character" w:customStyle="1" w:styleId="FooterChar">
    <w:name w:val="Footer Char"/>
    <w:basedOn w:val="DefaultParagraphFont"/>
    <w:link w:val="Footer"/>
    <w:uiPriority w:val="99"/>
    <w:rsid w:val="00E83A76"/>
    <w:rPr>
      <w:b/>
    </w:rPr>
  </w:style>
  <w:style w:type="paragraph" w:styleId="FootnoteText">
    <w:name w:val="footnote text"/>
    <w:basedOn w:val="Normal"/>
    <w:link w:val="FootnoteTextChar"/>
    <w:rsid w:val="00E83A76"/>
    <w:pPr>
      <w:spacing w:after="0"/>
      <w:ind w:left="567" w:hanging="567"/>
      <w:jc w:val="both"/>
    </w:pPr>
    <w:rPr>
      <w:sz w:val="20"/>
    </w:rPr>
  </w:style>
  <w:style w:type="character" w:customStyle="1" w:styleId="FootnoteTextChar">
    <w:name w:val="Footnote Text Char"/>
    <w:basedOn w:val="DefaultParagraphFont"/>
    <w:link w:val="FootnoteText"/>
    <w:rsid w:val="00E83A76"/>
    <w:rPr>
      <w:sz w:val="20"/>
    </w:rPr>
  </w:style>
  <w:style w:type="character" w:styleId="FootnoteReference">
    <w:name w:val="footnote reference"/>
    <w:basedOn w:val="DefaultParagraphFont"/>
    <w:semiHidden/>
    <w:rsid w:val="00725AA6"/>
    <w:rPr>
      <w:vertAlign w:val="superscript"/>
    </w:rPr>
  </w:style>
  <w:style w:type="table" w:styleId="TableGrid">
    <w:name w:val="Table Grid"/>
    <w:basedOn w:val="TableNormal"/>
    <w:uiPriority w:val="59"/>
    <w:rsid w:val="00485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B47BD7"/>
    <w:pPr>
      <w:tabs>
        <w:tab w:val="right" w:leader="dot" w:pos="8302"/>
      </w:tabs>
      <w:spacing w:after="120"/>
      <w:ind w:right="567"/>
    </w:pPr>
    <w:rPr>
      <w:rFonts w:ascii="Arial" w:hAnsi="Arial"/>
      <w:noProof/>
    </w:rPr>
  </w:style>
  <w:style w:type="paragraph" w:styleId="TOC3">
    <w:name w:val="toc 3"/>
    <w:basedOn w:val="Normal"/>
    <w:next w:val="Normal"/>
    <w:autoRedefine/>
    <w:uiPriority w:val="39"/>
    <w:rsid w:val="0029455F"/>
    <w:pPr>
      <w:tabs>
        <w:tab w:val="right" w:leader="dot" w:pos="8302"/>
      </w:tabs>
      <w:spacing w:after="120"/>
      <w:ind w:left="567" w:right="567"/>
    </w:pPr>
    <w:rPr>
      <w:rFonts w:ascii="Arial" w:hAnsi="Arial"/>
    </w:rPr>
  </w:style>
  <w:style w:type="paragraph" w:styleId="TOCHeading">
    <w:name w:val="TOC Heading"/>
    <w:basedOn w:val="Heading1"/>
    <w:next w:val="Normal"/>
    <w:uiPriority w:val="1"/>
    <w:rsid w:val="00E96B6D"/>
    <w:pPr>
      <w:outlineLvl w:val="9"/>
    </w:pPr>
    <w:rPr>
      <w:rFonts w:eastAsiaTheme="majorEastAsia" w:cstheme="majorBidi"/>
      <w:szCs w:val="28"/>
    </w:rPr>
  </w:style>
  <w:style w:type="character" w:customStyle="1" w:styleId="BodyText1Char">
    <w:name w:val="Body Text 1 Char"/>
    <w:basedOn w:val="DefaultParagraphFont"/>
    <w:link w:val="BodyText1"/>
    <w:rsid w:val="00656D42"/>
    <w:rPr>
      <w:rFonts w:eastAsia="Times New Roman"/>
    </w:rPr>
  </w:style>
  <w:style w:type="paragraph" w:styleId="NoSpacing">
    <w:name w:val="No Spacing"/>
    <w:uiPriority w:val="1"/>
    <w:qFormat/>
    <w:rsid w:val="009D467A"/>
    <w:pPr>
      <w:spacing w:after="0"/>
    </w:pPr>
  </w:style>
  <w:style w:type="paragraph" w:customStyle="1" w:styleId="BoxHeading">
    <w:name w:val="Box Heading"/>
    <w:next w:val="Normal"/>
    <w:uiPriority w:val="1"/>
    <w:qFormat/>
    <w:rsid w:val="00656D42"/>
    <w:pPr>
      <w:spacing w:before="120" w:after="360"/>
    </w:pPr>
    <w:rPr>
      <w:rFonts w:ascii="Arial" w:eastAsia="Times New Roman" w:hAnsi="Arial" w:cs="Arial"/>
      <w:b/>
      <w:bCs/>
      <w:sz w:val="32"/>
      <w:szCs w:val="32"/>
    </w:rPr>
  </w:style>
  <w:style w:type="paragraph" w:customStyle="1" w:styleId="BoxBullet">
    <w:name w:val="Box Bullet"/>
    <w:basedOn w:val="Normal"/>
    <w:uiPriority w:val="1"/>
    <w:qFormat/>
    <w:rsid w:val="003936EA"/>
    <w:pPr>
      <w:numPr>
        <w:numId w:val="2"/>
      </w:numPr>
    </w:pPr>
    <w:rPr>
      <w:rFonts w:eastAsia="Times New Roman"/>
      <w:szCs w:val="26"/>
    </w:rPr>
  </w:style>
  <w:style w:type="paragraph" w:customStyle="1" w:styleId="BodyText1">
    <w:name w:val="Body Text 1"/>
    <w:basedOn w:val="Normal"/>
    <w:link w:val="BodyText1Char"/>
    <w:qFormat/>
    <w:rsid w:val="00E07F40"/>
    <w:pPr>
      <w:numPr>
        <w:numId w:val="4"/>
      </w:numPr>
      <w:jc w:val="both"/>
    </w:pPr>
    <w:rPr>
      <w:rFonts w:eastAsia="Times New Roman"/>
    </w:rPr>
  </w:style>
  <w:style w:type="character" w:customStyle="1" w:styleId="PSNamefieldtext">
    <w:name w:val="PS Name field text"/>
    <w:basedOn w:val="DefaultParagraphFont"/>
    <w:uiPriority w:val="2"/>
    <w:qFormat/>
    <w:rsid w:val="00E07F40"/>
    <w:rPr>
      <w:lang w:eastAsia="en-AU"/>
    </w:rPr>
  </w:style>
  <w:style w:type="character" w:customStyle="1" w:styleId="PSNofieldtext">
    <w:name w:val="PS No. field text"/>
    <w:basedOn w:val="DefaultParagraphFont"/>
    <w:uiPriority w:val="2"/>
    <w:qFormat/>
    <w:rsid w:val="00E07F40"/>
  </w:style>
  <w:style w:type="paragraph" w:styleId="BodyText3">
    <w:name w:val="Body Text 3"/>
    <w:basedOn w:val="Normal"/>
    <w:link w:val="BodyText3Char"/>
    <w:qFormat/>
    <w:rsid w:val="00656D42"/>
    <w:pPr>
      <w:numPr>
        <w:ilvl w:val="2"/>
        <w:numId w:val="4"/>
      </w:numPr>
    </w:pPr>
    <w:rPr>
      <w:szCs w:val="16"/>
    </w:rPr>
  </w:style>
  <w:style w:type="character" w:customStyle="1" w:styleId="BodyText3Char">
    <w:name w:val="Body Text 3 Char"/>
    <w:basedOn w:val="DefaultParagraphFont"/>
    <w:link w:val="BodyText3"/>
    <w:rsid w:val="00656D42"/>
    <w:rPr>
      <w:szCs w:val="16"/>
    </w:rPr>
  </w:style>
  <w:style w:type="character" w:customStyle="1" w:styleId="Attachmentfieldtext">
    <w:name w:val="Attachment field text"/>
    <w:basedOn w:val="DefaultParagraphFont"/>
    <w:uiPriority w:val="2"/>
    <w:qFormat/>
    <w:rsid w:val="00867092"/>
  </w:style>
  <w:style w:type="paragraph" w:styleId="Title">
    <w:name w:val="Title"/>
    <w:basedOn w:val="Normal"/>
    <w:next w:val="Normal"/>
    <w:link w:val="TitleChar"/>
    <w:qFormat/>
    <w:rsid w:val="00C67A76"/>
    <w:pPr>
      <w:spacing w:before="120"/>
    </w:pPr>
    <w:rPr>
      <w:rFonts w:asciiTheme="majorHAnsi" w:hAnsiTheme="majorHAnsi"/>
      <w:b/>
      <w:sz w:val="40"/>
    </w:rPr>
  </w:style>
  <w:style w:type="character" w:customStyle="1" w:styleId="TitleChar">
    <w:name w:val="Title Char"/>
    <w:basedOn w:val="DefaultParagraphFont"/>
    <w:link w:val="Title"/>
    <w:rsid w:val="00C67A76"/>
    <w:rPr>
      <w:rFonts w:asciiTheme="majorHAnsi" w:hAnsiTheme="majorHAnsi"/>
      <w:b/>
      <w:sz w:val="40"/>
    </w:rPr>
  </w:style>
  <w:style w:type="paragraph" w:styleId="TOC1">
    <w:name w:val="toc 1"/>
    <w:basedOn w:val="Normal"/>
    <w:next w:val="Normal"/>
    <w:autoRedefine/>
    <w:uiPriority w:val="39"/>
    <w:rsid w:val="00FD4A5F"/>
    <w:pPr>
      <w:tabs>
        <w:tab w:val="right" w:leader="dot" w:pos="8302"/>
      </w:tabs>
      <w:spacing w:after="120"/>
      <w:ind w:right="567"/>
    </w:pPr>
    <w:rPr>
      <w:rFonts w:asciiTheme="majorHAnsi" w:hAnsiTheme="majorHAnsi" w:cstheme="majorHAnsi"/>
      <w:noProof/>
    </w:rPr>
  </w:style>
  <w:style w:type="paragraph" w:styleId="TOC4">
    <w:name w:val="toc 4"/>
    <w:basedOn w:val="Normal"/>
    <w:next w:val="Normal"/>
    <w:autoRedefine/>
    <w:uiPriority w:val="39"/>
    <w:rsid w:val="00E83A76"/>
    <w:pPr>
      <w:tabs>
        <w:tab w:val="right" w:leader="dot" w:pos="8302"/>
      </w:tabs>
      <w:spacing w:after="100"/>
      <w:ind w:left="1134" w:right="567"/>
    </w:pPr>
    <w:rPr>
      <w:rFonts w:asciiTheme="majorHAnsi" w:hAnsiTheme="majorHAnsi"/>
    </w:rPr>
  </w:style>
  <w:style w:type="paragraph" w:customStyle="1" w:styleId="BodyText4">
    <w:name w:val="Body Text 4"/>
    <w:basedOn w:val="Normal"/>
    <w:qFormat/>
    <w:rsid w:val="00BF6CDF"/>
    <w:pPr>
      <w:numPr>
        <w:ilvl w:val="3"/>
        <w:numId w:val="4"/>
      </w:numPr>
    </w:pPr>
  </w:style>
  <w:style w:type="paragraph" w:styleId="ListParagraph">
    <w:name w:val="List Paragraph"/>
    <w:basedOn w:val="Normal"/>
    <w:uiPriority w:val="34"/>
    <w:qFormat/>
    <w:rsid w:val="00A510DF"/>
    <w:pPr>
      <w:ind w:left="720"/>
      <w:contextualSpacing/>
    </w:pPr>
  </w:style>
  <w:style w:type="paragraph" w:styleId="TOC5">
    <w:name w:val="toc 5"/>
    <w:basedOn w:val="Normal"/>
    <w:next w:val="Normal"/>
    <w:autoRedefine/>
    <w:uiPriority w:val="39"/>
    <w:unhideWhenUsed/>
    <w:rsid w:val="00E73A93"/>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E73A93"/>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E73A93"/>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E73A93"/>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E73A93"/>
    <w:pPr>
      <w:spacing w:after="100" w:line="259" w:lineRule="auto"/>
      <w:ind w:left="1760"/>
    </w:pPr>
    <w:rPr>
      <w:rFonts w:asciiTheme="minorHAnsi" w:eastAsiaTheme="minorEastAsia" w:hAnsiTheme="minorHAnsi" w:cstheme="minorBidi"/>
      <w:sz w:val="22"/>
      <w:szCs w:val="22"/>
    </w:rPr>
  </w:style>
  <w:style w:type="paragraph" w:customStyle="1" w:styleId="Default">
    <w:name w:val="Default"/>
    <w:rsid w:val="00865D5D"/>
    <w:pPr>
      <w:autoSpaceDE w:val="0"/>
      <w:autoSpaceDN w:val="0"/>
      <w:adjustRightInd w:val="0"/>
      <w:spacing w:after="0"/>
    </w:pPr>
    <w:rPr>
      <w:rFonts w:ascii="Trebuchet MS" w:hAnsi="Trebuchet MS" w:cs="Trebuchet MS"/>
      <w:color w:val="000000"/>
    </w:rPr>
  </w:style>
  <w:style w:type="character" w:styleId="FollowedHyperlink">
    <w:name w:val="FollowedHyperlink"/>
    <w:basedOn w:val="DefaultParagraphFont"/>
    <w:uiPriority w:val="49"/>
    <w:semiHidden/>
    <w:unhideWhenUsed/>
    <w:rsid w:val="002B6091"/>
    <w:rPr>
      <w:color w:val="919191" w:themeColor="followedHyperlink"/>
      <w:u w:val="single"/>
    </w:rPr>
  </w:style>
  <w:style w:type="paragraph" w:styleId="NormalWeb">
    <w:name w:val="Normal (Web)"/>
    <w:basedOn w:val="Normal"/>
    <w:uiPriority w:val="99"/>
    <w:unhideWhenUsed/>
    <w:rsid w:val="00D72DDD"/>
    <w:pPr>
      <w:spacing w:before="100" w:beforeAutospacing="1" w:after="100" w:afterAutospacing="1"/>
    </w:pPr>
    <w:rPr>
      <w:rFonts w:eastAsia="Times New Roman"/>
    </w:rPr>
  </w:style>
  <w:style w:type="character" w:styleId="CommentReference">
    <w:name w:val="annotation reference"/>
    <w:basedOn w:val="DefaultParagraphFont"/>
    <w:uiPriority w:val="49"/>
    <w:semiHidden/>
    <w:unhideWhenUsed/>
    <w:rsid w:val="007975F3"/>
    <w:rPr>
      <w:sz w:val="16"/>
      <w:szCs w:val="16"/>
    </w:rPr>
  </w:style>
  <w:style w:type="paragraph" w:styleId="CommentText">
    <w:name w:val="annotation text"/>
    <w:basedOn w:val="Normal"/>
    <w:link w:val="CommentTextChar"/>
    <w:uiPriority w:val="99"/>
    <w:unhideWhenUsed/>
    <w:rsid w:val="007975F3"/>
    <w:rPr>
      <w:sz w:val="20"/>
      <w:szCs w:val="20"/>
    </w:rPr>
  </w:style>
  <w:style w:type="character" w:customStyle="1" w:styleId="CommentTextChar">
    <w:name w:val="Comment Text Char"/>
    <w:basedOn w:val="DefaultParagraphFont"/>
    <w:link w:val="CommentText"/>
    <w:uiPriority w:val="99"/>
    <w:rsid w:val="007975F3"/>
    <w:rPr>
      <w:sz w:val="20"/>
      <w:szCs w:val="20"/>
    </w:rPr>
  </w:style>
  <w:style w:type="paragraph" w:styleId="CommentSubject">
    <w:name w:val="annotation subject"/>
    <w:basedOn w:val="CommentText"/>
    <w:next w:val="CommentText"/>
    <w:link w:val="CommentSubjectChar"/>
    <w:uiPriority w:val="49"/>
    <w:semiHidden/>
    <w:unhideWhenUsed/>
    <w:rsid w:val="007975F3"/>
    <w:rPr>
      <w:b/>
      <w:bCs/>
    </w:rPr>
  </w:style>
  <w:style w:type="character" w:customStyle="1" w:styleId="CommentSubjectChar">
    <w:name w:val="Comment Subject Char"/>
    <w:basedOn w:val="CommentTextChar"/>
    <w:link w:val="CommentSubject"/>
    <w:uiPriority w:val="49"/>
    <w:semiHidden/>
    <w:rsid w:val="007975F3"/>
    <w:rPr>
      <w:b/>
      <w:bCs/>
      <w:sz w:val="20"/>
      <w:szCs w:val="20"/>
    </w:rPr>
  </w:style>
  <w:style w:type="character" w:styleId="Emphasis">
    <w:name w:val="Emphasis"/>
    <w:basedOn w:val="DefaultParagraphFont"/>
    <w:uiPriority w:val="20"/>
    <w:qFormat/>
    <w:rsid w:val="00187131"/>
    <w:rPr>
      <w:b/>
      <w:bCs/>
      <w:i w:val="0"/>
      <w:iCs w:val="0"/>
    </w:rPr>
  </w:style>
  <w:style w:type="character" w:customStyle="1" w:styleId="st1">
    <w:name w:val="st1"/>
    <w:basedOn w:val="DefaultParagraphFont"/>
    <w:rsid w:val="00187131"/>
  </w:style>
  <w:style w:type="paragraph" w:styleId="Revision">
    <w:name w:val="Revision"/>
    <w:hidden/>
    <w:uiPriority w:val="99"/>
    <w:semiHidden/>
    <w:rsid w:val="00D43847"/>
    <w:pPr>
      <w:spacing w:after="0"/>
    </w:pPr>
  </w:style>
  <w:style w:type="paragraph" w:styleId="BodyText">
    <w:name w:val="Body Text"/>
    <w:basedOn w:val="Normal"/>
    <w:link w:val="BodyTextChar"/>
    <w:unhideWhenUsed/>
    <w:rsid w:val="00810E3A"/>
    <w:pPr>
      <w:spacing w:after="120"/>
    </w:pPr>
  </w:style>
  <w:style w:type="character" w:customStyle="1" w:styleId="BodyTextChar">
    <w:name w:val="Body Text Char"/>
    <w:basedOn w:val="DefaultParagraphFont"/>
    <w:link w:val="BodyText"/>
    <w:rsid w:val="00810E3A"/>
  </w:style>
  <w:style w:type="paragraph" w:styleId="BodyTextIndent">
    <w:name w:val="Body Text Indent"/>
    <w:basedOn w:val="Normal"/>
    <w:link w:val="BodyTextIndentChar"/>
    <w:uiPriority w:val="49"/>
    <w:semiHidden/>
    <w:unhideWhenUsed/>
    <w:rsid w:val="00810E3A"/>
    <w:pPr>
      <w:spacing w:after="120"/>
      <w:ind w:left="283"/>
    </w:pPr>
  </w:style>
  <w:style w:type="character" w:customStyle="1" w:styleId="BodyTextIndentChar">
    <w:name w:val="Body Text Indent Char"/>
    <w:basedOn w:val="DefaultParagraphFont"/>
    <w:link w:val="BodyTextIndent"/>
    <w:uiPriority w:val="49"/>
    <w:semiHidden/>
    <w:rsid w:val="00810E3A"/>
  </w:style>
  <w:style w:type="paragraph" w:customStyle="1" w:styleId="HeadingFour">
    <w:name w:val="Heading Four"/>
    <w:basedOn w:val="Normal"/>
    <w:rsid w:val="00081CCD"/>
    <w:pPr>
      <w:spacing w:before="240" w:line="360" w:lineRule="auto"/>
      <w:ind w:left="567"/>
      <w:jc w:val="both"/>
    </w:pPr>
    <w:rPr>
      <w:rFonts w:eastAsia="Times New Roman"/>
      <w:b/>
      <w:sz w:val="26"/>
      <w:szCs w:val="20"/>
      <w:lang w:val="en-US"/>
    </w:rPr>
  </w:style>
  <w:style w:type="paragraph" w:customStyle="1" w:styleId="ActTitle">
    <w:name w:val="Act Title"/>
    <w:basedOn w:val="Normal"/>
    <w:next w:val="IntroTo"/>
    <w:rsid w:val="00B55065"/>
    <w:pPr>
      <w:pBdr>
        <w:bottom w:val="single" w:sz="4" w:space="3" w:color="auto"/>
      </w:pBdr>
      <w:spacing w:before="480"/>
    </w:pPr>
    <w:rPr>
      <w:rFonts w:ascii="Arial" w:eastAsia="Times New Roman" w:hAnsi="Arial"/>
      <w:i/>
      <w:iCs/>
      <w:sz w:val="28"/>
      <w:szCs w:val="20"/>
    </w:rPr>
  </w:style>
  <w:style w:type="paragraph" w:customStyle="1" w:styleId="IntroTo">
    <w:name w:val="IntroTo:"/>
    <w:basedOn w:val="Normal"/>
    <w:rsid w:val="00B55065"/>
    <w:pPr>
      <w:spacing w:after="0"/>
      <w:ind w:left="720" w:hanging="720"/>
    </w:pPr>
    <w:rPr>
      <w:rFonts w:eastAsia="Times New Roman"/>
      <w:szCs w:val="20"/>
      <w:lang w:eastAsia="en-US"/>
    </w:rPr>
  </w:style>
  <w:style w:type="character" w:customStyle="1" w:styleId="CharSchNo">
    <w:name w:val="CharSchNo"/>
    <w:basedOn w:val="DefaultParagraphFont"/>
    <w:rsid w:val="00B55065"/>
  </w:style>
  <w:style w:type="paragraph" w:customStyle="1" w:styleId="AS">
    <w:name w:val="AS"/>
    <w:aliases w:val="Schedule title Amendment"/>
    <w:basedOn w:val="Normal"/>
    <w:next w:val="Normal"/>
    <w:rsid w:val="00B55065"/>
    <w:pPr>
      <w:keepNext/>
      <w:autoSpaceDE w:val="0"/>
      <w:autoSpaceDN w:val="0"/>
      <w:spacing w:before="480" w:after="0"/>
      <w:ind w:left="2410" w:hanging="2410"/>
    </w:pPr>
    <w:rPr>
      <w:rFonts w:ascii="Arial" w:eastAsia="Times New Roman" w:hAnsi="Arial" w:cs="Arial"/>
      <w:b/>
      <w:bCs/>
      <w:sz w:val="32"/>
      <w:szCs w:val="32"/>
    </w:rPr>
  </w:style>
  <w:style w:type="paragraph" w:customStyle="1" w:styleId="IH">
    <w:name w:val="IH"/>
    <w:aliases w:val="Interpretation heading"/>
    <w:basedOn w:val="Normal"/>
    <w:next w:val="Normal"/>
    <w:rsid w:val="00B55065"/>
    <w:pPr>
      <w:keepNext/>
      <w:spacing w:before="480" w:after="0"/>
      <w:ind w:left="964" w:hanging="964"/>
    </w:pPr>
    <w:rPr>
      <w:rFonts w:ascii="Arial" w:eastAsia="Times New Roman" w:hAnsi="Arial"/>
      <w:b/>
      <w:lang w:eastAsia="en-US"/>
    </w:rPr>
  </w:style>
  <w:style w:type="paragraph" w:customStyle="1" w:styleId="ASref">
    <w:name w:val="AS ref"/>
    <w:basedOn w:val="Normal"/>
    <w:next w:val="Normal"/>
    <w:rsid w:val="00B55065"/>
    <w:pPr>
      <w:keepNext/>
      <w:autoSpaceDE w:val="0"/>
      <w:autoSpaceDN w:val="0"/>
      <w:spacing w:before="60" w:after="0" w:line="200" w:lineRule="exact"/>
      <w:ind w:left="2410"/>
    </w:pPr>
    <w:rPr>
      <w:rFonts w:ascii="Arial" w:eastAsia="Times New Roman" w:hAnsi="Arial" w:cs="Arial"/>
      <w:sz w:val="18"/>
      <w:szCs w:val="18"/>
    </w:rPr>
  </w:style>
  <w:style w:type="character" w:customStyle="1" w:styleId="CharSchText">
    <w:name w:val="CharSchText"/>
    <w:basedOn w:val="DefaultParagraphFont"/>
    <w:rsid w:val="00B55065"/>
  </w:style>
  <w:style w:type="paragraph" w:customStyle="1" w:styleId="ip">
    <w:name w:val="ip"/>
    <w:basedOn w:val="Normal"/>
    <w:rsid w:val="00B55065"/>
    <w:pPr>
      <w:spacing w:before="100" w:beforeAutospacing="1" w:after="100" w:afterAutospacing="1"/>
    </w:pPr>
    <w:rPr>
      <w:rFonts w:eastAsia="Times New Roman"/>
    </w:rPr>
  </w:style>
  <w:style w:type="paragraph" w:customStyle="1" w:styleId="introto0">
    <w:name w:val="introto"/>
    <w:basedOn w:val="Normal"/>
    <w:rsid w:val="00B55065"/>
    <w:pPr>
      <w:spacing w:before="100" w:beforeAutospacing="1" w:after="100" w:afterAutospacing="1"/>
    </w:pPr>
    <w:rPr>
      <w:rFonts w:eastAsia="Times New Roman"/>
    </w:rPr>
  </w:style>
  <w:style w:type="paragraph" w:customStyle="1" w:styleId="instrument">
    <w:name w:val="instrument"/>
    <w:basedOn w:val="BodyText2"/>
    <w:qFormat/>
    <w:rsid w:val="000225FA"/>
    <w:pPr>
      <w:tabs>
        <w:tab w:val="clear" w:pos="1843"/>
        <w:tab w:val="left" w:pos="567"/>
      </w:tabs>
      <w:ind w:left="425" w:hanging="425"/>
      <w:jc w:val="both"/>
    </w:pPr>
  </w:style>
  <w:style w:type="numbering" w:customStyle="1" w:styleId="BodyTextnumberinghierarchyliststyle">
    <w:name w:val="Body Text numbering hierarchy list style"/>
    <w:uiPriority w:val="99"/>
    <w:rsid w:val="00EC4238"/>
    <w:pPr>
      <w:numPr>
        <w:numId w:val="25"/>
      </w:numPr>
    </w:pPr>
  </w:style>
  <w:style w:type="paragraph" w:customStyle="1" w:styleId="IP0">
    <w:name w:val="IP"/>
    <w:aliases w:val="Interpretation paragraph"/>
    <w:basedOn w:val="Normal"/>
    <w:next w:val="Normal"/>
    <w:rsid w:val="00932D8B"/>
    <w:pPr>
      <w:keepNext/>
      <w:tabs>
        <w:tab w:val="right" w:pos="794"/>
      </w:tabs>
      <w:spacing w:before="120" w:after="0" w:line="260" w:lineRule="exact"/>
      <w:ind w:left="964" w:hanging="964"/>
      <w:jc w:val="both"/>
    </w:pPr>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56875">
      <w:bodyDiv w:val="1"/>
      <w:marLeft w:val="0"/>
      <w:marRight w:val="0"/>
      <w:marTop w:val="0"/>
      <w:marBottom w:val="0"/>
      <w:divBdr>
        <w:top w:val="none" w:sz="0" w:space="0" w:color="auto"/>
        <w:left w:val="none" w:sz="0" w:space="0" w:color="auto"/>
        <w:bottom w:val="none" w:sz="0" w:space="0" w:color="auto"/>
        <w:right w:val="none" w:sz="0" w:space="0" w:color="auto"/>
      </w:divBdr>
    </w:div>
    <w:div w:id="271479794">
      <w:bodyDiv w:val="1"/>
      <w:marLeft w:val="0"/>
      <w:marRight w:val="0"/>
      <w:marTop w:val="0"/>
      <w:marBottom w:val="0"/>
      <w:divBdr>
        <w:top w:val="none" w:sz="0" w:space="0" w:color="auto"/>
        <w:left w:val="none" w:sz="0" w:space="0" w:color="auto"/>
        <w:bottom w:val="none" w:sz="0" w:space="0" w:color="auto"/>
        <w:right w:val="none" w:sz="0" w:space="0" w:color="auto"/>
      </w:divBdr>
    </w:div>
    <w:div w:id="425806309">
      <w:bodyDiv w:val="1"/>
      <w:marLeft w:val="0"/>
      <w:marRight w:val="0"/>
      <w:marTop w:val="0"/>
      <w:marBottom w:val="0"/>
      <w:divBdr>
        <w:top w:val="none" w:sz="0" w:space="0" w:color="auto"/>
        <w:left w:val="none" w:sz="0" w:space="0" w:color="auto"/>
        <w:bottom w:val="none" w:sz="0" w:space="0" w:color="auto"/>
        <w:right w:val="none" w:sz="0" w:space="0" w:color="auto"/>
      </w:divBdr>
    </w:div>
    <w:div w:id="507865427">
      <w:bodyDiv w:val="1"/>
      <w:marLeft w:val="0"/>
      <w:marRight w:val="0"/>
      <w:marTop w:val="0"/>
      <w:marBottom w:val="0"/>
      <w:divBdr>
        <w:top w:val="none" w:sz="0" w:space="0" w:color="auto"/>
        <w:left w:val="none" w:sz="0" w:space="0" w:color="auto"/>
        <w:bottom w:val="none" w:sz="0" w:space="0" w:color="auto"/>
        <w:right w:val="none" w:sz="0" w:space="0" w:color="auto"/>
      </w:divBdr>
    </w:div>
    <w:div w:id="725375723">
      <w:bodyDiv w:val="1"/>
      <w:marLeft w:val="0"/>
      <w:marRight w:val="0"/>
      <w:marTop w:val="0"/>
      <w:marBottom w:val="0"/>
      <w:divBdr>
        <w:top w:val="none" w:sz="0" w:space="0" w:color="auto"/>
        <w:left w:val="none" w:sz="0" w:space="0" w:color="auto"/>
        <w:bottom w:val="none" w:sz="0" w:space="0" w:color="auto"/>
        <w:right w:val="none" w:sz="0" w:space="0" w:color="auto"/>
      </w:divBdr>
    </w:div>
    <w:div w:id="825315661">
      <w:bodyDiv w:val="1"/>
      <w:marLeft w:val="0"/>
      <w:marRight w:val="0"/>
      <w:marTop w:val="0"/>
      <w:marBottom w:val="0"/>
      <w:divBdr>
        <w:top w:val="none" w:sz="0" w:space="0" w:color="auto"/>
        <w:left w:val="none" w:sz="0" w:space="0" w:color="auto"/>
        <w:bottom w:val="none" w:sz="0" w:space="0" w:color="auto"/>
        <w:right w:val="none" w:sz="0" w:space="0" w:color="auto"/>
      </w:divBdr>
      <w:divsChild>
        <w:div w:id="284308612">
          <w:marLeft w:val="0"/>
          <w:marRight w:val="0"/>
          <w:marTop w:val="0"/>
          <w:marBottom w:val="0"/>
          <w:divBdr>
            <w:top w:val="none" w:sz="0" w:space="0" w:color="auto"/>
            <w:left w:val="none" w:sz="0" w:space="0" w:color="auto"/>
            <w:bottom w:val="none" w:sz="0" w:space="0" w:color="auto"/>
            <w:right w:val="none" w:sz="0" w:space="0" w:color="auto"/>
          </w:divBdr>
          <w:divsChild>
            <w:div w:id="440611547">
              <w:marLeft w:val="0"/>
              <w:marRight w:val="0"/>
              <w:marTop w:val="0"/>
              <w:marBottom w:val="0"/>
              <w:divBdr>
                <w:top w:val="none" w:sz="0" w:space="0" w:color="auto"/>
                <w:left w:val="none" w:sz="0" w:space="0" w:color="auto"/>
                <w:bottom w:val="none" w:sz="0" w:space="0" w:color="auto"/>
                <w:right w:val="none" w:sz="0" w:space="0" w:color="auto"/>
              </w:divBdr>
              <w:divsChild>
                <w:div w:id="1232814195">
                  <w:marLeft w:val="0"/>
                  <w:marRight w:val="0"/>
                  <w:marTop w:val="0"/>
                  <w:marBottom w:val="0"/>
                  <w:divBdr>
                    <w:top w:val="none" w:sz="0" w:space="0" w:color="auto"/>
                    <w:left w:val="none" w:sz="0" w:space="0" w:color="auto"/>
                    <w:bottom w:val="none" w:sz="0" w:space="0" w:color="auto"/>
                    <w:right w:val="none" w:sz="0" w:space="0" w:color="auto"/>
                  </w:divBdr>
                  <w:divsChild>
                    <w:div w:id="559050668">
                      <w:marLeft w:val="0"/>
                      <w:marRight w:val="0"/>
                      <w:marTop w:val="0"/>
                      <w:marBottom w:val="0"/>
                      <w:divBdr>
                        <w:top w:val="none" w:sz="0" w:space="0" w:color="auto"/>
                        <w:left w:val="none" w:sz="0" w:space="0" w:color="auto"/>
                        <w:bottom w:val="none" w:sz="0" w:space="0" w:color="auto"/>
                        <w:right w:val="none" w:sz="0" w:space="0" w:color="auto"/>
                      </w:divBdr>
                      <w:divsChild>
                        <w:div w:id="39214457">
                          <w:marLeft w:val="0"/>
                          <w:marRight w:val="0"/>
                          <w:marTop w:val="0"/>
                          <w:marBottom w:val="0"/>
                          <w:divBdr>
                            <w:top w:val="none" w:sz="0" w:space="0" w:color="auto"/>
                            <w:left w:val="none" w:sz="0" w:space="0" w:color="auto"/>
                            <w:bottom w:val="none" w:sz="0" w:space="0" w:color="auto"/>
                            <w:right w:val="none" w:sz="0" w:space="0" w:color="auto"/>
                          </w:divBdr>
                          <w:divsChild>
                            <w:div w:id="133523550">
                              <w:marLeft w:val="0"/>
                              <w:marRight w:val="0"/>
                              <w:marTop w:val="0"/>
                              <w:marBottom w:val="0"/>
                              <w:divBdr>
                                <w:top w:val="none" w:sz="0" w:space="0" w:color="auto"/>
                                <w:left w:val="none" w:sz="0" w:space="0" w:color="auto"/>
                                <w:bottom w:val="none" w:sz="0" w:space="0" w:color="auto"/>
                                <w:right w:val="none" w:sz="0" w:space="0" w:color="auto"/>
                              </w:divBdr>
                              <w:divsChild>
                                <w:div w:id="598636082">
                                  <w:marLeft w:val="0"/>
                                  <w:marRight w:val="0"/>
                                  <w:marTop w:val="0"/>
                                  <w:marBottom w:val="0"/>
                                  <w:divBdr>
                                    <w:top w:val="none" w:sz="0" w:space="0" w:color="auto"/>
                                    <w:left w:val="none" w:sz="0" w:space="0" w:color="auto"/>
                                    <w:bottom w:val="none" w:sz="0" w:space="0" w:color="auto"/>
                                    <w:right w:val="none" w:sz="0" w:space="0" w:color="auto"/>
                                  </w:divBdr>
                                  <w:divsChild>
                                    <w:div w:id="139154779">
                                      <w:marLeft w:val="0"/>
                                      <w:marRight w:val="0"/>
                                      <w:marTop w:val="0"/>
                                      <w:marBottom w:val="0"/>
                                      <w:divBdr>
                                        <w:top w:val="none" w:sz="0" w:space="0" w:color="auto"/>
                                        <w:left w:val="none" w:sz="0" w:space="0" w:color="auto"/>
                                        <w:bottom w:val="none" w:sz="0" w:space="0" w:color="auto"/>
                                        <w:right w:val="none" w:sz="0" w:space="0" w:color="auto"/>
                                      </w:divBdr>
                                      <w:divsChild>
                                        <w:div w:id="2077387156">
                                          <w:marLeft w:val="0"/>
                                          <w:marRight w:val="0"/>
                                          <w:marTop w:val="0"/>
                                          <w:marBottom w:val="0"/>
                                          <w:divBdr>
                                            <w:top w:val="none" w:sz="0" w:space="0" w:color="auto"/>
                                            <w:left w:val="none" w:sz="0" w:space="0" w:color="auto"/>
                                            <w:bottom w:val="none" w:sz="0" w:space="0" w:color="auto"/>
                                            <w:right w:val="none" w:sz="0" w:space="0" w:color="auto"/>
                                          </w:divBdr>
                                          <w:divsChild>
                                            <w:div w:id="922879587">
                                              <w:marLeft w:val="0"/>
                                              <w:marRight w:val="0"/>
                                              <w:marTop w:val="0"/>
                                              <w:marBottom w:val="0"/>
                                              <w:divBdr>
                                                <w:top w:val="none" w:sz="0" w:space="0" w:color="auto"/>
                                                <w:left w:val="none" w:sz="0" w:space="0" w:color="auto"/>
                                                <w:bottom w:val="none" w:sz="0" w:space="0" w:color="auto"/>
                                                <w:right w:val="none" w:sz="0" w:space="0" w:color="auto"/>
                                              </w:divBdr>
                                              <w:divsChild>
                                                <w:div w:id="669720900">
                                                  <w:marLeft w:val="0"/>
                                                  <w:marRight w:val="0"/>
                                                  <w:marTop w:val="0"/>
                                                  <w:marBottom w:val="0"/>
                                                  <w:divBdr>
                                                    <w:top w:val="none" w:sz="0" w:space="0" w:color="auto"/>
                                                    <w:left w:val="none" w:sz="0" w:space="0" w:color="auto"/>
                                                    <w:bottom w:val="none" w:sz="0" w:space="0" w:color="auto"/>
                                                    <w:right w:val="none" w:sz="0" w:space="0" w:color="auto"/>
                                                  </w:divBdr>
                                                  <w:divsChild>
                                                    <w:div w:id="614942432">
                                                      <w:marLeft w:val="0"/>
                                                      <w:marRight w:val="0"/>
                                                      <w:marTop w:val="0"/>
                                                      <w:marBottom w:val="0"/>
                                                      <w:divBdr>
                                                        <w:top w:val="none" w:sz="0" w:space="0" w:color="auto"/>
                                                        <w:left w:val="none" w:sz="0" w:space="0" w:color="auto"/>
                                                        <w:bottom w:val="none" w:sz="0" w:space="0" w:color="auto"/>
                                                        <w:right w:val="none" w:sz="0" w:space="0" w:color="auto"/>
                                                      </w:divBdr>
                                                      <w:divsChild>
                                                        <w:div w:id="11726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30492350">
      <w:bodyDiv w:val="1"/>
      <w:marLeft w:val="0"/>
      <w:marRight w:val="0"/>
      <w:marTop w:val="0"/>
      <w:marBottom w:val="0"/>
      <w:divBdr>
        <w:top w:val="none" w:sz="0" w:space="0" w:color="auto"/>
        <w:left w:val="none" w:sz="0" w:space="0" w:color="auto"/>
        <w:bottom w:val="none" w:sz="0" w:space="0" w:color="auto"/>
        <w:right w:val="none" w:sz="0" w:space="0" w:color="auto"/>
      </w:divBdr>
    </w:div>
    <w:div w:id="1133788842">
      <w:bodyDiv w:val="1"/>
      <w:marLeft w:val="0"/>
      <w:marRight w:val="0"/>
      <w:marTop w:val="0"/>
      <w:marBottom w:val="0"/>
      <w:divBdr>
        <w:top w:val="none" w:sz="0" w:space="0" w:color="auto"/>
        <w:left w:val="none" w:sz="0" w:space="0" w:color="auto"/>
        <w:bottom w:val="none" w:sz="0" w:space="0" w:color="auto"/>
        <w:right w:val="none" w:sz="0" w:space="0" w:color="auto"/>
      </w:divBdr>
      <w:divsChild>
        <w:div w:id="154344031">
          <w:marLeft w:val="0"/>
          <w:marRight w:val="0"/>
          <w:marTop w:val="0"/>
          <w:marBottom w:val="0"/>
          <w:divBdr>
            <w:top w:val="none" w:sz="0" w:space="0" w:color="auto"/>
            <w:left w:val="none" w:sz="0" w:space="0" w:color="auto"/>
            <w:bottom w:val="none" w:sz="0" w:space="0" w:color="auto"/>
            <w:right w:val="none" w:sz="0" w:space="0" w:color="auto"/>
          </w:divBdr>
          <w:divsChild>
            <w:div w:id="790975931">
              <w:marLeft w:val="0"/>
              <w:marRight w:val="0"/>
              <w:marTop w:val="0"/>
              <w:marBottom w:val="0"/>
              <w:divBdr>
                <w:top w:val="none" w:sz="0" w:space="0" w:color="auto"/>
                <w:left w:val="none" w:sz="0" w:space="0" w:color="auto"/>
                <w:bottom w:val="none" w:sz="0" w:space="0" w:color="auto"/>
                <w:right w:val="none" w:sz="0" w:space="0" w:color="auto"/>
              </w:divBdr>
              <w:divsChild>
                <w:div w:id="214320968">
                  <w:marLeft w:val="0"/>
                  <w:marRight w:val="0"/>
                  <w:marTop w:val="0"/>
                  <w:marBottom w:val="0"/>
                  <w:divBdr>
                    <w:top w:val="none" w:sz="0" w:space="0" w:color="auto"/>
                    <w:left w:val="none" w:sz="0" w:space="0" w:color="auto"/>
                    <w:bottom w:val="none" w:sz="0" w:space="0" w:color="auto"/>
                    <w:right w:val="none" w:sz="0" w:space="0" w:color="auto"/>
                  </w:divBdr>
                  <w:divsChild>
                    <w:div w:id="1352533426">
                      <w:marLeft w:val="4050"/>
                      <w:marRight w:val="4050"/>
                      <w:marTop w:val="0"/>
                      <w:marBottom w:val="0"/>
                      <w:divBdr>
                        <w:top w:val="none" w:sz="0" w:space="0" w:color="auto"/>
                        <w:left w:val="none" w:sz="0" w:space="0" w:color="auto"/>
                        <w:bottom w:val="none" w:sz="0" w:space="0" w:color="auto"/>
                        <w:right w:val="none" w:sz="0" w:space="0" w:color="auto"/>
                      </w:divBdr>
                      <w:divsChild>
                        <w:div w:id="15193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32972567">
      <w:bodyDiv w:val="1"/>
      <w:marLeft w:val="0"/>
      <w:marRight w:val="0"/>
      <w:marTop w:val="0"/>
      <w:marBottom w:val="0"/>
      <w:divBdr>
        <w:top w:val="none" w:sz="0" w:space="0" w:color="auto"/>
        <w:left w:val="none" w:sz="0" w:space="0" w:color="auto"/>
        <w:bottom w:val="none" w:sz="0" w:space="0" w:color="auto"/>
        <w:right w:val="none" w:sz="0" w:space="0" w:color="auto"/>
      </w:divBdr>
    </w:div>
    <w:div w:id="1847133186">
      <w:bodyDiv w:val="1"/>
      <w:marLeft w:val="0"/>
      <w:marRight w:val="0"/>
      <w:marTop w:val="0"/>
      <w:marBottom w:val="0"/>
      <w:divBdr>
        <w:top w:val="none" w:sz="0" w:space="0" w:color="auto"/>
        <w:left w:val="none" w:sz="0" w:space="0" w:color="auto"/>
        <w:bottom w:val="none" w:sz="0" w:space="0" w:color="auto"/>
        <w:right w:val="none" w:sz="0" w:space="0" w:color="auto"/>
      </w:divBdr>
    </w:div>
    <w:div w:id="1867670015">
      <w:bodyDiv w:val="1"/>
      <w:marLeft w:val="0"/>
      <w:marRight w:val="0"/>
      <w:marTop w:val="0"/>
      <w:marBottom w:val="0"/>
      <w:divBdr>
        <w:top w:val="none" w:sz="0" w:space="0" w:color="auto"/>
        <w:left w:val="none" w:sz="0" w:space="0" w:color="auto"/>
        <w:bottom w:val="none" w:sz="0" w:space="0" w:color="auto"/>
        <w:right w:val="none" w:sz="0" w:space="0" w:color="auto"/>
      </w:divBdr>
    </w:div>
    <w:div w:id="1901282514">
      <w:bodyDiv w:val="1"/>
      <w:marLeft w:val="0"/>
      <w:marRight w:val="0"/>
      <w:marTop w:val="0"/>
      <w:marBottom w:val="0"/>
      <w:divBdr>
        <w:top w:val="none" w:sz="0" w:space="0" w:color="auto"/>
        <w:left w:val="none" w:sz="0" w:space="0" w:color="auto"/>
        <w:bottom w:val="none" w:sz="0" w:space="0" w:color="auto"/>
        <w:right w:val="none" w:sz="0" w:space="0" w:color="auto"/>
      </w:divBdr>
      <w:divsChild>
        <w:div w:id="84766854">
          <w:marLeft w:val="274"/>
          <w:marRight w:val="0"/>
          <w:marTop w:val="0"/>
          <w:marBottom w:val="0"/>
          <w:divBdr>
            <w:top w:val="none" w:sz="0" w:space="0" w:color="auto"/>
            <w:left w:val="none" w:sz="0" w:space="0" w:color="auto"/>
            <w:bottom w:val="none" w:sz="0" w:space="0" w:color="auto"/>
            <w:right w:val="none" w:sz="0" w:space="0" w:color="auto"/>
          </w:divBdr>
        </w:div>
        <w:div w:id="378210874">
          <w:marLeft w:val="274"/>
          <w:marRight w:val="0"/>
          <w:marTop w:val="0"/>
          <w:marBottom w:val="0"/>
          <w:divBdr>
            <w:top w:val="none" w:sz="0" w:space="0" w:color="auto"/>
            <w:left w:val="none" w:sz="0" w:space="0" w:color="auto"/>
            <w:bottom w:val="none" w:sz="0" w:space="0" w:color="auto"/>
            <w:right w:val="none" w:sz="0" w:space="0" w:color="auto"/>
          </w:divBdr>
        </w:div>
        <w:div w:id="1165392969">
          <w:marLeft w:val="274"/>
          <w:marRight w:val="0"/>
          <w:marTop w:val="0"/>
          <w:marBottom w:val="0"/>
          <w:divBdr>
            <w:top w:val="none" w:sz="0" w:space="0" w:color="auto"/>
            <w:left w:val="none" w:sz="0" w:space="0" w:color="auto"/>
            <w:bottom w:val="none" w:sz="0" w:space="0" w:color="auto"/>
            <w:right w:val="none" w:sz="0" w:space="0" w:color="auto"/>
          </w:divBdr>
        </w:div>
        <w:div w:id="1805660779">
          <w:marLeft w:val="274"/>
          <w:marRight w:val="0"/>
          <w:marTop w:val="0"/>
          <w:marBottom w:val="0"/>
          <w:divBdr>
            <w:top w:val="none" w:sz="0" w:space="0" w:color="auto"/>
            <w:left w:val="none" w:sz="0" w:space="0" w:color="auto"/>
            <w:bottom w:val="none" w:sz="0" w:space="0" w:color="auto"/>
            <w:right w:val="none" w:sz="0" w:space="0" w:color="auto"/>
          </w:divBdr>
        </w:div>
        <w:div w:id="1861046952">
          <w:marLeft w:val="274"/>
          <w:marRight w:val="0"/>
          <w:marTop w:val="0"/>
          <w:marBottom w:val="0"/>
          <w:divBdr>
            <w:top w:val="none" w:sz="0" w:space="0" w:color="auto"/>
            <w:left w:val="none" w:sz="0" w:space="0" w:color="auto"/>
            <w:bottom w:val="none" w:sz="0" w:space="0" w:color="auto"/>
            <w:right w:val="none" w:sz="0" w:space="0" w:color="auto"/>
          </w:divBdr>
        </w:div>
        <w:div w:id="1909997883">
          <w:marLeft w:val="274"/>
          <w:marRight w:val="0"/>
          <w:marTop w:val="0"/>
          <w:marBottom w:val="0"/>
          <w:divBdr>
            <w:top w:val="none" w:sz="0" w:space="0" w:color="auto"/>
            <w:left w:val="none" w:sz="0" w:space="0" w:color="auto"/>
            <w:bottom w:val="none" w:sz="0" w:space="0" w:color="auto"/>
            <w:right w:val="none" w:sz="0" w:space="0" w:color="auto"/>
          </w:divBdr>
        </w:div>
        <w:div w:id="1966231387">
          <w:marLeft w:val="274"/>
          <w:marRight w:val="0"/>
          <w:marTop w:val="0"/>
          <w:marBottom w:val="0"/>
          <w:divBdr>
            <w:top w:val="none" w:sz="0" w:space="0" w:color="auto"/>
            <w:left w:val="none" w:sz="0" w:space="0" w:color="auto"/>
            <w:bottom w:val="none" w:sz="0" w:space="0" w:color="auto"/>
            <w:right w:val="none" w:sz="0" w:space="0" w:color="auto"/>
          </w:divBdr>
        </w:div>
      </w:divsChild>
    </w:div>
    <w:div w:id="2005476961">
      <w:bodyDiv w:val="1"/>
      <w:marLeft w:val="0"/>
      <w:marRight w:val="0"/>
      <w:marTop w:val="0"/>
      <w:marBottom w:val="0"/>
      <w:divBdr>
        <w:top w:val="none" w:sz="0" w:space="0" w:color="auto"/>
        <w:left w:val="none" w:sz="0" w:space="0" w:color="auto"/>
        <w:bottom w:val="none" w:sz="0" w:space="0" w:color="auto"/>
        <w:right w:val="none" w:sz="0" w:space="0" w:color="auto"/>
      </w:divBdr>
    </w:div>
    <w:div w:id="205812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wmf"/><Relationship Id="rId18" Type="http://schemas.openxmlformats.org/officeDocument/2006/relationships/header" Target="header3.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6.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5.xml"/><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CC13EB73A1B436C8E719BDDCD0DDCD3"/>
        <w:category>
          <w:name w:val="General"/>
          <w:gallery w:val="placeholder"/>
        </w:category>
        <w:types>
          <w:type w:val="bbPlcHdr"/>
        </w:types>
        <w:behaviors>
          <w:behavior w:val="content"/>
        </w:behaviors>
        <w:guid w:val="{09C1188E-696C-45C5-905A-AEC3350FEA7F}"/>
      </w:docPartPr>
      <w:docPartBody>
        <w:p w:rsidR="00AB5A02" w:rsidRDefault="00622DD9" w:rsidP="00622DD9">
          <w:pPr>
            <w:pStyle w:val="7CC13EB73A1B436C8E719BDDCD0DDCD3"/>
          </w:pPr>
          <w:r w:rsidRPr="00E74BEE">
            <w:rPr>
              <w:rStyle w:val="PlaceholderText"/>
            </w:rPr>
            <w:t>[Approval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DD9"/>
    <w:rsid w:val="002F5BDB"/>
    <w:rsid w:val="00622DD9"/>
    <w:rsid w:val="00AB5A02"/>
    <w:rsid w:val="00D808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2DD9"/>
    <w:rPr>
      <w:noProof w:val="0"/>
      <w:color w:val="000000" w:themeColor="text1"/>
      <w:sz w:val="22"/>
      <w:lang w:val="en-AU"/>
    </w:rPr>
  </w:style>
  <w:style w:type="paragraph" w:customStyle="1" w:styleId="7CC13EB73A1B436C8E719BDDCD0DDCD3">
    <w:name w:val="7CC13EB73A1B436C8E719BDDCD0DDCD3"/>
    <w:rsid w:val="00622D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APRA">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h67caa35a4114acd8e15fe89b3f29f9e xmlns="814d62cb-2db6-4c25-ab62-b9075facbc11">
      <Terms xmlns="http://schemas.microsoft.com/office/infopath/2007/PartnerControls">
        <TermInfo xmlns="http://schemas.microsoft.com/office/infopath/2007/PartnerControls">
          <TermName xmlns="http://schemas.microsoft.com/office/infopath/2007/PartnerControls">Prudential standard</TermName>
          <TermId xmlns="http://schemas.microsoft.com/office/infopath/2007/PartnerControls">6ce5a155-9ab2-41e3-9b2a-5baab4b7f1d1</TermId>
        </TermInfo>
        <TermInfo xmlns="http://schemas.microsoft.com/office/infopath/2007/PartnerControls">
          <TermName xmlns="http://schemas.microsoft.com/office/infopath/2007/PartnerControls">Legal instrument</TermName>
          <TermId xmlns="http://schemas.microsoft.com/office/infopath/2007/PartnerControls">71fd6ed3-d6d6-4975-ba99-bfe45802e734</TermId>
        </TermInfo>
      </Terms>
    </h67caa35a4114acd8e15fe89b3f29f9e>
    <APRAOwner xmlns="814d62cb-2db6-4c25-ab62-b9075facbc11">
      <UserInfo>
        <DisplayName/>
        <AccountId xsi:nil="true"/>
        <AccountType/>
      </UserInfo>
    </APRAOwner>
    <APRASecurityClassification xmlns="814d62cb-2db6-4c25-ab62-b9075facbc11">OFFICIAL</APRASecurityClassification>
    <m2df5fdf6d1643b4a596982762bb3d00 xmlns="814d62cb-2db6-4c25-ab62-b9075facbc11">
      <Terms xmlns="http://schemas.microsoft.com/office/infopath/2007/PartnerControls"/>
    </m2df5fdf6d1643b4a596982762bb3d00>
    <APRAApprovalDate xmlns="814d62cb-2db6-4c25-ab62-b9075facbc11">2022-11-30T13:00:00+00:00</APRAApprovalDate>
    <APRAKeywords xmlns="814d62cb-2db6-4c25-ab62-b9075facbc11" xsi:nil="true"/>
    <APRAApprovedBy xmlns="814d62cb-2db6-4c25-ab62-b9075facbc11">
      <UserInfo>
        <DisplayName>Hufnagel, Sarah</DisplayName>
        <AccountId>942</AccountId>
        <AccountType/>
      </UserInfo>
    </APRAApprovedBy>
    <APRADate xmlns="814d62cb-2db6-4c25-ab62-b9075facbc11" xsi:nil="true"/>
    <j163382b748246d3b6e7caae71dbeeb0 xmlns="814d62cb-2db6-4c25-ab62-b9075facbc11">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84d6b2d0-8498-4d62-bf46-bab38babbe9e</TermId>
        </TermInfo>
      </Terms>
    </j163382b748246d3b6e7caae71dbeeb0>
    <TaxCatchAll xmlns="814d62cb-2db6-4c25-ab62-b9075facbc11">
      <Value>24</Value>
      <Value>83</Value>
      <Value>58</Value>
      <Value>134</Value>
      <Value>10</Value>
      <Value>26</Value>
      <Value>93</Value>
      <Value>109</Value>
      <Value>142</Value>
      <Value>19</Value>
    </TaxCatchAll>
    <f284b4f8578a44cfae4f67a86df81119 xmlns="814d62cb-2db6-4c25-ab62-b9075facbc11">
      <Terms xmlns="http://schemas.microsoft.com/office/infopath/2007/PartnerControls"/>
    </f284b4f8578a44cfae4f67a86df81119>
    <l003ee8eff60461aa1bd0027aba92ea4 xmlns="814d62cb-2db6-4c25-ab62-b9075facbc11">
      <Terms xmlns="http://schemas.microsoft.com/office/infopath/2007/PartnerControls"/>
    </l003ee8eff60461aa1bd0027aba92ea4>
    <APRADescription xmlns="814d62cb-2db6-4c25-ab62-b9075facbc11">APS 220 Credit Risk Management</APRADescription>
    <APRAActivityID xmlns="814d62cb-2db6-4c25-ab62-b9075facbc11" xsi:nil="true"/>
    <APRADocScanCheck xmlns="814d62cb-2db6-4c25-ab62-b9075facbc11">false</APRADocScanCheck>
    <_dlc_DocId xmlns="814d62cb-2db6-4c25-ab62-b9075facbc11">5JENXJJSCC7A-445999044-11869</_dlc_DocId>
    <_dlc_DocIdUrl xmlns="814d62cb-2db6-4c25-ab62-b9075facbc11">
      <Url>https://im/teams/LEGAL/_layouts/15/DocIdRedir.aspx?ID=5JENXJJSCC7A-445999044-11869</Url>
      <Description>5JENXJJSCC7A-445999044-11869</Description>
    </_dlc_DocIdUrl>
    <i05115a133414b4dabee2531e4b46b67 xmlns="814d62cb-2db6-4c25-ab62-b9075facbc11">
      <Terms xmlns="http://schemas.microsoft.com/office/infopath/2007/PartnerControls">
        <TermInfo xmlns="http://schemas.microsoft.com/office/infopath/2007/PartnerControls">
          <TermName xmlns="http://schemas.microsoft.com/office/infopath/2007/PartnerControls">Registration</TermName>
          <TermId xmlns="http://schemas.microsoft.com/office/infopath/2007/PartnerControls">390476ce-d76d-4e8d-905f-28e32d2df127</TermId>
        </TermInfo>
        <TermInfo xmlns="http://schemas.microsoft.com/office/infopath/2007/PartnerControls">
          <TermName xmlns="http://schemas.microsoft.com/office/infopath/2007/PartnerControls">Statutory instrument</TermName>
          <TermId xmlns="http://schemas.microsoft.com/office/infopath/2007/PartnerControls">fe68928c-5a9c-4caf-bc8c-6c18cedcb17f</TermId>
        </TermInfo>
      </Terms>
    </i05115a133414b4dabee2531e4b46b67>
    <b37d8d7e823543f58f89056343a9035c xmlns="814d62cb-2db6-4c25-ab62-b9075facbc11">
      <Terms xmlns="http://schemas.microsoft.com/office/infopath/2007/PartnerControls"/>
    </b37d8d7e823543f58f89056343a9035c>
    <d9a849fd1b8e46ada0321eb0681a10ee xmlns="814d62cb-2db6-4c25-ab62-b9075facbc11">
      <Terms xmlns="http://schemas.microsoft.com/office/infopath/2007/PartnerControls"/>
    </d9a849fd1b8e46ada0321eb0681a10ee>
    <ic4067bd02f14cf3a95ad35878404a71 xmlns="814d62cb-2db6-4c25-ab62-b9075facbc11">
      <Terms xmlns="http://schemas.microsoft.com/office/infopath/2007/PartnerControls"/>
    </ic4067bd02f14cf3a95ad35878404a71>
    <j724204a644741eb9f777fcb03fe8840 xmlns="814d62cb-2db6-4c25-ab62-b9075facbc11">
      <Terms xmlns="http://schemas.microsoft.com/office/infopath/2007/PartnerControls"/>
    </j724204a644741eb9f777fcb03fe8840>
    <k4bcc0d734474fea9fb713d9c415b4b0 xmlns="814d62cb-2db6-4c25-ab62-b9075facbc11">
      <Terms xmlns="http://schemas.microsoft.com/office/infopath/2007/PartnerControls"/>
    </k4bcc0d734474fea9fb713d9c415b4b0>
    <pa005173035e41c3986b37b8e650f3ef xmlns="814d62cb-2db6-4c25-ab62-b9075facbc11">
      <Terms xmlns="http://schemas.microsoft.com/office/infopath/2007/PartnerControls"/>
    </pa005173035e41c3986b37b8e650f3ef>
    <ka2715b9eb154114a4f57d7fbf82ec75 xmlns="814d62cb-2db6-4c25-ab62-b9075facbc11">
      <Terms xmlns="http://schemas.microsoft.com/office/infopath/2007/PartnerControls"/>
    </ka2715b9eb154114a4f57d7fbf82ec75>
    <p10c80fc2da942ae8f2ea9b33b6ea0ba xmlns="814d62cb-2db6-4c25-ab62-b9075facbc11">
      <Terms xmlns="http://schemas.microsoft.com/office/infopath/2007/PartnerControls">
        <TermInfo xmlns="http://schemas.microsoft.com/office/infopath/2007/PartnerControls">
          <TermName xmlns="http://schemas.microsoft.com/office/infopath/2007/PartnerControls">Legal - ADI</TermName>
          <TermId xmlns="http://schemas.microsoft.com/office/infopath/2007/PartnerControls">652d8d2a-ab45-47b4-ac6e-fe6ac9299b39</TermId>
        </TermInfo>
        <TermInfo xmlns="http://schemas.microsoft.com/office/infopath/2007/PartnerControls">
          <TermName xmlns="http://schemas.microsoft.com/office/infopath/2007/PartnerControls">Legal - Insurance: General</TermName>
          <TermId xmlns="http://schemas.microsoft.com/office/infopath/2007/PartnerControls">8229dc1a-d7f2-47b2-844a-b026fed0c13d</TermId>
        </TermInfo>
        <TermInfo xmlns="http://schemas.microsoft.com/office/infopath/2007/PartnerControls">
          <TermName xmlns="http://schemas.microsoft.com/office/infopath/2007/PartnerControls">Legal - Insurance: Health</TermName>
          <TermId xmlns="http://schemas.microsoft.com/office/infopath/2007/PartnerControls">21611e62-d688-4f0d-8807-02701cc43699</TermId>
        </TermInfo>
        <TermInfo xmlns="http://schemas.microsoft.com/office/infopath/2007/PartnerControls">
          <TermName xmlns="http://schemas.microsoft.com/office/infopath/2007/PartnerControls">Legal - Insurance: Life</TermName>
          <TermId xmlns="http://schemas.microsoft.com/office/infopath/2007/PartnerControls">56f18b50-6605-4f3f-97e3-cad1cb5394e0</TermId>
        </TermInfo>
        <TermInfo xmlns="http://schemas.microsoft.com/office/infopath/2007/PartnerControls">
          <TermName xmlns="http://schemas.microsoft.com/office/infopath/2007/PartnerControls">Legal - Superannuation</TermName>
          <TermId xmlns="http://schemas.microsoft.com/office/infopath/2007/PartnerControls">cce3181d-fd23-4eee-94d3-c66abc2350cf</TermId>
        </TermInfo>
      </Terms>
    </p10c80fc2da942ae8f2ea9b33b6ea0ba>
    <i08e72d8ce2b4ffa9361f9f4e0a63abc xmlns="814d62cb-2db6-4c25-ab62-b9075facbc11">
      <Terms xmlns="http://schemas.microsoft.com/office/infopath/2007/PartnerControls"/>
    </i08e72d8ce2b4ffa9361f9f4e0a63abc>
    <aa36a5a650d54f768f171f4d17b8b238 xmlns="814d62cb-2db6-4c25-ab62-b9075facbc11">
      <Terms xmlns="http://schemas.microsoft.com/office/infopath/2007/PartnerControls"/>
    </aa36a5a650d54f768f171f4d17b8b238>
    <APRAMeetingDate xmlns="814d62cb-2db6-4c25-ab62-b9075facbc11" xsi:nil="true"/>
    <APRAMeetingNumber xmlns="814d62cb-2db6-4c25-ab62-b9075facbc11" xsi:nil="true"/>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haredContentType xmlns="Microsoft.SharePoint.Taxonomy.ContentTypeSync" SourceId="8aef97a4-ded2-4e4a-9fbc-e666dae3ecd2" ContentTypeId="0x0101008CA7A4F8331B45C7B0D3158B4994D0CA02" PreviousValue="false"/>
</file>

<file path=customXml/item6.xml><?xml version="1.0" encoding="utf-8"?>
<ct:contentTypeSchema xmlns:ct="http://schemas.microsoft.com/office/2006/metadata/contentType" xmlns:ma="http://schemas.microsoft.com/office/2006/metadata/properties/metaAttributes" ct:_="" ma:_="" ma:contentTypeName="Standard Content" ma:contentTypeID="0x0101008CA7A4F8331B45C7B0D3158B4994D0CA0200577EC0F5A1FBFC498F9A8436B963F8A6" ma:contentTypeVersion="73" ma:contentTypeDescription="Create a new document." ma:contentTypeScope="" ma:versionID="73e2e2cfc32a2691ee31d7af9bd362de">
  <xsd:schema xmlns:xsd="http://www.w3.org/2001/XMLSchema" xmlns:xs="http://www.w3.org/2001/XMLSchema" xmlns:p="http://schemas.microsoft.com/office/2006/metadata/properties" xmlns:ns1="814d62cb-2db6-4c25-ab62-b9075facbc11" targetNamespace="http://schemas.microsoft.com/office/2006/metadata/properties" ma:root="true" ma:fieldsID="7be0268868a1afd65d01f44ca09bb39c" ns1:_="">
    <xsd:import namespace="814d62cb-2db6-4c25-ab62-b9075facbc11"/>
    <xsd:element name="properties">
      <xsd:complexType>
        <xsd:sequence>
          <xsd:element name="documentManagement">
            <xsd:complexType>
              <xsd:all>
                <xsd:element ref="ns1:_dlc_DocIdUrl" minOccurs="0"/>
                <xsd:element ref="ns1:APRADescription" minOccurs="0"/>
                <xsd:element ref="ns1:APRAActivityID" minOccurs="0"/>
                <xsd:element ref="ns1:APRASecurityClassification"/>
                <xsd:element ref="ns1:APRAKeywords" minOccurs="0"/>
                <xsd:element ref="ns1:APRADate" minOccurs="0"/>
                <xsd:element ref="ns1:APRAOwner" minOccurs="0"/>
                <xsd:element ref="ns1:APRAApprovedBy" minOccurs="0"/>
                <xsd:element ref="ns1:APRAApprovalDate" minOccurs="0"/>
                <xsd:element ref="ns1:APRAEntityID" minOccurs="0"/>
                <xsd:element ref="ns1:APRAEntityName" minOccurs="0"/>
                <xsd:element ref="ns1:Received" minOccurs="0"/>
                <xsd:element ref="ns1:From-Address" minOccurs="0"/>
                <xsd:element ref="ns1:To-Address" minOccurs="0"/>
                <xsd:element ref="ns1:Attachment" minOccurs="0"/>
                <xsd:element ref="ns1:Conversation" minOccurs="0"/>
                <xsd:element ref="ns1:APRADocScanCheck" minOccurs="0"/>
                <xsd:element ref="ns1:j163382b748246d3b6e7caae71dbeeb0" minOccurs="0"/>
                <xsd:element ref="ns1:f284b4f8578a44cfae4f67a86df81119" minOccurs="0"/>
                <xsd:element ref="ns1:_dlc_DocIdPersistId" minOccurs="0"/>
                <xsd:element ref="ns1:i05115a133414b4dabee2531e4b46b67" minOccurs="0"/>
                <xsd:element ref="ns1:h67caa35a4114acd8e15fe89b3f29f9e" minOccurs="0"/>
                <xsd:element ref="ns1:pa005173035e41c3986b37b8e650f3ef" minOccurs="0"/>
                <xsd:element ref="ns1:p10c80fc2da942ae8f2ea9b33b6ea0ba" minOccurs="0"/>
                <xsd:element ref="ns1:ka2715b9eb154114a4f57d7fbf82ec75" minOccurs="0"/>
                <xsd:element ref="ns1:TaxCatchAll" minOccurs="0"/>
                <xsd:element ref="ns1:i08e72d8ce2b4ffa9361f9f4e0a63abc" minOccurs="0"/>
                <xsd:element ref="ns1:TaxCatchAllLabel" minOccurs="0"/>
                <xsd:element ref="ns1:ic4067bd02f14cf3a95ad35878404a71" minOccurs="0"/>
                <xsd:element ref="ns1:l003ee8eff60461aa1bd0027aba92ea4" minOccurs="0"/>
                <xsd:element ref="ns1:b37d8d7e823543f58f89056343a9035c" minOccurs="0"/>
                <xsd:element ref="ns1:_dlc_DocId" minOccurs="0"/>
                <xsd:element ref="ns1:aa36a5a650d54f768f171f4d17b8b238" minOccurs="0"/>
                <xsd:element ref="ns1:j724204a644741eb9f777fcb03fe8840" minOccurs="0"/>
                <xsd:element ref="ns1:m2df5fdf6d1643b4a596982762bb3d00" minOccurs="0"/>
                <xsd:element ref="ns1:k4bcc0d734474fea9fb713d9c415b4b0" minOccurs="0"/>
                <xsd:element ref="ns1:d9a849fd1b8e46ada0321eb0681a10ee" minOccurs="0"/>
                <xsd:element ref="ns1:APRAMeetingDate" minOccurs="0"/>
                <xsd:element ref="ns1:APRAMeeting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d62cb-2db6-4c25-ab62-b9075facbc11" elementFormDefault="qualified">
    <xsd:import namespace="http://schemas.microsoft.com/office/2006/documentManagement/types"/>
    <xsd:import namespace="http://schemas.microsoft.com/office/infopath/2007/PartnerControls"/>
    <xsd:element name="_dlc_DocIdUrl" ma:index="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APRADescription" ma:index="3" nillable="true" ma:displayName="Description" ma:internalName="APRADescription">
      <xsd:simpleType>
        <xsd:restriction base="dms:Note"/>
      </xsd:simpleType>
    </xsd:element>
    <xsd:element name="APRAActivityID" ma:index="4" nillable="true" ma:displayName="Activity ID" ma:internalName="APRAActivityID" ma:readOnly="false">
      <xsd:simpleType>
        <xsd:restriction base="dms:Text"/>
      </xsd:simpleType>
    </xsd:element>
    <xsd:element name="APRASecurityClassification" ma:index="8" ma:displayName="Security classification" ma:default="OFFICIAL: Sensitive" ma:hidden="true" ma:internalName="APRASecurityClassification" ma:readOnly="false">
      <xsd:simpleType>
        <xsd:restriction base="dms:Choice">
          <xsd:enumeration value="OFFICIAL"/>
          <xsd:enumeration value="OFFICIAL: Sensitive"/>
          <xsd:enumeration value="OFFICIAL: Sensitive (APRA Act s56)"/>
          <xsd:enumeration value="OFFICIAL: Sensitive (Personal privacy)"/>
          <xsd:enumeration value="OFFICIAL: Sensitive (Legal privilege)"/>
          <xsd:enumeration value="OFFICIAL: Sensitive: NATIONAL CABINET"/>
          <xsd:enumeration value="OFFICIAL: Sensitive: NATIONAL CABINET (APRA Act s56)"/>
          <xsd:enumeration value="OFFICIAL: Sensitive: NATIONAL CABINET (Personal privacy)"/>
          <xsd:enumeration value="OFFICIAL: Sensitive: NATIONAL CABINET (Legal privilege)"/>
          <xsd:enumeration value="PROTECTED"/>
          <xsd:enumeration value="PROTECTED (APRA Act s56)"/>
          <xsd:enumeration value="PROTECTED (Personal privacy)"/>
          <xsd:enumeration value="PROTECTED (Legal privilege)"/>
          <xsd:enumeration value="PROTECTED: CABINET"/>
          <xsd:enumeration value="PROTECTED: CABINET (APRA Act s56)"/>
          <xsd:enumeration value="PROTECTED: CABINET (Personal privacy)"/>
          <xsd:enumeration value="PROTECTED: CABINET (Legal privilege)"/>
          <xsd:enumeration value="PROTECTED: NATIONAL CABINET"/>
          <xsd:enumeration value="PROTECTED: NATIONAL CABINET (APRA Act s56)"/>
          <xsd:enumeration value="PROTECTED: NATIONAL CABINET (Personal privacy)"/>
          <xsd:enumeration value="PROTECTED: NATIONAL CABINET (Legal privilege)"/>
          <xsd:enumeration value="UNCLASSIFIED"/>
          <xsd:enumeration value="DLM: For Official Use Only"/>
          <xsd:enumeration value="DLM: Sensitive"/>
          <xsd:enumeration value="DLM: Sensitive: Legal"/>
          <xsd:enumeration value="DLM: Sensitive: Personal"/>
          <xsd:enumeration value="PROTECTED: Sensitive: Cabinet"/>
          <xsd:enumeration value="UNOFFICIAL"/>
        </xsd:restriction>
      </xsd:simpleType>
    </xsd:element>
    <xsd:element name="APRAKeywords" ma:index="16" nillable="true" ma:displayName="Keywords" ma:internalName="APRAKeywords" ma:readOnly="false">
      <xsd:simpleType>
        <xsd:restriction base="dms:Text"/>
      </xsd:simpleType>
    </xsd:element>
    <xsd:element name="APRADate" ma:index="18" nillable="true" ma:displayName="Date" ma:format="DateOnly" ma:internalName="APRADate" ma:readOnly="false">
      <xsd:simpleType>
        <xsd:restriction base="dms:DateTime"/>
      </xsd:simpleType>
    </xsd:element>
    <xsd:element name="APRAOwner" ma:index="21" nillable="true" ma:displayName="Owner" ma:list="UserInfo" ma:internalName="APRAOwn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edBy" ma:index="22" nillable="true" ma:displayName="Approved by" ma:list="UserInfo" ma:internalName="APRAApproved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alDate" ma:index="23" nillable="true" ma:displayName="Approval date" ma:format="DateOnly" ma:internalName="APRAApprovalDate" ma:readOnly="false">
      <xsd:simpleType>
        <xsd:restriction base="dms:DateTime"/>
      </xsd:simpleType>
    </xsd:element>
    <xsd:element name="APRAEntityID" ma:index="24" nillable="true" ma:displayName="Entity ID" ma:internalName="APRAEntityID" ma:readOnly="true">
      <xsd:simpleType>
        <xsd:restriction base="dms:Text"/>
      </xsd:simpleType>
    </xsd:element>
    <xsd:element name="APRAEntityName" ma:index="25" nillable="true" ma:displayName="Entity name" ma:internalName="APRAEntityName" ma:readOnly="true">
      <xsd:simpleType>
        <xsd:restriction base="dms:Text"/>
      </xsd:simpleType>
    </xsd:element>
    <xsd:element name="Received" ma:index="28" nillable="true" ma:displayName="Received" ma:format="DateTime" ma:internalName="Received" ma:readOnly="true">
      <xsd:simpleType>
        <xsd:restriction base="dms:DateTime"/>
      </xsd:simpleType>
    </xsd:element>
    <xsd:element name="From-Address" ma:index="29" nillable="true" ma:displayName="From-Address" ma:internalName="From_x002d_Address" ma:readOnly="true">
      <xsd:simpleType>
        <xsd:restriction base="dms:Text"/>
      </xsd:simpleType>
    </xsd:element>
    <xsd:element name="To-Address" ma:index="30" nillable="true" ma:displayName="To-Address" ma:internalName="To_x002d_Address" ma:readOnly="true">
      <xsd:simpleType>
        <xsd:restriction base="dms:Text"/>
      </xsd:simpleType>
    </xsd:element>
    <xsd:element name="Attachment" ma:index="31" nillable="true" ma:displayName="Attachment" ma:internalName="Attachment" ma:readOnly="true">
      <xsd:simpleType>
        <xsd:restriction base="dms:Boolean"/>
      </xsd:simpleType>
    </xsd:element>
    <xsd:element name="Conversation" ma:index="32" nillable="true" ma:displayName="Conversation" ma:internalName="Conversation" ma:readOnly="true">
      <xsd:simpleType>
        <xsd:restriction base="dms:Text"/>
      </xsd:simpleType>
    </xsd:element>
    <xsd:element name="APRADocScanCheck" ma:index="33" nillable="true" ma:displayName="Scanned document checked" ma:default="0" ma:internalName="APRADocScanCheck" ma:readOnly="false">
      <xsd:simpleType>
        <xsd:restriction base="dms:Boolean"/>
      </xsd:simpleType>
    </xsd:element>
    <xsd:element name="j163382b748246d3b6e7caae71dbeeb0" ma:index="34" ma:taxonomy="true" ma:internalName="j163382b748246d3b6e7caae71dbeeb0" ma:taxonomyFieldName="APRAStatus" ma:displayName="Status" ma:readOnly="false" ma:default="1;#Draft|0e1556d2-3fe8-443a-ada7-3620563b46b3" ma:fieldId="{3163382b-7482-46d3-b6e7-caae71dbeeb0}" ma:sspId="8aef97a4-ded2-4e4a-9fbc-e666dae3ecd2" ma:termSetId="7eb4e65e-417b-4c63-9676-ecbbffa46ffa" ma:anchorId="00000000-0000-0000-0000-000000000000" ma:open="false" ma:isKeyword="false">
      <xsd:complexType>
        <xsd:sequence>
          <xsd:element ref="pc:Terms" minOccurs="0" maxOccurs="1"/>
        </xsd:sequence>
      </xsd:complexType>
    </xsd:element>
    <xsd:element name="f284b4f8578a44cfae4f67a86df81119" ma:index="35" nillable="true" ma:taxonomy="true" ma:internalName="f284b4f8578a44cfae4f67a86df81119" ma:taxonomyFieldName="APRAReportingGroup" ma:displayName="Reporting group" ma:readOnly="true" ma:fieldId="{f284b4f8-578a-44cf-ae4f-67a86df81119}" ma:sspId="8aef97a4-ded2-4e4a-9fbc-e666dae3ecd2" ma:termSetId="c09f06e2-9097-495c-bd1d-5eef1197c3cb" ma:anchorId="00000000-0000-0000-0000-000000000000" ma:open="false" ma:isKeyword="false">
      <xsd:complexType>
        <xsd:sequence>
          <xsd:element ref="pc:Terms" minOccurs="0" maxOccurs="1"/>
        </xsd:sequence>
      </xsd:complexType>
    </xsd:element>
    <xsd:element name="_dlc_DocIdPersistId" ma:index="37" nillable="true" ma:displayName="Persist ID" ma:description="Keep ID on add." ma:hidden="true" ma:internalName="_dlc_DocIdPersistId" ma:readOnly="true">
      <xsd:simpleType>
        <xsd:restriction base="dms:Boolean"/>
      </xsd:simpleType>
    </xsd:element>
    <xsd:element name="i05115a133414b4dabee2531e4b46b67" ma:index="39" ma:taxonomy="true" ma:internalName="i05115a133414b4dabee2531e4b46b67" ma:taxonomyFieldName="APRAActivity" ma:displayName="Activity" ma:readOnly="false" ma:fieldId="{205115a1-3341-4b4d-abee-2531e4b46b67}" ma:taxonomyMulti="true" ma:sspId="8aef97a4-ded2-4e4a-9fbc-e666dae3ecd2" ma:termSetId="0a2aee47-fbed-4b43-b934-0547b3421a87" ma:anchorId="00000000-0000-0000-0000-000000000000" ma:open="false" ma:isKeyword="false">
      <xsd:complexType>
        <xsd:sequence>
          <xsd:element ref="pc:Terms" minOccurs="0" maxOccurs="1"/>
        </xsd:sequence>
      </xsd:complexType>
    </xsd:element>
    <xsd:element name="h67caa35a4114acd8e15fe89b3f29f9e" ma:index="40" ma:taxonomy="true" ma:internalName="h67caa35a4114acd8e15fe89b3f29f9e" ma:taxonomyFieldName="APRADocumentType" ma:displayName="Document type" ma:readOnly="false" ma:fieldId="{167caa35-a411-4acd-8e15-fe89b3f29f9e}" ma:taxonomyMulti="true" ma:sspId="8aef97a4-ded2-4e4a-9fbc-e666dae3ecd2" ma:termSetId="af1c35f7-5763-4cde-bc1a-b0c7e164f1eb" ma:anchorId="00000000-0000-0000-0000-000000000000" ma:open="false" ma:isKeyword="false">
      <xsd:complexType>
        <xsd:sequence>
          <xsd:element ref="pc:Terms" minOccurs="0" maxOccurs="1"/>
        </xsd:sequence>
      </xsd:complexType>
    </xsd:element>
    <xsd:element name="pa005173035e41c3986b37b8e650f3ef" ma:index="41" nillable="true" ma:taxonomy="true" ma:internalName="pa005173035e41c3986b37b8e650f3ef" ma:taxonomyFieldName="APRAExternalOrganisation" ma:displayName="External organisation" ma:readOnly="false" ma:fieldId="{9a005173-035e-41c3-986b-37b8e650f3ef}" ma:taxonomyMulti="true" ma:sspId="8aef97a4-ded2-4e4a-9fbc-e666dae3ecd2" ma:termSetId="8f5dd4ac-0a4b-4ffd-a2d2-a2e85755e1cd" ma:anchorId="00000000-0000-0000-0000-000000000000" ma:open="false" ma:isKeyword="false">
      <xsd:complexType>
        <xsd:sequence>
          <xsd:element ref="pc:Terms" minOccurs="0" maxOccurs="1"/>
        </xsd:sequence>
      </xsd:complexType>
    </xsd:element>
    <xsd:element name="p10c80fc2da942ae8f2ea9b33b6ea0ba" ma:index="43" nillable="true" ma:taxonomy="true" ma:internalName="p10c80fc2da942ae8f2ea9b33b6ea0ba" ma:taxonomyFieldName="APRACostCentre" ma:displayName="Cost Centre/Team" ma:readOnly="false" ma:fieldId="{910c80fc-2da9-42ae-8f2e-a9b33b6ea0ba}" ma:taxonomyMulti="true" ma:sspId="8aef97a4-ded2-4e4a-9fbc-e666dae3ecd2" ma:termSetId="f265c3b6-05fc-4e2c-ba60-4d4988c2d861" ma:anchorId="00000000-0000-0000-0000-000000000000" ma:open="false" ma:isKeyword="false">
      <xsd:complexType>
        <xsd:sequence>
          <xsd:element ref="pc:Terms" minOccurs="0" maxOccurs="1"/>
        </xsd:sequence>
      </xsd:complexType>
    </xsd:element>
    <xsd:element name="ka2715b9eb154114a4f57d7fbf82ec75" ma:index="45" nillable="true" ma:taxonomy="true" ma:internalName="ka2715b9eb154114a4f57d7fbf82ec75" ma:taxonomyFieldName="APRAPeriod" ma:displayName="Period" ma:readOnly="false" ma:fieldId="{4a2715b9-eb15-4114-a4f5-7d7fbf82ec75}" ma:taxonomyMulti="true" ma:sspId="8aef97a4-ded2-4e4a-9fbc-e666dae3ecd2" ma:termSetId="1a5cf56a-d80d-4891-bac9-68519ce5a3ac" ma:anchorId="00000000-0000-0000-0000-000000000000" ma:open="false" ma:isKeyword="false">
      <xsd:complexType>
        <xsd:sequence>
          <xsd:element ref="pc:Terms" minOccurs="0" maxOccurs="1"/>
        </xsd:sequence>
      </xsd:complexType>
    </xsd:element>
    <xsd:element name="TaxCatchAll" ma:index="46" nillable="true" ma:displayName="Taxonomy Catch All Column" ma:hidden="true" ma:list="{84347c30-9e0d-4c46-b2d7-e19e22f5828c}" ma:internalName="TaxCatchAll" ma:showField="CatchAllData"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08e72d8ce2b4ffa9361f9f4e0a63abc" ma:index="47" nillable="true" ma:taxonomy="true" ma:internalName="i08e72d8ce2b4ffa9361f9f4e0a63abc" ma:taxonomyFieldName="APRAYear" ma:displayName="Year" ma:readOnly="false" ma:fieldId="{208e72d8-ce2b-4ffa-9361-f9f4e0a63abc}" ma:taxonomyMulti="true" ma:sspId="8aef97a4-ded2-4e4a-9fbc-e666dae3ecd2" ma:termSetId="b4e5147a-ac61-437a-b431-73cf5e3f50b4" ma:anchorId="00000000-0000-0000-0000-000000000000" ma:open="false" ma:isKeyword="false">
      <xsd:complexType>
        <xsd:sequence>
          <xsd:element ref="pc:Terms" minOccurs="0" maxOccurs="1"/>
        </xsd:sequence>
      </xsd:complexType>
    </xsd:element>
    <xsd:element name="TaxCatchAllLabel" ma:index="48" nillable="true" ma:displayName="Taxonomy Catch All Column1" ma:hidden="true" ma:list="{84347c30-9e0d-4c46-b2d7-e19e22f5828c}" ma:internalName="TaxCatchAllLabel" ma:readOnly="true" ma:showField="CatchAllDataLabel"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c4067bd02f14cf3a95ad35878404a71" ma:index="49" nillable="true" ma:taxonomy="true" ma:internalName="ic4067bd02f14cf3a95ad35878404a71" ma:taxonomyFieldName="APRAIRTR" ma:displayName="Industry risk/thematic review" ma:readOnly="false" ma:fieldId="{2c4067bd-02f1-4cf3-a95a-d35878404a71}" ma:taxonomyMulti="true" ma:sspId="8aef97a4-ded2-4e4a-9fbc-e666dae3ecd2" ma:termSetId="6721df7c-916a-435f-a198-7feb96db3976" ma:anchorId="00000000-0000-0000-0000-000000000000" ma:open="false" ma:isKeyword="false">
      <xsd:complexType>
        <xsd:sequence>
          <xsd:element ref="pc:Terms" minOccurs="0" maxOccurs="1"/>
        </xsd:sequence>
      </xsd:complexType>
    </xsd:element>
    <xsd:element name="l003ee8eff60461aa1bd0027aba92ea4" ma:index="50" nillable="true" ma:taxonomy="true" ma:internalName="l003ee8eff60461aa1bd0027aba92ea4" ma:taxonomyFieldName="APRAIndustry" ma:displayName="Industry/Sector" ma:readOnly="false" ma:fieldId="{5003ee8e-ff60-461a-a1bd-0027aba92ea4}" ma:taxonomyMulti="true" ma:sspId="8aef97a4-ded2-4e4a-9fbc-e666dae3ecd2" ma:termSetId="d46a36ff-b81c-47a6-84c2-b6a574ca6a5d" ma:anchorId="00000000-0000-0000-0000-000000000000" ma:open="false" ma:isKeyword="false">
      <xsd:complexType>
        <xsd:sequence>
          <xsd:element ref="pc:Terms" minOccurs="0" maxOccurs="1"/>
        </xsd:sequence>
      </xsd:complexType>
    </xsd:element>
    <xsd:element name="b37d8d7e823543f58f89056343a9035c" ma:index="51" nillable="true" ma:taxonomy="true" ma:internalName="b37d8d7e823543f58f89056343a9035c" ma:taxonomyFieldName="APRALegislation" ma:displayName="Legislation" ma:readOnly="false" ma:fieldId="{b37d8d7e-8235-43f5-8f89-056343a9035c}" ma:taxonomyMulti="true" ma:sspId="8aef97a4-ded2-4e4a-9fbc-e666dae3ecd2" ma:termSetId="67e0a470-b4af-4691-908a-b900ee38db35" ma:anchorId="00000000-0000-0000-0000-000000000000" ma:open="false" ma:isKeyword="false">
      <xsd:complexType>
        <xsd:sequence>
          <xsd:element ref="pc:Terms" minOccurs="0" maxOccurs="1"/>
        </xsd:sequence>
      </xsd:complexType>
    </xsd:element>
    <xsd:element name="_dlc_DocId" ma:index="52" nillable="true" ma:displayName="Document ID Value" ma:description="The value of the document ID assigned to this item." ma:internalName="_dlc_DocId" ma:readOnly="true">
      <xsd:simpleType>
        <xsd:restriction base="dms:Text"/>
      </xsd:simpleType>
    </xsd:element>
    <xsd:element name="aa36a5a650d54f768f171f4d17b8b238" ma:index="53" nillable="true" ma:taxonomy="true" ma:internalName="aa36a5a650d54f768f171f4d17b8b238" ma:taxonomyFieldName="APRAPRSG" ma:displayName="Prudential/Reporting Standards and Guidance" ma:readOnly="false" ma:fieldId="{aa36a5a6-50d5-4f76-8f17-1f4d17b8b238}" ma:taxonomyMulti="true" ma:sspId="8aef97a4-ded2-4e4a-9fbc-e666dae3ecd2" ma:termSetId="1abfbd64-a7ba-41ad-bd44-677dfc6b15d7" ma:anchorId="00000000-0000-0000-0000-000000000000" ma:open="false" ma:isKeyword="false">
      <xsd:complexType>
        <xsd:sequence>
          <xsd:element ref="pc:Terms" minOccurs="0" maxOccurs="1"/>
        </xsd:sequence>
      </xsd:complexType>
    </xsd:element>
    <xsd:element name="j724204a644741eb9f777fcb03fe8840" ma:index="55" nillable="true" ma:taxonomy="true" ma:internalName="j724204a644741eb9f777fcb03fe8840" ma:taxonomyFieldName="APRACategory" ma:displayName="Category" ma:readOnly="false" ma:fieldId="{3724204a-6447-41eb-9f77-7fcb03fe8840}" ma:taxonomyMulti="true" ma:sspId="8aef97a4-ded2-4e4a-9fbc-e666dae3ecd2" ma:termSetId="41464afd-e131-42da-a884-f3396a619f5e" ma:anchorId="00000000-0000-0000-0000-000000000000" ma:open="false" ma:isKeyword="false">
      <xsd:complexType>
        <xsd:sequence>
          <xsd:element ref="pc:Terms" minOccurs="0" maxOccurs="1"/>
        </xsd:sequence>
      </xsd:complexType>
    </xsd:element>
    <xsd:element name="m2df5fdf6d1643b4a596982762bb3d00" ma:index="56" nillable="true" ma:taxonomy="true" ma:internalName="m2df5fdf6d1643b4a596982762bb3d00" ma:taxonomyFieldName="APRAPeerGroup" ma:displayName="Peer group" ma:readOnly="true" ma:fieldId="{62df5fdf-6d16-43b4-a596-982762bb3d00}" ma:sspId="8aef97a4-ded2-4e4a-9fbc-e666dae3ecd2" ma:termSetId="c3795591-82c1-4a32-b59e-800e245eddf3" ma:anchorId="00000000-0000-0000-0000-000000000000" ma:open="false" ma:isKeyword="false">
      <xsd:complexType>
        <xsd:sequence>
          <xsd:element ref="pc:Terms" minOccurs="0" maxOccurs="1"/>
        </xsd:sequence>
      </xsd:complexType>
    </xsd:element>
    <xsd:element name="k4bcc0d734474fea9fb713d9c415b4b0" ma:index="57" nillable="true" ma:taxonomy="true" ma:internalName="k4bcc0d734474fea9fb713d9c415b4b0" ma:taxonomyFieldName="APRAEntityAdviceSupport" ma:displayName="Entity (advice/support)" ma:readOnly="false" ma:fieldId="{44bcc0d7-3447-4fea-9fb7-13d9c415b4b0}" ma:taxonomyMulti="true" ma:sspId="8aef97a4-ded2-4e4a-9fbc-e666dae3ecd2" ma:termSetId="65e4e273-0c24-4815-bb8d-38cd0e8111f8" ma:anchorId="00000000-0000-0000-0000-000000000000" ma:open="false" ma:isKeyword="false">
      <xsd:complexType>
        <xsd:sequence>
          <xsd:element ref="pc:Terms" minOccurs="0" maxOccurs="1"/>
        </xsd:sequence>
      </xsd:complexType>
    </xsd:element>
    <xsd:element name="d9a849fd1b8e46ada0321eb0681a10ee" ma:index="59" nillable="true" ma:taxonomy="true" ma:internalName="d9a849fd1b8e46ada0321eb0681a10ee" ma:taxonomyFieldName="IT_x0020_system_x0020_type" ma:displayName="IT system type" ma:readOnly="false" ma:default="" ma:fieldId="{d9a849fd-1b8e-46ad-a032-1eb0681a10ee}" ma:sspId="8aef97a4-ded2-4e4a-9fbc-e666dae3ecd2" ma:termSetId="a68d55e5-4bde-43c7-bab2-2f4763c2c76b" ma:anchorId="00000000-0000-0000-0000-000000000000" ma:open="false" ma:isKeyword="false">
      <xsd:complexType>
        <xsd:sequence>
          <xsd:element ref="pc:Terms" minOccurs="0" maxOccurs="1"/>
        </xsd:sequence>
      </xsd:complexType>
    </xsd:element>
    <xsd:element name="APRAMeetingDate" ma:index="61" nillable="true" ma:displayName="Meeting date" ma:format="DateOnly" ma:internalName="APRAMeetingDate" ma:readOnly="false">
      <xsd:simpleType>
        <xsd:restriction base="dms:DateTime"/>
      </xsd:simpleType>
    </xsd:element>
    <xsd:element name="APRAMeetingNumber" ma:index="62" nillable="true" ma:displayName="Meeting no." ma:internalName="APRAMeetingNumbe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4FACA5-FF25-44EB-9F22-13BC540CEFF1}">
  <ds:schemaRefs>
    <ds:schemaRef ds:uri="http://schemas.microsoft.com/office/infopath/2007/PartnerControls"/>
    <ds:schemaRef ds:uri="http://purl.org/dc/terms/"/>
    <ds:schemaRef ds:uri="http://purl.org/dc/dcmitype/"/>
    <ds:schemaRef ds:uri="http://schemas.microsoft.com/office/2006/metadata/properties"/>
    <ds:schemaRef ds:uri="http://schemas.openxmlformats.org/package/2006/metadata/core-properties"/>
    <ds:schemaRef ds:uri="814d62cb-2db6-4c25-ab62-b9075facbc11"/>
    <ds:schemaRef ds:uri="http://schemas.microsoft.com/office/2006/documentManagement/types"/>
    <ds:schemaRef ds:uri="http://purl.org/dc/elements/1.1/"/>
    <ds:schemaRef ds:uri="http://www.w3.org/XML/1998/namespace"/>
  </ds:schemaRefs>
</ds:datastoreItem>
</file>

<file path=customXml/itemProps2.xml><?xml version="1.0" encoding="utf-8"?>
<ds:datastoreItem xmlns:ds="http://schemas.openxmlformats.org/officeDocument/2006/customXml" ds:itemID="{B63DD59C-6A2A-4939-9493-8490C42A3001}">
  <ds:schemaRefs>
    <ds:schemaRef ds:uri="http://schemas.microsoft.com/sharepoint/events"/>
  </ds:schemaRefs>
</ds:datastoreItem>
</file>

<file path=customXml/itemProps3.xml><?xml version="1.0" encoding="utf-8"?>
<ds:datastoreItem xmlns:ds="http://schemas.openxmlformats.org/officeDocument/2006/customXml" ds:itemID="{B690898D-D98F-4D0B-A88C-C0BF835A1045}">
  <ds:schemaRefs>
    <ds:schemaRef ds:uri="http://schemas.microsoft.com/sharepoint/v3/contenttype/forms"/>
  </ds:schemaRefs>
</ds:datastoreItem>
</file>

<file path=customXml/itemProps4.xml><?xml version="1.0" encoding="utf-8"?>
<ds:datastoreItem xmlns:ds="http://schemas.openxmlformats.org/officeDocument/2006/customXml" ds:itemID="{D2C0346F-9365-4D41-AD04-1AFAD165F12C}">
  <ds:schemaRefs>
    <ds:schemaRef ds:uri="http://schemas.openxmlformats.org/officeDocument/2006/bibliography"/>
  </ds:schemaRefs>
</ds:datastoreItem>
</file>

<file path=customXml/itemProps5.xml><?xml version="1.0" encoding="utf-8"?>
<ds:datastoreItem xmlns:ds="http://schemas.openxmlformats.org/officeDocument/2006/customXml" ds:itemID="{1B1683AF-1BAA-49A9-B889-6AFF38984CB5}">
  <ds:schemaRefs>
    <ds:schemaRef ds:uri="Microsoft.SharePoint.Taxonomy.ContentTypeSync"/>
  </ds:schemaRefs>
</ds:datastoreItem>
</file>

<file path=customXml/itemProps6.xml><?xml version="1.0" encoding="utf-8"?>
<ds:datastoreItem xmlns:ds="http://schemas.openxmlformats.org/officeDocument/2006/customXml" ds:itemID="{8BBB4131-400F-45E4-BB9E-7B97C7B342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d62cb-2db6-4c25-ab62-b9075facbc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10966</Words>
  <Characters>60209</Characters>
  <Application>Microsoft Office Word</Application>
  <DocSecurity>0</DocSecurity>
  <Lines>1180</Lines>
  <Paragraphs>535</Paragraphs>
  <ScaleCrop>false</ScaleCrop>
  <HeadingPairs>
    <vt:vector size="2" baseType="variant">
      <vt:variant>
        <vt:lpstr>Title</vt:lpstr>
      </vt:variant>
      <vt:variant>
        <vt:i4>1</vt:i4>
      </vt:variant>
    </vt:vector>
  </HeadingPairs>
  <TitlesOfParts>
    <vt:vector size="1" baseType="lpstr">
      <vt:lpstr>Prudential Standard APS 220 Credit Risk Management - marked up</vt:lpstr>
    </vt:vector>
  </TitlesOfParts>
  <Company>APRA</Company>
  <LinksUpToDate>false</LinksUpToDate>
  <CharactersWithSpaces>70640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Banking (prudential standard) determination No. 14 of 2022</dc:title>
  <dc:subject/>
  <dc:creator>APRA</dc:creator>
  <cp:keywords>[SEC=OFFICIAL]</cp:keywords>
  <dc:description/>
  <cp:lastModifiedBy>Toni Michalis</cp:lastModifiedBy>
  <cp:revision>2</cp:revision>
  <cp:lastPrinted>2022-10-28T00:25:00Z</cp:lastPrinted>
  <dcterms:created xsi:type="dcterms:W3CDTF">2022-12-01T06:28:00Z</dcterms:created>
  <dcterms:modified xsi:type="dcterms:W3CDTF">2022-12-01T06:28:00Z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PM_Qualifier">
    <vt:lpwstr/>
  </property>
  <property fmtid="{D5CDD505-2E9C-101B-9397-08002B2CF9AE}" pid="4" name="PM_SecurityClassification">
    <vt:lpwstr>OFFICIAL</vt:lpwstr>
  </property>
  <property fmtid="{D5CDD505-2E9C-101B-9397-08002B2CF9AE}" pid="5" name="PM_DisplayValueSecClassificationWithQualifier">
    <vt:lpwstr>OFFICIAL</vt:lpwstr>
  </property>
  <property fmtid="{D5CDD505-2E9C-101B-9397-08002B2CF9AE}" pid="6" name="PM_InsertionValue">
    <vt:lpwstr>OFFICIAL</vt:lpwstr>
  </property>
  <property fmtid="{D5CDD505-2E9C-101B-9397-08002B2CF9AE}" pid="7" name="PM_Hash_Version">
    <vt:lpwstr>2018.0</vt:lpwstr>
  </property>
  <property fmtid="{D5CDD505-2E9C-101B-9397-08002B2CF9AE}" pid="8" name="PM_Hash_Salt">
    <vt:lpwstr>0AC794BA50C2D5230C4AEBEC443B28E6</vt:lpwstr>
  </property>
  <property fmtid="{D5CDD505-2E9C-101B-9397-08002B2CF9AE}" pid="9" name="PM_Hash_SHA1">
    <vt:lpwstr>7A2102EFCE3FC5916FD39A09CD58E83E51539531</vt:lpwstr>
  </property>
  <property fmtid="{D5CDD505-2E9C-101B-9397-08002B2CF9AE}" pid="10" name="PM_SecurityClassification_Prev">
    <vt:lpwstr>OFFICIAL</vt:lpwstr>
  </property>
  <property fmtid="{D5CDD505-2E9C-101B-9397-08002B2CF9AE}" pid="11" name="PM_Qualifier_Prev">
    <vt:lpwstr/>
  </property>
  <property fmtid="{D5CDD505-2E9C-101B-9397-08002B2CF9AE}" pid="12" name="PM_Hash_Salt_Prev">
    <vt:lpwstr>4169C77839677582F541B09C5F20290B</vt:lpwstr>
  </property>
  <property fmtid="{D5CDD505-2E9C-101B-9397-08002B2CF9AE}" pid="13" name="PM_Caveats_Count">
    <vt:lpwstr>0</vt:lpwstr>
  </property>
  <property fmtid="{D5CDD505-2E9C-101B-9397-08002B2CF9AE}" pid="14" name="PM_ProtectiveMarkingImage_Header">
    <vt:lpwstr>C:\Program Files\Common Files\janusNET Shared\janusSEAL\Images\DocumentSlashBlue.png</vt:lpwstr>
  </property>
  <property fmtid="{D5CDD505-2E9C-101B-9397-08002B2CF9AE}" pid="15" name="PM_ProtectiveMarkingValue_Header">
    <vt:lpwstr>OFFICIAL</vt:lpwstr>
  </property>
  <property fmtid="{D5CDD505-2E9C-101B-9397-08002B2CF9AE}" pid="16" name="PM_ProtectiveMarkingValue_Footer">
    <vt:lpwstr>OFFICIAL</vt:lpwstr>
  </property>
  <property fmtid="{D5CDD505-2E9C-101B-9397-08002B2CF9AE}" pid="17" name="PM_ProtectiveMarkingImage_Footer">
    <vt:lpwstr>C:\Program Files\Common Files\janusNET Shared\janusSEAL\Images\DocumentSlashBlue.png</vt:lpwstr>
  </property>
  <property fmtid="{D5CDD505-2E9C-101B-9397-08002B2CF9AE}" pid="18" name="PM_Namespace">
    <vt:lpwstr>gov.au</vt:lpwstr>
  </property>
  <property fmtid="{D5CDD505-2E9C-101B-9397-08002B2CF9AE}" pid="19" name="PM_Version">
    <vt:lpwstr>2018.3</vt:lpwstr>
  </property>
  <property fmtid="{D5CDD505-2E9C-101B-9397-08002B2CF9AE}" pid="20" name="PM_Originating_FileId">
    <vt:lpwstr>9CDD4A8A38FF4D3681F9F9DB8CFE362E</vt:lpwstr>
  </property>
  <property fmtid="{D5CDD505-2E9C-101B-9397-08002B2CF9AE}" pid="21" name="PM_OriginationTimeStamp">
    <vt:lpwstr>2022-12-01T06:28:10Z</vt:lpwstr>
  </property>
  <property fmtid="{D5CDD505-2E9C-101B-9397-08002B2CF9AE}" pid="22" name="PM_MinimumSecurityClassification">
    <vt:lpwstr/>
  </property>
  <property fmtid="{D5CDD505-2E9C-101B-9397-08002B2CF9AE}" pid="23" name="ContentTypeId">
    <vt:lpwstr>0x0101008CA7A4F8331B45C7B0D3158B4994D0CA0200577EC0F5A1FBFC498F9A8436B963F8A6</vt:lpwstr>
  </property>
  <property fmtid="{D5CDD505-2E9C-101B-9397-08002B2CF9AE}" pid="24" name="APRACostCentre">
    <vt:lpwstr>24;#Legal - ADI|652d8d2a-ab45-47b4-ac6e-fe6ac9299b39;#26;#Legal - Insurance: General|8229dc1a-d7f2-47b2-844a-b026fed0c13d;#93;#Legal - Insurance: Health|21611e62-d688-4f0d-8807-02701cc43699;#83;#Legal - Insurance: Life|56f18b50-6605-4f3f-97e3-cad1cb5394e0;#134;#Legal - Superannuation|cce3181d-fd23-4eee-94d3-c66abc2350cf</vt:lpwstr>
  </property>
  <property fmtid="{D5CDD505-2E9C-101B-9397-08002B2CF9AE}" pid="25" name="IT system type">
    <vt:lpwstr/>
  </property>
  <property fmtid="{D5CDD505-2E9C-101B-9397-08002B2CF9AE}" pid="26" name="APRACategory">
    <vt:lpwstr/>
  </property>
  <property fmtid="{D5CDD505-2E9C-101B-9397-08002B2CF9AE}" pid="27" name="APRAPeerGroup">
    <vt:lpwstr/>
  </property>
  <property fmtid="{D5CDD505-2E9C-101B-9397-08002B2CF9AE}" pid="28" name="APRADocumentType">
    <vt:lpwstr>142;#Prudential standard|6ce5a155-9ab2-41e3-9b2a-5baab4b7f1d1;#58;#Legal instrument|71fd6ed3-d6d6-4975-ba99-bfe45802e734</vt:lpwstr>
  </property>
  <property fmtid="{D5CDD505-2E9C-101B-9397-08002B2CF9AE}" pid="29" name="APRAStatus">
    <vt:lpwstr>19;#Final|84d6b2d0-8498-4d62-bf46-bab38babbe9e</vt:lpwstr>
  </property>
  <property fmtid="{D5CDD505-2E9C-101B-9397-08002B2CF9AE}" pid="30" name="APRAPRSG">
    <vt:lpwstr/>
  </property>
  <property fmtid="{D5CDD505-2E9C-101B-9397-08002B2CF9AE}" pid="31" name="APRAReportingGroup">
    <vt:lpwstr/>
  </property>
  <property fmtid="{D5CDD505-2E9C-101B-9397-08002B2CF9AE}" pid="32" name="APRAActivity">
    <vt:lpwstr>10;#Registration|390476ce-d76d-4e8d-905f-28e32d2df127;#109;#Statutory instrument|fe68928c-5a9c-4caf-bc8c-6c18cedcb17f</vt:lpwstr>
  </property>
  <property fmtid="{D5CDD505-2E9C-101B-9397-08002B2CF9AE}" pid="33" name="APRAEntityAdviceSupport">
    <vt:lpwstr/>
  </property>
  <property fmtid="{D5CDD505-2E9C-101B-9397-08002B2CF9AE}" pid="34" name="APRATemplateType">
    <vt:lpwstr>23;#Policy|f1d41970-be64-43ea-8d6f-300cb1384ee7</vt:lpwstr>
  </property>
  <property fmtid="{D5CDD505-2E9C-101B-9397-08002B2CF9AE}" pid="35" name="APRAYear">
    <vt:lpwstr/>
  </property>
  <property fmtid="{D5CDD505-2E9C-101B-9397-08002B2CF9AE}" pid="36" name="APRAIndustry">
    <vt:lpwstr/>
  </property>
  <property fmtid="{D5CDD505-2E9C-101B-9397-08002B2CF9AE}" pid="37" name="APRALegislation">
    <vt:lpwstr/>
  </property>
  <property fmtid="{D5CDD505-2E9C-101B-9397-08002B2CF9AE}" pid="38" name="APRAExternalOrganisation">
    <vt:lpwstr/>
  </property>
  <property fmtid="{D5CDD505-2E9C-101B-9397-08002B2CF9AE}" pid="39" name="APRAIRTR">
    <vt:lpwstr/>
  </property>
  <property fmtid="{D5CDD505-2E9C-101B-9397-08002B2CF9AE}" pid="40" name="APRAPeriod">
    <vt:lpwstr/>
  </property>
  <property fmtid="{D5CDD505-2E9C-101B-9397-08002B2CF9AE}" pid="41" name="_dlc_DocIdItemGuid">
    <vt:lpwstr>a83686f4-c2cb-49e0-b227-568b78bf8e6c</vt:lpwstr>
  </property>
  <property fmtid="{D5CDD505-2E9C-101B-9397-08002B2CF9AE}" pid="42" name="RecordPoint_WorkflowType">
    <vt:lpwstr>ActiveSubmitStub</vt:lpwstr>
  </property>
  <property fmtid="{D5CDD505-2E9C-101B-9397-08002B2CF9AE}" pid="43" name="RecordPoint_ActiveItemSiteId">
    <vt:lpwstr>{88691c01-5bbb-4215-adc0-66cb7065b0af}</vt:lpwstr>
  </property>
  <property fmtid="{D5CDD505-2E9C-101B-9397-08002B2CF9AE}" pid="44" name="RecordPoint_ActiveItemListId">
    <vt:lpwstr>{0e59e171-09d8-4401-800a-327154450cb3}</vt:lpwstr>
  </property>
  <property fmtid="{D5CDD505-2E9C-101B-9397-08002B2CF9AE}" pid="45" name="RecordPoint_ActiveItemUniqueId">
    <vt:lpwstr>{a83686f4-c2cb-49e0-b227-568b78bf8e6c}</vt:lpwstr>
  </property>
  <property fmtid="{D5CDD505-2E9C-101B-9397-08002B2CF9AE}" pid="46" name="RecordPoint_ActiveItemWebId">
    <vt:lpwstr>{75a71c27-8d66-4282-ae60-1bfc22a83be1}</vt:lpwstr>
  </property>
  <property fmtid="{D5CDD505-2E9C-101B-9397-08002B2CF9AE}" pid="47" name="IsLocked">
    <vt:lpwstr>False</vt:lpwstr>
  </property>
  <property fmtid="{D5CDD505-2E9C-101B-9397-08002B2CF9AE}" pid="48" name="RecordPoint_RecordNumberSubmitted">
    <vt:lpwstr/>
  </property>
  <property fmtid="{D5CDD505-2E9C-101B-9397-08002B2CF9AE}" pid="49" name="PM_Originator_Hash_SHA1">
    <vt:lpwstr>C3AD57350F36D8E1BD75F8F67CB06D435C9C43CA</vt:lpwstr>
  </property>
  <property fmtid="{D5CDD505-2E9C-101B-9397-08002B2CF9AE}" pid="50" name="RecordPoint_SubmissionDate">
    <vt:lpwstr/>
  </property>
  <property fmtid="{D5CDD505-2E9C-101B-9397-08002B2CF9AE}" pid="51" name="RecordPoint_ActiveItemMoved">
    <vt:lpwstr/>
  </property>
  <property fmtid="{D5CDD505-2E9C-101B-9397-08002B2CF9AE}" pid="52" name="RecordPoint_RecordFormat">
    <vt:lpwstr/>
  </property>
  <property fmtid="{D5CDD505-2E9C-101B-9397-08002B2CF9AE}" pid="53" name="_docset_NoMedatataSyncRequired">
    <vt:lpwstr>False</vt:lpwstr>
  </property>
  <property fmtid="{D5CDD505-2E9C-101B-9397-08002B2CF9AE}" pid="54" name="PM_Note">
    <vt:lpwstr/>
  </property>
  <property fmtid="{D5CDD505-2E9C-101B-9397-08002B2CF9AE}" pid="55" name="PM_Markers">
    <vt:lpwstr/>
  </property>
  <property fmtid="{D5CDD505-2E9C-101B-9397-08002B2CF9AE}" pid="56" name="RecordPoint_SubmissionCompleted">
    <vt:lpwstr/>
  </property>
  <property fmtid="{D5CDD505-2E9C-101B-9397-08002B2CF9AE}" pid="57" name="APRALIAct">
    <vt:lpwstr>12;#Banking Act 1959|c9b951c8-0856-4021-9498-b6928b31a39e</vt:lpwstr>
  </property>
  <property fmtid="{D5CDD505-2E9C-101B-9397-08002B2CF9AE}" pid="58" name="PM_Display">
    <vt:lpwstr>OFFICIAL</vt:lpwstr>
  </property>
  <property fmtid="{D5CDD505-2E9C-101B-9397-08002B2CF9AE}" pid="59" name="PM_OriginatorUserAccountName_SHA256">
    <vt:lpwstr>6E3018F28A186D2E5FF5207C041E7A82E907C3008E071057026A53705873B72E</vt:lpwstr>
  </property>
  <property fmtid="{D5CDD505-2E9C-101B-9397-08002B2CF9AE}" pid="60" name="PM_OriginatorDomainName_SHA256">
    <vt:lpwstr>ECBDE2B44A971754412B3FB70606937A119CC0D4B6C1B658A40FBD41C30BE3EC</vt:lpwstr>
  </property>
  <property fmtid="{D5CDD505-2E9C-101B-9397-08002B2CF9AE}" pid="61" name="PMUuid">
    <vt:lpwstr>2A74E7A6-2821-5142-8C4A-BF7684DF216B</vt:lpwstr>
  </property>
  <property fmtid="{D5CDD505-2E9C-101B-9397-08002B2CF9AE}" pid="62" name="PMUuidVer">
    <vt:lpwstr>2022.1</vt:lpwstr>
  </property>
  <property fmtid="{D5CDD505-2E9C-101B-9397-08002B2CF9AE}" pid="63" name="MSIP_Label_c0129afb-6481-4f92-bc9f-5a4a6346364d_SetDate">
    <vt:lpwstr>2022-12-01T04:33:41Z</vt:lpwstr>
  </property>
  <property fmtid="{D5CDD505-2E9C-101B-9397-08002B2CF9AE}" pid="64" name="MSIP_Label_c0129afb-6481-4f92-bc9f-5a4a6346364d_Name">
    <vt:lpwstr>OFFICIAL</vt:lpwstr>
  </property>
  <property fmtid="{D5CDD505-2E9C-101B-9397-08002B2CF9AE}" pid="65" name="MSIP_Label_c0129afb-6481-4f92-bc9f-5a4a6346364d_SiteId">
    <vt:lpwstr>c05e3ffd-b491-4431-9809-e61d4dc78816</vt:lpwstr>
  </property>
  <property fmtid="{D5CDD505-2E9C-101B-9397-08002B2CF9AE}" pid="66" name="MSIP_Label_c0129afb-6481-4f92-bc9f-5a4a6346364d_Enabled">
    <vt:lpwstr>true</vt:lpwstr>
  </property>
</Properties>
</file>