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4B84" w14:textId="77777777" w:rsidR="00A8686B" w:rsidRPr="00B522CD" w:rsidRDefault="00A8686B" w:rsidP="00A8686B">
      <w:pPr>
        <w:spacing w:after="0"/>
        <w:rPr>
          <w:rFonts w:eastAsia="Times New Roman"/>
          <w:color w:val="000000"/>
        </w:rPr>
      </w:pPr>
      <w:bookmarkStart w:id="0" w:name="_Toc168113228"/>
      <w:r w:rsidRPr="00B522CD">
        <w:rPr>
          <w:rFonts w:eastAsia="Times New Roman"/>
          <w:noProof/>
          <w:color w:val="000000"/>
        </w:rPr>
        <w:drawing>
          <wp:inline distT="0" distB="0" distL="0" distR="0" wp14:anchorId="67985CF3" wp14:editId="4CAF3F8D">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1C2CF1A7" w14:textId="472175FE" w:rsidR="00A8686B" w:rsidRPr="00B522CD" w:rsidRDefault="00A8686B" w:rsidP="00DE5AE1">
      <w:pPr>
        <w:spacing w:before="480" w:after="120"/>
        <w:jc w:val="both"/>
        <w:rPr>
          <w:rFonts w:ascii="Arial" w:eastAsia="Times New Roman" w:hAnsi="Arial" w:cs="Arial"/>
          <w:b/>
          <w:bCs/>
          <w:color w:val="000000"/>
          <w:sz w:val="40"/>
          <w:szCs w:val="40"/>
          <w:lang w:eastAsia="en-US"/>
        </w:rPr>
      </w:pPr>
      <w:r w:rsidRPr="00B522CD">
        <w:rPr>
          <w:rFonts w:ascii="Arial" w:eastAsia="Times New Roman" w:hAnsi="Arial" w:cs="Arial"/>
          <w:b/>
          <w:bCs/>
          <w:color w:val="000000"/>
          <w:sz w:val="40"/>
          <w:szCs w:val="40"/>
          <w:lang w:eastAsia="en-US"/>
        </w:rPr>
        <w:t>Banking (prudential standard) determination No.</w:t>
      </w:r>
      <w:r w:rsidR="00581DEE">
        <w:rPr>
          <w:rFonts w:ascii="Arial" w:eastAsia="Times New Roman" w:hAnsi="Arial" w:cs="Arial"/>
          <w:b/>
          <w:bCs/>
          <w:color w:val="000000"/>
          <w:sz w:val="40"/>
          <w:szCs w:val="40"/>
          <w:lang w:eastAsia="en-US"/>
        </w:rPr>
        <w:t xml:space="preserve"> 15 </w:t>
      </w:r>
      <w:r w:rsidRPr="00B522CD">
        <w:rPr>
          <w:rFonts w:ascii="Arial" w:eastAsia="Times New Roman" w:hAnsi="Arial" w:cs="Arial"/>
          <w:b/>
          <w:bCs/>
          <w:color w:val="000000"/>
          <w:sz w:val="40"/>
          <w:szCs w:val="40"/>
          <w:lang w:eastAsia="en-US"/>
        </w:rPr>
        <w:t>of 20</w:t>
      </w:r>
      <w:r>
        <w:rPr>
          <w:rFonts w:ascii="Arial" w:eastAsia="Times New Roman" w:hAnsi="Arial" w:cs="Arial"/>
          <w:b/>
          <w:bCs/>
          <w:color w:val="000000"/>
          <w:sz w:val="40"/>
          <w:szCs w:val="40"/>
          <w:lang w:eastAsia="en-US"/>
        </w:rPr>
        <w:t>22</w:t>
      </w:r>
      <w:r w:rsidRPr="00B522CD">
        <w:rPr>
          <w:rFonts w:ascii="Arial" w:eastAsia="Times New Roman" w:hAnsi="Arial" w:cs="Arial"/>
          <w:b/>
          <w:bCs/>
          <w:color w:val="000000"/>
          <w:sz w:val="40"/>
          <w:szCs w:val="40"/>
          <w:lang w:eastAsia="en-US"/>
        </w:rPr>
        <w:t xml:space="preserve"> </w:t>
      </w:r>
    </w:p>
    <w:p w14:paraId="033F6053" w14:textId="77777777" w:rsidR="00A8686B" w:rsidRPr="00C46048" w:rsidRDefault="00A8686B" w:rsidP="00DE5AE1">
      <w:pPr>
        <w:spacing w:before="360" w:after="120"/>
        <w:jc w:val="both"/>
        <w:rPr>
          <w:rFonts w:ascii="Arial" w:eastAsia="Times New Roman" w:hAnsi="Arial" w:cs="Arial"/>
          <w:b/>
          <w:bCs/>
          <w:color w:val="000000"/>
          <w:sz w:val="28"/>
          <w:szCs w:val="28"/>
          <w:lang w:eastAsia="en-US"/>
        </w:rPr>
      </w:pPr>
      <w:r w:rsidRPr="00B522CD">
        <w:rPr>
          <w:rFonts w:ascii="Arial" w:eastAsia="Times New Roman" w:hAnsi="Arial" w:cs="Arial"/>
          <w:b/>
          <w:bCs/>
          <w:color w:val="000000"/>
          <w:sz w:val="28"/>
          <w:szCs w:val="28"/>
          <w:lang w:eastAsia="en-US"/>
        </w:rPr>
        <w:t>Prudential Standard APS 221 Large Exposures</w:t>
      </w:r>
    </w:p>
    <w:p w14:paraId="315EFCA9" w14:textId="77777777" w:rsidR="00A8686B" w:rsidRPr="00B522CD" w:rsidRDefault="00A8686B" w:rsidP="00DE5AE1">
      <w:pPr>
        <w:pBdr>
          <w:bottom w:val="single" w:sz="4" w:space="3" w:color="auto"/>
        </w:pBdr>
        <w:spacing w:before="360"/>
        <w:rPr>
          <w:rFonts w:ascii="Arial" w:eastAsia="Times New Roman" w:hAnsi="Arial"/>
          <w:i/>
          <w:iCs/>
          <w:color w:val="000000"/>
          <w:sz w:val="28"/>
          <w:szCs w:val="20"/>
        </w:rPr>
      </w:pPr>
      <w:r w:rsidRPr="00B522CD">
        <w:rPr>
          <w:rFonts w:ascii="Arial" w:eastAsia="Times New Roman" w:hAnsi="Arial"/>
          <w:i/>
          <w:iCs/>
          <w:color w:val="000000"/>
          <w:sz w:val="28"/>
          <w:szCs w:val="20"/>
        </w:rPr>
        <w:t>Banking Act 1959</w:t>
      </w:r>
    </w:p>
    <w:p w14:paraId="5F56CDEA" w14:textId="77777777" w:rsidR="00DE5AE1" w:rsidRPr="002E49F0" w:rsidRDefault="00DE5AE1" w:rsidP="00DE5AE1">
      <w:pPr>
        <w:spacing w:after="0"/>
        <w:jc w:val="both"/>
        <w:rPr>
          <w:rFonts w:ascii="Arial" w:eastAsia="Times New Roman" w:hAnsi="Arial" w:cs="Arial"/>
          <w:color w:val="000000"/>
          <w:sz w:val="22"/>
          <w:szCs w:val="22"/>
          <w:lang w:eastAsia="en-US"/>
        </w:rPr>
      </w:pPr>
    </w:p>
    <w:p w14:paraId="09A6E275" w14:textId="287B6A79" w:rsidR="00A8686B" w:rsidRPr="00DE5AE1" w:rsidRDefault="00A8686B" w:rsidP="00DE5AE1">
      <w:pPr>
        <w:spacing w:after="0"/>
        <w:jc w:val="both"/>
        <w:rPr>
          <w:rFonts w:ascii="Arial" w:eastAsia="Times New Roman" w:hAnsi="Arial" w:cs="Arial"/>
          <w:sz w:val="22"/>
          <w:szCs w:val="22"/>
          <w:lang w:eastAsia="en-US"/>
        </w:rPr>
      </w:pPr>
      <w:r w:rsidRPr="002E49F0">
        <w:rPr>
          <w:rFonts w:ascii="Arial" w:eastAsia="Times New Roman" w:hAnsi="Arial" w:cs="Arial"/>
          <w:sz w:val="22"/>
          <w:szCs w:val="22"/>
          <w:lang w:eastAsia="en-US"/>
        </w:rPr>
        <w:t xml:space="preserve">I, </w:t>
      </w:r>
      <w:r w:rsidR="004525C7" w:rsidRPr="002E49F0">
        <w:rPr>
          <w:rFonts w:ascii="Arial" w:hAnsi="Arial" w:cs="Arial"/>
          <w:sz w:val="22"/>
          <w:szCs w:val="22"/>
        </w:rPr>
        <w:t>Renée Roberts</w:t>
      </w:r>
      <w:r w:rsidRPr="002E49F0">
        <w:rPr>
          <w:rFonts w:ascii="Arial" w:eastAsia="Times New Roman" w:hAnsi="Arial" w:cs="Arial"/>
          <w:sz w:val="22"/>
          <w:szCs w:val="22"/>
          <w:lang w:eastAsia="en-US"/>
        </w:rPr>
        <w:t xml:space="preserve">, </w:t>
      </w:r>
      <w:r w:rsidR="00F12876">
        <w:rPr>
          <w:rFonts w:ascii="Arial" w:eastAsia="Times New Roman" w:hAnsi="Arial" w:cs="Arial"/>
          <w:sz w:val="22"/>
          <w:szCs w:val="22"/>
          <w:lang w:eastAsia="en-US"/>
        </w:rPr>
        <w:t xml:space="preserve">a </w:t>
      </w:r>
      <w:r w:rsidRPr="00DE5AE1">
        <w:rPr>
          <w:rFonts w:ascii="Arial" w:eastAsia="Times New Roman" w:hAnsi="Arial" w:cs="Arial"/>
          <w:sz w:val="22"/>
          <w:szCs w:val="22"/>
          <w:lang w:eastAsia="en-US"/>
        </w:rPr>
        <w:t>delegate of APRA:</w:t>
      </w:r>
    </w:p>
    <w:p w14:paraId="624A6B2F" w14:textId="77777777" w:rsidR="00A8686B" w:rsidRPr="00DE5AE1" w:rsidRDefault="00A8686B" w:rsidP="00DE5AE1">
      <w:pPr>
        <w:spacing w:after="0"/>
        <w:jc w:val="both"/>
        <w:rPr>
          <w:rFonts w:ascii="Arial" w:eastAsia="Times New Roman" w:hAnsi="Arial" w:cs="Arial"/>
          <w:sz w:val="22"/>
          <w:szCs w:val="22"/>
          <w:lang w:eastAsia="en-US"/>
        </w:rPr>
      </w:pPr>
    </w:p>
    <w:p w14:paraId="5BFECB41" w14:textId="5B6EEE12" w:rsidR="00A8686B" w:rsidRPr="00DE5AE1" w:rsidRDefault="00A8686B" w:rsidP="00DE5AE1">
      <w:pPr>
        <w:numPr>
          <w:ilvl w:val="0"/>
          <w:numId w:val="20"/>
        </w:numPr>
        <w:spacing w:after="0"/>
        <w:ind w:hanging="720"/>
        <w:jc w:val="both"/>
        <w:rPr>
          <w:rFonts w:ascii="Arial" w:eastAsia="Times New Roman" w:hAnsi="Arial" w:cs="Arial"/>
          <w:color w:val="000000"/>
          <w:sz w:val="22"/>
          <w:szCs w:val="22"/>
          <w:lang w:eastAsia="en-US"/>
        </w:rPr>
      </w:pPr>
      <w:r w:rsidRPr="00DE5AE1">
        <w:rPr>
          <w:rFonts w:ascii="Arial" w:eastAsia="Times New Roman" w:hAnsi="Arial" w:cs="Arial"/>
          <w:color w:val="000000"/>
          <w:sz w:val="22"/>
          <w:szCs w:val="22"/>
          <w:lang w:eastAsia="en-US"/>
        </w:rPr>
        <w:t>under subsection 11</w:t>
      </w:r>
      <w:proofErr w:type="gramStart"/>
      <w:r w:rsidRPr="00DE5AE1">
        <w:rPr>
          <w:rFonts w:ascii="Arial" w:eastAsia="Times New Roman" w:hAnsi="Arial" w:cs="Arial"/>
          <w:color w:val="000000"/>
          <w:sz w:val="22"/>
          <w:szCs w:val="22"/>
          <w:lang w:eastAsia="en-US"/>
        </w:rPr>
        <w:t>AF(</w:t>
      </w:r>
      <w:proofErr w:type="gramEnd"/>
      <w:r w:rsidRPr="00DE5AE1">
        <w:rPr>
          <w:rFonts w:ascii="Arial" w:eastAsia="Times New Roman" w:hAnsi="Arial" w:cs="Arial"/>
          <w:color w:val="000000"/>
          <w:sz w:val="22"/>
          <w:szCs w:val="22"/>
          <w:lang w:eastAsia="en-US"/>
        </w:rPr>
        <w:t xml:space="preserve">3) of the </w:t>
      </w:r>
      <w:r w:rsidRPr="00DE5AE1">
        <w:rPr>
          <w:rFonts w:ascii="Arial" w:eastAsia="Times New Roman" w:hAnsi="Arial" w:cs="Arial"/>
          <w:i/>
          <w:color w:val="000000"/>
          <w:sz w:val="22"/>
          <w:szCs w:val="22"/>
          <w:lang w:eastAsia="en-US"/>
        </w:rPr>
        <w:t>Banking Act 1959</w:t>
      </w:r>
      <w:r w:rsidRPr="00DE5AE1">
        <w:rPr>
          <w:rFonts w:ascii="Arial" w:eastAsia="Times New Roman" w:hAnsi="Arial" w:cs="Arial"/>
          <w:color w:val="000000"/>
          <w:sz w:val="22"/>
          <w:szCs w:val="22"/>
          <w:lang w:eastAsia="en-US"/>
        </w:rPr>
        <w:t xml:space="preserve"> (the Act) REVOKE Banking (prudential standard) determination No. 4 of 2019, including </w:t>
      </w:r>
      <w:r w:rsidRPr="00DE5AE1">
        <w:rPr>
          <w:rFonts w:ascii="Arial" w:eastAsia="Times New Roman" w:hAnsi="Arial" w:cs="Arial"/>
          <w:i/>
          <w:color w:val="000000"/>
          <w:sz w:val="22"/>
          <w:szCs w:val="22"/>
          <w:lang w:eastAsia="en-US"/>
        </w:rPr>
        <w:t>Prudential Standard APS 221 Large Exposures</w:t>
      </w:r>
      <w:r w:rsidRPr="00DE5AE1">
        <w:rPr>
          <w:rFonts w:ascii="Arial" w:eastAsia="Times New Roman" w:hAnsi="Arial" w:cs="Arial"/>
          <w:color w:val="000000"/>
          <w:sz w:val="22"/>
          <w:szCs w:val="22"/>
          <w:lang w:eastAsia="en-US"/>
        </w:rPr>
        <w:t xml:space="preserve">, made under that </w:t>
      </w:r>
      <w:r w:rsidR="00DE5AE1">
        <w:rPr>
          <w:rFonts w:ascii="Arial" w:eastAsia="Times New Roman" w:hAnsi="Arial" w:cs="Arial"/>
          <w:color w:val="000000"/>
          <w:sz w:val="22"/>
          <w:szCs w:val="22"/>
          <w:lang w:eastAsia="en-US"/>
        </w:rPr>
        <w:t>d</w:t>
      </w:r>
      <w:r w:rsidRPr="00DE5AE1">
        <w:rPr>
          <w:rFonts w:ascii="Arial" w:eastAsia="Times New Roman" w:hAnsi="Arial" w:cs="Arial"/>
          <w:color w:val="000000"/>
          <w:sz w:val="22"/>
          <w:szCs w:val="22"/>
          <w:lang w:eastAsia="en-US"/>
        </w:rPr>
        <w:t>etermination; and</w:t>
      </w:r>
    </w:p>
    <w:p w14:paraId="4E261094" w14:textId="77777777" w:rsidR="00DE5AE1" w:rsidRDefault="00DE5AE1" w:rsidP="00DE5AE1">
      <w:pPr>
        <w:spacing w:after="0"/>
        <w:ind w:left="720"/>
        <w:jc w:val="both"/>
        <w:rPr>
          <w:rFonts w:ascii="Arial" w:eastAsia="Times New Roman" w:hAnsi="Arial" w:cs="Arial"/>
          <w:color w:val="000000"/>
          <w:sz w:val="22"/>
          <w:szCs w:val="22"/>
          <w:lang w:eastAsia="en-US"/>
        </w:rPr>
      </w:pPr>
    </w:p>
    <w:p w14:paraId="58C86D01" w14:textId="6941F4F2" w:rsidR="00A8686B" w:rsidRPr="00DE5AE1" w:rsidRDefault="00A8686B" w:rsidP="00DE5AE1">
      <w:pPr>
        <w:numPr>
          <w:ilvl w:val="0"/>
          <w:numId w:val="20"/>
        </w:numPr>
        <w:spacing w:after="0"/>
        <w:ind w:hanging="720"/>
        <w:jc w:val="both"/>
        <w:rPr>
          <w:rFonts w:ascii="Arial" w:eastAsia="Times New Roman" w:hAnsi="Arial" w:cs="Arial"/>
          <w:color w:val="000000"/>
          <w:sz w:val="22"/>
          <w:szCs w:val="22"/>
          <w:lang w:eastAsia="en-US"/>
        </w:rPr>
      </w:pPr>
      <w:r w:rsidRPr="00DE5AE1">
        <w:rPr>
          <w:rFonts w:ascii="Arial" w:eastAsia="Times New Roman" w:hAnsi="Arial" w:cs="Arial"/>
          <w:color w:val="000000"/>
          <w:sz w:val="22"/>
          <w:szCs w:val="22"/>
          <w:lang w:eastAsia="en-US"/>
        </w:rPr>
        <w:t>under subsection 11</w:t>
      </w:r>
      <w:proofErr w:type="gramStart"/>
      <w:r w:rsidRPr="00DE5AE1">
        <w:rPr>
          <w:rFonts w:ascii="Arial" w:eastAsia="Times New Roman" w:hAnsi="Arial" w:cs="Arial"/>
          <w:color w:val="000000"/>
          <w:sz w:val="22"/>
          <w:szCs w:val="22"/>
          <w:lang w:eastAsia="en-US"/>
        </w:rPr>
        <w:t>AF(</w:t>
      </w:r>
      <w:proofErr w:type="gramEnd"/>
      <w:r w:rsidRPr="00DE5AE1">
        <w:rPr>
          <w:rFonts w:ascii="Arial" w:eastAsia="Times New Roman" w:hAnsi="Arial" w:cs="Arial"/>
          <w:color w:val="000000"/>
          <w:sz w:val="22"/>
          <w:szCs w:val="22"/>
          <w:lang w:eastAsia="en-US"/>
        </w:rPr>
        <w:t xml:space="preserve">1) of the Act DETERMINE </w:t>
      </w:r>
      <w:r w:rsidRPr="00DE5AE1">
        <w:rPr>
          <w:rFonts w:ascii="Arial" w:eastAsia="Times New Roman" w:hAnsi="Arial" w:cs="Arial"/>
          <w:i/>
          <w:color w:val="000000"/>
          <w:sz w:val="22"/>
          <w:szCs w:val="22"/>
          <w:lang w:eastAsia="en-US"/>
        </w:rPr>
        <w:t>Prudential Standard APS 221 Large Exposures</w:t>
      </w:r>
      <w:r w:rsidRPr="00DE5AE1">
        <w:rPr>
          <w:rFonts w:ascii="Arial" w:eastAsia="Times New Roman" w:hAnsi="Arial" w:cs="Arial"/>
          <w:color w:val="000000"/>
          <w:sz w:val="22"/>
          <w:szCs w:val="22"/>
          <w:lang w:eastAsia="en-US"/>
        </w:rPr>
        <w:t xml:space="preserve">, in the form set out in the </w:t>
      </w:r>
      <w:r w:rsidR="00DE5AE1">
        <w:rPr>
          <w:rFonts w:ascii="Arial" w:eastAsia="Times New Roman" w:hAnsi="Arial" w:cs="Arial"/>
          <w:color w:val="000000"/>
          <w:sz w:val="22"/>
          <w:szCs w:val="22"/>
          <w:lang w:eastAsia="en-US"/>
        </w:rPr>
        <w:t>s</w:t>
      </w:r>
      <w:r w:rsidRPr="00DE5AE1">
        <w:rPr>
          <w:rFonts w:ascii="Arial" w:eastAsia="Times New Roman" w:hAnsi="Arial" w:cs="Arial"/>
          <w:color w:val="000000"/>
          <w:sz w:val="22"/>
          <w:szCs w:val="22"/>
          <w:lang w:eastAsia="en-US"/>
        </w:rPr>
        <w:t>chedule, which applies to all ADIs and authorised NOHCs to the extent provided in paragraphs 2 to 5 of the prudential standard.</w:t>
      </w:r>
    </w:p>
    <w:p w14:paraId="1C0AAAE3" w14:textId="77777777" w:rsidR="00A8686B" w:rsidRPr="00DE5AE1" w:rsidRDefault="00A8686B" w:rsidP="00DE5AE1">
      <w:pPr>
        <w:spacing w:after="0"/>
        <w:jc w:val="both"/>
        <w:rPr>
          <w:rFonts w:ascii="Arial" w:eastAsia="Times New Roman" w:hAnsi="Arial" w:cs="Arial"/>
          <w:sz w:val="22"/>
          <w:szCs w:val="22"/>
        </w:rPr>
      </w:pPr>
    </w:p>
    <w:p w14:paraId="604A930A" w14:textId="77777777" w:rsidR="00A8686B" w:rsidRPr="00DE5AE1" w:rsidRDefault="00A8686B" w:rsidP="00DE5AE1">
      <w:pPr>
        <w:spacing w:after="0"/>
        <w:jc w:val="both"/>
        <w:rPr>
          <w:rFonts w:ascii="Arial" w:eastAsia="Times New Roman" w:hAnsi="Arial" w:cs="Arial"/>
          <w:sz w:val="22"/>
          <w:szCs w:val="22"/>
        </w:rPr>
      </w:pPr>
      <w:r w:rsidRPr="00DE5AE1">
        <w:rPr>
          <w:rFonts w:ascii="Arial" w:eastAsia="Times New Roman" w:hAnsi="Arial" w:cs="Arial"/>
          <w:sz w:val="22"/>
          <w:szCs w:val="22"/>
        </w:rPr>
        <w:t>This instrument commences on 1 January 2023.</w:t>
      </w:r>
    </w:p>
    <w:p w14:paraId="27F7D8E6" w14:textId="77777777" w:rsidR="00A8686B" w:rsidRPr="00DE5AE1" w:rsidRDefault="00A8686B" w:rsidP="00DE5AE1">
      <w:pPr>
        <w:spacing w:after="0"/>
        <w:jc w:val="both"/>
        <w:rPr>
          <w:rFonts w:ascii="Arial" w:eastAsia="Times New Roman" w:hAnsi="Arial" w:cs="Arial"/>
          <w:sz w:val="22"/>
          <w:szCs w:val="22"/>
        </w:rPr>
      </w:pPr>
    </w:p>
    <w:p w14:paraId="6A48C977" w14:textId="5E92483F" w:rsidR="00A8686B" w:rsidRPr="00DE5AE1" w:rsidRDefault="00A8686B" w:rsidP="00DE5AE1">
      <w:pPr>
        <w:spacing w:after="0"/>
        <w:jc w:val="both"/>
        <w:rPr>
          <w:rFonts w:ascii="Arial" w:eastAsia="Times New Roman" w:hAnsi="Arial" w:cs="Arial"/>
          <w:sz w:val="22"/>
          <w:szCs w:val="22"/>
        </w:rPr>
      </w:pPr>
      <w:r w:rsidRPr="00DE5AE1">
        <w:rPr>
          <w:rFonts w:ascii="Arial" w:eastAsia="Times New Roman" w:hAnsi="Arial" w:cs="Arial"/>
          <w:sz w:val="22"/>
          <w:szCs w:val="22"/>
        </w:rPr>
        <w:t xml:space="preserve">Dated: </w:t>
      </w:r>
      <w:r w:rsidR="000F798F">
        <w:rPr>
          <w:rFonts w:ascii="Arial" w:eastAsia="Times New Roman" w:hAnsi="Arial" w:cs="Arial"/>
          <w:sz w:val="22"/>
          <w:szCs w:val="22"/>
        </w:rPr>
        <w:t xml:space="preserve">1 December </w:t>
      </w:r>
      <w:r w:rsidRPr="00DE5AE1">
        <w:rPr>
          <w:rFonts w:ascii="Arial" w:eastAsia="Times New Roman" w:hAnsi="Arial" w:cs="Arial"/>
          <w:sz w:val="22"/>
          <w:szCs w:val="22"/>
        </w:rPr>
        <w:t>2022</w:t>
      </w:r>
    </w:p>
    <w:p w14:paraId="0565D93D" w14:textId="77777777" w:rsidR="00A8686B" w:rsidRPr="00DE5AE1" w:rsidRDefault="00A8686B" w:rsidP="00DE5AE1">
      <w:pPr>
        <w:spacing w:after="0"/>
        <w:jc w:val="both"/>
        <w:rPr>
          <w:rFonts w:ascii="Arial" w:eastAsia="Times New Roman" w:hAnsi="Arial" w:cs="Arial"/>
          <w:i/>
          <w:sz w:val="22"/>
          <w:szCs w:val="22"/>
        </w:rPr>
      </w:pPr>
    </w:p>
    <w:p w14:paraId="2F4BA811" w14:textId="77777777" w:rsidR="00A8686B" w:rsidRPr="00DE5AE1" w:rsidRDefault="00A8686B" w:rsidP="00DE5AE1">
      <w:pPr>
        <w:spacing w:after="0"/>
        <w:jc w:val="both"/>
        <w:rPr>
          <w:rFonts w:ascii="Arial" w:eastAsia="Times New Roman" w:hAnsi="Arial" w:cs="Arial"/>
          <w:color w:val="000000"/>
          <w:sz w:val="22"/>
          <w:szCs w:val="22"/>
        </w:rPr>
      </w:pPr>
      <w:r w:rsidRPr="000F798F">
        <w:rPr>
          <w:rFonts w:ascii="Arial" w:eastAsia="Times New Roman" w:hAnsi="Arial" w:cs="Arial"/>
          <w:color w:val="000000"/>
          <w:sz w:val="22"/>
          <w:szCs w:val="22"/>
        </w:rPr>
        <w:t>[Signed]</w:t>
      </w:r>
    </w:p>
    <w:p w14:paraId="0C893487" w14:textId="77777777" w:rsidR="00A8686B" w:rsidRPr="00DE5AE1" w:rsidRDefault="00A8686B" w:rsidP="00DE5AE1">
      <w:pPr>
        <w:spacing w:after="0"/>
        <w:jc w:val="both"/>
        <w:rPr>
          <w:rFonts w:ascii="Arial" w:eastAsia="Times New Roman" w:hAnsi="Arial" w:cs="Arial"/>
          <w:sz w:val="22"/>
          <w:szCs w:val="22"/>
        </w:rPr>
      </w:pPr>
    </w:p>
    <w:p w14:paraId="763354C9" w14:textId="77777777" w:rsidR="004525C7" w:rsidRPr="002E49F0" w:rsidRDefault="004525C7" w:rsidP="00DE5AE1">
      <w:pPr>
        <w:spacing w:after="0"/>
        <w:rPr>
          <w:rFonts w:ascii="Arial" w:hAnsi="Arial" w:cs="Arial"/>
          <w:sz w:val="22"/>
          <w:szCs w:val="22"/>
        </w:rPr>
      </w:pPr>
      <w:r w:rsidRPr="002E49F0">
        <w:rPr>
          <w:rFonts w:ascii="Arial" w:hAnsi="Arial" w:cs="Arial"/>
          <w:sz w:val="22"/>
          <w:szCs w:val="22"/>
        </w:rPr>
        <w:t>Renée Roberts</w:t>
      </w:r>
    </w:p>
    <w:p w14:paraId="2A4896A3" w14:textId="77777777" w:rsidR="004525C7" w:rsidRPr="002E49F0" w:rsidRDefault="004525C7" w:rsidP="00DE5AE1">
      <w:pPr>
        <w:spacing w:after="0"/>
        <w:rPr>
          <w:rFonts w:ascii="Arial" w:hAnsi="Arial" w:cs="Arial"/>
          <w:sz w:val="22"/>
          <w:szCs w:val="22"/>
        </w:rPr>
      </w:pPr>
      <w:r w:rsidRPr="002E49F0">
        <w:rPr>
          <w:rFonts w:ascii="Arial" w:hAnsi="Arial" w:cs="Arial"/>
          <w:sz w:val="22"/>
          <w:szCs w:val="22"/>
        </w:rPr>
        <w:t>Executive Director</w:t>
      </w:r>
    </w:p>
    <w:p w14:paraId="3DC7A92E" w14:textId="77777777" w:rsidR="004525C7" w:rsidRPr="002E49F0" w:rsidRDefault="004525C7" w:rsidP="00DE5AE1">
      <w:pPr>
        <w:spacing w:after="0"/>
        <w:rPr>
          <w:rFonts w:ascii="Arial" w:hAnsi="Arial" w:cs="Arial"/>
          <w:sz w:val="22"/>
          <w:szCs w:val="22"/>
        </w:rPr>
      </w:pPr>
      <w:r w:rsidRPr="002E49F0">
        <w:rPr>
          <w:rFonts w:ascii="Arial" w:hAnsi="Arial" w:cs="Arial"/>
          <w:sz w:val="22"/>
          <w:szCs w:val="22"/>
        </w:rPr>
        <w:t>Policy and Advice Division</w:t>
      </w:r>
    </w:p>
    <w:p w14:paraId="1F2F6F78" w14:textId="77777777" w:rsidR="00A8686B" w:rsidRPr="00DE5AE1" w:rsidRDefault="00A8686B" w:rsidP="00DE5AE1">
      <w:pPr>
        <w:keepNext/>
        <w:spacing w:before="480" w:after="0"/>
        <w:rPr>
          <w:rFonts w:ascii="Arial" w:eastAsia="Times New Roman" w:hAnsi="Arial" w:cs="Arial"/>
          <w:b/>
          <w:color w:val="000000"/>
          <w:sz w:val="22"/>
          <w:szCs w:val="22"/>
          <w:lang w:eastAsia="en-US"/>
        </w:rPr>
      </w:pPr>
      <w:r w:rsidRPr="00DE5AE1">
        <w:rPr>
          <w:rFonts w:ascii="Arial" w:eastAsia="Times New Roman" w:hAnsi="Arial" w:cs="Arial"/>
          <w:b/>
          <w:color w:val="000000"/>
          <w:sz w:val="22"/>
          <w:szCs w:val="22"/>
          <w:lang w:eastAsia="en-US"/>
        </w:rPr>
        <w:t>Interpretation</w:t>
      </w:r>
    </w:p>
    <w:p w14:paraId="79D41D44" w14:textId="6286A348" w:rsidR="00A8686B" w:rsidRPr="00DE5AE1" w:rsidRDefault="00A8686B" w:rsidP="00DE5AE1">
      <w:pPr>
        <w:keepNext/>
        <w:tabs>
          <w:tab w:val="right" w:pos="794"/>
        </w:tabs>
        <w:spacing w:before="120" w:after="0"/>
        <w:ind w:left="964" w:hanging="964"/>
        <w:jc w:val="both"/>
        <w:rPr>
          <w:rFonts w:ascii="Arial" w:eastAsia="Times New Roman" w:hAnsi="Arial" w:cs="Arial"/>
          <w:color w:val="000000"/>
          <w:sz w:val="22"/>
          <w:szCs w:val="22"/>
          <w:lang w:eastAsia="en-US"/>
        </w:rPr>
      </w:pPr>
      <w:r w:rsidRPr="00DE5AE1">
        <w:rPr>
          <w:rFonts w:ascii="Arial" w:eastAsia="Times New Roman" w:hAnsi="Arial" w:cs="Arial"/>
          <w:color w:val="000000"/>
          <w:sz w:val="22"/>
          <w:szCs w:val="22"/>
          <w:lang w:eastAsia="en-US"/>
        </w:rPr>
        <w:t xml:space="preserve">In this </w:t>
      </w:r>
      <w:r w:rsidR="00DE5AE1">
        <w:rPr>
          <w:rFonts w:ascii="Arial" w:eastAsia="Times New Roman" w:hAnsi="Arial" w:cs="Arial"/>
          <w:color w:val="000000"/>
          <w:sz w:val="22"/>
          <w:szCs w:val="22"/>
          <w:lang w:eastAsia="en-US"/>
        </w:rPr>
        <w:t>instrument</w:t>
      </w:r>
      <w:r w:rsidRPr="00DE5AE1">
        <w:rPr>
          <w:rFonts w:ascii="Arial" w:eastAsia="Times New Roman" w:hAnsi="Arial" w:cs="Arial"/>
          <w:color w:val="000000"/>
          <w:sz w:val="22"/>
          <w:szCs w:val="22"/>
          <w:lang w:eastAsia="en-US"/>
        </w:rPr>
        <w:t>:</w:t>
      </w:r>
    </w:p>
    <w:p w14:paraId="6D95A0D7" w14:textId="77777777" w:rsidR="00DE5AE1" w:rsidRPr="00DE5AE1" w:rsidRDefault="00DE5AE1" w:rsidP="00DE5AE1">
      <w:pPr>
        <w:spacing w:before="120" w:after="0"/>
        <w:jc w:val="both"/>
        <w:rPr>
          <w:rFonts w:ascii="Arial" w:eastAsia="Times New Roman" w:hAnsi="Arial" w:cs="Arial"/>
          <w:color w:val="000000"/>
          <w:sz w:val="22"/>
          <w:szCs w:val="22"/>
          <w:lang w:eastAsia="en-US"/>
        </w:rPr>
      </w:pPr>
      <w:r w:rsidRPr="00DE5AE1">
        <w:rPr>
          <w:rFonts w:ascii="Arial" w:eastAsia="Times New Roman" w:hAnsi="Arial" w:cs="Arial"/>
          <w:b/>
          <w:i/>
          <w:color w:val="000000"/>
          <w:sz w:val="22"/>
          <w:szCs w:val="22"/>
          <w:lang w:eastAsia="en-US"/>
        </w:rPr>
        <w:t>APRA</w:t>
      </w:r>
      <w:r w:rsidRPr="00DE5AE1">
        <w:rPr>
          <w:rFonts w:ascii="Arial" w:eastAsia="Times New Roman" w:hAnsi="Arial" w:cs="Arial"/>
          <w:color w:val="000000"/>
          <w:sz w:val="22"/>
          <w:szCs w:val="22"/>
          <w:lang w:eastAsia="en-US"/>
        </w:rPr>
        <w:t xml:space="preserve"> means the Australian Prudential Regulation Authority.</w:t>
      </w:r>
    </w:p>
    <w:p w14:paraId="12FDEF6E" w14:textId="20FD4BA1" w:rsidR="006F2EF6" w:rsidRDefault="00A8686B" w:rsidP="00DE5AE1">
      <w:pPr>
        <w:spacing w:before="120" w:after="0"/>
        <w:jc w:val="both"/>
        <w:rPr>
          <w:rFonts w:ascii="Arial" w:eastAsia="Times New Roman" w:hAnsi="Arial" w:cs="Arial"/>
          <w:color w:val="000000"/>
          <w:sz w:val="22"/>
          <w:szCs w:val="22"/>
          <w:lang w:eastAsia="en-US"/>
        </w:rPr>
      </w:pPr>
      <w:r w:rsidRPr="00DE5AE1">
        <w:rPr>
          <w:rFonts w:ascii="Arial" w:eastAsia="Times New Roman" w:hAnsi="Arial" w:cs="Arial"/>
          <w:b/>
          <w:i/>
          <w:color w:val="000000"/>
          <w:sz w:val="22"/>
          <w:szCs w:val="22"/>
          <w:lang w:eastAsia="en-US"/>
        </w:rPr>
        <w:t xml:space="preserve">ADI </w:t>
      </w:r>
      <w:r w:rsidR="00DE5AE1">
        <w:rPr>
          <w:rFonts w:ascii="Arial" w:eastAsia="Times New Roman" w:hAnsi="Arial" w:cs="Arial"/>
          <w:color w:val="000000"/>
          <w:sz w:val="22"/>
          <w:szCs w:val="22"/>
          <w:lang w:eastAsia="en-US"/>
        </w:rPr>
        <w:t xml:space="preserve">and </w:t>
      </w:r>
      <w:r w:rsidRPr="00DE5AE1">
        <w:rPr>
          <w:rFonts w:ascii="Arial" w:eastAsia="Times New Roman" w:hAnsi="Arial" w:cs="Arial"/>
          <w:b/>
          <w:i/>
          <w:color w:val="000000"/>
          <w:sz w:val="22"/>
          <w:szCs w:val="22"/>
          <w:lang w:eastAsia="en-US"/>
        </w:rPr>
        <w:t>authorised NOHC</w:t>
      </w:r>
      <w:r w:rsidRPr="00DE5AE1">
        <w:rPr>
          <w:rFonts w:ascii="Arial" w:eastAsia="Times New Roman" w:hAnsi="Arial" w:cs="Arial"/>
          <w:color w:val="000000"/>
          <w:sz w:val="22"/>
          <w:szCs w:val="22"/>
          <w:lang w:eastAsia="en-US"/>
        </w:rPr>
        <w:t xml:space="preserve"> </w:t>
      </w:r>
      <w:r w:rsidR="00DE5AE1">
        <w:rPr>
          <w:rFonts w:ascii="Arial" w:eastAsia="Times New Roman" w:hAnsi="Arial" w:cs="Arial"/>
          <w:color w:val="000000"/>
          <w:sz w:val="22"/>
          <w:szCs w:val="22"/>
          <w:lang w:eastAsia="en-US"/>
        </w:rPr>
        <w:t xml:space="preserve">have their respective meanings </w:t>
      </w:r>
      <w:r w:rsidRPr="00DE5AE1">
        <w:rPr>
          <w:rFonts w:ascii="Arial" w:eastAsia="Times New Roman" w:hAnsi="Arial" w:cs="Arial"/>
          <w:color w:val="000000"/>
          <w:sz w:val="22"/>
          <w:szCs w:val="22"/>
          <w:lang w:eastAsia="en-US"/>
        </w:rPr>
        <w:t>given in section 5 of the Act.</w:t>
      </w:r>
    </w:p>
    <w:p w14:paraId="304B27CC" w14:textId="77777777" w:rsidR="006F2EF6" w:rsidRDefault="006F2EF6">
      <w:pP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br w:type="page"/>
      </w:r>
    </w:p>
    <w:p w14:paraId="429970E7" w14:textId="77777777" w:rsidR="006F2EF6" w:rsidRPr="00DE5AE1" w:rsidRDefault="006F2EF6" w:rsidP="006F2EF6">
      <w:pPr>
        <w:keepNext/>
        <w:autoSpaceDE w:val="0"/>
        <w:autoSpaceDN w:val="0"/>
        <w:rPr>
          <w:rFonts w:ascii="Arial" w:eastAsia="Times New Roman" w:hAnsi="Arial" w:cs="Arial"/>
          <w:b/>
          <w:bCs/>
          <w:color w:val="000000"/>
          <w:sz w:val="32"/>
          <w:szCs w:val="32"/>
        </w:rPr>
      </w:pPr>
      <w:r w:rsidRPr="00DE5AE1">
        <w:rPr>
          <w:rFonts w:ascii="Arial" w:eastAsia="Times New Roman" w:hAnsi="Arial" w:cs="Arial"/>
          <w:b/>
          <w:bCs/>
          <w:color w:val="000000"/>
          <w:sz w:val="32"/>
          <w:szCs w:val="32"/>
        </w:rPr>
        <w:lastRenderedPageBreak/>
        <w:t xml:space="preserve">Schedule </w:t>
      </w:r>
    </w:p>
    <w:p w14:paraId="138D1B3F" w14:textId="77777777" w:rsidR="006F2EF6" w:rsidRPr="00DE5AE1" w:rsidRDefault="006F2EF6" w:rsidP="006F2EF6">
      <w:pPr>
        <w:tabs>
          <w:tab w:val="center" w:pos="4153"/>
          <w:tab w:val="right" w:pos="8306"/>
        </w:tabs>
        <w:spacing w:after="0"/>
        <w:jc w:val="both"/>
        <w:rPr>
          <w:rFonts w:ascii="Arial" w:eastAsia="Times New Roman" w:hAnsi="Arial" w:cs="Arial"/>
          <w:bCs/>
          <w:sz w:val="22"/>
          <w:szCs w:val="22"/>
        </w:rPr>
      </w:pPr>
      <w:r w:rsidRPr="00DE5AE1">
        <w:rPr>
          <w:rFonts w:ascii="Arial" w:eastAsia="Times New Roman" w:hAnsi="Arial" w:cs="Arial"/>
          <w:i/>
          <w:color w:val="000000"/>
          <w:sz w:val="22"/>
          <w:szCs w:val="22"/>
        </w:rPr>
        <w:t xml:space="preserve">Prudential Standard APS 221 Large Exposures </w:t>
      </w:r>
      <w:r w:rsidRPr="00DE5AE1">
        <w:rPr>
          <w:rFonts w:ascii="Arial" w:eastAsia="Times New Roman" w:hAnsi="Arial" w:cs="Arial"/>
          <w:bCs/>
          <w:sz w:val="22"/>
          <w:szCs w:val="22"/>
        </w:rPr>
        <w:t>comprises the document commencing on the following page.</w:t>
      </w:r>
    </w:p>
    <w:p w14:paraId="733DB2B2" w14:textId="77777777" w:rsidR="00A8686B" w:rsidRPr="00DE5AE1" w:rsidRDefault="00A8686B" w:rsidP="00DE5AE1">
      <w:pPr>
        <w:spacing w:before="120" w:after="0"/>
        <w:jc w:val="both"/>
        <w:rPr>
          <w:rFonts w:ascii="Arial" w:eastAsia="Times New Roman" w:hAnsi="Arial" w:cs="Arial"/>
          <w:color w:val="000000"/>
          <w:sz w:val="22"/>
          <w:szCs w:val="22"/>
          <w:lang w:eastAsia="en-US"/>
        </w:rPr>
      </w:pPr>
    </w:p>
    <w:p w14:paraId="0565FBE3" w14:textId="77777777" w:rsidR="00390A1C" w:rsidRPr="00DE5AE1" w:rsidRDefault="00390A1C" w:rsidP="00DE5AE1">
      <w:pPr>
        <w:keepNext/>
        <w:autoSpaceDE w:val="0"/>
        <w:autoSpaceDN w:val="0"/>
        <w:spacing w:before="120" w:after="0"/>
        <w:rPr>
          <w:rFonts w:ascii="Arial" w:eastAsia="Times New Roman" w:hAnsi="Arial" w:cs="Arial"/>
          <w:b/>
          <w:bCs/>
          <w:color w:val="000000"/>
          <w:sz w:val="22"/>
          <w:szCs w:val="22"/>
        </w:rPr>
        <w:sectPr w:rsidR="00390A1C" w:rsidRPr="00DE5AE1" w:rsidSect="00DE5AE1">
          <w:footerReference w:type="default" r:id="rId14"/>
          <w:pgSz w:w="11906" w:h="16838" w:code="9"/>
          <w:pgMar w:top="1440" w:right="1440" w:bottom="1440" w:left="1440" w:header="709" w:footer="709" w:gutter="0"/>
          <w:pgNumType w:start="1"/>
          <w:cols w:space="708"/>
          <w:titlePg/>
          <w:docGrid w:linePitch="360"/>
        </w:sectPr>
      </w:pPr>
    </w:p>
    <w:bookmarkEnd w:id="0"/>
    <w:p w14:paraId="4C3F395D" w14:textId="2DB72919" w:rsidR="00661D05" w:rsidRDefault="00506079" w:rsidP="00CE3E1C">
      <w:pPr>
        <w:spacing w:after="0"/>
        <w:jc w:val="both"/>
      </w:pPr>
      <w:r w:rsidRPr="00AC1B1C">
        <w:rPr>
          <w:noProof/>
        </w:rPr>
        <w:lastRenderedPageBreak/>
        <w:drawing>
          <wp:anchor distT="0" distB="0" distL="114300" distR="114300" simplePos="0" relativeHeight="251658240" behindDoc="0" locked="0" layoutInCell="1" allowOverlap="1" wp14:anchorId="1D190A69" wp14:editId="7E646634">
            <wp:simplePos x="1143000" y="914400"/>
            <wp:positionH relativeFrom="column">
              <wp:align>left</wp:align>
            </wp:positionH>
            <wp:positionV relativeFrom="paragraph">
              <wp:align>top</wp:align>
            </wp:positionV>
            <wp:extent cx="1485900" cy="1095375"/>
            <wp:effectExtent l="0" t="0" r="0" b="9525"/>
            <wp:wrapSquare wrapText="bothSides"/>
            <wp:docPr id="2"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monwealth Coat of Ar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anchor>
        </w:drawing>
      </w:r>
    </w:p>
    <w:p w14:paraId="2D183CB1" w14:textId="061E2B74" w:rsidR="00661D05" w:rsidRDefault="00661D05" w:rsidP="00CE3E1C">
      <w:pPr>
        <w:spacing w:after="0"/>
        <w:jc w:val="both"/>
      </w:pPr>
    </w:p>
    <w:p w14:paraId="4E75A388" w14:textId="5F5EBDE6" w:rsidR="00661D05" w:rsidRDefault="00661D05" w:rsidP="00CE3E1C">
      <w:pPr>
        <w:spacing w:after="0"/>
        <w:jc w:val="both"/>
      </w:pPr>
    </w:p>
    <w:p w14:paraId="50A801E3" w14:textId="7F9C6F00" w:rsidR="00661D05" w:rsidRDefault="00661D05" w:rsidP="00CE3E1C">
      <w:pPr>
        <w:spacing w:after="0"/>
        <w:jc w:val="both"/>
      </w:pPr>
    </w:p>
    <w:p w14:paraId="2F5B50BB" w14:textId="77777777" w:rsidR="003B52EB" w:rsidRPr="00AC1B1C" w:rsidRDefault="00661D05" w:rsidP="00CE3E1C">
      <w:pPr>
        <w:spacing w:after="0"/>
        <w:jc w:val="both"/>
      </w:pPr>
      <w:r>
        <w:br w:type="textWrapping" w:clear="all"/>
      </w:r>
    </w:p>
    <w:p w14:paraId="2C6378C2" w14:textId="3669A449" w:rsidR="00DA3651" w:rsidRPr="00AC1B1C" w:rsidRDefault="006A6A52" w:rsidP="00CE3E1C">
      <w:pPr>
        <w:pStyle w:val="Title"/>
        <w:jc w:val="both"/>
      </w:pPr>
      <w:bookmarkStart w:id="1" w:name="_Toc326937696"/>
      <w:r w:rsidRPr="00AC1B1C">
        <w:t>Prudential Standard</w:t>
      </w:r>
      <w:r w:rsidR="00D02037" w:rsidRPr="00AC1B1C">
        <w:rPr>
          <w:rStyle w:val="PSNofieldtext"/>
          <w:noProof/>
        </w:rPr>
        <w:t xml:space="preserve"> APS 221</w:t>
      </w:r>
      <w:r w:rsidR="009B6212" w:rsidRPr="00AC1B1C">
        <w:t xml:space="preserve">  </w:t>
      </w:r>
    </w:p>
    <w:bookmarkEnd w:id="1"/>
    <w:p w14:paraId="7F1C7554" w14:textId="1F4A69D4" w:rsidR="00BC2D08" w:rsidRPr="00AC1B1C" w:rsidRDefault="00D02037" w:rsidP="00CE3E1C">
      <w:pPr>
        <w:pStyle w:val="Title"/>
        <w:jc w:val="both"/>
      </w:pPr>
      <w:r w:rsidRPr="00AC1B1C">
        <w:rPr>
          <w:rStyle w:val="PSNamefieldtext"/>
        </w:rPr>
        <w:t>Large Exposures</w:t>
      </w:r>
      <w:r w:rsidR="00110917" w:rsidRPr="00AC1B1C">
        <w:t xml:space="preserve">  </w:t>
      </w:r>
    </w:p>
    <w:tbl>
      <w:tblPr>
        <w:tblStyle w:val="TableGrid"/>
        <w:tblW w:w="0" w:type="auto"/>
        <w:shd w:val="clear" w:color="auto" w:fill="DDDDDD"/>
        <w:tblLook w:val="04A0" w:firstRow="1" w:lastRow="0" w:firstColumn="1" w:lastColumn="0" w:noHBand="0" w:noVBand="1"/>
      </w:tblPr>
      <w:tblGrid>
        <w:gridCol w:w="8302"/>
      </w:tblGrid>
      <w:tr w:rsidR="0048511B" w:rsidRPr="00AC1B1C" w14:paraId="646CB30C" w14:textId="77777777" w:rsidTr="00A97802">
        <w:trPr>
          <w:tblHeader/>
        </w:trPr>
        <w:tc>
          <w:tcPr>
            <w:tcW w:w="8528" w:type="dxa"/>
            <w:shd w:val="clear" w:color="auto" w:fill="DDDDDD"/>
          </w:tcPr>
          <w:p w14:paraId="01CE02F8" w14:textId="77777777" w:rsidR="003C46D7" w:rsidRPr="00AC1B1C" w:rsidRDefault="003C46D7" w:rsidP="00CE3E1C">
            <w:pPr>
              <w:pStyle w:val="BoxHeading"/>
              <w:jc w:val="both"/>
            </w:pPr>
            <w:r w:rsidRPr="00AC1B1C">
              <w:t>Objectives and key requirements of this Prudential Standard</w:t>
            </w:r>
          </w:p>
          <w:p w14:paraId="5754837D" w14:textId="482012AF" w:rsidR="0098340B" w:rsidRPr="00AC1B1C" w:rsidRDefault="0098340B" w:rsidP="00CE3E1C">
            <w:pPr>
              <w:jc w:val="both"/>
            </w:pPr>
            <w:r w:rsidRPr="00AC1B1C">
              <w:t>This Prudential Standard requires authorised deposit-taking institutions to implement prudent measures and to set prudent limits to monitor and control their large exposures and risk concentrations.</w:t>
            </w:r>
          </w:p>
          <w:p w14:paraId="6045305F" w14:textId="77777777" w:rsidR="0048511B" w:rsidRPr="00AC1B1C" w:rsidRDefault="0098340B" w:rsidP="00CE3E1C">
            <w:pPr>
              <w:jc w:val="both"/>
            </w:pPr>
            <w:r w:rsidRPr="00AC1B1C">
              <w:t>The key requirements of this Prudential Standard are that an authorised deposit-taking institution must:</w:t>
            </w:r>
          </w:p>
          <w:p w14:paraId="595D94D0" w14:textId="77777777" w:rsidR="0098340B" w:rsidRPr="00AC1B1C" w:rsidRDefault="0098340B" w:rsidP="00CE3E1C">
            <w:pPr>
              <w:pStyle w:val="BoxBullet"/>
              <w:jc w:val="both"/>
            </w:pPr>
            <w:r w:rsidRPr="00AC1B1C">
              <w:t xml:space="preserve">have a Board-approved policy that governs its large exposures and risk concentrations; </w:t>
            </w:r>
          </w:p>
          <w:p w14:paraId="7622C367" w14:textId="77777777" w:rsidR="0098340B" w:rsidRPr="00AC1B1C" w:rsidRDefault="0098340B" w:rsidP="00CE3E1C">
            <w:pPr>
              <w:pStyle w:val="BoxBullet"/>
              <w:jc w:val="both"/>
            </w:pPr>
            <w:r w:rsidRPr="00AC1B1C">
              <w:t xml:space="preserve">have adequate systems and controls to identify, measure, monitor and report large exposures and risk concentrations; </w:t>
            </w:r>
          </w:p>
          <w:p w14:paraId="2EAF5070" w14:textId="625503F9" w:rsidR="0098340B" w:rsidRPr="00AC1B1C" w:rsidRDefault="0098340B" w:rsidP="00CE3E1C">
            <w:pPr>
              <w:pStyle w:val="BoxBullet"/>
              <w:jc w:val="both"/>
            </w:pPr>
            <w:r w:rsidRPr="00AC1B1C">
              <w:t>identify connected counterparties;</w:t>
            </w:r>
          </w:p>
          <w:p w14:paraId="16ADA2A5" w14:textId="77777777" w:rsidR="0098340B" w:rsidRPr="00AC1B1C" w:rsidRDefault="0098340B" w:rsidP="00CE3E1C">
            <w:pPr>
              <w:pStyle w:val="BoxBullet"/>
              <w:jc w:val="both"/>
            </w:pPr>
            <w:r w:rsidRPr="00AC1B1C">
              <w:t>ensure its large exposures meet the large exposure limits; and</w:t>
            </w:r>
          </w:p>
          <w:p w14:paraId="1E455222" w14:textId="77777777" w:rsidR="00173A04" w:rsidRPr="00AC1B1C" w:rsidRDefault="0098340B" w:rsidP="00CE3E1C">
            <w:pPr>
              <w:pStyle w:val="BoxBullet"/>
              <w:jc w:val="both"/>
            </w:pPr>
            <w:r w:rsidRPr="00AC1B1C">
              <w:t xml:space="preserve">measure exposure values for large exposure purposes using specified treatments. </w:t>
            </w:r>
          </w:p>
        </w:tc>
      </w:tr>
    </w:tbl>
    <w:p w14:paraId="391DC540" w14:textId="77777777" w:rsidR="00C67A76" w:rsidRPr="00AC1B1C" w:rsidRDefault="00C67A76" w:rsidP="00CE3E1C">
      <w:pPr>
        <w:jc w:val="both"/>
      </w:pPr>
    </w:p>
    <w:p w14:paraId="54149E58" w14:textId="77777777" w:rsidR="00C67A76" w:rsidRPr="00AC1B1C" w:rsidRDefault="00C67A76" w:rsidP="00CE3E1C">
      <w:pPr>
        <w:jc w:val="both"/>
        <w:sectPr w:rsidR="00C67A76" w:rsidRPr="00AC1B1C" w:rsidSect="00FE4B10">
          <w:headerReference w:type="default" r:id="rId16"/>
          <w:footerReference w:type="default" r:id="rId17"/>
          <w:headerReference w:type="first" r:id="rId18"/>
          <w:footerReference w:type="first" r:id="rId19"/>
          <w:pgSz w:w="11906" w:h="16838" w:code="9"/>
          <w:pgMar w:top="1440" w:right="1797" w:bottom="1440" w:left="1797" w:header="709" w:footer="709" w:gutter="0"/>
          <w:pgNumType w:start="1"/>
          <w:cols w:space="708"/>
          <w:titlePg/>
          <w:docGrid w:linePitch="360"/>
        </w:sectPr>
      </w:pPr>
    </w:p>
    <w:p w14:paraId="7F5C21A8" w14:textId="77777777" w:rsidR="00344659" w:rsidRPr="00CE67FD" w:rsidRDefault="009D467A">
      <w:pPr>
        <w:pStyle w:val="TOC1"/>
        <w:rPr>
          <w:b/>
        </w:rPr>
      </w:pPr>
      <w:bookmarkStart w:id="2" w:name="_Toc497828908"/>
      <w:bookmarkStart w:id="3" w:name="_Toc498971732"/>
      <w:bookmarkStart w:id="4" w:name="_Toc498971763"/>
      <w:bookmarkStart w:id="5" w:name="_Toc326676936"/>
      <w:bookmarkStart w:id="6" w:name="_Toc326756341"/>
      <w:bookmarkStart w:id="7" w:name="_Toc256519850"/>
      <w:r w:rsidRPr="00CE67FD">
        <w:rPr>
          <w:b/>
        </w:rPr>
        <w:lastRenderedPageBreak/>
        <w:t>Table of Contents</w:t>
      </w:r>
      <w:bookmarkStart w:id="8" w:name="_Toc326937698"/>
      <w:bookmarkStart w:id="9" w:name="_Toc326938615"/>
      <w:bookmarkStart w:id="10" w:name="_Toc326938830"/>
      <w:bookmarkEnd w:id="2"/>
      <w:bookmarkEnd w:id="3"/>
      <w:bookmarkEnd w:id="4"/>
      <w:bookmarkEnd w:id="5"/>
      <w:bookmarkEnd w:id="6"/>
    </w:p>
    <w:p w14:paraId="2FDC4B70" w14:textId="32EDED0B" w:rsidR="00344659" w:rsidRDefault="00FC7085">
      <w:pPr>
        <w:pStyle w:val="TOC1"/>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18311022" w:history="1">
        <w:r w:rsidR="00344659" w:rsidRPr="00DB41A4">
          <w:rPr>
            <w:rStyle w:val="Hyperlink"/>
          </w:rPr>
          <w:t>Authority</w:t>
        </w:r>
        <w:r w:rsidR="00344659">
          <w:rPr>
            <w:webHidden/>
          </w:rPr>
          <w:tab/>
        </w:r>
        <w:r w:rsidR="00344659">
          <w:rPr>
            <w:webHidden/>
          </w:rPr>
          <w:fldChar w:fldCharType="begin"/>
        </w:r>
        <w:r w:rsidR="00344659">
          <w:rPr>
            <w:webHidden/>
          </w:rPr>
          <w:instrText xml:space="preserve"> PAGEREF _Toc18311022 \h </w:instrText>
        </w:r>
        <w:r w:rsidR="00344659">
          <w:rPr>
            <w:webHidden/>
          </w:rPr>
        </w:r>
        <w:r w:rsidR="00344659">
          <w:rPr>
            <w:webHidden/>
          </w:rPr>
          <w:fldChar w:fldCharType="separate"/>
        </w:r>
        <w:r w:rsidR="00EA6DDF">
          <w:rPr>
            <w:webHidden/>
          </w:rPr>
          <w:t>3</w:t>
        </w:r>
        <w:r w:rsidR="00344659">
          <w:rPr>
            <w:webHidden/>
          </w:rPr>
          <w:fldChar w:fldCharType="end"/>
        </w:r>
      </w:hyperlink>
    </w:p>
    <w:p w14:paraId="3146D96F" w14:textId="77777777" w:rsidR="00344659" w:rsidRDefault="00360621">
      <w:pPr>
        <w:pStyle w:val="TOC1"/>
        <w:rPr>
          <w:rFonts w:asciiTheme="minorHAnsi" w:eastAsiaTheme="minorEastAsia" w:hAnsiTheme="minorHAnsi" w:cstheme="minorBidi"/>
          <w:sz w:val="22"/>
          <w:szCs w:val="22"/>
        </w:rPr>
      </w:pPr>
      <w:hyperlink w:anchor="_Toc18311023" w:history="1">
        <w:r w:rsidR="00344659" w:rsidRPr="00DB41A4">
          <w:rPr>
            <w:rStyle w:val="Hyperlink"/>
          </w:rPr>
          <w:t>Application</w:t>
        </w:r>
        <w:r w:rsidR="00344659">
          <w:rPr>
            <w:webHidden/>
          </w:rPr>
          <w:tab/>
        </w:r>
        <w:r w:rsidR="00344659">
          <w:rPr>
            <w:webHidden/>
          </w:rPr>
          <w:fldChar w:fldCharType="begin"/>
        </w:r>
        <w:r w:rsidR="00344659">
          <w:rPr>
            <w:webHidden/>
          </w:rPr>
          <w:instrText xml:space="preserve"> PAGEREF _Toc18311023 \h </w:instrText>
        </w:r>
        <w:r w:rsidR="00344659">
          <w:rPr>
            <w:webHidden/>
          </w:rPr>
        </w:r>
        <w:r w:rsidR="00344659">
          <w:rPr>
            <w:webHidden/>
          </w:rPr>
          <w:fldChar w:fldCharType="separate"/>
        </w:r>
        <w:r w:rsidR="00EA6DDF">
          <w:rPr>
            <w:webHidden/>
          </w:rPr>
          <w:t>3</w:t>
        </w:r>
        <w:r w:rsidR="00344659">
          <w:rPr>
            <w:webHidden/>
          </w:rPr>
          <w:fldChar w:fldCharType="end"/>
        </w:r>
      </w:hyperlink>
    </w:p>
    <w:p w14:paraId="061057B0" w14:textId="77777777" w:rsidR="00344659" w:rsidRDefault="00360621">
      <w:pPr>
        <w:pStyle w:val="TOC1"/>
        <w:rPr>
          <w:rFonts w:asciiTheme="minorHAnsi" w:eastAsiaTheme="minorEastAsia" w:hAnsiTheme="minorHAnsi" w:cstheme="minorBidi"/>
          <w:sz w:val="22"/>
          <w:szCs w:val="22"/>
        </w:rPr>
      </w:pPr>
      <w:hyperlink w:anchor="_Toc18311024" w:history="1">
        <w:r w:rsidR="00344659" w:rsidRPr="00DB41A4">
          <w:rPr>
            <w:rStyle w:val="Hyperlink"/>
          </w:rPr>
          <w:t>Interpretation</w:t>
        </w:r>
        <w:r w:rsidR="00344659">
          <w:rPr>
            <w:webHidden/>
          </w:rPr>
          <w:tab/>
        </w:r>
        <w:r w:rsidR="00344659">
          <w:rPr>
            <w:webHidden/>
          </w:rPr>
          <w:fldChar w:fldCharType="begin"/>
        </w:r>
        <w:r w:rsidR="00344659">
          <w:rPr>
            <w:webHidden/>
          </w:rPr>
          <w:instrText xml:space="preserve"> PAGEREF _Toc18311024 \h </w:instrText>
        </w:r>
        <w:r w:rsidR="00344659">
          <w:rPr>
            <w:webHidden/>
          </w:rPr>
        </w:r>
        <w:r w:rsidR="00344659">
          <w:rPr>
            <w:webHidden/>
          </w:rPr>
          <w:fldChar w:fldCharType="separate"/>
        </w:r>
        <w:r w:rsidR="00EA6DDF">
          <w:rPr>
            <w:webHidden/>
          </w:rPr>
          <w:t>3</w:t>
        </w:r>
        <w:r w:rsidR="00344659">
          <w:rPr>
            <w:webHidden/>
          </w:rPr>
          <w:fldChar w:fldCharType="end"/>
        </w:r>
      </w:hyperlink>
    </w:p>
    <w:p w14:paraId="3C009EAE" w14:textId="77777777" w:rsidR="00344659" w:rsidRDefault="00360621">
      <w:pPr>
        <w:pStyle w:val="TOC1"/>
        <w:rPr>
          <w:rFonts w:asciiTheme="minorHAnsi" w:eastAsiaTheme="minorEastAsia" w:hAnsiTheme="minorHAnsi" w:cstheme="minorBidi"/>
          <w:sz w:val="22"/>
          <w:szCs w:val="22"/>
        </w:rPr>
      </w:pPr>
      <w:hyperlink w:anchor="_Toc18311025" w:history="1">
        <w:r w:rsidR="00344659" w:rsidRPr="00DB41A4">
          <w:rPr>
            <w:rStyle w:val="Hyperlink"/>
          </w:rPr>
          <w:t>Definitions</w:t>
        </w:r>
        <w:r w:rsidR="00344659">
          <w:rPr>
            <w:webHidden/>
          </w:rPr>
          <w:tab/>
        </w:r>
        <w:r w:rsidR="00344659">
          <w:rPr>
            <w:webHidden/>
          </w:rPr>
          <w:fldChar w:fldCharType="begin"/>
        </w:r>
        <w:r w:rsidR="00344659">
          <w:rPr>
            <w:webHidden/>
          </w:rPr>
          <w:instrText xml:space="preserve"> PAGEREF _Toc18311025 \h </w:instrText>
        </w:r>
        <w:r w:rsidR="00344659">
          <w:rPr>
            <w:webHidden/>
          </w:rPr>
        </w:r>
        <w:r w:rsidR="00344659">
          <w:rPr>
            <w:webHidden/>
          </w:rPr>
          <w:fldChar w:fldCharType="separate"/>
        </w:r>
        <w:r w:rsidR="00EA6DDF">
          <w:rPr>
            <w:webHidden/>
          </w:rPr>
          <w:t>4</w:t>
        </w:r>
        <w:r w:rsidR="00344659">
          <w:rPr>
            <w:webHidden/>
          </w:rPr>
          <w:fldChar w:fldCharType="end"/>
        </w:r>
      </w:hyperlink>
    </w:p>
    <w:p w14:paraId="7ED44556" w14:textId="77777777" w:rsidR="00344659" w:rsidRDefault="00360621">
      <w:pPr>
        <w:pStyle w:val="TOC1"/>
        <w:rPr>
          <w:rFonts w:asciiTheme="minorHAnsi" w:eastAsiaTheme="minorEastAsia" w:hAnsiTheme="minorHAnsi" w:cstheme="minorBidi"/>
          <w:sz w:val="22"/>
          <w:szCs w:val="22"/>
        </w:rPr>
      </w:pPr>
      <w:hyperlink w:anchor="_Toc18311026" w:history="1">
        <w:r w:rsidR="00344659" w:rsidRPr="00DB41A4">
          <w:rPr>
            <w:rStyle w:val="Hyperlink"/>
          </w:rPr>
          <w:t>The role of the Board</w:t>
        </w:r>
        <w:r w:rsidR="00344659">
          <w:rPr>
            <w:webHidden/>
          </w:rPr>
          <w:tab/>
        </w:r>
        <w:r w:rsidR="00344659">
          <w:rPr>
            <w:webHidden/>
          </w:rPr>
          <w:fldChar w:fldCharType="begin"/>
        </w:r>
        <w:r w:rsidR="00344659">
          <w:rPr>
            <w:webHidden/>
          </w:rPr>
          <w:instrText xml:space="preserve"> PAGEREF _Toc18311026 \h </w:instrText>
        </w:r>
        <w:r w:rsidR="00344659">
          <w:rPr>
            <w:webHidden/>
          </w:rPr>
        </w:r>
        <w:r w:rsidR="00344659">
          <w:rPr>
            <w:webHidden/>
          </w:rPr>
          <w:fldChar w:fldCharType="separate"/>
        </w:r>
        <w:r w:rsidR="00EA6DDF">
          <w:rPr>
            <w:webHidden/>
          </w:rPr>
          <w:t>4</w:t>
        </w:r>
        <w:r w:rsidR="00344659">
          <w:rPr>
            <w:webHidden/>
          </w:rPr>
          <w:fldChar w:fldCharType="end"/>
        </w:r>
      </w:hyperlink>
    </w:p>
    <w:p w14:paraId="3074E310" w14:textId="77777777" w:rsidR="00344659" w:rsidRDefault="00360621">
      <w:pPr>
        <w:pStyle w:val="TOC1"/>
        <w:rPr>
          <w:rFonts w:asciiTheme="minorHAnsi" w:eastAsiaTheme="minorEastAsia" w:hAnsiTheme="minorHAnsi" w:cstheme="minorBidi"/>
          <w:sz w:val="22"/>
          <w:szCs w:val="22"/>
        </w:rPr>
      </w:pPr>
      <w:hyperlink w:anchor="_Toc18311027" w:history="1">
        <w:r w:rsidR="00344659" w:rsidRPr="00DB41A4">
          <w:rPr>
            <w:rStyle w:val="Hyperlink"/>
          </w:rPr>
          <w:t>Control of large exposures and risk concentrations</w:t>
        </w:r>
        <w:r w:rsidR="00344659">
          <w:rPr>
            <w:webHidden/>
          </w:rPr>
          <w:tab/>
        </w:r>
        <w:r w:rsidR="00344659">
          <w:rPr>
            <w:webHidden/>
          </w:rPr>
          <w:fldChar w:fldCharType="begin"/>
        </w:r>
        <w:r w:rsidR="00344659">
          <w:rPr>
            <w:webHidden/>
          </w:rPr>
          <w:instrText xml:space="preserve"> PAGEREF _Toc18311027 \h </w:instrText>
        </w:r>
        <w:r w:rsidR="00344659">
          <w:rPr>
            <w:webHidden/>
          </w:rPr>
        </w:r>
        <w:r w:rsidR="00344659">
          <w:rPr>
            <w:webHidden/>
          </w:rPr>
          <w:fldChar w:fldCharType="separate"/>
        </w:r>
        <w:r w:rsidR="00EA6DDF">
          <w:rPr>
            <w:webHidden/>
          </w:rPr>
          <w:t>4</w:t>
        </w:r>
        <w:r w:rsidR="00344659">
          <w:rPr>
            <w:webHidden/>
          </w:rPr>
          <w:fldChar w:fldCharType="end"/>
        </w:r>
      </w:hyperlink>
    </w:p>
    <w:p w14:paraId="0F37A92B" w14:textId="77777777" w:rsidR="00344659" w:rsidRDefault="00360621">
      <w:pPr>
        <w:pStyle w:val="TOC1"/>
        <w:rPr>
          <w:rFonts w:asciiTheme="minorHAnsi" w:eastAsiaTheme="minorEastAsia" w:hAnsiTheme="minorHAnsi" w:cstheme="minorBidi"/>
          <w:sz w:val="22"/>
          <w:szCs w:val="22"/>
        </w:rPr>
      </w:pPr>
      <w:hyperlink w:anchor="_Toc18311028" w:history="1">
        <w:r w:rsidR="00344659" w:rsidRPr="00DB41A4">
          <w:rPr>
            <w:rStyle w:val="Hyperlink"/>
          </w:rPr>
          <w:t>Identifying large exposures</w:t>
        </w:r>
        <w:r w:rsidR="00344659">
          <w:rPr>
            <w:webHidden/>
          </w:rPr>
          <w:tab/>
        </w:r>
        <w:r w:rsidR="00344659">
          <w:rPr>
            <w:webHidden/>
          </w:rPr>
          <w:fldChar w:fldCharType="begin"/>
        </w:r>
        <w:r w:rsidR="00344659">
          <w:rPr>
            <w:webHidden/>
          </w:rPr>
          <w:instrText xml:space="preserve"> PAGEREF _Toc18311028 \h </w:instrText>
        </w:r>
        <w:r w:rsidR="00344659">
          <w:rPr>
            <w:webHidden/>
          </w:rPr>
        </w:r>
        <w:r w:rsidR="00344659">
          <w:rPr>
            <w:webHidden/>
          </w:rPr>
          <w:fldChar w:fldCharType="separate"/>
        </w:r>
        <w:r w:rsidR="00EA6DDF">
          <w:rPr>
            <w:webHidden/>
          </w:rPr>
          <w:t>5</w:t>
        </w:r>
        <w:r w:rsidR="00344659">
          <w:rPr>
            <w:webHidden/>
          </w:rPr>
          <w:fldChar w:fldCharType="end"/>
        </w:r>
      </w:hyperlink>
    </w:p>
    <w:p w14:paraId="65618D9E" w14:textId="77777777" w:rsidR="00344659" w:rsidRDefault="00360621">
      <w:pPr>
        <w:pStyle w:val="TOC1"/>
        <w:rPr>
          <w:rFonts w:asciiTheme="minorHAnsi" w:eastAsiaTheme="minorEastAsia" w:hAnsiTheme="minorHAnsi" w:cstheme="minorBidi"/>
          <w:sz w:val="22"/>
          <w:szCs w:val="22"/>
        </w:rPr>
      </w:pPr>
      <w:hyperlink w:anchor="_Toc18311029" w:history="1">
        <w:r w:rsidR="00344659" w:rsidRPr="00DB41A4">
          <w:rPr>
            <w:rStyle w:val="Hyperlink"/>
          </w:rPr>
          <w:t>Large exposure limits</w:t>
        </w:r>
        <w:r w:rsidR="00344659">
          <w:rPr>
            <w:webHidden/>
          </w:rPr>
          <w:tab/>
        </w:r>
        <w:r w:rsidR="00344659">
          <w:rPr>
            <w:webHidden/>
          </w:rPr>
          <w:fldChar w:fldCharType="begin"/>
        </w:r>
        <w:r w:rsidR="00344659">
          <w:rPr>
            <w:webHidden/>
          </w:rPr>
          <w:instrText xml:space="preserve"> PAGEREF _Toc18311029 \h </w:instrText>
        </w:r>
        <w:r w:rsidR="00344659">
          <w:rPr>
            <w:webHidden/>
          </w:rPr>
        </w:r>
        <w:r w:rsidR="00344659">
          <w:rPr>
            <w:webHidden/>
          </w:rPr>
          <w:fldChar w:fldCharType="separate"/>
        </w:r>
        <w:r w:rsidR="00EA6DDF">
          <w:rPr>
            <w:webHidden/>
          </w:rPr>
          <w:t>9</w:t>
        </w:r>
        <w:r w:rsidR="00344659">
          <w:rPr>
            <w:webHidden/>
          </w:rPr>
          <w:fldChar w:fldCharType="end"/>
        </w:r>
      </w:hyperlink>
    </w:p>
    <w:p w14:paraId="6A82CCAC" w14:textId="77777777" w:rsidR="00344659" w:rsidRDefault="00360621">
      <w:pPr>
        <w:pStyle w:val="TOC1"/>
        <w:rPr>
          <w:rFonts w:asciiTheme="minorHAnsi" w:eastAsiaTheme="minorEastAsia" w:hAnsiTheme="minorHAnsi" w:cstheme="minorBidi"/>
          <w:sz w:val="22"/>
          <w:szCs w:val="22"/>
        </w:rPr>
      </w:pPr>
      <w:hyperlink w:anchor="_Toc18311030" w:history="1">
        <w:r w:rsidR="00344659" w:rsidRPr="00DB41A4">
          <w:rPr>
            <w:rStyle w:val="Hyperlink"/>
          </w:rPr>
          <w:t>Measuring large exposure values</w:t>
        </w:r>
        <w:r w:rsidR="00344659">
          <w:rPr>
            <w:webHidden/>
          </w:rPr>
          <w:tab/>
        </w:r>
        <w:r w:rsidR="00344659">
          <w:rPr>
            <w:webHidden/>
          </w:rPr>
          <w:fldChar w:fldCharType="begin"/>
        </w:r>
        <w:r w:rsidR="00344659">
          <w:rPr>
            <w:webHidden/>
          </w:rPr>
          <w:instrText xml:space="preserve"> PAGEREF _Toc18311030 \h </w:instrText>
        </w:r>
        <w:r w:rsidR="00344659">
          <w:rPr>
            <w:webHidden/>
          </w:rPr>
        </w:r>
        <w:r w:rsidR="00344659">
          <w:rPr>
            <w:webHidden/>
          </w:rPr>
          <w:fldChar w:fldCharType="separate"/>
        </w:r>
        <w:r w:rsidR="00EA6DDF">
          <w:rPr>
            <w:webHidden/>
          </w:rPr>
          <w:t>9</w:t>
        </w:r>
        <w:r w:rsidR="00344659">
          <w:rPr>
            <w:webHidden/>
          </w:rPr>
          <w:fldChar w:fldCharType="end"/>
        </w:r>
      </w:hyperlink>
    </w:p>
    <w:p w14:paraId="36F2E05D" w14:textId="77777777" w:rsidR="00344659" w:rsidRDefault="00360621">
      <w:pPr>
        <w:pStyle w:val="TOC1"/>
        <w:rPr>
          <w:rFonts w:asciiTheme="minorHAnsi" w:eastAsiaTheme="minorEastAsia" w:hAnsiTheme="minorHAnsi" w:cstheme="minorBidi"/>
          <w:sz w:val="22"/>
          <w:szCs w:val="22"/>
        </w:rPr>
      </w:pPr>
      <w:hyperlink w:anchor="_Toc18311031" w:history="1">
        <w:r w:rsidR="00344659" w:rsidRPr="00DB41A4">
          <w:rPr>
            <w:rStyle w:val="Hyperlink"/>
          </w:rPr>
          <w:t>Prior notification requirements</w:t>
        </w:r>
        <w:r w:rsidR="00344659">
          <w:rPr>
            <w:webHidden/>
          </w:rPr>
          <w:tab/>
        </w:r>
        <w:r w:rsidR="00344659">
          <w:rPr>
            <w:webHidden/>
          </w:rPr>
          <w:fldChar w:fldCharType="begin"/>
        </w:r>
        <w:r w:rsidR="00344659">
          <w:rPr>
            <w:webHidden/>
          </w:rPr>
          <w:instrText xml:space="preserve"> PAGEREF _Toc18311031 \h </w:instrText>
        </w:r>
        <w:r w:rsidR="00344659">
          <w:rPr>
            <w:webHidden/>
          </w:rPr>
        </w:r>
        <w:r w:rsidR="00344659">
          <w:rPr>
            <w:webHidden/>
          </w:rPr>
          <w:fldChar w:fldCharType="separate"/>
        </w:r>
        <w:r w:rsidR="00EA6DDF">
          <w:rPr>
            <w:webHidden/>
          </w:rPr>
          <w:t>10</w:t>
        </w:r>
        <w:r w:rsidR="00344659">
          <w:rPr>
            <w:webHidden/>
          </w:rPr>
          <w:fldChar w:fldCharType="end"/>
        </w:r>
      </w:hyperlink>
    </w:p>
    <w:p w14:paraId="1E962F9F" w14:textId="77777777" w:rsidR="00344659" w:rsidRDefault="00360621">
      <w:pPr>
        <w:pStyle w:val="TOC1"/>
        <w:rPr>
          <w:rFonts w:asciiTheme="minorHAnsi" w:eastAsiaTheme="minorEastAsia" w:hAnsiTheme="minorHAnsi" w:cstheme="minorBidi"/>
          <w:sz w:val="22"/>
          <w:szCs w:val="22"/>
        </w:rPr>
      </w:pPr>
      <w:hyperlink w:anchor="_Toc18311032" w:history="1">
        <w:r w:rsidR="00344659" w:rsidRPr="00DB41A4">
          <w:rPr>
            <w:rStyle w:val="Hyperlink"/>
          </w:rPr>
          <w:t>Approval requirements</w:t>
        </w:r>
        <w:r w:rsidR="00344659">
          <w:rPr>
            <w:webHidden/>
          </w:rPr>
          <w:tab/>
        </w:r>
        <w:r w:rsidR="00344659">
          <w:rPr>
            <w:webHidden/>
          </w:rPr>
          <w:fldChar w:fldCharType="begin"/>
        </w:r>
        <w:r w:rsidR="00344659">
          <w:rPr>
            <w:webHidden/>
          </w:rPr>
          <w:instrText xml:space="preserve"> PAGEREF _Toc18311032 \h </w:instrText>
        </w:r>
        <w:r w:rsidR="00344659">
          <w:rPr>
            <w:webHidden/>
          </w:rPr>
        </w:r>
        <w:r w:rsidR="00344659">
          <w:rPr>
            <w:webHidden/>
          </w:rPr>
          <w:fldChar w:fldCharType="separate"/>
        </w:r>
        <w:r w:rsidR="00EA6DDF">
          <w:rPr>
            <w:webHidden/>
          </w:rPr>
          <w:t>10</w:t>
        </w:r>
        <w:r w:rsidR="00344659">
          <w:rPr>
            <w:webHidden/>
          </w:rPr>
          <w:fldChar w:fldCharType="end"/>
        </w:r>
      </w:hyperlink>
    </w:p>
    <w:p w14:paraId="02ADA674" w14:textId="77777777" w:rsidR="00344659" w:rsidRDefault="00360621">
      <w:pPr>
        <w:pStyle w:val="TOC1"/>
        <w:rPr>
          <w:rFonts w:asciiTheme="minorHAnsi" w:eastAsiaTheme="minorEastAsia" w:hAnsiTheme="minorHAnsi" w:cstheme="minorBidi"/>
          <w:sz w:val="22"/>
          <w:szCs w:val="22"/>
        </w:rPr>
      </w:pPr>
      <w:hyperlink w:anchor="_Toc18311033" w:history="1">
        <w:r w:rsidR="00344659" w:rsidRPr="00DB41A4">
          <w:rPr>
            <w:rStyle w:val="Hyperlink"/>
          </w:rPr>
          <w:t>Notification requirements</w:t>
        </w:r>
        <w:r w:rsidR="00344659">
          <w:rPr>
            <w:webHidden/>
          </w:rPr>
          <w:tab/>
        </w:r>
        <w:r w:rsidR="00344659">
          <w:rPr>
            <w:webHidden/>
          </w:rPr>
          <w:fldChar w:fldCharType="begin"/>
        </w:r>
        <w:r w:rsidR="00344659">
          <w:rPr>
            <w:webHidden/>
          </w:rPr>
          <w:instrText xml:space="preserve"> PAGEREF _Toc18311033 \h </w:instrText>
        </w:r>
        <w:r w:rsidR="00344659">
          <w:rPr>
            <w:webHidden/>
          </w:rPr>
        </w:r>
        <w:r w:rsidR="00344659">
          <w:rPr>
            <w:webHidden/>
          </w:rPr>
          <w:fldChar w:fldCharType="separate"/>
        </w:r>
        <w:r w:rsidR="00EA6DDF">
          <w:rPr>
            <w:webHidden/>
          </w:rPr>
          <w:t>10</w:t>
        </w:r>
        <w:r w:rsidR="00344659">
          <w:rPr>
            <w:webHidden/>
          </w:rPr>
          <w:fldChar w:fldCharType="end"/>
        </w:r>
      </w:hyperlink>
    </w:p>
    <w:p w14:paraId="5AD772C0" w14:textId="77777777" w:rsidR="00344659" w:rsidRDefault="00360621">
      <w:pPr>
        <w:pStyle w:val="TOC1"/>
        <w:rPr>
          <w:rFonts w:asciiTheme="minorHAnsi" w:eastAsiaTheme="minorEastAsia" w:hAnsiTheme="minorHAnsi" w:cstheme="minorBidi"/>
          <w:sz w:val="22"/>
          <w:szCs w:val="22"/>
        </w:rPr>
      </w:pPr>
      <w:hyperlink w:anchor="_Toc18311034" w:history="1">
        <w:r w:rsidR="00344659" w:rsidRPr="00DB41A4">
          <w:rPr>
            <w:rStyle w:val="Hyperlink"/>
          </w:rPr>
          <w:t>Significant risk concentrations</w:t>
        </w:r>
        <w:r w:rsidR="00344659">
          <w:rPr>
            <w:webHidden/>
          </w:rPr>
          <w:tab/>
        </w:r>
        <w:r w:rsidR="00344659">
          <w:rPr>
            <w:webHidden/>
          </w:rPr>
          <w:fldChar w:fldCharType="begin"/>
        </w:r>
        <w:r w:rsidR="00344659">
          <w:rPr>
            <w:webHidden/>
          </w:rPr>
          <w:instrText xml:space="preserve"> PAGEREF _Toc18311034 \h </w:instrText>
        </w:r>
        <w:r w:rsidR="00344659">
          <w:rPr>
            <w:webHidden/>
          </w:rPr>
        </w:r>
        <w:r w:rsidR="00344659">
          <w:rPr>
            <w:webHidden/>
          </w:rPr>
          <w:fldChar w:fldCharType="separate"/>
        </w:r>
        <w:r w:rsidR="00EA6DDF">
          <w:rPr>
            <w:webHidden/>
          </w:rPr>
          <w:t>10</w:t>
        </w:r>
        <w:r w:rsidR="00344659">
          <w:rPr>
            <w:webHidden/>
          </w:rPr>
          <w:fldChar w:fldCharType="end"/>
        </w:r>
      </w:hyperlink>
    </w:p>
    <w:p w14:paraId="165A1BF4" w14:textId="77777777" w:rsidR="00344659" w:rsidRDefault="00360621">
      <w:pPr>
        <w:pStyle w:val="TOC1"/>
        <w:rPr>
          <w:rFonts w:asciiTheme="minorHAnsi" w:eastAsiaTheme="minorEastAsia" w:hAnsiTheme="minorHAnsi" w:cstheme="minorBidi"/>
          <w:sz w:val="22"/>
          <w:szCs w:val="22"/>
        </w:rPr>
      </w:pPr>
      <w:hyperlink w:anchor="_Toc18311035" w:history="1">
        <w:r w:rsidR="00344659" w:rsidRPr="00DB41A4">
          <w:rPr>
            <w:rStyle w:val="Hyperlink"/>
          </w:rPr>
          <w:t>Adjustments and exclusions</w:t>
        </w:r>
        <w:r w:rsidR="00344659">
          <w:rPr>
            <w:webHidden/>
          </w:rPr>
          <w:tab/>
        </w:r>
        <w:r w:rsidR="00344659">
          <w:rPr>
            <w:webHidden/>
          </w:rPr>
          <w:fldChar w:fldCharType="begin"/>
        </w:r>
        <w:r w:rsidR="00344659">
          <w:rPr>
            <w:webHidden/>
          </w:rPr>
          <w:instrText xml:space="preserve"> PAGEREF _Toc18311035 \h </w:instrText>
        </w:r>
        <w:r w:rsidR="00344659">
          <w:rPr>
            <w:webHidden/>
          </w:rPr>
        </w:r>
        <w:r w:rsidR="00344659">
          <w:rPr>
            <w:webHidden/>
          </w:rPr>
          <w:fldChar w:fldCharType="separate"/>
        </w:r>
        <w:r w:rsidR="00EA6DDF">
          <w:rPr>
            <w:webHidden/>
          </w:rPr>
          <w:t>11</w:t>
        </w:r>
        <w:r w:rsidR="00344659">
          <w:rPr>
            <w:webHidden/>
          </w:rPr>
          <w:fldChar w:fldCharType="end"/>
        </w:r>
      </w:hyperlink>
    </w:p>
    <w:p w14:paraId="19EF0ED9" w14:textId="77777777" w:rsidR="00344659" w:rsidRDefault="00360621">
      <w:pPr>
        <w:pStyle w:val="TOC1"/>
        <w:rPr>
          <w:rFonts w:asciiTheme="minorHAnsi" w:eastAsiaTheme="minorEastAsia" w:hAnsiTheme="minorHAnsi" w:cstheme="minorBidi"/>
          <w:sz w:val="22"/>
          <w:szCs w:val="22"/>
        </w:rPr>
      </w:pPr>
      <w:hyperlink w:anchor="_Toc18311036" w:history="1">
        <w:r w:rsidR="00344659" w:rsidRPr="00DB41A4">
          <w:rPr>
            <w:rStyle w:val="Hyperlink"/>
          </w:rPr>
          <w:t>Previous exercise of discretion</w:t>
        </w:r>
        <w:r w:rsidR="00344659">
          <w:rPr>
            <w:webHidden/>
          </w:rPr>
          <w:tab/>
        </w:r>
        <w:r w:rsidR="00344659">
          <w:rPr>
            <w:webHidden/>
          </w:rPr>
          <w:fldChar w:fldCharType="begin"/>
        </w:r>
        <w:r w:rsidR="00344659">
          <w:rPr>
            <w:webHidden/>
          </w:rPr>
          <w:instrText xml:space="preserve"> PAGEREF _Toc18311036 \h </w:instrText>
        </w:r>
        <w:r w:rsidR="00344659">
          <w:rPr>
            <w:webHidden/>
          </w:rPr>
        </w:r>
        <w:r w:rsidR="00344659">
          <w:rPr>
            <w:webHidden/>
          </w:rPr>
          <w:fldChar w:fldCharType="separate"/>
        </w:r>
        <w:r w:rsidR="00EA6DDF">
          <w:rPr>
            <w:webHidden/>
          </w:rPr>
          <w:t>11</w:t>
        </w:r>
        <w:r w:rsidR="00344659">
          <w:rPr>
            <w:webHidden/>
          </w:rPr>
          <w:fldChar w:fldCharType="end"/>
        </w:r>
      </w:hyperlink>
    </w:p>
    <w:p w14:paraId="03195EF2" w14:textId="3A501B16" w:rsidR="00344659" w:rsidRDefault="00360621">
      <w:pPr>
        <w:pStyle w:val="TOC2"/>
        <w:rPr>
          <w:rFonts w:asciiTheme="minorHAnsi" w:eastAsiaTheme="minorEastAsia" w:hAnsiTheme="minorHAnsi" w:cstheme="minorBidi"/>
          <w:sz w:val="22"/>
          <w:szCs w:val="22"/>
        </w:rPr>
      </w:pPr>
      <w:hyperlink w:anchor="_Toc18311037" w:history="1">
        <w:r w:rsidR="00344659" w:rsidRPr="00DB41A4">
          <w:rPr>
            <w:rStyle w:val="Hyperlink"/>
          </w:rPr>
          <w:t>Attachment A</w:t>
        </w:r>
        <w:r w:rsidR="009D38FF">
          <w:rPr>
            <w:rStyle w:val="Hyperlink"/>
          </w:rPr>
          <w:t xml:space="preserve"> </w:t>
        </w:r>
        <w:r w:rsidR="00344659" w:rsidRPr="00DB41A4">
          <w:rPr>
            <w:rStyle w:val="Hyperlink"/>
          </w:rPr>
          <w:t>—</w:t>
        </w:r>
        <w:r w:rsidR="009D38FF">
          <w:rPr>
            <w:rStyle w:val="Hyperlink"/>
          </w:rPr>
          <w:t xml:space="preserve"> </w:t>
        </w:r>
        <w:r w:rsidR="00344659" w:rsidRPr="00DB41A4">
          <w:rPr>
            <w:rStyle w:val="Hyperlink"/>
          </w:rPr>
          <w:t>Measuring large exposure values</w:t>
        </w:r>
        <w:r w:rsidR="00344659">
          <w:rPr>
            <w:webHidden/>
          </w:rPr>
          <w:tab/>
        </w:r>
        <w:r w:rsidR="00344659">
          <w:rPr>
            <w:webHidden/>
          </w:rPr>
          <w:fldChar w:fldCharType="begin"/>
        </w:r>
        <w:r w:rsidR="00344659">
          <w:rPr>
            <w:webHidden/>
          </w:rPr>
          <w:instrText xml:space="preserve"> PAGEREF _Toc18311037 \h </w:instrText>
        </w:r>
        <w:r w:rsidR="00344659">
          <w:rPr>
            <w:webHidden/>
          </w:rPr>
        </w:r>
        <w:r w:rsidR="00344659">
          <w:rPr>
            <w:webHidden/>
          </w:rPr>
          <w:fldChar w:fldCharType="separate"/>
        </w:r>
        <w:r w:rsidR="00EA6DDF">
          <w:rPr>
            <w:webHidden/>
          </w:rPr>
          <w:t>12</w:t>
        </w:r>
        <w:r w:rsidR="00344659">
          <w:rPr>
            <w:webHidden/>
          </w:rPr>
          <w:fldChar w:fldCharType="end"/>
        </w:r>
      </w:hyperlink>
    </w:p>
    <w:p w14:paraId="343E880D" w14:textId="467B6AEF" w:rsidR="009D467A" w:rsidRPr="00AC1B1C" w:rsidRDefault="00FC7085" w:rsidP="00CE3E1C">
      <w:pPr>
        <w:pStyle w:val="NoSpacing"/>
        <w:jc w:val="both"/>
      </w:pPr>
      <w:r>
        <w:rPr>
          <w:rFonts w:asciiTheme="minorHAnsi" w:hAnsiTheme="minorHAnsi" w:cstheme="minorHAnsi"/>
        </w:rPr>
        <w:fldChar w:fldCharType="end"/>
      </w:r>
    </w:p>
    <w:p w14:paraId="5DF63443" w14:textId="596D8F8C" w:rsidR="00E96B6D" w:rsidRPr="00AC1B1C" w:rsidRDefault="00E96B6D" w:rsidP="00CE3E1C">
      <w:pPr>
        <w:pStyle w:val="Heading1"/>
        <w:jc w:val="both"/>
        <w:rPr>
          <w:b w:val="0"/>
        </w:rPr>
        <w:sectPr w:rsidR="00E96B6D" w:rsidRPr="00AC1B1C" w:rsidSect="000D63A8">
          <w:footerReference w:type="default" r:id="rId20"/>
          <w:pgSz w:w="11906" w:h="16838" w:code="9"/>
          <w:pgMar w:top="1440" w:right="1797" w:bottom="1440" w:left="1797" w:header="709" w:footer="709" w:gutter="0"/>
          <w:cols w:space="708"/>
          <w:docGrid w:linePitch="360"/>
        </w:sectPr>
      </w:pPr>
      <w:bookmarkStart w:id="11" w:name="_Toc314733116"/>
      <w:bookmarkStart w:id="12" w:name="_Toc341686774"/>
      <w:bookmarkEnd w:id="7"/>
      <w:bookmarkEnd w:id="8"/>
      <w:bookmarkEnd w:id="9"/>
      <w:bookmarkEnd w:id="10"/>
    </w:p>
    <w:p w14:paraId="493FCA80" w14:textId="77777777" w:rsidR="00E07F40" w:rsidRPr="00AC1B1C" w:rsidRDefault="00E07F40" w:rsidP="00CE3E1C">
      <w:pPr>
        <w:pStyle w:val="Heading1"/>
        <w:jc w:val="both"/>
      </w:pPr>
      <w:bookmarkStart w:id="13" w:name="_Toc497828909"/>
      <w:bookmarkStart w:id="14" w:name="_Toc18311022"/>
      <w:r w:rsidRPr="00AC1B1C">
        <w:lastRenderedPageBreak/>
        <w:t>Authority</w:t>
      </w:r>
      <w:bookmarkEnd w:id="11"/>
      <w:bookmarkEnd w:id="12"/>
      <w:bookmarkEnd w:id="13"/>
      <w:bookmarkEnd w:id="14"/>
    </w:p>
    <w:p w14:paraId="2F487A60" w14:textId="77777777" w:rsidR="00E07F40" w:rsidRPr="00AC1B1C" w:rsidRDefault="00E07F40" w:rsidP="00CE3E1C">
      <w:pPr>
        <w:pStyle w:val="BodyText1"/>
      </w:pPr>
      <w:r w:rsidRPr="00AC1B1C">
        <w:t xml:space="preserve">This Prudential Standard is made under section 11AF of the </w:t>
      </w:r>
      <w:r w:rsidRPr="00AC1B1C">
        <w:rPr>
          <w:i/>
          <w:iCs/>
        </w:rPr>
        <w:t xml:space="preserve">Banking Act 1959 </w:t>
      </w:r>
      <w:r w:rsidR="00FD2A94" w:rsidRPr="00AC1B1C">
        <w:t>(</w:t>
      </w:r>
      <w:r w:rsidRPr="00AC1B1C">
        <w:rPr>
          <w:b/>
        </w:rPr>
        <w:t>Banking Act</w:t>
      </w:r>
      <w:r w:rsidRPr="00AC1B1C">
        <w:t>).</w:t>
      </w:r>
      <w:r w:rsidR="00E96B6D" w:rsidRPr="00AC1B1C">
        <w:t xml:space="preserve"> </w:t>
      </w:r>
    </w:p>
    <w:p w14:paraId="0A8B819B" w14:textId="77777777" w:rsidR="00E07F40" w:rsidRPr="00AC1B1C" w:rsidRDefault="00E07F40" w:rsidP="00CE3E1C">
      <w:pPr>
        <w:pStyle w:val="Heading1"/>
        <w:jc w:val="both"/>
      </w:pPr>
      <w:bookmarkStart w:id="15" w:name="_Toc314733118"/>
      <w:bookmarkStart w:id="16" w:name="_Toc341686775"/>
      <w:bookmarkStart w:id="17" w:name="_Toc497828910"/>
      <w:bookmarkStart w:id="18" w:name="_Toc18311023"/>
      <w:r w:rsidRPr="00AC1B1C">
        <w:t>Application</w:t>
      </w:r>
      <w:bookmarkEnd w:id="15"/>
      <w:bookmarkEnd w:id="16"/>
      <w:bookmarkEnd w:id="17"/>
      <w:bookmarkEnd w:id="18"/>
    </w:p>
    <w:p w14:paraId="24F7CAC9" w14:textId="1182F7D8" w:rsidR="001C755C" w:rsidRPr="00AC1B1C" w:rsidRDefault="00E07F40" w:rsidP="00CE3E1C">
      <w:pPr>
        <w:pStyle w:val="BodyText1"/>
      </w:pPr>
      <w:bookmarkStart w:id="19" w:name="_Ref454389904"/>
      <w:r w:rsidRPr="00AC1B1C">
        <w:t>This Prudential Standard applies to</w:t>
      </w:r>
      <w:r w:rsidR="0080039A" w:rsidRPr="00AC1B1C">
        <w:t xml:space="preserve"> all authorised deposit-taking institutions (</w:t>
      </w:r>
      <w:r w:rsidR="0080039A" w:rsidRPr="00AC1B1C">
        <w:rPr>
          <w:b/>
        </w:rPr>
        <w:t>ADIs</w:t>
      </w:r>
      <w:r w:rsidR="0080039A" w:rsidRPr="00AC1B1C">
        <w:t xml:space="preserve">), subject to paragraph </w:t>
      </w:r>
      <w:r w:rsidR="00B0361B" w:rsidRPr="00050DA5">
        <w:fldChar w:fldCharType="begin"/>
      </w:r>
      <w:r w:rsidR="00B0361B" w:rsidRPr="00AC1B1C">
        <w:instrText xml:space="preserve"> REF _Ref459908204 \r \h  \* MERGEFORMAT </w:instrText>
      </w:r>
      <w:r w:rsidR="00B0361B" w:rsidRPr="00050DA5">
        <w:fldChar w:fldCharType="separate"/>
      </w:r>
      <w:r w:rsidR="00EA6DDF">
        <w:t>3</w:t>
      </w:r>
      <w:r w:rsidR="00B0361B" w:rsidRPr="00050DA5">
        <w:fldChar w:fldCharType="end"/>
      </w:r>
      <w:r w:rsidR="00DB66ED">
        <w:t xml:space="preserve"> of this Prudential Standard</w:t>
      </w:r>
      <w:r w:rsidRPr="00AC1B1C">
        <w:t>.</w:t>
      </w:r>
      <w:bookmarkEnd w:id="19"/>
    </w:p>
    <w:p w14:paraId="351C3987" w14:textId="77777777" w:rsidR="00E07F40" w:rsidRPr="00AC1B1C" w:rsidRDefault="00E07F40" w:rsidP="00CE3E1C">
      <w:pPr>
        <w:pStyle w:val="BodyText1"/>
      </w:pPr>
      <w:bookmarkStart w:id="20" w:name="_Ref459908204"/>
      <w:r w:rsidRPr="00AC1B1C">
        <w:t>This Prudential Standard does not apply to:</w:t>
      </w:r>
      <w:bookmarkEnd w:id="20"/>
    </w:p>
    <w:p w14:paraId="16D7BBCC" w14:textId="77777777" w:rsidR="0080039A" w:rsidRPr="00AC1B1C" w:rsidRDefault="0080039A" w:rsidP="00CE3E1C">
      <w:pPr>
        <w:pStyle w:val="BodyText2"/>
        <w:jc w:val="both"/>
      </w:pPr>
      <w:r w:rsidRPr="00AC1B1C">
        <w:rPr>
          <w:b/>
        </w:rPr>
        <w:t>purchased payment facility providers</w:t>
      </w:r>
      <w:r w:rsidRPr="00AC1B1C">
        <w:t>; or</w:t>
      </w:r>
    </w:p>
    <w:p w14:paraId="6D4C4D16" w14:textId="711CB5DD" w:rsidR="00E07F40" w:rsidRPr="00AC1B1C" w:rsidRDefault="0080039A" w:rsidP="00CE3E1C">
      <w:pPr>
        <w:pStyle w:val="BodyText2"/>
        <w:jc w:val="both"/>
      </w:pPr>
      <w:r w:rsidRPr="00AC1B1C">
        <w:rPr>
          <w:b/>
        </w:rPr>
        <w:t>foreign ADIs</w:t>
      </w:r>
      <w:r w:rsidRPr="00AC1B1C">
        <w:t xml:space="preserve"> that are subject to consolidated supervision by their home country supervisors in respect of credit concentrations and large exposure limits. However, foreign ADIs must detail their large exposure and risk concentration policies as well as the relevant </w:t>
      </w:r>
      <w:proofErr w:type="gramStart"/>
      <w:r w:rsidRPr="00AC1B1C">
        <w:t>high level</w:t>
      </w:r>
      <w:proofErr w:type="gramEnd"/>
      <w:r w:rsidRPr="00AC1B1C">
        <w:t xml:space="preserve"> controls in the </w:t>
      </w:r>
      <w:r w:rsidRPr="00AC1B1C">
        <w:rPr>
          <w:b/>
        </w:rPr>
        <w:t>risk management strategy</w:t>
      </w:r>
      <w:r w:rsidRPr="00AC1B1C">
        <w:t xml:space="preserve"> required under </w:t>
      </w:r>
      <w:r w:rsidRPr="00AC1B1C">
        <w:rPr>
          <w:i/>
        </w:rPr>
        <w:t xml:space="preserve">Prudential Standard CPS 220 Risk Management </w:t>
      </w:r>
      <w:r w:rsidRPr="00AC1B1C">
        <w:t xml:space="preserve">(CPS 220). As part of its prudential oversight of the Australian operations of a foreign ADI, APRA may discuss with the foreign ADI’s parent and home supervisor any undue credit risk concentrations associated with the foreign ADI’s Australian </w:t>
      </w:r>
      <w:r w:rsidR="00AB3A3E" w:rsidRPr="00AC1B1C">
        <w:t>operations</w:t>
      </w:r>
      <w:r w:rsidRPr="00AC1B1C">
        <w:t>.</w:t>
      </w:r>
    </w:p>
    <w:p w14:paraId="4FD6EC79" w14:textId="77777777" w:rsidR="00D62805" w:rsidRPr="00AC1B1C" w:rsidRDefault="00D62805" w:rsidP="00CE3E1C">
      <w:pPr>
        <w:pStyle w:val="BodyText1"/>
      </w:pPr>
      <w:r w:rsidRPr="00AC1B1C">
        <w:t xml:space="preserve">A reference to an ADI in this Prudential Standard, unless otherwise indicated, is a reference to: </w:t>
      </w:r>
    </w:p>
    <w:p w14:paraId="033AAECF" w14:textId="77777777" w:rsidR="008427F0" w:rsidRPr="00AC1B1C" w:rsidRDefault="008427F0" w:rsidP="00CE3E1C">
      <w:pPr>
        <w:pStyle w:val="BodyText2"/>
        <w:jc w:val="both"/>
      </w:pPr>
      <w:r w:rsidRPr="00AC1B1C">
        <w:t xml:space="preserve">an ADI on a </w:t>
      </w:r>
      <w:r w:rsidRPr="00AC1B1C">
        <w:rPr>
          <w:b/>
        </w:rPr>
        <w:t xml:space="preserve">Level 1 </w:t>
      </w:r>
      <w:r w:rsidRPr="00AC1B1C">
        <w:t xml:space="preserve">basis; and </w:t>
      </w:r>
    </w:p>
    <w:p w14:paraId="7D50EE4C" w14:textId="41F7439A" w:rsidR="008427F0" w:rsidRPr="00AC1B1C" w:rsidRDefault="008427F0" w:rsidP="00CE3E1C">
      <w:pPr>
        <w:pStyle w:val="BodyText2"/>
        <w:jc w:val="both"/>
      </w:pPr>
      <w:r w:rsidRPr="00AC1B1C">
        <w:t xml:space="preserve">a </w:t>
      </w:r>
      <w:r w:rsidRPr="00AC1B1C">
        <w:rPr>
          <w:b/>
        </w:rPr>
        <w:t>group</w:t>
      </w:r>
      <w:r w:rsidRPr="00AC1B1C">
        <w:t xml:space="preserve"> of which an ADI is a member on a </w:t>
      </w:r>
      <w:r w:rsidRPr="00AC1B1C">
        <w:rPr>
          <w:b/>
        </w:rPr>
        <w:t xml:space="preserve">Level 2 </w:t>
      </w:r>
      <w:r w:rsidRPr="00AC1B1C">
        <w:t xml:space="preserve">basis. </w:t>
      </w:r>
    </w:p>
    <w:p w14:paraId="24D2D52C" w14:textId="77777777" w:rsidR="00E96B6D" w:rsidRPr="00AC1B1C" w:rsidRDefault="00C738FF" w:rsidP="00CE3E1C">
      <w:pPr>
        <w:pStyle w:val="BodyText1"/>
      </w:pPr>
      <w:r w:rsidRPr="00AC1B1C">
        <w:t>If an ADI to which this Prudential Standard applies is:</w:t>
      </w:r>
    </w:p>
    <w:p w14:paraId="4748B141" w14:textId="77777777" w:rsidR="00C738FF" w:rsidRPr="00AC1B1C" w:rsidRDefault="00C738FF" w:rsidP="00CE3E1C">
      <w:pPr>
        <w:pStyle w:val="BodyText2"/>
        <w:jc w:val="both"/>
      </w:pPr>
      <w:r w:rsidRPr="00AC1B1C">
        <w:t>the holding company for a group, the ADI must ensure that the requirements in this Prudential Standard are met on a Level 2 basis, where applicable; or</w:t>
      </w:r>
    </w:p>
    <w:p w14:paraId="4AC4F443" w14:textId="5C6541B3" w:rsidR="00C738FF" w:rsidRPr="00AC1B1C" w:rsidRDefault="00C738FF" w:rsidP="00CE3E1C">
      <w:pPr>
        <w:pStyle w:val="BodyText2"/>
        <w:jc w:val="both"/>
      </w:pPr>
      <w:r w:rsidRPr="00AC1B1C">
        <w:t xml:space="preserve">a </w:t>
      </w:r>
      <w:r w:rsidRPr="003E386F">
        <w:rPr>
          <w:b/>
        </w:rPr>
        <w:t>subsidiary</w:t>
      </w:r>
      <w:r w:rsidRPr="00AC1B1C">
        <w:t xml:space="preserve"> of an authorised </w:t>
      </w:r>
      <w:r w:rsidRPr="00AC1B1C">
        <w:rPr>
          <w:b/>
        </w:rPr>
        <w:t>non-operating holding company</w:t>
      </w:r>
      <w:r w:rsidRPr="00AC1B1C">
        <w:t xml:space="preserve"> (</w:t>
      </w:r>
      <w:r w:rsidRPr="00AC1B1C">
        <w:rPr>
          <w:b/>
        </w:rPr>
        <w:t>authorised NOHC</w:t>
      </w:r>
      <w:r w:rsidRPr="00AC1B1C">
        <w:t>),</w:t>
      </w:r>
      <w:r w:rsidRPr="00AC1B1C">
        <w:rPr>
          <w:b/>
        </w:rPr>
        <w:t xml:space="preserve"> </w:t>
      </w:r>
      <w:r w:rsidRPr="00AC1B1C">
        <w:t xml:space="preserve">the authorised NOHC must ensure that the requirements in this Prudential Standard are met on a Level 2 basis, where applicable. </w:t>
      </w:r>
    </w:p>
    <w:p w14:paraId="2A9881F6" w14:textId="548B59BB" w:rsidR="00AF37D5" w:rsidRPr="00AC1B1C" w:rsidRDefault="00AF37D5" w:rsidP="00AF37D5">
      <w:pPr>
        <w:pStyle w:val="BodyText1"/>
      </w:pPr>
      <w:r w:rsidRPr="00AC1B1C">
        <w:t xml:space="preserve">This Prudential Standard commences on </w:t>
      </w:r>
      <w:r w:rsidRPr="00CE67FD">
        <w:t>1 January 20</w:t>
      </w:r>
      <w:r w:rsidR="002D21C8" w:rsidRPr="00CE67FD">
        <w:t>2</w:t>
      </w:r>
      <w:r w:rsidR="006E0CE7">
        <w:t>3</w:t>
      </w:r>
      <w:r w:rsidRPr="00AC1B1C">
        <w:t>.</w:t>
      </w:r>
    </w:p>
    <w:p w14:paraId="00DB8C87" w14:textId="77777777" w:rsidR="00E83A76" w:rsidRPr="00AC1B1C" w:rsidRDefault="004F2F91" w:rsidP="00CE3E1C">
      <w:pPr>
        <w:pStyle w:val="Heading1"/>
        <w:jc w:val="both"/>
      </w:pPr>
      <w:bookmarkStart w:id="21" w:name="_Toc497828911"/>
      <w:bookmarkStart w:id="22" w:name="_Toc18311024"/>
      <w:r w:rsidRPr="00AC1B1C">
        <w:t>Interpretatio</w:t>
      </w:r>
      <w:r w:rsidR="00D8639B" w:rsidRPr="00AC1B1C">
        <w:t>n</w:t>
      </w:r>
      <w:bookmarkEnd w:id="21"/>
      <w:bookmarkEnd w:id="22"/>
    </w:p>
    <w:p w14:paraId="01AAD6E3" w14:textId="77777777" w:rsidR="00E83A76" w:rsidRPr="00AC1B1C" w:rsidRDefault="005077B4" w:rsidP="00CE3E1C">
      <w:pPr>
        <w:pStyle w:val="BodyText1"/>
      </w:pPr>
      <w:r w:rsidRPr="00AC1B1C">
        <w:t xml:space="preserve">Terms that are defined in </w:t>
      </w:r>
      <w:r w:rsidRPr="00AC1B1C">
        <w:rPr>
          <w:i/>
        </w:rPr>
        <w:t xml:space="preserve">Prudential Standard APS 001 Definitions </w:t>
      </w:r>
      <w:r w:rsidRPr="00AC1B1C">
        <w:t>appear in bold the first time they are used in this Prudential Standard</w:t>
      </w:r>
      <w:r w:rsidRPr="00AC1B1C">
        <w:rPr>
          <w:i/>
        </w:rPr>
        <w:t>.</w:t>
      </w:r>
    </w:p>
    <w:p w14:paraId="12026CA7" w14:textId="6970C76E" w:rsidR="005077B4" w:rsidRPr="00AC1B1C" w:rsidRDefault="005077B4" w:rsidP="00CE3E1C">
      <w:pPr>
        <w:pStyle w:val="BodyText1"/>
      </w:pPr>
      <w:r w:rsidRPr="00AC1B1C">
        <w:t>Where this Prudential Standard provides for APRA to exercise a power or discretion, this power or discretion is to be exercised in writing.</w:t>
      </w:r>
      <w:r w:rsidR="001C74AA" w:rsidRPr="00AC1B1C">
        <w:t xml:space="preserve"> In this Prudential Standard, unless the contrary intention appears, a reference to an Act, </w:t>
      </w:r>
      <w:r w:rsidR="001C74AA" w:rsidRPr="00AC1B1C">
        <w:lastRenderedPageBreak/>
        <w:t>Regulations</w:t>
      </w:r>
      <w:r w:rsidR="009F44F8">
        <w:t>,</w:t>
      </w:r>
      <w:r w:rsidR="001C74AA" w:rsidRPr="00AC1B1C">
        <w:t xml:space="preserve"> Prudential Standard</w:t>
      </w:r>
      <w:r w:rsidR="009F44F8">
        <w:t xml:space="preserve"> or</w:t>
      </w:r>
      <w:r w:rsidR="001C74AA" w:rsidRPr="00AC1B1C">
        <w:t xml:space="preserve"> </w:t>
      </w:r>
      <w:r w:rsidR="009F44F8" w:rsidRPr="00AC1B1C">
        <w:rPr>
          <w:b/>
        </w:rPr>
        <w:t>Australian Accounting Standards</w:t>
      </w:r>
      <w:r w:rsidR="009F44F8" w:rsidRPr="00AC1B1C">
        <w:t xml:space="preserve"> </w:t>
      </w:r>
      <w:r w:rsidR="001C74AA" w:rsidRPr="00AC1B1C">
        <w:t>is a reference t</w:t>
      </w:r>
      <w:r w:rsidR="009A0CAD" w:rsidRPr="00AC1B1C">
        <w:t xml:space="preserve">o the </w:t>
      </w:r>
      <w:r w:rsidR="009F44F8">
        <w:t xml:space="preserve">instrument </w:t>
      </w:r>
      <w:r w:rsidR="001C74AA" w:rsidRPr="00AC1B1C">
        <w:t>as in force from time to time.</w:t>
      </w:r>
    </w:p>
    <w:p w14:paraId="1786F916" w14:textId="4BCE4D4A" w:rsidR="00B221B5" w:rsidRPr="00AC1B1C" w:rsidRDefault="00B221B5" w:rsidP="00B221B5">
      <w:pPr>
        <w:pStyle w:val="Heading1"/>
        <w:jc w:val="both"/>
      </w:pPr>
      <w:bookmarkStart w:id="23" w:name="_Toc497828912"/>
      <w:bookmarkStart w:id="24" w:name="_Toc18311025"/>
      <w:r w:rsidRPr="00AC1B1C">
        <w:t>Definition</w:t>
      </w:r>
      <w:r w:rsidR="006822BC" w:rsidRPr="00AC1B1C">
        <w:t>s</w:t>
      </w:r>
      <w:bookmarkEnd w:id="23"/>
      <w:bookmarkEnd w:id="24"/>
    </w:p>
    <w:p w14:paraId="6B124C22" w14:textId="2666ABF4" w:rsidR="00B221B5" w:rsidRPr="00AC1B1C" w:rsidRDefault="006822BC" w:rsidP="009E55D8">
      <w:pPr>
        <w:pStyle w:val="BodyText1"/>
      </w:pPr>
      <w:r w:rsidRPr="00AC1B1C">
        <w:t>The following definition</w:t>
      </w:r>
      <w:r w:rsidR="001138FC" w:rsidRPr="00AC1B1C">
        <w:t>s</w:t>
      </w:r>
      <w:r w:rsidRPr="00AC1B1C">
        <w:t xml:space="preserve"> </w:t>
      </w:r>
      <w:r w:rsidR="001138FC" w:rsidRPr="00AC1B1C">
        <w:t>are</w:t>
      </w:r>
      <w:r w:rsidRPr="00AC1B1C">
        <w:t xml:space="preserve"> used in this Prudential Standard</w:t>
      </w:r>
      <w:r w:rsidRPr="00F44310">
        <w:t>:</w:t>
      </w:r>
      <w:r w:rsidR="00F85024" w:rsidRPr="00AC1B1C" w:rsidDel="00F85024">
        <w:rPr>
          <w:rStyle w:val="FootnoteReference"/>
        </w:rPr>
        <w:t xml:space="preserve"> </w:t>
      </w:r>
    </w:p>
    <w:p w14:paraId="3AF93FCD" w14:textId="4A8AC684" w:rsidR="00DE186A" w:rsidRPr="00AC1B1C" w:rsidRDefault="00323331" w:rsidP="009E55D8">
      <w:pPr>
        <w:pStyle w:val="BodyText2"/>
        <w:jc w:val="both"/>
      </w:pPr>
      <w:r w:rsidRPr="00EF1B2E">
        <w:rPr>
          <w:i/>
        </w:rPr>
        <w:t>g</w:t>
      </w:r>
      <w:r w:rsidR="00EC1407" w:rsidRPr="00EF1B2E">
        <w:rPr>
          <w:i/>
        </w:rPr>
        <w:t>overnment-related entity</w:t>
      </w:r>
      <w:r w:rsidR="00EC1407" w:rsidRPr="00AC1B1C">
        <w:t xml:space="preserve"> </w:t>
      </w:r>
      <w:r w:rsidR="00365A1B" w:rsidRPr="00AC1B1C">
        <w:t>means a public sector entity</w:t>
      </w:r>
      <w:r w:rsidR="006F418F" w:rsidRPr="00AC1B1C">
        <w:t>, a state</w:t>
      </w:r>
      <w:r w:rsidR="00AB1CFB" w:rsidRPr="00AC1B1C">
        <w:t>-</w:t>
      </w:r>
      <w:r w:rsidR="006F418F" w:rsidRPr="00AC1B1C">
        <w:t>owned enterprise</w:t>
      </w:r>
      <w:r w:rsidR="00F078F1" w:rsidRPr="00AC1B1C">
        <w:t xml:space="preserve"> </w:t>
      </w:r>
      <w:r w:rsidR="00612A9F" w:rsidRPr="00AC1B1C">
        <w:t xml:space="preserve">or </w:t>
      </w:r>
      <w:r w:rsidR="000040DE" w:rsidRPr="00AC1B1C">
        <w:t>an entity</w:t>
      </w:r>
      <w:r w:rsidR="00EC1407" w:rsidRPr="00AC1B1C">
        <w:t xml:space="preserve"> controlled (whether directly or indirectly) </w:t>
      </w:r>
      <w:proofErr w:type="gramStart"/>
      <w:r w:rsidR="00EC1407" w:rsidRPr="00AC1B1C">
        <w:t xml:space="preserve">by </w:t>
      </w:r>
      <w:r w:rsidR="00612A9F" w:rsidRPr="00AC1B1C">
        <w:t xml:space="preserve"> </w:t>
      </w:r>
      <w:r w:rsidR="00EC1407" w:rsidRPr="00AC1B1C">
        <w:t>any</w:t>
      </w:r>
      <w:proofErr w:type="gramEnd"/>
      <w:r w:rsidR="00EC1407" w:rsidRPr="00AC1B1C">
        <w:t xml:space="preserve"> level of government </w:t>
      </w:r>
      <w:r w:rsidR="00DD1A4C" w:rsidRPr="00AC1B1C">
        <w:t>or</w:t>
      </w:r>
      <w:r w:rsidR="00EC1407" w:rsidRPr="00AC1B1C">
        <w:t xml:space="preserve"> </w:t>
      </w:r>
      <w:r w:rsidR="0023270E" w:rsidRPr="00AC1B1C">
        <w:t xml:space="preserve">a </w:t>
      </w:r>
      <w:r w:rsidR="00EC1407" w:rsidRPr="00AC1B1C">
        <w:t>central bank</w:t>
      </w:r>
      <w:r>
        <w:t>;</w:t>
      </w:r>
    </w:p>
    <w:p w14:paraId="23DF4D3C" w14:textId="7F56E97A" w:rsidR="00323331" w:rsidRDefault="00323331" w:rsidP="009E55D8">
      <w:pPr>
        <w:pStyle w:val="BodyText2"/>
        <w:jc w:val="both"/>
      </w:pPr>
      <w:r w:rsidRPr="00EF1B2E">
        <w:rPr>
          <w:i/>
        </w:rPr>
        <w:t>group of connected counterparties</w:t>
      </w:r>
      <w:r w:rsidR="00520D37">
        <w:t xml:space="preserve"> has the meaning given in paragraph </w:t>
      </w:r>
      <w:r w:rsidR="00233686">
        <w:fldChar w:fldCharType="begin"/>
      </w:r>
      <w:r w:rsidR="00233686">
        <w:instrText xml:space="preserve"> REF _Ref497931575 \r \h </w:instrText>
      </w:r>
      <w:r w:rsidR="00233686">
        <w:fldChar w:fldCharType="separate"/>
      </w:r>
      <w:r w:rsidR="00EA6DDF">
        <w:t>21</w:t>
      </w:r>
      <w:r w:rsidR="00233686">
        <w:fldChar w:fldCharType="end"/>
      </w:r>
      <w:r w:rsidR="00520D37">
        <w:t xml:space="preserve"> of this Prudential Standard; and</w:t>
      </w:r>
    </w:p>
    <w:p w14:paraId="728D3BFC" w14:textId="0BB37539" w:rsidR="006822BC" w:rsidRPr="00AC1B1C" w:rsidRDefault="00323331" w:rsidP="009E55D8">
      <w:pPr>
        <w:pStyle w:val="BodyText2"/>
        <w:jc w:val="both"/>
      </w:pPr>
      <w:r w:rsidRPr="00EF1B2E">
        <w:rPr>
          <w:i/>
        </w:rPr>
        <w:t>r</w:t>
      </w:r>
      <w:r w:rsidR="00DE186A" w:rsidRPr="00EF1B2E">
        <w:rPr>
          <w:i/>
        </w:rPr>
        <w:t xml:space="preserve">etail </w:t>
      </w:r>
      <w:r w:rsidR="009C04C8" w:rsidRPr="00EF1B2E">
        <w:rPr>
          <w:i/>
        </w:rPr>
        <w:t>exposure</w:t>
      </w:r>
      <w:r w:rsidR="009C04C8" w:rsidRPr="00AC1B1C">
        <w:t xml:space="preserve"> means an exposure to a </w:t>
      </w:r>
      <w:r w:rsidR="00DE186A" w:rsidRPr="00AC1B1C">
        <w:t xml:space="preserve">counterparty </w:t>
      </w:r>
      <w:r w:rsidR="00847612" w:rsidRPr="00AC1B1C">
        <w:t>who</w:t>
      </w:r>
      <w:r w:rsidR="00097445" w:rsidRPr="00AC1B1C">
        <w:t xml:space="preserve"> is a natural person</w:t>
      </w:r>
      <w:r w:rsidR="00614AA8" w:rsidRPr="00AC1B1C">
        <w:t xml:space="preserve"> o</w:t>
      </w:r>
      <w:r w:rsidR="00614AA8" w:rsidRPr="00AC1B1C">
        <w:rPr>
          <w:rStyle w:val="CommentReference"/>
          <w:sz w:val="24"/>
          <w:szCs w:val="24"/>
        </w:rPr>
        <w:t xml:space="preserve">r </w:t>
      </w:r>
      <w:r w:rsidR="00847612" w:rsidRPr="00EF1B2E">
        <w:rPr>
          <w:rStyle w:val="CommentReference"/>
          <w:sz w:val="24"/>
          <w:szCs w:val="24"/>
        </w:rPr>
        <w:t xml:space="preserve">for </w:t>
      </w:r>
      <w:r w:rsidR="00614AA8" w:rsidRPr="00AC1B1C">
        <w:rPr>
          <w:rStyle w:val="CommentReference"/>
          <w:sz w:val="24"/>
          <w:szCs w:val="24"/>
        </w:rPr>
        <w:t xml:space="preserve">an ADI </w:t>
      </w:r>
      <w:r w:rsidR="00847612" w:rsidRPr="00EF1B2E">
        <w:rPr>
          <w:rStyle w:val="CommentReference"/>
          <w:sz w:val="24"/>
          <w:szCs w:val="24"/>
        </w:rPr>
        <w:t>subject to</w:t>
      </w:r>
      <w:r w:rsidR="00614AA8" w:rsidRPr="00AC1B1C">
        <w:rPr>
          <w:rStyle w:val="CommentReference"/>
          <w:sz w:val="24"/>
          <w:szCs w:val="24"/>
        </w:rPr>
        <w:t xml:space="preserve"> </w:t>
      </w:r>
      <w:r w:rsidR="00614AA8" w:rsidRPr="00AC1B1C" w:rsidDel="00AA7D06">
        <w:rPr>
          <w:i/>
        </w:rPr>
        <w:t>Prudential Standard APS 113 Capital Adequacy: Internal Ratings-based Approach to Credit Risk</w:t>
      </w:r>
      <w:r w:rsidR="00614AA8" w:rsidRPr="00AC1B1C">
        <w:rPr>
          <w:i/>
        </w:rPr>
        <w:t xml:space="preserve"> </w:t>
      </w:r>
      <w:r w:rsidR="00614AA8" w:rsidRPr="00AC1B1C">
        <w:t xml:space="preserve">(APS 113) </w:t>
      </w:r>
      <w:r w:rsidR="00847612" w:rsidRPr="00EF1B2E">
        <w:t>a</w:t>
      </w:r>
      <w:r w:rsidR="009C04C8" w:rsidRPr="00EF1B2E">
        <w:t xml:space="preserve">n exposure </w:t>
      </w:r>
      <w:r w:rsidR="009C04C8" w:rsidRPr="00AC1B1C">
        <w:t xml:space="preserve">categorised as a retail </w:t>
      </w:r>
      <w:r w:rsidR="00883358" w:rsidRPr="00AC1B1C">
        <w:t>exposure</w:t>
      </w:r>
      <w:r w:rsidR="009C04C8" w:rsidRPr="00AC1B1C">
        <w:t xml:space="preserve"> for the purposes of APS 113</w:t>
      </w:r>
      <w:r w:rsidR="00614AA8" w:rsidRPr="00AC1B1C">
        <w:t>.</w:t>
      </w:r>
    </w:p>
    <w:p w14:paraId="0647DBB4" w14:textId="77777777" w:rsidR="00294C46" w:rsidRPr="00AC1B1C" w:rsidRDefault="00294C46" w:rsidP="00CE3E1C">
      <w:pPr>
        <w:pStyle w:val="Heading1"/>
        <w:jc w:val="both"/>
      </w:pPr>
      <w:bookmarkStart w:id="25" w:name="_Toc497828914"/>
      <w:bookmarkStart w:id="26" w:name="_Toc18311026"/>
      <w:r w:rsidRPr="00AC1B1C">
        <w:t>The role of the Board</w:t>
      </w:r>
      <w:bookmarkEnd w:id="25"/>
      <w:bookmarkEnd w:id="26"/>
    </w:p>
    <w:p w14:paraId="0DC43547" w14:textId="20785920" w:rsidR="00294C46" w:rsidRPr="00AC1B1C" w:rsidRDefault="0015110D" w:rsidP="00CE3E1C">
      <w:pPr>
        <w:pStyle w:val="BodyText1"/>
      </w:pPr>
      <w:r w:rsidRPr="00AC1B1C">
        <w:t>The Board of directors (</w:t>
      </w:r>
      <w:r w:rsidRPr="00AC1B1C">
        <w:rPr>
          <w:b/>
        </w:rPr>
        <w:t>Board</w:t>
      </w:r>
      <w:r w:rsidRPr="00AC1B1C">
        <w:t xml:space="preserve">) of an ADI is ultimately responsible for the </w:t>
      </w:r>
      <w:r w:rsidR="00A41648" w:rsidRPr="00AC1B1C">
        <w:t xml:space="preserve">oversight of the </w:t>
      </w:r>
      <w:r w:rsidRPr="00AC1B1C">
        <w:t xml:space="preserve">ADI’s large exposures and risk concentrations and for approving policies governing large exposures and risk concentrations of the ADI. The Board must </w:t>
      </w:r>
      <w:r w:rsidRPr="00AC1B1C">
        <w:rPr>
          <w:b/>
        </w:rPr>
        <w:t>ensure</w:t>
      </w:r>
      <w:r w:rsidRPr="00AC1B1C">
        <w:t xml:space="preserve"> that these policies are reviewed regularly (at least annually) and that they remain adequate and appropriate for the ADI’s risk appetite, risk profile, capital and balance sheet size. </w:t>
      </w:r>
    </w:p>
    <w:p w14:paraId="27D53356" w14:textId="77777777" w:rsidR="00783907" w:rsidRPr="00AC1B1C" w:rsidRDefault="00783907" w:rsidP="00CE3E1C">
      <w:pPr>
        <w:pStyle w:val="Heading1"/>
        <w:jc w:val="both"/>
      </w:pPr>
      <w:bookmarkStart w:id="27" w:name="_Toc497828915"/>
      <w:bookmarkStart w:id="28" w:name="_Toc18311027"/>
      <w:r w:rsidRPr="00AC1B1C">
        <w:t>Control of large exposures and risk concentrations</w:t>
      </w:r>
      <w:bookmarkEnd w:id="27"/>
      <w:bookmarkEnd w:id="28"/>
    </w:p>
    <w:p w14:paraId="0116CCCD" w14:textId="366E1AE3" w:rsidR="00C54791" w:rsidRPr="00AC1B1C" w:rsidRDefault="00AD3F32" w:rsidP="00C54791">
      <w:pPr>
        <w:pStyle w:val="BodyText1"/>
      </w:pPr>
      <w:r>
        <w:t xml:space="preserve">An ADI’s </w:t>
      </w:r>
      <w:r w:rsidR="00C54791" w:rsidRPr="00AC1B1C">
        <w:t xml:space="preserve">large exposures and risk concentrations </w:t>
      </w:r>
      <w:r w:rsidR="00432C7A">
        <w:t xml:space="preserve">policy </w:t>
      </w:r>
      <w:r>
        <w:t xml:space="preserve">must </w:t>
      </w:r>
      <w:proofErr w:type="gramStart"/>
      <w:r>
        <w:t xml:space="preserve">give consideration </w:t>
      </w:r>
      <w:r w:rsidR="00C54791" w:rsidRPr="00AC1B1C">
        <w:t>to</w:t>
      </w:r>
      <w:proofErr w:type="gramEnd"/>
      <w:r w:rsidR="00C54791" w:rsidRPr="00AC1B1C">
        <w:t xml:space="preserve"> particular counterparties,</w:t>
      </w:r>
      <w:r w:rsidR="001F720C">
        <w:t xml:space="preserve"> groups of connected counterparties,</w:t>
      </w:r>
      <w:r w:rsidR="00C54791" w:rsidRPr="00AC1B1C">
        <w:t xml:space="preserve"> industries, countries and asset classes </w:t>
      </w:r>
      <w:r w:rsidR="00AC2396">
        <w:t xml:space="preserve">and </w:t>
      </w:r>
      <w:r w:rsidR="00C54791" w:rsidRPr="00AC1B1C">
        <w:t xml:space="preserve">form part of </w:t>
      </w:r>
      <w:r>
        <w:t>the</w:t>
      </w:r>
      <w:r w:rsidRPr="00AC1B1C">
        <w:t xml:space="preserve"> </w:t>
      </w:r>
      <w:smartTag w:uri="urn:schemas-microsoft-com:office:smarttags" w:element="stockticker">
        <w:r w:rsidR="00C54791" w:rsidRPr="00AC1B1C">
          <w:t>ADI</w:t>
        </w:r>
      </w:smartTag>
      <w:r w:rsidR="00C54791" w:rsidRPr="00AC1B1C">
        <w:t xml:space="preserve">'s risk management strategy and </w:t>
      </w:r>
      <w:r w:rsidR="00C54791" w:rsidRPr="00AC1B1C">
        <w:rPr>
          <w:b/>
        </w:rPr>
        <w:t xml:space="preserve">risk management framework </w:t>
      </w:r>
      <w:r w:rsidR="00C54791" w:rsidRPr="00AC1B1C">
        <w:t xml:space="preserve">required under CPS 220. </w:t>
      </w:r>
      <w:r w:rsidR="00C54791">
        <w:t>U</w:t>
      </w:r>
      <w:r w:rsidR="00C54791" w:rsidRPr="00AC1B1C">
        <w:t>nlimited exposures to any individual counterparty (e.g</w:t>
      </w:r>
      <w:r w:rsidR="00C54791">
        <w:t>.</w:t>
      </w:r>
      <w:r w:rsidR="00C54791" w:rsidRPr="00AC1B1C">
        <w:t xml:space="preserve"> a general guarantee of the obligations of a counterparty) is not permitted. </w:t>
      </w:r>
    </w:p>
    <w:p w14:paraId="391F2762" w14:textId="4D5F7E65" w:rsidR="00783907" w:rsidRPr="00AC1B1C" w:rsidRDefault="00B22A8F" w:rsidP="00CE3E1C">
      <w:pPr>
        <w:pStyle w:val="BodyText1"/>
      </w:pPr>
      <w:r w:rsidRPr="00AC1B1C">
        <w:t>An ADI</w:t>
      </w:r>
      <w:r w:rsidR="00DC2084">
        <w:t>’s</w:t>
      </w:r>
      <w:r w:rsidRPr="00AC1B1C">
        <w:t xml:space="preserve"> policies on large exposures and risk concentrations </w:t>
      </w:r>
      <w:r w:rsidR="00DC2084">
        <w:t>must,</w:t>
      </w:r>
      <w:r w:rsidRPr="00AC1B1C">
        <w:t xml:space="preserve"> at a minimum, cover:</w:t>
      </w:r>
    </w:p>
    <w:p w14:paraId="0B1CFA81" w14:textId="77777777" w:rsidR="00B22A8F" w:rsidRPr="00AC1B1C" w:rsidRDefault="00B22A8F" w:rsidP="00CE3E1C">
      <w:pPr>
        <w:pStyle w:val="BodyText2"/>
        <w:jc w:val="both"/>
      </w:pPr>
      <w:r w:rsidRPr="00AC1B1C">
        <w:t>exposure limits for:</w:t>
      </w:r>
    </w:p>
    <w:p w14:paraId="71C2E055" w14:textId="1F2B8BB4" w:rsidR="00B22A8F" w:rsidRPr="00AC1B1C" w:rsidRDefault="00B22A8F" w:rsidP="00CD6CDF">
      <w:pPr>
        <w:pStyle w:val="BodyText3"/>
        <w:jc w:val="both"/>
      </w:pPr>
      <w:r w:rsidRPr="00AC1B1C">
        <w:t>various types of counterparties (</w:t>
      </w:r>
      <w:r w:rsidR="00EE1FF3" w:rsidRPr="00AC1B1C">
        <w:t xml:space="preserve">including, but not limited to, </w:t>
      </w:r>
      <w:r w:rsidRPr="00AC1B1C">
        <w:t xml:space="preserve"> governments, </w:t>
      </w:r>
      <w:r w:rsidR="00D52044" w:rsidRPr="00AC1B1C">
        <w:t>government-</w:t>
      </w:r>
      <w:r w:rsidR="00C47C3E" w:rsidRPr="00AC1B1C">
        <w:t>relat</w:t>
      </w:r>
      <w:r w:rsidR="009C50EB" w:rsidRPr="00AC1B1C">
        <w:t>ed</w:t>
      </w:r>
      <w:r w:rsidR="00D52044" w:rsidRPr="00AC1B1C">
        <w:t xml:space="preserve"> entities, </w:t>
      </w:r>
      <w:r w:rsidRPr="00AC1B1C">
        <w:t>ADIs and foreign equivalents, corporate and individual borrowers</w:t>
      </w:r>
      <w:r w:rsidR="009448AD" w:rsidRPr="00AC1B1C">
        <w:t xml:space="preserve"> and </w:t>
      </w:r>
      <w:r w:rsidR="003755A6" w:rsidRPr="00AC1B1C">
        <w:t xml:space="preserve">credit </w:t>
      </w:r>
      <w:r w:rsidR="00A26BD0" w:rsidRPr="00AC1B1C">
        <w:t>risk mitigation (CRM) providers</w:t>
      </w:r>
      <w:r w:rsidR="004C4C43" w:rsidRPr="00AC1B1C">
        <w:t>)</w:t>
      </w:r>
      <w:r w:rsidRPr="00AC1B1C">
        <w:t>;</w:t>
      </w:r>
    </w:p>
    <w:p w14:paraId="5C2502EE" w14:textId="73929D9E" w:rsidR="00B22A8F" w:rsidRPr="00AC1B1C" w:rsidRDefault="00B22A8F" w:rsidP="00CE3E1C">
      <w:pPr>
        <w:pStyle w:val="BodyText3"/>
        <w:jc w:val="both"/>
      </w:pPr>
      <w:r w:rsidRPr="00AC1B1C">
        <w:t>group</w:t>
      </w:r>
      <w:r w:rsidR="0087563F">
        <w:t>s</w:t>
      </w:r>
      <w:r w:rsidRPr="00AC1B1C">
        <w:t xml:space="preserve"> of connected counterparties</w:t>
      </w:r>
      <w:r w:rsidR="00AC1B1C" w:rsidRPr="00AC1B1C">
        <w:t>;</w:t>
      </w:r>
    </w:p>
    <w:p w14:paraId="5B234743" w14:textId="77777777" w:rsidR="00B22A8F" w:rsidRPr="00AC1B1C" w:rsidRDefault="00B22A8F" w:rsidP="00CE3E1C">
      <w:pPr>
        <w:pStyle w:val="BodyText3"/>
        <w:jc w:val="both"/>
      </w:pPr>
      <w:r w:rsidRPr="00AC1B1C">
        <w:t>individual industry sectors (where applicable);</w:t>
      </w:r>
    </w:p>
    <w:p w14:paraId="7371B206" w14:textId="4A6EADCC" w:rsidR="00B22A8F" w:rsidRPr="00AC1B1C" w:rsidRDefault="00B22A8F" w:rsidP="00CE3E1C">
      <w:pPr>
        <w:pStyle w:val="BodyText3"/>
        <w:jc w:val="both"/>
      </w:pPr>
      <w:r w:rsidRPr="00AC1B1C">
        <w:lastRenderedPageBreak/>
        <w:t>individual countries (where applicable)</w:t>
      </w:r>
      <w:r w:rsidR="00BE35AF" w:rsidRPr="00AC1B1C">
        <w:t xml:space="preserve">. </w:t>
      </w:r>
      <w:r w:rsidR="00BE35AF" w:rsidRPr="00AC1B1C">
        <w:rPr>
          <w:szCs w:val="20"/>
        </w:rPr>
        <w:t>The limits for individual countries should consider, amongst other things, any potential transfer risks where a borrower is not able to convert local currency into foreign exchange and consequently would be unable to make debt service payments to the ADI. Th</w:t>
      </w:r>
      <w:r w:rsidR="003A438E">
        <w:rPr>
          <w:szCs w:val="20"/>
        </w:rPr>
        <w:t>is</w:t>
      </w:r>
      <w:r w:rsidR="00BE35AF" w:rsidRPr="00AC1B1C">
        <w:rPr>
          <w:szCs w:val="20"/>
        </w:rPr>
        <w:t xml:space="preserve"> risk can arise from exchange restrictions imposed by the government in the borrower’s country</w:t>
      </w:r>
      <w:r w:rsidRPr="00AC1B1C">
        <w:t>;</w:t>
      </w:r>
      <w:r w:rsidR="00BE35AF" w:rsidRPr="00AC1B1C" w:rsidDel="00BE35AF">
        <w:rPr>
          <w:rStyle w:val="FootnoteReference"/>
        </w:rPr>
        <w:t xml:space="preserve"> </w:t>
      </w:r>
      <w:r w:rsidRPr="00AC1B1C">
        <w:t xml:space="preserve"> and</w:t>
      </w:r>
    </w:p>
    <w:p w14:paraId="6031C5D6" w14:textId="1EA266DF" w:rsidR="00B22A8F" w:rsidRPr="00AC1B1C" w:rsidRDefault="00B22A8F" w:rsidP="00CE3E1C">
      <w:pPr>
        <w:pStyle w:val="BodyText3"/>
        <w:jc w:val="both"/>
      </w:pPr>
      <w:r w:rsidRPr="00AC1B1C">
        <w:t>various asset classes</w:t>
      </w:r>
      <w:r w:rsidR="00D36747">
        <w:t>,</w:t>
      </w:r>
    </w:p>
    <w:p w14:paraId="707F7F47" w14:textId="77777777" w:rsidR="00B22A8F" w:rsidRPr="00AC1B1C" w:rsidRDefault="002A6155" w:rsidP="00D02037">
      <w:pPr>
        <w:pStyle w:val="BodyText2"/>
        <w:numPr>
          <w:ilvl w:val="0"/>
          <w:numId w:val="0"/>
        </w:numPr>
        <w:ind w:left="1134"/>
        <w:jc w:val="both"/>
      </w:pPr>
      <w:r w:rsidRPr="00AC1B1C">
        <w:t>that are commensurate with the ADI’s risk appetite, risk profile, capital and balance sheet size;</w:t>
      </w:r>
    </w:p>
    <w:p w14:paraId="6642AD25" w14:textId="77777777" w:rsidR="0015110D" w:rsidRPr="00AC1B1C" w:rsidRDefault="0075701D" w:rsidP="00CE3E1C">
      <w:pPr>
        <w:pStyle w:val="BodyText2"/>
        <w:jc w:val="both"/>
      </w:pPr>
      <w:r w:rsidRPr="00AC1B1C">
        <w:t>the circumstances in which the</w:t>
      </w:r>
      <w:r w:rsidR="00E64435" w:rsidRPr="00AC1B1C">
        <w:t xml:space="preserve"> exposure limits may be exceeded and the authority and processes required for approving such excesses (e.g. by the ADI’s Board or a board committee);</w:t>
      </w:r>
    </w:p>
    <w:p w14:paraId="26F94314" w14:textId="59DD9491" w:rsidR="00E64435" w:rsidRPr="00AC1B1C" w:rsidRDefault="00865C0E" w:rsidP="00CE3E1C">
      <w:pPr>
        <w:pStyle w:val="BodyText2"/>
        <w:jc w:val="both"/>
      </w:pPr>
      <w:r w:rsidRPr="00AC1B1C">
        <w:t>the proce</w:t>
      </w:r>
      <w:r w:rsidR="00C86878" w:rsidRPr="00AC1B1C">
        <w:t>s</w:t>
      </w:r>
      <w:r w:rsidRPr="00AC1B1C">
        <w:t xml:space="preserve">s for identifying, measuring, </w:t>
      </w:r>
      <w:r w:rsidR="00523829" w:rsidRPr="00AC1B1C">
        <w:t xml:space="preserve">evaluating, </w:t>
      </w:r>
      <w:r w:rsidRPr="00AC1B1C">
        <w:t>monitoring, controlling and reporting large exposures and risk concentrations of the ADI; and</w:t>
      </w:r>
    </w:p>
    <w:p w14:paraId="5A1FBFFB" w14:textId="77777777" w:rsidR="00865C0E" w:rsidRPr="00AC1B1C" w:rsidRDefault="00865C0E" w:rsidP="00CE3E1C">
      <w:pPr>
        <w:pStyle w:val="BodyText2"/>
        <w:jc w:val="both"/>
      </w:pPr>
      <w:r w:rsidRPr="00AC1B1C">
        <w:t>stress testing and scenario analysis of the ADI’s large exposures and risk concentrations to assess the impact of changes in market conditions and key risk factors (e.g. economic cycles, interest rates, liquidity conditions or other market movements) on its risk profile, capital and earnings.</w:t>
      </w:r>
    </w:p>
    <w:p w14:paraId="0F14F719" w14:textId="52CA87DC" w:rsidR="00936E9E" w:rsidRPr="00AC1B1C" w:rsidRDefault="003A438E" w:rsidP="00CE3E1C">
      <w:pPr>
        <w:pStyle w:val="BodyText1"/>
      </w:pPr>
      <w:r>
        <w:t>An</w:t>
      </w:r>
      <w:r w:rsidRPr="00AC1B1C">
        <w:t xml:space="preserve"> </w:t>
      </w:r>
      <w:r w:rsidR="00056EE7" w:rsidRPr="00AC1B1C">
        <w:t>ADI must ensure that:</w:t>
      </w:r>
    </w:p>
    <w:p w14:paraId="325837AD" w14:textId="77777777" w:rsidR="00056EE7" w:rsidRPr="00AC1B1C" w:rsidRDefault="00056EE7" w:rsidP="00CE3E1C">
      <w:pPr>
        <w:pStyle w:val="BodyText2"/>
        <w:jc w:val="both"/>
      </w:pPr>
      <w:r w:rsidRPr="00AC1B1C">
        <w:t>adequate systems and controls are in place to identify, measure, monitor and report large exposures and risk concentrations of the ADI in a timely manner; and</w:t>
      </w:r>
    </w:p>
    <w:p w14:paraId="7D5CA729" w14:textId="7D20E910" w:rsidR="00056EE7" w:rsidRPr="00AC1B1C" w:rsidRDefault="00056EE7" w:rsidP="00CE3E1C">
      <w:pPr>
        <w:pStyle w:val="BodyText2"/>
        <w:jc w:val="both"/>
      </w:pPr>
      <w:r w:rsidRPr="00AC1B1C">
        <w:t xml:space="preserve">large exposures and risk concentrations of the ADI are </w:t>
      </w:r>
      <w:r w:rsidRPr="006605A6">
        <w:t xml:space="preserve">reviewed </w:t>
      </w:r>
      <w:r w:rsidRPr="00AC1B1C">
        <w:t>at least annually.</w:t>
      </w:r>
    </w:p>
    <w:p w14:paraId="6685BC63" w14:textId="5AF9884F" w:rsidR="00056EE7" w:rsidRPr="00AC1B1C" w:rsidRDefault="004D235C" w:rsidP="00CE3E1C">
      <w:pPr>
        <w:pStyle w:val="BodyText1"/>
      </w:pPr>
      <w:r w:rsidRPr="00AC1B1C">
        <w:t>C</w:t>
      </w:r>
      <w:r w:rsidR="00056EE7" w:rsidRPr="00AC1B1C">
        <w:t>ertain types of exposure</w:t>
      </w:r>
      <w:r w:rsidR="00C64745" w:rsidRPr="00AC1B1C">
        <w:t>s</w:t>
      </w:r>
      <w:r w:rsidR="00056EE7" w:rsidRPr="00AC1B1C">
        <w:t xml:space="preserve"> and counterparties are excluded from the prudential limits in paragraph </w:t>
      </w:r>
      <w:r w:rsidR="00B0361B" w:rsidRPr="00050DA5">
        <w:fldChar w:fldCharType="begin"/>
      </w:r>
      <w:r w:rsidR="00B0361B" w:rsidRPr="00AC1B1C">
        <w:instrText xml:space="preserve"> REF _Ref459091969 \r \h  \* MERGEFORMAT </w:instrText>
      </w:r>
      <w:r w:rsidR="00B0361B" w:rsidRPr="00050DA5">
        <w:fldChar w:fldCharType="separate"/>
      </w:r>
      <w:r w:rsidR="00EA6DDF">
        <w:t>30</w:t>
      </w:r>
      <w:r w:rsidR="00B0361B" w:rsidRPr="00050DA5">
        <w:fldChar w:fldCharType="end"/>
      </w:r>
      <w:r w:rsidR="00DB66ED">
        <w:t xml:space="preserve"> of this Prudential Standard</w:t>
      </w:r>
      <w:r w:rsidR="00056EE7" w:rsidRPr="00AC1B1C">
        <w:t>. An ADI must have adequate proce</w:t>
      </w:r>
      <w:r w:rsidR="005F533C" w:rsidRPr="00AC1B1C">
        <w:t>sses</w:t>
      </w:r>
      <w:r w:rsidR="00056EE7" w:rsidRPr="00AC1B1C">
        <w:t xml:space="preserve"> and controls in place to monitor these excluded exposures. An ADI is expected to consider how the risks arising from these types of exposures are incorporated into its risk management framework under CPS 220, including establishing internal limits </w:t>
      </w:r>
      <w:r w:rsidR="003A438E">
        <w:t>and</w:t>
      </w:r>
      <w:r w:rsidR="003A438E" w:rsidRPr="00AC1B1C">
        <w:t xml:space="preserve"> </w:t>
      </w:r>
      <w:r w:rsidR="00056EE7" w:rsidRPr="00AC1B1C">
        <w:t xml:space="preserve">triggers commensurate with its risk appetite. </w:t>
      </w:r>
    </w:p>
    <w:p w14:paraId="14D79C43" w14:textId="055644B5" w:rsidR="0030792C" w:rsidRPr="00AC1B1C" w:rsidRDefault="00120452" w:rsidP="00CE3E1C">
      <w:pPr>
        <w:pStyle w:val="Heading1"/>
        <w:jc w:val="both"/>
      </w:pPr>
      <w:bookmarkStart w:id="29" w:name="_Toc497828916"/>
      <w:bookmarkStart w:id="30" w:name="_Toc18311028"/>
      <w:r w:rsidRPr="00AC1B1C">
        <w:t>Identifying large exposures</w:t>
      </w:r>
      <w:bookmarkEnd w:id="29"/>
      <w:bookmarkEnd w:id="30"/>
    </w:p>
    <w:p w14:paraId="280E6723" w14:textId="25AA0E70" w:rsidR="00123FDE" w:rsidRDefault="00123FDE" w:rsidP="00CE3E1C">
      <w:pPr>
        <w:pStyle w:val="BodyText1"/>
      </w:pPr>
      <w:bookmarkStart w:id="31" w:name="_Ref497919258"/>
      <w:r w:rsidRPr="00AC1B1C">
        <w:t xml:space="preserve">An exposure to an individual counterparty or a group of connected counterparties is the aggregate of all claims, commitments and contingent liabilities arising from on- and off-balance sheet transactions (in both the banking and trading books) with the individual counterparty or group of connected counterparties and is measured in accordance with paragraphs </w:t>
      </w:r>
      <w:r w:rsidR="000A2082" w:rsidRPr="00050DA5">
        <w:fldChar w:fldCharType="begin"/>
      </w:r>
      <w:r w:rsidR="000A2082" w:rsidRPr="00AC1B1C">
        <w:instrText xml:space="preserve"> REF _Ref475538102 \r \h </w:instrText>
      </w:r>
      <w:r w:rsidR="004F104E" w:rsidRPr="00B70EC8">
        <w:rPr>
          <w:highlight w:val="cyan"/>
        </w:rPr>
        <w:instrText xml:space="preserve"> \* MERGEFORMAT </w:instrText>
      </w:r>
      <w:r w:rsidR="000A2082" w:rsidRPr="00050DA5">
        <w:fldChar w:fldCharType="separate"/>
      </w:r>
      <w:r w:rsidR="00EA6DDF">
        <w:t>32</w:t>
      </w:r>
      <w:r w:rsidR="000A2082" w:rsidRPr="00050DA5">
        <w:fldChar w:fldCharType="end"/>
      </w:r>
      <w:r w:rsidRPr="00AC1B1C">
        <w:t xml:space="preserve"> to </w:t>
      </w:r>
      <w:r w:rsidR="000A2082" w:rsidRPr="00050DA5">
        <w:fldChar w:fldCharType="begin"/>
      </w:r>
      <w:r w:rsidR="000A2082" w:rsidRPr="00AC1B1C">
        <w:instrText xml:space="preserve"> REF _Ref459967120 \r \h </w:instrText>
      </w:r>
      <w:r w:rsidR="004F104E" w:rsidRPr="00B70EC8">
        <w:rPr>
          <w:highlight w:val="cyan"/>
        </w:rPr>
        <w:instrText xml:space="preserve"> \* MERGEFORMAT </w:instrText>
      </w:r>
      <w:r w:rsidR="000A2082" w:rsidRPr="00050DA5">
        <w:fldChar w:fldCharType="separate"/>
      </w:r>
      <w:r w:rsidR="00EA6DDF">
        <w:t>33</w:t>
      </w:r>
      <w:r w:rsidR="000A2082" w:rsidRPr="00050DA5">
        <w:fldChar w:fldCharType="end"/>
      </w:r>
      <w:r w:rsidR="00DB66ED">
        <w:t xml:space="preserve"> of this Prudential Standard</w:t>
      </w:r>
      <w:r w:rsidRPr="00AC1B1C">
        <w:t>.</w:t>
      </w:r>
      <w:bookmarkEnd w:id="31"/>
      <w:r w:rsidRPr="00AC1B1C">
        <w:t xml:space="preserve"> </w:t>
      </w:r>
    </w:p>
    <w:p w14:paraId="34D2E79A" w14:textId="2F3A73E1" w:rsidR="00B70EC8" w:rsidRDefault="00B70EC8" w:rsidP="00B70EC8">
      <w:pPr>
        <w:pStyle w:val="BodyText1"/>
      </w:pPr>
      <w:r w:rsidRPr="00AC1B1C">
        <w:t xml:space="preserve">A large exposure is an exposure to an individual counterparty or a group of connected counterparties (defined in paragraphs </w:t>
      </w:r>
      <w:r w:rsidRPr="00050DA5">
        <w:fldChar w:fldCharType="begin"/>
      </w:r>
      <w:r w:rsidRPr="00AC1B1C">
        <w:instrText xml:space="preserve"> REF _Ref475538034 \r \h </w:instrText>
      </w:r>
      <w:r w:rsidRPr="008D5784">
        <w:instrText xml:space="preserve"> \* MERGEFORMAT </w:instrText>
      </w:r>
      <w:r w:rsidRPr="00050DA5">
        <w:fldChar w:fldCharType="separate"/>
      </w:r>
      <w:r w:rsidR="00EA6DDF">
        <w:t>20</w:t>
      </w:r>
      <w:r w:rsidRPr="00050DA5">
        <w:fldChar w:fldCharType="end"/>
      </w:r>
      <w:r w:rsidRPr="00AC1B1C">
        <w:t xml:space="preserve"> to </w:t>
      </w:r>
      <w:r w:rsidR="005158C5">
        <w:fldChar w:fldCharType="begin"/>
      </w:r>
      <w:r w:rsidR="005158C5">
        <w:instrText xml:space="preserve"> REF _Ref498006492 \r \h </w:instrText>
      </w:r>
      <w:r w:rsidR="005158C5">
        <w:fldChar w:fldCharType="separate"/>
      </w:r>
      <w:r w:rsidR="00EA6DDF">
        <w:t>29</w:t>
      </w:r>
      <w:r w:rsidR="005158C5">
        <w:fldChar w:fldCharType="end"/>
      </w:r>
      <w:r w:rsidR="00DB66ED">
        <w:t xml:space="preserve"> of this Prudential </w:t>
      </w:r>
      <w:r w:rsidR="00DB66ED">
        <w:lastRenderedPageBreak/>
        <w:t>Standard</w:t>
      </w:r>
      <w:r w:rsidRPr="00AC1B1C">
        <w:t xml:space="preserve">) </w:t>
      </w:r>
      <w:r>
        <w:t>that</w:t>
      </w:r>
      <w:r w:rsidRPr="00AC1B1C">
        <w:t xml:space="preserve"> is greater than, or equal to, 10 per cent of an </w:t>
      </w:r>
      <w:smartTag w:uri="urn:schemas-microsoft-com:office:smarttags" w:element="stockticker">
        <w:r w:rsidRPr="00AC1B1C">
          <w:t>ADI</w:t>
        </w:r>
      </w:smartTag>
      <w:r w:rsidRPr="00AC1B1C">
        <w:t xml:space="preserve">’s </w:t>
      </w:r>
      <w:r w:rsidRPr="00AC1B1C">
        <w:rPr>
          <w:b/>
        </w:rPr>
        <w:t>Tier 1 Capital</w:t>
      </w:r>
      <w:r w:rsidRPr="00AC1B1C">
        <w:t xml:space="preserve"> at </w:t>
      </w:r>
      <w:r w:rsidR="00C77AD8">
        <w:t xml:space="preserve">either </w:t>
      </w:r>
      <w:r w:rsidRPr="00AC1B1C">
        <w:t xml:space="preserve">Level 1 </w:t>
      </w:r>
      <w:r w:rsidR="00C77AD8">
        <w:t>or</w:t>
      </w:r>
      <w:r w:rsidRPr="00AC1B1C">
        <w:t xml:space="preserve"> Level 2.</w:t>
      </w:r>
      <w:r w:rsidR="00A705D0" w:rsidRPr="003C0F8E">
        <w:rPr>
          <w:rStyle w:val="FootnoteReference"/>
          <w:sz w:val="20"/>
          <w:szCs w:val="20"/>
        </w:rPr>
        <w:footnoteReference w:id="2"/>
      </w:r>
    </w:p>
    <w:p w14:paraId="1A113C6B" w14:textId="085A2A71" w:rsidR="00B70EC8" w:rsidRPr="00AC1B1C" w:rsidRDefault="00B70EC8" w:rsidP="00B70EC8">
      <w:pPr>
        <w:pStyle w:val="BodyText1"/>
      </w:pPr>
      <w:r w:rsidRPr="00AC1B1C">
        <w:t>A large exposure is one form of exposure that contributes to an ADI’s risk concentrations. Exposures to other sources of risk concentrations (e.g. commodities, currencies, sectors, geographies, funding sources) are not subject to the large exp</w:t>
      </w:r>
      <w:r>
        <w:t>osure requirements in paragraphs</w:t>
      </w:r>
      <w:r w:rsidRPr="00AC1B1C">
        <w:t xml:space="preserve"> </w:t>
      </w:r>
      <w:r w:rsidR="00441D94">
        <w:fldChar w:fldCharType="begin"/>
      </w:r>
      <w:r w:rsidR="00441D94">
        <w:instrText xml:space="preserve"> REF _Ref459965306 \r \h </w:instrText>
      </w:r>
      <w:r w:rsidR="00441D94">
        <w:fldChar w:fldCharType="separate"/>
      </w:r>
      <w:r w:rsidR="00EA6DDF">
        <w:t>18</w:t>
      </w:r>
      <w:r w:rsidR="00441D94">
        <w:fldChar w:fldCharType="end"/>
      </w:r>
      <w:r w:rsidR="00441D94">
        <w:t xml:space="preserve"> </w:t>
      </w:r>
      <w:r w:rsidRPr="00AC1B1C">
        <w:t xml:space="preserve">to </w:t>
      </w:r>
      <w:r w:rsidRPr="00050DA5">
        <w:fldChar w:fldCharType="begin"/>
      </w:r>
      <w:r w:rsidRPr="00AC1B1C">
        <w:instrText xml:space="preserve"> REF _Ref475007220 \r \h  \* MERGEFORMAT </w:instrText>
      </w:r>
      <w:r w:rsidRPr="00050DA5">
        <w:fldChar w:fldCharType="separate"/>
      </w:r>
      <w:r w:rsidR="00EA6DDF">
        <w:t>38</w:t>
      </w:r>
      <w:r w:rsidRPr="00050DA5">
        <w:fldChar w:fldCharType="end"/>
      </w:r>
      <w:r w:rsidR="00DB66ED">
        <w:t xml:space="preserve"> of this Prudential Standard</w:t>
      </w:r>
      <w:r w:rsidRPr="00AC1B1C">
        <w:t xml:space="preserve">. </w:t>
      </w:r>
    </w:p>
    <w:p w14:paraId="4B976B94" w14:textId="77777777" w:rsidR="00123FDE" w:rsidRPr="00AC1B1C" w:rsidRDefault="00BD0093" w:rsidP="00CE3E1C">
      <w:pPr>
        <w:pStyle w:val="BodyText1"/>
      </w:pPr>
      <w:bookmarkStart w:id="32" w:name="_Ref459965306"/>
      <w:r w:rsidRPr="00AC1B1C">
        <w:t>A large exposure excludes:</w:t>
      </w:r>
      <w:bookmarkEnd w:id="32"/>
    </w:p>
    <w:p w14:paraId="0B06D9A5" w14:textId="5D5F4907" w:rsidR="00BD0093" w:rsidRPr="00AC1B1C" w:rsidRDefault="00BD0093" w:rsidP="00CE3E1C">
      <w:pPr>
        <w:pStyle w:val="BodyText2"/>
        <w:jc w:val="both"/>
      </w:pPr>
      <w:r w:rsidRPr="00AC1B1C">
        <w:t xml:space="preserve">exposures deducted from an ADI’s </w:t>
      </w:r>
      <w:r w:rsidRPr="00EF1B2E">
        <w:rPr>
          <w:b/>
        </w:rPr>
        <w:t>Regulatory Capital</w:t>
      </w:r>
      <w:r w:rsidRPr="00AC1B1C">
        <w:t xml:space="preserve"> (in accordance with </w:t>
      </w:r>
      <w:r w:rsidRPr="00AC1B1C">
        <w:rPr>
          <w:i/>
        </w:rPr>
        <w:t xml:space="preserve">Prudential Standard APS 111 Capital Adequacy: Measurement of Capital </w:t>
      </w:r>
      <w:r w:rsidRPr="00AC1B1C">
        <w:t>(</w:t>
      </w:r>
      <w:r w:rsidRPr="00AD66C4">
        <w:t>APS 111</w:t>
      </w:r>
      <w:r w:rsidRPr="00AC1B1C">
        <w:t>));</w:t>
      </w:r>
      <w:r w:rsidR="00806DE0" w:rsidRPr="003C0F8E">
        <w:rPr>
          <w:rStyle w:val="FootnoteReference"/>
          <w:sz w:val="20"/>
          <w:szCs w:val="20"/>
        </w:rPr>
        <w:footnoteReference w:id="3"/>
      </w:r>
      <w:r w:rsidRPr="00AC1B1C">
        <w:t xml:space="preserve"> </w:t>
      </w:r>
    </w:p>
    <w:p w14:paraId="20D8505B" w14:textId="77777777" w:rsidR="00BD0093" w:rsidRPr="00AC1B1C" w:rsidRDefault="00BD0093" w:rsidP="00C00841">
      <w:pPr>
        <w:pStyle w:val="BodyText2"/>
        <w:jc w:val="both"/>
      </w:pPr>
      <w:r w:rsidRPr="00AC1B1C">
        <w:t>exposures to the extent that they have been written off;</w:t>
      </w:r>
    </w:p>
    <w:p w14:paraId="258F7C7E" w14:textId="0899B0E1" w:rsidR="00D9384D" w:rsidRPr="00AC1B1C" w:rsidRDefault="00C00841" w:rsidP="00EA1451">
      <w:pPr>
        <w:pStyle w:val="BodyText2"/>
        <w:jc w:val="both"/>
      </w:pPr>
      <w:r w:rsidRPr="00AC1B1C">
        <w:t xml:space="preserve">exposures to the Australian Government </w:t>
      </w:r>
      <w:r w:rsidR="00031657" w:rsidRPr="00AC1B1C">
        <w:t>or</w:t>
      </w:r>
      <w:r w:rsidRPr="00AC1B1C">
        <w:t xml:space="preserve"> any Australian dollar </w:t>
      </w:r>
      <w:r w:rsidR="00031657" w:rsidRPr="00AC1B1C">
        <w:t xml:space="preserve">exposure to </w:t>
      </w:r>
      <w:r w:rsidRPr="00AC1B1C">
        <w:t xml:space="preserve">the </w:t>
      </w:r>
      <w:r w:rsidR="00D23460" w:rsidRPr="002F35C0">
        <w:rPr>
          <w:b/>
        </w:rPr>
        <w:t>RBA</w:t>
      </w:r>
      <w:r w:rsidRPr="00AC1B1C">
        <w:t>;</w:t>
      </w:r>
    </w:p>
    <w:p w14:paraId="4F580FB0" w14:textId="67BC8FA6" w:rsidR="00A3655E" w:rsidRDefault="00190334" w:rsidP="00EA1451">
      <w:pPr>
        <w:pStyle w:val="BodyText2"/>
        <w:jc w:val="both"/>
      </w:pPr>
      <w:r w:rsidRPr="00AC1B1C">
        <w:t xml:space="preserve">exposures to governments or central banks </w:t>
      </w:r>
      <w:r w:rsidR="00B93A15" w:rsidRPr="00AC1B1C">
        <w:t xml:space="preserve">that </w:t>
      </w:r>
      <w:r w:rsidR="00557871" w:rsidRPr="00AC1B1C">
        <w:t xml:space="preserve">are </w:t>
      </w:r>
      <w:r w:rsidR="001D1C15" w:rsidRPr="00AC1B1C">
        <w:t>held as</w:t>
      </w:r>
      <w:r w:rsidR="00B93A15" w:rsidRPr="00AC1B1C">
        <w:t xml:space="preserve"> </w:t>
      </w:r>
      <w:r w:rsidR="00D23460">
        <w:t>high-quality liquid assets</w:t>
      </w:r>
      <w:r w:rsidR="00D23460" w:rsidRPr="00AC1B1C">
        <w:t xml:space="preserve"> </w:t>
      </w:r>
      <w:r w:rsidR="00B93A15" w:rsidRPr="00AC1B1C">
        <w:t xml:space="preserve">under </w:t>
      </w:r>
      <w:r w:rsidR="009F67DE" w:rsidRPr="00AC1B1C">
        <w:rPr>
          <w:i/>
        </w:rPr>
        <w:t xml:space="preserve">Prudential Standard </w:t>
      </w:r>
      <w:r w:rsidR="00B93A15" w:rsidRPr="00EF1B2E">
        <w:rPr>
          <w:i/>
        </w:rPr>
        <w:t>APS 210 Liquidity</w:t>
      </w:r>
      <w:r w:rsidR="00A37075" w:rsidRPr="00AC1B1C">
        <w:t xml:space="preserve"> (</w:t>
      </w:r>
      <w:r w:rsidR="00A37075" w:rsidRPr="00EA0565">
        <w:t>APS 210</w:t>
      </w:r>
      <w:r w:rsidR="00A37075" w:rsidRPr="00AC1B1C">
        <w:t>)</w:t>
      </w:r>
      <w:r w:rsidR="003B289D" w:rsidRPr="00AC1B1C">
        <w:t>;</w:t>
      </w:r>
      <w:r w:rsidR="00464DB5" w:rsidRPr="00AC1B1C" w:rsidDel="00464DB5">
        <w:t xml:space="preserve"> </w:t>
      </w:r>
    </w:p>
    <w:p w14:paraId="7C9ACD36" w14:textId="73BAE3B4" w:rsidR="00DA5D3F" w:rsidRPr="00AC1B1C" w:rsidRDefault="00DA5D3F" w:rsidP="00EA1451">
      <w:pPr>
        <w:pStyle w:val="BodyText2"/>
        <w:jc w:val="both"/>
      </w:pPr>
      <w:r w:rsidRPr="00AC1B1C">
        <w:t>exposures to governments or central banks</w:t>
      </w:r>
      <w:r>
        <w:t xml:space="preserve"> which arise from </w:t>
      </w:r>
      <w:r w:rsidR="0049623A">
        <w:t>the decomposition of</w:t>
      </w:r>
      <w:r w:rsidR="003B140E">
        <w:t xml:space="preserve"> </w:t>
      </w:r>
      <w:r>
        <w:t xml:space="preserve">derivatives into positions </w:t>
      </w:r>
      <w:r w:rsidR="00FF3420">
        <w:t xml:space="preserve">in accordance with </w:t>
      </w:r>
      <w:r>
        <w:t xml:space="preserve">Attachment B of </w:t>
      </w:r>
      <w:r w:rsidRPr="00AD66C4">
        <w:rPr>
          <w:i/>
        </w:rPr>
        <w:t>Prudential Standard APS 116 Capital Adequacy: Market Risk</w:t>
      </w:r>
      <w:r>
        <w:t xml:space="preserve"> (</w:t>
      </w:r>
      <w:r w:rsidRPr="00EA0565">
        <w:t>APS 116</w:t>
      </w:r>
      <w:r>
        <w:t xml:space="preserve">) that do not reflect a credit exposure to the government or central bank; </w:t>
      </w:r>
    </w:p>
    <w:p w14:paraId="2D6B0AF6" w14:textId="77777777" w:rsidR="001A1AE7" w:rsidRDefault="00BD0093" w:rsidP="0001091D">
      <w:pPr>
        <w:pStyle w:val="BodyText2"/>
        <w:jc w:val="both"/>
      </w:pPr>
      <w:r w:rsidRPr="00AC1B1C">
        <w:t>intra-day interbank exposures;</w:t>
      </w:r>
    </w:p>
    <w:p w14:paraId="2A1048E2" w14:textId="61FEC1C0" w:rsidR="00BD0093" w:rsidRPr="00AC1B1C" w:rsidRDefault="001A1AE7" w:rsidP="0001091D">
      <w:pPr>
        <w:pStyle w:val="BodyText2"/>
        <w:jc w:val="both"/>
      </w:pPr>
      <w:r w:rsidRPr="00AC1B1C">
        <w:t>exposures arising in the course of settlement of market-related contracts</w:t>
      </w:r>
      <w:r w:rsidR="00BD0093" w:rsidRPr="00AC1B1C">
        <w:t xml:space="preserve"> </w:t>
      </w:r>
      <w:r w:rsidRPr="00AC1B1C">
        <w:t>unless the trans</w:t>
      </w:r>
      <w:r w:rsidR="006013EE" w:rsidRPr="00AC1B1C">
        <w:t>action remains unsettled after its</w:t>
      </w:r>
      <w:r w:rsidRPr="00AC1B1C">
        <w:t xml:space="preserve"> </w:t>
      </w:r>
      <w:r w:rsidR="006013EE" w:rsidRPr="00AC1B1C">
        <w:t>delivery due date</w:t>
      </w:r>
      <w:r w:rsidRPr="00AC1B1C">
        <w:t xml:space="preserve"> in which case the exposure </w:t>
      </w:r>
      <w:r w:rsidR="002822BA">
        <w:t>value</w:t>
      </w:r>
      <w:r w:rsidR="002822BA" w:rsidRPr="00AC1B1C">
        <w:t xml:space="preserve"> </w:t>
      </w:r>
      <w:r w:rsidR="00A1700D" w:rsidRPr="00AC1B1C">
        <w:t xml:space="preserve">is the positive current exposure amount; </w:t>
      </w:r>
    </w:p>
    <w:p w14:paraId="4DC8D680" w14:textId="3BA09F77" w:rsidR="00BD0093" w:rsidRPr="00AC1B1C" w:rsidRDefault="00BD0093" w:rsidP="00CE3E1C">
      <w:pPr>
        <w:pStyle w:val="BodyText2"/>
        <w:jc w:val="both"/>
      </w:pPr>
      <w:r w:rsidRPr="00AC1B1C">
        <w:t xml:space="preserve">exposures to qualifying central counterparties (QCCPs) relating to clearing activities (where QCCPs are defined in </w:t>
      </w:r>
      <w:r w:rsidR="00584AF2" w:rsidRPr="008B5F60">
        <w:rPr>
          <w:i/>
        </w:rPr>
        <w:t>Prudential Standard APS 180 Capital Adequacy: Counterparty Credit Risk</w:t>
      </w:r>
      <w:r w:rsidR="00584AF2">
        <w:t xml:space="preserve"> (APS 180)</w:t>
      </w:r>
      <w:r w:rsidR="0001091D" w:rsidRPr="00AC1B1C">
        <w:t xml:space="preserve">; </w:t>
      </w:r>
    </w:p>
    <w:p w14:paraId="26CEC26F" w14:textId="5BBA39B1" w:rsidR="00400EFD" w:rsidRDefault="0001091D" w:rsidP="00400EFD">
      <w:pPr>
        <w:pStyle w:val="BodyText2"/>
        <w:jc w:val="both"/>
      </w:pPr>
      <w:r w:rsidRPr="00AC1B1C">
        <w:t xml:space="preserve">exposures </w:t>
      </w:r>
      <w:r w:rsidR="00781837" w:rsidRPr="00AC1B1C">
        <w:t>to</w:t>
      </w:r>
      <w:r w:rsidRPr="00AC1B1C">
        <w:t xml:space="preserve"> </w:t>
      </w:r>
      <w:r w:rsidR="00930553" w:rsidRPr="00400EFD">
        <w:rPr>
          <w:b/>
        </w:rPr>
        <w:t>LMI</w:t>
      </w:r>
      <w:r w:rsidR="00AA7E4B" w:rsidRPr="00AC1B1C">
        <w:t xml:space="preserve"> </w:t>
      </w:r>
      <w:r w:rsidR="00817C23" w:rsidRPr="00AC1B1C">
        <w:t>arising from insured mortgages</w:t>
      </w:r>
      <w:r w:rsidR="00002B23">
        <w:t>;</w:t>
      </w:r>
      <w:r w:rsidR="000F7CD0" w:rsidRPr="003C0F8E">
        <w:rPr>
          <w:rStyle w:val="FootnoteReference"/>
          <w:sz w:val="20"/>
          <w:szCs w:val="20"/>
        </w:rPr>
        <w:footnoteReference w:id="4"/>
      </w:r>
      <w:r w:rsidR="00033F0C" w:rsidRPr="00AC1B1C">
        <w:t xml:space="preserve"> </w:t>
      </w:r>
      <w:r w:rsidR="00400EFD">
        <w:t>and</w:t>
      </w:r>
    </w:p>
    <w:p w14:paraId="04E44672" w14:textId="695DA98F" w:rsidR="00400EFD" w:rsidRPr="00AC1B1C" w:rsidRDefault="00400EFD" w:rsidP="00400EFD">
      <w:pPr>
        <w:pStyle w:val="BodyText2"/>
        <w:jc w:val="both"/>
      </w:pPr>
      <w:r w:rsidRPr="00DA2993">
        <w:t xml:space="preserve">exposures to an ADI required as part of an industry support contract relating to liquidity that has been certified by APRA under section 11CB of the </w:t>
      </w:r>
      <w:r>
        <w:t>Banking Act.</w:t>
      </w:r>
    </w:p>
    <w:p w14:paraId="3EE318F5" w14:textId="1A00FBDD" w:rsidR="00BD0093" w:rsidRPr="00AC1B1C" w:rsidRDefault="00BD0093" w:rsidP="00CE3E1C">
      <w:pPr>
        <w:pStyle w:val="BodyText1"/>
      </w:pPr>
      <w:r w:rsidRPr="00AC1B1C">
        <w:lastRenderedPageBreak/>
        <w:t xml:space="preserve">Where an exposure that has been excluded is hedged by a credit derivative, an ADI must recognise an exposure to the counterparty providing the credit protection in line with paragraph </w:t>
      </w:r>
      <w:r w:rsidR="00FD4EC2" w:rsidRPr="00050DA5">
        <w:fldChar w:fldCharType="begin"/>
      </w:r>
      <w:r w:rsidR="00FD4EC2" w:rsidRPr="00AC1B1C">
        <w:instrText xml:space="preserve"> REF _Ref459037790 \r \h </w:instrText>
      </w:r>
      <w:r w:rsidR="00401C10" w:rsidRPr="00AC1B1C">
        <w:instrText xml:space="preserve"> \* MERGEFORMAT </w:instrText>
      </w:r>
      <w:r w:rsidR="00FD4EC2" w:rsidRPr="00050DA5">
        <w:fldChar w:fldCharType="separate"/>
      </w:r>
      <w:r w:rsidR="00EA6DDF">
        <w:t>5</w:t>
      </w:r>
      <w:r w:rsidR="00FD4EC2" w:rsidRPr="00050DA5">
        <w:fldChar w:fldCharType="end"/>
      </w:r>
      <w:r w:rsidR="00A83712" w:rsidRPr="00AC1B1C">
        <w:t xml:space="preserve"> of </w:t>
      </w:r>
      <w:r w:rsidR="00902B2E">
        <w:t>Attachment A</w:t>
      </w:r>
      <w:r w:rsidR="00DB66ED">
        <w:t xml:space="preserve"> of this Prudential Standard</w:t>
      </w:r>
      <w:r w:rsidRPr="00AC1B1C">
        <w:t>.</w:t>
      </w:r>
      <w:bookmarkStart w:id="33" w:name="Paragraph_7b"/>
      <w:bookmarkEnd w:id="33"/>
      <w:r w:rsidRPr="00AC1B1C">
        <w:t xml:space="preserve"> </w:t>
      </w:r>
    </w:p>
    <w:p w14:paraId="4A632352" w14:textId="77777777" w:rsidR="00BD0093" w:rsidRPr="00AC1B1C" w:rsidRDefault="00BD0093" w:rsidP="00CE3E1C">
      <w:pPr>
        <w:pStyle w:val="Heading3"/>
        <w:jc w:val="both"/>
      </w:pPr>
      <w:bookmarkStart w:id="34" w:name="_Toc475537400"/>
      <w:bookmarkStart w:id="35" w:name="_Toc497828917"/>
      <w:bookmarkStart w:id="36" w:name="_Toc497926064"/>
      <w:bookmarkStart w:id="37" w:name="_Toc498007940"/>
      <w:bookmarkStart w:id="38" w:name="_Toc498010208"/>
      <w:bookmarkStart w:id="39" w:name="_Toc498014196"/>
      <w:bookmarkStart w:id="40" w:name="_Toc498971740"/>
      <w:bookmarkStart w:id="41" w:name="_Toc498971771"/>
      <w:r w:rsidRPr="00AC1B1C">
        <w:t>Connected counterparties</w:t>
      </w:r>
      <w:bookmarkEnd w:id="34"/>
      <w:bookmarkEnd w:id="35"/>
      <w:bookmarkEnd w:id="36"/>
      <w:bookmarkEnd w:id="37"/>
      <w:bookmarkEnd w:id="38"/>
      <w:bookmarkEnd w:id="39"/>
      <w:bookmarkEnd w:id="40"/>
      <w:bookmarkEnd w:id="41"/>
    </w:p>
    <w:p w14:paraId="5EFCE83C" w14:textId="268BC322" w:rsidR="006C633E" w:rsidRDefault="005F4B0D" w:rsidP="006C3707">
      <w:pPr>
        <w:pStyle w:val="BodyText1"/>
      </w:pPr>
      <w:bookmarkStart w:id="42" w:name="_Ref475538034"/>
      <w:bookmarkStart w:id="43" w:name="_Ref459908679"/>
      <w:bookmarkStart w:id="44" w:name="_Ref500159615"/>
      <w:r w:rsidRPr="00AC1B1C">
        <w:t xml:space="preserve">An ADI </w:t>
      </w:r>
      <w:r w:rsidR="00402BC4">
        <w:t xml:space="preserve">must treat </w:t>
      </w:r>
      <w:r w:rsidRPr="00AC1B1C">
        <w:t xml:space="preserve">a group of connected counterparties </w:t>
      </w:r>
      <w:r w:rsidR="0079612A">
        <w:t>as a single counterparty</w:t>
      </w:r>
      <w:bookmarkStart w:id="45" w:name="_Ref459088932"/>
      <w:bookmarkEnd w:id="42"/>
      <w:bookmarkEnd w:id="43"/>
      <w:r w:rsidRPr="00AC1B1C">
        <w:t>.</w:t>
      </w:r>
      <w:r w:rsidR="00507BE6">
        <w:t xml:space="preserve"> </w:t>
      </w:r>
      <w:bookmarkStart w:id="46" w:name="_Ref497409449"/>
      <w:bookmarkEnd w:id="44"/>
    </w:p>
    <w:p w14:paraId="636B18E9" w14:textId="3689B630" w:rsidR="004A5AF1" w:rsidRPr="00AC1B1C" w:rsidRDefault="00613159" w:rsidP="009E55D8">
      <w:pPr>
        <w:pStyle w:val="BodyText1"/>
      </w:pPr>
      <w:bookmarkStart w:id="47" w:name="_Ref497931575"/>
      <w:r w:rsidRPr="00AC1B1C">
        <w:t>A gr</w:t>
      </w:r>
      <w:r w:rsidR="00C54791">
        <w:t>oup of connected counterparties</w:t>
      </w:r>
      <w:r w:rsidRPr="00AC1B1C">
        <w:t xml:space="preserve"> exist</w:t>
      </w:r>
      <w:r w:rsidR="00193C4E">
        <w:t>s</w:t>
      </w:r>
      <w:r w:rsidRPr="00AC1B1C">
        <w:t xml:space="preserve"> if:</w:t>
      </w:r>
      <w:bookmarkEnd w:id="46"/>
      <w:bookmarkEnd w:id="47"/>
    </w:p>
    <w:p w14:paraId="1EA77E36" w14:textId="407BDF37" w:rsidR="00854AD5" w:rsidRPr="00AC1B1C" w:rsidRDefault="00854AD5" w:rsidP="009E55D8">
      <w:pPr>
        <w:pStyle w:val="BodyText2"/>
        <w:jc w:val="both"/>
      </w:pPr>
      <w:r w:rsidRPr="00AC1B1C">
        <w:t>two or more counterparties are linked by:</w:t>
      </w:r>
    </w:p>
    <w:p w14:paraId="1AA18FBF" w14:textId="44E6A6A1" w:rsidR="004A5AF1" w:rsidRPr="00AC1B1C" w:rsidRDefault="005F4B0D" w:rsidP="009E55D8">
      <w:pPr>
        <w:pStyle w:val="BodyText3"/>
        <w:jc w:val="both"/>
      </w:pPr>
      <w:r w:rsidRPr="00AC1B1C">
        <w:t xml:space="preserve">a control relationship </w:t>
      </w:r>
      <w:r w:rsidR="00712011" w:rsidRPr="00AC1B1C">
        <w:t xml:space="preserve">(refer to paragraph </w:t>
      </w:r>
      <w:r w:rsidR="006C3707">
        <w:fldChar w:fldCharType="begin"/>
      </w:r>
      <w:r w:rsidR="006C3707">
        <w:instrText xml:space="preserve"> REF _Ref497931958 \r \h </w:instrText>
      </w:r>
      <w:r w:rsidR="009E55D8">
        <w:instrText xml:space="preserve"> \* MERGEFORMAT </w:instrText>
      </w:r>
      <w:r w:rsidR="006C3707">
        <w:fldChar w:fldCharType="separate"/>
      </w:r>
      <w:r w:rsidR="00EA6DDF">
        <w:t>22</w:t>
      </w:r>
      <w:r w:rsidR="006C3707">
        <w:fldChar w:fldCharType="end"/>
      </w:r>
      <w:r w:rsidR="00712011" w:rsidRPr="00AC1B1C">
        <w:t xml:space="preserve"> and </w:t>
      </w:r>
      <w:r w:rsidR="00712011" w:rsidRPr="00050DA5">
        <w:fldChar w:fldCharType="begin"/>
      </w:r>
      <w:r w:rsidR="00712011" w:rsidRPr="00AC1B1C">
        <w:instrText xml:space="preserve"> REF _Ref459967069 \r \h </w:instrText>
      </w:r>
      <w:r w:rsidR="004F104E" w:rsidRPr="002F0982">
        <w:instrText xml:space="preserve"> \* MERGEFORMAT </w:instrText>
      </w:r>
      <w:r w:rsidR="00712011" w:rsidRPr="00050DA5">
        <w:fldChar w:fldCharType="separate"/>
      </w:r>
      <w:r w:rsidR="00EA6DDF">
        <w:t>23</w:t>
      </w:r>
      <w:r w:rsidR="00712011" w:rsidRPr="00050DA5">
        <w:fldChar w:fldCharType="end"/>
      </w:r>
      <w:r w:rsidR="00DB66ED">
        <w:t xml:space="preserve"> of this Prudential Standard</w:t>
      </w:r>
      <w:proofErr w:type="gramStart"/>
      <w:r w:rsidR="00712011" w:rsidRPr="00AC1B1C">
        <w:t>)</w:t>
      </w:r>
      <w:r w:rsidR="004A5AF1" w:rsidRPr="00AC1B1C">
        <w:t>;</w:t>
      </w:r>
      <w:proofErr w:type="gramEnd"/>
      <w:r w:rsidRPr="00AC1B1C">
        <w:t xml:space="preserve"> </w:t>
      </w:r>
    </w:p>
    <w:p w14:paraId="431459B8" w14:textId="52EC47A9" w:rsidR="00854AD5" w:rsidRPr="00AC1B1C" w:rsidRDefault="005F4B0D" w:rsidP="009E55D8">
      <w:pPr>
        <w:pStyle w:val="BodyText3"/>
        <w:jc w:val="both"/>
      </w:pPr>
      <w:r w:rsidRPr="00AC1B1C">
        <w:t>an economic interdependence relationship</w:t>
      </w:r>
      <w:r w:rsidR="00712011" w:rsidRPr="00AC1B1C">
        <w:t xml:space="preserve"> (refer to paragraph </w:t>
      </w:r>
      <w:r w:rsidR="009865A8" w:rsidRPr="00050DA5">
        <w:fldChar w:fldCharType="begin"/>
      </w:r>
      <w:r w:rsidR="009865A8" w:rsidRPr="00AC1B1C">
        <w:instrText xml:space="preserve"> REF _Ref475115969 \r \h </w:instrText>
      </w:r>
      <w:r w:rsidR="004F104E" w:rsidRPr="002F0982">
        <w:instrText xml:space="preserve"> \* MERGEFORMAT </w:instrText>
      </w:r>
      <w:r w:rsidR="009865A8" w:rsidRPr="00050DA5">
        <w:fldChar w:fldCharType="separate"/>
      </w:r>
      <w:r w:rsidR="00EA6DDF">
        <w:t>24</w:t>
      </w:r>
      <w:r w:rsidR="009865A8" w:rsidRPr="00050DA5">
        <w:fldChar w:fldCharType="end"/>
      </w:r>
      <w:r w:rsidR="00DB66ED">
        <w:t xml:space="preserve"> of this Prudential Standard</w:t>
      </w:r>
      <w:proofErr w:type="gramStart"/>
      <w:r w:rsidR="00712011" w:rsidRPr="00AC1B1C">
        <w:t>)</w:t>
      </w:r>
      <w:r w:rsidR="00854AD5" w:rsidRPr="00AC1B1C">
        <w:t>;</w:t>
      </w:r>
      <w:proofErr w:type="gramEnd"/>
    </w:p>
    <w:p w14:paraId="101A2D6C" w14:textId="0209B70B" w:rsidR="00854AD5" w:rsidRPr="00AC1B1C" w:rsidRDefault="00854AD5" w:rsidP="009E55D8">
      <w:pPr>
        <w:pStyle w:val="BodyText3"/>
        <w:jc w:val="both"/>
      </w:pPr>
      <w:r w:rsidRPr="00AC1B1C">
        <w:t>other connections or relationships which, according to an ADI’s assessment, identifies the counterpartie</w:t>
      </w:r>
      <w:r w:rsidR="003A5AE2" w:rsidRPr="00AC1B1C">
        <w:t>s as constituting a single risk; or</w:t>
      </w:r>
      <w:r w:rsidRPr="00AC1B1C">
        <w:t xml:space="preserve"> </w:t>
      </w:r>
    </w:p>
    <w:p w14:paraId="574D46CC" w14:textId="38DDF0C6" w:rsidR="00854AD5" w:rsidRPr="00AC1B1C" w:rsidRDefault="00854AD5" w:rsidP="001876DA">
      <w:pPr>
        <w:pStyle w:val="BodyText2"/>
        <w:jc w:val="both"/>
      </w:pPr>
      <w:r w:rsidRPr="00AC1B1C">
        <w:t>in relation to investments in structure</w:t>
      </w:r>
      <w:r w:rsidR="00481A60" w:rsidRPr="00AC1B1C">
        <w:t>d vehicles</w:t>
      </w:r>
      <w:r w:rsidRPr="00AC1B1C">
        <w:t xml:space="preserve">, an ADI identifies a third party which </w:t>
      </w:r>
      <w:r w:rsidR="00543743" w:rsidRPr="00AC1B1C">
        <w:t>contributes to</w:t>
      </w:r>
      <w:r w:rsidRPr="00AC1B1C">
        <w:t xml:space="preserve"> an additional risk factor</w:t>
      </w:r>
      <w:r w:rsidR="00916FBD" w:rsidRPr="00AC1B1C">
        <w:t xml:space="preserve"> that is material</w:t>
      </w:r>
      <w:r w:rsidR="00F44310">
        <w:t>,</w:t>
      </w:r>
      <w:r w:rsidR="00916FBD" w:rsidRPr="00AC1B1C">
        <w:t xml:space="preserve"> </w:t>
      </w:r>
      <w:r w:rsidRPr="00AC1B1C">
        <w:t xml:space="preserve">under paragraphs </w:t>
      </w:r>
      <w:r w:rsidR="007B4DA4" w:rsidRPr="00050DA5">
        <w:fldChar w:fldCharType="begin"/>
      </w:r>
      <w:r w:rsidR="007B4DA4" w:rsidRPr="00AC1B1C">
        <w:instrText xml:space="preserve"> REF _Ref471740206 \r \h </w:instrText>
      </w:r>
      <w:r w:rsidR="004F104E" w:rsidRPr="006C3707">
        <w:instrText xml:space="preserve"> \* MERGEFORMAT </w:instrText>
      </w:r>
      <w:r w:rsidR="007B4DA4" w:rsidRPr="00050DA5">
        <w:fldChar w:fldCharType="separate"/>
      </w:r>
      <w:r w:rsidR="00EA6DDF">
        <w:t>27</w:t>
      </w:r>
      <w:r w:rsidR="007B4DA4" w:rsidRPr="00050DA5">
        <w:fldChar w:fldCharType="end"/>
      </w:r>
      <w:r w:rsidRPr="00AC1B1C">
        <w:t xml:space="preserve"> </w:t>
      </w:r>
      <w:r w:rsidR="008F2697" w:rsidRPr="00AC1B1C">
        <w:t xml:space="preserve">to </w:t>
      </w:r>
      <w:r w:rsidR="007B4DA4" w:rsidRPr="00050DA5">
        <w:fldChar w:fldCharType="begin"/>
      </w:r>
      <w:r w:rsidR="007B4DA4" w:rsidRPr="00AC1B1C">
        <w:instrText xml:space="preserve"> REF _Ref459965415 \r \h </w:instrText>
      </w:r>
      <w:r w:rsidR="004F104E" w:rsidRPr="006C3707">
        <w:instrText xml:space="preserve"> \* MERGEFORMAT </w:instrText>
      </w:r>
      <w:r w:rsidR="007B4DA4" w:rsidRPr="00050DA5">
        <w:fldChar w:fldCharType="separate"/>
      </w:r>
      <w:r w:rsidR="00EA6DDF">
        <w:t>30</w:t>
      </w:r>
      <w:r w:rsidR="007B4DA4" w:rsidRPr="00050DA5">
        <w:fldChar w:fldCharType="end"/>
      </w:r>
      <w:r w:rsidR="007B4DA4" w:rsidRPr="00AC1B1C">
        <w:t xml:space="preserve"> of </w:t>
      </w:r>
      <w:r w:rsidR="00902B2E">
        <w:t>Attachment A</w:t>
      </w:r>
      <w:r w:rsidR="00DB66ED">
        <w:t xml:space="preserve"> of this Prudential Standard</w:t>
      </w:r>
      <w:r w:rsidR="0053041F" w:rsidRPr="00AC1B1C">
        <w:t>.</w:t>
      </w:r>
      <w:r w:rsidRPr="00AC1B1C">
        <w:t xml:space="preserve"> </w:t>
      </w:r>
    </w:p>
    <w:p w14:paraId="2CBE327A" w14:textId="486A1255" w:rsidR="00441D94" w:rsidRDefault="005F4B0D" w:rsidP="00CE3E1C">
      <w:pPr>
        <w:pStyle w:val="BodyText1"/>
      </w:pPr>
      <w:bookmarkStart w:id="48" w:name="_Ref497931958"/>
      <w:bookmarkStart w:id="49" w:name="_Ref459965288"/>
      <w:bookmarkEnd w:id="45"/>
      <w:r w:rsidRPr="00AC1B1C">
        <w:t xml:space="preserve">A control relationship exists </w:t>
      </w:r>
      <w:r w:rsidR="00712011" w:rsidRPr="00AC1B1C">
        <w:t xml:space="preserve">between two counterparties </w:t>
      </w:r>
      <w:r w:rsidRPr="00AC1B1C">
        <w:t>if one of the counterparties</w:t>
      </w:r>
      <w:r w:rsidR="00DC6FD0" w:rsidRPr="00AC1B1C">
        <w:t xml:space="preserve"> </w:t>
      </w:r>
      <w:r w:rsidRPr="00AC1B1C">
        <w:t>has</w:t>
      </w:r>
      <w:r w:rsidR="00DC6FD0" w:rsidRPr="00AC1B1C">
        <w:t xml:space="preserve"> direct or indirect</w:t>
      </w:r>
      <w:r w:rsidRPr="00AC1B1C">
        <w:t xml:space="preserve"> control over </w:t>
      </w:r>
      <w:r w:rsidR="0072175F" w:rsidRPr="00AC1B1C">
        <w:t xml:space="preserve">the </w:t>
      </w:r>
      <w:r w:rsidRPr="00AC1B1C">
        <w:t>other counterparty</w:t>
      </w:r>
      <w:r w:rsidR="004A60F7" w:rsidRPr="00AC1B1C">
        <w:t>,</w:t>
      </w:r>
      <w:r w:rsidR="009F51D1" w:rsidRPr="00AC1B1C">
        <w:t xml:space="preserve"> or if </w:t>
      </w:r>
      <w:r w:rsidR="00A93B4D">
        <w:t xml:space="preserve">both </w:t>
      </w:r>
      <w:r w:rsidR="009F51D1" w:rsidRPr="00AC1B1C">
        <w:t>counterparties are directly or indirectly controlled by another entity (</w:t>
      </w:r>
      <w:r w:rsidR="00A93B4D">
        <w:t xml:space="preserve">which may be </w:t>
      </w:r>
      <w:r w:rsidR="009F51D1" w:rsidRPr="00AC1B1C">
        <w:t>another counterparty)</w:t>
      </w:r>
      <w:r w:rsidR="004A60F7" w:rsidRPr="00AC1B1C">
        <w:t xml:space="preserve">. </w:t>
      </w:r>
      <w:r w:rsidR="00441D94">
        <w:t>This includes</w:t>
      </w:r>
      <w:r w:rsidR="006C633E">
        <w:t>,</w:t>
      </w:r>
      <w:r w:rsidR="00441D94">
        <w:t xml:space="preserve"> but is not limited</w:t>
      </w:r>
      <w:r w:rsidR="006C633E">
        <w:t>,</w:t>
      </w:r>
      <w:r w:rsidR="00441D94">
        <w:t xml:space="preserve"> to any of the following:</w:t>
      </w:r>
      <w:bookmarkEnd w:id="48"/>
    </w:p>
    <w:p w14:paraId="420D0497" w14:textId="57E2D6F2" w:rsidR="005F4B0D" w:rsidRPr="00AC1B1C" w:rsidRDefault="00DC6FD0" w:rsidP="006C3707">
      <w:pPr>
        <w:pStyle w:val="BodyText2"/>
      </w:pPr>
      <w:r w:rsidRPr="00AC1B1C">
        <w:t>the entity can exercise more than</w:t>
      </w:r>
      <w:r w:rsidR="004A60F7" w:rsidRPr="00AC1B1C">
        <w:t xml:space="preserve"> </w:t>
      </w:r>
      <w:r w:rsidR="005F4B0D" w:rsidRPr="00AC1B1C">
        <w:t>50 per cent of the voting rights o</w:t>
      </w:r>
      <w:r w:rsidR="00694257" w:rsidRPr="00AC1B1C">
        <w:t>ver</w:t>
      </w:r>
      <w:r w:rsidR="005F4B0D" w:rsidRPr="00AC1B1C">
        <w:t xml:space="preserve"> </w:t>
      </w:r>
      <w:r w:rsidR="009D1C7A" w:rsidRPr="00AC1B1C">
        <w:t>the</w:t>
      </w:r>
      <w:r w:rsidR="005F4B0D" w:rsidRPr="00AC1B1C">
        <w:t xml:space="preserve"> </w:t>
      </w:r>
      <w:r w:rsidRPr="00AC1B1C">
        <w:t>counterparty</w:t>
      </w:r>
      <w:r w:rsidR="00441D94">
        <w:t>;</w:t>
      </w:r>
      <w:bookmarkEnd w:id="49"/>
    </w:p>
    <w:p w14:paraId="286ED3E1" w14:textId="45D83952" w:rsidR="005F4B0D" w:rsidRPr="00AC1B1C" w:rsidRDefault="00694257" w:rsidP="00CE3E1C">
      <w:pPr>
        <w:pStyle w:val="BodyText2"/>
        <w:jc w:val="both"/>
      </w:pPr>
      <w:r w:rsidRPr="00AC1B1C">
        <w:t>t</w:t>
      </w:r>
      <w:r w:rsidR="005F4B0D" w:rsidRPr="00AC1B1C">
        <w:t>he</w:t>
      </w:r>
      <w:r w:rsidRPr="00AC1B1C">
        <w:t xml:space="preserve"> entity</w:t>
      </w:r>
      <w:r w:rsidR="005F4B0D" w:rsidRPr="00AC1B1C">
        <w:t xml:space="preserve"> </w:t>
      </w:r>
      <w:r w:rsidRPr="00AC1B1C">
        <w:t>has a voting</w:t>
      </w:r>
      <w:r w:rsidR="005F4B0D" w:rsidRPr="00AC1B1C">
        <w:t xml:space="preserve"> agreement</w:t>
      </w:r>
      <w:r w:rsidR="00E27779" w:rsidRPr="00AC1B1C">
        <w:t xml:space="preserve"> with other shareholders</w:t>
      </w:r>
      <w:r w:rsidR="005F4B0D" w:rsidRPr="00AC1B1C">
        <w:t xml:space="preserve"> resulting in control of voting rights</w:t>
      </w:r>
      <w:r w:rsidRPr="00AC1B1C">
        <w:t xml:space="preserve"> over the counterparty</w:t>
      </w:r>
      <w:r w:rsidR="005F4B0D" w:rsidRPr="00AC1B1C">
        <w:t>;</w:t>
      </w:r>
    </w:p>
    <w:p w14:paraId="44ACC2E7" w14:textId="4370963B" w:rsidR="005F4B0D" w:rsidRPr="00AC1B1C" w:rsidRDefault="00694257" w:rsidP="00CE3E1C">
      <w:pPr>
        <w:pStyle w:val="BodyText2"/>
        <w:jc w:val="both"/>
      </w:pPr>
      <w:r w:rsidRPr="00AC1B1C">
        <w:t>the entity</w:t>
      </w:r>
      <w:r w:rsidR="004A60F7" w:rsidRPr="00AC1B1C">
        <w:t xml:space="preserve"> </w:t>
      </w:r>
      <w:r w:rsidR="005F4B0D" w:rsidRPr="00AC1B1C">
        <w:t xml:space="preserve">has significant influence on </w:t>
      </w:r>
      <w:r w:rsidR="00FA0C44">
        <w:t xml:space="preserve">the </w:t>
      </w:r>
      <w:r w:rsidR="005F4B0D" w:rsidRPr="00AC1B1C">
        <w:t xml:space="preserve">appointment </w:t>
      </w:r>
      <w:r w:rsidR="00A93B4D">
        <w:t xml:space="preserve">of persons to </w:t>
      </w:r>
      <w:r w:rsidR="005F4B0D" w:rsidRPr="00AC1B1C">
        <w:t xml:space="preserve">or </w:t>
      </w:r>
      <w:r w:rsidR="00B3364C" w:rsidRPr="00AC1B1C">
        <w:t xml:space="preserve">removal </w:t>
      </w:r>
      <w:r w:rsidR="008F35C8" w:rsidRPr="00AC1B1C">
        <w:t>of</w:t>
      </w:r>
      <w:r w:rsidR="00B3364C" w:rsidRPr="00AC1B1C">
        <w:t xml:space="preserve"> </w:t>
      </w:r>
      <w:r w:rsidR="00FA0C44">
        <w:t xml:space="preserve">persons </w:t>
      </w:r>
      <w:r w:rsidR="00A93B4D">
        <w:t xml:space="preserve">from </w:t>
      </w:r>
      <w:r w:rsidR="00B3364C" w:rsidRPr="00AC1B1C">
        <w:t>the counterparty’s</w:t>
      </w:r>
      <w:r w:rsidR="005F4B0D" w:rsidRPr="00AC1B1C">
        <w:t xml:space="preserve"> management, board committees or Board; or</w:t>
      </w:r>
    </w:p>
    <w:p w14:paraId="32BDFF65" w14:textId="54EB6EC9" w:rsidR="005F4B0D" w:rsidRDefault="00B3364C" w:rsidP="00CE3E1C">
      <w:pPr>
        <w:pStyle w:val="BodyText2"/>
        <w:jc w:val="both"/>
      </w:pPr>
      <w:r w:rsidRPr="00AC1B1C">
        <w:t xml:space="preserve">the </w:t>
      </w:r>
      <w:r w:rsidR="004A60F7" w:rsidRPr="00AC1B1C">
        <w:t xml:space="preserve">entity </w:t>
      </w:r>
      <w:r w:rsidR="005F4B0D" w:rsidRPr="00AC1B1C">
        <w:t xml:space="preserve">has significant influence on a </w:t>
      </w:r>
      <w:r w:rsidR="005F4B0D" w:rsidRPr="00AC1B1C">
        <w:rPr>
          <w:b/>
        </w:rPr>
        <w:t>senior manager</w:t>
      </w:r>
      <w:r w:rsidR="005F4B0D" w:rsidRPr="00AC1B1C">
        <w:t xml:space="preserve"> or senior management of </w:t>
      </w:r>
      <w:r w:rsidR="007E7A0C" w:rsidRPr="00AC1B1C">
        <w:t>the</w:t>
      </w:r>
      <w:r w:rsidR="005F4B0D" w:rsidRPr="00AC1B1C">
        <w:t xml:space="preserve"> </w:t>
      </w:r>
      <w:r w:rsidRPr="00AC1B1C">
        <w:t>counterparty</w:t>
      </w:r>
      <w:r w:rsidR="004A60F7" w:rsidRPr="00AC1B1C">
        <w:t xml:space="preserve"> </w:t>
      </w:r>
      <w:r w:rsidR="005F4B0D" w:rsidRPr="00AC1B1C">
        <w:t>(</w:t>
      </w:r>
      <w:r w:rsidR="00430ADD" w:rsidRPr="00AC1B1C">
        <w:t>including</w:t>
      </w:r>
      <w:r w:rsidR="005F4B0D" w:rsidRPr="00AC1B1C">
        <w:t xml:space="preserve"> influence  </w:t>
      </w:r>
      <w:r w:rsidR="007708E9" w:rsidRPr="00AC1B1C">
        <w:t xml:space="preserve">on </w:t>
      </w:r>
      <w:r w:rsidR="005C43C3" w:rsidRPr="00AC1B1C">
        <w:t>the</w:t>
      </w:r>
      <w:r w:rsidR="005F4B0D" w:rsidRPr="00AC1B1C">
        <w:t xml:space="preserve"> policies of </w:t>
      </w:r>
      <w:r w:rsidR="006A109C" w:rsidRPr="00AC1B1C">
        <w:t>the</w:t>
      </w:r>
      <w:r w:rsidR="008F35C8" w:rsidRPr="00AC1B1C">
        <w:t xml:space="preserve"> </w:t>
      </w:r>
      <w:r w:rsidR="005F4B0D" w:rsidRPr="00AC1B1C">
        <w:t>counterparty).</w:t>
      </w:r>
    </w:p>
    <w:p w14:paraId="7DDD3B14" w14:textId="19B83751" w:rsidR="0011359C" w:rsidRPr="00AC1B1C" w:rsidRDefault="0011359C" w:rsidP="0011359C">
      <w:pPr>
        <w:pStyle w:val="BodyText1"/>
      </w:pPr>
      <w:bookmarkStart w:id="50" w:name="_Ref459967069"/>
      <w:r w:rsidRPr="00AC1B1C">
        <w:t xml:space="preserve">In determining whether a control relationship exists, an ADI must </w:t>
      </w:r>
      <w:r>
        <w:t xml:space="preserve">also </w:t>
      </w:r>
      <w:r w:rsidRPr="00AC1B1C">
        <w:t xml:space="preserve">refer to the criteria in relevant </w:t>
      </w:r>
      <w:r w:rsidRPr="00800F25">
        <w:t>Australian Accounting Standards</w:t>
      </w:r>
      <w:r w:rsidRPr="00AC1B1C">
        <w:t xml:space="preserve">. </w:t>
      </w:r>
      <w:bookmarkEnd w:id="50"/>
    </w:p>
    <w:p w14:paraId="7944D962" w14:textId="01744FF4" w:rsidR="005F4B0D" w:rsidRPr="00AC1B1C" w:rsidRDefault="005B630A" w:rsidP="00CE3E1C">
      <w:pPr>
        <w:pStyle w:val="BodyText1"/>
      </w:pPr>
      <w:bookmarkStart w:id="51" w:name="_Ref475115969"/>
      <w:bookmarkStart w:id="52" w:name="_Ref497942977"/>
      <w:bookmarkStart w:id="53" w:name="_Ref498005648"/>
      <w:bookmarkStart w:id="54" w:name="_Ref473626220"/>
      <w:r w:rsidRPr="00AC1B1C">
        <w:t xml:space="preserve">If an ADI’s exposure to a </w:t>
      </w:r>
      <w:r w:rsidR="00577AD1">
        <w:t xml:space="preserve">non-retail </w:t>
      </w:r>
      <w:r w:rsidRPr="00AC1B1C">
        <w:t>counterparty exceeds five per cent of the ADI’s Tier 1 Capital, the ADI must identify all</w:t>
      </w:r>
      <w:r w:rsidR="000352E1">
        <w:t xml:space="preserve"> non-retail </w:t>
      </w:r>
      <w:r w:rsidRPr="00AC1B1C">
        <w:t>counterparties linked by an economic interdependence</w:t>
      </w:r>
      <w:r w:rsidR="004F6822" w:rsidRPr="00AC1B1C">
        <w:t xml:space="preserve"> relationship to that</w:t>
      </w:r>
      <w:r w:rsidRPr="00AC1B1C">
        <w:t xml:space="preserve"> counterparty.</w:t>
      </w:r>
      <w:r w:rsidR="000352E1">
        <w:t xml:space="preserve"> </w:t>
      </w:r>
      <w:r w:rsidR="00DE541F" w:rsidRPr="00AC1B1C">
        <w:t>An e</w:t>
      </w:r>
      <w:r w:rsidR="005F4B0D" w:rsidRPr="00AC1B1C">
        <w:t xml:space="preserve">conomic interdependence </w:t>
      </w:r>
      <w:r w:rsidR="00DE541F" w:rsidRPr="00AC1B1C">
        <w:t>relationship exists between two counterparties if</w:t>
      </w:r>
      <w:r w:rsidR="007D0D98">
        <w:t>,</w:t>
      </w:r>
      <w:r w:rsidR="00DE541F" w:rsidRPr="00AC1B1C">
        <w:t xml:space="preserve"> </w:t>
      </w:r>
      <w:r w:rsidR="00342ECE" w:rsidRPr="00AC1B1C">
        <w:t xml:space="preserve">in the ADI’s </w:t>
      </w:r>
      <w:r w:rsidR="00342ECE" w:rsidRPr="00AC1B1C">
        <w:lastRenderedPageBreak/>
        <w:t>assessment</w:t>
      </w:r>
      <w:r w:rsidR="007D0D98">
        <w:t>,</w:t>
      </w:r>
      <w:r w:rsidR="00342ECE" w:rsidRPr="00AC1B1C">
        <w:t xml:space="preserve"> </w:t>
      </w:r>
      <w:r w:rsidR="005F4B0D" w:rsidRPr="00AC1B1C">
        <w:t xml:space="preserve">the financial soundness of a counterparty </w:t>
      </w:r>
      <w:r w:rsidR="0064010B" w:rsidRPr="00AC1B1C">
        <w:t xml:space="preserve">could </w:t>
      </w:r>
      <w:r w:rsidR="00451D55" w:rsidRPr="00AC1B1C">
        <w:t xml:space="preserve">materially </w:t>
      </w:r>
      <w:r w:rsidR="005F4B0D" w:rsidRPr="00AC1B1C">
        <w:t xml:space="preserve">affect the financial soundness of </w:t>
      </w:r>
      <w:r w:rsidR="00012DCA">
        <w:t>another</w:t>
      </w:r>
      <w:r w:rsidR="005F4B0D" w:rsidRPr="00AC1B1C">
        <w:t xml:space="preserve"> counterparty</w:t>
      </w:r>
      <w:r w:rsidR="00E94ACB">
        <w:t xml:space="preserve">. This </w:t>
      </w:r>
      <w:r w:rsidR="00012DCA">
        <w:t>includes</w:t>
      </w:r>
      <w:r w:rsidR="007219E4">
        <w:t>,</w:t>
      </w:r>
      <w:r w:rsidR="00E94ACB">
        <w:t xml:space="preserve"> but is not limited to</w:t>
      </w:r>
      <w:r w:rsidR="007219E4">
        <w:t>,</w:t>
      </w:r>
      <w:r w:rsidR="00A00D0B" w:rsidRPr="00AC1B1C">
        <w:t xml:space="preserve"> any of the following</w:t>
      </w:r>
      <w:r w:rsidR="005F4B0D" w:rsidRPr="00AC1B1C">
        <w:t>:</w:t>
      </w:r>
      <w:bookmarkEnd w:id="51"/>
      <w:bookmarkEnd w:id="52"/>
      <w:bookmarkEnd w:id="53"/>
      <w:r w:rsidR="005F4B0D" w:rsidRPr="00AC1B1C">
        <w:t xml:space="preserve">  </w:t>
      </w:r>
      <w:bookmarkEnd w:id="54"/>
    </w:p>
    <w:p w14:paraId="61548E65" w14:textId="3205BB8F" w:rsidR="005F4B0D" w:rsidRPr="00AC1B1C" w:rsidRDefault="00E37444" w:rsidP="00CE3E1C">
      <w:pPr>
        <w:pStyle w:val="BodyText2"/>
        <w:jc w:val="both"/>
      </w:pPr>
      <w:r w:rsidRPr="00AC1B1C">
        <w:t>50 per cent or more of a counterparty’s annual gross</w:t>
      </w:r>
      <w:r w:rsidR="00063562" w:rsidRPr="00AC1B1C">
        <w:t xml:space="preserve"> </w:t>
      </w:r>
      <w:r w:rsidRPr="00AC1B1C">
        <w:t xml:space="preserve">receipts or gross expenditures is derived from transactions with </w:t>
      </w:r>
      <w:r w:rsidR="009D1C7A" w:rsidRPr="00AC1B1C">
        <w:t xml:space="preserve">the </w:t>
      </w:r>
      <w:r w:rsidRPr="00AC1B1C">
        <w:t>other counterparty;</w:t>
      </w:r>
    </w:p>
    <w:p w14:paraId="03E79408" w14:textId="77777777" w:rsidR="00E37444" w:rsidRPr="00AC1B1C" w:rsidRDefault="00E37444" w:rsidP="00CE3E1C">
      <w:pPr>
        <w:pStyle w:val="BodyText2"/>
        <w:jc w:val="both"/>
      </w:pPr>
      <w:r w:rsidRPr="00AC1B1C">
        <w:t xml:space="preserve">one counterparty has fully or partly guaranteed the exposure of </w:t>
      </w:r>
      <w:r w:rsidR="00810944" w:rsidRPr="00AC1B1C">
        <w:t xml:space="preserve">the </w:t>
      </w:r>
      <w:r w:rsidRPr="00AC1B1C">
        <w:t>other counterparty, or is liable by other means, and the exposure is significant, such that the guarantor is likely to default if a claim occurs;</w:t>
      </w:r>
    </w:p>
    <w:p w14:paraId="6626BA7D" w14:textId="415F8737" w:rsidR="00E37444" w:rsidRPr="00AC1B1C" w:rsidRDefault="00E37444" w:rsidP="00CE3E1C">
      <w:pPr>
        <w:pStyle w:val="BodyText2"/>
        <w:jc w:val="both"/>
      </w:pPr>
      <w:r w:rsidRPr="00AC1B1C">
        <w:t xml:space="preserve">a significant part of a counterparty’s </w:t>
      </w:r>
      <w:r w:rsidR="00756BE9" w:rsidRPr="00AC1B1C">
        <w:t>business</w:t>
      </w:r>
      <w:r w:rsidR="00A00D0B" w:rsidRPr="00AC1B1C">
        <w:t xml:space="preserve"> </w:t>
      </w:r>
      <w:r w:rsidRPr="00AC1B1C">
        <w:t xml:space="preserve">is </w:t>
      </w:r>
      <w:r w:rsidR="00756BE9" w:rsidRPr="00AC1B1C">
        <w:t>transacted with</w:t>
      </w:r>
      <w:r w:rsidRPr="00AC1B1C">
        <w:t xml:space="preserve"> </w:t>
      </w:r>
      <w:r w:rsidR="00810944" w:rsidRPr="00AC1B1C">
        <w:t xml:space="preserve">the </w:t>
      </w:r>
      <w:r w:rsidRPr="00AC1B1C">
        <w:t>other counterparty, which cannot be easily</w:t>
      </w:r>
      <w:r w:rsidR="00BA5BB3" w:rsidRPr="00AC1B1C">
        <w:t xml:space="preserve"> </w:t>
      </w:r>
      <w:r w:rsidRPr="00AC1B1C">
        <w:t xml:space="preserve">replaced by </w:t>
      </w:r>
      <w:r w:rsidR="00884E86" w:rsidRPr="00AC1B1C">
        <w:t xml:space="preserve">business from </w:t>
      </w:r>
      <w:r w:rsidRPr="00AC1B1C">
        <w:t>other customers</w:t>
      </w:r>
      <w:r w:rsidR="00D34781" w:rsidRPr="00AC1B1C">
        <w:t xml:space="preserve"> within a</w:t>
      </w:r>
      <w:r w:rsidR="00707A95">
        <w:t xml:space="preserve"> reasonable </w:t>
      </w:r>
      <w:r w:rsidR="00D34781" w:rsidRPr="00AC1B1C">
        <w:t>time period</w:t>
      </w:r>
      <w:r w:rsidRPr="00AC1B1C">
        <w:t>;</w:t>
      </w:r>
    </w:p>
    <w:p w14:paraId="76CD4777" w14:textId="77777777" w:rsidR="00E37444" w:rsidRPr="00AC1B1C" w:rsidRDefault="00E37444" w:rsidP="00CE3E1C">
      <w:pPr>
        <w:pStyle w:val="BodyText2"/>
        <w:jc w:val="both"/>
      </w:pPr>
      <w:r w:rsidRPr="00AC1B1C">
        <w:t xml:space="preserve">the expected source of funds to repay the loans of both counterparties is the same and neither counterparty has another </w:t>
      </w:r>
      <w:r w:rsidR="00260232" w:rsidRPr="00AC1B1C">
        <w:t xml:space="preserve">independent </w:t>
      </w:r>
      <w:r w:rsidRPr="00AC1B1C">
        <w:t>source of income from which the loans may be fully repaid;</w:t>
      </w:r>
    </w:p>
    <w:p w14:paraId="3C3B9C50" w14:textId="078B0FD7" w:rsidR="00E37444" w:rsidRPr="00AC1B1C" w:rsidRDefault="00E37444" w:rsidP="00CE3E1C">
      <w:pPr>
        <w:pStyle w:val="BodyText2"/>
        <w:jc w:val="both"/>
      </w:pPr>
      <w:r w:rsidRPr="00AC1B1C">
        <w:t xml:space="preserve">it is likely that the financial difficulties of </w:t>
      </w:r>
      <w:r w:rsidR="007219E4">
        <w:t>one</w:t>
      </w:r>
      <w:r w:rsidR="007219E4" w:rsidRPr="00AC1B1C">
        <w:t xml:space="preserve"> </w:t>
      </w:r>
      <w:r w:rsidRPr="00AC1B1C">
        <w:t xml:space="preserve">counterparty would cause difficulties for </w:t>
      </w:r>
      <w:r w:rsidR="002710D2" w:rsidRPr="00AC1B1C">
        <w:t xml:space="preserve">the other </w:t>
      </w:r>
      <w:r w:rsidRPr="00AC1B1C">
        <w:t>counterpart</w:t>
      </w:r>
      <w:r w:rsidR="002710D2" w:rsidRPr="00AC1B1C">
        <w:t>y</w:t>
      </w:r>
      <w:r w:rsidRPr="00AC1B1C">
        <w:t xml:space="preserve"> in terms of full and timely repayment of liabilities;</w:t>
      </w:r>
    </w:p>
    <w:p w14:paraId="55E87B1C" w14:textId="7CEB52F7" w:rsidR="00E37444" w:rsidRPr="00AC1B1C" w:rsidRDefault="00E37444" w:rsidP="00CE3E1C">
      <w:pPr>
        <w:pStyle w:val="BodyText2"/>
        <w:jc w:val="both"/>
      </w:pPr>
      <w:r w:rsidRPr="00AC1B1C">
        <w:t>the insolvency or default of one counterparty is likely to be associated with the insolvency or default of the other counterpart</w:t>
      </w:r>
      <w:r w:rsidR="007219E4">
        <w:t>y</w:t>
      </w:r>
      <w:r w:rsidRPr="00AC1B1C">
        <w:t>; or</w:t>
      </w:r>
    </w:p>
    <w:p w14:paraId="52C7B70A" w14:textId="05E7D89C" w:rsidR="00E37444" w:rsidRPr="00AC1B1C" w:rsidRDefault="007219E4" w:rsidP="00CE3E1C">
      <w:pPr>
        <w:pStyle w:val="BodyText2"/>
        <w:jc w:val="both"/>
      </w:pPr>
      <w:r>
        <w:t>the</w:t>
      </w:r>
      <w:r w:rsidR="00E37444" w:rsidRPr="00AC1B1C">
        <w:t xml:space="preserve"> counterparties rely on the same source for the majority of their funding and, in the event of the common funds provider’s default, </w:t>
      </w:r>
      <w:r w:rsidR="00D01819" w:rsidRPr="00AC1B1C">
        <w:t xml:space="preserve">it is expected that </w:t>
      </w:r>
      <w:r w:rsidR="00E37444" w:rsidRPr="00AC1B1C">
        <w:t xml:space="preserve">an alternative funds provider </w:t>
      </w:r>
      <w:r>
        <w:t>could not</w:t>
      </w:r>
      <w:r w:rsidRPr="00AC1B1C">
        <w:t xml:space="preserve"> </w:t>
      </w:r>
      <w:r w:rsidR="00E37444" w:rsidRPr="00AC1B1C">
        <w:t>be found.</w:t>
      </w:r>
    </w:p>
    <w:p w14:paraId="749D9983" w14:textId="1141B24C" w:rsidR="00CA7BE3" w:rsidRDefault="00CA7BE3" w:rsidP="00CA7BE3">
      <w:pPr>
        <w:pStyle w:val="BodyText1"/>
      </w:pPr>
      <w:bookmarkStart w:id="55" w:name="_Ref497405235"/>
      <w:bookmarkStart w:id="56" w:name="_Ref458056627"/>
      <w:r>
        <w:t xml:space="preserve">For the purposes of paragraph </w:t>
      </w:r>
      <w:r>
        <w:fldChar w:fldCharType="begin"/>
      </w:r>
      <w:r>
        <w:instrText xml:space="preserve"> REF _Ref497931958 \r \h  \* MERGEFORMAT </w:instrText>
      </w:r>
      <w:r>
        <w:fldChar w:fldCharType="separate"/>
      </w:r>
      <w:r w:rsidR="00EA6DDF">
        <w:t>22</w:t>
      </w:r>
      <w:r>
        <w:fldChar w:fldCharType="end"/>
      </w:r>
      <w:r>
        <w:t xml:space="preserve"> and </w:t>
      </w:r>
      <w:r>
        <w:fldChar w:fldCharType="begin"/>
      </w:r>
      <w:r>
        <w:instrText xml:space="preserve"> REF _Ref475115969 \r \h </w:instrText>
      </w:r>
      <w:r>
        <w:fldChar w:fldCharType="separate"/>
      </w:r>
      <w:r w:rsidR="00EA6DDF">
        <w:t>24</w:t>
      </w:r>
      <w:r>
        <w:fldChar w:fldCharType="end"/>
      </w:r>
      <w:r>
        <w:t xml:space="preserve"> of this Prudential Standard, a government-related entity is not required to be treated as a connected counterparty with:</w:t>
      </w:r>
    </w:p>
    <w:p w14:paraId="5D172B40" w14:textId="5FF6F8E8" w:rsidR="00CA7BE3" w:rsidRDefault="00155FF6" w:rsidP="00CA7BE3">
      <w:pPr>
        <w:pStyle w:val="BodyText2"/>
        <w:jc w:val="both"/>
      </w:pPr>
      <w:r>
        <w:t>its</w:t>
      </w:r>
      <w:r w:rsidR="00CA7BE3">
        <w:t xml:space="preserve"> </w:t>
      </w:r>
      <w:r w:rsidR="001B613E">
        <w:t>related</w:t>
      </w:r>
      <w:r w:rsidR="00CA7BE3">
        <w:t xml:space="preserve"> government or central bank; or</w:t>
      </w:r>
    </w:p>
    <w:p w14:paraId="5CE32F68" w14:textId="0682263D" w:rsidR="00CA7BE3" w:rsidRPr="00AC1B1C" w:rsidRDefault="00CA7BE3" w:rsidP="00CA7BE3">
      <w:pPr>
        <w:pStyle w:val="BodyText2"/>
        <w:jc w:val="both"/>
      </w:pPr>
      <w:r>
        <w:t xml:space="preserve">other government-related entities </w:t>
      </w:r>
      <w:r w:rsidR="001E75CF">
        <w:t xml:space="preserve">that are related to </w:t>
      </w:r>
      <w:r>
        <w:t>the same government or central bank.</w:t>
      </w:r>
    </w:p>
    <w:p w14:paraId="42535389" w14:textId="757CDD1C" w:rsidR="00E94ACB" w:rsidRPr="00AC1B1C" w:rsidRDefault="00E94ACB" w:rsidP="00E94ACB">
      <w:pPr>
        <w:pStyle w:val="BodyText1"/>
      </w:pPr>
      <w:r w:rsidRPr="00AC1B1C">
        <w:t xml:space="preserve">An ADI is not required to include a counterparty in a group of connected counterparties under paragraph </w:t>
      </w:r>
      <w:r w:rsidR="00B61645">
        <w:fldChar w:fldCharType="begin"/>
      </w:r>
      <w:r w:rsidR="00B61645">
        <w:instrText xml:space="preserve"> REF _Ref497942977 \r \h </w:instrText>
      </w:r>
      <w:r w:rsidR="00B61645">
        <w:fldChar w:fldCharType="separate"/>
      </w:r>
      <w:r w:rsidR="00EA6DDF">
        <w:t>24</w:t>
      </w:r>
      <w:r w:rsidR="00B61645">
        <w:fldChar w:fldCharType="end"/>
      </w:r>
      <w:r w:rsidR="006C633E">
        <w:t xml:space="preserve"> </w:t>
      </w:r>
      <w:r w:rsidR="00DB66ED">
        <w:t>of this Prudential Standard</w:t>
      </w:r>
      <w:r w:rsidR="00617FED">
        <w:t xml:space="preserve"> </w:t>
      </w:r>
      <w:r w:rsidRPr="00AC1B1C">
        <w:t xml:space="preserve">if the ADI is satisfied that the counterparty is able to overcome financial difficulties (including as a result of a default by </w:t>
      </w:r>
      <w:r w:rsidR="007C4F09">
        <w:t>other counterparties</w:t>
      </w:r>
      <w:r w:rsidRPr="00AC1B1C">
        <w:t xml:space="preserve"> in the group) by finding alternative business partners or funding sources within a</w:t>
      </w:r>
      <w:r w:rsidR="006664E7">
        <w:t xml:space="preserve"> reasonable </w:t>
      </w:r>
      <w:r w:rsidRPr="00AC1B1C">
        <w:t xml:space="preserve">time period. </w:t>
      </w:r>
    </w:p>
    <w:bookmarkEnd w:id="55"/>
    <w:bookmarkEnd w:id="56"/>
    <w:p w14:paraId="1A89F35B" w14:textId="5B15BB6F" w:rsidR="007E58A8" w:rsidRPr="00AC1B1C" w:rsidRDefault="007E58A8" w:rsidP="00CE3E1C">
      <w:pPr>
        <w:pStyle w:val="BodyText1"/>
      </w:pPr>
      <w:r w:rsidRPr="00AC1B1C">
        <w:t xml:space="preserve">Exposures to central counterparties (CCPs) that are specifically related to clearing activities </w:t>
      </w:r>
      <w:r w:rsidR="0023171E">
        <w:t>may be</w:t>
      </w:r>
      <w:r w:rsidR="0023171E" w:rsidRPr="00AC1B1C">
        <w:t xml:space="preserve"> </w:t>
      </w:r>
      <w:r w:rsidR="00122C93" w:rsidRPr="00AC1B1C">
        <w:t>excluded</w:t>
      </w:r>
      <w:r w:rsidRPr="00AC1B1C">
        <w:t xml:space="preserve"> </w:t>
      </w:r>
      <w:r w:rsidR="00A447E3">
        <w:t>when measuring exposures to</w:t>
      </w:r>
      <w:r w:rsidR="00A447E3" w:rsidRPr="00AC1B1C">
        <w:t xml:space="preserve"> </w:t>
      </w:r>
      <w:r w:rsidRPr="00AC1B1C">
        <w:t xml:space="preserve">a group of connected counterparties. </w:t>
      </w:r>
    </w:p>
    <w:p w14:paraId="72CAEB1D" w14:textId="315242E5" w:rsidR="00523C3E" w:rsidRPr="00AC1B1C" w:rsidRDefault="0090313C" w:rsidP="007F613D">
      <w:pPr>
        <w:pStyle w:val="BodyText1"/>
      </w:pPr>
      <w:bookmarkStart w:id="57" w:name="_Ref458055945"/>
      <w:bookmarkStart w:id="58" w:name="_Ref459908687"/>
      <w:r>
        <w:t>An ADI must review the</w:t>
      </w:r>
      <w:r w:rsidRPr="00AC1B1C">
        <w:t xml:space="preserve"> reason</w:t>
      </w:r>
      <w:r>
        <w:t>s</w:t>
      </w:r>
      <w:r w:rsidRPr="00AC1B1C">
        <w:t xml:space="preserve"> for not treating certain counterparties (including structured vehicles and </w:t>
      </w:r>
      <w:r w:rsidR="00EC4FD3">
        <w:t>third parties which contribute additional risk factors</w:t>
      </w:r>
      <w:r w:rsidRPr="00AC1B1C">
        <w:t>) as a group of connected counterparties</w:t>
      </w:r>
      <w:r w:rsidR="006664E7">
        <w:t xml:space="preserve"> </w:t>
      </w:r>
      <w:r w:rsidR="00EC4FD3">
        <w:t>in a timely manner</w:t>
      </w:r>
      <w:r>
        <w:t>.</w:t>
      </w:r>
      <w:r w:rsidR="00523C3E" w:rsidRPr="00AC1B1C">
        <w:t xml:space="preserve"> </w:t>
      </w:r>
    </w:p>
    <w:p w14:paraId="002783A8" w14:textId="1B769005" w:rsidR="007F613D" w:rsidRPr="00AC1B1C" w:rsidRDefault="00523C3E" w:rsidP="007F613D">
      <w:pPr>
        <w:pStyle w:val="BodyText1"/>
      </w:pPr>
      <w:bookmarkStart w:id="59" w:name="_Ref498006492"/>
      <w:r w:rsidRPr="00AC1B1C">
        <w:lastRenderedPageBreak/>
        <w:t>APRA</w:t>
      </w:r>
      <w:r w:rsidR="009560C5" w:rsidRPr="00AC1B1C">
        <w:t xml:space="preserve"> may require </w:t>
      </w:r>
      <w:r w:rsidR="00A447E3">
        <w:t>an</w:t>
      </w:r>
      <w:r w:rsidR="009560C5" w:rsidRPr="00AC1B1C">
        <w:t xml:space="preserve"> ADI to </w:t>
      </w:r>
      <w:r w:rsidR="00CE4F0A" w:rsidRPr="00AC1B1C">
        <w:t xml:space="preserve">treat counterparties as </w:t>
      </w:r>
      <w:r w:rsidR="009539DC" w:rsidRPr="00AC1B1C">
        <w:t xml:space="preserve">a group of </w:t>
      </w:r>
      <w:r w:rsidR="00CE4F0A" w:rsidRPr="00AC1B1C">
        <w:t>connected</w:t>
      </w:r>
      <w:r w:rsidR="009539DC" w:rsidRPr="00AC1B1C">
        <w:t xml:space="preserve"> counterparties</w:t>
      </w:r>
      <w:r w:rsidR="00014245" w:rsidRPr="00AC1B1C">
        <w:t xml:space="preserve"> if in APRA’s view they meet the criteria in paragraph </w:t>
      </w:r>
      <w:r w:rsidR="004A1E0E">
        <w:fldChar w:fldCharType="begin"/>
      </w:r>
      <w:r w:rsidR="004A1E0E">
        <w:instrText xml:space="preserve"> REF _Ref497931575 \r \h </w:instrText>
      </w:r>
      <w:r w:rsidR="004A1E0E">
        <w:fldChar w:fldCharType="separate"/>
      </w:r>
      <w:r w:rsidR="00EA6DDF">
        <w:t>21</w:t>
      </w:r>
      <w:r w:rsidR="004A1E0E">
        <w:fldChar w:fldCharType="end"/>
      </w:r>
      <w:r w:rsidR="00DB66ED">
        <w:t xml:space="preserve"> of this Prudential Standard</w:t>
      </w:r>
      <w:r w:rsidR="00014245" w:rsidRPr="00AC1B1C">
        <w:t>.</w:t>
      </w:r>
      <w:bookmarkEnd w:id="59"/>
    </w:p>
    <w:p w14:paraId="3FFAA953" w14:textId="77777777" w:rsidR="00896941" w:rsidRPr="00AC1B1C" w:rsidRDefault="00896941" w:rsidP="00CE3E1C">
      <w:pPr>
        <w:pStyle w:val="Heading1"/>
        <w:jc w:val="both"/>
      </w:pPr>
      <w:bookmarkStart w:id="60" w:name="_Toc497828918"/>
      <w:bookmarkStart w:id="61" w:name="_Toc18311029"/>
      <w:bookmarkEnd w:id="57"/>
      <w:bookmarkEnd w:id="58"/>
      <w:r w:rsidRPr="00AC1B1C">
        <w:t>Large exposure limits</w:t>
      </w:r>
      <w:bookmarkEnd w:id="60"/>
      <w:bookmarkEnd w:id="61"/>
    </w:p>
    <w:p w14:paraId="0E3EA34E" w14:textId="7DC83133" w:rsidR="00896941" w:rsidRPr="00AC1B1C" w:rsidRDefault="00C76EA8" w:rsidP="00CE3E1C">
      <w:pPr>
        <w:pStyle w:val="BodyText1"/>
      </w:pPr>
      <w:bookmarkStart w:id="62" w:name="_Ref459091969"/>
      <w:r w:rsidRPr="00AC1B1C">
        <w:t>The aggregate large exposures of an ADI to a counterparty or a group of connected counterparties</w:t>
      </w:r>
      <w:r w:rsidR="00684B2C" w:rsidRPr="00AC1B1C">
        <w:t xml:space="preserve"> must not exceed 25 per cent of the ADI’s Tier 1 Capital, except</w:t>
      </w:r>
      <w:r w:rsidRPr="00AC1B1C">
        <w:t>:</w:t>
      </w:r>
      <w:bookmarkEnd w:id="62"/>
    </w:p>
    <w:p w14:paraId="4C878A3D" w14:textId="444D0102" w:rsidR="00C76EA8" w:rsidRPr="00AC1B1C" w:rsidRDefault="00146E1E" w:rsidP="00CE3E1C">
      <w:pPr>
        <w:pStyle w:val="BodyText2"/>
        <w:jc w:val="both"/>
      </w:pPr>
      <w:bookmarkStart w:id="63" w:name="_Ref475434079"/>
      <w:bookmarkStart w:id="64" w:name="_Ref475538769"/>
      <w:bookmarkStart w:id="65" w:name="_Ref498931690"/>
      <w:r w:rsidRPr="00AC1B1C">
        <w:t xml:space="preserve">exposures to </w:t>
      </w:r>
      <w:r w:rsidR="00444EC1" w:rsidRPr="00AC1B1C">
        <w:t xml:space="preserve">foreign </w:t>
      </w:r>
      <w:r w:rsidRPr="00AC1B1C">
        <w:t>gove</w:t>
      </w:r>
      <w:r w:rsidR="004F152D" w:rsidRPr="00AC1B1C">
        <w:t xml:space="preserve">rnments or central banks </w:t>
      </w:r>
      <w:r w:rsidR="00014245" w:rsidRPr="00AC1B1C">
        <w:t>that</w:t>
      </w:r>
      <w:r w:rsidRPr="00AC1B1C">
        <w:t xml:space="preserve"> receive a zero per cent risk-weight in accordance with </w:t>
      </w:r>
      <w:r w:rsidR="00CA52AF">
        <w:t>Attachment</w:t>
      </w:r>
      <w:r w:rsidRPr="00AC1B1C">
        <w:t xml:space="preserve"> </w:t>
      </w:r>
      <w:r w:rsidR="006C3110">
        <w:t>B</w:t>
      </w:r>
      <w:r w:rsidR="006C3110" w:rsidRPr="00AC1B1C">
        <w:t xml:space="preserve"> </w:t>
      </w:r>
      <w:r w:rsidRPr="00AC1B1C">
        <w:t xml:space="preserve">of </w:t>
      </w:r>
      <w:r w:rsidR="00036B3A" w:rsidRPr="00584AF2">
        <w:rPr>
          <w:i/>
        </w:rPr>
        <w:t>Prudential Standard APS 112 Capital Adequacy: Standardised Approach to Credit Risk</w:t>
      </w:r>
      <w:r w:rsidR="00036B3A">
        <w:t xml:space="preserve"> (</w:t>
      </w:r>
      <w:smartTag w:uri="urn:schemas-microsoft-com:office:smarttags" w:element="stockticker">
        <w:r w:rsidRPr="00AC1B1C">
          <w:t>APS</w:t>
        </w:r>
      </w:smartTag>
      <w:r w:rsidRPr="00AC1B1C">
        <w:t xml:space="preserve"> 112</w:t>
      </w:r>
      <w:r w:rsidR="00036B3A">
        <w:t>)</w:t>
      </w:r>
      <w:r w:rsidR="009D0053" w:rsidRPr="00AC1B1C">
        <w:t>, which</w:t>
      </w:r>
      <w:r w:rsidR="00AF0134" w:rsidRPr="00AC1B1C">
        <w:t xml:space="preserve"> must not exceed 50 per cent of the ADI’s Tier 1 Capital</w:t>
      </w:r>
      <w:r w:rsidRPr="00AC1B1C">
        <w:t>;</w:t>
      </w:r>
      <w:r w:rsidR="00F20F90" w:rsidRPr="003C0F8E">
        <w:rPr>
          <w:rStyle w:val="FootnoteReference"/>
          <w:sz w:val="20"/>
          <w:szCs w:val="20"/>
        </w:rPr>
        <w:footnoteReference w:id="5"/>
      </w:r>
      <w:r w:rsidRPr="00AC1B1C">
        <w:t xml:space="preserve"> </w:t>
      </w:r>
      <w:bookmarkEnd w:id="63"/>
      <w:bookmarkEnd w:id="64"/>
      <w:r w:rsidR="00B50D4B">
        <w:t>and</w:t>
      </w:r>
      <w:bookmarkEnd w:id="65"/>
    </w:p>
    <w:p w14:paraId="5D3E1B45" w14:textId="4CAEC1F6" w:rsidR="00C946E2" w:rsidRPr="00AC1B1C" w:rsidRDefault="00421FB4" w:rsidP="00CE3E1C">
      <w:pPr>
        <w:pStyle w:val="BodyText2"/>
        <w:jc w:val="both"/>
      </w:pPr>
      <w:r w:rsidRPr="00AC1B1C">
        <w:t>where</w:t>
      </w:r>
      <w:r w:rsidR="001E538C" w:rsidRPr="00AC1B1C">
        <w:t xml:space="preserve"> the ADI has been determined by APRA to be a domestic systemically important bank (D-SIB)</w:t>
      </w:r>
      <w:r w:rsidR="009C129A" w:rsidRPr="00AC1B1C">
        <w:t>,</w:t>
      </w:r>
      <w:r w:rsidR="001E538C" w:rsidRPr="00AC1B1C">
        <w:t xml:space="preserve"> </w:t>
      </w:r>
      <w:r w:rsidR="00E63254" w:rsidRPr="00AC1B1C">
        <w:t xml:space="preserve">exposures to </w:t>
      </w:r>
      <w:r w:rsidR="009E55D8">
        <w:t>any other ADI determined by APRA to be a</w:t>
      </w:r>
      <w:r w:rsidR="00E63254" w:rsidRPr="00EC4FD3">
        <w:t xml:space="preserve"> </w:t>
      </w:r>
      <w:r w:rsidR="001E538C" w:rsidRPr="00EC4FD3">
        <w:t>D-SIB</w:t>
      </w:r>
      <w:r w:rsidR="002A0795" w:rsidRPr="00AC1B1C">
        <w:t xml:space="preserve"> </w:t>
      </w:r>
      <w:r w:rsidR="00C946E2" w:rsidRPr="00AC1B1C">
        <w:t xml:space="preserve">must not exceed </w:t>
      </w:r>
      <w:r w:rsidR="00FC1F40">
        <w:t>20</w:t>
      </w:r>
      <w:r w:rsidR="00C946E2" w:rsidRPr="00AC1B1C">
        <w:t xml:space="preserve"> per cent of the ADI’s Tier 1 Capital</w:t>
      </w:r>
      <w:r w:rsidR="009F67DE" w:rsidRPr="00AC1B1C">
        <w:t>.</w:t>
      </w:r>
      <w:r w:rsidR="006646D3" w:rsidRPr="003C0F8E">
        <w:rPr>
          <w:rStyle w:val="FootnoteReference"/>
          <w:sz w:val="20"/>
          <w:szCs w:val="20"/>
        </w:rPr>
        <w:footnoteReference w:id="6"/>
      </w:r>
      <w:r w:rsidR="00900A2C" w:rsidRPr="00AC1B1C">
        <w:t xml:space="preserve"> </w:t>
      </w:r>
    </w:p>
    <w:p w14:paraId="1821DCBE" w14:textId="34BD3484" w:rsidR="00C946E2" w:rsidRPr="00AC1B1C" w:rsidRDefault="00C946E2" w:rsidP="00CE3E1C">
      <w:pPr>
        <w:pStyle w:val="BodyText1"/>
        <w:numPr>
          <w:ilvl w:val="0"/>
          <w:numId w:val="0"/>
        </w:numPr>
        <w:ind w:left="567"/>
      </w:pPr>
      <w:r w:rsidRPr="00AC1B1C">
        <w:t>These limits apply to an ADI’s large exposures at both Level 1 and Level 2 net of eligible</w:t>
      </w:r>
      <w:r w:rsidR="00E8712A" w:rsidRPr="00AC1B1C">
        <w:t xml:space="preserve"> </w:t>
      </w:r>
      <w:r w:rsidRPr="00AC1B1C">
        <w:t xml:space="preserve">CRM techniques and excluded exposures under paragraph </w:t>
      </w:r>
      <w:r w:rsidR="003917A5" w:rsidRPr="00050DA5">
        <w:fldChar w:fldCharType="begin"/>
      </w:r>
      <w:r w:rsidR="003917A5" w:rsidRPr="00AC1B1C">
        <w:instrText xml:space="preserve"> REF _Ref459965306 \r \h </w:instrText>
      </w:r>
      <w:r w:rsidR="00401C10" w:rsidRPr="00AC1B1C">
        <w:instrText xml:space="preserve"> \* MERGEFORMAT </w:instrText>
      </w:r>
      <w:r w:rsidR="003917A5" w:rsidRPr="00050DA5">
        <w:fldChar w:fldCharType="separate"/>
      </w:r>
      <w:r w:rsidR="00EA6DDF">
        <w:t>18</w:t>
      </w:r>
      <w:r w:rsidR="003917A5" w:rsidRPr="00050DA5">
        <w:fldChar w:fldCharType="end"/>
      </w:r>
      <w:r w:rsidR="00DB66ED">
        <w:t xml:space="preserve"> of this Prudential Standard</w:t>
      </w:r>
      <w:r w:rsidRPr="00AC1B1C">
        <w:t>.</w:t>
      </w:r>
      <w:r w:rsidR="00D07B3E">
        <w:t xml:space="preserve"> These limits do not apply to the exposures of an ADI to its related entities.</w:t>
      </w:r>
      <w:r w:rsidRPr="003C0F8E">
        <w:rPr>
          <w:rStyle w:val="FootnoteReference"/>
          <w:sz w:val="20"/>
          <w:szCs w:val="20"/>
        </w:rPr>
        <w:footnoteReference w:id="7"/>
      </w:r>
      <w:r w:rsidRPr="00AC1B1C">
        <w:t xml:space="preserve"> </w:t>
      </w:r>
    </w:p>
    <w:p w14:paraId="3016C4B4" w14:textId="49EA8A02" w:rsidR="00B22A8F" w:rsidRPr="00AC1B1C" w:rsidRDefault="00BC091A" w:rsidP="00CE3E1C">
      <w:pPr>
        <w:pStyle w:val="BodyText1"/>
      </w:pPr>
      <w:bookmarkStart w:id="66" w:name="_Ref337825145"/>
      <w:r w:rsidRPr="00AC1B1C">
        <w:t xml:space="preserve">Notwithstanding </w:t>
      </w:r>
      <w:r w:rsidR="00CA52AF">
        <w:t xml:space="preserve">paragraph </w:t>
      </w:r>
      <w:r w:rsidR="003917A5" w:rsidRPr="00DC295F">
        <w:fldChar w:fldCharType="begin"/>
      </w:r>
      <w:r w:rsidR="003917A5" w:rsidRPr="00AC1B1C">
        <w:instrText xml:space="preserve"> REF _Ref459091969 \r \h </w:instrText>
      </w:r>
      <w:r w:rsidR="00401C10" w:rsidRPr="00AC1B1C">
        <w:instrText xml:space="preserve"> \* MERGEFORMAT </w:instrText>
      </w:r>
      <w:r w:rsidR="003917A5" w:rsidRPr="00DC295F">
        <w:fldChar w:fldCharType="separate"/>
      </w:r>
      <w:r w:rsidR="00EA6DDF">
        <w:t>30</w:t>
      </w:r>
      <w:r w:rsidR="003917A5" w:rsidRPr="00DC295F">
        <w:fldChar w:fldCharType="end"/>
      </w:r>
      <w:r w:rsidR="00DB66ED">
        <w:t xml:space="preserve"> of this Prudential Standard</w:t>
      </w:r>
      <w:r w:rsidRPr="00AC1B1C">
        <w:t xml:space="preserve">, APRA may set specific limits on an </w:t>
      </w:r>
      <w:smartTag w:uri="urn:schemas-microsoft-com:office:smarttags" w:element="stockticker">
        <w:r w:rsidRPr="00AC1B1C">
          <w:t>ADI</w:t>
        </w:r>
      </w:smartTag>
      <w:r w:rsidRPr="00AC1B1C">
        <w:t xml:space="preserve">’s exposures to </w:t>
      </w:r>
      <w:proofErr w:type="gramStart"/>
      <w:r w:rsidRPr="00AC1B1C">
        <w:t>particular counterparties</w:t>
      </w:r>
      <w:proofErr w:type="gramEnd"/>
      <w:r w:rsidRPr="00AC1B1C">
        <w:t xml:space="preserve">, groups of connected counterparties, industry sectors, countries or asset classes, including property holdings and any other investments, having regard to the </w:t>
      </w:r>
      <w:smartTag w:uri="urn:schemas-microsoft-com:office:smarttags" w:element="stockticker">
        <w:r w:rsidRPr="00AC1B1C">
          <w:t>ADI</w:t>
        </w:r>
      </w:smartTag>
      <w:r w:rsidRPr="00AC1B1C">
        <w:t>’s individual circumstances.</w:t>
      </w:r>
      <w:bookmarkEnd w:id="66"/>
    </w:p>
    <w:p w14:paraId="2A0C66CE" w14:textId="77777777" w:rsidR="000A5A65" w:rsidRPr="00AC1B1C" w:rsidRDefault="000A5A65" w:rsidP="000A5A65">
      <w:pPr>
        <w:pStyle w:val="Heading1"/>
      </w:pPr>
      <w:bookmarkStart w:id="67" w:name="_Toc497828919"/>
      <w:bookmarkStart w:id="68" w:name="_Toc18311030"/>
      <w:r w:rsidRPr="00AC1B1C">
        <w:t>Measuring large exposure values</w:t>
      </w:r>
      <w:bookmarkEnd w:id="67"/>
      <w:bookmarkEnd w:id="68"/>
    </w:p>
    <w:p w14:paraId="38D0A435" w14:textId="6E0D821D" w:rsidR="005F731C" w:rsidRPr="00AC1B1C" w:rsidRDefault="00FE2D3B" w:rsidP="000A5A65">
      <w:pPr>
        <w:pStyle w:val="BodyText1"/>
      </w:pPr>
      <w:bookmarkStart w:id="69" w:name="_Ref475538102"/>
      <w:bookmarkStart w:id="70" w:name="_Ref459965134"/>
      <w:r w:rsidRPr="00AC1B1C">
        <w:t xml:space="preserve">An ADI must measure exposure values in accordance with </w:t>
      </w:r>
      <w:r w:rsidR="00902B2E">
        <w:t>Attachment A</w:t>
      </w:r>
      <w:r w:rsidR="00C14388">
        <w:t xml:space="preserve"> of this Prudential Standard</w:t>
      </w:r>
      <w:r w:rsidRPr="00AC1B1C">
        <w:t xml:space="preserve">. </w:t>
      </w:r>
      <w:r w:rsidR="000A5A65" w:rsidRPr="00AC1B1C">
        <w:t xml:space="preserve">In </w:t>
      </w:r>
      <w:r w:rsidR="008F7B92" w:rsidRPr="00AC1B1C">
        <w:t xml:space="preserve">measuring </w:t>
      </w:r>
      <w:r w:rsidR="000A5A65" w:rsidRPr="00AC1B1C">
        <w:t xml:space="preserve">large exposures, an ADI must </w:t>
      </w:r>
      <w:r w:rsidR="002D098D">
        <w:t>include</w:t>
      </w:r>
      <w:r w:rsidR="002D098D" w:rsidRPr="00AC1B1C">
        <w:t xml:space="preserve"> </w:t>
      </w:r>
      <w:r w:rsidR="000A5A65" w:rsidRPr="00AC1B1C">
        <w:t xml:space="preserve">all on-balance sheet exposures and off-balance sheet exposures in both the banking book and trading book and instruments </w:t>
      </w:r>
      <w:r w:rsidR="003443D0">
        <w:t xml:space="preserve">that </w:t>
      </w:r>
      <w:r w:rsidR="00623A26">
        <w:t xml:space="preserve">would </w:t>
      </w:r>
      <w:r w:rsidR="003443D0">
        <w:t>give rise to</w:t>
      </w:r>
      <w:r w:rsidR="003443D0" w:rsidRPr="00AC1B1C">
        <w:t xml:space="preserve"> </w:t>
      </w:r>
      <w:r w:rsidR="000A5A65" w:rsidRPr="00AC1B1C">
        <w:t>counterparty credit risk (CCR)</w:t>
      </w:r>
      <w:r w:rsidR="006646D3">
        <w:t xml:space="preserve"> </w:t>
      </w:r>
      <w:r w:rsidR="007256DD">
        <w:t xml:space="preserve">under </w:t>
      </w:r>
      <w:r w:rsidR="000A5A65" w:rsidRPr="00AC1B1C">
        <w:t xml:space="preserve">APS </w:t>
      </w:r>
      <w:r w:rsidR="004D65CD" w:rsidRPr="00AC1B1C">
        <w:t>180</w:t>
      </w:r>
      <w:r w:rsidR="000A5A65" w:rsidRPr="00AC1B1C">
        <w:t>.</w:t>
      </w:r>
      <w:r w:rsidR="006646D3" w:rsidRPr="00AC1B1C" w:rsidDel="006646D3">
        <w:rPr>
          <w:rStyle w:val="CommentReference"/>
          <w:rFonts w:cs="Arial"/>
          <w:color w:val="000000"/>
          <w:kern w:val="32"/>
        </w:rPr>
        <w:t xml:space="preserve"> </w:t>
      </w:r>
      <w:r w:rsidR="000A5A65" w:rsidRPr="00AC1B1C">
        <w:t xml:space="preserve"> </w:t>
      </w:r>
      <w:bookmarkEnd w:id="69"/>
    </w:p>
    <w:p w14:paraId="7DD31F32" w14:textId="77777777" w:rsidR="000A5A65" w:rsidRPr="00AC1B1C" w:rsidRDefault="000A5A65" w:rsidP="009073B8">
      <w:pPr>
        <w:pStyle w:val="BodyText1"/>
      </w:pPr>
      <w:bookmarkStart w:id="71" w:name="_Ref459967120"/>
      <w:bookmarkEnd w:id="70"/>
      <w:r w:rsidRPr="00AC1B1C">
        <w:t>APRA may determine the exposure value of a particular on-balance sheet or off-balance sheet exposure of an ADI if APRA considers that the ADI has not appropriately assessed the exposure.</w:t>
      </w:r>
      <w:bookmarkEnd w:id="71"/>
    </w:p>
    <w:p w14:paraId="2760B647" w14:textId="5011EAA4" w:rsidR="005157B2" w:rsidRPr="00AC1B1C" w:rsidRDefault="005157B2" w:rsidP="00CE3E1C">
      <w:pPr>
        <w:pStyle w:val="Heading1"/>
        <w:jc w:val="both"/>
      </w:pPr>
      <w:bookmarkStart w:id="72" w:name="_Toc497828920"/>
      <w:bookmarkStart w:id="73" w:name="_Toc18311031"/>
      <w:r w:rsidRPr="00AC1B1C">
        <w:lastRenderedPageBreak/>
        <w:t xml:space="preserve">Prior </w:t>
      </w:r>
      <w:r w:rsidR="00E21328" w:rsidRPr="00AC1B1C">
        <w:t xml:space="preserve">notification </w:t>
      </w:r>
      <w:r w:rsidRPr="00AC1B1C">
        <w:t>requirements</w:t>
      </w:r>
      <w:bookmarkEnd w:id="72"/>
      <w:bookmarkEnd w:id="73"/>
    </w:p>
    <w:p w14:paraId="443D9809" w14:textId="4BBEA9E4" w:rsidR="005157B2" w:rsidRPr="00AC1B1C" w:rsidRDefault="000D7BF7" w:rsidP="00CE3E1C">
      <w:pPr>
        <w:pStyle w:val="BodyText1"/>
      </w:pPr>
      <w:r w:rsidRPr="00AC1B1C">
        <w:t xml:space="preserve">An ADI must </w:t>
      </w:r>
      <w:r w:rsidR="00E21328" w:rsidRPr="00AC1B1C">
        <w:t>notify</w:t>
      </w:r>
      <w:r w:rsidRPr="00AC1B1C">
        <w:t xml:space="preserve"> APRA prior to committing to any proposed large exposures</w:t>
      </w:r>
      <w:r w:rsidR="002A0795" w:rsidRPr="00AC1B1C">
        <w:t xml:space="preserve"> </w:t>
      </w:r>
      <w:r w:rsidR="00023E6F" w:rsidRPr="00AC1B1C">
        <w:t>to non-government and non-ADI counterparties</w:t>
      </w:r>
      <w:r w:rsidR="005016A9">
        <w:t xml:space="preserve">, subject to paragraph </w:t>
      </w:r>
      <w:r w:rsidR="005016A9">
        <w:fldChar w:fldCharType="begin"/>
      </w:r>
      <w:r w:rsidR="005016A9">
        <w:instrText xml:space="preserve"> REF _Ref497827691 \r \h </w:instrText>
      </w:r>
      <w:r w:rsidR="005016A9">
        <w:fldChar w:fldCharType="separate"/>
      </w:r>
      <w:r w:rsidR="00EA6DDF">
        <w:t>35</w:t>
      </w:r>
      <w:r w:rsidR="005016A9">
        <w:fldChar w:fldCharType="end"/>
      </w:r>
      <w:r w:rsidR="00DB66ED">
        <w:t xml:space="preserve"> of this Prudential Standard</w:t>
      </w:r>
      <w:r w:rsidR="00023E6F" w:rsidRPr="00AC1B1C">
        <w:t>.</w:t>
      </w:r>
    </w:p>
    <w:p w14:paraId="00C47E52" w14:textId="0B41A7C5" w:rsidR="000D7BF7" w:rsidRPr="00AC1B1C" w:rsidRDefault="000D7BF7" w:rsidP="00CE3E1C">
      <w:pPr>
        <w:pStyle w:val="BodyText1"/>
      </w:pPr>
      <w:bookmarkStart w:id="74" w:name="_Ref497827691"/>
      <w:r w:rsidRPr="00AC1B1C">
        <w:t xml:space="preserve">APRA may </w:t>
      </w:r>
      <w:r w:rsidR="002434EE" w:rsidRPr="00AC1B1C">
        <w:t xml:space="preserve">determine that </w:t>
      </w:r>
      <w:r w:rsidR="00431614" w:rsidRPr="00AC1B1C">
        <w:t xml:space="preserve">an ADI is not required </w:t>
      </w:r>
      <w:r w:rsidR="002434EE" w:rsidRPr="00AC1B1C">
        <w:t xml:space="preserve">to notify APRA about </w:t>
      </w:r>
      <w:r w:rsidR="00431614" w:rsidRPr="00AC1B1C">
        <w:t xml:space="preserve">proposed exposures that are below a specified </w:t>
      </w:r>
      <w:r w:rsidRPr="00AC1B1C">
        <w:t>threshold, having regard to the robustness of the ADI’s credit risk management framework.</w:t>
      </w:r>
      <w:bookmarkEnd w:id="74"/>
    </w:p>
    <w:p w14:paraId="0D2ECC09" w14:textId="77777777" w:rsidR="000D7BF7" w:rsidRPr="00AC1B1C" w:rsidRDefault="000D7BF7" w:rsidP="00CE3E1C">
      <w:pPr>
        <w:pStyle w:val="Heading1"/>
        <w:jc w:val="both"/>
      </w:pPr>
      <w:bookmarkStart w:id="75" w:name="_Toc497828921"/>
      <w:bookmarkStart w:id="76" w:name="_Toc18311032"/>
      <w:r w:rsidRPr="00AC1B1C">
        <w:t>Approval requirements</w:t>
      </w:r>
      <w:bookmarkEnd w:id="75"/>
      <w:bookmarkEnd w:id="76"/>
    </w:p>
    <w:p w14:paraId="1C42C552" w14:textId="0D1B2074" w:rsidR="002D098D" w:rsidRPr="00E877C7" w:rsidRDefault="000D7BF7" w:rsidP="00FC7F5F">
      <w:pPr>
        <w:pStyle w:val="BodyText1"/>
      </w:pPr>
      <w:bookmarkStart w:id="77" w:name="_Ref475538313"/>
      <w:r w:rsidRPr="00AC1B1C">
        <w:t xml:space="preserve">An </w:t>
      </w:r>
      <w:smartTag w:uri="urn:schemas-microsoft-com:office:smarttags" w:element="stockticker">
        <w:r w:rsidRPr="00AC1B1C">
          <w:t>ADI</w:t>
        </w:r>
      </w:smartTag>
      <w:r w:rsidRPr="00AC1B1C">
        <w:t xml:space="preserve"> m</w:t>
      </w:r>
      <w:r w:rsidR="00A63E32" w:rsidRPr="00AC1B1C">
        <w:t>ust</w:t>
      </w:r>
      <w:r w:rsidRPr="00AC1B1C">
        <w:t xml:space="preserve"> </w:t>
      </w:r>
      <w:r w:rsidR="00FB4DC8" w:rsidRPr="00AC1B1C">
        <w:t xml:space="preserve">obtain </w:t>
      </w:r>
      <w:r w:rsidRPr="00AC1B1C">
        <w:t xml:space="preserve">approval from APRA prior to undertaking any proposed exposures which </w:t>
      </w:r>
      <w:r w:rsidR="005016A9">
        <w:t>would exceed</w:t>
      </w:r>
      <w:r w:rsidRPr="00AC1B1C">
        <w:t xml:space="preserve"> the large exposure limits under </w:t>
      </w:r>
      <w:hyperlink w:anchor="Paragraph_9" w:history="1">
        <w:r w:rsidRPr="00AC1B1C">
          <w:t xml:space="preserve">paragraph </w:t>
        </w:r>
      </w:hyperlink>
      <w:r w:rsidR="003917A5" w:rsidRPr="00DC295F">
        <w:fldChar w:fldCharType="begin"/>
      </w:r>
      <w:r w:rsidR="003917A5" w:rsidRPr="00AC1B1C">
        <w:instrText xml:space="preserve"> REF _Ref459091969 \r \h </w:instrText>
      </w:r>
      <w:r w:rsidR="00B51D16" w:rsidRPr="00AC1B1C">
        <w:instrText xml:space="preserve"> \* MERGEFORMAT </w:instrText>
      </w:r>
      <w:r w:rsidR="003917A5" w:rsidRPr="00DC295F">
        <w:fldChar w:fldCharType="separate"/>
      </w:r>
      <w:r w:rsidR="00EA6DDF">
        <w:t>30</w:t>
      </w:r>
      <w:r w:rsidR="003917A5" w:rsidRPr="00DC295F">
        <w:fldChar w:fldCharType="end"/>
      </w:r>
      <w:r w:rsidRPr="00AC1B1C">
        <w:t xml:space="preserve"> </w:t>
      </w:r>
      <w:r w:rsidR="00C24FEC">
        <w:t xml:space="preserve">of this Prudential Standard </w:t>
      </w:r>
      <w:r w:rsidRPr="00AC1B1C">
        <w:t xml:space="preserve">or any specific limits determined under paragraph </w:t>
      </w:r>
      <w:r w:rsidR="003917A5" w:rsidRPr="00050DA5">
        <w:fldChar w:fldCharType="begin"/>
      </w:r>
      <w:r w:rsidR="003917A5" w:rsidRPr="00AC1B1C">
        <w:instrText xml:space="preserve"> REF _Ref337825145 \r \h </w:instrText>
      </w:r>
      <w:r w:rsidR="00B51D16" w:rsidRPr="00AC1B1C">
        <w:instrText xml:space="preserve"> \* MERGEFORMAT </w:instrText>
      </w:r>
      <w:r w:rsidR="003917A5" w:rsidRPr="00050DA5">
        <w:fldChar w:fldCharType="separate"/>
      </w:r>
      <w:r w:rsidR="00EA6DDF">
        <w:t>31</w:t>
      </w:r>
      <w:r w:rsidR="003917A5" w:rsidRPr="00050DA5">
        <w:fldChar w:fldCharType="end"/>
      </w:r>
      <w:r w:rsidR="00DB66ED">
        <w:t xml:space="preserve"> of this Prudential Standard</w:t>
      </w:r>
      <w:r w:rsidRPr="00AC1B1C">
        <w:t xml:space="preserve">. </w:t>
      </w:r>
      <w:bookmarkEnd w:id="77"/>
      <w:r w:rsidR="002D098D">
        <w:t xml:space="preserve">Such approval will </w:t>
      </w:r>
      <w:r w:rsidR="009E55D8">
        <w:t xml:space="preserve">only </w:t>
      </w:r>
      <w:r w:rsidR="002D098D">
        <w:t xml:space="preserve">be granted on an exceptions basis taking into </w:t>
      </w:r>
      <w:r w:rsidR="002D098D" w:rsidRPr="00E877C7">
        <w:t>consideration the individual circumstances of the ADI and the ADI</w:t>
      </w:r>
      <w:r w:rsidR="007C4F09">
        <w:t>’s assessment</w:t>
      </w:r>
      <w:r w:rsidR="002D098D" w:rsidRPr="00E877C7">
        <w:t xml:space="preserve"> of:</w:t>
      </w:r>
    </w:p>
    <w:p w14:paraId="089821FE" w14:textId="084B4BA6" w:rsidR="002D098D" w:rsidRPr="00E877C7" w:rsidRDefault="00A2052F" w:rsidP="00CE3E1C">
      <w:pPr>
        <w:pStyle w:val="BodyText2"/>
        <w:jc w:val="both"/>
      </w:pPr>
      <w:r w:rsidRPr="00E877C7">
        <w:t>t</w:t>
      </w:r>
      <w:r w:rsidR="000D7BF7" w:rsidRPr="00E877C7">
        <w:t xml:space="preserve">he </w:t>
      </w:r>
      <w:r w:rsidR="002D098D" w:rsidRPr="00E877C7">
        <w:t>concentration risks involved with exceeding the large exposure limits and why the proposed exposures will not unreasonably expose the ADI to excessive risk; and</w:t>
      </w:r>
      <w:r w:rsidR="002D098D" w:rsidRPr="00E877C7" w:rsidDel="002D098D">
        <w:t xml:space="preserve"> </w:t>
      </w:r>
    </w:p>
    <w:p w14:paraId="5E7AE866" w14:textId="75559768" w:rsidR="002D098D" w:rsidRPr="00E877C7" w:rsidRDefault="002D098D" w:rsidP="00E877C7">
      <w:pPr>
        <w:pStyle w:val="BodyText2"/>
        <w:jc w:val="both"/>
      </w:pPr>
      <w:r w:rsidRPr="00E877C7">
        <w:t>how the proposed exposures are consistent with its large exposures and risk concentration policies.</w:t>
      </w:r>
    </w:p>
    <w:p w14:paraId="170EEEAA" w14:textId="4B431C35" w:rsidR="004510F5" w:rsidRPr="00AC1B1C" w:rsidRDefault="004510F5" w:rsidP="00CE3E1C">
      <w:pPr>
        <w:pStyle w:val="Heading1"/>
        <w:jc w:val="both"/>
      </w:pPr>
      <w:bookmarkStart w:id="78" w:name="_Toc497828922"/>
      <w:bookmarkStart w:id="79" w:name="_Toc18311033"/>
      <w:r w:rsidRPr="00AC1B1C">
        <w:t>Notification requirements</w:t>
      </w:r>
      <w:bookmarkEnd w:id="78"/>
      <w:bookmarkEnd w:id="79"/>
    </w:p>
    <w:p w14:paraId="32E6BA03" w14:textId="7B16BAA7" w:rsidR="004510F5" w:rsidRPr="00AC1B1C" w:rsidRDefault="004510F5" w:rsidP="00CE3E1C">
      <w:pPr>
        <w:pStyle w:val="BodyText1"/>
      </w:pPr>
      <w:r w:rsidRPr="00AC1B1C">
        <w:t xml:space="preserve">An </w:t>
      </w:r>
      <w:smartTag w:uri="urn:schemas-microsoft-com:office:smarttags" w:element="stockticker">
        <w:r w:rsidRPr="00AC1B1C">
          <w:t>ADI</w:t>
        </w:r>
      </w:smartTag>
      <w:r w:rsidRPr="00AC1B1C">
        <w:t xml:space="preserve"> must notify APRA immediately of any breach of the large exposure limits under</w:t>
      </w:r>
      <w:r w:rsidR="00025222">
        <w:t xml:space="preserve"> paragraph</w:t>
      </w:r>
      <w:r w:rsidRPr="00AC1B1C">
        <w:t xml:space="preserve"> </w:t>
      </w:r>
      <w:r w:rsidR="003917A5" w:rsidRPr="00DC295F">
        <w:fldChar w:fldCharType="begin"/>
      </w:r>
      <w:r w:rsidR="003917A5" w:rsidRPr="00AC1B1C">
        <w:instrText xml:space="preserve"> REF _Ref459091969 \r \h </w:instrText>
      </w:r>
      <w:r w:rsidR="00B51D16" w:rsidRPr="00AC1B1C">
        <w:instrText xml:space="preserve"> \* MERGEFORMAT </w:instrText>
      </w:r>
      <w:r w:rsidR="003917A5" w:rsidRPr="00DC295F">
        <w:fldChar w:fldCharType="separate"/>
      </w:r>
      <w:r w:rsidR="00EA6DDF">
        <w:t>30</w:t>
      </w:r>
      <w:r w:rsidR="003917A5" w:rsidRPr="00DC295F">
        <w:fldChar w:fldCharType="end"/>
      </w:r>
      <w:r w:rsidR="00966CC3" w:rsidRPr="00AC1B1C">
        <w:t xml:space="preserve"> </w:t>
      </w:r>
      <w:r w:rsidR="00DB66ED">
        <w:t xml:space="preserve">of this Prudential Standard </w:t>
      </w:r>
      <w:r w:rsidRPr="00AC1B1C">
        <w:t xml:space="preserve">or any specific limits determined by APRA under paragraph </w:t>
      </w:r>
      <w:r w:rsidR="003917A5" w:rsidRPr="00050DA5">
        <w:fldChar w:fldCharType="begin"/>
      </w:r>
      <w:r w:rsidR="003917A5" w:rsidRPr="00AC1B1C">
        <w:instrText xml:space="preserve"> REF _Ref337825145 \r \h </w:instrText>
      </w:r>
      <w:r w:rsidR="00B51D16" w:rsidRPr="00AC1B1C">
        <w:instrText xml:space="preserve"> \* MERGEFORMAT </w:instrText>
      </w:r>
      <w:r w:rsidR="003917A5" w:rsidRPr="00050DA5">
        <w:fldChar w:fldCharType="separate"/>
      </w:r>
      <w:r w:rsidR="00EA6DDF">
        <w:t>31</w:t>
      </w:r>
      <w:r w:rsidR="003917A5" w:rsidRPr="00050DA5">
        <w:fldChar w:fldCharType="end"/>
      </w:r>
      <w:r w:rsidR="002434EE" w:rsidRPr="00AC1B1C">
        <w:t xml:space="preserve"> </w:t>
      </w:r>
      <w:r w:rsidR="00DB66ED">
        <w:t xml:space="preserve">of this Prudential Standard </w:t>
      </w:r>
      <w:r w:rsidR="002434EE" w:rsidRPr="00AC1B1C">
        <w:t xml:space="preserve">(other than those where APRA has provided an approval under </w:t>
      </w:r>
      <w:r w:rsidR="002434EE" w:rsidRPr="00E877C7">
        <w:t xml:space="preserve">paragraph </w:t>
      </w:r>
      <w:r w:rsidR="002434EE" w:rsidRPr="00E877C7">
        <w:fldChar w:fldCharType="begin"/>
      </w:r>
      <w:r w:rsidR="002434EE" w:rsidRPr="00E877C7">
        <w:instrText xml:space="preserve"> REF _Ref475538313 \r \h  \* MERGEFORMAT </w:instrText>
      </w:r>
      <w:r w:rsidR="002434EE" w:rsidRPr="00E877C7">
        <w:fldChar w:fldCharType="separate"/>
      </w:r>
      <w:r w:rsidR="00EA6DDF">
        <w:t>36</w:t>
      </w:r>
      <w:r w:rsidR="002434EE" w:rsidRPr="00E877C7">
        <w:fldChar w:fldCharType="end"/>
      </w:r>
      <w:r w:rsidR="00DB66ED">
        <w:t xml:space="preserve"> of this Prudential Standard</w:t>
      </w:r>
      <w:r w:rsidR="002434EE" w:rsidRPr="00E877C7">
        <w:t>)</w:t>
      </w:r>
      <w:r w:rsidRPr="00AC1B1C">
        <w:t xml:space="preserve">, including how the breach arose and remedial actions taken or planned to be taken to deal with the breach. </w:t>
      </w:r>
    </w:p>
    <w:p w14:paraId="587ADF27" w14:textId="3BEB5798" w:rsidR="004510F5" w:rsidRPr="00AC1B1C" w:rsidRDefault="004510F5" w:rsidP="00CE3E1C">
      <w:pPr>
        <w:pStyle w:val="BodyText1"/>
      </w:pPr>
      <w:bookmarkStart w:id="80" w:name="_Ref475007220"/>
      <w:r w:rsidRPr="00AC1B1C">
        <w:t xml:space="preserve">An ADI must notify APRA immediately where it has concerns that its large exposures or risk concentrations have the potential to </w:t>
      </w:r>
      <w:r w:rsidR="00966CC3" w:rsidRPr="00AC1B1C">
        <w:t xml:space="preserve">have a material </w:t>
      </w:r>
      <w:r w:rsidRPr="00AC1B1C">
        <w:t xml:space="preserve">impact on its capital adequacy </w:t>
      </w:r>
      <w:r w:rsidR="005016A9">
        <w:t>and provide details of the</w:t>
      </w:r>
      <w:r w:rsidR="005016A9" w:rsidRPr="00AC1B1C">
        <w:t xml:space="preserve"> </w:t>
      </w:r>
      <w:r w:rsidRPr="00AC1B1C">
        <w:t>proposed measures to address these concerns.</w:t>
      </w:r>
      <w:bookmarkEnd w:id="80"/>
    </w:p>
    <w:p w14:paraId="7CCFC1BE" w14:textId="77777777" w:rsidR="004510F5" w:rsidRPr="00AC1B1C" w:rsidRDefault="004510F5" w:rsidP="00CE3E1C">
      <w:pPr>
        <w:pStyle w:val="Heading1"/>
        <w:jc w:val="both"/>
      </w:pPr>
      <w:bookmarkStart w:id="81" w:name="_Toc497828923"/>
      <w:bookmarkStart w:id="82" w:name="_Toc18311034"/>
      <w:r w:rsidRPr="00AC1B1C">
        <w:t>Significant risk concentrations</w:t>
      </w:r>
      <w:bookmarkEnd w:id="81"/>
      <w:bookmarkEnd w:id="82"/>
    </w:p>
    <w:p w14:paraId="4948896A" w14:textId="77777777" w:rsidR="004510F5" w:rsidRPr="00AC1B1C" w:rsidRDefault="00880717" w:rsidP="00CE3E1C">
      <w:pPr>
        <w:pStyle w:val="BodyText1"/>
      </w:pPr>
      <w:r w:rsidRPr="00AC1B1C">
        <w:t xml:space="preserve">Where an </w:t>
      </w:r>
      <w:smartTag w:uri="urn:schemas-microsoft-com:office:smarttags" w:element="stockticker">
        <w:r w:rsidRPr="00AC1B1C">
          <w:t>ADI</w:t>
        </w:r>
      </w:smartTag>
      <w:r w:rsidRPr="00AC1B1C">
        <w:t xml:space="preserve"> has a number of large exposures or where APRA is of the view that the </w:t>
      </w:r>
      <w:smartTag w:uri="urn:schemas-microsoft-com:office:smarttags" w:element="stockticker">
        <w:r w:rsidRPr="00AC1B1C">
          <w:t>ADI</w:t>
        </w:r>
      </w:smartTag>
      <w:r w:rsidRPr="00AC1B1C">
        <w:t xml:space="preserve"> is exposed to a significant level of risk concentration, APRA may:</w:t>
      </w:r>
    </w:p>
    <w:p w14:paraId="7ECC76DA" w14:textId="2CB450C5" w:rsidR="00880717" w:rsidRPr="00AC1B1C" w:rsidRDefault="00880717" w:rsidP="00CE3E1C">
      <w:pPr>
        <w:pStyle w:val="BodyText2"/>
        <w:jc w:val="both"/>
      </w:pPr>
      <w:r w:rsidRPr="00AC1B1C">
        <w:t xml:space="preserve">require the </w:t>
      </w:r>
      <w:smartTag w:uri="urn:schemas-microsoft-com:office:smarttags" w:element="stockticker">
        <w:r w:rsidRPr="00AC1B1C">
          <w:t>ADI</w:t>
        </w:r>
      </w:smartTag>
      <w:r w:rsidRPr="00AC1B1C">
        <w:t xml:space="preserve"> to maintain higher </w:t>
      </w:r>
      <w:r w:rsidR="00394FBA" w:rsidRPr="00AC1B1C">
        <w:rPr>
          <w:b/>
        </w:rPr>
        <w:t>Prudential Capital Requirements</w:t>
      </w:r>
      <w:r w:rsidR="00394FBA" w:rsidRPr="00AC1B1C">
        <w:t xml:space="preserve"> (</w:t>
      </w:r>
      <w:r w:rsidRPr="00AC1B1C">
        <w:rPr>
          <w:b/>
        </w:rPr>
        <w:t>PCRs</w:t>
      </w:r>
      <w:r w:rsidR="00394FBA" w:rsidRPr="00AC1B1C">
        <w:t>)</w:t>
      </w:r>
      <w:r w:rsidRPr="00AC1B1C">
        <w:t xml:space="preserve"> at Level 1 or Level 2</w:t>
      </w:r>
      <w:r w:rsidR="003862F1" w:rsidRPr="00AC1B1C">
        <w:t xml:space="preserve"> or both</w:t>
      </w:r>
      <w:r w:rsidRPr="00AC1B1C">
        <w:t xml:space="preserve">. In considering whether an </w:t>
      </w:r>
      <w:smartTag w:uri="urn:schemas-microsoft-com:office:smarttags" w:element="stockticker">
        <w:r w:rsidRPr="00AC1B1C">
          <w:t>ADI</w:t>
        </w:r>
      </w:smartTag>
      <w:r w:rsidRPr="00AC1B1C">
        <w:t xml:space="preserve">’s PCRs should be increased, APRA will take into account: </w:t>
      </w:r>
    </w:p>
    <w:p w14:paraId="04F8971D" w14:textId="30D691D4" w:rsidR="00880717" w:rsidRPr="00AC1B1C" w:rsidRDefault="00152B75" w:rsidP="00CE3E1C">
      <w:pPr>
        <w:pStyle w:val="BodyText3"/>
        <w:jc w:val="both"/>
      </w:pPr>
      <w:r>
        <w:t xml:space="preserve">the </w:t>
      </w:r>
      <w:r w:rsidR="00880717" w:rsidRPr="00AC1B1C">
        <w:t xml:space="preserve">consistency of </w:t>
      </w:r>
      <w:r w:rsidR="00615A60" w:rsidRPr="00AC1B1C">
        <w:t xml:space="preserve">the ADI’s </w:t>
      </w:r>
      <w:r w:rsidR="00880717" w:rsidRPr="00AC1B1C">
        <w:t>exposures with the ADI’s large exposures and risk concentrations policies;</w:t>
      </w:r>
    </w:p>
    <w:p w14:paraId="4FC9E836" w14:textId="77777777" w:rsidR="00880717" w:rsidRPr="00AC1B1C" w:rsidRDefault="00880717" w:rsidP="00CE3E1C">
      <w:pPr>
        <w:pStyle w:val="BodyText3"/>
        <w:jc w:val="both"/>
      </w:pPr>
      <w:r w:rsidRPr="00AC1B1C">
        <w:lastRenderedPageBreak/>
        <w:t>the number of exposures, their individual size and nature; and</w:t>
      </w:r>
    </w:p>
    <w:p w14:paraId="0FDE2DB2" w14:textId="1E899A66" w:rsidR="00880717" w:rsidRPr="00AC1B1C" w:rsidRDefault="00880717" w:rsidP="00CE3E1C">
      <w:pPr>
        <w:pStyle w:val="BodyText3"/>
        <w:jc w:val="both"/>
      </w:pPr>
      <w:r w:rsidRPr="00AC1B1C">
        <w:t>the characteristics of the ADI, including the nature of its business and t</w:t>
      </w:r>
      <w:r w:rsidR="00AC5214" w:rsidRPr="00AC1B1C">
        <w:t xml:space="preserve">he experience of its management; </w:t>
      </w:r>
    </w:p>
    <w:p w14:paraId="590966CF" w14:textId="131F0131" w:rsidR="00D31106" w:rsidRPr="00AC1B1C" w:rsidRDefault="00D31106" w:rsidP="003075F6">
      <w:pPr>
        <w:pStyle w:val="BodyText2"/>
        <w:jc w:val="both"/>
      </w:pPr>
      <w:r w:rsidRPr="00AC1B1C">
        <w:t>impose higher risk</w:t>
      </w:r>
      <w:r w:rsidR="00F85AB5" w:rsidRPr="00AC1B1C">
        <w:t>-</w:t>
      </w:r>
      <w:r w:rsidRPr="00AC1B1C">
        <w:t xml:space="preserve">weights </w:t>
      </w:r>
      <w:r w:rsidR="007C0041" w:rsidRPr="00AC1B1C">
        <w:t>in relation to</w:t>
      </w:r>
      <w:r w:rsidRPr="00AC1B1C">
        <w:t xml:space="preserve"> those exposures; </w:t>
      </w:r>
      <w:r w:rsidR="000F5557" w:rsidRPr="00AC1B1C">
        <w:t>or</w:t>
      </w:r>
    </w:p>
    <w:p w14:paraId="598BC37B" w14:textId="0E40D252" w:rsidR="00880717" w:rsidRPr="00AC1B1C" w:rsidRDefault="003821B6" w:rsidP="00CE3E1C">
      <w:pPr>
        <w:pStyle w:val="BodyText2"/>
        <w:jc w:val="both"/>
      </w:pPr>
      <w:r w:rsidRPr="00AC1B1C">
        <w:t xml:space="preserve">require </w:t>
      </w:r>
      <w:r w:rsidR="00880717" w:rsidRPr="00AC1B1C">
        <w:t>an ADI to take measures to reduce its level of risk concentration.</w:t>
      </w:r>
    </w:p>
    <w:p w14:paraId="1C180A03" w14:textId="77777777" w:rsidR="00880717" w:rsidRPr="00AC1B1C" w:rsidRDefault="00880717" w:rsidP="00CE3E1C">
      <w:pPr>
        <w:pStyle w:val="Heading1"/>
        <w:jc w:val="both"/>
      </w:pPr>
      <w:bookmarkStart w:id="83" w:name="_Toc497828924"/>
      <w:bookmarkStart w:id="84" w:name="_Toc18311035"/>
      <w:r w:rsidRPr="00AC1B1C">
        <w:t>Adjustments and exclusions</w:t>
      </w:r>
      <w:bookmarkEnd w:id="83"/>
      <w:bookmarkEnd w:id="84"/>
      <w:r w:rsidRPr="00AC1B1C">
        <w:t xml:space="preserve"> </w:t>
      </w:r>
    </w:p>
    <w:p w14:paraId="6144DC6B" w14:textId="77777777" w:rsidR="001F6B8D" w:rsidRPr="00AC1B1C" w:rsidRDefault="00880717" w:rsidP="000B3764">
      <w:pPr>
        <w:pStyle w:val="BodyText1"/>
      </w:pPr>
      <w:r w:rsidRPr="00AC1B1C">
        <w:t>APRA may adjust or exclude a specific prudential requirement in this Prudential Standard in relation to one or more specified ADIs or authorised NOHCs.</w:t>
      </w:r>
      <w:r w:rsidRPr="003C0F8E">
        <w:rPr>
          <w:rStyle w:val="FootnoteReference"/>
          <w:sz w:val="20"/>
          <w:szCs w:val="20"/>
        </w:rPr>
        <w:footnoteReference w:id="8"/>
      </w:r>
    </w:p>
    <w:p w14:paraId="24F334C1" w14:textId="51E4AD4C" w:rsidR="00821F37" w:rsidRPr="00AC1B1C" w:rsidRDefault="00821F37" w:rsidP="0035158D">
      <w:pPr>
        <w:pStyle w:val="Heading1"/>
      </w:pPr>
      <w:bookmarkStart w:id="85" w:name="_Toc497828925"/>
      <w:bookmarkStart w:id="86" w:name="_Toc18311036"/>
      <w:r w:rsidRPr="00AC1B1C">
        <w:t>Previous exercise of discretion</w:t>
      </w:r>
      <w:bookmarkEnd w:id="85"/>
      <w:bookmarkEnd w:id="86"/>
    </w:p>
    <w:p w14:paraId="297F1E9B" w14:textId="2C97153D" w:rsidR="0037180D" w:rsidRPr="00AC1B1C" w:rsidRDefault="0037180D" w:rsidP="00CE3E1C">
      <w:pPr>
        <w:pStyle w:val="BodyText1"/>
      </w:pPr>
      <w:r w:rsidRPr="00AC1B1C">
        <w:t xml:space="preserve">An ADI must </w:t>
      </w:r>
      <w:r w:rsidR="00821F37" w:rsidRPr="00AC1B1C">
        <w:t xml:space="preserve">contact APRA if it seeks to </w:t>
      </w:r>
      <w:r w:rsidRPr="00AC1B1C">
        <w:t>place reliance, for the purposes of complying with this Prudential Standard, on a previous exemption or other exercise of discretion by APRA under a previous version of this Prudential Standard.</w:t>
      </w:r>
    </w:p>
    <w:p w14:paraId="1CFBB0C0" w14:textId="77777777" w:rsidR="00B31562" w:rsidRPr="00AC1B1C" w:rsidRDefault="00B31562" w:rsidP="00B31562">
      <w:pPr>
        <w:pStyle w:val="BodyText1"/>
        <w:numPr>
          <w:ilvl w:val="0"/>
          <w:numId w:val="0"/>
        </w:numPr>
        <w:ind w:left="567" w:hanging="567"/>
      </w:pPr>
    </w:p>
    <w:p w14:paraId="02BD6174" w14:textId="77777777" w:rsidR="00C61CD2" w:rsidRPr="00AC1B1C" w:rsidRDefault="00C61CD2">
      <w:pPr>
        <w:sectPr w:rsidR="00C61CD2" w:rsidRPr="00AC1B1C" w:rsidSect="000D63A8">
          <w:footerReference w:type="default" r:id="rId21"/>
          <w:pgSz w:w="11906" w:h="16838" w:code="9"/>
          <w:pgMar w:top="1440" w:right="1797" w:bottom="1440" w:left="1797" w:header="709" w:footer="709" w:gutter="0"/>
          <w:cols w:space="708"/>
          <w:docGrid w:linePitch="360"/>
        </w:sectPr>
      </w:pPr>
    </w:p>
    <w:p w14:paraId="251A370C" w14:textId="58B86C00" w:rsidR="00B31562" w:rsidRPr="00AC1B1C" w:rsidRDefault="00B31562" w:rsidP="001876DA">
      <w:pPr>
        <w:pStyle w:val="Heading2"/>
      </w:pPr>
      <w:bookmarkStart w:id="87" w:name="_Ref471724068"/>
      <w:bookmarkStart w:id="88" w:name="_Toc497828927"/>
      <w:bookmarkStart w:id="89" w:name="_Ref522095126"/>
      <w:bookmarkStart w:id="90" w:name="_Toc18311037"/>
      <w:r w:rsidRPr="00AC1B1C">
        <w:lastRenderedPageBreak/>
        <w:t>Attachment A</w:t>
      </w:r>
      <w:bookmarkEnd w:id="87"/>
      <w:bookmarkEnd w:id="88"/>
      <w:r w:rsidR="00524861">
        <w:t>—</w:t>
      </w:r>
      <w:bookmarkStart w:id="91" w:name="_Ref471724125"/>
      <w:bookmarkStart w:id="92" w:name="_Toc475537409"/>
      <w:bookmarkStart w:id="93" w:name="_Toc497828928"/>
      <w:bookmarkStart w:id="94" w:name="_Toc497926075"/>
      <w:bookmarkStart w:id="95" w:name="_Toc498010219"/>
      <w:bookmarkStart w:id="96" w:name="_Toc498014207"/>
      <w:bookmarkStart w:id="97" w:name="_Toc498971782"/>
      <w:bookmarkStart w:id="98" w:name="_Toc499021838"/>
      <w:r w:rsidRPr="00AC1B1C">
        <w:t>Measuring large exposure values</w:t>
      </w:r>
      <w:bookmarkEnd w:id="89"/>
      <w:bookmarkEnd w:id="91"/>
      <w:bookmarkEnd w:id="92"/>
      <w:bookmarkEnd w:id="93"/>
      <w:bookmarkEnd w:id="94"/>
      <w:bookmarkEnd w:id="95"/>
      <w:bookmarkEnd w:id="96"/>
      <w:bookmarkEnd w:id="97"/>
      <w:bookmarkEnd w:id="98"/>
      <w:bookmarkEnd w:id="90"/>
    </w:p>
    <w:p w14:paraId="79BE7DC1" w14:textId="77777777" w:rsidR="00B31562" w:rsidRPr="00AC1B1C" w:rsidRDefault="00B31562" w:rsidP="00804C93">
      <w:pPr>
        <w:pStyle w:val="BodyText1"/>
        <w:numPr>
          <w:ilvl w:val="0"/>
          <w:numId w:val="5"/>
        </w:numPr>
      </w:pPr>
      <w:bookmarkStart w:id="99" w:name="_Ref471724294"/>
      <w:r w:rsidRPr="00AC1B1C">
        <w:t>The exposure value to be used in measuring large exposures is:</w:t>
      </w:r>
      <w:bookmarkEnd w:id="99"/>
    </w:p>
    <w:p w14:paraId="1BEB505F" w14:textId="19737418" w:rsidR="00B31562" w:rsidRPr="00AC1B1C" w:rsidRDefault="00B31562" w:rsidP="001876DA">
      <w:pPr>
        <w:pStyle w:val="BodyText2"/>
        <w:jc w:val="both"/>
      </w:pPr>
      <w:r w:rsidRPr="00AC1B1C">
        <w:t>for banking book on-balance sheet non-derivative assets, the accounting value of the exposure that is net of specific provisions and value adjustments</w:t>
      </w:r>
      <w:r w:rsidR="00203B0F" w:rsidRPr="00AC1B1C">
        <w:t xml:space="preserve">. An ADI may </w:t>
      </w:r>
      <w:r w:rsidR="00344932" w:rsidRPr="00AC1B1C">
        <w:t xml:space="preserve">only </w:t>
      </w:r>
      <w:r w:rsidR="00203B0F" w:rsidRPr="00AC1B1C">
        <w:t>use exposure values gross of specific provisions and value adjustments with prior agreement</w:t>
      </w:r>
      <w:r w:rsidR="00C552F7" w:rsidRPr="00AC1B1C">
        <w:t xml:space="preserve"> from APRA</w:t>
      </w:r>
      <w:r w:rsidRPr="00AC1B1C">
        <w:t>;</w:t>
      </w:r>
      <w:r w:rsidR="00203B0F" w:rsidRPr="00AC1B1C" w:rsidDel="00203B0F">
        <w:rPr>
          <w:rStyle w:val="FootnoteReference"/>
        </w:rPr>
        <w:t xml:space="preserve"> </w:t>
      </w:r>
      <w:r w:rsidRPr="00AC1B1C">
        <w:t xml:space="preserve"> </w:t>
      </w:r>
    </w:p>
    <w:p w14:paraId="533D56AD" w14:textId="229DF071" w:rsidR="00B31562" w:rsidRPr="00AC1B1C" w:rsidRDefault="00B31562" w:rsidP="001876DA">
      <w:pPr>
        <w:pStyle w:val="BodyText2"/>
        <w:jc w:val="both"/>
      </w:pPr>
      <w:bookmarkStart w:id="100" w:name="_Ref518461637"/>
      <w:r w:rsidRPr="00AC1B1C">
        <w:t>for instruments that give rise to CCR held in the banking book and trading book (excluding securities financing transactions (SFTs))</w:t>
      </w:r>
      <w:r w:rsidR="00D73130" w:rsidRPr="00AC1B1C">
        <w:t>,</w:t>
      </w:r>
      <w:r w:rsidRPr="003C0F8E">
        <w:rPr>
          <w:rStyle w:val="FootnoteReference"/>
          <w:sz w:val="20"/>
          <w:szCs w:val="20"/>
        </w:rPr>
        <w:footnoteReference w:id="9"/>
      </w:r>
      <w:r w:rsidRPr="00AC1B1C">
        <w:t xml:space="preserve"> the exposure at default as measured under </w:t>
      </w:r>
      <w:r w:rsidR="00367689" w:rsidRPr="00AC1B1C">
        <w:t>APS 180</w:t>
      </w:r>
      <w:r w:rsidRPr="00AC1B1C">
        <w:t>;</w:t>
      </w:r>
      <w:bookmarkEnd w:id="100"/>
      <w:r w:rsidRPr="00AC1B1C">
        <w:t xml:space="preserve"> </w:t>
      </w:r>
    </w:p>
    <w:p w14:paraId="62A92B36" w14:textId="15205A50" w:rsidR="00B31562" w:rsidRPr="00AC1B1C" w:rsidRDefault="00B31562" w:rsidP="001876DA">
      <w:pPr>
        <w:pStyle w:val="BodyText2"/>
        <w:jc w:val="both"/>
      </w:pPr>
      <w:r w:rsidRPr="00AC1B1C">
        <w:t xml:space="preserve">for SFTs, the exposure value calculated using </w:t>
      </w:r>
      <w:r w:rsidR="00FD5341">
        <w:t xml:space="preserve">the simple </w:t>
      </w:r>
      <w:r w:rsidR="00A036D4">
        <w:t xml:space="preserve">or </w:t>
      </w:r>
      <w:r w:rsidR="00FD5341">
        <w:t xml:space="preserve">comprehensive approach to the recognition of collateral, and </w:t>
      </w:r>
      <w:r w:rsidR="00A036D4">
        <w:t xml:space="preserve">applying </w:t>
      </w:r>
      <w:r w:rsidR="00FD5341">
        <w:t>netting</w:t>
      </w:r>
      <w:r w:rsidR="00A036D4">
        <w:t>,</w:t>
      </w:r>
      <w:r w:rsidR="00FD5341">
        <w:t xml:space="preserve"> </w:t>
      </w:r>
      <w:r w:rsidR="00A036D4">
        <w:t>as required under</w:t>
      </w:r>
      <w:r w:rsidR="006048FC">
        <w:t xml:space="preserve"> </w:t>
      </w:r>
      <w:r w:rsidRPr="00AC1B1C">
        <w:t xml:space="preserve">APS 112; and </w:t>
      </w:r>
    </w:p>
    <w:p w14:paraId="7E6AC62A" w14:textId="028E520E" w:rsidR="00B31562" w:rsidRPr="00AC1B1C" w:rsidRDefault="00B31562" w:rsidP="001876DA">
      <w:pPr>
        <w:pStyle w:val="BodyText2"/>
        <w:jc w:val="both"/>
      </w:pPr>
      <w:r w:rsidRPr="00AC1B1C">
        <w:t xml:space="preserve">for banking book commitments, all committed exposures i.e. drawn on-balance sheet commitments and undrawn off-balance sheet commitments. </w:t>
      </w:r>
      <w:r w:rsidR="00966CC3" w:rsidRPr="00AC1B1C">
        <w:t>O</w:t>
      </w:r>
      <w:r w:rsidRPr="00AC1B1C">
        <w:t xml:space="preserve">ff-balance sheet commitments are to be converted into credit equivalent amounts by applying a 100 per cent conversion factor. </w:t>
      </w:r>
    </w:p>
    <w:p w14:paraId="1C4F2C2C" w14:textId="77777777" w:rsidR="00B31562" w:rsidRPr="00AC1B1C" w:rsidRDefault="00B31562" w:rsidP="001876DA">
      <w:pPr>
        <w:pStyle w:val="Heading4"/>
      </w:pPr>
      <w:bookmarkStart w:id="101" w:name="_Toc471469153"/>
      <w:bookmarkStart w:id="102" w:name="_Toc475537410"/>
      <w:bookmarkStart w:id="103" w:name="_Toc497828929"/>
      <w:bookmarkStart w:id="104" w:name="_Toc497926076"/>
      <w:bookmarkStart w:id="105" w:name="_Toc498010220"/>
      <w:bookmarkStart w:id="106" w:name="_Toc498014208"/>
      <w:bookmarkStart w:id="107" w:name="_Toc498971783"/>
      <w:r w:rsidRPr="00AC1B1C">
        <w:t>Credit risk mitigation</w:t>
      </w:r>
      <w:bookmarkEnd w:id="101"/>
      <w:bookmarkEnd w:id="102"/>
      <w:bookmarkEnd w:id="103"/>
      <w:bookmarkEnd w:id="104"/>
      <w:bookmarkEnd w:id="105"/>
      <w:bookmarkEnd w:id="106"/>
      <w:bookmarkEnd w:id="107"/>
      <w:r w:rsidRPr="00AC1B1C">
        <w:t xml:space="preserve"> </w:t>
      </w:r>
    </w:p>
    <w:p w14:paraId="245E65A9" w14:textId="7248024C" w:rsidR="00B31562" w:rsidRPr="00AC1B1C" w:rsidRDefault="00B31562" w:rsidP="00B31562">
      <w:pPr>
        <w:pStyle w:val="BodyText1"/>
      </w:pPr>
      <w:bookmarkStart w:id="108" w:name="_Ref462921681"/>
      <w:r w:rsidRPr="00AC1B1C">
        <w:t>Eligible CRM techniques for large exposure purposes are those which are allowed in APS 112. Forms of collateral that are only eligible under the internal</w:t>
      </w:r>
      <w:r w:rsidR="001B74CE" w:rsidRPr="00AC1B1C">
        <w:t xml:space="preserve"> </w:t>
      </w:r>
      <w:r w:rsidRPr="00AC1B1C">
        <w:t>ratings</w:t>
      </w:r>
      <w:r w:rsidR="001B74CE" w:rsidRPr="00AC1B1C">
        <w:t>-</w:t>
      </w:r>
      <w:r w:rsidRPr="00AC1B1C">
        <w:t xml:space="preserve">based approach in </w:t>
      </w:r>
      <w:r w:rsidR="000714D6" w:rsidRPr="00E877C7">
        <w:t>APS 113</w:t>
      </w:r>
      <w:r w:rsidRPr="00AC1B1C">
        <w:rPr>
          <w:i/>
        </w:rPr>
        <w:t xml:space="preserve"> </w:t>
      </w:r>
      <w:r w:rsidRPr="00AC1B1C">
        <w:t xml:space="preserve">are not permitted to be used in reducing exposure values for large exposure purposes. </w:t>
      </w:r>
      <w:bookmarkEnd w:id="108"/>
    </w:p>
    <w:p w14:paraId="546EB76B" w14:textId="7752D562" w:rsidR="00B31562" w:rsidRPr="00AC1B1C" w:rsidRDefault="00B31562" w:rsidP="00B31562">
      <w:pPr>
        <w:pStyle w:val="BodyText1"/>
      </w:pPr>
      <w:bookmarkStart w:id="109" w:name="_Ref25570491"/>
      <w:bookmarkStart w:id="110" w:name="_Ref462921695"/>
      <w:r w:rsidRPr="00AC1B1C">
        <w:t xml:space="preserve">An ADI must </w:t>
      </w:r>
      <w:r w:rsidR="0092385F" w:rsidRPr="00AC1B1C">
        <w:t xml:space="preserve">apply </w:t>
      </w:r>
      <w:r w:rsidRPr="00AC1B1C">
        <w:t>an eligible CRM technique in measuring exposures if the eligible CRM technique has been used in calculating the ADI’s capital requirements.</w:t>
      </w:r>
      <w:bookmarkEnd w:id="109"/>
      <w:r w:rsidRPr="00AC1B1C">
        <w:t xml:space="preserve"> </w:t>
      </w:r>
      <w:bookmarkEnd w:id="110"/>
    </w:p>
    <w:p w14:paraId="367F7876" w14:textId="10F06838" w:rsidR="00B31562" w:rsidRPr="00AC1B1C" w:rsidRDefault="00016368" w:rsidP="00B31562">
      <w:pPr>
        <w:pStyle w:val="BodyText1"/>
      </w:pPr>
      <w:r w:rsidRPr="00AC1B1C">
        <w:t xml:space="preserve">Where paragraph </w:t>
      </w:r>
      <w:r w:rsidR="00C379B4">
        <w:fldChar w:fldCharType="begin"/>
      </w:r>
      <w:r w:rsidR="00C379B4">
        <w:instrText xml:space="preserve"> REF _Ref25570491 \r \h </w:instrText>
      </w:r>
      <w:r w:rsidR="00C379B4">
        <w:fldChar w:fldCharType="separate"/>
      </w:r>
      <w:r w:rsidR="00EA6DDF">
        <w:t>3</w:t>
      </w:r>
      <w:r w:rsidR="00C379B4">
        <w:fldChar w:fldCharType="end"/>
      </w:r>
      <w:r w:rsidRPr="00AC1B1C">
        <w:t xml:space="preserve"> of this Attachment applies, </w:t>
      </w:r>
      <w:r w:rsidR="000A4385">
        <w:t>an</w:t>
      </w:r>
      <w:r w:rsidR="000A4385" w:rsidRPr="00AC1B1C">
        <w:t xml:space="preserve"> </w:t>
      </w:r>
      <w:r w:rsidR="00B31562" w:rsidRPr="00AC1B1C">
        <w:t xml:space="preserve">ADI must reduce the exposure value to a counterparty by the amount </w:t>
      </w:r>
      <w:r w:rsidR="0092385F" w:rsidRPr="00AC1B1C">
        <w:t xml:space="preserve">determined by applying </w:t>
      </w:r>
      <w:r w:rsidR="00B31562" w:rsidRPr="00AC1B1C">
        <w:t>the eligible CRM technique, being:</w:t>
      </w:r>
    </w:p>
    <w:p w14:paraId="533D129E" w14:textId="77777777" w:rsidR="00B31562" w:rsidRPr="00AC1B1C" w:rsidRDefault="00B31562" w:rsidP="00B31562">
      <w:pPr>
        <w:pStyle w:val="BodyText2"/>
        <w:jc w:val="both"/>
      </w:pPr>
      <w:r w:rsidRPr="00AC1B1C">
        <w:t>for guarantees and credit derivatives, the value of the protected amount;</w:t>
      </w:r>
    </w:p>
    <w:p w14:paraId="690029BD" w14:textId="2A515D0C" w:rsidR="00B31562" w:rsidRPr="00AC1B1C" w:rsidRDefault="00B31562" w:rsidP="00B31562">
      <w:pPr>
        <w:pStyle w:val="BodyText2"/>
        <w:jc w:val="both"/>
      </w:pPr>
      <w:r w:rsidRPr="00AC1B1C">
        <w:t>when the ADI uses the simple approach to the recognition of collateral in APS 112, the value of the part of the claim collateralised by the market value of the recognised eligible collateral;</w:t>
      </w:r>
      <w:r w:rsidR="00915D3A">
        <w:t xml:space="preserve"> </w:t>
      </w:r>
    </w:p>
    <w:p w14:paraId="3D106104" w14:textId="48E9D744" w:rsidR="00B31562" w:rsidRPr="00AC1B1C" w:rsidRDefault="00B31562" w:rsidP="00B31562">
      <w:pPr>
        <w:pStyle w:val="BodyText2"/>
        <w:jc w:val="both"/>
      </w:pPr>
      <w:r w:rsidRPr="00AC1B1C">
        <w:t>for any instruments with CCR, the value of the collateral as recognised in the calculation of the CCR exposure value; and</w:t>
      </w:r>
    </w:p>
    <w:p w14:paraId="3866AC19" w14:textId="1973E2C3" w:rsidR="00B31562" w:rsidRPr="00AC1B1C" w:rsidRDefault="00B31562" w:rsidP="00B31562">
      <w:pPr>
        <w:pStyle w:val="BodyText2"/>
        <w:jc w:val="both"/>
      </w:pPr>
      <w:r w:rsidRPr="00AC1B1C">
        <w:t xml:space="preserve">in the case of eligible collateral when the ADI applies the comprehensive approach to the recognition of collateral in APS 112, the value of the </w:t>
      </w:r>
      <w:r w:rsidRPr="00AC1B1C">
        <w:lastRenderedPageBreak/>
        <w:t xml:space="preserve">collateral adjusted after applying </w:t>
      </w:r>
      <w:r w:rsidR="00367317" w:rsidRPr="00AC1B1C">
        <w:t xml:space="preserve">supervisory </w:t>
      </w:r>
      <w:r w:rsidRPr="00AC1B1C">
        <w:t xml:space="preserve">haircuts. ADIs must not use internally modelled haircuts. </w:t>
      </w:r>
    </w:p>
    <w:p w14:paraId="4308B9B6" w14:textId="01B2443F" w:rsidR="00B31562" w:rsidRPr="00AC1B1C" w:rsidRDefault="00B31562" w:rsidP="00B31562">
      <w:pPr>
        <w:pStyle w:val="BodyText1"/>
      </w:pPr>
      <w:bookmarkStart w:id="111" w:name="_Ref459037790"/>
      <w:r w:rsidRPr="00AC1B1C">
        <w:t xml:space="preserve">When the exposure value to a counterparty is reduced due to an eligible CRM technique, an ADI must also recognise an exposure to the CRM provider equal to the amount that the exposure value to the original counterparty was reduced (except for credit protection in the form of a credit default swap (CDS), which must be treated in accordance with paragraph </w:t>
      </w:r>
      <w:r w:rsidRPr="00050DA5">
        <w:fldChar w:fldCharType="begin"/>
      </w:r>
      <w:r w:rsidRPr="00AC1B1C">
        <w:instrText xml:space="preserve"> REF _Ref459965346 \r \h  \* MERGEFORMAT </w:instrText>
      </w:r>
      <w:r w:rsidRPr="00050DA5">
        <w:fldChar w:fldCharType="separate"/>
      </w:r>
      <w:r w:rsidR="00EA6DDF">
        <w:t>17(b)</w:t>
      </w:r>
      <w:r w:rsidRPr="00050DA5">
        <w:fldChar w:fldCharType="end"/>
      </w:r>
      <w:r w:rsidR="007374E8" w:rsidRPr="00AC1B1C">
        <w:t xml:space="preserve"> of this Attachment</w:t>
      </w:r>
      <w:r w:rsidRPr="00AC1B1C">
        <w:t xml:space="preserve">). </w:t>
      </w:r>
      <w:bookmarkEnd w:id="111"/>
    </w:p>
    <w:p w14:paraId="40C94C44" w14:textId="20954C39" w:rsidR="00B31562" w:rsidRPr="00CC5D76" w:rsidRDefault="00B31562" w:rsidP="007F58E4">
      <w:pPr>
        <w:pStyle w:val="BodyText1"/>
        <w:rPr>
          <w:rStyle w:val="FootnoteReference"/>
          <w:vertAlign w:val="baseline"/>
        </w:rPr>
      </w:pPr>
      <w:r w:rsidRPr="007F58E4">
        <w:t>If there is a maturity mismatch in respect of credit risk mitigants, the credit protection</w:t>
      </w:r>
      <w:r w:rsidR="00BD3D3B">
        <w:t xml:space="preserve"> (</w:t>
      </w:r>
      <w:r w:rsidRPr="007F58E4">
        <w:t>for the purpose of calculating an A</w:t>
      </w:r>
      <w:r w:rsidRPr="00736EB8">
        <w:t>DI’s large exposures</w:t>
      </w:r>
      <w:r w:rsidR="00BD3D3B">
        <w:t>)</w:t>
      </w:r>
      <w:r w:rsidRPr="00736EB8">
        <w:t xml:space="preserve"> must be adjusted </w:t>
      </w:r>
      <w:r w:rsidR="00BF47EC">
        <w:t>applying</w:t>
      </w:r>
      <w:r w:rsidR="00BF47EC" w:rsidRPr="00736EB8">
        <w:t xml:space="preserve"> </w:t>
      </w:r>
      <w:r w:rsidRPr="00736EB8">
        <w:t>the</w:t>
      </w:r>
      <w:r w:rsidR="007F58E4" w:rsidRPr="00962F3D">
        <w:t xml:space="preserve"> </w:t>
      </w:r>
      <w:r w:rsidRPr="00962F3D">
        <w:t xml:space="preserve">requirements in </w:t>
      </w:r>
      <w:r w:rsidR="000B3764">
        <w:t xml:space="preserve">Attachments </w:t>
      </w:r>
      <w:r w:rsidR="00FD5EC7">
        <w:t>G</w:t>
      </w:r>
      <w:r w:rsidR="000B3764">
        <w:t xml:space="preserve">, </w:t>
      </w:r>
      <w:r w:rsidR="00C35435">
        <w:t>I</w:t>
      </w:r>
      <w:r w:rsidR="00FD5EC7">
        <w:t xml:space="preserve"> </w:t>
      </w:r>
      <w:r w:rsidR="000B3764">
        <w:t xml:space="preserve">and </w:t>
      </w:r>
      <w:r w:rsidR="00FD5EC7">
        <w:t xml:space="preserve">J </w:t>
      </w:r>
      <w:r w:rsidR="000B3764">
        <w:t xml:space="preserve">of </w:t>
      </w:r>
      <w:r w:rsidRPr="00850A65">
        <w:t>APS 112.</w:t>
      </w:r>
      <w:r w:rsidRPr="00CC5D76">
        <w:rPr>
          <w:rStyle w:val="FootnoteReference"/>
        </w:rPr>
        <w:footnoteReference w:id="10"/>
      </w:r>
    </w:p>
    <w:p w14:paraId="67D5F4DD" w14:textId="77777777" w:rsidR="00B31562" w:rsidRPr="00AC1B1C" w:rsidRDefault="00B31562" w:rsidP="001876DA">
      <w:pPr>
        <w:pStyle w:val="Heading4"/>
      </w:pPr>
      <w:bookmarkStart w:id="112" w:name="_Toc471469154"/>
      <w:bookmarkStart w:id="113" w:name="_Toc475537411"/>
      <w:bookmarkStart w:id="114" w:name="_Toc497828930"/>
      <w:bookmarkStart w:id="115" w:name="_Toc497926077"/>
      <w:bookmarkStart w:id="116" w:name="_Toc498010221"/>
      <w:bookmarkStart w:id="117" w:name="_Toc498014209"/>
      <w:bookmarkStart w:id="118" w:name="_Toc498971784"/>
      <w:r w:rsidRPr="00AC1B1C">
        <w:t>On-balance sheet netting</w:t>
      </w:r>
      <w:bookmarkEnd w:id="112"/>
      <w:bookmarkEnd w:id="113"/>
      <w:bookmarkEnd w:id="114"/>
      <w:bookmarkEnd w:id="115"/>
      <w:bookmarkEnd w:id="116"/>
      <w:bookmarkEnd w:id="117"/>
      <w:bookmarkEnd w:id="118"/>
    </w:p>
    <w:p w14:paraId="161FA6EB" w14:textId="3617B716" w:rsidR="00B31562" w:rsidRPr="00AC1B1C" w:rsidRDefault="00B31562" w:rsidP="00B31562">
      <w:pPr>
        <w:pStyle w:val="BodyText1"/>
      </w:pPr>
      <w:r w:rsidRPr="00AC1B1C">
        <w:t xml:space="preserve">Where an ADI has legally enforceable netting arrangements in place for loans and deposits, an ADI must use net credit exposures subject to the requirements for on-balance sheet netting for loans and deposits </w:t>
      </w:r>
      <w:r w:rsidR="00736EB8">
        <w:t>in</w:t>
      </w:r>
      <w:r w:rsidRPr="00AC1B1C">
        <w:t xml:space="preserve"> APS 112. </w:t>
      </w:r>
    </w:p>
    <w:p w14:paraId="2E655241" w14:textId="77777777" w:rsidR="00B31562" w:rsidRPr="00AC1B1C" w:rsidRDefault="00B31562" w:rsidP="001876DA">
      <w:pPr>
        <w:pStyle w:val="Heading4"/>
      </w:pPr>
      <w:bookmarkStart w:id="119" w:name="_Toc471469155"/>
      <w:bookmarkStart w:id="120" w:name="_Toc475537412"/>
      <w:bookmarkStart w:id="121" w:name="_Toc497828931"/>
      <w:bookmarkStart w:id="122" w:name="_Toc497926078"/>
      <w:bookmarkStart w:id="123" w:name="_Toc498010222"/>
      <w:bookmarkStart w:id="124" w:name="_Toc498014210"/>
      <w:bookmarkStart w:id="125" w:name="_Toc498971785"/>
      <w:r w:rsidRPr="00AC1B1C">
        <w:t>Exposure values for trading book positions</w:t>
      </w:r>
      <w:bookmarkEnd w:id="119"/>
      <w:bookmarkEnd w:id="120"/>
      <w:bookmarkEnd w:id="121"/>
      <w:bookmarkEnd w:id="122"/>
      <w:bookmarkEnd w:id="123"/>
      <w:bookmarkEnd w:id="124"/>
      <w:bookmarkEnd w:id="125"/>
    </w:p>
    <w:p w14:paraId="0011656D" w14:textId="0F4D67FB" w:rsidR="00B31562" w:rsidRPr="00AC1B1C" w:rsidRDefault="00B31562" w:rsidP="00B31562">
      <w:pPr>
        <w:pStyle w:val="BodyText1"/>
      </w:pPr>
      <w:r w:rsidRPr="00AC1B1C">
        <w:t xml:space="preserve">An ADI must aggregate banking book and trading book exposures to determine its total exposure to an individual counterparty.  </w:t>
      </w:r>
    </w:p>
    <w:p w14:paraId="366CC9F6" w14:textId="279ABAC3" w:rsidR="00B31562" w:rsidRPr="00AC1B1C" w:rsidRDefault="00B31562" w:rsidP="00B31562">
      <w:pPr>
        <w:pStyle w:val="BodyText1"/>
      </w:pPr>
      <w:r w:rsidRPr="00AC1B1C">
        <w:t xml:space="preserve">The exposure value for non-derivative debt instruments and equity instruments is the accounting value of the exposure i.e. the market value. </w:t>
      </w:r>
    </w:p>
    <w:p w14:paraId="5C0F6B3F" w14:textId="6C40F46E" w:rsidR="00B31562" w:rsidRPr="00AC1B1C" w:rsidRDefault="00B31562" w:rsidP="00B31562">
      <w:pPr>
        <w:pStyle w:val="BodyText1"/>
      </w:pPr>
      <w:r w:rsidRPr="00AC1B1C">
        <w:t xml:space="preserve">The exposure value for swaps, futures, forwards and credit derivatives is calculated by converting the </w:t>
      </w:r>
      <w:r w:rsidR="000352E1">
        <w:t xml:space="preserve">instruments into positions </w:t>
      </w:r>
      <w:r w:rsidR="00FF3420">
        <w:t>in accordance with</w:t>
      </w:r>
      <w:r w:rsidR="000352E1">
        <w:t xml:space="preserve"> Attachment B of</w:t>
      </w:r>
      <w:r w:rsidRPr="00AC1B1C">
        <w:t xml:space="preserve"> </w:t>
      </w:r>
      <w:r w:rsidRPr="00025222">
        <w:t>APS 116</w:t>
      </w:r>
      <w:r w:rsidRPr="00AC1B1C">
        <w:t xml:space="preserve"> such that these instruments are decomposed into their individual legs</w:t>
      </w:r>
      <w:r w:rsidR="006E6F69">
        <w:t>. A</w:t>
      </w:r>
      <w:r w:rsidRPr="00AC1B1C">
        <w:t xml:space="preserve">n ADI is to recognise only those transaction legs for which exposures are not </w:t>
      </w:r>
      <w:r w:rsidR="009B5E57" w:rsidRPr="00AC1B1C">
        <w:t xml:space="preserve">excluded </w:t>
      </w:r>
      <w:r w:rsidRPr="00AC1B1C">
        <w:t xml:space="preserve">under paragraph </w:t>
      </w:r>
      <w:r w:rsidRPr="00050DA5">
        <w:fldChar w:fldCharType="begin"/>
      </w:r>
      <w:r w:rsidRPr="00AC1B1C">
        <w:instrText xml:space="preserve"> REF _Ref459965306 \r \h  \* MERGEFORMAT </w:instrText>
      </w:r>
      <w:r w:rsidRPr="00050DA5">
        <w:fldChar w:fldCharType="separate"/>
      </w:r>
      <w:r w:rsidR="00EA6DDF">
        <w:t>18</w:t>
      </w:r>
      <w:r w:rsidRPr="00050DA5">
        <w:fldChar w:fldCharType="end"/>
      </w:r>
      <w:r w:rsidR="00DB66ED">
        <w:t xml:space="preserve"> of this Prudential Standard</w:t>
      </w:r>
      <w:r w:rsidRPr="00AC1B1C">
        <w:t xml:space="preserve">. </w:t>
      </w:r>
    </w:p>
    <w:p w14:paraId="5692496B" w14:textId="15588386" w:rsidR="00B31562" w:rsidRPr="00AC1B1C" w:rsidRDefault="00B31562" w:rsidP="00B31562">
      <w:pPr>
        <w:pStyle w:val="BodyText1"/>
      </w:pPr>
      <w:r w:rsidRPr="00AC1B1C">
        <w:t>For credit derivatives that represent sold protection, the exposure to the referenced name is the amount due in the case that the referenced name triggers the instrument less the absolute market value of the credit protection.</w:t>
      </w:r>
      <w:r w:rsidR="00654FC5" w:rsidRPr="003C0F8E">
        <w:rPr>
          <w:rStyle w:val="FootnoteReference"/>
          <w:sz w:val="20"/>
          <w:szCs w:val="20"/>
        </w:rPr>
        <w:footnoteReference w:id="11"/>
      </w:r>
      <w:r w:rsidRPr="00AC1B1C">
        <w:t xml:space="preserve"> For credit-linked notes, the protection seller must consider positions in the bond of the note issuer as well as in the underlying </w:t>
      </w:r>
      <w:r w:rsidR="00B00B7E" w:rsidRPr="00AC1B1C">
        <w:t xml:space="preserve">credit </w:t>
      </w:r>
      <w:r w:rsidRPr="00AC1B1C">
        <w:t xml:space="preserve">referenced by the note. </w:t>
      </w:r>
    </w:p>
    <w:p w14:paraId="147612A3" w14:textId="357A47EC" w:rsidR="00B31562" w:rsidRPr="00AC1B1C" w:rsidRDefault="00B31562" w:rsidP="00B31562">
      <w:pPr>
        <w:pStyle w:val="BodyText1"/>
      </w:pPr>
      <w:r w:rsidRPr="00AC1B1C">
        <w:t xml:space="preserve">For the purposes of this Prudential Standard, </w:t>
      </w:r>
      <w:r w:rsidR="002D3FD0" w:rsidRPr="00AC1B1C">
        <w:t xml:space="preserve">the exposure value </w:t>
      </w:r>
      <w:r w:rsidR="00D35C51" w:rsidRPr="00AC1B1C">
        <w:t>of</w:t>
      </w:r>
      <w:r w:rsidR="002D3FD0" w:rsidRPr="00AC1B1C">
        <w:t xml:space="preserve"> an </w:t>
      </w:r>
      <w:r w:rsidRPr="00AC1B1C">
        <w:t xml:space="preserve">option </w:t>
      </w:r>
      <w:r w:rsidR="002D3FD0" w:rsidRPr="00AC1B1C">
        <w:t xml:space="preserve">is calculated </w:t>
      </w:r>
      <w:r w:rsidRPr="00AC1B1C">
        <w:t>as the change in the option value that would result from a default of the respective underlying instrument as follows:</w:t>
      </w:r>
      <w:r w:rsidRPr="003C0F8E">
        <w:rPr>
          <w:rStyle w:val="FootnoteReference"/>
          <w:sz w:val="20"/>
          <w:szCs w:val="20"/>
        </w:rPr>
        <w:footnoteReference w:id="12"/>
      </w:r>
    </w:p>
    <w:p w14:paraId="26EBBCBF" w14:textId="77777777" w:rsidR="00B31562" w:rsidRPr="00AC1B1C" w:rsidRDefault="00B31562" w:rsidP="00B31562">
      <w:pPr>
        <w:pStyle w:val="BodyText2"/>
        <w:jc w:val="both"/>
      </w:pPr>
      <w:r w:rsidRPr="00AC1B1C">
        <w:lastRenderedPageBreak/>
        <w:t>for a call, the exposure is the market value of the option. For a long call this is a positive value whereas for a short call this is a negative value; and</w:t>
      </w:r>
    </w:p>
    <w:p w14:paraId="3CB4BA23" w14:textId="22817B60" w:rsidR="00B31562" w:rsidRPr="00AC1B1C" w:rsidRDefault="00B31562" w:rsidP="00B31562">
      <w:pPr>
        <w:pStyle w:val="BodyText2"/>
        <w:jc w:val="both"/>
      </w:pPr>
      <w:r w:rsidRPr="00AC1B1C">
        <w:t xml:space="preserve">for a put, the exposure value is the option’s strike price less the market value of the option. For a short put this is a </w:t>
      </w:r>
      <w:r w:rsidR="005D31D6">
        <w:t>positive</w:t>
      </w:r>
      <w:r w:rsidR="005D31D6" w:rsidRPr="00AC1B1C">
        <w:t xml:space="preserve"> </w:t>
      </w:r>
      <w:r w:rsidRPr="00AC1B1C">
        <w:t xml:space="preserve">value whereas for a long put this is a </w:t>
      </w:r>
      <w:r w:rsidR="005D31D6">
        <w:t>negative</w:t>
      </w:r>
      <w:r w:rsidR="005D31D6" w:rsidRPr="00AC1B1C">
        <w:t xml:space="preserve"> </w:t>
      </w:r>
      <w:r w:rsidRPr="00AC1B1C">
        <w:t xml:space="preserve">value. </w:t>
      </w:r>
    </w:p>
    <w:p w14:paraId="7C55A6E1" w14:textId="77777777" w:rsidR="00B31562" w:rsidRPr="00AC1B1C" w:rsidRDefault="00B31562" w:rsidP="00B31562">
      <w:pPr>
        <w:pStyle w:val="BodyText2"/>
        <w:numPr>
          <w:ilvl w:val="0"/>
          <w:numId w:val="0"/>
        </w:numPr>
        <w:ind w:left="567"/>
        <w:jc w:val="both"/>
      </w:pPr>
      <w:r w:rsidRPr="00AC1B1C">
        <w:t>An ADI must aggregate the resulting option exposures to each underlying counterparty. If there is a negative net exposure after aggregation of all option exposures, the option exposure must be set to nil.</w:t>
      </w:r>
    </w:p>
    <w:p w14:paraId="1E7A07CD" w14:textId="5F1E0687" w:rsidR="00B31562" w:rsidRPr="00AC1B1C" w:rsidRDefault="00FE7537" w:rsidP="00B31562">
      <w:pPr>
        <w:pStyle w:val="BodyText1"/>
      </w:pPr>
      <w:r>
        <w:t>An ADI’s exposure to</w:t>
      </w:r>
      <w:r w:rsidR="00B31562" w:rsidRPr="00AC1B1C">
        <w:t xml:space="preserve"> transactions (e.g. index positions, securitisations, hedge funds, investment funds) must be calculated according to the requirements for similar instruments in paragraphs </w:t>
      </w:r>
      <w:r w:rsidR="005B117F">
        <w:fldChar w:fldCharType="begin"/>
      </w:r>
      <w:r w:rsidR="005B117F">
        <w:instrText xml:space="preserve"> REF _Ref24457354 \r \h </w:instrText>
      </w:r>
      <w:r w:rsidR="005B117F">
        <w:fldChar w:fldCharType="separate"/>
      </w:r>
      <w:r w:rsidR="00EA6DDF">
        <w:t>21</w:t>
      </w:r>
      <w:r w:rsidR="005B117F">
        <w:fldChar w:fldCharType="end"/>
      </w:r>
      <w:r w:rsidR="00B31562" w:rsidRPr="00AC1B1C">
        <w:t xml:space="preserve"> to </w:t>
      </w:r>
      <w:r w:rsidR="00C9542F" w:rsidRPr="00050DA5">
        <w:fldChar w:fldCharType="begin"/>
      </w:r>
      <w:r w:rsidR="00C9542F" w:rsidRPr="00AC1B1C">
        <w:instrText xml:space="preserve"> REF _Ref459965415 \r \h </w:instrText>
      </w:r>
      <w:r w:rsidR="00AC1B1C">
        <w:instrText xml:space="preserve"> \* MERGEFORMAT </w:instrText>
      </w:r>
      <w:r w:rsidR="00C9542F" w:rsidRPr="00050DA5">
        <w:fldChar w:fldCharType="separate"/>
      </w:r>
      <w:r w:rsidR="00EA6DDF">
        <w:t>30</w:t>
      </w:r>
      <w:r w:rsidR="00C9542F" w:rsidRPr="00050DA5">
        <w:fldChar w:fldCharType="end"/>
      </w:r>
      <w:r w:rsidR="0031433E" w:rsidRPr="00AC1B1C">
        <w:t xml:space="preserve"> of this Attachment</w:t>
      </w:r>
      <w:r w:rsidR="00B31562" w:rsidRPr="00AC1B1C">
        <w:t>. This may result in the exposure value being assigned to a structure</w:t>
      </w:r>
      <w:r w:rsidR="00481A60" w:rsidRPr="00AC1B1C">
        <w:t>d vehicle</w:t>
      </w:r>
      <w:r w:rsidR="00B31562" w:rsidRPr="00AC1B1C">
        <w:t xml:space="preserve"> itself and treated as a distinct counterparty, to counterparties corresponding to the underlying assets or to an aggregated</w:t>
      </w:r>
      <w:r w:rsidR="007C4F09">
        <w:t xml:space="preserve"> unknown</w:t>
      </w:r>
      <w:r w:rsidR="00B31562" w:rsidRPr="00AC1B1C">
        <w:t xml:space="preserve"> exposure amount (which is treated as applying to a distinct counterparty to the ADI) when the ADI is unable to identify underlying assets. </w:t>
      </w:r>
    </w:p>
    <w:p w14:paraId="4A8A0662" w14:textId="77777777" w:rsidR="00B31562" w:rsidRPr="00AC1B1C" w:rsidRDefault="00B31562" w:rsidP="001876DA">
      <w:pPr>
        <w:pStyle w:val="Heading4"/>
      </w:pPr>
      <w:bookmarkStart w:id="126" w:name="_Toc471469156"/>
      <w:bookmarkStart w:id="127" w:name="_Toc475537413"/>
      <w:bookmarkStart w:id="128" w:name="_Toc497828932"/>
      <w:bookmarkStart w:id="129" w:name="_Toc497926079"/>
      <w:bookmarkStart w:id="130" w:name="_Toc498010223"/>
      <w:bookmarkStart w:id="131" w:name="_Toc498014211"/>
      <w:bookmarkStart w:id="132" w:name="_Toc498971786"/>
      <w:r w:rsidRPr="00AC1B1C">
        <w:t>Offsetting long and short positions in the trading book in the same issue</w:t>
      </w:r>
      <w:bookmarkEnd w:id="126"/>
      <w:bookmarkEnd w:id="127"/>
      <w:bookmarkEnd w:id="128"/>
      <w:bookmarkEnd w:id="129"/>
      <w:bookmarkEnd w:id="130"/>
      <w:bookmarkEnd w:id="131"/>
      <w:bookmarkEnd w:id="132"/>
    </w:p>
    <w:p w14:paraId="2C23BF4F" w14:textId="56C49710" w:rsidR="00B31562" w:rsidRPr="00AC1B1C" w:rsidRDefault="00B31562" w:rsidP="00B31562">
      <w:pPr>
        <w:pStyle w:val="BodyText1"/>
      </w:pPr>
      <w:r w:rsidRPr="00AC1B1C">
        <w:t xml:space="preserve">An ADI </w:t>
      </w:r>
      <w:r w:rsidR="00592720" w:rsidRPr="00AC1B1C">
        <w:t xml:space="preserve">may </w:t>
      </w:r>
      <w:r w:rsidRPr="00AC1B1C">
        <w:t xml:space="preserve">offset long and short positions in the same issue i.e. if the issuer, coupon, currency and maturity are identical resulting in a net position in that specific issue in order to calculate its exposures to a particular issuer. </w:t>
      </w:r>
    </w:p>
    <w:p w14:paraId="7EE99E6F" w14:textId="77777777" w:rsidR="00B31562" w:rsidRPr="00AC1B1C" w:rsidRDefault="00B31562" w:rsidP="001876DA">
      <w:pPr>
        <w:pStyle w:val="Heading4"/>
      </w:pPr>
      <w:bookmarkStart w:id="133" w:name="_Toc471469157"/>
      <w:bookmarkStart w:id="134" w:name="_Toc475537414"/>
      <w:bookmarkStart w:id="135" w:name="_Toc497828933"/>
      <w:bookmarkStart w:id="136" w:name="_Toc497926080"/>
      <w:bookmarkStart w:id="137" w:name="_Toc498010224"/>
      <w:bookmarkStart w:id="138" w:name="_Toc498014212"/>
      <w:bookmarkStart w:id="139" w:name="_Toc498971787"/>
      <w:r w:rsidRPr="00AC1B1C">
        <w:t>Offsetting long and short positions in the trading book in different issues</w:t>
      </w:r>
      <w:bookmarkEnd w:id="133"/>
      <w:bookmarkEnd w:id="134"/>
      <w:bookmarkEnd w:id="135"/>
      <w:bookmarkEnd w:id="136"/>
      <w:bookmarkEnd w:id="137"/>
      <w:bookmarkEnd w:id="138"/>
      <w:bookmarkEnd w:id="139"/>
    </w:p>
    <w:p w14:paraId="637009B9" w14:textId="46798B60" w:rsidR="00B31562" w:rsidRPr="00AC1B1C" w:rsidRDefault="00B31562" w:rsidP="00B31562">
      <w:pPr>
        <w:pStyle w:val="BodyText1"/>
      </w:pPr>
      <w:bookmarkStart w:id="140" w:name="_Ref459035504"/>
      <w:r w:rsidRPr="00AC1B1C">
        <w:t>An ADI may offset positions in different issues from the same issuer</w:t>
      </w:r>
      <w:r w:rsidR="00BA324F" w:rsidRPr="00AC1B1C">
        <w:t xml:space="preserve"> </w:t>
      </w:r>
      <w:r w:rsidRPr="00AC1B1C">
        <w:t xml:space="preserve">only when the short position is junior to, or </w:t>
      </w:r>
      <w:r w:rsidR="002D3FD0" w:rsidRPr="00AC1B1C">
        <w:t xml:space="preserve">ranks </w:t>
      </w:r>
      <w:proofErr w:type="spellStart"/>
      <w:r w:rsidRPr="00AC1B1C">
        <w:t>pari</w:t>
      </w:r>
      <w:proofErr w:type="spellEnd"/>
      <w:r w:rsidRPr="00AC1B1C">
        <w:t xml:space="preserve"> passu with, the long position. An ADI may allocate securities into broad categories of seniority (e.g. equity, subordinated debt and senior debt) to determine the relative seniority of positions. </w:t>
      </w:r>
      <w:bookmarkEnd w:id="140"/>
    </w:p>
    <w:p w14:paraId="4C574B5F" w14:textId="31752C07" w:rsidR="00B31562" w:rsidRPr="00AC1B1C" w:rsidRDefault="00B31562" w:rsidP="00B31562">
      <w:pPr>
        <w:pStyle w:val="BodyText1"/>
      </w:pPr>
      <w:r w:rsidRPr="00AC1B1C">
        <w:t>An ADI must not offset long and short positions in different issues relating to the same issuer in calculating its exposure</w:t>
      </w:r>
      <w:r w:rsidR="002D3FD0" w:rsidRPr="00AC1B1C">
        <w:t xml:space="preserve"> value</w:t>
      </w:r>
      <w:r w:rsidRPr="00AC1B1C">
        <w:t xml:space="preserve">s if it determines that allocation by seniority is not feasible. </w:t>
      </w:r>
    </w:p>
    <w:p w14:paraId="4BF35C05" w14:textId="77777777" w:rsidR="00B31562" w:rsidRPr="00AC1B1C" w:rsidRDefault="00B31562" w:rsidP="00B31562">
      <w:pPr>
        <w:pStyle w:val="BodyText1"/>
      </w:pPr>
      <w:r w:rsidRPr="00AC1B1C">
        <w:t xml:space="preserve">For positions hedged by credit derivatives: </w:t>
      </w:r>
    </w:p>
    <w:p w14:paraId="67F94B1A" w14:textId="0C6CE1FE" w:rsidR="00B31562" w:rsidRPr="00AC1B1C" w:rsidRDefault="00B31562" w:rsidP="00B31562">
      <w:pPr>
        <w:pStyle w:val="BodyText2"/>
        <w:jc w:val="both"/>
      </w:pPr>
      <w:r w:rsidRPr="00AC1B1C">
        <w:t xml:space="preserve">the hedge may be recognised provided the underlying of the hedge and the position hedged satisfy the requirement in paragraph </w:t>
      </w:r>
      <w:r w:rsidRPr="00050DA5">
        <w:fldChar w:fldCharType="begin"/>
      </w:r>
      <w:r w:rsidRPr="00AC1B1C">
        <w:instrText xml:space="preserve"> REF _Ref459035504 \r \h  \* MERGEFORMAT </w:instrText>
      </w:r>
      <w:r w:rsidRPr="00050DA5">
        <w:fldChar w:fldCharType="separate"/>
      </w:r>
      <w:r w:rsidR="00EA6DDF">
        <w:t>15</w:t>
      </w:r>
      <w:r w:rsidRPr="00050DA5">
        <w:fldChar w:fldCharType="end"/>
      </w:r>
      <w:r w:rsidR="000E7619" w:rsidRPr="00AC1B1C">
        <w:t xml:space="preserve"> of this Attachment</w:t>
      </w:r>
      <w:r w:rsidRPr="00AC1B1C">
        <w:t>; and</w:t>
      </w:r>
    </w:p>
    <w:p w14:paraId="61C314D6" w14:textId="20CA5199" w:rsidR="00B31562" w:rsidRPr="00AC1B1C" w:rsidRDefault="00B31562" w:rsidP="00B31562">
      <w:pPr>
        <w:pStyle w:val="BodyText2"/>
        <w:jc w:val="both"/>
      </w:pPr>
      <w:bookmarkStart w:id="141" w:name="_Ref518461660"/>
      <w:bookmarkStart w:id="142" w:name="_Ref459965346"/>
      <w:r w:rsidRPr="00AC1B1C">
        <w:t xml:space="preserve">any reduction in exposure to the original counterparty must result in a new exposure to the credit protection provider (in accordance with paragraph </w:t>
      </w:r>
      <w:r w:rsidRPr="00050DA5">
        <w:fldChar w:fldCharType="begin"/>
      </w:r>
      <w:r w:rsidRPr="00AC1B1C">
        <w:instrText xml:space="preserve"> REF _Ref459037790 \r \h  \* MERGEFORMAT </w:instrText>
      </w:r>
      <w:r w:rsidRPr="00050DA5">
        <w:fldChar w:fldCharType="separate"/>
      </w:r>
      <w:r w:rsidR="00EA6DDF">
        <w:t>5</w:t>
      </w:r>
      <w:r w:rsidRPr="00050DA5">
        <w:fldChar w:fldCharType="end"/>
      </w:r>
      <w:r w:rsidR="00114C04" w:rsidRPr="00AC1B1C">
        <w:t xml:space="preserve"> of this Attachment</w:t>
      </w:r>
      <w:r w:rsidRPr="00AC1B1C">
        <w:t xml:space="preserve">), except where the credit protection is in the form of a CDS and either the CDS provider, or the entity to which the credit protection applies, is not a </w:t>
      </w:r>
      <w:r w:rsidRPr="00AC1B1C">
        <w:rPr>
          <w:b/>
        </w:rPr>
        <w:t>financial institution</w:t>
      </w:r>
      <w:r w:rsidRPr="00AC1B1C">
        <w:t xml:space="preserve">. In this situation, the amount assigned to the CDS provider is the </w:t>
      </w:r>
      <w:r w:rsidR="00E54A6B">
        <w:t xml:space="preserve">exposure at default </w:t>
      </w:r>
      <w:r w:rsidRPr="00AC1B1C">
        <w:t xml:space="preserve">calculated </w:t>
      </w:r>
      <w:r w:rsidR="00874A22">
        <w:t>under</w:t>
      </w:r>
      <w:r w:rsidR="004C0151">
        <w:t xml:space="preserve"> </w:t>
      </w:r>
      <w:r w:rsidRPr="00AC1B1C">
        <w:t xml:space="preserve">APS </w:t>
      </w:r>
      <w:r w:rsidR="00923DFB" w:rsidRPr="00AC1B1C">
        <w:t>180</w:t>
      </w:r>
      <w:r w:rsidRPr="00AC1B1C">
        <w:t>.</w:t>
      </w:r>
      <w:bookmarkEnd w:id="141"/>
      <w:r w:rsidRPr="00AC1B1C">
        <w:t xml:space="preserve">  </w:t>
      </w:r>
      <w:bookmarkEnd w:id="142"/>
    </w:p>
    <w:p w14:paraId="5BEB9A47" w14:textId="2576FD45" w:rsidR="00B31562" w:rsidRPr="00AC1B1C" w:rsidRDefault="00B31562" w:rsidP="00B31562">
      <w:pPr>
        <w:pStyle w:val="BodyText1"/>
      </w:pPr>
      <w:r w:rsidRPr="00AC1B1C">
        <w:lastRenderedPageBreak/>
        <w:t xml:space="preserve">An ADI is not permitted to </w:t>
      </w:r>
      <w:r w:rsidR="002D3FD0" w:rsidRPr="00AC1B1C">
        <w:t xml:space="preserve">offset </w:t>
      </w:r>
      <w:r w:rsidRPr="00AC1B1C">
        <w:t xml:space="preserve">trading book positions against banking book positions. </w:t>
      </w:r>
    </w:p>
    <w:p w14:paraId="788A880E" w14:textId="297430EE" w:rsidR="00B31562" w:rsidRPr="00AC1B1C" w:rsidRDefault="00B31562" w:rsidP="00B31562">
      <w:pPr>
        <w:pStyle w:val="BodyText1"/>
      </w:pPr>
      <w:r w:rsidRPr="00AC1B1C">
        <w:t xml:space="preserve">When the result of offsetting in the trading book is a net short position with an individual counterparty, this net short position does not need to be considered as an exposure for the purposes of this Prudential Standard. </w:t>
      </w:r>
    </w:p>
    <w:p w14:paraId="1079A56E" w14:textId="77777777" w:rsidR="00B31562" w:rsidRPr="00AC1B1C" w:rsidRDefault="00B31562" w:rsidP="001876DA">
      <w:pPr>
        <w:pStyle w:val="Heading4"/>
      </w:pPr>
      <w:bookmarkStart w:id="143" w:name="_Toc471469158"/>
      <w:bookmarkStart w:id="144" w:name="_Toc475537415"/>
      <w:bookmarkStart w:id="145" w:name="_Toc497828934"/>
      <w:bookmarkStart w:id="146" w:name="_Toc497926081"/>
      <w:bookmarkStart w:id="147" w:name="_Toc498010225"/>
      <w:bookmarkStart w:id="148" w:name="_Toc498014213"/>
      <w:bookmarkStart w:id="149" w:name="_Toc498971788"/>
      <w:r w:rsidRPr="00AC1B1C">
        <w:t>Exposure values for covered bonds</w:t>
      </w:r>
      <w:bookmarkEnd w:id="143"/>
      <w:bookmarkEnd w:id="144"/>
      <w:bookmarkEnd w:id="145"/>
      <w:bookmarkEnd w:id="146"/>
      <w:bookmarkEnd w:id="147"/>
      <w:bookmarkEnd w:id="148"/>
      <w:bookmarkEnd w:id="149"/>
    </w:p>
    <w:p w14:paraId="25CC1BF1" w14:textId="3B100E1D" w:rsidR="00B31562" w:rsidRPr="00AC1B1C" w:rsidRDefault="00B31562" w:rsidP="00B31562">
      <w:pPr>
        <w:pStyle w:val="BodyText1"/>
      </w:pPr>
      <w:bookmarkStart w:id="150" w:name="_Ref497206108"/>
      <w:r w:rsidRPr="00AC1B1C">
        <w:t xml:space="preserve">An ADI must </w:t>
      </w:r>
      <w:r w:rsidR="000112BA" w:rsidRPr="00AC1B1C">
        <w:t xml:space="preserve">calculate the </w:t>
      </w:r>
      <w:r w:rsidRPr="00AC1B1C">
        <w:t xml:space="preserve">exposure </w:t>
      </w:r>
      <w:r w:rsidR="000112BA" w:rsidRPr="00AC1B1C">
        <w:t xml:space="preserve">value for </w:t>
      </w:r>
      <w:r w:rsidRPr="00AC1B1C">
        <w:t>a covered bond using the full (i.e. 100 per cent) nominal value of its covered bond holding.</w:t>
      </w:r>
      <w:r w:rsidR="009407A7" w:rsidRPr="003C0F8E">
        <w:rPr>
          <w:rStyle w:val="FootnoteReference"/>
          <w:sz w:val="20"/>
          <w:szCs w:val="20"/>
        </w:rPr>
        <w:footnoteReference w:id="13"/>
      </w:r>
      <w:r w:rsidRPr="00AC1B1C">
        <w:t xml:space="preserve"> The counterparty to which the exposure value is assigned is the issuer of the covered bond.</w:t>
      </w:r>
      <w:bookmarkEnd w:id="150"/>
    </w:p>
    <w:p w14:paraId="421BE35F" w14:textId="71FA4227" w:rsidR="00B31562" w:rsidRPr="00AC1B1C" w:rsidRDefault="00B31562" w:rsidP="001876DA">
      <w:pPr>
        <w:pStyle w:val="Heading4"/>
      </w:pPr>
      <w:bookmarkStart w:id="151" w:name="_Toc471469159"/>
      <w:bookmarkStart w:id="152" w:name="_Toc475537416"/>
      <w:bookmarkStart w:id="153" w:name="_Toc497828935"/>
      <w:bookmarkStart w:id="154" w:name="_Toc497926082"/>
      <w:bookmarkStart w:id="155" w:name="_Toc498010226"/>
      <w:bookmarkStart w:id="156" w:name="_Toc498014214"/>
      <w:bookmarkStart w:id="157" w:name="_Toc498971789"/>
      <w:r w:rsidRPr="00AC1B1C">
        <w:t>Exposure</w:t>
      </w:r>
      <w:r w:rsidR="00E53A4D" w:rsidRPr="00AC1B1C">
        <w:t xml:space="preserve">s to </w:t>
      </w:r>
      <w:r w:rsidRPr="00AC1B1C">
        <w:t>structure</w:t>
      </w:r>
      <w:r w:rsidR="00481A60" w:rsidRPr="00AC1B1C">
        <w:t>d vehicles</w:t>
      </w:r>
      <w:bookmarkEnd w:id="151"/>
      <w:bookmarkEnd w:id="152"/>
      <w:bookmarkEnd w:id="153"/>
      <w:bookmarkEnd w:id="154"/>
      <w:bookmarkEnd w:id="155"/>
      <w:bookmarkEnd w:id="156"/>
      <w:bookmarkEnd w:id="157"/>
    </w:p>
    <w:p w14:paraId="28278DEC" w14:textId="0179BA82" w:rsidR="00016DF8" w:rsidRPr="00AC1B1C" w:rsidRDefault="00B31562" w:rsidP="00EE6FF0">
      <w:pPr>
        <w:pStyle w:val="BodyText1"/>
      </w:pPr>
      <w:bookmarkStart w:id="158" w:name="_Ref24457354"/>
      <w:bookmarkStart w:id="159" w:name="_Ref497206073"/>
      <w:bookmarkStart w:id="160" w:name="_Ref497933396"/>
      <w:bookmarkStart w:id="161" w:name="_Ref475116073"/>
      <w:bookmarkStart w:id="162" w:name="_Ref459965408"/>
      <w:r w:rsidRPr="00AC1B1C">
        <w:t xml:space="preserve">An ADI must </w:t>
      </w:r>
      <w:r w:rsidR="003D40BC" w:rsidRPr="00AC1B1C">
        <w:t xml:space="preserve">calculate </w:t>
      </w:r>
      <w:r w:rsidR="00E53A4D" w:rsidRPr="00AC1B1C">
        <w:t>an exposure to a</w:t>
      </w:r>
      <w:r w:rsidR="00E21E5D" w:rsidRPr="00AC1B1C">
        <w:t xml:space="preserve"> </w:t>
      </w:r>
      <w:r w:rsidRPr="00AC1B1C">
        <w:t>structure</w:t>
      </w:r>
      <w:r w:rsidR="00AF0690" w:rsidRPr="00AC1B1C">
        <w:t>d vehicle</w:t>
      </w:r>
      <w:r w:rsidR="003965F6" w:rsidRPr="00AC1B1C">
        <w:t xml:space="preserve"> </w:t>
      </w:r>
      <w:r w:rsidRPr="00AC1B1C">
        <w:t>(</w:t>
      </w:r>
      <w:proofErr w:type="gramStart"/>
      <w:r w:rsidRPr="00AC1B1C">
        <w:t>e.g.</w:t>
      </w:r>
      <w:proofErr w:type="gramEnd"/>
      <w:r w:rsidRPr="00AC1B1C">
        <w:t xml:space="preserve"> funds, securitisation vehicles, structured finance products) which </w:t>
      </w:r>
      <w:r w:rsidR="004D3068" w:rsidRPr="00AC1B1C">
        <w:t xml:space="preserve">holds </w:t>
      </w:r>
      <w:r w:rsidR="00AE7572" w:rsidRPr="00AC1B1C">
        <w:t xml:space="preserve">non-retail </w:t>
      </w:r>
      <w:r w:rsidRPr="00AC1B1C">
        <w:t>assets</w:t>
      </w:r>
      <w:r w:rsidR="003D40BC" w:rsidRPr="00AC1B1C">
        <w:t xml:space="preserve"> using the look-through requirements in paragraphs</w:t>
      </w:r>
      <w:r w:rsidR="001F2139">
        <w:t xml:space="preserve"> </w:t>
      </w:r>
      <w:r w:rsidR="001F2139">
        <w:fldChar w:fldCharType="begin"/>
      </w:r>
      <w:r w:rsidR="001F2139">
        <w:instrText xml:space="preserve"> REF _Ref497927958 \r \h </w:instrText>
      </w:r>
      <w:r w:rsidR="001F2139">
        <w:fldChar w:fldCharType="separate"/>
      </w:r>
      <w:r w:rsidR="00EA6DDF">
        <w:t>22</w:t>
      </w:r>
      <w:r w:rsidR="001F2139">
        <w:fldChar w:fldCharType="end"/>
      </w:r>
      <w:r w:rsidR="003D40BC" w:rsidRPr="00AC1B1C">
        <w:t xml:space="preserve"> to </w:t>
      </w:r>
      <w:r w:rsidR="001F2139">
        <w:fldChar w:fldCharType="begin"/>
      </w:r>
      <w:r w:rsidR="001F2139">
        <w:instrText xml:space="preserve"> REF _Ref497927977 \r \h </w:instrText>
      </w:r>
      <w:r w:rsidR="001F2139">
        <w:fldChar w:fldCharType="separate"/>
      </w:r>
      <w:r w:rsidR="00EA6DDF">
        <w:t>26</w:t>
      </w:r>
      <w:r w:rsidR="001F2139">
        <w:fldChar w:fldCharType="end"/>
      </w:r>
      <w:r w:rsidR="003D40BC" w:rsidRPr="00AC1B1C">
        <w:t xml:space="preserve"> of this Attachment</w:t>
      </w:r>
      <w:r w:rsidRPr="00AC1B1C">
        <w:t>.</w:t>
      </w:r>
      <w:bookmarkEnd w:id="158"/>
      <w:r w:rsidRPr="00AC1B1C">
        <w:t xml:space="preserve"> </w:t>
      </w:r>
      <w:bookmarkEnd w:id="159"/>
      <w:bookmarkEnd w:id="160"/>
    </w:p>
    <w:p w14:paraId="55555FFF" w14:textId="1DBCA093" w:rsidR="00B31562" w:rsidRPr="00D76919" w:rsidRDefault="00B31562" w:rsidP="00001FEB">
      <w:pPr>
        <w:pStyle w:val="BodyText1"/>
      </w:pPr>
      <w:r w:rsidRPr="00AC1B1C">
        <w:t>Where an ADI</w:t>
      </w:r>
      <w:r w:rsidR="00DA2CFC" w:rsidRPr="00AC1B1C">
        <w:t xml:space="preserve">’s </w:t>
      </w:r>
      <w:r w:rsidR="006671E8" w:rsidRPr="00AC1B1C">
        <w:t>exposure to</w:t>
      </w:r>
      <w:r w:rsidR="00DA2CFC" w:rsidRPr="00AC1B1C">
        <w:t xml:space="preserve"> </w:t>
      </w:r>
      <w:r w:rsidR="0081253C" w:rsidRPr="00AC1B1C">
        <w:t>a structured</w:t>
      </w:r>
      <w:r w:rsidR="00AF0690" w:rsidRPr="00AC1B1C">
        <w:t xml:space="preserve"> vehicle</w:t>
      </w:r>
      <w:bookmarkEnd w:id="161"/>
      <w:bookmarkEnd w:id="162"/>
      <w:r w:rsidRPr="00AC1B1C">
        <w:t xml:space="preserve"> </w:t>
      </w:r>
      <w:r w:rsidR="00EC3AE6" w:rsidRPr="00AC1B1C">
        <w:t>is</w:t>
      </w:r>
      <w:r w:rsidRPr="00AC1B1C">
        <w:t xml:space="preserve"> less than 0.25 per cent of the ADI’s Tier 1 Capital, or the ADI can demonstrate that all the underlying assets of the structure</w:t>
      </w:r>
      <w:r w:rsidR="00AF0690" w:rsidRPr="00AC1B1C">
        <w:t>d vehicle</w:t>
      </w:r>
      <w:r w:rsidRPr="00AC1B1C">
        <w:t xml:space="preserve"> are less than 0.25 per cent of the ADI’s Tier 1 Capital, </w:t>
      </w:r>
      <w:r w:rsidR="003C0997" w:rsidRPr="00AC1B1C">
        <w:t xml:space="preserve">an ADI must assign an exposure value to the structured vehicle equal to the nominal </w:t>
      </w:r>
      <w:r w:rsidR="00473F42" w:rsidRPr="00AC1B1C">
        <w:t xml:space="preserve">exposure it has to </w:t>
      </w:r>
      <w:r w:rsidR="004D3068" w:rsidRPr="00AC1B1C">
        <w:t>the</w:t>
      </w:r>
      <w:r w:rsidR="003C0997" w:rsidRPr="00AC1B1C">
        <w:t xml:space="preserve"> structured vehicle.</w:t>
      </w:r>
      <w:r w:rsidR="00362CB0" w:rsidRPr="00362CB0">
        <w:t xml:space="preserve"> </w:t>
      </w:r>
      <w:r w:rsidR="00362CB0">
        <w:t>In this case, an ADI is not required to look</w:t>
      </w:r>
      <w:r w:rsidR="006358D3">
        <w:t xml:space="preserve"> </w:t>
      </w:r>
      <w:r w:rsidR="00362CB0">
        <w:t>through the structured vehicle to identify the underlying assets.</w:t>
      </w:r>
      <w:r w:rsidRPr="00AC1B1C">
        <w:t xml:space="preserve"> </w:t>
      </w:r>
      <w:bookmarkStart w:id="163" w:name="_Ref497927958"/>
      <w:r w:rsidRPr="00DC295F">
        <w:t xml:space="preserve"> </w:t>
      </w:r>
      <w:bookmarkEnd w:id="163"/>
    </w:p>
    <w:p w14:paraId="787029EA" w14:textId="7443097B" w:rsidR="00B31562" w:rsidRPr="0016421F" w:rsidRDefault="006806C8" w:rsidP="00001FEB">
      <w:pPr>
        <w:pStyle w:val="BodyText1"/>
        <w:rPr>
          <w:rStyle w:val="BodyText2Char"/>
        </w:rPr>
      </w:pPr>
      <w:bookmarkStart w:id="164" w:name="_Ref497928623"/>
      <w:r w:rsidRPr="00323331">
        <w:t>Where an</w:t>
      </w:r>
      <w:r w:rsidR="00B25980" w:rsidRPr="00C3117D">
        <w:t xml:space="preserve"> </w:t>
      </w:r>
      <w:r w:rsidR="00B31562" w:rsidRPr="00D56B3E">
        <w:t>ADI’s exposure value to at least one of the underlying</w:t>
      </w:r>
      <w:r w:rsidR="00B31562" w:rsidRPr="001A0D02">
        <w:t xml:space="preserve"> assets of the structure</w:t>
      </w:r>
      <w:r w:rsidR="00AF0690" w:rsidRPr="001A0D02">
        <w:t>d vehicle</w:t>
      </w:r>
      <w:r w:rsidR="00B31562" w:rsidRPr="001F4ADE">
        <w:t xml:space="preserve"> is greater than or equal to</w:t>
      </w:r>
      <w:r w:rsidR="00B31562" w:rsidRPr="00001FEB">
        <w:rPr>
          <w:rStyle w:val="BodyText2Char"/>
        </w:rPr>
        <w:t xml:space="preserve"> 0.25 per cent of the ADI’s Tier 1 Capital</w:t>
      </w:r>
      <w:r w:rsidR="00DE0AA5" w:rsidRPr="00050DA5">
        <w:rPr>
          <w:rStyle w:val="BodyText2Char"/>
        </w:rPr>
        <w:t>, the</w:t>
      </w:r>
      <w:r w:rsidR="00DE0AA5" w:rsidRPr="00472599">
        <w:rPr>
          <w:rStyle w:val="BodyText2Char"/>
        </w:rPr>
        <w:t xml:space="preserve"> ADI must </w:t>
      </w:r>
      <w:r w:rsidR="003C0997" w:rsidRPr="00DC295F">
        <w:t xml:space="preserve">assign an exposure value to the structured vehicle equal to the nominal </w:t>
      </w:r>
      <w:r w:rsidR="00400EEB">
        <w:t>exposure</w:t>
      </w:r>
      <w:r w:rsidR="00400EEB" w:rsidRPr="00DC295F">
        <w:t xml:space="preserve"> </w:t>
      </w:r>
      <w:r w:rsidR="00400EEB">
        <w:t>it has to</w:t>
      </w:r>
      <w:r w:rsidR="00400EEB" w:rsidRPr="00DC295F">
        <w:t xml:space="preserve"> </w:t>
      </w:r>
      <w:r w:rsidR="003C0997" w:rsidRPr="00DC295F">
        <w:t>the structured vehicle</w:t>
      </w:r>
      <w:r w:rsidR="003C0997" w:rsidRPr="00844C4D">
        <w:rPr>
          <w:rStyle w:val="BodyText2Char"/>
        </w:rPr>
        <w:t xml:space="preserve"> </w:t>
      </w:r>
      <w:r w:rsidR="00DE0AA5" w:rsidRPr="00844C4D">
        <w:rPr>
          <w:rStyle w:val="BodyText2Char"/>
        </w:rPr>
        <w:t>and</w:t>
      </w:r>
      <w:r w:rsidR="00B31562" w:rsidRPr="0016421F">
        <w:rPr>
          <w:rStyle w:val="BodyText2Char"/>
        </w:rPr>
        <w:t>:</w:t>
      </w:r>
      <w:bookmarkEnd w:id="164"/>
    </w:p>
    <w:p w14:paraId="0204DF36" w14:textId="230C50E4" w:rsidR="00B31562" w:rsidRPr="00D76919" w:rsidRDefault="00136994" w:rsidP="00001FEB">
      <w:pPr>
        <w:pStyle w:val="BodyText2"/>
        <w:jc w:val="both"/>
      </w:pPr>
      <w:bookmarkStart w:id="165" w:name="_Ref459965506"/>
      <w:r w:rsidRPr="00050DA5">
        <w:t xml:space="preserve">for </w:t>
      </w:r>
      <w:r w:rsidR="00DC68EE" w:rsidRPr="00472599">
        <w:t>each</w:t>
      </w:r>
      <w:r w:rsidR="00B31562" w:rsidRPr="00DC295F">
        <w:t xml:space="preserve"> underlying asset of the structure</w:t>
      </w:r>
      <w:r w:rsidR="00AF0690" w:rsidRPr="00844C4D">
        <w:t>d vehicle</w:t>
      </w:r>
      <w:r w:rsidR="00B31562" w:rsidRPr="00844C4D">
        <w:t xml:space="preserve"> </w:t>
      </w:r>
      <w:r w:rsidRPr="00503F3F">
        <w:t xml:space="preserve">that </w:t>
      </w:r>
      <w:r w:rsidR="00B31562" w:rsidRPr="00D83444">
        <w:t>can be identified</w:t>
      </w:r>
      <w:r w:rsidRPr="00D83444">
        <w:t xml:space="preserve"> and that </w:t>
      </w:r>
      <w:r w:rsidR="00B31562" w:rsidRPr="00DC2084">
        <w:t xml:space="preserve">has an exposure value greater than or equal to </w:t>
      </w:r>
      <w:r w:rsidR="00B31562" w:rsidRPr="008C0649">
        <w:t>0.25 per cent of the ADI’s Tier 1 Capital, the ADI must look</w:t>
      </w:r>
      <w:r w:rsidR="00EC3AE6" w:rsidRPr="008C0649">
        <w:t xml:space="preserve"> </w:t>
      </w:r>
      <w:r w:rsidR="00B31562" w:rsidRPr="0087563F">
        <w:t>through the structure</w:t>
      </w:r>
      <w:r w:rsidR="00AF0690" w:rsidRPr="00D76919">
        <w:t>d vehicle</w:t>
      </w:r>
      <w:r w:rsidR="00B31562" w:rsidRPr="00D76919">
        <w:t xml:space="preserve"> and assign the exposure values to the counterparties for each of the underlying assets;</w:t>
      </w:r>
      <w:bookmarkEnd w:id="165"/>
      <w:r w:rsidR="00C20399" w:rsidRPr="00D76919">
        <w:t xml:space="preserve"> and</w:t>
      </w:r>
    </w:p>
    <w:p w14:paraId="5B464D27" w14:textId="0DE6A7E4" w:rsidR="00B31562" w:rsidRPr="00537960" w:rsidRDefault="00136994" w:rsidP="00001FEB">
      <w:pPr>
        <w:pStyle w:val="BodyText2"/>
        <w:jc w:val="both"/>
      </w:pPr>
      <w:r w:rsidRPr="00323331">
        <w:t xml:space="preserve">for </w:t>
      </w:r>
      <w:r w:rsidR="00DC68EE" w:rsidRPr="00C3117D">
        <w:t>each</w:t>
      </w:r>
      <w:r w:rsidR="00B31562" w:rsidRPr="001A0D02">
        <w:t xml:space="preserve"> underlying asset of the structure</w:t>
      </w:r>
      <w:r w:rsidR="006475AD" w:rsidRPr="001A0D02">
        <w:t>d vehicle</w:t>
      </w:r>
      <w:r w:rsidR="00B31562" w:rsidRPr="001F4ADE">
        <w:t xml:space="preserve"> </w:t>
      </w:r>
      <w:r w:rsidRPr="001F4ADE">
        <w:t xml:space="preserve">that </w:t>
      </w:r>
      <w:r w:rsidR="00B31562" w:rsidRPr="001F4ADE">
        <w:t>cannot be identified</w:t>
      </w:r>
      <w:r w:rsidRPr="001F4ADE">
        <w:t xml:space="preserve"> and that</w:t>
      </w:r>
      <w:r w:rsidR="00B31562" w:rsidRPr="001F4ADE">
        <w:t xml:space="preserve"> has an exposure value greater than or equal to 0.25 per cent of the ADI’s Tier 1 Capital, the ADI must assign the exposure value to an </w:t>
      </w:r>
      <w:r w:rsidR="003C0997" w:rsidRPr="0052752D">
        <w:t xml:space="preserve">unknown </w:t>
      </w:r>
      <w:r w:rsidR="006A1EE5" w:rsidRPr="00A415E3">
        <w:t>counterparty</w:t>
      </w:r>
      <w:r w:rsidR="00B31562" w:rsidRPr="00A415E3">
        <w:t xml:space="preserve"> </w:t>
      </w:r>
      <w:r w:rsidR="00B31562" w:rsidRPr="00050DA5">
        <w:t xml:space="preserve">which is treated as a distinct counterparty to the ADI. An ADI must aggregate </w:t>
      </w:r>
      <w:r w:rsidR="006A1EE5" w:rsidRPr="00050DA5">
        <w:t>unknown counterparties</w:t>
      </w:r>
      <w:r w:rsidR="003C0997" w:rsidRPr="00050DA5">
        <w:t xml:space="preserve"> across its </w:t>
      </w:r>
      <w:r w:rsidR="006671E8" w:rsidRPr="00472599">
        <w:t>exposures</w:t>
      </w:r>
      <w:r w:rsidR="006671E8" w:rsidRPr="00DC295F">
        <w:t xml:space="preserve"> to</w:t>
      </w:r>
      <w:r w:rsidR="003C0997" w:rsidRPr="00844C4D">
        <w:t xml:space="preserve"> structured vehicles</w:t>
      </w:r>
      <w:r w:rsidR="00B31562" w:rsidRPr="00844C4D">
        <w:t xml:space="preserve"> as if they relate to </w:t>
      </w:r>
      <w:r w:rsidR="00344932" w:rsidRPr="00D83444">
        <w:t>a single</w:t>
      </w:r>
      <w:r w:rsidR="00B31562" w:rsidRPr="00D83444">
        <w:t xml:space="preserve"> counterparty to which large exposure limits would apply under paragraph </w:t>
      </w:r>
      <w:r w:rsidR="00B31562" w:rsidRPr="00323331">
        <w:fldChar w:fldCharType="begin"/>
      </w:r>
      <w:r w:rsidR="00B31562" w:rsidRPr="00001FEB">
        <w:instrText xml:space="preserve"> REF _Ref459091969 \r \h  \* MERGEFORMAT </w:instrText>
      </w:r>
      <w:r w:rsidR="00B31562" w:rsidRPr="00323331">
        <w:fldChar w:fldCharType="separate"/>
      </w:r>
      <w:r w:rsidR="00EA6DDF">
        <w:t>30</w:t>
      </w:r>
      <w:r w:rsidR="00B31562" w:rsidRPr="00323331">
        <w:fldChar w:fldCharType="end"/>
      </w:r>
      <w:r w:rsidR="00DB66ED">
        <w:t xml:space="preserve"> of this Prudential Standard</w:t>
      </w:r>
      <w:r w:rsidR="00C20399" w:rsidRPr="00774040">
        <w:t>.</w:t>
      </w:r>
    </w:p>
    <w:p w14:paraId="78D8D682" w14:textId="473D462E" w:rsidR="00B31562" w:rsidRPr="00AC1B1C" w:rsidRDefault="00B31562" w:rsidP="00B31562">
      <w:pPr>
        <w:pStyle w:val="BodyText1"/>
      </w:pPr>
      <w:r w:rsidRPr="00AC1B1C">
        <w:t xml:space="preserve">When an ADI has </w:t>
      </w:r>
      <w:r w:rsidR="004D3068" w:rsidRPr="00AC1B1C">
        <w:t>applied</w:t>
      </w:r>
      <w:r w:rsidRPr="00AC1B1C">
        <w:t xml:space="preserve"> </w:t>
      </w:r>
      <w:r w:rsidR="00D87DC9" w:rsidRPr="00AC1B1C">
        <w:t xml:space="preserve">the </w:t>
      </w:r>
      <w:r w:rsidRPr="00AC1B1C">
        <w:t xml:space="preserve">look-through </w:t>
      </w:r>
      <w:r w:rsidR="00D87DC9" w:rsidRPr="00AC1B1C">
        <w:t>requirements</w:t>
      </w:r>
      <w:r w:rsidRPr="00AC1B1C">
        <w:t xml:space="preserve"> for a </w:t>
      </w:r>
      <w:r w:rsidR="006475AD" w:rsidRPr="00AC1B1C">
        <w:t>structured vehicle</w:t>
      </w:r>
      <w:r w:rsidRPr="00AC1B1C">
        <w:t xml:space="preserve"> under paragraph </w:t>
      </w:r>
      <w:r w:rsidR="00630380">
        <w:fldChar w:fldCharType="begin"/>
      </w:r>
      <w:r w:rsidR="00630380">
        <w:instrText xml:space="preserve"> REF _Ref497928623 \r \h </w:instrText>
      </w:r>
      <w:r w:rsidR="00630380">
        <w:fldChar w:fldCharType="separate"/>
      </w:r>
      <w:r w:rsidR="00EA6DDF">
        <w:t>23</w:t>
      </w:r>
      <w:r w:rsidR="00630380">
        <w:fldChar w:fldCharType="end"/>
      </w:r>
      <w:r w:rsidR="00630380">
        <w:t xml:space="preserve"> </w:t>
      </w:r>
      <w:r w:rsidR="009876C7" w:rsidRPr="00AC1B1C">
        <w:t>of this Attachment</w:t>
      </w:r>
      <w:r w:rsidRPr="00AC1B1C">
        <w:t xml:space="preserve">, and all investors </w:t>
      </w:r>
      <w:r w:rsidR="009A27C7" w:rsidRPr="00AC1B1C">
        <w:t xml:space="preserve">in the structured vehicle </w:t>
      </w:r>
      <w:r w:rsidRPr="00AC1B1C">
        <w:t xml:space="preserve">rank </w:t>
      </w:r>
      <w:proofErr w:type="spellStart"/>
      <w:r w:rsidRPr="00AC1B1C">
        <w:t>pari</w:t>
      </w:r>
      <w:proofErr w:type="spellEnd"/>
      <w:r w:rsidRPr="00AC1B1C">
        <w:t xml:space="preserve"> passu, the exposure value assigned to each counterparty is equal to the </w:t>
      </w:r>
      <w:r w:rsidRPr="00AC1B1C">
        <w:lastRenderedPageBreak/>
        <w:t xml:space="preserve">pro rata share that the ADI holds in the </w:t>
      </w:r>
      <w:r w:rsidR="006475AD" w:rsidRPr="00AC1B1C">
        <w:t>structured vehicle</w:t>
      </w:r>
      <w:r w:rsidRPr="00AC1B1C">
        <w:t xml:space="preserve"> multiplied by the value of the underlying assets. </w:t>
      </w:r>
    </w:p>
    <w:p w14:paraId="31AA2B7E" w14:textId="343A77D2" w:rsidR="00B31562" w:rsidRPr="00400EFD" w:rsidRDefault="00B31562" w:rsidP="00B31562">
      <w:pPr>
        <w:pStyle w:val="BodyText1"/>
      </w:pPr>
      <w:bookmarkStart w:id="166" w:name="_Ref497929405"/>
      <w:r w:rsidRPr="00400EFD">
        <w:t xml:space="preserve">When an ADI has </w:t>
      </w:r>
      <w:r w:rsidR="004D3068" w:rsidRPr="00400EFD">
        <w:t>applied</w:t>
      </w:r>
      <w:r w:rsidRPr="00400EFD">
        <w:t xml:space="preserve"> </w:t>
      </w:r>
      <w:r w:rsidR="00D87DC9" w:rsidRPr="00400EFD">
        <w:t xml:space="preserve">the </w:t>
      </w:r>
      <w:r w:rsidRPr="00400EFD">
        <w:t xml:space="preserve">look-through </w:t>
      </w:r>
      <w:r w:rsidR="00D87DC9" w:rsidRPr="00400EFD">
        <w:t>requirements</w:t>
      </w:r>
      <w:r w:rsidRPr="00400EFD">
        <w:t xml:space="preserve"> for a </w:t>
      </w:r>
      <w:r w:rsidR="006475AD" w:rsidRPr="00400EFD">
        <w:t>structured vehicle</w:t>
      </w:r>
      <w:r w:rsidRPr="00400EFD">
        <w:t xml:space="preserve"> under paragraph </w:t>
      </w:r>
      <w:r w:rsidR="00630380" w:rsidRPr="000E04A6">
        <w:fldChar w:fldCharType="begin"/>
      </w:r>
      <w:r w:rsidR="00630380" w:rsidRPr="00400EFD">
        <w:instrText xml:space="preserve"> REF _Ref497928623 \r \h </w:instrText>
      </w:r>
      <w:r w:rsidR="004C0151" w:rsidRPr="00400EFD">
        <w:instrText xml:space="preserve"> \* MERGEFORMAT </w:instrText>
      </w:r>
      <w:r w:rsidR="00630380" w:rsidRPr="000E04A6">
        <w:fldChar w:fldCharType="separate"/>
      </w:r>
      <w:r w:rsidR="00EA6DDF">
        <w:t>23</w:t>
      </w:r>
      <w:r w:rsidR="00630380" w:rsidRPr="000E04A6">
        <w:fldChar w:fldCharType="end"/>
      </w:r>
      <w:r w:rsidR="00630380" w:rsidRPr="00400EFD">
        <w:t xml:space="preserve"> </w:t>
      </w:r>
      <w:r w:rsidR="00BD4869" w:rsidRPr="00400EFD">
        <w:t>of this Attachment</w:t>
      </w:r>
      <w:r w:rsidRPr="00400EFD">
        <w:t>, and there are different seniority levels among investors</w:t>
      </w:r>
      <w:r w:rsidR="009A27C7" w:rsidRPr="00400EFD">
        <w:t xml:space="preserve"> in the structured vehicle</w:t>
      </w:r>
      <w:r w:rsidRPr="00400EFD">
        <w:t xml:space="preserve">, the exposure value to a counterparty </w:t>
      </w:r>
      <w:r w:rsidR="00F3571B" w:rsidRPr="00400EFD">
        <w:t>must be</w:t>
      </w:r>
      <w:r w:rsidRPr="00400EFD">
        <w:t xml:space="preserve"> measured for each tranche within the </w:t>
      </w:r>
      <w:r w:rsidR="006475AD" w:rsidRPr="00400EFD">
        <w:t>structured vehicle</w:t>
      </w:r>
      <w:r w:rsidRPr="00400EFD">
        <w:t xml:space="preserve"> assuming a pro rata distribution of losses amongst investors in a single tranche. To measure the exposure value in the underlying assets, the ADI must:</w:t>
      </w:r>
      <w:bookmarkEnd w:id="166"/>
    </w:p>
    <w:p w14:paraId="60CDCA72" w14:textId="20DBE590" w:rsidR="00B31562" w:rsidRPr="00400EFD" w:rsidRDefault="00B31562" w:rsidP="00B31562">
      <w:pPr>
        <w:pStyle w:val="BodyText2"/>
        <w:jc w:val="both"/>
      </w:pPr>
      <w:bookmarkStart w:id="167" w:name="_Ref497929407"/>
      <w:r w:rsidRPr="00400EFD">
        <w:t xml:space="preserve">identify the lower of the value of the tranche in which an ADI has </w:t>
      </w:r>
      <w:r w:rsidR="00473F42" w:rsidRPr="00400EFD">
        <w:t>an exposure to</w:t>
      </w:r>
      <w:r w:rsidRPr="00400EFD">
        <w:t xml:space="preserve"> and the nominal value of each underlying asset included in the underlying portfolio of assets; and</w:t>
      </w:r>
      <w:bookmarkEnd w:id="167"/>
    </w:p>
    <w:p w14:paraId="25EA8872" w14:textId="093207EA" w:rsidR="006352AD" w:rsidRDefault="00B31562" w:rsidP="0080101C">
      <w:pPr>
        <w:pStyle w:val="BodyText2"/>
        <w:jc w:val="both"/>
      </w:pPr>
      <w:r w:rsidRPr="00400EFD">
        <w:t xml:space="preserve">apply the pro rata share of the ADI’s </w:t>
      </w:r>
      <w:r w:rsidR="006671E8" w:rsidRPr="00400EFD">
        <w:t xml:space="preserve">exposure </w:t>
      </w:r>
      <w:r w:rsidRPr="00400EFD">
        <w:t xml:space="preserve">in the tranche to the value determined in paragraph </w:t>
      </w:r>
      <w:r w:rsidR="00D21377" w:rsidRPr="00400EFD">
        <w:fldChar w:fldCharType="begin"/>
      </w:r>
      <w:r w:rsidR="00D21377" w:rsidRPr="00400EFD">
        <w:instrText xml:space="preserve"> REF _Ref497929405 \r \h </w:instrText>
      </w:r>
      <w:r w:rsidR="004C0151" w:rsidRPr="00400EFD">
        <w:instrText xml:space="preserve"> \* MERGEFORMAT </w:instrText>
      </w:r>
      <w:r w:rsidR="00D21377" w:rsidRPr="00400EFD">
        <w:fldChar w:fldCharType="separate"/>
      </w:r>
      <w:r w:rsidR="00EA6DDF">
        <w:t>25</w:t>
      </w:r>
      <w:r w:rsidR="00D21377" w:rsidRPr="00400EFD">
        <w:fldChar w:fldCharType="end"/>
      </w:r>
      <w:r w:rsidR="00D21377" w:rsidRPr="00400EFD">
        <w:fldChar w:fldCharType="begin"/>
      </w:r>
      <w:r w:rsidR="00D21377" w:rsidRPr="00400EFD">
        <w:instrText xml:space="preserve"> REF _Ref497929407 \r \h </w:instrText>
      </w:r>
      <w:r w:rsidR="004C0151" w:rsidRPr="00400EFD">
        <w:instrText xml:space="preserve"> \* MERGEFORMAT </w:instrText>
      </w:r>
      <w:r w:rsidR="00D21377" w:rsidRPr="00400EFD">
        <w:fldChar w:fldCharType="separate"/>
      </w:r>
      <w:r w:rsidR="00EA6DDF">
        <w:t>(a)</w:t>
      </w:r>
      <w:r w:rsidR="00D21377" w:rsidRPr="00400EFD">
        <w:fldChar w:fldCharType="end"/>
      </w:r>
      <w:r w:rsidR="008410DE" w:rsidRPr="00400EFD">
        <w:t xml:space="preserve"> of this Attachmen</w:t>
      </w:r>
      <w:r w:rsidR="008410DE" w:rsidRPr="00F72A60">
        <w:t>t</w:t>
      </w:r>
      <w:r w:rsidRPr="00F72A60">
        <w:t>.</w:t>
      </w:r>
      <w:r w:rsidR="0080101C">
        <w:t xml:space="preserve"> </w:t>
      </w:r>
    </w:p>
    <w:p w14:paraId="009E25D1" w14:textId="301E5929" w:rsidR="00A50B70" w:rsidRPr="00400EFD" w:rsidRDefault="0080101C" w:rsidP="00D6292E">
      <w:pPr>
        <w:pStyle w:val="BodyText2"/>
        <w:numPr>
          <w:ilvl w:val="0"/>
          <w:numId w:val="0"/>
        </w:numPr>
        <w:ind w:left="567"/>
        <w:jc w:val="both"/>
      </w:pPr>
      <w:r>
        <w:t xml:space="preserve">The resulting </w:t>
      </w:r>
      <w:r w:rsidR="00205497">
        <w:t xml:space="preserve">exposure </w:t>
      </w:r>
      <w:r>
        <w:t xml:space="preserve">value </w:t>
      </w:r>
      <w:r w:rsidR="00205497">
        <w:t xml:space="preserve">to each underlying asset </w:t>
      </w:r>
      <w:r>
        <w:t xml:space="preserve">is </w:t>
      </w:r>
      <w:r w:rsidR="006352AD">
        <w:t xml:space="preserve">capped at </w:t>
      </w:r>
      <w:r>
        <w:t>the nominal value of the underlying asset.</w:t>
      </w:r>
    </w:p>
    <w:p w14:paraId="77292692" w14:textId="14B7AA71" w:rsidR="00DD355B" w:rsidRPr="00AC1B1C" w:rsidRDefault="00B31562" w:rsidP="00DD355B">
      <w:pPr>
        <w:pStyle w:val="BodyText1"/>
      </w:pPr>
      <w:bookmarkStart w:id="168" w:name="_Ref496715407"/>
      <w:bookmarkStart w:id="169" w:name="_Ref497927977"/>
      <w:r w:rsidRPr="00AC1B1C">
        <w:t xml:space="preserve">When an ADI has not </w:t>
      </w:r>
      <w:r w:rsidR="00D87DC9" w:rsidRPr="00AC1B1C">
        <w:t>applied the</w:t>
      </w:r>
      <w:r w:rsidRPr="00AC1B1C">
        <w:t xml:space="preserve"> look-through </w:t>
      </w:r>
      <w:r w:rsidR="00D87DC9" w:rsidRPr="00AC1B1C">
        <w:t>requirements</w:t>
      </w:r>
      <w:r w:rsidRPr="00AC1B1C">
        <w:t xml:space="preserve"> for</w:t>
      </w:r>
      <w:r w:rsidR="009F51D1" w:rsidRPr="00AC1B1C">
        <w:t xml:space="preserve"> an</w:t>
      </w:r>
      <w:r w:rsidRPr="00AC1B1C">
        <w:t xml:space="preserve"> </w:t>
      </w:r>
      <w:r w:rsidR="009F51D1" w:rsidRPr="00AC1B1C">
        <w:t>exposure</w:t>
      </w:r>
      <w:r w:rsidR="00DD355B" w:rsidRPr="00AC1B1C">
        <w:t xml:space="preserve"> to</w:t>
      </w:r>
      <w:r w:rsidR="000042F8" w:rsidRPr="00AC1B1C">
        <w:t xml:space="preserve"> </w:t>
      </w:r>
      <w:r w:rsidR="0044595F">
        <w:t xml:space="preserve">a </w:t>
      </w:r>
      <w:r w:rsidR="006475AD" w:rsidRPr="00AC1B1C">
        <w:t>structured vehicle</w:t>
      </w:r>
      <w:r w:rsidRPr="00AC1B1C">
        <w:t xml:space="preserve"> it must </w:t>
      </w:r>
      <w:bookmarkEnd w:id="168"/>
      <w:r w:rsidR="00B05130" w:rsidRPr="00AC1B1C">
        <w:t xml:space="preserve">assess the </w:t>
      </w:r>
      <w:r w:rsidR="00B0723A">
        <w:t xml:space="preserve">risk concentrations of the underlying assets of the </w:t>
      </w:r>
      <w:r w:rsidR="00B05130" w:rsidRPr="00AC1B1C">
        <w:t xml:space="preserve">structured vehicle </w:t>
      </w:r>
      <w:r w:rsidR="00B0723A">
        <w:t>on an annual basis.</w:t>
      </w:r>
      <w:bookmarkEnd w:id="169"/>
      <w:r w:rsidR="00B0723A">
        <w:t xml:space="preserve"> </w:t>
      </w:r>
    </w:p>
    <w:p w14:paraId="2B5C6922" w14:textId="77777777" w:rsidR="00B31562" w:rsidRPr="00AC1B1C" w:rsidRDefault="00B31562" w:rsidP="001876DA">
      <w:pPr>
        <w:pStyle w:val="Heading3"/>
      </w:pPr>
      <w:bookmarkStart w:id="170" w:name="_Toc475537417"/>
      <w:bookmarkStart w:id="171" w:name="_Toc497828936"/>
      <w:bookmarkStart w:id="172" w:name="_Toc497926083"/>
      <w:bookmarkStart w:id="173" w:name="_Toc498010227"/>
      <w:bookmarkStart w:id="174" w:name="_Toc498014215"/>
      <w:bookmarkStart w:id="175" w:name="_Toc498971790"/>
      <w:bookmarkStart w:id="176" w:name="_Ref459965250"/>
      <w:r w:rsidRPr="00AC1B1C">
        <w:t>Additional risk factor</w:t>
      </w:r>
      <w:bookmarkEnd w:id="170"/>
      <w:bookmarkEnd w:id="171"/>
      <w:bookmarkEnd w:id="172"/>
      <w:bookmarkEnd w:id="173"/>
      <w:bookmarkEnd w:id="174"/>
      <w:bookmarkEnd w:id="175"/>
    </w:p>
    <w:p w14:paraId="133A04C3" w14:textId="29D8BD07" w:rsidR="00B31562" w:rsidRPr="00AC1B1C" w:rsidRDefault="00B31562" w:rsidP="00B31562">
      <w:pPr>
        <w:pStyle w:val="BodyText1"/>
      </w:pPr>
      <w:bookmarkStart w:id="177" w:name="_Ref471740206"/>
      <w:r w:rsidRPr="00AC1B1C">
        <w:t xml:space="preserve">An ADI must identify third parties which contribute to an additional risk factor inherent in the </w:t>
      </w:r>
      <w:r w:rsidR="006475AD" w:rsidRPr="00AC1B1C">
        <w:t>structured vehicle</w:t>
      </w:r>
      <w:r w:rsidRPr="00AC1B1C">
        <w:t xml:space="preserve"> itself rather than in the assets</w:t>
      </w:r>
      <w:r w:rsidR="00D87DC9" w:rsidRPr="00AC1B1C">
        <w:t xml:space="preserve"> held by the vehicle</w:t>
      </w:r>
      <w:r w:rsidRPr="00AC1B1C">
        <w:t>.</w:t>
      </w:r>
      <w:r w:rsidR="008A5314" w:rsidRPr="00AC1B1C" w:rsidDel="008A5314">
        <w:rPr>
          <w:rStyle w:val="FootnoteReference"/>
        </w:rPr>
        <w:t xml:space="preserve"> </w:t>
      </w:r>
      <w:r w:rsidR="008C2C68" w:rsidRPr="00AC1B1C">
        <w:t xml:space="preserve"> </w:t>
      </w:r>
      <w:r w:rsidRPr="00AC1B1C">
        <w:t xml:space="preserve">Third parties may include, but are not limited to, fund managers, originators, liquidity providers and credit protection providers. This applies regardless of whether an ADI has </w:t>
      </w:r>
      <w:r w:rsidR="00D87DC9" w:rsidRPr="00AC1B1C">
        <w:t>applied</w:t>
      </w:r>
      <w:r w:rsidRPr="00AC1B1C">
        <w:t xml:space="preserve"> the look-through </w:t>
      </w:r>
      <w:r w:rsidR="00D87DC9" w:rsidRPr="00AC1B1C">
        <w:t>requirements</w:t>
      </w:r>
      <w:r w:rsidRPr="00AC1B1C">
        <w:t xml:space="preserve"> in paragraph</w:t>
      </w:r>
      <w:r w:rsidR="00A743E7" w:rsidRPr="00CC2005">
        <w:t>s</w:t>
      </w:r>
      <w:r w:rsidRPr="00AC1B1C">
        <w:t xml:space="preserve"> </w:t>
      </w:r>
      <w:r w:rsidR="00630380">
        <w:fldChar w:fldCharType="begin"/>
      </w:r>
      <w:r w:rsidR="00630380">
        <w:instrText xml:space="preserve"> REF _Ref497927958 \r \h </w:instrText>
      </w:r>
      <w:r w:rsidR="00630380">
        <w:fldChar w:fldCharType="separate"/>
      </w:r>
      <w:r w:rsidR="00EA6DDF">
        <w:t>22</w:t>
      </w:r>
      <w:r w:rsidR="00630380">
        <w:fldChar w:fldCharType="end"/>
      </w:r>
      <w:r w:rsidR="00630380" w:rsidRPr="00AC1B1C">
        <w:t xml:space="preserve"> to </w:t>
      </w:r>
      <w:r w:rsidR="00630380">
        <w:fldChar w:fldCharType="begin"/>
      </w:r>
      <w:r w:rsidR="00630380">
        <w:instrText xml:space="preserve"> REF _Ref497927977 \r \h </w:instrText>
      </w:r>
      <w:r w:rsidR="00630380">
        <w:fldChar w:fldCharType="separate"/>
      </w:r>
      <w:r w:rsidR="00EA6DDF">
        <w:t>26</w:t>
      </w:r>
      <w:r w:rsidR="00630380">
        <w:fldChar w:fldCharType="end"/>
      </w:r>
      <w:r w:rsidR="008F2697" w:rsidRPr="00AC1B1C">
        <w:t xml:space="preserve"> of this Attachment</w:t>
      </w:r>
      <w:r w:rsidRPr="00AC1B1C">
        <w:t>.</w:t>
      </w:r>
      <w:r w:rsidR="008C2C68" w:rsidRPr="00AC1B1C" w:rsidDel="008C2C68">
        <w:rPr>
          <w:rStyle w:val="FootnoteReference"/>
        </w:rPr>
        <w:t xml:space="preserve"> </w:t>
      </w:r>
      <w:bookmarkEnd w:id="176"/>
      <w:bookmarkEnd w:id="177"/>
    </w:p>
    <w:p w14:paraId="33D5644A" w14:textId="49411CAB" w:rsidR="00B31562" w:rsidRPr="00AC1B1C" w:rsidRDefault="00443244" w:rsidP="00B31562">
      <w:pPr>
        <w:pStyle w:val="BodyText1"/>
      </w:pPr>
      <w:bookmarkStart w:id="178" w:name="_Ref459965260"/>
      <w:r w:rsidRPr="00AC1B1C">
        <w:t xml:space="preserve">An ADI must treat structured vehicles as a group of connected counterparties if they share </w:t>
      </w:r>
      <w:r w:rsidR="00326F88">
        <w:t xml:space="preserve">one or more </w:t>
      </w:r>
      <w:r w:rsidRPr="00AC1B1C">
        <w:t>common additional risk factor</w:t>
      </w:r>
      <w:r w:rsidR="00D87DC9" w:rsidRPr="00AC1B1C">
        <w:t>s</w:t>
      </w:r>
      <w:r w:rsidRPr="00AC1B1C">
        <w:t xml:space="preserve"> </w:t>
      </w:r>
      <w:r w:rsidR="0066166D">
        <w:t xml:space="preserve">that </w:t>
      </w:r>
      <w:r w:rsidR="006B5194">
        <w:t>pose</w:t>
      </w:r>
      <w:r w:rsidRPr="00AC1B1C">
        <w:t xml:space="preserve"> material risks to the ADI’s exposures to these structured vehicles.</w:t>
      </w:r>
      <w:r w:rsidR="008A5314" w:rsidRPr="00AC1B1C">
        <w:rPr>
          <w:rStyle w:val="FootnoteReference"/>
        </w:rPr>
        <w:t xml:space="preserve"> </w:t>
      </w:r>
      <w:bookmarkEnd w:id="178"/>
    </w:p>
    <w:p w14:paraId="6A26FFED" w14:textId="58D272EA" w:rsidR="00B31562" w:rsidRPr="00AC1B1C" w:rsidRDefault="00B31562" w:rsidP="00B31562">
      <w:pPr>
        <w:pStyle w:val="BodyText1"/>
      </w:pPr>
      <w:r w:rsidRPr="00AC1B1C">
        <w:t xml:space="preserve">Where an ADI identifies more than one third party as a driver of a particular additional risk factor, the ADI must assign the exposure in the </w:t>
      </w:r>
      <w:r w:rsidR="006475AD" w:rsidRPr="00AC1B1C">
        <w:t>structured vehicle</w:t>
      </w:r>
      <w:r w:rsidRPr="00AC1B1C">
        <w:t>s to each of the third parties</w:t>
      </w:r>
      <w:r w:rsidR="00D74800" w:rsidRPr="00AC1B1C">
        <w:t xml:space="preserve"> if the</w:t>
      </w:r>
      <w:r w:rsidR="00B13223" w:rsidRPr="00AC1B1C">
        <w:t>y</w:t>
      </w:r>
      <w:r w:rsidR="00D74800" w:rsidRPr="00AC1B1C">
        <w:t xml:space="preserve"> pose material risks</w:t>
      </w:r>
      <w:r w:rsidR="00B13223" w:rsidRPr="00AC1B1C">
        <w:t xml:space="preserve"> to the structured vehicles</w:t>
      </w:r>
      <w:r w:rsidRPr="00AC1B1C">
        <w:t xml:space="preserve">. </w:t>
      </w:r>
    </w:p>
    <w:p w14:paraId="75351E61" w14:textId="06BE55BD" w:rsidR="00B31562" w:rsidRPr="00AC1B1C" w:rsidRDefault="00B31562" w:rsidP="00B31562">
      <w:pPr>
        <w:pStyle w:val="BodyText1"/>
      </w:pPr>
      <w:bookmarkStart w:id="179" w:name="_Ref459965415"/>
      <w:r w:rsidRPr="00AC1B1C">
        <w:t xml:space="preserve">An ADI must add </w:t>
      </w:r>
      <w:r w:rsidR="009A217C" w:rsidRPr="00AC1B1C">
        <w:t>its</w:t>
      </w:r>
      <w:r w:rsidRPr="00AC1B1C">
        <w:t xml:space="preserve"> exposures </w:t>
      </w:r>
      <w:r w:rsidR="0066166D">
        <w:t xml:space="preserve">to </w:t>
      </w:r>
      <w:r w:rsidR="00F86C0D" w:rsidRPr="00AC1B1C">
        <w:t xml:space="preserve">a </w:t>
      </w:r>
      <w:r w:rsidR="006475AD" w:rsidRPr="00AC1B1C">
        <w:t>structured vehicle</w:t>
      </w:r>
      <w:r w:rsidRPr="00AC1B1C">
        <w:t xml:space="preserve"> associated with a third party deemed to contribute to a</w:t>
      </w:r>
      <w:r w:rsidR="00F86C0D" w:rsidRPr="00AC1B1C">
        <w:t>n</w:t>
      </w:r>
      <w:r w:rsidRPr="00AC1B1C">
        <w:t xml:space="preserve"> additional risk factor to other exposures </w:t>
      </w:r>
      <w:r w:rsidR="00F86C0D" w:rsidRPr="00AC1B1C">
        <w:t xml:space="preserve">that </w:t>
      </w:r>
      <w:r w:rsidRPr="00AC1B1C">
        <w:t>the ADI has to that third party if:</w:t>
      </w:r>
      <w:bookmarkEnd w:id="179"/>
    </w:p>
    <w:p w14:paraId="11DB760A" w14:textId="33368331" w:rsidR="00B31562" w:rsidRPr="00AC1B1C" w:rsidRDefault="00B31562" w:rsidP="00B31562">
      <w:pPr>
        <w:pStyle w:val="BodyText2"/>
        <w:jc w:val="both"/>
      </w:pPr>
      <w:r w:rsidRPr="00AC1B1C">
        <w:t xml:space="preserve">there is </w:t>
      </w:r>
      <w:r w:rsidR="00C62C89" w:rsidRPr="00AC1B1C">
        <w:t xml:space="preserve">a material </w:t>
      </w:r>
      <w:r w:rsidRPr="00AC1B1C">
        <w:t xml:space="preserve">risk to the exposures in the </w:t>
      </w:r>
      <w:r w:rsidR="006475AD" w:rsidRPr="00AC1B1C">
        <w:t>structured vehicle</w:t>
      </w:r>
      <w:r w:rsidRPr="00AC1B1C">
        <w:t xml:space="preserve"> </w:t>
      </w:r>
      <w:r w:rsidR="00F86C0D" w:rsidRPr="00AC1B1C">
        <w:t xml:space="preserve">if </w:t>
      </w:r>
      <w:r w:rsidRPr="00AC1B1C">
        <w:t xml:space="preserve">the third party </w:t>
      </w:r>
      <w:r w:rsidR="00F86C0D" w:rsidRPr="00AC1B1C">
        <w:t xml:space="preserve">were to </w:t>
      </w:r>
      <w:r w:rsidRPr="00AC1B1C">
        <w:t>default on a direct exposure to the ADI; or</w:t>
      </w:r>
    </w:p>
    <w:p w14:paraId="2B4C086B" w14:textId="7DE75EC4" w:rsidR="00B31562" w:rsidRPr="00AC1B1C" w:rsidRDefault="00B31562" w:rsidP="00B31562">
      <w:pPr>
        <w:pStyle w:val="BodyText2"/>
        <w:jc w:val="both"/>
      </w:pPr>
      <w:r w:rsidRPr="00AC1B1C">
        <w:t xml:space="preserve">there is </w:t>
      </w:r>
      <w:r w:rsidR="00C62C89" w:rsidRPr="00AC1B1C">
        <w:t xml:space="preserve">a material </w:t>
      </w:r>
      <w:r w:rsidRPr="00AC1B1C">
        <w:t xml:space="preserve">risk to a direct exposure to that third party </w:t>
      </w:r>
      <w:r w:rsidR="00F86C0D" w:rsidRPr="00AC1B1C">
        <w:t xml:space="preserve">if </w:t>
      </w:r>
      <w:r w:rsidRPr="00AC1B1C">
        <w:t xml:space="preserve">the third party </w:t>
      </w:r>
      <w:r w:rsidR="0046102F">
        <w:t xml:space="preserve">were to </w:t>
      </w:r>
      <w:r w:rsidRPr="00AC1B1C">
        <w:t xml:space="preserve">default in its role in the </w:t>
      </w:r>
      <w:r w:rsidR="006475AD" w:rsidRPr="00AC1B1C">
        <w:t>structured vehicle</w:t>
      </w:r>
      <w:r w:rsidRPr="00AC1B1C">
        <w:t xml:space="preserve">s. </w:t>
      </w:r>
    </w:p>
    <w:p w14:paraId="1EEBBFD9" w14:textId="77777777" w:rsidR="00B31562" w:rsidRPr="00AC1B1C" w:rsidRDefault="00B31562" w:rsidP="001876DA">
      <w:pPr>
        <w:pStyle w:val="Heading4"/>
      </w:pPr>
      <w:bookmarkStart w:id="180" w:name="_Toc471469160"/>
      <w:bookmarkStart w:id="181" w:name="_Toc475537418"/>
      <w:bookmarkStart w:id="182" w:name="_Toc497828937"/>
      <w:bookmarkStart w:id="183" w:name="_Toc497926084"/>
      <w:bookmarkStart w:id="184" w:name="_Toc498010228"/>
      <w:bookmarkStart w:id="185" w:name="_Toc498014216"/>
      <w:bookmarkStart w:id="186" w:name="_Toc498971791"/>
      <w:r w:rsidRPr="00AC1B1C">
        <w:lastRenderedPageBreak/>
        <w:t>Exposure values for non-qualifying central counterparties and clearing activity exposures</w:t>
      </w:r>
      <w:bookmarkEnd w:id="180"/>
      <w:bookmarkEnd w:id="181"/>
      <w:bookmarkEnd w:id="182"/>
      <w:bookmarkEnd w:id="183"/>
      <w:bookmarkEnd w:id="184"/>
      <w:bookmarkEnd w:id="185"/>
      <w:bookmarkEnd w:id="186"/>
    </w:p>
    <w:p w14:paraId="64EEF3C0" w14:textId="7B17EE4C" w:rsidR="00B31562" w:rsidRPr="00AC1B1C" w:rsidRDefault="00B31562" w:rsidP="00B31562">
      <w:pPr>
        <w:pStyle w:val="BodyText1"/>
      </w:pPr>
      <w:r w:rsidRPr="00AC1B1C">
        <w:t xml:space="preserve">An ADI must measure its exposure to non-qualifying CCPs as the sum of clearing exposures (determined in accordance with paragraph </w:t>
      </w:r>
      <w:r w:rsidRPr="00050DA5">
        <w:fldChar w:fldCharType="begin"/>
      </w:r>
      <w:r w:rsidRPr="00AC1B1C">
        <w:instrText xml:space="preserve"> REF _Ref459090948 \r \h  \* MERGEFORMAT </w:instrText>
      </w:r>
      <w:r w:rsidRPr="00050DA5">
        <w:fldChar w:fldCharType="separate"/>
      </w:r>
      <w:r w:rsidR="00EA6DDF">
        <w:t>32</w:t>
      </w:r>
      <w:r w:rsidRPr="00050DA5">
        <w:fldChar w:fldCharType="end"/>
      </w:r>
      <w:r w:rsidR="00306E01" w:rsidRPr="00AC1B1C">
        <w:t xml:space="preserve"> of this Attachment</w:t>
      </w:r>
      <w:r w:rsidRPr="00AC1B1C">
        <w:t xml:space="preserve">) and non-clearing exposures (determined in accordance with paragraph </w:t>
      </w:r>
      <w:r w:rsidRPr="00050DA5">
        <w:fldChar w:fldCharType="begin"/>
      </w:r>
      <w:r w:rsidRPr="00AC1B1C">
        <w:instrText xml:space="preserve"> REF _Ref459091482 \r \h  \* MERGEFORMAT </w:instrText>
      </w:r>
      <w:r w:rsidRPr="00050DA5">
        <w:fldChar w:fldCharType="separate"/>
      </w:r>
      <w:r w:rsidR="00EA6DDF">
        <w:t>34</w:t>
      </w:r>
      <w:r w:rsidRPr="00050DA5">
        <w:fldChar w:fldCharType="end"/>
      </w:r>
      <w:r w:rsidR="00306E01" w:rsidRPr="00AC1B1C">
        <w:t xml:space="preserve"> of this Attachment</w:t>
      </w:r>
      <w:r w:rsidRPr="00AC1B1C">
        <w:t xml:space="preserve">). This aggregate exposure is subject to the large exposure limits in paragraph </w:t>
      </w:r>
      <w:r w:rsidRPr="00050DA5">
        <w:fldChar w:fldCharType="begin"/>
      </w:r>
      <w:r w:rsidRPr="00AC1B1C">
        <w:instrText xml:space="preserve"> REF _Ref459091969 \r \h  \* MERGEFORMAT </w:instrText>
      </w:r>
      <w:r w:rsidRPr="00050DA5">
        <w:fldChar w:fldCharType="separate"/>
      </w:r>
      <w:r w:rsidR="00EA6DDF">
        <w:t>30</w:t>
      </w:r>
      <w:r w:rsidRPr="00050DA5">
        <w:fldChar w:fldCharType="end"/>
      </w:r>
      <w:r w:rsidR="00C23EDB">
        <w:t xml:space="preserve"> of this Prudential Standard</w:t>
      </w:r>
      <w:r w:rsidRPr="00AC1B1C">
        <w:t>.</w:t>
      </w:r>
    </w:p>
    <w:p w14:paraId="3E0A0AC8" w14:textId="02D5579E" w:rsidR="00B31562" w:rsidRPr="00AC1B1C" w:rsidRDefault="00B31562" w:rsidP="00B31562">
      <w:pPr>
        <w:pStyle w:val="BodyText1"/>
      </w:pPr>
      <w:bookmarkStart w:id="187" w:name="_Ref459090948"/>
      <w:r w:rsidRPr="00AC1B1C">
        <w:t>Clearing exposures to a non-qualifying CCP are</w:t>
      </w:r>
      <w:r w:rsidR="00FD729F" w:rsidRPr="00AC1B1C">
        <w:t xml:space="preserve"> calculated as</w:t>
      </w:r>
      <w:r w:rsidRPr="00AC1B1C">
        <w:t>:</w:t>
      </w:r>
      <w:bookmarkEnd w:id="187"/>
    </w:p>
    <w:p w14:paraId="224C6211" w14:textId="18ED9664" w:rsidR="00B31562" w:rsidRPr="00AC1B1C" w:rsidRDefault="00B31562" w:rsidP="00B31562">
      <w:pPr>
        <w:pStyle w:val="BodyText2"/>
        <w:jc w:val="both"/>
      </w:pPr>
      <w:r w:rsidRPr="00AC1B1C">
        <w:t>for trade exposures</w:t>
      </w:r>
      <w:r w:rsidR="00BD7107" w:rsidRPr="00AC1B1C">
        <w:t>,</w:t>
      </w:r>
      <w:r w:rsidRPr="00AC1B1C">
        <w:t xml:space="preserve"> the exposure measure corresponding to trading book exposure value determined in accordance with APS 112;</w:t>
      </w:r>
    </w:p>
    <w:p w14:paraId="23F5067D" w14:textId="03A7C313" w:rsidR="00B31562" w:rsidRPr="00AC1B1C" w:rsidRDefault="00B31562" w:rsidP="00B31562">
      <w:pPr>
        <w:pStyle w:val="BodyText2"/>
        <w:jc w:val="both"/>
      </w:pPr>
      <w:r w:rsidRPr="00AC1B1C">
        <w:t>for non-segregated initial margin</w:t>
      </w:r>
      <w:r w:rsidR="00BD7107" w:rsidRPr="00AC1B1C">
        <w:t>,</w:t>
      </w:r>
      <w:r w:rsidRPr="00AC1B1C">
        <w:t xml:space="preserve"> the nominal amount of initial margin posted;</w:t>
      </w:r>
    </w:p>
    <w:p w14:paraId="0A06A834" w14:textId="55F37416" w:rsidR="00B31562" w:rsidRPr="00AC1B1C" w:rsidRDefault="00B31562" w:rsidP="00B31562">
      <w:pPr>
        <w:pStyle w:val="BodyText2"/>
        <w:jc w:val="both"/>
      </w:pPr>
      <w:r w:rsidRPr="00AC1B1C">
        <w:t>for pre-funded default fund contributions</w:t>
      </w:r>
      <w:r w:rsidR="00BD7107" w:rsidRPr="00AC1B1C">
        <w:t>,</w:t>
      </w:r>
      <w:r w:rsidRPr="00AC1B1C">
        <w:t xml:space="preserve"> the funded contribution;</w:t>
      </w:r>
      <w:r w:rsidR="0066166D">
        <w:t xml:space="preserve"> and</w:t>
      </w:r>
    </w:p>
    <w:p w14:paraId="1EBEC799" w14:textId="75D4AEE7" w:rsidR="00B31562" w:rsidRDefault="00B31562" w:rsidP="00B31562">
      <w:pPr>
        <w:pStyle w:val="BodyText2"/>
        <w:jc w:val="both"/>
      </w:pPr>
      <w:r w:rsidRPr="00AC1B1C">
        <w:t>for equity stakes</w:t>
      </w:r>
      <w:r w:rsidR="00BD7107" w:rsidRPr="00AC1B1C">
        <w:t>,</w:t>
      </w:r>
      <w:r w:rsidRPr="00AC1B1C">
        <w:t xml:space="preserve"> the nominal amount.</w:t>
      </w:r>
    </w:p>
    <w:p w14:paraId="3384A310" w14:textId="4EFFE0AB" w:rsidR="0066166D" w:rsidRPr="00AC1B1C" w:rsidRDefault="0066166D" w:rsidP="00CC2005">
      <w:pPr>
        <w:pStyle w:val="BodyText2"/>
        <w:numPr>
          <w:ilvl w:val="0"/>
          <w:numId w:val="0"/>
        </w:numPr>
        <w:ind w:left="567"/>
        <w:jc w:val="both"/>
      </w:pPr>
      <w:r>
        <w:t xml:space="preserve">Clearing exposures </w:t>
      </w:r>
      <w:r w:rsidR="00CE33DA">
        <w:t xml:space="preserve">to a non-qualifying CCP </w:t>
      </w:r>
      <w:r>
        <w:t xml:space="preserve">in relation to segregated initial margin and unfunded default fund contributions are excluded. </w:t>
      </w:r>
    </w:p>
    <w:p w14:paraId="17FBF2A7" w14:textId="231D607A" w:rsidR="00B31562" w:rsidRPr="00AC1B1C" w:rsidRDefault="00B31562" w:rsidP="00B31562">
      <w:pPr>
        <w:pStyle w:val="BodyText1"/>
      </w:pPr>
      <w:bookmarkStart w:id="188" w:name="_Ref518461690"/>
      <w:r w:rsidRPr="00AC1B1C">
        <w:t xml:space="preserve">When an ADI acts as a clearing member to a CCP or is a client of a clearing member, the counterparty to which exposures </w:t>
      </w:r>
      <w:r w:rsidR="00D4492B">
        <w:t xml:space="preserve">are </w:t>
      </w:r>
      <w:r w:rsidRPr="00AC1B1C">
        <w:t xml:space="preserve">assigned </w:t>
      </w:r>
      <w:r w:rsidR="00D4492B">
        <w:t xml:space="preserve">must be </w:t>
      </w:r>
      <w:r w:rsidRPr="00AC1B1C">
        <w:t xml:space="preserve">determined in accordance with APS </w:t>
      </w:r>
      <w:r w:rsidR="00607F0F" w:rsidRPr="00AC1B1C">
        <w:t>180</w:t>
      </w:r>
      <w:r w:rsidRPr="00AC1B1C">
        <w:t>.</w:t>
      </w:r>
      <w:r w:rsidR="00275D64" w:rsidDel="00275D64">
        <w:rPr>
          <w:rStyle w:val="FootnoteReference"/>
        </w:rPr>
        <w:t xml:space="preserve"> </w:t>
      </w:r>
      <w:bookmarkEnd w:id="188"/>
    </w:p>
    <w:p w14:paraId="7A4D5E07" w14:textId="022914FD" w:rsidR="00B31562" w:rsidRPr="00AC1B1C" w:rsidRDefault="00B31562" w:rsidP="001876DA">
      <w:pPr>
        <w:pStyle w:val="BodyText1"/>
      </w:pPr>
      <w:bookmarkStart w:id="189" w:name="_Ref459091482"/>
      <w:r w:rsidRPr="00AC1B1C">
        <w:t xml:space="preserve">Non-clearing exposures to a non-qualifying CCP are all exposures to a non-qualifying CCP not directly related to the provision of clearing services (e.g. funding facilities, credit facilities, and guarantees). </w:t>
      </w:r>
      <w:bookmarkEnd w:id="189"/>
    </w:p>
    <w:p w14:paraId="6135662B" w14:textId="77777777" w:rsidR="00806138" w:rsidRDefault="00806138" w:rsidP="00736EB8">
      <w:pPr>
        <w:pStyle w:val="BodyText1"/>
        <w:numPr>
          <w:ilvl w:val="0"/>
          <w:numId w:val="0"/>
        </w:numPr>
      </w:pPr>
    </w:p>
    <w:p w14:paraId="1313C787" w14:textId="77777777" w:rsidR="00356CF8" w:rsidRPr="00FC7085" w:rsidRDefault="00356CF8" w:rsidP="00F868FD">
      <w:pPr>
        <w:pStyle w:val="BodyText2"/>
        <w:numPr>
          <w:ilvl w:val="0"/>
          <w:numId w:val="0"/>
        </w:numPr>
        <w:ind w:left="1134"/>
      </w:pPr>
    </w:p>
    <w:sectPr w:rsidR="00356CF8" w:rsidRPr="00FC7085" w:rsidSect="000D63A8">
      <w:footerReference w:type="default" r:id="rId22"/>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6306" w14:textId="77777777" w:rsidR="001334B7" w:rsidRDefault="001334B7" w:rsidP="006A6A52">
      <w:pPr>
        <w:spacing w:after="0"/>
      </w:pPr>
      <w:r>
        <w:separator/>
      </w:r>
    </w:p>
  </w:endnote>
  <w:endnote w:type="continuationSeparator" w:id="0">
    <w:p w14:paraId="14061B2A" w14:textId="77777777" w:rsidR="001334B7" w:rsidRDefault="001334B7" w:rsidP="006A6A52">
      <w:pPr>
        <w:spacing w:after="0"/>
      </w:pPr>
      <w:r>
        <w:continuationSeparator/>
      </w:r>
    </w:p>
  </w:endnote>
  <w:endnote w:type="continuationNotice" w:id="1">
    <w:p w14:paraId="2343CE0C" w14:textId="77777777" w:rsidR="001334B7" w:rsidRDefault="001334B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val="0"/>
        <w:sz w:val="22"/>
        <w:szCs w:val="22"/>
      </w:rPr>
      <w:id w:val="902651299"/>
      <w:docPartObj>
        <w:docPartGallery w:val="Page Numbers (Bottom of Page)"/>
        <w:docPartUnique/>
      </w:docPartObj>
    </w:sdtPr>
    <w:sdtEndPr/>
    <w:sdtContent>
      <w:sdt>
        <w:sdtPr>
          <w:rPr>
            <w:rFonts w:ascii="Arial" w:hAnsi="Arial" w:cs="Arial"/>
            <w:b w:val="0"/>
            <w:sz w:val="22"/>
            <w:szCs w:val="22"/>
          </w:rPr>
          <w:id w:val="-1769616900"/>
          <w:docPartObj>
            <w:docPartGallery w:val="Page Numbers (Top of Page)"/>
            <w:docPartUnique/>
          </w:docPartObj>
        </w:sdtPr>
        <w:sdtEndPr/>
        <w:sdtContent>
          <w:p w14:paraId="21827B99" w14:textId="49506663" w:rsidR="001334B7" w:rsidRPr="006F2EF6" w:rsidRDefault="006F2EF6" w:rsidP="006F2EF6">
            <w:pPr>
              <w:pStyle w:val="Footer"/>
              <w:spacing w:after="0"/>
              <w:rPr>
                <w:rFonts w:ascii="Arial" w:hAnsi="Arial" w:cs="Arial"/>
                <w:b w:val="0"/>
                <w:sz w:val="22"/>
                <w:szCs w:val="22"/>
              </w:rPr>
            </w:pPr>
            <w:r w:rsidRPr="006F2EF6">
              <w:rPr>
                <w:rFonts w:ascii="Arial" w:hAnsi="Arial" w:cs="Arial"/>
                <w:b w:val="0"/>
                <w:sz w:val="22"/>
                <w:szCs w:val="22"/>
              </w:rPr>
              <w:t xml:space="preserve">Page </w:t>
            </w:r>
            <w:r w:rsidRPr="006F2EF6">
              <w:rPr>
                <w:rFonts w:ascii="Arial" w:hAnsi="Arial" w:cs="Arial"/>
                <w:b w:val="0"/>
                <w:bCs/>
                <w:sz w:val="22"/>
                <w:szCs w:val="22"/>
              </w:rPr>
              <w:fldChar w:fldCharType="begin"/>
            </w:r>
            <w:r w:rsidRPr="006F2EF6">
              <w:rPr>
                <w:rFonts w:ascii="Arial" w:hAnsi="Arial" w:cs="Arial"/>
                <w:b w:val="0"/>
                <w:bCs/>
                <w:sz w:val="22"/>
                <w:szCs w:val="22"/>
              </w:rPr>
              <w:instrText xml:space="preserve"> PAGE </w:instrText>
            </w:r>
            <w:r w:rsidRPr="006F2EF6">
              <w:rPr>
                <w:rFonts w:ascii="Arial" w:hAnsi="Arial" w:cs="Arial"/>
                <w:b w:val="0"/>
                <w:bCs/>
                <w:sz w:val="22"/>
                <w:szCs w:val="22"/>
              </w:rPr>
              <w:fldChar w:fldCharType="separate"/>
            </w:r>
            <w:r w:rsidRPr="006F2EF6">
              <w:rPr>
                <w:rFonts w:ascii="Arial" w:hAnsi="Arial" w:cs="Arial"/>
                <w:b w:val="0"/>
                <w:bCs/>
                <w:noProof/>
                <w:sz w:val="22"/>
                <w:szCs w:val="22"/>
              </w:rPr>
              <w:t>2</w:t>
            </w:r>
            <w:r w:rsidRPr="006F2EF6">
              <w:rPr>
                <w:rFonts w:ascii="Arial" w:hAnsi="Arial" w:cs="Arial"/>
                <w:b w:val="0"/>
                <w:bCs/>
                <w:sz w:val="22"/>
                <w:szCs w:val="22"/>
              </w:rPr>
              <w:fldChar w:fldCharType="end"/>
            </w:r>
            <w:r w:rsidRPr="006F2EF6">
              <w:rPr>
                <w:rFonts w:ascii="Arial" w:hAnsi="Arial" w:cs="Arial"/>
                <w:b w:val="0"/>
                <w:sz w:val="22"/>
                <w:szCs w:val="22"/>
              </w:rPr>
              <w:t xml:space="preserve"> of </w:t>
            </w:r>
            <w:r>
              <w:rPr>
                <w:rFonts w:ascii="Arial" w:hAnsi="Arial" w:cs="Arial"/>
                <w:b w:val="0"/>
                <w:bCs/>
                <w:sz w:val="22"/>
                <w:szCs w:val="22"/>
              </w:rPr>
              <w:t>2</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ECB62" w14:textId="3A2A3066" w:rsidR="006F2EF6" w:rsidRPr="00842FBD" w:rsidRDefault="006F2EF6" w:rsidP="00842FBD">
    <w:pPr>
      <w:pStyle w:val="Footer"/>
    </w:pPr>
    <w:r>
      <w:rPr>
        <w:noProof/>
      </w:rPr>
      <w:fldChar w:fldCharType="begin"/>
    </w:r>
    <w:r>
      <w:rPr>
        <w:noProof/>
      </w:rPr>
      <w:instrText xml:space="preserve"> STYLEREF  "PS No. field text"  \* MERGEFORMAT </w:instrText>
    </w:r>
    <w:r>
      <w:rPr>
        <w:noProof/>
      </w:rPr>
      <w:fldChar w:fldCharType="separate"/>
    </w:r>
    <w:r>
      <w:rPr>
        <w:noProof/>
      </w:rPr>
      <w:t>APS 221</w:t>
    </w:r>
    <w:r>
      <w:rPr>
        <w:noProof/>
      </w:rPr>
      <w:fldChar w:fldCharType="end"/>
    </w:r>
    <w:r>
      <w:t xml:space="preserve"> - </w:t>
    </w:r>
    <w:r w:rsidRPr="00842FBD">
      <w:fldChar w:fldCharType="begin"/>
    </w:r>
    <w:r w:rsidRPr="00842FBD">
      <w:instrText xml:space="preserve"> PAGE </w:instrText>
    </w:r>
    <w:r w:rsidRPr="00842FBD">
      <w:fldChar w:fldCharType="separate"/>
    </w:r>
    <w:r>
      <w:rPr>
        <w:noProof/>
      </w:rPr>
      <w:t>1</w:t>
    </w:r>
    <w:r w:rsidRPr="00842FB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ABAEA" w14:textId="77777777" w:rsidR="006F2EF6" w:rsidRDefault="006F2E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D185" w14:textId="324EF684" w:rsidR="001334B7" w:rsidRPr="00842FBD" w:rsidRDefault="001334B7" w:rsidP="00842FBD">
    <w:pPr>
      <w:pStyle w:val="Footer"/>
    </w:pPr>
    <w:r>
      <w:rPr>
        <w:noProof/>
      </w:rPr>
      <w:fldChar w:fldCharType="begin"/>
    </w:r>
    <w:r>
      <w:rPr>
        <w:noProof/>
      </w:rPr>
      <w:instrText xml:space="preserve"> STYLEREF  "PS No. field text"  \* MERGEFORMAT </w:instrText>
    </w:r>
    <w:r>
      <w:rPr>
        <w:noProof/>
      </w:rPr>
      <w:fldChar w:fldCharType="separate"/>
    </w:r>
    <w:r w:rsidR="00360621">
      <w:rPr>
        <w:noProof/>
      </w:rPr>
      <w:t>APS 221</w:t>
    </w:r>
    <w:r>
      <w:rPr>
        <w:noProof/>
      </w:rPr>
      <w:fldChar w:fldCharType="end"/>
    </w:r>
    <w:r>
      <w:t xml:space="preserve"> - </w:t>
    </w:r>
    <w:r w:rsidRPr="00842FBD">
      <w:fldChar w:fldCharType="begin"/>
    </w:r>
    <w:r w:rsidRPr="00842FBD">
      <w:instrText xml:space="preserve"> PAGE </w:instrText>
    </w:r>
    <w:r w:rsidRPr="00842FBD">
      <w:fldChar w:fldCharType="separate"/>
    </w:r>
    <w:r w:rsidR="00B06AFB">
      <w:rPr>
        <w:noProof/>
      </w:rPr>
      <w:t>2</w:t>
    </w:r>
    <w:r w:rsidRPr="00842FB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54DD" w14:textId="7287FEA2" w:rsidR="001334B7" w:rsidRPr="00842FBD" w:rsidRDefault="001334B7" w:rsidP="00842FBD">
    <w:pPr>
      <w:pStyle w:val="Footer"/>
    </w:pPr>
    <w:r>
      <w:rPr>
        <w:noProof/>
      </w:rPr>
      <w:fldChar w:fldCharType="begin"/>
    </w:r>
    <w:r>
      <w:rPr>
        <w:noProof/>
      </w:rPr>
      <w:instrText xml:space="preserve"> STYLEREF  "PS No. field text"  \* MERGEFORMAT </w:instrText>
    </w:r>
    <w:r>
      <w:rPr>
        <w:noProof/>
      </w:rPr>
      <w:fldChar w:fldCharType="separate"/>
    </w:r>
    <w:r w:rsidR="00360621">
      <w:rPr>
        <w:noProof/>
      </w:rPr>
      <w:t>APS 221</w:t>
    </w:r>
    <w:r>
      <w:rPr>
        <w:noProof/>
      </w:rPr>
      <w:fldChar w:fldCharType="end"/>
    </w:r>
    <w:r>
      <w:t xml:space="preserve"> - </w:t>
    </w:r>
    <w:r w:rsidRPr="00842FBD">
      <w:fldChar w:fldCharType="begin"/>
    </w:r>
    <w:r w:rsidRPr="00842FBD">
      <w:instrText xml:space="preserve"> PAGE </w:instrText>
    </w:r>
    <w:r w:rsidRPr="00842FBD">
      <w:fldChar w:fldCharType="separate"/>
    </w:r>
    <w:r w:rsidR="00B06AFB">
      <w:rPr>
        <w:noProof/>
      </w:rPr>
      <w:t>3</w:t>
    </w:r>
    <w:r w:rsidRPr="00842FB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BEAA" w14:textId="70C3EB16" w:rsidR="001334B7" w:rsidRPr="00842FBD" w:rsidRDefault="001334B7" w:rsidP="00842FBD">
    <w:pPr>
      <w:pStyle w:val="Footer"/>
    </w:pPr>
    <w:r>
      <w:rPr>
        <w:noProof/>
      </w:rPr>
      <w:fldChar w:fldCharType="begin"/>
    </w:r>
    <w:r>
      <w:rPr>
        <w:noProof/>
      </w:rPr>
      <w:instrText xml:space="preserve"> STYLEREF  "PS No. field text"  \* MERGEFORMAT </w:instrText>
    </w:r>
    <w:r>
      <w:rPr>
        <w:noProof/>
      </w:rPr>
      <w:fldChar w:fldCharType="separate"/>
    </w:r>
    <w:r w:rsidR="00360621">
      <w:rPr>
        <w:noProof/>
      </w:rPr>
      <w:t>APS 221</w:t>
    </w:r>
    <w:r>
      <w:rPr>
        <w:noProof/>
      </w:rPr>
      <w:fldChar w:fldCharType="end"/>
    </w:r>
    <w:r>
      <w:t xml:space="preserve"> Attachment A - </w:t>
    </w:r>
    <w:r w:rsidRPr="00842FBD">
      <w:fldChar w:fldCharType="begin"/>
    </w:r>
    <w:r w:rsidRPr="00842FBD">
      <w:instrText xml:space="preserve"> PAGE </w:instrText>
    </w:r>
    <w:r w:rsidRPr="00842FBD">
      <w:fldChar w:fldCharType="separate"/>
    </w:r>
    <w:r w:rsidR="00B06AFB">
      <w:rPr>
        <w:noProof/>
      </w:rPr>
      <w:t>14</w:t>
    </w:r>
    <w:r w:rsidRPr="00842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57EBA" w14:textId="77777777" w:rsidR="001334B7" w:rsidRDefault="001334B7" w:rsidP="006A6A52">
      <w:pPr>
        <w:spacing w:after="0"/>
      </w:pPr>
      <w:r>
        <w:separator/>
      </w:r>
    </w:p>
  </w:footnote>
  <w:footnote w:type="continuationSeparator" w:id="0">
    <w:p w14:paraId="55F05AB8" w14:textId="77777777" w:rsidR="001334B7" w:rsidRDefault="001334B7" w:rsidP="006A6A52">
      <w:pPr>
        <w:spacing w:after="0"/>
      </w:pPr>
      <w:r>
        <w:continuationSeparator/>
      </w:r>
    </w:p>
  </w:footnote>
  <w:footnote w:type="continuationNotice" w:id="1">
    <w:p w14:paraId="09D63EF5" w14:textId="77777777" w:rsidR="001334B7" w:rsidRDefault="001334B7">
      <w:pPr>
        <w:spacing w:after="0"/>
      </w:pPr>
    </w:p>
  </w:footnote>
  <w:footnote w:id="2">
    <w:p w14:paraId="71DBA43A" w14:textId="77777777" w:rsidR="001334B7" w:rsidRDefault="001334B7" w:rsidP="00A705D0">
      <w:pPr>
        <w:pStyle w:val="FootnoteText"/>
      </w:pPr>
      <w:r>
        <w:rPr>
          <w:rStyle w:val="FootnoteReference"/>
        </w:rPr>
        <w:footnoteRef/>
      </w:r>
      <w:r>
        <w:t xml:space="preserve">  </w:t>
      </w:r>
      <w:r>
        <w:tab/>
        <w:t xml:space="preserve">For the avoidance of doubt, a reference to a counterparty includes a structured vehicle. </w:t>
      </w:r>
    </w:p>
  </w:footnote>
  <w:footnote w:id="3">
    <w:p w14:paraId="2B817294" w14:textId="1A091AB8" w:rsidR="001334B7" w:rsidRDefault="001334B7">
      <w:pPr>
        <w:pStyle w:val="FootnoteText"/>
      </w:pPr>
      <w:r>
        <w:rPr>
          <w:rStyle w:val="FootnoteReference"/>
        </w:rPr>
        <w:footnoteRef/>
      </w:r>
      <w:r>
        <w:t xml:space="preserve"> </w:t>
      </w:r>
      <w:r>
        <w:tab/>
      </w:r>
      <w:r w:rsidRPr="0037277B">
        <w:t>Exposures which</w:t>
      </w:r>
      <w:r w:rsidRPr="001F201F">
        <w:t xml:space="preserve"> are 1250 per cent </w:t>
      </w:r>
      <w:r>
        <w:t>risk-weighted</w:t>
      </w:r>
      <w:r w:rsidRPr="001F201F">
        <w:t xml:space="preserve"> under </w:t>
      </w:r>
      <w:r w:rsidR="00584AF2" w:rsidRPr="00584AF2">
        <w:rPr>
          <w:i/>
        </w:rPr>
        <w:t>Prudential Standard APS 112 Capital Adequacy: Standardised Approach to Credit Risk</w:t>
      </w:r>
      <w:r w:rsidR="00584AF2">
        <w:t xml:space="preserve"> (</w:t>
      </w:r>
      <w:r w:rsidRPr="001F201F">
        <w:t>APS 112</w:t>
      </w:r>
      <w:r w:rsidR="00584AF2">
        <w:t>)</w:t>
      </w:r>
      <w:r w:rsidRPr="001F201F">
        <w:t xml:space="preserve"> are </w:t>
      </w:r>
      <w:r>
        <w:t>subject to</w:t>
      </w:r>
      <w:r w:rsidRPr="001F201F">
        <w:t xml:space="preserve"> the large exposure limits</w:t>
      </w:r>
      <w:r>
        <w:t>.</w:t>
      </w:r>
    </w:p>
  </w:footnote>
  <w:footnote w:id="4">
    <w:p w14:paraId="17251F96" w14:textId="20CB8AF1" w:rsidR="001334B7" w:rsidRDefault="001334B7">
      <w:pPr>
        <w:pStyle w:val="FootnoteText"/>
      </w:pPr>
      <w:r>
        <w:rPr>
          <w:rStyle w:val="FootnoteReference"/>
        </w:rPr>
        <w:footnoteRef/>
      </w:r>
      <w:r>
        <w:t xml:space="preserve"> </w:t>
      </w:r>
      <w:r>
        <w:tab/>
      </w:r>
      <w:r w:rsidRPr="001E10DC">
        <w:t xml:space="preserve">In the case of an ADI using the </w:t>
      </w:r>
      <w:r>
        <w:t>s</w:t>
      </w:r>
      <w:r w:rsidRPr="001E10DC">
        <w:t xml:space="preserve">tandardised </w:t>
      </w:r>
      <w:r>
        <w:t>a</w:t>
      </w:r>
      <w:r w:rsidRPr="001E10DC">
        <w:t xml:space="preserve">pproach to </w:t>
      </w:r>
      <w:r>
        <w:t>c</w:t>
      </w:r>
      <w:r w:rsidRPr="001E10DC">
        <w:t xml:space="preserve">redit </w:t>
      </w:r>
      <w:r>
        <w:t>r</w:t>
      </w:r>
      <w:r w:rsidRPr="001E10DC">
        <w:t xml:space="preserve">isk, insured mortgages are those subject to risk-weights for residential </w:t>
      </w:r>
      <w:r w:rsidR="006C3110">
        <w:t>property</w:t>
      </w:r>
      <w:r w:rsidR="006C3110" w:rsidRPr="001E10DC">
        <w:t xml:space="preserve"> </w:t>
      </w:r>
      <w:r w:rsidRPr="001E10DC">
        <w:t xml:space="preserve">under paragraph </w:t>
      </w:r>
      <w:r w:rsidR="006C3110">
        <w:t>16</w:t>
      </w:r>
      <w:r w:rsidRPr="001E10DC">
        <w:t xml:space="preserve"> of Attachment </w:t>
      </w:r>
      <w:r w:rsidR="006C3110">
        <w:t>A</w:t>
      </w:r>
      <w:r w:rsidR="006C3110" w:rsidRPr="001E10DC">
        <w:t xml:space="preserve"> </w:t>
      </w:r>
      <w:r w:rsidRPr="001E10DC">
        <w:t>of APS 112.</w:t>
      </w:r>
    </w:p>
  </w:footnote>
  <w:footnote w:id="5">
    <w:p w14:paraId="2ABBC4C3" w14:textId="68C0CEA0" w:rsidR="001334B7" w:rsidRDefault="001334B7" w:rsidP="00F20F90">
      <w:pPr>
        <w:pStyle w:val="FootnoteText"/>
      </w:pPr>
      <w:r>
        <w:rPr>
          <w:rStyle w:val="FootnoteReference"/>
        </w:rPr>
        <w:footnoteRef/>
      </w:r>
      <w:r>
        <w:t xml:space="preserve"> </w:t>
      </w:r>
      <w:r>
        <w:tab/>
        <w:t xml:space="preserve">Paragraph </w:t>
      </w:r>
      <w:r>
        <w:fldChar w:fldCharType="begin"/>
      </w:r>
      <w:r>
        <w:instrText xml:space="preserve"> REF _Ref498931690 \r \h </w:instrText>
      </w:r>
      <w:r>
        <w:fldChar w:fldCharType="separate"/>
      </w:r>
      <w:r w:rsidR="00EA6DDF">
        <w:t>30(a)</w:t>
      </w:r>
      <w:r>
        <w:fldChar w:fldCharType="end"/>
      </w:r>
      <w:r w:rsidRPr="0044674A">
        <w:t xml:space="preserve"> </w:t>
      </w:r>
      <w:r w:rsidRPr="00CF49EE">
        <w:t xml:space="preserve">includes exposures guaranteed by, or secured against securities issued by, foreign governments or central banks </w:t>
      </w:r>
      <w:r>
        <w:t>that</w:t>
      </w:r>
      <w:r w:rsidRPr="00CF49EE">
        <w:t xml:space="preserve"> receive a zero per cent risk weight under Attachment </w:t>
      </w:r>
      <w:r w:rsidR="00FD5EC7">
        <w:t>B</w:t>
      </w:r>
      <w:r w:rsidR="00FD5EC7" w:rsidRPr="00CF49EE">
        <w:t xml:space="preserve"> </w:t>
      </w:r>
      <w:r w:rsidRPr="00CF49EE">
        <w:t>of APS 112</w:t>
      </w:r>
      <w:r>
        <w:t>,</w:t>
      </w:r>
      <w:r w:rsidRPr="00CF49EE">
        <w:t xml:space="preserve"> provided the</w:t>
      </w:r>
      <w:r w:rsidRPr="001876DA">
        <w:t xml:space="preserve"> criteria for recognition of the credit risk mitigation</w:t>
      </w:r>
      <w:r>
        <w:t xml:space="preserve"> in </w:t>
      </w:r>
      <w:r w:rsidRPr="00954A25">
        <w:t xml:space="preserve">paragraphs </w:t>
      </w:r>
      <w:r>
        <w:fldChar w:fldCharType="begin"/>
      </w:r>
      <w:r>
        <w:instrText xml:space="preserve"> REF _Ref462921681 \r \h </w:instrText>
      </w:r>
      <w:r>
        <w:fldChar w:fldCharType="separate"/>
      </w:r>
      <w:r w:rsidR="00EA6DDF">
        <w:t>2</w:t>
      </w:r>
      <w:r>
        <w:fldChar w:fldCharType="end"/>
      </w:r>
      <w:r w:rsidRPr="002D6DC7">
        <w:t xml:space="preserve"> to </w:t>
      </w:r>
      <w:r>
        <w:fldChar w:fldCharType="begin"/>
      </w:r>
      <w:r>
        <w:instrText xml:space="preserve"> REF _Ref462921695 \r \h </w:instrText>
      </w:r>
      <w:r>
        <w:fldChar w:fldCharType="separate"/>
      </w:r>
      <w:r w:rsidR="00EA6DDF">
        <w:t>3</w:t>
      </w:r>
      <w:r>
        <w:fldChar w:fldCharType="end"/>
      </w:r>
      <w:r>
        <w:t xml:space="preserve"> of </w:t>
      </w:r>
      <w:r>
        <w:fldChar w:fldCharType="begin"/>
      </w:r>
      <w:r>
        <w:instrText xml:space="preserve"> REF _Ref471724068 \h </w:instrText>
      </w:r>
      <w:r>
        <w:fldChar w:fldCharType="separate"/>
      </w:r>
      <w:r w:rsidR="00EA6DDF" w:rsidRPr="00AC1B1C">
        <w:t>Attachment A</w:t>
      </w:r>
      <w:r>
        <w:fldChar w:fldCharType="end"/>
      </w:r>
      <w:r>
        <w:t xml:space="preserve"> are met.</w:t>
      </w:r>
    </w:p>
  </w:footnote>
  <w:footnote w:id="6">
    <w:p w14:paraId="73344919" w14:textId="3CD10E14" w:rsidR="001334B7" w:rsidRDefault="001334B7">
      <w:pPr>
        <w:pStyle w:val="FootnoteText"/>
      </w:pPr>
      <w:r>
        <w:rPr>
          <w:rStyle w:val="FootnoteReference"/>
        </w:rPr>
        <w:footnoteRef/>
      </w:r>
      <w:r>
        <w:t xml:space="preserve"> </w:t>
      </w:r>
      <w:r>
        <w:tab/>
        <w:t xml:space="preserve">Refer to </w:t>
      </w:r>
      <w:hyperlink r:id="rId1" w:history="1">
        <w:r w:rsidRPr="006646D3">
          <w:rPr>
            <w:rStyle w:val="Hyperlink"/>
          </w:rPr>
          <w:t>Information Paper - Domestic systemically important banks in Australia</w:t>
        </w:r>
      </w:hyperlink>
      <w:r>
        <w:t xml:space="preserve"> as at December 2013. </w:t>
      </w:r>
    </w:p>
  </w:footnote>
  <w:footnote w:id="7">
    <w:p w14:paraId="0DBECBD4" w14:textId="3F0420A4" w:rsidR="001334B7" w:rsidRPr="0037277B" w:rsidRDefault="001334B7" w:rsidP="00C946E2">
      <w:pPr>
        <w:pStyle w:val="FootnoteText"/>
      </w:pPr>
      <w:r>
        <w:rPr>
          <w:rStyle w:val="FootnoteReference"/>
        </w:rPr>
        <w:footnoteRef/>
      </w:r>
      <w:r>
        <w:t xml:space="preserve"> </w:t>
      </w:r>
      <w:r>
        <w:tab/>
      </w:r>
      <w:r w:rsidRPr="00381A57">
        <w:t>Prudential limits on an ADI’s exposures to related entities are set out in</w:t>
      </w:r>
      <w:r w:rsidRPr="00381A57">
        <w:rPr>
          <w:i/>
        </w:rPr>
        <w:t xml:space="preserve"> Prudential Standard APS 222 Associations with Related Entities</w:t>
      </w:r>
      <w:r w:rsidRPr="00381A57">
        <w:t xml:space="preserve"> (APS 222).</w:t>
      </w:r>
      <w:r>
        <w:t xml:space="preserve"> The limits on exposures to related entities in APS 222 do not apply to the exposures of an ADI to its unrelated entities.</w:t>
      </w:r>
    </w:p>
  </w:footnote>
  <w:footnote w:id="8">
    <w:p w14:paraId="2EF4B7C2" w14:textId="77777777" w:rsidR="001334B7" w:rsidRDefault="001334B7" w:rsidP="00880717">
      <w:pPr>
        <w:pStyle w:val="FootnoteText"/>
      </w:pPr>
      <w:r w:rsidRPr="00DA02FF">
        <w:rPr>
          <w:rStyle w:val="FootnoteReference"/>
        </w:rPr>
        <w:footnoteRef/>
      </w:r>
      <w:r>
        <w:t xml:space="preserve"> </w:t>
      </w:r>
      <w:r>
        <w:tab/>
        <w:t>Refer to sub</w:t>
      </w:r>
      <w:r w:rsidRPr="00DA02FF">
        <w:t>section 11AF(2) of the Banking Act.</w:t>
      </w:r>
    </w:p>
  </w:footnote>
  <w:footnote w:id="9">
    <w:p w14:paraId="4307F234" w14:textId="67020A5B" w:rsidR="001334B7" w:rsidRDefault="001334B7" w:rsidP="00B31562">
      <w:pPr>
        <w:pStyle w:val="FootnoteText"/>
      </w:pPr>
      <w:r w:rsidRPr="00FC33AD">
        <w:rPr>
          <w:rStyle w:val="FootnoteReference"/>
        </w:rPr>
        <w:footnoteRef/>
      </w:r>
      <w:r w:rsidRPr="00FC33AD">
        <w:t xml:space="preserve"> </w:t>
      </w:r>
      <w:r w:rsidRPr="00FC33AD">
        <w:tab/>
        <w:t xml:space="preserve">SFTs are defined in paragraph </w:t>
      </w:r>
      <w:r w:rsidR="00FD5EC7">
        <w:t>14</w:t>
      </w:r>
      <w:r w:rsidR="00FD5EC7" w:rsidRPr="00FC33AD">
        <w:t xml:space="preserve"> </w:t>
      </w:r>
      <w:r w:rsidRPr="00FC33AD">
        <w:t>of APS 112.</w:t>
      </w:r>
      <w:r>
        <w:t xml:space="preserve"> </w:t>
      </w:r>
    </w:p>
  </w:footnote>
  <w:footnote w:id="10">
    <w:p w14:paraId="22E38FEE" w14:textId="1CB5BA56" w:rsidR="001334B7" w:rsidRDefault="001334B7" w:rsidP="00B31562">
      <w:pPr>
        <w:pStyle w:val="FootnoteText"/>
      </w:pPr>
      <w:r>
        <w:rPr>
          <w:rStyle w:val="FootnoteReference"/>
        </w:rPr>
        <w:footnoteRef/>
      </w:r>
      <w:r>
        <w:t xml:space="preserve"> </w:t>
      </w:r>
      <w:r>
        <w:tab/>
      </w:r>
      <w:r w:rsidRPr="001876DA">
        <w:t>APS 112</w:t>
      </w:r>
      <w:r>
        <w:t xml:space="preserve"> only recognises CRM with maturity mismatches when their original maturities are greater than or equal to 12 months and the residual maturity of the CRM is more than three months. </w:t>
      </w:r>
    </w:p>
  </w:footnote>
  <w:footnote w:id="11">
    <w:p w14:paraId="42664259" w14:textId="32DE4A25" w:rsidR="001334B7" w:rsidRDefault="001334B7">
      <w:pPr>
        <w:pStyle w:val="FootnoteText"/>
      </w:pPr>
      <w:r>
        <w:rPr>
          <w:rStyle w:val="FootnoteReference"/>
        </w:rPr>
        <w:footnoteRef/>
      </w:r>
      <w:r>
        <w:t xml:space="preserve"> </w:t>
      </w:r>
      <w:r>
        <w:tab/>
      </w:r>
      <w:r w:rsidRPr="00854A51">
        <w:t xml:space="preserve">Where the market value of the credit derivative is positive for the protection seller, the positive market value must be added to the exposure of the protection seller to the protection buyer, such as in the case where the present value of </w:t>
      </w:r>
      <w:r>
        <w:t xml:space="preserve">the </w:t>
      </w:r>
      <w:r w:rsidRPr="00854A51">
        <w:t>already agreed but not yet paid periodic premium</w:t>
      </w:r>
      <w:r>
        <w:t xml:space="preserve"> leg</w:t>
      </w:r>
      <w:r w:rsidRPr="00854A51">
        <w:t xml:space="preserve"> exceed</w:t>
      </w:r>
      <w:r>
        <w:t>s</w:t>
      </w:r>
      <w:r w:rsidRPr="00854A51">
        <w:t xml:space="preserve"> the </w:t>
      </w:r>
      <w:r>
        <w:t>present value</w:t>
      </w:r>
      <w:r w:rsidRPr="00854A51">
        <w:t xml:space="preserve"> of the </w:t>
      </w:r>
      <w:r>
        <w:t xml:space="preserve">contingent </w:t>
      </w:r>
      <w:r w:rsidRPr="00854A51">
        <w:t>credit protection</w:t>
      </w:r>
      <w:r>
        <w:t xml:space="preserve"> leg</w:t>
      </w:r>
      <w:r w:rsidRPr="00854A51">
        <w:t>.</w:t>
      </w:r>
    </w:p>
  </w:footnote>
  <w:footnote w:id="12">
    <w:p w14:paraId="0F156B8A" w14:textId="77777777" w:rsidR="001334B7" w:rsidRDefault="001334B7" w:rsidP="00B31562">
      <w:pPr>
        <w:pStyle w:val="FootnoteText"/>
      </w:pPr>
      <w:r>
        <w:rPr>
          <w:rStyle w:val="FootnoteReference"/>
        </w:rPr>
        <w:footnoteRef/>
      </w:r>
      <w:r>
        <w:t xml:space="preserve"> </w:t>
      </w:r>
      <w:r>
        <w:tab/>
        <w:t xml:space="preserve">The treatment of options for large exposure purposes is different to the exposure values used for options in calculating </w:t>
      </w:r>
      <w:r w:rsidRPr="00EF4E76">
        <w:t>capital requirements in APS 116.</w:t>
      </w:r>
      <w:r>
        <w:t xml:space="preserve"> </w:t>
      </w:r>
    </w:p>
  </w:footnote>
  <w:footnote w:id="13">
    <w:p w14:paraId="0DD34878" w14:textId="3F38C69E" w:rsidR="001334B7" w:rsidRPr="005073B2" w:rsidRDefault="001334B7" w:rsidP="009407A7">
      <w:pPr>
        <w:pStyle w:val="FootnoteText"/>
        <w:rPr>
          <w:i/>
        </w:rPr>
      </w:pPr>
      <w:r>
        <w:rPr>
          <w:rStyle w:val="FootnoteReference"/>
        </w:rPr>
        <w:footnoteRef/>
      </w:r>
      <w:r>
        <w:t xml:space="preserve"> </w:t>
      </w:r>
      <w:r>
        <w:tab/>
        <w:t xml:space="preserve">Covered bonds are defined in </w:t>
      </w:r>
      <w:r>
        <w:rPr>
          <w:i/>
        </w:rPr>
        <w:t>Prudential Standard APS 121 Covered bonds.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145"/>
      <w:gridCol w:w="4167"/>
    </w:tblGrid>
    <w:tr w:rsidR="006F2EF6" w:rsidRPr="00661D05" w14:paraId="4A6468D0" w14:textId="77777777" w:rsidTr="000D63A8">
      <w:tc>
        <w:tcPr>
          <w:tcW w:w="4264" w:type="dxa"/>
          <w:tcBorders>
            <w:top w:val="nil"/>
            <w:left w:val="nil"/>
            <w:bottom w:val="nil"/>
            <w:right w:val="nil"/>
          </w:tcBorders>
        </w:tcPr>
        <w:p w14:paraId="07111CC4" w14:textId="77777777" w:rsidR="006F2EF6" w:rsidRDefault="006F2EF6" w:rsidP="00FF513E">
          <w:pPr>
            <w:pStyle w:val="Header"/>
          </w:pPr>
        </w:p>
      </w:tc>
      <w:tc>
        <w:tcPr>
          <w:tcW w:w="4264" w:type="dxa"/>
          <w:tcBorders>
            <w:top w:val="nil"/>
            <w:left w:val="nil"/>
            <w:bottom w:val="nil"/>
            <w:right w:val="nil"/>
          </w:tcBorders>
        </w:tcPr>
        <w:p w14:paraId="36893FE1" w14:textId="77777777" w:rsidR="006F2EF6" w:rsidRPr="00661D05" w:rsidRDefault="006F2EF6" w:rsidP="006A0502">
          <w:pPr>
            <w:pStyle w:val="Header"/>
            <w:rPr>
              <w:b w:val="0"/>
              <w:highlight w:val="yellow"/>
            </w:rPr>
          </w:pPr>
          <w:r w:rsidRPr="00EB08AF">
            <w:rPr>
              <w:b w:val="0"/>
            </w:rPr>
            <w:t>January 202</w:t>
          </w:r>
          <w:r>
            <w:rPr>
              <w:b w:val="0"/>
            </w:rPr>
            <w:t>3</w:t>
          </w:r>
        </w:p>
      </w:tc>
    </w:tr>
  </w:tbl>
  <w:p w14:paraId="0915D7BF" w14:textId="77777777" w:rsidR="006F2EF6" w:rsidRDefault="006F2E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145"/>
      <w:gridCol w:w="4167"/>
    </w:tblGrid>
    <w:tr w:rsidR="006F2EF6" w:rsidRPr="00661D05" w14:paraId="425E535E" w14:textId="77777777" w:rsidTr="00A90389">
      <w:tc>
        <w:tcPr>
          <w:tcW w:w="4264" w:type="dxa"/>
          <w:tcBorders>
            <w:top w:val="nil"/>
            <w:left w:val="nil"/>
            <w:bottom w:val="nil"/>
            <w:right w:val="nil"/>
          </w:tcBorders>
        </w:tcPr>
        <w:p w14:paraId="0AAD994D" w14:textId="77777777" w:rsidR="006F2EF6" w:rsidRPr="006F2EF6" w:rsidRDefault="006F2EF6" w:rsidP="006F2EF6">
          <w:pPr>
            <w:pStyle w:val="Header"/>
          </w:pPr>
        </w:p>
      </w:tc>
      <w:tc>
        <w:tcPr>
          <w:tcW w:w="4264" w:type="dxa"/>
          <w:tcBorders>
            <w:top w:val="nil"/>
            <w:left w:val="nil"/>
            <w:bottom w:val="nil"/>
            <w:right w:val="nil"/>
          </w:tcBorders>
        </w:tcPr>
        <w:p w14:paraId="40DEE75B" w14:textId="77777777" w:rsidR="006F2EF6" w:rsidRPr="00661D05" w:rsidRDefault="006F2EF6" w:rsidP="006F2EF6">
          <w:pPr>
            <w:pStyle w:val="Header"/>
            <w:rPr>
              <w:b w:val="0"/>
              <w:highlight w:val="yellow"/>
            </w:rPr>
          </w:pPr>
          <w:r w:rsidRPr="00EB08AF">
            <w:rPr>
              <w:b w:val="0"/>
            </w:rPr>
            <w:t>January 202</w:t>
          </w:r>
          <w:r>
            <w:rPr>
              <w:b w:val="0"/>
            </w:rPr>
            <w:t>3</w:t>
          </w:r>
        </w:p>
      </w:tc>
    </w:tr>
  </w:tbl>
  <w:p w14:paraId="5AF438CB" w14:textId="77777777" w:rsidR="006F2EF6" w:rsidRDefault="006F2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35524"/>
    <w:multiLevelType w:val="hybridMultilevel"/>
    <w:tmpl w:val="D0641C28"/>
    <w:lvl w:ilvl="0" w:tplc="ECDC70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DE017C"/>
    <w:multiLevelType w:val="hybridMultilevel"/>
    <w:tmpl w:val="CFA2358E"/>
    <w:lvl w:ilvl="0" w:tplc="277078E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15:restartNumberingAfterBreak="0">
    <w:nsid w:val="16463545"/>
    <w:multiLevelType w:val="multilevel"/>
    <w:tmpl w:val="59F80554"/>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007379A"/>
    <w:multiLevelType w:val="hybridMultilevel"/>
    <w:tmpl w:val="B8F054CC"/>
    <w:lvl w:ilvl="0" w:tplc="7E1C5DF4">
      <w:start w:val="1"/>
      <w:numFmt w:val="lowerRoman"/>
      <w:lvlText w:val="%1)"/>
      <w:lvlJc w:val="left"/>
      <w:pPr>
        <w:ind w:left="1080" w:hanging="72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33341515"/>
    <w:multiLevelType w:val="hybridMultilevel"/>
    <w:tmpl w:val="40348328"/>
    <w:lvl w:ilvl="0" w:tplc="5D503AE2">
      <w:numFmt w:val="bullet"/>
      <w:lvlText w:val="-"/>
      <w:lvlJc w:val="left"/>
      <w:pPr>
        <w:ind w:left="927" w:hanging="360"/>
      </w:pPr>
      <w:rPr>
        <w:rFonts w:ascii="Times New Roman" w:eastAsia="Times New Roman" w:hAnsi="Times New Roman"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6" w15:restartNumberingAfterBreak="0">
    <w:nsid w:val="36203211"/>
    <w:multiLevelType w:val="hybridMultilevel"/>
    <w:tmpl w:val="C5108F1C"/>
    <w:lvl w:ilvl="0" w:tplc="299001C8">
      <w:start w:val="1"/>
      <w:numFmt w:val="decimal"/>
      <w:lvlText w:val="%1)"/>
      <w:lvlJc w:val="left"/>
      <w:pPr>
        <w:ind w:left="927" w:hanging="360"/>
      </w:pPr>
      <w:rPr>
        <w:rFonts w:hint="default"/>
        <w:sz w:val="16"/>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7" w15:restartNumberingAfterBreak="0">
    <w:nsid w:val="3D3B4019"/>
    <w:multiLevelType w:val="hybridMultilevel"/>
    <w:tmpl w:val="983A5B00"/>
    <w:lvl w:ilvl="0" w:tplc="0644CBEC">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15:restartNumberingAfterBreak="0">
    <w:nsid w:val="48047617"/>
    <w:multiLevelType w:val="hybridMultilevel"/>
    <w:tmpl w:val="E1B0CD18"/>
    <w:lvl w:ilvl="0" w:tplc="1F3C9920">
      <w:start w:val="16"/>
      <w:numFmt w:val="bullet"/>
      <w:lvlText w:val=""/>
      <w:lvlJc w:val="left"/>
      <w:pPr>
        <w:ind w:left="927" w:hanging="360"/>
      </w:pPr>
      <w:rPr>
        <w:rFonts w:ascii="Symbol" w:eastAsia="Times New Roman" w:hAnsi="Symbo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9" w15:restartNumberingAfterBreak="0">
    <w:nsid w:val="489C53DA"/>
    <w:multiLevelType w:val="hybridMultilevel"/>
    <w:tmpl w:val="2604C9D6"/>
    <w:lvl w:ilvl="0" w:tplc="952432B4">
      <w:start w:val="1"/>
      <w:numFmt w:val="decimal"/>
      <w:lvlText w:val="%1."/>
      <w:lvlJc w:val="left"/>
      <w:pPr>
        <w:tabs>
          <w:tab w:val="num" w:pos="2007"/>
        </w:tabs>
        <w:ind w:left="2007" w:hanging="567"/>
      </w:pPr>
      <w:rPr>
        <w:rFonts w:ascii="Times New Roman" w:hAnsi="Times New Roman" w:cs="Times New Roman" w:hint="default"/>
        <w:b w:val="0"/>
      </w:rPr>
    </w:lvl>
    <w:lvl w:ilvl="1" w:tplc="0C090019">
      <w:start w:val="1"/>
      <w:numFmt w:val="lowerLetter"/>
      <w:lvlText w:val="%2."/>
      <w:lvlJc w:val="left"/>
      <w:pPr>
        <w:tabs>
          <w:tab w:val="num" w:pos="1980"/>
        </w:tabs>
        <w:ind w:left="1980" w:hanging="360"/>
      </w:pPr>
    </w:lvl>
    <w:lvl w:ilvl="2" w:tplc="0C09001B" w:tentative="1">
      <w:start w:val="1"/>
      <w:numFmt w:val="lowerRoman"/>
      <w:lvlText w:val="%3."/>
      <w:lvlJc w:val="right"/>
      <w:pPr>
        <w:tabs>
          <w:tab w:val="num" w:pos="2700"/>
        </w:tabs>
        <w:ind w:left="2700" w:hanging="180"/>
      </w:pPr>
    </w:lvl>
    <w:lvl w:ilvl="3" w:tplc="0C09000F" w:tentative="1">
      <w:start w:val="1"/>
      <w:numFmt w:val="decimal"/>
      <w:lvlText w:val="%4."/>
      <w:lvlJc w:val="left"/>
      <w:pPr>
        <w:tabs>
          <w:tab w:val="num" w:pos="3420"/>
        </w:tabs>
        <w:ind w:left="3420" w:hanging="360"/>
      </w:pPr>
    </w:lvl>
    <w:lvl w:ilvl="4" w:tplc="0C090019" w:tentative="1">
      <w:start w:val="1"/>
      <w:numFmt w:val="lowerLetter"/>
      <w:lvlText w:val="%5."/>
      <w:lvlJc w:val="left"/>
      <w:pPr>
        <w:tabs>
          <w:tab w:val="num" w:pos="4140"/>
        </w:tabs>
        <w:ind w:left="4140" w:hanging="360"/>
      </w:pPr>
    </w:lvl>
    <w:lvl w:ilvl="5" w:tplc="0C09001B" w:tentative="1">
      <w:start w:val="1"/>
      <w:numFmt w:val="lowerRoman"/>
      <w:lvlText w:val="%6."/>
      <w:lvlJc w:val="right"/>
      <w:pPr>
        <w:tabs>
          <w:tab w:val="num" w:pos="4860"/>
        </w:tabs>
        <w:ind w:left="4860" w:hanging="180"/>
      </w:pPr>
    </w:lvl>
    <w:lvl w:ilvl="6" w:tplc="0C09000F" w:tentative="1">
      <w:start w:val="1"/>
      <w:numFmt w:val="decimal"/>
      <w:lvlText w:val="%7."/>
      <w:lvlJc w:val="left"/>
      <w:pPr>
        <w:tabs>
          <w:tab w:val="num" w:pos="5580"/>
        </w:tabs>
        <w:ind w:left="5580" w:hanging="360"/>
      </w:pPr>
    </w:lvl>
    <w:lvl w:ilvl="7" w:tplc="0C090019" w:tentative="1">
      <w:start w:val="1"/>
      <w:numFmt w:val="lowerLetter"/>
      <w:lvlText w:val="%8."/>
      <w:lvlJc w:val="left"/>
      <w:pPr>
        <w:tabs>
          <w:tab w:val="num" w:pos="6300"/>
        </w:tabs>
        <w:ind w:left="6300" w:hanging="360"/>
      </w:pPr>
    </w:lvl>
    <w:lvl w:ilvl="8" w:tplc="0C09001B" w:tentative="1">
      <w:start w:val="1"/>
      <w:numFmt w:val="lowerRoman"/>
      <w:lvlText w:val="%9."/>
      <w:lvlJc w:val="right"/>
      <w:pPr>
        <w:tabs>
          <w:tab w:val="num" w:pos="7020"/>
        </w:tabs>
        <w:ind w:left="7020" w:hanging="180"/>
      </w:pPr>
    </w:lvl>
  </w:abstractNum>
  <w:abstractNum w:abstractNumId="10"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1" w15:restartNumberingAfterBreak="0">
    <w:nsid w:val="4C6757FE"/>
    <w:multiLevelType w:val="hybridMultilevel"/>
    <w:tmpl w:val="A3383932"/>
    <w:lvl w:ilvl="0" w:tplc="E85CC4F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84240A"/>
    <w:multiLevelType w:val="hybridMultilevel"/>
    <w:tmpl w:val="68981598"/>
    <w:lvl w:ilvl="0" w:tplc="CFEAC112">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0"/>
  </w:num>
  <w:num w:numId="2">
    <w:abstractNumId w:val="10"/>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 w:numId="12">
    <w:abstractNumId w:val="1"/>
  </w:num>
  <w:num w:numId="13">
    <w:abstractNumId w:val="11"/>
  </w:num>
  <w:num w:numId="14">
    <w:abstractNumId w:val="13"/>
  </w:num>
  <w:num w:numId="15">
    <w:abstractNumId w:val="7"/>
  </w:num>
  <w:num w:numId="16">
    <w:abstractNumId w:val="4"/>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2"/>
  </w:num>
  <w:num w:numId="2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1781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C"/>
    <w:rsid w:val="00000110"/>
    <w:rsid w:val="0000047D"/>
    <w:rsid w:val="00000A63"/>
    <w:rsid w:val="0000183A"/>
    <w:rsid w:val="00001D43"/>
    <w:rsid w:val="00001FEB"/>
    <w:rsid w:val="00002B23"/>
    <w:rsid w:val="00003A9B"/>
    <w:rsid w:val="000040DE"/>
    <w:rsid w:val="00004151"/>
    <w:rsid w:val="000042F8"/>
    <w:rsid w:val="0000558F"/>
    <w:rsid w:val="0000573D"/>
    <w:rsid w:val="00005EF3"/>
    <w:rsid w:val="000074D8"/>
    <w:rsid w:val="000074EB"/>
    <w:rsid w:val="0001091D"/>
    <w:rsid w:val="000112BA"/>
    <w:rsid w:val="00011C09"/>
    <w:rsid w:val="00012DCA"/>
    <w:rsid w:val="00012E07"/>
    <w:rsid w:val="00013891"/>
    <w:rsid w:val="00013D48"/>
    <w:rsid w:val="00014245"/>
    <w:rsid w:val="00014CFC"/>
    <w:rsid w:val="00015358"/>
    <w:rsid w:val="00015534"/>
    <w:rsid w:val="000159A8"/>
    <w:rsid w:val="00016368"/>
    <w:rsid w:val="000163C6"/>
    <w:rsid w:val="00016CBA"/>
    <w:rsid w:val="00016DF8"/>
    <w:rsid w:val="00017F1B"/>
    <w:rsid w:val="000204A1"/>
    <w:rsid w:val="0002066E"/>
    <w:rsid w:val="000216C9"/>
    <w:rsid w:val="00021DC0"/>
    <w:rsid w:val="000226B8"/>
    <w:rsid w:val="000232B0"/>
    <w:rsid w:val="00023617"/>
    <w:rsid w:val="00023E06"/>
    <w:rsid w:val="00023E6F"/>
    <w:rsid w:val="0002448E"/>
    <w:rsid w:val="00024D9E"/>
    <w:rsid w:val="00025222"/>
    <w:rsid w:val="000254AF"/>
    <w:rsid w:val="000255D2"/>
    <w:rsid w:val="00025E26"/>
    <w:rsid w:val="000268CF"/>
    <w:rsid w:val="00026A81"/>
    <w:rsid w:val="00026C4C"/>
    <w:rsid w:val="000276D0"/>
    <w:rsid w:val="00031554"/>
    <w:rsid w:val="00031657"/>
    <w:rsid w:val="000318F6"/>
    <w:rsid w:val="00031D12"/>
    <w:rsid w:val="00031E11"/>
    <w:rsid w:val="000335C1"/>
    <w:rsid w:val="00033E77"/>
    <w:rsid w:val="00033F0C"/>
    <w:rsid w:val="00033FB6"/>
    <w:rsid w:val="00033FF1"/>
    <w:rsid w:val="000345A5"/>
    <w:rsid w:val="00034EF3"/>
    <w:rsid w:val="00035224"/>
    <w:rsid w:val="000352E1"/>
    <w:rsid w:val="00035872"/>
    <w:rsid w:val="00036261"/>
    <w:rsid w:val="000366FF"/>
    <w:rsid w:val="00036B3A"/>
    <w:rsid w:val="00037B9F"/>
    <w:rsid w:val="00037C47"/>
    <w:rsid w:val="00040B3C"/>
    <w:rsid w:val="000418E6"/>
    <w:rsid w:val="00042ADD"/>
    <w:rsid w:val="00042F73"/>
    <w:rsid w:val="00044A05"/>
    <w:rsid w:val="00044CA5"/>
    <w:rsid w:val="000463AB"/>
    <w:rsid w:val="00047906"/>
    <w:rsid w:val="00047E75"/>
    <w:rsid w:val="00050134"/>
    <w:rsid w:val="00050959"/>
    <w:rsid w:val="000509CF"/>
    <w:rsid w:val="00050DA5"/>
    <w:rsid w:val="00051092"/>
    <w:rsid w:val="000518B9"/>
    <w:rsid w:val="0005221E"/>
    <w:rsid w:val="00052C45"/>
    <w:rsid w:val="00053E4E"/>
    <w:rsid w:val="00054F1A"/>
    <w:rsid w:val="000553F9"/>
    <w:rsid w:val="00055778"/>
    <w:rsid w:val="000565D5"/>
    <w:rsid w:val="00056803"/>
    <w:rsid w:val="00056EE7"/>
    <w:rsid w:val="00057278"/>
    <w:rsid w:val="0005768E"/>
    <w:rsid w:val="0006170D"/>
    <w:rsid w:val="0006195A"/>
    <w:rsid w:val="000629EA"/>
    <w:rsid w:val="00062D77"/>
    <w:rsid w:val="00062EB9"/>
    <w:rsid w:val="0006337F"/>
    <w:rsid w:val="00063562"/>
    <w:rsid w:val="00065503"/>
    <w:rsid w:val="00065AB2"/>
    <w:rsid w:val="0006637D"/>
    <w:rsid w:val="000672CA"/>
    <w:rsid w:val="00067549"/>
    <w:rsid w:val="00067606"/>
    <w:rsid w:val="00067DB2"/>
    <w:rsid w:val="00070034"/>
    <w:rsid w:val="0007019C"/>
    <w:rsid w:val="00070812"/>
    <w:rsid w:val="000714D6"/>
    <w:rsid w:val="000716BA"/>
    <w:rsid w:val="000720AB"/>
    <w:rsid w:val="0007236C"/>
    <w:rsid w:val="000729CC"/>
    <w:rsid w:val="000738BC"/>
    <w:rsid w:val="00073C06"/>
    <w:rsid w:val="000742BE"/>
    <w:rsid w:val="000748E8"/>
    <w:rsid w:val="000753A1"/>
    <w:rsid w:val="00075986"/>
    <w:rsid w:val="00075F94"/>
    <w:rsid w:val="00076A27"/>
    <w:rsid w:val="00076AF8"/>
    <w:rsid w:val="00076CEA"/>
    <w:rsid w:val="00077557"/>
    <w:rsid w:val="000778BF"/>
    <w:rsid w:val="000805DE"/>
    <w:rsid w:val="00081A75"/>
    <w:rsid w:val="0008244E"/>
    <w:rsid w:val="000827ED"/>
    <w:rsid w:val="00082B57"/>
    <w:rsid w:val="000834B4"/>
    <w:rsid w:val="000835C5"/>
    <w:rsid w:val="00083BF5"/>
    <w:rsid w:val="00083D54"/>
    <w:rsid w:val="000840AC"/>
    <w:rsid w:val="00084527"/>
    <w:rsid w:val="00084BDA"/>
    <w:rsid w:val="00085CE7"/>
    <w:rsid w:val="00085FCE"/>
    <w:rsid w:val="000868D8"/>
    <w:rsid w:val="000870A2"/>
    <w:rsid w:val="0008715E"/>
    <w:rsid w:val="000876A1"/>
    <w:rsid w:val="00087D3E"/>
    <w:rsid w:val="0009020B"/>
    <w:rsid w:val="0009069B"/>
    <w:rsid w:val="00090A39"/>
    <w:rsid w:val="00090A4B"/>
    <w:rsid w:val="00090C23"/>
    <w:rsid w:val="00091EE6"/>
    <w:rsid w:val="000927D6"/>
    <w:rsid w:val="00092A7E"/>
    <w:rsid w:val="00092DF5"/>
    <w:rsid w:val="00093E61"/>
    <w:rsid w:val="00094422"/>
    <w:rsid w:val="00094503"/>
    <w:rsid w:val="00094913"/>
    <w:rsid w:val="000966B5"/>
    <w:rsid w:val="00096D20"/>
    <w:rsid w:val="000970F8"/>
    <w:rsid w:val="00097445"/>
    <w:rsid w:val="000A03B8"/>
    <w:rsid w:val="000A040F"/>
    <w:rsid w:val="000A0DC1"/>
    <w:rsid w:val="000A174B"/>
    <w:rsid w:val="000A2082"/>
    <w:rsid w:val="000A253A"/>
    <w:rsid w:val="000A2AF3"/>
    <w:rsid w:val="000A2B5A"/>
    <w:rsid w:val="000A3103"/>
    <w:rsid w:val="000A3321"/>
    <w:rsid w:val="000A3498"/>
    <w:rsid w:val="000A4385"/>
    <w:rsid w:val="000A47FE"/>
    <w:rsid w:val="000A4B8F"/>
    <w:rsid w:val="000A5853"/>
    <w:rsid w:val="000A5A65"/>
    <w:rsid w:val="000A5EA6"/>
    <w:rsid w:val="000A5F1A"/>
    <w:rsid w:val="000A6268"/>
    <w:rsid w:val="000A6354"/>
    <w:rsid w:val="000A635E"/>
    <w:rsid w:val="000A650E"/>
    <w:rsid w:val="000A6610"/>
    <w:rsid w:val="000A708A"/>
    <w:rsid w:val="000A71AB"/>
    <w:rsid w:val="000A728C"/>
    <w:rsid w:val="000A794E"/>
    <w:rsid w:val="000A7CEC"/>
    <w:rsid w:val="000A7E62"/>
    <w:rsid w:val="000B0189"/>
    <w:rsid w:val="000B0A01"/>
    <w:rsid w:val="000B0AE0"/>
    <w:rsid w:val="000B11E1"/>
    <w:rsid w:val="000B175F"/>
    <w:rsid w:val="000B1D5E"/>
    <w:rsid w:val="000B24B8"/>
    <w:rsid w:val="000B3764"/>
    <w:rsid w:val="000B3BBE"/>
    <w:rsid w:val="000B40A7"/>
    <w:rsid w:val="000B4316"/>
    <w:rsid w:val="000B4947"/>
    <w:rsid w:val="000C0228"/>
    <w:rsid w:val="000C29A5"/>
    <w:rsid w:val="000C2E8D"/>
    <w:rsid w:val="000C33B8"/>
    <w:rsid w:val="000C3741"/>
    <w:rsid w:val="000C3AB0"/>
    <w:rsid w:val="000C4A8A"/>
    <w:rsid w:val="000C4E93"/>
    <w:rsid w:val="000C5B1F"/>
    <w:rsid w:val="000C6069"/>
    <w:rsid w:val="000C61FC"/>
    <w:rsid w:val="000C662D"/>
    <w:rsid w:val="000C6A3D"/>
    <w:rsid w:val="000C7386"/>
    <w:rsid w:val="000C75E0"/>
    <w:rsid w:val="000C7F75"/>
    <w:rsid w:val="000D1318"/>
    <w:rsid w:val="000D1501"/>
    <w:rsid w:val="000D183D"/>
    <w:rsid w:val="000D39AB"/>
    <w:rsid w:val="000D4B75"/>
    <w:rsid w:val="000D5202"/>
    <w:rsid w:val="000D5384"/>
    <w:rsid w:val="000D5A37"/>
    <w:rsid w:val="000D63A8"/>
    <w:rsid w:val="000D7A9C"/>
    <w:rsid w:val="000D7BF7"/>
    <w:rsid w:val="000E01A9"/>
    <w:rsid w:val="000E02F7"/>
    <w:rsid w:val="000E04A6"/>
    <w:rsid w:val="000E18FE"/>
    <w:rsid w:val="000E243F"/>
    <w:rsid w:val="000E269A"/>
    <w:rsid w:val="000E29E8"/>
    <w:rsid w:val="000E2FE9"/>
    <w:rsid w:val="000E3E38"/>
    <w:rsid w:val="000E3FCA"/>
    <w:rsid w:val="000E3FDA"/>
    <w:rsid w:val="000E4198"/>
    <w:rsid w:val="000E4472"/>
    <w:rsid w:val="000E5969"/>
    <w:rsid w:val="000E6602"/>
    <w:rsid w:val="000E667D"/>
    <w:rsid w:val="000E6B9E"/>
    <w:rsid w:val="000E7619"/>
    <w:rsid w:val="000E798C"/>
    <w:rsid w:val="000F03E6"/>
    <w:rsid w:val="000F1946"/>
    <w:rsid w:val="000F19A0"/>
    <w:rsid w:val="000F1E4D"/>
    <w:rsid w:val="000F1FB1"/>
    <w:rsid w:val="000F2AB8"/>
    <w:rsid w:val="000F2C5B"/>
    <w:rsid w:val="000F38CB"/>
    <w:rsid w:val="000F41AB"/>
    <w:rsid w:val="000F45C0"/>
    <w:rsid w:val="000F5557"/>
    <w:rsid w:val="000F660D"/>
    <w:rsid w:val="000F798F"/>
    <w:rsid w:val="000F7CD0"/>
    <w:rsid w:val="00100DA7"/>
    <w:rsid w:val="0010137F"/>
    <w:rsid w:val="0010153E"/>
    <w:rsid w:val="00102E86"/>
    <w:rsid w:val="00102ECB"/>
    <w:rsid w:val="00102F26"/>
    <w:rsid w:val="0010328D"/>
    <w:rsid w:val="0010335A"/>
    <w:rsid w:val="001040F2"/>
    <w:rsid w:val="00104BFB"/>
    <w:rsid w:val="0010500E"/>
    <w:rsid w:val="001051FB"/>
    <w:rsid w:val="0010586F"/>
    <w:rsid w:val="0010697E"/>
    <w:rsid w:val="00110622"/>
    <w:rsid w:val="00110917"/>
    <w:rsid w:val="00110A0F"/>
    <w:rsid w:val="00111BC2"/>
    <w:rsid w:val="0011212B"/>
    <w:rsid w:val="0011250F"/>
    <w:rsid w:val="00112B94"/>
    <w:rsid w:val="0011359C"/>
    <w:rsid w:val="001138FC"/>
    <w:rsid w:val="00113A0C"/>
    <w:rsid w:val="00114AEE"/>
    <w:rsid w:val="00114C04"/>
    <w:rsid w:val="00114D58"/>
    <w:rsid w:val="00115256"/>
    <w:rsid w:val="00117B38"/>
    <w:rsid w:val="00117E19"/>
    <w:rsid w:val="00120452"/>
    <w:rsid w:val="00121731"/>
    <w:rsid w:val="00122C93"/>
    <w:rsid w:val="00122F32"/>
    <w:rsid w:val="00123544"/>
    <w:rsid w:val="00123F55"/>
    <w:rsid w:val="00123FDE"/>
    <w:rsid w:val="001249A1"/>
    <w:rsid w:val="00124C9B"/>
    <w:rsid w:val="00124DA5"/>
    <w:rsid w:val="0013154E"/>
    <w:rsid w:val="00131A88"/>
    <w:rsid w:val="0013237B"/>
    <w:rsid w:val="001323CC"/>
    <w:rsid w:val="00132790"/>
    <w:rsid w:val="00133339"/>
    <w:rsid w:val="00133358"/>
    <w:rsid w:val="00133391"/>
    <w:rsid w:val="001334B7"/>
    <w:rsid w:val="001339EC"/>
    <w:rsid w:val="00133A4B"/>
    <w:rsid w:val="00133A73"/>
    <w:rsid w:val="00134568"/>
    <w:rsid w:val="00134BD3"/>
    <w:rsid w:val="00135288"/>
    <w:rsid w:val="00136994"/>
    <w:rsid w:val="0013754D"/>
    <w:rsid w:val="001400A5"/>
    <w:rsid w:val="0014027D"/>
    <w:rsid w:val="00140681"/>
    <w:rsid w:val="001413D4"/>
    <w:rsid w:val="00141CA6"/>
    <w:rsid w:val="00143174"/>
    <w:rsid w:val="001437A3"/>
    <w:rsid w:val="00143B6F"/>
    <w:rsid w:val="001441BF"/>
    <w:rsid w:val="00144839"/>
    <w:rsid w:val="00144C05"/>
    <w:rsid w:val="00145E95"/>
    <w:rsid w:val="00146E1E"/>
    <w:rsid w:val="00146ED3"/>
    <w:rsid w:val="0014703D"/>
    <w:rsid w:val="00147FB6"/>
    <w:rsid w:val="0015107E"/>
    <w:rsid w:val="0015110D"/>
    <w:rsid w:val="0015155C"/>
    <w:rsid w:val="001515EE"/>
    <w:rsid w:val="0015167D"/>
    <w:rsid w:val="00151B2A"/>
    <w:rsid w:val="00151F2C"/>
    <w:rsid w:val="00151F76"/>
    <w:rsid w:val="00152B75"/>
    <w:rsid w:val="00153B10"/>
    <w:rsid w:val="0015444D"/>
    <w:rsid w:val="00154B91"/>
    <w:rsid w:val="00155D5D"/>
    <w:rsid w:val="00155FF6"/>
    <w:rsid w:val="00156955"/>
    <w:rsid w:val="00156AAB"/>
    <w:rsid w:val="00157633"/>
    <w:rsid w:val="001576A9"/>
    <w:rsid w:val="001603AF"/>
    <w:rsid w:val="0016161C"/>
    <w:rsid w:val="001619AA"/>
    <w:rsid w:val="00162183"/>
    <w:rsid w:val="00163417"/>
    <w:rsid w:val="0016421F"/>
    <w:rsid w:val="0016529E"/>
    <w:rsid w:val="0016532A"/>
    <w:rsid w:val="00166D09"/>
    <w:rsid w:val="00166FA2"/>
    <w:rsid w:val="00167796"/>
    <w:rsid w:val="00167964"/>
    <w:rsid w:val="001679A4"/>
    <w:rsid w:val="00167A1E"/>
    <w:rsid w:val="00171258"/>
    <w:rsid w:val="00171F83"/>
    <w:rsid w:val="001728A3"/>
    <w:rsid w:val="00173A04"/>
    <w:rsid w:val="001740BA"/>
    <w:rsid w:val="001742AD"/>
    <w:rsid w:val="00176906"/>
    <w:rsid w:val="00176AFC"/>
    <w:rsid w:val="001801DF"/>
    <w:rsid w:val="00180CA3"/>
    <w:rsid w:val="00181445"/>
    <w:rsid w:val="001816D2"/>
    <w:rsid w:val="00181C7D"/>
    <w:rsid w:val="00182FA1"/>
    <w:rsid w:val="00183C18"/>
    <w:rsid w:val="0018437B"/>
    <w:rsid w:val="0018449D"/>
    <w:rsid w:val="00185797"/>
    <w:rsid w:val="00185B4D"/>
    <w:rsid w:val="00186610"/>
    <w:rsid w:val="00186F72"/>
    <w:rsid w:val="001873CD"/>
    <w:rsid w:val="001876DA"/>
    <w:rsid w:val="001879E2"/>
    <w:rsid w:val="00187A6F"/>
    <w:rsid w:val="00187D4A"/>
    <w:rsid w:val="00190334"/>
    <w:rsid w:val="0019206C"/>
    <w:rsid w:val="00192D85"/>
    <w:rsid w:val="00193167"/>
    <w:rsid w:val="00193C4E"/>
    <w:rsid w:val="00194E78"/>
    <w:rsid w:val="0019574A"/>
    <w:rsid w:val="0019614E"/>
    <w:rsid w:val="00196215"/>
    <w:rsid w:val="00196C2E"/>
    <w:rsid w:val="0019709E"/>
    <w:rsid w:val="001A01E9"/>
    <w:rsid w:val="001A0D02"/>
    <w:rsid w:val="001A0E03"/>
    <w:rsid w:val="001A1AE7"/>
    <w:rsid w:val="001A24EE"/>
    <w:rsid w:val="001A2FE6"/>
    <w:rsid w:val="001A360D"/>
    <w:rsid w:val="001A3857"/>
    <w:rsid w:val="001A582C"/>
    <w:rsid w:val="001A5A97"/>
    <w:rsid w:val="001A67FB"/>
    <w:rsid w:val="001A7813"/>
    <w:rsid w:val="001A7D0C"/>
    <w:rsid w:val="001B00C3"/>
    <w:rsid w:val="001B122B"/>
    <w:rsid w:val="001B15DC"/>
    <w:rsid w:val="001B1810"/>
    <w:rsid w:val="001B23A8"/>
    <w:rsid w:val="001B2864"/>
    <w:rsid w:val="001B2DFA"/>
    <w:rsid w:val="001B3851"/>
    <w:rsid w:val="001B47DB"/>
    <w:rsid w:val="001B5D9A"/>
    <w:rsid w:val="001B613E"/>
    <w:rsid w:val="001B6329"/>
    <w:rsid w:val="001B6CD3"/>
    <w:rsid w:val="001B74CE"/>
    <w:rsid w:val="001C00D6"/>
    <w:rsid w:val="001C02FD"/>
    <w:rsid w:val="001C1750"/>
    <w:rsid w:val="001C2166"/>
    <w:rsid w:val="001C297B"/>
    <w:rsid w:val="001C2FC9"/>
    <w:rsid w:val="001C3C81"/>
    <w:rsid w:val="001C4BBD"/>
    <w:rsid w:val="001C4D8F"/>
    <w:rsid w:val="001C52F1"/>
    <w:rsid w:val="001C5FBE"/>
    <w:rsid w:val="001C6007"/>
    <w:rsid w:val="001C707C"/>
    <w:rsid w:val="001C74AA"/>
    <w:rsid w:val="001C755C"/>
    <w:rsid w:val="001C7813"/>
    <w:rsid w:val="001D0B80"/>
    <w:rsid w:val="001D1C15"/>
    <w:rsid w:val="001D2513"/>
    <w:rsid w:val="001D2BE7"/>
    <w:rsid w:val="001D324E"/>
    <w:rsid w:val="001D3761"/>
    <w:rsid w:val="001D45FA"/>
    <w:rsid w:val="001D4A84"/>
    <w:rsid w:val="001D4DD9"/>
    <w:rsid w:val="001D4DFA"/>
    <w:rsid w:val="001D4EAC"/>
    <w:rsid w:val="001D62C2"/>
    <w:rsid w:val="001D6C9A"/>
    <w:rsid w:val="001D74C0"/>
    <w:rsid w:val="001D7901"/>
    <w:rsid w:val="001E04FF"/>
    <w:rsid w:val="001E05B9"/>
    <w:rsid w:val="001E10DC"/>
    <w:rsid w:val="001E2877"/>
    <w:rsid w:val="001E2C80"/>
    <w:rsid w:val="001E30E1"/>
    <w:rsid w:val="001E3549"/>
    <w:rsid w:val="001E3B88"/>
    <w:rsid w:val="001E538C"/>
    <w:rsid w:val="001E5BEF"/>
    <w:rsid w:val="001E71F6"/>
    <w:rsid w:val="001E75CF"/>
    <w:rsid w:val="001E7618"/>
    <w:rsid w:val="001E78F8"/>
    <w:rsid w:val="001E7EA9"/>
    <w:rsid w:val="001F077C"/>
    <w:rsid w:val="001F0A6B"/>
    <w:rsid w:val="001F1450"/>
    <w:rsid w:val="001F17C1"/>
    <w:rsid w:val="001F2139"/>
    <w:rsid w:val="001F31EF"/>
    <w:rsid w:val="001F3312"/>
    <w:rsid w:val="001F39B3"/>
    <w:rsid w:val="001F479A"/>
    <w:rsid w:val="001F4ADE"/>
    <w:rsid w:val="001F5167"/>
    <w:rsid w:val="001F5391"/>
    <w:rsid w:val="001F6B8D"/>
    <w:rsid w:val="001F720C"/>
    <w:rsid w:val="001F7E85"/>
    <w:rsid w:val="00200C83"/>
    <w:rsid w:val="00202D47"/>
    <w:rsid w:val="002037B6"/>
    <w:rsid w:val="00203B0F"/>
    <w:rsid w:val="00203EAA"/>
    <w:rsid w:val="002050FB"/>
    <w:rsid w:val="00205243"/>
    <w:rsid w:val="0020537C"/>
    <w:rsid w:val="00205497"/>
    <w:rsid w:val="00210534"/>
    <w:rsid w:val="00211B80"/>
    <w:rsid w:val="00211CF6"/>
    <w:rsid w:val="002123DF"/>
    <w:rsid w:val="002126EF"/>
    <w:rsid w:val="00213835"/>
    <w:rsid w:val="00213C55"/>
    <w:rsid w:val="00213EAA"/>
    <w:rsid w:val="00213F17"/>
    <w:rsid w:val="002140C5"/>
    <w:rsid w:val="00214AB6"/>
    <w:rsid w:val="00215804"/>
    <w:rsid w:val="002170F8"/>
    <w:rsid w:val="00217C19"/>
    <w:rsid w:val="0022045D"/>
    <w:rsid w:val="0022165A"/>
    <w:rsid w:val="00221A3B"/>
    <w:rsid w:val="00221CDB"/>
    <w:rsid w:val="00221E8C"/>
    <w:rsid w:val="002225BB"/>
    <w:rsid w:val="00222670"/>
    <w:rsid w:val="00224895"/>
    <w:rsid w:val="00224CB3"/>
    <w:rsid w:val="002258D7"/>
    <w:rsid w:val="00225A0E"/>
    <w:rsid w:val="0022646A"/>
    <w:rsid w:val="00227490"/>
    <w:rsid w:val="002308B0"/>
    <w:rsid w:val="00230931"/>
    <w:rsid w:val="00230C54"/>
    <w:rsid w:val="0023171E"/>
    <w:rsid w:val="00232170"/>
    <w:rsid w:val="002322C8"/>
    <w:rsid w:val="0023270E"/>
    <w:rsid w:val="00232E41"/>
    <w:rsid w:val="00232F91"/>
    <w:rsid w:val="00233686"/>
    <w:rsid w:val="002338D5"/>
    <w:rsid w:val="00233AC7"/>
    <w:rsid w:val="00233D70"/>
    <w:rsid w:val="00234438"/>
    <w:rsid w:val="00234CA6"/>
    <w:rsid w:val="0023522F"/>
    <w:rsid w:val="00236275"/>
    <w:rsid w:val="0023639D"/>
    <w:rsid w:val="0023675B"/>
    <w:rsid w:val="00236C1A"/>
    <w:rsid w:val="00236DC4"/>
    <w:rsid w:val="00237309"/>
    <w:rsid w:val="00240024"/>
    <w:rsid w:val="0024187B"/>
    <w:rsid w:val="00242413"/>
    <w:rsid w:val="0024311A"/>
    <w:rsid w:val="002434EE"/>
    <w:rsid w:val="002441E6"/>
    <w:rsid w:val="00245A24"/>
    <w:rsid w:val="00245DEB"/>
    <w:rsid w:val="00246067"/>
    <w:rsid w:val="002462EB"/>
    <w:rsid w:val="00246356"/>
    <w:rsid w:val="00246B96"/>
    <w:rsid w:val="00246F42"/>
    <w:rsid w:val="00247619"/>
    <w:rsid w:val="00247EAD"/>
    <w:rsid w:val="002500D9"/>
    <w:rsid w:val="002500F9"/>
    <w:rsid w:val="00250B94"/>
    <w:rsid w:val="002516E3"/>
    <w:rsid w:val="00252269"/>
    <w:rsid w:val="00252CA4"/>
    <w:rsid w:val="0025314C"/>
    <w:rsid w:val="002542CC"/>
    <w:rsid w:val="00254E69"/>
    <w:rsid w:val="00255440"/>
    <w:rsid w:val="00255A42"/>
    <w:rsid w:val="00255E28"/>
    <w:rsid w:val="002561B7"/>
    <w:rsid w:val="002563C2"/>
    <w:rsid w:val="00256CC2"/>
    <w:rsid w:val="0025791F"/>
    <w:rsid w:val="00260232"/>
    <w:rsid w:val="0026054D"/>
    <w:rsid w:val="002611AF"/>
    <w:rsid w:val="00261C19"/>
    <w:rsid w:val="00261E93"/>
    <w:rsid w:val="00262175"/>
    <w:rsid w:val="00262714"/>
    <w:rsid w:val="00262BE7"/>
    <w:rsid w:val="002630DC"/>
    <w:rsid w:val="002641DE"/>
    <w:rsid w:val="00264B57"/>
    <w:rsid w:val="00264D2C"/>
    <w:rsid w:val="0026509B"/>
    <w:rsid w:val="00265749"/>
    <w:rsid w:val="00265E98"/>
    <w:rsid w:val="002662BB"/>
    <w:rsid w:val="00266C47"/>
    <w:rsid w:val="002672DA"/>
    <w:rsid w:val="00267B25"/>
    <w:rsid w:val="00270F5E"/>
    <w:rsid w:val="002710D2"/>
    <w:rsid w:val="00271385"/>
    <w:rsid w:val="00271AC2"/>
    <w:rsid w:val="00271D07"/>
    <w:rsid w:val="00272168"/>
    <w:rsid w:val="00273291"/>
    <w:rsid w:val="002734FA"/>
    <w:rsid w:val="00273776"/>
    <w:rsid w:val="0027384C"/>
    <w:rsid w:val="00273B09"/>
    <w:rsid w:val="002745AD"/>
    <w:rsid w:val="002745C5"/>
    <w:rsid w:val="00275132"/>
    <w:rsid w:val="00275A99"/>
    <w:rsid w:val="00275D64"/>
    <w:rsid w:val="00276BE7"/>
    <w:rsid w:val="00276CB1"/>
    <w:rsid w:val="0027705A"/>
    <w:rsid w:val="00281047"/>
    <w:rsid w:val="002822BA"/>
    <w:rsid w:val="002835D5"/>
    <w:rsid w:val="0028476B"/>
    <w:rsid w:val="002849F5"/>
    <w:rsid w:val="00284AA8"/>
    <w:rsid w:val="00284E3C"/>
    <w:rsid w:val="002861A2"/>
    <w:rsid w:val="0028629D"/>
    <w:rsid w:val="002876AD"/>
    <w:rsid w:val="00287DD1"/>
    <w:rsid w:val="00287EC4"/>
    <w:rsid w:val="002912F8"/>
    <w:rsid w:val="00291A9F"/>
    <w:rsid w:val="002920DC"/>
    <w:rsid w:val="002926F6"/>
    <w:rsid w:val="00292D27"/>
    <w:rsid w:val="00293798"/>
    <w:rsid w:val="0029455F"/>
    <w:rsid w:val="00294C46"/>
    <w:rsid w:val="002951EF"/>
    <w:rsid w:val="00295F53"/>
    <w:rsid w:val="002963E3"/>
    <w:rsid w:val="00296A4F"/>
    <w:rsid w:val="002A0795"/>
    <w:rsid w:val="002A07F8"/>
    <w:rsid w:val="002A10D6"/>
    <w:rsid w:val="002A2871"/>
    <w:rsid w:val="002A349A"/>
    <w:rsid w:val="002A55F0"/>
    <w:rsid w:val="002A5CD9"/>
    <w:rsid w:val="002A603E"/>
    <w:rsid w:val="002A6155"/>
    <w:rsid w:val="002B1B4D"/>
    <w:rsid w:val="002B1CC7"/>
    <w:rsid w:val="002B255D"/>
    <w:rsid w:val="002B2E5D"/>
    <w:rsid w:val="002B3627"/>
    <w:rsid w:val="002B4416"/>
    <w:rsid w:val="002B488C"/>
    <w:rsid w:val="002B4A19"/>
    <w:rsid w:val="002B4B05"/>
    <w:rsid w:val="002B50E7"/>
    <w:rsid w:val="002B521E"/>
    <w:rsid w:val="002B6707"/>
    <w:rsid w:val="002C0298"/>
    <w:rsid w:val="002C1307"/>
    <w:rsid w:val="002C2339"/>
    <w:rsid w:val="002C273C"/>
    <w:rsid w:val="002C284F"/>
    <w:rsid w:val="002C29D4"/>
    <w:rsid w:val="002C45F6"/>
    <w:rsid w:val="002C4914"/>
    <w:rsid w:val="002C4C1E"/>
    <w:rsid w:val="002C4EDA"/>
    <w:rsid w:val="002C4F8A"/>
    <w:rsid w:val="002C5C2F"/>
    <w:rsid w:val="002C5E3D"/>
    <w:rsid w:val="002C660D"/>
    <w:rsid w:val="002C6BE7"/>
    <w:rsid w:val="002C6EF8"/>
    <w:rsid w:val="002C713C"/>
    <w:rsid w:val="002C7449"/>
    <w:rsid w:val="002D0152"/>
    <w:rsid w:val="002D03E0"/>
    <w:rsid w:val="002D098D"/>
    <w:rsid w:val="002D0C7E"/>
    <w:rsid w:val="002D21C8"/>
    <w:rsid w:val="002D278E"/>
    <w:rsid w:val="002D2FBF"/>
    <w:rsid w:val="002D3FD0"/>
    <w:rsid w:val="002D42A5"/>
    <w:rsid w:val="002D46C3"/>
    <w:rsid w:val="002D4728"/>
    <w:rsid w:val="002D4C2B"/>
    <w:rsid w:val="002D4C3C"/>
    <w:rsid w:val="002D4D82"/>
    <w:rsid w:val="002D54DD"/>
    <w:rsid w:val="002D6DC7"/>
    <w:rsid w:val="002D6E0C"/>
    <w:rsid w:val="002D6F0F"/>
    <w:rsid w:val="002D7158"/>
    <w:rsid w:val="002D769E"/>
    <w:rsid w:val="002D7762"/>
    <w:rsid w:val="002D7D4F"/>
    <w:rsid w:val="002E07BD"/>
    <w:rsid w:val="002E1392"/>
    <w:rsid w:val="002E1A31"/>
    <w:rsid w:val="002E1A3F"/>
    <w:rsid w:val="002E250F"/>
    <w:rsid w:val="002E284A"/>
    <w:rsid w:val="002E2B54"/>
    <w:rsid w:val="002E2FA6"/>
    <w:rsid w:val="002E3367"/>
    <w:rsid w:val="002E3D27"/>
    <w:rsid w:val="002E448B"/>
    <w:rsid w:val="002E49F0"/>
    <w:rsid w:val="002E4A18"/>
    <w:rsid w:val="002E58D2"/>
    <w:rsid w:val="002E6006"/>
    <w:rsid w:val="002E616D"/>
    <w:rsid w:val="002E6249"/>
    <w:rsid w:val="002E6FCE"/>
    <w:rsid w:val="002E7054"/>
    <w:rsid w:val="002E74C6"/>
    <w:rsid w:val="002E77E9"/>
    <w:rsid w:val="002E7909"/>
    <w:rsid w:val="002F0982"/>
    <w:rsid w:val="002F2107"/>
    <w:rsid w:val="002F27A7"/>
    <w:rsid w:val="002F2B7C"/>
    <w:rsid w:val="002F35C0"/>
    <w:rsid w:val="002F3FAF"/>
    <w:rsid w:val="002F42E9"/>
    <w:rsid w:val="002F4450"/>
    <w:rsid w:val="002F4CAA"/>
    <w:rsid w:val="002F4D1F"/>
    <w:rsid w:val="002F5273"/>
    <w:rsid w:val="002F5B86"/>
    <w:rsid w:val="00300415"/>
    <w:rsid w:val="00300B0F"/>
    <w:rsid w:val="003018B1"/>
    <w:rsid w:val="00302BE3"/>
    <w:rsid w:val="00302CA4"/>
    <w:rsid w:val="0030322A"/>
    <w:rsid w:val="003033EC"/>
    <w:rsid w:val="003038F9"/>
    <w:rsid w:val="00305587"/>
    <w:rsid w:val="0030597B"/>
    <w:rsid w:val="00305B3B"/>
    <w:rsid w:val="00306E01"/>
    <w:rsid w:val="00307037"/>
    <w:rsid w:val="003075F6"/>
    <w:rsid w:val="0030792C"/>
    <w:rsid w:val="003111EE"/>
    <w:rsid w:val="00311935"/>
    <w:rsid w:val="00311B03"/>
    <w:rsid w:val="003140D2"/>
    <w:rsid w:val="00314281"/>
    <w:rsid w:val="0031433E"/>
    <w:rsid w:val="00315085"/>
    <w:rsid w:val="00315E65"/>
    <w:rsid w:val="00316417"/>
    <w:rsid w:val="0031733A"/>
    <w:rsid w:val="003173CC"/>
    <w:rsid w:val="00317652"/>
    <w:rsid w:val="0031779F"/>
    <w:rsid w:val="00317EB5"/>
    <w:rsid w:val="0032075A"/>
    <w:rsid w:val="003209A2"/>
    <w:rsid w:val="003212B3"/>
    <w:rsid w:val="00321374"/>
    <w:rsid w:val="0032155C"/>
    <w:rsid w:val="00322960"/>
    <w:rsid w:val="00322EC4"/>
    <w:rsid w:val="003230FB"/>
    <w:rsid w:val="00323331"/>
    <w:rsid w:val="00323A10"/>
    <w:rsid w:val="00324545"/>
    <w:rsid w:val="00324650"/>
    <w:rsid w:val="003257BF"/>
    <w:rsid w:val="003258FD"/>
    <w:rsid w:val="0032594A"/>
    <w:rsid w:val="00325C06"/>
    <w:rsid w:val="00325F38"/>
    <w:rsid w:val="00325FDA"/>
    <w:rsid w:val="00326F88"/>
    <w:rsid w:val="00326F8F"/>
    <w:rsid w:val="003277BC"/>
    <w:rsid w:val="003277FC"/>
    <w:rsid w:val="00327B77"/>
    <w:rsid w:val="00327E64"/>
    <w:rsid w:val="00330036"/>
    <w:rsid w:val="00330CC0"/>
    <w:rsid w:val="003320CD"/>
    <w:rsid w:val="0033261A"/>
    <w:rsid w:val="00332F53"/>
    <w:rsid w:val="003330AB"/>
    <w:rsid w:val="00333B82"/>
    <w:rsid w:val="00334483"/>
    <w:rsid w:val="00335C91"/>
    <w:rsid w:val="00336D08"/>
    <w:rsid w:val="00337BFD"/>
    <w:rsid w:val="00340169"/>
    <w:rsid w:val="0034058D"/>
    <w:rsid w:val="00340785"/>
    <w:rsid w:val="00340A76"/>
    <w:rsid w:val="00340BB7"/>
    <w:rsid w:val="003417FB"/>
    <w:rsid w:val="0034207C"/>
    <w:rsid w:val="00342190"/>
    <w:rsid w:val="00342210"/>
    <w:rsid w:val="00342ECE"/>
    <w:rsid w:val="00343D3D"/>
    <w:rsid w:val="003441C9"/>
    <w:rsid w:val="003443D0"/>
    <w:rsid w:val="00344659"/>
    <w:rsid w:val="00344932"/>
    <w:rsid w:val="00344D11"/>
    <w:rsid w:val="003450E2"/>
    <w:rsid w:val="00345878"/>
    <w:rsid w:val="00345ADA"/>
    <w:rsid w:val="00345E1C"/>
    <w:rsid w:val="003469C4"/>
    <w:rsid w:val="003470DC"/>
    <w:rsid w:val="00347376"/>
    <w:rsid w:val="00347E9D"/>
    <w:rsid w:val="00347F21"/>
    <w:rsid w:val="00350496"/>
    <w:rsid w:val="0035158D"/>
    <w:rsid w:val="00352646"/>
    <w:rsid w:val="003526D2"/>
    <w:rsid w:val="00352FFA"/>
    <w:rsid w:val="00353D3E"/>
    <w:rsid w:val="00353E68"/>
    <w:rsid w:val="00355799"/>
    <w:rsid w:val="00355CCA"/>
    <w:rsid w:val="00355DAB"/>
    <w:rsid w:val="00356638"/>
    <w:rsid w:val="00356CF8"/>
    <w:rsid w:val="00357604"/>
    <w:rsid w:val="00357690"/>
    <w:rsid w:val="00357A39"/>
    <w:rsid w:val="00360072"/>
    <w:rsid w:val="003602C7"/>
    <w:rsid w:val="00360621"/>
    <w:rsid w:val="0036102B"/>
    <w:rsid w:val="00361660"/>
    <w:rsid w:val="00361C24"/>
    <w:rsid w:val="00362CB0"/>
    <w:rsid w:val="00363889"/>
    <w:rsid w:val="0036545C"/>
    <w:rsid w:val="00365953"/>
    <w:rsid w:val="00365A1B"/>
    <w:rsid w:val="00365D5C"/>
    <w:rsid w:val="003668D9"/>
    <w:rsid w:val="00366DA8"/>
    <w:rsid w:val="00367317"/>
    <w:rsid w:val="00367689"/>
    <w:rsid w:val="00367CDD"/>
    <w:rsid w:val="003704D7"/>
    <w:rsid w:val="0037103A"/>
    <w:rsid w:val="0037134F"/>
    <w:rsid w:val="00371513"/>
    <w:rsid w:val="0037180D"/>
    <w:rsid w:val="0037277B"/>
    <w:rsid w:val="00372BCD"/>
    <w:rsid w:val="00372CA7"/>
    <w:rsid w:val="0037343B"/>
    <w:rsid w:val="00373A1B"/>
    <w:rsid w:val="00374B8A"/>
    <w:rsid w:val="00374DAC"/>
    <w:rsid w:val="00374FF2"/>
    <w:rsid w:val="003755A6"/>
    <w:rsid w:val="003758F1"/>
    <w:rsid w:val="00376944"/>
    <w:rsid w:val="0037707E"/>
    <w:rsid w:val="00380DFB"/>
    <w:rsid w:val="003817CC"/>
    <w:rsid w:val="003818BD"/>
    <w:rsid w:val="00381A57"/>
    <w:rsid w:val="003821B6"/>
    <w:rsid w:val="0038285B"/>
    <w:rsid w:val="0038302E"/>
    <w:rsid w:val="0038413F"/>
    <w:rsid w:val="00384494"/>
    <w:rsid w:val="00384E48"/>
    <w:rsid w:val="00385AB2"/>
    <w:rsid w:val="00385E2E"/>
    <w:rsid w:val="003862F1"/>
    <w:rsid w:val="003867C9"/>
    <w:rsid w:val="00386E39"/>
    <w:rsid w:val="003875CC"/>
    <w:rsid w:val="00387874"/>
    <w:rsid w:val="00390494"/>
    <w:rsid w:val="00390A1C"/>
    <w:rsid w:val="00390D4A"/>
    <w:rsid w:val="003917A5"/>
    <w:rsid w:val="00391AD7"/>
    <w:rsid w:val="00393152"/>
    <w:rsid w:val="00393433"/>
    <w:rsid w:val="003936EA"/>
    <w:rsid w:val="00393D68"/>
    <w:rsid w:val="00393EDD"/>
    <w:rsid w:val="00394279"/>
    <w:rsid w:val="00394DEF"/>
    <w:rsid w:val="00394FBA"/>
    <w:rsid w:val="00395327"/>
    <w:rsid w:val="00395338"/>
    <w:rsid w:val="0039538B"/>
    <w:rsid w:val="003965F6"/>
    <w:rsid w:val="00396627"/>
    <w:rsid w:val="00397175"/>
    <w:rsid w:val="003974B2"/>
    <w:rsid w:val="003A03DF"/>
    <w:rsid w:val="003A2806"/>
    <w:rsid w:val="003A36CD"/>
    <w:rsid w:val="003A40F9"/>
    <w:rsid w:val="003A438E"/>
    <w:rsid w:val="003A482C"/>
    <w:rsid w:val="003A4CDE"/>
    <w:rsid w:val="003A541D"/>
    <w:rsid w:val="003A598C"/>
    <w:rsid w:val="003A5AE2"/>
    <w:rsid w:val="003A6010"/>
    <w:rsid w:val="003B0B41"/>
    <w:rsid w:val="003B0DEC"/>
    <w:rsid w:val="003B140E"/>
    <w:rsid w:val="003B1743"/>
    <w:rsid w:val="003B2169"/>
    <w:rsid w:val="003B289D"/>
    <w:rsid w:val="003B2ACC"/>
    <w:rsid w:val="003B3485"/>
    <w:rsid w:val="003B3885"/>
    <w:rsid w:val="003B4020"/>
    <w:rsid w:val="003B42F1"/>
    <w:rsid w:val="003B52EB"/>
    <w:rsid w:val="003B5585"/>
    <w:rsid w:val="003B5B4F"/>
    <w:rsid w:val="003B6D2E"/>
    <w:rsid w:val="003B6D45"/>
    <w:rsid w:val="003B7659"/>
    <w:rsid w:val="003B76B6"/>
    <w:rsid w:val="003B7982"/>
    <w:rsid w:val="003B7C7C"/>
    <w:rsid w:val="003C007D"/>
    <w:rsid w:val="003C0106"/>
    <w:rsid w:val="003C040F"/>
    <w:rsid w:val="003C0470"/>
    <w:rsid w:val="003C0486"/>
    <w:rsid w:val="003C04C1"/>
    <w:rsid w:val="003C0797"/>
    <w:rsid w:val="003C07BA"/>
    <w:rsid w:val="003C0997"/>
    <w:rsid w:val="003C0EBE"/>
    <w:rsid w:val="003C0F8E"/>
    <w:rsid w:val="003C10D9"/>
    <w:rsid w:val="003C1E57"/>
    <w:rsid w:val="003C22AD"/>
    <w:rsid w:val="003C46D7"/>
    <w:rsid w:val="003C548B"/>
    <w:rsid w:val="003C60B2"/>
    <w:rsid w:val="003C7106"/>
    <w:rsid w:val="003C7279"/>
    <w:rsid w:val="003D0AEC"/>
    <w:rsid w:val="003D243D"/>
    <w:rsid w:val="003D40BC"/>
    <w:rsid w:val="003D481B"/>
    <w:rsid w:val="003D4F30"/>
    <w:rsid w:val="003D5032"/>
    <w:rsid w:val="003D5EF6"/>
    <w:rsid w:val="003D6037"/>
    <w:rsid w:val="003D665A"/>
    <w:rsid w:val="003D66F1"/>
    <w:rsid w:val="003D6BB5"/>
    <w:rsid w:val="003D6BFE"/>
    <w:rsid w:val="003D73BE"/>
    <w:rsid w:val="003E0F53"/>
    <w:rsid w:val="003E1052"/>
    <w:rsid w:val="003E140A"/>
    <w:rsid w:val="003E1D5F"/>
    <w:rsid w:val="003E215A"/>
    <w:rsid w:val="003E219F"/>
    <w:rsid w:val="003E2606"/>
    <w:rsid w:val="003E386F"/>
    <w:rsid w:val="003E423D"/>
    <w:rsid w:val="003E424A"/>
    <w:rsid w:val="003E427A"/>
    <w:rsid w:val="003E44BE"/>
    <w:rsid w:val="003E4694"/>
    <w:rsid w:val="003E498E"/>
    <w:rsid w:val="003E4CC7"/>
    <w:rsid w:val="003E50AE"/>
    <w:rsid w:val="003E55DB"/>
    <w:rsid w:val="003E5C30"/>
    <w:rsid w:val="003E63A3"/>
    <w:rsid w:val="003E7F98"/>
    <w:rsid w:val="003F03C0"/>
    <w:rsid w:val="003F08F5"/>
    <w:rsid w:val="003F0BB5"/>
    <w:rsid w:val="003F2CDA"/>
    <w:rsid w:val="003F3011"/>
    <w:rsid w:val="003F326E"/>
    <w:rsid w:val="003F3F98"/>
    <w:rsid w:val="003F44CC"/>
    <w:rsid w:val="003F5567"/>
    <w:rsid w:val="003F568B"/>
    <w:rsid w:val="003F5EA0"/>
    <w:rsid w:val="003F5FF4"/>
    <w:rsid w:val="003F62CF"/>
    <w:rsid w:val="003F78D6"/>
    <w:rsid w:val="00400868"/>
    <w:rsid w:val="00400DCC"/>
    <w:rsid w:val="00400EEB"/>
    <w:rsid w:val="00400EFD"/>
    <w:rsid w:val="00401169"/>
    <w:rsid w:val="00401339"/>
    <w:rsid w:val="00401C10"/>
    <w:rsid w:val="00402BC4"/>
    <w:rsid w:val="00402D8A"/>
    <w:rsid w:val="00403B3D"/>
    <w:rsid w:val="0040484A"/>
    <w:rsid w:val="00404FEE"/>
    <w:rsid w:val="00405AC8"/>
    <w:rsid w:val="00405D72"/>
    <w:rsid w:val="00407763"/>
    <w:rsid w:val="0041056E"/>
    <w:rsid w:val="00411E4F"/>
    <w:rsid w:val="004135A9"/>
    <w:rsid w:val="00413722"/>
    <w:rsid w:val="004147EE"/>
    <w:rsid w:val="00414F51"/>
    <w:rsid w:val="004159FE"/>
    <w:rsid w:val="00415C75"/>
    <w:rsid w:val="00415C91"/>
    <w:rsid w:val="00416445"/>
    <w:rsid w:val="004165D6"/>
    <w:rsid w:val="00416CBD"/>
    <w:rsid w:val="004171C6"/>
    <w:rsid w:val="00417307"/>
    <w:rsid w:val="00417578"/>
    <w:rsid w:val="0041761A"/>
    <w:rsid w:val="004179F1"/>
    <w:rsid w:val="00420756"/>
    <w:rsid w:val="00420E00"/>
    <w:rsid w:val="00420E23"/>
    <w:rsid w:val="00421DB0"/>
    <w:rsid w:val="00421E2A"/>
    <w:rsid w:val="00421FB4"/>
    <w:rsid w:val="00423033"/>
    <w:rsid w:val="004232C1"/>
    <w:rsid w:val="00423857"/>
    <w:rsid w:val="00423E65"/>
    <w:rsid w:val="0042424C"/>
    <w:rsid w:val="0042526A"/>
    <w:rsid w:val="00426961"/>
    <w:rsid w:val="00426C75"/>
    <w:rsid w:val="004278D4"/>
    <w:rsid w:val="00427C62"/>
    <w:rsid w:val="00430A69"/>
    <w:rsid w:val="00430ADD"/>
    <w:rsid w:val="00431614"/>
    <w:rsid w:val="004323FD"/>
    <w:rsid w:val="00432B27"/>
    <w:rsid w:val="00432C7A"/>
    <w:rsid w:val="00434A71"/>
    <w:rsid w:val="004350BB"/>
    <w:rsid w:val="004351EA"/>
    <w:rsid w:val="004353EA"/>
    <w:rsid w:val="0043548D"/>
    <w:rsid w:val="00435B01"/>
    <w:rsid w:val="00435DAD"/>
    <w:rsid w:val="00436169"/>
    <w:rsid w:val="004378AB"/>
    <w:rsid w:val="00440830"/>
    <w:rsid w:val="00440D71"/>
    <w:rsid w:val="00441505"/>
    <w:rsid w:val="00441D94"/>
    <w:rsid w:val="00443244"/>
    <w:rsid w:val="004441F6"/>
    <w:rsid w:val="00444232"/>
    <w:rsid w:val="00444BC5"/>
    <w:rsid w:val="00444EC1"/>
    <w:rsid w:val="00444F1A"/>
    <w:rsid w:val="0044595F"/>
    <w:rsid w:val="004464CC"/>
    <w:rsid w:val="0044674A"/>
    <w:rsid w:val="00446F02"/>
    <w:rsid w:val="00447757"/>
    <w:rsid w:val="00447A2F"/>
    <w:rsid w:val="00450415"/>
    <w:rsid w:val="00450778"/>
    <w:rsid w:val="00450BD9"/>
    <w:rsid w:val="00450D9C"/>
    <w:rsid w:val="004510F5"/>
    <w:rsid w:val="00451B42"/>
    <w:rsid w:val="00451D55"/>
    <w:rsid w:val="00451F3D"/>
    <w:rsid w:val="004525C7"/>
    <w:rsid w:val="0045320B"/>
    <w:rsid w:val="00453CD4"/>
    <w:rsid w:val="00453E3A"/>
    <w:rsid w:val="00455DD3"/>
    <w:rsid w:val="004560E3"/>
    <w:rsid w:val="00456AEF"/>
    <w:rsid w:val="00457C99"/>
    <w:rsid w:val="004600BF"/>
    <w:rsid w:val="0046013D"/>
    <w:rsid w:val="004605C2"/>
    <w:rsid w:val="0046102F"/>
    <w:rsid w:val="00461874"/>
    <w:rsid w:val="0046241B"/>
    <w:rsid w:val="00462A39"/>
    <w:rsid w:val="00462D1D"/>
    <w:rsid w:val="00463BC6"/>
    <w:rsid w:val="00464DB5"/>
    <w:rsid w:val="004656B3"/>
    <w:rsid w:val="00465F3D"/>
    <w:rsid w:val="004665A4"/>
    <w:rsid w:val="00466AC4"/>
    <w:rsid w:val="00467C99"/>
    <w:rsid w:val="00470028"/>
    <w:rsid w:val="00470A4F"/>
    <w:rsid w:val="00470F56"/>
    <w:rsid w:val="00472396"/>
    <w:rsid w:val="00472599"/>
    <w:rsid w:val="00472C62"/>
    <w:rsid w:val="00473106"/>
    <w:rsid w:val="0047370D"/>
    <w:rsid w:val="00473F42"/>
    <w:rsid w:val="00474085"/>
    <w:rsid w:val="00474C41"/>
    <w:rsid w:val="004758D2"/>
    <w:rsid w:val="004817A2"/>
    <w:rsid w:val="00481A60"/>
    <w:rsid w:val="004823F0"/>
    <w:rsid w:val="00482D94"/>
    <w:rsid w:val="00483345"/>
    <w:rsid w:val="00483C70"/>
    <w:rsid w:val="00483E49"/>
    <w:rsid w:val="00484E1B"/>
    <w:rsid w:val="0048511B"/>
    <w:rsid w:val="0048511E"/>
    <w:rsid w:val="0048638F"/>
    <w:rsid w:val="00486757"/>
    <w:rsid w:val="00486FD3"/>
    <w:rsid w:val="004871D6"/>
    <w:rsid w:val="004878D7"/>
    <w:rsid w:val="00487FE6"/>
    <w:rsid w:val="00490206"/>
    <w:rsid w:val="0049050B"/>
    <w:rsid w:val="00490C51"/>
    <w:rsid w:val="00490FF2"/>
    <w:rsid w:val="0049335E"/>
    <w:rsid w:val="004947DF"/>
    <w:rsid w:val="00494BE7"/>
    <w:rsid w:val="00495703"/>
    <w:rsid w:val="0049623A"/>
    <w:rsid w:val="00496CDB"/>
    <w:rsid w:val="0049740A"/>
    <w:rsid w:val="0049797D"/>
    <w:rsid w:val="004A1AF5"/>
    <w:rsid w:val="004A1E0E"/>
    <w:rsid w:val="004A1E6C"/>
    <w:rsid w:val="004A206D"/>
    <w:rsid w:val="004A34A8"/>
    <w:rsid w:val="004A3BB4"/>
    <w:rsid w:val="004A4341"/>
    <w:rsid w:val="004A52F8"/>
    <w:rsid w:val="004A593E"/>
    <w:rsid w:val="004A5AF1"/>
    <w:rsid w:val="004A5B66"/>
    <w:rsid w:val="004A5B7C"/>
    <w:rsid w:val="004A60F7"/>
    <w:rsid w:val="004A625B"/>
    <w:rsid w:val="004A79CA"/>
    <w:rsid w:val="004B1068"/>
    <w:rsid w:val="004B236F"/>
    <w:rsid w:val="004B3651"/>
    <w:rsid w:val="004B38D7"/>
    <w:rsid w:val="004B3E50"/>
    <w:rsid w:val="004B3E6C"/>
    <w:rsid w:val="004B3E6F"/>
    <w:rsid w:val="004B4ED9"/>
    <w:rsid w:val="004B5FBD"/>
    <w:rsid w:val="004B6269"/>
    <w:rsid w:val="004B6D40"/>
    <w:rsid w:val="004B719E"/>
    <w:rsid w:val="004C0151"/>
    <w:rsid w:val="004C2067"/>
    <w:rsid w:val="004C297B"/>
    <w:rsid w:val="004C3206"/>
    <w:rsid w:val="004C3D07"/>
    <w:rsid w:val="004C4183"/>
    <w:rsid w:val="004C4C43"/>
    <w:rsid w:val="004C538D"/>
    <w:rsid w:val="004C6066"/>
    <w:rsid w:val="004C7843"/>
    <w:rsid w:val="004D03B0"/>
    <w:rsid w:val="004D081E"/>
    <w:rsid w:val="004D0EC8"/>
    <w:rsid w:val="004D0FB8"/>
    <w:rsid w:val="004D1243"/>
    <w:rsid w:val="004D235C"/>
    <w:rsid w:val="004D3068"/>
    <w:rsid w:val="004D3521"/>
    <w:rsid w:val="004D3E5D"/>
    <w:rsid w:val="004D4140"/>
    <w:rsid w:val="004D44F7"/>
    <w:rsid w:val="004D45BB"/>
    <w:rsid w:val="004D50E0"/>
    <w:rsid w:val="004D65CD"/>
    <w:rsid w:val="004D6E06"/>
    <w:rsid w:val="004D7801"/>
    <w:rsid w:val="004D7A67"/>
    <w:rsid w:val="004E00A0"/>
    <w:rsid w:val="004E11A9"/>
    <w:rsid w:val="004E14C7"/>
    <w:rsid w:val="004E1852"/>
    <w:rsid w:val="004E2307"/>
    <w:rsid w:val="004E43FD"/>
    <w:rsid w:val="004E5D64"/>
    <w:rsid w:val="004E5FFD"/>
    <w:rsid w:val="004E6902"/>
    <w:rsid w:val="004E6E1D"/>
    <w:rsid w:val="004E78F3"/>
    <w:rsid w:val="004F0346"/>
    <w:rsid w:val="004F0A97"/>
    <w:rsid w:val="004F0D36"/>
    <w:rsid w:val="004F104E"/>
    <w:rsid w:val="004F152D"/>
    <w:rsid w:val="004F2825"/>
    <w:rsid w:val="004F2AC1"/>
    <w:rsid w:val="004F2BB3"/>
    <w:rsid w:val="004F2F91"/>
    <w:rsid w:val="004F31A6"/>
    <w:rsid w:val="004F4102"/>
    <w:rsid w:val="004F4552"/>
    <w:rsid w:val="004F4D5D"/>
    <w:rsid w:val="004F4E97"/>
    <w:rsid w:val="004F6230"/>
    <w:rsid w:val="004F6822"/>
    <w:rsid w:val="004F693D"/>
    <w:rsid w:val="004F6AC2"/>
    <w:rsid w:val="004F7A37"/>
    <w:rsid w:val="0050050B"/>
    <w:rsid w:val="00500759"/>
    <w:rsid w:val="00500A2F"/>
    <w:rsid w:val="00500F6A"/>
    <w:rsid w:val="00501310"/>
    <w:rsid w:val="005015DF"/>
    <w:rsid w:val="005016A9"/>
    <w:rsid w:val="005019C5"/>
    <w:rsid w:val="00503F3F"/>
    <w:rsid w:val="00504275"/>
    <w:rsid w:val="005050E8"/>
    <w:rsid w:val="00505C9F"/>
    <w:rsid w:val="00506079"/>
    <w:rsid w:val="00506E9D"/>
    <w:rsid w:val="00507591"/>
    <w:rsid w:val="005077B4"/>
    <w:rsid w:val="00507BE6"/>
    <w:rsid w:val="00507D78"/>
    <w:rsid w:val="00511F70"/>
    <w:rsid w:val="00512E3D"/>
    <w:rsid w:val="005136A2"/>
    <w:rsid w:val="005138CB"/>
    <w:rsid w:val="00513FD5"/>
    <w:rsid w:val="00514A4C"/>
    <w:rsid w:val="00514E4E"/>
    <w:rsid w:val="005157B2"/>
    <w:rsid w:val="005158C5"/>
    <w:rsid w:val="00517005"/>
    <w:rsid w:val="005176C1"/>
    <w:rsid w:val="00517CBA"/>
    <w:rsid w:val="00517EA3"/>
    <w:rsid w:val="00520199"/>
    <w:rsid w:val="00520D37"/>
    <w:rsid w:val="00520F66"/>
    <w:rsid w:val="00521673"/>
    <w:rsid w:val="00521733"/>
    <w:rsid w:val="00521920"/>
    <w:rsid w:val="00521F89"/>
    <w:rsid w:val="00522456"/>
    <w:rsid w:val="00522919"/>
    <w:rsid w:val="0052325D"/>
    <w:rsid w:val="00523829"/>
    <w:rsid w:val="00523C3E"/>
    <w:rsid w:val="00524320"/>
    <w:rsid w:val="00524861"/>
    <w:rsid w:val="00524A62"/>
    <w:rsid w:val="00524B82"/>
    <w:rsid w:val="00524FE4"/>
    <w:rsid w:val="00525B3B"/>
    <w:rsid w:val="00526311"/>
    <w:rsid w:val="005268EA"/>
    <w:rsid w:val="0052752D"/>
    <w:rsid w:val="0053041F"/>
    <w:rsid w:val="00530A43"/>
    <w:rsid w:val="005319A6"/>
    <w:rsid w:val="00531E58"/>
    <w:rsid w:val="0053215A"/>
    <w:rsid w:val="00532906"/>
    <w:rsid w:val="0053297D"/>
    <w:rsid w:val="00532B64"/>
    <w:rsid w:val="00534FFE"/>
    <w:rsid w:val="0053508C"/>
    <w:rsid w:val="005352BB"/>
    <w:rsid w:val="005363BD"/>
    <w:rsid w:val="00536B6D"/>
    <w:rsid w:val="00536DBB"/>
    <w:rsid w:val="00537295"/>
    <w:rsid w:val="00537960"/>
    <w:rsid w:val="00540429"/>
    <w:rsid w:val="00540559"/>
    <w:rsid w:val="00540714"/>
    <w:rsid w:val="0054098F"/>
    <w:rsid w:val="00540B5D"/>
    <w:rsid w:val="00540F29"/>
    <w:rsid w:val="00542863"/>
    <w:rsid w:val="00542AC3"/>
    <w:rsid w:val="00542C6E"/>
    <w:rsid w:val="00542E57"/>
    <w:rsid w:val="00542FD8"/>
    <w:rsid w:val="00543743"/>
    <w:rsid w:val="0054377A"/>
    <w:rsid w:val="00543BC5"/>
    <w:rsid w:val="00544072"/>
    <w:rsid w:val="00544FAF"/>
    <w:rsid w:val="0054661B"/>
    <w:rsid w:val="005476E7"/>
    <w:rsid w:val="005503DB"/>
    <w:rsid w:val="0055056F"/>
    <w:rsid w:val="005509B5"/>
    <w:rsid w:val="005515A7"/>
    <w:rsid w:val="00551C22"/>
    <w:rsid w:val="00552EF1"/>
    <w:rsid w:val="00553527"/>
    <w:rsid w:val="00555C2C"/>
    <w:rsid w:val="00555E59"/>
    <w:rsid w:val="00555FF5"/>
    <w:rsid w:val="00556762"/>
    <w:rsid w:val="00557871"/>
    <w:rsid w:val="00557923"/>
    <w:rsid w:val="00561760"/>
    <w:rsid w:val="00561C63"/>
    <w:rsid w:val="005621FC"/>
    <w:rsid w:val="005623DF"/>
    <w:rsid w:val="0056287D"/>
    <w:rsid w:val="005631E0"/>
    <w:rsid w:val="005631E9"/>
    <w:rsid w:val="00564175"/>
    <w:rsid w:val="005642A6"/>
    <w:rsid w:val="00564AC4"/>
    <w:rsid w:val="00564E69"/>
    <w:rsid w:val="005656F4"/>
    <w:rsid w:val="00565952"/>
    <w:rsid w:val="00565C1E"/>
    <w:rsid w:val="0056630C"/>
    <w:rsid w:val="00566377"/>
    <w:rsid w:val="0056656B"/>
    <w:rsid w:val="00566618"/>
    <w:rsid w:val="00566D2A"/>
    <w:rsid w:val="00566F6B"/>
    <w:rsid w:val="005676F8"/>
    <w:rsid w:val="005716A8"/>
    <w:rsid w:val="00571A39"/>
    <w:rsid w:val="005724EC"/>
    <w:rsid w:val="005733A1"/>
    <w:rsid w:val="00573878"/>
    <w:rsid w:val="00573F9F"/>
    <w:rsid w:val="005742F0"/>
    <w:rsid w:val="00574491"/>
    <w:rsid w:val="00574B3B"/>
    <w:rsid w:val="0057573D"/>
    <w:rsid w:val="005757A7"/>
    <w:rsid w:val="00576882"/>
    <w:rsid w:val="005769DC"/>
    <w:rsid w:val="00576A56"/>
    <w:rsid w:val="00576C7E"/>
    <w:rsid w:val="00576D37"/>
    <w:rsid w:val="00577AD1"/>
    <w:rsid w:val="00580DA9"/>
    <w:rsid w:val="00581361"/>
    <w:rsid w:val="0058166C"/>
    <w:rsid w:val="00581BDD"/>
    <w:rsid w:val="00581DEE"/>
    <w:rsid w:val="005834E0"/>
    <w:rsid w:val="00583A30"/>
    <w:rsid w:val="00583F57"/>
    <w:rsid w:val="00584AF2"/>
    <w:rsid w:val="00584BE5"/>
    <w:rsid w:val="00584CE6"/>
    <w:rsid w:val="00585310"/>
    <w:rsid w:val="00585B64"/>
    <w:rsid w:val="00585BA8"/>
    <w:rsid w:val="005867C9"/>
    <w:rsid w:val="00586902"/>
    <w:rsid w:val="00586F3D"/>
    <w:rsid w:val="00590617"/>
    <w:rsid w:val="00590D45"/>
    <w:rsid w:val="00590FB7"/>
    <w:rsid w:val="005912A2"/>
    <w:rsid w:val="00591CBF"/>
    <w:rsid w:val="00592720"/>
    <w:rsid w:val="00592B2E"/>
    <w:rsid w:val="005934EC"/>
    <w:rsid w:val="005939F7"/>
    <w:rsid w:val="00593CD1"/>
    <w:rsid w:val="00594FC5"/>
    <w:rsid w:val="0059522C"/>
    <w:rsid w:val="00595F00"/>
    <w:rsid w:val="00596EF1"/>
    <w:rsid w:val="005975CB"/>
    <w:rsid w:val="00597776"/>
    <w:rsid w:val="005A057C"/>
    <w:rsid w:val="005A11EA"/>
    <w:rsid w:val="005A1A84"/>
    <w:rsid w:val="005A1EEB"/>
    <w:rsid w:val="005A1F57"/>
    <w:rsid w:val="005A23A8"/>
    <w:rsid w:val="005A2662"/>
    <w:rsid w:val="005A2B3B"/>
    <w:rsid w:val="005A3790"/>
    <w:rsid w:val="005A50AB"/>
    <w:rsid w:val="005A5DC0"/>
    <w:rsid w:val="005A6013"/>
    <w:rsid w:val="005A6233"/>
    <w:rsid w:val="005A64FC"/>
    <w:rsid w:val="005A6ACE"/>
    <w:rsid w:val="005A75C6"/>
    <w:rsid w:val="005A7E5A"/>
    <w:rsid w:val="005A7F29"/>
    <w:rsid w:val="005B04A5"/>
    <w:rsid w:val="005B117F"/>
    <w:rsid w:val="005B18A3"/>
    <w:rsid w:val="005B228D"/>
    <w:rsid w:val="005B25E3"/>
    <w:rsid w:val="005B3347"/>
    <w:rsid w:val="005B3A94"/>
    <w:rsid w:val="005B3DFD"/>
    <w:rsid w:val="005B4187"/>
    <w:rsid w:val="005B4AD4"/>
    <w:rsid w:val="005B5BA9"/>
    <w:rsid w:val="005B630A"/>
    <w:rsid w:val="005B66F3"/>
    <w:rsid w:val="005B6958"/>
    <w:rsid w:val="005B6DC2"/>
    <w:rsid w:val="005B71CE"/>
    <w:rsid w:val="005B734E"/>
    <w:rsid w:val="005B78FD"/>
    <w:rsid w:val="005C0067"/>
    <w:rsid w:val="005C0088"/>
    <w:rsid w:val="005C04D4"/>
    <w:rsid w:val="005C0944"/>
    <w:rsid w:val="005C137D"/>
    <w:rsid w:val="005C21A9"/>
    <w:rsid w:val="005C30F8"/>
    <w:rsid w:val="005C3CB5"/>
    <w:rsid w:val="005C42CD"/>
    <w:rsid w:val="005C43C3"/>
    <w:rsid w:val="005C4D46"/>
    <w:rsid w:val="005C58BD"/>
    <w:rsid w:val="005C6089"/>
    <w:rsid w:val="005C63E1"/>
    <w:rsid w:val="005C7C2D"/>
    <w:rsid w:val="005D068E"/>
    <w:rsid w:val="005D11CA"/>
    <w:rsid w:val="005D15E4"/>
    <w:rsid w:val="005D1648"/>
    <w:rsid w:val="005D1942"/>
    <w:rsid w:val="005D1A63"/>
    <w:rsid w:val="005D27A8"/>
    <w:rsid w:val="005D2CA6"/>
    <w:rsid w:val="005D2D1D"/>
    <w:rsid w:val="005D31D6"/>
    <w:rsid w:val="005D4322"/>
    <w:rsid w:val="005D5EE0"/>
    <w:rsid w:val="005D6023"/>
    <w:rsid w:val="005D6283"/>
    <w:rsid w:val="005D64C5"/>
    <w:rsid w:val="005E0114"/>
    <w:rsid w:val="005E0288"/>
    <w:rsid w:val="005E032B"/>
    <w:rsid w:val="005E21B0"/>
    <w:rsid w:val="005E4468"/>
    <w:rsid w:val="005E4794"/>
    <w:rsid w:val="005E486B"/>
    <w:rsid w:val="005E4BFB"/>
    <w:rsid w:val="005E5092"/>
    <w:rsid w:val="005E547A"/>
    <w:rsid w:val="005E5663"/>
    <w:rsid w:val="005E5910"/>
    <w:rsid w:val="005E6690"/>
    <w:rsid w:val="005E6AB7"/>
    <w:rsid w:val="005E7465"/>
    <w:rsid w:val="005E7A54"/>
    <w:rsid w:val="005F2A78"/>
    <w:rsid w:val="005F445C"/>
    <w:rsid w:val="005F4B0D"/>
    <w:rsid w:val="005F50BA"/>
    <w:rsid w:val="005F533C"/>
    <w:rsid w:val="005F5B2E"/>
    <w:rsid w:val="005F5BCE"/>
    <w:rsid w:val="005F6126"/>
    <w:rsid w:val="005F6366"/>
    <w:rsid w:val="005F6552"/>
    <w:rsid w:val="005F6F74"/>
    <w:rsid w:val="005F72C5"/>
    <w:rsid w:val="005F731C"/>
    <w:rsid w:val="005F7579"/>
    <w:rsid w:val="005F7676"/>
    <w:rsid w:val="005F7CB3"/>
    <w:rsid w:val="006001BD"/>
    <w:rsid w:val="00600BF2"/>
    <w:rsid w:val="006013EE"/>
    <w:rsid w:val="0060153F"/>
    <w:rsid w:val="006015BC"/>
    <w:rsid w:val="006017F4"/>
    <w:rsid w:val="00601D24"/>
    <w:rsid w:val="00603502"/>
    <w:rsid w:val="00603D03"/>
    <w:rsid w:val="006048FC"/>
    <w:rsid w:val="00605076"/>
    <w:rsid w:val="006050A3"/>
    <w:rsid w:val="0060561A"/>
    <w:rsid w:val="006066A7"/>
    <w:rsid w:val="00606FC8"/>
    <w:rsid w:val="00607F0F"/>
    <w:rsid w:val="00610431"/>
    <w:rsid w:val="00610F5E"/>
    <w:rsid w:val="00611B99"/>
    <w:rsid w:val="00611BB7"/>
    <w:rsid w:val="0061210A"/>
    <w:rsid w:val="00612893"/>
    <w:rsid w:val="00612A9F"/>
    <w:rsid w:val="00612F4A"/>
    <w:rsid w:val="00613159"/>
    <w:rsid w:val="00614AA8"/>
    <w:rsid w:val="00614BAD"/>
    <w:rsid w:val="00614D17"/>
    <w:rsid w:val="006156B0"/>
    <w:rsid w:val="00615A60"/>
    <w:rsid w:val="00616B6A"/>
    <w:rsid w:val="00616CCC"/>
    <w:rsid w:val="006171F9"/>
    <w:rsid w:val="00617EB2"/>
    <w:rsid w:val="00617FED"/>
    <w:rsid w:val="00621654"/>
    <w:rsid w:val="00622480"/>
    <w:rsid w:val="00623A26"/>
    <w:rsid w:val="00624E7D"/>
    <w:rsid w:val="006259DE"/>
    <w:rsid w:val="00626F81"/>
    <w:rsid w:val="00627160"/>
    <w:rsid w:val="00627454"/>
    <w:rsid w:val="006276AA"/>
    <w:rsid w:val="00627F03"/>
    <w:rsid w:val="00630380"/>
    <w:rsid w:val="006303B6"/>
    <w:rsid w:val="0063132C"/>
    <w:rsid w:val="00633D1D"/>
    <w:rsid w:val="006344E2"/>
    <w:rsid w:val="006352AD"/>
    <w:rsid w:val="00635555"/>
    <w:rsid w:val="006358D3"/>
    <w:rsid w:val="0063756E"/>
    <w:rsid w:val="00637A4F"/>
    <w:rsid w:val="0064010B"/>
    <w:rsid w:val="006401B4"/>
    <w:rsid w:val="006403B7"/>
    <w:rsid w:val="0064051D"/>
    <w:rsid w:val="0064086F"/>
    <w:rsid w:val="00642D8D"/>
    <w:rsid w:val="0064541A"/>
    <w:rsid w:val="00645A37"/>
    <w:rsid w:val="006465D3"/>
    <w:rsid w:val="00646B84"/>
    <w:rsid w:val="0064713B"/>
    <w:rsid w:val="006475AD"/>
    <w:rsid w:val="00647D58"/>
    <w:rsid w:val="006509DC"/>
    <w:rsid w:val="006514C5"/>
    <w:rsid w:val="00651F90"/>
    <w:rsid w:val="00652C52"/>
    <w:rsid w:val="00653A57"/>
    <w:rsid w:val="0065469C"/>
    <w:rsid w:val="00654FC5"/>
    <w:rsid w:val="00655698"/>
    <w:rsid w:val="006569CA"/>
    <w:rsid w:val="00656D42"/>
    <w:rsid w:val="0065751F"/>
    <w:rsid w:val="0065782C"/>
    <w:rsid w:val="006605A6"/>
    <w:rsid w:val="00661158"/>
    <w:rsid w:val="00661351"/>
    <w:rsid w:val="0066166D"/>
    <w:rsid w:val="00661D05"/>
    <w:rsid w:val="0066231B"/>
    <w:rsid w:val="00662448"/>
    <w:rsid w:val="00662559"/>
    <w:rsid w:val="006625BA"/>
    <w:rsid w:val="006636EF"/>
    <w:rsid w:val="006646D3"/>
    <w:rsid w:val="006650A3"/>
    <w:rsid w:val="006650AF"/>
    <w:rsid w:val="00665580"/>
    <w:rsid w:val="006660FE"/>
    <w:rsid w:val="006664E7"/>
    <w:rsid w:val="0066654F"/>
    <w:rsid w:val="006671E8"/>
    <w:rsid w:val="0066722F"/>
    <w:rsid w:val="00670A61"/>
    <w:rsid w:val="00671181"/>
    <w:rsid w:val="006723C5"/>
    <w:rsid w:val="00672764"/>
    <w:rsid w:val="00672F44"/>
    <w:rsid w:val="0067329A"/>
    <w:rsid w:val="00673681"/>
    <w:rsid w:val="00673BC1"/>
    <w:rsid w:val="006747FA"/>
    <w:rsid w:val="006748DB"/>
    <w:rsid w:val="00675117"/>
    <w:rsid w:val="00675D85"/>
    <w:rsid w:val="00675EFD"/>
    <w:rsid w:val="006760F8"/>
    <w:rsid w:val="006765A3"/>
    <w:rsid w:val="0067726B"/>
    <w:rsid w:val="006806C8"/>
    <w:rsid w:val="006813C2"/>
    <w:rsid w:val="006813D7"/>
    <w:rsid w:val="006822BC"/>
    <w:rsid w:val="00682741"/>
    <w:rsid w:val="00682F31"/>
    <w:rsid w:val="00682FB6"/>
    <w:rsid w:val="00684B2C"/>
    <w:rsid w:val="00684F73"/>
    <w:rsid w:val="006859D5"/>
    <w:rsid w:val="00685B30"/>
    <w:rsid w:val="00686CBF"/>
    <w:rsid w:val="006870F8"/>
    <w:rsid w:val="006929AE"/>
    <w:rsid w:val="006935A6"/>
    <w:rsid w:val="00694257"/>
    <w:rsid w:val="0069468C"/>
    <w:rsid w:val="00696E43"/>
    <w:rsid w:val="00696FB5"/>
    <w:rsid w:val="00697205"/>
    <w:rsid w:val="006A0502"/>
    <w:rsid w:val="006A0E7E"/>
    <w:rsid w:val="006A109C"/>
    <w:rsid w:val="006A1625"/>
    <w:rsid w:val="006A1B5A"/>
    <w:rsid w:val="006A1EE3"/>
    <w:rsid w:val="006A1EE5"/>
    <w:rsid w:val="006A27DA"/>
    <w:rsid w:val="006A2D34"/>
    <w:rsid w:val="006A327A"/>
    <w:rsid w:val="006A3535"/>
    <w:rsid w:val="006A46C6"/>
    <w:rsid w:val="006A54FA"/>
    <w:rsid w:val="006A657B"/>
    <w:rsid w:val="006A6A52"/>
    <w:rsid w:val="006A7820"/>
    <w:rsid w:val="006A7BEB"/>
    <w:rsid w:val="006B04FB"/>
    <w:rsid w:val="006B07F8"/>
    <w:rsid w:val="006B0C3B"/>
    <w:rsid w:val="006B1327"/>
    <w:rsid w:val="006B311F"/>
    <w:rsid w:val="006B35B2"/>
    <w:rsid w:val="006B3A47"/>
    <w:rsid w:val="006B3B5B"/>
    <w:rsid w:val="006B4303"/>
    <w:rsid w:val="006B4C94"/>
    <w:rsid w:val="006B5194"/>
    <w:rsid w:val="006B5FD4"/>
    <w:rsid w:val="006B76C2"/>
    <w:rsid w:val="006B76D4"/>
    <w:rsid w:val="006B7E9E"/>
    <w:rsid w:val="006C06E6"/>
    <w:rsid w:val="006C0F7C"/>
    <w:rsid w:val="006C1534"/>
    <w:rsid w:val="006C1620"/>
    <w:rsid w:val="006C1AE2"/>
    <w:rsid w:val="006C2628"/>
    <w:rsid w:val="006C3110"/>
    <w:rsid w:val="006C3707"/>
    <w:rsid w:val="006C3AB9"/>
    <w:rsid w:val="006C3E4B"/>
    <w:rsid w:val="006C4468"/>
    <w:rsid w:val="006C4877"/>
    <w:rsid w:val="006C4942"/>
    <w:rsid w:val="006C503F"/>
    <w:rsid w:val="006C518C"/>
    <w:rsid w:val="006C5827"/>
    <w:rsid w:val="006C5CCC"/>
    <w:rsid w:val="006C633E"/>
    <w:rsid w:val="006C6D7C"/>
    <w:rsid w:val="006D0101"/>
    <w:rsid w:val="006D0442"/>
    <w:rsid w:val="006D24FC"/>
    <w:rsid w:val="006D3A78"/>
    <w:rsid w:val="006D4450"/>
    <w:rsid w:val="006D45B3"/>
    <w:rsid w:val="006D4674"/>
    <w:rsid w:val="006D487D"/>
    <w:rsid w:val="006D558F"/>
    <w:rsid w:val="006D5806"/>
    <w:rsid w:val="006D67C2"/>
    <w:rsid w:val="006D6EFD"/>
    <w:rsid w:val="006D761E"/>
    <w:rsid w:val="006D77A7"/>
    <w:rsid w:val="006D79D5"/>
    <w:rsid w:val="006E059C"/>
    <w:rsid w:val="006E0CE7"/>
    <w:rsid w:val="006E0F03"/>
    <w:rsid w:val="006E213C"/>
    <w:rsid w:val="006E2199"/>
    <w:rsid w:val="006E2389"/>
    <w:rsid w:val="006E2F5C"/>
    <w:rsid w:val="006E38F9"/>
    <w:rsid w:val="006E4039"/>
    <w:rsid w:val="006E458D"/>
    <w:rsid w:val="006E4AF7"/>
    <w:rsid w:val="006E5B4B"/>
    <w:rsid w:val="006E5DD8"/>
    <w:rsid w:val="006E6A29"/>
    <w:rsid w:val="006E6A39"/>
    <w:rsid w:val="006E6C21"/>
    <w:rsid w:val="006E6C3E"/>
    <w:rsid w:val="006E6C55"/>
    <w:rsid w:val="006E6F69"/>
    <w:rsid w:val="006E7169"/>
    <w:rsid w:val="006E7C0A"/>
    <w:rsid w:val="006F0247"/>
    <w:rsid w:val="006F0708"/>
    <w:rsid w:val="006F0F4B"/>
    <w:rsid w:val="006F1FB2"/>
    <w:rsid w:val="006F2A41"/>
    <w:rsid w:val="006F2CBF"/>
    <w:rsid w:val="006F2EF6"/>
    <w:rsid w:val="006F418F"/>
    <w:rsid w:val="006F6569"/>
    <w:rsid w:val="006F707C"/>
    <w:rsid w:val="006F7C0C"/>
    <w:rsid w:val="00700060"/>
    <w:rsid w:val="00700BF5"/>
    <w:rsid w:val="007014FD"/>
    <w:rsid w:val="00701D31"/>
    <w:rsid w:val="007031F4"/>
    <w:rsid w:val="00703ECB"/>
    <w:rsid w:val="007042B3"/>
    <w:rsid w:val="007045EC"/>
    <w:rsid w:val="0070473A"/>
    <w:rsid w:val="00705735"/>
    <w:rsid w:val="00705E39"/>
    <w:rsid w:val="007067E6"/>
    <w:rsid w:val="00706E2B"/>
    <w:rsid w:val="00706E9E"/>
    <w:rsid w:val="00707018"/>
    <w:rsid w:val="00707826"/>
    <w:rsid w:val="00707A95"/>
    <w:rsid w:val="00710299"/>
    <w:rsid w:val="00710348"/>
    <w:rsid w:val="0071092B"/>
    <w:rsid w:val="00710D0B"/>
    <w:rsid w:val="00710DB0"/>
    <w:rsid w:val="007110B4"/>
    <w:rsid w:val="007111CE"/>
    <w:rsid w:val="007117E6"/>
    <w:rsid w:val="007118CA"/>
    <w:rsid w:val="00712011"/>
    <w:rsid w:val="00712650"/>
    <w:rsid w:val="0071294C"/>
    <w:rsid w:val="00712A68"/>
    <w:rsid w:val="00712E55"/>
    <w:rsid w:val="007136FE"/>
    <w:rsid w:val="00715B19"/>
    <w:rsid w:val="00716929"/>
    <w:rsid w:val="00717C11"/>
    <w:rsid w:val="0072098E"/>
    <w:rsid w:val="00720AC0"/>
    <w:rsid w:val="007212B9"/>
    <w:rsid w:val="0072158C"/>
    <w:rsid w:val="007216C5"/>
    <w:rsid w:val="0072175F"/>
    <w:rsid w:val="007219E4"/>
    <w:rsid w:val="00722345"/>
    <w:rsid w:val="00724E70"/>
    <w:rsid w:val="007256DD"/>
    <w:rsid w:val="00725AA6"/>
    <w:rsid w:val="00725C0D"/>
    <w:rsid w:val="0072691A"/>
    <w:rsid w:val="007302B4"/>
    <w:rsid w:val="00730616"/>
    <w:rsid w:val="007319DA"/>
    <w:rsid w:val="007321A4"/>
    <w:rsid w:val="00732280"/>
    <w:rsid w:val="00733381"/>
    <w:rsid w:val="0073441F"/>
    <w:rsid w:val="007347EB"/>
    <w:rsid w:val="00734C1B"/>
    <w:rsid w:val="00735002"/>
    <w:rsid w:val="00735273"/>
    <w:rsid w:val="0073599B"/>
    <w:rsid w:val="007361A5"/>
    <w:rsid w:val="00736D78"/>
    <w:rsid w:val="00736EB8"/>
    <w:rsid w:val="007374E8"/>
    <w:rsid w:val="007375A7"/>
    <w:rsid w:val="007378FE"/>
    <w:rsid w:val="00737939"/>
    <w:rsid w:val="00741318"/>
    <w:rsid w:val="0074163A"/>
    <w:rsid w:val="00742A56"/>
    <w:rsid w:val="00743709"/>
    <w:rsid w:val="00743C0A"/>
    <w:rsid w:val="00743D7E"/>
    <w:rsid w:val="00743F91"/>
    <w:rsid w:val="0074555B"/>
    <w:rsid w:val="00745B81"/>
    <w:rsid w:val="007469E9"/>
    <w:rsid w:val="00746A1D"/>
    <w:rsid w:val="00746EF3"/>
    <w:rsid w:val="00747007"/>
    <w:rsid w:val="0075096A"/>
    <w:rsid w:val="00751324"/>
    <w:rsid w:val="007515B7"/>
    <w:rsid w:val="0075244E"/>
    <w:rsid w:val="007526E1"/>
    <w:rsid w:val="007538D0"/>
    <w:rsid w:val="00753A68"/>
    <w:rsid w:val="00753C87"/>
    <w:rsid w:val="00753FA1"/>
    <w:rsid w:val="0075428D"/>
    <w:rsid w:val="00755B07"/>
    <w:rsid w:val="00755BC9"/>
    <w:rsid w:val="0075642A"/>
    <w:rsid w:val="007564AC"/>
    <w:rsid w:val="00756A3B"/>
    <w:rsid w:val="00756BE9"/>
    <w:rsid w:val="0075701D"/>
    <w:rsid w:val="00757536"/>
    <w:rsid w:val="00757678"/>
    <w:rsid w:val="00757855"/>
    <w:rsid w:val="00757E92"/>
    <w:rsid w:val="0076055A"/>
    <w:rsid w:val="00760D35"/>
    <w:rsid w:val="00762CEF"/>
    <w:rsid w:val="00762EB3"/>
    <w:rsid w:val="00763057"/>
    <w:rsid w:val="007635E3"/>
    <w:rsid w:val="0076382B"/>
    <w:rsid w:val="0076395D"/>
    <w:rsid w:val="00763CD1"/>
    <w:rsid w:val="007640E5"/>
    <w:rsid w:val="007642BC"/>
    <w:rsid w:val="00764CD1"/>
    <w:rsid w:val="00764FE1"/>
    <w:rsid w:val="0076656D"/>
    <w:rsid w:val="00767DAC"/>
    <w:rsid w:val="007703EA"/>
    <w:rsid w:val="007704A5"/>
    <w:rsid w:val="007708B2"/>
    <w:rsid w:val="007708E9"/>
    <w:rsid w:val="0077196E"/>
    <w:rsid w:val="007726E0"/>
    <w:rsid w:val="00774040"/>
    <w:rsid w:val="00774D48"/>
    <w:rsid w:val="00775A03"/>
    <w:rsid w:val="00775A68"/>
    <w:rsid w:val="00775C4A"/>
    <w:rsid w:val="00776D66"/>
    <w:rsid w:val="007773F1"/>
    <w:rsid w:val="007774B6"/>
    <w:rsid w:val="00777AA2"/>
    <w:rsid w:val="00777ACD"/>
    <w:rsid w:val="00777E49"/>
    <w:rsid w:val="007800D6"/>
    <w:rsid w:val="00781837"/>
    <w:rsid w:val="007827E8"/>
    <w:rsid w:val="00782C5A"/>
    <w:rsid w:val="00782E94"/>
    <w:rsid w:val="0078361F"/>
    <w:rsid w:val="00783907"/>
    <w:rsid w:val="00783BBE"/>
    <w:rsid w:val="0078418C"/>
    <w:rsid w:val="00784E55"/>
    <w:rsid w:val="0078545B"/>
    <w:rsid w:val="007858FD"/>
    <w:rsid w:val="00786CE8"/>
    <w:rsid w:val="00786FF5"/>
    <w:rsid w:val="007877B5"/>
    <w:rsid w:val="00787FA9"/>
    <w:rsid w:val="007905C0"/>
    <w:rsid w:val="00792788"/>
    <w:rsid w:val="0079296F"/>
    <w:rsid w:val="00792D03"/>
    <w:rsid w:val="00793B70"/>
    <w:rsid w:val="007946BC"/>
    <w:rsid w:val="007947A4"/>
    <w:rsid w:val="00795170"/>
    <w:rsid w:val="00795634"/>
    <w:rsid w:val="00795B01"/>
    <w:rsid w:val="0079612A"/>
    <w:rsid w:val="00796E7E"/>
    <w:rsid w:val="00796F82"/>
    <w:rsid w:val="007A01F5"/>
    <w:rsid w:val="007A0482"/>
    <w:rsid w:val="007A06B5"/>
    <w:rsid w:val="007A1DEA"/>
    <w:rsid w:val="007A2464"/>
    <w:rsid w:val="007A28DC"/>
    <w:rsid w:val="007A28EA"/>
    <w:rsid w:val="007A2A31"/>
    <w:rsid w:val="007A2B5C"/>
    <w:rsid w:val="007A2D7C"/>
    <w:rsid w:val="007A33BB"/>
    <w:rsid w:val="007A33E6"/>
    <w:rsid w:val="007A3519"/>
    <w:rsid w:val="007A35BF"/>
    <w:rsid w:val="007A3BA1"/>
    <w:rsid w:val="007A3EB4"/>
    <w:rsid w:val="007A53AC"/>
    <w:rsid w:val="007A690A"/>
    <w:rsid w:val="007A6CFC"/>
    <w:rsid w:val="007A7347"/>
    <w:rsid w:val="007B0FBC"/>
    <w:rsid w:val="007B147C"/>
    <w:rsid w:val="007B16DA"/>
    <w:rsid w:val="007B1C61"/>
    <w:rsid w:val="007B2189"/>
    <w:rsid w:val="007B2AC4"/>
    <w:rsid w:val="007B32FD"/>
    <w:rsid w:val="007B4DA4"/>
    <w:rsid w:val="007B5C81"/>
    <w:rsid w:val="007B7999"/>
    <w:rsid w:val="007C0041"/>
    <w:rsid w:val="007C0333"/>
    <w:rsid w:val="007C03E3"/>
    <w:rsid w:val="007C0B02"/>
    <w:rsid w:val="007C0B86"/>
    <w:rsid w:val="007C0C01"/>
    <w:rsid w:val="007C0DA8"/>
    <w:rsid w:val="007C206A"/>
    <w:rsid w:val="007C22F9"/>
    <w:rsid w:val="007C2368"/>
    <w:rsid w:val="007C2A4D"/>
    <w:rsid w:val="007C3B7E"/>
    <w:rsid w:val="007C4B8E"/>
    <w:rsid w:val="007C4F09"/>
    <w:rsid w:val="007C5A54"/>
    <w:rsid w:val="007C7D72"/>
    <w:rsid w:val="007D01AE"/>
    <w:rsid w:val="007D0D98"/>
    <w:rsid w:val="007D1231"/>
    <w:rsid w:val="007D1809"/>
    <w:rsid w:val="007D2D7F"/>
    <w:rsid w:val="007D37B4"/>
    <w:rsid w:val="007D3CCD"/>
    <w:rsid w:val="007D3D32"/>
    <w:rsid w:val="007D41A5"/>
    <w:rsid w:val="007D5798"/>
    <w:rsid w:val="007D59AA"/>
    <w:rsid w:val="007D64CB"/>
    <w:rsid w:val="007D757E"/>
    <w:rsid w:val="007D78F0"/>
    <w:rsid w:val="007D7AED"/>
    <w:rsid w:val="007E00AF"/>
    <w:rsid w:val="007E0137"/>
    <w:rsid w:val="007E04AC"/>
    <w:rsid w:val="007E18E5"/>
    <w:rsid w:val="007E31AC"/>
    <w:rsid w:val="007E4190"/>
    <w:rsid w:val="007E55EE"/>
    <w:rsid w:val="007E5612"/>
    <w:rsid w:val="007E56DE"/>
    <w:rsid w:val="007E58A8"/>
    <w:rsid w:val="007E5A76"/>
    <w:rsid w:val="007E63DA"/>
    <w:rsid w:val="007E6438"/>
    <w:rsid w:val="007E6EFB"/>
    <w:rsid w:val="007E7874"/>
    <w:rsid w:val="007E7A0C"/>
    <w:rsid w:val="007E7B7D"/>
    <w:rsid w:val="007F0AE5"/>
    <w:rsid w:val="007F3459"/>
    <w:rsid w:val="007F58E4"/>
    <w:rsid w:val="007F5CBB"/>
    <w:rsid w:val="007F613D"/>
    <w:rsid w:val="007F6911"/>
    <w:rsid w:val="007F69E8"/>
    <w:rsid w:val="007F73F4"/>
    <w:rsid w:val="007F76EC"/>
    <w:rsid w:val="0080022A"/>
    <w:rsid w:val="0080039A"/>
    <w:rsid w:val="0080066C"/>
    <w:rsid w:val="00800DD8"/>
    <w:rsid w:val="00800EF9"/>
    <w:rsid w:val="00800F25"/>
    <w:rsid w:val="0080101C"/>
    <w:rsid w:val="00801B23"/>
    <w:rsid w:val="00802232"/>
    <w:rsid w:val="00803060"/>
    <w:rsid w:val="00803467"/>
    <w:rsid w:val="008040F4"/>
    <w:rsid w:val="00804502"/>
    <w:rsid w:val="00804C93"/>
    <w:rsid w:val="00805937"/>
    <w:rsid w:val="00805CD2"/>
    <w:rsid w:val="00805DAB"/>
    <w:rsid w:val="00806138"/>
    <w:rsid w:val="008066CD"/>
    <w:rsid w:val="00806979"/>
    <w:rsid w:val="00806DE0"/>
    <w:rsid w:val="0080762E"/>
    <w:rsid w:val="00807FA1"/>
    <w:rsid w:val="008101AA"/>
    <w:rsid w:val="0081040A"/>
    <w:rsid w:val="00810944"/>
    <w:rsid w:val="008115E4"/>
    <w:rsid w:val="00811DE2"/>
    <w:rsid w:val="0081253C"/>
    <w:rsid w:val="00813029"/>
    <w:rsid w:val="008133EE"/>
    <w:rsid w:val="00815114"/>
    <w:rsid w:val="00816601"/>
    <w:rsid w:val="0081690B"/>
    <w:rsid w:val="00816D02"/>
    <w:rsid w:val="00817C23"/>
    <w:rsid w:val="00820067"/>
    <w:rsid w:val="0082069B"/>
    <w:rsid w:val="0082081F"/>
    <w:rsid w:val="00821D3A"/>
    <w:rsid w:val="00821F37"/>
    <w:rsid w:val="0082233F"/>
    <w:rsid w:val="00823161"/>
    <w:rsid w:val="00823321"/>
    <w:rsid w:val="00823CAB"/>
    <w:rsid w:val="008263F4"/>
    <w:rsid w:val="00826681"/>
    <w:rsid w:val="00826858"/>
    <w:rsid w:val="00826EF6"/>
    <w:rsid w:val="00827116"/>
    <w:rsid w:val="00827E07"/>
    <w:rsid w:val="00827EBD"/>
    <w:rsid w:val="0083092A"/>
    <w:rsid w:val="00830AD7"/>
    <w:rsid w:val="00831B99"/>
    <w:rsid w:val="00831E6A"/>
    <w:rsid w:val="00832268"/>
    <w:rsid w:val="00833092"/>
    <w:rsid w:val="00833A19"/>
    <w:rsid w:val="00833D15"/>
    <w:rsid w:val="00834AA8"/>
    <w:rsid w:val="00835B09"/>
    <w:rsid w:val="008364C2"/>
    <w:rsid w:val="008375B1"/>
    <w:rsid w:val="008410DE"/>
    <w:rsid w:val="0084126F"/>
    <w:rsid w:val="008416EB"/>
    <w:rsid w:val="008427F0"/>
    <w:rsid w:val="00842FBD"/>
    <w:rsid w:val="00842FF5"/>
    <w:rsid w:val="00844016"/>
    <w:rsid w:val="0084431D"/>
    <w:rsid w:val="00844A0B"/>
    <w:rsid w:val="00844C4D"/>
    <w:rsid w:val="00845D8C"/>
    <w:rsid w:val="00846185"/>
    <w:rsid w:val="00847612"/>
    <w:rsid w:val="00847C21"/>
    <w:rsid w:val="00850A65"/>
    <w:rsid w:val="00850B7A"/>
    <w:rsid w:val="0085119C"/>
    <w:rsid w:val="00851A1C"/>
    <w:rsid w:val="00851A75"/>
    <w:rsid w:val="0085214F"/>
    <w:rsid w:val="0085253B"/>
    <w:rsid w:val="0085280A"/>
    <w:rsid w:val="008538B9"/>
    <w:rsid w:val="008540F7"/>
    <w:rsid w:val="0085451B"/>
    <w:rsid w:val="008545CE"/>
    <w:rsid w:val="008545FF"/>
    <w:rsid w:val="00854992"/>
    <w:rsid w:val="00854A51"/>
    <w:rsid w:val="00854AD5"/>
    <w:rsid w:val="00856189"/>
    <w:rsid w:val="0085631A"/>
    <w:rsid w:val="008565DB"/>
    <w:rsid w:val="00857190"/>
    <w:rsid w:val="00860921"/>
    <w:rsid w:val="00860ABF"/>
    <w:rsid w:val="00860BF7"/>
    <w:rsid w:val="008612CF"/>
    <w:rsid w:val="0086194F"/>
    <w:rsid w:val="00861D4A"/>
    <w:rsid w:val="00861FF0"/>
    <w:rsid w:val="008643A7"/>
    <w:rsid w:val="00865C0E"/>
    <w:rsid w:val="00866773"/>
    <w:rsid w:val="00866FEE"/>
    <w:rsid w:val="00867092"/>
    <w:rsid w:val="00867FDD"/>
    <w:rsid w:val="008700F6"/>
    <w:rsid w:val="00870D42"/>
    <w:rsid w:val="008711E1"/>
    <w:rsid w:val="0087309C"/>
    <w:rsid w:val="008736C5"/>
    <w:rsid w:val="00874304"/>
    <w:rsid w:val="00874A22"/>
    <w:rsid w:val="008752C8"/>
    <w:rsid w:val="008752EC"/>
    <w:rsid w:val="0087555C"/>
    <w:rsid w:val="0087563F"/>
    <w:rsid w:val="00875A19"/>
    <w:rsid w:val="00875BC9"/>
    <w:rsid w:val="008761DD"/>
    <w:rsid w:val="00880398"/>
    <w:rsid w:val="00880717"/>
    <w:rsid w:val="00880BB7"/>
    <w:rsid w:val="008824C7"/>
    <w:rsid w:val="008830F0"/>
    <w:rsid w:val="00883358"/>
    <w:rsid w:val="0088404B"/>
    <w:rsid w:val="008846FB"/>
    <w:rsid w:val="00884AE0"/>
    <w:rsid w:val="00884E86"/>
    <w:rsid w:val="00885168"/>
    <w:rsid w:val="00885956"/>
    <w:rsid w:val="008867E2"/>
    <w:rsid w:val="00886BFE"/>
    <w:rsid w:val="00887222"/>
    <w:rsid w:val="00887284"/>
    <w:rsid w:val="00891B8C"/>
    <w:rsid w:val="00891E00"/>
    <w:rsid w:val="00893A50"/>
    <w:rsid w:val="008941B6"/>
    <w:rsid w:val="00894C58"/>
    <w:rsid w:val="00894F6E"/>
    <w:rsid w:val="0089605D"/>
    <w:rsid w:val="008963D8"/>
    <w:rsid w:val="00896941"/>
    <w:rsid w:val="0089727F"/>
    <w:rsid w:val="008973FD"/>
    <w:rsid w:val="008A06AB"/>
    <w:rsid w:val="008A0F07"/>
    <w:rsid w:val="008A1426"/>
    <w:rsid w:val="008A192A"/>
    <w:rsid w:val="008A19C2"/>
    <w:rsid w:val="008A2543"/>
    <w:rsid w:val="008A2830"/>
    <w:rsid w:val="008A2AF3"/>
    <w:rsid w:val="008A2F53"/>
    <w:rsid w:val="008A3332"/>
    <w:rsid w:val="008A3D61"/>
    <w:rsid w:val="008A4785"/>
    <w:rsid w:val="008A4FF1"/>
    <w:rsid w:val="008A5314"/>
    <w:rsid w:val="008A5663"/>
    <w:rsid w:val="008A56B2"/>
    <w:rsid w:val="008A5AD3"/>
    <w:rsid w:val="008A6A50"/>
    <w:rsid w:val="008A7BEA"/>
    <w:rsid w:val="008B0290"/>
    <w:rsid w:val="008B02E8"/>
    <w:rsid w:val="008B2DA7"/>
    <w:rsid w:val="008B2EAC"/>
    <w:rsid w:val="008B3822"/>
    <w:rsid w:val="008B3E23"/>
    <w:rsid w:val="008B4539"/>
    <w:rsid w:val="008B466B"/>
    <w:rsid w:val="008B4888"/>
    <w:rsid w:val="008B4950"/>
    <w:rsid w:val="008B49DE"/>
    <w:rsid w:val="008B4D02"/>
    <w:rsid w:val="008B5A45"/>
    <w:rsid w:val="008B5B61"/>
    <w:rsid w:val="008B664D"/>
    <w:rsid w:val="008B67E8"/>
    <w:rsid w:val="008B6C65"/>
    <w:rsid w:val="008C0649"/>
    <w:rsid w:val="008C0AAB"/>
    <w:rsid w:val="008C0F8F"/>
    <w:rsid w:val="008C133F"/>
    <w:rsid w:val="008C2291"/>
    <w:rsid w:val="008C2C68"/>
    <w:rsid w:val="008C3205"/>
    <w:rsid w:val="008C3D9F"/>
    <w:rsid w:val="008C3E65"/>
    <w:rsid w:val="008C55BD"/>
    <w:rsid w:val="008C5FD7"/>
    <w:rsid w:val="008C6B93"/>
    <w:rsid w:val="008D0333"/>
    <w:rsid w:val="008D1B07"/>
    <w:rsid w:val="008D1B08"/>
    <w:rsid w:val="008D1B5D"/>
    <w:rsid w:val="008D2033"/>
    <w:rsid w:val="008D4249"/>
    <w:rsid w:val="008D42EB"/>
    <w:rsid w:val="008D758C"/>
    <w:rsid w:val="008D76C5"/>
    <w:rsid w:val="008E030B"/>
    <w:rsid w:val="008E099F"/>
    <w:rsid w:val="008E1041"/>
    <w:rsid w:val="008E1917"/>
    <w:rsid w:val="008E19FF"/>
    <w:rsid w:val="008E1B66"/>
    <w:rsid w:val="008E2479"/>
    <w:rsid w:val="008E28A3"/>
    <w:rsid w:val="008E29BE"/>
    <w:rsid w:val="008E29E2"/>
    <w:rsid w:val="008E2D3A"/>
    <w:rsid w:val="008E67A9"/>
    <w:rsid w:val="008E7D98"/>
    <w:rsid w:val="008F068D"/>
    <w:rsid w:val="008F195F"/>
    <w:rsid w:val="008F1A2E"/>
    <w:rsid w:val="008F1B76"/>
    <w:rsid w:val="008F1EF4"/>
    <w:rsid w:val="008F2697"/>
    <w:rsid w:val="008F2EEB"/>
    <w:rsid w:val="008F3145"/>
    <w:rsid w:val="008F3527"/>
    <w:rsid w:val="008F35C8"/>
    <w:rsid w:val="008F36DE"/>
    <w:rsid w:val="008F4330"/>
    <w:rsid w:val="008F457C"/>
    <w:rsid w:val="008F46CC"/>
    <w:rsid w:val="008F4E98"/>
    <w:rsid w:val="008F58AB"/>
    <w:rsid w:val="008F5DCB"/>
    <w:rsid w:val="008F6A10"/>
    <w:rsid w:val="008F723D"/>
    <w:rsid w:val="008F7B92"/>
    <w:rsid w:val="009000A2"/>
    <w:rsid w:val="00900A2C"/>
    <w:rsid w:val="00901E72"/>
    <w:rsid w:val="00901FBB"/>
    <w:rsid w:val="0090202C"/>
    <w:rsid w:val="009025A3"/>
    <w:rsid w:val="00902657"/>
    <w:rsid w:val="00902B2E"/>
    <w:rsid w:val="00902B93"/>
    <w:rsid w:val="0090313C"/>
    <w:rsid w:val="00903704"/>
    <w:rsid w:val="00903CFD"/>
    <w:rsid w:val="009049A5"/>
    <w:rsid w:val="00905154"/>
    <w:rsid w:val="0090602B"/>
    <w:rsid w:val="009068C5"/>
    <w:rsid w:val="00906AAA"/>
    <w:rsid w:val="009073B8"/>
    <w:rsid w:val="00907680"/>
    <w:rsid w:val="00907B4E"/>
    <w:rsid w:val="009101E1"/>
    <w:rsid w:val="0091043C"/>
    <w:rsid w:val="009106C7"/>
    <w:rsid w:val="0091119C"/>
    <w:rsid w:val="009126C3"/>
    <w:rsid w:val="00912A4D"/>
    <w:rsid w:val="00912B71"/>
    <w:rsid w:val="009138A8"/>
    <w:rsid w:val="0091390E"/>
    <w:rsid w:val="00914938"/>
    <w:rsid w:val="0091588D"/>
    <w:rsid w:val="00915D3A"/>
    <w:rsid w:val="00916A68"/>
    <w:rsid w:val="00916E5F"/>
    <w:rsid w:val="00916FBD"/>
    <w:rsid w:val="00917A89"/>
    <w:rsid w:val="00917CD3"/>
    <w:rsid w:val="009211F4"/>
    <w:rsid w:val="009215BF"/>
    <w:rsid w:val="0092385F"/>
    <w:rsid w:val="00923ACE"/>
    <w:rsid w:val="00923DC6"/>
    <w:rsid w:val="00923DFB"/>
    <w:rsid w:val="00923E67"/>
    <w:rsid w:val="00924496"/>
    <w:rsid w:val="00924656"/>
    <w:rsid w:val="00924701"/>
    <w:rsid w:val="00925034"/>
    <w:rsid w:val="00925457"/>
    <w:rsid w:val="009274D9"/>
    <w:rsid w:val="0093000C"/>
    <w:rsid w:val="00930553"/>
    <w:rsid w:val="0093300D"/>
    <w:rsid w:val="0093377B"/>
    <w:rsid w:val="009337BB"/>
    <w:rsid w:val="00933E67"/>
    <w:rsid w:val="00933E9A"/>
    <w:rsid w:val="00934597"/>
    <w:rsid w:val="009348AA"/>
    <w:rsid w:val="00935F44"/>
    <w:rsid w:val="00935F6C"/>
    <w:rsid w:val="0093671B"/>
    <w:rsid w:val="009368B6"/>
    <w:rsid w:val="00936AC5"/>
    <w:rsid w:val="00936B44"/>
    <w:rsid w:val="00936E9E"/>
    <w:rsid w:val="00940321"/>
    <w:rsid w:val="00940568"/>
    <w:rsid w:val="009407A7"/>
    <w:rsid w:val="00941864"/>
    <w:rsid w:val="00941F11"/>
    <w:rsid w:val="00941F3B"/>
    <w:rsid w:val="00942A49"/>
    <w:rsid w:val="009436D1"/>
    <w:rsid w:val="00943C40"/>
    <w:rsid w:val="009440A9"/>
    <w:rsid w:val="0094458E"/>
    <w:rsid w:val="009448AD"/>
    <w:rsid w:val="0094520C"/>
    <w:rsid w:val="00945E42"/>
    <w:rsid w:val="00946A59"/>
    <w:rsid w:val="00946D87"/>
    <w:rsid w:val="0094780A"/>
    <w:rsid w:val="0095006B"/>
    <w:rsid w:val="009510B6"/>
    <w:rsid w:val="009510BD"/>
    <w:rsid w:val="0095278F"/>
    <w:rsid w:val="0095334F"/>
    <w:rsid w:val="009536FD"/>
    <w:rsid w:val="009539DC"/>
    <w:rsid w:val="00953EA0"/>
    <w:rsid w:val="00955F25"/>
    <w:rsid w:val="009560C5"/>
    <w:rsid w:val="00957218"/>
    <w:rsid w:val="0095762A"/>
    <w:rsid w:val="0096143D"/>
    <w:rsid w:val="00961DFF"/>
    <w:rsid w:val="00962317"/>
    <w:rsid w:val="0096284F"/>
    <w:rsid w:val="0096294A"/>
    <w:rsid w:val="00962C6F"/>
    <w:rsid w:val="00962F3D"/>
    <w:rsid w:val="00963BF8"/>
    <w:rsid w:val="00964F7E"/>
    <w:rsid w:val="009659FB"/>
    <w:rsid w:val="009667B8"/>
    <w:rsid w:val="009667C5"/>
    <w:rsid w:val="00966CC3"/>
    <w:rsid w:val="0096720F"/>
    <w:rsid w:val="00970D4D"/>
    <w:rsid w:val="00971180"/>
    <w:rsid w:val="0097136D"/>
    <w:rsid w:val="0097139D"/>
    <w:rsid w:val="00971C20"/>
    <w:rsid w:val="00972064"/>
    <w:rsid w:val="009720F0"/>
    <w:rsid w:val="0097263C"/>
    <w:rsid w:val="00972DF6"/>
    <w:rsid w:val="009738E7"/>
    <w:rsid w:val="00975054"/>
    <w:rsid w:val="00976A27"/>
    <w:rsid w:val="00976A7B"/>
    <w:rsid w:val="00976AF7"/>
    <w:rsid w:val="00976D0B"/>
    <w:rsid w:val="00977D84"/>
    <w:rsid w:val="00980C9B"/>
    <w:rsid w:val="00980D81"/>
    <w:rsid w:val="00980D8B"/>
    <w:rsid w:val="009810B9"/>
    <w:rsid w:val="009813BF"/>
    <w:rsid w:val="00981461"/>
    <w:rsid w:val="009814AF"/>
    <w:rsid w:val="00982502"/>
    <w:rsid w:val="00982B69"/>
    <w:rsid w:val="00983271"/>
    <w:rsid w:val="0098340B"/>
    <w:rsid w:val="00984067"/>
    <w:rsid w:val="0098429C"/>
    <w:rsid w:val="00984BCB"/>
    <w:rsid w:val="00984C63"/>
    <w:rsid w:val="00985198"/>
    <w:rsid w:val="0098519E"/>
    <w:rsid w:val="00985295"/>
    <w:rsid w:val="0098577A"/>
    <w:rsid w:val="00985B8A"/>
    <w:rsid w:val="0098640F"/>
    <w:rsid w:val="009865A8"/>
    <w:rsid w:val="009865AD"/>
    <w:rsid w:val="00986F06"/>
    <w:rsid w:val="009871FB"/>
    <w:rsid w:val="0098725B"/>
    <w:rsid w:val="00987692"/>
    <w:rsid w:val="009876C7"/>
    <w:rsid w:val="0099113B"/>
    <w:rsid w:val="0099139D"/>
    <w:rsid w:val="009913A0"/>
    <w:rsid w:val="00993672"/>
    <w:rsid w:val="00993F32"/>
    <w:rsid w:val="00994367"/>
    <w:rsid w:val="00996A18"/>
    <w:rsid w:val="00997037"/>
    <w:rsid w:val="009970F6"/>
    <w:rsid w:val="00997599"/>
    <w:rsid w:val="009A02B2"/>
    <w:rsid w:val="009A0740"/>
    <w:rsid w:val="009A0CAD"/>
    <w:rsid w:val="009A1041"/>
    <w:rsid w:val="009A217C"/>
    <w:rsid w:val="009A24E3"/>
    <w:rsid w:val="009A2567"/>
    <w:rsid w:val="009A27C7"/>
    <w:rsid w:val="009A2C0F"/>
    <w:rsid w:val="009A35C0"/>
    <w:rsid w:val="009A3708"/>
    <w:rsid w:val="009A3BFF"/>
    <w:rsid w:val="009A3DE1"/>
    <w:rsid w:val="009A4FF2"/>
    <w:rsid w:val="009A55BA"/>
    <w:rsid w:val="009A655D"/>
    <w:rsid w:val="009A7252"/>
    <w:rsid w:val="009A7BF4"/>
    <w:rsid w:val="009A7C67"/>
    <w:rsid w:val="009A7CCC"/>
    <w:rsid w:val="009B0A33"/>
    <w:rsid w:val="009B15F1"/>
    <w:rsid w:val="009B1E8E"/>
    <w:rsid w:val="009B2017"/>
    <w:rsid w:val="009B20CF"/>
    <w:rsid w:val="009B22C1"/>
    <w:rsid w:val="009B28A5"/>
    <w:rsid w:val="009B2AA5"/>
    <w:rsid w:val="009B39A5"/>
    <w:rsid w:val="009B40A1"/>
    <w:rsid w:val="009B418E"/>
    <w:rsid w:val="009B463C"/>
    <w:rsid w:val="009B48FC"/>
    <w:rsid w:val="009B4E52"/>
    <w:rsid w:val="009B4F0C"/>
    <w:rsid w:val="009B5E57"/>
    <w:rsid w:val="009B6212"/>
    <w:rsid w:val="009B6A02"/>
    <w:rsid w:val="009B6B0F"/>
    <w:rsid w:val="009B6B53"/>
    <w:rsid w:val="009B71A2"/>
    <w:rsid w:val="009B71AE"/>
    <w:rsid w:val="009B7C17"/>
    <w:rsid w:val="009C001C"/>
    <w:rsid w:val="009C04C8"/>
    <w:rsid w:val="009C0C3A"/>
    <w:rsid w:val="009C129A"/>
    <w:rsid w:val="009C41CD"/>
    <w:rsid w:val="009C42EB"/>
    <w:rsid w:val="009C45E9"/>
    <w:rsid w:val="009C50EB"/>
    <w:rsid w:val="009C5368"/>
    <w:rsid w:val="009C6D26"/>
    <w:rsid w:val="009C77A0"/>
    <w:rsid w:val="009D0053"/>
    <w:rsid w:val="009D0BFE"/>
    <w:rsid w:val="009D1C7A"/>
    <w:rsid w:val="009D1E39"/>
    <w:rsid w:val="009D27E4"/>
    <w:rsid w:val="009D357F"/>
    <w:rsid w:val="009D362F"/>
    <w:rsid w:val="009D38FF"/>
    <w:rsid w:val="009D392D"/>
    <w:rsid w:val="009D3FFE"/>
    <w:rsid w:val="009D467A"/>
    <w:rsid w:val="009D498D"/>
    <w:rsid w:val="009D51B0"/>
    <w:rsid w:val="009D71D2"/>
    <w:rsid w:val="009D7350"/>
    <w:rsid w:val="009E156F"/>
    <w:rsid w:val="009E1F6F"/>
    <w:rsid w:val="009E2DAA"/>
    <w:rsid w:val="009E37CC"/>
    <w:rsid w:val="009E3971"/>
    <w:rsid w:val="009E42DA"/>
    <w:rsid w:val="009E4600"/>
    <w:rsid w:val="009E4F6F"/>
    <w:rsid w:val="009E55D8"/>
    <w:rsid w:val="009E57F8"/>
    <w:rsid w:val="009E603E"/>
    <w:rsid w:val="009E6205"/>
    <w:rsid w:val="009E661B"/>
    <w:rsid w:val="009E73FC"/>
    <w:rsid w:val="009E7CEF"/>
    <w:rsid w:val="009F1E81"/>
    <w:rsid w:val="009F275B"/>
    <w:rsid w:val="009F2765"/>
    <w:rsid w:val="009F2A04"/>
    <w:rsid w:val="009F310E"/>
    <w:rsid w:val="009F4472"/>
    <w:rsid w:val="009F44F8"/>
    <w:rsid w:val="009F51D1"/>
    <w:rsid w:val="009F5205"/>
    <w:rsid w:val="009F5E1A"/>
    <w:rsid w:val="009F67DE"/>
    <w:rsid w:val="009F6F06"/>
    <w:rsid w:val="009F7699"/>
    <w:rsid w:val="009F7DB5"/>
    <w:rsid w:val="00A00D0B"/>
    <w:rsid w:val="00A00F24"/>
    <w:rsid w:val="00A0118D"/>
    <w:rsid w:val="00A013D6"/>
    <w:rsid w:val="00A01B9D"/>
    <w:rsid w:val="00A03560"/>
    <w:rsid w:val="00A036D4"/>
    <w:rsid w:val="00A0439B"/>
    <w:rsid w:val="00A05488"/>
    <w:rsid w:val="00A0597F"/>
    <w:rsid w:val="00A05C96"/>
    <w:rsid w:val="00A0601A"/>
    <w:rsid w:val="00A06984"/>
    <w:rsid w:val="00A07040"/>
    <w:rsid w:val="00A07AFF"/>
    <w:rsid w:val="00A1150C"/>
    <w:rsid w:val="00A11A84"/>
    <w:rsid w:val="00A123FB"/>
    <w:rsid w:val="00A13421"/>
    <w:rsid w:val="00A13CC8"/>
    <w:rsid w:val="00A15B92"/>
    <w:rsid w:val="00A16126"/>
    <w:rsid w:val="00A1700D"/>
    <w:rsid w:val="00A17B81"/>
    <w:rsid w:val="00A2052F"/>
    <w:rsid w:val="00A22921"/>
    <w:rsid w:val="00A22D42"/>
    <w:rsid w:val="00A231ED"/>
    <w:rsid w:val="00A24D3C"/>
    <w:rsid w:val="00A25F1D"/>
    <w:rsid w:val="00A2606D"/>
    <w:rsid w:val="00A26BD0"/>
    <w:rsid w:val="00A273B8"/>
    <w:rsid w:val="00A27E5F"/>
    <w:rsid w:val="00A3173C"/>
    <w:rsid w:val="00A31B12"/>
    <w:rsid w:val="00A31C38"/>
    <w:rsid w:val="00A32BB4"/>
    <w:rsid w:val="00A3319E"/>
    <w:rsid w:val="00A332B6"/>
    <w:rsid w:val="00A33754"/>
    <w:rsid w:val="00A33DD9"/>
    <w:rsid w:val="00A351EC"/>
    <w:rsid w:val="00A356D1"/>
    <w:rsid w:val="00A35DD1"/>
    <w:rsid w:val="00A3655E"/>
    <w:rsid w:val="00A36B03"/>
    <w:rsid w:val="00A37075"/>
    <w:rsid w:val="00A37F73"/>
    <w:rsid w:val="00A40622"/>
    <w:rsid w:val="00A40BFC"/>
    <w:rsid w:val="00A415E3"/>
    <w:rsid w:val="00A41648"/>
    <w:rsid w:val="00A41951"/>
    <w:rsid w:val="00A42329"/>
    <w:rsid w:val="00A43AA8"/>
    <w:rsid w:val="00A44713"/>
    <w:rsid w:val="00A447E3"/>
    <w:rsid w:val="00A449C8"/>
    <w:rsid w:val="00A463C2"/>
    <w:rsid w:val="00A4721C"/>
    <w:rsid w:val="00A4749A"/>
    <w:rsid w:val="00A4795A"/>
    <w:rsid w:val="00A50372"/>
    <w:rsid w:val="00A50B70"/>
    <w:rsid w:val="00A51260"/>
    <w:rsid w:val="00A5159D"/>
    <w:rsid w:val="00A5195C"/>
    <w:rsid w:val="00A51BEF"/>
    <w:rsid w:val="00A52045"/>
    <w:rsid w:val="00A529F7"/>
    <w:rsid w:val="00A52E23"/>
    <w:rsid w:val="00A53389"/>
    <w:rsid w:val="00A53D52"/>
    <w:rsid w:val="00A5448D"/>
    <w:rsid w:val="00A54BF6"/>
    <w:rsid w:val="00A54F1D"/>
    <w:rsid w:val="00A55B4F"/>
    <w:rsid w:val="00A565B0"/>
    <w:rsid w:val="00A565F1"/>
    <w:rsid w:val="00A566BA"/>
    <w:rsid w:val="00A6123F"/>
    <w:rsid w:val="00A61637"/>
    <w:rsid w:val="00A61965"/>
    <w:rsid w:val="00A61A5F"/>
    <w:rsid w:val="00A61C37"/>
    <w:rsid w:val="00A61CBD"/>
    <w:rsid w:val="00A62E62"/>
    <w:rsid w:val="00A631AB"/>
    <w:rsid w:val="00A6334E"/>
    <w:rsid w:val="00A633E9"/>
    <w:rsid w:val="00A638DB"/>
    <w:rsid w:val="00A63A2B"/>
    <w:rsid w:val="00A63E32"/>
    <w:rsid w:val="00A63E90"/>
    <w:rsid w:val="00A64059"/>
    <w:rsid w:val="00A64457"/>
    <w:rsid w:val="00A6603E"/>
    <w:rsid w:val="00A66A13"/>
    <w:rsid w:val="00A66A14"/>
    <w:rsid w:val="00A672BA"/>
    <w:rsid w:val="00A6738D"/>
    <w:rsid w:val="00A67B09"/>
    <w:rsid w:val="00A67D4E"/>
    <w:rsid w:val="00A67FD5"/>
    <w:rsid w:val="00A705D0"/>
    <w:rsid w:val="00A70F61"/>
    <w:rsid w:val="00A70F66"/>
    <w:rsid w:val="00A7194F"/>
    <w:rsid w:val="00A72273"/>
    <w:rsid w:val="00A73663"/>
    <w:rsid w:val="00A73C38"/>
    <w:rsid w:val="00A73E93"/>
    <w:rsid w:val="00A743E7"/>
    <w:rsid w:val="00A749CD"/>
    <w:rsid w:val="00A751BE"/>
    <w:rsid w:val="00A7527B"/>
    <w:rsid w:val="00A76D00"/>
    <w:rsid w:val="00A80D90"/>
    <w:rsid w:val="00A80EAD"/>
    <w:rsid w:val="00A81547"/>
    <w:rsid w:val="00A82468"/>
    <w:rsid w:val="00A83195"/>
    <w:rsid w:val="00A83712"/>
    <w:rsid w:val="00A84528"/>
    <w:rsid w:val="00A84845"/>
    <w:rsid w:val="00A84A7A"/>
    <w:rsid w:val="00A8534C"/>
    <w:rsid w:val="00A85B0C"/>
    <w:rsid w:val="00A866C2"/>
    <w:rsid w:val="00A8686B"/>
    <w:rsid w:val="00A871DA"/>
    <w:rsid w:val="00A87965"/>
    <w:rsid w:val="00A925F0"/>
    <w:rsid w:val="00A92611"/>
    <w:rsid w:val="00A92A51"/>
    <w:rsid w:val="00A92C9D"/>
    <w:rsid w:val="00A93772"/>
    <w:rsid w:val="00A93B4D"/>
    <w:rsid w:val="00A94425"/>
    <w:rsid w:val="00A94E9E"/>
    <w:rsid w:val="00A95F19"/>
    <w:rsid w:val="00A9607E"/>
    <w:rsid w:val="00A97802"/>
    <w:rsid w:val="00A978E4"/>
    <w:rsid w:val="00A97D70"/>
    <w:rsid w:val="00A97EBB"/>
    <w:rsid w:val="00AA05E6"/>
    <w:rsid w:val="00AA091C"/>
    <w:rsid w:val="00AA0EB4"/>
    <w:rsid w:val="00AA0F7D"/>
    <w:rsid w:val="00AA207D"/>
    <w:rsid w:val="00AA33B9"/>
    <w:rsid w:val="00AA37EA"/>
    <w:rsid w:val="00AA3A8A"/>
    <w:rsid w:val="00AA433E"/>
    <w:rsid w:val="00AA4BA3"/>
    <w:rsid w:val="00AA580E"/>
    <w:rsid w:val="00AA5AEA"/>
    <w:rsid w:val="00AA5F33"/>
    <w:rsid w:val="00AA6075"/>
    <w:rsid w:val="00AA6757"/>
    <w:rsid w:val="00AA6FA1"/>
    <w:rsid w:val="00AA714F"/>
    <w:rsid w:val="00AA74D3"/>
    <w:rsid w:val="00AA7A38"/>
    <w:rsid w:val="00AA7D06"/>
    <w:rsid w:val="00AA7E4B"/>
    <w:rsid w:val="00AB1261"/>
    <w:rsid w:val="00AB1CFB"/>
    <w:rsid w:val="00AB1F22"/>
    <w:rsid w:val="00AB23A9"/>
    <w:rsid w:val="00AB25CB"/>
    <w:rsid w:val="00AB2702"/>
    <w:rsid w:val="00AB2774"/>
    <w:rsid w:val="00AB2876"/>
    <w:rsid w:val="00AB2F92"/>
    <w:rsid w:val="00AB30D2"/>
    <w:rsid w:val="00AB3528"/>
    <w:rsid w:val="00AB38D2"/>
    <w:rsid w:val="00AB3A3E"/>
    <w:rsid w:val="00AB3B62"/>
    <w:rsid w:val="00AB4982"/>
    <w:rsid w:val="00AB4A1E"/>
    <w:rsid w:val="00AB51B5"/>
    <w:rsid w:val="00AB54B1"/>
    <w:rsid w:val="00AB62E0"/>
    <w:rsid w:val="00AB72FC"/>
    <w:rsid w:val="00AB73DE"/>
    <w:rsid w:val="00AB7B33"/>
    <w:rsid w:val="00AB7F13"/>
    <w:rsid w:val="00AC07B0"/>
    <w:rsid w:val="00AC0C38"/>
    <w:rsid w:val="00AC10B3"/>
    <w:rsid w:val="00AC1B1C"/>
    <w:rsid w:val="00AC2396"/>
    <w:rsid w:val="00AC2517"/>
    <w:rsid w:val="00AC2713"/>
    <w:rsid w:val="00AC3B8E"/>
    <w:rsid w:val="00AC44D3"/>
    <w:rsid w:val="00AC4A5F"/>
    <w:rsid w:val="00AC4F4C"/>
    <w:rsid w:val="00AC5214"/>
    <w:rsid w:val="00AC53CC"/>
    <w:rsid w:val="00AC6275"/>
    <w:rsid w:val="00AC697E"/>
    <w:rsid w:val="00AC6BA8"/>
    <w:rsid w:val="00AC6BBE"/>
    <w:rsid w:val="00AC7415"/>
    <w:rsid w:val="00AC7C75"/>
    <w:rsid w:val="00AD06C4"/>
    <w:rsid w:val="00AD0835"/>
    <w:rsid w:val="00AD1250"/>
    <w:rsid w:val="00AD12F4"/>
    <w:rsid w:val="00AD19A0"/>
    <w:rsid w:val="00AD1A07"/>
    <w:rsid w:val="00AD1DEF"/>
    <w:rsid w:val="00AD2863"/>
    <w:rsid w:val="00AD367E"/>
    <w:rsid w:val="00AD379D"/>
    <w:rsid w:val="00AD3BEB"/>
    <w:rsid w:val="00AD3F32"/>
    <w:rsid w:val="00AD411D"/>
    <w:rsid w:val="00AD44E2"/>
    <w:rsid w:val="00AD4DF9"/>
    <w:rsid w:val="00AD633B"/>
    <w:rsid w:val="00AD66C4"/>
    <w:rsid w:val="00AD763E"/>
    <w:rsid w:val="00AE086D"/>
    <w:rsid w:val="00AE1213"/>
    <w:rsid w:val="00AE1650"/>
    <w:rsid w:val="00AE1A88"/>
    <w:rsid w:val="00AE1BF0"/>
    <w:rsid w:val="00AE20DC"/>
    <w:rsid w:val="00AE2CE0"/>
    <w:rsid w:val="00AE3322"/>
    <w:rsid w:val="00AE4CF5"/>
    <w:rsid w:val="00AE7370"/>
    <w:rsid w:val="00AE7572"/>
    <w:rsid w:val="00AE7B59"/>
    <w:rsid w:val="00AF0134"/>
    <w:rsid w:val="00AF04A2"/>
    <w:rsid w:val="00AF0690"/>
    <w:rsid w:val="00AF075F"/>
    <w:rsid w:val="00AF0E44"/>
    <w:rsid w:val="00AF313B"/>
    <w:rsid w:val="00AF37D5"/>
    <w:rsid w:val="00AF3E26"/>
    <w:rsid w:val="00AF4C64"/>
    <w:rsid w:val="00AF4D44"/>
    <w:rsid w:val="00AF5AF1"/>
    <w:rsid w:val="00AF5E38"/>
    <w:rsid w:val="00AF6313"/>
    <w:rsid w:val="00AF6ED9"/>
    <w:rsid w:val="00AF723F"/>
    <w:rsid w:val="00B0029C"/>
    <w:rsid w:val="00B005F8"/>
    <w:rsid w:val="00B00B7E"/>
    <w:rsid w:val="00B0209E"/>
    <w:rsid w:val="00B02BB8"/>
    <w:rsid w:val="00B0361B"/>
    <w:rsid w:val="00B03F74"/>
    <w:rsid w:val="00B04B20"/>
    <w:rsid w:val="00B050B7"/>
    <w:rsid w:val="00B05130"/>
    <w:rsid w:val="00B05817"/>
    <w:rsid w:val="00B05AAA"/>
    <w:rsid w:val="00B05F01"/>
    <w:rsid w:val="00B060A5"/>
    <w:rsid w:val="00B06AFB"/>
    <w:rsid w:val="00B0723A"/>
    <w:rsid w:val="00B1022F"/>
    <w:rsid w:val="00B10299"/>
    <w:rsid w:val="00B1192B"/>
    <w:rsid w:val="00B11AC4"/>
    <w:rsid w:val="00B13223"/>
    <w:rsid w:val="00B13A29"/>
    <w:rsid w:val="00B13BCC"/>
    <w:rsid w:val="00B1476B"/>
    <w:rsid w:val="00B149D6"/>
    <w:rsid w:val="00B14F8E"/>
    <w:rsid w:val="00B155AB"/>
    <w:rsid w:val="00B155F9"/>
    <w:rsid w:val="00B1575C"/>
    <w:rsid w:val="00B15EDF"/>
    <w:rsid w:val="00B161FC"/>
    <w:rsid w:val="00B16328"/>
    <w:rsid w:val="00B16DC7"/>
    <w:rsid w:val="00B17631"/>
    <w:rsid w:val="00B20929"/>
    <w:rsid w:val="00B21105"/>
    <w:rsid w:val="00B2206F"/>
    <w:rsid w:val="00B221B5"/>
    <w:rsid w:val="00B22A8F"/>
    <w:rsid w:val="00B22AAA"/>
    <w:rsid w:val="00B22CC0"/>
    <w:rsid w:val="00B22EF3"/>
    <w:rsid w:val="00B23FD8"/>
    <w:rsid w:val="00B240FF"/>
    <w:rsid w:val="00B2466A"/>
    <w:rsid w:val="00B25949"/>
    <w:rsid w:val="00B25980"/>
    <w:rsid w:val="00B25B87"/>
    <w:rsid w:val="00B25C8A"/>
    <w:rsid w:val="00B26166"/>
    <w:rsid w:val="00B26272"/>
    <w:rsid w:val="00B2650B"/>
    <w:rsid w:val="00B27135"/>
    <w:rsid w:val="00B27B22"/>
    <w:rsid w:val="00B3074F"/>
    <w:rsid w:val="00B30773"/>
    <w:rsid w:val="00B31007"/>
    <w:rsid w:val="00B3119F"/>
    <w:rsid w:val="00B31562"/>
    <w:rsid w:val="00B31980"/>
    <w:rsid w:val="00B31CCF"/>
    <w:rsid w:val="00B31FCB"/>
    <w:rsid w:val="00B32BC1"/>
    <w:rsid w:val="00B32CC1"/>
    <w:rsid w:val="00B3364C"/>
    <w:rsid w:val="00B34B12"/>
    <w:rsid w:val="00B34F1A"/>
    <w:rsid w:val="00B35166"/>
    <w:rsid w:val="00B3761D"/>
    <w:rsid w:val="00B3788F"/>
    <w:rsid w:val="00B40041"/>
    <w:rsid w:val="00B40055"/>
    <w:rsid w:val="00B4058C"/>
    <w:rsid w:val="00B41F81"/>
    <w:rsid w:val="00B421CE"/>
    <w:rsid w:val="00B4312F"/>
    <w:rsid w:val="00B43492"/>
    <w:rsid w:val="00B4378F"/>
    <w:rsid w:val="00B440D8"/>
    <w:rsid w:val="00B4618F"/>
    <w:rsid w:val="00B47282"/>
    <w:rsid w:val="00B47BD7"/>
    <w:rsid w:val="00B503DA"/>
    <w:rsid w:val="00B504B5"/>
    <w:rsid w:val="00B5068C"/>
    <w:rsid w:val="00B50D4B"/>
    <w:rsid w:val="00B513BF"/>
    <w:rsid w:val="00B51D16"/>
    <w:rsid w:val="00B522CD"/>
    <w:rsid w:val="00B5232D"/>
    <w:rsid w:val="00B52C7E"/>
    <w:rsid w:val="00B53BBF"/>
    <w:rsid w:val="00B5518E"/>
    <w:rsid w:val="00B556C5"/>
    <w:rsid w:val="00B5584B"/>
    <w:rsid w:val="00B55C71"/>
    <w:rsid w:val="00B56D6C"/>
    <w:rsid w:val="00B5759E"/>
    <w:rsid w:val="00B57BC8"/>
    <w:rsid w:val="00B57E06"/>
    <w:rsid w:val="00B6068B"/>
    <w:rsid w:val="00B6071A"/>
    <w:rsid w:val="00B607C6"/>
    <w:rsid w:val="00B61645"/>
    <w:rsid w:val="00B61F30"/>
    <w:rsid w:val="00B62AF6"/>
    <w:rsid w:val="00B62FF5"/>
    <w:rsid w:val="00B63937"/>
    <w:rsid w:val="00B65156"/>
    <w:rsid w:val="00B673FD"/>
    <w:rsid w:val="00B676E5"/>
    <w:rsid w:val="00B677B1"/>
    <w:rsid w:val="00B702E5"/>
    <w:rsid w:val="00B706AB"/>
    <w:rsid w:val="00B70EC8"/>
    <w:rsid w:val="00B713F5"/>
    <w:rsid w:val="00B7361E"/>
    <w:rsid w:val="00B744AF"/>
    <w:rsid w:val="00B75353"/>
    <w:rsid w:val="00B762D2"/>
    <w:rsid w:val="00B766FA"/>
    <w:rsid w:val="00B76F88"/>
    <w:rsid w:val="00B77B4D"/>
    <w:rsid w:val="00B80316"/>
    <w:rsid w:val="00B8198A"/>
    <w:rsid w:val="00B8304E"/>
    <w:rsid w:val="00B83106"/>
    <w:rsid w:val="00B83361"/>
    <w:rsid w:val="00B83CFC"/>
    <w:rsid w:val="00B84240"/>
    <w:rsid w:val="00B85199"/>
    <w:rsid w:val="00B854FB"/>
    <w:rsid w:val="00B85F13"/>
    <w:rsid w:val="00B86187"/>
    <w:rsid w:val="00B86C2D"/>
    <w:rsid w:val="00B87128"/>
    <w:rsid w:val="00B872F5"/>
    <w:rsid w:val="00B87705"/>
    <w:rsid w:val="00B87ABB"/>
    <w:rsid w:val="00B9008F"/>
    <w:rsid w:val="00B91FED"/>
    <w:rsid w:val="00B924E3"/>
    <w:rsid w:val="00B929B9"/>
    <w:rsid w:val="00B933CF"/>
    <w:rsid w:val="00B93A15"/>
    <w:rsid w:val="00B942F1"/>
    <w:rsid w:val="00B9534D"/>
    <w:rsid w:val="00B9597F"/>
    <w:rsid w:val="00B96080"/>
    <w:rsid w:val="00B961D1"/>
    <w:rsid w:val="00B9623D"/>
    <w:rsid w:val="00B96490"/>
    <w:rsid w:val="00B965EC"/>
    <w:rsid w:val="00B96806"/>
    <w:rsid w:val="00B96887"/>
    <w:rsid w:val="00B96EA2"/>
    <w:rsid w:val="00B97E79"/>
    <w:rsid w:val="00BA0CF3"/>
    <w:rsid w:val="00BA11C5"/>
    <w:rsid w:val="00BA1C11"/>
    <w:rsid w:val="00BA26EF"/>
    <w:rsid w:val="00BA27BD"/>
    <w:rsid w:val="00BA320C"/>
    <w:rsid w:val="00BA324F"/>
    <w:rsid w:val="00BA34BA"/>
    <w:rsid w:val="00BA34C0"/>
    <w:rsid w:val="00BA388D"/>
    <w:rsid w:val="00BA4AEE"/>
    <w:rsid w:val="00BA4C45"/>
    <w:rsid w:val="00BA54C0"/>
    <w:rsid w:val="00BA5BB3"/>
    <w:rsid w:val="00BA63E5"/>
    <w:rsid w:val="00BA7541"/>
    <w:rsid w:val="00BA77B3"/>
    <w:rsid w:val="00BB010D"/>
    <w:rsid w:val="00BB0557"/>
    <w:rsid w:val="00BB0A07"/>
    <w:rsid w:val="00BB108F"/>
    <w:rsid w:val="00BB113E"/>
    <w:rsid w:val="00BB18F7"/>
    <w:rsid w:val="00BB1972"/>
    <w:rsid w:val="00BB1B10"/>
    <w:rsid w:val="00BB1B37"/>
    <w:rsid w:val="00BB1EC6"/>
    <w:rsid w:val="00BB449B"/>
    <w:rsid w:val="00BB4944"/>
    <w:rsid w:val="00BB4CCE"/>
    <w:rsid w:val="00BB4DF2"/>
    <w:rsid w:val="00BB5E7D"/>
    <w:rsid w:val="00BB63CF"/>
    <w:rsid w:val="00BB7EC9"/>
    <w:rsid w:val="00BC00A1"/>
    <w:rsid w:val="00BC01E2"/>
    <w:rsid w:val="00BC091A"/>
    <w:rsid w:val="00BC100A"/>
    <w:rsid w:val="00BC2D08"/>
    <w:rsid w:val="00BC3025"/>
    <w:rsid w:val="00BC33D0"/>
    <w:rsid w:val="00BC3460"/>
    <w:rsid w:val="00BC3F16"/>
    <w:rsid w:val="00BC463F"/>
    <w:rsid w:val="00BC4A1C"/>
    <w:rsid w:val="00BC4C49"/>
    <w:rsid w:val="00BC564D"/>
    <w:rsid w:val="00BC712D"/>
    <w:rsid w:val="00BD0093"/>
    <w:rsid w:val="00BD0DAC"/>
    <w:rsid w:val="00BD1388"/>
    <w:rsid w:val="00BD13AC"/>
    <w:rsid w:val="00BD1BAD"/>
    <w:rsid w:val="00BD2371"/>
    <w:rsid w:val="00BD25BE"/>
    <w:rsid w:val="00BD3067"/>
    <w:rsid w:val="00BD3D3B"/>
    <w:rsid w:val="00BD4869"/>
    <w:rsid w:val="00BD557D"/>
    <w:rsid w:val="00BD586E"/>
    <w:rsid w:val="00BD66D3"/>
    <w:rsid w:val="00BD6A6B"/>
    <w:rsid w:val="00BD6D21"/>
    <w:rsid w:val="00BD7107"/>
    <w:rsid w:val="00BD7F00"/>
    <w:rsid w:val="00BE228A"/>
    <w:rsid w:val="00BE2571"/>
    <w:rsid w:val="00BE2864"/>
    <w:rsid w:val="00BE28CE"/>
    <w:rsid w:val="00BE35AF"/>
    <w:rsid w:val="00BE3BE5"/>
    <w:rsid w:val="00BE3F42"/>
    <w:rsid w:val="00BE4809"/>
    <w:rsid w:val="00BE4992"/>
    <w:rsid w:val="00BE59F9"/>
    <w:rsid w:val="00BE5D46"/>
    <w:rsid w:val="00BE5F12"/>
    <w:rsid w:val="00BE6A88"/>
    <w:rsid w:val="00BE76F6"/>
    <w:rsid w:val="00BF0C4A"/>
    <w:rsid w:val="00BF0FE2"/>
    <w:rsid w:val="00BF1070"/>
    <w:rsid w:val="00BF120F"/>
    <w:rsid w:val="00BF1D53"/>
    <w:rsid w:val="00BF2528"/>
    <w:rsid w:val="00BF293A"/>
    <w:rsid w:val="00BF2F5B"/>
    <w:rsid w:val="00BF3401"/>
    <w:rsid w:val="00BF3A32"/>
    <w:rsid w:val="00BF47EC"/>
    <w:rsid w:val="00BF4FA0"/>
    <w:rsid w:val="00BF5FF8"/>
    <w:rsid w:val="00BF6CDF"/>
    <w:rsid w:val="00BF701E"/>
    <w:rsid w:val="00BF71BD"/>
    <w:rsid w:val="00BF71F5"/>
    <w:rsid w:val="00C0007A"/>
    <w:rsid w:val="00C001BB"/>
    <w:rsid w:val="00C005E3"/>
    <w:rsid w:val="00C00641"/>
    <w:rsid w:val="00C00841"/>
    <w:rsid w:val="00C0120F"/>
    <w:rsid w:val="00C01F35"/>
    <w:rsid w:val="00C02CC2"/>
    <w:rsid w:val="00C02D71"/>
    <w:rsid w:val="00C03F13"/>
    <w:rsid w:val="00C04B59"/>
    <w:rsid w:val="00C05CDC"/>
    <w:rsid w:val="00C05FF0"/>
    <w:rsid w:val="00C0612E"/>
    <w:rsid w:val="00C06501"/>
    <w:rsid w:val="00C06F9F"/>
    <w:rsid w:val="00C07006"/>
    <w:rsid w:val="00C07073"/>
    <w:rsid w:val="00C0739F"/>
    <w:rsid w:val="00C076C6"/>
    <w:rsid w:val="00C07B39"/>
    <w:rsid w:val="00C07C23"/>
    <w:rsid w:val="00C108D2"/>
    <w:rsid w:val="00C109BE"/>
    <w:rsid w:val="00C11DAE"/>
    <w:rsid w:val="00C12301"/>
    <w:rsid w:val="00C125C5"/>
    <w:rsid w:val="00C12A4D"/>
    <w:rsid w:val="00C12FC8"/>
    <w:rsid w:val="00C1345C"/>
    <w:rsid w:val="00C13FFE"/>
    <w:rsid w:val="00C14367"/>
    <w:rsid w:val="00C14388"/>
    <w:rsid w:val="00C145CB"/>
    <w:rsid w:val="00C14B77"/>
    <w:rsid w:val="00C150E6"/>
    <w:rsid w:val="00C152DB"/>
    <w:rsid w:val="00C1561E"/>
    <w:rsid w:val="00C158DF"/>
    <w:rsid w:val="00C15E2D"/>
    <w:rsid w:val="00C16FA4"/>
    <w:rsid w:val="00C179CB"/>
    <w:rsid w:val="00C201C2"/>
    <w:rsid w:val="00C202BE"/>
    <w:rsid w:val="00C20399"/>
    <w:rsid w:val="00C2096A"/>
    <w:rsid w:val="00C21A2A"/>
    <w:rsid w:val="00C21AA4"/>
    <w:rsid w:val="00C22691"/>
    <w:rsid w:val="00C22AAD"/>
    <w:rsid w:val="00C2340B"/>
    <w:rsid w:val="00C23439"/>
    <w:rsid w:val="00C239C1"/>
    <w:rsid w:val="00C23EDB"/>
    <w:rsid w:val="00C241EE"/>
    <w:rsid w:val="00C246E5"/>
    <w:rsid w:val="00C248D8"/>
    <w:rsid w:val="00C24D09"/>
    <w:rsid w:val="00C24FCB"/>
    <w:rsid w:val="00C24FEC"/>
    <w:rsid w:val="00C25131"/>
    <w:rsid w:val="00C26D96"/>
    <w:rsid w:val="00C27C82"/>
    <w:rsid w:val="00C302FA"/>
    <w:rsid w:val="00C3117D"/>
    <w:rsid w:val="00C317F5"/>
    <w:rsid w:val="00C31C23"/>
    <w:rsid w:val="00C32563"/>
    <w:rsid w:val="00C325C8"/>
    <w:rsid w:val="00C32F1B"/>
    <w:rsid w:val="00C32FA0"/>
    <w:rsid w:val="00C33DDC"/>
    <w:rsid w:val="00C340A5"/>
    <w:rsid w:val="00C340C0"/>
    <w:rsid w:val="00C34342"/>
    <w:rsid w:val="00C34D81"/>
    <w:rsid w:val="00C35435"/>
    <w:rsid w:val="00C35745"/>
    <w:rsid w:val="00C35EA7"/>
    <w:rsid w:val="00C362CE"/>
    <w:rsid w:val="00C379B4"/>
    <w:rsid w:val="00C37BFD"/>
    <w:rsid w:val="00C37FF4"/>
    <w:rsid w:val="00C40395"/>
    <w:rsid w:val="00C4067F"/>
    <w:rsid w:val="00C4089E"/>
    <w:rsid w:val="00C40ABF"/>
    <w:rsid w:val="00C40EBA"/>
    <w:rsid w:val="00C41794"/>
    <w:rsid w:val="00C41B02"/>
    <w:rsid w:val="00C42501"/>
    <w:rsid w:val="00C42733"/>
    <w:rsid w:val="00C42BD7"/>
    <w:rsid w:val="00C434AD"/>
    <w:rsid w:val="00C43AB9"/>
    <w:rsid w:val="00C43C98"/>
    <w:rsid w:val="00C444FB"/>
    <w:rsid w:val="00C4452B"/>
    <w:rsid w:val="00C44D3E"/>
    <w:rsid w:val="00C44DFE"/>
    <w:rsid w:val="00C450AB"/>
    <w:rsid w:val="00C4534D"/>
    <w:rsid w:val="00C4535E"/>
    <w:rsid w:val="00C4572E"/>
    <w:rsid w:val="00C45F55"/>
    <w:rsid w:val="00C46048"/>
    <w:rsid w:val="00C46601"/>
    <w:rsid w:val="00C46FCB"/>
    <w:rsid w:val="00C47C3E"/>
    <w:rsid w:val="00C508F1"/>
    <w:rsid w:val="00C50EEE"/>
    <w:rsid w:val="00C51D89"/>
    <w:rsid w:val="00C51E9C"/>
    <w:rsid w:val="00C5317D"/>
    <w:rsid w:val="00C542BE"/>
    <w:rsid w:val="00C54791"/>
    <w:rsid w:val="00C5488E"/>
    <w:rsid w:val="00C54998"/>
    <w:rsid w:val="00C552F7"/>
    <w:rsid w:val="00C559A5"/>
    <w:rsid w:val="00C55E50"/>
    <w:rsid w:val="00C55F0F"/>
    <w:rsid w:val="00C56438"/>
    <w:rsid w:val="00C5686C"/>
    <w:rsid w:val="00C56A1E"/>
    <w:rsid w:val="00C5746F"/>
    <w:rsid w:val="00C604FD"/>
    <w:rsid w:val="00C60BE4"/>
    <w:rsid w:val="00C61CD2"/>
    <w:rsid w:val="00C62166"/>
    <w:rsid w:val="00C6258A"/>
    <w:rsid w:val="00C62C89"/>
    <w:rsid w:val="00C645F5"/>
    <w:rsid w:val="00C64745"/>
    <w:rsid w:val="00C65994"/>
    <w:rsid w:val="00C65B38"/>
    <w:rsid w:val="00C65BD1"/>
    <w:rsid w:val="00C65F7C"/>
    <w:rsid w:val="00C6647D"/>
    <w:rsid w:val="00C666A9"/>
    <w:rsid w:val="00C668E6"/>
    <w:rsid w:val="00C6788C"/>
    <w:rsid w:val="00C67A76"/>
    <w:rsid w:val="00C7061C"/>
    <w:rsid w:val="00C70809"/>
    <w:rsid w:val="00C727F7"/>
    <w:rsid w:val="00C72B60"/>
    <w:rsid w:val="00C72D56"/>
    <w:rsid w:val="00C731F6"/>
    <w:rsid w:val="00C7387C"/>
    <w:rsid w:val="00C738FF"/>
    <w:rsid w:val="00C74819"/>
    <w:rsid w:val="00C74AF1"/>
    <w:rsid w:val="00C76002"/>
    <w:rsid w:val="00C76EA8"/>
    <w:rsid w:val="00C77927"/>
    <w:rsid w:val="00C77AD8"/>
    <w:rsid w:val="00C77D86"/>
    <w:rsid w:val="00C81A74"/>
    <w:rsid w:val="00C81F27"/>
    <w:rsid w:val="00C832C2"/>
    <w:rsid w:val="00C8418E"/>
    <w:rsid w:val="00C85643"/>
    <w:rsid w:val="00C858C9"/>
    <w:rsid w:val="00C85CA8"/>
    <w:rsid w:val="00C86748"/>
    <w:rsid w:val="00C86878"/>
    <w:rsid w:val="00C87E22"/>
    <w:rsid w:val="00C9010B"/>
    <w:rsid w:val="00C9046E"/>
    <w:rsid w:val="00C90548"/>
    <w:rsid w:val="00C91998"/>
    <w:rsid w:val="00C91E65"/>
    <w:rsid w:val="00C92003"/>
    <w:rsid w:val="00C92C0F"/>
    <w:rsid w:val="00C93377"/>
    <w:rsid w:val="00C93D1D"/>
    <w:rsid w:val="00C940A2"/>
    <w:rsid w:val="00C9438E"/>
    <w:rsid w:val="00C94644"/>
    <w:rsid w:val="00C946E2"/>
    <w:rsid w:val="00C94D62"/>
    <w:rsid w:val="00C94DE0"/>
    <w:rsid w:val="00C9542F"/>
    <w:rsid w:val="00C95673"/>
    <w:rsid w:val="00C959DC"/>
    <w:rsid w:val="00C95FC6"/>
    <w:rsid w:val="00C976F4"/>
    <w:rsid w:val="00CA0087"/>
    <w:rsid w:val="00CA0C31"/>
    <w:rsid w:val="00CA0C59"/>
    <w:rsid w:val="00CA19E7"/>
    <w:rsid w:val="00CA2399"/>
    <w:rsid w:val="00CA2607"/>
    <w:rsid w:val="00CA275A"/>
    <w:rsid w:val="00CA28F3"/>
    <w:rsid w:val="00CA3C1F"/>
    <w:rsid w:val="00CA52AF"/>
    <w:rsid w:val="00CA6032"/>
    <w:rsid w:val="00CA670A"/>
    <w:rsid w:val="00CA69D3"/>
    <w:rsid w:val="00CA6CB3"/>
    <w:rsid w:val="00CA6E1F"/>
    <w:rsid w:val="00CA77ED"/>
    <w:rsid w:val="00CA7BE3"/>
    <w:rsid w:val="00CB03C1"/>
    <w:rsid w:val="00CB0E69"/>
    <w:rsid w:val="00CB283F"/>
    <w:rsid w:val="00CB332A"/>
    <w:rsid w:val="00CB4346"/>
    <w:rsid w:val="00CB4A6F"/>
    <w:rsid w:val="00CB4F59"/>
    <w:rsid w:val="00CB54C9"/>
    <w:rsid w:val="00CB6174"/>
    <w:rsid w:val="00CB62BC"/>
    <w:rsid w:val="00CB6451"/>
    <w:rsid w:val="00CB7762"/>
    <w:rsid w:val="00CC0147"/>
    <w:rsid w:val="00CC0B20"/>
    <w:rsid w:val="00CC1BEE"/>
    <w:rsid w:val="00CC2005"/>
    <w:rsid w:val="00CC270B"/>
    <w:rsid w:val="00CC2778"/>
    <w:rsid w:val="00CC3516"/>
    <w:rsid w:val="00CC38F9"/>
    <w:rsid w:val="00CC3A32"/>
    <w:rsid w:val="00CC3E32"/>
    <w:rsid w:val="00CC549E"/>
    <w:rsid w:val="00CC5901"/>
    <w:rsid w:val="00CC5D76"/>
    <w:rsid w:val="00CC6445"/>
    <w:rsid w:val="00CC6F23"/>
    <w:rsid w:val="00CC716B"/>
    <w:rsid w:val="00CC79C1"/>
    <w:rsid w:val="00CC7DD2"/>
    <w:rsid w:val="00CD0A3D"/>
    <w:rsid w:val="00CD0E19"/>
    <w:rsid w:val="00CD18F7"/>
    <w:rsid w:val="00CD43D8"/>
    <w:rsid w:val="00CD5257"/>
    <w:rsid w:val="00CD52DC"/>
    <w:rsid w:val="00CD594F"/>
    <w:rsid w:val="00CD64C7"/>
    <w:rsid w:val="00CD693A"/>
    <w:rsid w:val="00CD6CDF"/>
    <w:rsid w:val="00CD7175"/>
    <w:rsid w:val="00CE0565"/>
    <w:rsid w:val="00CE0AC6"/>
    <w:rsid w:val="00CE0F86"/>
    <w:rsid w:val="00CE100E"/>
    <w:rsid w:val="00CE1BCC"/>
    <w:rsid w:val="00CE1E83"/>
    <w:rsid w:val="00CE2A65"/>
    <w:rsid w:val="00CE33DA"/>
    <w:rsid w:val="00CE3E1C"/>
    <w:rsid w:val="00CE441E"/>
    <w:rsid w:val="00CE4F0A"/>
    <w:rsid w:val="00CE550C"/>
    <w:rsid w:val="00CE5E25"/>
    <w:rsid w:val="00CE67FD"/>
    <w:rsid w:val="00CE6A22"/>
    <w:rsid w:val="00CE72B5"/>
    <w:rsid w:val="00CE7834"/>
    <w:rsid w:val="00CF14D0"/>
    <w:rsid w:val="00CF19B5"/>
    <w:rsid w:val="00CF1A0A"/>
    <w:rsid w:val="00CF3E3D"/>
    <w:rsid w:val="00CF49EE"/>
    <w:rsid w:val="00CF4B9B"/>
    <w:rsid w:val="00CF58A3"/>
    <w:rsid w:val="00CF7001"/>
    <w:rsid w:val="00CF7708"/>
    <w:rsid w:val="00CF7C6D"/>
    <w:rsid w:val="00D013EA"/>
    <w:rsid w:val="00D01427"/>
    <w:rsid w:val="00D01819"/>
    <w:rsid w:val="00D02037"/>
    <w:rsid w:val="00D02CA8"/>
    <w:rsid w:val="00D03200"/>
    <w:rsid w:val="00D04909"/>
    <w:rsid w:val="00D051AA"/>
    <w:rsid w:val="00D05290"/>
    <w:rsid w:val="00D06032"/>
    <w:rsid w:val="00D06C03"/>
    <w:rsid w:val="00D077B8"/>
    <w:rsid w:val="00D07899"/>
    <w:rsid w:val="00D07B3E"/>
    <w:rsid w:val="00D102BC"/>
    <w:rsid w:val="00D10F90"/>
    <w:rsid w:val="00D10FA3"/>
    <w:rsid w:val="00D1188A"/>
    <w:rsid w:val="00D11FBD"/>
    <w:rsid w:val="00D124EA"/>
    <w:rsid w:val="00D131A7"/>
    <w:rsid w:val="00D13C16"/>
    <w:rsid w:val="00D15174"/>
    <w:rsid w:val="00D152F3"/>
    <w:rsid w:val="00D153DB"/>
    <w:rsid w:val="00D163EA"/>
    <w:rsid w:val="00D16F8C"/>
    <w:rsid w:val="00D17C6E"/>
    <w:rsid w:val="00D2072A"/>
    <w:rsid w:val="00D207D2"/>
    <w:rsid w:val="00D20B60"/>
    <w:rsid w:val="00D21209"/>
    <w:rsid w:val="00D21377"/>
    <w:rsid w:val="00D22147"/>
    <w:rsid w:val="00D22830"/>
    <w:rsid w:val="00D22972"/>
    <w:rsid w:val="00D23123"/>
    <w:rsid w:val="00D23460"/>
    <w:rsid w:val="00D2368F"/>
    <w:rsid w:val="00D23F3F"/>
    <w:rsid w:val="00D24ABD"/>
    <w:rsid w:val="00D24CA2"/>
    <w:rsid w:val="00D24FDB"/>
    <w:rsid w:val="00D25F00"/>
    <w:rsid w:val="00D26510"/>
    <w:rsid w:val="00D270E0"/>
    <w:rsid w:val="00D27825"/>
    <w:rsid w:val="00D27CE1"/>
    <w:rsid w:val="00D27F15"/>
    <w:rsid w:val="00D303FF"/>
    <w:rsid w:val="00D305DE"/>
    <w:rsid w:val="00D31106"/>
    <w:rsid w:val="00D317AE"/>
    <w:rsid w:val="00D31D52"/>
    <w:rsid w:val="00D31EDC"/>
    <w:rsid w:val="00D3278A"/>
    <w:rsid w:val="00D32A4A"/>
    <w:rsid w:val="00D32D18"/>
    <w:rsid w:val="00D3374E"/>
    <w:rsid w:val="00D33A4B"/>
    <w:rsid w:val="00D3408C"/>
    <w:rsid w:val="00D34781"/>
    <w:rsid w:val="00D34A9D"/>
    <w:rsid w:val="00D3532B"/>
    <w:rsid w:val="00D354B2"/>
    <w:rsid w:val="00D35718"/>
    <w:rsid w:val="00D35C51"/>
    <w:rsid w:val="00D36733"/>
    <w:rsid w:val="00D36747"/>
    <w:rsid w:val="00D36D21"/>
    <w:rsid w:val="00D3740A"/>
    <w:rsid w:val="00D4018E"/>
    <w:rsid w:val="00D407DF"/>
    <w:rsid w:val="00D40CED"/>
    <w:rsid w:val="00D414C4"/>
    <w:rsid w:val="00D41F44"/>
    <w:rsid w:val="00D43494"/>
    <w:rsid w:val="00D44512"/>
    <w:rsid w:val="00D4492B"/>
    <w:rsid w:val="00D44C73"/>
    <w:rsid w:val="00D4516F"/>
    <w:rsid w:val="00D45C03"/>
    <w:rsid w:val="00D462AA"/>
    <w:rsid w:val="00D47051"/>
    <w:rsid w:val="00D50343"/>
    <w:rsid w:val="00D5093E"/>
    <w:rsid w:val="00D509AD"/>
    <w:rsid w:val="00D5146C"/>
    <w:rsid w:val="00D51E66"/>
    <w:rsid w:val="00D52044"/>
    <w:rsid w:val="00D52326"/>
    <w:rsid w:val="00D5288F"/>
    <w:rsid w:val="00D537D1"/>
    <w:rsid w:val="00D53911"/>
    <w:rsid w:val="00D53FBE"/>
    <w:rsid w:val="00D55C55"/>
    <w:rsid w:val="00D56B3E"/>
    <w:rsid w:val="00D56E32"/>
    <w:rsid w:val="00D578F2"/>
    <w:rsid w:val="00D57BB7"/>
    <w:rsid w:val="00D57F57"/>
    <w:rsid w:val="00D600FE"/>
    <w:rsid w:val="00D60445"/>
    <w:rsid w:val="00D60572"/>
    <w:rsid w:val="00D60644"/>
    <w:rsid w:val="00D61A4E"/>
    <w:rsid w:val="00D62312"/>
    <w:rsid w:val="00D62805"/>
    <w:rsid w:val="00D6292E"/>
    <w:rsid w:val="00D62EFA"/>
    <w:rsid w:val="00D630DD"/>
    <w:rsid w:val="00D647E9"/>
    <w:rsid w:val="00D64906"/>
    <w:rsid w:val="00D64BAA"/>
    <w:rsid w:val="00D64D2A"/>
    <w:rsid w:val="00D6502D"/>
    <w:rsid w:val="00D6520F"/>
    <w:rsid w:val="00D662B7"/>
    <w:rsid w:val="00D66B80"/>
    <w:rsid w:val="00D66BDA"/>
    <w:rsid w:val="00D66DE3"/>
    <w:rsid w:val="00D670A7"/>
    <w:rsid w:val="00D67D5E"/>
    <w:rsid w:val="00D70312"/>
    <w:rsid w:val="00D70D1F"/>
    <w:rsid w:val="00D71834"/>
    <w:rsid w:val="00D71C2A"/>
    <w:rsid w:val="00D73130"/>
    <w:rsid w:val="00D73164"/>
    <w:rsid w:val="00D733B8"/>
    <w:rsid w:val="00D7353C"/>
    <w:rsid w:val="00D73C67"/>
    <w:rsid w:val="00D73E0D"/>
    <w:rsid w:val="00D74800"/>
    <w:rsid w:val="00D74923"/>
    <w:rsid w:val="00D74F54"/>
    <w:rsid w:val="00D75566"/>
    <w:rsid w:val="00D758F3"/>
    <w:rsid w:val="00D75A32"/>
    <w:rsid w:val="00D76919"/>
    <w:rsid w:val="00D76936"/>
    <w:rsid w:val="00D76A11"/>
    <w:rsid w:val="00D76B7E"/>
    <w:rsid w:val="00D80FE0"/>
    <w:rsid w:val="00D818AD"/>
    <w:rsid w:val="00D82328"/>
    <w:rsid w:val="00D82B48"/>
    <w:rsid w:val="00D832DF"/>
    <w:rsid w:val="00D83444"/>
    <w:rsid w:val="00D84905"/>
    <w:rsid w:val="00D857C7"/>
    <w:rsid w:val="00D85E30"/>
    <w:rsid w:val="00D85F9F"/>
    <w:rsid w:val="00D8639B"/>
    <w:rsid w:val="00D863A9"/>
    <w:rsid w:val="00D86663"/>
    <w:rsid w:val="00D86B31"/>
    <w:rsid w:val="00D86E39"/>
    <w:rsid w:val="00D87C59"/>
    <w:rsid w:val="00D87DC9"/>
    <w:rsid w:val="00D90541"/>
    <w:rsid w:val="00D91BA3"/>
    <w:rsid w:val="00D91F8B"/>
    <w:rsid w:val="00D924CF"/>
    <w:rsid w:val="00D9384D"/>
    <w:rsid w:val="00D93999"/>
    <w:rsid w:val="00D93A97"/>
    <w:rsid w:val="00D93F52"/>
    <w:rsid w:val="00D957AB"/>
    <w:rsid w:val="00D959E8"/>
    <w:rsid w:val="00D9602D"/>
    <w:rsid w:val="00D96323"/>
    <w:rsid w:val="00D96C04"/>
    <w:rsid w:val="00D97754"/>
    <w:rsid w:val="00D97E90"/>
    <w:rsid w:val="00DA12E2"/>
    <w:rsid w:val="00DA15A7"/>
    <w:rsid w:val="00DA1EAE"/>
    <w:rsid w:val="00DA2993"/>
    <w:rsid w:val="00DA2CFC"/>
    <w:rsid w:val="00DA3651"/>
    <w:rsid w:val="00DA3A86"/>
    <w:rsid w:val="00DA3C6E"/>
    <w:rsid w:val="00DA46A5"/>
    <w:rsid w:val="00DA576D"/>
    <w:rsid w:val="00DA5D3F"/>
    <w:rsid w:val="00DA66C4"/>
    <w:rsid w:val="00DA79F9"/>
    <w:rsid w:val="00DA7B7D"/>
    <w:rsid w:val="00DB07CB"/>
    <w:rsid w:val="00DB0C22"/>
    <w:rsid w:val="00DB0F3E"/>
    <w:rsid w:val="00DB1654"/>
    <w:rsid w:val="00DB2B9F"/>
    <w:rsid w:val="00DB36EC"/>
    <w:rsid w:val="00DB3719"/>
    <w:rsid w:val="00DB3C57"/>
    <w:rsid w:val="00DB4E92"/>
    <w:rsid w:val="00DB5362"/>
    <w:rsid w:val="00DB5CA5"/>
    <w:rsid w:val="00DB5DFD"/>
    <w:rsid w:val="00DB5F01"/>
    <w:rsid w:val="00DB61DC"/>
    <w:rsid w:val="00DB66ED"/>
    <w:rsid w:val="00DB6B6B"/>
    <w:rsid w:val="00DB7017"/>
    <w:rsid w:val="00DB7146"/>
    <w:rsid w:val="00DB75C8"/>
    <w:rsid w:val="00DB796F"/>
    <w:rsid w:val="00DC0377"/>
    <w:rsid w:val="00DC069E"/>
    <w:rsid w:val="00DC1164"/>
    <w:rsid w:val="00DC126E"/>
    <w:rsid w:val="00DC1D3F"/>
    <w:rsid w:val="00DC2084"/>
    <w:rsid w:val="00DC20F0"/>
    <w:rsid w:val="00DC295F"/>
    <w:rsid w:val="00DC2A5C"/>
    <w:rsid w:val="00DC2AC9"/>
    <w:rsid w:val="00DC3AB5"/>
    <w:rsid w:val="00DC432C"/>
    <w:rsid w:val="00DC52E3"/>
    <w:rsid w:val="00DC5D22"/>
    <w:rsid w:val="00DC6399"/>
    <w:rsid w:val="00DC68EE"/>
    <w:rsid w:val="00DC6EAB"/>
    <w:rsid w:val="00DC6FD0"/>
    <w:rsid w:val="00DC7061"/>
    <w:rsid w:val="00DC716E"/>
    <w:rsid w:val="00DC743A"/>
    <w:rsid w:val="00DC7AE8"/>
    <w:rsid w:val="00DD0FD0"/>
    <w:rsid w:val="00DD14CC"/>
    <w:rsid w:val="00DD1A4C"/>
    <w:rsid w:val="00DD1BB1"/>
    <w:rsid w:val="00DD281D"/>
    <w:rsid w:val="00DD2B8F"/>
    <w:rsid w:val="00DD355B"/>
    <w:rsid w:val="00DD39FA"/>
    <w:rsid w:val="00DD3E9C"/>
    <w:rsid w:val="00DD4C98"/>
    <w:rsid w:val="00DD53C2"/>
    <w:rsid w:val="00DD54C3"/>
    <w:rsid w:val="00DD62EF"/>
    <w:rsid w:val="00DD6743"/>
    <w:rsid w:val="00DD6E53"/>
    <w:rsid w:val="00DE0AA5"/>
    <w:rsid w:val="00DE0DF7"/>
    <w:rsid w:val="00DE186A"/>
    <w:rsid w:val="00DE2597"/>
    <w:rsid w:val="00DE2DF7"/>
    <w:rsid w:val="00DE3174"/>
    <w:rsid w:val="00DE366E"/>
    <w:rsid w:val="00DE3E63"/>
    <w:rsid w:val="00DE5107"/>
    <w:rsid w:val="00DE541F"/>
    <w:rsid w:val="00DE5AE1"/>
    <w:rsid w:val="00DE72C0"/>
    <w:rsid w:val="00DE78F9"/>
    <w:rsid w:val="00DF060E"/>
    <w:rsid w:val="00DF0FB0"/>
    <w:rsid w:val="00DF1081"/>
    <w:rsid w:val="00DF17ED"/>
    <w:rsid w:val="00DF204A"/>
    <w:rsid w:val="00DF2A7A"/>
    <w:rsid w:val="00DF36F6"/>
    <w:rsid w:val="00DF3920"/>
    <w:rsid w:val="00DF6044"/>
    <w:rsid w:val="00DF659F"/>
    <w:rsid w:val="00DF6DBE"/>
    <w:rsid w:val="00DF6FDC"/>
    <w:rsid w:val="00DF77BC"/>
    <w:rsid w:val="00E0056B"/>
    <w:rsid w:val="00E01AA5"/>
    <w:rsid w:val="00E021E9"/>
    <w:rsid w:val="00E02399"/>
    <w:rsid w:val="00E02775"/>
    <w:rsid w:val="00E02DA7"/>
    <w:rsid w:val="00E030C2"/>
    <w:rsid w:val="00E037FB"/>
    <w:rsid w:val="00E03BC7"/>
    <w:rsid w:val="00E04348"/>
    <w:rsid w:val="00E0457C"/>
    <w:rsid w:val="00E05BC3"/>
    <w:rsid w:val="00E069ED"/>
    <w:rsid w:val="00E06CC0"/>
    <w:rsid w:val="00E06F39"/>
    <w:rsid w:val="00E072B8"/>
    <w:rsid w:val="00E0743A"/>
    <w:rsid w:val="00E07866"/>
    <w:rsid w:val="00E07F40"/>
    <w:rsid w:val="00E1182C"/>
    <w:rsid w:val="00E12A29"/>
    <w:rsid w:val="00E13615"/>
    <w:rsid w:val="00E148C7"/>
    <w:rsid w:val="00E15497"/>
    <w:rsid w:val="00E15BBB"/>
    <w:rsid w:val="00E1634F"/>
    <w:rsid w:val="00E1656A"/>
    <w:rsid w:val="00E165E1"/>
    <w:rsid w:val="00E168C3"/>
    <w:rsid w:val="00E16DD9"/>
    <w:rsid w:val="00E16DDA"/>
    <w:rsid w:val="00E17147"/>
    <w:rsid w:val="00E17B43"/>
    <w:rsid w:val="00E201A8"/>
    <w:rsid w:val="00E2090A"/>
    <w:rsid w:val="00E21328"/>
    <w:rsid w:val="00E213BD"/>
    <w:rsid w:val="00E21E5D"/>
    <w:rsid w:val="00E22838"/>
    <w:rsid w:val="00E229B7"/>
    <w:rsid w:val="00E2318C"/>
    <w:rsid w:val="00E234C6"/>
    <w:rsid w:val="00E242F0"/>
    <w:rsid w:val="00E24CA8"/>
    <w:rsid w:val="00E259DB"/>
    <w:rsid w:val="00E25C19"/>
    <w:rsid w:val="00E2618F"/>
    <w:rsid w:val="00E2661B"/>
    <w:rsid w:val="00E26BD5"/>
    <w:rsid w:val="00E271B8"/>
    <w:rsid w:val="00E271DB"/>
    <w:rsid w:val="00E2720F"/>
    <w:rsid w:val="00E27779"/>
    <w:rsid w:val="00E27A69"/>
    <w:rsid w:val="00E27E37"/>
    <w:rsid w:val="00E27EAC"/>
    <w:rsid w:val="00E30290"/>
    <w:rsid w:val="00E302DF"/>
    <w:rsid w:val="00E305A1"/>
    <w:rsid w:val="00E31D70"/>
    <w:rsid w:val="00E32DFA"/>
    <w:rsid w:val="00E32E65"/>
    <w:rsid w:val="00E33ED2"/>
    <w:rsid w:val="00E34907"/>
    <w:rsid w:val="00E35163"/>
    <w:rsid w:val="00E35CFE"/>
    <w:rsid w:val="00E37444"/>
    <w:rsid w:val="00E405A1"/>
    <w:rsid w:val="00E40E95"/>
    <w:rsid w:val="00E41995"/>
    <w:rsid w:val="00E41AEE"/>
    <w:rsid w:val="00E41C10"/>
    <w:rsid w:val="00E41DE2"/>
    <w:rsid w:val="00E41E24"/>
    <w:rsid w:val="00E42C09"/>
    <w:rsid w:val="00E440E8"/>
    <w:rsid w:val="00E4515C"/>
    <w:rsid w:val="00E45199"/>
    <w:rsid w:val="00E465E1"/>
    <w:rsid w:val="00E46939"/>
    <w:rsid w:val="00E479F7"/>
    <w:rsid w:val="00E47DD6"/>
    <w:rsid w:val="00E5030E"/>
    <w:rsid w:val="00E50CC4"/>
    <w:rsid w:val="00E50D97"/>
    <w:rsid w:val="00E5184C"/>
    <w:rsid w:val="00E51D6B"/>
    <w:rsid w:val="00E52760"/>
    <w:rsid w:val="00E529F7"/>
    <w:rsid w:val="00E52D96"/>
    <w:rsid w:val="00E532EE"/>
    <w:rsid w:val="00E53630"/>
    <w:rsid w:val="00E53A4D"/>
    <w:rsid w:val="00E53FA6"/>
    <w:rsid w:val="00E545F1"/>
    <w:rsid w:val="00E546DD"/>
    <w:rsid w:val="00E54865"/>
    <w:rsid w:val="00E54A6B"/>
    <w:rsid w:val="00E54B77"/>
    <w:rsid w:val="00E54B89"/>
    <w:rsid w:val="00E54CA0"/>
    <w:rsid w:val="00E57CC5"/>
    <w:rsid w:val="00E602AE"/>
    <w:rsid w:val="00E605B6"/>
    <w:rsid w:val="00E60FB1"/>
    <w:rsid w:val="00E61110"/>
    <w:rsid w:val="00E61F1D"/>
    <w:rsid w:val="00E62C33"/>
    <w:rsid w:val="00E63254"/>
    <w:rsid w:val="00E6368F"/>
    <w:rsid w:val="00E636F3"/>
    <w:rsid w:val="00E639ED"/>
    <w:rsid w:val="00E63C99"/>
    <w:rsid w:val="00E63E2B"/>
    <w:rsid w:val="00E64435"/>
    <w:rsid w:val="00E648A5"/>
    <w:rsid w:val="00E64DD7"/>
    <w:rsid w:val="00E65846"/>
    <w:rsid w:val="00E65A78"/>
    <w:rsid w:val="00E65DA2"/>
    <w:rsid w:val="00E6608D"/>
    <w:rsid w:val="00E66DE2"/>
    <w:rsid w:val="00E66F6A"/>
    <w:rsid w:val="00E70843"/>
    <w:rsid w:val="00E714A8"/>
    <w:rsid w:val="00E7159F"/>
    <w:rsid w:val="00E72B64"/>
    <w:rsid w:val="00E72C2E"/>
    <w:rsid w:val="00E72C81"/>
    <w:rsid w:val="00E733EA"/>
    <w:rsid w:val="00E73B97"/>
    <w:rsid w:val="00E742F7"/>
    <w:rsid w:val="00E743E9"/>
    <w:rsid w:val="00E74BEE"/>
    <w:rsid w:val="00E7654E"/>
    <w:rsid w:val="00E76887"/>
    <w:rsid w:val="00E77031"/>
    <w:rsid w:val="00E800B4"/>
    <w:rsid w:val="00E8121E"/>
    <w:rsid w:val="00E81964"/>
    <w:rsid w:val="00E82D63"/>
    <w:rsid w:val="00E82DD0"/>
    <w:rsid w:val="00E82FEB"/>
    <w:rsid w:val="00E83854"/>
    <w:rsid w:val="00E83A76"/>
    <w:rsid w:val="00E8512E"/>
    <w:rsid w:val="00E85A0F"/>
    <w:rsid w:val="00E85CDF"/>
    <w:rsid w:val="00E85D0C"/>
    <w:rsid w:val="00E86569"/>
    <w:rsid w:val="00E86C75"/>
    <w:rsid w:val="00E86C8E"/>
    <w:rsid w:val="00E870B3"/>
    <w:rsid w:val="00E8712A"/>
    <w:rsid w:val="00E87793"/>
    <w:rsid w:val="00E877C7"/>
    <w:rsid w:val="00E900AF"/>
    <w:rsid w:val="00E9012F"/>
    <w:rsid w:val="00E90C89"/>
    <w:rsid w:val="00E90E31"/>
    <w:rsid w:val="00E92E5F"/>
    <w:rsid w:val="00E935CB"/>
    <w:rsid w:val="00E94ACB"/>
    <w:rsid w:val="00E953CF"/>
    <w:rsid w:val="00E95BCE"/>
    <w:rsid w:val="00E95C4D"/>
    <w:rsid w:val="00E95DA6"/>
    <w:rsid w:val="00E95DC9"/>
    <w:rsid w:val="00E96B6D"/>
    <w:rsid w:val="00EA0565"/>
    <w:rsid w:val="00EA1451"/>
    <w:rsid w:val="00EA1683"/>
    <w:rsid w:val="00EA283B"/>
    <w:rsid w:val="00EA4DAB"/>
    <w:rsid w:val="00EA5C8D"/>
    <w:rsid w:val="00EA6DDF"/>
    <w:rsid w:val="00EA72FC"/>
    <w:rsid w:val="00EB07E9"/>
    <w:rsid w:val="00EB08AF"/>
    <w:rsid w:val="00EB0D98"/>
    <w:rsid w:val="00EB1123"/>
    <w:rsid w:val="00EB12F2"/>
    <w:rsid w:val="00EB1345"/>
    <w:rsid w:val="00EB1472"/>
    <w:rsid w:val="00EB18C2"/>
    <w:rsid w:val="00EB1FA6"/>
    <w:rsid w:val="00EB2CB3"/>
    <w:rsid w:val="00EB2FFF"/>
    <w:rsid w:val="00EB3E8C"/>
    <w:rsid w:val="00EB3F37"/>
    <w:rsid w:val="00EB53F7"/>
    <w:rsid w:val="00EB591F"/>
    <w:rsid w:val="00EB688E"/>
    <w:rsid w:val="00EB716D"/>
    <w:rsid w:val="00EB7A19"/>
    <w:rsid w:val="00EB7C1B"/>
    <w:rsid w:val="00EB7EC4"/>
    <w:rsid w:val="00EC0217"/>
    <w:rsid w:val="00EC03E9"/>
    <w:rsid w:val="00EC1407"/>
    <w:rsid w:val="00EC196A"/>
    <w:rsid w:val="00EC1CCF"/>
    <w:rsid w:val="00EC1E92"/>
    <w:rsid w:val="00EC3AE6"/>
    <w:rsid w:val="00EC3D3E"/>
    <w:rsid w:val="00EC4565"/>
    <w:rsid w:val="00EC45FE"/>
    <w:rsid w:val="00EC4FD3"/>
    <w:rsid w:val="00EC5484"/>
    <w:rsid w:val="00EC5653"/>
    <w:rsid w:val="00EC679F"/>
    <w:rsid w:val="00EC6F51"/>
    <w:rsid w:val="00EC709C"/>
    <w:rsid w:val="00EC70A5"/>
    <w:rsid w:val="00EC7F77"/>
    <w:rsid w:val="00ED04D8"/>
    <w:rsid w:val="00ED1D97"/>
    <w:rsid w:val="00ED27DA"/>
    <w:rsid w:val="00ED2DA7"/>
    <w:rsid w:val="00ED2E2A"/>
    <w:rsid w:val="00ED3A6C"/>
    <w:rsid w:val="00ED4889"/>
    <w:rsid w:val="00ED4910"/>
    <w:rsid w:val="00ED5AD4"/>
    <w:rsid w:val="00ED6396"/>
    <w:rsid w:val="00EE09C7"/>
    <w:rsid w:val="00EE1FF3"/>
    <w:rsid w:val="00EE5BCA"/>
    <w:rsid w:val="00EE62F4"/>
    <w:rsid w:val="00EE6650"/>
    <w:rsid w:val="00EE6FF0"/>
    <w:rsid w:val="00EF08F1"/>
    <w:rsid w:val="00EF0D04"/>
    <w:rsid w:val="00EF0E43"/>
    <w:rsid w:val="00EF129A"/>
    <w:rsid w:val="00EF1B2E"/>
    <w:rsid w:val="00EF209C"/>
    <w:rsid w:val="00EF2457"/>
    <w:rsid w:val="00EF2893"/>
    <w:rsid w:val="00EF33C3"/>
    <w:rsid w:val="00EF38C2"/>
    <w:rsid w:val="00EF4C11"/>
    <w:rsid w:val="00EF4E76"/>
    <w:rsid w:val="00EF4FE9"/>
    <w:rsid w:val="00EF5F4F"/>
    <w:rsid w:val="00EF6180"/>
    <w:rsid w:val="00EF664C"/>
    <w:rsid w:val="00EF7D5C"/>
    <w:rsid w:val="00EF7F5B"/>
    <w:rsid w:val="00F0031E"/>
    <w:rsid w:val="00F00749"/>
    <w:rsid w:val="00F007B5"/>
    <w:rsid w:val="00F0156C"/>
    <w:rsid w:val="00F01822"/>
    <w:rsid w:val="00F01880"/>
    <w:rsid w:val="00F01C80"/>
    <w:rsid w:val="00F01EB0"/>
    <w:rsid w:val="00F023B8"/>
    <w:rsid w:val="00F03108"/>
    <w:rsid w:val="00F031AE"/>
    <w:rsid w:val="00F0434A"/>
    <w:rsid w:val="00F04933"/>
    <w:rsid w:val="00F0590A"/>
    <w:rsid w:val="00F05DFA"/>
    <w:rsid w:val="00F06081"/>
    <w:rsid w:val="00F06E5A"/>
    <w:rsid w:val="00F078C6"/>
    <w:rsid w:val="00F078F1"/>
    <w:rsid w:val="00F07B24"/>
    <w:rsid w:val="00F07C14"/>
    <w:rsid w:val="00F10559"/>
    <w:rsid w:val="00F10C68"/>
    <w:rsid w:val="00F114EE"/>
    <w:rsid w:val="00F11F91"/>
    <w:rsid w:val="00F124DA"/>
    <w:rsid w:val="00F12744"/>
    <w:rsid w:val="00F12876"/>
    <w:rsid w:val="00F136B8"/>
    <w:rsid w:val="00F14568"/>
    <w:rsid w:val="00F154CE"/>
    <w:rsid w:val="00F16859"/>
    <w:rsid w:val="00F16D46"/>
    <w:rsid w:val="00F17B43"/>
    <w:rsid w:val="00F20F90"/>
    <w:rsid w:val="00F21C86"/>
    <w:rsid w:val="00F21EA6"/>
    <w:rsid w:val="00F2217F"/>
    <w:rsid w:val="00F244FE"/>
    <w:rsid w:val="00F24755"/>
    <w:rsid w:val="00F247FB"/>
    <w:rsid w:val="00F2504B"/>
    <w:rsid w:val="00F2693C"/>
    <w:rsid w:val="00F2712D"/>
    <w:rsid w:val="00F30BAE"/>
    <w:rsid w:val="00F3116A"/>
    <w:rsid w:val="00F31607"/>
    <w:rsid w:val="00F31ABA"/>
    <w:rsid w:val="00F320BA"/>
    <w:rsid w:val="00F32B70"/>
    <w:rsid w:val="00F33175"/>
    <w:rsid w:val="00F335E6"/>
    <w:rsid w:val="00F34136"/>
    <w:rsid w:val="00F34E4B"/>
    <w:rsid w:val="00F3571B"/>
    <w:rsid w:val="00F361DE"/>
    <w:rsid w:val="00F4062F"/>
    <w:rsid w:val="00F41103"/>
    <w:rsid w:val="00F4129E"/>
    <w:rsid w:val="00F413CD"/>
    <w:rsid w:val="00F41B70"/>
    <w:rsid w:val="00F41E9F"/>
    <w:rsid w:val="00F41F5B"/>
    <w:rsid w:val="00F42708"/>
    <w:rsid w:val="00F42914"/>
    <w:rsid w:val="00F42CF0"/>
    <w:rsid w:val="00F439A8"/>
    <w:rsid w:val="00F43BDD"/>
    <w:rsid w:val="00F43F5A"/>
    <w:rsid w:val="00F44310"/>
    <w:rsid w:val="00F4437C"/>
    <w:rsid w:val="00F45C55"/>
    <w:rsid w:val="00F46DCA"/>
    <w:rsid w:val="00F503F0"/>
    <w:rsid w:val="00F5057E"/>
    <w:rsid w:val="00F505EB"/>
    <w:rsid w:val="00F519F6"/>
    <w:rsid w:val="00F52332"/>
    <w:rsid w:val="00F530BC"/>
    <w:rsid w:val="00F547B7"/>
    <w:rsid w:val="00F54A1C"/>
    <w:rsid w:val="00F5565A"/>
    <w:rsid w:val="00F56574"/>
    <w:rsid w:val="00F566C9"/>
    <w:rsid w:val="00F57A86"/>
    <w:rsid w:val="00F57E68"/>
    <w:rsid w:val="00F61ABE"/>
    <w:rsid w:val="00F61D48"/>
    <w:rsid w:val="00F62806"/>
    <w:rsid w:val="00F628BD"/>
    <w:rsid w:val="00F62C87"/>
    <w:rsid w:val="00F6431E"/>
    <w:rsid w:val="00F6491D"/>
    <w:rsid w:val="00F661C9"/>
    <w:rsid w:val="00F6648D"/>
    <w:rsid w:val="00F671AC"/>
    <w:rsid w:val="00F674C4"/>
    <w:rsid w:val="00F67601"/>
    <w:rsid w:val="00F67D29"/>
    <w:rsid w:val="00F706F6"/>
    <w:rsid w:val="00F7185D"/>
    <w:rsid w:val="00F7211F"/>
    <w:rsid w:val="00F7226C"/>
    <w:rsid w:val="00F72A60"/>
    <w:rsid w:val="00F73192"/>
    <w:rsid w:val="00F732A8"/>
    <w:rsid w:val="00F738DF"/>
    <w:rsid w:val="00F738FF"/>
    <w:rsid w:val="00F73A60"/>
    <w:rsid w:val="00F73B50"/>
    <w:rsid w:val="00F73E2F"/>
    <w:rsid w:val="00F73E62"/>
    <w:rsid w:val="00F746C2"/>
    <w:rsid w:val="00F74E8B"/>
    <w:rsid w:val="00F7706D"/>
    <w:rsid w:val="00F770F5"/>
    <w:rsid w:val="00F779A6"/>
    <w:rsid w:val="00F80F97"/>
    <w:rsid w:val="00F81589"/>
    <w:rsid w:val="00F81B94"/>
    <w:rsid w:val="00F81DB4"/>
    <w:rsid w:val="00F81DDA"/>
    <w:rsid w:val="00F82329"/>
    <w:rsid w:val="00F82D39"/>
    <w:rsid w:val="00F8336C"/>
    <w:rsid w:val="00F83D77"/>
    <w:rsid w:val="00F84602"/>
    <w:rsid w:val="00F85024"/>
    <w:rsid w:val="00F850A3"/>
    <w:rsid w:val="00F85AB5"/>
    <w:rsid w:val="00F861F2"/>
    <w:rsid w:val="00F86281"/>
    <w:rsid w:val="00F868FD"/>
    <w:rsid w:val="00F86C0D"/>
    <w:rsid w:val="00F86CFF"/>
    <w:rsid w:val="00F87088"/>
    <w:rsid w:val="00F87F8A"/>
    <w:rsid w:val="00F90DF6"/>
    <w:rsid w:val="00F91DA9"/>
    <w:rsid w:val="00F91FA4"/>
    <w:rsid w:val="00F92E67"/>
    <w:rsid w:val="00F93801"/>
    <w:rsid w:val="00F9457E"/>
    <w:rsid w:val="00F946C1"/>
    <w:rsid w:val="00F94A69"/>
    <w:rsid w:val="00F951F9"/>
    <w:rsid w:val="00F961DA"/>
    <w:rsid w:val="00F97D81"/>
    <w:rsid w:val="00FA0C44"/>
    <w:rsid w:val="00FA1188"/>
    <w:rsid w:val="00FA125F"/>
    <w:rsid w:val="00FA160E"/>
    <w:rsid w:val="00FA2427"/>
    <w:rsid w:val="00FA2487"/>
    <w:rsid w:val="00FA3627"/>
    <w:rsid w:val="00FA5345"/>
    <w:rsid w:val="00FA5534"/>
    <w:rsid w:val="00FA5D90"/>
    <w:rsid w:val="00FA700E"/>
    <w:rsid w:val="00FA7E2B"/>
    <w:rsid w:val="00FB01DD"/>
    <w:rsid w:val="00FB06CE"/>
    <w:rsid w:val="00FB261F"/>
    <w:rsid w:val="00FB2B01"/>
    <w:rsid w:val="00FB2F2A"/>
    <w:rsid w:val="00FB3097"/>
    <w:rsid w:val="00FB30F0"/>
    <w:rsid w:val="00FB36A1"/>
    <w:rsid w:val="00FB46BE"/>
    <w:rsid w:val="00FB4A4B"/>
    <w:rsid w:val="00FB4D5F"/>
    <w:rsid w:val="00FB4DC8"/>
    <w:rsid w:val="00FB520F"/>
    <w:rsid w:val="00FB5B3D"/>
    <w:rsid w:val="00FB62A7"/>
    <w:rsid w:val="00FB63CC"/>
    <w:rsid w:val="00FB6E09"/>
    <w:rsid w:val="00FB70E5"/>
    <w:rsid w:val="00FB7705"/>
    <w:rsid w:val="00FC1A82"/>
    <w:rsid w:val="00FC1F40"/>
    <w:rsid w:val="00FC2AE4"/>
    <w:rsid w:val="00FC2F59"/>
    <w:rsid w:val="00FC2FB9"/>
    <w:rsid w:val="00FC3387"/>
    <w:rsid w:val="00FC33AD"/>
    <w:rsid w:val="00FC3B50"/>
    <w:rsid w:val="00FC48B4"/>
    <w:rsid w:val="00FC5C57"/>
    <w:rsid w:val="00FC7085"/>
    <w:rsid w:val="00FC74E6"/>
    <w:rsid w:val="00FC7F5F"/>
    <w:rsid w:val="00FD12BD"/>
    <w:rsid w:val="00FD18F0"/>
    <w:rsid w:val="00FD2A94"/>
    <w:rsid w:val="00FD2E87"/>
    <w:rsid w:val="00FD3E27"/>
    <w:rsid w:val="00FD46A2"/>
    <w:rsid w:val="00FD4EC2"/>
    <w:rsid w:val="00FD5341"/>
    <w:rsid w:val="00FD5CF4"/>
    <w:rsid w:val="00FD5EC7"/>
    <w:rsid w:val="00FD63C3"/>
    <w:rsid w:val="00FD6F37"/>
    <w:rsid w:val="00FD729F"/>
    <w:rsid w:val="00FD7793"/>
    <w:rsid w:val="00FE129E"/>
    <w:rsid w:val="00FE22D9"/>
    <w:rsid w:val="00FE2D3B"/>
    <w:rsid w:val="00FE3281"/>
    <w:rsid w:val="00FE32FF"/>
    <w:rsid w:val="00FE3BAA"/>
    <w:rsid w:val="00FE464D"/>
    <w:rsid w:val="00FE4B10"/>
    <w:rsid w:val="00FE5334"/>
    <w:rsid w:val="00FE64B2"/>
    <w:rsid w:val="00FE6887"/>
    <w:rsid w:val="00FE7301"/>
    <w:rsid w:val="00FE7537"/>
    <w:rsid w:val="00FE77A6"/>
    <w:rsid w:val="00FE78FD"/>
    <w:rsid w:val="00FE7D63"/>
    <w:rsid w:val="00FF0389"/>
    <w:rsid w:val="00FF0C33"/>
    <w:rsid w:val="00FF0ED6"/>
    <w:rsid w:val="00FF0F1C"/>
    <w:rsid w:val="00FF11F4"/>
    <w:rsid w:val="00FF17D5"/>
    <w:rsid w:val="00FF2586"/>
    <w:rsid w:val="00FF2A8F"/>
    <w:rsid w:val="00FF2F5D"/>
    <w:rsid w:val="00FF2FC8"/>
    <w:rsid w:val="00FF3420"/>
    <w:rsid w:val="00FF513E"/>
    <w:rsid w:val="00FF5465"/>
    <w:rsid w:val="00FF6873"/>
    <w:rsid w:val="00FF68E7"/>
    <w:rsid w:val="00FF6AF3"/>
    <w:rsid w:val="00FF72B5"/>
    <w:rsid w:val="00FF77DE"/>
    <w:rsid w:val="00FF799C"/>
    <w:rsid w:val="00FF79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78177"/>
    <o:shapelayout v:ext="edit">
      <o:idmap v:ext="edit" data="1"/>
    </o:shapelayout>
  </w:shapeDefaults>
  <w:decimalSymbol w:val="."/>
  <w:listSeparator w:val=","/>
  <w14:docId w14:val="0704B163"/>
  <w15:docId w15:val="{5A866BF9-87B7-4520-8818-DF3B2591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A76"/>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56D42"/>
    <w:pPr>
      <w:numPr>
        <w:ilvl w:val="1"/>
        <w:numId w:val="3"/>
      </w:numPr>
    </w:pPr>
  </w:style>
  <w:style w:type="character" w:customStyle="1" w:styleId="BodyText2Char">
    <w:name w:val="Body Text 2 Char"/>
    <w:basedOn w:val="DefaultParagraphFont"/>
    <w:link w:val="BodyText2"/>
    <w:rsid w:val="00656D42"/>
  </w:style>
  <w:style w:type="paragraph" w:styleId="ListBullet">
    <w:name w:val="List Bullet"/>
    <w:basedOn w:val="Normal"/>
    <w:uiPriority w:val="38"/>
    <w:semiHidden/>
    <w:unhideWhenUsed/>
    <w:rsid w:val="005050E8"/>
    <w:pPr>
      <w:numPr>
        <w:numId w:val="1"/>
      </w:numPr>
      <w:ind w:left="357" w:hanging="357"/>
      <w:contextualSpacing/>
    </w:pPr>
  </w:style>
  <w:style w:type="paragraph" w:styleId="Header">
    <w:name w:val="header"/>
    <w:basedOn w:val="Normal"/>
    <w:next w:val="Normal"/>
    <w:link w:val="HeaderChar"/>
    <w:uiPriority w:val="1"/>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1"/>
    <w:rsid w:val="00E83A76"/>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E83A76"/>
    <w:rPr>
      <w:b/>
    </w:rPr>
  </w:style>
  <w:style w:type="paragraph" w:styleId="FootnoteText">
    <w:name w:val="footnote text"/>
    <w:basedOn w:val="Normal"/>
    <w:link w:val="FootnoteTextChar"/>
    <w:semiHidden/>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semiHidden/>
    <w:rsid w:val="00E83A76"/>
    <w:rPr>
      <w:sz w:val="20"/>
    </w:rPr>
  </w:style>
  <w:style w:type="character" w:styleId="FootnoteReference">
    <w:name w:val="footnote reference"/>
    <w:aliases w:val="Nota,Footnote symbol,Footnote,Appel note de bas de p,BVI fnr,SUPERS,Footnote Reference Superscript,(Footnote Reference),Footnote reference number,note TESI,EN Footnote Reference,Voetnootverwijzing,Times 10 Point"/>
    <w:basedOn w:val="DefaultParagraphFont"/>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2"/>
      </w:numPr>
    </w:pPr>
    <w:rPr>
      <w:rFonts w:eastAsia="Times New Roman"/>
      <w:szCs w:val="26"/>
    </w:rPr>
  </w:style>
  <w:style w:type="paragraph" w:customStyle="1" w:styleId="BodyText1">
    <w:name w:val="Body Text 1"/>
    <w:basedOn w:val="Normal"/>
    <w:link w:val="BodyText1Char"/>
    <w:qFormat/>
    <w:rsid w:val="00E07F40"/>
    <w:pPr>
      <w:numPr>
        <w:numId w:val="3"/>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3"/>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3"/>
      </w:numPr>
    </w:pPr>
  </w:style>
  <w:style w:type="paragraph" w:styleId="BodyText">
    <w:name w:val="Body Text"/>
    <w:basedOn w:val="Normal"/>
    <w:link w:val="BodyTextChar"/>
    <w:rsid w:val="0098340B"/>
    <w:pPr>
      <w:spacing w:after="120"/>
      <w:ind w:left="567"/>
      <w:jc w:val="both"/>
    </w:pPr>
    <w:rPr>
      <w:rFonts w:eastAsia="Times New Roman" w:cs="Arial"/>
      <w:color w:val="000000"/>
      <w:kern w:val="32"/>
    </w:rPr>
  </w:style>
  <w:style w:type="character" w:customStyle="1" w:styleId="BodyTextChar">
    <w:name w:val="Body Text Char"/>
    <w:basedOn w:val="DefaultParagraphFont"/>
    <w:link w:val="BodyText"/>
    <w:rsid w:val="0098340B"/>
    <w:rPr>
      <w:rFonts w:eastAsia="Times New Roman" w:cs="Arial"/>
      <w:color w:val="000000"/>
      <w:kern w:val="32"/>
    </w:rPr>
  </w:style>
  <w:style w:type="character" w:styleId="CommentReference">
    <w:name w:val="annotation reference"/>
    <w:basedOn w:val="DefaultParagraphFont"/>
    <w:uiPriority w:val="99"/>
    <w:semiHidden/>
    <w:rsid w:val="00B22A8F"/>
    <w:rPr>
      <w:sz w:val="16"/>
      <w:szCs w:val="16"/>
    </w:rPr>
  </w:style>
  <w:style w:type="paragraph" w:styleId="CommentText">
    <w:name w:val="annotation text"/>
    <w:basedOn w:val="Normal"/>
    <w:link w:val="CommentTextChar"/>
    <w:uiPriority w:val="99"/>
    <w:rsid w:val="00B22A8F"/>
    <w:pPr>
      <w:ind w:left="567"/>
      <w:jc w:val="both"/>
    </w:pPr>
    <w:rPr>
      <w:rFonts w:eastAsia="Times New Roman" w:cs="Arial"/>
      <w:color w:val="000000"/>
      <w:kern w:val="32"/>
      <w:sz w:val="20"/>
    </w:rPr>
  </w:style>
  <w:style w:type="character" w:customStyle="1" w:styleId="CommentTextChar">
    <w:name w:val="Comment Text Char"/>
    <w:basedOn w:val="DefaultParagraphFont"/>
    <w:link w:val="CommentText"/>
    <w:uiPriority w:val="99"/>
    <w:rsid w:val="00B22A8F"/>
    <w:rPr>
      <w:rFonts w:eastAsia="Times New Roman" w:cs="Arial"/>
      <w:color w:val="000000"/>
      <w:kern w:val="32"/>
      <w:sz w:val="20"/>
    </w:rPr>
  </w:style>
  <w:style w:type="paragraph" w:styleId="CommentSubject">
    <w:name w:val="annotation subject"/>
    <w:basedOn w:val="CommentText"/>
    <w:next w:val="CommentText"/>
    <w:link w:val="CommentSubjectChar"/>
    <w:uiPriority w:val="49"/>
    <w:semiHidden/>
    <w:unhideWhenUsed/>
    <w:rsid w:val="00AB2876"/>
    <w:pPr>
      <w:ind w:left="0"/>
      <w:jc w:val="left"/>
    </w:pPr>
    <w:rPr>
      <w:rFonts w:eastAsia="Calibri" w:cs="Times New Roman"/>
      <w:b/>
      <w:bCs/>
      <w:color w:val="auto"/>
      <w:kern w:val="0"/>
      <w:szCs w:val="20"/>
    </w:rPr>
  </w:style>
  <w:style w:type="character" w:customStyle="1" w:styleId="CommentSubjectChar">
    <w:name w:val="Comment Subject Char"/>
    <w:basedOn w:val="CommentTextChar"/>
    <w:link w:val="CommentSubject"/>
    <w:uiPriority w:val="49"/>
    <w:semiHidden/>
    <w:rsid w:val="00AB2876"/>
    <w:rPr>
      <w:rFonts w:eastAsia="Times New Roman" w:cs="Arial"/>
      <w:b/>
      <w:bCs/>
      <w:color w:val="000000"/>
      <w:kern w:val="32"/>
      <w:sz w:val="20"/>
      <w:szCs w:val="20"/>
    </w:rPr>
  </w:style>
  <w:style w:type="paragraph" w:customStyle="1" w:styleId="Default">
    <w:name w:val="Default"/>
    <w:rsid w:val="0010697E"/>
    <w:pPr>
      <w:autoSpaceDE w:val="0"/>
      <w:autoSpaceDN w:val="0"/>
      <w:adjustRightInd w:val="0"/>
      <w:spacing w:after="0"/>
    </w:pPr>
    <w:rPr>
      <w:color w:val="000000"/>
    </w:rPr>
  </w:style>
  <w:style w:type="paragraph" w:styleId="Revision">
    <w:name w:val="Revision"/>
    <w:hidden/>
    <w:uiPriority w:val="99"/>
    <w:semiHidden/>
    <w:rsid w:val="002E58D2"/>
    <w:pPr>
      <w:spacing w:after="0"/>
    </w:pPr>
  </w:style>
  <w:style w:type="character" w:styleId="FollowedHyperlink">
    <w:name w:val="FollowedHyperlink"/>
    <w:basedOn w:val="DefaultParagraphFont"/>
    <w:uiPriority w:val="49"/>
    <w:semiHidden/>
    <w:unhideWhenUsed/>
    <w:rsid w:val="008C2291"/>
    <w:rPr>
      <w:color w:val="919191" w:themeColor="followedHyperlink"/>
      <w:u w:val="single"/>
    </w:rPr>
  </w:style>
  <w:style w:type="paragraph" w:customStyle="1" w:styleId="bodytext10">
    <w:name w:val="bodytext1"/>
    <w:basedOn w:val="Normal"/>
    <w:rsid w:val="00356CF8"/>
    <w:pPr>
      <w:spacing w:before="100" w:beforeAutospacing="1" w:after="100" w:afterAutospacing="1"/>
    </w:pPr>
    <w:rPr>
      <w:rFonts w:eastAsia="Times New Roman"/>
    </w:rPr>
  </w:style>
  <w:style w:type="paragraph" w:styleId="ListParagraph">
    <w:name w:val="List Paragraph"/>
    <w:basedOn w:val="Normal"/>
    <w:uiPriority w:val="34"/>
    <w:qFormat/>
    <w:rsid w:val="001879E2"/>
    <w:pPr>
      <w:spacing w:after="0"/>
      <w:ind w:left="720"/>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16129">
      <w:bodyDiv w:val="1"/>
      <w:marLeft w:val="0"/>
      <w:marRight w:val="0"/>
      <w:marTop w:val="0"/>
      <w:marBottom w:val="0"/>
      <w:divBdr>
        <w:top w:val="none" w:sz="0" w:space="0" w:color="auto"/>
        <w:left w:val="none" w:sz="0" w:space="0" w:color="auto"/>
        <w:bottom w:val="none" w:sz="0" w:space="0" w:color="auto"/>
        <w:right w:val="none" w:sz="0" w:space="0" w:color="auto"/>
      </w:divBdr>
    </w:div>
    <w:div w:id="1011689382">
      <w:bodyDiv w:val="1"/>
      <w:marLeft w:val="0"/>
      <w:marRight w:val="0"/>
      <w:marTop w:val="0"/>
      <w:marBottom w:val="0"/>
      <w:divBdr>
        <w:top w:val="none" w:sz="0" w:space="0" w:color="auto"/>
        <w:left w:val="none" w:sz="0" w:space="0" w:color="auto"/>
        <w:bottom w:val="none" w:sz="0" w:space="0" w:color="auto"/>
        <w:right w:val="none" w:sz="0" w:space="0" w:color="auto"/>
      </w:divBdr>
    </w:div>
    <w:div w:id="1457600725">
      <w:bodyDiv w:val="1"/>
      <w:marLeft w:val="0"/>
      <w:marRight w:val="0"/>
      <w:marTop w:val="0"/>
      <w:marBottom w:val="0"/>
      <w:divBdr>
        <w:top w:val="none" w:sz="0" w:space="0" w:color="auto"/>
        <w:left w:val="none" w:sz="0" w:space="0" w:color="auto"/>
        <w:bottom w:val="none" w:sz="0" w:space="0" w:color="auto"/>
        <w:right w:val="none" w:sz="0" w:space="0" w:color="auto"/>
      </w:divBdr>
      <w:divsChild>
        <w:div w:id="1947616059">
          <w:marLeft w:val="0"/>
          <w:marRight w:val="0"/>
          <w:marTop w:val="0"/>
          <w:marBottom w:val="0"/>
          <w:divBdr>
            <w:top w:val="none" w:sz="0" w:space="0" w:color="auto"/>
            <w:left w:val="none" w:sz="0" w:space="0" w:color="auto"/>
            <w:bottom w:val="none" w:sz="0" w:space="0" w:color="auto"/>
            <w:right w:val="none" w:sz="0" w:space="0" w:color="auto"/>
          </w:divBdr>
          <w:divsChild>
            <w:div w:id="463233577">
              <w:marLeft w:val="0"/>
              <w:marRight w:val="0"/>
              <w:marTop w:val="0"/>
              <w:marBottom w:val="0"/>
              <w:divBdr>
                <w:top w:val="none" w:sz="0" w:space="0" w:color="auto"/>
                <w:left w:val="none" w:sz="0" w:space="0" w:color="auto"/>
                <w:bottom w:val="none" w:sz="0" w:space="0" w:color="auto"/>
                <w:right w:val="none" w:sz="0" w:space="0" w:color="auto"/>
              </w:divBdr>
              <w:divsChild>
                <w:div w:id="875191029">
                  <w:marLeft w:val="0"/>
                  <w:marRight w:val="0"/>
                  <w:marTop w:val="0"/>
                  <w:marBottom w:val="0"/>
                  <w:divBdr>
                    <w:top w:val="none" w:sz="0" w:space="0" w:color="auto"/>
                    <w:left w:val="none" w:sz="0" w:space="0" w:color="auto"/>
                    <w:bottom w:val="none" w:sz="0" w:space="0" w:color="auto"/>
                    <w:right w:val="none" w:sz="0" w:space="0" w:color="auto"/>
                  </w:divBdr>
                  <w:divsChild>
                    <w:div w:id="535198590">
                      <w:marLeft w:val="0"/>
                      <w:marRight w:val="0"/>
                      <w:marTop w:val="0"/>
                      <w:marBottom w:val="0"/>
                      <w:divBdr>
                        <w:top w:val="none" w:sz="0" w:space="0" w:color="auto"/>
                        <w:left w:val="none" w:sz="0" w:space="0" w:color="auto"/>
                        <w:bottom w:val="none" w:sz="0" w:space="0" w:color="auto"/>
                        <w:right w:val="none" w:sz="0" w:space="0" w:color="auto"/>
                      </w:divBdr>
                      <w:divsChild>
                        <w:div w:id="2018456117">
                          <w:marLeft w:val="0"/>
                          <w:marRight w:val="0"/>
                          <w:marTop w:val="0"/>
                          <w:marBottom w:val="0"/>
                          <w:divBdr>
                            <w:top w:val="none" w:sz="0" w:space="0" w:color="auto"/>
                            <w:left w:val="none" w:sz="0" w:space="0" w:color="auto"/>
                            <w:bottom w:val="none" w:sz="0" w:space="0" w:color="auto"/>
                            <w:right w:val="none" w:sz="0" w:space="0" w:color="auto"/>
                          </w:divBdr>
                          <w:divsChild>
                            <w:div w:id="1683237367">
                              <w:marLeft w:val="0"/>
                              <w:marRight w:val="0"/>
                              <w:marTop w:val="0"/>
                              <w:marBottom w:val="0"/>
                              <w:divBdr>
                                <w:top w:val="none" w:sz="0" w:space="0" w:color="auto"/>
                                <w:left w:val="none" w:sz="0" w:space="0" w:color="auto"/>
                                <w:bottom w:val="none" w:sz="0" w:space="0" w:color="auto"/>
                                <w:right w:val="none" w:sz="0" w:space="0" w:color="auto"/>
                              </w:divBdr>
                              <w:divsChild>
                                <w:div w:id="842207356">
                                  <w:marLeft w:val="0"/>
                                  <w:marRight w:val="0"/>
                                  <w:marTop w:val="0"/>
                                  <w:marBottom w:val="0"/>
                                  <w:divBdr>
                                    <w:top w:val="none" w:sz="0" w:space="0" w:color="auto"/>
                                    <w:left w:val="none" w:sz="0" w:space="0" w:color="auto"/>
                                    <w:bottom w:val="none" w:sz="0" w:space="0" w:color="auto"/>
                                    <w:right w:val="none" w:sz="0" w:space="0" w:color="auto"/>
                                  </w:divBdr>
                                  <w:divsChild>
                                    <w:div w:id="1777483251">
                                      <w:marLeft w:val="0"/>
                                      <w:marRight w:val="0"/>
                                      <w:marTop w:val="0"/>
                                      <w:marBottom w:val="0"/>
                                      <w:divBdr>
                                        <w:top w:val="none" w:sz="0" w:space="0" w:color="auto"/>
                                        <w:left w:val="none" w:sz="0" w:space="0" w:color="auto"/>
                                        <w:bottom w:val="none" w:sz="0" w:space="0" w:color="auto"/>
                                        <w:right w:val="none" w:sz="0" w:space="0" w:color="auto"/>
                                      </w:divBdr>
                                      <w:divsChild>
                                        <w:div w:id="475924480">
                                          <w:marLeft w:val="0"/>
                                          <w:marRight w:val="0"/>
                                          <w:marTop w:val="0"/>
                                          <w:marBottom w:val="0"/>
                                          <w:divBdr>
                                            <w:top w:val="none" w:sz="0" w:space="0" w:color="auto"/>
                                            <w:left w:val="none" w:sz="0" w:space="0" w:color="auto"/>
                                            <w:bottom w:val="none" w:sz="0" w:space="0" w:color="auto"/>
                                            <w:right w:val="none" w:sz="0" w:space="0" w:color="auto"/>
                                          </w:divBdr>
                                          <w:divsChild>
                                            <w:div w:id="620235337">
                                              <w:marLeft w:val="0"/>
                                              <w:marRight w:val="0"/>
                                              <w:marTop w:val="0"/>
                                              <w:marBottom w:val="0"/>
                                              <w:divBdr>
                                                <w:top w:val="none" w:sz="0" w:space="0" w:color="auto"/>
                                                <w:left w:val="none" w:sz="0" w:space="0" w:color="auto"/>
                                                <w:bottom w:val="none" w:sz="0" w:space="0" w:color="auto"/>
                                                <w:right w:val="none" w:sz="0" w:space="0" w:color="auto"/>
                                              </w:divBdr>
                                              <w:divsChild>
                                                <w:div w:id="726534159">
                                                  <w:marLeft w:val="0"/>
                                                  <w:marRight w:val="0"/>
                                                  <w:marTop w:val="0"/>
                                                  <w:marBottom w:val="0"/>
                                                  <w:divBdr>
                                                    <w:top w:val="none" w:sz="0" w:space="0" w:color="auto"/>
                                                    <w:left w:val="none" w:sz="0" w:space="0" w:color="auto"/>
                                                    <w:bottom w:val="none" w:sz="0" w:space="0" w:color="auto"/>
                                                    <w:right w:val="none" w:sz="0" w:space="0" w:color="auto"/>
                                                  </w:divBdr>
                                                  <w:divsChild>
                                                    <w:div w:id="1366977711">
                                                      <w:marLeft w:val="0"/>
                                                      <w:marRight w:val="0"/>
                                                      <w:marTop w:val="0"/>
                                                      <w:marBottom w:val="0"/>
                                                      <w:divBdr>
                                                        <w:top w:val="none" w:sz="0" w:space="0" w:color="auto"/>
                                                        <w:left w:val="none" w:sz="0" w:space="0" w:color="auto"/>
                                                        <w:bottom w:val="none" w:sz="0" w:space="0" w:color="auto"/>
                                                        <w:right w:val="none" w:sz="0" w:space="0" w:color="auto"/>
                                                      </w:divBdr>
                                                      <w:divsChild>
                                                        <w:div w:id="9601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0361478">
      <w:bodyDiv w:val="1"/>
      <w:marLeft w:val="0"/>
      <w:marRight w:val="0"/>
      <w:marTop w:val="0"/>
      <w:marBottom w:val="0"/>
      <w:divBdr>
        <w:top w:val="none" w:sz="0" w:space="0" w:color="auto"/>
        <w:left w:val="none" w:sz="0" w:space="0" w:color="auto"/>
        <w:bottom w:val="none" w:sz="0" w:space="0" w:color="auto"/>
        <w:right w:val="none" w:sz="0" w:space="0" w:color="auto"/>
      </w:divBdr>
    </w:div>
    <w:div w:id="18515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s://www.apra.gov.au/news-and-publications/apra-releases-framework-for-domestic-systemically-important-banks-australia" TargetMode="Externa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_dlc_DocId xmlns="814d62cb-2db6-4c25-ab62-b9075facbc11">5JENXJJSCC7A-445999044-11870</_dlc_DocId>
    <TaxCatchAll xmlns="814d62cb-2db6-4c25-ab62-b9075facbc11">
      <Value>24</Value>
      <Value>83</Value>
      <Value>58</Value>
      <Value>134</Value>
      <Value>10</Value>
      <Value>26</Value>
      <Value>93</Value>
      <Value>109</Value>
      <Value>142</Value>
      <Value>19</Value>
    </TaxCatchAll>
    <_dlc_DocIdUrl xmlns="814d62cb-2db6-4c25-ab62-b9075facbc11">
      <Url>https://im/teams/LEGAL/_layouts/15/DocIdRedir.aspx?ID=5JENXJJSCC7A-445999044-11870</Url>
      <Description>5JENXJJSCC7A-445999044-11870</Description>
    </_dlc_DocIdUrl>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APRAOwner xmlns="814d62cb-2db6-4c25-ab62-b9075facbc11">
      <UserInfo>
        <DisplayName/>
        <AccountId xsi:nil="true"/>
        <AccountType/>
      </UserInfo>
    </APRAOwner>
    <APRASecurityClassification xmlns="814d62cb-2db6-4c25-ab62-b9075facbc11">OFFICIAL</APRASecurityClassification>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APS 221 Large Exposures</APRADescription>
    <APRAActivityID xmlns="814d62cb-2db6-4c25-ab62-b9075facbc11" xsi:nil="true"/>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j724204a644741eb9f777fcb03fe8840 xmlns="814d62cb-2db6-4c25-ab62-b9075facbc11">
      <Terms xmlns="http://schemas.microsoft.com/office/infopath/2007/PartnerControls"/>
    </j724204a644741eb9f777fcb03fe8840>
    <d9a849fd1b8e46ada0321eb0681a10ee xmlns="814d62cb-2db6-4c25-ab62-b9075facbc11">
      <Terms xmlns="http://schemas.microsoft.com/office/infopath/2007/PartnerControls"/>
    </d9a849fd1b8e46ada0321eb0681a10ee>
    <ic4067bd02f14cf3a95ad35878404a71 xmlns="814d62cb-2db6-4c25-ab62-b9075facbc11">
      <Terms xmlns="http://schemas.microsoft.com/office/infopath/2007/PartnerControls"/>
    </ic4067bd02f14cf3a95ad35878404a71>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APRAMeetingDate xmlns="814d62cb-2db6-4c25-ab62-b9075facbc11" xsi:nil="true"/>
    <APRAMeetingNumber xmlns="814d62cb-2db6-4c25-ab62-b9075facbc11" xsi:nil="true"/>
  </documentManagement>
</p:properties>
</file>

<file path=customXml/item3.xml><?xml version="1.0" encoding="utf-8"?>
<?mso-contentType ?>
<SharedContentType xmlns="Microsoft.SharePoint.Taxonomy.ContentTypeSync" SourceId="8aef97a4-ded2-4e4a-9fbc-e666dae3ecd2" ContentTypeId="0x0101008CA7A4F8331B45C7B0D3158B4994D0CA0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EA823-3343-43CC-A954-EF73B925B128}">
  <ds:schemaRefs>
    <ds:schemaRef ds:uri="http://schemas.microsoft.com/sharepoint/events"/>
  </ds:schemaRefs>
</ds:datastoreItem>
</file>

<file path=customXml/itemProps2.xml><?xml version="1.0" encoding="utf-8"?>
<ds:datastoreItem xmlns:ds="http://schemas.openxmlformats.org/officeDocument/2006/customXml" ds:itemID="{CA03F030-AD9A-427A-82CB-F5838710066B}">
  <ds:schemaRefs>
    <ds:schemaRef ds:uri="http://schemas.microsoft.com/office/2006/documentManagement/types"/>
    <ds:schemaRef ds:uri="http://purl.org/dc/elements/1.1/"/>
    <ds:schemaRef ds:uri="http://www.w3.org/XML/1998/namespace"/>
    <ds:schemaRef ds:uri="814d62cb-2db6-4c25-ab62-b9075facbc11"/>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D74DEAC1-CC83-4669-A620-394270735354}">
  <ds:schemaRefs>
    <ds:schemaRef ds:uri="Microsoft.SharePoint.Taxonomy.ContentTypeSync"/>
  </ds:schemaRefs>
</ds:datastoreItem>
</file>

<file path=customXml/itemProps4.xml><?xml version="1.0" encoding="utf-8"?>
<ds:datastoreItem xmlns:ds="http://schemas.openxmlformats.org/officeDocument/2006/customXml" ds:itemID="{9589CFC6-6B86-47AE-BAA8-F82171175BCA}">
  <ds:schemaRefs>
    <ds:schemaRef ds:uri="http://schemas.microsoft.com/sharepoint/v3/contenttype/forms"/>
  </ds:schemaRefs>
</ds:datastoreItem>
</file>

<file path=customXml/itemProps5.xml><?xml version="1.0" encoding="utf-8"?>
<ds:datastoreItem xmlns:ds="http://schemas.openxmlformats.org/officeDocument/2006/customXml" ds:itemID="{F0279777-EE20-4547-B547-B04E1CF6BA28}">
  <ds:schemaRefs>
    <ds:schemaRef ds:uri="http://schemas.openxmlformats.org/officeDocument/2006/bibliography"/>
  </ds:schemaRefs>
</ds:datastoreItem>
</file>

<file path=customXml/itemProps6.xml><?xml version="1.0" encoding="utf-8"?>
<ds:datastoreItem xmlns:ds="http://schemas.openxmlformats.org/officeDocument/2006/customXml" ds:itemID="{B93DB40D-D374-450E-A5CF-42F9BD7A7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5906</Words>
  <Characters>31364</Characters>
  <Application>Microsoft Office Word</Application>
  <DocSecurity>0</DocSecurity>
  <Lines>627</Lines>
  <Paragraphs>291</Paragraphs>
  <ScaleCrop>false</ScaleCrop>
  <HeadingPairs>
    <vt:vector size="2" baseType="variant">
      <vt:variant>
        <vt:lpstr>Title</vt:lpstr>
      </vt:variant>
      <vt:variant>
        <vt:i4>1</vt:i4>
      </vt:variant>
    </vt:vector>
  </HeadingPairs>
  <TitlesOfParts>
    <vt:vector size="1" baseType="lpstr">
      <vt:lpstr>Prudential Standard APS 221 Large Exposures - marked up</vt:lpstr>
    </vt:vector>
  </TitlesOfParts>
  <Company>APRA</Company>
  <LinksUpToDate>false</LinksUpToDate>
  <CharactersWithSpaces>36979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15 of 2022</dc:title>
  <dc:subject/>
  <dc:creator>APRA</dc:creator>
  <cp:keywords>[SEC=OFFICIAL]</cp:keywords>
  <dc:description/>
  <cp:lastModifiedBy>Toni Michalis</cp:lastModifiedBy>
  <cp:revision>2</cp:revision>
  <cp:lastPrinted>2019-11-29T00:31:00Z</cp:lastPrinted>
  <dcterms:created xsi:type="dcterms:W3CDTF">2022-12-01T06:29:00Z</dcterms:created>
  <dcterms:modified xsi:type="dcterms:W3CDTF">2022-12-01T06:29:00Z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OFFICIAL</vt:lpwstr>
  </property>
  <property fmtid="{D5CDD505-2E9C-101B-9397-08002B2CF9AE}" pid="5" name="PM_DisplayValueSecClassificationWithQualifier">
    <vt:lpwstr>OFFICIAL</vt:lpwstr>
  </property>
  <property fmtid="{D5CDD505-2E9C-101B-9397-08002B2CF9AE}" pid="6" name="PM_InsertionValue">
    <vt:lpwstr>OFFICIAL</vt:lpwstr>
  </property>
  <property fmtid="{D5CDD505-2E9C-101B-9397-08002B2CF9AE}" pid="7" name="PM_Hash_Version">
    <vt:lpwstr>2018.0</vt:lpwstr>
  </property>
  <property fmtid="{D5CDD505-2E9C-101B-9397-08002B2CF9AE}" pid="8" name="PM_SecurityClassification_Prev">
    <vt:lpwstr>OFFICIAL</vt:lpwstr>
  </property>
  <property fmtid="{D5CDD505-2E9C-101B-9397-08002B2CF9AE}" pid="9" name="PM_Qualifier_Prev">
    <vt:lpwstr/>
  </property>
  <property fmtid="{D5CDD505-2E9C-101B-9397-08002B2CF9AE}" pid="10" name="PM_Caveats_Count">
    <vt:lpwstr>0</vt:lpwstr>
  </property>
  <property fmtid="{D5CDD505-2E9C-101B-9397-08002B2CF9AE}" pid="11" name="PM_ProtectiveMarkingImage_Header">
    <vt:lpwstr>C:\Program Files\Common Files\janusNET Shared\janusSEAL\Images\DocumentSlashBlue.png</vt:lpwstr>
  </property>
  <property fmtid="{D5CDD505-2E9C-101B-9397-08002B2CF9AE}" pid="12" name="PM_ProtectiveMarkingValue_Header">
    <vt:lpwstr>OFFICIAL</vt:lpwstr>
  </property>
  <property fmtid="{D5CDD505-2E9C-101B-9397-08002B2CF9AE}" pid="13" name="PM_ProtectiveMarkingValue_Footer">
    <vt:lpwstr>OFFICIAL</vt:lpwstr>
  </property>
  <property fmtid="{D5CDD505-2E9C-101B-9397-08002B2CF9AE}" pid="14" name="PM_ProtectiveMarkingImage_Footer">
    <vt:lpwstr>C:\Program Files\Common Files\janusNET Shared\janusSEAL\Images\DocumentSlashBlue.png</vt:lpwstr>
  </property>
  <property fmtid="{D5CDD505-2E9C-101B-9397-08002B2CF9AE}" pid="15" name="PM_Namespace">
    <vt:lpwstr>gov.au</vt:lpwstr>
  </property>
  <property fmtid="{D5CDD505-2E9C-101B-9397-08002B2CF9AE}" pid="16" name="PM_Version">
    <vt:lpwstr>2018.4</vt:lpwstr>
  </property>
  <property fmtid="{D5CDD505-2E9C-101B-9397-08002B2CF9AE}" pid="17" name="PM_Originating_FileId">
    <vt:lpwstr>9B25F171A258461F9E1F1CBC58369F72</vt:lpwstr>
  </property>
  <property fmtid="{D5CDD505-2E9C-101B-9397-08002B2CF9AE}" pid="18" name="PM_MinimumSecurityClassification">
    <vt:lpwstr/>
  </property>
  <property fmtid="{D5CDD505-2E9C-101B-9397-08002B2CF9AE}" pid="19" name="ContentTypeId">
    <vt:lpwstr>0x0101008CA7A4F8331B45C7B0D3158B4994D0CA0200577EC0F5A1FBFC498F9A8436B963F8A6</vt:lpwstr>
  </property>
  <property fmtid="{D5CDD505-2E9C-101B-9397-08002B2CF9AE}" pid="20" name="_dlc_DocIdItemGuid">
    <vt:lpwstr>121254cf-53b0-4947-8b98-12e31c565124</vt:lpwstr>
  </property>
  <property fmtid="{D5CDD505-2E9C-101B-9397-08002B2CF9AE}" pid="21" name="APRAStatus">
    <vt:lpwstr>19;#Final|84d6b2d0-8498-4d62-bf46-bab38babbe9e</vt:lpwstr>
  </property>
  <property fmtid="{D5CDD505-2E9C-101B-9397-08002B2CF9AE}" pid="22"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3" name="IT system type">
    <vt:lpwstr/>
  </property>
  <property fmtid="{D5CDD505-2E9C-101B-9397-08002B2CF9AE}" pid="24" name="APRACategory">
    <vt:lpwstr/>
  </property>
  <property fmtid="{D5CDD505-2E9C-101B-9397-08002B2CF9AE}" pid="25" name="APRAPRSG">
    <vt:lpwstr/>
  </property>
  <property fmtid="{D5CDD505-2E9C-101B-9397-08002B2CF9AE}" pid="26" name="APRADocumentType">
    <vt:lpwstr>142;#Prudential standard|6ce5a155-9ab2-41e3-9b2a-5baab4b7f1d1;#58;#Legal instrument|71fd6ed3-d6d6-4975-ba99-bfe45802e734</vt:lpwstr>
  </property>
  <property fmtid="{D5CDD505-2E9C-101B-9397-08002B2CF9AE}" pid="27" name="APRAActivity">
    <vt:lpwstr>10;#Registration|390476ce-d76d-4e8d-905f-28e32d2df127;#109;#Statutory instrument|fe68928c-5a9c-4caf-bc8c-6c18cedcb17f</vt:lpwstr>
  </property>
  <property fmtid="{D5CDD505-2E9C-101B-9397-08002B2CF9AE}" pid="28" name="APRAEntityAdviceSupport">
    <vt:lpwstr/>
  </property>
  <property fmtid="{D5CDD505-2E9C-101B-9397-08002B2CF9AE}" pid="29" name="APRALegislation">
    <vt:lpwstr/>
  </property>
  <property fmtid="{D5CDD505-2E9C-101B-9397-08002B2CF9AE}" pid="30" name="APRAYear">
    <vt:lpwstr/>
  </property>
  <property fmtid="{D5CDD505-2E9C-101B-9397-08002B2CF9AE}" pid="31" name="APRAIndustry">
    <vt:lpwstr/>
  </property>
  <property fmtid="{D5CDD505-2E9C-101B-9397-08002B2CF9AE}" pid="32" name="APRAExternalOrganisation">
    <vt:lpwstr/>
  </property>
  <property fmtid="{D5CDD505-2E9C-101B-9397-08002B2CF9AE}" pid="33" name="APRAIRTR">
    <vt:lpwstr/>
  </property>
  <property fmtid="{D5CDD505-2E9C-101B-9397-08002B2CF9AE}" pid="34" name="APRAPeriod">
    <vt:lpwstr/>
  </property>
  <property fmtid="{D5CDD505-2E9C-101B-9397-08002B2CF9AE}" pid="35" name="RecordPoint_WorkflowType">
    <vt:lpwstr>ActiveSubmitStub</vt:lpwstr>
  </property>
  <property fmtid="{D5CDD505-2E9C-101B-9397-08002B2CF9AE}" pid="36" name="RecordPoint_ActiveItemWebId">
    <vt:lpwstr>{75a71c27-8d66-4282-ae60-1bfc22a83be1}</vt:lpwstr>
  </property>
  <property fmtid="{D5CDD505-2E9C-101B-9397-08002B2CF9AE}" pid="37" name="RecordPoint_ActiveItemSiteId">
    <vt:lpwstr>{88691c01-5bbb-4215-adc0-66cb7065b0af}</vt:lpwstr>
  </property>
  <property fmtid="{D5CDD505-2E9C-101B-9397-08002B2CF9AE}" pid="38" name="RecordPoint_ActiveItemListId">
    <vt:lpwstr>{0e59e171-09d8-4401-800a-327154450cb3}</vt:lpwstr>
  </property>
  <property fmtid="{D5CDD505-2E9C-101B-9397-08002B2CF9AE}" pid="39" name="RecordPoint_ActiveItemUniqueId">
    <vt:lpwstr>{121254cf-53b0-4947-8b98-12e31c565124}</vt:lpwstr>
  </property>
  <property fmtid="{D5CDD505-2E9C-101B-9397-08002B2CF9AE}" pid="40" name="RecordPoint_RecordNumberSubmitted">
    <vt:lpwstr/>
  </property>
  <property fmtid="{D5CDD505-2E9C-101B-9397-08002B2CF9AE}" pid="41" name="RecordPoint_SubmissionDate">
    <vt:lpwstr/>
  </property>
  <property fmtid="{D5CDD505-2E9C-101B-9397-08002B2CF9AE}" pid="42" name="RecordPoint_ActiveItemMoved">
    <vt:lpwstr/>
  </property>
  <property fmtid="{D5CDD505-2E9C-101B-9397-08002B2CF9AE}" pid="43" name="RecordPoint_RecordFormat">
    <vt:lpwstr/>
  </property>
  <property fmtid="{D5CDD505-2E9C-101B-9397-08002B2CF9AE}" pid="44" name="ic4067bd02f14cf3a95ad35878404a71">
    <vt:lpwstr/>
  </property>
  <property fmtid="{D5CDD505-2E9C-101B-9397-08002B2CF9AE}" pid="45" name="j724204a644741eb9f777fcb03fe8840">
    <vt:lpwstr>Concentration management / large exposures|9288b34f-dc54-4bff-a4c0-800544b307ed</vt:lpwstr>
  </property>
  <property fmtid="{D5CDD505-2E9C-101B-9397-08002B2CF9AE}" pid="46" name="APRAPrecedentCategory">
    <vt:lpwstr/>
  </property>
  <property fmtid="{D5CDD505-2E9C-101B-9397-08002B2CF9AE}" pid="47" name="d9a849fd1b8e46ada0321eb0681a10ee">
    <vt:lpwstr/>
  </property>
  <property fmtid="{D5CDD505-2E9C-101B-9397-08002B2CF9AE}" pid="48" name="APRAPrecedentSubCategory">
    <vt:lpwstr/>
  </property>
  <property fmtid="{D5CDD505-2E9C-101B-9397-08002B2CF9AE}" pid="49" name="p10c80fc2da942ae8f2ea9b33b6ea0ba">
    <vt:lpwstr>Legal - ADI|652d8d2a-ab45-47b4-ac6e-fe6ac9299b39</vt:lpwstr>
  </property>
  <property fmtid="{D5CDD505-2E9C-101B-9397-08002B2CF9AE}" pid="50" name="PM_Hash_Salt">
    <vt:lpwstr>1A903B03361B79D51C2F07B79E651DB0</vt:lpwstr>
  </property>
  <property fmtid="{D5CDD505-2E9C-101B-9397-08002B2CF9AE}" pid="51" name="PM_Hash_SHA1">
    <vt:lpwstr>A2EE0B9C3F133979585039228E032C70FB2D6968</vt:lpwstr>
  </property>
  <property fmtid="{D5CDD505-2E9C-101B-9397-08002B2CF9AE}" pid="52" name="PM_Hash_Salt_Prev">
    <vt:lpwstr>7AD3F9D2DDA2BB4F5279EADE4EE02A4B</vt:lpwstr>
  </property>
  <property fmtid="{D5CDD505-2E9C-101B-9397-08002B2CF9AE}" pid="53" name="PM_OriginationTimeStamp">
    <vt:lpwstr>2022-12-01T06:29:13Z</vt:lpwstr>
  </property>
  <property fmtid="{D5CDD505-2E9C-101B-9397-08002B2CF9AE}" pid="54" name="_docset_NoMedatataSyncRequired">
    <vt:lpwstr>False</vt:lpwstr>
  </property>
  <property fmtid="{D5CDD505-2E9C-101B-9397-08002B2CF9AE}" pid="55" name="g0806d3060cc4942a58b2ecf989290ba">
    <vt:lpwstr/>
  </property>
  <property fmtid="{D5CDD505-2E9C-101B-9397-08002B2CF9AE}" pid="56" name="ad304c4a429d418787e029ef4ecab7ed">
    <vt:lpwstr/>
  </property>
  <property fmtid="{D5CDD505-2E9C-101B-9397-08002B2CF9AE}" pid="57" name="IsLocked">
    <vt:lpwstr>False</vt:lpwstr>
  </property>
  <property fmtid="{D5CDD505-2E9C-101B-9397-08002B2CF9AE}" pid="58" name="PM_Originator_Hash_SHA1">
    <vt:lpwstr>C3AD57350F36D8E1BD75F8F67CB06D435C9C43CA</vt:lpwstr>
  </property>
  <property fmtid="{D5CDD505-2E9C-101B-9397-08002B2CF9AE}" pid="59" name="RecordPoint_SubmissionCompleted">
    <vt:lpwstr/>
  </property>
  <property fmtid="{D5CDD505-2E9C-101B-9397-08002B2CF9AE}" pid="60" name="PM_Note">
    <vt:lpwstr/>
  </property>
  <property fmtid="{D5CDD505-2E9C-101B-9397-08002B2CF9AE}" pid="61" name="PM_Markers">
    <vt:lpwstr/>
  </property>
  <property fmtid="{D5CDD505-2E9C-101B-9397-08002B2CF9AE}" pid="62" name="MSIP_Label_c0129afb-6481-4f92-bc9f-5a4a6346364d_SetDate">
    <vt:lpwstr>2022-12-01T04:35:28Z</vt:lpwstr>
  </property>
  <property fmtid="{D5CDD505-2E9C-101B-9397-08002B2CF9AE}" pid="63" name="PM_Display">
    <vt:lpwstr>OFFICIAL</vt:lpwstr>
  </property>
  <property fmtid="{D5CDD505-2E9C-101B-9397-08002B2CF9AE}" pid="64" name="PMUuid">
    <vt:lpwstr>ABBFF5E2-9674-55C9-B08D-C9980002FD58</vt:lpwstr>
  </property>
  <property fmtid="{D5CDD505-2E9C-101B-9397-08002B2CF9AE}" pid="65" name="PMUuidVer">
    <vt:lpwstr>2022.1</vt:lpwstr>
  </property>
  <property fmtid="{D5CDD505-2E9C-101B-9397-08002B2CF9AE}" pid="66" name="PM_OriginatorUserAccountName_SHA256">
    <vt:lpwstr>6E3018F28A186D2E5FF5207C041E7A82E907C3008E071057026A53705873B72E</vt:lpwstr>
  </property>
  <property fmtid="{D5CDD505-2E9C-101B-9397-08002B2CF9AE}" pid="67" name="PM_OriginatorDomainName_SHA256">
    <vt:lpwstr>ECBDE2B44A971754412B3FB70606937A119CC0D4B6C1B658A40FBD41C30BE3EC</vt:lpwstr>
  </property>
  <property fmtid="{D5CDD505-2E9C-101B-9397-08002B2CF9AE}" pid="68" name="MSIP_Label_c0129afb-6481-4f92-bc9f-5a4a6346364d_Name">
    <vt:lpwstr>OFFICIAL</vt:lpwstr>
  </property>
  <property fmtid="{D5CDD505-2E9C-101B-9397-08002B2CF9AE}" pid="69" name="MSIP_Label_c0129afb-6481-4f92-bc9f-5a4a6346364d_SiteId">
    <vt:lpwstr>c05e3ffd-b491-4431-9809-e61d4dc78816</vt:lpwstr>
  </property>
  <property fmtid="{D5CDD505-2E9C-101B-9397-08002B2CF9AE}" pid="70" name="MSIP_Label_c0129afb-6481-4f92-bc9f-5a4a6346364d_Enabled">
    <vt:lpwstr>true</vt:lpwstr>
  </property>
</Properties>
</file>