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CD4C2" w14:textId="77777777" w:rsidR="00AA6DFA" w:rsidRPr="00E80020" w:rsidRDefault="00AA6DFA" w:rsidP="00AA6DFA">
      <w:pPr>
        <w:rPr>
          <w:color w:val="000000"/>
        </w:rPr>
      </w:pPr>
      <w:bookmarkStart w:id="0" w:name="_Toc168113228"/>
      <w:r>
        <w:rPr>
          <w:noProof/>
          <w:color w:val="000000"/>
        </w:rPr>
        <w:drawing>
          <wp:inline distT="0" distB="0" distL="0" distR="0" wp14:anchorId="33590C76" wp14:editId="3DB22B76">
            <wp:extent cx="1419225" cy="1104900"/>
            <wp:effectExtent l="0" t="0" r="9525" b="0"/>
            <wp:docPr id="1" name="Picture 1" descr="Commonwealth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monwealth Coat of Ar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38FB0A51" w14:textId="6C5DB946" w:rsidR="00AA6DFA" w:rsidRPr="00230D47" w:rsidRDefault="00AA6DFA" w:rsidP="00230D47">
      <w:pPr>
        <w:pStyle w:val="Title"/>
        <w:spacing w:before="480" w:after="120"/>
        <w:jc w:val="both"/>
        <w:rPr>
          <w:rFonts w:ascii="Arial" w:hAnsi="Arial" w:cs="Arial"/>
          <w:color w:val="000000"/>
        </w:rPr>
      </w:pPr>
      <w:r w:rsidRPr="00230D47">
        <w:rPr>
          <w:rFonts w:ascii="Arial" w:hAnsi="Arial" w:cs="Arial"/>
          <w:color w:val="000000"/>
        </w:rPr>
        <w:t xml:space="preserve">Banking (prudential standard) determination No. </w:t>
      </w:r>
      <w:r w:rsidR="00727988" w:rsidRPr="00230D47">
        <w:rPr>
          <w:rFonts w:ascii="Arial" w:hAnsi="Arial" w:cs="Arial"/>
          <w:color w:val="000000"/>
        </w:rPr>
        <w:t>4</w:t>
      </w:r>
      <w:r w:rsidRPr="00230D47">
        <w:rPr>
          <w:rFonts w:ascii="Arial" w:hAnsi="Arial" w:cs="Arial"/>
          <w:color w:val="000000"/>
        </w:rPr>
        <w:t xml:space="preserve"> of 20</w:t>
      </w:r>
      <w:r w:rsidR="0095022B" w:rsidRPr="00230D47">
        <w:rPr>
          <w:rFonts w:ascii="Arial" w:hAnsi="Arial" w:cs="Arial"/>
          <w:color w:val="000000"/>
        </w:rPr>
        <w:t>22</w:t>
      </w:r>
      <w:r w:rsidRPr="00230D47">
        <w:rPr>
          <w:rFonts w:ascii="Arial" w:hAnsi="Arial" w:cs="Arial"/>
          <w:color w:val="000000"/>
        </w:rPr>
        <w:t xml:space="preserve"> </w:t>
      </w:r>
    </w:p>
    <w:p w14:paraId="11C79860" w14:textId="77777777" w:rsidR="00AA6DFA" w:rsidRPr="00230D47" w:rsidRDefault="00AA6DFA" w:rsidP="00230D47">
      <w:pPr>
        <w:pStyle w:val="Title"/>
        <w:spacing w:before="360" w:after="120"/>
        <w:rPr>
          <w:rFonts w:ascii="Arial" w:hAnsi="Arial" w:cs="Arial"/>
          <w:color w:val="000000"/>
          <w:sz w:val="28"/>
          <w:szCs w:val="28"/>
        </w:rPr>
      </w:pPr>
      <w:r w:rsidRPr="00230D47">
        <w:rPr>
          <w:rFonts w:ascii="Arial" w:hAnsi="Arial" w:cs="Arial"/>
          <w:color w:val="000000"/>
          <w:sz w:val="28"/>
          <w:szCs w:val="28"/>
        </w:rPr>
        <w:t>Prudential Standard APS 110 Capital Adequacy</w:t>
      </w:r>
    </w:p>
    <w:p w14:paraId="312D5146" w14:textId="77777777" w:rsidR="00AA6DFA" w:rsidRPr="00E80020" w:rsidRDefault="00AA6DFA" w:rsidP="00230D47">
      <w:pPr>
        <w:pStyle w:val="ActTitle"/>
        <w:spacing w:before="360"/>
        <w:rPr>
          <w:color w:val="000000"/>
        </w:rPr>
      </w:pPr>
      <w:r w:rsidRPr="00E80020">
        <w:rPr>
          <w:color w:val="000000"/>
        </w:rPr>
        <w:t>Banking Act 1959</w:t>
      </w:r>
    </w:p>
    <w:p w14:paraId="3293BF53" w14:textId="77777777" w:rsidR="00AA6DFA" w:rsidRPr="00230D47" w:rsidRDefault="00AA6DFA" w:rsidP="00230D47">
      <w:pPr>
        <w:pStyle w:val="IntroTo"/>
        <w:rPr>
          <w:rFonts w:ascii="Arial" w:hAnsi="Arial" w:cs="Arial"/>
          <w:color w:val="000000"/>
          <w:sz w:val="22"/>
          <w:szCs w:val="22"/>
        </w:rPr>
      </w:pPr>
    </w:p>
    <w:p w14:paraId="691FA546" w14:textId="56937958" w:rsidR="00AA6DFA" w:rsidRPr="00230D47" w:rsidRDefault="00AA6DFA" w:rsidP="00230D47">
      <w:pPr>
        <w:spacing w:after="0"/>
        <w:rPr>
          <w:rFonts w:ascii="Arial" w:hAnsi="Arial" w:cs="Arial"/>
          <w:sz w:val="22"/>
          <w:szCs w:val="22"/>
          <w:highlight w:val="yellow"/>
        </w:rPr>
      </w:pPr>
      <w:r w:rsidRPr="00230D47">
        <w:rPr>
          <w:rFonts w:ascii="Arial" w:hAnsi="Arial" w:cs="Arial"/>
          <w:sz w:val="22"/>
          <w:szCs w:val="22"/>
        </w:rPr>
        <w:t xml:space="preserve">I, </w:t>
      </w:r>
      <w:r w:rsidR="00E33E41">
        <w:rPr>
          <w:rFonts w:ascii="Arial" w:hAnsi="Arial" w:cs="Arial"/>
          <w:sz w:val="22"/>
          <w:szCs w:val="22"/>
        </w:rPr>
        <w:t>John Lonsdale</w:t>
      </w:r>
      <w:r w:rsidRPr="00230D47">
        <w:rPr>
          <w:rFonts w:ascii="Arial" w:hAnsi="Arial" w:cs="Arial"/>
          <w:sz w:val="22"/>
          <w:szCs w:val="22"/>
        </w:rPr>
        <w:t xml:space="preserve">, </w:t>
      </w:r>
      <w:r w:rsidR="00557CD8">
        <w:rPr>
          <w:rFonts w:ascii="Arial" w:hAnsi="Arial" w:cs="Arial"/>
          <w:sz w:val="22"/>
          <w:szCs w:val="22"/>
        </w:rPr>
        <w:t xml:space="preserve">a </w:t>
      </w:r>
      <w:r w:rsidR="00327B7D" w:rsidRPr="00230D47">
        <w:rPr>
          <w:rFonts w:ascii="Arial" w:hAnsi="Arial" w:cs="Arial"/>
          <w:sz w:val="22"/>
          <w:szCs w:val="22"/>
        </w:rPr>
        <w:t>delegate</w:t>
      </w:r>
      <w:r w:rsidRPr="00230D47">
        <w:rPr>
          <w:rFonts w:ascii="Arial" w:hAnsi="Arial" w:cs="Arial"/>
          <w:sz w:val="22"/>
          <w:szCs w:val="22"/>
        </w:rPr>
        <w:t xml:space="preserve"> of APRA:</w:t>
      </w:r>
    </w:p>
    <w:p w14:paraId="7E144B43" w14:textId="77777777" w:rsidR="00AA6DFA" w:rsidRPr="00230D47" w:rsidRDefault="00AA6DFA" w:rsidP="00230D47">
      <w:pPr>
        <w:pStyle w:val="IntroTo"/>
        <w:ind w:left="0" w:firstLine="0"/>
        <w:jc w:val="both"/>
        <w:rPr>
          <w:rFonts w:ascii="Arial" w:hAnsi="Arial" w:cs="Arial"/>
          <w:sz w:val="22"/>
          <w:szCs w:val="22"/>
        </w:rPr>
      </w:pPr>
    </w:p>
    <w:p w14:paraId="6B984B90" w14:textId="7EC1B96C" w:rsidR="00AA6DFA" w:rsidRDefault="00AA6DFA" w:rsidP="00230D47">
      <w:pPr>
        <w:pStyle w:val="IntroTo"/>
        <w:numPr>
          <w:ilvl w:val="0"/>
          <w:numId w:val="35"/>
        </w:numPr>
        <w:ind w:hanging="720"/>
        <w:jc w:val="both"/>
        <w:rPr>
          <w:rFonts w:ascii="Arial" w:hAnsi="Arial" w:cs="Arial"/>
          <w:color w:val="000000"/>
          <w:sz w:val="22"/>
          <w:szCs w:val="22"/>
        </w:rPr>
      </w:pPr>
      <w:r w:rsidRPr="00230D47">
        <w:rPr>
          <w:rFonts w:ascii="Arial" w:hAnsi="Arial" w:cs="Arial"/>
          <w:color w:val="000000"/>
          <w:sz w:val="22"/>
          <w:szCs w:val="22"/>
        </w:rPr>
        <w:t>under subsection 11</w:t>
      </w:r>
      <w:proofErr w:type="gramStart"/>
      <w:r w:rsidRPr="00230D47">
        <w:rPr>
          <w:rFonts w:ascii="Arial" w:hAnsi="Arial" w:cs="Arial"/>
          <w:color w:val="000000"/>
          <w:sz w:val="22"/>
          <w:szCs w:val="22"/>
        </w:rPr>
        <w:t>AF(</w:t>
      </w:r>
      <w:proofErr w:type="gramEnd"/>
      <w:r w:rsidRPr="00230D47">
        <w:rPr>
          <w:rFonts w:ascii="Arial" w:hAnsi="Arial" w:cs="Arial"/>
          <w:color w:val="000000"/>
          <w:sz w:val="22"/>
          <w:szCs w:val="22"/>
        </w:rPr>
        <w:t xml:space="preserve">3) of the Banking Act 1959 (the Act) REVOKE Banking (prudential standard) determination No. </w:t>
      </w:r>
      <w:r w:rsidR="0095022B" w:rsidRPr="00230D47">
        <w:rPr>
          <w:rFonts w:ascii="Arial" w:hAnsi="Arial" w:cs="Arial"/>
          <w:color w:val="000000"/>
          <w:sz w:val="22"/>
          <w:szCs w:val="22"/>
        </w:rPr>
        <w:t>4</w:t>
      </w:r>
      <w:r w:rsidRPr="00230D47">
        <w:rPr>
          <w:rFonts w:ascii="Arial" w:hAnsi="Arial" w:cs="Arial"/>
          <w:color w:val="000000"/>
          <w:sz w:val="22"/>
          <w:szCs w:val="22"/>
        </w:rPr>
        <w:t xml:space="preserve"> of 2015, including </w:t>
      </w:r>
      <w:r w:rsidRPr="00230D47">
        <w:rPr>
          <w:rFonts w:ascii="Arial" w:hAnsi="Arial" w:cs="Arial"/>
          <w:i/>
          <w:color w:val="000000"/>
          <w:sz w:val="22"/>
          <w:szCs w:val="22"/>
        </w:rPr>
        <w:t>Prudential Standard APS 110 Capital Adequacy</w:t>
      </w:r>
      <w:r w:rsidRPr="00230D47">
        <w:rPr>
          <w:rFonts w:ascii="Arial" w:hAnsi="Arial" w:cs="Arial"/>
          <w:color w:val="000000"/>
          <w:sz w:val="22"/>
          <w:szCs w:val="22"/>
        </w:rPr>
        <w:t xml:space="preserve"> made under that </w:t>
      </w:r>
      <w:r w:rsidR="00230D47">
        <w:rPr>
          <w:rFonts w:ascii="Arial" w:hAnsi="Arial" w:cs="Arial"/>
          <w:color w:val="000000"/>
          <w:sz w:val="22"/>
          <w:szCs w:val="22"/>
        </w:rPr>
        <w:t>d</w:t>
      </w:r>
      <w:r w:rsidRPr="00230D47">
        <w:rPr>
          <w:rFonts w:ascii="Arial" w:hAnsi="Arial" w:cs="Arial"/>
          <w:color w:val="000000"/>
          <w:sz w:val="22"/>
          <w:szCs w:val="22"/>
        </w:rPr>
        <w:t>etermination; and</w:t>
      </w:r>
    </w:p>
    <w:p w14:paraId="41A86440" w14:textId="77777777" w:rsidR="00230D47" w:rsidRPr="00230D47" w:rsidRDefault="00230D47" w:rsidP="00230D47">
      <w:pPr>
        <w:pStyle w:val="IntroTo"/>
        <w:ind w:firstLine="0"/>
        <w:jc w:val="both"/>
        <w:rPr>
          <w:rFonts w:ascii="Arial" w:hAnsi="Arial" w:cs="Arial"/>
          <w:color w:val="000000"/>
          <w:sz w:val="22"/>
          <w:szCs w:val="22"/>
        </w:rPr>
      </w:pPr>
    </w:p>
    <w:p w14:paraId="4C97C7D3" w14:textId="53A55718" w:rsidR="00AA6DFA" w:rsidRPr="00230D47" w:rsidRDefault="00AA6DFA" w:rsidP="00230D47">
      <w:pPr>
        <w:pStyle w:val="IntroTo"/>
        <w:numPr>
          <w:ilvl w:val="0"/>
          <w:numId w:val="35"/>
        </w:numPr>
        <w:ind w:hanging="720"/>
        <w:jc w:val="both"/>
        <w:rPr>
          <w:rFonts w:ascii="Arial" w:hAnsi="Arial" w:cs="Arial"/>
          <w:color w:val="000000"/>
          <w:sz w:val="22"/>
          <w:szCs w:val="22"/>
        </w:rPr>
      </w:pPr>
      <w:r w:rsidRPr="00230D47">
        <w:rPr>
          <w:rFonts w:ascii="Arial" w:hAnsi="Arial" w:cs="Arial"/>
          <w:color w:val="000000"/>
          <w:sz w:val="22"/>
          <w:szCs w:val="22"/>
        </w:rPr>
        <w:t>under subsection 11</w:t>
      </w:r>
      <w:proofErr w:type="gramStart"/>
      <w:r w:rsidRPr="00230D47">
        <w:rPr>
          <w:rFonts w:ascii="Arial" w:hAnsi="Arial" w:cs="Arial"/>
          <w:color w:val="000000"/>
          <w:sz w:val="22"/>
          <w:szCs w:val="22"/>
        </w:rPr>
        <w:t>AF(</w:t>
      </w:r>
      <w:proofErr w:type="gramEnd"/>
      <w:r w:rsidRPr="00230D47">
        <w:rPr>
          <w:rFonts w:ascii="Arial" w:hAnsi="Arial" w:cs="Arial"/>
          <w:color w:val="000000"/>
          <w:sz w:val="22"/>
          <w:szCs w:val="22"/>
        </w:rPr>
        <w:t xml:space="preserve">1) of the Act DETERMINE </w:t>
      </w:r>
      <w:r w:rsidRPr="00230D47">
        <w:rPr>
          <w:rFonts w:ascii="Arial" w:hAnsi="Arial" w:cs="Arial"/>
          <w:i/>
          <w:color w:val="000000"/>
          <w:sz w:val="22"/>
          <w:szCs w:val="22"/>
        </w:rPr>
        <w:t>Prudential Standard APS 110 Capital Adequacy</w:t>
      </w:r>
      <w:r w:rsidRPr="00230D47">
        <w:rPr>
          <w:rFonts w:ascii="Arial" w:hAnsi="Arial" w:cs="Arial"/>
          <w:color w:val="000000"/>
          <w:sz w:val="22"/>
          <w:szCs w:val="22"/>
        </w:rPr>
        <w:t xml:space="preserve">, in the form set out in the </w:t>
      </w:r>
      <w:r w:rsidR="00230D47">
        <w:rPr>
          <w:rFonts w:ascii="Arial" w:hAnsi="Arial" w:cs="Arial"/>
          <w:color w:val="000000"/>
          <w:sz w:val="22"/>
          <w:szCs w:val="22"/>
        </w:rPr>
        <w:t>s</w:t>
      </w:r>
      <w:r w:rsidRPr="00230D47">
        <w:rPr>
          <w:rFonts w:ascii="Arial" w:hAnsi="Arial" w:cs="Arial"/>
          <w:color w:val="000000"/>
          <w:sz w:val="22"/>
          <w:szCs w:val="22"/>
        </w:rPr>
        <w:t xml:space="preserve">chedule, which applies to all ADIs and authorised NOHCs to the extent provided in paragraphs 2 to </w:t>
      </w:r>
      <w:r w:rsidR="00557CD8">
        <w:rPr>
          <w:rFonts w:ascii="Arial" w:hAnsi="Arial" w:cs="Arial"/>
          <w:color w:val="000000"/>
          <w:sz w:val="22"/>
          <w:szCs w:val="22"/>
        </w:rPr>
        <w:t>4</w:t>
      </w:r>
      <w:r w:rsidRPr="00230D47">
        <w:rPr>
          <w:rFonts w:ascii="Arial" w:hAnsi="Arial" w:cs="Arial"/>
          <w:color w:val="000000"/>
          <w:sz w:val="22"/>
          <w:szCs w:val="22"/>
        </w:rPr>
        <w:t xml:space="preserve"> of the prudential standard.</w:t>
      </w:r>
    </w:p>
    <w:p w14:paraId="75D9D4DF" w14:textId="77777777" w:rsidR="00AA6DFA" w:rsidRPr="00230D47" w:rsidRDefault="00AA6DFA" w:rsidP="00230D47">
      <w:pPr>
        <w:spacing w:after="0"/>
        <w:jc w:val="both"/>
        <w:rPr>
          <w:rFonts w:ascii="Arial" w:hAnsi="Arial" w:cs="Arial"/>
          <w:sz w:val="22"/>
          <w:szCs w:val="22"/>
        </w:rPr>
      </w:pPr>
    </w:p>
    <w:p w14:paraId="40C86C71" w14:textId="45F596A9" w:rsidR="00AA6DFA" w:rsidRDefault="00AA6DFA" w:rsidP="00230D47">
      <w:pPr>
        <w:spacing w:after="0"/>
        <w:jc w:val="both"/>
        <w:rPr>
          <w:rFonts w:ascii="Arial" w:hAnsi="Arial" w:cs="Arial"/>
          <w:sz w:val="22"/>
          <w:szCs w:val="22"/>
        </w:rPr>
      </w:pPr>
      <w:r w:rsidRPr="00230D47">
        <w:rPr>
          <w:rFonts w:ascii="Arial" w:hAnsi="Arial" w:cs="Arial"/>
          <w:sz w:val="22"/>
          <w:szCs w:val="22"/>
        </w:rPr>
        <w:t xml:space="preserve">This instrument </w:t>
      </w:r>
      <w:r w:rsidR="005248F9">
        <w:rPr>
          <w:rFonts w:ascii="Arial" w:hAnsi="Arial" w:cs="Arial"/>
          <w:sz w:val="22"/>
          <w:szCs w:val="22"/>
        </w:rPr>
        <w:t>commences</w:t>
      </w:r>
      <w:r w:rsidRPr="00230D47">
        <w:rPr>
          <w:rFonts w:ascii="Arial" w:hAnsi="Arial" w:cs="Arial"/>
          <w:sz w:val="22"/>
          <w:szCs w:val="22"/>
        </w:rPr>
        <w:t xml:space="preserve"> on 1 January </w:t>
      </w:r>
      <w:r w:rsidR="00B76FF4" w:rsidRPr="00230D47">
        <w:rPr>
          <w:rFonts w:ascii="Arial" w:hAnsi="Arial" w:cs="Arial"/>
          <w:sz w:val="22"/>
          <w:szCs w:val="22"/>
        </w:rPr>
        <w:t>2023</w:t>
      </w:r>
      <w:r w:rsidRPr="00230D47">
        <w:rPr>
          <w:rFonts w:ascii="Arial" w:hAnsi="Arial" w:cs="Arial"/>
          <w:sz w:val="22"/>
          <w:szCs w:val="22"/>
        </w:rPr>
        <w:t>.</w:t>
      </w:r>
    </w:p>
    <w:p w14:paraId="237CE111" w14:textId="77777777" w:rsidR="00230D47" w:rsidRPr="00230D47" w:rsidRDefault="00230D47" w:rsidP="00230D47">
      <w:pPr>
        <w:spacing w:after="0"/>
        <w:jc w:val="both"/>
        <w:rPr>
          <w:rFonts w:ascii="Arial" w:hAnsi="Arial" w:cs="Arial"/>
          <w:sz w:val="22"/>
          <w:szCs w:val="22"/>
        </w:rPr>
      </w:pPr>
    </w:p>
    <w:p w14:paraId="4A30EBD8" w14:textId="3CFAF2BF" w:rsidR="00AA6DFA" w:rsidRPr="00230D47" w:rsidRDefault="00AA6DFA" w:rsidP="00230D47">
      <w:pPr>
        <w:spacing w:after="0"/>
        <w:jc w:val="both"/>
        <w:rPr>
          <w:rFonts w:ascii="Arial" w:hAnsi="Arial" w:cs="Arial"/>
          <w:sz w:val="22"/>
          <w:szCs w:val="22"/>
        </w:rPr>
      </w:pPr>
      <w:r w:rsidRPr="00230D47">
        <w:rPr>
          <w:rFonts w:ascii="Arial" w:hAnsi="Arial" w:cs="Arial"/>
          <w:sz w:val="22"/>
          <w:szCs w:val="22"/>
        </w:rPr>
        <w:t xml:space="preserve">Dated: </w:t>
      </w:r>
      <w:r w:rsidR="00883944">
        <w:rPr>
          <w:rFonts w:ascii="Arial" w:hAnsi="Arial" w:cs="Arial"/>
          <w:sz w:val="22"/>
          <w:szCs w:val="22"/>
        </w:rPr>
        <w:t>8</w:t>
      </w:r>
      <w:r w:rsidR="00B85C47">
        <w:rPr>
          <w:rFonts w:ascii="Arial" w:hAnsi="Arial" w:cs="Arial"/>
          <w:sz w:val="22"/>
          <w:szCs w:val="22"/>
        </w:rPr>
        <w:t xml:space="preserve"> December</w:t>
      </w:r>
      <w:r w:rsidRPr="00230D47">
        <w:rPr>
          <w:rFonts w:ascii="Arial" w:hAnsi="Arial" w:cs="Arial"/>
          <w:sz w:val="22"/>
          <w:szCs w:val="22"/>
        </w:rPr>
        <w:t xml:space="preserve"> 20</w:t>
      </w:r>
      <w:r w:rsidR="00B76FF4" w:rsidRPr="00230D47">
        <w:rPr>
          <w:rFonts w:ascii="Arial" w:hAnsi="Arial" w:cs="Arial"/>
          <w:sz w:val="22"/>
          <w:szCs w:val="22"/>
        </w:rPr>
        <w:t>22</w:t>
      </w:r>
    </w:p>
    <w:p w14:paraId="3E97A800" w14:textId="77777777" w:rsidR="00110D8B" w:rsidRPr="00230D47" w:rsidRDefault="00110D8B" w:rsidP="00230D47">
      <w:pPr>
        <w:spacing w:after="0"/>
        <w:jc w:val="both"/>
        <w:rPr>
          <w:rFonts w:ascii="Arial" w:hAnsi="Arial" w:cs="Arial"/>
          <w:color w:val="000000"/>
          <w:sz w:val="22"/>
          <w:szCs w:val="22"/>
          <w:highlight w:val="yellow"/>
        </w:rPr>
      </w:pPr>
    </w:p>
    <w:p w14:paraId="646FBB5A" w14:textId="4877FFA8" w:rsidR="00AA6DFA" w:rsidRPr="00230D47" w:rsidRDefault="00AA6DFA" w:rsidP="00230D47">
      <w:pPr>
        <w:spacing w:after="0"/>
        <w:jc w:val="both"/>
        <w:rPr>
          <w:rFonts w:ascii="Arial" w:hAnsi="Arial" w:cs="Arial"/>
          <w:color w:val="000000"/>
          <w:sz w:val="22"/>
          <w:szCs w:val="22"/>
        </w:rPr>
      </w:pPr>
      <w:r w:rsidRPr="00B85C47">
        <w:rPr>
          <w:rFonts w:ascii="Arial" w:hAnsi="Arial" w:cs="Arial"/>
          <w:color w:val="000000"/>
          <w:sz w:val="22"/>
          <w:szCs w:val="22"/>
        </w:rPr>
        <w:t>[Signed]</w:t>
      </w:r>
    </w:p>
    <w:p w14:paraId="4158A476" w14:textId="77777777" w:rsidR="00230D47" w:rsidRDefault="00230D47" w:rsidP="00230D47">
      <w:pPr>
        <w:spacing w:after="0"/>
        <w:rPr>
          <w:rFonts w:ascii="Arial" w:hAnsi="Arial" w:cs="Arial"/>
          <w:sz w:val="22"/>
          <w:szCs w:val="22"/>
        </w:rPr>
      </w:pPr>
    </w:p>
    <w:p w14:paraId="60DB38F7" w14:textId="0E47E666" w:rsidR="00327B7D" w:rsidRDefault="00E33E41" w:rsidP="00230D47">
      <w:pPr>
        <w:spacing w:after="0"/>
        <w:jc w:val="both"/>
        <w:rPr>
          <w:rFonts w:ascii="Arial" w:hAnsi="Arial" w:cs="Arial"/>
          <w:sz w:val="22"/>
          <w:szCs w:val="22"/>
        </w:rPr>
      </w:pPr>
      <w:r>
        <w:rPr>
          <w:rFonts w:ascii="Arial" w:hAnsi="Arial" w:cs="Arial"/>
          <w:sz w:val="22"/>
          <w:szCs w:val="22"/>
        </w:rPr>
        <w:t>John Lonsdale</w:t>
      </w:r>
    </w:p>
    <w:p w14:paraId="775E9C83" w14:textId="72A99691" w:rsidR="00E33E41" w:rsidRDefault="00E33E41" w:rsidP="00230D47">
      <w:pPr>
        <w:spacing w:after="0"/>
        <w:jc w:val="both"/>
        <w:rPr>
          <w:rFonts w:ascii="Arial" w:hAnsi="Arial" w:cs="Arial"/>
          <w:sz w:val="22"/>
          <w:szCs w:val="22"/>
        </w:rPr>
      </w:pPr>
      <w:r>
        <w:rPr>
          <w:rFonts w:ascii="Arial" w:hAnsi="Arial" w:cs="Arial"/>
          <w:sz w:val="22"/>
          <w:szCs w:val="22"/>
        </w:rPr>
        <w:t>Chair</w:t>
      </w:r>
    </w:p>
    <w:p w14:paraId="6F023C19" w14:textId="5C8A7CB3" w:rsidR="00E33E41" w:rsidRPr="00230D47" w:rsidRDefault="00E33E41" w:rsidP="00230D47">
      <w:pPr>
        <w:spacing w:after="0"/>
        <w:jc w:val="both"/>
        <w:rPr>
          <w:rFonts w:ascii="Arial" w:hAnsi="Arial" w:cs="Arial"/>
          <w:sz w:val="22"/>
          <w:szCs w:val="22"/>
        </w:rPr>
      </w:pPr>
      <w:r>
        <w:rPr>
          <w:rFonts w:ascii="Arial" w:hAnsi="Arial" w:cs="Arial"/>
          <w:sz w:val="22"/>
          <w:szCs w:val="22"/>
        </w:rPr>
        <w:t>APRA</w:t>
      </w:r>
    </w:p>
    <w:p w14:paraId="565F3C92" w14:textId="77777777" w:rsidR="00AA6DFA" w:rsidRPr="00230D47" w:rsidRDefault="00AA6DFA" w:rsidP="00230D47">
      <w:pPr>
        <w:pStyle w:val="IH"/>
        <w:ind w:left="0" w:firstLine="0"/>
        <w:rPr>
          <w:rFonts w:cs="Arial"/>
          <w:color w:val="000000"/>
          <w:sz w:val="22"/>
          <w:szCs w:val="22"/>
        </w:rPr>
      </w:pPr>
      <w:r w:rsidRPr="00230D47">
        <w:rPr>
          <w:rFonts w:cs="Arial"/>
          <w:color w:val="000000"/>
          <w:sz w:val="22"/>
          <w:szCs w:val="22"/>
        </w:rPr>
        <w:t>Interpretation</w:t>
      </w:r>
    </w:p>
    <w:p w14:paraId="1EA3A3BA" w14:textId="071207C0" w:rsidR="00AA6DFA" w:rsidRPr="00230D47" w:rsidRDefault="00AA6DFA" w:rsidP="00230D47">
      <w:pPr>
        <w:pStyle w:val="IP"/>
        <w:spacing w:line="240" w:lineRule="auto"/>
        <w:rPr>
          <w:rFonts w:ascii="Arial" w:hAnsi="Arial" w:cs="Arial"/>
          <w:color w:val="000000"/>
          <w:sz w:val="22"/>
          <w:szCs w:val="22"/>
        </w:rPr>
      </w:pPr>
      <w:r w:rsidRPr="00230D47">
        <w:rPr>
          <w:rFonts w:ascii="Arial" w:hAnsi="Arial" w:cs="Arial"/>
          <w:color w:val="000000"/>
          <w:sz w:val="22"/>
          <w:szCs w:val="22"/>
        </w:rPr>
        <w:t xml:space="preserve">In this </w:t>
      </w:r>
      <w:r w:rsidR="00230D47">
        <w:rPr>
          <w:rFonts w:ascii="Arial" w:hAnsi="Arial" w:cs="Arial"/>
          <w:color w:val="000000"/>
          <w:sz w:val="22"/>
          <w:szCs w:val="22"/>
        </w:rPr>
        <w:t>instrument</w:t>
      </w:r>
      <w:r w:rsidRPr="00230D47">
        <w:rPr>
          <w:rFonts w:ascii="Arial" w:hAnsi="Arial" w:cs="Arial"/>
          <w:color w:val="000000"/>
          <w:sz w:val="22"/>
          <w:szCs w:val="22"/>
        </w:rPr>
        <w:t>:</w:t>
      </w:r>
    </w:p>
    <w:p w14:paraId="46829B83" w14:textId="77777777" w:rsidR="00230D47" w:rsidRPr="00230D47" w:rsidRDefault="00230D47" w:rsidP="00230D47">
      <w:pPr>
        <w:pStyle w:val="IntroTo"/>
        <w:spacing w:before="120"/>
        <w:ind w:left="0" w:firstLine="0"/>
        <w:jc w:val="both"/>
        <w:rPr>
          <w:rFonts w:ascii="Arial" w:hAnsi="Arial" w:cs="Arial"/>
          <w:color w:val="000000"/>
          <w:sz w:val="22"/>
          <w:szCs w:val="22"/>
        </w:rPr>
      </w:pPr>
      <w:r w:rsidRPr="00230D47">
        <w:rPr>
          <w:rFonts w:ascii="Arial" w:hAnsi="Arial" w:cs="Arial"/>
          <w:b/>
          <w:i/>
          <w:color w:val="000000"/>
          <w:sz w:val="22"/>
          <w:szCs w:val="22"/>
        </w:rPr>
        <w:t>APRA</w:t>
      </w:r>
      <w:r w:rsidRPr="00230D47">
        <w:rPr>
          <w:rFonts w:ascii="Arial" w:hAnsi="Arial" w:cs="Arial"/>
          <w:color w:val="000000"/>
          <w:sz w:val="22"/>
          <w:szCs w:val="22"/>
        </w:rPr>
        <w:t xml:space="preserve"> means the Australian Prudential Regulation Authority.</w:t>
      </w:r>
    </w:p>
    <w:p w14:paraId="5DF6440F" w14:textId="4C63F996" w:rsidR="00AA6DFA" w:rsidRPr="00230D47" w:rsidRDefault="00AA6DFA" w:rsidP="00230D47">
      <w:pPr>
        <w:pStyle w:val="IntroTo"/>
        <w:spacing w:before="120"/>
        <w:ind w:left="0" w:firstLine="0"/>
        <w:jc w:val="both"/>
        <w:rPr>
          <w:rFonts w:ascii="Arial" w:hAnsi="Arial" w:cs="Arial"/>
          <w:color w:val="000000"/>
          <w:sz w:val="22"/>
          <w:szCs w:val="22"/>
        </w:rPr>
      </w:pPr>
      <w:r w:rsidRPr="00230D47">
        <w:rPr>
          <w:rFonts w:ascii="Arial" w:hAnsi="Arial" w:cs="Arial"/>
          <w:b/>
          <w:i/>
          <w:color w:val="000000"/>
          <w:sz w:val="22"/>
          <w:szCs w:val="22"/>
        </w:rPr>
        <w:t xml:space="preserve">ADI </w:t>
      </w:r>
      <w:r w:rsidR="00230D47">
        <w:rPr>
          <w:rFonts w:ascii="Arial" w:hAnsi="Arial" w:cs="Arial"/>
          <w:color w:val="000000"/>
          <w:sz w:val="22"/>
          <w:szCs w:val="22"/>
        </w:rPr>
        <w:t xml:space="preserve">and </w:t>
      </w:r>
      <w:r w:rsidRPr="00230D47">
        <w:rPr>
          <w:rFonts w:ascii="Arial" w:hAnsi="Arial" w:cs="Arial"/>
          <w:b/>
          <w:i/>
          <w:color w:val="000000"/>
          <w:sz w:val="22"/>
          <w:szCs w:val="22"/>
        </w:rPr>
        <w:t>authorised NOHC</w:t>
      </w:r>
      <w:r w:rsidRPr="00230D47">
        <w:rPr>
          <w:rFonts w:ascii="Arial" w:hAnsi="Arial" w:cs="Arial"/>
          <w:color w:val="000000"/>
          <w:sz w:val="22"/>
          <w:szCs w:val="22"/>
        </w:rPr>
        <w:t xml:space="preserve"> </w:t>
      </w:r>
      <w:r w:rsidR="00230D47">
        <w:rPr>
          <w:rFonts w:ascii="Arial" w:hAnsi="Arial" w:cs="Arial"/>
          <w:color w:val="000000"/>
          <w:sz w:val="22"/>
          <w:szCs w:val="22"/>
        </w:rPr>
        <w:t xml:space="preserve">have their respective meanings </w:t>
      </w:r>
      <w:r w:rsidRPr="00230D47">
        <w:rPr>
          <w:rFonts w:ascii="Arial" w:hAnsi="Arial" w:cs="Arial"/>
          <w:color w:val="000000"/>
          <w:sz w:val="22"/>
          <w:szCs w:val="22"/>
        </w:rPr>
        <w:t>given in section 5 of the Act.</w:t>
      </w:r>
    </w:p>
    <w:p w14:paraId="340D93EA" w14:textId="77777777" w:rsidR="00A94573" w:rsidRDefault="00A94573">
      <w:pPr>
        <w:rPr>
          <w:rStyle w:val="CharSchNo"/>
          <w:rFonts w:ascii="Arial" w:eastAsia="Times New Roman" w:hAnsi="Arial" w:cs="Arial"/>
          <w:b/>
          <w:bCs/>
          <w:color w:val="000000"/>
          <w:sz w:val="32"/>
          <w:szCs w:val="32"/>
        </w:rPr>
      </w:pPr>
      <w:r>
        <w:rPr>
          <w:rStyle w:val="CharSchNo"/>
          <w:color w:val="000000"/>
        </w:rPr>
        <w:br w:type="page"/>
      </w:r>
    </w:p>
    <w:p w14:paraId="4B9DD887" w14:textId="451AE69B" w:rsidR="00AA6DFA" w:rsidRPr="006D4237" w:rsidRDefault="00AA6DFA" w:rsidP="006D4237">
      <w:pPr>
        <w:pStyle w:val="AS"/>
        <w:spacing w:before="0" w:after="240"/>
        <w:ind w:left="0" w:firstLine="0"/>
        <w:rPr>
          <w:rStyle w:val="CharSchText"/>
          <w:color w:val="000000"/>
        </w:rPr>
      </w:pPr>
      <w:r w:rsidRPr="006D4237">
        <w:rPr>
          <w:rStyle w:val="CharSchNo"/>
          <w:color w:val="000000"/>
        </w:rPr>
        <w:lastRenderedPageBreak/>
        <w:t xml:space="preserve">Schedule </w:t>
      </w:r>
    </w:p>
    <w:p w14:paraId="01888E29" w14:textId="77777777" w:rsidR="00AA6DFA" w:rsidRPr="00230D47" w:rsidRDefault="00AA6DFA" w:rsidP="00AA6DFA">
      <w:pPr>
        <w:pStyle w:val="ASref"/>
        <w:rPr>
          <w:color w:val="000000"/>
          <w:sz w:val="22"/>
          <w:szCs w:val="22"/>
        </w:rPr>
      </w:pPr>
    </w:p>
    <w:p w14:paraId="6AC88058" w14:textId="77777777" w:rsidR="00A94573" w:rsidRDefault="00AA6DFA" w:rsidP="00AA6DFA">
      <w:pPr>
        <w:pStyle w:val="Header"/>
        <w:jc w:val="both"/>
        <w:rPr>
          <w:rFonts w:ascii="Arial" w:hAnsi="Arial" w:cs="Arial"/>
          <w:b w:val="0"/>
          <w:bCs/>
          <w:sz w:val="22"/>
          <w:szCs w:val="22"/>
        </w:rPr>
        <w:sectPr w:rsidR="00A94573" w:rsidSect="00A94573">
          <w:footerReference w:type="default" r:id="rId14"/>
          <w:pgSz w:w="11906" w:h="16838" w:code="9"/>
          <w:pgMar w:top="1440" w:right="1440" w:bottom="1440" w:left="1440" w:header="709" w:footer="709" w:gutter="0"/>
          <w:cols w:space="708"/>
          <w:titlePg/>
          <w:docGrid w:linePitch="360"/>
        </w:sectPr>
      </w:pPr>
      <w:r w:rsidRPr="00230D47">
        <w:rPr>
          <w:rFonts w:ascii="Arial" w:hAnsi="Arial" w:cs="Arial"/>
          <w:b w:val="0"/>
          <w:i/>
          <w:color w:val="000000"/>
          <w:sz w:val="22"/>
          <w:szCs w:val="22"/>
        </w:rPr>
        <w:t xml:space="preserve">Prudential Standard </w:t>
      </w:r>
      <w:smartTag w:uri="urn:schemas-microsoft-com:office:smarttags" w:element="stockticker">
        <w:r w:rsidRPr="00230D47">
          <w:rPr>
            <w:rFonts w:ascii="Arial" w:hAnsi="Arial" w:cs="Arial"/>
            <w:b w:val="0"/>
            <w:i/>
            <w:color w:val="000000"/>
            <w:sz w:val="22"/>
            <w:szCs w:val="22"/>
          </w:rPr>
          <w:t>APS</w:t>
        </w:r>
      </w:smartTag>
      <w:r w:rsidRPr="00230D47">
        <w:rPr>
          <w:rFonts w:ascii="Arial" w:hAnsi="Arial" w:cs="Arial"/>
          <w:b w:val="0"/>
          <w:i/>
          <w:color w:val="000000"/>
          <w:sz w:val="22"/>
          <w:szCs w:val="22"/>
        </w:rPr>
        <w:t xml:space="preserve"> 110</w:t>
      </w:r>
      <w:r w:rsidRPr="00230D47">
        <w:rPr>
          <w:rFonts w:ascii="Arial" w:hAnsi="Arial" w:cs="Arial"/>
          <w:b w:val="0"/>
          <w:color w:val="000000"/>
          <w:sz w:val="22"/>
          <w:szCs w:val="22"/>
        </w:rPr>
        <w:t xml:space="preserve"> </w:t>
      </w:r>
      <w:r w:rsidRPr="00230D47">
        <w:rPr>
          <w:rFonts w:ascii="Arial" w:hAnsi="Arial" w:cs="Arial"/>
          <w:b w:val="0"/>
          <w:i/>
          <w:color w:val="000000"/>
          <w:sz w:val="22"/>
          <w:szCs w:val="22"/>
        </w:rPr>
        <w:t xml:space="preserve">Capital Adequacy </w:t>
      </w:r>
      <w:r w:rsidRPr="00230D47">
        <w:rPr>
          <w:rFonts w:ascii="Arial" w:hAnsi="Arial" w:cs="Arial"/>
          <w:b w:val="0"/>
          <w:bCs/>
          <w:sz w:val="22"/>
          <w:szCs w:val="22"/>
        </w:rPr>
        <w:t xml:space="preserve">comprises the </w:t>
      </w:r>
      <w:r w:rsidR="006D4237">
        <w:rPr>
          <w:rFonts w:ascii="Arial" w:hAnsi="Arial" w:cs="Arial"/>
          <w:b w:val="0"/>
          <w:bCs/>
          <w:sz w:val="22"/>
          <w:szCs w:val="22"/>
        </w:rPr>
        <w:t xml:space="preserve">document </w:t>
      </w:r>
      <w:r w:rsidRPr="00230D47">
        <w:rPr>
          <w:rFonts w:ascii="Arial" w:hAnsi="Arial" w:cs="Arial"/>
          <w:b w:val="0"/>
          <w:bCs/>
          <w:sz w:val="22"/>
          <w:szCs w:val="22"/>
        </w:rPr>
        <w:t>commencing on the following page.</w:t>
      </w:r>
      <w:bookmarkEnd w:id="0"/>
    </w:p>
    <w:p w14:paraId="6EC26993" w14:textId="77A3F0ED" w:rsidR="00AA6DFA" w:rsidRPr="00230D47" w:rsidRDefault="00AA6DFA" w:rsidP="00AA6DFA">
      <w:pPr>
        <w:pStyle w:val="Header"/>
        <w:jc w:val="both"/>
        <w:rPr>
          <w:rFonts w:ascii="Arial" w:hAnsi="Arial" w:cs="Arial"/>
          <w:b w:val="0"/>
          <w:bCs/>
          <w:sz w:val="22"/>
          <w:szCs w:val="22"/>
        </w:rPr>
      </w:pPr>
    </w:p>
    <w:p w14:paraId="2D3AF7B1" w14:textId="71DFD75F" w:rsidR="003B52EB" w:rsidRDefault="00506079" w:rsidP="00D855D2">
      <w:pPr>
        <w:pStyle w:val="BodyText2"/>
        <w:numPr>
          <w:ilvl w:val="0"/>
          <w:numId w:val="0"/>
        </w:numPr>
      </w:pPr>
      <w:r>
        <w:rPr>
          <w:noProof/>
        </w:rPr>
        <w:drawing>
          <wp:inline distT="0" distB="0" distL="0" distR="0" wp14:anchorId="764D4158" wp14:editId="370B16E8">
            <wp:extent cx="1485900" cy="1095375"/>
            <wp:effectExtent l="0" t="0" r="0" b="9525"/>
            <wp:docPr id="2" name="Picture 1" descr="Commonwealth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ommonwealth Coat of Arm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85900" cy="1095375"/>
                    </a:xfrm>
                    <a:prstGeom prst="rect">
                      <a:avLst/>
                    </a:prstGeom>
                    <a:noFill/>
                    <a:ln>
                      <a:noFill/>
                    </a:ln>
                  </pic:spPr>
                </pic:pic>
              </a:graphicData>
            </a:graphic>
          </wp:inline>
        </w:drawing>
      </w:r>
    </w:p>
    <w:p w14:paraId="0C9A2D82" w14:textId="04538951" w:rsidR="00D855D2" w:rsidRPr="00316301" w:rsidRDefault="00D855D2" w:rsidP="00D855D2">
      <w:pPr>
        <w:pStyle w:val="Heading2"/>
        <w:keepNext w:val="0"/>
      </w:pPr>
    </w:p>
    <w:p w14:paraId="4A3D082F" w14:textId="48BCC42E" w:rsidR="00DA3651" w:rsidRPr="009B6212" w:rsidRDefault="006A6A52" w:rsidP="00D855D2">
      <w:pPr>
        <w:pStyle w:val="Title"/>
        <w:jc w:val="both"/>
      </w:pPr>
      <w:bookmarkStart w:id="1" w:name="_Toc326937696"/>
      <w:r w:rsidRPr="001F6B8D">
        <w:t>Prudential</w:t>
      </w:r>
      <w:r w:rsidRPr="009B6212">
        <w:t xml:space="preserve"> Standard</w:t>
      </w:r>
      <w:r w:rsidRPr="00E07F40">
        <w:rPr>
          <w:rStyle w:val="PSNofieldtext"/>
        </w:rPr>
        <w:t xml:space="preserve"> </w:t>
      </w:r>
      <w:r w:rsidR="00AC4EC2">
        <w:rPr>
          <w:rStyle w:val="PSNofieldtext"/>
        </w:rPr>
        <w:t>APS</w:t>
      </w:r>
      <w:r w:rsidR="00EF0CAF">
        <w:rPr>
          <w:rStyle w:val="PSNofieldtext"/>
        </w:rPr>
        <w:t> </w:t>
      </w:r>
      <w:r w:rsidR="00AC4EC2">
        <w:rPr>
          <w:rStyle w:val="PSNofieldtext"/>
        </w:rPr>
        <w:t>110</w:t>
      </w:r>
    </w:p>
    <w:bookmarkEnd w:id="1"/>
    <w:p w14:paraId="226FC679" w14:textId="77777777" w:rsidR="00BC2D08" w:rsidRPr="00D375ED" w:rsidRDefault="00AC4EC2" w:rsidP="001F6B8D">
      <w:pPr>
        <w:pStyle w:val="Title"/>
      </w:pPr>
      <w:r>
        <w:rPr>
          <w:rStyle w:val="PSNamefieldtext"/>
        </w:rPr>
        <w:t>Capital Adequacy</w:t>
      </w:r>
    </w:p>
    <w:tbl>
      <w:tblPr>
        <w:tblStyle w:val="TableGrid"/>
        <w:tblW w:w="0" w:type="auto"/>
        <w:shd w:val="clear" w:color="auto" w:fill="DDDDDD"/>
        <w:tblLook w:val="04A0" w:firstRow="1" w:lastRow="0" w:firstColumn="1" w:lastColumn="0" w:noHBand="0" w:noVBand="1"/>
      </w:tblPr>
      <w:tblGrid>
        <w:gridCol w:w="8528"/>
      </w:tblGrid>
      <w:tr w:rsidR="0048511B" w14:paraId="4892E733" w14:textId="77777777" w:rsidTr="00DF539C">
        <w:tc>
          <w:tcPr>
            <w:tcW w:w="8528" w:type="dxa"/>
            <w:shd w:val="clear" w:color="auto" w:fill="DDDDDD"/>
          </w:tcPr>
          <w:p w14:paraId="351DC9CD" w14:textId="77777777" w:rsidR="003C46D7" w:rsidRPr="007A7E0A" w:rsidRDefault="003C46D7" w:rsidP="00E13D0E">
            <w:pPr>
              <w:pStyle w:val="BoxHeading"/>
              <w:jc w:val="both"/>
            </w:pPr>
            <w:r w:rsidRPr="00B37C03">
              <w:t xml:space="preserve">Objectives and key requirements of this Prudential </w:t>
            </w:r>
            <w:r w:rsidRPr="00173A04">
              <w:t>Standard</w:t>
            </w:r>
          </w:p>
          <w:p w14:paraId="52D3A001" w14:textId="375C3A2D" w:rsidR="00981A96" w:rsidRDefault="00981A96" w:rsidP="00E13D0E">
            <w:pPr>
              <w:jc w:val="both"/>
            </w:pPr>
            <w:r>
              <w:t>This Prudential Standard requires an authorised deposit-taking institution (ADI) to maintain adequate capital, on both a Level 1 and Level 2 basis, to act as a buffer against the risk associated with its activities.</w:t>
            </w:r>
          </w:p>
          <w:p w14:paraId="1BAE1ABC" w14:textId="7CB9C02A" w:rsidR="00981A96" w:rsidRDefault="00981A96" w:rsidP="00E13D0E">
            <w:pPr>
              <w:jc w:val="both"/>
            </w:pPr>
            <w:r w:rsidRPr="003A3905">
              <w:t>The ultimate responsibility for the prudent management of capital of an ADI rests with its Board of directors. The Board must ensure the ADI maintains an appropriate level and quality of capital commensurate with the type, amount and concentration of risks to which the ADI is exposed.</w:t>
            </w:r>
          </w:p>
          <w:p w14:paraId="01446602" w14:textId="51EDEEDB" w:rsidR="0048511B" w:rsidRDefault="0048511B" w:rsidP="00E13D0E">
            <w:pPr>
              <w:jc w:val="both"/>
            </w:pPr>
            <w:r>
              <w:t xml:space="preserve">The key requirements of this Prudential Standard </w:t>
            </w:r>
            <w:r w:rsidR="00981A96" w:rsidRPr="00981A96">
              <w:t>are that an</w:t>
            </w:r>
            <w:r w:rsidR="00981A96">
              <w:t xml:space="preserve"> ADI and any Level 2 group must</w:t>
            </w:r>
            <w:r>
              <w:t>:</w:t>
            </w:r>
          </w:p>
          <w:p w14:paraId="380A07AF" w14:textId="77777777" w:rsidR="008D3902" w:rsidRDefault="008D3902" w:rsidP="00E13D0E">
            <w:pPr>
              <w:pStyle w:val="BoxBullet"/>
              <w:jc w:val="both"/>
            </w:pPr>
            <w:r>
              <w:t xml:space="preserve">have an Internal Capital Adequacy Assessment Process; </w:t>
            </w:r>
          </w:p>
          <w:p w14:paraId="73D59DD0" w14:textId="77777777" w:rsidR="008D3902" w:rsidRDefault="008D3902" w:rsidP="00E13D0E">
            <w:pPr>
              <w:pStyle w:val="BoxBullet"/>
              <w:jc w:val="both"/>
            </w:pPr>
            <w:r>
              <w:t xml:space="preserve">maintain required levels of regulatory capital; </w:t>
            </w:r>
          </w:p>
          <w:p w14:paraId="651426AD" w14:textId="3DEE0FD1" w:rsidR="008D3902" w:rsidRDefault="008D3902" w:rsidP="00E13D0E">
            <w:pPr>
              <w:pStyle w:val="BoxBullet"/>
              <w:jc w:val="both"/>
            </w:pPr>
            <w:r>
              <w:t>operate a capital conservation buffer and a countercyclical capital buffer;</w:t>
            </w:r>
          </w:p>
          <w:p w14:paraId="511CAD43" w14:textId="4F77E1E2" w:rsidR="008D3902" w:rsidRDefault="008D3902" w:rsidP="00E13D0E">
            <w:pPr>
              <w:pStyle w:val="BoxBullet"/>
              <w:jc w:val="both"/>
            </w:pPr>
            <w:r>
              <w:t xml:space="preserve">inform APRA of any adverse change in actual or anticipated capital adequacy; </w:t>
            </w:r>
            <w:r w:rsidR="00086F76">
              <w:t>and</w:t>
            </w:r>
          </w:p>
          <w:p w14:paraId="542FCB31" w14:textId="75FF3FFF" w:rsidR="00173A04" w:rsidRDefault="008D3902" w:rsidP="000B5823">
            <w:pPr>
              <w:pStyle w:val="BoxBullet"/>
              <w:jc w:val="both"/>
            </w:pPr>
            <w:r>
              <w:t>seek APRA’s approval for any planned capital reductions</w:t>
            </w:r>
            <w:r w:rsidR="006B6C21">
              <w:t>.</w:t>
            </w:r>
          </w:p>
        </w:tc>
      </w:tr>
    </w:tbl>
    <w:p w14:paraId="46BC658C" w14:textId="77777777" w:rsidR="00BC2D08" w:rsidRDefault="00BC2D08" w:rsidP="00BC2D08">
      <w:pPr>
        <w:spacing w:after="0"/>
      </w:pPr>
    </w:p>
    <w:p w14:paraId="4490736A" w14:textId="77777777" w:rsidR="00C67A76" w:rsidRDefault="00C67A76" w:rsidP="00C67A76"/>
    <w:p w14:paraId="74A89540" w14:textId="77777777" w:rsidR="00C67A76" w:rsidRDefault="00C67A76" w:rsidP="00C67A76">
      <w:pPr>
        <w:sectPr w:rsidR="00C67A76" w:rsidSect="00A94573">
          <w:headerReference w:type="default" r:id="rId16"/>
          <w:footerReference w:type="default" r:id="rId17"/>
          <w:headerReference w:type="first" r:id="rId18"/>
          <w:footerReference w:type="first" r:id="rId19"/>
          <w:pgSz w:w="11906" w:h="16838" w:code="9"/>
          <w:pgMar w:top="1440" w:right="1440" w:bottom="1440" w:left="1440" w:header="709" w:footer="709" w:gutter="0"/>
          <w:cols w:space="708"/>
          <w:titlePg/>
          <w:docGrid w:linePitch="360"/>
        </w:sectPr>
      </w:pPr>
    </w:p>
    <w:p w14:paraId="0272C019" w14:textId="77777777" w:rsidR="00C6788C" w:rsidRDefault="009D467A" w:rsidP="001F6B8D">
      <w:pPr>
        <w:pStyle w:val="TOCHeading"/>
      </w:pPr>
      <w:bookmarkStart w:id="2" w:name="_Toc326676936"/>
      <w:bookmarkStart w:id="3" w:name="_Toc326756341"/>
      <w:bookmarkStart w:id="4" w:name="_Toc256519850"/>
      <w:r>
        <w:lastRenderedPageBreak/>
        <w:t>Table of Contents</w:t>
      </w:r>
    </w:p>
    <w:bookmarkStart w:id="5" w:name="_Toc326937698"/>
    <w:bookmarkStart w:id="6" w:name="_Toc326938615"/>
    <w:bookmarkStart w:id="7" w:name="_Toc326938830"/>
    <w:bookmarkEnd w:id="2"/>
    <w:bookmarkEnd w:id="3"/>
    <w:p w14:paraId="2773C9BE" w14:textId="000BE5A3" w:rsidR="002753F2" w:rsidRDefault="00BC23C0">
      <w:pPr>
        <w:pStyle w:val="TOC2"/>
        <w:rPr>
          <w:rFonts w:asciiTheme="minorHAnsi" w:eastAsiaTheme="minorEastAsia" w:hAnsiTheme="minorHAnsi" w:cstheme="minorBidi"/>
          <w:sz w:val="22"/>
          <w:szCs w:val="22"/>
        </w:rPr>
      </w:pPr>
      <w:r>
        <w:fldChar w:fldCharType="begin"/>
      </w:r>
      <w:r>
        <w:instrText xml:space="preserve"> TOC \o "1-1" \h \z \u \t "Heady 2_body,2" </w:instrText>
      </w:r>
      <w:r>
        <w:fldChar w:fldCharType="separate"/>
      </w:r>
      <w:hyperlink w:anchor="_Toc88565321" w:history="1">
        <w:r w:rsidR="002753F2" w:rsidRPr="00245CC6">
          <w:rPr>
            <w:rStyle w:val="Hyperlink"/>
          </w:rPr>
          <w:t>Authority</w:t>
        </w:r>
        <w:r w:rsidR="002753F2">
          <w:rPr>
            <w:webHidden/>
          </w:rPr>
          <w:tab/>
        </w:r>
        <w:r w:rsidR="002753F2">
          <w:rPr>
            <w:webHidden/>
          </w:rPr>
          <w:fldChar w:fldCharType="begin"/>
        </w:r>
        <w:r w:rsidR="002753F2">
          <w:rPr>
            <w:webHidden/>
          </w:rPr>
          <w:instrText xml:space="preserve"> PAGEREF _Toc88565321 \h </w:instrText>
        </w:r>
        <w:r w:rsidR="002753F2">
          <w:rPr>
            <w:webHidden/>
          </w:rPr>
        </w:r>
        <w:r w:rsidR="002753F2">
          <w:rPr>
            <w:webHidden/>
          </w:rPr>
          <w:fldChar w:fldCharType="separate"/>
        </w:r>
        <w:r w:rsidR="007D6CAA">
          <w:rPr>
            <w:webHidden/>
          </w:rPr>
          <w:t>3</w:t>
        </w:r>
        <w:r w:rsidR="002753F2">
          <w:rPr>
            <w:webHidden/>
          </w:rPr>
          <w:fldChar w:fldCharType="end"/>
        </w:r>
      </w:hyperlink>
    </w:p>
    <w:p w14:paraId="200F4CDA" w14:textId="3FA61EC1" w:rsidR="002753F2" w:rsidRDefault="008C31AD">
      <w:pPr>
        <w:pStyle w:val="TOC2"/>
        <w:rPr>
          <w:rFonts w:asciiTheme="minorHAnsi" w:eastAsiaTheme="minorEastAsia" w:hAnsiTheme="minorHAnsi" w:cstheme="minorBidi"/>
          <w:sz w:val="22"/>
          <w:szCs w:val="22"/>
        </w:rPr>
      </w:pPr>
      <w:hyperlink w:anchor="_Toc88565322" w:history="1">
        <w:r w:rsidR="002753F2" w:rsidRPr="00245CC6">
          <w:rPr>
            <w:rStyle w:val="Hyperlink"/>
          </w:rPr>
          <w:t>Application</w:t>
        </w:r>
        <w:r w:rsidR="002753F2">
          <w:rPr>
            <w:webHidden/>
          </w:rPr>
          <w:tab/>
        </w:r>
        <w:r w:rsidR="002753F2">
          <w:rPr>
            <w:webHidden/>
          </w:rPr>
          <w:fldChar w:fldCharType="begin"/>
        </w:r>
        <w:r w:rsidR="002753F2">
          <w:rPr>
            <w:webHidden/>
          </w:rPr>
          <w:instrText xml:space="preserve"> PAGEREF _Toc88565322 \h </w:instrText>
        </w:r>
        <w:r w:rsidR="002753F2">
          <w:rPr>
            <w:webHidden/>
          </w:rPr>
        </w:r>
        <w:r w:rsidR="002753F2">
          <w:rPr>
            <w:webHidden/>
          </w:rPr>
          <w:fldChar w:fldCharType="separate"/>
        </w:r>
        <w:r w:rsidR="007D6CAA">
          <w:rPr>
            <w:webHidden/>
          </w:rPr>
          <w:t>3</w:t>
        </w:r>
        <w:r w:rsidR="002753F2">
          <w:rPr>
            <w:webHidden/>
          </w:rPr>
          <w:fldChar w:fldCharType="end"/>
        </w:r>
      </w:hyperlink>
    </w:p>
    <w:p w14:paraId="0603FDF9" w14:textId="0646D788" w:rsidR="002753F2" w:rsidRDefault="008C31AD">
      <w:pPr>
        <w:pStyle w:val="TOC2"/>
        <w:rPr>
          <w:rFonts w:asciiTheme="minorHAnsi" w:eastAsiaTheme="minorEastAsia" w:hAnsiTheme="minorHAnsi" w:cstheme="minorBidi"/>
          <w:sz w:val="22"/>
          <w:szCs w:val="22"/>
        </w:rPr>
      </w:pPr>
      <w:hyperlink w:anchor="_Toc88565323" w:history="1">
        <w:r w:rsidR="002753F2" w:rsidRPr="00245CC6">
          <w:rPr>
            <w:rStyle w:val="Hyperlink"/>
          </w:rPr>
          <w:t>Interpretation</w:t>
        </w:r>
        <w:r w:rsidR="002753F2">
          <w:rPr>
            <w:webHidden/>
          </w:rPr>
          <w:tab/>
        </w:r>
        <w:r w:rsidR="002753F2">
          <w:rPr>
            <w:webHidden/>
          </w:rPr>
          <w:fldChar w:fldCharType="begin"/>
        </w:r>
        <w:r w:rsidR="002753F2">
          <w:rPr>
            <w:webHidden/>
          </w:rPr>
          <w:instrText xml:space="preserve"> PAGEREF _Toc88565323 \h </w:instrText>
        </w:r>
        <w:r w:rsidR="002753F2">
          <w:rPr>
            <w:webHidden/>
          </w:rPr>
        </w:r>
        <w:r w:rsidR="002753F2">
          <w:rPr>
            <w:webHidden/>
          </w:rPr>
          <w:fldChar w:fldCharType="separate"/>
        </w:r>
        <w:r w:rsidR="007D6CAA">
          <w:rPr>
            <w:webHidden/>
          </w:rPr>
          <w:t>3</w:t>
        </w:r>
        <w:r w:rsidR="002753F2">
          <w:rPr>
            <w:webHidden/>
          </w:rPr>
          <w:fldChar w:fldCharType="end"/>
        </w:r>
      </w:hyperlink>
    </w:p>
    <w:p w14:paraId="6232E477" w14:textId="16415EAD" w:rsidR="002753F2" w:rsidRDefault="008C31AD">
      <w:pPr>
        <w:pStyle w:val="TOC2"/>
        <w:rPr>
          <w:rFonts w:asciiTheme="minorHAnsi" w:eastAsiaTheme="minorEastAsia" w:hAnsiTheme="minorHAnsi" w:cstheme="minorBidi"/>
          <w:sz w:val="22"/>
          <w:szCs w:val="22"/>
        </w:rPr>
      </w:pPr>
      <w:hyperlink w:anchor="_Toc88565324" w:history="1">
        <w:r w:rsidR="002753F2" w:rsidRPr="00245CC6">
          <w:rPr>
            <w:rStyle w:val="Hyperlink"/>
          </w:rPr>
          <w:t>Definitions</w:t>
        </w:r>
        <w:r w:rsidR="002753F2">
          <w:rPr>
            <w:webHidden/>
          </w:rPr>
          <w:tab/>
        </w:r>
        <w:r w:rsidR="002753F2">
          <w:rPr>
            <w:webHidden/>
          </w:rPr>
          <w:fldChar w:fldCharType="begin"/>
        </w:r>
        <w:r w:rsidR="002753F2">
          <w:rPr>
            <w:webHidden/>
          </w:rPr>
          <w:instrText xml:space="preserve"> PAGEREF _Toc88565324 \h </w:instrText>
        </w:r>
        <w:r w:rsidR="002753F2">
          <w:rPr>
            <w:webHidden/>
          </w:rPr>
        </w:r>
        <w:r w:rsidR="002753F2">
          <w:rPr>
            <w:webHidden/>
          </w:rPr>
          <w:fldChar w:fldCharType="separate"/>
        </w:r>
        <w:r w:rsidR="007D6CAA">
          <w:rPr>
            <w:webHidden/>
          </w:rPr>
          <w:t>3</w:t>
        </w:r>
        <w:r w:rsidR="002753F2">
          <w:rPr>
            <w:webHidden/>
          </w:rPr>
          <w:fldChar w:fldCharType="end"/>
        </w:r>
      </w:hyperlink>
    </w:p>
    <w:p w14:paraId="55738D1C" w14:textId="5131BAB8" w:rsidR="002753F2" w:rsidRDefault="008C31AD">
      <w:pPr>
        <w:pStyle w:val="TOC2"/>
        <w:rPr>
          <w:rFonts w:asciiTheme="minorHAnsi" w:eastAsiaTheme="minorEastAsia" w:hAnsiTheme="minorHAnsi" w:cstheme="minorBidi"/>
          <w:sz w:val="22"/>
          <w:szCs w:val="22"/>
        </w:rPr>
      </w:pPr>
      <w:hyperlink w:anchor="_Toc88565325" w:history="1">
        <w:r w:rsidR="002753F2" w:rsidRPr="00245CC6">
          <w:rPr>
            <w:rStyle w:val="Hyperlink"/>
          </w:rPr>
          <w:t>Adjustments and exclusions</w:t>
        </w:r>
        <w:r w:rsidR="002753F2">
          <w:rPr>
            <w:webHidden/>
          </w:rPr>
          <w:tab/>
        </w:r>
        <w:r w:rsidR="002753F2">
          <w:rPr>
            <w:webHidden/>
          </w:rPr>
          <w:fldChar w:fldCharType="begin"/>
        </w:r>
        <w:r w:rsidR="002753F2">
          <w:rPr>
            <w:webHidden/>
          </w:rPr>
          <w:instrText xml:space="preserve"> PAGEREF _Toc88565325 \h </w:instrText>
        </w:r>
        <w:r w:rsidR="002753F2">
          <w:rPr>
            <w:webHidden/>
          </w:rPr>
        </w:r>
        <w:r w:rsidR="002753F2">
          <w:rPr>
            <w:webHidden/>
          </w:rPr>
          <w:fldChar w:fldCharType="separate"/>
        </w:r>
        <w:r w:rsidR="007D6CAA">
          <w:rPr>
            <w:webHidden/>
          </w:rPr>
          <w:t>4</w:t>
        </w:r>
        <w:r w:rsidR="002753F2">
          <w:rPr>
            <w:webHidden/>
          </w:rPr>
          <w:fldChar w:fldCharType="end"/>
        </w:r>
      </w:hyperlink>
    </w:p>
    <w:p w14:paraId="4CF949E1" w14:textId="145BC0BE" w:rsidR="002753F2" w:rsidRDefault="008C31AD">
      <w:pPr>
        <w:pStyle w:val="TOC2"/>
        <w:rPr>
          <w:rFonts w:asciiTheme="minorHAnsi" w:eastAsiaTheme="minorEastAsia" w:hAnsiTheme="minorHAnsi" w:cstheme="minorBidi"/>
          <w:sz w:val="22"/>
          <w:szCs w:val="22"/>
        </w:rPr>
      </w:pPr>
      <w:hyperlink w:anchor="_Toc88565326" w:history="1">
        <w:r w:rsidR="002753F2" w:rsidRPr="00245CC6">
          <w:rPr>
            <w:rStyle w:val="Hyperlink"/>
          </w:rPr>
          <w:t>Previous exercise of discretion</w:t>
        </w:r>
        <w:r w:rsidR="002753F2">
          <w:rPr>
            <w:webHidden/>
          </w:rPr>
          <w:tab/>
        </w:r>
        <w:r w:rsidR="002753F2">
          <w:rPr>
            <w:webHidden/>
          </w:rPr>
          <w:fldChar w:fldCharType="begin"/>
        </w:r>
        <w:r w:rsidR="002753F2">
          <w:rPr>
            <w:webHidden/>
          </w:rPr>
          <w:instrText xml:space="preserve"> PAGEREF _Toc88565326 \h </w:instrText>
        </w:r>
        <w:r w:rsidR="002753F2">
          <w:rPr>
            <w:webHidden/>
          </w:rPr>
        </w:r>
        <w:r w:rsidR="002753F2">
          <w:rPr>
            <w:webHidden/>
          </w:rPr>
          <w:fldChar w:fldCharType="separate"/>
        </w:r>
        <w:r w:rsidR="007D6CAA">
          <w:rPr>
            <w:webHidden/>
          </w:rPr>
          <w:t>4</w:t>
        </w:r>
        <w:r w:rsidR="002753F2">
          <w:rPr>
            <w:webHidden/>
          </w:rPr>
          <w:fldChar w:fldCharType="end"/>
        </w:r>
      </w:hyperlink>
    </w:p>
    <w:p w14:paraId="12942D5C" w14:textId="1853BE8C" w:rsidR="002753F2" w:rsidRDefault="008C31AD">
      <w:pPr>
        <w:pStyle w:val="TOC2"/>
        <w:rPr>
          <w:rFonts w:asciiTheme="minorHAnsi" w:eastAsiaTheme="minorEastAsia" w:hAnsiTheme="minorHAnsi" w:cstheme="minorBidi"/>
          <w:sz w:val="22"/>
          <w:szCs w:val="22"/>
        </w:rPr>
      </w:pPr>
      <w:hyperlink w:anchor="_Toc88565327" w:history="1">
        <w:r w:rsidR="002753F2" w:rsidRPr="00245CC6">
          <w:rPr>
            <w:rStyle w:val="Hyperlink"/>
          </w:rPr>
          <w:t>Responsibility for capital management</w:t>
        </w:r>
        <w:r w:rsidR="002753F2">
          <w:rPr>
            <w:webHidden/>
          </w:rPr>
          <w:tab/>
        </w:r>
        <w:r w:rsidR="002753F2">
          <w:rPr>
            <w:webHidden/>
          </w:rPr>
          <w:fldChar w:fldCharType="begin"/>
        </w:r>
        <w:r w:rsidR="002753F2">
          <w:rPr>
            <w:webHidden/>
          </w:rPr>
          <w:instrText xml:space="preserve"> PAGEREF _Toc88565327 \h </w:instrText>
        </w:r>
        <w:r w:rsidR="002753F2">
          <w:rPr>
            <w:webHidden/>
          </w:rPr>
        </w:r>
        <w:r w:rsidR="002753F2">
          <w:rPr>
            <w:webHidden/>
          </w:rPr>
          <w:fldChar w:fldCharType="separate"/>
        </w:r>
        <w:r w:rsidR="007D6CAA">
          <w:rPr>
            <w:webHidden/>
          </w:rPr>
          <w:t>4</w:t>
        </w:r>
        <w:r w:rsidR="002753F2">
          <w:rPr>
            <w:webHidden/>
          </w:rPr>
          <w:fldChar w:fldCharType="end"/>
        </w:r>
      </w:hyperlink>
    </w:p>
    <w:p w14:paraId="599CD61F" w14:textId="13885339" w:rsidR="002753F2" w:rsidRDefault="008C31AD">
      <w:pPr>
        <w:pStyle w:val="TOC2"/>
        <w:rPr>
          <w:rFonts w:asciiTheme="minorHAnsi" w:eastAsiaTheme="minorEastAsia" w:hAnsiTheme="minorHAnsi" w:cstheme="minorBidi"/>
          <w:sz w:val="22"/>
          <w:szCs w:val="22"/>
        </w:rPr>
      </w:pPr>
      <w:hyperlink w:anchor="_Toc88565328" w:history="1">
        <w:r w:rsidR="002753F2" w:rsidRPr="00245CC6">
          <w:rPr>
            <w:rStyle w:val="Hyperlink"/>
          </w:rPr>
          <w:t>Internal Capital Adequacy Assessment Process</w:t>
        </w:r>
        <w:r w:rsidR="002753F2">
          <w:rPr>
            <w:webHidden/>
          </w:rPr>
          <w:tab/>
        </w:r>
        <w:r w:rsidR="002753F2">
          <w:rPr>
            <w:webHidden/>
          </w:rPr>
          <w:fldChar w:fldCharType="begin"/>
        </w:r>
        <w:r w:rsidR="002753F2">
          <w:rPr>
            <w:webHidden/>
          </w:rPr>
          <w:instrText xml:space="preserve"> PAGEREF _Toc88565328 \h </w:instrText>
        </w:r>
        <w:r w:rsidR="002753F2">
          <w:rPr>
            <w:webHidden/>
          </w:rPr>
        </w:r>
        <w:r w:rsidR="002753F2">
          <w:rPr>
            <w:webHidden/>
          </w:rPr>
          <w:fldChar w:fldCharType="separate"/>
        </w:r>
        <w:r w:rsidR="007D6CAA">
          <w:rPr>
            <w:webHidden/>
          </w:rPr>
          <w:t>5</w:t>
        </w:r>
        <w:r w:rsidR="002753F2">
          <w:rPr>
            <w:webHidden/>
          </w:rPr>
          <w:fldChar w:fldCharType="end"/>
        </w:r>
      </w:hyperlink>
    </w:p>
    <w:p w14:paraId="70CF49D6" w14:textId="214278DD" w:rsidR="002753F2" w:rsidRDefault="008C31AD">
      <w:pPr>
        <w:pStyle w:val="TOC2"/>
        <w:rPr>
          <w:rFonts w:asciiTheme="minorHAnsi" w:eastAsiaTheme="minorEastAsia" w:hAnsiTheme="minorHAnsi" w:cstheme="minorBidi"/>
          <w:sz w:val="22"/>
          <w:szCs w:val="22"/>
        </w:rPr>
      </w:pPr>
      <w:hyperlink w:anchor="_Toc88565329" w:history="1">
        <w:r w:rsidR="002753F2" w:rsidRPr="00245CC6">
          <w:rPr>
            <w:rStyle w:val="Hyperlink"/>
          </w:rPr>
          <w:t>Minimum risk-based capital adequacy requirements</w:t>
        </w:r>
        <w:r w:rsidR="002753F2">
          <w:rPr>
            <w:webHidden/>
          </w:rPr>
          <w:tab/>
        </w:r>
        <w:r w:rsidR="002753F2">
          <w:rPr>
            <w:webHidden/>
          </w:rPr>
          <w:fldChar w:fldCharType="begin"/>
        </w:r>
        <w:r w:rsidR="002753F2">
          <w:rPr>
            <w:webHidden/>
          </w:rPr>
          <w:instrText xml:space="preserve"> PAGEREF _Toc88565329 \h </w:instrText>
        </w:r>
        <w:r w:rsidR="002753F2">
          <w:rPr>
            <w:webHidden/>
          </w:rPr>
        </w:r>
        <w:r w:rsidR="002753F2">
          <w:rPr>
            <w:webHidden/>
          </w:rPr>
          <w:fldChar w:fldCharType="separate"/>
        </w:r>
        <w:r w:rsidR="007D6CAA">
          <w:rPr>
            <w:webHidden/>
          </w:rPr>
          <w:t>7</w:t>
        </w:r>
        <w:r w:rsidR="002753F2">
          <w:rPr>
            <w:webHidden/>
          </w:rPr>
          <w:fldChar w:fldCharType="end"/>
        </w:r>
      </w:hyperlink>
    </w:p>
    <w:p w14:paraId="5B508A21" w14:textId="516CC5BE" w:rsidR="002753F2" w:rsidRDefault="008C31AD">
      <w:pPr>
        <w:pStyle w:val="TOC2"/>
        <w:rPr>
          <w:rFonts w:asciiTheme="minorHAnsi" w:eastAsiaTheme="minorEastAsia" w:hAnsiTheme="minorHAnsi" w:cstheme="minorBidi"/>
          <w:sz w:val="22"/>
          <w:szCs w:val="22"/>
        </w:rPr>
      </w:pPr>
      <w:hyperlink w:anchor="_Toc88565330" w:history="1">
        <w:r w:rsidR="002753F2" w:rsidRPr="00245CC6">
          <w:rPr>
            <w:rStyle w:val="Hyperlink"/>
          </w:rPr>
          <w:t>Capital floor</w:t>
        </w:r>
        <w:r w:rsidR="002753F2">
          <w:rPr>
            <w:webHidden/>
          </w:rPr>
          <w:tab/>
        </w:r>
        <w:r w:rsidR="002753F2">
          <w:rPr>
            <w:webHidden/>
          </w:rPr>
          <w:fldChar w:fldCharType="begin"/>
        </w:r>
        <w:r w:rsidR="002753F2">
          <w:rPr>
            <w:webHidden/>
          </w:rPr>
          <w:instrText xml:space="preserve"> PAGEREF _Toc88565330 \h </w:instrText>
        </w:r>
        <w:r w:rsidR="002753F2">
          <w:rPr>
            <w:webHidden/>
          </w:rPr>
        </w:r>
        <w:r w:rsidR="002753F2">
          <w:rPr>
            <w:webHidden/>
          </w:rPr>
          <w:fldChar w:fldCharType="separate"/>
        </w:r>
        <w:r w:rsidR="007D6CAA">
          <w:rPr>
            <w:webHidden/>
          </w:rPr>
          <w:t>8</w:t>
        </w:r>
        <w:r w:rsidR="002753F2">
          <w:rPr>
            <w:webHidden/>
          </w:rPr>
          <w:fldChar w:fldCharType="end"/>
        </w:r>
      </w:hyperlink>
    </w:p>
    <w:p w14:paraId="3BD009B4" w14:textId="6E5A401A" w:rsidR="002753F2" w:rsidRDefault="008C31AD">
      <w:pPr>
        <w:pStyle w:val="TOC2"/>
        <w:rPr>
          <w:rFonts w:asciiTheme="minorHAnsi" w:eastAsiaTheme="minorEastAsia" w:hAnsiTheme="minorHAnsi" w:cstheme="minorBidi"/>
          <w:sz w:val="22"/>
          <w:szCs w:val="22"/>
        </w:rPr>
      </w:pPr>
      <w:hyperlink w:anchor="_Toc88565331" w:history="1">
        <w:r w:rsidR="002753F2" w:rsidRPr="00245CC6">
          <w:rPr>
            <w:rStyle w:val="Hyperlink"/>
          </w:rPr>
          <w:t>Capital conservation buffer</w:t>
        </w:r>
        <w:r w:rsidR="002753F2">
          <w:rPr>
            <w:webHidden/>
          </w:rPr>
          <w:tab/>
        </w:r>
        <w:r w:rsidR="002753F2">
          <w:rPr>
            <w:webHidden/>
          </w:rPr>
          <w:fldChar w:fldCharType="begin"/>
        </w:r>
        <w:r w:rsidR="002753F2">
          <w:rPr>
            <w:webHidden/>
          </w:rPr>
          <w:instrText xml:space="preserve"> PAGEREF _Toc88565331 \h </w:instrText>
        </w:r>
        <w:r w:rsidR="002753F2">
          <w:rPr>
            <w:webHidden/>
          </w:rPr>
        </w:r>
        <w:r w:rsidR="002753F2">
          <w:rPr>
            <w:webHidden/>
          </w:rPr>
          <w:fldChar w:fldCharType="separate"/>
        </w:r>
        <w:r w:rsidR="007D6CAA">
          <w:rPr>
            <w:webHidden/>
          </w:rPr>
          <w:t>8</w:t>
        </w:r>
        <w:r w:rsidR="002753F2">
          <w:rPr>
            <w:webHidden/>
          </w:rPr>
          <w:fldChar w:fldCharType="end"/>
        </w:r>
      </w:hyperlink>
    </w:p>
    <w:p w14:paraId="3710FF94" w14:textId="1AE50589" w:rsidR="002753F2" w:rsidRDefault="008C31AD">
      <w:pPr>
        <w:pStyle w:val="TOC2"/>
        <w:rPr>
          <w:rFonts w:asciiTheme="minorHAnsi" w:eastAsiaTheme="minorEastAsia" w:hAnsiTheme="minorHAnsi" w:cstheme="minorBidi"/>
          <w:sz w:val="22"/>
          <w:szCs w:val="22"/>
        </w:rPr>
      </w:pPr>
      <w:hyperlink w:anchor="_Toc88565332" w:history="1">
        <w:r w:rsidR="002753F2" w:rsidRPr="00245CC6">
          <w:rPr>
            <w:rStyle w:val="Hyperlink"/>
          </w:rPr>
          <w:t>Countercyclical capital buffer</w:t>
        </w:r>
        <w:r w:rsidR="002753F2">
          <w:rPr>
            <w:webHidden/>
          </w:rPr>
          <w:tab/>
        </w:r>
        <w:r w:rsidR="002753F2">
          <w:rPr>
            <w:webHidden/>
          </w:rPr>
          <w:fldChar w:fldCharType="begin"/>
        </w:r>
        <w:r w:rsidR="002753F2">
          <w:rPr>
            <w:webHidden/>
          </w:rPr>
          <w:instrText xml:space="preserve"> PAGEREF _Toc88565332 \h </w:instrText>
        </w:r>
        <w:r w:rsidR="002753F2">
          <w:rPr>
            <w:webHidden/>
          </w:rPr>
        </w:r>
        <w:r w:rsidR="002753F2">
          <w:rPr>
            <w:webHidden/>
          </w:rPr>
          <w:fldChar w:fldCharType="separate"/>
        </w:r>
        <w:r w:rsidR="007D6CAA">
          <w:rPr>
            <w:webHidden/>
          </w:rPr>
          <w:t>9</w:t>
        </w:r>
        <w:r w:rsidR="002753F2">
          <w:rPr>
            <w:webHidden/>
          </w:rPr>
          <w:fldChar w:fldCharType="end"/>
        </w:r>
      </w:hyperlink>
    </w:p>
    <w:p w14:paraId="2229ABA8" w14:textId="358E21A9" w:rsidR="002753F2" w:rsidRDefault="008C31AD">
      <w:pPr>
        <w:pStyle w:val="TOC2"/>
        <w:rPr>
          <w:rFonts w:asciiTheme="minorHAnsi" w:eastAsiaTheme="minorEastAsia" w:hAnsiTheme="minorHAnsi" w:cstheme="minorBidi"/>
          <w:sz w:val="22"/>
          <w:szCs w:val="22"/>
        </w:rPr>
      </w:pPr>
      <w:hyperlink w:anchor="_Toc88565333" w:history="1">
        <w:r w:rsidR="002753F2" w:rsidRPr="00245CC6">
          <w:rPr>
            <w:rStyle w:val="Hyperlink"/>
          </w:rPr>
          <w:t>Minimum dollar amount of capital</w:t>
        </w:r>
        <w:r w:rsidR="002753F2">
          <w:rPr>
            <w:webHidden/>
          </w:rPr>
          <w:tab/>
        </w:r>
        <w:r w:rsidR="002753F2">
          <w:rPr>
            <w:webHidden/>
          </w:rPr>
          <w:fldChar w:fldCharType="begin"/>
        </w:r>
        <w:r w:rsidR="002753F2">
          <w:rPr>
            <w:webHidden/>
          </w:rPr>
          <w:instrText xml:space="preserve"> PAGEREF _Toc88565333 \h </w:instrText>
        </w:r>
        <w:r w:rsidR="002753F2">
          <w:rPr>
            <w:webHidden/>
          </w:rPr>
        </w:r>
        <w:r w:rsidR="002753F2">
          <w:rPr>
            <w:webHidden/>
          </w:rPr>
          <w:fldChar w:fldCharType="separate"/>
        </w:r>
        <w:r w:rsidR="007D6CAA">
          <w:rPr>
            <w:webHidden/>
          </w:rPr>
          <w:t>9</w:t>
        </w:r>
        <w:r w:rsidR="002753F2">
          <w:rPr>
            <w:webHidden/>
          </w:rPr>
          <w:fldChar w:fldCharType="end"/>
        </w:r>
      </w:hyperlink>
    </w:p>
    <w:p w14:paraId="33AB0C2C" w14:textId="5BC89A7D" w:rsidR="002753F2" w:rsidRDefault="008C31AD">
      <w:pPr>
        <w:pStyle w:val="TOC2"/>
        <w:rPr>
          <w:rFonts w:asciiTheme="minorHAnsi" w:eastAsiaTheme="minorEastAsia" w:hAnsiTheme="minorHAnsi" w:cstheme="minorBidi"/>
          <w:sz w:val="22"/>
          <w:szCs w:val="22"/>
        </w:rPr>
      </w:pPr>
      <w:hyperlink w:anchor="_Toc88565334" w:history="1">
        <w:r w:rsidR="002753F2" w:rsidRPr="00245CC6">
          <w:rPr>
            <w:rStyle w:val="Hyperlink"/>
          </w:rPr>
          <w:t>Minimum leverage ratio requirement</w:t>
        </w:r>
        <w:r w:rsidR="002753F2">
          <w:rPr>
            <w:webHidden/>
          </w:rPr>
          <w:tab/>
        </w:r>
        <w:r w:rsidR="002753F2">
          <w:rPr>
            <w:webHidden/>
          </w:rPr>
          <w:fldChar w:fldCharType="begin"/>
        </w:r>
        <w:r w:rsidR="002753F2">
          <w:rPr>
            <w:webHidden/>
          </w:rPr>
          <w:instrText xml:space="preserve"> PAGEREF _Toc88565334 \h </w:instrText>
        </w:r>
        <w:r w:rsidR="002753F2">
          <w:rPr>
            <w:webHidden/>
          </w:rPr>
        </w:r>
        <w:r w:rsidR="002753F2">
          <w:rPr>
            <w:webHidden/>
          </w:rPr>
          <w:fldChar w:fldCharType="separate"/>
        </w:r>
        <w:r w:rsidR="007D6CAA">
          <w:rPr>
            <w:webHidden/>
          </w:rPr>
          <w:t>10</w:t>
        </w:r>
        <w:r w:rsidR="002753F2">
          <w:rPr>
            <w:webHidden/>
          </w:rPr>
          <w:fldChar w:fldCharType="end"/>
        </w:r>
      </w:hyperlink>
    </w:p>
    <w:p w14:paraId="43FEBA0B" w14:textId="76F233A7" w:rsidR="002753F2" w:rsidRDefault="008C31AD">
      <w:pPr>
        <w:pStyle w:val="TOC2"/>
        <w:rPr>
          <w:rFonts w:asciiTheme="minorHAnsi" w:eastAsiaTheme="minorEastAsia" w:hAnsiTheme="minorHAnsi" w:cstheme="minorBidi"/>
          <w:sz w:val="22"/>
          <w:szCs w:val="22"/>
        </w:rPr>
      </w:pPr>
      <w:hyperlink w:anchor="_Toc88565335" w:history="1">
        <w:r w:rsidR="002753F2" w:rsidRPr="00245CC6">
          <w:rPr>
            <w:rStyle w:val="Hyperlink"/>
          </w:rPr>
          <w:t>Reductions in capital</w:t>
        </w:r>
        <w:r w:rsidR="002753F2">
          <w:rPr>
            <w:webHidden/>
          </w:rPr>
          <w:tab/>
        </w:r>
        <w:r w:rsidR="002753F2">
          <w:rPr>
            <w:webHidden/>
          </w:rPr>
          <w:fldChar w:fldCharType="begin"/>
        </w:r>
        <w:r w:rsidR="002753F2">
          <w:rPr>
            <w:webHidden/>
          </w:rPr>
          <w:instrText xml:space="preserve"> PAGEREF _Toc88565335 \h </w:instrText>
        </w:r>
        <w:r w:rsidR="002753F2">
          <w:rPr>
            <w:webHidden/>
          </w:rPr>
        </w:r>
        <w:r w:rsidR="002753F2">
          <w:rPr>
            <w:webHidden/>
          </w:rPr>
          <w:fldChar w:fldCharType="separate"/>
        </w:r>
        <w:r w:rsidR="007D6CAA">
          <w:rPr>
            <w:webHidden/>
          </w:rPr>
          <w:t>10</w:t>
        </w:r>
        <w:r w:rsidR="002753F2">
          <w:rPr>
            <w:webHidden/>
          </w:rPr>
          <w:fldChar w:fldCharType="end"/>
        </w:r>
      </w:hyperlink>
    </w:p>
    <w:p w14:paraId="1E340B78" w14:textId="5CD9424E" w:rsidR="002753F2" w:rsidRDefault="008C31AD">
      <w:pPr>
        <w:pStyle w:val="TOC2"/>
        <w:rPr>
          <w:rFonts w:asciiTheme="minorHAnsi" w:eastAsiaTheme="minorEastAsia" w:hAnsiTheme="minorHAnsi" w:cstheme="minorBidi"/>
          <w:sz w:val="22"/>
          <w:szCs w:val="22"/>
        </w:rPr>
      </w:pPr>
      <w:hyperlink w:anchor="_Toc88565336" w:history="1">
        <w:r w:rsidR="002753F2" w:rsidRPr="00245CC6">
          <w:rPr>
            <w:rStyle w:val="Hyperlink"/>
          </w:rPr>
          <w:t>Notification requirements</w:t>
        </w:r>
        <w:r w:rsidR="002753F2">
          <w:rPr>
            <w:webHidden/>
          </w:rPr>
          <w:tab/>
        </w:r>
        <w:r w:rsidR="002753F2">
          <w:rPr>
            <w:webHidden/>
          </w:rPr>
          <w:fldChar w:fldCharType="begin"/>
        </w:r>
        <w:r w:rsidR="002753F2">
          <w:rPr>
            <w:webHidden/>
          </w:rPr>
          <w:instrText xml:space="preserve"> PAGEREF _Toc88565336 \h </w:instrText>
        </w:r>
        <w:r w:rsidR="002753F2">
          <w:rPr>
            <w:webHidden/>
          </w:rPr>
        </w:r>
        <w:r w:rsidR="002753F2">
          <w:rPr>
            <w:webHidden/>
          </w:rPr>
          <w:fldChar w:fldCharType="separate"/>
        </w:r>
        <w:r w:rsidR="007D6CAA">
          <w:rPr>
            <w:webHidden/>
          </w:rPr>
          <w:t>11</w:t>
        </w:r>
        <w:r w:rsidR="002753F2">
          <w:rPr>
            <w:webHidden/>
          </w:rPr>
          <w:fldChar w:fldCharType="end"/>
        </w:r>
      </w:hyperlink>
    </w:p>
    <w:p w14:paraId="4DA8BB68" w14:textId="08A5F13F" w:rsidR="002753F2" w:rsidRDefault="008C31AD">
      <w:pPr>
        <w:pStyle w:val="TOC1"/>
        <w:rPr>
          <w:rFonts w:asciiTheme="minorHAnsi" w:eastAsiaTheme="minorEastAsia" w:hAnsiTheme="minorHAnsi" w:cstheme="minorBidi"/>
          <w:sz w:val="22"/>
          <w:szCs w:val="22"/>
        </w:rPr>
      </w:pPr>
      <w:hyperlink w:anchor="_Toc88565337" w:history="1">
        <w:r w:rsidR="002753F2" w:rsidRPr="00245CC6">
          <w:rPr>
            <w:rStyle w:val="Hyperlink"/>
          </w:rPr>
          <w:t>Attachment A – Risk-based regulatory capital ratios</w:t>
        </w:r>
        <w:r w:rsidR="002753F2">
          <w:rPr>
            <w:webHidden/>
          </w:rPr>
          <w:tab/>
        </w:r>
        <w:r w:rsidR="002753F2">
          <w:rPr>
            <w:webHidden/>
          </w:rPr>
          <w:fldChar w:fldCharType="begin"/>
        </w:r>
        <w:r w:rsidR="002753F2">
          <w:rPr>
            <w:webHidden/>
          </w:rPr>
          <w:instrText xml:space="preserve"> PAGEREF _Toc88565337 \h </w:instrText>
        </w:r>
        <w:r w:rsidR="002753F2">
          <w:rPr>
            <w:webHidden/>
          </w:rPr>
        </w:r>
        <w:r w:rsidR="002753F2">
          <w:rPr>
            <w:webHidden/>
          </w:rPr>
          <w:fldChar w:fldCharType="separate"/>
        </w:r>
        <w:r w:rsidR="007D6CAA">
          <w:rPr>
            <w:webHidden/>
          </w:rPr>
          <w:t>12</w:t>
        </w:r>
        <w:r w:rsidR="002753F2">
          <w:rPr>
            <w:webHidden/>
          </w:rPr>
          <w:fldChar w:fldCharType="end"/>
        </w:r>
      </w:hyperlink>
    </w:p>
    <w:p w14:paraId="5D2A6330" w14:textId="7B4C8700" w:rsidR="002753F2" w:rsidRDefault="008C31AD">
      <w:pPr>
        <w:pStyle w:val="TOC1"/>
        <w:rPr>
          <w:rFonts w:asciiTheme="minorHAnsi" w:eastAsiaTheme="minorEastAsia" w:hAnsiTheme="minorHAnsi" w:cstheme="minorBidi"/>
          <w:sz w:val="22"/>
          <w:szCs w:val="22"/>
        </w:rPr>
      </w:pPr>
      <w:hyperlink w:anchor="_Toc88565338" w:history="1">
        <w:r w:rsidR="002753F2" w:rsidRPr="00245CC6">
          <w:rPr>
            <w:rStyle w:val="Hyperlink"/>
          </w:rPr>
          <w:t>Attachment B – Constraints on capital distributions</w:t>
        </w:r>
        <w:r w:rsidR="002753F2">
          <w:rPr>
            <w:webHidden/>
          </w:rPr>
          <w:tab/>
        </w:r>
        <w:r w:rsidR="002753F2">
          <w:rPr>
            <w:webHidden/>
          </w:rPr>
          <w:fldChar w:fldCharType="begin"/>
        </w:r>
        <w:r w:rsidR="002753F2">
          <w:rPr>
            <w:webHidden/>
          </w:rPr>
          <w:instrText xml:space="preserve"> PAGEREF _Toc88565338 \h </w:instrText>
        </w:r>
        <w:r w:rsidR="002753F2">
          <w:rPr>
            <w:webHidden/>
          </w:rPr>
        </w:r>
        <w:r w:rsidR="002753F2">
          <w:rPr>
            <w:webHidden/>
          </w:rPr>
          <w:fldChar w:fldCharType="separate"/>
        </w:r>
        <w:r w:rsidR="007D6CAA">
          <w:rPr>
            <w:webHidden/>
          </w:rPr>
          <w:t>14</w:t>
        </w:r>
        <w:r w:rsidR="002753F2">
          <w:rPr>
            <w:webHidden/>
          </w:rPr>
          <w:fldChar w:fldCharType="end"/>
        </w:r>
      </w:hyperlink>
    </w:p>
    <w:p w14:paraId="3E2C238C" w14:textId="39F7CB14" w:rsidR="002753F2" w:rsidRDefault="008C31AD">
      <w:pPr>
        <w:pStyle w:val="TOC1"/>
        <w:rPr>
          <w:rFonts w:asciiTheme="minorHAnsi" w:eastAsiaTheme="minorEastAsia" w:hAnsiTheme="minorHAnsi" w:cstheme="minorBidi"/>
          <w:sz w:val="22"/>
          <w:szCs w:val="22"/>
        </w:rPr>
      </w:pPr>
      <w:hyperlink w:anchor="_Toc88565339" w:history="1">
        <w:r w:rsidR="002753F2" w:rsidRPr="00245CC6">
          <w:rPr>
            <w:rStyle w:val="Hyperlink"/>
          </w:rPr>
          <w:t>Attachment C – Countercyclical capital buffer</w:t>
        </w:r>
        <w:r w:rsidR="002753F2">
          <w:rPr>
            <w:webHidden/>
          </w:rPr>
          <w:tab/>
        </w:r>
        <w:r w:rsidR="002753F2">
          <w:rPr>
            <w:webHidden/>
          </w:rPr>
          <w:fldChar w:fldCharType="begin"/>
        </w:r>
        <w:r w:rsidR="002753F2">
          <w:rPr>
            <w:webHidden/>
          </w:rPr>
          <w:instrText xml:space="preserve"> PAGEREF _Toc88565339 \h </w:instrText>
        </w:r>
        <w:r w:rsidR="002753F2">
          <w:rPr>
            <w:webHidden/>
          </w:rPr>
        </w:r>
        <w:r w:rsidR="002753F2">
          <w:rPr>
            <w:webHidden/>
          </w:rPr>
          <w:fldChar w:fldCharType="separate"/>
        </w:r>
        <w:r w:rsidR="007D6CAA">
          <w:rPr>
            <w:webHidden/>
          </w:rPr>
          <w:t>16</w:t>
        </w:r>
        <w:r w:rsidR="002753F2">
          <w:rPr>
            <w:webHidden/>
          </w:rPr>
          <w:fldChar w:fldCharType="end"/>
        </w:r>
      </w:hyperlink>
    </w:p>
    <w:p w14:paraId="3E5C760B" w14:textId="6D972C8B" w:rsidR="002753F2" w:rsidRDefault="008C31AD">
      <w:pPr>
        <w:pStyle w:val="TOC1"/>
        <w:rPr>
          <w:rFonts w:asciiTheme="minorHAnsi" w:eastAsiaTheme="minorEastAsia" w:hAnsiTheme="minorHAnsi" w:cstheme="minorBidi"/>
          <w:sz w:val="22"/>
          <w:szCs w:val="22"/>
        </w:rPr>
      </w:pPr>
      <w:hyperlink w:anchor="_Toc88565340" w:history="1">
        <w:r w:rsidR="002753F2" w:rsidRPr="00245CC6">
          <w:rPr>
            <w:rStyle w:val="Hyperlink"/>
          </w:rPr>
          <w:t>Attachment D – Leverage ratio</w:t>
        </w:r>
        <w:r w:rsidR="002753F2">
          <w:rPr>
            <w:webHidden/>
          </w:rPr>
          <w:tab/>
        </w:r>
        <w:r w:rsidR="002753F2">
          <w:rPr>
            <w:webHidden/>
          </w:rPr>
          <w:fldChar w:fldCharType="begin"/>
        </w:r>
        <w:r w:rsidR="002753F2">
          <w:rPr>
            <w:webHidden/>
          </w:rPr>
          <w:instrText xml:space="preserve"> PAGEREF _Toc88565340 \h </w:instrText>
        </w:r>
        <w:r w:rsidR="002753F2">
          <w:rPr>
            <w:webHidden/>
          </w:rPr>
        </w:r>
        <w:r w:rsidR="002753F2">
          <w:rPr>
            <w:webHidden/>
          </w:rPr>
          <w:fldChar w:fldCharType="separate"/>
        </w:r>
        <w:r w:rsidR="007D6CAA">
          <w:rPr>
            <w:webHidden/>
          </w:rPr>
          <w:t>18</w:t>
        </w:r>
        <w:r w:rsidR="002753F2">
          <w:rPr>
            <w:webHidden/>
          </w:rPr>
          <w:fldChar w:fldCharType="end"/>
        </w:r>
      </w:hyperlink>
    </w:p>
    <w:p w14:paraId="64D6A5D0" w14:textId="426B3F9A" w:rsidR="009D467A" w:rsidRDefault="00BC23C0" w:rsidP="00FF513E">
      <w:pPr>
        <w:pStyle w:val="NoSpacing"/>
      </w:pPr>
      <w:r>
        <w:rPr>
          <w:rFonts w:ascii="Arial" w:hAnsi="Arial"/>
          <w:noProof/>
        </w:rPr>
        <w:fldChar w:fldCharType="end"/>
      </w:r>
    </w:p>
    <w:p w14:paraId="19A41892" w14:textId="77777777" w:rsidR="00E96B6D" w:rsidRPr="00211D71" w:rsidRDefault="00E96B6D" w:rsidP="001F6B8D">
      <w:pPr>
        <w:pStyle w:val="Heading1"/>
        <w:sectPr w:rsidR="00E96B6D" w:rsidRPr="00211D71" w:rsidSect="007D6CAA">
          <w:pgSz w:w="11906" w:h="16838" w:code="9"/>
          <w:pgMar w:top="1440" w:right="1797" w:bottom="1440" w:left="1797" w:header="709" w:footer="709" w:gutter="0"/>
          <w:pgNumType w:start="2"/>
          <w:cols w:space="708"/>
          <w:docGrid w:linePitch="360"/>
        </w:sectPr>
      </w:pPr>
      <w:bookmarkStart w:id="8" w:name="_Toc314733116"/>
      <w:bookmarkStart w:id="9" w:name="_Toc341686774"/>
      <w:bookmarkEnd w:id="4"/>
      <w:bookmarkEnd w:id="5"/>
      <w:bookmarkEnd w:id="6"/>
      <w:bookmarkEnd w:id="7"/>
    </w:p>
    <w:p w14:paraId="474F641E" w14:textId="77777777" w:rsidR="00E07F40" w:rsidRPr="001F6B8D" w:rsidRDefault="00E07F40" w:rsidP="00BC23C0">
      <w:pPr>
        <w:pStyle w:val="Heady2body"/>
      </w:pPr>
      <w:bookmarkStart w:id="10" w:name="_Toc88565321"/>
      <w:r w:rsidRPr="00B37C03">
        <w:lastRenderedPageBreak/>
        <w:t>Authority</w:t>
      </w:r>
      <w:bookmarkEnd w:id="8"/>
      <w:bookmarkEnd w:id="9"/>
      <w:bookmarkEnd w:id="10"/>
    </w:p>
    <w:p w14:paraId="4BC0ACE3" w14:textId="6AEA4B50" w:rsidR="00E07F40" w:rsidRDefault="00E07F40" w:rsidP="001C755C">
      <w:pPr>
        <w:pStyle w:val="BodyText1"/>
      </w:pPr>
      <w:r w:rsidRPr="00B37C03">
        <w:t xml:space="preserve">This Prudential Standard is made under section 11AF of the </w:t>
      </w:r>
      <w:r w:rsidRPr="00B37C03">
        <w:rPr>
          <w:i/>
          <w:iCs/>
        </w:rPr>
        <w:t xml:space="preserve">Banking Act 1959 </w:t>
      </w:r>
      <w:r w:rsidRPr="00B37C03">
        <w:t>(</w:t>
      </w:r>
      <w:r w:rsidRPr="00962DED">
        <w:rPr>
          <w:b/>
        </w:rPr>
        <w:t>Banking Act</w:t>
      </w:r>
      <w:r w:rsidRPr="00B37C03">
        <w:t>).</w:t>
      </w:r>
      <w:r w:rsidR="00E96B6D">
        <w:t xml:space="preserve"> </w:t>
      </w:r>
    </w:p>
    <w:p w14:paraId="39B56013" w14:textId="19DF1AEE" w:rsidR="00E07F40" w:rsidRDefault="00E07F40" w:rsidP="00BC23C0">
      <w:pPr>
        <w:pStyle w:val="Heady2body"/>
      </w:pPr>
      <w:bookmarkStart w:id="11" w:name="_Toc314733118"/>
      <w:bookmarkStart w:id="12" w:name="_Toc341686775"/>
      <w:bookmarkStart w:id="13" w:name="_Toc88565322"/>
      <w:r w:rsidRPr="00B37C03">
        <w:t>Application</w:t>
      </w:r>
      <w:bookmarkEnd w:id="11"/>
      <w:bookmarkEnd w:id="12"/>
      <w:bookmarkEnd w:id="13"/>
    </w:p>
    <w:p w14:paraId="1A43E3B3" w14:textId="4620BA5F" w:rsidR="001150D1" w:rsidRPr="001150D1" w:rsidRDefault="00E33279" w:rsidP="00A23B51">
      <w:pPr>
        <w:pStyle w:val="BodyText1"/>
      </w:pPr>
      <w:r w:rsidRPr="00E33279">
        <w:t>This Prudential Standard applies to all authorised deposit-taking institutions (</w:t>
      </w:r>
      <w:r w:rsidRPr="00E33279">
        <w:rPr>
          <w:b/>
        </w:rPr>
        <w:t>ADI</w:t>
      </w:r>
      <w:r w:rsidRPr="00E33279">
        <w:t xml:space="preserve">s) </w:t>
      </w:r>
      <w:r w:rsidR="00A23B51">
        <w:t>with the exception of:</w:t>
      </w:r>
    </w:p>
    <w:p w14:paraId="39830EE3" w14:textId="5AA46B40" w:rsidR="001150D1" w:rsidRPr="001150D1" w:rsidRDefault="001150D1" w:rsidP="007E1C0E">
      <w:pPr>
        <w:pStyle w:val="BodyText2"/>
        <w:jc w:val="both"/>
      </w:pPr>
      <w:bookmarkStart w:id="14" w:name="_Hlk88033883"/>
      <w:r w:rsidRPr="001150D1">
        <w:rPr>
          <w:b/>
        </w:rPr>
        <w:t>foreign ADI</w:t>
      </w:r>
      <w:r w:rsidR="00750799">
        <w:rPr>
          <w:b/>
        </w:rPr>
        <w:t>s</w:t>
      </w:r>
      <w:r w:rsidRPr="001150D1">
        <w:t xml:space="preserve">; </w:t>
      </w:r>
      <w:bookmarkEnd w:id="14"/>
      <w:r w:rsidRPr="001150D1">
        <w:t xml:space="preserve">or </w:t>
      </w:r>
    </w:p>
    <w:p w14:paraId="73DEF187" w14:textId="08EBFC9A" w:rsidR="001150D1" w:rsidRPr="001150D1" w:rsidRDefault="001150D1" w:rsidP="007E1C0E">
      <w:pPr>
        <w:pStyle w:val="BodyText2"/>
        <w:jc w:val="both"/>
      </w:pPr>
      <w:r w:rsidRPr="00D11FBA">
        <w:rPr>
          <w:b/>
        </w:rPr>
        <w:t>purchased payment facility provider</w:t>
      </w:r>
      <w:r w:rsidR="00750799">
        <w:rPr>
          <w:b/>
        </w:rPr>
        <w:t>s</w:t>
      </w:r>
      <w:r w:rsidRPr="001150D1">
        <w:t>.</w:t>
      </w:r>
    </w:p>
    <w:p w14:paraId="4AE4CACB" w14:textId="77777777" w:rsidR="00BF064A" w:rsidRPr="00BF064A" w:rsidRDefault="00BF064A" w:rsidP="00BF064A">
      <w:pPr>
        <w:pStyle w:val="BodyText1"/>
      </w:pPr>
      <w:r w:rsidRPr="00BF064A">
        <w:t>A reference to an ADI in this Prudential Standard, unless otherwise indicated, is a reference to:</w:t>
      </w:r>
    </w:p>
    <w:p w14:paraId="4644A63D" w14:textId="77777777" w:rsidR="00BF064A" w:rsidRDefault="00BF064A" w:rsidP="007E1C0E">
      <w:pPr>
        <w:pStyle w:val="BodyText2"/>
        <w:jc w:val="both"/>
      </w:pPr>
      <w:r>
        <w:t xml:space="preserve">an ADI on a </w:t>
      </w:r>
      <w:r w:rsidRPr="00BF064A">
        <w:rPr>
          <w:b/>
        </w:rPr>
        <w:t>Level 1</w:t>
      </w:r>
      <w:r>
        <w:t xml:space="preserve"> basis; and</w:t>
      </w:r>
    </w:p>
    <w:p w14:paraId="52AA397E" w14:textId="77777777" w:rsidR="00DF539C" w:rsidRPr="00DF539C" w:rsidRDefault="00BF064A" w:rsidP="007E1C0E">
      <w:pPr>
        <w:pStyle w:val="BodyText2"/>
        <w:jc w:val="both"/>
      </w:pPr>
      <w:r>
        <w:t xml:space="preserve">a </w:t>
      </w:r>
      <w:r w:rsidRPr="00BF064A">
        <w:rPr>
          <w:b/>
        </w:rPr>
        <w:t>group</w:t>
      </w:r>
      <w:r>
        <w:t xml:space="preserve"> of which an ADI is a member on a </w:t>
      </w:r>
      <w:r w:rsidRPr="00BF064A">
        <w:rPr>
          <w:b/>
        </w:rPr>
        <w:t>Level 2</w:t>
      </w:r>
      <w:r>
        <w:t xml:space="preserve"> basis.</w:t>
      </w:r>
    </w:p>
    <w:p w14:paraId="676C6D9D" w14:textId="77777777" w:rsidR="00BF064A" w:rsidRPr="00BF064A" w:rsidRDefault="00BF064A" w:rsidP="00BF064A">
      <w:pPr>
        <w:pStyle w:val="BodyText1"/>
      </w:pPr>
      <w:r w:rsidRPr="00BF064A">
        <w:t>If an ADI to which this Prudential Standard applies is:</w:t>
      </w:r>
    </w:p>
    <w:p w14:paraId="45B60DE1" w14:textId="709AA833" w:rsidR="00BF064A" w:rsidRPr="00BF064A" w:rsidRDefault="00BF064A" w:rsidP="007E1C0E">
      <w:pPr>
        <w:pStyle w:val="BodyText2"/>
        <w:jc w:val="both"/>
      </w:pPr>
      <w:r w:rsidRPr="00BF064A">
        <w:t>the holding company for a group, the ADI must ensure that the requirements in this Prudential Standard are met on a Level 2 basis, where applicable; or</w:t>
      </w:r>
    </w:p>
    <w:p w14:paraId="743F5584" w14:textId="77777777" w:rsidR="00BF064A" w:rsidRDefault="00BF064A" w:rsidP="007E1C0E">
      <w:pPr>
        <w:pStyle w:val="BodyText2"/>
        <w:jc w:val="both"/>
      </w:pPr>
      <w:r w:rsidRPr="00BF064A">
        <w:t xml:space="preserve">a </w:t>
      </w:r>
      <w:r w:rsidRPr="00BF064A">
        <w:rPr>
          <w:b/>
        </w:rPr>
        <w:t>subsidiary</w:t>
      </w:r>
      <w:r w:rsidRPr="00BF064A">
        <w:t xml:space="preserve"> of an authorised </w:t>
      </w:r>
      <w:r w:rsidRPr="009878CE">
        <w:rPr>
          <w:b/>
        </w:rPr>
        <w:t>non-operating holding company</w:t>
      </w:r>
      <w:r w:rsidRPr="00BF064A">
        <w:t xml:space="preserve"> (</w:t>
      </w:r>
      <w:r w:rsidRPr="00BF064A">
        <w:rPr>
          <w:b/>
        </w:rPr>
        <w:t>authorised NOHC</w:t>
      </w:r>
      <w:r w:rsidRPr="00BF064A">
        <w:t>), the authorised NOHC must ensure that the requirements in this Prudential Standard are met on a Level 2 basis, where applicable.</w:t>
      </w:r>
    </w:p>
    <w:p w14:paraId="1A913CDB" w14:textId="14E2D079" w:rsidR="00E01F3A" w:rsidRPr="00BF064A" w:rsidRDefault="00E01F3A" w:rsidP="00E01F3A">
      <w:pPr>
        <w:pStyle w:val="BodyText1"/>
      </w:pPr>
      <w:r>
        <w:t xml:space="preserve">This Prudential Standard commences on 1 January </w:t>
      </w:r>
      <w:r w:rsidR="00EA7F5F">
        <w:t>2023</w:t>
      </w:r>
      <w:r>
        <w:t xml:space="preserve">. </w:t>
      </w:r>
    </w:p>
    <w:p w14:paraId="3CC08E8E" w14:textId="1892DB4F" w:rsidR="00E83A76" w:rsidRDefault="00386E2F" w:rsidP="00BC23C0">
      <w:pPr>
        <w:pStyle w:val="Heady2body"/>
      </w:pPr>
      <w:bookmarkStart w:id="15" w:name="_Toc88565323"/>
      <w:r>
        <w:t>Interpretation</w:t>
      </w:r>
      <w:bookmarkEnd w:id="15"/>
    </w:p>
    <w:p w14:paraId="4229C31D" w14:textId="2AADDEB7" w:rsidR="00386E2F" w:rsidRPr="00386E2F" w:rsidRDefault="00386E2F" w:rsidP="00386E2F">
      <w:pPr>
        <w:pStyle w:val="BodyText1"/>
      </w:pPr>
      <w:r w:rsidRPr="00386E2F">
        <w:t xml:space="preserve">Terms that are defined in </w:t>
      </w:r>
      <w:r w:rsidRPr="00386E2F">
        <w:rPr>
          <w:i/>
        </w:rPr>
        <w:t>Prudential Standard APS</w:t>
      </w:r>
      <w:r w:rsidR="00EF0CAF">
        <w:rPr>
          <w:i/>
        </w:rPr>
        <w:t> </w:t>
      </w:r>
      <w:r w:rsidRPr="00386E2F">
        <w:rPr>
          <w:i/>
        </w:rPr>
        <w:t>001 Definitions</w:t>
      </w:r>
      <w:r w:rsidRPr="00386E2F">
        <w:t xml:space="preserve"> appear in bold the first time they are used in this Prudential Standard. </w:t>
      </w:r>
    </w:p>
    <w:p w14:paraId="572F0E18" w14:textId="77777777" w:rsidR="00386E2F" w:rsidRPr="00386E2F" w:rsidRDefault="00386E2F" w:rsidP="00386E2F">
      <w:pPr>
        <w:pStyle w:val="BodyText1"/>
      </w:pPr>
      <w:r w:rsidRPr="00386E2F">
        <w:t xml:space="preserve">Where this Prudential Standard provides for APRA to exercise a power or discretion, this power or discretion will be exercised in writing. </w:t>
      </w:r>
    </w:p>
    <w:p w14:paraId="433C9166" w14:textId="46E05FB6" w:rsidR="00386E2F" w:rsidRDefault="00386E2F" w:rsidP="00386E2F">
      <w:pPr>
        <w:pStyle w:val="BodyText1"/>
      </w:pPr>
      <w:r>
        <w:t>In this Prudential Standard, unless the contrary intention appears</w:t>
      </w:r>
      <w:r w:rsidR="00CF281B">
        <w:t xml:space="preserve">, a reference to </w:t>
      </w:r>
      <w:r>
        <w:t xml:space="preserve">an </w:t>
      </w:r>
      <w:r w:rsidR="00A51067">
        <w:t>A</w:t>
      </w:r>
      <w:r>
        <w:t xml:space="preserve">ct, </w:t>
      </w:r>
      <w:r w:rsidR="00E13D0E">
        <w:t>R</w:t>
      </w:r>
      <w:r>
        <w:t>egulation</w:t>
      </w:r>
      <w:r w:rsidR="00D00A59">
        <w:t>s</w:t>
      </w:r>
      <w:r w:rsidR="002B5D76">
        <w:t>,</w:t>
      </w:r>
      <w:r>
        <w:t xml:space="preserve"> </w:t>
      </w:r>
      <w:r w:rsidR="00E13D0E">
        <w:t>P</w:t>
      </w:r>
      <w:r>
        <w:t xml:space="preserve">rudential </w:t>
      </w:r>
      <w:r w:rsidR="00E13D0E">
        <w:t>S</w:t>
      </w:r>
      <w:r>
        <w:t xml:space="preserve">tandard </w:t>
      </w:r>
      <w:r w:rsidR="002B5D76">
        <w:t xml:space="preserve">or </w:t>
      </w:r>
      <w:r w:rsidR="002B5D76" w:rsidRPr="00E82801">
        <w:rPr>
          <w:b/>
        </w:rPr>
        <w:t>Australian Accounting Standards</w:t>
      </w:r>
      <w:r w:rsidR="002B5D76">
        <w:t xml:space="preserve"> </w:t>
      </w:r>
      <w:r>
        <w:t xml:space="preserve">is a reference to the </w:t>
      </w:r>
      <w:r w:rsidR="002B5D76">
        <w:t xml:space="preserve">instrument </w:t>
      </w:r>
      <w:r>
        <w:t xml:space="preserve">as in force from time to time. </w:t>
      </w:r>
    </w:p>
    <w:p w14:paraId="3A1E9464" w14:textId="775F46E8" w:rsidR="000B3F57" w:rsidRPr="009A3E2C" w:rsidRDefault="000B3F57" w:rsidP="00BC23C0">
      <w:pPr>
        <w:pStyle w:val="Heady2body"/>
      </w:pPr>
      <w:bookmarkStart w:id="16" w:name="_Toc88565324"/>
      <w:r w:rsidRPr="009A3E2C">
        <w:t>Definitions</w:t>
      </w:r>
      <w:bookmarkEnd w:id="16"/>
    </w:p>
    <w:p w14:paraId="21ECDA94" w14:textId="75D372D1" w:rsidR="000B3F57" w:rsidRDefault="000B3F57" w:rsidP="002D55E8">
      <w:pPr>
        <w:pStyle w:val="BodyText1"/>
      </w:pPr>
      <w:r>
        <w:t>The following definitions are used in this Prudential Standard:</w:t>
      </w:r>
    </w:p>
    <w:p w14:paraId="2C129DEF" w14:textId="0FF90B8E" w:rsidR="006A2652" w:rsidRDefault="000B3F57" w:rsidP="00344EF7">
      <w:pPr>
        <w:pStyle w:val="BodyText2"/>
      </w:pPr>
      <w:r>
        <w:t xml:space="preserve">IRB ADI – means </w:t>
      </w:r>
      <w:r w:rsidRPr="000B3F57">
        <w:t>an ADI which has be</w:t>
      </w:r>
      <w:r w:rsidR="00374235">
        <w:t xml:space="preserve">en approved by APRA to use the </w:t>
      </w:r>
      <w:r w:rsidR="00155933" w:rsidRPr="00344EF7">
        <w:rPr>
          <w:b/>
        </w:rPr>
        <w:t>i</w:t>
      </w:r>
      <w:r w:rsidR="00374235" w:rsidRPr="00344EF7">
        <w:rPr>
          <w:b/>
        </w:rPr>
        <w:t xml:space="preserve">nternal </w:t>
      </w:r>
      <w:r w:rsidR="00155933" w:rsidRPr="00344EF7">
        <w:rPr>
          <w:b/>
        </w:rPr>
        <w:t>r</w:t>
      </w:r>
      <w:r w:rsidR="00374235" w:rsidRPr="00344EF7">
        <w:rPr>
          <w:b/>
        </w:rPr>
        <w:t xml:space="preserve">atings-based </w:t>
      </w:r>
      <w:r w:rsidR="00155933" w:rsidRPr="00344EF7">
        <w:rPr>
          <w:b/>
        </w:rPr>
        <w:t>(IRB) a</w:t>
      </w:r>
      <w:r w:rsidRPr="00344EF7">
        <w:rPr>
          <w:b/>
        </w:rPr>
        <w:t>pproach to credit risk</w:t>
      </w:r>
      <w:r>
        <w:t>;</w:t>
      </w:r>
      <w:bookmarkStart w:id="17" w:name="_Hlk86322988"/>
    </w:p>
    <w:bookmarkEnd w:id="17"/>
    <w:p w14:paraId="14D98B42" w14:textId="1F262E4F" w:rsidR="000B3F57" w:rsidRPr="000B3F57" w:rsidRDefault="000B3F57" w:rsidP="007E1C0E">
      <w:pPr>
        <w:pStyle w:val="BodyText2"/>
        <w:jc w:val="both"/>
      </w:pPr>
      <w:r>
        <w:lastRenderedPageBreak/>
        <w:t xml:space="preserve">standardised ADI – means an ADI which </w:t>
      </w:r>
      <w:r w:rsidR="002D55E8">
        <w:t>has not be</w:t>
      </w:r>
      <w:r w:rsidR="00374235">
        <w:t xml:space="preserve">en approved by APRA to use the </w:t>
      </w:r>
      <w:r w:rsidR="00542886">
        <w:t>internal ratings</w:t>
      </w:r>
      <w:r w:rsidR="00374235">
        <w:t xml:space="preserve">-based </w:t>
      </w:r>
      <w:r w:rsidR="00542886">
        <w:t>approach</w:t>
      </w:r>
      <w:r w:rsidR="002D55E8">
        <w:t xml:space="preserve"> to credit risk. </w:t>
      </w:r>
    </w:p>
    <w:p w14:paraId="367E79C8" w14:textId="70E758EC" w:rsidR="00A51067" w:rsidRDefault="00A51067" w:rsidP="00BC23C0">
      <w:pPr>
        <w:pStyle w:val="Heady2body"/>
      </w:pPr>
      <w:bookmarkStart w:id="18" w:name="_Toc88565325"/>
      <w:r>
        <w:t>Adjustments and exclusions</w:t>
      </w:r>
      <w:bookmarkEnd w:id="18"/>
    </w:p>
    <w:p w14:paraId="2D12B8D0" w14:textId="4A97D3F0" w:rsidR="00A51067" w:rsidRDefault="00A51067" w:rsidP="00A51067">
      <w:pPr>
        <w:pStyle w:val="BodyText1"/>
      </w:pPr>
      <w:r w:rsidRPr="00696575">
        <w:t>APRA may adjust or exclude a</w:t>
      </w:r>
      <w:r w:rsidR="00EB4B0D">
        <w:t xml:space="preserve"> specific</w:t>
      </w:r>
      <w:r w:rsidRPr="00696575">
        <w:t xml:space="preserve"> prudential requirement in this Prudential Standard in relation to one or more </w:t>
      </w:r>
      <w:r>
        <w:t>ADIs or authorised NOHCs</w:t>
      </w:r>
      <w:r w:rsidRPr="00696575">
        <w:t>.</w:t>
      </w:r>
      <w:r>
        <w:rPr>
          <w:rStyle w:val="FootnoteReference"/>
        </w:rPr>
        <w:footnoteReference w:id="2"/>
      </w:r>
      <w:r w:rsidRPr="00696575">
        <w:t xml:space="preserve"> </w:t>
      </w:r>
    </w:p>
    <w:p w14:paraId="4248BE28" w14:textId="77777777" w:rsidR="00A51067" w:rsidRPr="00696575" w:rsidRDefault="00A51067" w:rsidP="00BC23C0">
      <w:pPr>
        <w:pStyle w:val="Heady2body"/>
      </w:pPr>
      <w:bookmarkStart w:id="19" w:name="_Toc88565326"/>
      <w:r>
        <w:t>Previous exercise of discretion</w:t>
      </w:r>
      <w:bookmarkEnd w:id="19"/>
    </w:p>
    <w:p w14:paraId="7BB3E004" w14:textId="77777777" w:rsidR="00A51067" w:rsidRPr="00171B5F" w:rsidRDefault="00A51067" w:rsidP="00A51067">
      <w:pPr>
        <w:pStyle w:val="BodyText1"/>
      </w:pPr>
      <w:r>
        <w:t>An ADI must contact APRA if it seeks to place reliance, for the purposes of complying with this Prudential Standard, on a previous exemption or other exercise of discretion by APRA under a previous version of this Prudential Standard.</w:t>
      </w:r>
    </w:p>
    <w:p w14:paraId="05A2D85D" w14:textId="77777777" w:rsidR="00A113B0" w:rsidRDefault="00A113B0" w:rsidP="00BC23C0">
      <w:pPr>
        <w:pStyle w:val="Heady2body"/>
      </w:pPr>
      <w:bookmarkStart w:id="20" w:name="_Toc88565327"/>
      <w:r>
        <w:t>Responsibility for capital management</w:t>
      </w:r>
      <w:bookmarkEnd w:id="20"/>
    </w:p>
    <w:p w14:paraId="2F3499FD" w14:textId="2DF9A3F9" w:rsidR="00A113B0" w:rsidRPr="00A113B0" w:rsidRDefault="00A113B0" w:rsidP="00A113B0">
      <w:pPr>
        <w:pStyle w:val="BodyText1"/>
      </w:pPr>
      <w:r>
        <w:t xml:space="preserve">The </w:t>
      </w:r>
      <w:r w:rsidR="004F7650">
        <w:rPr>
          <w:b/>
        </w:rPr>
        <w:t>Board</w:t>
      </w:r>
      <w:r w:rsidR="004F7650">
        <w:rPr>
          <w:rStyle w:val="FootnoteReference"/>
        </w:rPr>
        <w:t xml:space="preserve"> </w:t>
      </w:r>
      <w:r w:rsidRPr="00A113B0">
        <w:t xml:space="preserve">of an ADI </w:t>
      </w:r>
      <w:r w:rsidR="00245585">
        <w:t>must</w:t>
      </w:r>
      <w:r w:rsidRPr="00A113B0">
        <w:t xml:space="preserve"> </w:t>
      </w:r>
      <w:r w:rsidRPr="00A113B0">
        <w:rPr>
          <w:b/>
        </w:rPr>
        <w:t>ensure</w:t>
      </w:r>
      <w:r w:rsidRPr="00A113B0">
        <w:t xml:space="preserve"> that the ADI maintains a level and quality of capital commensurate with the type, amount and concentration of risks to which the ADI is exposed from its activities.</w:t>
      </w:r>
      <w:r w:rsidR="009A4B09">
        <w:rPr>
          <w:rStyle w:val="FootnoteReference"/>
        </w:rPr>
        <w:footnoteReference w:id="3"/>
      </w:r>
      <w:r w:rsidRPr="00A113B0">
        <w:t xml:space="preserve"> In doing so, the Board must have regard to any prospective changes in the ADI’s risk profile and capital holdings.</w:t>
      </w:r>
    </w:p>
    <w:p w14:paraId="10043C5B" w14:textId="5ECC1893" w:rsidR="006D2CC8" w:rsidRDefault="006D2CC8" w:rsidP="006D2CC8">
      <w:pPr>
        <w:pStyle w:val="BodyText1"/>
      </w:pPr>
      <w:r>
        <w:t xml:space="preserve">An ADI that is a member of a group may be exposed to risks, including reputational and contagion risk, through its association with other members of the group. Problems arising in other group members may compromise the financial and operational position of the </w:t>
      </w:r>
      <w:r w:rsidRPr="003A3905">
        <w:t>ADI. The Board, in determining the capital adequacy of the ADI at Level 1, must have regard to:</w:t>
      </w:r>
    </w:p>
    <w:p w14:paraId="0D8C2071" w14:textId="77777777" w:rsidR="006D2CC8" w:rsidRDefault="006D2CC8" w:rsidP="007E1C0E">
      <w:pPr>
        <w:pStyle w:val="BodyText2"/>
        <w:jc w:val="both"/>
      </w:pPr>
      <w:r>
        <w:t xml:space="preserve">risks posed to the ADI by other members of the group, including the impact on the ability of the ADI to raise funding and additional capital should the need arise; </w:t>
      </w:r>
    </w:p>
    <w:p w14:paraId="53C53710" w14:textId="078893EC" w:rsidR="006D2CC8" w:rsidRDefault="006D2CC8" w:rsidP="007E1C0E">
      <w:pPr>
        <w:pStyle w:val="BodyText2"/>
        <w:jc w:val="both"/>
      </w:pPr>
      <w:r>
        <w:t>obligations, both direct and indirect, arising from the ADI’s association with group members that could give rise to a call on the capital of the ADI; and</w:t>
      </w:r>
    </w:p>
    <w:p w14:paraId="4FDE3A80" w14:textId="77777777" w:rsidR="006D2CC8" w:rsidRDefault="006D2CC8" w:rsidP="007E1C0E">
      <w:pPr>
        <w:pStyle w:val="BodyText2"/>
        <w:jc w:val="both"/>
      </w:pPr>
      <w:r>
        <w:t>the ability to freely transfer capital (including situations where the group is under financial or other forms of stress) from members of the group to recapitalise the ADI or other members of the group. This includes consideration of:</w:t>
      </w:r>
    </w:p>
    <w:p w14:paraId="1B772A9A" w14:textId="77777777" w:rsidR="006D2CC8" w:rsidRDefault="006D2CC8" w:rsidP="007E1C0E">
      <w:pPr>
        <w:pStyle w:val="BodyText3"/>
        <w:jc w:val="both"/>
      </w:pPr>
      <w:r>
        <w:t>the integration of business operations within the group;</w:t>
      </w:r>
    </w:p>
    <w:p w14:paraId="45AA1137" w14:textId="77777777" w:rsidR="006D2CC8" w:rsidRDefault="006D2CC8" w:rsidP="007E1C0E">
      <w:pPr>
        <w:pStyle w:val="BodyText3"/>
        <w:jc w:val="both"/>
      </w:pPr>
      <w:r>
        <w:t>the importance of members of the group to the group;</w:t>
      </w:r>
    </w:p>
    <w:p w14:paraId="28633875" w14:textId="77777777" w:rsidR="006D2CC8" w:rsidRDefault="006D2CC8" w:rsidP="007E1C0E">
      <w:pPr>
        <w:pStyle w:val="BodyText3"/>
        <w:jc w:val="both"/>
      </w:pPr>
      <w:r>
        <w:t>the impact of cross-border jurisdictional issues;</w:t>
      </w:r>
    </w:p>
    <w:p w14:paraId="0179B34E" w14:textId="77777777" w:rsidR="006D2CC8" w:rsidRDefault="006D2CC8" w:rsidP="007E1C0E">
      <w:pPr>
        <w:pStyle w:val="BodyText3"/>
        <w:jc w:val="both"/>
      </w:pPr>
      <w:r>
        <w:lastRenderedPageBreak/>
        <w:t>differences in legislative and regulatory requirements that may apply to group members; and</w:t>
      </w:r>
    </w:p>
    <w:p w14:paraId="34E05FCC" w14:textId="77777777" w:rsidR="006D2CC8" w:rsidRDefault="006D2CC8" w:rsidP="007E1C0E">
      <w:pPr>
        <w:pStyle w:val="BodyText3"/>
        <w:jc w:val="both"/>
      </w:pPr>
      <w:r>
        <w:t>the impact of taxation and other factors on the ability to realise investments in, or transfer surplus capital from, group members.</w:t>
      </w:r>
    </w:p>
    <w:p w14:paraId="1EC7F240" w14:textId="77777777" w:rsidR="00A113B0" w:rsidRDefault="006D2CC8" w:rsidP="00BC23C0">
      <w:pPr>
        <w:pStyle w:val="Heady2body"/>
      </w:pPr>
      <w:bookmarkStart w:id="21" w:name="_Toc88565328"/>
      <w:r>
        <w:t>Internal Capital Adequacy Assessment Process</w:t>
      </w:r>
      <w:bookmarkEnd w:id="21"/>
    </w:p>
    <w:p w14:paraId="77A537C2" w14:textId="370A219E" w:rsidR="006D2CC8" w:rsidRDefault="006D2CC8" w:rsidP="006D2CC8">
      <w:pPr>
        <w:pStyle w:val="BodyText1"/>
      </w:pPr>
      <w:r>
        <w:t xml:space="preserve">An ADI must have an </w:t>
      </w:r>
      <w:r w:rsidRPr="006D2CC8">
        <w:rPr>
          <w:b/>
        </w:rPr>
        <w:t>Internal Capital Adequacy Assessment Process</w:t>
      </w:r>
      <w:r>
        <w:t xml:space="preserve"> (</w:t>
      </w:r>
      <w:r w:rsidRPr="006D2CC8">
        <w:rPr>
          <w:b/>
        </w:rPr>
        <w:t>ICAAP</w:t>
      </w:r>
      <w:r>
        <w:t>) that must</w:t>
      </w:r>
      <w:r w:rsidR="00245585">
        <w:t xml:space="preserve"> be</w:t>
      </w:r>
      <w:r>
        <w:t>:</w:t>
      </w:r>
    </w:p>
    <w:p w14:paraId="18590002" w14:textId="3E70F99F" w:rsidR="006D2CC8" w:rsidRDefault="006D2CC8" w:rsidP="007E1C0E">
      <w:pPr>
        <w:pStyle w:val="BodyText2"/>
        <w:jc w:val="both"/>
      </w:pPr>
      <w:r>
        <w:t>adequately documented, with the documentation made available to APRA on request; and</w:t>
      </w:r>
    </w:p>
    <w:p w14:paraId="29620599" w14:textId="1D8DCC8D" w:rsidR="006D2CC8" w:rsidRPr="003A3905" w:rsidRDefault="006D2CC8" w:rsidP="007E1C0E">
      <w:pPr>
        <w:pStyle w:val="BodyText2"/>
        <w:jc w:val="both"/>
      </w:pPr>
      <w:r w:rsidRPr="003A3905">
        <w:t xml:space="preserve">approved by the </w:t>
      </w:r>
      <w:r w:rsidR="00A23060">
        <w:t xml:space="preserve">ADI’s </w:t>
      </w:r>
      <w:r w:rsidRPr="003A3905">
        <w:t>Board initially, and when significant changes are made.</w:t>
      </w:r>
    </w:p>
    <w:p w14:paraId="307D9341" w14:textId="3E320982" w:rsidR="006D2CC8" w:rsidRPr="003A3905" w:rsidRDefault="006D2CC8" w:rsidP="006D2CC8">
      <w:pPr>
        <w:pStyle w:val="BodyText1"/>
      </w:pPr>
      <w:r w:rsidRPr="003A3905">
        <w:t>An ADI’s ICAAP must be appropriate to the ADI’s size, business mix and complexity of its operations and group structure.</w:t>
      </w:r>
    </w:p>
    <w:p w14:paraId="5C86E1D4" w14:textId="399138A5" w:rsidR="006D2CC8" w:rsidRPr="003A3905" w:rsidRDefault="006D2CC8" w:rsidP="006D2CC8">
      <w:pPr>
        <w:pStyle w:val="BodyText1"/>
      </w:pPr>
      <w:bookmarkStart w:id="22" w:name="_Ref507600004"/>
      <w:r w:rsidRPr="003A3905">
        <w:t xml:space="preserve">An ADI that is part of a group may rely on the ICAAP of the group provided that the Board of the ADI is satisfied that the group ICAAP meets the criteria in paragraph </w:t>
      </w:r>
      <w:r w:rsidRPr="003A3905">
        <w:fldChar w:fldCharType="begin"/>
      </w:r>
      <w:r w:rsidRPr="003A3905">
        <w:instrText xml:space="preserve"> REF _Ref507599819 \r \h </w:instrText>
      </w:r>
      <w:r w:rsidR="00A04040" w:rsidRPr="003A3905">
        <w:instrText xml:space="preserve"> \* MERGEFORMAT </w:instrText>
      </w:r>
      <w:r w:rsidRPr="003A3905">
        <w:fldChar w:fldCharType="separate"/>
      </w:r>
      <w:r w:rsidR="00CD3ED2">
        <w:t>17</w:t>
      </w:r>
      <w:r w:rsidRPr="003A3905">
        <w:fldChar w:fldCharType="end"/>
      </w:r>
      <w:r w:rsidRPr="003A3905">
        <w:t xml:space="preserve"> </w:t>
      </w:r>
      <w:r w:rsidR="00562930" w:rsidRPr="003A3905">
        <w:t xml:space="preserve">of this Prudential Standard </w:t>
      </w:r>
      <w:r w:rsidRPr="003A3905">
        <w:t>in respect of the ADI.</w:t>
      </w:r>
      <w:bookmarkEnd w:id="22"/>
    </w:p>
    <w:p w14:paraId="3D926B37" w14:textId="77777777" w:rsidR="006D2CC8" w:rsidRDefault="006D2CC8" w:rsidP="006D2CC8">
      <w:pPr>
        <w:pStyle w:val="BodyText1"/>
      </w:pPr>
      <w:bookmarkStart w:id="23" w:name="_Ref507599819"/>
      <w:r>
        <w:t>The ICAAP must include at a minimum:</w:t>
      </w:r>
      <w:bookmarkEnd w:id="23"/>
      <w:r>
        <w:t xml:space="preserve"> </w:t>
      </w:r>
    </w:p>
    <w:p w14:paraId="3527F7B8" w14:textId="77777777" w:rsidR="006D2CC8" w:rsidRDefault="006D2CC8" w:rsidP="007E1C0E">
      <w:pPr>
        <w:pStyle w:val="BodyText2"/>
        <w:jc w:val="both"/>
      </w:pPr>
      <w:bookmarkStart w:id="24" w:name="_Ref507600067"/>
      <w:r>
        <w:t>adequate policies, procedures, systems, controls and personnel to identify, measure, monitor and manage the risks arising from the ADI’s activities on a continuous basis, and the capital held against such risks;</w:t>
      </w:r>
      <w:bookmarkEnd w:id="24"/>
      <w:r>
        <w:t xml:space="preserve"> </w:t>
      </w:r>
    </w:p>
    <w:p w14:paraId="59572668" w14:textId="01576577" w:rsidR="006D2CC8" w:rsidRDefault="006D2CC8" w:rsidP="007E1C0E">
      <w:pPr>
        <w:pStyle w:val="BodyText2"/>
        <w:jc w:val="both"/>
      </w:pPr>
      <w:r>
        <w:t xml:space="preserve">a strategy for ensuring adequate capital is maintained over time, including specific capital targets set out in the context of the ADI’s risk profile, the </w:t>
      </w:r>
      <w:r w:rsidR="00960975">
        <w:t xml:space="preserve">ADI’s </w:t>
      </w:r>
      <w:r>
        <w:t xml:space="preserve">risk appetite and </w:t>
      </w:r>
      <w:r w:rsidR="00211D71">
        <w:rPr>
          <w:b/>
        </w:rPr>
        <w:t>R</w:t>
      </w:r>
      <w:r w:rsidRPr="006D2CC8">
        <w:rPr>
          <w:b/>
        </w:rPr>
        <w:t xml:space="preserve">egulatory </w:t>
      </w:r>
      <w:r w:rsidR="00211D71">
        <w:rPr>
          <w:b/>
        </w:rPr>
        <w:t>C</w:t>
      </w:r>
      <w:r w:rsidRPr="006D2CC8">
        <w:rPr>
          <w:b/>
        </w:rPr>
        <w:t>apital</w:t>
      </w:r>
      <w:r>
        <w:t xml:space="preserve"> requirements. This includes plans for how target levels of capital are to be met and the means available for sourcing additional capital where required;</w:t>
      </w:r>
    </w:p>
    <w:p w14:paraId="7F695871" w14:textId="77777777" w:rsidR="006D2CC8" w:rsidRDefault="006D2CC8" w:rsidP="007E1C0E">
      <w:pPr>
        <w:pStyle w:val="BodyText2"/>
        <w:jc w:val="both"/>
      </w:pPr>
      <w:r>
        <w:t>actions and procedures for monitoring the ADI’s compliance with its regulatory capital requirements and capital targets. This includes the setting of triggers to alert management to, and specified actions to avert and rectify, potential breaches of these requirements;</w:t>
      </w:r>
    </w:p>
    <w:p w14:paraId="0772E024" w14:textId="77777777" w:rsidR="006D2CC8" w:rsidRDefault="006D2CC8" w:rsidP="007E1C0E">
      <w:pPr>
        <w:pStyle w:val="BodyText2"/>
        <w:jc w:val="both"/>
      </w:pPr>
      <w:r>
        <w:t>stress testing and scenario analysis relating to potential risk exposures and available capital resources;</w:t>
      </w:r>
    </w:p>
    <w:p w14:paraId="5D0D6692" w14:textId="749CDE9E" w:rsidR="006D2CC8" w:rsidRPr="003A3905" w:rsidRDefault="006D2CC8" w:rsidP="007E1C0E">
      <w:pPr>
        <w:pStyle w:val="BodyText2"/>
        <w:jc w:val="both"/>
      </w:pPr>
      <w:r w:rsidRPr="003A3905">
        <w:t xml:space="preserve">processes for reporting on the ICAAP and its outcomes to the Board and senior management of the ADI, and for ensuring that the ICAAP is taken into account in making business decisions; </w:t>
      </w:r>
    </w:p>
    <w:p w14:paraId="6624D04B" w14:textId="6FA23A88" w:rsidR="006D2CC8" w:rsidRDefault="006D2CC8" w:rsidP="007E1C0E">
      <w:pPr>
        <w:pStyle w:val="BodyText2"/>
        <w:jc w:val="both"/>
      </w:pPr>
      <w:bookmarkStart w:id="25" w:name="_Ref507600087"/>
      <w:r>
        <w:t>policies to address the capital impact of material risks not covered by explicit regulatory capital requirements; and</w:t>
      </w:r>
      <w:bookmarkEnd w:id="25"/>
    </w:p>
    <w:p w14:paraId="2D57C49C" w14:textId="5D309CA4" w:rsidR="006D2CC8" w:rsidRDefault="006D2CC8" w:rsidP="007E1C0E">
      <w:pPr>
        <w:pStyle w:val="BodyText2"/>
        <w:jc w:val="both"/>
      </w:pPr>
      <w:r>
        <w:lastRenderedPageBreak/>
        <w:t>an ICAAP summary stat</w:t>
      </w:r>
      <w:r w:rsidR="00EC2AC4">
        <w:t xml:space="preserve">ement as defined in paragraph </w:t>
      </w:r>
      <w:r w:rsidR="00EC2AC4">
        <w:fldChar w:fldCharType="begin"/>
      </w:r>
      <w:r w:rsidR="00EC2AC4">
        <w:instrText xml:space="preserve"> REF _Ref507599975 \r \h </w:instrText>
      </w:r>
      <w:r w:rsidR="009044CC">
        <w:instrText xml:space="preserve"> \* MERGEFORMAT </w:instrText>
      </w:r>
      <w:r w:rsidR="00EC2AC4">
        <w:fldChar w:fldCharType="separate"/>
      </w:r>
      <w:r w:rsidR="00CD3ED2">
        <w:t>18</w:t>
      </w:r>
      <w:r w:rsidR="00EC2AC4">
        <w:fldChar w:fldCharType="end"/>
      </w:r>
      <w:r w:rsidR="00562930">
        <w:t xml:space="preserve"> of this Prudential Standard</w:t>
      </w:r>
      <w:r>
        <w:t>.</w:t>
      </w:r>
    </w:p>
    <w:p w14:paraId="1B1E55B6" w14:textId="6AD661C8" w:rsidR="00EC2AC4" w:rsidRDefault="00EC2AC4" w:rsidP="00EC2AC4">
      <w:pPr>
        <w:pStyle w:val="BodyText1"/>
      </w:pPr>
      <w:bookmarkStart w:id="26" w:name="_Ref507599975"/>
      <w:r>
        <w:t xml:space="preserve">The ICAAP summary statement is a high-level document that describes and summarises the capital assessment and management processes of the ADI. It must </w:t>
      </w:r>
      <w:r w:rsidR="00A04040">
        <w:t xml:space="preserve">address </w:t>
      </w:r>
      <w:r>
        <w:t xml:space="preserve">the aspects of the ICAAP listed in paragraphs </w:t>
      </w:r>
      <w:r>
        <w:fldChar w:fldCharType="begin"/>
      </w:r>
      <w:r>
        <w:instrText xml:space="preserve"> REF _Ref507600067 \r \h </w:instrText>
      </w:r>
      <w:r>
        <w:fldChar w:fldCharType="separate"/>
      </w:r>
      <w:r w:rsidR="00CD3ED2">
        <w:t>17(a)</w:t>
      </w:r>
      <w:r>
        <w:fldChar w:fldCharType="end"/>
      </w:r>
      <w:r>
        <w:t xml:space="preserve"> to </w:t>
      </w:r>
      <w:r>
        <w:fldChar w:fldCharType="begin"/>
      </w:r>
      <w:r>
        <w:instrText xml:space="preserve"> REF _Ref507600087 \r \h </w:instrText>
      </w:r>
      <w:r>
        <w:fldChar w:fldCharType="separate"/>
      </w:r>
      <w:r w:rsidR="00CD3ED2">
        <w:t>17(f)</w:t>
      </w:r>
      <w:r>
        <w:fldChar w:fldCharType="end"/>
      </w:r>
      <w:r w:rsidR="00562930">
        <w:t xml:space="preserve"> of this Prudential Standard</w:t>
      </w:r>
      <w:r w:rsidR="00A04040">
        <w:t xml:space="preserve">, </w:t>
      </w:r>
      <w:proofErr w:type="gramStart"/>
      <w:r w:rsidR="00A04040">
        <w:t xml:space="preserve">and </w:t>
      </w:r>
      <w:r>
        <w:t>also</w:t>
      </w:r>
      <w:proofErr w:type="gramEnd"/>
      <w:r>
        <w:t xml:space="preserve"> include:</w:t>
      </w:r>
      <w:bookmarkEnd w:id="26"/>
    </w:p>
    <w:p w14:paraId="75CAF411" w14:textId="77777777" w:rsidR="00EC2AC4" w:rsidRDefault="00EC2AC4" w:rsidP="007E1C0E">
      <w:pPr>
        <w:pStyle w:val="BodyText2"/>
        <w:jc w:val="both"/>
      </w:pPr>
      <w:r>
        <w:t xml:space="preserve">a statement of the objectives of the ICAAP, the expected level of financial soundness associated with the capital targets and the time horizon over which the ICAAP applies; </w:t>
      </w:r>
    </w:p>
    <w:p w14:paraId="06021EEC" w14:textId="77777777" w:rsidR="00EC2AC4" w:rsidRDefault="00EC2AC4" w:rsidP="007E1C0E">
      <w:pPr>
        <w:pStyle w:val="BodyText2"/>
        <w:jc w:val="both"/>
      </w:pPr>
      <w:r>
        <w:t xml:space="preserve">a description of the key assumptions and methodologies utilised by the ADI in its ICAAP, including stress testing and scenario analysis; </w:t>
      </w:r>
    </w:p>
    <w:p w14:paraId="1A690932" w14:textId="3C5DC940" w:rsidR="00EC2AC4" w:rsidRDefault="00EC2AC4" w:rsidP="007E1C0E">
      <w:pPr>
        <w:pStyle w:val="BodyText2"/>
        <w:jc w:val="both"/>
      </w:pPr>
      <w:r>
        <w:t xml:space="preserve">triggers for reviewing the ICAAP in light of changes to business operations, regulatory, economic and financial market conditions, group structure and other factors affecting the ADI’s risk profile and capital resources; </w:t>
      </w:r>
    </w:p>
    <w:p w14:paraId="4A928540" w14:textId="77777777" w:rsidR="00EC2AC4" w:rsidRDefault="00EC2AC4" w:rsidP="007E1C0E">
      <w:pPr>
        <w:pStyle w:val="BodyText2"/>
        <w:jc w:val="both"/>
      </w:pPr>
      <w:r>
        <w:t xml:space="preserve">a summary of the ADI’s policy for reviewing its ICAAP, including who is </w:t>
      </w:r>
      <w:r w:rsidRPr="003A3905">
        <w:t>responsible for the review, details of the frequency and scope of the review, and mechanisms for reporting on the review and its outcomes to the Board and senior management;</w:t>
      </w:r>
      <w:r>
        <w:t xml:space="preserve"> </w:t>
      </w:r>
    </w:p>
    <w:p w14:paraId="720ECA07" w14:textId="77777777" w:rsidR="00EC2AC4" w:rsidRDefault="00EC2AC4" w:rsidP="007E1C0E">
      <w:pPr>
        <w:pStyle w:val="BodyText2"/>
        <w:jc w:val="both"/>
      </w:pPr>
      <w:r>
        <w:t>a description of the basis of measurement of capital used in the ICAAP, and an explanation of the differences where this basis differs from that used for regulatory capital; and</w:t>
      </w:r>
    </w:p>
    <w:p w14:paraId="3C697052" w14:textId="77777777" w:rsidR="00EC2AC4" w:rsidRDefault="00EC2AC4" w:rsidP="007E1C0E">
      <w:pPr>
        <w:pStyle w:val="BodyText2"/>
        <w:jc w:val="both"/>
      </w:pPr>
      <w:r>
        <w:t>references to supporting documentation and analysis as relevant.</w:t>
      </w:r>
    </w:p>
    <w:p w14:paraId="3406C458" w14:textId="74FE8299" w:rsidR="00EF0980" w:rsidRPr="00EF0980" w:rsidRDefault="00EF0980" w:rsidP="00EF0980">
      <w:pPr>
        <w:pStyle w:val="BodyText1"/>
      </w:pPr>
      <w:r w:rsidRPr="00EF0980">
        <w:t>An ADI must ensure that its ICAAP is subject to regular and robust review by appropriately qualified persons who are operationally independent of the conduct of capital management. The frequency and scope of the review must be appropriate to the ADI, having regard to its size, business mix, complexity of its operations and group structure, and the nature and extent of any changes that have occurred or are likely to occur in its business profile or its risk appetite. A review must be conducted at least every three years. The review must be sufficient to reach a view on whether the ICAAP is adequate and effective.</w:t>
      </w:r>
    </w:p>
    <w:p w14:paraId="02A7338C" w14:textId="2537A322" w:rsidR="00EF0980" w:rsidRPr="00EF0980" w:rsidRDefault="00EF0980" w:rsidP="00EF0980">
      <w:pPr>
        <w:pStyle w:val="BodyText1"/>
      </w:pPr>
      <w:r w:rsidRPr="00EF0980">
        <w:t xml:space="preserve">An ADI must, on an annual basis, </w:t>
      </w:r>
      <w:r w:rsidR="00462F29">
        <w:t>prepare</w:t>
      </w:r>
      <w:r w:rsidR="00462F29" w:rsidRPr="00EF0980">
        <w:t xml:space="preserve"> </w:t>
      </w:r>
      <w:r w:rsidRPr="00EF0980">
        <w:t xml:space="preserve">a report on the implementation of its ICAAP (ICAAP report). A copy of the ICAAP report must be provided to APRA no later than three months from the </w:t>
      </w:r>
      <w:r w:rsidR="00462F29">
        <w:t>end of the period covered by that report</w:t>
      </w:r>
      <w:r w:rsidRPr="00EF0980">
        <w:t xml:space="preserve">. </w:t>
      </w:r>
    </w:p>
    <w:p w14:paraId="63713196" w14:textId="77777777" w:rsidR="00EF0980" w:rsidRDefault="00EF0980" w:rsidP="00DC05FB">
      <w:pPr>
        <w:pStyle w:val="BodyText1"/>
        <w:keepNext/>
      </w:pPr>
      <w:r>
        <w:t>The ICAAP report must include:</w:t>
      </w:r>
    </w:p>
    <w:p w14:paraId="08883C63" w14:textId="77777777" w:rsidR="00EF0980" w:rsidRDefault="00EF0980" w:rsidP="007E1C0E">
      <w:pPr>
        <w:pStyle w:val="BodyText2"/>
        <w:jc w:val="both"/>
      </w:pPr>
      <w:r>
        <w:t>detailed information on current and three-year projected capital levels relative to minimum regulatory capital requirements and target levels;</w:t>
      </w:r>
    </w:p>
    <w:p w14:paraId="6D8153DD" w14:textId="0CE653C0" w:rsidR="00EF0980" w:rsidRDefault="00EF0980" w:rsidP="007E1C0E">
      <w:pPr>
        <w:pStyle w:val="BodyText2"/>
        <w:jc w:val="both"/>
      </w:pPr>
      <w:r>
        <w:t xml:space="preserve">detailed information on the actual outcomes of applying the ICAAP over the period, relative to the planned outcomes in the previous ICAAP report (including analysis of the ADI’s actual capital position relative to minimum </w:t>
      </w:r>
      <w:r>
        <w:lastRenderedPageBreak/>
        <w:t>regulatory capital requirements and capital targets and actual versus</w:t>
      </w:r>
      <w:r w:rsidR="00F71F81">
        <w:t xml:space="preserve"> </w:t>
      </w:r>
      <w:r>
        <w:t>planned capital management actions);</w:t>
      </w:r>
    </w:p>
    <w:p w14:paraId="157B4471" w14:textId="77777777" w:rsidR="00EF0980" w:rsidRDefault="00EF0980" w:rsidP="007E1C0E">
      <w:pPr>
        <w:pStyle w:val="BodyText2"/>
        <w:jc w:val="both"/>
      </w:pPr>
      <w:r>
        <w:t xml:space="preserve">a description of material changes to the ICAAP since the previous ICAAP report; </w:t>
      </w:r>
    </w:p>
    <w:p w14:paraId="34FD5FF8" w14:textId="77777777" w:rsidR="00EF0980" w:rsidRDefault="00EF0980" w:rsidP="007E1C0E">
      <w:pPr>
        <w:pStyle w:val="BodyText2"/>
        <w:jc w:val="both"/>
      </w:pPr>
      <w:r>
        <w:t xml:space="preserve">detail and outcomes of stress testing and scenario analysis used in undertaking the ICAAP; </w:t>
      </w:r>
    </w:p>
    <w:p w14:paraId="77577A6B" w14:textId="77777777" w:rsidR="00EF0980" w:rsidRDefault="00EF0980" w:rsidP="007E1C0E">
      <w:pPr>
        <w:pStyle w:val="BodyText2"/>
        <w:jc w:val="both"/>
      </w:pPr>
      <w:r>
        <w:t>a breakdown of capital usage over the planning horizon, as relevant, by material:</w:t>
      </w:r>
    </w:p>
    <w:p w14:paraId="72004617" w14:textId="77777777" w:rsidR="00EF0980" w:rsidRDefault="00EF0980" w:rsidP="007E1C0E">
      <w:pPr>
        <w:pStyle w:val="BodyText3"/>
        <w:jc w:val="both"/>
      </w:pPr>
      <w:r>
        <w:t>business activity;</w:t>
      </w:r>
    </w:p>
    <w:p w14:paraId="0F8DDDDD" w14:textId="77777777" w:rsidR="00EF0980" w:rsidRDefault="00EF0980" w:rsidP="007E1C0E">
      <w:pPr>
        <w:pStyle w:val="BodyText3"/>
        <w:jc w:val="both"/>
      </w:pPr>
      <w:r>
        <w:t>group members;</w:t>
      </w:r>
    </w:p>
    <w:p w14:paraId="5085245A" w14:textId="77777777" w:rsidR="00EF0980" w:rsidRDefault="00EF0980" w:rsidP="007E1C0E">
      <w:pPr>
        <w:pStyle w:val="BodyText3"/>
        <w:jc w:val="both"/>
      </w:pPr>
      <w:r>
        <w:t>geographic spread of exposures; and</w:t>
      </w:r>
    </w:p>
    <w:p w14:paraId="1ED06BF6" w14:textId="7B27B3C7" w:rsidR="00EF0980" w:rsidRDefault="00EF0980" w:rsidP="007E1C0E">
      <w:pPr>
        <w:pStyle w:val="BodyText3"/>
        <w:jc w:val="both"/>
      </w:pPr>
      <w:r>
        <w:t>risk types</w:t>
      </w:r>
      <w:r w:rsidR="00C80E5E">
        <w:t>;</w:t>
      </w:r>
    </w:p>
    <w:p w14:paraId="3CCA78FC" w14:textId="77777777" w:rsidR="00EF0980" w:rsidRDefault="00EF0980" w:rsidP="007E1C0E">
      <w:pPr>
        <w:pStyle w:val="BodyText2"/>
        <w:jc w:val="both"/>
      </w:pPr>
      <w:r>
        <w:t xml:space="preserve">an assessment of anticipated changes in the ADI’s risk profile or capital management processes over the planning horizon; </w:t>
      </w:r>
    </w:p>
    <w:p w14:paraId="3E90335D" w14:textId="77777777" w:rsidR="00EF0980" w:rsidRDefault="00EF0980" w:rsidP="007E1C0E">
      <w:pPr>
        <w:pStyle w:val="BodyText2"/>
        <w:jc w:val="both"/>
      </w:pPr>
      <w:r>
        <w:t>details of any review of the ICAAP since the previous ICAAP report, including any recommendations for change and how those recommendations have been, or are being, addressed; and</w:t>
      </w:r>
    </w:p>
    <w:p w14:paraId="3D0F4C21" w14:textId="77777777" w:rsidR="00EF0980" w:rsidRDefault="00EF0980" w:rsidP="007E1C0E">
      <w:pPr>
        <w:pStyle w:val="BodyText2"/>
        <w:jc w:val="both"/>
      </w:pPr>
      <w:r>
        <w:t>references to supporting documentation and analysis as relevant.</w:t>
      </w:r>
    </w:p>
    <w:p w14:paraId="0EE8638F" w14:textId="77777777" w:rsidR="00EF0980" w:rsidRDefault="00EF0980" w:rsidP="00EF0980">
      <w:pPr>
        <w:pStyle w:val="BodyText1"/>
      </w:pPr>
      <w:r>
        <w:t xml:space="preserve">The ICAAP report submitted to APRA by the ADI must be accompanied </w:t>
      </w:r>
      <w:r w:rsidRPr="003A3905">
        <w:t>by a declaration approved by the Board and signed</w:t>
      </w:r>
      <w:r>
        <w:t xml:space="preserve"> by the </w:t>
      </w:r>
      <w:r w:rsidRPr="00EF0980">
        <w:rPr>
          <w:b/>
        </w:rPr>
        <w:t>CEO</w:t>
      </w:r>
      <w:r>
        <w:t xml:space="preserve"> stating whether:</w:t>
      </w:r>
    </w:p>
    <w:p w14:paraId="04402910" w14:textId="77777777" w:rsidR="00EF0980" w:rsidRDefault="00EF0980" w:rsidP="007E1C0E">
      <w:pPr>
        <w:pStyle w:val="BodyText2"/>
        <w:jc w:val="both"/>
      </w:pPr>
      <w:r>
        <w:t xml:space="preserve">capital management has been undertaken by the ADI in accordance with the ICAAP over the period and, if not, a description of, and explanation for, deviations; </w:t>
      </w:r>
    </w:p>
    <w:p w14:paraId="2C740290" w14:textId="77777777" w:rsidR="00EF0980" w:rsidRDefault="00EF0980" w:rsidP="007E1C0E">
      <w:pPr>
        <w:pStyle w:val="BodyText2"/>
        <w:jc w:val="both"/>
      </w:pPr>
      <w:r>
        <w:t>the ADI has assessed the capital targets contained in its ICAAP to be adequate given the size, business mix and complexity of its operations and, at Level 2, given the location of operations of group members and the complexity of the group structure; and</w:t>
      </w:r>
    </w:p>
    <w:p w14:paraId="7993072E" w14:textId="77777777" w:rsidR="00EF0980" w:rsidRDefault="00EF0980" w:rsidP="007E1C0E">
      <w:pPr>
        <w:pStyle w:val="BodyText2"/>
        <w:jc w:val="both"/>
      </w:pPr>
      <w:r>
        <w:t>the information included in the ICAAP report is accurate in all material respects.</w:t>
      </w:r>
    </w:p>
    <w:p w14:paraId="6650AB7E" w14:textId="288AF1C5" w:rsidR="00850FAF" w:rsidRDefault="00850FAF" w:rsidP="00BC23C0">
      <w:pPr>
        <w:pStyle w:val="Heady2body"/>
      </w:pPr>
      <w:bookmarkStart w:id="27" w:name="_Toc88565329"/>
      <w:r>
        <w:t>Minimum</w:t>
      </w:r>
      <w:r w:rsidR="00682803">
        <w:t xml:space="preserve"> risk-based</w:t>
      </w:r>
      <w:r>
        <w:t xml:space="preserve"> capital adequacy requirements</w:t>
      </w:r>
      <w:bookmarkEnd w:id="27"/>
    </w:p>
    <w:p w14:paraId="3FCFF237" w14:textId="3E7CB767" w:rsidR="00D24EF1" w:rsidRDefault="00D24EF1" w:rsidP="00D24EF1">
      <w:pPr>
        <w:pStyle w:val="BodyText1"/>
      </w:pPr>
      <w:r>
        <w:t xml:space="preserve">APRA will determine </w:t>
      </w:r>
      <w:r w:rsidRPr="002B7276">
        <w:rPr>
          <w:b/>
        </w:rPr>
        <w:t xml:space="preserve">prudential capital </w:t>
      </w:r>
      <w:r w:rsidRPr="00D62A67">
        <w:rPr>
          <w:b/>
        </w:rPr>
        <w:t>requirements</w:t>
      </w:r>
      <w:r>
        <w:t xml:space="preserve"> (</w:t>
      </w:r>
      <w:r w:rsidRPr="002B7276">
        <w:rPr>
          <w:b/>
        </w:rPr>
        <w:t>PCR</w:t>
      </w:r>
      <w:r>
        <w:t>s) for an ADI. The PCRs, expressed as a percentage of total risk-weighted assets</w:t>
      </w:r>
      <w:r w:rsidR="00F87CB8">
        <w:t xml:space="preserve"> (RWA)</w:t>
      </w:r>
      <w:r>
        <w:t xml:space="preserve">, will be set by reference to </w:t>
      </w:r>
      <w:r w:rsidRPr="002B7276">
        <w:rPr>
          <w:b/>
        </w:rPr>
        <w:t>Common Equity Tier 1 Capital</w:t>
      </w:r>
      <w:r>
        <w:t xml:space="preserve">, </w:t>
      </w:r>
      <w:r w:rsidRPr="00A00990">
        <w:rPr>
          <w:b/>
        </w:rPr>
        <w:t>Tier 1 Capital</w:t>
      </w:r>
      <w:r>
        <w:t xml:space="preserve"> and </w:t>
      </w:r>
      <w:r w:rsidRPr="00A00990">
        <w:rPr>
          <w:b/>
        </w:rPr>
        <w:t>Total Capital</w:t>
      </w:r>
      <w:r>
        <w:t xml:space="preserve">. PCRs may be determined at Level 1, Level 2 or both. </w:t>
      </w:r>
    </w:p>
    <w:p w14:paraId="278C01F9" w14:textId="77777777" w:rsidR="00D24EF1" w:rsidRDefault="00D24EF1" w:rsidP="00D24EF1">
      <w:pPr>
        <w:pStyle w:val="BodyText1"/>
      </w:pPr>
      <w:bookmarkStart w:id="28" w:name="_Hlk83326700"/>
      <w:r>
        <w:t>The minimum PCRs that an ADI must maintain at all times are:</w:t>
      </w:r>
    </w:p>
    <w:p w14:paraId="413466B4" w14:textId="77777777" w:rsidR="00D24EF1" w:rsidRDefault="00D24EF1" w:rsidP="00117D7E">
      <w:pPr>
        <w:pStyle w:val="BodyText2"/>
      </w:pPr>
      <w:r>
        <w:lastRenderedPageBreak/>
        <w:t>a Common Equity Tier 1 Capital ratio of 4.5 per cent;</w:t>
      </w:r>
    </w:p>
    <w:p w14:paraId="1254D88B" w14:textId="77777777" w:rsidR="00D24EF1" w:rsidRDefault="00D24EF1" w:rsidP="00117D7E">
      <w:pPr>
        <w:pStyle w:val="BodyText2"/>
      </w:pPr>
      <w:r>
        <w:t>a Tier 1 Capital ratio of 6.0 per cent; and</w:t>
      </w:r>
    </w:p>
    <w:p w14:paraId="5C03F51B" w14:textId="77777777" w:rsidR="00D24EF1" w:rsidRDefault="00D24EF1" w:rsidP="00117D7E">
      <w:pPr>
        <w:pStyle w:val="BodyText2"/>
      </w:pPr>
      <w:r>
        <w:t>a Total Capital ratio of 8.0 per cent.</w:t>
      </w:r>
    </w:p>
    <w:bookmarkEnd w:id="28"/>
    <w:p w14:paraId="6B643A0A" w14:textId="6E6133DA" w:rsidR="00E307EB" w:rsidRDefault="00D24EF1" w:rsidP="001537FB">
      <w:pPr>
        <w:pStyle w:val="BodyText1"/>
        <w:numPr>
          <w:ilvl w:val="0"/>
          <w:numId w:val="0"/>
        </w:numPr>
        <w:ind w:left="567"/>
      </w:pPr>
      <w:r>
        <w:t>APRA may determine higher PCRs for an ADI and may change an ADI’s PCRs at any time</w:t>
      </w:r>
      <w:r w:rsidR="0086217B">
        <w:t xml:space="preserve">, </w:t>
      </w:r>
      <w:bookmarkStart w:id="29" w:name="_Hlk85659877"/>
      <w:r w:rsidR="00F22E55">
        <w:t xml:space="preserve">including </w:t>
      </w:r>
      <w:r w:rsidR="0086217B">
        <w:t xml:space="preserve">to incorporate additional capital required for </w:t>
      </w:r>
      <w:r w:rsidR="00DD1282">
        <w:t>loss-</w:t>
      </w:r>
      <w:r w:rsidR="0086217B">
        <w:t>absorbing capacity</w:t>
      </w:r>
      <w:r w:rsidR="00202A16">
        <w:t xml:space="preserve">, </w:t>
      </w:r>
      <w:r w:rsidR="00694A92">
        <w:t>or on account of other supervisory review</w:t>
      </w:r>
      <w:r>
        <w:t>.</w:t>
      </w:r>
      <w:bookmarkEnd w:id="29"/>
      <w:r w:rsidR="001537FB">
        <w:t xml:space="preserve"> </w:t>
      </w:r>
      <w:r w:rsidR="00E307EB">
        <w:t>An ADI must not publicly disclose its PCRs.</w:t>
      </w:r>
    </w:p>
    <w:p w14:paraId="6AD8623B" w14:textId="35F3F755" w:rsidR="00D24EF1" w:rsidRDefault="00D24EF1" w:rsidP="00D24EF1">
      <w:pPr>
        <w:pStyle w:val="BodyText1"/>
      </w:pPr>
      <w:r>
        <w:t xml:space="preserve">An ADI must maintain risk-based </w:t>
      </w:r>
      <w:r w:rsidR="00AA6EF7">
        <w:t xml:space="preserve">regulatory </w:t>
      </w:r>
      <w:r>
        <w:t xml:space="preserve">capital ratios above its PCRs at all times. Risk-based regulatory capital ratios are to be calculated in accordance with </w:t>
      </w:r>
      <w:r w:rsidRPr="00112796">
        <w:t>Attachment</w:t>
      </w:r>
      <w:r w:rsidR="00992413">
        <w:t> </w:t>
      </w:r>
      <w:r w:rsidRPr="00112796">
        <w:t>A</w:t>
      </w:r>
      <w:r w:rsidR="00456024">
        <w:t xml:space="preserve"> to this Prudential Standard</w:t>
      </w:r>
      <w:r w:rsidRPr="00112796">
        <w:t>.</w:t>
      </w:r>
      <w:r>
        <w:t xml:space="preserve"> </w:t>
      </w:r>
    </w:p>
    <w:p w14:paraId="159D89F6" w14:textId="77777777" w:rsidR="00AE0F27" w:rsidRDefault="00AE0F27" w:rsidP="00BC23C0">
      <w:pPr>
        <w:pStyle w:val="Heady2body"/>
      </w:pPr>
      <w:bookmarkStart w:id="30" w:name="_Toc88565330"/>
      <w:r>
        <w:t>Capital floor</w:t>
      </w:r>
      <w:bookmarkEnd w:id="30"/>
    </w:p>
    <w:p w14:paraId="57C25CE3" w14:textId="6AEFB194" w:rsidR="00AE0F27" w:rsidRDefault="00EA7F5F" w:rsidP="00AE0F27">
      <w:pPr>
        <w:pStyle w:val="BodyText1"/>
      </w:pPr>
      <w:r>
        <w:t xml:space="preserve">An IRB ADI must calculate its total RWA for capital adequacy purposes in accordance with </w:t>
      </w:r>
      <w:r w:rsidR="00AF2FC8">
        <w:t xml:space="preserve">paragraph </w:t>
      </w:r>
      <w:r w:rsidR="00B11616">
        <w:t>4</w:t>
      </w:r>
      <w:r w:rsidR="00AF2FC8">
        <w:t xml:space="preserve"> of</w:t>
      </w:r>
      <w:r>
        <w:t xml:space="preserve"> Attachment A to this Prudential Standard.</w:t>
      </w:r>
    </w:p>
    <w:p w14:paraId="0A3D5611" w14:textId="77777777" w:rsidR="00850FAF" w:rsidRDefault="00A00990" w:rsidP="00BC23C0">
      <w:pPr>
        <w:pStyle w:val="Heady2body"/>
      </w:pPr>
      <w:bookmarkStart w:id="31" w:name="_Toc88565331"/>
      <w:bookmarkStart w:id="32" w:name="_Hlk55817997"/>
      <w:r>
        <w:t>Capital conservation buffer</w:t>
      </w:r>
      <w:bookmarkEnd w:id="31"/>
    </w:p>
    <w:p w14:paraId="6E1B7B8D" w14:textId="5C3F19DC" w:rsidR="00126E23" w:rsidRPr="00126E23" w:rsidRDefault="00126E23" w:rsidP="00255F44">
      <w:pPr>
        <w:pStyle w:val="BodyText1"/>
      </w:pPr>
      <w:r w:rsidRPr="00126E23">
        <w:t xml:space="preserve">An ADI must hold a capital conservation buffer above </w:t>
      </w:r>
      <w:r w:rsidR="00F31CFB">
        <w:t xml:space="preserve">its </w:t>
      </w:r>
      <w:r w:rsidR="006E342C">
        <w:t>C</w:t>
      </w:r>
      <w:r w:rsidR="009D16AC">
        <w:t xml:space="preserve">ommon </w:t>
      </w:r>
      <w:r w:rsidR="006E342C">
        <w:t>E</w:t>
      </w:r>
      <w:r w:rsidR="009D16AC">
        <w:t xml:space="preserve">quity </w:t>
      </w:r>
      <w:r w:rsidR="006E342C">
        <w:t>T</w:t>
      </w:r>
      <w:r w:rsidR="009D16AC">
        <w:t xml:space="preserve">ier </w:t>
      </w:r>
      <w:r w:rsidR="006E342C">
        <w:t>1</w:t>
      </w:r>
      <w:r w:rsidR="009D16AC">
        <w:t xml:space="preserve"> Capital</w:t>
      </w:r>
      <w:r w:rsidR="006E342C">
        <w:t xml:space="preserve"> </w:t>
      </w:r>
      <w:r w:rsidRPr="00126E23">
        <w:t>PCR</w:t>
      </w:r>
      <w:r w:rsidR="00255F44">
        <w:t xml:space="preserve"> or is otherwise subject to the capital distribution constraints set out in paragraph 30 of this Prudential Standard. An ADI </w:t>
      </w:r>
      <w:r w:rsidR="006E342C">
        <w:t>must me</w:t>
      </w:r>
      <w:r w:rsidR="00255F44">
        <w:t>e</w:t>
      </w:r>
      <w:r w:rsidR="006E342C">
        <w:t>t</w:t>
      </w:r>
      <w:r w:rsidRPr="00126E23">
        <w:t xml:space="preserve"> </w:t>
      </w:r>
      <w:r w:rsidR="00255F44">
        <w:t xml:space="preserve">its </w:t>
      </w:r>
      <w:r w:rsidR="001F112A">
        <w:t>capital c</w:t>
      </w:r>
      <w:r w:rsidR="00856D03">
        <w:t>onservation buffer</w:t>
      </w:r>
      <w:r w:rsidR="00255F44">
        <w:t xml:space="preserve"> </w:t>
      </w:r>
      <w:r w:rsidR="006E342C">
        <w:t>with</w:t>
      </w:r>
      <w:r w:rsidRPr="00126E23">
        <w:t xml:space="preserve"> Common Equity Tier 1 Capital.</w:t>
      </w:r>
      <w:r w:rsidR="00271400">
        <w:t xml:space="preserve"> </w:t>
      </w:r>
      <w:r w:rsidR="00546C0D">
        <w:t>T</w:t>
      </w:r>
      <w:r w:rsidR="00271400">
        <w:t>he capital conservation buffer is:</w:t>
      </w:r>
    </w:p>
    <w:p w14:paraId="2AAE414C" w14:textId="49B72460" w:rsidR="00271400" w:rsidRDefault="00126E23" w:rsidP="00EE7FF9">
      <w:pPr>
        <w:pStyle w:val="BodyText2"/>
        <w:jc w:val="both"/>
      </w:pPr>
      <w:r w:rsidRPr="00126E23">
        <w:t xml:space="preserve">2.5 per cent of total </w:t>
      </w:r>
      <w:r w:rsidR="00F87CB8">
        <w:t xml:space="preserve">RWA </w:t>
      </w:r>
      <w:r w:rsidR="00271400">
        <w:t>for standardised ADIs</w:t>
      </w:r>
      <w:r w:rsidRPr="00126E23">
        <w:t xml:space="preserve">. The sum of the Common Equity Tier 1 PCR plus the capital conservation buffer will be no less than 7.0 per cent of the </w:t>
      </w:r>
      <w:r w:rsidR="00271400">
        <w:t xml:space="preserve">standardised </w:t>
      </w:r>
      <w:r w:rsidRPr="00126E23">
        <w:t xml:space="preserve">ADI’s total </w:t>
      </w:r>
      <w:r w:rsidR="00F87CB8">
        <w:t>RWA</w:t>
      </w:r>
      <w:r w:rsidR="00271400">
        <w:t>;</w:t>
      </w:r>
      <w:r w:rsidR="00896D4B">
        <w:t xml:space="preserve"> or</w:t>
      </w:r>
    </w:p>
    <w:p w14:paraId="2F5FC4F6" w14:textId="1A0143C5" w:rsidR="00126E23" w:rsidRDefault="00552E32" w:rsidP="00EE7FF9">
      <w:pPr>
        <w:pStyle w:val="BodyText2"/>
        <w:jc w:val="both"/>
      </w:pPr>
      <w:r>
        <w:t>3.75</w:t>
      </w:r>
      <w:r w:rsidR="00271400" w:rsidRPr="003D013E">
        <w:t xml:space="preserve"> per cent</w:t>
      </w:r>
      <w:r w:rsidR="00F87CB8" w:rsidRPr="003D013E">
        <w:t xml:space="preserve"> of total RWA</w:t>
      </w:r>
      <w:r w:rsidR="00271400">
        <w:t xml:space="preserve"> for IRB ADIs. The sum of the </w:t>
      </w:r>
      <w:r w:rsidR="00271400" w:rsidRPr="00271400">
        <w:t xml:space="preserve">Common Equity Tier 1 PCR plus the capital conservation buffer </w:t>
      </w:r>
      <w:r w:rsidR="00271400">
        <w:t>will be no less than</w:t>
      </w:r>
      <w:r w:rsidR="00896D4B">
        <w:t xml:space="preserve"> 8.</w:t>
      </w:r>
      <w:r w:rsidR="002B2A2B">
        <w:t>25</w:t>
      </w:r>
      <w:r w:rsidR="00271400">
        <w:t xml:space="preserve"> </w:t>
      </w:r>
      <w:r w:rsidR="00271400" w:rsidRPr="00271400">
        <w:t xml:space="preserve">per cent of the </w:t>
      </w:r>
      <w:r w:rsidR="00271400">
        <w:t xml:space="preserve">IRB </w:t>
      </w:r>
      <w:r w:rsidR="00271400" w:rsidRPr="00271400">
        <w:t xml:space="preserve">ADI’s total </w:t>
      </w:r>
      <w:r w:rsidR="00F87CB8">
        <w:t>RWA</w:t>
      </w:r>
      <w:r w:rsidR="00126E23" w:rsidRPr="00126E23">
        <w:t xml:space="preserve">. </w:t>
      </w:r>
    </w:p>
    <w:p w14:paraId="0C3C597C" w14:textId="17EA234D" w:rsidR="00733310" w:rsidRDefault="00733310" w:rsidP="00546C0D">
      <w:pPr>
        <w:ind w:left="567"/>
      </w:pPr>
      <w:r w:rsidRPr="00AE1307">
        <w:t xml:space="preserve">APRA may </w:t>
      </w:r>
      <w:r w:rsidR="007465C1" w:rsidRPr="00AE1307">
        <w:t>vary the</w:t>
      </w:r>
      <w:r w:rsidR="00BF02B2" w:rsidRPr="00AE1307">
        <w:t xml:space="preserve"> capital conservation buffer</w:t>
      </w:r>
      <w:r w:rsidRPr="00AE1307">
        <w:t xml:space="preserve"> </w:t>
      </w:r>
      <w:r w:rsidR="00BF02B2" w:rsidRPr="00AE1307">
        <w:t>requirement for an ADI or class of ADIs</w:t>
      </w:r>
      <w:r w:rsidRPr="00AE1307">
        <w:t>.</w:t>
      </w:r>
      <w:r>
        <w:t xml:space="preserve"> </w:t>
      </w:r>
    </w:p>
    <w:p w14:paraId="6581B0D7" w14:textId="7BDF9DC2" w:rsidR="00D51688" w:rsidRPr="00126E23" w:rsidRDefault="00584E3C" w:rsidP="00126E23">
      <w:pPr>
        <w:pStyle w:val="BodyText1"/>
      </w:pPr>
      <w:bookmarkStart w:id="33" w:name="_Hlk55818037"/>
      <w:bookmarkEnd w:id="32"/>
      <w:r>
        <w:t xml:space="preserve">APRA may determine an ADI to be a domestic systemically important bank. </w:t>
      </w:r>
      <w:r w:rsidR="00F24BEE">
        <w:t>A</w:t>
      </w:r>
      <w:r w:rsidR="00EE7FF9">
        <w:t xml:space="preserve"> domestic systemically important bank must add an additional 1.0 per cent to its capital conservation buffer requirement under paragraph </w:t>
      </w:r>
      <w:r w:rsidR="00B23E95">
        <w:t>27</w:t>
      </w:r>
      <w:r w:rsidR="00E35647">
        <w:t xml:space="preserve"> </w:t>
      </w:r>
      <w:r w:rsidR="00EE7FF9">
        <w:t>of this Prudential Standard.</w:t>
      </w:r>
    </w:p>
    <w:bookmarkEnd w:id="33"/>
    <w:p w14:paraId="0813EB36" w14:textId="67F142E7" w:rsidR="00126E23" w:rsidRDefault="00126E23" w:rsidP="00126E23">
      <w:pPr>
        <w:pStyle w:val="BodyText1"/>
      </w:pPr>
      <w:r w:rsidRPr="00126E23">
        <w:t xml:space="preserve">Any amount of Common Equity Tier 1 Capital required to meet an ADI’s PCR for Tier 1 Capital or Total Capital, above the amount required to meet the PCR for Common Equity Tier 1 Capital, is not eligible to be included in the capital conservation buffer. </w:t>
      </w:r>
    </w:p>
    <w:p w14:paraId="7F3321EC" w14:textId="627B8A98" w:rsidR="00126E23" w:rsidRDefault="00126E23" w:rsidP="00126E23">
      <w:pPr>
        <w:pStyle w:val="BodyText1"/>
      </w:pPr>
      <w:r>
        <w:t xml:space="preserve">Capital distribution constraints apply </w:t>
      </w:r>
      <w:r w:rsidR="008E6CE2">
        <w:t xml:space="preserve">if </w:t>
      </w:r>
      <w:r>
        <w:t xml:space="preserve">an ADI’s Common Equity Tier 1 Capital ratio falls within the capital buffer ranges outlined in </w:t>
      </w:r>
      <w:r w:rsidRPr="00112796">
        <w:t>Table 1 of Attachment B.</w:t>
      </w:r>
      <w:r>
        <w:t xml:space="preserve"> </w:t>
      </w:r>
      <w:r>
        <w:lastRenderedPageBreak/>
        <w:t>Capital distribution constraints apply to distributions that affect Common Equity Tier 1 Capital. Items considered to be distributions for these purposes include:</w:t>
      </w:r>
    </w:p>
    <w:p w14:paraId="67A95A7C" w14:textId="2625573C" w:rsidR="00126E23" w:rsidRDefault="00126E23" w:rsidP="00A545F0">
      <w:pPr>
        <w:pStyle w:val="BodyText2"/>
        <w:jc w:val="both"/>
      </w:pPr>
      <w:r>
        <w:t>dividends and share buybacks;</w:t>
      </w:r>
      <w:r w:rsidR="00223D26">
        <w:rPr>
          <w:rStyle w:val="FootnoteReference"/>
        </w:rPr>
        <w:footnoteReference w:id="4"/>
      </w:r>
    </w:p>
    <w:p w14:paraId="67013BB5" w14:textId="77777777" w:rsidR="00126E23" w:rsidRDefault="00126E23" w:rsidP="00A545F0">
      <w:pPr>
        <w:pStyle w:val="BodyText2"/>
        <w:jc w:val="both"/>
      </w:pPr>
      <w:r>
        <w:t xml:space="preserve">discretionary payments on </w:t>
      </w:r>
      <w:r w:rsidRPr="00126E23">
        <w:rPr>
          <w:b/>
        </w:rPr>
        <w:t>Additional Tier 1 Capital</w:t>
      </w:r>
      <w:r>
        <w:t xml:space="preserve"> instruments;</w:t>
      </w:r>
      <w:r>
        <w:rPr>
          <w:rStyle w:val="FootnoteReference"/>
        </w:rPr>
        <w:footnoteReference w:id="5"/>
      </w:r>
      <w:r>
        <w:t xml:space="preserve"> and </w:t>
      </w:r>
    </w:p>
    <w:p w14:paraId="355C87D7" w14:textId="77777777" w:rsidR="00126E23" w:rsidRDefault="00126E23" w:rsidP="00A545F0">
      <w:pPr>
        <w:pStyle w:val="BodyText2"/>
        <w:jc w:val="both"/>
      </w:pPr>
      <w:r>
        <w:t>discretionary bonus payments to staff.</w:t>
      </w:r>
      <w:r>
        <w:rPr>
          <w:rStyle w:val="FootnoteReference"/>
        </w:rPr>
        <w:footnoteReference w:id="6"/>
      </w:r>
    </w:p>
    <w:p w14:paraId="39D40AF6" w14:textId="77777777" w:rsidR="00126E23" w:rsidRPr="00126E23" w:rsidRDefault="00126E23" w:rsidP="00126E23">
      <w:pPr>
        <w:pStyle w:val="BodyText1"/>
      </w:pPr>
      <w:r w:rsidRPr="00126E23">
        <w:t>An ADI may apply to APRA to make payments in excess of the constraints imposed by the capital conservation buffer regime. APRA will only grant approval where it is satisfied that an ADI has established measures to raise capital equal to or greater than the amount above the constraint that it wishes to distribute.</w:t>
      </w:r>
    </w:p>
    <w:p w14:paraId="16B560A1" w14:textId="77777777" w:rsidR="00A00990" w:rsidRDefault="00272D70" w:rsidP="00BC23C0">
      <w:pPr>
        <w:pStyle w:val="Heady2body"/>
      </w:pPr>
      <w:bookmarkStart w:id="34" w:name="_Toc88565332"/>
      <w:r>
        <w:t>Countercyclical capital buffer</w:t>
      </w:r>
      <w:bookmarkEnd w:id="34"/>
    </w:p>
    <w:p w14:paraId="4748AB1F" w14:textId="5B2CDFA9" w:rsidR="00272D70" w:rsidRPr="00272D70" w:rsidRDefault="00272D70" w:rsidP="00272D70">
      <w:pPr>
        <w:pStyle w:val="BodyText1"/>
      </w:pPr>
      <w:bookmarkStart w:id="35" w:name="_Hlk55818942"/>
      <w:r w:rsidRPr="00272D70">
        <w:t xml:space="preserve">An ADI must hold </w:t>
      </w:r>
      <w:r w:rsidR="00756B13">
        <w:t xml:space="preserve">a countercyclical capital buffer, which must be met with </w:t>
      </w:r>
      <w:r w:rsidRPr="00272D70">
        <w:t xml:space="preserve">Common Equity Tier 1 Capital, to be calculated in accordance with </w:t>
      </w:r>
      <w:r w:rsidRPr="00D12545">
        <w:t>Attachment</w:t>
      </w:r>
      <w:r w:rsidR="00232D3F">
        <w:t> </w:t>
      </w:r>
      <w:r w:rsidRPr="00D12545">
        <w:t xml:space="preserve">C </w:t>
      </w:r>
      <w:r w:rsidR="00456024">
        <w:t xml:space="preserve">to this Prudential Standard </w:t>
      </w:r>
      <w:r w:rsidRPr="00D12545">
        <w:t>(</w:t>
      </w:r>
      <w:r w:rsidRPr="00272D70">
        <w:t xml:space="preserve">ADI-specific countercyclical capital buffer). </w:t>
      </w:r>
    </w:p>
    <w:p w14:paraId="49D9ABAA" w14:textId="0FE06D9E" w:rsidR="00272D70" w:rsidRDefault="00272D70" w:rsidP="00272D70">
      <w:pPr>
        <w:pStyle w:val="BodyText1"/>
      </w:pPr>
      <w:bookmarkStart w:id="36" w:name="_Hlk53676395"/>
      <w:r w:rsidRPr="00272D70">
        <w:t>APRA will determine</w:t>
      </w:r>
      <w:r w:rsidR="00D2642D">
        <w:t xml:space="preserve"> </w:t>
      </w:r>
      <w:r w:rsidRPr="00272D70">
        <w:t>the Australian jurisdictional countercyclical capital buffer</w:t>
      </w:r>
      <w:r w:rsidR="00DA2940">
        <w:t xml:space="preserve">, </w:t>
      </w:r>
      <w:r w:rsidR="00A62D8B">
        <w:t>that applies</w:t>
      </w:r>
      <w:r w:rsidR="00DA2940">
        <w:t xml:space="preserve"> from time to time,</w:t>
      </w:r>
      <w:r w:rsidRPr="00272D70">
        <w:t xml:space="preserve"> at a level of between 0 and </w:t>
      </w:r>
      <w:r w:rsidR="00EE7FF9">
        <w:t>3</w:t>
      </w:r>
      <w:r w:rsidRPr="00272D70">
        <w:t xml:space="preserve">.5 per cent of total </w:t>
      </w:r>
      <w:r w:rsidR="00305BCF">
        <w:t>RWA</w:t>
      </w:r>
      <w:r w:rsidRPr="00272D70">
        <w:t>.</w:t>
      </w:r>
    </w:p>
    <w:bookmarkEnd w:id="36"/>
    <w:bookmarkEnd w:id="35"/>
    <w:p w14:paraId="3E9B65B6" w14:textId="3495D2A7" w:rsidR="00272D70" w:rsidRPr="00272D70" w:rsidRDefault="00272D70" w:rsidP="00272D70">
      <w:pPr>
        <w:pStyle w:val="BodyText1"/>
      </w:pPr>
      <w:r w:rsidRPr="00272D70">
        <w:t xml:space="preserve">APRA will publish any decision to </w:t>
      </w:r>
      <w:r w:rsidR="00A841F4">
        <w:t>vary</w:t>
      </w:r>
      <w:r w:rsidRPr="00272D70">
        <w:t xml:space="preserve"> the level of the Australian jurisdictional countercyclical capital buffer up to 12 months before the date from which it applies. Any decision by APRA to reduce the level of the Australian jurisdictional countercyclical capital buffer will take effect immediately.</w:t>
      </w:r>
    </w:p>
    <w:p w14:paraId="6A99BF7F" w14:textId="2340CC5B" w:rsidR="00272D70" w:rsidRPr="00272D70" w:rsidRDefault="00272D70" w:rsidP="00272D70">
      <w:pPr>
        <w:pStyle w:val="BodyText1"/>
      </w:pPr>
      <w:r w:rsidRPr="00272D70">
        <w:t xml:space="preserve">The ADI-specific countercyclical capital buffer </w:t>
      </w:r>
      <w:r w:rsidR="00A93E21">
        <w:t>is</w:t>
      </w:r>
      <w:r w:rsidRPr="00272D70">
        <w:t xml:space="preserve"> applied by extending the range of the capital conservation buffer. Capital distribution constraints, as set out in </w:t>
      </w:r>
      <w:r w:rsidRPr="00D12545">
        <w:t>Attachment B</w:t>
      </w:r>
      <w:r w:rsidR="00456024">
        <w:t xml:space="preserve"> to this Prudential Standard</w:t>
      </w:r>
      <w:r w:rsidRPr="00D12545">
        <w:t>,</w:t>
      </w:r>
      <w:r w:rsidRPr="00272D70">
        <w:t xml:space="preserve"> will apply if an ADI’s Common Equity Tier 1 Capital ratio falls within the extended capital buffer range (consisting of the capital conservation buffer plus the ADI-specific countercyclical capital buffer). </w:t>
      </w:r>
    </w:p>
    <w:p w14:paraId="4461E0E0" w14:textId="00A7EFDD" w:rsidR="005740DD" w:rsidRDefault="00736DCE" w:rsidP="00BC23C0">
      <w:pPr>
        <w:pStyle w:val="Heady2body"/>
      </w:pPr>
      <w:bookmarkStart w:id="37" w:name="_Toc88565333"/>
      <w:r>
        <w:t>Minimum dollar amount of capital</w:t>
      </w:r>
      <w:bookmarkEnd w:id="37"/>
    </w:p>
    <w:p w14:paraId="44CB0F05" w14:textId="5446D65B" w:rsidR="007376A6" w:rsidRDefault="007376A6" w:rsidP="007376A6">
      <w:pPr>
        <w:pStyle w:val="BodyText1"/>
      </w:pPr>
      <w:r>
        <w:t xml:space="preserve">APRA may </w:t>
      </w:r>
      <w:r w:rsidR="00634336">
        <w:t xml:space="preserve">also </w:t>
      </w:r>
      <w:r>
        <w:t xml:space="preserve">determine </w:t>
      </w:r>
      <w:r w:rsidR="00614118">
        <w:t>an ADI’s</w:t>
      </w:r>
      <w:r w:rsidR="00020192">
        <w:t>:</w:t>
      </w:r>
      <w:r w:rsidR="00614118">
        <w:t xml:space="preserve"> </w:t>
      </w:r>
    </w:p>
    <w:p w14:paraId="48F4EA0E" w14:textId="6E8E5551" w:rsidR="007376A6" w:rsidRDefault="00D40D20" w:rsidP="0093037B">
      <w:pPr>
        <w:pStyle w:val="BodyText2"/>
        <w:jc w:val="both"/>
      </w:pPr>
      <w:r>
        <w:lastRenderedPageBreak/>
        <w:t>PCR,</w:t>
      </w:r>
      <w:r w:rsidR="00614118">
        <w:t xml:space="preserve"> set by reference to Common Equity Tier 1 Capital, Tier 1 Capital </w:t>
      </w:r>
      <w:r w:rsidR="0019389E">
        <w:t xml:space="preserve">or </w:t>
      </w:r>
      <w:r w:rsidR="00614118">
        <w:t>Total Capital;</w:t>
      </w:r>
      <w:r w:rsidR="00C47099">
        <w:rPr>
          <w:rStyle w:val="FootnoteReference"/>
        </w:rPr>
        <w:footnoteReference w:id="7"/>
      </w:r>
    </w:p>
    <w:p w14:paraId="6E251BEB" w14:textId="5F8E58E5" w:rsidR="007376A6" w:rsidRDefault="007376A6" w:rsidP="007376A6">
      <w:pPr>
        <w:pStyle w:val="BodyText2"/>
      </w:pPr>
      <w:r>
        <w:t>capital conservation buffer</w:t>
      </w:r>
      <w:r w:rsidR="00614118">
        <w:t>; or</w:t>
      </w:r>
    </w:p>
    <w:p w14:paraId="748D1CE2" w14:textId="50687DE9" w:rsidR="00614118" w:rsidRDefault="00614118" w:rsidP="000B5823">
      <w:pPr>
        <w:pStyle w:val="BodyText2"/>
      </w:pPr>
      <w:r>
        <w:t>countercyclical capital buffer</w:t>
      </w:r>
    </w:p>
    <w:p w14:paraId="7041CDE9" w14:textId="57EE2AB9" w:rsidR="007376A6" w:rsidRDefault="007376A6" w:rsidP="000B5823">
      <w:pPr>
        <w:pStyle w:val="BodyText1"/>
        <w:numPr>
          <w:ilvl w:val="0"/>
          <w:numId w:val="0"/>
        </w:numPr>
        <w:ind w:left="567"/>
      </w:pPr>
      <w:r>
        <w:t>as a minimum dollar amount</w:t>
      </w:r>
      <w:r w:rsidR="00F846BA">
        <w:t>.</w:t>
      </w:r>
    </w:p>
    <w:p w14:paraId="275456CF" w14:textId="4622E96D" w:rsidR="00272D70" w:rsidRDefault="00A3130B" w:rsidP="00BC23C0">
      <w:pPr>
        <w:pStyle w:val="Heady2body"/>
      </w:pPr>
      <w:bookmarkStart w:id="38" w:name="_Toc88565334"/>
      <w:r>
        <w:t xml:space="preserve">Minimum leverage </w:t>
      </w:r>
      <w:r w:rsidR="00272D70">
        <w:t>ratio</w:t>
      </w:r>
      <w:r>
        <w:t xml:space="preserve"> requirement</w:t>
      </w:r>
      <w:bookmarkEnd w:id="38"/>
    </w:p>
    <w:p w14:paraId="2DC00FE8" w14:textId="73E0208F" w:rsidR="00DB3C0E" w:rsidRDefault="00DB3C0E" w:rsidP="00DB3C0E">
      <w:pPr>
        <w:pStyle w:val="BodyText1"/>
      </w:pPr>
      <w:bookmarkStart w:id="39" w:name="_Hlk83752845"/>
      <w:bookmarkStart w:id="40" w:name="_Ref526248279"/>
      <w:r w:rsidRPr="00D74F8A">
        <w:t xml:space="preserve">An </w:t>
      </w:r>
      <w:r>
        <w:t xml:space="preserve">IRB </w:t>
      </w:r>
      <w:r w:rsidRPr="00D74F8A">
        <w:t>ADI must, at all times, maintain a</w:t>
      </w:r>
      <w:r>
        <w:t xml:space="preserve"> minimum</w:t>
      </w:r>
      <w:r w:rsidRPr="00D74F8A">
        <w:t xml:space="preserve"> leverage ratio of</w:t>
      </w:r>
      <w:r>
        <w:t xml:space="preserve"> 3.5</w:t>
      </w:r>
      <w:r w:rsidRPr="00D74F8A">
        <w:t xml:space="preserve"> per cent.</w:t>
      </w:r>
      <w:r>
        <w:t xml:space="preserve"> </w:t>
      </w:r>
      <w:r w:rsidRPr="00D74F8A">
        <w:t>APRA may</w:t>
      </w:r>
      <w:r>
        <w:t xml:space="preserve"> </w:t>
      </w:r>
      <w:r w:rsidR="00C85D2C">
        <w:t>vary the minimum</w:t>
      </w:r>
      <w:r w:rsidR="003F3569">
        <w:t xml:space="preserve"> </w:t>
      </w:r>
      <w:r>
        <w:t>leverage ratio</w:t>
      </w:r>
      <w:r w:rsidR="003F3569">
        <w:t xml:space="preserve"> requirement for an ADI</w:t>
      </w:r>
      <w:r>
        <w:t xml:space="preserve">. </w:t>
      </w:r>
    </w:p>
    <w:bookmarkEnd w:id="39"/>
    <w:p w14:paraId="6C7D3645" w14:textId="520A7787" w:rsidR="00D47274" w:rsidRPr="00D74F8A" w:rsidRDefault="00D47274" w:rsidP="001B5F1E">
      <w:pPr>
        <w:pStyle w:val="BodyText1"/>
      </w:pPr>
      <w:r w:rsidRPr="00D74F8A">
        <w:t xml:space="preserve">An </w:t>
      </w:r>
      <w:r w:rsidR="002F4A0E">
        <w:t xml:space="preserve">IRB </w:t>
      </w:r>
      <w:r w:rsidRPr="00D74F8A">
        <w:t>ADI</w:t>
      </w:r>
      <w:r w:rsidR="002D55E8">
        <w:t xml:space="preserve"> </w:t>
      </w:r>
      <w:r w:rsidRPr="00D74F8A">
        <w:t xml:space="preserve">must </w:t>
      </w:r>
      <w:r w:rsidR="008A0F9C">
        <w:t>calculate</w:t>
      </w:r>
      <w:r w:rsidRPr="00D74F8A">
        <w:t xml:space="preserve"> its leverage ratio in accordance with </w:t>
      </w:r>
      <w:r w:rsidRPr="00D12545">
        <w:t>Attachment D</w:t>
      </w:r>
      <w:r w:rsidR="00456024">
        <w:t xml:space="preserve"> to this Prudential Standard</w:t>
      </w:r>
      <w:r w:rsidRPr="00D12545">
        <w:t>.</w:t>
      </w:r>
      <w:r w:rsidR="001B5F1E">
        <w:t xml:space="preserve"> </w:t>
      </w:r>
      <w:r w:rsidRPr="00D74F8A">
        <w:t>Where</w:t>
      </w:r>
      <w:r>
        <w:t xml:space="preserve"> an </w:t>
      </w:r>
      <w:r w:rsidR="002F4A0E">
        <w:t xml:space="preserve">IRB </w:t>
      </w:r>
      <w:r>
        <w:t>ADI</w:t>
      </w:r>
      <w:r w:rsidRPr="00D74F8A">
        <w:t>:</w:t>
      </w:r>
      <w:bookmarkEnd w:id="40"/>
    </w:p>
    <w:p w14:paraId="1A97F0C7" w14:textId="36F5391C" w:rsidR="00D47274" w:rsidRPr="00D74F8A" w:rsidRDefault="00D47274" w:rsidP="00A545F0">
      <w:pPr>
        <w:pStyle w:val="BodyText2"/>
        <w:jc w:val="both"/>
      </w:pPr>
      <w:r>
        <w:t xml:space="preserve">is </w:t>
      </w:r>
      <w:r w:rsidRPr="00D74F8A">
        <w:t xml:space="preserve">a member of a Level 2 group, the minimum leverage ratio requirement will apply only at Level 2; </w:t>
      </w:r>
      <w:r>
        <w:t>and</w:t>
      </w:r>
    </w:p>
    <w:p w14:paraId="06B3DCF0" w14:textId="2F11174C" w:rsidR="00D47274" w:rsidRDefault="00D47274" w:rsidP="00A545F0">
      <w:pPr>
        <w:pStyle w:val="BodyText2"/>
        <w:jc w:val="both"/>
      </w:pPr>
      <w:r>
        <w:t xml:space="preserve">is </w:t>
      </w:r>
      <w:r w:rsidRPr="00D74F8A">
        <w:t>not a member of a Level 2 group, the minimum leverage ratio requirement will apply at Level 1.</w:t>
      </w:r>
    </w:p>
    <w:p w14:paraId="3DB77F46" w14:textId="70A01AC4" w:rsidR="0004788A" w:rsidRPr="00D47274" w:rsidRDefault="0004788A" w:rsidP="0004788A">
      <w:pPr>
        <w:pStyle w:val="BodyText1"/>
      </w:pPr>
      <w:r>
        <w:t>APRA may apply a leverage ratio requirement to a standardised ADI.</w:t>
      </w:r>
    </w:p>
    <w:p w14:paraId="64B5BF9C" w14:textId="6E0501CE" w:rsidR="00272D70" w:rsidRDefault="00272D70" w:rsidP="00BC23C0">
      <w:pPr>
        <w:pStyle w:val="Heady2body"/>
      </w:pPr>
      <w:bookmarkStart w:id="41" w:name="_Toc88565335"/>
      <w:r>
        <w:t>Reductions in capital</w:t>
      </w:r>
      <w:bookmarkEnd w:id="41"/>
    </w:p>
    <w:p w14:paraId="2B84B9AF" w14:textId="4B0FE731" w:rsidR="00456BDC" w:rsidRPr="00456BDC" w:rsidRDefault="00456BDC" w:rsidP="00456BDC">
      <w:pPr>
        <w:pStyle w:val="BodyText1"/>
      </w:pPr>
      <w:r w:rsidRPr="00456BDC">
        <w:t>An ADI or authorised NOHC (as applicable) must obtain APRA’s approval prior to making any planned reduction in capital, whether at Level 1 or Level 2.</w:t>
      </w:r>
    </w:p>
    <w:p w14:paraId="1DD44BA3" w14:textId="77777777" w:rsidR="00456BDC" w:rsidRDefault="00456BDC" w:rsidP="00456BDC">
      <w:pPr>
        <w:pStyle w:val="BodyText1"/>
      </w:pPr>
      <w:bookmarkStart w:id="42" w:name="_Hlk85551353"/>
      <w:r>
        <w:t>A planned reduction in an ADI’s capital includes:</w:t>
      </w:r>
    </w:p>
    <w:bookmarkEnd w:id="42"/>
    <w:p w14:paraId="7466769E" w14:textId="50059817" w:rsidR="00456BDC" w:rsidRDefault="00456BDC" w:rsidP="00A545F0">
      <w:pPr>
        <w:pStyle w:val="BodyText2"/>
        <w:jc w:val="both"/>
      </w:pPr>
      <w:r>
        <w:t>a share buyback or the redemption, repurchase or repayment</w:t>
      </w:r>
      <w:r w:rsidR="000B0D23">
        <w:t xml:space="preserve"> </w:t>
      </w:r>
      <w:r>
        <w:t xml:space="preserve">of any qualifying Common Equity Tier 1 Capital, Additional Tier 1 Capital and </w:t>
      </w:r>
      <w:r w:rsidRPr="00456BDC">
        <w:rPr>
          <w:b/>
        </w:rPr>
        <w:t>Tier 2 Capital</w:t>
      </w:r>
      <w:r>
        <w:t xml:space="preserve"> instruments issued by the ADI (or by other entities included in the calculation of the ADI’s Level 2 capital);</w:t>
      </w:r>
      <w:r w:rsidR="000B0D23">
        <w:rPr>
          <w:rStyle w:val="FootnoteReference"/>
        </w:rPr>
        <w:footnoteReference w:id="8"/>
      </w:r>
    </w:p>
    <w:p w14:paraId="19E17367" w14:textId="27B04068" w:rsidR="00456BDC" w:rsidRDefault="00456BDC" w:rsidP="00A545F0">
      <w:pPr>
        <w:pStyle w:val="BodyText2"/>
        <w:jc w:val="both"/>
      </w:pPr>
      <w:r>
        <w:t xml:space="preserve">trading in the ADI’s own shares or capital instruments outside of any arrangement agreed with APRA in accordance with Prudential Standard </w:t>
      </w:r>
      <w:r w:rsidRPr="00456BDC">
        <w:rPr>
          <w:i/>
        </w:rPr>
        <w:t>APS</w:t>
      </w:r>
      <w:r w:rsidR="00EF0CAF">
        <w:rPr>
          <w:i/>
        </w:rPr>
        <w:t> </w:t>
      </w:r>
      <w:r w:rsidRPr="00456BDC">
        <w:rPr>
          <w:i/>
        </w:rPr>
        <w:t>111 Capital Adequacy: Measurement of Capital</w:t>
      </w:r>
      <w:r>
        <w:t xml:space="preserve"> (APS</w:t>
      </w:r>
      <w:r w:rsidR="00EF0CAF">
        <w:t> </w:t>
      </w:r>
      <w:r>
        <w:t>111); and</w:t>
      </w:r>
    </w:p>
    <w:p w14:paraId="7914EE63" w14:textId="6250A9CE" w:rsidR="00456BDC" w:rsidRDefault="00456BDC" w:rsidP="00A545F0">
      <w:pPr>
        <w:pStyle w:val="BodyText2"/>
        <w:jc w:val="both"/>
      </w:pPr>
      <w:bookmarkStart w:id="43" w:name="_Ref507690194"/>
      <w:bookmarkStart w:id="44" w:name="_Ref523829747"/>
      <w:bookmarkStart w:id="45" w:name="_Hlk85551322"/>
      <w:r>
        <w:t xml:space="preserve">the aggregate amount of dividend payments on ordinary shares that exceeds an ADI’s </w:t>
      </w:r>
      <w:r w:rsidR="00157B8A">
        <w:t xml:space="preserve">statutory </w:t>
      </w:r>
      <w:r w:rsidR="00EA5C3A">
        <w:t xml:space="preserve">after-tax earnings </w:t>
      </w:r>
      <w:r>
        <w:t xml:space="preserve">after taking into account any payments on more senior capital instruments, in the </w:t>
      </w:r>
      <w:r w:rsidR="001C1C86">
        <w:t xml:space="preserve">ADI’s </w:t>
      </w:r>
      <w:r>
        <w:t>financial year to which they relate.</w:t>
      </w:r>
      <w:bookmarkEnd w:id="43"/>
      <w:r w:rsidR="007E3D4F">
        <w:rPr>
          <w:rStyle w:val="FootnoteReference"/>
        </w:rPr>
        <w:footnoteReference w:id="9"/>
      </w:r>
      <w:r>
        <w:t xml:space="preserve"> </w:t>
      </w:r>
      <w:bookmarkEnd w:id="44"/>
      <w:r w:rsidR="001C1C86">
        <w:t xml:space="preserve">For this purpose, the ADI’s financial year means a period of </w:t>
      </w:r>
      <w:r w:rsidR="001C1C86">
        <w:lastRenderedPageBreak/>
        <w:t>12 consecutive months covered by one or more sets of publicly available operating results preceding the date of the proposed payment of dividend or interest.</w:t>
      </w:r>
    </w:p>
    <w:bookmarkEnd w:id="45"/>
    <w:p w14:paraId="330A401B" w14:textId="77777777" w:rsidR="00456BDC" w:rsidRDefault="00456BDC" w:rsidP="00456BDC">
      <w:pPr>
        <w:pStyle w:val="BodyText1"/>
      </w:pPr>
      <w:r>
        <w:t xml:space="preserve">An ADI or authorised NOHC (as applicable) proposing a capital reduction (whether at Level 1 or Level 2) must provide APRA with a forecast showing, at the respective Levels, the projected future capital position after the proposed capital reductions. The forecast should extend for at least two years. </w:t>
      </w:r>
    </w:p>
    <w:p w14:paraId="2B4A1444" w14:textId="77777777" w:rsidR="00456BDC" w:rsidRDefault="00456BDC" w:rsidP="00456BDC">
      <w:pPr>
        <w:pStyle w:val="BodyText1"/>
      </w:pPr>
      <w:r>
        <w:t>An ADI must satisfy APRA that the ADI’s capital, at Level 1 and Level 2 as appropriate, will remain adequate for its future needs after a proposed reduction.</w:t>
      </w:r>
    </w:p>
    <w:p w14:paraId="53F840FB" w14:textId="77777777" w:rsidR="00456BDC" w:rsidRDefault="00456BDC" w:rsidP="00BC23C0">
      <w:pPr>
        <w:pStyle w:val="Heady2body"/>
      </w:pPr>
      <w:bookmarkStart w:id="46" w:name="_Toc88565336"/>
      <w:r>
        <w:t>Notification requirements</w:t>
      </w:r>
      <w:bookmarkEnd w:id="46"/>
    </w:p>
    <w:p w14:paraId="75E1B393" w14:textId="443932C3" w:rsidR="00456BDC" w:rsidRDefault="00456BDC" w:rsidP="00456BDC">
      <w:pPr>
        <w:pStyle w:val="BodyText1"/>
      </w:pPr>
      <w:r>
        <w:t>An ADI or an authorised NOHC (as applicable) must notify APRA</w:t>
      </w:r>
      <w:r w:rsidR="00D6288E">
        <w:t xml:space="preserve"> </w:t>
      </w:r>
      <w:r>
        <w:t>of any breach or prospective breach of the capital requirements contained in this Prudential Standard and inform APRA of any remedial actions taken or planned to deal with the breach.</w:t>
      </w:r>
    </w:p>
    <w:p w14:paraId="6EB2F8CC" w14:textId="77777777" w:rsidR="00456BDC" w:rsidRDefault="00456BDC" w:rsidP="00456BDC">
      <w:pPr>
        <w:pStyle w:val="BodyText1"/>
      </w:pPr>
      <w:r>
        <w:t>An ADI or an authorised NOHC (as applicable) must inform APRA as soon as practicable of any:</w:t>
      </w:r>
    </w:p>
    <w:p w14:paraId="62FFA79D" w14:textId="77777777" w:rsidR="00853A98" w:rsidRDefault="00853A98" w:rsidP="00A545F0">
      <w:pPr>
        <w:pStyle w:val="BodyText2"/>
        <w:jc w:val="both"/>
      </w:pPr>
      <w:r>
        <w:t xml:space="preserve">significant departure from its ICAAP; </w:t>
      </w:r>
    </w:p>
    <w:p w14:paraId="04CE1578" w14:textId="77777777" w:rsidR="00853A98" w:rsidRDefault="00853A98" w:rsidP="00A545F0">
      <w:pPr>
        <w:pStyle w:val="BodyText2"/>
        <w:jc w:val="both"/>
      </w:pPr>
      <w:r>
        <w:t xml:space="preserve">concerns it has about its capital adequacy (including projected losses), whether at Level 1 or Level 2, and the measures it proposes to take to address these concerns; </w:t>
      </w:r>
    </w:p>
    <w:p w14:paraId="711A517E" w14:textId="70DA749C" w:rsidR="00853A98" w:rsidRDefault="00853A98" w:rsidP="00A545F0">
      <w:pPr>
        <w:pStyle w:val="BodyText2"/>
        <w:jc w:val="both"/>
      </w:pPr>
      <w:r>
        <w:t xml:space="preserve">indication of significant adverse changes in market pricing of, or trading in, the capital instruments of the ADI or group of which it is a member (including pressures on the ADI to purchase its own capital instruments); </w:t>
      </w:r>
      <w:r w:rsidR="00D44075">
        <w:t>or</w:t>
      </w:r>
    </w:p>
    <w:p w14:paraId="19B531C2" w14:textId="32AE757D" w:rsidR="00456BDC" w:rsidRDefault="00853A98" w:rsidP="00A545F0">
      <w:pPr>
        <w:pStyle w:val="BodyText2"/>
        <w:jc w:val="both"/>
      </w:pPr>
      <w:r>
        <w:t>other significant adverse changes in its capital, whether at Level 1 or Level</w:t>
      </w:r>
      <w:r w:rsidR="00BD0915">
        <w:t> </w:t>
      </w:r>
      <w:r>
        <w:t>2.</w:t>
      </w:r>
    </w:p>
    <w:p w14:paraId="57429101" w14:textId="77777777" w:rsidR="0038413F" w:rsidRDefault="0038413F" w:rsidP="00DF539C"/>
    <w:p w14:paraId="2FC1AFAD" w14:textId="77777777" w:rsidR="00DF539C" w:rsidRDefault="00DF539C" w:rsidP="0038413F">
      <w:pPr>
        <w:pStyle w:val="BodyText1"/>
        <w:numPr>
          <w:ilvl w:val="0"/>
          <w:numId w:val="0"/>
        </w:numPr>
        <w:sectPr w:rsidR="00DF539C" w:rsidSect="000D63A8">
          <w:pgSz w:w="11906" w:h="16838" w:code="9"/>
          <w:pgMar w:top="1440" w:right="1797" w:bottom="1440" w:left="1797" w:header="709" w:footer="709" w:gutter="0"/>
          <w:cols w:space="708"/>
          <w:docGrid w:linePitch="360"/>
        </w:sectPr>
      </w:pPr>
    </w:p>
    <w:p w14:paraId="347D514C" w14:textId="0C176AE0" w:rsidR="0038413F" w:rsidRPr="001F6B8D" w:rsidRDefault="00E16DD9" w:rsidP="006978D4">
      <w:pPr>
        <w:pStyle w:val="Heading1"/>
      </w:pPr>
      <w:bookmarkStart w:id="47" w:name="_Toc88565337"/>
      <w:r w:rsidRPr="001F6B8D">
        <w:lastRenderedPageBreak/>
        <w:t xml:space="preserve">Attachment </w:t>
      </w:r>
      <w:r w:rsidR="00964BB3">
        <w:rPr>
          <w:rStyle w:val="Attachmentfieldtext"/>
        </w:rPr>
        <w:t>A</w:t>
      </w:r>
      <w:r w:rsidR="001F6B8D" w:rsidRPr="001F6B8D">
        <w:t xml:space="preserve"> </w:t>
      </w:r>
      <w:r w:rsidR="00A45E3E">
        <w:t>–</w:t>
      </w:r>
      <w:r w:rsidR="001F6B8D" w:rsidRPr="001F6B8D">
        <w:t xml:space="preserve"> </w:t>
      </w:r>
      <w:r w:rsidR="00A45E3E">
        <w:t>Risk-based regulatory capital ratios</w:t>
      </w:r>
      <w:bookmarkEnd w:id="47"/>
    </w:p>
    <w:p w14:paraId="1B1B3896" w14:textId="036D4916" w:rsidR="00957241" w:rsidRPr="00957241" w:rsidRDefault="00957241" w:rsidP="00957241">
      <w:pPr>
        <w:pStyle w:val="BodyText1"/>
        <w:numPr>
          <w:ilvl w:val="0"/>
          <w:numId w:val="20"/>
        </w:numPr>
      </w:pPr>
      <w:r w:rsidRPr="00957241">
        <w:t>An ADI’s Tier 1 Capital is the sum of its Common Equity Tier 1 Capital and Additional Tier 1 Capital. Its Total Capital is the sum of Tier 1 Capital and Tier</w:t>
      </w:r>
      <w:r w:rsidR="00232D3F">
        <w:t> </w:t>
      </w:r>
      <w:r w:rsidRPr="00957241">
        <w:t>2 Capital. The criteria for inclusion in Common Equity Tier 1 Capital, Additional Tier 1 Capital and Tier 2 Capital are set out in APS</w:t>
      </w:r>
      <w:r w:rsidR="003842D0">
        <w:t> </w:t>
      </w:r>
      <w:r w:rsidRPr="00957241">
        <w:t>111.</w:t>
      </w:r>
    </w:p>
    <w:p w14:paraId="021D07F2" w14:textId="615D2A52" w:rsidR="00957241" w:rsidRPr="00957241" w:rsidRDefault="00957241" w:rsidP="00F00DA8">
      <w:pPr>
        <w:pStyle w:val="BodyText1"/>
        <w:keepNext/>
        <w:numPr>
          <w:ilvl w:val="0"/>
          <w:numId w:val="20"/>
        </w:numPr>
      </w:pPr>
      <w:r w:rsidRPr="00957241">
        <w:t xml:space="preserve">Under APRA’s risk-based capital adequacy framework, an ADI’s capital adequacy is measured by means of risk-based capital ratios calculated by dividing each of its Common Equity Tier 1 Capital, Tier 1 Capital and Total Capital by its total </w:t>
      </w:r>
      <w:r w:rsidR="00257E12">
        <w:t>RWA</w:t>
      </w:r>
      <w:r w:rsidRPr="00957241">
        <w:t>. That is:</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8"/>
        <w:gridCol w:w="3215"/>
      </w:tblGrid>
      <w:tr w:rsidR="00F00DA8" w14:paraId="2E36B11D" w14:textId="77777777" w:rsidTr="00A833C9">
        <w:tc>
          <w:tcPr>
            <w:tcW w:w="3868" w:type="dxa"/>
            <w:vMerge w:val="restart"/>
          </w:tcPr>
          <w:p w14:paraId="6444D0B7" w14:textId="43ECDB1D" w:rsidR="00F00DA8" w:rsidRPr="00957241" w:rsidRDefault="00BC08AD" w:rsidP="00A833C9">
            <w:pPr>
              <w:pStyle w:val="BodyText1"/>
              <w:keepNext/>
              <w:numPr>
                <w:ilvl w:val="0"/>
                <w:numId w:val="0"/>
              </w:numPr>
              <w:spacing w:before="320" w:after="120"/>
              <w:rPr>
                <w:i/>
              </w:rPr>
            </w:pPr>
            <w:r>
              <w:rPr>
                <w:i/>
              </w:rPr>
              <w:t>Common Equity Tier 1 C</w:t>
            </w:r>
            <w:r w:rsidR="00F00DA8">
              <w:rPr>
                <w:i/>
              </w:rPr>
              <w:t>apital ratio =</w:t>
            </w:r>
          </w:p>
        </w:tc>
        <w:tc>
          <w:tcPr>
            <w:tcW w:w="3215" w:type="dxa"/>
            <w:tcBorders>
              <w:bottom w:val="single" w:sz="4" w:space="0" w:color="auto"/>
            </w:tcBorders>
          </w:tcPr>
          <w:p w14:paraId="3F07EDB3" w14:textId="7197A98C" w:rsidR="00F00DA8" w:rsidRPr="00957241" w:rsidRDefault="00F00DA8" w:rsidP="00F00DA8">
            <w:pPr>
              <w:pStyle w:val="BodyText1"/>
              <w:keepNext/>
              <w:numPr>
                <w:ilvl w:val="0"/>
                <w:numId w:val="0"/>
              </w:numPr>
              <w:spacing w:before="120" w:after="60"/>
              <w:jc w:val="center"/>
              <w:rPr>
                <w:i/>
              </w:rPr>
            </w:pPr>
            <w:r>
              <w:rPr>
                <w:i/>
              </w:rPr>
              <w:t>Common Equity Tier 1 Capital</w:t>
            </w:r>
          </w:p>
        </w:tc>
      </w:tr>
      <w:tr w:rsidR="00F00DA8" w14:paraId="743BC0C5" w14:textId="77777777" w:rsidTr="00A833C9">
        <w:tc>
          <w:tcPr>
            <w:tcW w:w="3868" w:type="dxa"/>
            <w:vMerge/>
          </w:tcPr>
          <w:p w14:paraId="03356B26" w14:textId="77777777" w:rsidR="00F00DA8" w:rsidRPr="00957241" w:rsidRDefault="00F00DA8" w:rsidP="00F00DA8">
            <w:pPr>
              <w:pStyle w:val="BodyText1"/>
              <w:keepNext/>
              <w:numPr>
                <w:ilvl w:val="0"/>
                <w:numId w:val="0"/>
              </w:numPr>
              <w:spacing w:before="120" w:after="120"/>
              <w:rPr>
                <w:i/>
              </w:rPr>
            </w:pPr>
          </w:p>
        </w:tc>
        <w:tc>
          <w:tcPr>
            <w:tcW w:w="3215" w:type="dxa"/>
            <w:tcBorders>
              <w:top w:val="single" w:sz="4" w:space="0" w:color="auto"/>
            </w:tcBorders>
          </w:tcPr>
          <w:p w14:paraId="335C3A77" w14:textId="4E2D7091" w:rsidR="00F00DA8" w:rsidRPr="00957241" w:rsidRDefault="00F00DA8" w:rsidP="00F00DA8">
            <w:pPr>
              <w:pStyle w:val="BodyText1"/>
              <w:keepNext/>
              <w:numPr>
                <w:ilvl w:val="0"/>
                <w:numId w:val="0"/>
              </w:numPr>
              <w:spacing w:before="60"/>
              <w:jc w:val="center"/>
              <w:rPr>
                <w:i/>
              </w:rPr>
            </w:pPr>
            <w:r>
              <w:rPr>
                <w:i/>
              </w:rPr>
              <w:t xml:space="preserve">Total </w:t>
            </w:r>
            <w:r w:rsidR="00257E12">
              <w:rPr>
                <w:i/>
              </w:rPr>
              <w:t>RWA</w:t>
            </w:r>
          </w:p>
        </w:tc>
      </w:tr>
      <w:tr w:rsidR="00F00DA8" w14:paraId="7546AC71" w14:textId="77777777" w:rsidTr="00A833C9">
        <w:tc>
          <w:tcPr>
            <w:tcW w:w="3868" w:type="dxa"/>
            <w:vMerge w:val="restart"/>
          </w:tcPr>
          <w:p w14:paraId="335F38BB" w14:textId="16BDA26B" w:rsidR="00F00DA8" w:rsidRPr="00957241" w:rsidRDefault="00BC08AD" w:rsidP="00A833C9">
            <w:pPr>
              <w:pStyle w:val="BodyText1"/>
              <w:keepNext/>
              <w:numPr>
                <w:ilvl w:val="0"/>
                <w:numId w:val="0"/>
              </w:numPr>
              <w:spacing w:before="320" w:after="120"/>
              <w:jc w:val="right"/>
              <w:rPr>
                <w:i/>
              </w:rPr>
            </w:pPr>
            <w:r>
              <w:rPr>
                <w:i/>
              </w:rPr>
              <w:t>Tier 1 C</w:t>
            </w:r>
            <w:r w:rsidR="00F00DA8">
              <w:rPr>
                <w:i/>
              </w:rPr>
              <w:t xml:space="preserve">apital ratio = </w:t>
            </w:r>
          </w:p>
        </w:tc>
        <w:tc>
          <w:tcPr>
            <w:tcW w:w="3215" w:type="dxa"/>
            <w:tcBorders>
              <w:bottom w:val="single" w:sz="4" w:space="0" w:color="auto"/>
            </w:tcBorders>
          </w:tcPr>
          <w:p w14:paraId="67103ED0" w14:textId="745D8A11" w:rsidR="00F00DA8" w:rsidRPr="00957241" w:rsidRDefault="00F00DA8" w:rsidP="00F00DA8">
            <w:pPr>
              <w:pStyle w:val="BodyText1"/>
              <w:keepNext/>
              <w:numPr>
                <w:ilvl w:val="0"/>
                <w:numId w:val="0"/>
              </w:numPr>
              <w:spacing w:before="120" w:after="60"/>
              <w:jc w:val="center"/>
              <w:rPr>
                <w:i/>
              </w:rPr>
            </w:pPr>
            <w:r>
              <w:rPr>
                <w:i/>
              </w:rPr>
              <w:t xml:space="preserve">Tier 1 </w:t>
            </w:r>
            <w:r w:rsidR="00BC08AD">
              <w:rPr>
                <w:i/>
              </w:rPr>
              <w:t>C</w:t>
            </w:r>
            <w:r>
              <w:rPr>
                <w:i/>
              </w:rPr>
              <w:t>apital</w:t>
            </w:r>
          </w:p>
        </w:tc>
      </w:tr>
      <w:tr w:rsidR="00F00DA8" w14:paraId="25D475E8" w14:textId="77777777" w:rsidTr="00A833C9">
        <w:tc>
          <w:tcPr>
            <w:tcW w:w="3868" w:type="dxa"/>
            <w:vMerge/>
          </w:tcPr>
          <w:p w14:paraId="3352670F" w14:textId="77777777" w:rsidR="00F00DA8" w:rsidRPr="00957241" w:rsidRDefault="00F00DA8" w:rsidP="00F00DA8">
            <w:pPr>
              <w:pStyle w:val="BodyText1"/>
              <w:keepNext/>
              <w:numPr>
                <w:ilvl w:val="0"/>
                <w:numId w:val="0"/>
              </w:numPr>
              <w:spacing w:before="120" w:after="120"/>
              <w:rPr>
                <w:i/>
              </w:rPr>
            </w:pPr>
          </w:p>
        </w:tc>
        <w:tc>
          <w:tcPr>
            <w:tcW w:w="3215" w:type="dxa"/>
            <w:tcBorders>
              <w:top w:val="single" w:sz="4" w:space="0" w:color="auto"/>
            </w:tcBorders>
          </w:tcPr>
          <w:p w14:paraId="7B487599" w14:textId="40445047" w:rsidR="00F00DA8" w:rsidRPr="00957241" w:rsidRDefault="00F00DA8" w:rsidP="00F00DA8">
            <w:pPr>
              <w:pStyle w:val="BodyText1"/>
              <w:keepNext/>
              <w:numPr>
                <w:ilvl w:val="0"/>
                <w:numId w:val="0"/>
              </w:numPr>
              <w:spacing w:before="60"/>
              <w:jc w:val="center"/>
              <w:rPr>
                <w:i/>
              </w:rPr>
            </w:pPr>
            <w:r>
              <w:rPr>
                <w:i/>
              </w:rPr>
              <w:t xml:space="preserve">Total </w:t>
            </w:r>
            <w:r w:rsidR="00257E12">
              <w:rPr>
                <w:i/>
              </w:rPr>
              <w:t>RWA</w:t>
            </w:r>
          </w:p>
        </w:tc>
      </w:tr>
      <w:tr w:rsidR="00F00DA8" w14:paraId="5B6A0492" w14:textId="77777777" w:rsidTr="00A833C9">
        <w:tc>
          <w:tcPr>
            <w:tcW w:w="3868" w:type="dxa"/>
            <w:vMerge w:val="restart"/>
          </w:tcPr>
          <w:p w14:paraId="62BBFA8E" w14:textId="29795F15" w:rsidR="00F00DA8" w:rsidRPr="00957241" w:rsidRDefault="00BC08AD" w:rsidP="00A833C9">
            <w:pPr>
              <w:pStyle w:val="BodyText1"/>
              <w:keepNext/>
              <w:numPr>
                <w:ilvl w:val="0"/>
                <w:numId w:val="0"/>
              </w:numPr>
              <w:spacing w:before="320" w:after="120"/>
              <w:ind w:left="567"/>
              <w:jc w:val="right"/>
              <w:rPr>
                <w:i/>
              </w:rPr>
            </w:pPr>
            <w:r>
              <w:rPr>
                <w:i/>
              </w:rPr>
              <w:t>Total C</w:t>
            </w:r>
            <w:r w:rsidR="00F00DA8">
              <w:rPr>
                <w:i/>
              </w:rPr>
              <w:t>apital ratio =</w:t>
            </w:r>
          </w:p>
        </w:tc>
        <w:tc>
          <w:tcPr>
            <w:tcW w:w="3215" w:type="dxa"/>
            <w:tcBorders>
              <w:bottom w:val="single" w:sz="4" w:space="0" w:color="auto"/>
            </w:tcBorders>
          </w:tcPr>
          <w:p w14:paraId="6087F90B" w14:textId="1FA05F37" w:rsidR="00F00DA8" w:rsidRPr="00957241" w:rsidRDefault="00BC08AD" w:rsidP="00F00DA8">
            <w:pPr>
              <w:pStyle w:val="BodyText1"/>
              <w:keepNext/>
              <w:numPr>
                <w:ilvl w:val="0"/>
                <w:numId w:val="0"/>
              </w:numPr>
              <w:spacing w:before="120" w:after="60"/>
              <w:jc w:val="center"/>
              <w:rPr>
                <w:i/>
              </w:rPr>
            </w:pPr>
            <w:r>
              <w:rPr>
                <w:i/>
              </w:rPr>
              <w:t>Total C</w:t>
            </w:r>
            <w:r w:rsidR="00F00DA8">
              <w:rPr>
                <w:i/>
              </w:rPr>
              <w:t>apital</w:t>
            </w:r>
          </w:p>
        </w:tc>
      </w:tr>
      <w:tr w:rsidR="00F00DA8" w14:paraId="6F81FE5C" w14:textId="77777777" w:rsidTr="00A833C9">
        <w:tc>
          <w:tcPr>
            <w:tcW w:w="3868" w:type="dxa"/>
            <w:vMerge/>
          </w:tcPr>
          <w:p w14:paraId="0D3E2C42" w14:textId="77777777" w:rsidR="00F00DA8" w:rsidRPr="00957241" w:rsidRDefault="00F00DA8" w:rsidP="00F00DA8">
            <w:pPr>
              <w:pStyle w:val="BodyText1"/>
              <w:keepNext/>
              <w:numPr>
                <w:ilvl w:val="0"/>
                <w:numId w:val="0"/>
              </w:numPr>
              <w:spacing w:before="120" w:after="120"/>
              <w:rPr>
                <w:i/>
              </w:rPr>
            </w:pPr>
          </w:p>
        </w:tc>
        <w:tc>
          <w:tcPr>
            <w:tcW w:w="3215" w:type="dxa"/>
            <w:tcBorders>
              <w:top w:val="single" w:sz="4" w:space="0" w:color="auto"/>
            </w:tcBorders>
          </w:tcPr>
          <w:p w14:paraId="2534A3F0" w14:textId="17C89953" w:rsidR="00F00DA8" w:rsidRPr="00957241" w:rsidRDefault="00F00DA8" w:rsidP="00F00DA8">
            <w:pPr>
              <w:pStyle w:val="BodyText1"/>
              <w:keepNext/>
              <w:numPr>
                <w:ilvl w:val="0"/>
                <w:numId w:val="0"/>
              </w:numPr>
              <w:spacing w:before="60" w:after="120"/>
              <w:jc w:val="center"/>
              <w:rPr>
                <w:i/>
              </w:rPr>
            </w:pPr>
            <w:r>
              <w:rPr>
                <w:i/>
              </w:rPr>
              <w:t xml:space="preserve">Total </w:t>
            </w:r>
            <w:r w:rsidR="00257E12">
              <w:rPr>
                <w:i/>
              </w:rPr>
              <w:t>RWA</w:t>
            </w:r>
          </w:p>
        </w:tc>
      </w:tr>
    </w:tbl>
    <w:p w14:paraId="4705092B" w14:textId="50C8A691" w:rsidR="00CD3ED2" w:rsidRDefault="00A03A41" w:rsidP="00CD3ED2">
      <w:pPr>
        <w:pStyle w:val="BodyText1"/>
        <w:numPr>
          <w:ilvl w:val="0"/>
          <w:numId w:val="0"/>
        </w:numPr>
        <w:spacing w:before="240"/>
        <w:ind w:left="567"/>
      </w:pPr>
      <w:r>
        <w:t xml:space="preserve">Total RWA are calculated in accordance with paragraph </w:t>
      </w:r>
      <w:r w:rsidR="00CD3ED2">
        <w:t xml:space="preserve">3 </w:t>
      </w:r>
      <w:r w:rsidR="00B40DFA">
        <w:t xml:space="preserve">or paragraph </w:t>
      </w:r>
      <w:r w:rsidR="00CD3ED2">
        <w:t>4</w:t>
      </w:r>
      <w:r w:rsidR="00B40DFA">
        <w:t xml:space="preserve"> </w:t>
      </w:r>
      <w:r>
        <w:t>of this Attachment.</w:t>
      </w:r>
    </w:p>
    <w:p w14:paraId="647FC7EE" w14:textId="5AF8E944" w:rsidR="00D25EF1" w:rsidRDefault="00CD3ED2">
      <w:pPr>
        <w:pStyle w:val="BodyText1"/>
      </w:pPr>
      <w:r>
        <w:t xml:space="preserve">Standardised ADIs </w:t>
      </w:r>
      <w:bookmarkStart w:id="48" w:name="_Hlk83284707"/>
      <w:r w:rsidR="00A60287">
        <w:t xml:space="preserve">must calculate total RWA as the sum of: </w:t>
      </w:r>
    </w:p>
    <w:p w14:paraId="1816F5B0" w14:textId="77777777" w:rsidR="00A60287" w:rsidRDefault="00A60287" w:rsidP="00A60287">
      <w:pPr>
        <w:pStyle w:val="BodyText2"/>
        <w:jc w:val="both"/>
      </w:pPr>
      <w:r>
        <w:t xml:space="preserve">RWA determined in accordance with </w:t>
      </w:r>
      <w:r w:rsidRPr="00511286">
        <w:rPr>
          <w:i/>
        </w:rPr>
        <w:t>Prudential Standard APS</w:t>
      </w:r>
      <w:r>
        <w:rPr>
          <w:i/>
        </w:rPr>
        <w:t> </w:t>
      </w:r>
      <w:r w:rsidRPr="00511286">
        <w:rPr>
          <w:i/>
        </w:rPr>
        <w:t>112 Capital Adequacy: Standardised Approach to Credit Risk</w:t>
      </w:r>
      <w:r>
        <w:t xml:space="preserve"> (APS 112);</w:t>
      </w:r>
    </w:p>
    <w:p w14:paraId="43DC2233" w14:textId="0EDF8404" w:rsidR="00A60287" w:rsidRDefault="00A60287" w:rsidP="00A60287">
      <w:pPr>
        <w:pStyle w:val="BodyText2"/>
        <w:jc w:val="both"/>
      </w:pPr>
      <w:r>
        <w:t xml:space="preserve">RWA determined in accordance with </w:t>
      </w:r>
      <w:r w:rsidRPr="00511286">
        <w:rPr>
          <w:i/>
        </w:rPr>
        <w:t>Prudential Standard APS</w:t>
      </w:r>
      <w:r>
        <w:rPr>
          <w:i/>
        </w:rPr>
        <w:t> </w:t>
      </w:r>
      <w:r w:rsidRPr="00511286">
        <w:rPr>
          <w:i/>
        </w:rPr>
        <w:t>120 Securitisation</w:t>
      </w:r>
      <w:r>
        <w:t xml:space="preserve"> (APS 120);</w:t>
      </w:r>
      <w:r w:rsidR="00F1136C">
        <w:t xml:space="preserve"> and</w:t>
      </w:r>
    </w:p>
    <w:p w14:paraId="756460A0" w14:textId="2B9A1201" w:rsidR="00C02A84" w:rsidRDefault="00344EF7" w:rsidP="000B5823">
      <w:pPr>
        <w:pStyle w:val="BodyText2"/>
        <w:jc w:val="both"/>
      </w:pPr>
      <w:r>
        <w:t xml:space="preserve">unless APRA determines otherwise in a particular case, </w:t>
      </w:r>
      <w:r w:rsidR="001C1BE2">
        <w:t>e</w:t>
      </w:r>
      <w:r w:rsidR="00C02A84">
        <w:t>ither:</w:t>
      </w:r>
    </w:p>
    <w:p w14:paraId="747A3DD0" w14:textId="0291BA31" w:rsidR="00C02A84" w:rsidRDefault="00C02A84" w:rsidP="005D0883">
      <w:pPr>
        <w:pStyle w:val="BodyText3"/>
        <w:jc w:val="both"/>
      </w:pPr>
      <w:r>
        <w:t xml:space="preserve">for </w:t>
      </w:r>
      <w:r w:rsidRPr="00344EF7">
        <w:rPr>
          <w:b/>
        </w:rPr>
        <w:t>non-</w:t>
      </w:r>
      <w:r w:rsidR="00344EF7" w:rsidRPr="00344EF7">
        <w:rPr>
          <w:b/>
        </w:rPr>
        <w:t>significant financial institutions</w:t>
      </w:r>
      <w:r>
        <w:t xml:space="preserve">, </w:t>
      </w:r>
      <w:r w:rsidR="00A60287" w:rsidRPr="00D17FC9">
        <w:t xml:space="preserve">10 per cent of the sum of RWA calculated under sub-paragraphs </w:t>
      </w:r>
      <w:r w:rsidR="00D217C5">
        <w:t>3</w:t>
      </w:r>
      <w:r w:rsidR="00A60287" w:rsidRPr="00D17FC9">
        <w:t>(a)</w:t>
      </w:r>
      <w:r w:rsidR="00F1136C">
        <w:t xml:space="preserve"> and </w:t>
      </w:r>
      <w:r w:rsidR="00D217C5">
        <w:t>3</w:t>
      </w:r>
      <w:r w:rsidR="00F202ED">
        <w:t>(b)</w:t>
      </w:r>
      <w:r w:rsidR="00A60287" w:rsidRPr="00D17FC9">
        <w:t xml:space="preserve"> </w:t>
      </w:r>
      <w:r w:rsidR="00D217C5">
        <w:t xml:space="preserve">of </w:t>
      </w:r>
      <w:r w:rsidR="001C1BE2">
        <w:t xml:space="preserve">this </w:t>
      </w:r>
      <w:r w:rsidR="00D217C5">
        <w:t xml:space="preserve">Attachment </w:t>
      </w:r>
      <w:r w:rsidR="001F6A0D" w:rsidRPr="00D17FC9">
        <w:t xml:space="preserve">as </w:t>
      </w:r>
      <w:r w:rsidR="00FF11B4">
        <w:t>RWA</w:t>
      </w:r>
      <w:r w:rsidR="001F6A0D" w:rsidRPr="00D17FC9">
        <w:t xml:space="preserve"> </w:t>
      </w:r>
      <w:r w:rsidR="004F1618">
        <w:t>for</w:t>
      </w:r>
      <w:r w:rsidR="001F6A0D" w:rsidRPr="00D17FC9">
        <w:t xml:space="preserve"> operational risk</w:t>
      </w:r>
      <w:r>
        <w:t>; or</w:t>
      </w:r>
    </w:p>
    <w:p w14:paraId="3D3DA329" w14:textId="606C7CA6" w:rsidR="005360BE" w:rsidRDefault="00C02A84" w:rsidP="005D0883">
      <w:pPr>
        <w:pStyle w:val="BodyText3"/>
        <w:jc w:val="both"/>
      </w:pPr>
      <w:r>
        <w:t xml:space="preserve">for </w:t>
      </w:r>
      <w:r w:rsidR="00344EF7" w:rsidRPr="00344EF7">
        <w:rPr>
          <w:b/>
        </w:rPr>
        <w:t>significant financial institutions</w:t>
      </w:r>
      <w:r>
        <w:t xml:space="preserve">, </w:t>
      </w:r>
      <w:r w:rsidR="00F1136C">
        <w:t xml:space="preserve">risk-weighted </w:t>
      </w:r>
      <w:r w:rsidR="00580FD8">
        <w:t xml:space="preserve">credit </w:t>
      </w:r>
      <w:r w:rsidR="00F1136C">
        <w:t xml:space="preserve">exposures calculated under </w:t>
      </w:r>
      <w:r w:rsidR="00F1136C" w:rsidRPr="002455A2">
        <w:rPr>
          <w:i/>
        </w:rPr>
        <w:t xml:space="preserve">Prudential Standard APS 180 Capital Adequacy: Counterparty Credit Risk </w:t>
      </w:r>
      <w:r w:rsidR="00F1136C">
        <w:t>(APS 180) and</w:t>
      </w:r>
      <w:r w:rsidR="002455A2">
        <w:t xml:space="preserve"> </w:t>
      </w:r>
      <w:bookmarkEnd w:id="48"/>
      <w:r w:rsidR="00A60287">
        <w:t xml:space="preserve">12.5 times the sum of the capital charges determined under </w:t>
      </w:r>
      <w:r w:rsidR="00A60287" w:rsidRPr="000B5823">
        <w:rPr>
          <w:i/>
        </w:rPr>
        <w:t xml:space="preserve">Prudential Standard APS 115 Capital Adequacy: Standardised Measurement Approach to </w:t>
      </w:r>
      <w:r w:rsidR="00A60287" w:rsidRPr="000B5823">
        <w:rPr>
          <w:i/>
        </w:rPr>
        <w:lastRenderedPageBreak/>
        <w:t>Operational Risk</w:t>
      </w:r>
      <w:r w:rsidR="00A60287" w:rsidRPr="00CA5473">
        <w:t xml:space="preserve"> </w:t>
      </w:r>
      <w:r w:rsidR="00A60287">
        <w:t>(APS 115)</w:t>
      </w:r>
      <w:r w:rsidR="00083836">
        <w:t xml:space="preserve">, </w:t>
      </w:r>
      <w:r w:rsidR="00A60287" w:rsidRPr="000B5823">
        <w:rPr>
          <w:i/>
        </w:rPr>
        <w:t>Prudential Standard APS </w:t>
      </w:r>
      <w:r w:rsidR="005360BE" w:rsidRPr="000B5823">
        <w:rPr>
          <w:i/>
        </w:rPr>
        <w:t>116 Capital Adequacy: Market Risk</w:t>
      </w:r>
      <w:r w:rsidR="005360BE" w:rsidRPr="00A545F0">
        <w:t xml:space="preserve"> </w:t>
      </w:r>
      <w:r w:rsidR="005360BE">
        <w:t>(APS 116)</w:t>
      </w:r>
      <w:r w:rsidR="00D94718">
        <w:t xml:space="preserve"> </w:t>
      </w:r>
      <w:r w:rsidR="00D217C5">
        <w:t>and APS 180</w:t>
      </w:r>
      <w:r w:rsidR="005360BE">
        <w:t>.</w:t>
      </w:r>
      <w:r w:rsidR="0051554C">
        <w:rPr>
          <w:rStyle w:val="FootnoteReference"/>
        </w:rPr>
        <w:footnoteReference w:id="10"/>
      </w:r>
    </w:p>
    <w:p w14:paraId="734B705C" w14:textId="120A7FDE" w:rsidR="00D17FC9" w:rsidRDefault="00D17FC9" w:rsidP="00CA5473">
      <w:pPr>
        <w:pStyle w:val="BodyText1"/>
      </w:pPr>
      <w:bookmarkStart w:id="49" w:name="_Ref57118013"/>
      <w:bookmarkStart w:id="50" w:name="_Ref52546503"/>
      <w:r>
        <w:t>IRB ADIs must calculate total RWA as the greater of:</w:t>
      </w:r>
      <w:bookmarkEnd w:id="49"/>
    </w:p>
    <w:p w14:paraId="37D8150E" w14:textId="706F3F46" w:rsidR="00D17FC9" w:rsidRDefault="00D17FC9" w:rsidP="00EC3D02">
      <w:pPr>
        <w:pStyle w:val="BodyText2"/>
        <w:jc w:val="both"/>
      </w:pPr>
      <w:r>
        <w:t>the sum of:</w:t>
      </w:r>
    </w:p>
    <w:p w14:paraId="76DB4AC0" w14:textId="7BF7569D" w:rsidR="00D17FC9" w:rsidRDefault="00D17FC9" w:rsidP="00EC3D02">
      <w:pPr>
        <w:pStyle w:val="BodyText3"/>
        <w:jc w:val="both"/>
      </w:pPr>
      <w:r>
        <w:t>RWA determined in accordanc</w:t>
      </w:r>
      <w:r w:rsidR="00EC3D02">
        <w:t>e</w:t>
      </w:r>
      <w:r>
        <w:t xml:space="preserve"> with APS 112</w:t>
      </w:r>
      <w:r w:rsidR="008C2632">
        <w:t xml:space="preserve"> for those asset classes where an IRB ADI is required to use the standardised approach to credit risk</w:t>
      </w:r>
      <w:r w:rsidR="00602403">
        <w:t xml:space="preserve">, or where </w:t>
      </w:r>
      <w:r w:rsidR="00CF4B12">
        <w:t>APRA has approved partial use</w:t>
      </w:r>
      <w:r>
        <w:t>;</w:t>
      </w:r>
    </w:p>
    <w:p w14:paraId="33E72345" w14:textId="4829F2FC" w:rsidR="00D17FC9" w:rsidRDefault="00D17FC9" w:rsidP="00EC3D02">
      <w:pPr>
        <w:pStyle w:val="BodyText3"/>
        <w:jc w:val="both"/>
      </w:pPr>
      <w:r>
        <w:t xml:space="preserve">RWA determined in accordance with </w:t>
      </w:r>
      <w:r w:rsidR="00CA5473" w:rsidRPr="00CA5473">
        <w:rPr>
          <w:i/>
        </w:rPr>
        <w:t>Prudential Standard APS 113 Capital Adequacy: Internal Ratings-based Approach to Credit Risk</w:t>
      </w:r>
      <w:r w:rsidR="00CA5473" w:rsidRPr="00CA5473">
        <w:t xml:space="preserve"> (APS</w:t>
      </w:r>
      <w:r w:rsidR="00CA5473">
        <w:t> </w:t>
      </w:r>
      <w:r w:rsidR="00CA5473" w:rsidRPr="00CA5473">
        <w:t>113)</w:t>
      </w:r>
      <w:r w:rsidR="00CA5473">
        <w:t>;</w:t>
      </w:r>
    </w:p>
    <w:p w14:paraId="4D96ECCE" w14:textId="77777777" w:rsidR="008C2632" w:rsidRDefault="00CA5473" w:rsidP="00EC3D02">
      <w:pPr>
        <w:pStyle w:val="BodyText3"/>
        <w:jc w:val="both"/>
      </w:pPr>
      <w:r>
        <w:t>RWA determined in accordance with APS</w:t>
      </w:r>
      <w:r w:rsidR="006D32F7">
        <w:t> </w:t>
      </w:r>
      <w:r>
        <w:t xml:space="preserve">120; </w:t>
      </w:r>
    </w:p>
    <w:p w14:paraId="0C5B95DA" w14:textId="5121FCED" w:rsidR="00CA5473" w:rsidRDefault="008C2632" w:rsidP="00EC3D02">
      <w:pPr>
        <w:pStyle w:val="BodyText3"/>
        <w:jc w:val="both"/>
      </w:pPr>
      <w:r>
        <w:t xml:space="preserve">risk-weighted </w:t>
      </w:r>
      <w:r w:rsidR="003A3304">
        <w:t xml:space="preserve">credit </w:t>
      </w:r>
      <w:r>
        <w:t>exposures calculated under APS 180;</w:t>
      </w:r>
      <w:r w:rsidR="0053306D">
        <w:rPr>
          <w:rStyle w:val="FootnoteReference"/>
        </w:rPr>
        <w:footnoteReference w:id="11"/>
      </w:r>
      <w:r>
        <w:t xml:space="preserve"> </w:t>
      </w:r>
      <w:r w:rsidR="00CA5473">
        <w:t>and</w:t>
      </w:r>
    </w:p>
    <w:p w14:paraId="567000DA" w14:textId="47B3C787" w:rsidR="00CA5473" w:rsidRDefault="00CA5473" w:rsidP="00EC3D02">
      <w:pPr>
        <w:pStyle w:val="BodyText3"/>
        <w:jc w:val="both"/>
      </w:pPr>
      <w:r>
        <w:t xml:space="preserve">12.5 times the sum of the capital charges determined under APS 115, APS 116, APS 180 and </w:t>
      </w:r>
      <w:r w:rsidRPr="00CA5473">
        <w:rPr>
          <w:i/>
        </w:rPr>
        <w:t>Prudential Standard APS 117 Capital Adequacy: Interest Rate Risk in the Banking Book</w:t>
      </w:r>
      <w:r w:rsidRPr="00CA5473">
        <w:t xml:space="preserve"> (APS</w:t>
      </w:r>
      <w:r>
        <w:t> </w:t>
      </w:r>
      <w:r w:rsidRPr="00CA5473">
        <w:t>117)</w:t>
      </w:r>
      <w:r>
        <w:t>;</w:t>
      </w:r>
      <w:r w:rsidR="0053306D">
        <w:rPr>
          <w:rStyle w:val="FootnoteReference"/>
        </w:rPr>
        <w:footnoteReference w:id="12"/>
      </w:r>
      <w:r>
        <w:t xml:space="preserve"> </w:t>
      </w:r>
      <w:r w:rsidR="000F6A15">
        <w:t>or</w:t>
      </w:r>
    </w:p>
    <w:p w14:paraId="69EC8E59" w14:textId="1A5100CF" w:rsidR="000F6A15" w:rsidRPr="000F6A15" w:rsidRDefault="000F6A15" w:rsidP="000B5823">
      <w:pPr>
        <w:pStyle w:val="BodyText2"/>
        <w:jc w:val="both"/>
      </w:pPr>
      <w:r>
        <w:t xml:space="preserve">72.5 per cent of total RWA calculated in accordance with paragraph </w:t>
      </w:r>
      <w:r w:rsidR="007E34F9">
        <w:t>3</w:t>
      </w:r>
      <w:r w:rsidR="00B40DFA">
        <w:t xml:space="preserve"> </w:t>
      </w:r>
      <w:r>
        <w:t>of this Attachment</w:t>
      </w:r>
      <w:r w:rsidR="005241A6">
        <w:t>.</w:t>
      </w:r>
      <w:r w:rsidR="00EF060C">
        <w:rPr>
          <w:rStyle w:val="FootnoteReference"/>
        </w:rPr>
        <w:footnoteReference w:id="13"/>
      </w:r>
    </w:p>
    <w:bookmarkEnd w:id="50"/>
    <w:p w14:paraId="1320981B" w14:textId="15E8C4D6" w:rsidR="004667E0" w:rsidRDefault="004667E0" w:rsidP="00536A32">
      <w:pPr>
        <w:pStyle w:val="Heading2"/>
      </w:pPr>
      <w:r>
        <w:t xml:space="preserve">Transition </w:t>
      </w:r>
      <w:r w:rsidR="00F811CD">
        <w:t xml:space="preserve">arrangements </w:t>
      </w:r>
      <w:r>
        <w:t>for market risk</w:t>
      </w:r>
      <w:r w:rsidR="00F811CD">
        <w:t xml:space="preserve"> capital</w:t>
      </w:r>
    </w:p>
    <w:p w14:paraId="5FE55EA5" w14:textId="3A7FC1EA" w:rsidR="00F85B22" w:rsidRDefault="00F85B22" w:rsidP="00536A32">
      <w:pPr>
        <w:pStyle w:val="BodyText1"/>
      </w:pPr>
      <w:r>
        <w:t xml:space="preserve">For the purpose of paragraph </w:t>
      </w:r>
      <w:r w:rsidRPr="00F85B22">
        <w:t>4(b) of this Attachment</w:t>
      </w:r>
      <w:r>
        <w:t>, an IRB ADI may continue to determine i</w:t>
      </w:r>
      <w:r w:rsidR="00DE301B">
        <w:t>t</w:t>
      </w:r>
      <w:r>
        <w:t>s market risk capital charge using i</w:t>
      </w:r>
      <w:r w:rsidR="00080660">
        <w:t>t</w:t>
      </w:r>
      <w:r>
        <w:t>s internal model approach, rather than the standard method set out in APS 116, until 1 January 202</w:t>
      </w:r>
      <w:r w:rsidR="004307D1">
        <w:t>5</w:t>
      </w:r>
      <w:r>
        <w:t>.</w:t>
      </w:r>
    </w:p>
    <w:p w14:paraId="49409442" w14:textId="2FCE493C" w:rsidR="009F268B" w:rsidRPr="00305BFC" w:rsidRDefault="009F268B" w:rsidP="000B5823">
      <w:pPr>
        <w:pStyle w:val="BodyText1"/>
        <w:numPr>
          <w:ilvl w:val="0"/>
          <w:numId w:val="0"/>
        </w:numPr>
        <w:ind w:left="567" w:hanging="567"/>
        <w:sectPr w:rsidR="009F268B" w:rsidRPr="00305BFC" w:rsidSect="000D63A8">
          <w:footerReference w:type="default" r:id="rId20"/>
          <w:pgSz w:w="11906" w:h="16838" w:code="9"/>
          <w:pgMar w:top="1440" w:right="1797" w:bottom="1440" w:left="1797" w:header="709" w:footer="709" w:gutter="0"/>
          <w:cols w:space="708"/>
          <w:docGrid w:linePitch="360"/>
        </w:sectPr>
      </w:pPr>
    </w:p>
    <w:p w14:paraId="4D84838A" w14:textId="15CD3ECE" w:rsidR="0038413F" w:rsidRPr="0038413F" w:rsidRDefault="0038413F" w:rsidP="006978D4">
      <w:pPr>
        <w:pStyle w:val="Heading1"/>
      </w:pPr>
      <w:bookmarkStart w:id="51" w:name="_Toc88565338"/>
      <w:r>
        <w:lastRenderedPageBreak/>
        <w:t xml:space="preserve">Attachment </w:t>
      </w:r>
      <w:r w:rsidR="00964BB3">
        <w:rPr>
          <w:rStyle w:val="Attachmentfieldtext"/>
        </w:rPr>
        <w:t>B</w:t>
      </w:r>
      <w:r w:rsidR="001F6B8D">
        <w:rPr>
          <w:rStyle w:val="Attachmentfieldtext"/>
        </w:rPr>
        <w:t xml:space="preserve"> </w:t>
      </w:r>
      <w:r w:rsidR="0065417D">
        <w:rPr>
          <w:rStyle w:val="Attachmentfieldtext"/>
        </w:rPr>
        <w:t>–</w:t>
      </w:r>
      <w:r w:rsidR="001F6B8D">
        <w:rPr>
          <w:rStyle w:val="Attachmentfieldtext"/>
        </w:rPr>
        <w:t xml:space="preserve"> </w:t>
      </w:r>
      <w:r w:rsidR="0065417D">
        <w:t>Constraints on capital distributions</w:t>
      </w:r>
      <w:bookmarkEnd w:id="51"/>
    </w:p>
    <w:p w14:paraId="10245029" w14:textId="7DEF2040" w:rsidR="0065417D" w:rsidRPr="0065417D" w:rsidRDefault="0065417D" w:rsidP="0065417D">
      <w:pPr>
        <w:pStyle w:val="BodyText1"/>
        <w:numPr>
          <w:ilvl w:val="0"/>
          <w:numId w:val="21"/>
        </w:numPr>
      </w:pPr>
      <w:r w:rsidRPr="0065417D">
        <w:t xml:space="preserve">Capital distribution constraints apply when an ADI’s Common Equity Tier 1 Capital ratio is within the capital buffer (CB) range (consisting of the capital conservation buffer plus any countercyclical capital buffer). The </w:t>
      </w:r>
      <w:r w:rsidR="00E639EE">
        <w:t>CB</w:t>
      </w:r>
      <w:r w:rsidRPr="0065417D">
        <w:t xml:space="preserve"> range is divided into four quartiles for the purposes of determining the minimum capital conservation ratios, as set out </w:t>
      </w:r>
      <w:r w:rsidRPr="00CD5AEB">
        <w:t>in Table 1.</w:t>
      </w:r>
      <w:r w:rsidRPr="0065417D">
        <w:t xml:space="preserve"> </w:t>
      </w:r>
    </w:p>
    <w:p w14:paraId="4AB7985B" w14:textId="0789CC61" w:rsidR="008C01BB" w:rsidRPr="008C01BB" w:rsidRDefault="008C01BB" w:rsidP="008C01BB">
      <w:pPr>
        <w:pStyle w:val="BodyText1"/>
        <w:numPr>
          <w:ilvl w:val="0"/>
          <w:numId w:val="0"/>
        </w:numPr>
        <w:rPr>
          <w:b/>
        </w:rPr>
      </w:pPr>
      <w:r w:rsidRPr="008C01BB">
        <w:rPr>
          <w:b/>
        </w:rPr>
        <w:t xml:space="preserve">Table 1: Minimum capital conservation </w:t>
      </w:r>
      <w:r w:rsidR="00F476DB">
        <w:rPr>
          <w:b/>
        </w:rPr>
        <w:t>ratios</w:t>
      </w:r>
    </w:p>
    <w:tbl>
      <w:tblPr>
        <w:tblW w:w="8765" w:type="dxa"/>
        <w:tblBorders>
          <w:top w:val="single" w:sz="4" w:space="0" w:color="auto"/>
          <w:bottom w:val="single" w:sz="4" w:space="0" w:color="auto"/>
          <w:insideH w:val="single" w:sz="4" w:space="0" w:color="auto"/>
          <w:insideV w:val="single" w:sz="4" w:space="0" w:color="auto"/>
        </w:tblBorders>
        <w:tblLook w:val="0420" w:firstRow="1" w:lastRow="0" w:firstColumn="0" w:lastColumn="0" w:noHBand="0" w:noVBand="1"/>
      </w:tblPr>
      <w:tblGrid>
        <w:gridCol w:w="5070"/>
        <w:gridCol w:w="3695"/>
      </w:tblGrid>
      <w:tr w:rsidR="008C01BB" w:rsidRPr="003572C5" w14:paraId="060149D7" w14:textId="77777777" w:rsidTr="0001382F">
        <w:tc>
          <w:tcPr>
            <w:tcW w:w="5070" w:type="dxa"/>
          </w:tcPr>
          <w:p w14:paraId="62725459" w14:textId="77777777" w:rsidR="008C01BB" w:rsidRPr="003572C5" w:rsidRDefault="008C01BB" w:rsidP="0001382F">
            <w:pPr>
              <w:jc w:val="both"/>
              <w:rPr>
                <w:b/>
                <w:szCs w:val="20"/>
              </w:rPr>
            </w:pPr>
            <w:r w:rsidRPr="003572C5">
              <w:rPr>
                <w:b/>
                <w:szCs w:val="20"/>
              </w:rPr>
              <w:t xml:space="preserve">Common Equity Tier 1 Capital ratio </w:t>
            </w:r>
          </w:p>
          <w:p w14:paraId="571AC5B4" w14:textId="77777777" w:rsidR="008C01BB" w:rsidRPr="003572C5" w:rsidRDefault="008C01BB" w:rsidP="0001382F">
            <w:pPr>
              <w:jc w:val="both"/>
              <w:rPr>
                <w:b/>
                <w:szCs w:val="20"/>
              </w:rPr>
            </w:pPr>
          </w:p>
        </w:tc>
        <w:tc>
          <w:tcPr>
            <w:tcW w:w="3695" w:type="dxa"/>
          </w:tcPr>
          <w:p w14:paraId="391F6F65" w14:textId="77777777" w:rsidR="008C01BB" w:rsidRPr="003572C5" w:rsidRDefault="008C01BB" w:rsidP="0001382F">
            <w:pPr>
              <w:jc w:val="both"/>
              <w:rPr>
                <w:b/>
                <w:szCs w:val="20"/>
              </w:rPr>
            </w:pPr>
            <w:r w:rsidRPr="003572C5">
              <w:rPr>
                <w:b/>
                <w:szCs w:val="20"/>
              </w:rPr>
              <w:t>Minimum capital conservation ratios (expressed as a percentage of earnings)</w:t>
            </w:r>
          </w:p>
        </w:tc>
      </w:tr>
      <w:tr w:rsidR="008C01BB" w:rsidRPr="003572C5" w14:paraId="695502E9" w14:textId="77777777" w:rsidTr="0001382F">
        <w:tc>
          <w:tcPr>
            <w:tcW w:w="5070" w:type="dxa"/>
          </w:tcPr>
          <w:p w14:paraId="7A7A6FE7" w14:textId="77777777" w:rsidR="008C01BB" w:rsidRPr="003572C5" w:rsidRDefault="008C01BB" w:rsidP="0001382F">
            <w:pPr>
              <w:jc w:val="both"/>
              <w:rPr>
                <w:szCs w:val="20"/>
              </w:rPr>
            </w:pPr>
            <w:r w:rsidRPr="003572C5">
              <w:rPr>
                <w:szCs w:val="20"/>
              </w:rPr>
              <w:t>Within first quartile of buffer</w:t>
            </w:r>
          </w:p>
          <w:p w14:paraId="4623F6F7" w14:textId="77777777" w:rsidR="008C01BB" w:rsidRPr="003572C5" w:rsidRDefault="008C01BB" w:rsidP="0001382F">
            <w:pPr>
              <w:jc w:val="both"/>
              <w:rPr>
                <w:szCs w:val="20"/>
              </w:rPr>
            </w:pPr>
            <w:r w:rsidRPr="003572C5">
              <w:rPr>
                <w:szCs w:val="20"/>
              </w:rPr>
              <w:t>PCR  to  ≤  (PCR + 0.25CB)</w:t>
            </w:r>
          </w:p>
        </w:tc>
        <w:tc>
          <w:tcPr>
            <w:tcW w:w="3695" w:type="dxa"/>
          </w:tcPr>
          <w:p w14:paraId="6CC639EB" w14:textId="77777777" w:rsidR="008C01BB" w:rsidRPr="003572C5" w:rsidRDefault="008C01BB" w:rsidP="0001382F">
            <w:pPr>
              <w:jc w:val="center"/>
              <w:rPr>
                <w:szCs w:val="20"/>
              </w:rPr>
            </w:pPr>
          </w:p>
          <w:p w14:paraId="0BA8E48F" w14:textId="77777777" w:rsidR="008C01BB" w:rsidRPr="003572C5" w:rsidRDefault="008C01BB" w:rsidP="0001382F">
            <w:pPr>
              <w:jc w:val="center"/>
              <w:rPr>
                <w:szCs w:val="20"/>
              </w:rPr>
            </w:pPr>
            <w:r w:rsidRPr="003572C5">
              <w:rPr>
                <w:szCs w:val="20"/>
              </w:rPr>
              <w:t>100</w:t>
            </w:r>
          </w:p>
        </w:tc>
      </w:tr>
      <w:tr w:rsidR="008C01BB" w:rsidRPr="003572C5" w14:paraId="1882ABF8" w14:textId="77777777" w:rsidTr="0001382F">
        <w:tc>
          <w:tcPr>
            <w:tcW w:w="5070" w:type="dxa"/>
          </w:tcPr>
          <w:p w14:paraId="7D5D90FD" w14:textId="77777777" w:rsidR="008C01BB" w:rsidRPr="003572C5" w:rsidRDefault="008C01BB" w:rsidP="0001382F">
            <w:pPr>
              <w:jc w:val="both"/>
              <w:rPr>
                <w:szCs w:val="20"/>
              </w:rPr>
            </w:pPr>
            <w:r w:rsidRPr="003572C5">
              <w:rPr>
                <w:szCs w:val="20"/>
              </w:rPr>
              <w:t>Within second quartile of buffer</w:t>
            </w:r>
          </w:p>
          <w:p w14:paraId="09902CC7" w14:textId="77777777" w:rsidR="008C01BB" w:rsidRPr="003572C5" w:rsidRDefault="008C01BB" w:rsidP="0001382F">
            <w:pPr>
              <w:jc w:val="both"/>
              <w:rPr>
                <w:szCs w:val="20"/>
              </w:rPr>
            </w:pPr>
            <w:r w:rsidRPr="003572C5">
              <w:rPr>
                <w:szCs w:val="20"/>
              </w:rPr>
              <w:t>&gt; (PCR + 0.25CB)  to  ≤  (PCR + 0.50CB)</w:t>
            </w:r>
          </w:p>
        </w:tc>
        <w:tc>
          <w:tcPr>
            <w:tcW w:w="3695" w:type="dxa"/>
          </w:tcPr>
          <w:p w14:paraId="7B12934C" w14:textId="77777777" w:rsidR="008C01BB" w:rsidRPr="003572C5" w:rsidRDefault="008C01BB" w:rsidP="0001382F">
            <w:pPr>
              <w:jc w:val="center"/>
              <w:rPr>
                <w:szCs w:val="20"/>
              </w:rPr>
            </w:pPr>
          </w:p>
          <w:p w14:paraId="12A9D5FB" w14:textId="77777777" w:rsidR="008C01BB" w:rsidRPr="003572C5" w:rsidRDefault="008C01BB" w:rsidP="0001382F">
            <w:pPr>
              <w:jc w:val="center"/>
              <w:rPr>
                <w:szCs w:val="20"/>
              </w:rPr>
            </w:pPr>
            <w:r w:rsidRPr="003572C5">
              <w:rPr>
                <w:szCs w:val="20"/>
              </w:rPr>
              <w:t>80</w:t>
            </w:r>
          </w:p>
        </w:tc>
      </w:tr>
      <w:tr w:rsidR="008C01BB" w:rsidRPr="003572C5" w14:paraId="3454AD93" w14:textId="77777777" w:rsidTr="0001382F">
        <w:tc>
          <w:tcPr>
            <w:tcW w:w="5070" w:type="dxa"/>
          </w:tcPr>
          <w:p w14:paraId="680BFBE5" w14:textId="77777777" w:rsidR="008C01BB" w:rsidRPr="003572C5" w:rsidRDefault="008C01BB" w:rsidP="0001382F">
            <w:pPr>
              <w:jc w:val="both"/>
              <w:rPr>
                <w:szCs w:val="20"/>
              </w:rPr>
            </w:pPr>
            <w:r w:rsidRPr="003572C5">
              <w:rPr>
                <w:szCs w:val="20"/>
              </w:rPr>
              <w:t>Within third quartile of buffer</w:t>
            </w:r>
          </w:p>
          <w:p w14:paraId="2ECB5FE0" w14:textId="77777777" w:rsidR="008C01BB" w:rsidRPr="003572C5" w:rsidRDefault="008C01BB" w:rsidP="0001382F">
            <w:pPr>
              <w:jc w:val="both"/>
              <w:rPr>
                <w:szCs w:val="20"/>
              </w:rPr>
            </w:pPr>
            <w:r w:rsidRPr="003572C5">
              <w:rPr>
                <w:szCs w:val="20"/>
              </w:rPr>
              <w:t>&gt; (PCR + 0.50CB)  to  ≤  (PCR + 0.75CB)</w:t>
            </w:r>
          </w:p>
        </w:tc>
        <w:tc>
          <w:tcPr>
            <w:tcW w:w="3695" w:type="dxa"/>
          </w:tcPr>
          <w:p w14:paraId="4B29EC7E" w14:textId="77777777" w:rsidR="008C01BB" w:rsidRPr="003572C5" w:rsidRDefault="008C01BB" w:rsidP="0001382F">
            <w:pPr>
              <w:jc w:val="center"/>
              <w:rPr>
                <w:szCs w:val="20"/>
              </w:rPr>
            </w:pPr>
          </w:p>
          <w:p w14:paraId="226268A1" w14:textId="77777777" w:rsidR="008C01BB" w:rsidRPr="003572C5" w:rsidRDefault="008C01BB" w:rsidP="0001382F">
            <w:pPr>
              <w:jc w:val="center"/>
              <w:rPr>
                <w:szCs w:val="20"/>
              </w:rPr>
            </w:pPr>
            <w:r w:rsidRPr="003572C5">
              <w:rPr>
                <w:szCs w:val="20"/>
              </w:rPr>
              <w:t>60</w:t>
            </w:r>
          </w:p>
        </w:tc>
      </w:tr>
      <w:tr w:rsidR="008C01BB" w:rsidRPr="003572C5" w14:paraId="20FB27B0" w14:textId="77777777" w:rsidTr="0001382F">
        <w:tc>
          <w:tcPr>
            <w:tcW w:w="5070" w:type="dxa"/>
          </w:tcPr>
          <w:p w14:paraId="2F93A603" w14:textId="77777777" w:rsidR="008C01BB" w:rsidRPr="003572C5" w:rsidRDefault="008C01BB" w:rsidP="0001382F">
            <w:pPr>
              <w:jc w:val="both"/>
              <w:rPr>
                <w:szCs w:val="20"/>
              </w:rPr>
            </w:pPr>
            <w:r w:rsidRPr="003572C5">
              <w:rPr>
                <w:szCs w:val="20"/>
              </w:rPr>
              <w:t xml:space="preserve">Within fourth quartile of buffer </w:t>
            </w:r>
          </w:p>
          <w:p w14:paraId="4E54911D" w14:textId="77777777" w:rsidR="008C01BB" w:rsidRPr="003572C5" w:rsidRDefault="008C01BB" w:rsidP="0001382F">
            <w:pPr>
              <w:jc w:val="both"/>
              <w:rPr>
                <w:szCs w:val="20"/>
              </w:rPr>
            </w:pPr>
            <w:r w:rsidRPr="003572C5">
              <w:rPr>
                <w:szCs w:val="20"/>
              </w:rPr>
              <w:t>&gt; (PCR + 0.75CB)  to  ≤  (PCR + CB)</w:t>
            </w:r>
          </w:p>
        </w:tc>
        <w:tc>
          <w:tcPr>
            <w:tcW w:w="3695" w:type="dxa"/>
          </w:tcPr>
          <w:p w14:paraId="1D4FDF14" w14:textId="77777777" w:rsidR="008C01BB" w:rsidRPr="003572C5" w:rsidRDefault="008C01BB" w:rsidP="0001382F">
            <w:pPr>
              <w:jc w:val="center"/>
              <w:rPr>
                <w:szCs w:val="20"/>
              </w:rPr>
            </w:pPr>
          </w:p>
          <w:p w14:paraId="1C2DB811" w14:textId="77777777" w:rsidR="008C01BB" w:rsidRPr="003572C5" w:rsidRDefault="008C01BB" w:rsidP="0001382F">
            <w:pPr>
              <w:jc w:val="center"/>
              <w:rPr>
                <w:szCs w:val="20"/>
              </w:rPr>
            </w:pPr>
            <w:r w:rsidRPr="003572C5">
              <w:rPr>
                <w:szCs w:val="20"/>
              </w:rPr>
              <w:t>40</w:t>
            </w:r>
          </w:p>
        </w:tc>
      </w:tr>
      <w:tr w:rsidR="008C01BB" w:rsidRPr="003572C5" w14:paraId="4B2D6C97" w14:textId="77777777" w:rsidTr="0001382F">
        <w:tc>
          <w:tcPr>
            <w:tcW w:w="5070" w:type="dxa"/>
          </w:tcPr>
          <w:p w14:paraId="5E2E57AA" w14:textId="77777777" w:rsidR="008C01BB" w:rsidRPr="003572C5" w:rsidRDefault="008C01BB" w:rsidP="0001382F">
            <w:pPr>
              <w:jc w:val="both"/>
              <w:rPr>
                <w:szCs w:val="20"/>
              </w:rPr>
            </w:pPr>
            <w:r w:rsidRPr="003572C5">
              <w:rPr>
                <w:szCs w:val="20"/>
              </w:rPr>
              <w:t>Above top of buffer</w:t>
            </w:r>
          </w:p>
          <w:p w14:paraId="32E5EE99" w14:textId="77777777" w:rsidR="008C01BB" w:rsidRPr="003572C5" w:rsidRDefault="008C01BB" w:rsidP="0001382F">
            <w:pPr>
              <w:jc w:val="both"/>
              <w:rPr>
                <w:szCs w:val="20"/>
              </w:rPr>
            </w:pPr>
            <w:r w:rsidRPr="003572C5">
              <w:rPr>
                <w:szCs w:val="20"/>
              </w:rPr>
              <w:t>&gt; (PCR + CB)</w:t>
            </w:r>
          </w:p>
        </w:tc>
        <w:tc>
          <w:tcPr>
            <w:tcW w:w="3695" w:type="dxa"/>
          </w:tcPr>
          <w:p w14:paraId="39FF3541" w14:textId="77777777" w:rsidR="008C01BB" w:rsidRPr="003572C5" w:rsidRDefault="008C01BB" w:rsidP="0001382F">
            <w:pPr>
              <w:jc w:val="center"/>
              <w:rPr>
                <w:szCs w:val="20"/>
              </w:rPr>
            </w:pPr>
          </w:p>
          <w:p w14:paraId="0EAAD802" w14:textId="77777777" w:rsidR="008C01BB" w:rsidRPr="003572C5" w:rsidRDefault="008C01BB" w:rsidP="0001382F">
            <w:pPr>
              <w:jc w:val="center"/>
              <w:rPr>
                <w:szCs w:val="20"/>
              </w:rPr>
            </w:pPr>
            <w:r w:rsidRPr="003572C5">
              <w:rPr>
                <w:szCs w:val="20"/>
              </w:rPr>
              <w:t>0</w:t>
            </w:r>
          </w:p>
        </w:tc>
      </w:tr>
    </w:tbl>
    <w:p w14:paraId="039C00A3" w14:textId="13E88520" w:rsidR="008C01BB" w:rsidRPr="008C01BB" w:rsidRDefault="008C01BB" w:rsidP="008C01BB">
      <w:pPr>
        <w:pStyle w:val="BodyText1"/>
        <w:spacing w:before="240"/>
      </w:pPr>
      <w:r w:rsidRPr="008C01BB">
        <w:t xml:space="preserve">The minimum capital conservation ratios in </w:t>
      </w:r>
      <w:r w:rsidRPr="00CD5AEB">
        <w:t>Table 1</w:t>
      </w:r>
      <w:r w:rsidRPr="008C01BB">
        <w:t xml:space="preserve"> represent the percentage of earnings that an ADI </w:t>
      </w:r>
      <w:r w:rsidR="00363E04">
        <w:t xml:space="preserve">must not </w:t>
      </w:r>
      <w:r w:rsidRPr="008C01BB">
        <w:t xml:space="preserve">distribute </w:t>
      </w:r>
      <w:r w:rsidR="00363E04">
        <w:t xml:space="preserve">if </w:t>
      </w:r>
      <w:r w:rsidRPr="008C01BB">
        <w:t xml:space="preserve">its Common Equity Tier 1 Capital ratio falls within the corresponding quartile. </w:t>
      </w:r>
      <w:r w:rsidR="00226758">
        <w:t>If</w:t>
      </w:r>
      <w:r w:rsidR="00226758" w:rsidRPr="008C01BB">
        <w:t xml:space="preserve"> </w:t>
      </w:r>
      <w:r w:rsidRPr="008C01BB">
        <w:t xml:space="preserve">the Common Equity Tier 1 Capital ratio falls within the first quartile, </w:t>
      </w:r>
      <w:r w:rsidR="00226758">
        <w:t xml:space="preserve">the </w:t>
      </w:r>
      <w:r w:rsidRPr="008C01BB">
        <w:t>ADI must also cease all Tier 1 Capital distributions.</w:t>
      </w:r>
    </w:p>
    <w:p w14:paraId="1FC2F8B7" w14:textId="10DF50B0" w:rsidR="006D5A15" w:rsidRDefault="006D5A15" w:rsidP="006D5A15">
      <w:pPr>
        <w:pStyle w:val="BodyText1"/>
      </w:pPr>
      <w:r>
        <w:t>Earnings are defined</w:t>
      </w:r>
      <w:r w:rsidR="00521C31">
        <w:t xml:space="preserve"> for the purposes of this Attachment</w:t>
      </w:r>
      <w:r>
        <w:t xml:space="preserve"> as distributable profits calculated prior to the deduction of elements subject to the restriction on distributions. Earnings are calculated after the tax that would have been reported had none of the distributable items been paid. As such, any tax impact of making such distributions is reversed out. An ADI that does not have positive earnings and has a Common Equity Tier 1 Capital ratio less than the sum of its Common Equity Tier 1 PCR plus the capital conservation buffer must not make positive net distributions.</w:t>
      </w:r>
    </w:p>
    <w:p w14:paraId="15CC484B" w14:textId="1833B54F" w:rsidR="006D5A15" w:rsidRDefault="006D5A15" w:rsidP="006D5A15">
      <w:pPr>
        <w:pStyle w:val="BodyText1"/>
      </w:pPr>
      <w:r>
        <w:lastRenderedPageBreak/>
        <w:t>Payments made by an ADI that do not result in a depletion of Common Equity Tier 1 Capital are not considered to be distributions for the purposes of this Attachment. APRA may impose restrictions on capital distributions even where an ADI’s Common Equity Tier 1 Capital ratio is above the capital conservation buffer.</w:t>
      </w:r>
    </w:p>
    <w:p w14:paraId="04C21F70" w14:textId="017F152B" w:rsidR="00AA7A1F" w:rsidRPr="007D2D7F" w:rsidRDefault="006D5A15" w:rsidP="00AA7A1F">
      <w:pPr>
        <w:pStyle w:val="BodyText1"/>
      </w:pPr>
      <w:r>
        <w:t xml:space="preserve">APRA may impose limits on the period in which an ADI may operate within the capital conservation buffer </w:t>
      </w:r>
      <w:r w:rsidR="00AA7A1F">
        <w:t>range, on a case-by-case basis.</w:t>
      </w:r>
      <w:r w:rsidR="00AA7A1F" w:rsidRPr="00AA7A1F">
        <w:t xml:space="preserve"> </w:t>
      </w:r>
    </w:p>
    <w:p w14:paraId="263CC742" w14:textId="77777777" w:rsidR="00AA7A1F" w:rsidRDefault="00AA7A1F" w:rsidP="00AA7A1F">
      <w:pPr>
        <w:pStyle w:val="Heading2"/>
        <w:sectPr w:rsidR="00AA7A1F" w:rsidSect="000D63A8">
          <w:footerReference w:type="default" r:id="rId21"/>
          <w:pgSz w:w="11906" w:h="16838" w:code="9"/>
          <w:pgMar w:top="1440" w:right="1797" w:bottom="1440" w:left="1797" w:header="709" w:footer="709" w:gutter="0"/>
          <w:cols w:space="708"/>
          <w:docGrid w:linePitch="360"/>
        </w:sectPr>
      </w:pPr>
    </w:p>
    <w:p w14:paraId="5EF84A75" w14:textId="12BF5E23" w:rsidR="001F6B8D" w:rsidRDefault="00AA7A1F" w:rsidP="006978D4">
      <w:pPr>
        <w:pStyle w:val="Heading1"/>
      </w:pPr>
      <w:bookmarkStart w:id="52" w:name="_Toc88565339"/>
      <w:r>
        <w:lastRenderedPageBreak/>
        <w:t xml:space="preserve">Attachment </w:t>
      </w:r>
      <w:r w:rsidR="00964BB3">
        <w:rPr>
          <w:rStyle w:val="Attachmentfieldtext"/>
        </w:rPr>
        <w:t>C</w:t>
      </w:r>
      <w:r>
        <w:rPr>
          <w:rStyle w:val="Attachmentfieldtext"/>
        </w:rPr>
        <w:t xml:space="preserve"> – </w:t>
      </w:r>
      <w:r>
        <w:t>Countercyclical capital buffer</w:t>
      </w:r>
      <w:bookmarkEnd w:id="52"/>
    </w:p>
    <w:p w14:paraId="37ED73EE" w14:textId="0FCEAC45" w:rsidR="00AA7A1F" w:rsidRPr="00AA7A1F" w:rsidRDefault="00AA7A1F" w:rsidP="00AA7A1F">
      <w:pPr>
        <w:pStyle w:val="BodyText1"/>
        <w:numPr>
          <w:ilvl w:val="0"/>
          <w:numId w:val="22"/>
        </w:numPr>
      </w:pPr>
      <w:bookmarkStart w:id="53" w:name="_Hlk53679633"/>
      <w:r w:rsidRPr="00AA7A1F">
        <w:t xml:space="preserve">An ADI must calculate the ADI-specific countercyclical capital buffer requirement as the weighted average of the jurisdictional countercyclical capital buffers that </w:t>
      </w:r>
      <w:r w:rsidR="00906BF1">
        <w:t>apply</w:t>
      </w:r>
      <w:r w:rsidRPr="00AA7A1F">
        <w:t xml:space="preserve"> in jurisdictions in which the ADI has exposures. </w:t>
      </w:r>
    </w:p>
    <w:bookmarkEnd w:id="53"/>
    <w:p w14:paraId="51A94F63" w14:textId="77777777" w:rsidR="00794FA5" w:rsidRPr="00794FA5" w:rsidRDefault="00794FA5" w:rsidP="00794FA5">
      <w:pPr>
        <w:pStyle w:val="BodyText1"/>
        <w:numPr>
          <w:ilvl w:val="0"/>
          <w:numId w:val="22"/>
        </w:numPr>
      </w:pPr>
      <w:r w:rsidRPr="00794FA5">
        <w:t xml:space="preserve">The weighting applied to the jurisdictional countercyclical capital buffer in each jurisdiction will be the risk-weighted amount of an ADI’s private sector credit exposures in that jurisdiction, divided by the risk-weighted amount of the ADI’s private sector credit exposures across all jurisdictions, where: </w:t>
      </w:r>
    </w:p>
    <w:p w14:paraId="505EBC20" w14:textId="77777777" w:rsidR="00794FA5" w:rsidRDefault="00794FA5" w:rsidP="00A545F0">
      <w:pPr>
        <w:pStyle w:val="BodyText2"/>
        <w:jc w:val="both"/>
      </w:pPr>
      <w:r>
        <w:t>private sector credit exposures are:</w:t>
      </w:r>
    </w:p>
    <w:p w14:paraId="5D6405D8" w14:textId="7DA108A0" w:rsidR="00794FA5" w:rsidRDefault="00794FA5" w:rsidP="00A545F0">
      <w:pPr>
        <w:pStyle w:val="BodyText3"/>
        <w:jc w:val="both"/>
      </w:pPr>
      <w:r>
        <w:t xml:space="preserve">on-balance sheet assets, off-balance sheet exposures and on- and off-balance sheet securitisation and </w:t>
      </w:r>
      <w:proofErr w:type="spellStart"/>
      <w:r>
        <w:t>resecuritisation</w:t>
      </w:r>
      <w:proofErr w:type="spellEnd"/>
      <w:r>
        <w:t xml:space="preserve"> exposures determined under APS</w:t>
      </w:r>
      <w:r w:rsidR="003842D0">
        <w:t> </w:t>
      </w:r>
      <w:r>
        <w:t>112, APS</w:t>
      </w:r>
      <w:r w:rsidR="003842D0">
        <w:t> </w:t>
      </w:r>
      <w:r>
        <w:t>113 or APS</w:t>
      </w:r>
      <w:r w:rsidR="003842D0">
        <w:t> </w:t>
      </w:r>
      <w:r>
        <w:t xml:space="preserve">120, as relevant; and </w:t>
      </w:r>
    </w:p>
    <w:p w14:paraId="614110B9" w14:textId="2332D7B1" w:rsidR="00794FA5" w:rsidRDefault="00794FA5" w:rsidP="00A545F0">
      <w:pPr>
        <w:pStyle w:val="BodyText3"/>
        <w:jc w:val="both"/>
      </w:pPr>
      <w:r>
        <w:t>exposures for which an ADI calculates a trading book capital charge for specific risk</w:t>
      </w:r>
      <w:r w:rsidR="007A25BB">
        <w:t>,</w:t>
      </w:r>
      <w:r>
        <w:t xml:space="preserve"> including equity specific risk, interest rate specific risk, incremental risk, securitisation and </w:t>
      </w:r>
      <w:proofErr w:type="spellStart"/>
      <w:r>
        <w:t>resecuritisation</w:t>
      </w:r>
      <w:proofErr w:type="spellEnd"/>
      <w:r>
        <w:t xml:space="preserve"> under APS</w:t>
      </w:r>
      <w:r w:rsidR="003842D0">
        <w:t> </w:t>
      </w:r>
      <w:r>
        <w:t>116,</w:t>
      </w:r>
    </w:p>
    <w:p w14:paraId="182B8092" w14:textId="77777777" w:rsidR="00794FA5" w:rsidRDefault="00794FA5" w:rsidP="007A25BB">
      <w:pPr>
        <w:pStyle w:val="BodyText2"/>
        <w:numPr>
          <w:ilvl w:val="0"/>
          <w:numId w:val="0"/>
        </w:numPr>
        <w:ind w:left="1134"/>
        <w:jc w:val="both"/>
      </w:pPr>
      <w:r>
        <w:t>to private sector counterparties, excluding ADIs (and equivalent overseas deposit-taking institutions) but including other financial institutions; and</w:t>
      </w:r>
    </w:p>
    <w:p w14:paraId="57F02213" w14:textId="77777777" w:rsidR="00794FA5" w:rsidRDefault="00794FA5" w:rsidP="00A545F0">
      <w:pPr>
        <w:pStyle w:val="BodyText2"/>
        <w:jc w:val="both"/>
      </w:pPr>
      <w:r>
        <w:t>the risk-weighted amount of an ADI’s private sector credit exposures is the sum of:</w:t>
      </w:r>
    </w:p>
    <w:p w14:paraId="32582638" w14:textId="50F03369" w:rsidR="00794FA5" w:rsidRDefault="00794FA5" w:rsidP="00A545F0">
      <w:pPr>
        <w:pStyle w:val="BodyText3"/>
        <w:jc w:val="both"/>
      </w:pPr>
      <w:r>
        <w:t>the risk-weighted assets for the assets and exposures in</w:t>
      </w:r>
      <w:r w:rsidR="002660C9">
        <w:t xml:space="preserve"> paragraph</w:t>
      </w:r>
      <w:r>
        <w:t xml:space="preserve"> 2(a)(</w:t>
      </w:r>
      <w:proofErr w:type="spellStart"/>
      <w:r>
        <w:t>i</w:t>
      </w:r>
      <w:proofErr w:type="spellEnd"/>
      <w:r>
        <w:t>)</w:t>
      </w:r>
      <w:r w:rsidR="002660C9">
        <w:t xml:space="preserve"> of this Attachment</w:t>
      </w:r>
      <w:r>
        <w:t>; and</w:t>
      </w:r>
    </w:p>
    <w:p w14:paraId="7ABEFAB9" w14:textId="3E4C2418" w:rsidR="00794FA5" w:rsidRDefault="00794FA5" w:rsidP="00A545F0">
      <w:pPr>
        <w:pStyle w:val="BodyText3"/>
        <w:jc w:val="both"/>
      </w:pPr>
      <w:r>
        <w:t>the risk-weighted equivalent trading book capital charges for exposures in</w:t>
      </w:r>
      <w:r w:rsidR="002660C9">
        <w:t xml:space="preserve"> paragraph</w:t>
      </w:r>
      <w:r>
        <w:t xml:space="preserve"> 2(a)(ii)</w:t>
      </w:r>
      <w:r w:rsidR="002660C9">
        <w:t xml:space="preserve"> of this Attachment</w:t>
      </w:r>
      <w:r>
        <w:t xml:space="preserve">.  </w:t>
      </w:r>
    </w:p>
    <w:p w14:paraId="0D9D0DDC" w14:textId="77777777" w:rsidR="00D743E4" w:rsidRDefault="00D743E4" w:rsidP="00D743E4">
      <w:pPr>
        <w:pStyle w:val="BodyText1"/>
        <w:numPr>
          <w:ilvl w:val="0"/>
          <w:numId w:val="22"/>
        </w:numPr>
      </w:pPr>
      <w:r>
        <w:t>When determining the jurisdiction to which a private sector credit exposure relates, ADIs must use an ultimate risk basis, where possible. An ADI must use the jurisdiction where the guarantor of the exposure resides, not where the exposure has been booked.</w:t>
      </w:r>
    </w:p>
    <w:p w14:paraId="5D295FFA" w14:textId="63E45049" w:rsidR="00D743E4" w:rsidRDefault="00D743E4" w:rsidP="00D743E4">
      <w:pPr>
        <w:pStyle w:val="BodyText1"/>
        <w:numPr>
          <w:ilvl w:val="0"/>
          <w:numId w:val="22"/>
        </w:numPr>
      </w:pPr>
      <w:r>
        <w:t xml:space="preserve">APRA may require an ADI to apply a higher countercyclical capital buffer for a particular jurisdiction than may be </w:t>
      </w:r>
      <w:r w:rsidR="00596A48">
        <w:t>determined</w:t>
      </w:r>
      <w:r>
        <w:t xml:space="preserve"> by the </w:t>
      </w:r>
      <w:r w:rsidR="00805A67">
        <w:t>regulator</w:t>
      </w:r>
      <w:r>
        <w:t xml:space="preserve"> in that jurisdiction. </w:t>
      </w:r>
    </w:p>
    <w:p w14:paraId="1753ED5D" w14:textId="77777777" w:rsidR="00D743E4" w:rsidRDefault="00D743E4" w:rsidP="00D743E4">
      <w:pPr>
        <w:pStyle w:val="BodyText1"/>
        <w:numPr>
          <w:ilvl w:val="0"/>
          <w:numId w:val="22"/>
        </w:numPr>
      </w:pPr>
      <w:r>
        <w:t>For Level 2 purposes, the ADI-specific countercyclical capital buffer must cover all exposures incurred in relevant jurisdictions, even though the business may be undertaken by a member of the Level 2 group that is not itself an ADI or equivalent overseas deposit-taking institution.</w:t>
      </w:r>
    </w:p>
    <w:p w14:paraId="02B40996" w14:textId="68526580" w:rsidR="00D743E4" w:rsidRPr="007D2D7F" w:rsidRDefault="00D743E4" w:rsidP="00CD5AEB">
      <w:pPr>
        <w:pStyle w:val="BodyText1"/>
      </w:pPr>
      <w:r>
        <w:t>For the Value-at-Risk (</w:t>
      </w:r>
      <w:proofErr w:type="spellStart"/>
      <w:r>
        <w:t>VaR</w:t>
      </w:r>
      <w:proofErr w:type="spellEnd"/>
      <w:r>
        <w:t>) for specific risk, the incremental risk charge and the comprehensive risk measurement charge included in calculating the ADI-specific countercyclical capital buffer, an ADI must consult with APRA to develop an approach that would translate these charges into individual instrument risk-</w:t>
      </w:r>
      <w:r>
        <w:lastRenderedPageBreak/>
        <w:t>weights that would then be allocated to the geographic location of the specific counterparties that make up the charge.</w:t>
      </w:r>
      <w:r w:rsidRPr="00D743E4">
        <w:t xml:space="preserve"> </w:t>
      </w:r>
    </w:p>
    <w:p w14:paraId="4FE0742B" w14:textId="77777777" w:rsidR="00D743E4" w:rsidRDefault="00D743E4" w:rsidP="00D743E4">
      <w:pPr>
        <w:pStyle w:val="Heading2"/>
        <w:sectPr w:rsidR="00D743E4" w:rsidSect="000D63A8">
          <w:footerReference w:type="default" r:id="rId22"/>
          <w:pgSz w:w="11906" w:h="16838" w:code="9"/>
          <w:pgMar w:top="1440" w:right="1797" w:bottom="1440" w:left="1797" w:header="709" w:footer="709" w:gutter="0"/>
          <w:cols w:space="708"/>
          <w:docGrid w:linePitch="360"/>
        </w:sectPr>
      </w:pPr>
    </w:p>
    <w:p w14:paraId="70D563B2" w14:textId="6C9D60E8" w:rsidR="00D743E4" w:rsidRPr="0038413F" w:rsidRDefault="00D743E4" w:rsidP="006978D4">
      <w:pPr>
        <w:pStyle w:val="Heading1"/>
      </w:pPr>
      <w:bookmarkStart w:id="54" w:name="_Toc88565340"/>
      <w:r>
        <w:lastRenderedPageBreak/>
        <w:t xml:space="preserve">Attachment </w:t>
      </w:r>
      <w:r w:rsidR="00964BB3">
        <w:rPr>
          <w:rStyle w:val="Attachmentfieldtext"/>
        </w:rPr>
        <w:t>D</w:t>
      </w:r>
      <w:r>
        <w:rPr>
          <w:rStyle w:val="Attachmentfieldtext"/>
        </w:rPr>
        <w:t xml:space="preserve"> – </w:t>
      </w:r>
      <w:r>
        <w:t>Leverage ratio</w:t>
      </w:r>
      <w:bookmarkEnd w:id="54"/>
    </w:p>
    <w:p w14:paraId="7E2F802D" w14:textId="2FC9DBD4" w:rsidR="009E61F0" w:rsidRPr="009E61F0" w:rsidRDefault="009E61F0" w:rsidP="009E61F0">
      <w:pPr>
        <w:pStyle w:val="BodyText1"/>
        <w:numPr>
          <w:ilvl w:val="0"/>
          <w:numId w:val="23"/>
        </w:numPr>
      </w:pPr>
      <w:bookmarkStart w:id="55" w:name="_Ref523918038"/>
      <w:r w:rsidRPr="009E61F0">
        <w:t>An ADI must calculate its leverage ratio as follows:</w:t>
      </w:r>
      <w:bookmarkEnd w:id="55"/>
    </w:p>
    <w:tbl>
      <w:tblPr>
        <w:tblStyle w:val="TableGrid"/>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131"/>
      </w:tblGrid>
      <w:tr w:rsidR="009E61F0" w14:paraId="747267C6" w14:textId="77777777" w:rsidTr="00552768">
        <w:tc>
          <w:tcPr>
            <w:tcW w:w="2410" w:type="dxa"/>
            <w:vMerge w:val="restart"/>
          </w:tcPr>
          <w:p w14:paraId="45FB6963" w14:textId="7716F5CA" w:rsidR="009E61F0" w:rsidRPr="009E61F0" w:rsidRDefault="00552768" w:rsidP="009E61F0">
            <w:pPr>
              <w:pStyle w:val="BodyText1"/>
              <w:numPr>
                <w:ilvl w:val="0"/>
                <w:numId w:val="0"/>
              </w:numPr>
              <w:spacing w:before="360" w:after="120"/>
              <w:jc w:val="center"/>
              <w:rPr>
                <w:i/>
              </w:rPr>
            </w:pPr>
            <w:r>
              <w:rPr>
                <w:i/>
              </w:rPr>
              <w:t>L</w:t>
            </w:r>
            <w:r w:rsidR="009E61F0">
              <w:rPr>
                <w:i/>
              </w:rPr>
              <w:t>everage ratio =</w:t>
            </w:r>
          </w:p>
        </w:tc>
        <w:tc>
          <w:tcPr>
            <w:tcW w:w="2131" w:type="dxa"/>
            <w:tcBorders>
              <w:bottom w:val="single" w:sz="4" w:space="0" w:color="auto"/>
            </w:tcBorders>
          </w:tcPr>
          <w:p w14:paraId="5906C9A3" w14:textId="25ACD678" w:rsidR="009E61F0" w:rsidRPr="009E61F0" w:rsidRDefault="00552768" w:rsidP="009E61F0">
            <w:pPr>
              <w:pStyle w:val="BodyText1"/>
              <w:numPr>
                <w:ilvl w:val="0"/>
                <w:numId w:val="0"/>
              </w:numPr>
              <w:spacing w:before="120" w:after="60"/>
              <w:jc w:val="center"/>
              <w:rPr>
                <w:i/>
              </w:rPr>
            </w:pPr>
            <w:r>
              <w:rPr>
                <w:i/>
              </w:rPr>
              <w:t>Tier 1 C</w:t>
            </w:r>
            <w:r w:rsidR="009E61F0">
              <w:rPr>
                <w:i/>
              </w:rPr>
              <w:t>apital</w:t>
            </w:r>
          </w:p>
        </w:tc>
      </w:tr>
      <w:tr w:rsidR="009E61F0" w14:paraId="03A992E7" w14:textId="77777777" w:rsidTr="00552768">
        <w:tc>
          <w:tcPr>
            <w:tcW w:w="2410" w:type="dxa"/>
            <w:vMerge/>
          </w:tcPr>
          <w:p w14:paraId="640416E8" w14:textId="77777777" w:rsidR="009E61F0" w:rsidRPr="009E61F0" w:rsidRDefault="009E61F0" w:rsidP="009E61F0">
            <w:pPr>
              <w:pStyle w:val="BodyText1"/>
              <w:numPr>
                <w:ilvl w:val="0"/>
                <w:numId w:val="0"/>
              </w:numPr>
              <w:spacing w:before="120" w:after="120"/>
              <w:rPr>
                <w:i/>
              </w:rPr>
            </w:pPr>
          </w:p>
        </w:tc>
        <w:tc>
          <w:tcPr>
            <w:tcW w:w="2131" w:type="dxa"/>
            <w:tcBorders>
              <w:top w:val="single" w:sz="4" w:space="0" w:color="auto"/>
            </w:tcBorders>
          </w:tcPr>
          <w:p w14:paraId="0BEFA56A" w14:textId="71D9C25E" w:rsidR="009E61F0" w:rsidRPr="009E61F0" w:rsidRDefault="00552768" w:rsidP="009E61F0">
            <w:pPr>
              <w:pStyle w:val="BodyText1"/>
              <w:numPr>
                <w:ilvl w:val="0"/>
                <w:numId w:val="0"/>
              </w:numPr>
              <w:spacing w:before="60"/>
              <w:jc w:val="center"/>
              <w:rPr>
                <w:i/>
              </w:rPr>
            </w:pPr>
            <w:r>
              <w:rPr>
                <w:i/>
              </w:rPr>
              <w:t>Exposure M</w:t>
            </w:r>
            <w:r w:rsidR="009E61F0">
              <w:rPr>
                <w:i/>
              </w:rPr>
              <w:t>easure</w:t>
            </w:r>
          </w:p>
        </w:tc>
      </w:tr>
    </w:tbl>
    <w:p w14:paraId="2F253967" w14:textId="77777777" w:rsidR="009E61F0" w:rsidRDefault="009E61F0" w:rsidP="00BC08AD">
      <w:pPr>
        <w:pStyle w:val="BodyText1"/>
        <w:numPr>
          <w:ilvl w:val="0"/>
          <w:numId w:val="0"/>
        </w:numPr>
        <w:ind w:left="567"/>
      </w:pPr>
      <w:r>
        <w:t>where:</w:t>
      </w:r>
    </w:p>
    <w:p w14:paraId="4217EF59" w14:textId="7B271EC7" w:rsidR="009E61F0" w:rsidRDefault="00BC08AD" w:rsidP="00A545F0">
      <w:pPr>
        <w:pStyle w:val="BodyText2"/>
        <w:jc w:val="both"/>
      </w:pPr>
      <w:r>
        <w:t xml:space="preserve">Tier 1 </w:t>
      </w:r>
      <w:r w:rsidR="005E67F3">
        <w:t xml:space="preserve">Capital </w:t>
      </w:r>
      <w:r w:rsidR="009E61F0">
        <w:t>is determined in accordance with APS</w:t>
      </w:r>
      <w:r w:rsidR="00CE0CE0">
        <w:t> </w:t>
      </w:r>
      <w:r w:rsidR="009E61F0">
        <w:t>111; and</w:t>
      </w:r>
    </w:p>
    <w:p w14:paraId="7585569C" w14:textId="4051C25F" w:rsidR="00E3387C" w:rsidRDefault="00BC08AD" w:rsidP="00A545F0">
      <w:pPr>
        <w:pStyle w:val="BodyText2"/>
        <w:jc w:val="both"/>
      </w:pPr>
      <w:r>
        <w:t>the exposure m</w:t>
      </w:r>
      <w:r w:rsidR="009E61F0">
        <w:t xml:space="preserve">easure is determined in accordance </w:t>
      </w:r>
      <w:r w:rsidR="009E61F0" w:rsidRPr="002D5BF2">
        <w:t xml:space="preserve">with </w:t>
      </w:r>
      <w:r w:rsidR="009E61F0">
        <w:t>this Attachment</w:t>
      </w:r>
      <w:r w:rsidR="00E3387C">
        <w:t xml:space="preserve"> and is calculated as the sum of:</w:t>
      </w:r>
      <w:r w:rsidR="00845696">
        <w:rPr>
          <w:rStyle w:val="FootnoteReference"/>
        </w:rPr>
        <w:footnoteReference w:id="14"/>
      </w:r>
    </w:p>
    <w:p w14:paraId="75A2ADC3" w14:textId="7B78D6B7" w:rsidR="00CF2464" w:rsidRDefault="00E3387C" w:rsidP="00A545F0">
      <w:pPr>
        <w:pStyle w:val="BodyText3"/>
        <w:jc w:val="both"/>
      </w:pPr>
      <w:r>
        <w:t>on-balance sheet exposures;</w:t>
      </w:r>
    </w:p>
    <w:p w14:paraId="5B46A3E4" w14:textId="57C79A4C" w:rsidR="00AA7A1F" w:rsidRDefault="00CF2464" w:rsidP="00A545F0">
      <w:pPr>
        <w:pStyle w:val="BodyText3"/>
        <w:jc w:val="both"/>
      </w:pPr>
      <w:r>
        <w:t>non-market related off-balance s</w:t>
      </w:r>
      <w:r w:rsidR="00736109">
        <w:t>heet exposures</w:t>
      </w:r>
      <w:r>
        <w:t>;</w:t>
      </w:r>
    </w:p>
    <w:p w14:paraId="1E35D375" w14:textId="2F79612A" w:rsidR="00E3387C" w:rsidRDefault="00E3387C" w:rsidP="00A545F0">
      <w:pPr>
        <w:pStyle w:val="BodyText3"/>
        <w:jc w:val="both"/>
      </w:pPr>
      <w:r>
        <w:t>derivative exposures;</w:t>
      </w:r>
      <w:r w:rsidR="00CF2464">
        <w:t xml:space="preserve"> and</w:t>
      </w:r>
    </w:p>
    <w:p w14:paraId="5580DF9B" w14:textId="77777777" w:rsidR="00CC5B19" w:rsidRDefault="00E3387C" w:rsidP="00A545F0">
      <w:pPr>
        <w:pStyle w:val="BodyText3"/>
        <w:jc w:val="both"/>
      </w:pPr>
      <w:r>
        <w:t>securities financing transaction (SFT) exposures</w:t>
      </w:r>
      <w:r w:rsidR="00CF2464">
        <w:t>.</w:t>
      </w:r>
      <w:r w:rsidR="004D7148" w:rsidDel="004D7148">
        <w:rPr>
          <w:rStyle w:val="FootnoteReference"/>
        </w:rPr>
        <w:t xml:space="preserve"> </w:t>
      </w:r>
    </w:p>
    <w:p w14:paraId="4AFC7089" w14:textId="65D220A4" w:rsidR="00CC5B19" w:rsidRDefault="00CC5B19" w:rsidP="00CC5B19">
      <w:pPr>
        <w:pStyle w:val="BodyText1"/>
      </w:pPr>
      <w:bookmarkStart w:id="56" w:name="_Ref522178441"/>
      <w:r>
        <w:t xml:space="preserve">Unless otherwise specified in this Attachment, an ADI must follow </w:t>
      </w:r>
      <w:r w:rsidRPr="00E446FA">
        <w:t>Australian Accounting Standards</w:t>
      </w:r>
      <w:r>
        <w:t xml:space="preserve"> in </w:t>
      </w:r>
      <w:r w:rsidR="0088391B">
        <w:t>calculating</w:t>
      </w:r>
      <w:r>
        <w:t xml:space="preserve"> its exposure measure, subject to the following:</w:t>
      </w:r>
      <w:bookmarkEnd w:id="56"/>
    </w:p>
    <w:p w14:paraId="37FBF173" w14:textId="2128D588" w:rsidR="00CC5B19" w:rsidRDefault="00CC5B19" w:rsidP="00A545F0">
      <w:pPr>
        <w:pStyle w:val="BodyText2"/>
        <w:jc w:val="both"/>
      </w:pPr>
      <w:r>
        <w:t xml:space="preserve">physical or financial collateral, guarantees or other credit risk mitigation techniques must not be taken into account by an ADI to reduce the exposure measure; </w:t>
      </w:r>
    </w:p>
    <w:p w14:paraId="576AA3AA" w14:textId="7C1E86DE" w:rsidR="00CC5B19" w:rsidRDefault="00CC5B19" w:rsidP="00A545F0">
      <w:pPr>
        <w:pStyle w:val="BodyText2"/>
        <w:jc w:val="both"/>
      </w:pPr>
      <w:r>
        <w:t>netting of assets and liabilities is not permitted; and</w:t>
      </w:r>
    </w:p>
    <w:p w14:paraId="31159743" w14:textId="3A28F9E5" w:rsidR="00CC5B19" w:rsidRDefault="00CC5B19" w:rsidP="00A545F0">
      <w:pPr>
        <w:pStyle w:val="BodyText2"/>
        <w:jc w:val="both"/>
      </w:pPr>
      <w:r>
        <w:t>securitisation exposures which meet the operational requirements for regulatory capital relief, as set out in APS</w:t>
      </w:r>
      <w:r w:rsidR="00CE0CE0">
        <w:t> </w:t>
      </w:r>
      <w:r>
        <w:t xml:space="preserve">120, may be excluded from the exposure measure. All other securitisation exposures, including funding-only and synthetic securitisations, must be included in the exposure measure. </w:t>
      </w:r>
    </w:p>
    <w:p w14:paraId="29ABF666" w14:textId="3D487D33" w:rsidR="005E3324" w:rsidRDefault="005E3324" w:rsidP="007638E1">
      <w:pPr>
        <w:pStyle w:val="BodyText1"/>
      </w:pPr>
      <w:r>
        <w:t xml:space="preserve">APRA may temporarily </w:t>
      </w:r>
      <w:r w:rsidR="0088391B">
        <w:t>exclud</w:t>
      </w:r>
      <w:r w:rsidR="001C189E">
        <w:t>e</w:t>
      </w:r>
      <w:r>
        <w:t xml:space="preserve"> central bank reserves from the leverage ratio exposure measure in exceptional macroeconomic circumstances. </w:t>
      </w:r>
      <w:r w:rsidR="00203C7B">
        <w:t>If</w:t>
      </w:r>
      <w:r w:rsidR="00805F2C">
        <w:t xml:space="preserve"> APRA </w:t>
      </w:r>
      <w:r w:rsidR="001C189E">
        <w:t>excludes</w:t>
      </w:r>
      <w:r w:rsidR="00805F2C">
        <w:t xml:space="preserve"> central bank reserves, </w:t>
      </w:r>
      <w:r w:rsidR="00785FE3">
        <w:t xml:space="preserve">it </w:t>
      </w:r>
      <w:r w:rsidR="00203C7B">
        <w:t xml:space="preserve">may </w:t>
      </w:r>
      <w:r w:rsidR="00785FE3">
        <w:t xml:space="preserve">increase the minimum leverage ratio requirement commensurately to offset the impact of the </w:t>
      </w:r>
      <w:r w:rsidR="00203C7B">
        <w:t>exclusion</w:t>
      </w:r>
      <w:r w:rsidR="00785FE3">
        <w:t xml:space="preserve">. </w:t>
      </w:r>
      <w:r w:rsidR="00976681">
        <w:t xml:space="preserve">In the event that APRA excludes central bank reserves from the calculation of the exposure measure, an ADI must </w:t>
      </w:r>
      <w:r w:rsidR="008A41DD">
        <w:t xml:space="preserve">publicly </w:t>
      </w:r>
      <w:r w:rsidR="00976681">
        <w:t>disclose the impact of the exclusion, as well as its leverage ratio calculated without the benefit of the exclusion.</w:t>
      </w:r>
    </w:p>
    <w:p w14:paraId="2686F7B5" w14:textId="055C07D1" w:rsidR="0087297C" w:rsidRPr="00E326EB" w:rsidRDefault="0087297C" w:rsidP="00E326EB">
      <w:pPr>
        <w:pStyle w:val="Heading2"/>
      </w:pPr>
      <w:r>
        <w:lastRenderedPageBreak/>
        <w:t>On-balance sheet exposures</w:t>
      </w:r>
    </w:p>
    <w:p w14:paraId="54097FE7" w14:textId="7C51BBAE" w:rsidR="00831893" w:rsidRDefault="001D159E" w:rsidP="0001228F">
      <w:pPr>
        <w:pStyle w:val="BodyText1"/>
      </w:pPr>
      <w:bookmarkStart w:id="57" w:name="_Ref523402839"/>
      <w:bookmarkStart w:id="58" w:name="_Ref526846362"/>
      <w:bookmarkStart w:id="59" w:name="_Hlk83754667"/>
      <w:r>
        <w:t xml:space="preserve">For the purpose of calculating on-balance sheet assets, an ADI must include all balance sheet assets, including any on-balance sheet collateral for derivatives and SFTs, but </w:t>
      </w:r>
      <w:r w:rsidRPr="00E85B76">
        <w:t xml:space="preserve">excluding on-balance sheet derivatives and SFTs covered by paragraphs </w:t>
      </w:r>
      <w:r w:rsidRPr="00E85B76">
        <w:fldChar w:fldCharType="begin"/>
      </w:r>
      <w:r w:rsidRPr="00E85B76">
        <w:instrText xml:space="preserve"> REF _Ref34399123 \r \h </w:instrText>
      </w:r>
      <w:r>
        <w:instrText xml:space="preserve"> \* MERGEFORMAT </w:instrText>
      </w:r>
      <w:r w:rsidRPr="00E85B76">
        <w:fldChar w:fldCharType="separate"/>
      </w:r>
      <w:r w:rsidR="00CD3ED2">
        <w:t>16</w:t>
      </w:r>
      <w:r w:rsidRPr="00E85B76">
        <w:fldChar w:fldCharType="end"/>
      </w:r>
      <w:r w:rsidRPr="00E85B76">
        <w:t xml:space="preserve"> to </w:t>
      </w:r>
      <w:r w:rsidRPr="00E85B76">
        <w:fldChar w:fldCharType="begin"/>
      </w:r>
      <w:r w:rsidRPr="00E85B76">
        <w:instrText xml:space="preserve"> REF _Ref18568017 \r \h </w:instrText>
      </w:r>
      <w:r>
        <w:instrText xml:space="preserve"> \* MERGEFORMAT </w:instrText>
      </w:r>
      <w:r w:rsidRPr="00E85B76">
        <w:fldChar w:fldCharType="separate"/>
      </w:r>
      <w:r w:rsidR="00CD3ED2">
        <w:t>45</w:t>
      </w:r>
      <w:r w:rsidRPr="00E85B76">
        <w:fldChar w:fldCharType="end"/>
      </w:r>
      <w:r w:rsidRPr="00E85B76">
        <w:t xml:space="preserve"> of</w:t>
      </w:r>
      <w:r>
        <w:t xml:space="preserve"> this Attachment.</w:t>
      </w:r>
      <w:bookmarkEnd w:id="57"/>
      <w:bookmarkEnd w:id="58"/>
    </w:p>
    <w:p w14:paraId="42B9C6A0" w14:textId="68815121" w:rsidR="00433B70" w:rsidRDefault="00433B70" w:rsidP="00433B70">
      <w:pPr>
        <w:pStyle w:val="BodyText1"/>
      </w:pPr>
      <w:bookmarkStart w:id="60" w:name="_Ref522181204"/>
      <w:bookmarkEnd w:id="59"/>
      <w:r>
        <w:t>Balance sheet assets deducted from Common Equity Tier 1 Capital and Additional Tier 1 Capital for the purposes of regulatory adjustments under APS</w:t>
      </w:r>
      <w:r w:rsidR="00B7402F">
        <w:t> </w:t>
      </w:r>
      <w:r>
        <w:t xml:space="preserve">111 </w:t>
      </w:r>
      <w:r w:rsidR="00D02F09">
        <w:t xml:space="preserve">may </w:t>
      </w:r>
      <w:r>
        <w:t>be deducted from the exposure measure.</w:t>
      </w:r>
      <w:bookmarkEnd w:id="60"/>
    </w:p>
    <w:p w14:paraId="3AEF4DE2" w14:textId="18936026" w:rsidR="00433B70" w:rsidRDefault="00433B70" w:rsidP="00433B70">
      <w:pPr>
        <w:pStyle w:val="BodyText1"/>
      </w:pPr>
      <w:r>
        <w:t>Liability items must not be deducted from the exposure measure</w:t>
      </w:r>
      <w:r w:rsidR="00EB1AAC">
        <w:t>, including any gains and losses on fair value liabilities, or accounting value adjustments on derivative liabilities due to changes in an ADI’s own credit risk</w:t>
      </w:r>
      <w:r>
        <w:t xml:space="preserve">. </w:t>
      </w:r>
    </w:p>
    <w:p w14:paraId="0CFD604D" w14:textId="66CAACEB" w:rsidR="00492E13" w:rsidRDefault="00CD6AE4" w:rsidP="00CB716A">
      <w:pPr>
        <w:pStyle w:val="BodyText1"/>
      </w:pPr>
      <w:r>
        <w:t xml:space="preserve">On-balance sheet </w:t>
      </w:r>
      <w:r w:rsidR="00492E13">
        <w:t>assets</w:t>
      </w:r>
      <w:r w:rsidR="006922E0">
        <w:t xml:space="preserve"> </w:t>
      </w:r>
      <w:r w:rsidR="00D02F09">
        <w:t>may</w:t>
      </w:r>
      <w:r w:rsidR="00492E13">
        <w:t xml:space="preserve"> be included in the exposure measure</w:t>
      </w:r>
      <w:r w:rsidR="00C57798">
        <w:t xml:space="preserve"> at their accounting values</w:t>
      </w:r>
      <w:r w:rsidR="00492E13">
        <w:t xml:space="preserve"> net of</w:t>
      </w:r>
      <w:r w:rsidR="00046D1F">
        <w:t xml:space="preserve"> any</w:t>
      </w:r>
      <w:r w:rsidR="00EC308A">
        <w:t xml:space="preserve"> provisions</w:t>
      </w:r>
      <w:r w:rsidR="00AA02BC">
        <w:t xml:space="preserve"> that have otherwise been deducted from Tier 1 Capital</w:t>
      </w:r>
      <w:r w:rsidR="00EC308A">
        <w:t>.</w:t>
      </w:r>
    </w:p>
    <w:p w14:paraId="15155FDA" w14:textId="624F8055" w:rsidR="0057317D" w:rsidRDefault="0087297C" w:rsidP="0057317D">
      <w:pPr>
        <w:pStyle w:val="BodyText1"/>
      </w:pPr>
      <w:bookmarkStart w:id="61" w:name="_Ref522181210"/>
      <w:r>
        <w:t>Where an ADI holds assets in a fiduciary capacity, these assets may be excluded from the exposure measure provided that the assets meet the accounting criteria for derecognition and, where applicable, the accounting criteria for deconsolidation.</w:t>
      </w:r>
      <w:bookmarkEnd w:id="61"/>
      <w:r>
        <w:t xml:space="preserve"> </w:t>
      </w:r>
    </w:p>
    <w:p w14:paraId="02564FF1" w14:textId="62198552" w:rsidR="001B3BDB" w:rsidRPr="006978D4" w:rsidRDefault="001B3BDB" w:rsidP="00DF45F4">
      <w:pPr>
        <w:pStyle w:val="Heading3"/>
      </w:pPr>
      <w:r w:rsidRPr="00B93D48">
        <w:t>Unsettled trades</w:t>
      </w:r>
    </w:p>
    <w:p w14:paraId="1CF73F39" w14:textId="1EFB1A3E" w:rsidR="00F51438" w:rsidRDefault="00391726" w:rsidP="0087297C">
      <w:pPr>
        <w:pStyle w:val="BodyText1"/>
      </w:pPr>
      <w:bookmarkStart w:id="62" w:name="_Ref526847378"/>
      <w:r>
        <w:t>An ADI</w:t>
      </w:r>
      <w:r w:rsidR="00F51438">
        <w:t xml:space="preserve"> must account for r</w:t>
      </w:r>
      <w:r w:rsidR="005E7007">
        <w:t>egular-way purchases or sales of</w:t>
      </w:r>
      <w:r w:rsidR="00F51438">
        <w:t xml:space="preserve"> financial assets that have not been settled on the following basis:</w:t>
      </w:r>
      <w:bookmarkEnd w:id="62"/>
    </w:p>
    <w:p w14:paraId="4C02E8BA" w14:textId="4D97949D" w:rsidR="00D10C8F" w:rsidRDefault="00F51438" w:rsidP="00A545F0">
      <w:pPr>
        <w:pStyle w:val="BodyText2"/>
        <w:jc w:val="both"/>
      </w:pPr>
      <w:r>
        <w:t>ADIs</w:t>
      </w:r>
      <w:r w:rsidR="00D92B8D">
        <w:t xml:space="preserve"> </w:t>
      </w:r>
      <w:r w:rsidR="001E3326">
        <w:t>which apply</w:t>
      </w:r>
      <w:r>
        <w:t xml:space="preserve"> trade date accounting must reverse </w:t>
      </w:r>
      <w:r w:rsidR="008A6EAC">
        <w:t xml:space="preserve">out </w:t>
      </w:r>
      <w:r>
        <w:t>any offsetting between cash receivables for unsettled sales and cash payables for unsettled purchases of financial assets</w:t>
      </w:r>
      <w:r w:rsidR="00245253">
        <w:t xml:space="preserve">. Thereafter, </w:t>
      </w:r>
      <w:r w:rsidR="001E3326">
        <w:t xml:space="preserve">ADIs may offset between </w:t>
      </w:r>
      <w:r w:rsidR="008A6EAC">
        <w:t>those</w:t>
      </w:r>
      <w:r w:rsidR="00D10C8F">
        <w:t xml:space="preserve"> cash receivables and cash payables (irrespective of whether such offsetting is permitted under Australian Accounting Standards) only if</w:t>
      </w:r>
      <w:r w:rsidR="00764FAC">
        <w:t xml:space="preserve"> all of</w:t>
      </w:r>
      <w:r w:rsidR="00D10C8F">
        <w:t xml:space="preserve"> the following conditions are met:</w:t>
      </w:r>
    </w:p>
    <w:p w14:paraId="603B3983" w14:textId="553144B3" w:rsidR="00937C05" w:rsidRDefault="00937C05" w:rsidP="00A545F0">
      <w:pPr>
        <w:pStyle w:val="BodyText3"/>
        <w:jc w:val="both"/>
      </w:pPr>
      <w:r>
        <w:t>the financial assets bought and sold that are associated with cash payables and receivables are measured at fair value through the income st</w:t>
      </w:r>
      <w:r w:rsidR="00D06708">
        <w:t xml:space="preserve">atement and included in the </w:t>
      </w:r>
      <w:r>
        <w:t xml:space="preserve">ADI’s trading book in accordance with </w:t>
      </w:r>
      <w:r w:rsidRPr="00D06708">
        <w:t>Attachment A to APS</w:t>
      </w:r>
      <w:r w:rsidR="00CE0CE0">
        <w:t> </w:t>
      </w:r>
      <w:r w:rsidRPr="00D06708">
        <w:t>116;</w:t>
      </w:r>
      <w:r>
        <w:t xml:space="preserve"> and</w:t>
      </w:r>
    </w:p>
    <w:p w14:paraId="51FA1C70" w14:textId="6D11E86F" w:rsidR="00F51438" w:rsidRDefault="00937C05" w:rsidP="00A545F0">
      <w:pPr>
        <w:pStyle w:val="BodyText3"/>
        <w:jc w:val="both"/>
      </w:pPr>
      <w:r>
        <w:t>the transactions of the financial assets are settled on a delivery-versus-payment basis</w:t>
      </w:r>
      <w:r w:rsidR="00D92B8D">
        <w:t xml:space="preserve">; </w:t>
      </w:r>
      <w:r w:rsidR="005A5CB1">
        <w:t>and</w:t>
      </w:r>
    </w:p>
    <w:p w14:paraId="1D84AE32" w14:textId="6CEC8424" w:rsidR="00D92B8D" w:rsidRDefault="00D92B8D" w:rsidP="00A545F0">
      <w:pPr>
        <w:pStyle w:val="BodyText2"/>
        <w:jc w:val="both"/>
      </w:pPr>
      <w:r>
        <w:t xml:space="preserve">ADIs </w:t>
      </w:r>
      <w:r w:rsidR="00D06708">
        <w:t xml:space="preserve">which apply </w:t>
      </w:r>
      <w:r>
        <w:t xml:space="preserve">settlement date accounting must apply the treatment set out in </w:t>
      </w:r>
      <w:r w:rsidR="00056104" w:rsidRPr="00056104">
        <w:t xml:space="preserve">paragraphs </w:t>
      </w:r>
      <w:r w:rsidR="00056104" w:rsidRPr="00056104">
        <w:fldChar w:fldCharType="begin"/>
      </w:r>
      <w:r w:rsidR="00056104" w:rsidRPr="00056104">
        <w:instrText xml:space="preserve"> REF _Ref522182008 \r \h </w:instrText>
      </w:r>
      <w:r w:rsidR="00056104">
        <w:instrText xml:space="preserve"> \* MERGEFORMAT </w:instrText>
      </w:r>
      <w:r w:rsidR="00056104" w:rsidRPr="00056104">
        <w:fldChar w:fldCharType="separate"/>
      </w:r>
      <w:r w:rsidR="00CD3ED2">
        <w:t>12</w:t>
      </w:r>
      <w:r w:rsidR="00056104" w:rsidRPr="00056104">
        <w:fldChar w:fldCharType="end"/>
      </w:r>
      <w:r w:rsidR="00056104" w:rsidRPr="00056104">
        <w:t xml:space="preserve"> and </w:t>
      </w:r>
      <w:r w:rsidR="00056104" w:rsidRPr="00056104">
        <w:fldChar w:fldCharType="begin"/>
      </w:r>
      <w:r w:rsidR="00056104" w:rsidRPr="00056104">
        <w:instrText xml:space="preserve"> REF _Ref522182011 \r \h </w:instrText>
      </w:r>
      <w:r w:rsidR="00056104">
        <w:instrText xml:space="preserve"> \* MERGEFORMAT </w:instrText>
      </w:r>
      <w:r w:rsidR="00056104" w:rsidRPr="00056104">
        <w:fldChar w:fldCharType="separate"/>
      </w:r>
      <w:r w:rsidR="00CD3ED2">
        <w:t>15</w:t>
      </w:r>
      <w:r w:rsidR="00056104" w:rsidRPr="00056104">
        <w:fldChar w:fldCharType="end"/>
      </w:r>
      <w:r w:rsidR="00056104" w:rsidRPr="00056104">
        <w:t xml:space="preserve"> </w:t>
      </w:r>
      <w:r>
        <w:t xml:space="preserve">of this Attachment. </w:t>
      </w:r>
    </w:p>
    <w:p w14:paraId="1B20B749" w14:textId="3CB7A23B" w:rsidR="001367FC" w:rsidRPr="00B93D48" w:rsidRDefault="001367FC" w:rsidP="00DF45F4">
      <w:pPr>
        <w:pStyle w:val="Heading3"/>
      </w:pPr>
      <w:r w:rsidRPr="00B93D48">
        <w:t>Cash pooling</w:t>
      </w:r>
    </w:p>
    <w:p w14:paraId="55CE7518" w14:textId="15572BC5" w:rsidR="004737EE" w:rsidRDefault="00A01CF4" w:rsidP="001367FC">
      <w:pPr>
        <w:pStyle w:val="BodyText1"/>
      </w:pPr>
      <w:bookmarkStart w:id="63" w:name="_Ref522182204"/>
      <w:r>
        <w:t>If</w:t>
      </w:r>
      <w:r w:rsidR="00FF4720">
        <w:t xml:space="preserve"> an ADI </w:t>
      </w:r>
      <w:r w:rsidR="00332E1A">
        <w:t>uses</w:t>
      </w:r>
      <w:r w:rsidR="00FF4720">
        <w:t xml:space="preserve"> cash pooling arrangements </w:t>
      </w:r>
      <w:r w:rsidR="004737EE">
        <w:t xml:space="preserve">which combine the credit and debit balances of several individual participating customer accounts into a single </w:t>
      </w:r>
      <w:r w:rsidR="004737EE">
        <w:lastRenderedPageBreak/>
        <w:t>account balance</w:t>
      </w:r>
      <w:r w:rsidR="00FF4720">
        <w:t xml:space="preserve">, </w:t>
      </w:r>
      <w:r>
        <w:t xml:space="preserve">the ADI </w:t>
      </w:r>
      <w:r w:rsidR="00FF4720">
        <w:t>may recognise</w:t>
      </w:r>
      <w:r w:rsidR="004737EE">
        <w:t xml:space="preserve"> the</w:t>
      </w:r>
      <w:r w:rsidR="00FF4720">
        <w:t xml:space="preserve"> single account balance</w:t>
      </w:r>
      <w:r w:rsidR="004737EE">
        <w:t xml:space="preserve"> in its calculation of the exposure measure</w:t>
      </w:r>
      <w:r w:rsidR="00FF4720">
        <w:t xml:space="preserve"> if:</w:t>
      </w:r>
      <w:bookmarkEnd w:id="63"/>
    </w:p>
    <w:p w14:paraId="4160372A" w14:textId="77777777" w:rsidR="004737EE" w:rsidRDefault="004737EE" w:rsidP="00C53AEE">
      <w:pPr>
        <w:pStyle w:val="BodyText2"/>
        <w:jc w:val="both"/>
      </w:pPr>
      <w:r>
        <w:t>the balances are transferred on at least a daily basis; and</w:t>
      </w:r>
    </w:p>
    <w:p w14:paraId="6C57638E" w14:textId="3DE05677" w:rsidR="00FF4720" w:rsidRDefault="005B1387" w:rsidP="00C53AEE">
      <w:pPr>
        <w:pStyle w:val="BodyText2"/>
        <w:jc w:val="both"/>
      </w:pPr>
      <w:r>
        <w:t>the ADI cannot be held liable for the balances on an individual basis upon the transfer, i.e. the ADI can only be held liable for a single claim based on the single account.</w:t>
      </w:r>
    </w:p>
    <w:p w14:paraId="37A43EF5" w14:textId="4A1A1A6B" w:rsidR="00FA3C90" w:rsidRDefault="00A01CF4" w:rsidP="00A55919">
      <w:pPr>
        <w:pStyle w:val="BodyText1"/>
      </w:pPr>
      <w:bookmarkStart w:id="64" w:name="_Ref522181263"/>
      <w:r>
        <w:t>If</w:t>
      </w:r>
      <w:r w:rsidR="00CF6791">
        <w:t xml:space="preserve"> </w:t>
      </w:r>
      <w:r w:rsidR="00146C73">
        <w:t xml:space="preserve">cash pooling arrangements </w:t>
      </w:r>
      <w:r w:rsidR="00CF6791">
        <w:t>do not meet</w:t>
      </w:r>
      <w:r w:rsidR="008B7A3B">
        <w:t xml:space="preserve"> the conditions </w:t>
      </w:r>
      <w:r w:rsidR="00146C73">
        <w:t xml:space="preserve">set out </w:t>
      </w:r>
      <w:r w:rsidR="00CF6791">
        <w:t xml:space="preserve">in </w:t>
      </w:r>
      <w:r w:rsidR="00490708" w:rsidRPr="00490708">
        <w:t xml:space="preserve">paragraph </w:t>
      </w:r>
      <w:r w:rsidR="00490708" w:rsidRPr="00490708">
        <w:fldChar w:fldCharType="begin"/>
      </w:r>
      <w:r w:rsidR="00490708" w:rsidRPr="00490708">
        <w:instrText xml:space="preserve"> REF _Ref522182204 \r \h </w:instrText>
      </w:r>
      <w:r w:rsidR="00490708">
        <w:instrText xml:space="preserve"> \* MERGEFORMAT </w:instrText>
      </w:r>
      <w:r w:rsidR="00490708" w:rsidRPr="00490708">
        <w:fldChar w:fldCharType="separate"/>
      </w:r>
      <w:r w:rsidR="00CD3ED2">
        <w:t>10</w:t>
      </w:r>
      <w:r w:rsidR="00490708" w:rsidRPr="00490708">
        <w:fldChar w:fldCharType="end"/>
      </w:r>
      <w:r w:rsidR="00562930">
        <w:t xml:space="preserve"> of this Attachment</w:t>
      </w:r>
      <w:r w:rsidR="00CF6791">
        <w:t>, the ind</w:t>
      </w:r>
      <w:r w:rsidR="00A55919">
        <w:t>ividual balances of the participating customer accounts must be reflected separately in the exposure measure.</w:t>
      </w:r>
      <w:bookmarkEnd w:id="64"/>
    </w:p>
    <w:p w14:paraId="5D8A4F5B" w14:textId="09853138" w:rsidR="00736109" w:rsidRPr="00EA69F8" w:rsidRDefault="00F96D29" w:rsidP="00DF45F4">
      <w:pPr>
        <w:pStyle w:val="Heading2"/>
      </w:pPr>
      <w:r>
        <w:t>Non-market-</w:t>
      </w:r>
      <w:r w:rsidR="00736109">
        <w:t>related off-balance sheet exposures</w:t>
      </w:r>
    </w:p>
    <w:p w14:paraId="29812EAB" w14:textId="559C7F07" w:rsidR="00DF45F4" w:rsidRDefault="00DF45F4" w:rsidP="00DF45F4">
      <w:pPr>
        <w:pStyle w:val="BodyText1"/>
      </w:pPr>
      <w:bookmarkStart w:id="65" w:name="_Ref522182008"/>
      <w:r>
        <w:t>For the purpose of calculating non-market-related off-balance sheet exposures, an ADI must apply credit conversion factors (CCFs) to the gross notional amounts of off-balance sheet items.</w:t>
      </w:r>
      <w:r w:rsidR="00B0572A">
        <w:rPr>
          <w:rStyle w:val="FootnoteReference"/>
        </w:rPr>
        <w:footnoteReference w:id="15"/>
      </w:r>
      <w:r>
        <w:t xml:space="preserve"> An ADI must apply the CCFs set out in T</w:t>
      </w:r>
      <w:r w:rsidRPr="00BC6C22">
        <w:t>able 1</w:t>
      </w:r>
      <w:r>
        <w:t>7</w:t>
      </w:r>
      <w:r w:rsidRPr="00BC6C22">
        <w:t xml:space="preserve"> of Attachment </w:t>
      </w:r>
      <w:r>
        <w:t>C</w:t>
      </w:r>
      <w:r w:rsidRPr="00BC6C22">
        <w:t xml:space="preserve"> to APS</w:t>
      </w:r>
      <w:r>
        <w:t> </w:t>
      </w:r>
      <w:r w:rsidRPr="00BC6C22">
        <w:t>112</w:t>
      </w:r>
      <w:r>
        <w:t>.</w:t>
      </w:r>
    </w:p>
    <w:p w14:paraId="5BE81D74" w14:textId="77777777" w:rsidR="00DF45F4" w:rsidRDefault="00DF45F4" w:rsidP="00DF45F4">
      <w:pPr>
        <w:pStyle w:val="BodyText1"/>
      </w:pPr>
      <w:r>
        <w:t xml:space="preserve">For any off-balance sheet securitisation exposures, an ADI must apply the relevant CCFs as set out in </w:t>
      </w:r>
      <w:r w:rsidRPr="00F67158">
        <w:t>paragraph 43 of APS</w:t>
      </w:r>
      <w:r>
        <w:t> </w:t>
      </w:r>
      <w:r w:rsidRPr="00F67158">
        <w:t>120</w:t>
      </w:r>
      <w:r>
        <w:t xml:space="preserve">. </w:t>
      </w:r>
    </w:p>
    <w:p w14:paraId="72BEC1FB" w14:textId="77777777" w:rsidR="00DF45F4" w:rsidRDefault="00DF45F4" w:rsidP="00DF45F4">
      <w:pPr>
        <w:pStyle w:val="BodyText1"/>
      </w:pPr>
      <w:r>
        <w:t xml:space="preserve">Provisions that have decreased Tier 1 Capital may be deducted from the credit exposure equivalent amount (i.e. the exposure amount after the application of the relevant CCF). However, the resulting off-balance sheet equivalent amount for these exposures cannot be less than zero. </w:t>
      </w:r>
    </w:p>
    <w:p w14:paraId="406803AF" w14:textId="4E48D51A" w:rsidR="00C81115" w:rsidRDefault="00C81115" w:rsidP="00C81115">
      <w:pPr>
        <w:pStyle w:val="BodyText1"/>
      </w:pPr>
      <w:bookmarkStart w:id="66" w:name="_Ref522182011"/>
      <w:bookmarkEnd w:id="65"/>
      <w:r>
        <w:t>If the exposure amount relates to an unsettled regular-way financial asset purchase (i.e. the commitment to pay) that is accounted</w:t>
      </w:r>
      <w:r w:rsidR="00DB5D31">
        <w:t xml:space="preserve"> for at settlement date, an </w:t>
      </w:r>
      <w:r>
        <w:t xml:space="preserve">ADI must apply a CCF of 100 per cent. </w:t>
      </w:r>
      <w:bookmarkEnd w:id="66"/>
      <w:r w:rsidR="00112B3C">
        <w:t>An ADI may offset commitments to pay for unsettled purchases and cash to be received for unsettled sales provided the following conditions are met:</w:t>
      </w:r>
    </w:p>
    <w:p w14:paraId="5BAC1114" w14:textId="0E90B137" w:rsidR="00C81115" w:rsidRDefault="00112B3C" w:rsidP="00C53AEE">
      <w:pPr>
        <w:pStyle w:val="BodyText2"/>
        <w:jc w:val="both"/>
      </w:pPr>
      <w:r>
        <w:t>the financial assets bought and sold</w:t>
      </w:r>
      <w:r w:rsidR="006577E0">
        <w:t xml:space="preserve"> that are associated with the cash payables and receivables</w:t>
      </w:r>
      <w:r w:rsidR="00DB5D31">
        <w:t xml:space="preserve"> are included in the </w:t>
      </w:r>
      <w:r w:rsidR="00C81115">
        <w:t>ADI’s income statement at fair</w:t>
      </w:r>
      <w:r w:rsidR="00DB5D31">
        <w:t xml:space="preserve"> value and allocated to the </w:t>
      </w:r>
      <w:r w:rsidR="00C81115">
        <w:t xml:space="preserve">ADI’s trading book in accordance with </w:t>
      </w:r>
      <w:r w:rsidR="00C81115" w:rsidRPr="006577E0">
        <w:t>Attachment A to APS</w:t>
      </w:r>
      <w:r w:rsidR="00CE0CE0">
        <w:t> </w:t>
      </w:r>
      <w:r w:rsidR="00C81115" w:rsidRPr="006577E0">
        <w:t>116;</w:t>
      </w:r>
      <w:r w:rsidR="00C81115">
        <w:t xml:space="preserve"> and</w:t>
      </w:r>
    </w:p>
    <w:p w14:paraId="731812FD" w14:textId="77777777" w:rsidR="00C81115" w:rsidRDefault="00C81115" w:rsidP="00C53AEE">
      <w:pPr>
        <w:pStyle w:val="BodyText2"/>
        <w:jc w:val="both"/>
      </w:pPr>
      <w:r>
        <w:t>the transactions of the financial assets are settled on a delivery-versus-payment basis.</w:t>
      </w:r>
    </w:p>
    <w:p w14:paraId="6C8755CD" w14:textId="35D765A0" w:rsidR="0087297C" w:rsidRPr="0015489A" w:rsidRDefault="0087297C" w:rsidP="00DF45F4">
      <w:pPr>
        <w:pStyle w:val="Heading2"/>
      </w:pPr>
      <w:r>
        <w:t>Derivative exposures</w:t>
      </w:r>
    </w:p>
    <w:p w14:paraId="07C1ABBC" w14:textId="1D1D14C0" w:rsidR="00440458" w:rsidRPr="0087297C" w:rsidRDefault="00440458" w:rsidP="0087297C">
      <w:pPr>
        <w:pStyle w:val="BodyText1"/>
      </w:pPr>
      <w:bookmarkStart w:id="67" w:name="_Ref34399123"/>
      <w:proofErr w:type="gramStart"/>
      <w:r>
        <w:t>For the purpose of</w:t>
      </w:r>
      <w:proofErr w:type="gramEnd"/>
      <w:r>
        <w:t xml:space="preserve"> calculating the exposure measure, an ADI must apply the specific treatment set out in </w:t>
      </w:r>
      <w:r w:rsidR="00C022DF">
        <w:t xml:space="preserve">paragraphs </w:t>
      </w:r>
      <w:r w:rsidR="00C022DF">
        <w:fldChar w:fldCharType="begin"/>
      </w:r>
      <w:r w:rsidR="00C022DF">
        <w:instrText xml:space="preserve"> REF _Ref508030615 \r \h </w:instrText>
      </w:r>
      <w:r w:rsidR="00C022DF">
        <w:fldChar w:fldCharType="separate"/>
      </w:r>
      <w:r w:rsidR="00CD3ED2">
        <w:t>17</w:t>
      </w:r>
      <w:r w:rsidR="00C022DF">
        <w:fldChar w:fldCharType="end"/>
      </w:r>
      <w:r w:rsidR="00C022DF">
        <w:t xml:space="preserve"> to </w:t>
      </w:r>
      <w:r w:rsidR="00C022DF">
        <w:fldChar w:fldCharType="begin"/>
      </w:r>
      <w:r w:rsidR="00C022DF">
        <w:instrText xml:space="preserve"> REF _Ref522183487 \r \h </w:instrText>
      </w:r>
      <w:r w:rsidR="00C022DF">
        <w:fldChar w:fldCharType="separate"/>
      </w:r>
      <w:r w:rsidR="00CD3ED2">
        <w:t>36</w:t>
      </w:r>
      <w:r w:rsidR="00C022DF">
        <w:fldChar w:fldCharType="end"/>
      </w:r>
      <w:r w:rsidR="008F2ED4">
        <w:t xml:space="preserve"> of this Attachment</w:t>
      </w:r>
      <w:r>
        <w:t xml:space="preserve"> to any </w:t>
      </w:r>
      <w:r w:rsidR="00902A40">
        <w:t xml:space="preserve">derivatives </w:t>
      </w:r>
      <w:r w:rsidR="00F12E2E">
        <w:t>transaction</w:t>
      </w:r>
      <w:r>
        <w:t>.</w:t>
      </w:r>
      <w:bookmarkEnd w:id="67"/>
      <w:r>
        <w:t xml:space="preserve"> </w:t>
      </w:r>
    </w:p>
    <w:p w14:paraId="34FF0108" w14:textId="69C6362E" w:rsidR="0087297C" w:rsidRPr="00EA69F8" w:rsidRDefault="0087297C" w:rsidP="00F12E2E">
      <w:pPr>
        <w:pStyle w:val="Heading3"/>
      </w:pPr>
      <w:r w:rsidRPr="00B93D48">
        <w:lastRenderedPageBreak/>
        <w:t>Treatment of derivatives</w:t>
      </w:r>
    </w:p>
    <w:p w14:paraId="368029EB" w14:textId="70754291" w:rsidR="008F29A4" w:rsidRDefault="008F29A4" w:rsidP="0087297C">
      <w:pPr>
        <w:pStyle w:val="BodyText1"/>
      </w:pPr>
      <w:bookmarkStart w:id="68" w:name="_Ref508030615"/>
      <w:r>
        <w:t>An ADI must calculate its exposures associated with all derivative trans</w:t>
      </w:r>
      <w:r w:rsidR="00990F50">
        <w:t xml:space="preserve">actions, including where </w:t>
      </w:r>
      <w:r w:rsidR="006F4C07">
        <w:t>it</w:t>
      </w:r>
      <w:r>
        <w:t xml:space="preserve"> sells protection using a credit derivative, as:</w:t>
      </w:r>
      <w:bookmarkEnd w:id="68"/>
    </w:p>
    <w:p w14:paraId="7D4C0F7B" w14:textId="69B8BAC8" w:rsidR="008F29A4" w:rsidRDefault="008F29A4" w:rsidP="00CB716A">
      <w:pPr>
        <w:pStyle w:val="BodyText1"/>
        <w:numPr>
          <w:ilvl w:val="0"/>
          <w:numId w:val="0"/>
        </w:numPr>
        <w:ind w:left="567"/>
        <w:rPr>
          <w:i/>
        </w:rPr>
      </w:pPr>
      <w:r>
        <w:rPr>
          <w:i/>
        </w:rPr>
        <w:t>exposure measure = 1.4</w:t>
      </w:r>
      <w:r w:rsidR="00F714B5">
        <w:rPr>
          <w:i/>
        </w:rPr>
        <w:t>*</w:t>
      </w:r>
      <w:r>
        <w:rPr>
          <w:i/>
        </w:rPr>
        <w:t>(RC + PFE)</w:t>
      </w:r>
    </w:p>
    <w:p w14:paraId="29E6BDED" w14:textId="67D769D0" w:rsidR="008F29A4" w:rsidRDefault="008F29A4" w:rsidP="00CB716A">
      <w:pPr>
        <w:pStyle w:val="BodyText1"/>
        <w:numPr>
          <w:ilvl w:val="0"/>
          <w:numId w:val="0"/>
        </w:numPr>
        <w:ind w:left="567"/>
      </w:pPr>
      <w:r>
        <w:t>where:</w:t>
      </w:r>
    </w:p>
    <w:p w14:paraId="5D69E9CC" w14:textId="18FF2EFD" w:rsidR="00584DD7" w:rsidRDefault="008F29A4" w:rsidP="00CB716A">
      <w:pPr>
        <w:pStyle w:val="BodyText1"/>
        <w:numPr>
          <w:ilvl w:val="0"/>
          <w:numId w:val="0"/>
        </w:numPr>
        <w:ind w:left="567"/>
      </w:pPr>
      <w:r>
        <w:rPr>
          <w:i/>
        </w:rPr>
        <w:t xml:space="preserve">RC </w:t>
      </w:r>
      <w:r>
        <w:t>= the replacement cost</w:t>
      </w:r>
      <w:r w:rsidR="00584DD7">
        <w:t xml:space="preserve">, calculated according </w:t>
      </w:r>
      <w:r w:rsidR="00584DD7" w:rsidRPr="006F4C07">
        <w:t xml:space="preserve">to </w:t>
      </w:r>
      <w:r w:rsidR="006F4C07" w:rsidRPr="006F4C07">
        <w:t xml:space="preserve">paragraph </w:t>
      </w:r>
      <w:r w:rsidR="006F4C07" w:rsidRPr="006F4C07">
        <w:fldChar w:fldCharType="begin"/>
      </w:r>
      <w:r w:rsidR="006F4C07" w:rsidRPr="006F4C07">
        <w:instrText xml:space="preserve"> REF _Ref522183842 \r \h </w:instrText>
      </w:r>
      <w:r w:rsidR="006F4C07">
        <w:instrText xml:space="preserve"> \* MERGEFORMAT </w:instrText>
      </w:r>
      <w:r w:rsidR="006F4C07" w:rsidRPr="006F4C07">
        <w:fldChar w:fldCharType="separate"/>
      </w:r>
      <w:r w:rsidR="00CD3ED2">
        <w:t>19</w:t>
      </w:r>
      <w:r w:rsidR="006F4C07" w:rsidRPr="006F4C07">
        <w:fldChar w:fldCharType="end"/>
      </w:r>
      <w:r w:rsidR="008F2ED4">
        <w:t xml:space="preserve"> of this Attachment</w:t>
      </w:r>
      <w:r w:rsidR="00584DD7">
        <w:t>; and</w:t>
      </w:r>
    </w:p>
    <w:p w14:paraId="014DB9F7" w14:textId="6E83E93B" w:rsidR="003C3034" w:rsidRPr="00CB716A" w:rsidRDefault="003C3034" w:rsidP="00CB716A">
      <w:pPr>
        <w:pStyle w:val="BodyText1"/>
        <w:numPr>
          <w:ilvl w:val="0"/>
          <w:numId w:val="0"/>
        </w:numPr>
        <w:ind w:left="567"/>
      </w:pPr>
      <w:r>
        <w:rPr>
          <w:i/>
        </w:rPr>
        <w:t>PFE</w:t>
      </w:r>
      <w:r>
        <w:t xml:space="preserve"> = the potential future exposure</w:t>
      </w:r>
      <w:r w:rsidR="00584DD7">
        <w:t xml:space="preserve">, calculated according to </w:t>
      </w:r>
      <w:r w:rsidR="006F4C07" w:rsidRPr="006F4C07">
        <w:t xml:space="preserve">paragraphs </w:t>
      </w:r>
      <w:r w:rsidR="006F4C07" w:rsidRPr="006F4C07">
        <w:fldChar w:fldCharType="begin"/>
      </w:r>
      <w:r w:rsidR="006F4C07" w:rsidRPr="006F4C07">
        <w:instrText xml:space="preserve"> REF _Ref522183867 \r \h </w:instrText>
      </w:r>
      <w:r w:rsidR="006F4C07">
        <w:instrText xml:space="preserve"> \* MERGEFORMAT </w:instrText>
      </w:r>
      <w:r w:rsidR="006F4C07" w:rsidRPr="006F4C07">
        <w:fldChar w:fldCharType="separate"/>
      </w:r>
      <w:r w:rsidR="00CD3ED2">
        <w:t>20</w:t>
      </w:r>
      <w:r w:rsidR="006F4C07" w:rsidRPr="006F4C07">
        <w:fldChar w:fldCharType="end"/>
      </w:r>
      <w:r w:rsidR="006F4C07" w:rsidRPr="006F4C07">
        <w:t xml:space="preserve"> and </w:t>
      </w:r>
      <w:r w:rsidR="006F4C07" w:rsidRPr="006F4C07">
        <w:fldChar w:fldCharType="begin"/>
      </w:r>
      <w:r w:rsidR="006F4C07" w:rsidRPr="006F4C07">
        <w:instrText xml:space="preserve"> REF _Ref522183871 \r \h </w:instrText>
      </w:r>
      <w:r w:rsidR="006F4C07">
        <w:instrText xml:space="preserve"> \* MERGEFORMAT </w:instrText>
      </w:r>
      <w:r w:rsidR="006F4C07" w:rsidRPr="006F4C07">
        <w:fldChar w:fldCharType="separate"/>
      </w:r>
      <w:r w:rsidR="00CD3ED2">
        <w:t>21</w:t>
      </w:r>
      <w:r w:rsidR="006F4C07" w:rsidRPr="006F4C07">
        <w:fldChar w:fldCharType="end"/>
      </w:r>
      <w:r w:rsidR="008F2ED4">
        <w:t xml:space="preserve"> of this Attachment</w:t>
      </w:r>
      <w:r w:rsidR="00584DD7">
        <w:t xml:space="preserve">. </w:t>
      </w:r>
    </w:p>
    <w:p w14:paraId="17BFF8FD" w14:textId="19271ED7" w:rsidR="009E3311" w:rsidRDefault="002A1BDA" w:rsidP="002A1BDA">
      <w:pPr>
        <w:pStyle w:val="BodyText1"/>
      </w:pPr>
      <w:r>
        <w:t>An ADI must calculate its exposure to</w:t>
      </w:r>
      <w:r w:rsidR="009E3311">
        <w:t>:</w:t>
      </w:r>
      <w:r>
        <w:t xml:space="preserve"> </w:t>
      </w:r>
    </w:p>
    <w:p w14:paraId="553A6ECE" w14:textId="2FAF29B9" w:rsidR="002A1BDA" w:rsidRDefault="002A1BDA" w:rsidP="009E3311">
      <w:pPr>
        <w:pStyle w:val="BodyText2"/>
        <w:jc w:val="both"/>
      </w:pPr>
      <w:r>
        <w:t xml:space="preserve">a single derivatives transaction not covered by an eligible bilateral netting agreement by applying the formula in </w:t>
      </w:r>
      <w:r w:rsidR="00DB6B39" w:rsidRPr="00DB6B39">
        <w:t xml:space="preserve">paragraph </w:t>
      </w:r>
      <w:r w:rsidR="00DB6B39" w:rsidRPr="00DB6B39">
        <w:fldChar w:fldCharType="begin"/>
      </w:r>
      <w:r w:rsidR="00DB6B39" w:rsidRPr="00DB6B39">
        <w:instrText xml:space="preserve"> REF _Ref508030615 \r \h </w:instrText>
      </w:r>
      <w:r w:rsidR="00DB6B39">
        <w:instrText xml:space="preserve"> \* MERGEFORMAT </w:instrText>
      </w:r>
      <w:r w:rsidR="00DB6B39" w:rsidRPr="00DB6B39">
        <w:fldChar w:fldCharType="separate"/>
      </w:r>
      <w:r w:rsidR="00CD3ED2">
        <w:t>17</w:t>
      </w:r>
      <w:r w:rsidR="00DB6B39" w:rsidRPr="00DB6B39">
        <w:fldChar w:fldCharType="end"/>
      </w:r>
      <w:r>
        <w:t xml:space="preserve"> of this Attachment to each transaction separately</w:t>
      </w:r>
      <w:r w:rsidR="009E3311">
        <w:t>; and</w:t>
      </w:r>
      <w:r>
        <w:t xml:space="preserve"> </w:t>
      </w:r>
    </w:p>
    <w:p w14:paraId="4FF2FFCE" w14:textId="5789D49C" w:rsidR="00C96D6A" w:rsidRDefault="00C96D6A" w:rsidP="009E3311">
      <w:pPr>
        <w:pStyle w:val="BodyText2"/>
        <w:jc w:val="both"/>
      </w:pPr>
      <w:r>
        <w:t>derivatives transactions covered by an eligible bilateral netting agreement by applying the formula</w:t>
      </w:r>
      <w:r w:rsidR="00B9190D">
        <w:t xml:space="preserve"> </w:t>
      </w:r>
      <w:r w:rsidR="00B9190D" w:rsidRPr="00DB6B39">
        <w:t>in paragraph</w:t>
      </w:r>
      <w:r w:rsidR="00DB6B39" w:rsidRPr="00DB6B39">
        <w:t xml:space="preserve"> </w:t>
      </w:r>
      <w:r w:rsidR="00DB6B39" w:rsidRPr="00DB6B39">
        <w:fldChar w:fldCharType="begin"/>
      </w:r>
      <w:r w:rsidR="00DB6B39" w:rsidRPr="00DB6B39">
        <w:instrText xml:space="preserve"> REF _Ref508030615 \r \h </w:instrText>
      </w:r>
      <w:r w:rsidR="00DB6B39">
        <w:instrText xml:space="preserve"> \* MERGEFORMAT </w:instrText>
      </w:r>
      <w:r w:rsidR="00DB6B39" w:rsidRPr="00DB6B39">
        <w:fldChar w:fldCharType="separate"/>
      </w:r>
      <w:r w:rsidR="00CD3ED2">
        <w:t>17</w:t>
      </w:r>
      <w:r w:rsidR="00DB6B39" w:rsidRPr="00DB6B39">
        <w:fldChar w:fldCharType="end"/>
      </w:r>
      <w:r w:rsidR="00134705">
        <w:t xml:space="preserve"> </w:t>
      </w:r>
      <w:r>
        <w:t>of this Attachment at the netting set level.</w:t>
      </w:r>
      <w:r w:rsidR="00040FE3">
        <w:rPr>
          <w:rStyle w:val="FootnoteReference"/>
        </w:rPr>
        <w:footnoteReference w:id="16"/>
      </w:r>
    </w:p>
    <w:p w14:paraId="691F27A8" w14:textId="0FED1732" w:rsidR="008D4B7E" w:rsidRDefault="0087297C" w:rsidP="009E3311">
      <w:pPr>
        <w:ind w:left="567"/>
        <w:jc w:val="both"/>
      </w:pPr>
      <w:r w:rsidRPr="002D5BF2">
        <w:t xml:space="preserve">For </w:t>
      </w:r>
      <w:r w:rsidR="007951F5">
        <w:t>this purpose</w:t>
      </w:r>
      <w:r w:rsidRPr="002D5BF2">
        <w:t xml:space="preserve">, an eligible bilateral netting agreement is one that meets the criteria in </w:t>
      </w:r>
      <w:r w:rsidR="00271992" w:rsidRPr="002D5BF2">
        <w:t xml:space="preserve">Attachment </w:t>
      </w:r>
      <w:r w:rsidR="00990D62">
        <w:t>H</w:t>
      </w:r>
      <w:r w:rsidR="00990D62" w:rsidRPr="002D5BF2">
        <w:t xml:space="preserve"> </w:t>
      </w:r>
      <w:r w:rsidR="00271992" w:rsidRPr="002D5BF2">
        <w:t>to APS</w:t>
      </w:r>
      <w:r w:rsidR="00CE0CE0" w:rsidRPr="002D5BF2">
        <w:t> </w:t>
      </w:r>
      <w:r w:rsidR="00271992" w:rsidRPr="002D5BF2">
        <w:t>112</w:t>
      </w:r>
      <w:r w:rsidRPr="002D5BF2">
        <w:t>.</w:t>
      </w:r>
      <w:r w:rsidRPr="0087297C">
        <w:t xml:space="preserve"> </w:t>
      </w:r>
      <w:r w:rsidR="00990D62">
        <w:t>Cross-product netting (i.e. between derivatives and SFTs) is not permitted.</w:t>
      </w:r>
    </w:p>
    <w:p w14:paraId="517F8489" w14:textId="507DE3CF" w:rsidR="005653E9" w:rsidRDefault="005653E9" w:rsidP="00F12E2E">
      <w:pPr>
        <w:pStyle w:val="Heading4"/>
      </w:pPr>
      <w:r w:rsidRPr="00DC05FB">
        <w:t xml:space="preserve">Calculation of </w:t>
      </w:r>
      <w:r w:rsidR="00FD03E6" w:rsidRPr="00DC05FB">
        <w:t>the replacement cost</w:t>
      </w:r>
    </w:p>
    <w:p w14:paraId="01902E90" w14:textId="217FE339" w:rsidR="005653E9" w:rsidRDefault="005653E9">
      <w:pPr>
        <w:pStyle w:val="BodyText1"/>
      </w:pPr>
      <w:bookmarkStart w:id="69" w:name="_Ref522183842"/>
      <w:r>
        <w:t xml:space="preserve">The </w:t>
      </w:r>
      <w:r w:rsidR="00FD03E6">
        <w:t>RC of a transaction or netting set is measured as follows:</w:t>
      </w:r>
      <w:bookmarkEnd w:id="69"/>
    </w:p>
    <w:p w14:paraId="3309FEC7" w14:textId="094AD18F" w:rsidR="00FD03E6" w:rsidRDefault="00FD03E6" w:rsidP="00EC0B7B">
      <w:pPr>
        <w:pStyle w:val="BodyText1"/>
        <w:numPr>
          <w:ilvl w:val="0"/>
          <w:numId w:val="0"/>
        </w:numPr>
        <w:ind w:left="567"/>
        <w:rPr>
          <w:i/>
        </w:rPr>
      </w:pPr>
      <w:r>
        <w:rPr>
          <w:i/>
        </w:rPr>
        <w:t xml:space="preserve">RC = max {V - </w:t>
      </w:r>
      <w:proofErr w:type="spellStart"/>
      <w:r>
        <w:rPr>
          <w:i/>
        </w:rPr>
        <w:t>CVM</w:t>
      </w:r>
      <w:r w:rsidR="004F4223" w:rsidRPr="00EC0B7B">
        <w:rPr>
          <w:i/>
          <w:vertAlign w:val="subscript"/>
        </w:rPr>
        <w:t>r</w:t>
      </w:r>
      <w:proofErr w:type="spellEnd"/>
      <w:r w:rsidR="004F4223">
        <w:rPr>
          <w:i/>
        </w:rPr>
        <w:t xml:space="preserve"> + </w:t>
      </w:r>
      <w:proofErr w:type="spellStart"/>
      <w:r w:rsidR="004F4223">
        <w:rPr>
          <w:i/>
        </w:rPr>
        <w:t>CVM</w:t>
      </w:r>
      <w:r w:rsidR="004F4223" w:rsidRPr="00EC0B7B">
        <w:rPr>
          <w:i/>
          <w:vertAlign w:val="subscript"/>
        </w:rPr>
        <w:t>p</w:t>
      </w:r>
      <w:proofErr w:type="spellEnd"/>
      <w:r w:rsidR="004F4223">
        <w:rPr>
          <w:i/>
        </w:rPr>
        <w:t>, 0}</w:t>
      </w:r>
    </w:p>
    <w:p w14:paraId="2D06CA0B" w14:textId="687A1736" w:rsidR="004F4223" w:rsidRDefault="004F4223" w:rsidP="00EC0B7B">
      <w:pPr>
        <w:pStyle w:val="BodyText1"/>
        <w:numPr>
          <w:ilvl w:val="0"/>
          <w:numId w:val="0"/>
        </w:numPr>
        <w:ind w:left="567"/>
      </w:pPr>
      <w:r>
        <w:t>where:</w:t>
      </w:r>
    </w:p>
    <w:p w14:paraId="1AC6D204" w14:textId="6C297C22" w:rsidR="004F4223" w:rsidRDefault="004F4223" w:rsidP="00EC0B7B">
      <w:pPr>
        <w:pStyle w:val="BodyText1"/>
        <w:numPr>
          <w:ilvl w:val="0"/>
          <w:numId w:val="0"/>
        </w:numPr>
        <w:ind w:left="567"/>
      </w:pPr>
      <w:r>
        <w:rPr>
          <w:i/>
          <w:sz w:val="22"/>
        </w:rPr>
        <w:t xml:space="preserve">V </w:t>
      </w:r>
      <w:r>
        <w:rPr>
          <w:sz w:val="22"/>
        </w:rPr>
        <w:t xml:space="preserve">= </w:t>
      </w:r>
      <w:r w:rsidRPr="00EC0B7B">
        <w:t>the market value of the individual derivative transaction, or of the derivative transactions in a netting set</w:t>
      </w:r>
      <w:r>
        <w:t>;</w:t>
      </w:r>
    </w:p>
    <w:p w14:paraId="12CDF486" w14:textId="7F8745EF" w:rsidR="004F4223" w:rsidRDefault="004F4223" w:rsidP="00EC0B7B">
      <w:pPr>
        <w:pStyle w:val="BodyText1"/>
        <w:numPr>
          <w:ilvl w:val="0"/>
          <w:numId w:val="0"/>
        </w:numPr>
        <w:ind w:left="567"/>
      </w:pPr>
      <w:proofErr w:type="spellStart"/>
      <w:r>
        <w:rPr>
          <w:i/>
        </w:rPr>
        <w:t>CVM</w:t>
      </w:r>
      <w:r w:rsidRPr="00BD62DC">
        <w:rPr>
          <w:i/>
          <w:vertAlign w:val="subscript"/>
        </w:rPr>
        <w:t>r</w:t>
      </w:r>
      <w:proofErr w:type="spellEnd"/>
      <w:r>
        <w:rPr>
          <w:vertAlign w:val="subscript"/>
        </w:rPr>
        <w:t xml:space="preserve"> </w:t>
      </w:r>
      <w:r>
        <w:t xml:space="preserve">= the cash variation margin </w:t>
      </w:r>
      <w:r w:rsidRPr="00EC0B7B">
        <w:rPr>
          <w:i/>
        </w:rPr>
        <w:t>received</w:t>
      </w:r>
      <w:r>
        <w:t xml:space="preserve"> that meets the conditions set out in </w:t>
      </w:r>
      <w:r w:rsidR="00600600" w:rsidRPr="00600600">
        <w:t xml:space="preserve">paragraph </w:t>
      </w:r>
      <w:r w:rsidR="00600600" w:rsidRPr="00600600">
        <w:fldChar w:fldCharType="begin"/>
      </w:r>
      <w:r w:rsidR="00600600" w:rsidRPr="00600600">
        <w:instrText xml:space="preserve"> REF _Ref522184374 \r \h </w:instrText>
      </w:r>
      <w:r w:rsidR="00600600">
        <w:instrText xml:space="preserve"> \* MERGEFORMAT </w:instrText>
      </w:r>
      <w:r w:rsidR="00600600" w:rsidRPr="00600600">
        <w:fldChar w:fldCharType="separate"/>
      </w:r>
      <w:r w:rsidR="00CD3ED2">
        <w:t>23</w:t>
      </w:r>
      <w:r w:rsidR="00600600" w:rsidRPr="00600600">
        <w:fldChar w:fldCharType="end"/>
      </w:r>
      <w:r>
        <w:t xml:space="preserve"> of this Attachment and for which </w:t>
      </w:r>
      <w:r w:rsidR="005875D3">
        <w:t xml:space="preserve">the amount has not already reduced the market value of the derivative transaction </w:t>
      </w:r>
      <w:r w:rsidR="005875D3" w:rsidRPr="00EC0B7B">
        <w:rPr>
          <w:i/>
        </w:rPr>
        <w:t>V</w:t>
      </w:r>
      <w:r w:rsidR="005875D3">
        <w:t xml:space="preserve"> under Australian Accounting Standards; and</w:t>
      </w:r>
    </w:p>
    <w:p w14:paraId="14B8FFEB" w14:textId="322D185D" w:rsidR="005875D3" w:rsidRDefault="005875D3" w:rsidP="00EC0B7B">
      <w:pPr>
        <w:pStyle w:val="BodyText1"/>
        <w:numPr>
          <w:ilvl w:val="0"/>
          <w:numId w:val="0"/>
        </w:numPr>
        <w:ind w:left="567"/>
      </w:pPr>
      <w:proofErr w:type="spellStart"/>
      <w:r>
        <w:rPr>
          <w:i/>
        </w:rPr>
        <w:t>CVM</w:t>
      </w:r>
      <w:r w:rsidRPr="00BD62DC">
        <w:rPr>
          <w:i/>
          <w:vertAlign w:val="subscript"/>
        </w:rPr>
        <w:t>p</w:t>
      </w:r>
      <w:proofErr w:type="spellEnd"/>
      <w:r>
        <w:rPr>
          <w:i/>
        </w:rPr>
        <w:t xml:space="preserve"> </w:t>
      </w:r>
      <w:r>
        <w:t>= the cash variation</w:t>
      </w:r>
      <w:r w:rsidR="006B47B4">
        <w:t xml:space="preserve"> margin provided by the ADI </w:t>
      </w:r>
      <w:r>
        <w:t xml:space="preserve">that meets the conditions set out in </w:t>
      </w:r>
      <w:r w:rsidRPr="00600600">
        <w:t>paragr</w:t>
      </w:r>
      <w:r w:rsidR="00600600" w:rsidRPr="00600600">
        <w:t xml:space="preserve">aph </w:t>
      </w:r>
      <w:r w:rsidR="00600600" w:rsidRPr="00600600">
        <w:fldChar w:fldCharType="begin"/>
      </w:r>
      <w:r w:rsidR="00600600" w:rsidRPr="00600600">
        <w:instrText xml:space="preserve"> REF _Ref522184374 \r \h </w:instrText>
      </w:r>
      <w:r w:rsidR="00600600">
        <w:instrText xml:space="preserve"> \* MERGEFORMAT </w:instrText>
      </w:r>
      <w:r w:rsidR="00600600" w:rsidRPr="00600600">
        <w:fldChar w:fldCharType="separate"/>
      </w:r>
      <w:r w:rsidR="00CD3ED2">
        <w:t>23</w:t>
      </w:r>
      <w:r w:rsidR="00600600" w:rsidRPr="00600600">
        <w:fldChar w:fldCharType="end"/>
      </w:r>
      <w:r>
        <w:t xml:space="preserve"> of this Attachment and for which the amount has not already increased the market value of the derivative transaction </w:t>
      </w:r>
      <w:r w:rsidRPr="00EC0B7B">
        <w:rPr>
          <w:i/>
        </w:rPr>
        <w:t>V</w:t>
      </w:r>
      <w:r>
        <w:t xml:space="preserve"> under Australian Accounting Standards. </w:t>
      </w:r>
    </w:p>
    <w:p w14:paraId="75387337" w14:textId="1E121362" w:rsidR="000C7C6C" w:rsidRPr="00DC05FB" w:rsidRDefault="000C7C6C" w:rsidP="00F12E2E">
      <w:pPr>
        <w:pStyle w:val="Heading4"/>
      </w:pPr>
      <w:r w:rsidRPr="00DC05FB">
        <w:lastRenderedPageBreak/>
        <w:t>Calculation of the potential future exposure</w:t>
      </w:r>
    </w:p>
    <w:p w14:paraId="367E4F06" w14:textId="69715937" w:rsidR="000C7C6C" w:rsidRDefault="000C7C6C">
      <w:pPr>
        <w:pStyle w:val="BodyText1"/>
      </w:pPr>
      <w:bookmarkStart w:id="70" w:name="_Ref522183867"/>
      <w:r>
        <w:t xml:space="preserve">The PFE for derivative exposures must be calculated in accordance with </w:t>
      </w:r>
      <w:r w:rsidRPr="004121F5">
        <w:t>Attachment D</w:t>
      </w:r>
      <w:r>
        <w:t xml:space="preserve"> to APS</w:t>
      </w:r>
      <w:r w:rsidR="00CE0CE0">
        <w:t> </w:t>
      </w:r>
      <w:r>
        <w:t>180. Specifically,</w:t>
      </w:r>
      <w:bookmarkEnd w:id="70"/>
      <w:r>
        <w:t xml:space="preserve"> </w:t>
      </w:r>
    </w:p>
    <w:p w14:paraId="26A83917" w14:textId="06220630" w:rsidR="000C7C6C" w:rsidRDefault="000C7C6C" w:rsidP="00EC0B7B">
      <w:pPr>
        <w:pStyle w:val="BodyText1"/>
        <w:numPr>
          <w:ilvl w:val="0"/>
          <w:numId w:val="0"/>
        </w:numPr>
        <w:ind w:left="567"/>
        <w:rPr>
          <w:i/>
          <w:vertAlign w:val="subscript"/>
        </w:rPr>
      </w:pPr>
      <w:r>
        <w:rPr>
          <w:i/>
        </w:rPr>
        <w:t>PFE</w:t>
      </w:r>
      <w:r>
        <w:t xml:space="preserve"> </w:t>
      </w:r>
      <w:r>
        <w:rPr>
          <w:i/>
        </w:rPr>
        <w:t>= m*</w:t>
      </w:r>
      <w:proofErr w:type="spellStart"/>
      <w:r>
        <w:rPr>
          <w:i/>
        </w:rPr>
        <w:t>AddOn</w:t>
      </w:r>
      <w:r>
        <w:rPr>
          <w:i/>
          <w:vertAlign w:val="subscript"/>
        </w:rPr>
        <w:t>aggregate</w:t>
      </w:r>
      <w:proofErr w:type="spellEnd"/>
    </w:p>
    <w:p w14:paraId="62540E57" w14:textId="0D0737AE" w:rsidR="000C7C6C" w:rsidRDefault="000C7C6C" w:rsidP="00EC0B7B">
      <w:pPr>
        <w:pStyle w:val="BodyText1"/>
        <w:numPr>
          <w:ilvl w:val="0"/>
          <w:numId w:val="0"/>
        </w:numPr>
        <w:ind w:left="567"/>
      </w:pPr>
      <w:r>
        <w:t>where:</w:t>
      </w:r>
    </w:p>
    <w:p w14:paraId="2F6B590B" w14:textId="03F315B9" w:rsidR="000224EA" w:rsidRDefault="000C7C6C" w:rsidP="00EC0B7B">
      <w:pPr>
        <w:pStyle w:val="BodyText1"/>
        <w:numPr>
          <w:ilvl w:val="0"/>
          <w:numId w:val="0"/>
        </w:numPr>
        <w:ind w:left="567"/>
      </w:pPr>
      <w:r>
        <w:rPr>
          <w:i/>
        </w:rPr>
        <w:t xml:space="preserve">m= </w:t>
      </w:r>
      <w:r w:rsidR="00426275">
        <w:t>1</w:t>
      </w:r>
      <w:r w:rsidR="000224EA">
        <w:t>;</w:t>
      </w:r>
      <w:r w:rsidR="00AE4B90">
        <w:t xml:space="preserve"> and</w:t>
      </w:r>
    </w:p>
    <w:p w14:paraId="68EFBC4A" w14:textId="7BAB585F" w:rsidR="000C7C6C" w:rsidRDefault="000224EA" w:rsidP="00EC0B7B">
      <w:pPr>
        <w:pStyle w:val="BodyText1"/>
        <w:numPr>
          <w:ilvl w:val="0"/>
          <w:numId w:val="0"/>
        </w:numPr>
        <w:ind w:left="567"/>
      </w:pPr>
      <w:proofErr w:type="spellStart"/>
      <w:r>
        <w:rPr>
          <w:i/>
        </w:rPr>
        <w:t>AddOn</w:t>
      </w:r>
      <w:r>
        <w:rPr>
          <w:i/>
          <w:vertAlign w:val="subscript"/>
        </w:rPr>
        <w:t>aggregate</w:t>
      </w:r>
      <w:proofErr w:type="spellEnd"/>
      <w:r>
        <w:rPr>
          <w:i/>
        </w:rPr>
        <w:t xml:space="preserve"> = </w:t>
      </w:r>
      <w:r w:rsidR="00B014A1">
        <w:t xml:space="preserve">the aggregation of all add-on components calculated in accordance with </w:t>
      </w:r>
      <w:r w:rsidR="00B014A1" w:rsidRPr="004121F5">
        <w:t>Attachment D</w:t>
      </w:r>
      <w:r w:rsidR="00B014A1">
        <w:t xml:space="preserve"> to APS</w:t>
      </w:r>
      <w:r w:rsidR="00CE0CE0">
        <w:t> </w:t>
      </w:r>
      <w:r w:rsidR="00B014A1">
        <w:t>180.</w:t>
      </w:r>
      <w:r w:rsidR="001B6129">
        <w:t xml:space="preserve"> The maturity factor used must reflect the treatment for margined and unmargined transactions.</w:t>
      </w:r>
    </w:p>
    <w:p w14:paraId="48C8F07D" w14:textId="7B298D9F" w:rsidR="00AE4B90" w:rsidRDefault="00AE4B90">
      <w:pPr>
        <w:pStyle w:val="BodyText1"/>
      </w:pPr>
      <w:bookmarkStart w:id="71" w:name="_Ref522183871"/>
      <w:r>
        <w:t>Written options must be included in the leverage ratio exposure measure, even wher</w:t>
      </w:r>
      <w:r w:rsidR="00A0537F">
        <w:t xml:space="preserve">e the exposure at default </w:t>
      </w:r>
      <w:r w:rsidR="001E2FE9">
        <w:t>may be set to zero under APS</w:t>
      </w:r>
      <w:r w:rsidR="00CE0CE0">
        <w:t> </w:t>
      </w:r>
      <w:r w:rsidR="001E2FE9">
        <w:t>180.</w:t>
      </w:r>
      <w:bookmarkEnd w:id="71"/>
      <w:r w:rsidR="001E2FE9">
        <w:t xml:space="preserve"> </w:t>
      </w:r>
    </w:p>
    <w:p w14:paraId="1421F8EC" w14:textId="2BB211BA" w:rsidR="00271992" w:rsidRPr="00DC05FB" w:rsidRDefault="005B1829" w:rsidP="00F12E2E">
      <w:pPr>
        <w:pStyle w:val="Heading3"/>
      </w:pPr>
      <w:bookmarkStart w:id="72" w:name="_Hlk83754749"/>
      <w:r w:rsidRPr="00DC05FB">
        <w:t>Treatment of related collateral</w:t>
      </w:r>
    </w:p>
    <w:p w14:paraId="77DF0754" w14:textId="5F221C34" w:rsidR="00BC5A1F" w:rsidRDefault="001F5091" w:rsidP="005B1829">
      <w:pPr>
        <w:pStyle w:val="BodyText1"/>
      </w:pPr>
      <w:r>
        <w:t>Subject to paragraph</w:t>
      </w:r>
      <w:r w:rsidR="00556A3C">
        <w:t>s</w:t>
      </w:r>
      <w:r w:rsidR="00094FCA">
        <w:t xml:space="preserve"> </w:t>
      </w:r>
      <w:r w:rsidR="00094FCA">
        <w:fldChar w:fldCharType="begin"/>
      </w:r>
      <w:r w:rsidR="00094FCA">
        <w:instrText xml:space="preserve"> REF _Ref522202226 \r \h </w:instrText>
      </w:r>
      <w:r w:rsidR="00094FCA">
        <w:fldChar w:fldCharType="separate"/>
      </w:r>
      <w:r w:rsidR="00CD3ED2">
        <w:t>24</w:t>
      </w:r>
      <w:r w:rsidR="00094FCA">
        <w:fldChar w:fldCharType="end"/>
      </w:r>
      <w:r>
        <w:t xml:space="preserve"> </w:t>
      </w:r>
      <w:r w:rsidR="00556A3C">
        <w:t>and</w:t>
      </w:r>
      <w:r w:rsidR="00094FCA">
        <w:t xml:space="preserve"> </w:t>
      </w:r>
      <w:r w:rsidR="00094FCA">
        <w:fldChar w:fldCharType="begin"/>
      </w:r>
      <w:r w:rsidR="00094FCA">
        <w:instrText xml:space="preserve"> REF _Ref24367123 \r \h </w:instrText>
      </w:r>
      <w:r w:rsidR="00094FCA">
        <w:fldChar w:fldCharType="separate"/>
      </w:r>
      <w:r w:rsidR="00CD3ED2">
        <w:t>29</w:t>
      </w:r>
      <w:r w:rsidR="00094FCA">
        <w:fldChar w:fldCharType="end"/>
      </w:r>
      <w:r>
        <w:t xml:space="preserve"> of this Attachment, a</w:t>
      </w:r>
      <w:r w:rsidRPr="002D5BF2">
        <w:t xml:space="preserve">n </w:t>
      </w:r>
      <w:r w:rsidR="005B1829" w:rsidRPr="002D5BF2">
        <w:t>ADI</w:t>
      </w:r>
      <w:r w:rsidR="00BC5A1F">
        <w:t>:</w:t>
      </w:r>
      <w:r w:rsidR="005B1829" w:rsidRPr="002D5BF2">
        <w:t xml:space="preserve"> </w:t>
      </w:r>
    </w:p>
    <w:p w14:paraId="1928ABB0" w14:textId="64688BD8" w:rsidR="001F5091" w:rsidRPr="002D5BF2" w:rsidRDefault="005B1829" w:rsidP="007E7223">
      <w:pPr>
        <w:pStyle w:val="BodyText2"/>
        <w:jc w:val="both"/>
      </w:pPr>
      <w:r w:rsidRPr="002D5BF2">
        <w:t xml:space="preserve">must not reduce </w:t>
      </w:r>
      <w:r w:rsidR="00F50202" w:rsidRPr="002D5BF2">
        <w:t xml:space="preserve">its </w:t>
      </w:r>
      <w:r w:rsidRPr="002D5BF2">
        <w:t xml:space="preserve">exposure </w:t>
      </w:r>
      <w:r w:rsidR="00F50202" w:rsidRPr="002D5BF2">
        <w:t xml:space="preserve">measure by the </w:t>
      </w:r>
      <w:r w:rsidRPr="002D5BF2">
        <w:t xml:space="preserve">amount </w:t>
      </w:r>
      <w:r w:rsidR="00F65B32" w:rsidRPr="002D5BF2">
        <w:t xml:space="preserve">of </w:t>
      </w:r>
      <w:r w:rsidRPr="002D5BF2">
        <w:t>any</w:t>
      </w:r>
      <w:r w:rsidR="00F65B32" w:rsidRPr="002D5BF2">
        <w:t xml:space="preserve"> derivatives</w:t>
      </w:r>
      <w:r w:rsidRPr="002D5BF2">
        <w:t xml:space="preserve"> collatera</w:t>
      </w:r>
      <w:r w:rsidRPr="00117A0D">
        <w:t>l</w:t>
      </w:r>
      <w:r w:rsidRPr="00BC5A1F">
        <w:rPr>
          <w:i/>
        </w:rPr>
        <w:t xml:space="preserve"> receive</w:t>
      </w:r>
      <w:r w:rsidRPr="002D5BF2">
        <w:rPr>
          <w:i/>
        </w:rPr>
        <w:t>d</w:t>
      </w:r>
      <w:r w:rsidRPr="002D5BF2">
        <w:t xml:space="preserve"> from </w:t>
      </w:r>
      <w:r w:rsidR="00F65B32" w:rsidRPr="002D5BF2">
        <w:t xml:space="preserve">a </w:t>
      </w:r>
      <w:r w:rsidRPr="002D5BF2">
        <w:t>counterparty</w:t>
      </w:r>
      <w:r w:rsidR="007E7223">
        <w:t>; and</w:t>
      </w:r>
    </w:p>
    <w:p w14:paraId="30A8164E" w14:textId="19C9CAA4" w:rsidR="005B1829" w:rsidRDefault="005B1829" w:rsidP="007E7223">
      <w:pPr>
        <w:pStyle w:val="BodyText2"/>
        <w:jc w:val="both"/>
      </w:pPr>
      <w:r>
        <w:t xml:space="preserve">must </w:t>
      </w:r>
      <w:r w:rsidR="00F65B32">
        <w:t xml:space="preserve">increase its exposure measure by </w:t>
      </w:r>
      <w:r>
        <w:t xml:space="preserve">the amount of any derivatives </w:t>
      </w:r>
      <w:r w:rsidRPr="00E15123">
        <w:t>collateral</w:t>
      </w:r>
      <w:r w:rsidRPr="00342A45">
        <w:rPr>
          <w:i/>
        </w:rPr>
        <w:t xml:space="preserve"> provided</w:t>
      </w:r>
      <w:r>
        <w:t xml:space="preserve"> </w:t>
      </w:r>
      <w:r w:rsidR="00F65B32">
        <w:t>by it to a counterparty, where</w:t>
      </w:r>
      <w:r>
        <w:t xml:space="preserve"> the provision of that collateral has reduced the value of its balance sheet assets under Australian Accounting Standards.</w:t>
      </w:r>
    </w:p>
    <w:p w14:paraId="5D79FB7F" w14:textId="13A122CD" w:rsidR="005B1829" w:rsidRPr="00DC05FB" w:rsidRDefault="005B1829" w:rsidP="00F12E2E">
      <w:pPr>
        <w:pStyle w:val="Heading4"/>
      </w:pPr>
      <w:r w:rsidRPr="00DC05FB">
        <w:t>Treatment of cash variation margin</w:t>
      </w:r>
    </w:p>
    <w:p w14:paraId="0160DF2E" w14:textId="7590FB4F" w:rsidR="005B1829" w:rsidRDefault="00B036D1" w:rsidP="005B1829">
      <w:pPr>
        <w:pStyle w:val="BodyText1"/>
      </w:pPr>
      <w:bookmarkStart w:id="73" w:name="_Ref522184374"/>
      <w:r>
        <w:t>An ADI may reduce its exposure measure by treating the cash portion of variation margin exchanged between counterparties a</w:t>
      </w:r>
      <w:r w:rsidR="00A645A5">
        <w:t xml:space="preserve">s a form of pre-settlement payment, if </w:t>
      </w:r>
      <w:r>
        <w:t>the following conditions are met:</w:t>
      </w:r>
      <w:bookmarkEnd w:id="73"/>
      <w:r>
        <w:t xml:space="preserve"> </w:t>
      </w:r>
    </w:p>
    <w:p w14:paraId="7C5EA752" w14:textId="5B8C1CC0" w:rsidR="005B1829" w:rsidRDefault="005B1829" w:rsidP="00C53AEE">
      <w:pPr>
        <w:pStyle w:val="BodyText2"/>
        <w:jc w:val="both"/>
      </w:pPr>
      <w:r>
        <w:t>for trades not cleared through a qualifying central counterparty (QCCP),</w:t>
      </w:r>
      <w:r w:rsidR="000C210E">
        <w:rPr>
          <w:rStyle w:val="FootnoteReference"/>
        </w:rPr>
        <w:footnoteReference w:id="17"/>
      </w:r>
      <w:r>
        <w:t xml:space="preserve"> the cash received by the recipient counterparty </w:t>
      </w:r>
      <w:r w:rsidR="000C210E">
        <w:t xml:space="preserve">must </w:t>
      </w:r>
      <w:r>
        <w:t xml:space="preserve">not </w:t>
      </w:r>
      <w:r w:rsidR="000C210E">
        <w:t xml:space="preserve">be </w:t>
      </w:r>
      <w:r>
        <w:t>segregated</w:t>
      </w:r>
      <w:r w:rsidR="009A2567">
        <w:t>. Cash variation margin would satisfy the non-segregation criteria if the recipient counterparty is not subject to any restrictions by law, regulation or agreement on the counterparty’s ability to use the cash received</w:t>
      </w:r>
      <w:r>
        <w:t>;</w:t>
      </w:r>
      <w:r w:rsidR="009A2567">
        <w:t xml:space="preserve"> </w:t>
      </w:r>
    </w:p>
    <w:p w14:paraId="5645FD29" w14:textId="36630F00" w:rsidR="005B1829" w:rsidRDefault="005B1829" w:rsidP="00C53AEE">
      <w:pPr>
        <w:pStyle w:val="BodyText2"/>
        <w:jc w:val="both"/>
      </w:pPr>
      <w:r>
        <w:t>variation margin is calculated and exchanged on a daily basis based on mark-to-market valuation of derivatives positions</w:t>
      </w:r>
      <w:r w:rsidR="00E05AF9">
        <w:t xml:space="preserve">. In order to meet this requirement, </w:t>
      </w:r>
      <w:r w:rsidR="009A2567">
        <w:t>derivative positions must be valued daily and cash variation margin must be transferred at lea</w:t>
      </w:r>
      <w:r w:rsidR="00817E80">
        <w:t>s</w:t>
      </w:r>
      <w:r w:rsidR="009A2567">
        <w:t>t daily to the counterparty</w:t>
      </w:r>
      <w:r>
        <w:t>;</w:t>
      </w:r>
    </w:p>
    <w:bookmarkEnd w:id="72"/>
    <w:p w14:paraId="560DE363" w14:textId="2937CED0" w:rsidR="005B1829" w:rsidRDefault="005B1829" w:rsidP="00C53AEE">
      <w:pPr>
        <w:pStyle w:val="BodyText2"/>
        <w:jc w:val="both"/>
      </w:pPr>
      <w:r>
        <w:lastRenderedPageBreak/>
        <w:t xml:space="preserve">the cash variation margin is received in </w:t>
      </w:r>
      <w:r w:rsidR="00752378">
        <w:t>a currency specified in the derivatives contract, governing master netting agreement (MNA),</w:t>
      </w:r>
      <w:r w:rsidR="00A95F59">
        <w:rPr>
          <w:rStyle w:val="FootnoteReference"/>
        </w:rPr>
        <w:footnoteReference w:id="18"/>
      </w:r>
      <w:r w:rsidR="00752378">
        <w:t xml:space="preserve"> credit s</w:t>
      </w:r>
      <w:r w:rsidR="009C5D38">
        <w:t>upport annex</w:t>
      </w:r>
      <w:r w:rsidR="00752378">
        <w:t xml:space="preserve"> to the qualifying MNA or as defined by any netting agreement with a central counterparty (CCP)</w:t>
      </w:r>
      <w:r>
        <w:t>;</w:t>
      </w:r>
      <w:r w:rsidR="00752378">
        <w:rPr>
          <w:rStyle w:val="FootnoteReference"/>
        </w:rPr>
        <w:footnoteReference w:id="19"/>
      </w:r>
    </w:p>
    <w:p w14:paraId="6DD93078" w14:textId="426EAABB" w:rsidR="005B1829" w:rsidRDefault="005B1829" w:rsidP="00C53AEE">
      <w:pPr>
        <w:pStyle w:val="BodyText2"/>
        <w:jc w:val="both"/>
      </w:pPr>
      <w:r>
        <w:t>variation margin exchanged is the full amount that would be necessary to extinguish the mark-to-market exposure of the derivative subject to the threshold and minimum transfer amounts applicable to the counterparty;</w:t>
      </w:r>
      <w:r w:rsidR="003147CE">
        <w:rPr>
          <w:rStyle w:val="FootnoteReference"/>
        </w:rPr>
        <w:footnoteReference w:id="20"/>
      </w:r>
      <w:r>
        <w:t xml:space="preserve"> and</w:t>
      </w:r>
    </w:p>
    <w:p w14:paraId="40254DD3" w14:textId="7E657390" w:rsidR="005B1829" w:rsidRDefault="005B1829" w:rsidP="00C53AEE">
      <w:pPr>
        <w:pStyle w:val="BodyText2"/>
        <w:jc w:val="both"/>
      </w:pPr>
      <w:r>
        <w:t>derivatives transactions and variation margins are covered by a single MNA between the legal entities that are the counterparties in the derivatives transaction.</w:t>
      </w:r>
      <w:r w:rsidR="00EC0E04">
        <w:t xml:space="preserve"> </w:t>
      </w:r>
      <w:r>
        <w:t>The MNA must</w:t>
      </w:r>
      <w:r w:rsidR="009A1440">
        <w:t xml:space="preserve"> </w:t>
      </w:r>
      <w:r>
        <w:t xml:space="preserve">explicitly stipulate that the counterparties agree to settle </w:t>
      </w:r>
      <w:r w:rsidR="00EC0E04">
        <w:t xml:space="preserve">on a </w:t>
      </w:r>
      <w:r>
        <w:t xml:space="preserve">net </w:t>
      </w:r>
      <w:r w:rsidR="00EC0E04">
        <w:t xml:space="preserve">basis </w:t>
      </w:r>
      <w:r>
        <w:t xml:space="preserve">any payment obligations covered by </w:t>
      </w:r>
      <w:r w:rsidR="00EC0E04">
        <w:t>the MNA</w:t>
      </w:r>
      <w:r>
        <w:t>, taking into account any variation margin received or provided if a credit event occurs involving either counterparty.</w:t>
      </w:r>
    </w:p>
    <w:p w14:paraId="72277695" w14:textId="04BED558" w:rsidR="005B1829" w:rsidRDefault="005B1829" w:rsidP="005B1829">
      <w:pPr>
        <w:pStyle w:val="BodyText1"/>
      </w:pPr>
      <w:bookmarkStart w:id="74" w:name="_Ref522202226"/>
      <w:r>
        <w:t xml:space="preserve">If the conditions in </w:t>
      </w:r>
      <w:r w:rsidRPr="009A1440">
        <w:t xml:space="preserve">paragraph </w:t>
      </w:r>
      <w:r w:rsidR="009A1440" w:rsidRPr="009A1440">
        <w:fldChar w:fldCharType="begin"/>
      </w:r>
      <w:r w:rsidR="009A1440" w:rsidRPr="009A1440">
        <w:instrText xml:space="preserve"> REF _Ref522184374 \r \h </w:instrText>
      </w:r>
      <w:r w:rsidR="009A1440">
        <w:instrText xml:space="preserve"> \* MERGEFORMAT </w:instrText>
      </w:r>
      <w:r w:rsidR="009A1440" w:rsidRPr="009A1440">
        <w:fldChar w:fldCharType="separate"/>
      </w:r>
      <w:r w:rsidR="00CD3ED2">
        <w:t>23</w:t>
      </w:r>
      <w:r w:rsidR="009A1440" w:rsidRPr="009A1440">
        <w:fldChar w:fldCharType="end"/>
      </w:r>
      <w:r>
        <w:t xml:space="preserve"> </w:t>
      </w:r>
      <w:r w:rsidR="00562930">
        <w:t xml:space="preserve">of this Attachment </w:t>
      </w:r>
      <w:r>
        <w:t xml:space="preserve">are met </w:t>
      </w:r>
      <w:r w:rsidR="00A13F47">
        <w:t xml:space="preserve">and </w:t>
      </w:r>
      <w:r>
        <w:t>an ADI:</w:t>
      </w:r>
      <w:bookmarkEnd w:id="74"/>
    </w:p>
    <w:p w14:paraId="6EFD37A6" w14:textId="4906A9FD" w:rsidR="005B1829" w:rsidRPr="002D5BF2" w:rsidRDefault="005B1829" w:rsidP="00C53AEE">
      <w:pPr>
        <w:pStyle w:val="BodyText2"/>
        <w:jc w:val="both"/>
      </w:pPr>
      <w:r w:rsidRPr="002D5BF2">
        <w:rPr>
          <w:i/>
        </w:rPr>
        <w:t>receives</w:t>
      </w:r>
      <w:r w:rsidRPr="002D5BF2">
        <w:t xml:space="preserve"> cash variation margin from a counterparty, it may reduce </w:t>
      </w:r>
      <w:r w:rsidR="00342A45" w:rsidRPr="002D5BF2">
        <w:t xml:space="preserve">the </w:t>
      </w:r>
      <w:r w:rsidR="004A0587" w:rsidRPr="002D5BF2">
        <w:t>RC</w:t>
      </w:r>
      <w:r w:rsidRPr="002D5BF2">
        <w:t xml:space="preserve"> (</w:t>
      </w:r>
      <w:r w:rsidR="00E233C6" w:rsidRPr="002D5BF2">
        <w:t>but not the PFE component</w:t>
      </w:r>
      <w:r w:rsidRPr="002D5BF2">
        <w:t>) of the exposure amount of the derivative</w:t>
      </w:r>
      <w:r w:rsidR="001D3D15">
        <w:t xml:space="preserve"> transactions</w:t>
      </w:r>
      <w:r w:rsidRPr="002D5BF2">
        <w:t xml:space="preserve"> </w:t>
      </w:r>
      <w:r w:rsidR="007F01FF" w:rsidRPr="002D5BF2">
        <w:t xml:space="preserve">consistent with </w:t>
      </w:r>
      <w:r w:rsidR="009A1440" w:rsidRPr="002D5BF2">
        <w:t xml:space="preserve">paragraph </w:t>
      </w:r>
      <w:r w:rsidR="00D1525C" w:rsidRPr="002D5BF2">
        <w:fldChar w:fldCharType="begin"/>
      </w:r>
      <w:r w:rsidR="00D1525C" w:rsidRPr="002D5BF2">
        <w:instrText xml:space="preserve"> REF _Ref522183842 \r \h  \* MERGEFORMAT </w:instrText>
      </w:r>
      <w:r w:rsidR="00D1525C" w:rsidRPr="002D5BF2">
        <w:fldChar w:fldCharType="separate"/>
      </w:r>
      <w:r w:rsidR="00CD3ED2">
        <w:t>19</w:t>
      </w:r>
      <w:r w:rsidR="00D1525C" w:rsidRPr="002D5BF2">
        <w:fldChar w:fldCharType="end"/>
      </w:r>
      <w:r w:rsidR="007F01FF" w:rsidRPr="002D5BF2">
        <w:t xml:space="preserve"> of this Attachment</w:t>
      </w:r>
      <w:r w:rsidRPr="002D5BF2">
        <w:t>; and</w:t>
      </w:r>
    </w:p>
    <w:p w14:paraId="034CCF86" w14:textId="5FC825AF" w:rsidR="005B1829" w:rsidRDefault="005B1829" w:rsidP="00C53AEE">
      <w:pPr>
        <w:pStyle w:val="BodyText2"/>
        <w:jc w:val="both"/>
      </w:pPr>
      <w:r w:rsidRPr="00342A45">
        <w:rPr>
          <w:i/>
        </w:rPr>
        <w:t xml:space="preserve">provides </w:t>
      </w:r>
      <w:r>
        <w:t xml:space="preserve">cash variation margin to a counterparty, it may deduct the resulting receivable from its exposure measure, where the cash variation margin has been recognised as an asset </w:t>
      </w:r>
      <w:r w:rsidR="00D1525C">
        <w:t xml:space="preserve">in accordance with </w:t>
      </w:r>
      <w:r>
        <w:t>Australian Accounting Standards</w:t>
      </w:r>
      <w:r w:rsidR="00E233C6">
        <w:t>, and instead include the cash variation margin provided in the calculation of the RC</w:t>
      </w:r>
      <w:r w:rsidR="007F01FF">
        <w:t xml:space="preserve"> consistent with </w:t>
      </w:r>
      <w:r w:rsidR="00D1525C" w:rsidRPr="00D1525C">
        <w:t xml:space="preserve">paragraph </w:t>
      </w:r>
      <w:r w:rsidR="00D1525C">
        <w:fldChar w:fldCharType="begin"/>
      </w:r>
      <w:r w:rsidR="00D1525C">
        <w:instrText xml:space="preserve"> REF _Ref522183842 \r \h </w:instrText>
      </w:r>
      <w:r w:rsidR="00C53AEE">
        <w:instrText xml:space="preserve"> \* MERGEFORMAT </w:instrText>
      </w:r>
      <w:r w:rsidR="00D1525C">
        <w:fldChar w:fldCharType="separate"/>
      </w:r>
      <w:r w:rsidR="00CD3ED2">
        <w:t>19</w:t>
      </w:r>
      <w:r w:rsidR="00D1525C">
        <w:fldChar w:fldCharType="end"/>
      </w:r>
      <w:r w:rsidR="007F01FF">
        <w:t xml:space="preserve"> of this Attachment</w:t>
      </w:r>
      <w:r>
        <w:t>.</w:t>
      </w:r>
    </w:p>
    <w:p w14:paraId="11FC359A" w14:textId="1363856D" w:rsidR="005B1829" w:rsidRPr="00DC05FB" w:rsidRDefault="00342A45" w:rsidP="00F12E2E">
      <w:pPr>
        <w:pStyle w:val="Heading3"/>
      </w:pPr>
      <w:r w:rsidRPr="00DC05FB">
        <w:t>Treatment of clearing services</w:t>
      </w:r>
    </w:p>
    <w:p w14:paraId="1C4EC538" w14:textId="3EE62525" w:rsidR="006A2D49" w:rsidRDefault="00F71AEB" w:rsidP="00342A45">
      <w:pPr>
        <w:pStyle w:val="BodyText1"/>
      </w:pPr>
      <w:bookmarkStart w:id="75" w:name="_Ref522200066"/>
      <w:bookmarkStart w:id="76" w:name="_Ref24961230"/>
      <w:r>
        <w:t>If</w:t>
      </w:r>
      <w:r w:rsidR="00342A45">
        <w:t xml:space="preserve"> an A</w:t>
      </w:r>
      <w:r w:rsidR="00E91021">
        <w:t>DI acting as a clearing member</w:t>
      </w:r>
      <w:r w:rsidR="00C3415D">
        <w:t xml:space="preserve"> (CM)</w:t>
      </w:r>
      <w:r w:rsidR="00E91021">
        <w:rPr>
          <w:rStyle w:val="FootnoteReference"/>
        </w:rPr>
        <w:footnoteReference w:id="21"/>
      </w:r>
      <w:r w:rsidR="00E91021">
        <w:t xml:space="preserve"> </w:t>
      </w:r>
      <w:r w:rsidR="00342A45">
        <w:t>offers clearing services to clie</w:t>
      </w:r>
      <w:r w:rsidR="00E91021">
        <w:t xml:space="preserve">nts, </w:t>
      </w:r>
      <w:r w:rsidR="000B61F7">
        <w:t>its</w:t>
      </w:r>
      <w:r w:rsidR="00E91021">
        <w:t xml:space="preserve"> trade exposures </w:t>
      </w:r>
      <w:r w:rsidR="00342A45">
        <w:t xml:space="preserve">to </w:t>
      </w:r>
      <w:r w:rsidR="00E91021">
        <w:t>the CCP</w:t>
      </w:r>
      <w:r w:rsidR="00B334A3">
        <w:t xml:space="preserve"> must be included in its exposure measure</w:t>
      </w:r>
      <w:r w:rsidR="00D67F34">
        <w:t xml:space="preserve"> by applying the same treatment as for any other type of derivative transaction</w:t>
      </w:r>
      <w:r w:rsidR="00B334A3">
        <w:t>.</w:t>
      </w:r>
      <w:r w:rsidR="00F10AFB">
        <w:t xml:space="preserve"> </w:t>
      </w:r>
      <w:r w:rsidR="00B334A3">
        <w:t xml:space="preserve">Trade exposures to a CCP </w:t>
      </w:r>
      <w:r w:rsidR="00342A45">
        <w:t xml:space="preserve">arise when </w:t>
      </w:r>
      <w:r w:rsidR="00B334A3">
        <w:t>the ADI</w:t>
      </w:r>
      <w:r w:rsidR="00200C00">
        <w:t xml:space="preserve"> </w:t>
      </w:r>
      <w:r w:rsidR="00342A45">
        <w:t>is obligated to reimburse the client for any losses suffered due to changes in the value of its transactions in the event that the CCP defaults.</w:t>
      </w:r>
      <w:bookmarkEnd w:id="75"/>
      <w:r w:rsidR="00A4204D">
        <w:rPr>
          <w:rStyle w:val="FootnoteReference"/>
        </w:rPr>
        <w:footnoteReference w:id="22"/>
      </w:r>
      <w:bookmarkEnd w:id="76"/>
      <w:r w:rsidR="00342A45">
        <w:t xml:space="preserve"> </w:t>
      </w:r>
    </w:p>
    <w:p w14:paraId="133B22DA" w14:textId="6DD9792F" w:rsidR="00342A45" w:rsidRDefault="00F71AEB" w:rsidP="00342A45">
      <w:pPr>
        <w:pStyle w:val="BodyText1"/>
      </w:pPr>
      <w:bookmarkStart w:id="77" w:name="_Ref522202770"/>
      <w:r>
        <w:lastRenderedPageBreak/>
        <w:t>If</w:t>
      </w:r>
      <w:r w:rsidR="00342A45">
        <w:t xml:space="preserve"> </w:t>
      </w:r>
      <w:r w:rsidR="006A2D49">
        <w:t xml:space="preserve">an </w:t>
      </w:r>
      <w:r w:rsidR="00342A45">
        <w:t>ADI</w:t>
      </w:r>
      <w:r w:rsidR="006A2D49">
        <w:t xml:space="preserve"> </w:t>
      </w:r>
      <w:r w:rsidR="00053EAA">
        <w:t xml:space="preserve">acting </w:t>
      </w:r>
      <w:r w:rsidR="006A2D49">
        <w:t>as a CM</w:t>
      </w:r>
      <w:r w:rsidR="00342A45">
        <w:t xml:space="preserve"> is not </w:t>
      </w:r>
      <w:r w:rsidR="00182C7E">
        <w:t xml:space="preserve">contractually obligated </w:t>
      </w:r>
      <w:r w:rsidR="00342A45">
        <w:t xml:space="preserve">to reimburse the client for any losses suffered in the event that a QCCP defaults, the </w:t>
      </w:r>
      <w:r w:rsidR="00053EAA">
        <w:t>ADI</w:t>
      </w:r>
      <w:r w:rsidR="00342A45">
        <w:t xml:space="preserve"> </w:t>
      </w:r>
      <w:r w:rsidR="00182C7E">
        <w:t>may exclude</w:t>
      </w:r>
      <w:r w:rsidR="00342A45">
        <w:t xml:space="preserve"> the resulting trade exposures to the QCCP </w:t>
      </w:r>
      <w:r w:rsidR="00182C7E">
        <w:t>from</w:t>
      </w:r>
      <w:r w:rsidR="00342A45">
        <w:t xml:space="preserve"> </w:t>
      </w:r>
      <w:r w:rsidR="00182C7E">
        <w:t xml:space="preserve">its </w:t>
      </w:r>
      <w:r w:rsidR="00342A45">
        <w:t>exposure measure.</w:t>
      </w:r>
      <w:bookmarkEnd w:id="77"/>
    </w:p>
    <w:p w14:paraId="5EB4C662" w14:textId="3F10B123" w:rsidR="00342A45" w:rsidRDefault="00F71AEB" w:rsidP="00342A45">
      <w:pPr>
        <w:pStyle w:val="BodyText1"/>
      </w:pPr>
      <w:r>
        <w:t>If</w:t>
      </w:r>
      <w:r w:rsidR="00342A45">
        <w:t xml:space="preserve"> a client enters directly into a derivative transaction with </w:t>
      </w:r>
      <w:r w:rsidR="00816C3D">
        <w:t xml:space="preserve">a </w:t>
      </w:r>
      <w:r w:rsidR="00342A45">
        <w:t>CCP, and a</w:t>
      </w:r>
      <w:r w:rsidR="00932393">
        <w:t>n</w:t>
      </w:r>
      <w:r w:rsidR="00342A45">
        <w:t xml:space="preserve"> ADI</w:t>
      </w:r>
      <w:r w:rsidR="00932393">
        <w:t xml:space="preserve"> acting as a CM</w:t>
      </w:r>
      <w:r w:rsidR="00342A45">
        <w:t xml:space="preserve"> guarantees the performance of </w:t>
      </w:r>
      <w:r w:rsidR="00C41B33">
        <w:t>the</w:t>
      </w:r>
      <w:r w:rsidR="00ED7591">
        <w:t xml:space="preserve"> client’s</w:t>
      </w:r>
      <w:r w:rsidR="00C41B33">
        <w:t xml:space="preserve"> transaction</w:t>
      </w:r>
      <w:r w:rsidR="00ED7591">
        <w:t xml:space="preserve"> to the CCP</w:t>
      </w:r>
      <w:r w:rsidR="00342A45">
        <w:t xml:space="preserve">, the ADI must calculate its related leverage ratio exposure resulting from the guarantee as a derivative exposure </w:t>
      </w:r>
      <w:r w:rsidR="000A053E">
        <w:t xml:space="preserve">in accordance with </w:t>
      </w:r>
      <w:r w:rsidR="00342A45" w:rsidRPr="008D1640">
        <w:t xml:space="preserve">paragraphs </w:t>
      </w:r>
      <w:r w:rsidR="008D1640" w:rsidRPr="008D1640">
        <w:fldChar w:fldCharType="begin"/>
      </w:r>
      <w:r w:rsidR="008D1640" w:rsidRPr="008D1640">
        <w:instrText xml:space="preserve"> REF _Ref508030615 \r \h </w:instrText>
      </w:r>
      <w:r w:rsidR="008D1640">
        <w:instrText xml:space="preserve"> \* MERGEFORMAT </w:instrText>
      </w:r>
      <w:r w:rsidR="008D1640" w:rsidRPr="008D1640">
        <w:fldChar w:fldCharType="separate"/>
      </w:r>
      <w:r w:rsidR="00CD3ED2">
        <w:t>17</w:t>
      </w:r>
      <w:r w:rsidR="008D1640" w:rsidRPr="008D1640">
        <w:fldChar w:fldCharType="end"/>
      </w:r>
      <w:r w:rsidR="00342A45" w:rsidRPr="008D1640">
        <w:t xml:space="preserve"> to </w:t>
      </w:r>
      <w:r w:rsidR="008D1640" w:rsidRPr="008D1640">
        <w:fldChar w:fldCharType="begin"/>
      </w:r>
      <w:r w:rsidR="008D1640" w:rsidRPr="008D1640">
        <w:instrText xml:space="preserve"> REF _Ref522202226 \r \h </w:instrText>
      </w:r>
      <w:r w:rsidR="008D1640">
        <w:instrText xml:space="preserve"> \* MERGEFORMAT </w:instrText>
      </w:r>
      <w:r w:rsidR="008D1640" w:rsidRPr="008D1640">
        <w:fldChar w:fldCharType="separate"/>
      </w:r>
      <w:r w:rsidR="00CD3ED2">
        <w:t>24</w:t>
      </w:r>
      <w:r w:rsidR="008D1640" w:rsidRPr="008D1640">
        <w:fldChar w:fldCharType="end"/>
      </w:r>
      <w:r w:rsidR="00342A45">
        <w:t xml:space="preserve"> of this </w:t>
      </w:r>
      <w:bookmarkStart w:id="78" w:name="_Hlk83754790"/>
      <w:r w:rsidR="00342A45">
        <w:t>Attachment, as if it had entered directly into the transaction with the client.</w:t>
      </w:r>
    </w:p>
    <w:p w14:paraId="34142361" w14:textId="057A30DB" w:rsidR="00CA6541" w:rsidRDefault="00CA6541" w:rsidP="00342A45">
      <w:pPr>
        <w:pStyle w:val="BodyText1"/>
      </w:pPr>
      <w:bookmarkStart w:id="79" w:name="_Ref24961328"/>
      <w:bookmarkStart w:id="80" w:name="_Ref522200070"/>
      <w:r>
        <w:t xml:space="preserve">If an entity falls within the Level 2 </w:t>
      </w:r>
      <w:r w:rsidR="009270F2">
        <w:t>group</w:t>
      </w:r>
      <w:r w:rsidR="00E00DEB">
        <w:t xml:space="preserve"> of the ADI acting as a CM, </w:t>
      </w:r>
      <w:r w:rsidR="008E5666">
        <w:t>trade</w:t>
      </w:r>
      <w:r w:rsidR="00E00DEB">
        <w:t>s</w:t>
      </w:r>
      <w:r w:rsidR="008E5666">
        <w:t xml:space="preserve"> between that</w:t>
      </w:r>
      <w:r>
        <w:t xml:space="preserve"> entity and the ADI</w:t>
      </w:r>
      <w:r w:rsidR="008E5666">
        <w:t xml:space="preserve"> </w:t>
      </w:r>
      <w:r w:rsidR="00E00DEB">
        <w:t>are</w:t>
      </w:r>
      <w:r>
        <w:t xml:space="preserve"> eliminated in the</w:t>
      </w:r>
      <w:r w:rsidR="008E606C">
        <w:t xml:space="preserve"> course of consolidation and</w:t>
      </w:r>
      <w:r>
        <w:t xml:space="preserve"> the ADI retains an exposure to the CCP. In this case, the transaction </w:t>
      </w:r>
      <w:r w:rsidR="008E606C">
        <w:t xml:space="preserve">with the CCP </w:t>
      </w:r>
      <w:r>
        <w:t xml:space="preserve">will be considered proprietary </w:t>
      </w:r>
      <w:r w:rsidR="008E606C">
        <w:t>for</w:t>
      </w:r>
      <w:r>
        <w:t xml:space="preserve"> the ADI</w:t>
      </w:r>
      <w:r w:rsidR="008E606C">
        <w:t xml:space="preserve"> acting</w:t>
      </w:r>
      <w:r>
        <w:t xml:space="preserve"> as a CM</w:t>
      </w:r>
      <w:r w:rsidR="00B1792C">
        <w:t>,</w:t>
      </w:r>
      <w:r w:rsidR="007A4781">
        <w:t xml:space="preserve"> </w:t>
      </w:r>
      <w:r>
        <w:t xml:space="preserve">and the exemption set out in </w:t>
      </w:r>
      <w:r w:rsidRPr="009D1423">
        <w:t xml:space="preserve">paragraph </w:t>
      </w:r>
      <w:r w:rsidR="009D1423" w:rsidRPr="009D1423">
        <w:fldChar w:fldCharType="begin"/>
      </w:r>
      <w:r w:rsidR="009D1423" w:rsidRPr="009D1423">
        <w:instrText xml:space="preserve"> REF _Ref522202770 \r \h </w:instrText>
      </w:r>
      <w:r w:rsidR="009D1423">
        <w:instrText xml:space="preserve"> \* MERGEFORMAT </w:instrText>
      </w:r>
      <w:r w:rsidR="009D1423" w:rsidRPr="009D1423">
        <w:fldChar w:fldCharType="separate"/>
      </w:r>
      <w:r w:rsidR="00CD3ED2">
        <w:t>26</w:t>
      </w:r>
      <w:r w:rsidR="009D1423" w:rsidRPr="009D1423">
        <w:fldChar w:fldCharType="end"/>
      </w:r>
      <w:r w:rsidR="00562930">
        <w:t xml:space="preserve"> of this Attachment</w:t>
      </w:r>
      <w:r w:rsidR="00B1792C">
        <w:t xml:space="preserve"> will not apply.</w:t>
      </w:r>
      <w:bookmarkEnd w:id="79"/>
      <w:r w:rsidR="00B1792C">
        <w:t xml:space="preserve"> </w:t>
      </w:r>
      <w:bookmarkEnd w:id="80"/>
    </w:p>
    <w:p w14:paraId="09F1FE56" w14:textId="31ABAC9F" w:rsidR="00943CFA" w:rsidRDefault="00F71AEB" w:rsidP="00943CFA">
      <w:pPr>
        <w:pStyle w:val="BodyText1"/>
      </w:pPr>
      <w:bookmarkStart w:id="81" w:name="_Ref24367123"/>
      <w:bookmarkEnd w:id="78"/>
      <w:r>
        <w:t>If</w:t>
      </w:r>
      <w:r w:rsidR="00943CFA" w:rsidRPr="00943CFA">
        <w:t xml:space="preserve"> an ADI is providing client clearing services, it may use the approach detailed in Attachment D to APS</w:t>
      </w:r>
      <w:r w:rsidR="00D260FA">
        <w:t> </w:t>
      </w:r>
      <w:r w:rsidR="00943CFA" w:rsidRPr="00943CFA">
        <w:t xml:space="preserve">180 to calculate the RC and PFE of the exposure to the client. </w:t>
      </w:r>
      <w:r w:rsidR="00DD594D">
        <w:t xml:space="preserve">In using this approach, the </w:t>
      </w:r>
      <w:r w:rsidR="00943CFA" w:rsidRPr="00943CFA">
        <w:t>ADI must only include the portion of initial margin received from the client which is subject to appropriate segregation by the ADI</w:t>
      </w:r>
      <w:r w:rsidR="00943CFA">
        <w:t>.</w:t>
      </w:r>
      <w:bookmarkEnd w:id="81"/>
    </w:p>
    <w:p w14:paraId="27AC2DBD" w14:textId="572FA8E1" w:rsidR="00342A45" w:rsidRPr="00DC05FB" w:rsidRDefault="0001382F" w:rsidP="00F12E2E">
      <w:pPr>
        <w:pStyle w:val="Heading3"/>
      </w:pPr>
      <w:bookmarkStart w:id="82" w:name="_Hlk83754811"/>
      <w:r w:rsidRPr="00DC05FB">
        <w:t>Additional treatment for written credit derivatives</w:t>
      </w:r>
    </w:p>
    <w:p w14:paraId="173CF41A" w14:textId="52F75358" w:rsidR="001724D0" w:rsidRPr="0001382F" w:rsidRDefault="00100ABB" w:rsidP="001C5E36">
      <w:pPr>
        <w:pStyle w:val="BodyText1"/>
      </w:pPr>
      <w:r>
        <w:t>For written credit derivatives, an ADI must</w:t>
      </w:r>
      <w:r w:rsidR="007E0831">
        <w:t xml:space="preserve"> </w:t>
      </w:r>
      <w:r>
        <w:t>apply the</w:t>
      </w:r>
      <w:r w:rsidR="007E0831">
        <w:t xml:space="preserve"> additional treatment set out in </w:t>
      </w:r>
      <w:r w:rsidR="00DE1937" w:rsidRPr="00DE1937">
        <w:t xml:space="preserve">paragraphs </w:t>
      </w:r>
      <w:r w:rsidR="00DE1937" w:rsidRPr="00DE1937">
        <w:fldChar w:fldCharType="begin"/>
      </w:r>
      <w:r w:rsidR="00DE1937" w:rsidRPr="00DE1937">
        <w:instrText xml:space="preserve"> REF _Ref522203625 \r \h </w:instrText>
      </w:r>
      <w:r w:rsidR="00DE1937">
        <w:instrText xml:space="preserve"> \* MERGEFORMAT </w:instrText>
      </w:r>
      <w:r w:rsidR="00DE1937" w:rsidRPr="00DE1937">
        <w:fldChar w:fldCharType="separate"/>
      </w:r>
      <w:r w:rsidR="00CD3ED2">
        <w:t>30</w:t>
      </w:r>
      <w:r w:rsidR="00DE1937" w:rsidRPr="00DE1937">
        <w:fldChar w:fldCharType="end"/>
      </w:r>
      <w:r w:rsidR="00DE1937" w:rsidRPr="00DE1937">
        <w:t xml:space="preserve"> to </w:t>
      </w:r>
      <w:r w:rsidR="00DE1937" w:rsidRPr="00DE1937">
        <w:fldChar w:fldCharType="begin"/>
      </w:r>
      <w:r w:rsidR="00DE1937" w:rsidRPr="00DE1937">
        <w:instrText xml:space="preserve"> REF _Ref522183487 \r \h </w:instrText>
      </w:r>
      <w:r w:rsidR="00DE1937">
        <w:instrText xml:space="preserve"> \* MERGEFORMAT </w:instrText>
      </w:r>
      <w:r w:rsidR="00DE1937" w:rsidRPr="00DE1937">
        <w:fldChar w:fldCharType="separate"/>
      </w:r>
      <w:r w:rsidR="00CD3ED2">
        <w:t>36</w:t>
      </w:r>
      <w:r w:rsidR="00DE1937" w:rsidRPr="00DE1937">
        <w:fldChar w:fldCharType="end"/>
      </w:r>
      <w:r w:rsidR="007E0831">
        <w:t xml:space="preserve"> of this </w:t>
      </w:r>
      <w:r w:rsidR="007E0831" w:rsidRPr="002D5BF2">
        <w:t>Attachment.</w:t>
      </w:r>
      <w:r w:rsidRPr="002D5BF2">
        <w:t xml:space="preserve"> </w:t>
      </w:r>
      <w:bookmarkStart w:id="83" w:name="_Ref522203625"/>
      <w:r w:rsidR="001724D0" w:rsidRPr="002D5BF2">
        <w:t>For the purposes of this Attachment, written credit derivative refers to a broad range of credit derivatives through which a</w:t>
      </w:r>
      <w:r w:rsidR="0040506B">
        <w:t>n</w:t>
      </w:r>
      <w:r w:rsidR="001724D0" w:rsidRPr="002D5BF2">
        <w:t xml:space="preserve"> </w:t>
      </w:r>
      <w:r w:rsidR="00D04CBD">
        <w:t>ADI</w:t>
      </w:r>
      <w:r w:rsidR="001724D0" w:rsidRPr="002D5BF2">
        <w:t xml:space="preserve"> effectively provides credit protection and is not limited solely to credit defaul</w:t>
      </w:r>
      <w:r w:rsidR="007C0A92" w:rsidRPr="002D5BF2">
        <w:t>t swaps and total return swaps.</w:t>
      </w:r>
      <w:r w:rsidR="007C0A92">
        <w:t xml:space="preserve"> </w:t>
      </w:r>
      <w:bookmarkEnd w:id="83"/>
    </w:p>
    <w:bookmarkEnd w:id="82"/>
    <w:p w14:paraId="58399EC3" w14:textId="77777777" w:rsidR="006C2438" w:rsidRDefault="00552768" w:rsidP="00552768">
      <w:pPr>
        <w:pStyle w:val="BodyText1"/>
      </w:pPr>
      <w:r w:rsidRPr="00552768">
        <w:t>To capture the credit exposure to the underlying reference entity,</w:t>
      </w:r>
      <w:r>
        <w:t xml:space="preserve"> the effective notional amount</w:t>
      </w:r>
      <w:r w:rsidR="004E4B33">
        <w:rPr>
          <w:rStyle w:val="FootnoteReference"/>
        </w:rPr>
        <w:footnoteReference w:id="23"/>
      </w:r>
      <w:r>
        <w:t xml:space="preserve"> </w:t>
      </w:r>
      <w:r w:rsidRPr="00552768">
        <w:t>referenced by a written credit derivative must be included in the exposure measure</w:t>
      </w:r>
      <w:r w:rsidR="007F1F0B">
        <w:t xml:space="preserve"> unless</w:t>
      </w:r>
      <w:r w:rsidR="006C2438">
        <w:t>:</w:t>
      </w:r>
    </w:p>
    <w:p w14:paraId="5C0A0BD8" w14:textId="77777777" w:rsidR="006C2438" w:rsidRDefault="007F1F0B" w:rsidP="00C53AEE">
      <w:pPr>
        <w:pStyle w:val="BodyText2"/>
        <w:jc w:val="both"/>
      </w:pPr>
      <w:r>
        <w:t>the written credit derivative is included in a transaction cleared o</w:t>
      </w:r>
      <w:r w:rsidR="00673271">
        <w:t xml:space="preserve">n behalf of a client of the </w:t>
      </w:r>
      <w:r>
        <w:t>ADI acting as a CM</w:t>
      </w:r>
      <w:r w:rsidR="006C2438">
        <w:t>;</w:t>
      </w:r>
      <w:r>
        <w:t xml:space="preserve"> and </w:t>
      </w:r>
    </w:p>
    <w:p w14:paraId="477C9A5F" w14:textId="491E23E2" w:rsidR="006C2438" w:rsidRDefault="007F1F0B" w:rsidP="00C53AEE">
      <w:pPr>
        <w:pStyle w:val="BodyText2"/>
        <w:jc w:val="both"/>
      </w:pPr>
      <w:r>
        <w:t xml:space="preserve">the transaction meets the requirements </w:t>
      </w:r>
      <w:r w:rsidRPr="006C2438">
        <w:t xml:space="preserve">of paragraph </w:t>
      </w:r>
      <w:r w:rsidR="006C2438" w:rsidRPr="006C2438">
        <w:fldChar w:fldCharType="begin"/>
      </w:r>
      <w:r w:rsidR="006C2438" w:rsidRPr="006C2438">
        <w:instrText xml:space="preserve"> REF _Ref522202770 \r \h </w:instrText>
      </w:r>
      <w:r w:rsidR="006C2438">
        <w:instrText xml:space="preserve"> \* MERGEFORMAT </w:instrText>
      </w:r>
      <w:r w:rsidR="006C2438" w:rsidRPr="006C2438">
        <w:fldChar w:fldCharType="separate"/>
      </w:r>
      <w:r w:rsidR="00CD3ED2">
        <w:t>26</w:t>
      </w:r>
      <w:r w:rsidR="006C2438" w:rsidRPr="006C2438">
        <w:fldChar w:fldCharType="end"/>
      </w:r>
      <w:r w:rsidR="00562930">
        <w:t xml:space="preserve"> of this Attachment</w:t>
      </w:r>
      <w:r w:rsidR="0093423D">
        <w:t xml:space="preserve"> for the exclusion of trade exposures to the QCCP</w:t>
      </w:r>
      <w:r w:rsidR="00552768" w:rsidRPr="00552768">
        <w:t xml:space="preserve">. </w:t>
      </w:r>
    </w:p>
    <w:p w14:paraId="32EC1270" w14:textId="227B85AF" w:rsidR="00552768" w:rsidRPr="00552768" w:rsidRDefault="00552768" w:rsidP="006C2438">
      <w:pPr>
        <w:pStyle w:val="BodyText1"/>
      </w:pPr>
      <w:bookmarkStart w:id="84" w:name="_Ref522205514"/>
      <w:r w:rsidRPr="00552768">
        <w:t xml:space="preserve">The effective notional amount </w:t>
      </w:r>
      <w:r w:rsidR="00884F87">
        <w:t xml:space="preserve">of a written credit derivative </w:t>
      </w:r>
      <w:r w:rsidRPr="00552768">
        <w:t>may be reduced in one or both of the following ways:</w:t>
      </w:r>
      <w:bookmarkEnd w:id="84"/>
    </w:p>
    <w:p w14:paraId="396C6A08" w14:textId="77C441CB" w:rsidR="00552768" w:rsidRDefault="00552768" w:rsidP="00667FB0">
      <w:pPr>
        <w:pStyle w:val="BodyText2"/>
        <w:jc w:val="both"/>
      </w:pPr>
      <w:r>
        <w:t xml:space="preserve">by </w:t>
      </w:r>
      <w:r w:rsidR="0093423D">
        <w:t xml:space="preserve">any </w:t>
      </w:r>
      <w:r>
        <w:t xml:space="preserve">negative change in </w:t>
      </w:r>
      <w:r w:rsidR="006C2438">
        <w:t xml:space="preserve">the </w:t>
      </w:r>
      <w:r>
        <w:t>fair value amount that has been incorporated into the calculation of Tier 1 Capital with respect to the written credit derivatives;</w:t>
      </w:r>
      <w:r w:rsidR="001A3C76">
        <w:t xml:space="preserve"> and</w:t>
      </w:r>
    </w:p>
    <w:p w14:paraId="0F2C865B" w14:textId="2F442BB1" w:rsidR="00552768" w:rsidRDefault="00552768" w:rsidP="00667FB0">
      <w:pPr>
        <w:pStyle w:val="BodyText2"/>
        <w:jc w:val="both"/>
      </w:pPr>
      <w:r>
        <w:lastRenderedPageBreak/>
        <w:t>by the effective notional amount of an offsetting purchased credit derivative on the same reference name</w:t>
      </w:r>
      <w:r w:rsidR="009E2C3F">
        <w:rPr>
          <w:rStyle w:val="FootnoteReference"/>
        </w:rPr>
        <w:footnoteReference w:id="24"/>
      </w:r>
      <w:r>
        <w:t xml:space="preserve"> provided the conditions set out in </w:t>
      </w:r>
      <w:r w:rsidRPr="004D232E">
        <w:t xml:space="preserve">paragraph </w:t>
      </w:r>
      <w:r w:rsidR="004D232E" w:rsidRPr="004D232E">
        <w:fldChar w:fldCharType="begin"/>
      </w:r>
      <w:r w:rsidR="004D232E" w:rsidRPr="004D232E">
        <w:instrText xml:space="preserve"> REF _Ref522204378 \r \h </w:instrText>
      </w:r>
      <w:r w:rsidR="004D232E">
        <w:instrText xml:space="preserve"> \* MERGEFORMAT </w:instrText>
      </w:r>
      <w:r w:rsidR="004D232E" w:rsidRPr="004D232E">
        <w:fldChar w:fldCharType="separate"/>
      </w:r>
      <w:r w:rsidR="00CD3ED2">
        <w:t>33</w:t>
      </w:r>
      <w:r w:rsidR="004D232E" w:rsidRPr="004D232E">
        <w:fldChar w:fldCharType="end"/>
      </w:r>
      <w:r>
        <w:t xml:space="preserve"> </w:t>
      </w:r>
      <w:r w:rsidR="0019713D">
        <w:t>of</w:t>
      </w:r>
      <w:r>
        <w:t xml:space="preserve"> this Attachment are satisfied.</w:t>
      </w:r>
    </w:p>
    <w:p w14:paraId="3BF9758D" w14:textId="73C8261C" w:rsidR="001A3C76" w:rsidRDefault="0019713D" w:rsidP="001A3C76">
      <w:pPr>
        <w:pStyle w:val="BodyText1"/>
      </w:pPr>
      <w:bookmarkStart w:id="85" w:name="_Ref522204378"/>
      <w:bookmarkStart w:id="86" w:name="_Hlk83754835"/>
      <w:r>
        <w:t>An</w:t>
      </w:r>
      <w:r w:rsidR="001A3C76">
        <w:t xml:space="preserve"> ADI </w:t>
      </w:r>
      <w:r>
        <w:t xml:space="preserve">may reduce the </w:t>
      </w:r>
      <w:r w:rsidR="001A3C76">
        <w:t xml:space="preserve">effective notional amount </w:t>
      </w:r>
      <w:r>
        <w:t xml:space="preserve">through </w:t>
      </w:r>
      <w:r w:rsidR="001A3C76" w:rsidRPr="002D5BF2">
        <w:t>the</w:t>
      </w:r>
      <w:r w:rsidRPr="002D5BF2">
        <w:t xml:space="preserve"> application of</w:t>
      </w:r>
      <w:r w:rsidR="001A3C76" w:rsidRPr="002D5BF2">
        <w:t xml:space="preserve"> offsetting purchased credit derivatives </w:t>
      </w:r>
      <w:r w:rsidR="00B004B4" w:rsidRPr="002D5BF2">
        <w:t>if the following conditions are satisfied</w:t>
      </w:r>
      <w:r w:rsidR="001A3C76" w:rsidRPr="002D5BF2">
        <w:t>:</w:t>
      </w:r>
      <w:bookmarkEnd w:id="85"/>
    </w:p>
    <w:p w14:paraId="7469802A" w14:textId="1225DD56" w:rsidR="00A33829" w:rsidRDefault="00A33829" w:rsidP="00667FB0">
      <w:pPr>
        <w:pStyle w:val="BodyText2"/>
        <w:jc w:val="both"/>
      </w:pPr>
      <w:r>
        <w:t>the credit protection purchased through credit derivatives is otherwise subject to the same, or more conservative, material terms as those in the corresponding written credit derivative.</w:t>
      </w:r>
      <w:r>
        <w:rPr>
          <w:rStyle w:val="FootnoteReference"/>
        </w:rPr>
        <w:footnoteReference w:id="25"/>
      </w:r>
      <w:r>
        <w:t xml:space="preserve"> This ensures that if an ADI provides written credit protection via a credit derivative, it may only recognise offsetting from another purchased credit derivative if the purchased protection is certain to deliver a payment to the ADI in all </w:t>
      </w:r>
      <w:r w:rsidR="001865BE">
        <w:t>circumstances</w:t>
      </w:r>
      <w:r>
        <w:t>;</w:t>
      </w:r>
    </w:p>
    <w:p w14:paraId="30A8E176" w14:textId="10086547" w:rsidR="008C71CD" w:rsidRDefault="008C71CD" w:rsidP="00667FB0">
      <w:pPr>
        <w:pStyle w:val="BodyText2"/>
        <w:jc w:val="both"/>
      </w:pPr>
      <w:r>
        <w:t>the remaining maturity of the credit protection purchased through credit derivatives is equal to or greater than the remaining maturity of the written credit derivatives;</w:t>
      </w:r>
    </w:p>
    <w:p w14:paraId="35A8558C" w14:textId="78E90797" w:rsidR="00ED71A8" w:rsidRDefault="00ED71A8" w:rsidP="00667FB0">
      <w:pPr>
        <w:pStyle w:val="BodyText2"/>
        <w:jc w:val="both"/>
      </w:pPr>
      <w:r>
        <w:t>the credit protection purchased through credit derivatives is not purchased from a counterparty whose credit quality is highly correlated with the value of the reference obligation</w:t>
      </w:r>
      <w:r w:rsidR="00836BDE">
        <w:t>(i.e. wrong-way risk);</w:t>
      </w:r>
    </w:p>
    <w:bookmarkEnd w:id="86"/>
    <w:p w14:paraId="42C55062" w14:textId="78A99971" w:rsidR="00ED71A8" w:rsidRDefault="00ED71A8" w:rsidP="00667FB0">
      <w:pPr>
        <w:pStyle w:val="BodyText2"/>
        <w:jc w:val="both"/>
      </w:pPr>
      <w:r>
        <w:t xml:space="preserve">in the event that the effective notional amount of a written credit derivative is reduced by any negative change in </w:t>
      </w:r>
      <w:r w:rsidR="00571772">
        <w:t xml:space="preserve">fair value reflected in the </w:t>
      </w:r>
      <w:r w:rsidR="00F31D0E">
        <w:t>ADI’s Tier</w:t>
      </w:r>
      <w:r w:rsidR="00162495">
        <w:t> </w:t>
      </w:r>
      <w:r w:rsidR="00F31D0E">
        <w:t xml:space="preserve">1 </w:t>
      </w:r>
      <w:r w:rsidR="004F3453">
        <w:t>C</w:t>
      </w:r>
      <w:r>
        <w:t>apital, the effective notional amount</w:t>
      </w:r>
      <w:r w:rsidR="000136E3">
        <w:t xml:space="preserve"> of offsetting credit protection purchased through credit derivatives must also be reduced by any resulting positive change in fair value </w:t>
      </w:r>
      <w:r w:rsidR="00F31D0E">
        <w:t xml:space="preserve">reflected in Tier 1 </w:t>
      </w:r>
      <w:r w:rsidR="004F3453">
        <w:t>C</w:t>
      </w:r>
      <w:r w:rsidR="00C61FCE">
        <w:t>apital;</w:t>
      </w:r>
      <w:r w:rsidR="007D2D1A">
        <w:t xml:space="preserve"> and</w:t>
      </w:r>
    </w:p>
    <w:p w14:paraId="7AEB037C" w14:textId="5236042B" w:rsidR="000136E3" w:rsidRDefault="000136E3" w:rsidP="00667FB0">
      <w:pPr>
        <w:pStyle w:val="BodyText2"/>
        <w:jc w:val="both"/>
      </w:pPr>
      <w:r>
        <w:t>the credit protection purchased through credit derivatives is not included in a transaction that has been cleared on behalf of a client and for which the effective notional amount referenced by the corresponding written credit derivative is e</w:t>
      </w:r>
      <w:r w:rsidR="00571772">
        <w:t xml:space="preserve">xcluded from the </w:t>
      </w:r>
      <w:r>
        <w:t xml:space="preserve">exposure measure under </w:t>
      </w:r>
      <w:r w:rsidRPr="009E2C3F">
        <w:t xml:space="preserve">paragraph </w:t>
      </w:r>
      <w:r w:rsidR="009E2C3F">
        <w:fldChar w:fldCharType="begin"/>
      </w:r>
      <w:r w:rsidR="009E2C3F">
        <w:instrText xml:space="preserve"> REF _Ref522202770 \r \h </w:instrText>
      </w:r>
      <w:r w:rsidR="00667FB0">
        <w:instrText xml:space="preserve"> \* MERGEFORMAT </w:instrText>
      </w:r>
      <w:r w:rsidR="009E2C3F">
        <w:fldChar w:fldCharType="separate"/>
      </w:r>
      <w:r w:rsidR="00CD3ED2">
        <w:t>26</w:t>
      </w:r>
      <w:r w:rsidR="009E2C3F">
        <w:fldChar w:fldCharType="end"/>
      </w:r>
      <w:r>
        <w:t xml:space="preserve"> of this Attachment</w:t>
      </w:r>
      <w:r w:rsidR="007D2D1A">
        <w:t>.</w:t>
      </w:r>
    </w:p>
    <w:p w14:paraId="150FB928" w14:textId="35ECC77B" w:rsidR="002F0C8F" w:rsidRDefault="001C1AC7" w:rsidP="00722CD7">
      <w:pPr>
        <w:pStyle w:val="BodyText1"/>
      </w:pPr>
      <w:r>
        <w:t>C</w:t>
      </w:r>
      <w:r w:rsidR="000136E3">
        <w:t>redit protection</w:t>
      </w:r>
      <w:r>
        <w:t xml:space="preserve"> purchased</w:t>
      </w:r>
      <w:r w:rsidR="000136E3">
        <w:t xml:space="preserve"> on a pool of reference </w:t>
      </w:r>
      <w:r w:rsidR="002F0C8F">
        <w:t>names may only offset credit protection sold on individual reference names if the credit protection purchased is economically equivalent to buying protection separately on each of the individual names in the pool. If the credit protection purchased does not cover the entire pool</w:t>
      </w:r>
      <w:r w:rsidR="0067321E">
        <w:t xml:space="preserve"> (i.e. the protection covers only a subset of the pool, as in the case of an </w:t>
      </w:r>
      <w:r w:rsidR="0067321E" w:rsidRPr="0095227A">
        <w:rPr>
          <w:i/>
        </w:rPr>
        <w:t>n</w:t>
      </w:r>
      <w:r w:rsidR="0067321E">
        <w:t xml:space="preserve">th-to-default credit derivative or a securitisation tranche), no offsetting of credit protection sold on individual reference names is allowed. </w:t>
      </w:r>
    </w:p>
    <w:p w14:paraId="3CA0D76C" w14:textId="71D36303" w:rsidR="00E37F30" w:rsidRDefault="002042DA" w:rsidP="00E37F30">
      <w:pPr>
        <w:pStyle w:val="BodyText1"/>
      </w:pPr>
      <w:r>
        <w:t>Where an ADI purchases credit protection through a total return swap and records the net payments received as net income, but does not record the offsetting deterioration in the value of the written credit derivative (either through reductions in fair value or by an a</w:t>
      </w:r>
      <w:r w:rsidR="00F31D0E">
        <w:t xml:space="preserve">ddition to reserves) in Tier 1 </w:t>
      </w:r>
      <w:r w:rsidR="004F3453">
        <w:t>C</w:t>
      </w:r>
      <w:r>
        <w:t xml:space="preserve">apital, the credit </w:t>
      </w:r>
      <w:r>
        <w:lastRenderedPageBreak/>
        <w:t>protection must not be used to offset the effective notional amounts of the written credit derivatives.</w:t>
      </w:r>
    </w:p>
    <w:p w14:paraId="2FC938B5" w14:textId="19FAA3AF" w:rsidR="002042DA" w:rsidRDefault="002042DA" w:rsidP="00722CD7">
      <w:pPr>
        <w:pStyle w:val="BodyText1"/>
      </w:pPr>
      <w:bookmarkStart w:id="87" w:name="_Ref522183487"/>
      <w:r>
        <w:t xml:space="preserve">An ADI may </w:t>
      </w:r>
      <w:r w:rsidR="00E37F30">
        <w:t>choose</w:t>
      </w:r>
      <w:r>
        <w:t xml:space="preserve"> </w:t>
      </w:r>
      <w:r w:rsidR="00746832">
        <w:t>to exclude fro</w:t>
      </w:r>
      <w:r w:rsidR="00E37F30">
        <w:t>m the</w:t>
      </w:r>
      <w:r>
        <w:t xml:space="preserve"> netting set for the calculation of PFE the portion of</w:t>
      </w:r>
      <w:r w:rsidR="00E37F30">
        <w:t xml:space="preserve"> a written credit derivative which is</w:t>
      </w:r>
      <w:r>
        <w:t xml:space="preserve"> not offset</w:t>
      </w:r>
      <w:r w:rsidR="00376FBF">
        <w:t xml:space="preserve"> </w:t>
      </w:r>
      <w:r w:rsidR="00324B7F">
        <w:t xml:space="preserve">in accordance with </w:t>
      </w:r>
      <w:r w:rsidRPr="009D441D">
        <w:t>paragraph</w:t>
      </w:r>
      <w:r w:rsidR="009D441D" w:rsidRPr="009D441D">
        <w:t xml:space="preserve"> </w:t>
      </w:r>
      <w:r w:rsidR="009D441D" w:rsidRPr="009D441D">
        <w:fldChar w:fldCharType="begin"/>
      </w:r>
      <w:r w:rsidR="009D441D" w:rsidRPr="009D441D">
        <w:instrText xml:space="preserve"> REF _Ref522205514 \r \h </w:instrText>
      </w:r>
      <w:r w:rsidR="009D441D">
        <w:instrText xml:space="preserve"> \* MERGEFORMAT </w:instrText>
      </w:r>
      <w:r w:rsidR="009D441D" w:rsidRPr="009D441D">
        <w:fldChar w:fldCharType="separate"/>
      </w:r>
      <w:r w:rsidR="00CD3ED2">
        <w:t>32</w:t>
      </w:r>
      <w:r w:rsidR="009D441D" w:rsidRPr="009D441D">
        <w:fldChar w:fldCharType="end"/>
      </w:r>
      <w:r w:rsidR="00562930">
        <w:t xml:space="preserve"> of this Attachment</w:t>
      </w:r>
      <w:r w:rsidRPr="009D441D">
        <w:t>,</w:t>
      </w:r>
      <w:r>
        <w:t xml:space="preserve"> and for which the effective notional amount is</w:t>
      </w:r>
      <w:r w:rsidR="00851A89">
        <w:t xml:space="preserve"> included in the </w:t>
      </w:r>
      <w:r>
        <w:t xml:space="preserve">exposure measure. </w:t>
      </w:r>
      <w:bookmarkEnd w:id="87"/>
    </w:p>
    <w:p w14:paraId="5559200E" w14:textId="3100EBDD" w:rsidR="0001382F" w:rsidRDefault="002E3329" w:rsidP="00F12E2E">
      <w:pPr>
        <w:pStyle w:val="Heading2"/>
      </w:pPr>
      <w:r>
        <w:t>Securities financing transaction exposures</w:t>
      </w:r>
    </w:p>
    <w:p w14:paraId="4D16469F" w14:textId="0023C162" w:rsidR="002E3329" w:rsidRPr="002D5BF2" w:rsidRDefault="007660AE" w:rsidP="002E3329">
      <w:pPr>
        <w:pStyle w:val="BodyText1"/>
      </w:pPr>
      <w:proofErr w:type="gramStart"/>
      <w:r w:rsidRPr="002D5BF2">
        <w:t>For the purpose of</w:t>
      </w:r>
      <w:proofErr w:type="gramEnd"/>
      <w:r w:rsidRPr="002D5BF2">
        <w:t xml:space="preserve"> calculating the exposure measure</w:t>
      </w:r>
      <w:r w:rsidR="002E3329" w:rsidRPr="002D5BF2">
        <w:t xml:space="preserve">, an ADI </w:t>
      </w:r>
      <w:r w:rsidR="008B3A62" w:rsidRPr="002D5BF2">
        <w:t>must apply the specific treatment</w:t>
      </w:r>
      <w:r w:rsidR="004A727D" w:rsidRPr="002D5BF2">
        <w:t xml:space="preserve"> set out in paragraphs </w:t>
      </w:r>
      <w:r w:rsidR="00162495" w:rsidRPr="002D5BF2">
        <w:fldChar w:fldCharType="begin"/>
      </w:r>
      <w:r w:rsidR="00162495" w:rsidRPr="002D5BF2">
        <w:instrText xml:space="preserve"> REF _Ref522206188 \r \h </w:instrText>
      </w:r>
      <w:r w:rsidR="002D5BF2">
        <w:instrText xml:space="preserve"> \* MERGEFORMAT </w:instrText>
      </w:r>
      <w:r w:rsidR="00162495" w:rsidRPr="002D5BF2">
        <w:fldChar w:fldCharType="separate"/>
      </w:r>
      <w:r w:rsidR="00CD3ED2">
        <w:t>38</w:t>
      </w:r>
      <w:r w:rsidR="00162495" w:rsidRPr="002D5BF2">
        <w:fldChar w:fldCharType="end"/>
      </w:r>
      <w:r w:rsidR="004A727D" w:rsidRPr="002D5BF2">
        <w:t xml:space="preserve"> to </w:t>
      </w:r>
      <w:r w:rsidR="008959CF">
        <w:fldChar w:fldCharType="begin"/>
      </w:r>
      <w:r w:rsidR="008959CF">
        <w:instrText xml:space="preserve"> REF _Ref18568017 \r \h </w:instrText>
      </w:r>
      <w:r w:rsidR="008959CF">
        <w:fldChar w:fldCharType="separate"/>
      </w:r>
      <w:r w:rsidR="00CD3ED2">
        <w:t>45</w:t>
      </w:r>
      <w:r w:rsidR="008959CF">
        <w:fldChar w:fldCharType="end"/>
      </w:r>
      <w:r w:rsidR="008B3A62" w:rsidRPr="002D5BF2">
        <w:t xml:space="preserve"> of this Attachment to any SFT exposures.</w:t>
      </w:r>
      <w:r w:rsidR="008B3A62" w:rsidRPr="002D5BF2">
        <w:rPr>
          <w:rStyle w:val="FootnoteReference"/>
        </w:rPr>
        <w:footnoteReference w:id="26"/>
      </w:r>
    </w:p>
    <w:p w14:paraId="0AA5619D" w14:textId="7692622F" w:rsidR="00597055" w:rsidRPr="00EA69F8" w:rsidRDefault="00597055" w:rsidP="00F12E2E">
      <w:pPr>
        <w:pStyle w:val="Heading3"/>
      </w:pPr>
      <w:r w:rsidRPr="00DC05FB">
        <w:t>ADI acting as a principal</w:t>
      </w:r>
    </w:p>
    <w:p w14:paraId="648AD70E" w14:textId="7E59EE64" w:rsidR="002E3329" w:rsidRDefault="002E3329" w:rsidP="002E3329">
      <w:pPr>
        <w:pStyle w:val="BodyText1"/>
      </w:pPr>
      <w:bookmarkStart w:id="88" w:name="_Ref522206188"/>
      <w:r>
        <w:t>When an ADI is acting as a principal</w:t>
      </w:r>
      <w:r w:rsidR="00597055">
        <w:t xml:space="preserve"> in a</w:t>
      </w:r>
      <w:r w:rsidR="00474EB8">
        <w:t>n</w:t>
      </w:r>
      <w:r w:rsidR="006B0979">
        <w:t xml:space="preserve"> SFT</w:t>
      </w:r>
      <w:r>
        <w:t xml:space="preserve">, </w:t>
      </w:r>
      <w:r w:rsidR="00597055">
        <w:t>its</w:t>
      </w:r>
      <w:r w:rsidR="0077593C">
        <w:t xml:space="preserve"> </w:t>
      </w:r>
      <w:r>
        <w:t>exposure</w:t>
      </w:r>
      <w:r w:rsidR="00633CF7">
        <w:t xml:space="preserve"> measure</w:t>
      </w:r>
      <w:r>
        <w:t xml:space="preserve"> must include the sum of the following amounts:</w:t>
      </w:r>
      <w:bookmarkEnd w:id="88"/>
    </w:p>
    <w:p w14:paraId="3D691F89" w14:textId="07CC9504" w:rsidR="002E3329" w:rsidRDefault="002E3329" w:rsidP="00667FB0">
      <w:pPr>
        <w:pStyle w:val="BodyText2"/>
        <w:jc w:val="both"/>
      </w:pPr>
      <w:bookmarkStart w:id="89" w:name="_Ref522262361"/>
      <w:r>
        <w:t>gross SFT assets recognised for accounting purposes</w:t>
      </w:r>
      <w:r w:rsidR="002A232A">
        <w:rPr>
          <w:rStyle w:val="FootnoteReference"/>
        </w:rPr>
        <w:footnoteReference w:id="27"/>
      </w:r>
      <w:r>
        <w:t xml:space="preserve"> (i.e. with no recognition of accounting netting), adjusted as follows:</w:t>
      </w:r>
      <w:bookmarkEnd w:id="89"/>
    </w:p>
    <w:p w14:paraId="04EB9062" w14:textId="47450FBB" w:rsidR="002E3329" w:rsidRDefault="002E3329" w:rsidP="00667FB0">
      <w:pPr>
        <w:pStyle w:val="BodyText3"/>
        <w:jc w:val="both"/>
      </w:pPr>
      <w:r>
        <w:t>excluding the value of any securities received under an SFT, where the ADI has recognised the securities as an asset on its balance sheet; and</w:t>
      </w:r>
    </w:p>
    <w:p w14:paraId="5C0EA943" w14:textId="77777777" w:rsidR="002E3329" w:rsidRDefault="002E3329" w:rsidP="00667FB0">
      <w:pPr>
        <w:pStyle w:val="BodyText3"/>
        <w:jc w:val="both"/>
      </w:pPr>
      <w:bookmarkStart w:id="90" w:name="_Ref522206939"/>
      <w:r>
        <w:t>cash payables and cash receivables in SFTs with the same counterparty may be measured net if all the following criteria are met:</w:t>
      </w:r>
      <w:bookmarkEnd w:id="90"/>
    </w:p>
    <w:p w14:paraId="5A9EFB22" w14:textId="20E8CCA6" w:rsidR="00A058B2" w:rsidRDefault="00A058B2" w:rsidP="008221AA">
      <w:pPr>
        <w:pStyle w:val="BodyText4"/>
        <w:jc w:val="both"/>
      </w:pPr>
      <w:r>
        <w:t>transactions have the same explicit final settlement date</w:t>
      </w:r>
      <w:r w:rsidR="00480DA8">
        <w:t>. Transactions with no explicit end date but which can be unwound at any time by either party to the transaction are not eligible</w:t>
      </w:r>
      <w:r>
        <w:t>;</w:t>
      </w:r>
    </w:p>
    <w:p w14:paraId="20153C18" w14:textId="6B751DC1" w:rsidR="00A058B2" w:rsidRDefault="00A058B2" w:rsidP="008221AA">
      <w:pPr>
        <w:pStyle w:val="BodyText4"/>
        <w:jc w:val="both"/>
      </w:pPr>
      <w:r>
        <w:t>the right to set</w:t>
      </w:r>
      <w:r w:rsidR="00D60AF0">
        <w:t>-</w:t>
      </w:r>
      <w:r>
        <w:t xml:space="preserve">off the amount owed to the counterparty with the amount owed by the counterparty is legally enforceable both in the normal course of business and in the event of </w:t>
      </w:r>
      <w:r w:rsidR="00E270F7">
        <w:t xml:space="preserve">the </w:t>
      </w:r>
      <w:r>
        <w:t>default</w:t>
      </w:r>
      <w:r w:rsidR="00480DA8">
        <w:t>,</w:t>
      </w:r>
      <w:r>
        <w:t xml:space="preserve"> insolvency </w:t>
      </w:r>
      <w:r w:rsidR="00480DA8">
        <w:t>or</w:t>
      </w:r>
      <w:r>
        <w:t xml:space="preserve"> bankruptcy</w:t>
      </w:r>
      <w:r w:rsidR="00480DA8">
        <w:t xml:space="preserve"> of the counterparty</w:t>
      </w:r>
      <w:r>
        <w:t>; and</w:t>
      </w:r>
    </w:p>
    <w:p w14:paraId="69AF180B" w14:textId="6B33E396" w:rsidR="00A058B2" w:rsidRDefault="00A058B2" w:rsidP="008221AA">
      <w:pPr>
        <w:pStyle w:val="BodyText4"/>
        <w:jc w:val="both"/>
      </w:pPr>
      <w:r>
        <w:t xml:space="preserve">the counterparties intend to settle net, settle simultaneously, or the transactions are subject to a settlement mechanism that </w:t>
      </w:r>
      <w:r>
        <w:lastRenderedPageBreak/>
        <w:t>results in the functional equivalent of net settlement.</w:t>
      </w:r>
      <w:r w:rsidR="00A61BB1">
        <w:rPr>
          <w:rStyle w:val="FootnoteReference"/>
        </w:rPr>
        <w:footnoteReference w:id="28"/>
      </w:r>
      <w:r>
        <w:t xml:space="preserve"> </w:t>
      </w:r>
      <w:r w:rsidR="00AC08A1">
        <w:t>If there is a failure of the securities l</w:t>
      </w:r>
      <w:r w:rsidR="004E3DE6">
        <w:t xml:space="preserve">eg of a transaction </w:t>
      </w:r>
      <w:r w:rsidR="00AC08A1">
        <w:t>at the end of the window for settlement in the settlement mechanism, then this transaction and its matching cash leg must be split out from t</w:t>
      </w:r>
      <w:r w:rsidR="004E3DE6">
        <w:t xml:space="preserve">he netting set and treated </w:t>
      </w:r>
      <w:r w:rsidR="00AC08A1">
        <w:t>gross</w:t>
      </w:r>
      <w:r>
        <w:t>; and</w:t>
      </w:r>
    </w:p>
    <w:p w14:paraId="13BA431D" w14:textId="00063DA2" w:rsidR="00A058B2" w:rsidRPr="00A058B2" w:rsidRDefault="00A058B2" w:rsidP="00667FB0">
      <w:pPr>
        <w:pStyle w:val="BodyText2"/>
        <w:jc w:val="both"/>
      </w:pPr>
      <w:bookmarkStart w:id="91" w:name="_Ref522261338"/>
      <w:r w:rsidRPr="00A058B2">
        <w:t xml:space="preserve">a measure of </w:t>
      </w:r>
      <w:r w:rsidR="009F268B">
        <w:t>counterparty credit risk</w:t>
      </w:r>
      <w:r w:rsidR="009F268B" w:rsidRPr="00A058B2">
        <w:t xml:space="preserve"> </w:t>
      </w:r>
      <w:r w:rsidRPr="00A058B2">
        <w:t xml:space="preserve">calculated as the current exposure without a </w:t>
      </w:r>
      <w:r w:rsidR="00FD2C4E" w:rsidRPr="00FD2C4E">
        <w:t>PFE</w:t>
      </w:r>
      <w:r w:rsidR="00FD2C4E" w:rsidRPr="00A058B2">
        <w:t xml:space="preserve"> </w:t>
      </w:r>
      <w:r w:rsidRPr="00A058B2">
        <w:t>add-on, calculated as follows:</w:t>
      </w:r>
      <w:bookmarkEnd w:id="91"/>
    </w:p>
    <w:p w14:paraId="779546BD" w14:textId="10ED53A0" w:rsidR="00A058B2" w:rsidRDefault="00A058B2" w:rsidP="00667FB0">
      <w:pPr>
        <w:pStyle w:val="BodyText3"/>
        <w:jc w:val="both"/>
      </w:pPr>
      <w:r w:rsidRPr="00A058B2">
        <w:t xml:space="preserve">where a qualifying MNA as defined in </w:t>
      </w:r>
      <w:r w:rsidRPr="00CE225C">
        <w:t xml:space="preserve">paragraphs </w:t>
      </w:r>
      <w:r w:rsidR="00CE225C" w:rsidRPr="00CE225C">
        <w:fldChar w:fldCharType="begin"/>
      </w:r>
      <w:r w:rsidR="00CE225C" w:rsidRPr="00CE225C">
        <w:instrText xml:space="preserve"> REF _Ref522263848 \r \h </w:instrText>
      </w:r>
      <w:r w:rsidR="00CE225C">
        <w:instrText xml:space="preserve"> \* MERGEFORMAT </w:instrText>
      </w:r>
      <w:r w:rsidR="00CE225C" w:rsidRPr="00CE225C">
        <w:fldChar w:fldCharType="separate"/>
      </w:r>
      <w:r w:rsidR="00CD3ED2">
        <w:t>40</w:t>
      </w:r>
      <w:r w:rsidR="00CE225C" w:rsidRPr="00CE225C">
        <w:fldChar w:fldCharType="end"/>
      </w:r>
      <w:r w:rsidRPr="00CE225C">
        <w:t xml:space="preserve"> </w:t>
      </w:r>
      <w:r w:rsidR="00CE225C" w:rsidRPr="00CE225C">
        <w:t>and</w:t>
      </w:r>
      <w:r w:rsidRPr="00CE225C">
        <w:t xml:space="preserve"> </w:t>
      </w:r>
      <w:r w:rsidR="00CE225C" w:rsidRPr="00CE225C">
        <w:fldChar w:fldCharType="begin"/>
      </w:r>
      <w:r w:rsidR="00CE225C" w:rsidRPr="00CE225C">
        <w:instrText xml:space="preserve"> REF _Ref522263863 \r \h </w:instrText>
      </w:r>
      <w:r w:rsidR="00CE225C">
        <w:instrText xml:space="preserve"> \* MERGEFORMAT </w:instrText>
      </w:r>
      <w:r w:rsidR="00CE225C" w:rsidRPr="00CE225C">
        <w:fldChar w:fldCharType="separate"/>
      </w:r>
      <w:r w:rsidR="00CD3ED2">
        <w:t>41</w:t>
      </w:r>
      <w:r w:rsidR="00CE225C" w:rsidRPr="00CE225C">
        <w:fldChar w:fldCharType="end"/>
      </w:r>
      <w:r w:rsidRPr="00A058B2">
        <w:t xml:space="preserve"> of this Attachment is in place, the current exposure (</w:t>
      </w:r>
      <w:r w:rsidRPr="00A058B2">
        <w:rPr>
          <w:i/>
        </w:rPr>
        <w:t>E</w:t>
      </w:r>
      <w:r w:rsidRPr="00A058B2">
        <w:t>*) must be set to the greater of zero and the total fair value of securities and cash lent to a counterparty for all transactions included in the qualifying MNA (∑</w:t>
      </w:r>
      <w:proofErr w:type="spellStart"/>
      <w:r w:rsidRPr="00A058B2">
        <w:rPr>
          <w:i/>
        </w:rPr>
        <w:t>Ei</w:t>
      </w:r>
      <w:proofErr w:type="spellEnd"/>
      <w:r w:rsidRPr="00A058B2">
        <w:t>) less the total fair value of cash and securities received from the counterparty for those transactions (∑</w:t>
      </w:r>
      <w:r w:rsidRPr="00A058B2">
        <w:rPr>
          <w:i/>
        </w:rPr>
        <w:t>Ci</w:t>
      </w:r>
      <w:r w:rsidRPr="00A058B2">
        <w:t xml:space="preserve">). This is illustrated in the following formula: </w:t>
      </w:r>
    </w:p>
    <w:p w14:paraId="69B37EAD" w14:textId="6B6DB2EE" w:rsidR="00A058B2" w:rsidRPr="00A058B2" w:rsidRDefault="00A058B2" w:rsidP="00A058B2">
      <w:pPr>
        <w:pStyle w:val="BodyText3"/>
        <w:numPr>
          <w:ilvl w:val="0"/>
          <w:numId w:val="0"/>
        </w:numPr>
        <w:ind w:left="1701"/>
      </w:pPr>
      <w:r w:rsidRPr="003572C5">
        <w:rPr>
          <w:i/>
        </w:rPr>
        <w:t>E*</w:t>
      </w:r>
      <w:r w:rsidRPr="003572C5">
        <w:t xml:space="preserve"> = max {0, [</w:t>
      </w:r>
      <w:r w:rsidRPr="003572C5">
        <w:rPr>
          <w:i/>
        </w:rPr>
        <w:t>∑</w:t>
      </w:r>
      <w:proofErr w:type="spellStart"/>
      <w:r w:rsidRPr="003572C5">
        <w:rPr>
          <w:i/>
        </w:rPr>
        <w:t>E</w:t>
      </w:r>
      <w:r w:rsidRPr="003572C5">
        <w:rPr>
          <w:i/>
          <w:vertAlign w:val="subscript"/>
        </w:rPr>
        <w:t>i</w:t>
      </w:r>
      <w:proofErr w:type="spellEnd"/>
      <w:r w:rsidRPr="003572C5">
        <w:rPr>
          <w:i/>
          <w:vertAlign w:val="subscript"/>
        </w:rPr>
        <w:t xml:space="preserve"> </w:t>
      </w:r>
      <w:r w:rsidRPr="003572C5">
        <w:rPr>
          <w:i/>
        </w:rPr>
        <w:t xml:space="preserve"> - ∑C</w:t>
      </w:r>
      <w:r w:rsidRPr="003572C5">
        <w:rPr>
          <w:i/>
          <w:vertAlign w:val="subscript"/>
        </w:rPr>
        <w:t>i</w:t>
      </w:r>
      <w:r w:rsidRPr="003572C5">
        <w:t>]}</w:t>
      </w:r>
    </w:p>
    <w:p w14:paraId="1D46CDF1" w14:textId="25E91CCB" w:rsidR="00FD2C4E" w:rsidRDefault="00A058B2" w:rsidP="00DC3BD7">
      <w:pPr>
        <w:pStyle w:val="BodyText3"/>
        <w:jc w:val="both"/>
      </w:pPr>
      <w:r w:rsidRPr="00A058B2">
        <w:t>where no qualifying MNA is in place, the current exposure for transactions with a counterparty must be calculated on a transaction by transaction basis</w:t>
      </w:r>
      <w:r w:rsidR="002D6C01">
        <w:t xml:space="preserve">; </w:t>
      </w:r>
      <w:r w:rsidRPr="00A058B2">
        <w:t xml:space="preserve">that is, each transaction </w:t>
      </w:r>
      <w:proofErr w:type="spellStart"/>
      <w:r w:rsidRPr="00A058B2">
        <w:rPr>
          <w:i/>
        </w:rPr>
        <w:t>i</w:t>
      </w:r>
      <w:proofErr w:type="spellEnd"/>
      <w:r w:rsidRPr="00A058B2">
        <w:t xml:space="preserve"> is treated as its own netting set, as shown in the following formula:</w:t>
      </w:r>
    </w:p>
    <w:p w14:paraId="7B49B5F1" w14:textId="2F070F57" w:rsidR="00A058B2" w:rsidRDefault="00A058B2" w:rsidP="00FD2C4E">
      <w:pPr>
        <w:pStyle w:val="BodyText3"/>
        <w:numPr>
          <w:ilvl w:val="0"/>
          <w:numId w:val="0"/>
        </w:numPr>
        <w:ind w:left="1701"/>
      </w:pPr>
      <w:proofErr w:type="spellStart"/>
      <w:r w:rsidRPr="00FD2C4E">
        <w:rPr>
          <w:i/>
        </w:rPr>
        <w:t>E</w:t>
      </w:r>
      <w:r w:rsidRPr="00FD2C4E">
        <w:rPr>
          <w:i/>
          <w:vertAlign w:val="subscript"/>
        </w:rPr>
        <w:t>i</w:t>
      </w:r>
      <w:proofErr w:type="spellEnd"/>
      <w:r w:rsidRPr="003572C5">
        <w:t>* = max {0, [</w:t>
      </w:r>
      <w:proofErr w:type="spellStart"/>
      <w:r w:rsidRPr="00FD2C4E">
        <w:rPr>
          <w:i/>
        </w:rPr>
        <w:t>E</w:t>
      </w:r>
      <w:r w:rsidRPr="00FD2C4E">
        <w:rPr>
          <w:i/>
          <w:vertAlign w:val="subscript"/>
        </w:rPr>
        <w:t>i</w:t>
      </w:r>
      <w:proofErr w:type="spellEnd"/>
      <w:r w:rsidRPr="003572C5">
        <w:t xml:space="preserve"> – </w:t>
      </w:r>
      <w:r w:rsidRPr="00FD2C4E">
        <w:rPr>
          <w:i/>
        </w:rPr>
        <w:t>C</w:t>
      </w:r>
      <w:r w:rsidRPr="00FD2C4E">
        <w:rPr>
          <w:i/>
          <w:vertAlign w:val="subscript"/>
        </w:rPr>
        <w:t>i</w:t>
      </w:r>
      <w:r w:rsidRPr="003572C5">
        <w:t xml:space="preserve">]} </w:t>
      </w:r>
    </w:p>
    <w:p w14:paraId="75F40F97" w14:textId="4449B60D" w:rsidR="00DC3BD7" w:rsidRDefault="00DC3BD7" w:rsidP="00FD2C4E">
      <w:pPr>
        <w:pStyle w:val="BodyText3"/>
        <w:numPr>
          <w:ilvl w:val="0"/>
          <w:numId w:val="0"/>
        </w:numPr>
        <w:ind w:left="1701"/>
      </w:pPr>
      <w:proofErr w:type="spellStart"/>
      <w:r w:rsidRPr="00FD2C4E">
        <w:rPr>
          <w:i/>
        </w:rPr>
        <w:t>E</w:t>
      </w:r>
      <w:r w:rsidRPr="00FD2C4E">
        <w:rPr>
          <w:i/>
          <w:vertAlign w:val="subscript"/>
        </w:rPr>
        <w:t>i</w:t>
      </w:r>
      <w:proofErr w:type="spellEnd"/>
      <w:r w:rsidRPr="003572C5">
        <w:t>*</w:t>
      </w:r>
      <w:r>
        <w:t xml:space="preserve"> may be set to zero if:</w:t>
      </w:r>
    </w:p>
    <w:p w14:paraId="45C57C98" w14:textId="5340F397" w:rsidR="00DC3BD7" w:rsidRDefault="00DC3BD7" w:rsidP="0037620B">
      <w:pPr>
        <w:pStyle w:val="BodyText4"/>
        <w:jc w:val="both"/>
      </w:pPr>
      <w:proofErr w:type="spellStart"/>
      <w:r w:rsidRPr="00FD2C4E">
        <w:rPr>
          <w:i/>
        </w:rPr>
        <w:t>E</w:t>
      </w:r>
      <w:r w:rsidRPr="00FD2C4E">
        <w:rPr>
          <w:i/>
          <w:vertAlign w:val="subscript"/>
        </w:rPr>
        <w:t>i</w:t>
      </w:r>
      <w:proofErr w:type="spellEnd"/>
      <w:r>
        <w:t xml:space="preserve"> is the cash lent to a counterparty;</w:t>
      </w:r>
    </w:p>
    <w:p w14:paraId="25C5960D" w14:textId="5F9CDC61" w:rsidR="00DC3BD7" w:rsidRDefault="00DC3BD7" w:rsidP="0037620B">
      <w:pPr>
        <w:pStyle w:val="BodyText4"/>
        <w:jc w:val="both"/>
      </w:pPr>
      <w:r>
        <w:t>this transaction is treated as its own netting set; and</w:t>
      </w:r>
    </w:p>
    <w:p w14:paraId="3FFCC84C" w14:textId="6C6328E9" w:rsidR="00DC3BD7" w:rsidRDefault="00DC3BD7" w:rsidP="0037620B">
      <w:pPr>
        <w:pStyle w:val="BodyText4"/>
        <w:jc w:val="both"/>
      </w:pPr>
      <w:r>
        <w:t xml:space="preserve">the associated cash receivable is not eligible for the netting treatment in </w:t>
      </w:r>
      <w:r w:rsidR="002D6C01" w:rsidRPr="002D6C01">
        <w:t xml:space="preserve">paragraph </w:t>
      </w:r>
      <w:r w:rsidR="002D6C01" w:rsidRPr="002D6C01">
        <w:fldChar w:fldCharType="begin"/>
      </w:r>
      <w:r w:rsidR="002D6C01" w:rsidRPr="002D6C01">
        <w:instrText xml:space="preserve"> REF _Ref522206188 \r \h </w:instrText>
      </w:r>
      <w:r w:rsidR="002D6C01">
        <w:instrText xml:space="preserve"> \* MERGEFORMAT </w:instrText>
      </w:r>
      <w:r w:rsidR="002D6C01" w:rsidRPr="002D6C01">
        <w:fldChar w:fldCharType="separate"/>
      </w:r>
      <w:r w:rsidR="00CD3ED2">
        <w:t>38</w:t>
      </w:r>
      <w:r w:rsidR="002D6C01" w:rsidRPr="002D6C01">
        <w:fldChar w:fldCharType="end"/>
      </w:r>
      <w:r w:rsidR="002D6C01" w:rsidRPr="002D6C01">
        <w:fldChar w:fldCharType="begin"/>
      </w:r>
      <w:r w:rsidR="002D6C01" w:rsidRPr="002D6C01">
        <w:instrText xml:space="preserve"> REF _Ref522262361 \r \h </w:instrText>
      </w:r>
      <w:r w:rsidR="002D6C01">
        <w:instrText xml:space="preserve"> \* MERGEFORMAT </w:instrText>
      </w:r>
      <w:r w:rsidR="002D6C01" w:rsidRPr="002D6C01">
        <w:fldChar w:fldCharType="separate"/>
      </w:r>
      <w:r w:rsidR="00CD3ED2">
        <w:t>(a)</w:t>
      </w:r>
      <w:r w:rsidR="002D6C01" w:rsidRPr="002D6C01">
        <w:fldChar w:fldCharType="end"/>
      </w:r>
      <w:r w:rsidR="00562930">
        <w:t xml:space="preserve"> of this Attachment</w:t>
      </w:r>
      <w:r w:rsidRPr="002D6C01">
        <w:t>.</w:t>
      </w:r>
      <w:r>
        <w:t xml:space="preserve"> </w:t>
      </w:r>
    </w:p>
    <w:p w14:paraId="03422B7C" w14:textId="3C079F5C" w:rsidR="005B0B65" w:rsidRDefault="00E92568" w:rsidP="005A6B20">
      <w:pPr>
        <w:pStyle w:val="BodyText1"/>
      </w:pPr>
      <w:r w:rsidRPr="0005739E">
        <w:t xml:space="preserve">For the purposes of paragraph </w:t>
      </w:r>
      <w:r w:rsidRPr="0005739E">
        <w:fldChar w:fldCharType="begin"/>
      </w:r>
      <w:r w:rsidRPr="0005739E">
        <w:instrText xml:space="preserve"> REF _Ref522261338 \r \h  \* MERGEFORMAT </w:instrText>
      </w:r>
      <w:r w:rsidRPr="0005739E">
        <w:fldChar w:fldCharType="separate"/>
      </w:r>
      <w:r w:rsidR="00CD3ED2">
        <w:t>38(b)</w:t>
      </w:r>
      <w:r w:rsidRPr="0005739E">
        <w:fldChar w:fldCharType="end"/>
      </w:r>
      <w:r w:rsidR="00562930">
        <w:t xml:space="preserve"> of this Attachment</w:t>
      </w:r>
      <w:r w:rsidRPr="0005739E">
        <w:t xml:space="preserve">, </w:t>
      </w:r>
      <w:r w:rsidR="00F71AEB">
        <w:t>‘</w:t>
      </w:r>
      <w:r w:rsidRPr="0005739E">
        <w:t>counterparty</w:t>
      </w:r>
      <w:r w:rsidR="00F71AEB">
        <w:t>’</w:t>
      </w:r>
      <w:r w:rsidRPr="0005739E">
        <w:t xml:space="preserve"> includes not only the counterparty of the bilateral repurchase transactions, but also triparty repurchase agents that receive collateral in deposit and manage the collateral in the case of triparty repurchase transactions. Securities deposited at triparty repurchase agents are included in the total value of securities and cash lent to a counterparty (E) up to the amount effectively lent to the counterparty in a repurchase transaction. However, excess collateral that has been deposited at triparty agents but that has not been lent out may be excluded.</w:t>
      </w:r>
    </w:p>
    <w:p w14:paraId="4B47857C" w14:textId="6B0793DB" w:rsidR="001B2550" w:rsidRDefault="007C393A" w:rsidP="001B2550">
      <w:pPr>
        <w:pStyle w:val="BodyText1"/>
      </w:pPr>
      <w:bookmarkStart w:id="92" w:name="_Ref522263848"/>
      <w:r>
        <w:lastRenderedPageBreak/>
        <w:t xml:space="preserve">For the purpose of </w:t>
      </w:r>
      <w:r w:rsidRPr="00FD5A71">
        <w:t>paragraph</w:t>
      </w:r>
      <w:r w:rsidR="00FD5A71" w:rsidRPr="00FD5A71">
        <w:t xml:space="preserve"> </w:t>
      </w:r>
      <w:r w:rsidR="00FD5A71" w:rsidRPr="00FD5A71">
        <w:fldChar w:fldCharType="begin"/>
      </w:r>
      <w:r w:rsidR="00FD5A71" w:rsidRPr="00437142">
        <w:instrText xml:space="preserve"> REF _Ref522261338 \r \h </w:instrText>
      </w:r>
      <w:r w:rsidR="00FD5A71">
        <w:instrText xml:space="preserve"> \* MERGEFORMAT </w:instrText>
      </w:r>
      <w:r w:rsidR="00FD5A71" w:rsidRPr="00FD5A71">
        <w:fldChar w:fldCharType="separate"/>
      </w:r>
      <w:r w:rsidR="00CD3ED2">
        <w:t>38(b)</w:t>
      </w:r>
      <w:r w:rsidR="00FD5A71" w:rsidRPr="00FD5A71">
        <w:fldChar w:fldCharType="end"/>
      </w:r>
      <w:r>
        <w:t xml:space="preserve">, a </w:t>
      </w:r>
      <w:r w:rsidR="001B2550">
        <w:t xml:space="preserve">bilateral netting agreement for covering SFTs may be recognised as a qualifying MNA on a </w:t>
      </w:r>
      <w:proofErr w:type="gramStart"/>
      <w:r w:rsidR="001B2550">
        <w:t>counterparty by counterparty</w:t>
      </w:r>
      <w:proofErr w:type="gramEnd"/>
      <w:r w:rsidR="001B2550">
        <w:t xml:space="preserve"> basis only if it:</w:t>
      </w:r>
      <w:bookmarkEnd w:id="92"/>
    </w:p>
    <w:p w14:paraId="11D8BF5D" w14:textId="77777777" w:rsidR="001B2550" w:rsidRDefault="001B2550" w:rsidP="00667FB0">
      <w:pPr>
        <w:pStyle w:val="BodyText2"/>
        <w:jc w:val="both"/>
      </w:pPr>
      <w:r>
        <w:t>is legally enforceable in each relevant jurisdiction upon the occurrence of an event of default, regardless of whether the counterparty is insolvent or bankrupt;</w:t>
      </w:r>
    </w:p>
    <w:p w14:paraId="43321A0B" w14:textId="77777777" w:rsidR="001B2550" w:rsidRDefault="001B2550" w:rsidP="00667FB0">
      <w:pPr>
        <w:pStyle w:val="BodyText2"/>
        <w:jc w:val="both"/>
      </w:pPr>
      <w:r>
        <w:t>provides the non-defaulting party with the right to terminate and close out in a timely manner all transactions under the agreement upon an event of default, including in the event of insolvency or bankruptcy of the counterparty;</w:t>
      </w:r>
    </w:p>
    <w:p w14:paraId="741DE7DE" w14:textId="76908462" w:rsidR="001B2550" w:rsidRDefault="001B2550" w:rsidP="00667FB0">
      <w:pPr>
        <w:pStyle w:val="BodyText2"/>
        <w:jc w:val="both"/>
      </w:pPr>
      <w:r>
        <w:t>provides for the netting of gains and losses on transactions (including the value of any collateral) terminated and closed out under it so that a single net amount is owed by one party to the other; and</w:t>
      </w:r>
    </w:p>
    <w:p w14:paraId="5800C7E1" w14:textId="5A2770C0" w:rsidR="002E3329" w:rsidRDefault="001B2550" w:rsidP="00667FB0">
      <w:pPr>
        <w:pStyle w:val="BodyText2"/>
        <w:jc w:val="both"/>
      </w:pPr>
      <w:r>
        <w:t>allows for the prompt liquidation or set</w:t>
      </w:r>
      <w:r w:rsidR="00D60AF0">
        <w:t>-</w:t>
      </w:r>
      <w:r>
        <w:t>off of collateral in the event of default.</w:t>
      </w:r>
    </w:p>
    <w:p w14:paraId="63D7CA9B" w14:textId="4F28804F" w:rsidR="001B2550" w:rsidRDefault="001B2550" w:rsidP="00EA69F8">
      <w:pPr>
        <w:pStyle w:val="BodyText1"/>
      </w:pPr>
      <w:r>
        <w:t xml:space="preserve">Netting across </w:t>
      </w:r>
      <w:r w:rsidR="008360C0">
        <w:t xml:space="preserve">SFT </w:t>
      </w:r>
      <w:r>
        <w:t xml:space="preserve">positions held in the banking book and trading book will only be recognised when the netted transactions </w:t>
      </w:r>
      <w:bookmarkStart w:id="93" w:name="_Ref522263863"/>
      <w:r w:rsidR="00061634">
        <w:t xml:space="preserve">meet the conditions set out in </w:t>
      </w:r>
      <w:r w:rsidR="00061634" w:rsidRPr="00BB42A6">
        <w:t xml:space="preserve">paragraph </w:t>
      </w:r>
      <w:r w:rsidR="00241842">
        <w:t>6</w:t>
      </w:r>
      <w:r w:rsidR="00241842" w:rsidRPr="00BB42A6">
        <w:t xml:space="preserve"> </w:t>
      </w:r>
      <w:r w:rsidR="00061634" w:rsidRPr="00BB42A6">
        <w:t xml:space="preserve">of Attachment </w:t>
      </w:r>
      <w:r w:rsidR="00241842">
        <w:t>H</w:t>
      </w:r>
      <w:r w:rsidR="00241842" w:rsidRPr="00BB42A6">
        <w:t xml:space="preserve"> </w:t>
      </w:r>
      <w:r w:rsidR="00061634" w:rsidRPr="00BB42A6">
        <w:t>to APS</w:t>
      </w:r>
      <w:r w:rsidR="00162495">
        <w:t> </w:t>
      </w:r>
      <w:r w:rsidR="00061634" w:rsidRPr="00BB42A6">
        <w:t>112.</w:t>
      </w:r>
      <w:bookmarkEnd w:id="93"/>
      <w:r w:rsidR="00061634">
        <w:t xml:space="preserve"> </w:t>
      </w:r>
    </w:p>
    <w:p w14:paraId="36363040" w14:textId="5C9EEDF0" w:rsidR="001B2550" w:rsidRDefault="009A4CE1" w:rsidP="001B2550">
      <w:pPr>
        <w:pStyle w:val="BodyText1"/>
      </w:pPr>
      <w:bookmarkStart w:id="94" w:name="_Ref522206311"/>
      <w:r>
        <w:t xml:space="preserve">Where an ADI applies </w:t>
      </w:r>
      <w:r w:rsidR="001B2550">
        <w:t xml:space="preserve">sale accounting </w:t>
      </w:r>
      <w:r>
        <w:t>to</w:t>
      </w:r>
      <w:r w:rsidR="001B2550">
        <w:t xml:space="preserve"> an SFT </w:t>
      </w:r>
      <w:r w:rsidR="00115A36">
        <w:t xml:space="preserve">in accordance with </w:t>
      </w:r>
      <w:r w:rsidR="001B2550">
        <w:t xml:space="preserve">Australian Accounting Standards, </w:t>
      </w:r>
      <w:r>
        <w:t>it</w:t>
      </w:r>
      <w:r w:rsidR="001B2550">
        <w:t xml:space="preserve"> must reverse all sales-related accounting entries, and then calculate its exposure as if the SFT had been treated as a financing transaction under those standards (i.e. the ADI must include the sum of amounts in </w:t>
      </w:r>
      <w:r w:rsidR="001B2550" w:rsidRPr="00E048EB">
        <w:t xml:space="preserve">paragraphs </w:t>
      </w:r>
      <w:r w:rsidR="00E048EB" w:rsidRPr="00E048EB">
        <w:fldChar w:fldCharType="begin"/>
      </w:r>
      <w:r w:rsidR="00E048EB" w:rsidRPr="00E048EB">
        <w:instrText xml:space="preserve"> REF _Ref522262361 \r \h </w:instrText>
      </w:r>
      <w:r w:rsidR="00E048EB">
        <w:instrText xml:space="preserve"> \* MERGEFORMAT </w:instrText>
      </w:r>
      <w:r w:rsidR="00E048EB" w:rsidRPr="00E048EB">
        <w:fldChar w:fldCharType="separate"/>
      </w:r>
      <w:r w:rsidR="00CD3ED2">
        <w:t>38(a)</w:t>
      </w:r>
      <w:r w:rsidR="00E048EB" w:rsidRPr="00E048EB">
        <w:fldChar w:fldCharType="end"/>
      </w:r>
      <w:r w:rsidR="001B2550" w:rsidRPr="00E048EB">
        <w:t xml:space="preserve"> and </w:t>
      </w:r>
      <w:r w:rsidR="00E048EB" w:rsidRPr="00E048EB">
        <w:fldChar w:fldCharType="begin"/>
      </w:r>
      <w:r w:rsidR="00E048EB" w:rsidRPr="00E048EB">
        <w:instrText xml:space="preserve"> REF _Ref522261338 \r \h </w:instrText>
      </w:r>
      <w:r w:rsidR="00E048EB">
        <w:instrText xml:space="preserve"> \* MERGEFORMAT </w:instrText>
      </w:r>
      <w:r w:rsidR="00E048EB" w:rsidRPr="00E048EB">
        <w:fldChar w:fldCharType="separate"/>
      </w:r>
      <w:r w:rsidR="00CD3ED2">
        <w:t>38(b)</w:t>
      </w:r>
      <w:r w:rsidR="00E048EB" w:rsidRPr="00E048EB">
        <w:fldChar w:fldCharType="end"/>
      </w:r>
      <w:r w:rsidR="001B2550">
        <w:t xml:space="preserve"> of this Attachment for such an SFT) for the purposes of determining its exposure measure.</w:t>
      </w:r>
      <w:bookmarkEnd w:id="94"/>
    </w:p>
    <w:p w14:paraId="4D07A7EB" w14:textId="4E6F373E" w:rsidR="00657A88" w:rsidRPr="00EA69F8" w:rsidRDefault="00657A88" w:rsidP="00F12E2E">
      <w:pPr>
        <w:pStyle w:val="Heading3"/>
      </w:pPr>
      <w:r w:rsidRPr="00DC05FB">
        <w:t>ADI acting as</w:t>
      </w:r>
      <w:r w:rsidR="00597055" w:rsidRPr="00DC05FB">
        <w:t xml:space="preserve"> an</w:t>
      </w:r>
      <w:r w:rsidRPr="00DC05FB">
        <w:t xml:space="preserve"> agent</w:t>
      </w:r>
    </w:p>
    <w:p w14:paraId="43DFF855" w14:textId="1E4B6597" w:rsidR="00E55927" w:rsidRDefault="004A36D4" w:rsidP="00E55927">
      <w:pPr>
        <w:pStyle w:val="BodyText1"/>
      </w:pPr>
      <w:bookmarkStart w:id="95" w:name="_Ref522264498"/>
      <w:r>
        <w:t>An</w:t>
      </w:r>
      <w:r w:rsidR="00A268A3">
        <w:t xml:space="preserve"> </w:t>
      </w:r>
      <w:r w:rsidR="001B2550">
        <w:t>ADI acting as an agent in an SFT</w:t>
      </w:r>
      <w:r>
        <w:t xml:space="preserve"> may </w:t>
      </w:r>
      <w:r w:rsidR="00E55927">
        <w:t xml:space="preserve">apply </w:t>
      </w:r>
      <w:r w:rsidR="00E55927" w:rsidRPr="001F38C6">
        <w:t xml:space="preserve">paragraph </w:t>
      </w:r>
      <w:r w:rsidR="00E55927" w:rsidRPr="001F38C6">
        <w:fldChar w:fldCharType="begin"/>
      </w:r>
      <w:r w:rsidR="00E55927" w:rsidRPr="001F38C6">
        <w:instrText xml:space="preserve"> REF _Ref522261338 \r \h </w:instrText>
      </w:r>
      <w:r w:rsidR="00E55927">
        <w:instrText xml:space="preserve"> \* MERGEFORMAT </w:instrText>
      </w:r>
      <w:r w:rsidR="00E55927" w:rsidRPr="001F38C6">
        <w:fldChar w:fldCharType="separate"/>
      </w:r>
      <w:r w:rsidR="00CD3ED2">
        <w:t>38(b)</w:t>
      </w:r>
      <w:r w:rsidR="00E55927" w:rsidRPr="001F38C6">
        <w:fldChar w:fldCharType="end"/>
      </w:r>
      <w:r w:rsidR="00E55927">
        <w:t xml:space="preserve"> of this Attachment to </w:t>
      </w:r>
      <w:r>
        <w:t>calculate its exposure</w:t>
      </w:r>
      <w:r w:rsidR="00E55927">
        <w:t xml:space="preserve"> measure for the transaction</w:t>
      </w:r>
      <w:r>
        <w:t xml:space="preserve"> where:</w:t>
      </w:r>
      <w:r w:rsidR="001B2550">
        <w:t xml:space="preserve"> </w:t>
      </w:r>
    </w:p>
    <w:p w14:paraId="38CD6C4F" w14:textId="45061391" w:rsidR="00C73968" w:rsidRDefault="00E55927" w:rsidP="00E02EB4">
      <w:pPr>
        <w:pStyle w:val="BodyText2"/>
        <w:jc w:val="both"/>
      </w:pPr>
      <w:r>
        <w:t xml:space="preserve">the ADI </w:t>
      </w:r>
      <w:r w:rsidR="001B2550">
        <w:t xml:space="preserve">provides an indemnity or guarantee to a customer or counterparty for any difference between the value of the security or cash </w:t>
      </w:r>
      <w:r w:rsidR="009A4CE1">
        <w:t xml:space="preserve">that </w:t>
      </w:r>
      <w:r w:rsidR="001B2550">
        <w:t>the customer has lent and the value of collateral</w:t>
      </w:r>
      <w:r w:rsidR="009A4CE1">
        <w:t xml:space="preserve"> that</w:t>
      </w:r>
      <w:r w:rsidR="001B2550">
        <w:t xml:space="preserve"> the borrower has provided</w:t>
      </w:r>
      <w:r w:rsidR="00C73968">
        <w:t>; and</w:t>
      </w:r>
    </w:p>
    <w:p w14:paraId="01FABBD8" w14:textId="020C888B" w:rsidR="00C73968" w:rsidRDefault="00C73968" w:rsidP="00E02EB4">
      <w:pPr>
        <w:pStyle w:val="BodyText2"/>
        <w:jc w:val="both"/>
      </w:pPr>
      <w:r>
        <w:t>the ADI’s exposure to the transaction is limited to the guaranteed difference between the value of the security or cash its customer has lent, and the value of the collateral the borrower has provided</w:t>
      </w:r>
      <w:r w:rsidR="00CF4B12">
        <w:t>.</w:t>
      </w:r>
    </w:p>
    <w:bookmarkEnd w:id="95"/>
    <w:p w14:paraId="28AE4464" w14:textId="17A95931" w:rsidR="001B2550" w:rsidRDefault="005645B4" w:rsidP="00E02EB4">
      <w:pPr>
        <w:ind w:left="567"/>
        <w:jc w:val="both"/>
      </w:pPr>
      <w:r>
        <w:t xml:space="preserve">Where </w:t>
      </w:r>
      <w:r w:rsidR="001B2550">
        <w:t>the ADI is further economically exposed (i.e. beyond the guarantee for the difference) to the underlying security or cash in the transaction, a further exposure equal to the full amount of the security or cash must be included in the exposure measure.</w:t>
      </w:r>
    </w:p>
    <w:p w14:paraId="69C1F87B" w14:textId="56CF7D33" w:rsidR="00657A88" w:rsidRDefault="00657A88" w:rsidP="001B2550">
      <w:pPr>
        <w:pStyle w:val="BodyText1"/>
      </w:pPr>
      <w:bookmarkStart w:id="96" w:name="_Ref522206550"/>
      <w:r>
        <w:t xml:space="preserve">Where an ADI acting as </w:t>
      </w:r>
      <w:r w:rsidR="005645B4">
        <w:t xml:space="preserve">an </w:t>
      </w:r>
      <w:r>
        <w:t xml:space="preserve">agent provides an indemnity or guarantee to both parties involved in an SFT (i.e. securities lender and securities borrower), the ADI </w:t>
      </w:r>
      <w:r>
        <w:lastRenderedPageBreak/>
        <w:t xml:space="preserve">must calculate its exposure measure separately for each party involved in the </w:t>
      </w:r>
      <w:r w:rsidR="005645B4">
        <w:t>transaction.</w:t>
      </w:r>
      <w:bookmarkEnd w:id="96"/>
      <w:r w:rsidR="005645B4">
        <w:t xml:space="preserve"> </w:t>
      </w:r>
      <w:r w:rsidR="00963C3F">
        <w:t xml:space="preserve"> </w:t>
      </w:r>
    </w:p>
    <w:p w14:paraId="3662904D" w14:textId="6DA27DA4" w:rsidR="002B00B4" w:rsidRPr="006561CA" w:rsidRDefault="001B2550" w:rsidP="00135D41">
      <w:pPr>
        <w:pStyle w:val="BodyText1"/>
      </w:pPr>
      <w:bookmarkStart w:id="97" w:name="_Ref18568017"/>
      <w:r>
        <w:t xml:space="preserve">When an ADI acting as agent in an SFT does not provide an indemnity or guarantee to any of the involved parties, the ADI has no exposure to the SFT, and </w:t>
      </w:r>
      <w:r w:rsidR="005645B4">
        <w:t>is not required to include</w:t>
      </w:r>
      <w:r w:rsidR="005D6EBF">
        <w:t xml:space="preserve"> t</w:t>
      </w:r>
      <w:r w:rsidR="005645B4">
        <w:t xml:space="preserve">hose SFTs in its </w:t>
      </w:r>
      <w:r w:rsidR="005D6EBF">
        <w:t>exposure measure</w:t>
      </w:r>
      <w:r>
        <w:t>.</w:t>
      </w:r>
      <w:bookmarkEnd w:id="97"/>
    </w:p>
    <w:sectPr w:rsidR="002B00B4" w:rsidRPr="006561CA" w:rsidSect="000D63A8">
      <w:footerReference w:type="default" r:id="rId23"/>
      <w:pgSz w:w="11906" w:h="16838"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ED06B" w14:textId="77777777" w:rsidR="002753F2" w:rsidRDefault="002753F2" w:rsidP="006A6A52">
      <w:pPr>
        <w:spacing w:after="0"/>
      </w:pPr>
      <w:r>
        <w:separator/>
      </w:r>
    </w:p>
  </w:endnote>
  <w:endnote w:type="continuationSeparator" w:id="0">
    <w:p w14:paraId="010ABCD3" w14:textId="77777777" w:rsidR="002753F2" w:rsidRDefault="002753F2" w:rsidP="006A6A52">
      <w:pPr>
        <w:spacing w:after="0"/>
      </w:pPr>
      <w:r>
        <w:continuationSeparator/>
      </w:r>
    </w:p>
  </w:endnote>
  <w:endnote w:type="continuationNotice" w:id="1">
    <w:p w14:paraId="0D582EC8" w14:textId="77777777" w:rsidR="002753F2" w:rsidRDefault="002753F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b w:val="0"/>
        <w:sz w:val="22"/>
        <w:szCs w:val="22"/>
      </w:rPr>
      <w:id w:val="1501004324"/>
      <w:docPartObj>
        <w:docPartGallery w:val="Page Numbers (Bottom of Page)"/>
        <w:docPartUnique/>
      </w:docPartObj>
    </w:sdtPr>
    <w:sdtEndPr>
      <w:rPr>
        <w:rFonts w:ascii="Times New Roman" w:hAnsi="Times New Roman" w:cs="Times New Roman"/>
        <w:b/>
        <w:sz w:val="24"/>
        <w:szCs w:val="24"/>
      </w:rPr>
    </w:sdtEndPr>
    <w:sdtContent>
      <w:sdt>
        <w:sdtPr>
          <w:rPr>
            <w:rFonts w:ascii="Arial" w:hAnsi="Arial" w:cs="Arial"/>
            <w:b w:val="0"/>
            <w:sz w:val="22"/>
            <w:szCs w:val="22"/>
          </w:rPr>
          <w:id w:val="-1769616900"/>
          <w:docPartObj>
            <w:docPartGallery w:val="Page Numbers (Top of Page)"/>
            <w:docPartUnique/>
          </w:docPartObj>
        </w:sdtPr>
        <w:sdtEndPr>
          <w:rPr>
            <w:rFonts w:ascii="Times New Roman" w:hAnsi="Times New Roman" w:cs="Times New Roman"/>
            <w:b/>
            <w:sz w:val="24"/>
            <w:szCs w:val="24"/>
          </w:rPr>
        </w:sdtEndPr>
        <w:sdtContent>
          <w:p w14:paraId="3918A842" w14:textId="0CD3E52D" w:rsidR="007D6CAA" w:rsidRDefault="007D6CAA">
            <w:pPr>
              <w:pStyle w:val="Footer"/>
            </w:pPr>
            <w:r w:rsidRPr="007D6CAA">
              <w:rPr>
                <w:rFonts w:ascii="Arial" w:hAnsi="Arial" w:cs="Arial"/>
                <w:b w:val="0"/>
                <w:sz w:val="22"/>
                <w:szCs w:val="22"/>
              </w:rPr>
              <w:t xml:space="preserve">Page </w:t>
            </w:r>
            <w:r w:rsidRPr="007D6CAA">
              <w:rPr>
                <w:rFonts w:ascii="Arial" w:hAnsi="Arial" w:cs="Arial"/>
                <w:b w:val="0"/>
                <w:bCs/>
                <w:sz w:val="22"/>
                <w:szCs w:val="22"/>
              </w:rPr>
              <w:fldChar w:fldCharType="begin"/>
            </w:r>
            <w:r w:rsidRPr="007D6CAA">
              <w:rPr>
                <w:rFonts w:ascii="Arial" w:hAnsi="Arial" w:cs="Arial"/>
                <w:b w:val="0"/>
                <w:bCs/>
                <w:sz w:val="22"/>
                <w:szCs w:val="22"/>
              </w:rPr>
              <w:instrText xml:space="preserve"> PAGE </w:instrText>
            </w:r>
            <w:r w:rsidRPr="007D6CAA">
              <w:rPr>
                <w:rFonts w:ascii="Arial" w:hAnsi="Arial" w:cs="Arial"/>
                <w:b w:val="0"/>
                <w:bCs/>
                <w:sz w:val="22"/>
                <w:szCs w:val="22"/>
              </w:rPr>
              <w:fldChar w:fldCharType="separate"/>
            </w:r>
            <w:r w:rsidRPr="007D6CAA">
              <w:rPr>
                <w:rFonts w:ascii="Arial" w:hAnsi="Arial" w:cs="Arial"/>
                <w:b w:val="0"/>
                <w:bCs/>
                <w:noProof/>
                <w:sz w:val="22"/>
                <w:szCs w:val="22"/>
              </w:rPr>
              <w:t>2</w:t>
            </w:r>
            <w:r w:rsidRPr="007D6CAA">
              <w:rPr>
                <w:rFonts w:ascii="Arial" w:hAnsi="Arial" w:cs="Arial"/>
                <w:b w:val="0"/>
                <w:bCs/>
                <w:sz w:val="22"/>
                <w:szCs w:val="22"/>
              </w:rPr>
              <w:fldChar w:fldCharType="end"/>
            </w:r>
            <w:r w:rsidRPr="007D6CAA">
              <w:rPr>
                <w:rFonts w:ascii="Arial" w:hAnsi="Arial" w:cs="Arial"/>
                <w:b w:val="0"/>
                <w:sz w:val="22"/>
                <w:szCs w:val="22"/>
              </w:rPr>
              <w:t xml:space="preserve"> of </w:t>
            </w:r>
            <w:r>
              <w:rPr>
                <w:rFonts w:ascii="Arial" w:hAnsi="Arial" w:cs="Arial"/>
                <w:b w:val="0"/>
                <w:bCs/>
                <w:sz w:val="22"/>
                <w:szCs w:val="22"/>
              </w:rPr>
              <w:t>2</w:t>
            </w:r>
          </w:p>
        </w:sdtContent>
      </w:sdt>
    </w:sdtContent>
  </w:sdt>
  <w:p w14:paraId="6FC886AC" w14:textId="3DA0844C" w:rsidR="002753F2" w:rsidRPr="00842FBD" w:rsidRDefault="002753F2" w:rsidP="00A94573">
    <w:pPr>
      <w:pStyle w:val="Footer"/>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C923A" w14:textId="3582EFB7" w:rsidR="00A94573" w:rsidRPr="00842FBD" w:rsidRDefault="00A94573" w:rsidP="00842FBD">
    <w:pPr>
      <w:pStyle w:val="Footer"/>
    </w:pPr>
    <w:r>
      <w:rPr>
        <w:noProof/>
      </w:rPr>
      <w:fldChar w:fldCharType="begin"/>
    </w:r>
    <w:r>
      <w:rPr>
        <w:noProof/>
      </w:rPr>
      <w:instrText xml:space="preserve"> STYLEREF  "PS No. field text"  \* MERGEFORMAT </w:instrText>
    </w:r>
    <w:r>
      <w:rPr>
        <w:noProof/>
      </w:rPr>
      <w:fldChar w:fldCharType="separate"/>
    </w:r>
    <w:r w:rsidR="008C31AD">
      <w:rPr>
        <w:noProof/>
      </w:rPr>
      <w:t>APS 110</w:t>
    </w:r>
    <w:r>
      <w:rPr>
        <w:noProof/>
      </w:rPr>
      <w:fldChar w:fldCharType="end"/>
    </w:r>
    <w:r>
      <w:t xml:space="preserve"> - </w:t>
    </w:r>
    <w:r w:rsidRPr="00842FBD">
      <w:fldChar w:fldCharType="begin"/>
    </w:r>
    <w:r w:rsidRPr="00842FBD">
      <w:instrText xml:space="preserve"> PAGE </w:instrText>
    </w:r>
    <w:r w:rsidRPr="00842FBD">
      <w:fldChar w:fldCharType="separate"/>
    </w:r>
    <w:r>
      <w:rPr>
        <w:noProof/>
      </w:rPr>
      <w:t>4</w:t>
    </w:r>
    <w:r w:rsidRPr="00842FBD">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22FCF" w14:textId="77777777" w:rsidR="007D6CAA" w:rsidRDefault="007D6CA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9FEB0" w14:textId="57714A3D" w:rsidR="002753F2" w:rsidRPr="00842FBD" w:rsidRDefault="002753F2" w:rsidP="00842FBD">
    <w:pPr>
      <w:pStyle w:val="Footer"/>
    </w:pPr>
    <w:r>
      <w:rPr>
        <w:noProof/>
      </w:rPr>
      <w:fldChar w:fldCharType="begin"/>
    </w:r>
    <w:r>
      <w:rPr>
        <w:noProof/>
      </w:rPr>
      <w:instrText xml:space="preserve"> STYLEREF  "PS No. field text"  \* MERGEFORMAT </w:instrText>
    </w:r>
    <w:r>
      <w:rPr>
        <w:noProof/>
      </w:rPr>
      <w:fldChar w:fldCharType="separate"/>
    </w:r>
    <w:r w:rsidR="008C31AD">
      <w:rPr>
        <w:noProof/>
      </w:rPr>
      <w:t>APS 110</w:t>
    </w:r>
    <w:r>
      <w:rPr>
        <w:noProof/>
      </w:rPr>
      <w:fldChar w:fldCharType="end"/>
    </w:r>
    <w:r>
      <w:t xml:space="preserve"> – Attachment </w:t>
    </w:r>
    <w:r>
      <w:rPr>
        <w:noProof/>
      </w:rPr>
      <w:t>A</w:t>
    </w:r>
    <w:r>
      <w:t xml:space="preserve"> - </w:t>
    </w:r>
    <w:r w:rsidRPr="00842FBD">
      <w:fldChar w:fldCharType="begin"/>
    </w:r>
    <w:r w:rsidRPr="00842FBD">
      <w:instrText xml:space="preserve"> PAGE </w:instrText>
    </w:r>
    <w:r w:rsidRPr="00842FBD">
      <w:fldChar w:fldCharType="separate"/>
    </w:r>
    <w:r>
      <w:rPr>
        <w:noProof/>
      </w:rPr>
      <w:t>12</w:t>
    </w:r>
    <w:r w:rsidRPr="00842FBD">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530B" w14:textId="37E5ACA7" w:rsidR="002753F2" w:rsidRPr="00842FBD" w:rsidRDefault="002753F2" w:rsidP="00842FBD">
    <w:pPr>
      <w:pStyle w:val="Footer"/>
    </w:pPr>
    <w:r>
      <w:rPr>
        <w:noProof/>
      </w:rPr>
      <w:fldChar w:fldCharType="begin"/>
    </w:r>
    <w:r>
      <w:rPr>
        <w:noProof/>
      </w:rPr>
      <w:instrText xml:space="preserve"> STYLEREF  "PS No. field text"  \* MERGEFORMAT </w:instrText>
    </w:r>
    <w:r>
      <w:rPr>
        <w:noProof/>
      </w:rPr>
      <w:fldChar w:fldCharType="separate"/>
    </w:r>
    <w:r w:rsidR="008C31AD">
      <w:rPr>
        <w:noProof/>
      </w:rPr>
      <w:t>APS 110</w:t>
    </w:r>
    <w:r>
      <w:rPr>
        <w:noProof/>
      </w:rPr>
      <w:fldChar w:fldCharType="end"/>
    </w:r>
    <w:r>
      <w:t xml:space="preserve"> – Attachment </w:t>
    </w:r>
    <w:r>
      <w:rPr>
        <w:noProof/>
      </w:rPr>
      <w:t>B</w:t>
    </w:r>
    <w:r>
      <w:t xml:space="preserve"> - </w:t>
    </w:r>
    <w:r w:rsidRPr="00842FBD">
      <w:fldChar w:fldCharType="begin"/>
    </w:r>
    <w:r w:rsidRPr="00842FBD">
      <w:instrText xml:space="preserve"> PAGE </w:instrText>
    </w:r>
    <w:r w:rsidRPr="00842FBD">
      <w:fldChar w:fldCharType="separate"/>
    </w:r>
    <w:r>
      <w:rPr>
        <w:noProof/>
      </w:rPr>
      <w:t>15</w:t>
    </w:r>
    <w:r w:rsidRPr="00842FBD">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E9ED9" w14:textId="57494137" w:rsidR="002753F2" w:rsidRPr="00842FBD" w:rsidRDefault="002753F2" w:rsidP="00842FBD">
    <w:pPr>
      <w:pStyle w:val="Footer"/>
    </w:pPr>
    <w:r>
      <w:rPr>
        <w:noProof/>
      </w:rPr>
      <w:fldChar w:fldCharType="begin"/>
    </w:r>
    <w:r>
      <w:rPr>
        <w:noProof/>
      </w:rPr>
      <w:instrText xml:space="preserve"> STYLEREF  "PS No. field text"  \* MERGEFORMAT </w:instrText>
    </w:r>
    <w:r>
      <w:rPr>
        <w:noProof/>
      </w:rPr>
      <w:fldChar w:fldCharType="separate"/>
    </w:r>
    <w:r w:rsidR="008C31AD">
      <w:rPr>
        <w:noProof/>
      </w:rPr>
      <w:t>APS 110</w:t>
    </w:r>
    <w:r>
      <w:rPr>
        <w:noProof/>
      </w:rPr>
      <w:fldChar w:fldCharType="end"/>
    </w:r>
    <w:r>
      <w:t xml:space="preserve"> – Attachment</w:t>
    </w:r>
    <w:r>
      <w:rPr>
        <w:noProof/>
      </w:rPr>
      <w:fldChar w:fldCharType="begin"/>
    </w:r>
    <w:r>
      <w:rPr>
        <w:noProof/>
      </w:rPr>
      <w:instrText xml:space="preserve"> SEQ Attach\* ALPHABETIC\c  \* MERGEFORMAT </w:instrText>
    </w:r>
    <w:r>
      <w:rPr>
        <w:noProof/>
      </w:rPr>
      <w:fldChar w:fldCharType="separate"/>
    </w:r>
    <w:r w:rsidR="008C31AD">
      <w:rPr>
        <w:noProof/>
      </w:rPr>
      <w:t xml:space="preserve"> </w:t>
    </w:r>
    <w:r>
      <w:rPr>
        <w:noProof/>
      </w:rPr>
      <w:fldChar w:fldCharType="end"/>
    </w:r>
    <w:r>
      <w:rPr>
        <w:noProof/>
      </w:rPr>
      <w:t>C</w:t>
    </w:r>
    <w:r>
      <w:t xml:space="preserve"> - </w:t>
    </w:r>
    <w:r w:rsidRPr="00842FBD">
      <w:fldChar w:fldCharType="begin"/>
    </w:r>
    <w:r w:rsidRPr="00842FBD">
      <w:instrText xml:space="preserve"> PAGE </w:instrText>
    </w:r>
    <w:r w:rsidRPr="00842FBD">
      <w:fldChar w:fldCharType="separate"/>
    </w:r>
    <w:r>
      <w:rPr>
        <w:noProof/>
      </w:rPr>
      <w:t>17</w:t>
    </w:r>
    <w:r w:rsidRPr="00842FBD">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8FBDD" w14:textId="738AFC36" w:rsidR="002753F2" w:rsidRPr="00842FBD" w:rsidRDefault="002753F2" w:rsidP="00842FBD">
    <w:pPr>
      <w:pStyle w:val="Footer"/>
    </w:pPr>
    <w:r>
      <w:rPr>
        <w:noProof/>
      </w:rPr>
      <w:fldChar w:fldCharType="begin"/>
    </w:r>
    <w:r>
      <w:rPr>
        <w:noProof/>
      </w:rPr>
      <w:instrText xml:space="preserve"> STYLEREF  "PS No. field text"  \* MERGEFORMAT </w:instrText>
    </w:r>
    <w:r>
      <w:rPr>
        <w:noProof/>
      </w:rPr>
      <w:fldChar w:fldCharType="separate"/>
    </w:r>
    <w:r w:rsidR="008C31AD">
      <w:rPr>
        <w:noProof/>
      </w:rPr>
      <w:t>APS 110</w:t>
    </w:r>
    <w:r>
      <w:rPr>
        <w:noProof/>
      </w:rPr>
      <w:fldChar w:fldCharType="end"/>
    </w:r>
    <w:r>
      <w:t xml:space="preserve"> – Attachment</w:t>
    </w:r>
    <w:r>
      <w:rPr>
        <w:noProof/>
      </w:rPr>
      <w:fldChar w:fldCharType="begin"/>
    </w:r>
    <w:r>
      <w:rPr>
        <w:noProof/>
      </w:rPr>
      <w:instrText xml:space="preserve"> SEQ Attach\* ALPHABETIC\c  \* MERGEFORMAT </w:instrText>
    </w:r>
    <w:r>
      <w:rPr>
        <w:noProof/>
      </w:rPr>
      <w:fldChar w:fldCharType="separate"/>
    </w:r>
    <w:r w:rsidR="008C31AD">
      <w:rPr>
        <w:noProof/>
      </w:rPr>
      <w:t xml:space="preserve"> </w:t>
    </w:r>
    <w:r>
      <w:rPr>
        <w:noProof/>
      </w:rPr>
      <w:fldChar w:fldCharType="end"/>
    </w:r>
    <w:r>
      <w:rPr>
        <w:noProof/>
      </w:rPr>
      <w:t>D</w:t>
    </w:r>
    <w:r>
      <w:t xml:space="preserve"> - </w:t>
    </w:r>
    <w:r w:rsidRPr="00842FBD">
      <w:fldChar w:fldCharType="begin"/>
    </w:r>
    <w:r w:rsidRPr="00842FBD">
      <w:instrText xml:space="preserve"> PAGE </w:instrText>
    </w:r>
    <w:r w:rsidRPr="00842FBD">
      <w:fldChar w:fldCharType="separate"/>
    </w:r>
    <w:r>
      <w:rPr>
        <w:noProof/>
      </w:rPr>
      <w:t>28</w:t>
    </w:r>
    <w:r w:rsidRPr="00842FB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50544" w14:textId="77777777" w:rsidR="002753F2" w:rsidRDefault="002753F2" w:rsidP="006A6A52">
      <w:pPr>
        <w:spacing w:after="0"/>
      </w:pPr>
      <w:r>
        <w:separator/>
      </w:r>
    </w:p>
  </w:footnote>
  <w:footnote w:type="continuationSeparator" w:id="0">
    <w:p w14:paraId="10D9E46A" w14:textId="77777777" w:rsidR="002753F2" w:rsidRDefault="002753F2" w:rsidP="006A6A52">
      <w:pPr>
        <w:spacing w:after="0"/>
      </w:pPr>
      <w:r>
        <w:continuationSeparator/>
      </w:r>
    </w:p>
  </w:footnote>
  <w:footnote w:type="continuationNotice" w:id="1">
    <w:p w14:paraId="69EC39C1" w14:textId="77777777" w:rsidR="002753F2" w:rsidRDefault="002753F2">
      <w:pPr>
        <w:spacing w:after="0"/>
      </w:pPr>
    </w:p>
  </w:footnote>
  <w:footnote w:id="2">
    <w:p w14:paraId="3EA5F157" w14:textId="77777777" w:rsidR="002753F2" w:rsidRDefault="002753F2" w:rsidP="00725218">
      <w:pPr>
        <w:pStyle w:val="FootnoteText"/>
        <w:spacing w:after="120"/>
      </w:pPr>
      <w:r>
        <w:rPr>
          <w:rStyle w:val="FootnoteReference"/>
        </w:rPr>
        <w:footnoteRef/>
      </w:r>
      <w:r>
        <w:t xml:space="preserve"> </w:t>
      </w:r>
      <w:r>
        <w:tab/>
      </w:r>
      <w:r w:rsidRPr="00696575">
        <w:t>Refer to subsection 11AF(2) of the Banking Act.</w:t>
      </w:r>
    </w:p>
  </w:footnote>
  <w:footnote w:id="3">
    <w:p w14:paraId="3FD96CD0" w14:textId="77777777" w:rsidR="002753F2" w:rsidRDefault="002753F2" w:rsidP="009A4B09">
      <w:pPr>
        <w:pStyle w:val="FootnoteText"/>
        <w:spacing w:after="120"/>
      </w:pPr>
      <w:r>
        <w:rPr>
          <w:rStyle w:val="FootnoteReference"/>
        </w:rPr>
        <w:footnoteRef/>
      </w:r>
      <w:r>
        <w:t xml:space="preserve"> </w:t>
      </w:r>
      <w:r>
        <w:tab/>
        <w:t>Unless otherwise indicated, a reference to the Board of an ADI in this Prudential Standard is also a reference, where relevant, to the Board of the entity that heads the Level 2 group.</w:t>
      </w:r>
    </w:p>
  </w:footnote>
  <w:footnote w:id="4">
    <w:p w14:paraId="0190654E" w14:textId="7E6ED3AD" w:rsidR="002753F2" w:rsidRDefault="002753F2" w:rsidP="00725218">
      <w:pPr>
        <w:pStyle w:val="FootnoteText"/>
        <w:spacing w:after="120"/>
      </w:pPr>
      <w:r>
        <w:rPr>
          <w:rStyle w:val="FootnoteReference"/>
        </w:rPr>
        <w:footnoteRef/>
      </w:r>
      <w:r>
        <w:t xml:space="preserve"> </w:t>
      </w:r>
      <w:r>
        <w:tab/>
        <w:t xml:space="preserve">This includes all distributions on mutual equity interests which must be treated as dividends for the purposes of this Prudential Standard, as required by </w:t>
      </w:r>
      <w:r w:rsidRPr="00223D26">
        <w:rPr>
          <w:i/>
        </w:rPr>
        <w:t>Prudential Standard APS 111 Capital Adequacy: Measurement of Capital</w:t>
      </w:r>
      <w:r>
        <w:t>.</w:t>
      </w:r>
    </w:p>
  </w:footnote>
  <w:footnote w:id="5">
    <w:p w14:paraId="75C51B33" w14:textId="62AAEB1E" w:rsidR="002753F2" w:rsidRDefault="002753F2" w:rsidP="00725218">
      <w:pPr>
        <w:pStyle w:val="FootnoteText"/>
        <w:spacing w:after="120"/>
      </w:pPr>
      <w:r>
        <w:rPr>
          <w:rStyle w:val="FootnoteReference"/>
        </w:rPr>
        <w:footnoteRef/>
      </w:r>
      <w:r>
        <w:t xml:space="preserve"> </w:t>
      </w:r>
      <w:r>
        <w:tab/>
      </w:r>
      <w:r w:rsidRPr="00126E23">
        <w:t xml:space="preserve">All payments of dividends or interest on eligible Additional Tier 1 </w:t>
      </w:r>
      <w:r>
        <w:t>C</w:t>
      </w:r>
      <w:r w:rsidRPr="00126E23">
        <w:t>apital instruments are, by definition, required to be discretionary.</w:t>
      </w:r>
    </w:p>
  </w:footnote>
  <w:footnote w:id="6">
    <w:p w14:paraId="25B173E2" w14:textId="11F32F2B" w:rsidR="002753F2" w:rsidRDefault="002753F2" w:rsidP="00725218">
      <w:pPr>
        <w:pStyle w:val="FootnoteText"/>
        <w:spacing w:after="120"/>
      </w:pPr>
      <w:r>
        <w:rPr>
          <w:rStyle w:val="FootnoteReference"/>
        </w:rPr>
        <w:footnoteRef/>
      </w:r>
      <w:r>
        <w:t xml:space="preserve"> </w:t>
      </w:r>
      <w:r>
        <w:tab/>
      </w:r>
      <w:r w:rsidRPr="00756B13">
        <w:t>This would include any remuneration payments that are made upon the exercise of a discretionary judgement of the Board or senior management of an ADI as to the amount or timing of payment.</w:t>
      </w:r>
    </w:p>
  </w:footnote>
  <w:footnote w:id="7">
    <w:p w14:paraId="6C303BAC" w14:textId="1036BD0D" w:rsidR="002753F2" w:rsidRDefault="002753F2">
      <w:pPr>
        <w:pStyle w:val="FootnoteText"/>
      </w:pPr>
      <w:r>
        <w:rPr>
          <w:rStyle w:val="FootnoteReference"/>
        </w:rPr>
        <w:footnoteRef/>
      </w:r>
      <w:r>
        <w:t xml:space="preserve"> </w:t>
      </w:r>
      <w:r>
        <w:tab/>
      </w:r>
      <w:r w:rsidRPr="00881ECB">
        <w:t xml:space="preserve">Any </w:t>
      </w:r>
      <w:r>
        <w:t xml:space="preserve">minimum </w:t>
      </w:r>
      <w:r w:rsidRPr="00881ECB">
        <w:t xml:space="preserve">PCR dollar amount determined under this </w:t>
      </w:r>
      <w:r>
        <w:t>sub-</w:t>
      </w:r>
      <w:r w:rsidRPr="00881ECB">
        <w:t>paragraph applies in addition to minimum PCRs</w:t>
      </w:r>
      <w:r>
        <w:t xml:space="preserve"> </w:t>
      </w:r>
      <w:r w:rsidRPr="00881ECB">
        <w:t>determined</w:t>
      </w:r>
      <w:r>
        <w:t xml:space="preserve"> </w:t>
      </w:r>
      <w:r w:rsidRPr="00881ECB">
        <w:t>elsewhere under this Prudential Standard</w:t>
      </w:r>
      <w:r>
        <w:t>.</w:t>
      </w:r>
    </w:p>
  </w:footnote>
  <w:footnote w:id="8">
    <w:p w14:paraId="77EC3E16" w14:textId="210E849D" w:rsidR="002753F2" w:rsidRDefault="002753F2" w:rsidP="00725218">
      <w:pPr>
        <w:pStyle w:val="FootnoteText"/>
        <w:spacing w:after="120"/>
      </w:pPr>
      <w:r>
        <w:rPr>
          <w:rStyle w:val="FootnoteReference"/>
        </w:rPr>
        <w:footnoteRef/>
      </w:r>
      <w:r>
        <w:t xml:space="preserve"> </w:t>
      </w:r>
      <w:r>
        <w:tab/>
        <w:t>For the avoidance of doubt, this does not include the repayment of a Tier 2 Capital instrument upon its contractual maturity date.</w:t>
      </w:r>
    </w:p>
  </w:footnote>
  <w:footnote w:id="9">
    <w:p w14:paraId="291DC477" w14:textId="732988DB" w:rsidR="002753F2" w:rsidRDefault="002753F2" w:rsidP="00725218">
      <w:pPr>
        <w:pStyle w:val="FootnoteText"/>
        <w:spacing w:after="120"/>
      </w:pPr>
      <w:r>
        <w:rPr>
          <w:rStyle w:val="FootnoteReference"/>
        </w:rPr>
        <w:footnoteRef/>
      </w:r>
      <w:r>
        <w:t xml:space="preserve"> </w:t>
      </w:r>
      <w:r>
        <w:tab/>
        <w:t xml:space="preserve">This includes distributions on mutual equity interests which are also subject to the limits set out in Attachment I to APS 111. </w:t>
      </w:r>
    </w:p>
  </w:footnote>
  <w:footnote w:id="10">
    <w:p w14:paraId="6A98F0A2" w14:textId="4A6F68E8" w:rsidR="002753F2" w:rsidRDefault="002753F2" w:rsidP="0051554C">
      <w:pPr>
        <w:pStyle w:val="FootnoteText"/>
      </w:pPr>
      <w:r>
        <w:rPr>
          <w:rStyle w:val="FootnoteReference"/>
        </w:rPr>
        <w:footnoteRef/>
      </w:r>
      <w:r>
        <w:t xml:space="preserve"> </w:t>
      </w:r>
      <w:r>
        <w:tab/>
        <w:t xml:space="preserve">For risk-weighted credit exposures under APS 180, refer to sub-paragraph 13(a) of APS 180. For capital charges under APS 180, refer to sub-paragraphs 13(b) and 13(c) of APS 180. </w:t>
      </w:r>
    </w:p>
  </w:footnote>
  <w:footnote w:id="11">
    <w:p w14:paraId="25E24053" w14:textId="277B85CB" w:rsidR="002753F2" w:rsidRDefault="002753F2">
      <w:pPr>
        <w:pStyle w:val="FootnoteText"/>
      </w:pPr>
      <w:r>
        <w:rPr>
          <w:rStyle w:val="FootnoteReference"/>
        </w:rPr>
        <w:footnoteRef/>
      </w:r>
      <w:r>
        <w:t xml:space="preserve"> </w:t>
      </w:r>
      <w:r>
        <w:tab/>
        <w:t>Refer to sub-paragraph 13(a) of APS 180.</w:t>
      </w:r>
    </w:p>
  </w:footnote>
  <w:footnote w:id="12">
    <w:p w14:paraId="56FA4FC5" w14:textId="79BADD8F" w:rsidR="002753F2" w:rsidRDefault="002753F2" w:rsidP="000B5823">
      <w:pPr>
        <w:pStyle w:val="FootnoteText"/>
        <w:ind w:left="0" w:firstLine="0"/>
      </w:pPr>
      <w:r>
        <w:rPr>
          <w:rStyle w:val="FootnoteReference"/>
        </w:rPr>
        <w:footnoteRef/>
      </w:r>
      <w:r>
        <w:t xml:space="preserve"> </w:t>
      </w:r>
      <w:r>
        <w:tab/>
        <w:t>Refer to sub-paragraphs 13(b) and 13(c) of APS 180.</w:t>
      </w:r>
    </w:p>
  </w:footnote>
  <w:footnote w:id="13">
    <w:p w14:paraId="7DEED831" w14:textId="19B9D3D7" w:rsidR="002753F2" w:rsidRDefault="002753F2">
      <w:pPr>
        <w:pStyle w:val="FootnoteText"/>
      </w:pPr>
      <w:r>
        <w:rPr>
          <w:rStyle w:val="FootnoteReference"/>
        </w:rPr>
        <w:footnoteRef/>
      </w:r>
      <w:r>
        <w:t xml:space="preserve"> </w:t>
      </w:r>
      <w:r>
        <w:tab/>
        <w:t>For the avoidance of doubt, an IRB ADI in this calculation must determine all credit RWA in accordance with APS 112, APS 120 and APS 180 only, and the capital charge for market risk as the sum of the capital charges for traded market risk, foreign exchange and commodities (TFC) calculated under the standard method in accordance with APS 116.</w:t>
      </w:r>
    </w:p>
  </w:footnote>
  <w:footnote w:id="14">
    <w:p w14:paraId="1B9A7A40" w14:textId="687F388D" w:rsidR="00845696" w:rsidRDefault="00845696" w:rsidP="00234BAC">
      <w:pPr>
        <w:pStyle w:val="FootnoteText"/>
      </w:pPr>
      <w:r>
        <w:rPr>
          <w:rStyle w:val="FootnoteReference"/>
        </w:rPr>
        <w:footnoteRef/>
      </w:r>
      <w:r>
        <w:t xml:space="preserve"> </w:t>
      </w:r>
      <w:r w:rsidR="00234BAC">
        <w:tab/>
      </w:r>
      <w:r>
        <w:t xml:space="preserve">For the purpose of </w:t>
      </w:r>
      <w:r w:rsidR="00234BAC">
        <w:t xml:space="preserve">determining exposures of an overseas banking subsidiary that is prudentially regulated by a prescribed New Zealand authority, an ADI </w:t>
      </w:r>
      <w:r w:rsidR="00234BAC" w:rsidRPr="00C20F8C">
        <w:t>must calculate exposures using</w:t>
      </w:r>
      <w:r w:rsidR="00234BAC">
        <w:t xml:space="preserve"> the prescribed New Zealand authority’s equivalent prudential rules as in force from time to time. </w:t>
      </w:r>
      <w:r w:rsidR="005E77C8" w:rsidRPr="004A3B5D">
        <w:rPr>
          <w:i/>
        </w:rPr>
        <w:t>prescribed New Zealand authority</w:t>
      </w:r>
      <w:r w:rsidR="005E77C8">
        <w:t xml:space="preserve"> has the meaning given in subsection 5(1) of the Banking Act.</w:t>
      </w:r>
    </w:p>
  </w:footnote>
  <w:footnote w:id="15">
    <w:p w14:paraId="3F5C5C39" w14:textId="36AB7058" w:rsidR="002753F2" w:rsidRDefault="002753F2" w:rsidP="00B0572A">
      <w:pPr>
        <w:pStyle w:val="FootnoteText"/>
      </w:pPr>
      <w:r>
        <w:rPr>
          <w:rStyle w:val="FootnoteReference"/>
        </w:rPr>
        <w:footnoteRef/>
      </w:r>
      <w:r>
        <w:t xml:space="preserve"> </w:t>
      </w:r>
      <w:r>
        <w:tab/>
        <w:t xml:space="preserve">Off-balance sheet items have the meaning given in APS 112.  </w:t>
      </w:r>
    </w:p>
  </w:footnote>
  <w:footnote w:id="16">
    <w:p w14:paraId="0400B009" w14:textId="1E17F64A" w:rsidR="002753F2" w:rsidRDefault="002753F2" w:rsidP="00725218">
      <w:pPr>
        <w:pStyle w:val="FootnoteText"/>
        <w:spacing w:after="120"/>
      </w:pPr>
      <w:r>
        <w:rPr>
          <w:rStyle w:val="FootnoteReference"/>
        </w:rPr>
        <w:footnoteRef/>
      </w:r>
      <w:r>
        <w:t xml:space="preserve"> </w:t>
      </w:r>
      <w:r>
        <w:tab/>
        <w:t xml:space="preserve">Netting set has the meaning given in paragraph 8(s) of APS 180. </w:t>
      </w:r>
    </w:p>
  </w:footnote>
  <w:footnote w:id="17">
    <w:p w14:paraId="6F49EE99" w14:textId="46BE72AF" w:rsidR="002753F2" w:rsidRDefault="002753F2" w:rsidP="00725218">
      <w:pPr>
        <w:pStyle w:val="FootnoteText"/>
        <w:spacing w:after="120"/>
      </w:pPr>
      <w:r>
        <w:rPr>
          <w:rStyle w:val="FootnoteReference"/>
        </w:rPr>
        <w:footnoteRef/>
      </w:r>
      <w:r>
        <w:t xml:space="preserve"> </w:t>
      </w:r>
      <w:r>
        <w:tab/>
      </w:r>
      <w:r w:rsidRPr="005B1829">
        <w:t xml:space="preserve">QCCP </w:t>
      </w:r>
      <w:r>
        <w:t>has the meaning given</w:t>
      </w:r>
      <w:r w:rsidRPr="005B1829">
        <w:t xml:space="preserve"> in </w:t>
      </w:r>
      <w:r w:rsidRPr="00A645A5">
        <w:t xml:space="preserve">paragraph </w:t>
      </w:r>
      <w:r>
        <w:t>8</w:t>
      </w:r>
      <w:r w:rsidRPr="00A645A5">
        <w:t>(</w:t>
      </w:r>
      <w:r>
        <w:t>w</w:t>
      </w:r>
      <w:r w:rsidRPr="00A645A5">
        <w:t>) of APS</w:t>
      </w:r>
      <w:r>
        <w:t> 180</w:t>
      </w:r>
      <w:r w:rsidRPr="00A645A5">
        <w:t>.</w:t>
      </w:r>
    </w:p>
  </w:footnote>
  <w:footnote w:id="18">
    <w:p w14:paraId="2E49D614" w14:textId="6483E50D" w:rsidR="002753F2" w:rsidRDefault="002753F2" w:rsidP="00725218">
      <w:pPr>
        <w:pStyle w:val="FootnoteText"/>
        <w:spacing w:after="120"/>
      </w:pPr>
      <w:r>
        <w:rPr>
          <w:rStyle w:val="FootnoteReference"/>
        </w:rPr>
        <w:footnoteRef/>
      </w:r>
      <w:r>
        <w:t xml:space="preserve"> </w:t>
      </w:r>
      <w:r>
        <w:tab/>
        <w:t xml:space="preserve">MNA includes any netting agreement that provides legally enforceable rights of offset and also satisfies the criteria for bilateral netting agreements as set out in Attachment H to APS 112. A master MNA, which is an overarching agreement that provides a legally enforceable right to net across more than one MNA, may be treated as a single MNA. </w:t>
      </w:r>
    </w:p>
  </w:footnote>
  <w:footnote w:id="19">
    <w:p w14:paraId="5E1884C0" w14:textId="3A33B5A5" w:rsidR="002753F2" w:rsidRDefault="002753F2" w:rsidP="00725218">
      <w:pPr>
        <w:pStyle w:val="FootnoteText"/>
        <w:spacing w:after="120"/>
      </w:pPr>
      <w:r>
        <w:rPr>
          <w:rStyle w:val="FootnoteReference"/>
        </w:rPr>
        <w:footnoteRef/>
      </w:r>
      <w:r>
        <w:t xml:space="preserve"> </w:t>
      </w:r>
      <w:r>
        <w:tab/>
        <w:t xml:space="preserve">CCP has the meaning given in </w:t>
      </w:r>
      <w:r w:rsidRPr="00D73832">
        <w:t xml:space="preserve">paragraph </w:t>
      </w:r>
      <w:r>
        <w:t>8</w:t>
      </w:r>
      <w:r w:rsidRPr="00D73832">
        <w:t>(</w:t>
      </w:r>
      <w:r>
        <w:t>b</w:t>
      </w:r>
      <w:r w:rsidRPr="00D73832">
        <w:t>) of APS</w:t>
      </w:r>
      <w:r>
        <w:t> 180</w:t>
      </w:r>
      <w:r w:rsidRPr="00D73832">
        <w:t>.</w:t>
      </w:r>
      <w:r>
        <w:t xml:space="preserve"> </w:t>
      </w:r>
    </w:p>
  </w:footnote>
  <w:footnote w:id="20">
    <w:p w14:paraId="65620314" w14:textId="382F6021" w:rsidR="002753F2" w:rsidRDefault="002753F2" w:rsidP="00725218">
      <w:pPr>
        <w:pStyle w:val="FootnoteText"/>
        <w:spacing w:after="120"/>
      </w:pPr>
      <w:r>
        <w:rPr>
          <w:rStyle w:val="FootnoteReference"/>
        </w:rPr>
        <w:footnoteRef/>
      </w:r>
      <w:r>
        <w:t xml:space="preserve"> </w:t>
      </w:r>
      <w:r>
        <w:tab/>
      </w:r>
      <w:r w:rsidRPr="0005739E">
        <w:t>In situations where a margin dispute arises, the amount of non-disputed variation margin that has been exchanged can be recognised.</w:t>
      </w:r>
    </w:p>
  </w:footnote>
  <w:footnote w:id="21">
    <w:p w14:paraId="40F1430F" w14:textId="2FADF8CA" w:rsidR="002753F2" w:rsidRDefault="002753F2" w:rsidP="00725218">
      <w:pPr>
        <w:pStyle w:val="FootnoteText"/>
        <w:spacing w:after="120"/>
      </w:pPr>
      <w:r>
        <w:rPr>
          <w:rStyle w:val="FootnoteReference"/>
        </w:rPr>
        <w:footnoteRef/>
      </w:r>
      <w:r>
        <w:t xml:space="preserve"> </w:t>
      </w:r>
      <w:r>
        <w:tab/>
      </w:r>
      <w:r w:rsidRPr="00E91021">
        <w:t xml:space="preserve">Clearing member </w:t>
      </w:r>
      <w:r>
        <w:t>has the meaning given</w:t>
      </w:r>
      <w:r w:rsidRPr="00E91021">
        <w:t xml:space="preserve"> in </w:t>
      </w:r>
      <w:r w:rsidRPr="00246C09">
        <w:t xml:space="preserve">paragraph </w:t>
      </w:r>
      <w:r>
        <w:t>8</w:t>
      </w:r>
      <w:r w:rsidRPr="00246C09">
        <w:t>(</w:t>
      </w:r>
      <w:r>
        <w:t>c</w:t>
      </w:r>
      <w:r w:rsidRPr="00246C09">
        <w:t>) of APS</w:t>
      </w:r>
      <w:r>
        <w:t> 180</w:t>
      </w:r>
      <w:r w:rsidRPr="00246C09">
        <w:t>.</w:t>
      </w:r>
    </w:p>
  </w:footnote>
  <w:footnote w:id="22">
    <w:p w14:paraId="72C29C6A" w14:textId="774729DB" w:rsidR="002753F2" w:rsidRDefault="002753F2" w:rsidP="00725218">
      <w:pPr>
        <w:pStyle w:val="FootnoteText"/>
        <w:spacing w:after="120"/>
      </w:pPr>
      <w:r>
        <w:rPr>
          <w:rStyle w:val="FootnoteReference"/>
        </w:rPr>
        <w:footnoteRef/>
      </w:r>
      <w:r>
        <w:t xml:space="preserve"> </w:t>
      </w:r>
      <w:r>
        <w:tab/>
      </w:r>
      <w:r w:rsidRPr="00E91021">
        <w:t xml:space="preserve">For the purposes of </w:t>
      </w:r>
      <w:r w:rsidRPr="00DA2DCE">
        <w:t>paragraphs</w:t>
      </w:r>
      <w:r>
        <w:t xml:space="preserve"> </w:t>
      </w:r>
      <w:r>
        <w:fldChar w:fldCharType="begin"/>
      </w:r>
      <w:r>
        <w:instrText xml:space="preserve"> REF _Ref24961230 \r \h </w:instrText>
      </w:r>
      <w:r>
        <w:fldChar w:fldCharType="separate"/>
      </w:r>
      <w:r>
        <w:t>25</w:t>
      </w:r>
      <w:r>
        <w:fldChar w:fldCharType="end"/>
      </w:r>
      <w:r w:rsidRPr="00DA2DCE">
        <w:t xml:space="preserve"> to</w:t>
      </w:r>
      <w:r>
        <w:t xml:space="preserve"> </w:t>
      </w:r>
      <w:r>
        <w:fldChar w:fldCharType="begin"/>
      </w:r>
      <w:r>
        <w:instrText xml:space="preserve"> REF _Ref24961328 \r \h </w:instrText>
      </w:r>
      <w:r>
        <w:fldChar w:fldCharType="separate"/>
      </w:r>
      <w:r>
        <w:t>28</w:t>
      </w:r>
      <w:r>
        <w:fldChar w:fldCharType="end"/>
      </w:r>
      <w:r w:rsidRPr="00DA2DCE">
        <w:t xml:space="preserve"> </w:t>
      </w:r>
      <w:r w:rsidRPr="00E91021">
        <w:t>of this Attachment, trade exposures includes initial margin irrespective of whether or not it is posted in a manner that makes it remote f</w:t>
      </w:r>
      <w:r>
        <w:t>rom the insolvency of the CCP.</w:t>
      </w:r>
    </w:p>
  </w:footnote>
  <w:footnote w:id="23">
    <w:p w14:paraId="5474E3D4" w14:textId="77777777" w:rsidR="002753F2" w:rsidRDefault="002753F2" w:rsidP="00725218">
      <w:pPr>
        <w:pStyle w:val="FootnoteText"/>
        <w:spacing w:after="120"/>
      </w:pPr>
      <w:r>
        <w:rPr>
          <w:rStyle w:val="FootnoteReference"/>
        </w:rPr>
        <w:footnoteRef/>
      </w:r>
      <w:r>
        <w:t xml:space="preserve"> </w:t>
      </w:r>
      <w:r>
        <w:tab/>
      </w:r>
      <w:r w:rsidRPr="00552768">
        <w:t>The effective notional amount is obtained by adjusting the notional amount to reflect the true exposure of contracts that are leveraged or otherwise enhanced by the structure of the transaction.</w:t>
      </w:r>
    </w:p>
  </w:footnote>
  <w:footnote w:id="24">
    <w:p w14:paraId="4E115117" w14:textId="77777777" w:rsidR="002753F2" w:rsidRDefault="002753F2" w:rsidP="00725218">
      <w:pPr>
        <w:pStyle w:val="FootnoteText"/>
        <w:spacing w:after="120"/>
      </w:pPr>
      <w:r>
        <w:rPr>
          <w:rStyle w:val="FootnoteReference"/>
        </w:rPr>
        <w:footnoteRef/>
      </w:r>
      <w:r>
        <w:t xml:space="preserve"> </w:t>
      </w:r>
      <w:r>
        <w:tab/>
        <w:t xml:space="preserve">Two reference names are considered identical only if they refer to the same legal entity. </w:t>
      </w:r>
    </w:p>
  </w:footnote>
  <w:footnote w:id="25">
    <w:p w14:paraId="1D80744D" w14:textId="3DF45B94" w:rsidR="002753F2" w:rsidRDefault="002753F2" w:rsidP="00725218">
      <w:pPr>
        <w:pStyle w:val="FootnoteText"/>
        <w:spacing w:after="120"/>
      </w:pPr>
      <w:r>
        <w:rPr>
          <w:rStyle w:val="FootnoteReference"/>
        </w:rPr>
        <w:footnoteRef/>
      </w:r>
      <w:r>
        <w:t xml:space="preserve"> </w:t>
      </w:r>
      <w:r>
        <w:tab/>
        <w:t>Material terms include the level of subordination or seniority, optionality, strike price, credit events, reference name and any other characteristics relevant to the valuation of the derivative.</w:t>
      </w:r>
    </w:p>
  </w:footnote>
  <w:footnote w:id="26">
    <w:p w14:paraId="6A9C1EF5" w14:textId="78CB7567" w:rsidR="002753F2" w:rsidRDefault="002753F2" w:rsidP="00725218">
      <w:pPr>
        <w:pStyle w:val="FootnoteText"/>
        <w:spacing w:after="120"/>
      </w:pPr>
      <w:r>
        <w:rPr>
          <w:rStyle w:val="FootnoteReference"/>
        </w:rPr>
        <w:footnoteRef/>
      </w:r>
      <w:r>
        <w:t xml:space="preserve"> </w:t>
      </w:r>
      <w:r>
        <w:tab/>
        <w:t xml:space="preserve">SFT has the meaning given in </w:t>
      </w:r>
      <w:r w:rsidRPr="004A727D">
        <w:t xml:space="preserve">paragraph </w:t>
      </w:r>
      <w:r>
        <w:t>14(aa)</w:t>
      </w:r>
      <w:r w:rsidRPr="004A727D">
        <w:t xml:space="preserve"> of APS</w:t>
      </w:r>
      <w:r>
        <w:t> </w:t>
      </w:r>
      <w:r w:rsidRPr="004A727D">
        <w:t>112.</w:t>
      </w:r>
      <w:r>
        <w:t xml:space="preserve"> </w:t>
      </w:r>
    </w:p>
  </w:footnote>
  <w:footnote w:id="27">
    <w:p w14:paraId="3F6D6EA9" w14:textId="79894689" w:rsidR="002753F2" w:rsidRDefault="002753F2" w:rsidP="00725218">
      <w:pPr>
        <w:pStyle w:val="FootnoteText"/>
        <w:spacing w:after="120"/>
      </w:pPr>
      <w:r>
        <w:rPr>
          <w:rStyle w:val="FootnoteReference"/>
        </w:rPr>
        <w:footnoteRef/>
      </w:r>
      <w:r>
        <w:t xml:space="preserve"> </w:t>
      </w:r>
      <w:r>
        <w:tab/>
      </w:r>
      <w:r w:rsidRPr="002E3329">
        <w:t xml:space="preserve">For SFT assets subject to novation and cleared through QCCPs, ‘gross SFT assets recognised for accounting purposes’ are replaced by the final contractual exposure, given that pre-existing contracts have been replaced by new legal obligations through the novation process. </w:t>
      </w:r>
      <w:r>
        <w:t xml:space="preserve">However, ADIs may only net cash receivables and cash payables with a QCCP if the criteria in </w:t>
      </w:r>
      <w:r w:rsidRPr="00C2639D">
        <w:t xml:space="preserve">paragraph </w:t>
      </w:r>
      <w:r w:rsidRPr="00C2639D">
        <w:fldChar w:fldCharType="begin"/>
      </w:r>
      <w:r w:rsidRPr="00C2639D">
        <w:instrText xml:space="preserve"> REF _Ref522206939 \r \h </w:instrText>
      </w:r>
      <w:r>
        <w:instrText xml:space="preserve"> \* MERGEFORMAT </w:instrText>
      </w:r>
      <w:r w:rsidRPr="00C2639D">
        <w:fldChar w:fldCharType="separate"/>
      </w:r>
      <w:r>
        <w:t>38(a)(ii)</w:t>
      </w:r>
      <w:r w:rsidRPr="00C2639D">
        <w:fldChar w:fldCharType="end"/>
      </w:r>
      <w:r w:rsidRPr="00C2639D">
        <w:t xml:space="preserve"> are</w:t>
      </w:r>
      <w:r>
        <w:t xml:space="preserve"> met. Any other netting permitted by the QCCP is not permitted for the purposes of the leverage ratio.</w:t>
      </w:r>
      <w:r w:rsidRPr="002E3329">
        <w:t xml:space="preserve"> </w:t>
      </w:r>
    </w:p>
  </w:footnote>
  <w:footnote w:id="28">
    <w:p w14:paraId="5EB91F02" w14:textId="78DCD4EB" w:rsidR="002753F2" w:rsidRDefault="002753F2" w:rsidP="00725218">
      <w:pPr>
        <w:pStyle w:val="FootnoteText"/>
        <w:spacing w:after="120"/>
      </w:pPr>
      <w:r>
        <w:rPr>
          <w:rStyle w:val="FootnoteReference"/>
        </w:rPr>
        <w:footnoteRef/>
      </w:r>
      <w:r>
        <w:t xml:space="preserve"> </w:t>
      </w:r>
      <w:r>
        <w:tab/>
      </w:r>
      <w:r w:rsidRPr="0005739E">
        <w:t>To achieve such equivalence, both transactions are settled through the same settlement system and the settlement arrangements are supported by cash or intraday credit facilities intended to ensure that settlement of both transactions will occur by the end of the business day and, any issues arising from the securities legs of the SFTs do not interfere with the completion of the net settlement of the cash receivables and payables. The failure of any single securities transaction in the settlement mechanism may delay settlement of only the matching cash leg or create an obligation to the settlement mechanism, supported by an associated credit facility.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4145"/>
      <w:gridCol w:w="4167"/>
    </w:tblGrid>
    <w:tr w:rsidR="00A94573" w14:paraId="2ED66212" w14:textId="77777777" w:rsidTr="000D63A8">
      <w:tc>
        <w:tcPr>
          <w:tcW w:w="4264" w:type="dxa"/>
          <w:tcBorders>
            <w:top w:val="nil"/>
            <w:left w:val="nil"/>
            <w:bottom w:val="nil"/>
            <w:right w:val="nil"/>
          </w:tcBorders>
        </w:tcPr>
        <w:p w14:paraId="3935882A" w14:textId="77777777" w:rsidR="00A94573" w:rsidRDefault="00A94573" w:rsidP="00FF513E">
          <w:pPr>
            <w:pStyle w:val="Header"/>
          </w:pPr>
        </w:p>
      </w:tc>
      <w:tc>
        <w:tcPr>
          <w:tcW w:w="4264" w:type="dxa"/>
          <w:tcBorders>
            <w:top w:val="nil"/>
            <w:left w:val="nil"/>
            <w:bottom w:val="nil"/>
            <w:right w:val="nil"/>
          </w:tcBorders>
        </w:tcPr>
        <w:p w14:paraId="55B57F02" w14:textId="77777777" w:rsidR="00A94573" w:rsidRPr="00C760A9" w:rsidRDefault="00A94573" w:rsidP="000D63A8">
          <w:pPr>
            <w:pStyle w:val="Header"/>
            <w:rPr>
              <w:b w:val="0"/>
            </w:rPr>
          </w:pPr>
          <w:r w:rsidRPr="00C760A9">
            <w:rPr>
              <w:b w:val="0"/>
            </w:rPr>
            <w:t>January 2023</w:t>
          </w:r>
        </w:p>
      </w:tc>
    </w:tr>
  </w:tbl>
  <w:p w14:paraId="717D070E" w14:textId="77777777" w:rsidR="00A94573" w:rsidRDefault="00A94573" w:rsidP="00A94573">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8312"/>
    </w:tblGrid>
    <w:tr w:rsidR="007D6CAA" w:rsidRPr="00C760A9" w14:paraId="0C1CBAD9" w14:textId="77777777" w:rsidTr="007D6CAA">
      <w:tc>
        <w:tcPr>
          <w:tcW w:w="8647" w:type="dxa"/>
          <w:tcBorders>
            <w:top w:val="nil"/>
            <w:left w:val="nil"/>
            <w:bottom w:val="nil"/>
            <w:right w:val="nil"/>
          </w:tcBorders>
        </w:tcPr>
        <w:p w14:paraId="082B9C6D" w14:textId="77777777" w:rsidR="007D6CAA" w:rsidRPr="00C760A9" w:rsidRDefault="007D6CAA" w:rsidP="007D6CAA">
          <w:pPr>
            <w:pStyle w:val="Header"/>
            <w:rPr>
              <w:b w:val="0"/>
            </w:rPr>
          </w:pPr>
          <w:r w:rsidRPr="00C760A9">
            <w:rPr>
              <w:b w:val="0"/>
            </w:rPr>
            <w:t>January 2023</w:t>
          </w:r>
        </w:p>
      </w:tc>
    </w:tr>
  </w:tbl>
  <w:p w14:paraId="132171E9" w14:textId="77777777" w:rsidR="007D6CAA" w:rsidRPr="007D6CAA" w:rsidRDefault="007D6C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D954EC24"/>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3C2CAEEC"/>
    <w:lvl w:ilvl="0">
      <w:start w:val="1"/>
      <w:numFmt w:val="decimal"/>
      <w:lvlText w:val="%1."/>
      <w:lvlJc w:val="left"/>
      <w:pPr>
        <w:tabs>
          <w:tab w:val="num" w:pos="643"/>
        </w:tabs>
        <w:ind w:left="643" w:hanging="360"/>
      </w:pPr>
    </w:lvl>
  </w:abstractNum>
  <w:abstractNum w:abstractNumId="2" w15:restartNumberingAfterBreak="0">
    <w:nsid w:val="FFFFFF83"/>
    <w:multiLevelType w:val="singleLevel"/>
    <w:tmpl w:val="D554AE4A"/>
    <w:lvl w:ilvl="0">
      <w:start w:val="1"/>
      <w:numFmt w:val="bullet"/>
      <w:lvlText w:val=""/>
      <w:lvlJc w:val="left"/>
      <w:pPr>
        <w:tabs>
          <w:tab w:val="num" w:pos="643"/>
        </w:tabs>
        <w:ind w:left="643" w:hanging="360"/>
      </w:pPr>
      <w:rPr>
        <w:rFonts w:ascii="Symbol" w:hAnsi="Symbol" w:hint="default"/>
      </w:rPr>
    </w:lvl>
  </w:abstractNum>
  <w:abstractNum w:abstractNumId="3" w15:restartNumberingAfterBreak="0">
    <w:nsid w:val="FFFFFF88"/>
    <w:multiLevelType w:val="singleLevel"/>
    <w:tmpl w:val="C4826C46"/>
    <w:lvl w:ilvl="0">
      <w:start w:val="1"/>
      <w:numFmt w:val="decimal"/>
      <w:lvlText w:val="%1."/>
      <w:lvlJc w:val="left"/>
      <w:pPr>
        <w:tabs>
          <w:tab w:val="num" w:pos="360"/>
        </w:tabs>
        <w:ind w:left="360" w:hanging="360"/>
      </w:pPr>
    </w:lvl>
  </w:abstractNum>
  <w:abstractNum w:abstractNumId="4" w15:restartNumberingAfterBreak="0">
    <w:nsid w:val="FFFFFF89"/>
    <w:multiLevelType w:val="singleLevel"/>
    <w:tmpl w:val="6A048E4E"/>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8B072C7"/>
    <w:multiLevelType w:val="hybridMultilevel"/>
    <w:tmpl w:val="4DF65F28"/>
    <w:lvl w:ilvl="0" w:tplc="7E786536">
      <w:start w:val="2"/>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FF31B20"/>
    <w:multiLevelType w:val="hybridMultilevel"/>
    <w:tmpl w:val="BC7EBFF4"/>
    <w:lvl w:ilvl="0" w:tplc="301E3FFA">
      <w:start w:val="1"/>
      <w:numFmt w:val="decimal"/>
      <w:lvlText w:val="%1."/>
      <w:lvlJc w:val="left"/>
      <w:pPr>
        <w:tabs>
          <w:tab w:val="num" w:pos="567"/>
        </w:tabs>
        <w:ind w:left="567" w:hanging="567"/>
      </w:pPr>
      <w:rPr>
        <w:rFonts w:ascii="Times New Roman" w:hAnsi="Times New Roman" w:hint="default"/>
        <w:b w:val="0"/>
        <w:i w:val="0"/>
        <w:sz w:val="24"/>
        <w:szCs w:val="24"/>
        <w:vertAlign w:val="baseline"/>
      </w:rPr>
    </w:lvl>
    <w:lvl w:ilvl="1" w:tplc="1DFE0F2A">
      <w:start w:val="1"/>
      <w:numFmt w:val="lowerLetter"/>
      <w:lvlText w:val="(%2)"/>
      <w:lvlJc w:val="left"/>
      <w:pPr>
        <w:tabs>
          <w:tab w:val="num" w:pos="1134"/>
        </w:tabs>
        <w:ind w:left="1134" w:hanging="567"/>
      </w:pPr>
      <w:rPr>
        <w:rFonts w:ascii="Times New Roman" w:hAnsi="Times New Roman" w:hint="default"/>
        <w:b w:val="0"/>
        <w:i w:val="0"/>
        <w:sz w:val="24"/>
        <w:szCs w:val="24"/>
        <w:vertAlign w:val="baseline"/>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15:restartNumberingAfterBreak="0">
    <w:nsid w:val="146512D5"/>
    <w:multiLevelType w:val="hybridMultilevel"/>
    <w:tmpl w:val="61545A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6463545"/>
    <w:multiLevelType w:val="multilevel"/>
    <w:tmpl w:val="130E79A2"/>
    <w:lvl w:ilvl="0">
      <w:start w:val="1"/>
      <w:numFmt w:val="decimal"/>
      <w:pStyle w:val="BodyText1"/>
      <w:lvlText w:val="%1."/>
      <w:lvlJc w:val="left"/>
      <w:pPr>
        <w:tabs>
          <w:tab w:val="num" w:pos="567"/>
        </w:tabs>
        <w:ind w:left="567" w:hanging="567"/>
      </w:pPr>
      <w:rPr>
        <w:rFonts w:hint="default"/>
      </w:rPr>
    </w:lvl>
    <w:lvl w:ilvl="1">
      <w:start w:val="1"/>
      <w:numFmt w:val="lowerLetter"/>
      <w:pStyle w:val="BodyText2"/>
      <w:lvlText w:val="(%2)"/>
      <w:lvlJc w:val="left"/>
      <w:pPr>
        <w:tabs>
          <w:tab w:val="num" w:pos="1134"/>
        </w:tabs>
        <w:ind w:left="1134" w:hanging="567"/>
      </w:pPr>
      <w:rPr>
        <w:rFonts w:hint="default"/>
      </w:rPr>
    </w:lvl>
    <w:lvl w:ilvl="2">
      <w:start w:val="1"/>
      <w:numFmt w:val="lowerRoman"/>
      <w:pStyle w:val="BodyText3"/>
      <w:lvlText w:val="(%3)"/>
      <w:lvlJc w:val="left"/>
      <w:pPr>
        <w:tabs>
          <w:tab w:val="num" w:pos="1701"/>
        </w:tabs>
        <w:ind w:left="1701" w:hanging="567"/>
      </w:pPr>
      <w:rPr>
        <w:rFonts w:hint="default"/>
      </w:rPr>
    </w:lvl>
    <w:lvl w:ilvl="3">
      <w:start w:val="1"/>
      <w:numFmt w:val="upperLetter"/>
      <w:pStyle w:val="BodyText4"/>
      <w:lvlText w:val="(%4)"/>
      <w:lvlJc w:val="left"/>
      <w:pPr>
        <w:tabs>
          <w:tab w:val="num" w:pos="2268"/>
        </w:tabs>
        <w:ind w:left="226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26E1EDD"/>
    <w:multiLevelType w:val="hybridMultilevel"/>
    <w:tmpl w:val="8E72374A"/>
    <w:lvl w:ilvl="0" w:tplc="51E08A84">
      <w:numFmt w:val="bullet"/>
      <w:lvlText w:val="-"/>
      <w:lvlJc w:val="left"/>
      <w:pPr>
        <w:ind w:left="720" w:hanging="360"/>
      </w:pPr>
      <w:rPr>
        <w:rFonts w:ascii="Times New Roman" w:eastAsia="Calibr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3384EE9"/>
    <w:multiLevelType w:val="hybridMultilevel"/>
    <w:tmpl w:val="4230BD5E"/>
    <w:lvl w:ilvl="0" w:tplc="FA52CEA4">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720"/>
        </w:tabs>
        <w:ind w:left="720" w:hanging="360"/>
      </w:pPr>
      <w:rPr>
        <w:rFonts w:ascii="Courier New" w:hAnsi="Courier New" w:cs="Courier New" w:hint="default"/>
      </w:rPr>
    </w:lvl>
    <w:lvl w:ilvl="2" w:tplc="0C090005" w:tentative="1">
      <w:start w:val="1"/>
      <w:numFmt w:val="bullet"/>
      <w:lvlText w:val=""/>
      <w:lvlJc w:val="left"/>
      <w:pPr>
        <w:tabs>
          <w:tab w:val="num" w:pos="1440"/>
        </w:tabs>
        <w:ind w:left="1440" w:hanging="360"/>
      </w:pPr>
      <w:rPr>
        <w:rFonts w:ascii="Wingdings" w:hAnsi="Wingdings" w:hint="default"/>
      </w:rPr>
    </w:lvl>
    <w:lvl w:ilvl="3" w:tplc="0C090001" w:tentative="1">
      <w:start w:val="1"/>
      <w:numFmt w:val="bullet"/>
      <w:lvlText w:val=""/>
      <w:lvlJc w:val="left"/>
      <w:pPr>
        <w:tabs>
          <w:tab w:val="num" w:pos="2160"/>
        </w:tabs>
        <w:ind w:left="2160" w:hanging="360"/>
      </w:pPr>
      <w:rPr>
        <w:rFonts w:ascii="Symbol" w:hAnsi="Symbol" w:hint="default"/>
      </w:rPr>
    </w:lvl>
    <w:lvl w:ilvl="4" w:tplc="0C090003" w:tentative="1">
      <w:start w:val="1"/>
      <w:numFmt w:val="bullet"/>
      <w:lvlText w:val="o"/>
      <w:lvlJc w:val="left"/>
      <w:pPr>
        <w:tabs>
          <w:tab w:val="num" w:pos="2880"/>
        </w:tabs>
        <w:ind w:left="2880" w:hanging="360"/>
      </w:pPr>
      <w:rPr>
        <w:rFonts w:ascii="Courier New" w:hAnsi="Courier New" w:cs="Courier New" w:hint="default"/>
      </w:rPr>
    </w:lvl>
    <w:lvl w:ilvl="5" w:tplc="0C090005" w:tentative="1">
      <w:start w:val="1"/>
      <w:numFmt w:val="bullet"/>
      <w:lvlText w:val=""/>
      <w:lvlJc w:val="left"/>
      <w:pPr>
        <w:tabs>
          <w:tab w:val="num" w:pos="3600"/>
        </w:tabs>
        <w:ind w:left="3600" w:hanging="360"/>
      </w:pPr>
      <w:rPr>
        <w:rFonts w:ascii="Wingdings" w:hAnsi="Wingdings" w:hint="default"/>
      </w:rPr>
    </w:lvl>
    <w:lvl w:ilvl="6" w:tplc="0C090001" w:tentative="1">
      <w:start w:val="1"/>
      <w:numFmt w:val="bullet"/>
      <w:lvlText w:val=""/>
      <w:lvlJc w:val="left"/>
      <w:pPr>
        <w:tabs>
          <w:tab w:val="num" w:pos="4320"/>
        </w:tabs>
        <w:ind w:left="4320" w:hanging="360"/>
      </w:pPr>
      <w:rPr>
        <w:rFonts w:ascii="Symbol" w:hAnsi="Symbol" w:hint="default"/>
      </w:rPr>
    </w:lvl>
    <w:lvl w:ilvl="7" w:tplc="0C090003" w:tentative="1">
      <w:start w:val="1"/>
      <w:numFmt w:val="bullet"/>
      <w:lvlText w:val="o"/>
      <w:lvlJc w:val="left"/>
      <w:pPr>
        <w:tabs>
          <w:tab w:val="num" w:pos="5040"/>
        </w:tabs>
        <w:ind w:left="5040" w:hanging="360"/>
      </w:pPr>
      <w:rPr>
        <w:rFonts w:ascii="Courier New" w:hAnsi="Courier New" w:cs="Courier New" w:hint="default"/>
      </w:rPr>
    </w:lvl>
    <w:lvl w:ilvl="8" w:tplc="0C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3547235B"/>
    <w:multiLevelType w:val="hybridMultilevel"/>
    <w:tmpl w:val="3A9859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8A67A19"/>
    <w:multiLevelType w:val="hybridMultilevel"/>
    <w:tmpl w:val="C4DCAE3A"/>
    <w:lvl w:ilvl="0" w:tplc="E4FC2854">
      <w:start w:val="1"/>
      <w:numFmt w:val="lowerLetter"/>
      <w:lvlText w:val="(%1)"/>
      <w:lvlJc w:val="left"/>
      <w:pPr>
        <w:tabs>
          <w:tab w:val="num" w:pos="1134"/>
        </w:tabs>
        <w:ind w:left="1134" w:hanging="567"/>
      </w:pPr>
      <w:rPr>
        <w:rFonts w:hint="default"/>
        <w:b w:val="0"/>
        <w:i w:val="0"/>
      </w:rPr>
    </w:lvl>
    <w:lvl w:ilvl="1" w:tplc="4CF85F20">
      <w:start w:val="1"/>
      <w:numFmt w:val="lowerRoman"/>
      <w:lvlText w:val="(%2)"/>
      <w:lvlJc w:val="left"/>
      <w:pPr>
        <w:tabs>
          <w:tab w:val="num" w:pos="1701"/>
        </w:tabs>
        <w:ind w:left="1701" w:hanging="567"/>
      </w:pPr>
      <w:rPr>
        <w:rFonts w:hint="default"/>
        <w:b w:val="0"/>
        <w:i w:val="0"/>
        <w:sz w:val="24"/>
        <w:szCs w:val="24"/>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3" w15:restartNumberingAfterBreak="0">
    <w:nsid w:val="450F0215"/>
    <w:multiLevelType w:val="hybridMultilevel"/>
    <w:tmpl w:val="54908966"/>
    <w:lvl w:ilvl="0" w:tplc="482C3B10">
      <w:numFmt w:val="bullet"/>
      <w:lvlText w:val=""/>
      <w:lvlJc w:val="left"/>
      <w:pPr>
        <w:tabs>
          <w:tab w:val="num" w:pos="360"/>
        </w:tabs>
        <w:ind w:left="360" w:hanging="360"/>
      </w:pPr>
      <w:rPr>
        <w:rFonts w:ascii="Symbol" w:hAnsi="Symbol" w:hint="default"/>
        <w:color w:val="333399"/>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14" w15:restartNumberingAfterBreak="0">
    <w:nsid w:val="47136269"/>
    <w:multiLevelType w:val="hybridMultilevel"/>
    <w:tmpl w:val="34146656"/>
    <w:lvl w:ilvl="0" w:tplc="5800855A">
      <w:start w:val="1"/>
      <w:numFmt w:val="bullet"/>
      <w:lvlText w:val=""/>
      <w:lvlJc w:val="left"/>
      <w:pPr>
        <w:ind w:left="259" w:hanging="360"/>
      </w:pPr>
      <w:rPr>
        <w:rFonts w:ascii="Symbol" w:hAnsi="Symbol" w:hint="default"/>
        <w:sz w:val="24"/>
        <w:szCs w:val="24"/>
      </w:rPr>
    </w:lvl>
    <w:lvl w:ilvl="1" w:tplc="0C090003" w:tentative="1">
      <w:start w:val="1"/>
      <w:numFmt w:val="bullet"/>
      <w:lvlText w:val="o"/>
      <w:lvlJc w:val="left"/>
      <w:pPr>
        <w:ind w:left="979" w:hanging="360"/>
      </w:pPr>
      <w:rPr>
        <w:rFonts w:ascii="Courier New" w:hAnsi="Courier New" w:cs="Courier New" w:hint="default"/>
      </w:rPr>
    </w:lvl>
    <w:lvl w:ilvl="2" w:tplc="0C090005" w:tentative="1">
      <w:start w:val="1"/>
      <w:numFmt w:val="bullet"/>
      <w:lvlText w:val=""/>
      <w:lvlJc w:val="left"/>
      <w:pPr>
        <w:ind w:left="1699" w:hanging="360"/>
      </w:pPr>
      <w:rPr>
        <w:rFonts w:ascii="Wingdings" w:hAnsi="Wingdings" w:hint="default"/>
      </w:rPr>
    </w:lvl>
    <w:lvl w:ilvl="3" w:tplc="0C090001" w:tentative="1">
      <w:start w:val="1"/>
      <w:numFmt w:val="bullet"/>
      <w:lvlText w:val=""/>
      <w:lvlJc w:val="left"/>
      <w:pPr>
        <w:ind w:left="2419" w:hanging="360"/>
      </w:pPr>
      <w:rPr>
        <w:rFonts w:ascii="Symbol" w:hAnsi="Symbol" w:hint="default"/>
      </w:rPr>
    </w:lvl>
    <w:lvl w:ilvl="4" w:tplc="0C090003" w:tentative="1">
      <w:start w:val="1"/>
      <w:numFmt w:val="bullet"/>
      <w:lvlText w:val="o"/>
      <w:lvlJc w:val="left"/>
      <w:pPr>
        <w:ind w:left="3139" w:hanging="360"/>
      </w:pPr>
      <w:rPr>
        <w:rFonts w:ascii="Courier New" w:hAnsi="Courier New" w:cs="Courier New" w:hint="default"/>
      </w:rPr>
    </w:lvl>
    <w:lvl w:ilvl="5" w:tplc="0C090005" w:tentative="1">
      <w:start w:val="1"/>
      <w:numFmt w:val="bullet"/>
      <w:lvlText w:val=""/>
      <w:lvlJc w:val="left"/>
      <w:pPr>
        <w:ind w:left="3859" w:hanging="360"/>
      </w:pPr>
      <w:rPr>
        <w:rFonts w:ascii="Wingdings" w:hAnsi="Wingdings" w:hint="default"/>
      </w:rPr>
    </w:lvl>
    <w:lvl w:ilvl="6" w:tplc="0C090001" w:tentative="1">
      <w:start w:val="1"/>
      <w:numFmt w:val="bullet"/>
      <w:lvlText w:val=""/>
      <w:lvlJc w:val="left"/>
      <w:pPr>
        <w:ind w:left="4579" w:hanging="360"/>
      </w:pPr>
      <w:rPr>
        <w:rFonts w:ascii="Symbol" w:hAnsi="Symbol" w:hint="default"/>
      </w:rPr>
    </w:lvl>
    <w:lvl w:ilvl="7" w:tplc="0C090003" w:tentative="1">
      <w:start w:val="1"/>
      <w:numFmt w:val="bullet"/>
      <w:lvlText w:val="o"/>
      <w:lvlJc w:val="left"/>
      <w:pPr>
        <w:ind w:left="5299" w:hanging="360"/>
      </w:pPr>
      <w:rPr>
        <w:rFonts w:ascii="Courier New" w:hAnsi="Courier New" w:cs="Courier New" w:hint="default"/>
      </w:rPr>
    </w:lvl>
    <w:lvl w:ilvl="8" w:tplc="0C090005" w:tentative="1">
      <w:start w:val="1"/>
      <w:numFmt w:val="bullet"/>
      <w:lvlText w:val=""/>
      <w:lvlJc w:val="left"/>
      <w:pPr>
        <w:ind w:left="6019" w:hanging="360"/>
      </w:pPr>
      <w:rPr>
        <w:rFonts w:ascii="Wingdings" w:hAnsi="Wingdings" w:hint="default"/>
      </w:rPr>
    </w:lvl>
  </w:abstractNum>
  <w:abstractNum w:abstractNumId="15" w15:restartNumberingAfterBreak="0">
    <w:nsid w:val="48BE6DA4"/>
    <w:multiLevelType w:val="multilevel"/>
    <w:tmpl w:val="FAF04EA0"/>
    <w:lvl w:ilvl="0">
      <w:start w:val="1"/>
      <w:numFmt w:val="bullet"/>
      <w:pStyle w:val="BoxBullet"/>
      <w:lvlText w:val=""/>
      <w:lvlJc w:val="left"/>
      <w:pPr>
        <w:tabs>
          <w:tab w:val="num" w:pos="567"/>
        </w:tabs>
        <w:ind w:left="567" w:hanging="567"/>
      </w:pPr>
      <w:rPr>
        <w:rFonts w:ascii="Symbol" w:hAnsi="Symbol" w:cs="Symbol" w:hint="default"/>
        <w:b/>
        <w:bCs/>
        <w:i w:val="0"/>
        <w:iCs w:val="0"/>
        <w:sz w:val="24"/>
        <w:szCs w:val="24"/>
      </w:rPr>
    </w:lvl>
    <w:lvl w:ilvl="1">
      <w:start w:val="1"/>
      <w:numFmt w:val="decimal"/>
      <w:isLgl/>
      <w:lvlText w:val="%1.%2"/>
      <w:lvlJc w:val="left"/>
      <w:pPr>
        <w:tabs>
          <w:tab w:val="num" w:pos="936"/>
        </w:tabs>
        <w:ind w:left="936" w:hanging="576"/>
      </w:pPr>
      <w:rPr>
        <w:rFonts w:ascii="Trebuchet MS" w:hAnsi="Trebuchet MS" w:cs="Trebuchet MS" w:hint="default"/>
        <w:b/>
        <w:bCs/>
        <w:i w:val="0"/>
        <w:iCs w:val="0"/>
        <w:sz w:val="24"/>
        <w:szCs w:val="24"/>
      </w:rPr>
    </w:lvl>
    <w:lvl w:ilvl="2">
      <w:start w:val="1"/>
      <w:numFmt w:val="decimal"/>
      <w:lvlText w:val="1%1.%2.%3"/>
      <w:lvlJc w:val="left"/>
      <w:pPr>
        <w:tabs>
          <w:tab w:val="num" w:pos="1080"/>
        </w:tabs>
        <w:ind w:left="1080" w:hanging="720"/>
      </w:pPr>
      <w:rPr>
        <w:rFonts w:ascii="Trebuchet MS" w:hAnsi="Trebuchet MS" w:cs="Trebuchet MS" w:hint="default"/>
        <w:b/>
        <w:bCs/>
        <w:i w:val="0"/>
        <w:iCs w:val="0"/>
        <w:sz w:val="24"/>
        <w:szCs w:val="24"/>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b/>
        <w:bCs/>
        <w:i w:val="0"/>
        <w:iCs w:val="0"/>
        <w:sz w:val="24"/>
        <w:szCs w:val="24"/>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6" w15:restartNumberingAfterBreak="0">
    <w:nsid w:val="494F0D1E"/>
    <w:multiLevelType w:val="hybridMultilevel"/>
    <w:tmpl w:val="F740FA28"/>
    <w:lvl w:ilvl="0" w:tplc="482C3B10">
      <w:numFmt w:val="bullet"/>
      <w:lvlText w:val=""/>
      <w:lvlJc w:val="left"/>
      <w:pPr>
        <w:tabs>
          <w:tab w:val="num" w:pos="360"/>
        </w:tabs>
        <w:ind w:left="360" w:hanging="360"/>
      </w:pPr>
      <w:rPr>
        <w:rFonts w:ascii="Symbol" w:hAnsi="Symbol" w:hint="default"/>
        <w:color w:val="333399"/>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17" w15:restartNumberingAfterBreak="0">
    <w:nsid w:val="49644B0D"/>
    <w:multiLevelType w:val="hybridMultilevel"/>
    <w:tmpl w:val="046884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D5E5CA2"/>
    <w:multiLevelType w:val="hybridMultilevel"/>
    <w:tmpl w:val="F774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907A4D"/>
    <w:multiLevelType w:val="hybridMultilevel"/>
    <w:tmpl w:val="4CF6D6A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538A14A8"/>
    <w:multiLevelType w:val="hybridMultilevel"/>
    <w:tmpl w:val="654812A2"/>
    <w:lvl w:ilvl="0" w:tplc="41907E00">
      <w:start w:val="1"/>
      <w:numFmt w:val="lowerLetter"/>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6DE59ED"/>
    <w:multiLevelType w:val="hybridMultilevel"/>
    <w:tmpl w:val="2A8ED1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75353CC"/>
    <w:multiLevelType w:val="hybridMultilevel"/>
    <w:tmpl w:val="BC06E13C"/>
    <w:lvl w:ilvl="0" w:tplc="0C090011">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B5B07DF"/>
    <w:multiLevelType w:val="hybridMultilevel"/>
    <w:tmpl w:val="3208DE5E"/>
    <w:lvl w:ilvl="0" w:tplc="FA52CEA4">
      <w:start w:val="1"/>
      <w:numFmt w:val="bullet"/>
      <w:lvlText w:val=""/>
      <w:lvlJc w:val="left"/>
      <w:pPr>
        <w:tabs>
          <w:tab w:val="num" w:pos="360"/>
        </w:tabs>
        <w:ind w:left="360" w:hanging="360"/>
      </w:pPr>
      <w:rPr>
        <w:rFonts w:ascii="Symbol" w:hAnsi="Symbol" w:hint="default"/>
        <w:color w:val="333399"/>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24" w15:restartNumberingAfterBreak="0">
    <w:nsid w:val="69B17A3F"/>
    <w:multiLevelType w:val="multilevel"/>
    <w:tmpl w:val="8EA00C60"/>
    <w:styleLink w:val="1ai"/>
    <w:lvl w:ilvl="0">
      <w:start w:val="1"/>
      <w:numFmt w:val="none"/>
      <w:suff w:val="nothing"/>
      <w:lvlText w:val=""/>
      <w:lvlJc w:val="left"/>
      <w:pPr>
        <w:ind w:left="1134" w:firstLine="0"/>
      </w:pPr>
      <w:rPr>
        <w:rFonts w:hint="default"/>
      </w:rPr>
    </w:lvl>
    <w:lvl w:ilvl="1">
      <w:start w:val="1"/>
      <w:numFmt w:val="decimal"/>
      <w:lvlText w:val="%2."/>
      <w:lvlJc w:val="left"/>
      <w:pPr>
        <w:tabs>
          <w:tab w:val="num" w:pos="1559"/>
        </w:tabs>
        <w:ind w:left="1559" w:hanging="425"/>
      </w:pPr>
      <w:rPr>
        <w:rFonts w:hint="default"/>
      </w:rPr>
    </w:lvl>
    <w:lvl w:ilvl="2">
      <w:start w:val="1"/>
      <w:numFmt w:val="lowerLetter"/>
      <w:lvlText w:val="%3."/>
      <w:lvlJc w:val="left"/>
      <w:pPr>
        <w:tabs>
          <w:tab w:val="num" w:pos="1985"/>
        </w:tabs>
        <w:ind w:left="1985" w:hanging="426"/>
      </w:pPr>
      <w:rPr>
        <w:rFonts w:hint="default"/>
      </w:rPr>
    </w:lvl>
    <w:lvl w:ilvl="3">
      <w:start w:val="1"/>
      <w:numFmt w:val="lowerRoman"/>
      <w:lvlText w:val="%4."/>
      <w:lvlJc w:val="left"/>
      <w:pPr>
        <w:tabs>
          <w:tab w:val="num" w:pos="2410"/>
        </w:tabs>
        <w:ind w:left="2410" w:hanging="425"/>
      </w:pPr>
      <w:rPr>
        <w:rFonts w:hint="default"/>
      </w:rPr>
    </w:lvl>
    <w:lvl w:ilvl="4">
      <w:start w:val="1"/>
      <w:numFmt w:val="none"/>
      <w:suff w:val="nothing"/>
      <w:lvlText w:val=""/>
      <w:lvlJc w:val="left"/>
      <w:pPr>
        <w:ind w:left="1134" w:firstLine="0"/>
      </w:pPr>
      <w:rPr>
        <w:rFonts w:hint="default"/>
      </w:rPr>
    </w:lvl>
    <w:lvl w:ilvl="5">
      <w:start w:val="1"/>
      <w:numFmt w:val="none"/>
      <w:suff w:val="nothing"/>
      <w:lvlText w:val=""/>
      <w:lvlJc w:val="left"/>
      <w:pPr>
        <w:ind w:left="1134" w:firstLine="0"/>
      </w:pPr>
      <w:rPr>
        <w:rFonts w:hint="default"/>
      </w:rPr>
    </w:lvl>
    <w:lvl w:ilvl="6">
      <w:start w:val="1"/>
      <w:numFmt w:val="none"/>
      <w:suff w:val="nothing"/>
      <w:lvlText w:val=""/>
      <w:lvlJc w:val="left"/>
      <w:pPr>
        <w:ind w:left="1134" w:firstLine="0"/>
      </w:pPr>
      <w:rPr>
        <w:rFonts w:hint="default"/>
      </w:rPr>
    </w:lvl>
    <w:lvl w:ilvl="7">
      <w:start w:val="1"/>
      <w:numFmt w:val="none"/>
      <w:lvlText w:val=""/>
      <w:lvlJc w:val="left"/>
      <w:pPr>
        <w:ind w:left="1134" w:firstLine="0"/>
      </w:pPr>
      <w:rPr>
        <w:rFonts w:hint="default"/>
      </w:rPr>
    </w:lvl>
    <w:lvl w:ilvl="8">
      <w:start w:val="1"/>
      <w:numFmt w:val="none"/>
      <w:suff w:val="nothing"/>
      <w:lvlText w:val=""/>
      <w:lvlJc w:val="left"/>
      <w:pPr>
        <w:ind w:left="1134" w:firstLine="0"/>
      </w:pPr>
      <w:rPr>
        <w:rFonts w:hint="default"/>
      </w:rPr>
    </w:lvl>
  </w:abstractNum>
  <w:abstractNum w:abstractNumId="25" w15:restartNumberingAfterBreak="0">
    <w:nsid w:val="6DF34285"/>
    <w:multiLevelType w:val="hybridMultilevel"/>
    <w:tmpl w:val="BCDCB964"/>
    <w:lvl w:ilvl="0" w:tplc="A6327D4E">
      <w:start w:val="1"/>
      <w:numFmt w:val="bullet"/>
      <w:lvlText w:val=""/>
      <w:lvlJc w:val="left"/>
      <w:pPr>
        <w:tabs>
          <w:tab w:val="num" w:pos="567"/>
        </w:tabs>
        <w:ind w:left="567" w:hanging="567"/>
      </w:pPr>
      <w:rPr>
        <w:rFonts w:ascii="Symbol" w:hAnsi="Symbol" w:hint="default"/>
        <w:color w:val="auto"/>
      </w:rPr>
    </w:lvl>
    <w:lvl w:ilvl="1" w:tplc="0C090003">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26" w15:restartNumberingAfterBreak="0">
    <w:nsid w:val="710478C6"/>
    <w:multiLevelType w:val="hybridMultilevel"/>
    <w:tmpl w:val="39E8EFAC"/>
    <w:lvl w:ilvl="0" w:tplc="8A4CF756">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A3B0BA1"/>
    <w:multiLevelType w:val="hybridMultilevel"/>
    <w:tmpl w:val="9E8A9544"/>
    <w:lvl w:ilvl="0" w:tplc="555C3354">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8" w15:restartNumberingAfterBreak="0">
    <w:nsid w:val="7A9C07C3"/>
    <w:multiLevelType w:val="hybridMultilevel"/>
    <w:tmpl w:val="176AAC40"/>
    <w:lvl w:ilvl="0" w:tplc="CFB29E94">
      <w:start w:val="2"/>
      <w:numFmt w:val="bullet"/>
      <w:lvlText w:val="-"/>
      <w:lvlJc w:val="left"/>
      <w:pPr>
        <w:ind w:left="720" w:hanging="360"/>
      </w:pPr>
      <w:rPr>
        <w:rFonts w:ascii="Times New Roman" w:eastAsia="Calibr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E832A54"/>
    <w:multiLevelType w:val="hybridMultilevel"/>
    <w:tmpl w:val="1D3ABF7A"/>
    <w:lvl w:ilvl="0" w:tplc="6C7C485A">
      <w:start w:val="1"/>
      <w:numFmt w:val="lowerRoman"/>
      <w:lvlText w:val="(%1)"/>
      <w:lvlJc w:val="left"/>
      <w:pPr>
        <w:tabs>
          <w:tab w:val="num" w:pos="1701"/>
        </w:tabs>
        <w:ind w:left="1701" w:hanging="567"/>
      </w:pPr>
      <w:rPr>
        <w:rFonts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13"/>
  </w:num>
  <w:num w:numId="2">
    <w:abstractNumId w:val="16"/>
  </w:num>
  <w:num w:numId="3">
    <w:abstractNumId w:val="6"/>
  </w:num>
  <w:num w:numId="4">
    <w:abstractNumId w:val="12"/>
  </w:num>
  <w:num w:numId="5">
    <w:abstractNumId w:val="29"/>
  </w:num>
  <w:num w:numId="6">
    <w:abstractNumId w:val="10"/>
  </w:num>
  <w:num w:numId="7">
    <w:abstractNumId w:val="26"/>
  </w:num>
  <w:num w:numId="8">
    <w:abstractNumId w:val="23"/>
  </w:num>
  <w:num w:numId="9">
    <w:abstractNumId w:val="25"/>
  </w:num>
  <w:num w:numId="10">
    <w:abstractNumId w:val="19"/>
  </w:num>
  <w:num w:numId="11">
    <w:abstractNumId w:val="4"/>
  </w:num>
  <w:num w:numId="12">
    <w:abstractNumId w:val="0"/>
  </w:num>
  <w:num w:numId="13">
    <w:abstractNumId w:val="3"/>
  </w:num>
  <w:num w:numId="14">
    <w:abstractNumId w:val="1"/>
  </w:num>
  <w:num w:numId="15">
    <w:abstractNumId w:val="18"/>
  </w:num>
  <w:num w:numId="16">
    <w:abstractNumId w:val="7"/>
  </w:num>
  <w:num w:numId="17">
    <w:abstractNumId w:val="15"/>
  </w:num>
  <w:num w:numId="18">
    <w:abstractNumId w:val="14"/>
  </w:num>
  <w:num w:numId="19">
    <w:abstractNumId w:val="8"/>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27"/>
  </w:num>
  <w:num w:numId="26">
    <w:abstractNumId w:val="21"/>
  </w:num>
  <w:num w:numId="27">
    <w:abstractNumId w:val="22"/>
  </w:num>
  <w:num w:numId="28">
    <w:abstractNumId w:val="5"/>
  </w:num>
  <w:num w:numId="29">
    <w:abstractNumId w:val="8"/>
  </w:num>
  <w:num w:numId="30">
    <w:abstractNumId w:val="28"/>
  </w:num>
  <w:num w:numId="31">
    <w:abstractNumId w:val="24"/>
  </w:num>
  <w:num w:numId="32">
    <w:abstractNumId w:val="11"/>
  </w:num>
  <w:num w:numId="33">
    <w:abstractNumId w:val="9"/>
  </w:num>
  <w:num w:numId="34">
    <w:abstractNumId w:val="2"/>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567"/>
  <w:drawingGridHorizontalSpacing w:val="110"/>
  <w:displayHorizontalDrawingGridEvery w:val="2"/>
  <w:displayVerticalDrawingGridEvery w:val="2"/>
  <w:characterSpacingControl w:val="doNotCompress"/>
  <w:hdrShapeDefaults>
    <o:shapedefaults v:ext="edit" spidmax="5304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EC2"/>
    <w:rsid w:val="0000044E"/>
    <w:rsid w:val="00000B4D"/>
    <w:rsid w:val="0000183A"/>
    <w:rsid w:val="00001D43"/>
    <w:rsid w:val="00002C54"/>
    <w:rsid w:val="00002ECA"/>
    <w:rsid w:val="0000461A"/>
    <w:rsid w:val="00004B11"/>
    <w:rsid w:val="00004D97"/>
    <w:rsid w:val="0001043B"/>
    <w:rsid w:val="00012229"/>
    <w:rsid w:val="0001228F"/>
    <w:rsid w:val="00012318"/>
    <w:rsid w:val="00012FDC"/>
    <w:rsid w:val="000136E3"/>
    <w:rsid w:val="0001382F"/>
    <w:rsid w:val="000155A0"/>
    <w:rsid w:val="00015772"/>
    <w:rsid w:val="00016962"/>
    <w:rsid w:val="000171A9"/>
    <w:rsid w:val="00017A9C"/>
    <w:rsid w:val="00017E2B"/>
    <w:rsid w:val="00020192"/>
    <w:rsid w:val="000224EA"/>
    <w:rsid w:val="000241CB"/>
    <w:rsid w:val="00024472"/>
    <w:rsid w:val="0002468D"/>
    <w:rsid w:val="00024FF0"/>
    <w:rsid w:val="000256B9"/>
    <w:rsid w:val="0002686E"/>
    <w:rsid w:val="00030977"/>
    <w:rsid w:val="00030DBD"/>
    <w:rsid w:val="00031DAA"/>
    <w:rsid w:val="00032458"/>
    <w:rsid w:val="00032BF2"/>
    <w:rsid w:val="00034072"/>
    <w:rsid w:val="00034A17"/>
    <w:rsid w:val="00035687"/>
    <w:rsid w:val="0003737C"/>
    <w:rsid w:val="00037635"/>
    <w:rsid w:val="00037BBB"/>
    <w:rsid w:val="00037E48"/>
    <w:rsid w:val="000409BF"/>
    <w:rsid w:val="00040DB8"/>
    <w:rsid w:val="00040FE3"/>
    <w:rsid w:val="0004392A"/>
    <w:rsid w:val="00045753"/>
    <w:rsid w:val="00045939"/>
    <w:rsid w:val="00046D1F"/>
    <w:rsid w:val="00046EF1"/>
    <w:rsid w:val="00046FF4"/>
    <w:rsid w:val="0004788A"/>
    <w:rsid w:val="00047EF6"/>
    <w:rsid w:val="000503AF"/>
    <w:rsid w:val="000503B6"/>
    <w:rsid w:val="0005184D"/>
    <w:rsid w:val="000518B9"/>
    <w:rsid w:val="000518F7"/>
    <w:rsid w:val="00051CE4"/>
    <w:rsid w:val="00053AE1"/>
    <w:rsid w:val="00053EAA"/>
    <w:rsid w:val="0005578A"/>
    <w:rsid w:val="00056104"/>
    <w:rsid w:val="0005739E"/>
    <w:rsid w:val="0005783A"/>
    <w:rsid w:val="00061634"/>
    <w:rsid w:val="000625A2"/>
    <w:rsid w:val="000625C6"/>
    <w:rsid w:val="00063240"/>
    <w:rsid w:val="0006337F"/>
    <w:rsid w:val="000660F8"/>
    <w:rsid w:val="0006709C"/>
    <w:rsid w:val="000701D4"/>
    <w:rsid w:val="00072C97"/>
    <w:rsid w:val="000732F1"/>
    <w:rsid w:val="000735FE"/>
    <w:rsid w:val="00073E0B"/>
    <w:rsid w:val="00074576"/>
    <w:rsid w:val="00074598"/>
    <w:rsid w:val="0007589F"/>
    <w:rsid w:val="00076CF8"/>
    <w:rsid w:val="000801A6"/>
    <w:rsid w:val="00080660"/>
    <w:rsid w:val="000811F1"/>
    <w:rsid w:val="0008234E"/>
    <w:rsid w:val="00082757"/>
    <w:rsid w:val="00083836"/>
    <w:rsid w:val="00085678"/>
    <w:rsid w:val="00086EDE"/>
    <w:rsid w:val="00086F76"/>
    <w:rsid w:val="00087B40"/>
    <w:rsid w:val="00087D3E"/>
    <w:rsid w:val="00087E34"/>
    <w:rsid w:val="00087EB4"/>
    <w:rsid w:val="000918A9"/>
    <w:rsid w:val="00091AA0"/>
    <w:rsid w:val="00092197"/>
    <w:rsid w:val="00093082"/>
    <w:rsid w:val="00093739"/>
    <w:rsid w:val="00094FCA"/>
    <w:rsid w:val="0009502A"/>
    <w:rsid w:val="000956AA"/>
    <w:rsid w:val="000A053E"/>
    <w:rsid w:val="000A0C8C"/>
    <w:rsid w:val="000A137E"/>
    <w:rsid w:val="000A3363"/>
    <w:rsid w:val="000A4AE3"/>
    <w:rsid w:val="000A598D"/>
    <w:rsid w:val="000A63D6"/>
    <w:rsid w:val="000A74C4"/>
    <w:rsid w:val="000B0D23"/>
    <w:rsid w:val="000B1321"/>
    <w:rsid w:val="000B362E"/>
    <w:rsid w:val="000B3F57"/>
    <w:rsid w:val="000B4227"/>
    <w:rsid w:val="000B4621"/>
    <w:rsid w:val="000B5823"/>
    <w:rsid w:val="000B5AF8"/>
    <w:rsid w:val="000B61F7"/>
    <w:rsid w:val="000B655C"/>
    <w:rsid w:val="000B76D5"/>
    <w:rsid w:val="000C17F1"/>
    <w:rsid w:val="000C1818"/>
    <w:rsid w:val="000C210E"/>
    <w:rsid w:val="000C2486"/>
    <w:rsid w:val="000C2532"/>
    <w:rsid w:val="000C2704"/>
    <w:rsid w:val="000C4266"/>
    <w:rsid w:val="000C4B8E"/>
    <w:rsid w:val="000C6D9F"/>
    <w:rsid w:val="000C7091"/>
    <w:rsid w:val="000C725C"/>
    <w:rsid w:val="000C73BB"/>
    <w:rsid w:val="000C7C6C"/>
    <w:rsid w:val="000D0AF3"/>
    <w:rsid w:val="000D1525"/>
    <w:rsid w:val="000D1D43"/>
    <w:rsid w:val="000D63A8"/>
    <w:rsid w:val="000D6AA3"/>
    <w:rsid w:val="000D6F11"/>
    <w:rsid w:val="000D7A9C"/>
    <w:rsid w:val="000D7EF1"/>
    <w:rsid w:val="000E0DFC"/>
    <w:rsid w:val="000E4EB3"/>
    <w:rsid w:val="000E5301"/>
    <w:rsid w:val="000E6543"/>
    <w:rsid w:val="000F0529"/>
    <w:rsid w:val="000F0DB6"/>
    <w:rsid w:val="000F1A7B"/>
    <w:rsid w:val="000F259F"/>
    <w:rsid w:val="000F4AEA"/>
    <w:rsid w:val="000F4C1C"/>
    <w:rsid w:val="000F6728"/>
    <w:rsid w:val="000F6A15"/>
    <w:rsid w:val="00100771"/>
    <w:rsid w:val="00100ABB"/>
    <w:rsid w:val="00102E07"/>
    <w:rsid w:val="00103895"/>
    <w:rsid w:val="00103F3B"/>
    <w:rsid w:val="00104574"/>
    <w:rsid w:val="00104B26"/>
    <w:rsid w:val="00104E2D"/>
    <w:rsid w:val="00105958"/>
    <w:rsid w:val="00106530"/>
    <w:rsid w:val="00106E1D"/>
    <w:rsid w:val="00110917"/>
    <w:rsid w:val="00110A0F"/>
    <w:rsid w:val="00110A83"/>
    <w:rsid w:val="00110D8B"/>
    <w:rsid w:val="001112AA"/>
    <w:rsid w:val="00112796"/>
    <w:rsid w:val="00112B3C"/>
    <w:rsid w:val="001150D1"/>
    <w:rsid w:val="00115128"/>
    <w:rsid w:val="0011514B"/>
    <w:rsid w:val="00115A36"/>
    <w:rsid w:val="0011765F"/>
    <w:rsid w:val="00117A0D"/>
    <w:rsid w:val="00117D7E"/>
    <w:rsid w:val="00120063"/>
    <w:rsid w:val="0012156D"/>
    <w:rsid w:val="001244B9"/>
    <w:rsid w:val="00125234"/>
    <w:rsid w:val="0012537B"/>
    <w:rsid w:val="00125AD5"/>
    <w:rsid w:val="001265A0"/>
    <w:rsid w:val="00126E23"/>
    <w:rsid w:val="00130C63"/>
    <w:rsid w:val="0013237B"/>
    <w:rsid w:val="00133161"/>
    <w:rsid w:val="0013338D"/>
    <w:rsid w:val="00133C73"/>
    <w:rsid w:val="00134705"/>
    <w:rsid w:val="00134740"/>
    <w:rsid w:val="00135D41"/>
    <w:rsid w:val="001367FC"/>
    <w:rsid w:val="001402F0"/>
    <w:rsid w:val="0014122C"/>
    <w:rsid w:val="00141301"/>
    <w:rsid w:val="00141CA6"/>
    <w:rsid w:val="00142832"/>
    <w:rsid w:val="001435E2"/>
    <w:rsid w:val="00143C93"/>
    <w:rsid w:val="00144075"/>
    <w:rsid w:val="00145B12"/>
    <w:rsid w:val="00146C73"/>
    <w:rsid w:val="00146FA2"/>
    <w:rsid w:val="00147001"/>
    <w:rsid w:val="00147C34"/>
    <w:rsid w:val="00147D7B"/>
    <w:rsid w:val="00150040"/>
    <w:rsid w:val="0015025D"/>
    <w:rsid w:val="00152E0D"/>
    <w:rsid w:val="0015306B"/>
    <w:rsid w:val="00153272"/>
    <w:rsid w:val="00153423"/>
    <w:rsid w:val="001537FB"/>
    <w:rsid w:val="00153A7D"/>
    <w:rsid w:val="00153ADD"/>
    <w:rsid w:val="00154767"/>
    <w:rsid w:val="0015489A"/>
    <w:rsid w:val="00155933"/>
    <w:rsid w:val="00157318"/>
    <w:rsid w:val="00157B8A"/>
    <w:rsid w:val="00160C3E"/>
    <w:rsid w:val="00161707"/>
    <w:rsid w:val="00162495"/>
    <w:rsid w:val="00163B87"/>
    <w:rsid w:val="00163F14"/>
    <w:rsid w:val="001653FE"/>
    <w:rsid w:val="00165FA8"/>
    <w:rsid w:val="0016622F"/>
    <w:rsid w:val="00166B38"/>
    <w:rsid w:val="00167165"/>
    <w:rsid w:val="001677F5"/>
    <w:rsid w:val="00171B0E"/>
    <w:rsid w:val="00171B5F"/>
    <w:rsid w:val="00172205"/>
    <w:rsid w:val="001724BA"/>
    <w:rsid w:val="001724D0"/>
    <w:rsid w:val="00173A04"/>
    <w:rsid w:val="001741AC"/>
    <w:rsid w:val="0017440E"/>
    <w:rsid w:val="001751F7"/>
    <w:rsid w:val="00177328"/>
    <w:rsid w:val="00177344"/>
    <w:rsid w:val="001773F4"/>
    <w:rsid w:val="00181EBB"/>
    <w:rsid w:val="00182C7E"/>
    <w:rsid w:val="00182FA1"/>
    <w:rsid w:val="001833B1"/>
    <w:rsid w:val="001865BE"/>
    <w:rsid w:val="00186D71"/>
    <w:rsid w:val="00187F12"/>
    <w:rsid w:val="00191283"/>
    <w:rsid w:val="00191296"/>
    <w:rsid w:val="00191FA0"/>
    <w:rsid w:val="001931EC"/>
    <w:rsid w:val="0019389E"/>
    <w:rsid w:val="00193F63"/>
    <w:rsid w:val="00195241"/>
    <w:rsid w:val="00196A6A"/>
    <w:rsid w:val="0019713D"/>
    <w:rsid w:val="00197177"/>
    <w:rsid w:val="001A0D2A"/>
    <w:rsid w:val="001A1EA2"/>
    <w:rsid w:val="001A2E07"/>
    <w:rsid w:val="001A327F"/>
    <w:rsid w:val="001A3322"/>
    <w:rsid w:val="001A3C76"/>
    <w:rsid w:val="001A3F5C"/>
    <w:rsid w:val="001A4E41"/>
    <w:rsid w:val="001A5B8B"/>
    <w:rsid w:val="001A5DAA"/>
    <w:rsid w:val="001A61C6"/>
    <w:rsid w:val="001A6252"/>
    <w:rsid w:val="001B0701"/>
    <w:rsid w:val="001B1560"/>
    <w:rsid w:val="001B1850"/>
    <w:rsid w:val="001B2550"/>
    <w:rsid w:val="001B325B"/>
    <w:rsid w:val="001B3BDB"/>
    <w:rsid w:val="001B5F1E"/>
    <w:rsid w:val="001B6129"/>
    <w:rsid w:val="001C02E4"/>
    <w:rsid w:val="001C14FA"/>
    <w:rsid w:val="001C189E"/>
    <w:rsid w:val="001C1AC7"/>
    <w:rsid w:val="001C1BE2"/>
    <w:rsid w:val="001C1C86"/>
    <w:rsid w:val="001C1E7E"/>
    <w:rsid w:val="001C244D"/>
    <w:rsid w:val="001C2655"/>
    <w:rsid w:val="001C297B"/>
    <w:rsid w:val="001C3E7D"/>
    <w:rsid w:val="001C3FAC"/>
    <w:rsid w:val="001C4149"/>
    <w:rsid w:val="001C4B34"/>
    <w:rsid w:val="001C5E36"/>
    <w:rsid w:val="001C7098"/>
    <w:rsid w:val="001C7320"/>
    <w:rsid w:val="001C755C"/>
    <w:rsid w:val="001C77A9"/>
    <w:rsid w:val="001D159E"/>
    <w:rsid w:val="001D16A4"/>
    <w:rsid w:val="001D20DE"/>
    <w:rsid w:val="001D2493"/>
    <w:rsid w:val="001D3D15"/>
    <w:rsid w:val="001D486E"/>
    <w:rsid w:val="001D65BF"/>
    <w:rsid w:val="001E2048"/>
    <w:rsid w:val="001E25C8"/>
    <w:rsid w:val="001E269B"/>
    <w:rsid w:val="001E2FE9"/>
    <w:rsid w:val="001E3326"/>
    <w:rsid w:val="001E7EA9"/>
    <w:rsid w:val="001F0C8B"/>
    <w:rsid w:val="001F112A"/>
    <w:rsid w:val="001F11F1"/>
    <w:rsid w:val="001F233F"/>
    <w:rsid w:val="001F2E34"/>
    <w:rsid w:val="001F38C6"/>
    <w:rsid w:val="001F3902"/>
    <w:rsid w:val="001F5091"/>
    <w:rsid w:val="001F572F"/>
    <w:rsid w:val="001F6A0D"/>
    <w:rsid w:val="001F6B8D"/>
    <w:rsid w:val="001F7178"/>
    <w:rsid w:val="00200C00"/>
    <w:rsid w:val="00201314"/>
    <w:rsid w:val="00202A16"/>
    <w:rsid w:val="00203C7B"/>
    <w:rsid w:val="00203EBF"/>
    <w:rsid w:val="002042DA"/>
    <w:rsid w:val="00204EE3"/>
    <w:rsid w:val="00211D71"/>
    <w:rsid w:val="00213A3B"/>
    <w:rsid w:val="00213A3D"/>
    <w:rsid w:val="00215D5C"/>
    <w:rsid w:val="002164F3"/>
    <w:rsid w:val="002169EC"/>
    <w:rsid w:val="0021723C"/>
    <w:rsid w:val="00217EAD"/>
    <w:rsid w:val="002214D0"/>
    <w:rsid w:val="00221B07"/>
    <w:rsid w:val="00221F92"/>
    <w:rsid w:val="002223F2"/>
    <w:rsid w:val="00223D26"/>
    <w:rsid w:val="00225667"/>
    <w:rsid w:val="00226758"/>
    <w:rsid w:val="002279DD"/>
    <w:rsid w:val="00227A26"/>
    <w:rsid w:val="00230D47"/>
    <w:rsid w:val="00232D3F"/>
    <w:rsid w:val="00232DAE"/>
    <w:rsid w:val="00233A12"/>
    <w:rsid w:val="00233BE1"/>
    <w:rsid w:val="002341C2"/>
    <w:rsid w:val="00234BAC"/>
    <w:rsid w:val="00234FD8"/>
    <w:rsid w:val="00236185"/>
    <w:rsid w:val="002367EB"/>
    <w:rsid w:val="00236ED8"/>
    <w:rsid w:val="002374CF"/>
    <w:rsid w:val="00237BCA"/>
    <w:rsid w:val="0024181E"/>
    <w:rsid w:val="00241842"/>
    <w:rsid w:val="00241C59"/>
    <w:rsid w:val="00242674"/>
    <w:rsid w:val="00243630"/>
    <w:rsid w:val="002438EC"/>
    <w:rsid w:val="002445C8"/>
    <w:rsid w:val="002449E6"/>
    <w:rsid w:val="00245253"/>
    <w:rsid w:val="00245585"/>
    <w:rsid w:val="002455A2"/>
    <w:rsid w:val="00246C09"/>
    <w:rsid w:val="0024760D"/>
    <w:rsid w:val="00247DB8"/>
    <w:rsid w:val="002500F9"/>
    <w:rsid w:val="0025175A"/>
    <w:rsid w:val="0025177D"/>
    <w:rsid w:val="00251DE2"/>
    <w:rsid w:val="00252353"/>
    <w:rsid w:val="00252D50"/>
    <w:rsid w:val="0025564D"/>
    <w:rsid w:val="00255F44"/>
    <w:rsid w:val="0025689D"/>
    <w:rsid w:val="00257B86"/>
    <w:rsid w:val="00257E12"/>
    <w:rsid w:val="00261A45"/>
    <w:rsid w:val="00261E15"/>
    <w:rsid w:val="002641AE"/>
    <w:rsid w:val="00265724"/>
    <w:rsid w:val="002658C1"/>
    <w:rsid w:val="002660C9"/>
    <w:rsid w:val="00267F47"/>
    <w:rsid w:val="00270C2B"/>
    <w:rsid w:val="00270EDF"/>
    <w:rsid w:val="00271400"/>
    <w:rsid w:val="00271992"/>
    <w:rsid w:val="00272063"/>
    <w:rsid w:val="00272D70"/>
    <w:rsid w:val="00273D80"/>
    <w:rsid w:val="00274221"/>
    <w:rsid w:val="002753F2"/>
    <w:rsid w:val="00276C20"/>
    <w:rsid w:val="00276F1B"/>
    <w:rsid w:val="00280076"/>
    <w:rsid w:val="00282000"/>
    <w:rsid w:val="0028303B"/>
    <w:rsid w:val="002848A7"/>
    <w:rsid w:val="00285906"/>
    <w:rsid w:val="00287BEE"/>
    <w:rsid w:val="00290F32"/>
    <w:rsid w:val="00291845"/>
    <w:rsid w:val="00292DEC"/>
    <w:rsid w:val="0029455F"/>
    <w:rsid w:val="0029554B"/>
    <w:rsid w:val="00295E17"/>
    <w:rsid w:val="002972D6"/>
    <w:rsid w:val="0029759E"/>
    <w:rsid w:val="002A00D4"/>
    <w:rsid w:val="002A07F8"/>
    <w:rsid w:val="002A1BDA"/>
    <w:rsid w:val="002A1C18"/>
    <w:rsid w:val="002A232A"/>
    <w:rsid w:val="002A2BA2"/>
    <w:rsid w:val="002A3415"/>
    <w:rsid w:val="002A7D3A"/>
    <w:rsid w:val="002A7E74"/>
    <w:rsid w:val="002B00B4"/>
    <w:rsid w:val="002B2A2B"/>
    <w:rsid w:val="002B320B"/>
    <w:rsid w:val="002B32D4"/>
    <w:rsid w:val="002B3313"/>
    <w:rsid w:val="002B3648"/>
    <w:rsid w:val="002B599B"/>
    <w:rsid w:val="002B5D76"/>
    <w:rsid w:val="002B7276"/>
    <w:rsid w:val="002B7533"/>
    <w:rsid w:val="002B7BAF"/>
    <w:rsid w:val="002B7D60"/>
    <w:rsid w:val="002C353D"/>
    <w:rsid w:val="002C6B01"/>
    <w:rsid w:val="002D0CF6"/>
    <w:rsid w:val="002D1EC1"/>
    <w:rsid w:val="002D2711"/>
    <w:rsid w:val="002D3873"/>
    <w:rsid w:val="002D41E5"/>
    <w:rsid w:val="002D43B3"/>
    <w:rsid w:val="002D55E8"/>
    <w:rsid w:val="002D5890"/>
    <w:rsid w:val="002D5BF2"/>
    <w:rsid w:val="002D6C01"/>
    <w:rsid w:val="002E024A"/>
    <w:rsid w:val="002E0FB4"/>
    <w:rsid w:val="002E1877"/>
    <w:rsid w:val="002E253D"/>
    <w:rsid w:val="002E3329"/>
    <w:rsid w:val="002E4BEA"/>
    <w:rsid w:val="002E4D4F"/>
    <w:rsid w:val="002E576D"/>
    <w:rsid w:val="002E6C17"/>
    <w:rsid w:val="002E70F3"/>
    <w:rsid w:val="002E733B"/>
    <w:rsid w:val="002E7962"/>
    <w:rsid w:val="002E7D83"/>
    <w:rsid w:val="002F0088"/>
    <w:rsid w:val="002F0C8F"/>
    <w:rsid w:val="002F15A1"/>
    <w:rsid w:val="002F3321"/>
    <w:rsid w:val="002F3AAD"/>
    <w:rsid w:val="002F3D54"/>
    <w:rsid w:val="002F422B"/>
    <w:rsid w:val="002F4A0E"/>
    <w:rsid w:val="002F6107"/>
    <w:rsid w:val="002F6DD2"/>
    <w:rsid w:val="00301256"/>
    <w:rsid w:val="0030288B"/>
    <w:rsid w:val="0030349F"/>
    <w:rsid w:val="00304521"/>
    <w:rsid w:val="003055C4"/>
    <w:rsid w:val="003057E5"/>
    <w:rsid w:val="00305A0B"/>
    <w:rsid w:val="00305BCF"/>
    <w:rsid w:val="00305BFC"/>
    <w:rsid w:val="00306602"/>
    <w:rsid w:val="00307C7A"/>
    <w:rsid w:val="0031109D"/>
    <w:rsid w:val="00312D1E"/>
    <w:rsid w:val="00313F68"/>
    <w:rsid w:val="003147CE"/>
    <w:rsid w:val="00314D1C"/>
    <w:rsid w:val="00315374"/>
    <w:rsid w:val="00316301"/>
    <w:rsid w:val="003177E2"/>
    <w:rsid w:val="00320457"/>
    <w:rsid w:val="00321BFE"/>
    <w:rsid w:val="00322674"/>
    <w:rsid w:val="00324799"/>
    <w:rsid w:val="00324B7F"/>
    <w:rsid w:val="00327227"/>
    <w:rsid w:val="00327B7D"/>
    <w:rsid w:val="00330070"/>
    <w:rsid w:val="00330DFD"/>
    <w:rsid w:val="003329DF"/>
    <w:rsid w:val="00332C12"/>
    <w:rsid w:val="00332E1A"/>
    <w:rsid w:val="00336526"/>
    <w:rsid w:val="003376EA"/>
    <w:rsid w:val="003425AA"/>
    <w:rsid w:val="00342A45"/>
    <w:rsid w:val="003441EE"/>
    <w:rsid w:val="00344EF7"/>
    <w:rsid w:val="00346164"/>
    <w:rsid w:val="003506C2"/>
    <w:rsid w:val="00350F28"/>
    <w:rsid w:val="003528FC"/>
    <w:rsid w:val="003545A3"/>
    <w:rsid w:val="00355599"/>
    <w:rsid w:val="00355F1A"/>
    <w:rsid w:val="0035651B"/>
    <w:rsid w:val="00356E6F"/>
    <w:rsid w:val="00357074"/>
    <w:rsid w:val="003601A1"/>
    <w:rsid w:val="003619A3"/>
    <w:rsid w:val="00361B0F"/>
    <w:rsid w:val="00362D9C"/>
    <w:rsid w:val="00363100"/>
    <w:rsid w:val="00363A61"/>
    <w:rsid w:val="00363E04"/>
    <w:rsid w:val="00364813"/>
    <w:rsid w:val="003650FD"/>
    <w:rsid w:val="00370BEB"/>
    <w:rsid w:val="00371376"/>
    <w:rsid w:val="00372AA3"/>
    <w:rsid w:val="00372C4C"/>
    <w:rsid w:val="00372D71"/>
    <w:rsid w:val="00373319"/>
    <w:rsid w:val="0037343B"/>
    <w:rsid w:val="00374235"/>
    <w:rsid w:val="00374C94"/>
    <w:rsid w:val="0037620B"/>
    <w:rsid w:val="00376AE6"/>
    <w:rsid w:val="00376FBF"/>
    <w:rsid w:val="0037762D"/>
    <w:rsid w:val="00377F7A"/>
    <w:rsid w:val="00381C1B"/>
    <w:rsid w:val="00382320"/>
    <w:rsid w:val="0038413F"/>
    <w:rsid w:val="003842D0"/>
    <w:rsid w:val="00385CD4"/>
    <w:rsid w:val="00386E2F"/>
    <w:rsid w:val="00387499"/>
    <w:rsid w:val="00391250"/>
    <w:rsid w:val="00391726"/>
    <w:rsid w:val="00391AD7"/>
    <w:rsid w:val="003923B5"/>
    <w:rsid w:val="003936EA"/>
    <w:rsid w:val="00394533"/>
    <w:rsid w:val="0039539D"/>
    <w:rsid w:val="00396939"/>
    <w:rsid w:val="00397233"/>
    <w:rsid w:val="00397C19"/>
    <w:rsid w:val="003A084A"/>
    <w:rsid w:val="003A19F6"/>
    <w:rsid w:val="003A22E8"/>
    <w:rsid w:val="003A2D8E"/>
    <w:rsid w:val="003A3304"/>
    <w:rsid w:val="003A34A1"/>
    <w:rsid w:val="003A3815"/>
    <w:rsid w:val="003A3905"/>
    <w:rsid w:val="003A394E"/>
    <w:rsid w:val="003A67A1"/>
    <w:rsid w:val="003A7BEC"/>
    <w:rsid w:val="003A7D13"/>
    <w:rsid w:val="003B0233"/>
    <w:rsid w:val="003B2987"/>
    <w:rsid w:val="003B34F0"/>
    <w:rsid w:val="003B418D"/>
    <w:rsid w:val="003B44A4"/>
    <w:rsid w:val="003B4D03"/>
    <w:rsid w:val="003B52EB"/>
    <w:rsid w:val="003B5B19"/>
    <w:rsid w:val="003B75AD"/>
    <w:rsid w:val="003B7FBF"/>
    <w:rsid w:val="003C0577"/>
    <w:rsid w:val="003C1B72"/>
    <w:rsid w:val="003C3034"/>
    <w:rsid w:val="003C46D7"/>
    <w:rsid w:val="003C5D4E"/>
    <w:rsid w:val="003C6128"/>
    <w:rsid w:val="003C6B6D"/>
    <w:rsid w:val="003C6DB3"/>
    <w:rsid w:val="003D013E"/>
    <w:rsid w:val="003D1A69"/>
    <w:rsid w:val="003D5032"/>
    <w:rsid w:val="003D65F8"/>
    <w:rsid w:val="003E059D"/>
    <w:rsid w:val="003E52DC"/>
    <w:rsid w:val="003E7665"/>
    <w:rsid w:val="003E7893"/>
    <w:rsid w:val="003F15E0"/>
    <w:rsid w:val="003F1778"/>
    <w:rsid w:val="003F31AD"/>
    <w:rsid w:val="003F3312"/>
    <w:rsid w:val="003F3569"/>
    <w:rsid w:val="003F73C2"/>
    <w:rsid w:val="003F75E5"/>
    <w:rsid w:val="004001EF"/>
    <w:rsid w:val="00401A6E"/>
    <w:rsid w:val="00403E91"/>
    <w:rsid w:val="00404DAC"/>
    <w:rsid w:val="0040506B"/>
    <w:rsid w:val="00405402"/>
    <w:rsid w:val="00406733"/>
    <w:rsid w:val="0040785D"/>
    <w:rsid w:val="00411294"/>
    <w:rsid w:val="00411829"/>
    <w:rsid w:val="004119B4"/>
    <w:rsid w:val="0041215B"/>
    <w:rsid w:val="0041219E"/>
    <w:rsid w:val="004121F5"/>
    <w:rsid w:val="00414148"/>
    <w:rsid w:val="00415E96"/>
    <w:rsid w:val="00417D22"/>
    <w:rsid w:val="0042057B"/>
    <w:rsid w:val="00421BDF"/>
    <w:rsid w:val="0042319F"/>
    <w:rsid w:val="00425576"/>
    <w:rsid w:val="00426275"/>
    <w:rsid w:val="00427AB8"/>
    <w:rsid w:val="00430053"/>
    <w:rsid w:val="0043031D"/>
    <w:rsid w:val="004307D1"/>
    <w:rsid w:val="0043225C"/>
    <w:rsid w:val="004323FD"/>
    <w:rsid w:val="00433B70"/>
    <w:rsid w:val="00434572"/>
    <w:rsid w:val="00434FA4"/>
    <w:rsid w:val="0043596C"/>
    <w:rsid w:val="00436684"/>
    <w:rsid w:val="00437142"/>
    <w:rsid w:val="004375B2"/>
    <w:rsid w:val="004379F6"/>
    <w:rsid w:val="00440458"/>
    <w:rsid w:val="00443DFD"/>
    <w:rsid w:val="0044677E"/>
    <w:rsid w:val="00446E6E"/>
    <w:rsid w:val="0045051E"/>
    <w:rsid w:val="00451A1F"/>
    <w:rsid w:val="004523DF"/>
    <w:rsid w:val="00452566"/>
    <w:rsid w:val="00452A36"/>
    <w:rsid w:val="00452DC4"/>
    <w:rsid w:val="00453B30"/>
    <w:rsid w:val="00453E3A"/>
    <w:rsid w:val="0045545B"/>
    <w:rsid w:val="00456024"/>
    <w:rsid w:val="004560E3"/>
    <w:rsid w:val="00456BDC"/>
    <w:rsid w:val="0045702A"/>
    <w:rsid w:val="004614F5"/>
    <w:rsid w:val="00462F29"/>
    <w:rsid w:val="0046563C"/>
    <w:rsid w:val="00465FD3"/>
    <w:rsid w:val="0046601E"/>
    <w:rsid w:val="00466795"/>
    <w:rsid w:val="004667E0"/>
    <w:rsid w:val="00470F66"/>
    <w:rsid w:val="0047100D"/>
    <w:rsid w:val="00471331"/>
    <w:rsid w:val="004737EE"/>
    <w:rsid w:val="00473C82"/>
    <w:rsid w:val="00473D8E"/>
    <w:rsid w:val="00474EB8"/>
    <w:rsid w:val="00475F26"/>
    <w:rsid w:val="004767BC"/>
    <w:rsid w:val="004776D4"/>
    <w:rsid w:val="00477CA1"/>
    <w:rsid w:val="00480813"/>
    <w:rsid w:val="00480DA8"/>
    <w:rsid w:val="004828ED"/>
    <w:rsid w:val="004833D5"/>
    <w:rsid w:val="00484118"/>
    <w:rsid w:val="004845D9"/>
    <w:rsid w:val="0048511B"/>
    <w:rsid w:val="004867DF"/>
    <w:rsid w:val="00486CE3"/>
    <w:rsid w:val="0048736B"/>
    <w:rsid w:val="00490708"/>
    <w:rsid w:val="00490A74"/>
    <w:rsid w:val="00490E40"/>
    <w:rsid w:val="00491CD7"/>
    <w:rsid w:val="00492E13"/>
    <w:rsid w:val="00493E23"/>
    <w:rsid w:val="00494034"/>
    <w:rsid w:val="00494E84"/>
    <w:rsid w:val="0049595A"/>
    <w:rsid w:val="00495CFF"/>
    <w:rsid w:val="004A0587"/>
    <w:rsid w:val="004A0AE8"/>
    <w:rsid w:val="004A0DAB"/>
    <w:rsid w:val="004A1CEE"/>
    <w:rsid w:val="004A1DC2"/>
    <w:rsid w:val="004A3051"/>
    <w:rsid w:val="004A36D4"/>
    <w:rsid w:val="004A3B3C"/>
    <w:rsid w:val="004A3B5D"/>
    <w:rsid w:val="004A593E"/>
    <w:rsid w:val="004A5A3B"/>
    <w:rsid w:val="004A6028"/>
    <w:rsid w:val="004A727D"/>
    <w:rsid w:val="004A79D2"/>
    <w:rsid w:val="004B07C0"/>
    <w:rsid w:val="004B20B1"/>
    <w:rsid w:val="004B22E1"/>
    <w:rsid w:val="004B3C7F"/>
    <w:rsid w:val="004B5994"/>
    <w:rsid w:val="004B749A"/>
    <w:rsid w:val="004C0B91"/>
    <w:rsid w:val="004C1209"/>
    <w:rsid w:val="004C2715"/>
    <w:rsid w:val="004C3D07"/>
    <w:rsid w:val="004C474E"/>
    <w:rsid w:val="004C6E2C"/>
    <w:rsid w:val="004C7DF3"/>
    <w:rsid w:val="004D1475"/>
    <w:rsid w:val="004D1D72"/>
    <w:rsid w:val="004D232E"/>
    <w:rsid w:val="004D56B2"/>
    <w:rsid w:val="004D7148"/>
    <w:rsid w:val="004E1057"/>
    <w:rsid w:val="004E1C84"/>
    <w:rsid w:val="004E3DE6"/>
    <w:rsid w:val="004E48DC"/>
    <w:rsid w:val="004E4B33"/>
    <w:rsid w:val="004E56EF"/>
    <w:rsid w:val="004F0482"/>
    <w:rsid w:val="004F0519"/>
    <w:rsid w:val="004F1136"/>
    <w:rsid w:val="004F1618"/>
    <w:rsid w:val="004F24EE"/>
    <w:rsid w:val="004F2AC1"/>
    <w:rsid w:val="004F3453"/>
    <w:rsid w:val="004F4223"/>
    <w:rsid w:val="004F514B"/>
    <w:rsid w:val="004F5968"/>
    <w:rsid w:val="004F7650"/>
    <w:rsid w:val="004F7F27"/>
    <w:rsid w:val="005011AD"/>
    <w:rsid w:val="00501BF2"/>
    <w:rsid w:val="0050347A"/>
    <w:rsid w:val="00504F36"/>
    <w:rsid w:val="00504F43"/>
    <w:rsid w:val="005050E8"/>
    <w:rsid w:val="005052CF"/>
    <w:rsid w:val="0050535F"/>
    <w:rsid w:val="00505D36"/>
    <w:rsid w:val="00506079"/>
    <w:rsid w:val="00506289"/>
    <w:rsid w:val="00506679"/>
    <w:rsid w:val="00510CDD"/>
    <w:rsid w:val="00511286"/>
    <w:rsid w:val="00511371"/>
    <w:rsid w:val="00511FDA"/>
    <w:rsid w:val="00512BDE"/>
    <w:rsid w:val="00512D4F"/>
    <w:rsid w:val="005147C5"/>
    <w:rsid w:val="0051554C"/>
    <w:rsid w:val="00517140"/>
    <w:rsid w:val="005179BE"/>
    <w:rsid w:val="00521673"/>
    <w:rsid w:val="00521C31"/>
    <w:rsid w:val="00523B2B"/>
    <w:rsid w:val="005241A6"/>
    <w:rsid w:val="005248F9"/>
    <w:rsid w:val="00526677"/>
    <w:rsid w:val="00526829"/>
    <w:rsid w:val="00526B00"/>
    <w:rsid w:val="0053043F"/>
    <w:rsid w:val="005304AB"/>
    <w:rsid w:val="00530581"/>
    <w:rsid w:val="00532C12"/>
    <w:rsid w:val="0053306D"/>
    <w:rsid w:val="00533201"/>
    <w:rsid w:val="005335DF"/>
    <w:rsid w:val="0053389B"/>
    <w:rsid w:val="00534CEC"/>
    <w:rsid w:val="00534FFE"/>
    <w:rsid w:val="005352DF"/>
    <w:rsid w:val="005355EF"/>
    <w:rsid w:val="005360BE"/>
    <w:rsid w:val="005361D6"/>
    <w:rsid w:val="0053679C"/>
    <w:rsid w:val="00536906"/>
    <w:rsid w:val="00536A32"/>
    <w:rsid w:val="00537649"/>
    <w:rsid w:val="00541DA9"/>
    <w:rsid w:val="00542030"/>
    <w:rsid w:val="00542113"/>
    <w:rsid w:val="00542439"/>
    <w:rsid w:val="00542886"/>
    <w:rsid w:val="00543AAF"/>
    <w:rsid w:val="00544072"/>
    <w:rsid w:val="005441B1"/>
    <w:rsid w:val="00544A09"/>
    <w:rsid w:val="005450C9"/>
    <w:rsid w:val="005452F2"/>
    <w:rsid w:val="00546C0D"/>
    <w:rsid w:val="00547B4A"/>
    <w:rsid w:val="005503F2"/>
    <w:rsid w:val="00550457"/>
    <w:rsid w:val="0055172B"/>
    <w:rsid w:val="00551C22"/>
    <w:rsid w:val="00551C5B"/>
    <w:rsid w:val="00552768"/>
    <w:rsid w:val="00552857"/>
    <w:rsid w:val="00552DE4"/>
    <w:rsid w:val="00552E32"/>
    <w:rsid w:val="005535D2"/>
    <w:rsid w:val="005536D4"/>
    <w:rsid w:val="00555B01"/>
    <w:rsid w:val="00556A3C"/>
    <w:rsid w:val="00557CD8"/>
    <w:rsid w:val="00557D93"/>
    <w:rsid w:val="00561267"/>
    <w:rsid w:val="00562930"/>
    <w:rsid w:val="00562AE0"/>
    <w:rsid w:val="005630B9"/>
    <w:rsid w:val="00563461"/>
    <w:rsid w:val="005645B4"/>
    <w:rsid w:val="005653E9"/>
    <w:rsid w:val="0056639B"/>
    <w:rsid w:val="005704A0"/>
    <w:rsid w:val="00570E63"/>
    <w:rsid w:val="00571772"/>
    <w:rsid w:val="005729E5"/>
    <w:rsid w:val="0057317D"/>
    <w:rsid w:val="005740DD"/>
    <w:rsid w:val="00576527"/>
    <w:rsid w:val="00576882"/>
    <w:rsid w:val="00580184"/>
    <w:rsid w:val="0058025A"/>
    <w:rsid w:val="005807B0"/>
    <w:rsid w:val="00580DA6"/>
    <w:rsid w:val="00580FD8"/>
    <w:rsid w:val="005840FA"/>
    <w:rsid w:val="00584601"/>
    <w:rsid w:val="00584DD7"/>
    <w:rsid w:val="00584E3C"/>
    <w:rsid w:val="00585AEA"/>
    <w:rsid w:val="00586436"/>
    <w:rsid w:val="0058722A"/>
    <w:rsid w:val="005875D3"/>
    <w:rsid w:val="00591B08"/>
    <w:rsid w:val="005925AF"/>
    <w:rsid w:val="00594E03"/>
    <w:rsid w:val="00596A48"/>
    <w:rsid w:val="00597055"/>
    <w:rsid w:val="005A070D"/>
    <w:rsid w:val="005A1150"/>
    <w:rsid w:val="005A1344"/>
    <w:rsid w:val="005A1CC1"/>
    <w:rsid w:val="005A2CF5"/>
    <w:rsid w:val="005A371F"/>
    <w:rsid w:val="005A4310"/>
    <w:rsid w:val="005A4EEB"/>
    <w:rsid w:val="005A5CB1"/>
    <w:rsid w:val="005A6B20"/>
    <w:rsid w:val="005A6D0A"/>
    <w:rsid w:val="005A75C6"/>
    <w:rsid w:val="005B06AC"/>
    <w:rsid w:val="005B0B65"/>
    <w:rsid w:val="005B1387"/>
    <w:rsid w:val="005B1829"/>
    <w:rsid w:val="005B268C"/>
    <w:rsid w:val="005B2C19"/>
    <w:rsid w:val="005B350D"/>
    <w:rsid w:val="005B3EAD"/>
    <w:rsid w:val="005B3F13"/>
    <w:rsid w:val="005B57BB"/>
    <w:rsid w:val="005B6DC2"/>
    <w:rsid w:val="005B72E3"/>
    <w:rsid w:val="005B7F93"/>
    <w:rsid w:val="005C0647"/>
    <w:rsid w:val="005C12A6"/>
    <w:rsid w:val="005C1FD4"/>
    <w:rsid w:val="005C22CB"/>
    <w:rsid w:val="005C2BF6"/>
    <w:rsid w:val="005C2D94"/>
    <w:rsid w:val="005C4A88"/>
    <w:rsid w:val="005C5DD5"/>
    <w:rsid w:val="005C686C"/>
    <w:rsid w:val="005C73AD"/>
    <w:rsid w:val="005D0385"/>
    <w:rsid w:val="005D0883"/>
    <w:rsid w:val="005D12D4"/>
    <w:rsid w:val="005D55C0"/>
    <w:rsid w:val="005D679E"/>
    <w:rsid w:val="005D6B4E"/>
    <w:rsid w:val="005D6EBF"/>
    <w:rsid w:val="005E00D7"/>
    <w:rsid w:val="005E0B23"/>
    <w:rsid w:val="005E1E75"/>
    <w:rsid w:val="005E2D6F"/>
    <w:rsid w:val="005E3324"/>
    <w:rsid w:val="005E371E"/>
    <w:rsid w:val="005E469D"/>
    <w:rsid w:val="005E562E"/>
    <w:rsid w:val="005E5663"/>
    <w:rsid w:val="005E5910"/>
    <w:rsid w:val="005E67F3"/>
    <w:rsid w:val="005E7007"/>
    <w:rsid w:val="005E7745"/>
    <w:rsid w:val="005E77C8"/>
    <w:rsid w:val="005F04F8"/>
    <w:rsid w:val="005F0989"/>
    <w:rsid w:val="005F20AA"/>
    <w:rsid w:val="005F21B3"/>
    <w:rsid w:val="005F2661"/>
    <w:rsid w:val="005F2D48"/>
    <w:rsid w:val="005F3016"/>
    <w:rsid w:val="005F3548"/>
    <w:rsid w:val="005F540C"/>
    <w:rsid w:val="005F5803"/>
    <w:rsid w:val="005F6F74"/>
    <w:rsid w:val="005F7DD0"/>
    <w:rsid w:val="00600600"/>
    <w:rsid w:val="0060114C"/>
    <w:rsid w:val="00602403"/>
    <w:rsid w:val="006042D6"/>
    <w:rsid w:val="00604A4D"/>
    <w:rsid w:val="00610893"/>
    <w:rsid w:val="00613032"/>
    <w:rsid w:val="0061370A"/>
    <w:rsid w:val="00614118"/>
    <w:rsid w:val="0061672D"/>
    <w:rsid w:val="006172E2"/>
    <w:rsid w:val="006174FC"/>
    <w:rsid w:val="00617B90"/>
    <w:rsid w:val="00617FA4"/>
    <w:rsid w:val="00622226"/>
    <w:rsid w:val="00622362"/>
    <w:rsid w:val="00622480"/>
    <w:rsid w:val="00622CB4"/>
    <w:rsid w:val="00622EFE"/>
    <w:rsid w:val="00623872"/>
    <w:rsid w:val="006241A4"/>
    <w:rsid w:val="00624AF2"/>
    <w:rsid w:val="00625571"/>
    <w:rsid w:val="0062646F"/>
    <w:rsid w:val="00626824"/>
    <w:rsid w:val="00627914"/>
    <w:rsid w:val="00627E45"/>
    <w:rsid w:val="006313E6"/>
    <w:rsid w:val="00631DF5"/>
    <w:rsid w:val="00632C6B"/>
    <w:rsid w:val="00633CF7"/>
    <w:rsid w:val="00634336"/>
    <w:rsid w:val="006343F0"/>
    <w:rsid w:val="006356E1"/>
    <w:rsid w:val="00636308"/>
    <w:rsid w:val="0064035C"/>
    <w:rsid w:val="0064095F"/>
    <w:rsid w:val="00641666"/>
    <w:rsid w:val="00641C46"/>
    <w:rsid w:val="00643D55"/>
    <w:rsid w:val="00644E7B"/>
    <w:rsid w:val="00645124"/>
    <w:rsid w:val="006468FF"/>
    <w:rsid w:val="00646DB3"/>
    <w:rsid w:val="00647D58"/>
    <w:rsid w:val="00650909"/>
    <w:rsid w:val="00652033"/>
    <w:rsid w:val="00652D73"/>
    <w:rsid w:val="0065417D"/>
    <w:rsid w:val="0065589C"/>
    <w:rsid w:val="006561CA"/>
    <w:rsid w:val="006565B2"/>
    <w:rsid w:val="0065666A"/>
    <w:rsid w:val="00656D42"/>
    <w:rsid w:val="0065741E"/>
    <w:rsid w:val="006577E0"/>
    <w:rsid w:val="0065794C"/>
    <w:rsid w:val="00657A88"/>
    <w:rsid w:val="006601AB"/>
    <w:rsid w:val="00660340"/>
    <w:rsid w:val="00661595"/>
    <w:rsid w:val="00662E41"/>
    <w:rsid w:val="00663366"/>
    <w:rsid w:val="00663A32"/>
    <w:rsid w:val="00664C22"/>
    <w:rsid w:val="006651ED"/>
    <w:rsid w:val="00665A3E"/>
    <w:rsid w:val="00666711"/>
    <w:rsid w:val="00666C3F"/>
    <w:rsid w:val="00667FB0"/>
    <w:rsid w:val="0067027D"/>
    <w:rsid w:val="0067321E"/>
    <w:rsid w:val="00673271"/>
    <w:rsid w:val="006736DF"/>
    <w:rsid w:val="00674824"/>
    <w:rsid w:val="0067542A"/>
    <w:rsid w:val="006764F6"/>
    <w:rsid w:val="00676C50"/>
    <w:rsid w:val="00676EF0"/>
    <w:rsid w:val="0068025B"/>
    <w:rsid w:val="0068130B"/>
    <w:rsid w:val="00681AD2"/>
    <w:rsid w:val="006825AC"/>
    <w:rsid w:val="00682803"/>
    <w:rsid w:val="00682CB3"/>
    <w:rsid w:val="00683B6D"/>
    <w:rsid w:val="006849A3"/>
    <w:rsid w:val="00684F73"/>
    <w:rsid w:val="00685C2D"/>
    <w:rsid w:val="0068680B"/>
    <w:rsid w:val="006910C6"/>
    <w:rsid w:val="006916FF"/>
    <w:rsid w:val="006922E0"/>
    <w:rsid w:val="00692A81"/>
    <w:rsid w:val="00692C0E"/>
    <w:rsid w:val="00693FFB"/>
    <w:rsid w:val="0069439A"/>
    <w:rsid w:val="0069462E"/>
    <w:rsid w:val="006948FF"/>
    <w:rsid w:val="00694A92"/>
    <w:rsid w:val="00694FC8"/>
    <w:rsid w:val="00696575"/>
    <w:rsid w:val="006965A9"/>
    <w:rsid w:val="00696E43"/>
    <w:rsid w:val="0069789C"/>
    <w:rsid w:val="006978D4"/>
    <w:rsid w:val="00697DD2"/>
    <w:rsid w:val="006A1F3A"/>
    <w:rsid w:val="006A20D3"/>
    <w:rsid w:val="006A2652"/>
    <w:rsid w:val="006A2D49"/>
    <w:rsid w:val="006A2FEE"/>
    <w:rsid w:val="006A3DA0"/>
    <w:rsid w:val="006A59F9"/>
    <w:rsid w:val="006A6A52"/>
    <w:rsid w:val="006B033D"/>
    <w:rsid w:val="006B0432"/>
    <w:rsid w:val="006B08C6"/>
    <w:rsid w:val="006B0958"/>
    <w:rsid w:val="006B0979"/>
    <w:rsid w:val="006B155C"/>
    <w:rsid w:val="006B1C20"/>
    <w:rsid w:val="006B20D5"/>
    <w:rsid w:val="006B233B"/>
    <w:rsid w:val="006B47B4"/>
    <w:rsid w:val="006B4C94"/>
    <w:rsid w:val="006B6557"/>
    <w:rsid w:val="006B6B70"/>
    <w:rsid w:val="006B6BC1"/>
    <w:rsid w:val="006B6C21"/>
    <w:rsid w:val="006B7BDB"/>
    <w:rsid w:val="006B7F50"/>
    <w:rsid w:val="006C017B"/>
    <w:rsid w:val="006C06E6"/>
    <w:rsid w:val="006C15EA"/>
    <w:rsid w:val="006C17D1"/>
    <w:rsid w:val="006C2438"/>
    <w:rsid w:val="006C2593"/>
    <w:rsid w:val="006C2650"/>
    <w:rsid w:val="006C5A59"/>
    <w:rsid w:val="006C64A2"/>
    <w:rsid w:val="006C747A"/>
    <w:rsid w:val="006D0495"/>
    <w:rsid w:val="006D0901"/>
    <w:rsid w:val="006D0C9C"/>
    <w:rsid w:val="006D21D9"/>
    <w:rsid w:val="006D27F0"/>
    <w:rsid w:val="006D2CC8"/>
    <w:rsid w:val="006D32F7"/>
    <w:rsid w:val="006D4237"/>
    <w:rsid w:val="006D537C"/>
    <w:rsid w:val="006D5A15"/>
    <w:rsid w:val="006D5CCF"/>
    <w:rsid w:val="006E3396"/>
    <w:rsid w:val="006E342C"/>
    <w:rsid w:val="006E3973"/>
    <w:rsid w:val="006E4F69"/>
    <w:rsid w:val="006E5DD8"/>
    <w:rsid w:val="006E65ED"/>
    <w:rsid w:val="006E6F5D"/>
    <w:rsid w:val="006E6F64"/>
    <w:rsid w:val="006E7BD4"/>
    <w:rsid w:val="006F11D8"/>
    <w:rsid w:val="006F2B52"/>
    <w:rsid w:val="006F4C07"/>
    <w:rsid w:val="006F4DFE"/>
    <w:rsid w:val="006F4EFB"/>
    <w:rsid w:val="006F5135"/>
    <w:rsid w:val="006F629C"/>
    <w:rsid w:val="006F6918"/>
    <w:rsid w:val="006F6C72"/>
    <w:rsid w:val="0070044A"/>
    <w:rsid w:val="00700726"/>
    <w:rsid w:val="00700DA7"/>
    <w:rsid w:val="00701BD3"/>
    <w:rsid w:val="007027F8"/>
    <w:rsid w:val="007031F4"/>
    <w:rsid w:val="00704D07"/>
    <w:rsid w:val="00706D1B"/>
    <w:rsid w:val="00710D5C"/>
    <w:rsid w:val="00711840"/>
    <w:rsid w:val="0071263B"/>
    <w:rsid w:val="007146D8"/>
    <w:rsid w:val="00716252"/>
    <w:rsid w:val="00716FF1"/>
    <w:rsid w:val="0072101C"/>
    <w:rsid w:val="00722CD7"/>
    <w:rsid w:val="00723F24"/>
    <w:rsid w:val="00724918"/>
    <w:rsid w:val="00725218"/>
    <w:rsid w:val="007252D0"/>
    <w:rsid w:val="007259F6"/>
    <w:rsid w:val="00725AA6"/>
    <w:rsid w:val="00725C47"/>
    <w:rsid w:val="0072778A"/>
    <w:rsid w:val="00727988"/>
    <w:rsid w:val="00730953"/>
    <w:rsid w:val="00732424"/>
    <w:rsid w:val="007328BA"/>
    <w:rsid w:val="00732A8C"/>
    <w:rsid w:val="00732DBE"/>
    <w:rsid w:val="00733310"/>
    <w:rsid w:val="00736109"/>
    <w:rsid w:val="00736723"/>
    <w:rsid w:val="00736DCE"/>
    <w:rsid w:val="007376A6"/>
    <w:rsid w:val="0074125C"/>
    <w:rsid w:val="00741BDF"/>
    <w:rsid w:val="007426DE"/>
    <w:rsid w:val="0074299D"/>
    <w:rsid w:val="0074387A"/>
    <w:rsid w:val="0074540A"/>
    <w:rsid w:val="00745B81"/>
    <w:rsid w:val="007465C1"/>
    <w:rsid w:val="00746832"/>
    <w:rsid w:val="007479AB"/>
    <w:rsid w:val="00750799"/>
    <w:rsid w:val="00751239"/>
    <w:rsid w:val="0075189A"/>
    <w:rsid w:val="00752378"/>
    <w:rsid w:val="00752718"/>
    <w:rsid w:val="00752862"/>
    <w:rsid w:val="00752FA7"/>
    <w:rsid w:val="00755450"/>
    <w:rsid w:val="00756B13"/>
    <w:rsid w:val="0075744E"/>
    <w:rsid w:val="0075783C"/>
    <w:rsid w:val="007616C4"/>
    <w:rsid w:val="007638E1"/>
    <w:rsid w:val="00764D5F"/>
    <w:rsid w:val="00764EB0"/>
    <w:rsid w:val="00764FAC"/>
    <w:rsid w:val="007660AE"/>
    <w:rsid w:val="00766153"/>
    <w:rsid w:val="007668F1"/>
    <w:rsid w:val="007669F8"/>
    <w:rsid w:val="00770CC1"/>
    <w:rsid w:val="00771214"/>
    <w:rsid w:val="00774E00"/>
    <w:rsid w:val="00775282"/>
    <w:rsid w:val="0077593C"/>
    <w:rsid w:val="00775F28"/>
    <w:rsid w:val="00776D66"/>
    <w:rsid w:val="00777ACD"/>
    <w:rsid w:val="007808CA"/>
    <w:rsid w:val="007822FF"/>
    <w:rsid w:val="007826B8"/>
    <w:rsid w:val="00783EBE"/>
    <w:rsid w:val="00784DF7"/>
    <w:rsid w:val="00785699"/>
    <w:rsid w:val="00785D71"/>
    <w:rsid w:val="00785FE3"/>
    <w:rsid w:val="0078697A"/>
    <w:rsid w:val="00787D12"/>
    <w:rsid w:val="00787FA9"/>
    <w:rsid w:val="00790241"/>
    <w:rsid w:val="00791701"/>
    <w:rsid w:val="007919C2"/>
    <w:rsid w:val="00791BD8"/>
    <w:rsid w:val="0079227F"/>
    <w:rsid w:val="00794CAC"/>
    <w:rsid w:val="00794FA5"/>
    <w:rsid w:val="007951F5"/>
    <w:rsid w:val="00796BF1"/>
    <w:rsid w:val="00797174"/>
    <w:rsid w:val="00797758"/>
    <w:rsid w:val="00797CAF"/>
    <w:rsid w:val="007A06A8"/>
    <w:rsid w:val="007A17EA"/>
    <w:rsid w:val="007A25BB"/>
    <w:rsid w:val="007A2B42"/>
    <w:rsid w:val="007A2B5C"/>
    <w:rsid w:val="007A2E8A"/>
    <w:rsid w:val="007A33E6"/>
    <w:rsid w:val="007A36BA"/>
    <w:rsid w:val="007A4781"/>
    <w:rsid w:val="007A53AC"/>
    <w:rsid w:val="007A7348"/>
    <w:rsid w:val="007A7840"/>
    <w:rsid w:val="007A7C9F"/>
    <w:rsid w:val="007A7E0A"/>
    <w:rsid w:val="007A7F24"/>
    <w:rsid w:val="007B03FD"/>
    <w:rsid w:val="007B046F"/>
    <w:rsid w:val="007B3D47"/>
    <w:rsid w:val="007B3E4C"/>
    <w:rsid w:val="007B5B0D"/>
    <w:rsid w:val="007B5E2C"/>
    <w:rsid w:val="007B7DBF"/>
    <w:rsid w:val="007C0A92"/>
    <w:rsid w:val="007C168D"/>
    <w:rsid w:val="007C2DFD"/>
    <w:rsid w:val="007C2FB9"/>
    <w:rsid w:val="007C32BB"/>
    <w:rsid w:val="007C37A3"/>
    <w:rsid w:val="007C393A"/>
    <w:rsid w:val="007C4DEF"/>
    <w:rsid w:val="007C6429"/>
    <w:rsid w:val="007C6F86"/>
    <w:rsid w:val="007C6FEC"/>
    <w:rsid w:val="007D13EC"/>
    <w:rsid w:val="007D2D1A"/>
    <w:rsid w:val="007D2D7F"/>
    <w:rsid w:val="007D40AC"/>
    <w:rsid w:val="007D4A58"/>
    <w:rsid w:val="007D54ED"/>
    <w:rsid w:val="007D6B0A"/>
    <w:rsid w:val="007D6BD9"/>
    <w:rsid w:val="007D6CAA"/>
    <w:rsid w:val="007D6E89"/>
    <w:rsid w:val="007D710F"/>
    <w:rsid w:val="007D7514"/>
    <w:rsid w:val="007D7BD1"/>
    <w:rsid w:val="007E0831"/>
    <w:rsid w:val="007E1186"/>
    <w:rsid w:val="007E1717"/>
    <w:rsid w:val="007E1C0E"/>
    <w:rsid w:val="007E207F"/>
    <w:rsid w:val="007E2D8E"/>
    <w:rsid w:val="007E2FBA"/>
    <w:rsid w:val="007E34F9"/>
    <w:rsid w:val="007E3B16"/>
    <w:rsid w:val="007E3D4F"/>
    <w:rsid w:val="007E46D2"/>
    <w:rsid w:val="007E5F22"/>
    <w:rsid w:val="007E7223"/>
    <w:rsid w:val="007E79AB"/>
    <w:rsid w:val="007F01FF"/>
    <w:rsid w:val="007F0953"/>
    <w:rsid w:val="007F1075"/>
    <w:rsid w:val="007F10AD"/>
    <w:rsid w:val="007F11D3"/>
    <w:rsid w:val="007F1AFC"/>
    <w:rsid w:val="007F1F0B"/>
    <w:rsid w:val="007F25B2"/>
    <w:rsid w:val="007F3F21"/>
    <w:rsid w:val="007F72BF"/>
    <w:rsid w:val="007F7F1B"/>
    <w:rsid w:val="00801340"/>
    <w:rsid w:val="00801401"/>
    <w:rsid w:val="0080153C"/>
    <w:rsid w:val="00801A34"/>
    <w:rsid w:val="00803B9A"/>
    <w:rsid w:val="008052EF"/>
    <w:rsid w:val="00805827"/>
    <w:rsid w:val="00805A67"/>
    <w:rsid w:val="00805F2C"/>
    <w:rsid w:val="00806D9F"/>
    <w:rsid w:val="008079E7"/>
    <w:rsid w:val="00807D27"/>
    <w:rsid w:val="00810671"/>
    <w:rsid w:val="008111C1"/>
    <w:rsid w:val="008143E0"/>
    <w:rsid w:val="00814644"/>
    <w:rsid w:val="00814C82"/>
    <w:rsid w:val="00816C3D"/>
    <w:rsid w:val="00817E80"/>
    <w:rsid w:val="00820AD3"/>
    <w:rsid w:val="008214C5"/>
    <w:rsid w:val="008221AA"/>
    <w:rsid w:val="0082254A"/>
    <w:rsid w:val="00822BC5"/>
    <w:rsid w:val="008230E3"/>
    <w:rsid w:val="00823825"/>
    <w:rsid w:val="00824AB0"/>
    <w:rsid w:val="00825636"/>
    <w:rsid w:val="0082569E"/>
    <w:rsid w:val="00827EDA"/>
    <w:rsid w:val="00827F1B"/>
    <w:rsid w:val="0083054F"/>
    <w:rsid w:val="00831893"/>
    <w:rsid w:val="00832CBF"/>
    <w:rsid w:val="00834F57"/>
    <w:rsid w:val="008360C0"/>
    <w:rsid w:val="00836BDE"/>
    <w:rsid w:val="00840F34"/>
    <w:rsid w:val="00841909"/>
    <w:rsid w:val="00841DFC"/>
    <w:rsid w:val="00841EAC"/>
    <w:rsid w:val="008427AE"/>
    <w:rsid w:val="00842B52"/>
    <w:rsid w:val="00842FBD"/>
    <w:rsid w:val="00844EC1"/>
    <w:rsid w:val="00845696"/>
    <w:rsid w:val="00845ACF"/>
    <w:rsid w:val="00845C37"/>
    <w:rsid w:val="00846045"/>
    <w:rsid w:val="008467AF"/>
    <w:rsid w:val="00850F4B"/>
    <w:rsid w:val="00850FAF"/>
    <w:rsid w:val="00851A89"/>
    <w:rsid w:val="00851B1C"/>
    <w:rsid w:val="00851FF6"/>
    <w:rsid w:val="0085231D"/>
    <w:rsid w:val="00853A98"/>
    <w:rsid w:val="00854600"/>
    <w:rsid w:val="00854732"/>
    <w:rsid w:val="008560A5"/>
    <w:rsid w:val="00856BF8"/>
    <w:rsid w:val="00856D03"/>
    <w:rsid w:val="00857CB4"/>
    <w:rsid w:val="008602B8"/>
    <w:rsid w:val="0086168C"/>
    <w:rsid w:val="0086194F"/>
    <w:rsid w:val="00861C0B"/>
    <w:rsid w:val="0086217B"/>
    <w:rsid w:val="0086270B"/>
    <w:rsid w:val="00862B49"/>
    <w:rsid w:val="00863E28"/>
    <w:rsid w:val="00864AB4"/>
    <w:rsid w:val="00865359"/>
    <w:rsid w:val="008653A8"/>
    <w:rsid w:val="00867092"/>
    <w:rsid w:val="0086767D"/>
    <w:rsid w:val="00867E3D"/>
    <w:rsid w:val="00871A1D"/>
    <w:rsid w:val="00872034"/>
    <w:rsid w:val="008720EC"/>
    <w:rsid w:val="0087255B"/>
    <w:rsid w:val="0087297C"/>
    <w:rsid w:val="00872F28"/>
    <w:rsid w:val="0087384E"/>
    <w:rsid w:val="008748DC"/>
    <w:rsid w:val="00875DAD"/>
    <w:rsid w:val="0087620E"/>
    <w:rsid w:val="0087795F"/>
    <w:rsid w:val="008803F7"/>
    <w:rsid w:val="00880467"/>
    <w:rsid w:val="008808ED"/>
    <w:rsid w:val="00881ECB"/>
    <w:rsid w:val="008832B0"/>
    <w:rsid w:val="0088391B"/>
    <w:rsid w:val="00883944"/>
    <w:rsid w:val="00884AD2"/>
    <w:rsid w:val="00884F87"/>
    <w:rsid w:val="008854AB"/>
    <w:rsid w:val="00887222"/>
    <w:rsid w:val="008873F0"/>
    <w:rsid w:val="00887CEA"/>
    <w:rsid w:val="008905E3"/>
    <w:rsid w:val="00893119"/>
    <w:rsid w:val="00893F26"/>
    <w:rsid w:val="00894A5F"/>
    <w:rsid w:val="008959CF"/>
    <w:rsid w:val="0089633F"/>
    <w:rsid w:val="00896C3D"/>
    <w:rsid w:val="00896D4B"/>
    <w:rsid w:val="0089751D"/>
    <w:rsid w:val="008976D8"/>
    <w:rsid w:val="008A0F9C"/>
    <w:rsid w:val="008A282A"/>
    <w:rsid w:val="008A3287"/>
    <w:rsid w:val="008A41DD"/>
    <w:rsid w:val="008A506F"/>
    <w:rsid w:val="008A5ABE"/>
    <w:rsid w:val="008A660A"/>
    <w:rsid w:val="008A6824"/>
    <w:rsid w:val="008A6921"/>
    <w:rsid w:val="008A6EAC"/>
    <w:rsid w:val="008B0095"/>
    <w:rsid w:val="008B0A3B"/>
    <w:rsid w:val="008B0D90"/>
    <w:rsid w:val="008B17E8"/>
    <w:rsid w:val="008B1A5F"/>
    <w:rsid w:val="008B1F1E"/>
    <w:rsid w:val="008B2041"/>
    <w:rsid w:val="008B2AFF"/>
    <w:rsid w:val="008B3289"/>
    <w:rsid w:val="008B3A62"/>
    <w:rsid w:val="008B41E7"/>
    <w:rsid w:val="008B4ECD"/>
    <w:rsid w:val="008B69B3"/>
    <w:rsid w:val="008B6C63"/>
    <w:rsid w:val="008B700E"/>
    <w:rsid w:val="008B7A3B"/>
    <w:rsid w:val="008C01BB"/>
    <w:rsid w:val="008C2632"/>
    <w:rsid w:val="008C298D"/>
    <w:rsid w:val="008C2B08"/>
    <w:rsid w:val="008C31AD"/>
    <w:rsid w:val="008C3C74"/>
    <w:rsid w:val="008C3D9F"/>
    <w:rsid w:val="008C4095"/>
    <w:rsid w:val="008C627C"/>
    <w:rsid w:val="008C6B39"/>
    <w:rsid w:val="008C6F26"/>
    <w:rsid w:val="008C71CD"/>
    <w:rsid w:val="008C7A9B"/>
    <w:rsid w:val="008D0344"/>
    <w:rsid w:val="008D0479"/>
    <w:rsid w:val="008D0495"/>
    <w:rsid w:val="008D1640"/>
    <w:rsid w:val="008D17A9"/>
    <w:rsid w:val="008D18D1"/>
    <w:rsid w:val="008D267A"/>
    <w:rsid w:val="008D27F2"/>
    <w:rsid w:val="008D29B4"/>
    <w:rsid w:val="008D2B2A"/>
    <w:rsid w:val="008D3902"/>
    <w:rsid w:val="008D4B7E"/>
    <w:rsid w:val="008D652B"/>
    <w:rsid w:val="008D6C98"/>
    <w:rsid w:val="008D6DE4"/>
    <w:rsid w:val="008D76C5"/>
    <w:rsid w:val="008D790A"/>
    <w:rsid w:val="008E06AA"/>
    <w:rsid w:val="008E0D50"/>
    <w:rsid w:val="008E35BA"/>
    <w:rsid w:val="008E44E8"/>
    <w:rsid w:val="008E499F"/>
    <w:rsid w:val="008E4DB1"/>
    <w:rsid w:val="008E5666"/>
    <w:rsid w:val="008E5CFC"/>
    <w:rsid w:val="008E606C"/>
    <w:rsid w:val="008E6CE2"/>
    <w:rsid w:val="008E774E"/>
    <w:rsid w:val="008F00C4"/>
    <w:rsid w:val="008F0946"/>
    <w:rsid w:val="008F108E"/>
    <w:rsid w:val="008F29A4"/>
    <w:rsid w:val="008F2ED4"/>
    <w:rsid w:val="008F63A2"/>
    <w:rsid w:val="008F7880"/>
    <w:rsid w:val="009002BA"/>
    <w:rsid w:val="0090066A"/>
    <w:rsid w:val="0090086B"/>
    <w:rsid w:val="00900F82"/>
    <w:rsid w:val="00902A40"/>
    <w:rsid w:val="009044CC"/>
    <w:rsid w:val="00905A3E"/>
    <w:rsid w:val="00906BF1"/>
    <w:rsid w:val="009101E1"/>
    <w:rsid w:val="009103D0"/>
    <w:rsid w:val="0091107A"/>
    <w:rsid w:val="00912653"/>
    <w:rsid w:val="009126AA"/>
    <w:rsid w:val="00913C59"/>
    <w:rsid w:val="00914645"/>
    <w:rsid w:val="009148F3"/>
    <w:rsid w:val="009155DA"/>
    <w:rsid w:val="00917538"/>
    <w:rsid w:val="009207EC"/>
    <w:rsid w:val="00920A42"/>
    <w:rsid w:val="00921178"/>
    <w:rsid w:val="00922178"/>
    <w:rsid w:val="00923748"/>
    <w:rsid w:val="009245B5"/>
    <w:rsid w:val="00924A00"/>
    <w:rsid w:val="009270F2"/>
    <w:rsid w:val="0093037B"/>
    <w:rsid w:val="00932393"/>
    <w:rsid w:val="00932973"/>
    <w:rsid w:val="0093423D"/>
    <w:rsid w:val="009354D7"/>
    <w:rsid w:val="00937A34"/>
    <w:rsid w:val="00937C05"/>
    <w:rsid w:val="00943CFA"/>
    <w:rsid w:val="009444FB"/>
    <w:rsid w:val="00944957"/>
    <w:rsid w:val="009449FB"/>
    <w:rsid w:val="00945B2A"/>
    <w:rsid w:val="0095022B"/>
    <w:rsid w:val="00952106"/>
    <w:rsid w:val="0095227A"/>
    <w:rsid w:val="009538E3"/>
    <w:rsid w:val="00953EBE"/>
    <w:rsid w:val="009540E6"/>
    <w:rsid w:val="00955998"/>
    <w:rsid w:val="00955AA6"/>
    <w:rsid w:val="00957241"/>
    <w:rsid w:val="00957F33"/>
    <w:rsid w:val="00960975"/>
    <w:rsid w:val="00962169"/>
    <w:rsid w:val="00962818"/>
    <w:rsid w:val="0096299B"/>
    <w:rsid w:val="00962D18"/>
    <w:rsid w:val="00962DED"/>
    <w:rsid w:val="00962F07"/>
    <w:rsid w:val="00963C3F"/>
    <w:rsid w:val="00964BB3"/>
    <w:rsid w:val="00965601"/>
    <w:rsid w:val="00965E12"/>
    <w:rsid w:val="00967D68"/>
    <w:rsid w:val="00970B62"/>
    <w:rsid w:val="00971180"/>
    <w:rsid w:val="00971835"/>
    <w:rsid w:val="009724A7"/>
    <w:rsid w:val="009727F9"/>
    <w:rsid w:val="0097339A"/>
    <w:rsid w:val="00974236"/>
    <w:rsid w:val="00975AFB"/>
    <w:rsid w:val="00975B80"/>
    <w:rsid w:val="00976681"/>
    <w:rsid w:val="009770EE"/>
    <w:rsid w:val="009801A1"/>
    <w:rsid w:val="009811D8"/>
    <w:rsid w:val="00981A96"/>
    <w:rsid w:val="0098309F"/>
    <w:rsid w:val="00983321"/>
    <w:rsid w:val="00983C62"/>
    <w:rsid w:val="00985387"/>
    <w:rsid w:val="009864AA"/>
    <w:rsid w:val="009869D4"/>
    <w:rsid w:val="009871FB"/>
    <w:rsid w:val="009878CE"/>
    <w:rsid w:val="00990D62"/>
    <w:rsid w:val="00990F50"/>
    <w:rsid w:val="00991092"/>
    <w:rsid w:val="00992413"/>
    <w:rsid w:val="0099376D"/>
    <w:rsid w:val="00996500"/>
    <w:rsid w:val="00997931"/>
    <w:rsid w:val="009A0274"/>
    <w:rsid w:val="009A044F"/>
    <w:rsid w:val="009A0F6B"/>
    <w:rsid w:val="009A1440"/>
    <w:rsid w:val="009A2567"/>
    <w:rsid w:val="009A3E2C"/>
    <w:rsid w:val="009A4131"/>
    <w:rsid w:val="009A4B09"/>
    <w:rsid w:val="009A4CE1"/>
    <w:rsid w:val="009A75F8"/>
    <w:rsid w:val="009B0420"/>
    <w:rsid w:val="009B0A33"/>
    <w:rsid w:val="009B28A5"/>
    <w:rsid w:val="009B3252"/>
    <w:rsid w:val="009B3FC3"/>
    <w:rsid w:val="009B441E"/>
    <w:rsid w:val="009B49FA"/>
    <w:rsid w:val="009B5318"/>
    <w:rsid w:val="009B6212"/>
    <w:rsid w:val="009B6844"/>
    <w:rsid w:val="009B72E6"/>
    <w:rsid w:val="009B7BC1"/>
    <w:rsid w:val="009B7E14"/>
    <w:rsid w:val="009C0047"/>
    <w:rsid w:val="009C1219"/>
    <w:rsid w:val="009C2C7D"/>
    <w:rsid w:val="009C3449"/>
    <w:rsid w:val="009C5368"/>
    <w:rsid w:val="009C54B0"/>
    <w:rsid w:val="009C5D38"/>
    <w:rsid w:val="009C62A9"/>
    <w:rsid w:val="009C6624"/>
    <w:rsid w:val="009C77A0"/>
    <w:rsid w:val="009D0551"/>
    <w:rsid w:val="009D1423"/>
    <w:rsid w:val="009D16AC"/>
    <w:rsid w:val="009D20D6"/>
    <w:rsid w:val="009D441D"/>
    <w:rsid w:val="009D467A"/>
    <w:rsid w:val="009D49D4"/>
    <w:rsid w:val="009D4AD0"/>
    <w:rsid w:val="009D4F1A"/>
    <w:rsid w:val="009D714C"/>
    <w:rsid w:val="009E114B"/>
    <w:rsid w:val="009E23DF"/>
    <w:rsid w:val="009E2C3F"/>
    <w:rsid w:val="009E3311"/>
    <w:rsid w:val="009E372F"/>
    <w:rsid w:val="009E4CC1"/>
    <w:rsid w:val="009E561B"/>
    <w:rsid w:val="009E61F0"/>
    <w:rsid w:val="009E6B27"/>
    <w:rsid w:val="009E76B1"/>
    <w:rsid w:val="009F06B6"/>
    <w:rsid w:val="009F1517"/>
    <w:rsid w:val="009F16BC"/>
    <w:rsid w:val="009F268B"/>
    <w:rsid w:val="009F362C"/>
    <w:rsid w:val="009F37CA"/>
    <w:rsid w:val="009F3D3E"/>
    <w:rsid w:val="009F3FDE"/>
    <w:rsid w:val="009F43C8"/>
    <w:rsid w:val="009F50CE"/>
    <w:rsid w:val="009F699F"/>
    <w:rsid w:val="009F7699"/>
    <w:rsid w:val="009F7893"/>
    <w:rsid w:val="00A00990"/>
    <w:rsid w:val="00A00B32"/>
    <w:rsid w:val="00A01C90"/>
    <w:rsid w:val="00A01CF4"/>
    <w:rsid w:val="00A025E2"/>
    <w:rsid w:val="00A03A41"/>
    <w:rsid w:val="00A03C58"/>
    <w:rsid w:val="00A04040"/>
    <w:rsid w:val="00A0537F"/>
    <w:rsid w:val="00A0573E"/>
    <w:rsid w:val="00A058B2"/>
    <w:rsid w:val="00A075AF"/>
    <w:rsid w:val="00A113B0"/>
    <w:rsid w:val="00A13F47"/>
    <w:rsid w:val="00A15766"/>
    <w:rsid w:val="00A15BAD"/>
    <w:rsid w:val="00A16509"/>
    <w:rsid w:val="00A17B2A"/>
    <w:rsid w:val="00A20403"/>
    <w:rsid w:val="00A20B04"/>
    <w:rsid w:val="00A21BF4"/>
    <w:rsid w:val="00A2284C"/>
    <w:rsid w:val="00A23060"/>
    <w:rsid w:val="00A23B51"/>
    <w:rsid w:val="00A25C32"/>
    <w:rsid w:val="00A268A3"/>
    <w:rsid w:val="00A312EA"/>
    <w:rsid w:val="00A3130B"/>
    <w:rsid w:val="00A3182A"/>
    <w:rsid w:val="00A33318"/>
    <w:rsid w:val="00A33829"/>
    <w:rsid w:val="00A34BA1"/>
    <w:rsid w:val="00A34D24"/>
    <w:rsid w:val="00A35178"/>
    <w:rsid w:val="00A36F21"/>
    <w:rsid w:val="00A37257"/>
    <w:rsid w:val="00A37580"/>
    <w:rsid w:val="00A37F9A"/>
    <w:rsid w:val="00A40795"/>
    <w:rsid w:val="00A4079F"/>
    <w:rsid w:val="00A41006"/>
    <w:rsid w:val="00A4160D"/>
    <w:rsid w:val="00A4167F"/>
    <w:rsid w:val="00A4204D"/>
    <w:rsid w:val="00A43707"/>
    <w:rsid w:val="00A43BDC"/>
    <w:rsid w:val="00A455E2"/>
    <w:rsid w:val="00A45ADA"/>
    <w:rsid w:val="00A45E3E"/>
    <w:rsid w:val="00A464EC"/>
    <w:rsid w:val="00A46729"/>
    <w:rsid w:val="00A46EEB"/>
    <w:rsid w:val="00A47429"/>
    <w:rsid w:val="00A47F00"/>
    <w:rsid w:val="00A50372"/>
    <w:rsid w:val="00A51067"/>
    <w:rsid w:val="00A51212"/>
    <w:rsid w:val="00A5159D"/>
    <w:rsid w:val="00A52B5D"/>
    <w:rsid w:val="00A53395"/>
    <w:rsid w:val="00A533E2"/>
    <w:rsid w:val="00A545F0"/>
    <w:rsid w:val="00A54A99"/>
    <w:rsid w:val="00A55919"/>
    <w:rsid w:val="00A5596E"/>
    <w:rsid w:val="00A55CAA"/>
    <w:rsid w:val="00A5658C"/>
    <w:rsid w:val="00A60287"/>
    <w:rsid w:val="00A61BB1"/>
    <w:rsid w:val="00A62D8B"/>
    <w:rsid w:val="00A63A2B"/>
    <w:rsid w:val="00A645A5"/>
    <w:rsid w:val="00A64D2F"/>
    <w:rsid w:val="00A6611B"/>
    <w:rsid w:val="00A704BB"/>
    <w:rsid w:val="00A70D02"/>
    <w:rsid w:val="00A71099"/>
    <w:rsid w:val="00A723DF"/>
    <w:rsid w:val="00A7257B"/>
    <w:rsid w:val="00A729E8"/>
    <w:rsid w:val="00A75DFD"/>
    <w:rsid w:val="00A76686"/>
    <w:rsid w:val="00A81127"/>
    <w:rsid w:val="00A81B7B"/>
    <w:rsid w:val="00A820E3"/>
    <w:rsid w:val="00A82844"/>
    <w:rsid w:val="00A833C9"/>
    <w:rsid w:val="00A836B8"/>
    <w:rsid w:val="00A841F4"/>
    <w:rsid w:val="00A84A08"/>
    <w:rsid w:val="00A85680"/>
    <w:rsid w:val="00A8734B"/>
    <w:rsid w:val="00A87533"/>
    <w:rsid w:val="00A8774B"/>
    <w:rsid w:val="00A9030B"/>
    <w:rsid w:val="00A908A6"/>
    <w:rsid w:val="00A90B43"/>
    <w:rsid w:val="00A924B5"/>
    <w:rsid w:val="00A92834"/>
    <w:rsid w:val="00A930BB"/>
    <w:rsid w:val="00A93A04"/>
    <w:rsid w:val="00A93E21"/>
    <w:rsid w:val="00A94573"/>
    <w:rsid w:val="00A95F59"/>
    <w:rsid w:val="00A96F22"/>
    <w:rsid w:val="00A97802"/>
    <w:rsid w:val="00A97817"/>
    <w:rsid w:val="00AA02BC"/>
    <w:rsid w:val="00AA14ED"/>
    <w:rsid w:val="00AA16EA"/>
    <w:rsid w:val="00AA1EEE"/>
    <w:rsid w:val="00AA1F64"/>
    <w:rsid w:val="00AA2912"/>
    <w:rsid w:val="00AA3BE2"/>
    <w:rsid w:val="00AA435B"/>
    <w:rsid w:val="00AA506F"/>
    <w:rsid w:val="00AA58DC"/>
    <w:rsid w:val="00AA6DFA"/>
    <w:rsid w:val="00AA6ED3"/>
    <w:rsid w:val="00AA6EF7"/>
    <w:rsid w:val="00AA7A1F"/>
    <w:rsid w:val="00AB103F"/>
    <w:rsid w:val="00AB493C"/>
    <w:rsid w:val="00AB5A25"/>
    <w:rsid w:val="00AC0617"/>
    <w:rsid w:val="00AC08A1"/>
    <w:rsid w:val="00AC1A02"/>
    <w:rsid w:val="00AC2517"/>
    <w:rsid w:val="00AC36B1"/>
    <w:rsid w:val="00AC3B8E"/>
    <w:rsid w:val="00AC4C7F"/>
    <w:rsid w:val="00AC4E9E"/>
    <w:rsid w:val="00AC4EC2"/>
    <w:rsid w:val="00AC5EE3"/>
    <w:rsid w:val="00AD0307"/>
    <w:rsid w:val="00AD0F2D"/>
    <w:rsid w:val="00AD2FB4"/>
    <w:rsid w:val="00AD3843"/>
    <w:rsid w:val="00AD4BD7"/>
    <w:rsid w:val="00AD61CD"/>
    <w:rsid w:val="00AD6A6F"/>
    <w:rsid w:val="00AE0F27"/>
    <w:rsid w:val="00AE1307"/>
    <w:rsid w:val="00AE1650"/>
    <w:rsid w:val="00AE1E97"/>
    <w:rsid w:val="00AE23A8"/>
    <w:rsid w:val="00AE2C43"/>
    <w:rsid w:val="00AE2EE8"/>
    <w:rsid w:val="00AE401A"/>
    <w:rsid w:val="00AE4B90"/>
    <w:rsid w:val="00AE6C96"/>
    <w:rsid w:val="00AE7C89"/>
    <w:rsid w:val="00AF0294"/>
    <w:rsid w:val="00AF09AC"/>
    <w:rsid w:val="00AF186D"/>
    <w:rsid w:val="00AF2029"/>
    <w:rsid w:val="00AF2FC8"/>
    <w:rsid w:val="00AF32AA"/>
    <w:rsid w:val="00AF3CF7"/>
    <w:rsid w:val="00AF406C"/>
    <w:rsid w:val="00AF489D"/>
    <w:rsid w:val="00AF5698"/>
    <w:rsid w:val="00AF704D"/>
    <w:rsid w:val="00AF7602"/>
    <w:rsid w:val="00B004B4"/>
    <w:rsid w:val="00B014A1"/>
    <w:rsid w:val="00B02A6E"/>
    <w:rsid w:val="00B032CA"/>
    <w:rsid w:val="00B036D1"/>
    <w:rsid w:val="00B04B20"/>
    <w:rsid w:val="00B0503D"/>
    <w:rsid w:val="00B0572A"/>
    <w:rsid w:val="00B077F1"/>
    <w:rsid w:val="00B10274"/>
    <w:rsid w:val="00B11616"/>
    <w:rsid w:val="00B11AA3"/>
    <w:rsid w:val="00B13A43"/>
    <w:rsid w:val="00B14A29"/>
    <w:rsid w:val="00B15AE8"/>
    <w:rsid w:val="00B1620D"/>
    <w:rsid w:val="00B16B0D"/>
    <w:rsid w:val="00B1792C"/>
    <w:rsid w:val="00B212F3"/>
    <w:rsid w:val="00B22BF3"/>
    <w:rsid w:val="00B231FA"/>
    <w:rsid w:val="00B23913"/>
    <w:rsid w:val="00B23E95"/>
    <w:rsid w:val="00B25C21"/>
    <w:rsid w:val="00B2766C"/>
    <w:rsid w:val="00B31A6F"/>
    <w:rsid w:val="00B32AB7"/>
    <w:rsid w:val="00B334A3"/>
    <w:rsid w:val="00B33C73"/>
    <w:rsid w:val="00B34351"/>
    <w:rsid w:val="00B35029"/>
    <w:rsid w:val="00B36CDC"/>
    <w:rsid w:val="00B37B16"/>
    <w:rsid w:val="00B402A8"/>
    <w:rsid w:val="00B40692"/>
    <w:rsid w:val="00B40926"/>
    <w:rsid w:val="00B40D52"/>
    <w:rsid w:val="00B40DFA"/>
    <w:rsid w:val="00B41EA6"/>
    <w:rsid w:val="00B42000"/>
    <w:rsid w:val="00B4471E"/>
    <w:rsid w:val="00B451C2"/>
    <w:rsid w:val="00B477CF"/>
    <w:rsid w:val="00B47BD7"/>
    <w:rsid w:val="00B51502"/>
    <w:rsid w:val="00B51F8C"/>
    <w:rsid w:val="00B52ECC"/>
    <w:rsid w:val="00B56329"/>
    <w:rsid w:val="00B563DE"/>
    <w:rsid w:val="00B5683E"/>
    <w:rsid w:val="00B6068B"/>
    <w:rsid w:val="00B60B0E"/>
    <w:rsid w:val="00B62E6B"/>
    <w:rsid w:val="00B62F53"/>
    <w:rsid w:val="00B62FBC"/>
    <w:rsid w:val="00B630B1"/>
    <w:rsid w:val="00B64834"/>
    <w:rsid w:val="00B65FD3"/>
    <w:rsid w:val="00B700E3"/>
    <w:rsid w:val="00B70376"/>
    <w:rsid w:val="00B706F9"/>
    <w:rsid w:val="00B70780"/>
    <w:rsid w:val="00B70F2A"/>
    <w:rsid w:val="00B71153"/>
    <w:rsid w:val="00B71202"/>
    <w:rsid w:val="00B717C9"/>
    <w:rsid w:val="00B7341B"/>
    <w:rsid w:val="00B73529"/>
    <w:rsid w:val="00B7402F"/>
    <w:rsid w:val="00B7465B"/>
    <w:rsid w:val="00B7478E"/>
    <w:rsid w:val="00B74F9F"/>
    <w:rsid w:val="00B766FA"/>
    <w:rsid w:val="00B76FF4"/>
    <w:rsid w:val="00B8098F"/>
    <w:rsid w:val="00B809A6"/>
    <w:rsid w:val="00B80CD6"/>
    <w:rsid w:val="00B8170A"/>
    <w:rsid w:val="00B81A07"/>
    <w:rsid w:val="00B8394C"/>
    <w:rsid w:val="00B85C47"/>
    <w:rsid w:val="00B85CDB"/>
    <w:rsid w:val="00B862E0"/>
    <w:rsid w:val="00B86B38"/>
    <w:rsid w:val="00B86C7B"/>
    <w:rsid w:val="00B87147"/>
    <w:rsid w:val="00B872F5"/>
    <w:rsid w:val="00B87C48"/>
    <w:rsid w:val="00B91279"/>
    <w:rsid w:val="00B9190D"/>
    <w:rsid w:val="00B92B68"/>
    <w:rsid w:val="00B935EA"/>
    <w:rsid w:val="00B93D48"/>
    <w:rsid w:val="00B9479D"/>
    <w:rsid w:val="00B950F6"/>
    <w:rsid w:val="00B95277"/>
    <w:rsid w:val="00B967CB"/>
    <w:rsid w:val="00B971E3"/>
    <w:rsid w:val="00B97D2A"/>
    <w:rsid w:val="00BA00E2"/>
    <w:rsid w:val="00BA182D"/>
    <w:rsid w:val="00BA393A"/>
    <w:rsid w:val="00BA4C45"/>
    <w:rsid w:val="00BA4E9A"/>
    <w:rsid w:val="00BA5E04"/>
    <w:rsid w:val="00BA6D10"/>
    <w:rsid w:val="00BB044D"/>
    <w:rsid w:val="00BB0819"/>
    <w:rsid w:val="00BB0CB1"/>
    <w:rsid w:val="00BB1D64"/>
    <w:rsid w:val="00BB42A6"/>
    <w:rsid w:val="00BB4AE1"/>
    <w:rsid w:val="00BB5462"/>
    <w:rsid w:val="00BB65C4"/>
    <w:rsid w:val="00BB7BE1"/>
    <w:rsid w:val="00BC08AD"/>
    <w:rsid w:val="00BC14A5"/>
    <w:rsid w:val="00BC1867"/>
    <w:rsid w:val="00BC23C0"/>
    <w:rsid w:val="00BC276D"/>
    <w:rsid w:val="00BC2780"/>
    <w:rsid w:val="00BC2D08"/>
    <w:rsid w:val="00BC2FD1"/>
    <w:rsid w:val="00BC403A"/>
    <w:rsid w:val="00BC40FE"/>
    <w:rsid w:val="00BC4738"/>
    <w:rsid w:val="00BC5A1F"/>
    <w:rsid w:val="00BC6077"/>
    <w:rsid w:val="00BC6C22"/>
    <w:rsid w:val="00BD01AE"/>
    <w:rsid w:val="00BD0915"/>
    <w:rsid w:val="00BD37D2"/>
    <w:rsid w:val="00BD428E"/>
    <w:rsid w:val="00BD4D15"/>
    <w:rsid w:val="00BD646F"/>
    <w:rsid w:val="00BD65B7"/>
    <w:rsid w:val="00BD6ACC"/>
    <w:rsid w:val="00BE068A"/>
    <w:rsid w:val="00BE101D"/>
    <w:rsid w:val="00BE1A39"/>
    <w:rsid w:val="00BE4A76"/>
    <w:rsid w:val="00BE5319"/>
    <w:rsid w:val="00BE59F9"/>
    <w:rsid w:val="00BE6144"/>
    <w:rsid w:val="00BE6797"/>
    <w:rsid w:val="00BF02B2"/>
    <w:rsid w:val="00BF0581"/>
    <w:rsid w:val="00BF064A"/>
    <w:rsid w:val="00BF0B63"/>
    <w:rsid w:val="00BF22D0"/>
    <w:rsid w:val="00BF248E"/>
    <w:rsid w:val="00BF34CB"/>
    <w:rsid w:val="00BF3860"/>
    <w:rsid w:val="00BF4B1C"/>
    <w:rsid w:val="00BF52B3"/>
    <w:rsid w:val="00BF6CDF"/>
    <w:rsid w:val="00BF7F32"/>
    <w:rsid w:val="00C0120F"/>
    <w:rsid w:val="00C022DF"/>
    <w:rsid w:val="00C02A84"/>
    <w:rsid w:val="00C0552A"/>
    <w:rsid w:val="00C05BD9"/>
    <w:rsid w:val="00C05CAE"/>
    <w:rsid w:val="00C05FC3"/>
    <w:rsid w:val="00C069C7"/>
    <w:rsid w:val="00C10944"/>
    <w:rsid w:val="00C11606"/>
    <w:rsid w:val="00C11649"/>
    <w:rsid w:val="00C116E4"/>
    <w:rsid w:val="00C11DD6"/>
    <w:rsid w:val="00C1325D"/>
    <w:rsid w:val="00C13974"/>
    <w:rsid w:val="00C14367"/>
    <w:rsid w:val="00C1451B"/>
    <w:rsid w:val="00C14E48"/>
    <w:rsid w:val="00C16230"/>
    <w:rsid w:val="00C168F2"/>
    <w:rsid w:val="00C16E50"/>
    <w:rsid w:val="00C170D5"/>
    <w:rsid w:val="00C20F8C"/>
    <w:rsid w:val="00C21A2A"/>
    <w:rsid w:val="00C228BE"/>
    <w:rsid w:val="00C23566"/>
    <w:rsid w:val="00C236F7"/>
    <w:rsid w:val="00C24718"/>
    <w:rsid w:val="00C2639D"/>
    <w:rsid w:val="00C26D7F"/>
    <w:rsid w:val="00C301BA"/>
    <w:rsid w:val="00C302FA"/>
    <w:rsid w:val="00C31760"/>
    <w:rsid w:val="00C319B7"/>
    <w:rsid w:val="00C31EA3"/>
    <w:rsid w:val="00C31ECF"/>
    <w:rsid w:val="00C322FE"/>
    <w:rsid w:val="00C3415D"/>
    <w:rsid w:val="00C3434D"/>
    <w:rsid w:val="00C34E76"/>
    <w:rsid w:val="00C356C3"/>
    <w:rsid w:val="00C40617"/>
    <w:rsid w:val="00C4062C"/>
    <w:rsid w:val="00C41367"/>
    <w:rsid w:val="00C41B33"/>
    <w:rsid w:val="00C44FBF"/>
    <w:rsid w:val="00C47099"/>
    <w:rsid w:val="00C47D14"/>
    <w:rsid w:val="00C5008F"/>
    <w:rsid w:val="00C50565"/>
    <w:rsid w:val="00C51651"/>
    <w:rsid w:val="00C52281"/>
    <w:rsid w:val="00C528EC"/>
    <w:rsid w:val="00C531E8"/>
    <w:rsid w:val="00C537B4"/>
    <w:rsid w:val="00C53800"/>
    <w:rsid w:val="00C53AEE"/>
    <w:rsid w:val="00C55B73"/>
    <w:rsid w:val="00C5686C"/>
    <w:rsid w:val="00C57754"/>
    <w:rsid w:val="00C57798"/>
    <w:rsid w:val="00C57BE8"/>
    <w:rsid w:val="00C61442"/>
    <w:rsid w:val="00C6159F"/>
    <w:rsid w:val="00C61958"/>
    <w:rsid w:val="00C61FCE"/>
    <w:rsid w:val="00C6203D"/>
    <w:rsid w:val="00C633AB"/>
    <w:rsid w:val="00C63585"/>
    <w:rsid w:val="00C651C1"/>
    <w:rsid w:val="00C65601"/>
    <w:rsid w:val="00C6788C"/>
    <w:rsid w:val="00C67A76"/>
    <w:rsid w:val="00C7034D"/>
    <w:rsid w:val="00C71FE4"/>
    <w:rsid w:val="00C73968"/>
    <w:rsid w:val="00C73E1A"/>
    <w:rsid w:val="00C74819"/>
    <w:rsid w:val="00C7489B"/>
    <w:rsid w:val="00C760A9"/>
    <w:rsid w:val="00C767FA"/>
    <w:rsid w:val="00C80E5E"/>
    <w:rsid w:val="00C81115"/>
    <w:rsid w:val="00C83411"/>
    <w:rsid w:val="00C848A7"/>
    <w:rsid w:val="00C84944"/>
    <w:rsid w:val="00C84A59"/>
    <w:rsid w:val="00C8507A"/>
    <w:rsid w:val="00C85359"/>
    <w:rsid w:val="00C85964"/>
    <w:rsid w:val="00C85B7E"/>
    <w:rsid w:val="00C85D2C"/>
    <w:rsid w:val="00C86748"/>
    <w:rsid w:val="00C91E46"/>
    <w:rsid w:val="00C92494"/>
    <w:rsid w:val="00C93704"/>
    <w:rsid w:val="00C95B88"/>
    <w:rsid w:val="00C95EE1"/>
    <w:rsid w:val="00C96716"/>
    <w:rsid w:val="00C96D6A"/>
    <w:rsid w:val="00C97D7F"/>
    <w:rsid w:val="00CA0499"/>
    <w:rsid w:val="00CA09D8"/>
    <w:rsid w:val="00CA0FE3"/>
    <w:rsid w:val="00CA1C4C"/>
    <w:rsid w:val="00CA262B"/>
    <w:rsid w:val="00CA41CF"/>
    <w:rsid w:val="00CA5473"/>
    <w:rsid w:val="00CA6032"/>
    <w:rsid w:val="00CA61D9"/>
    <w:rsid w:val="00CA6541"/>
    <w:rsid w:val="00CA6CB3"/>
    <w:rsid w:val="00CA7022"/>
    <w:rsid w:val="00CA763F"/>
    <w:rsid w:val="00CB1EE2"/>
    <w:rsid w:val="00CB2B7B"/>
    <w:rsid w:val="00CB42F0"/>
    <w:rsid w:val="00CB4E86"/>
    <w:rsid w:val="00CB606B"/>
    <w:rsid w:val="00CB716A"/>
    <w:rsid w:val="00CB7762"/>
    <w:rsid w:val="00CB7A6B"/>
    <w:rsid w:val="00CC0BEB"/>
    <w:rsid w:val="00CC0D4B"/>
    <w:rsid w:val="00CC0D86"/>
    <w:rsid w:val="00CC1224"/>
    <w:rsid w:val="00CC23E2"/>
    <w:rsid w:val="00CC2D10"/>
    <w:rsid w:val="00CC362A"/>
    <w:rsid w:val="00CC3F19"/>
    <w:rsid w:val="00CC40F5"/>
    <w:rsid w:val="00CC4AA5"/>
    <w:rsid w:val="00CC56BD"/>
    <w:rsid w:val="00CC5B19"/>
    <w:rsid w:val="00CC6AB3"/>
    <w:rsid w:val="00CD13C8"/>
    <w:rsid w:val="00CD1C07"/>
    <w:rsid w:val="00CD3ED2"/>
    <w:rsid w:val="00CD4255"/>
    <w:rsid w:val="00CD44BB"/>
    <w:rsid w:val="00CD4F38"/>
    <w:rsid w:val="00CD51F7"/>
    <w:rsid w:val="00CD5AEB"/>
    <w:rsid w:val="00CD5C22"/>
    <w:rsid w:val="00CD649E"/>
    <w:rsid w:val="00CD6AE4"/>
    <w:rsid w:val="00CD6C5D"/>
    <w:rsid w:val="00CE0A31"/>
    <w:rsid w:val="00CE0CE0"/>
    <w:rsid w:val="00CE1233"/>
    <w:rsid w:val="00CE225C"/>
    <w:rsid w:val="00CE2EC2"/>
    <w:rsid w:val="00CE453A"/>
    <w:rsid w:val="00CE4B53"/>
    <w:rsid w:val="00CE7B18"/>
    <w:rsid w:val="00CE7B1B"/>
    <w:rsid w:val="00CF0FED"/>
    <w:rsid w:val="00CF178E"/>
    <w:rsid w:val="00CF19A9"/>
    <w:rsid w:val="00CF1A82"/>
    <w:rsid w:val="00CF2464"/>
    <w:rsid w:val="00CF281B"/>
    <w:rsid w:val="00CF28B5"/>
    <w:rsid w:val="00CF4B12"/>
    <w:rsid w:val="00CF58B8"/>
    <w:rsid w:val="00CF6791"/>
    <w:rsid w:val="00CF6C64"/>
    <w:rsid w:val="00CF6F0F"/>
    <w:rsid w:val="00CF74CD"/>
    <w:rsid w:val="00D00A59"/>
    <w:rsid w:val="00D01427"/>
    <w:rsid w:val="00D01E4E"/>
    <w:rsid w:val="00D02A3C"/>
    <w:rsid w:val="00D02C78"/>
    <w:rsid w:val="00D02E27"/>
    <w:rsid w:val="00D02F09"/>
    <w:rsid w:val="00D04BB7"/>
    <w:rsid w:val="00D04CBD"/>
    <w:rsid w:val="00D04D60"/>
    <w:rsid w:val="00D054C0"/>
    <w:rsid w:val="00D060CD"/>
    <w:rsid w:val="00D06708"/>
    <w:rsid w:val="00D06EA7"/>
    <w:rsid w:val="00D100E2"/>
    <w:rsid w:val="00D10C8F"/>
    <w:rsid w:val="00D11FBA"/>
    <w:rsid w:val="00D120E6"/>
    <w:rsid w:val="00D124EA"/>
    <w:rsid w:val="00D12545"/>
    <w:rsid w:val="00D1525C"/>
    <w:rsid w:val="00D152A5"/>
    <w:rsid w:val="00D154E8"/>
    <w:rsid w:val="00D17D7A"/>
    <w:rsid w:val="00D17FC9"/>
    <w:rsid w:val="00D217C5"/>
    <w:rsid w:val="00D22147"/>
    <w:rsid w:val="00D22AE6"/>
    <w:rsid w:val="00D23119"/>
    <w:rsid w:val="00D24EF1"/>
    <w:rsid w:val="00D25EF1"/>
    <w:rsid w:val="00D260FA"/>
    <w:rsid w:val="00D261A6"/>
    <w:rsid w:val="00D2642D"/>
    <w:rsid w:val="00D30310"/>
    <w:rsid w:val="00D30F98"/>
    <w:rsid w:val="00D31709"/>
    <w:rsid w:val="00D320F5"/>
    <w:rsid w:val="00D3274E"/>
    <w:rsid w:val="00D3278A"/>
    <w:rsid w:val="00D32952"/>
    <w:rsid w:val="00D34974"/>
    <w:rsid w:val="00D375ED"/>
    <w:rsid w:val="00D37FA7"/>
    <w:rsid w:val="00D40C37"/>
    <w:rsid w:val="00D40D20"/>
    <w:rsid w:val="00D41660"/>
    <w:rsid w:val="00D4175C"/>
    <w:rsid w:val="00D419DE"/>
    <w:rsid w:val="00D41C39"/>
    <w:rsid w:val="00D44075"/>
    <w:rsid w:val="00D47051"/>
    <w:rsid w:val="00D470E2"/>
    <w:rsid w:val="00D47274"/>
    <w:rsid w:val="00D47B22"/>
    <w:rsid w:val="00D51688"/>
    <w:rsid w:val="00D5178B"/>
    <w:rsid w:val="00D5211B"/>
    <w:rsid w:val="00D5223C"/>
    <w:rsid w:val="00D53558"/>
    <w:rsid w:val="00D535FD"/>
    <w:rsid w:val="00D5497B"/>
    <w:rsid w:val="00D550AB"/>
    <w:rsid w:val="00D553A2"/>
    <w:rsid w:val="00D56009"/>
    <w:rsid w:val="00D57166"/>
    <w:rsid w:val="00D57531"/>
    <w:rsid w:val="00D57E47"/>
    <w:rsid w:val="00D60A17"/>
    <w:rsid w:val="00D60AF0"/>
    <w:rsid w:val="00D61328"/>
    <w:rsid w:val="00D6288E"/>
    <w:rsid w:val="00D628D0"/>
    <w:rsid w:val="00D62A67"/>
    <w:rsid w:val="00D62E32"/>
    <w:rsid w:val="00D62EFA"/>
    <w:rsid w:val="00D64906"/>
    <w:rsid w:val="00D64CD6"/>
    <w:rsid w:val="00D6601E"/>
    <w:rsid w:val="00D67F34"/>
    <w:rsid w:val="00D722AA"/>
    <w:rsid w:val="00D733D2"/>
    <w:rsid w:val="00D7358B"/>
    <w:rsid w:val="00D73832"/>
    <w:rsid w:val="00D74161"/>
    <w:rsid w:val="00D743E4"/>
    <w:rsid w:val="00D74802"/>
    <w:rsid w:val="00D74F8A"/>
    <w:rsid w:val="00D755A0"/>
    <w:rsid w:val="00D75775"/>
    <w:rsid w:val="00D7612A"/>
    <w:rsid w:val="00D772B1"/>
    <w:rsid w:val="00D7736B"/>
    <w:rsid w:val="00D778EB"/>
    <w:rsid w:val="00D82156"/>
    <w:rsid w:val="00D82C43"/>
    <w:rsid w:val="00D82C8F"/>
    <w:rsid w:val="00D83096"/>
    <w:rsid w:val="00D84117"/>
    <w:rsid w:val="00D8452E"/>
    <w:rsid w:val="00D845F9"/>
    <w:rsid w:val="00D8475B"/>
    <w:rsid w:val="00D855D2"/>
    <w:rsid w:val="00D857C7"/>
    <w:rsid w:val="00D85F71"/>
    <w:rsid w:val="00D861E2"/>
    <w:rsid w:val="00D863D6"/>
    <w:rsid w:val="00D86D86"/>
    <w:rsid w:val="00D91387"/>
    <w:rsid w:val="00D92B8D"/>
    <w:rsid w:val="00D930C0"/>
    <w:rsid w:val="00D9416D"/>
    <w:rsid w:val="00D94718"/>
    <w:rsid w:val="00D95F1F"/>
    <w:rsid w:val="00D96491"/>
    <w:rsid w:val="00D96AE3"/>
    <w:rsid w:val="00D96FB6"/>
    <w:rsid w:val="00D973F6"/>
    <w:rsid w:val="00DA1424"/>
    <w:rsid w:val="00DA2754"/>
    <w:rsid w:val="00DA2940"/>
    <w:rsid w:val="00DA2DCE"/>
    <w:rsid w:val="00DA35EA"/>
    <w:rsid w:val="00DA3651"/>
    <w:rsid w:val="00DA456C"/>
    <w:rsid w:val="00DA5A1F"/>
    <w:rsid w:val="00DA5ED0"/>
    <w:rsid w:val="00DA6188"/>
    <w:rsid w:val="00DA685A"/>
    <w:rsid w:val="00DA700D"/>
    <w:rsid w:val="00DA76FC"/>
    <w:rsid w:val="00DA7EF3"/>
    <w:rsid w:val="00DB06DE"/>
    <w:rsid w:val="00DB0BAE"/>
    <w:rsid w:val="00DB0CCA"/>
    <w:rsid w:val="00DB20C0"/>
    <w:rsid w:val="00DB3C0E"/>
    <w:rsid w:val="00DB5A09"/>
    <w:rsid w:val="00DB5D31"/>
    <w:rsid w:val="00DB6692"/>
    <w:rsid w:val="00DB6B39"/>
    <w:rsid w:val="00DB7554"/>
    <w:rsid w:val="00DB7838"/>
    <w:rsid w:val="00DC05FB"/>
    <w:rsid w:val="00DC08A4"/>
    <w:rsid w:val="00DC12DA"/>
    <w:rsid w:val="00DC1E83"/>
    <w:rsid w:val="00DC3BD7"/>
    <w:rsid w:val="00DC4832"/>
    <w:rsid w:val="00DC52E3"/>
    <w:rsid w:val="00DC53BF"/>
    <w:rsid w:val="00DC63BA"/>
    <w:rsid w:val="00DD0133"/>
    <w:rsid w:val="00DD1282"/>
    <w:rsid w:val="00DD1BB1"/>
    <w:rsid w:val="00DD1DF6"/>
    <w:rsid w:val="00DD269B"/>
    <w:rsid w:val="00DD2E71"/>
    <w:rsid w:val="00DD3357"/>
    <w:rsid w:val="00DD3724"/>
    <w:rsid w:val="00DD3860"/>
    <w:rsid w:val="00DD3D1F"/>
    <w:rsid w:val="00DD594D"/>
    <w:rsid w:val="00DD718C"/>
    <w:rsid w:val="00DE053E"/>
    <w:rsid w:val="00DE11DC"/>
    <w:rsid w:val="00DE1937"/>
    <w:rsid w:val="00DE294F"/>
    <w:rsid w:val="00DE301B"/>
    <w:rsid w:val="00DE3174"/>
    <w:rsid w:val="00DE3E3A"/>
    <w:rsid w:val="00DE42A3"/>
    <w:rsid w:val="00DE480E"/>
    <w:rsid w:val="00DE4B60"/>
    <w:rsid w:val="00DE4F0A"/>
    <w:rsid w:val="00DE6242"/>
    <w:rsid w:val="00DE74F5"/>
    <w:rsid w:val="00DE7C95"/>
    <w:rsid w:val="00DF1186"/>
    <w:rsid w:val="00DF3188"/>
    <w:rsid w:val="00DF44B2"/>
    <w:rsid w:val="00DF45F4"/>
    <w:rsid w:val="00DF485D"/>
    <w:rsid w:val="00DF5177"/>
    <w:rsid w:val="00DF539C"/>
    <w:rsid w:val="00DF6219"/>
    <w:rsid w:val="00E00DEB"/>
    <w:rsid w:val="00E0106F"/>
    <w:rsid w:val="00E01B46"/>
    <w:rsid w:val="00E01F3A"/>
    <w:rsid w:val="00E026DA"/>
    <w:rsid w:val="00E02EB4"/>
    <w:rsid w:val="00E048EB"/>
    <w:rsid w:val="00E04F01"/>
    <w:rsid w:val="00E05AF9"/>
    <w:rsid w:val="00E05BC3"/>
    <w:rsid w:val="00E06B5D"/>
    <w:rsid w:val="00E07F40"/>
    <w:rsid w:val="00E101C5"/>
    <w:rsid w:val="00E10A2D"/>
    <w:rsid w:val="00E10CC4"/>
    <w:rsid w:val="00E111FA"/>
    <w:rsid w:val="00E1388A"/>
    <w:rsid w:val="00E13D0E"/>
    <w:rsid w:val="00E13F03"/>
    <w:rsid w:val="00E13FDF"/>
    <w:rsid w:val="00E14990"/>
    <w:rsid w:val="00E14EF0"/>
    <w:rsid w:val="00E15123"/>
    <w:rsid w:val="00E15497"/>
    <w:rsid w:val="00E16DD9"/>
    <w:rsid w:val="00E17315"/>
    <w:rsid w:val="00E201A8"/>
    <w:rsid w:val="00E233C6"/>
    <w:rsid w:val="00E2384C"/>
    <w:rsid w:val="00E23BAE"/>
    <w:rsid w:val="00E23F0B"/>
    <w:rsid w:val="00E25305"/>
    <w:rsid w:val="00E270F7"/>
    <w:rsid w:val="00E27117"/>
    <w:rsid w:val="00E30383"/>
    <w:rsid w:val="00E307EB"/>
    <w:rsid w:val="00E30CA0"/>
    <w:rsid w:val="00E31F3E"/>
    <w:rsid w:val="00E31FCC"/>
    <w:rsid w:val="00E326EB"/>
    <w:rsid w:val="00E328D6"/>
    <w:rsid w:val="00E32B56"/>
    <w:rsid w:val="00E33174"/>
    <w:rsid w:val="00E33279"/>
    <w:rsid w:val="00E3387C"/>
    <w:rsid w:val="00E33E41"/>
    <w:rsid w:val="00E35647"/>
    <w:rsid w:val="00E35AA8"/>
    <w:rsid w:val="00E3639C"/>
    <w:rsid w:val="00E37F30"/>
    <w:rsid w:val="00E404DF"/>
    <w:rsid w:val="00E409BA"/>
    <w:rsid w:val="00E4178C"/>
    <w:rsid w:val="00E4180A"/>
    <w:rsid w:val="00E41F2C"/>
    <w:rsid w:val="00E42382"/>
    <w:rsid w:val="00E424EB"/>
    <w:rsid w:val="00E43345"/>
    <w:rsid w:val="00E446FA"/>
    <w:rsid w:val="00E451AC"/>
    <w:rsid w:val="00E45512"/>
    <w:rsid w:val="00E46D99"/>
    <w:rsid w:val="00E47127"/>
    <w:rsid w:val="00E51A88"/>
    <w:rsid w:val="00E52463"/>
    <w:rsid w:val="00E554B8"/>
    <w:rsid w:val="00E554E9"/>
    <w:rsid w:val="00E55927"/>
    <w:rsid w:val="00E55E2E"/>
    <w:rsid w:val="00E57774"/>
    <w:rsid w:val="00E57BBB"/>
    <w:rsid w:val="00E60A61"/>
    <w:rsid w:val="00E60B80"/>
    <w:rsid w:val="00E61B07"/>
    <w:rsid w:val="00E6321A"/>
    <w:rsid w:val="00E636F0"/>
    <w:rsid w:val="00E6391F"/>
    <w:rsid w:val="00E639EE"/>
    <w:rsid w:val="00E64659"/>
    <w:rsid w:val="00E64811"/>
    <w:rsid w:val="00E6539B"/>
    <w:rsid w:val="00E66809"/>
    <w:rsid w:val="00E6713B"/>
    <w:rsid w:val="00E72B30"/>
    <w:rsid w:val="00E741FB"/>
    <w:rsid w:val="00E74C76"/>
    <w:rsid w:val="00E77087"/>
    <w:rsid w:val="00E80421"/>
    <w:rsid w:val="00E8098D"/>
    <w:rsid w:val="00E82030"/>
    <w:rsid w:val="00E82801"/>
    <w:rsid w:val="00E83A76"/>
    <w:rsid w:val="00E84853"/>
    <w:rsid w:val="00E84A11"/>
    <w:rsid w:val="00E84DBA"/>
    <w:rsid w:val="00E85B76"/>
    <w:rsid w:val="00E85D44"/>
    <w:rsid w:val="00E864FB"/>
    <w:rsid w:val="00E87E98"/>
    <w:rsid w:val="00E90C89"/>
    <w:rsid w:val="00E91021"/>
    <w:rsid w:val="00E92568"/>
    <w:rsid w:val="00E92896"/>
    <w:rsid w:val="00E9535A"/>
    <w:rsid w:val="00E9545E"/>
    <w:rsid w:val="00E96B6D"/>
    <w:rsid w:val="00E97232"/>
    <w:rsid w:val="00EA2F31"/>
    <w:rsid w:val="00EA4E87"/>
    <w:rsid w:val="00EA5C3A"/>
    <w:rsid w:val="00EA6866"/>
    <w:rsid w:val="00EA69F8"/>
    <w:rsid w:val="00EA7F47"/>
    <w:rsid w:val="00EA7F5F"/>
    <w:rsid w:val="00EB0AD0"/>
    <w:rsid w:val="00EB0E95"/>
    <w:rsid w:val="00EB0EB5"/>
    <w:rsid w:val="00EB1AAC"/>
    <w:rsid w:val="00EB2E80"/>
    <w:rsid w:val="00EB3A2F"/>
    <w:rsid w:val="00EB440C"/>
    <w:rsid w:val="00EB480E"/>
    <w:rsid w:val="00EB4B0D"/>
    <w:rsid w:val="00EB6532"/>
    <w:rsid w:val="00EB7A3A"/>
    <w:rsid w:val="00EC0B7B"/>
    <w:rsid w:val="00EC0E04"/>
    <w:rsid w:val="00EC180A"/>
    <w:rsid w:val="00EC2516"/>
    <w:rsid w:val="00EC2AC4"/>
    <w:rsid w:val="00EC308A"/>
    <w:rsid w:val="00EC3AB0"/>
    <w:rsid w:val="00EC3C4A"/>
    <w:rsid w:val="00EC3D02"/>
    <w:rsid w:val="00EC45B8"/>
    <w:rsid w:val="00EC47B3"/>
    <w:rsid w:val="00EC50E0"/>
    <w:rsid w:val="00EC5653"/>
    <w:rsid w:val="00ED080D"/>
    <w:rsid w:val="00ED0CB4"/>
    <w:rsid w:val="00ED12F4"/>
    <w:rsid w:val="00ED1B6D"/>
    <w:rsid w:val="00ED37D9"/>
    <w:rsid w:val="00ED4E10"/>
    <w:rsid w:val="00ED52DC"/>
    <w:rsid w:val="00ED601A"/>
    <w:rsid w:val="00ED71A8"/>
    <w:rsid w:val="00ED7591"/>
    <w:rsid w:val="00EE0552"/>
    <w:rsid w:val="00EE10CC"/>
    <w:rsid w:val="00EE1FA9"/>
    <w:rsid w:val="00EE259C"/>
    <w:rsid w:val="00EE260E"/>
    <w:rsid w:val="00EE3904"/>
    <w:rsid w:val="00EE5136"/>
    <w:rsid w:val="00EE55FC"/>
    <w:rsid w:val="00EE616A"/>
    <w:rsid w:val="00EE6E2E"/>
    <w:rsid w:val="00EE7263"/>
    <w:rsid w:val="00EE7FF9"/>
    <w:rsid w:val="00EF060C"/>
    <w:rsid w:val="00EF0980"/>
    <w:rsid w:val="00EF0CAF"/>
    <w:rsid w:val="00EF1471"/>
    <w:rsid w:val="00EF1DF7"/>
    <w:rsid w:val="00EF2586"/>
    <w:rsid w:val="00EF2BF4"/>
    <w:rsid w:val="00EF2ED5"/>
    <w:rsid w:val="00EF4BE9"/>
    <w:rsid w:val="00EF580F"/>
    <w:rsid w:val="00EF7A60"/>
    <w:rsid w:val="00F00DA8"/>
    <w:rsid w:val="00F01E68"/>
    <w:rsid w:val="00F02445"/>
    <w:rsid w:val="00F02E69"/>
    <w:rsid w:val="00F034BB"/>
    <w:rsid w:val="00F04F63"/>
    <w:rsid w:val="00F06DB0"/>
    <w:rsid w:val="00F07653"/>
    <w:rsid w:val="00F0798D"/>
    <w:rsid w:val="00F10AFB"/>
    <w:rsid w:val="00F1136C"/>
    <w:rsid w:val="00F116FC"/>
    <w:rsid w:val="00F120E0"/>
    <w:rsid w:val="00F12B78"/>
    <w:rsid w:val="00F12E2E"/>
    <w:rsid w:val="00F139FC"/>
    <w:rsid w:val="00F13AF4"/>
    <w:rsid w:val="00F148C3"/>
    <w:rsid w:val="00F14B55"/>
    <w:rsid w:val="00F1601C"/>
    <w:rsid w:val="00F16C6C"/>
    <w:rsid w:val="00F16D46"/>
    <w:rsid w:val="00F202ED"/>
    <w:rsid w:val="00F20E5F"/>
    <w:rsid w:val="00F22E55"/>
    <w:rsid w:val="00F23CFF"/>
    <w:rsid w:val="00F23E11"/>
    <w:rsid w:val="00F23E82"/>
    <w:rsid w:val="00F23FFE"/>
    <w:rsid w:val="00F24BEE"/>
    <w:rsid w:val="00F25612"/>
    <w:rsid w:val="00F26FC8"/>
    <w:rsid w:val="00F27546"/>
    <w:rsid w:val="00F27C51"/>
    <w:rsid w:val="00F300FB"/>
    <w:rsid w:val="00F305A1"/>
    <w:rsid w:val="00F31273"/>
    <w:rsid w:val="00F31CFB"/>
    <w:rsid w:val="00F31D0E"/>
    <w:rsid w:val="00F3486B"/>
    <w:rsid w:val="00F34C53"/>
    <w:rsid w:val="00F3505F"/>
    <w:rsid w:val="00F36984"/>
    <w:rsid w:val="00F36E67"/>
    <w:rsid w:val="00F3776C"/>
    <w:rsid w:val="00F40B60"/>
    <w:rsid w:val="00F43840"/>
    <w:rsid w:val="00F438A7"/>
    <w:rsid w:val="00F44686"/>
    <w:rsid w:val="00F4478D"/>
    <w:rsid w:val="00F476DB"/>
    <w:rsid w:val="00F5017F"/>
    <w:rsid w:val="00F50202"/>
    <w:rsid w:val="00F508DE"/>
    <w:rsid w:val="00F51438"/>
    <w:rsid w:val="00F51494"/>
    <w:rsid w:val="00F51EE6"/>
    <w:rsid w:val="00F523FD"/>
    <w:rsid w:val="00F52A8A"/>
    <w:rsid w:val="00F5553F"/>
    <w:rsid w:val="00F56802"/>
    <w:rsid w:val="00F57D34"/>
    <w:rsid w:val="00F61042"/>
    <w:rsid w:val="00F610AE"/>
    <w:rsid w:val="00F611E3"/>
    <w:rsid w:val="00F61BEB"/>
    <w:rsid w:val="00F61D44"/>
    <w:rsid w:val="00F623F1"/>
    <w:rsid w:val="00F62DE4"/>
    <w:rsid w:val="00F6431E"/>
    <w:rsid w:val="00F64E0A"/>
    <w:rsid w:val="00F65814"/>
    <w:rsid w:val="00F65B32"/>
    <w:rsid w:val="00F661D0"/>
    <w:rsid w:val="00F67158"/>
    <w:rsid w:val="00F675AB"/>
    <w:rsid w:val="00F713BA"/>
    <w:rsid w:val="00F714B5"/>
    <w:rsid w:val="00F71AEB"/>
    <w:rsid w:val="00F71F81"/>
    <w:rsid w:val="00F722CC"/>
    <w:rsid w:val="00F73654"/>
    <w:rsid w:val="00F75E3B"/>
    <w:rsid w:val="00F76E62"/>
    <w:rsid w:val="00F7706D"/>
    <w:rsid w:val="00F80B5E"/>
    <w:rsid w:val="00F80EDC"/>
    <w:rsid w:val="00F811CD"/>
    <w:rsid w:val="00F817A7"/>
    <w:rsid w:val="00F81B49"/>
    <w:rsid w:val="00F81DDA"/>
    <w:rsid w:val="00F82395"/>
    <w:rsid w:val="00F83643"/>
    <w:rsid w:val="00F846BA"/>
    <w:rsid w:val="00F85853"/>
    <w:rsid w:val="00F85B22"/>
    <w:rsid w:val="00F86281"/>
    <w:rsid w:val="00F86E15"/>
    <w:rsid w:val="00F8738B"/>
    <w:rsid w:val="00F87CB8"/>
    <w:rsid w:val="00F91D16"/>
    <w:rsid w:val="00F92D23"/>
    <w:rsid w:val="00F94355"/>
    <w:rsid w:val="00F94C08"/>
    <w:rsid w:val="00F95C05"/>
    <w:rsid w:val="00F95CBD"/>
    <w:rsid w:val="00F965FB"/>
    <w:rsid w:val="00F96D29"/>
    <w:rsid w:val="00F9797A"/>
    <w:rsid w:val="00FA081C"/>
    <w:rsid w:val="00FA08C9"/>
    <w:rsid w:val="00FA0DBA"/>
    <w:rsid w:val="00FA0FC2"/>
    <w:rsid w:val="00FA205F"/>
    <w:rsid w:val="00FA2B83"/>
    <w:rsid w:val="00FA3C90"/>
    <w:rsid w:val="00FA5345"/>
    <w:rsid w:val="00FA612A"/>
    <w:rsid w:val="00FB0723"/>
    <w:rsid w:val="00FB2A38"/>
    <w:rsid w:val="00FB2F1B"/>
    <w:rsid w:val="00FB3742"/>
    <w:rsid w:val="00FB550C"/>
    <w:rsid w:val="00FB6D4B"/>
    <w:rsid w:val="00FB733D"/>
    <w:rsid w:val="00FB7656"/>
    <w:rsid w:val="00FC0DD1"/>
    <w:rsid w:val="00FC140E"/>
    <w:rsid w:val="00FC1AF6"/>
    <w:rsid w:val="00FC1ED9"/>
    <w:rsid w:val="00FC2244"/>
    <w:rsid w:val="00FC328E"/>
    <w:rsid w:val="00FC360C"/>
    <w:rsid w:val="00FC4A39"/>
    <w:rsid w:val="00FC59C6"/>
    <w:rsid w:val="00FC5FCF"/>
    <w:rsid w:val="00FC691B"/>
    <w:rsid w:val="00FC7B01"/>
    <w:rsid w:val="00FD03E6"/>
    <w:rsid w:val="00FD08B8"/>
    <w:rsid w:val="00FD0FFB"/>
    <w:rsid w:val="00FD1568"/>
    <w:rsid w:val="00FD220C"/>
    <w:rsid w:val="00FD2BEF"/>
    <w:rsid w:val="00FD2C4E"/>
    <w:rsid w:val="00FD51FC"/>
    <w:rsid w:val="00FD5A71"/>
    <w:rsid w:val="00FD6943"/>
    <w:rsid w:val="00FD7F9E"/>
    <w:rsid w:val="00FE0B74"/>
    <w:rsid w:val="00FE0E7E"/>
    <w:rsid w:val="00FE1B45"/>
    <w:rsid w:val="00FE20AF"/>
    <w:rsid w:val="00FE4122"/>
    <w:rsid w:val="00FE498E"/>
    <w:rsid w:val="00FE51BA"/>
    <w:rsid w:val="00FE63DF"/>
    <w:rsid w:val="00FF0803"/>
    <w:rsid w:val="00FF09EF"/>
    <w:rsid w:val="00FF0F1C"/>
    <w:rsid w:val="00FF11B4"/>
    <w:rsid w:val="00FF4720"/>
    <w:rsid w:val="00FF4AD0"/>
    <w:rsid w:val="00FF513E"/>
    <w:rsid w:val="00FF5B32"/>
    <w:rsid w:val="00FF5FBC"/>
    <w:rsid w:val="00FF60FB"/>
    <w:rsid w:val="00FF694F"/>
    <w:rsid w:val="00FF71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530433"/>
    <o:shapelayout v:ext="edit">
      <o:idmap v:ext="edit" data="1"/>
    </o:shapelayout>
  </w:shapeDefaults>
  <w:decimalSymbol w:val="."/>
  <w:listSeparator w:val=","/>
  <w14:docId w14:val="231FB770"/>
  <w15:docId w15:val="{8AB89D53-95C5-406D-9D1B-B690AEAAB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sz w:val="24"/>
        <w:szCs w:val="24"/>
        <w:lang w:val="en-AU" w:eastAsia="en-AU"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4" w:unhideWhenUsed="1" w:qFormat="1"/>
    <w:lsdException w:name="heading 6" w:semiHidden="1" w:uiPriority="5" w:unhideWhenUsed="1" w:qFormat="1"/>
    <w:lsdException w:name="heading 7" w:semiHidden="1" w:uiPriority="6" w:qFormat="1"/>
    <w:lsdException w:name="heading 8" w:semiHidden="1" w:uiPriority="7" w:qFormat="1"/>
    <w:lsdException w:name="heading 9" w:semiHidden="1" w:uiPriority="8"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iPriority="49" w:unhideWhenUsed="1"/>
    <w:lsdException w:name="envelope return" w:semiHidden="1" w:uiPriority="49"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49" w:unhideWhenUsed="1"/>
    <w:lsdException w:name="endnote text" w:semiHidden="1" w:uiPriority="49" w:unhideWhenUsed="1"/>
    <w:lsdException w:name="table of authorities" w:semiHidden="1" w:unhideWhenUsed="1"/>
    <w:lsdException w:name="macro" w:semiHidden="1" w:unhideWhenUsed="1"/>
    <w:lsdException w:name="toa heading" w:semiHidden="1" w:unhideWhenUsed="1"/>
    <w:lsdException w:name="List" w:semiHidden="1" w:uiPriority="17" w:unhideWhenUsed="1" w:qFormat="1"/>
    <w:lsdException w:name="List Bullet" w:semiHidden="1" w:uiPriority="38" w:unhideWhenUsed="1"/>
    <w:lsdException w:name="List Number" w:semiHidden="1" w:unhideWhenUsed="1"/>
    <w:lsdException w:name="List 2" w:semiHidden="1" w:uiPriority="17" w:unhideWhenUsed="1" w:qFormat="1"/>
    <w:lsdException w:name="List 3" w:semiHidden="1" w:uiPriority="17" w:unhideWhenUsed="1" w:qFormat="1"/>
    <w:lsdException w:name="List 4" w:semiHidden="1" w:unhideWhenUsed="1"/>
    <w:lsdException w:name="List 5" w:semiHidden="1" w:unhideWhenUsed="1"/>
    <w:lsdException w:name="List Bullet 2" w:semiHidden="1" w:uiPriority="38" w:unhideWhenUsed="1"/>
    <w:lsdException w:name="List Bullet 3" w:semiHidden="1" w:uiPriority="38"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49" w:unhideWhenUsed="1"/>
    <w:lsdException w:name="Signature" w:semiHidden="1" w:unhideWhenUsed="1"/>
    <w:lsdException w:name="Default Paragraph Font" w:semiHidden="1" w:uiPriority="1" w:unhideWhenUsed="1"/>
    <w:lsdException w:name="Body Text" w:semiHidden="1" w:uiPriority="49" w:unhideWhenUsed="1"/>
    <w:lsdException w:name="Body Text Indent" w:semiHidden="1" w:uiPriority="4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iPriority="49" w:unhideWhenUsed="1"/>
    <w:lsdException w:name="Body Text First Indent" w:semiHidden="1" w:uiPriority="49" w:unhideWhenUsed="1"/>
    <w:lsdException w:name="Body Text First Indent 2" w:semiHidden="1" w:unhideWhenUsed="1"/>
    <w:lsdException w:name="Note Heading" w:semiHidden="1" w:unhideWhenUsed="1"/>
    <w:lsdException w:name="Body Text 2" w:semiHidden="1" w:unhideWhenUsed="1" w:qFormat="1"/>
    <w:lsdException w:name="Body Text 3" w:qFormat="1"/>
    <w:lsdException w:name="Body Text Indent 2" w:semiHidden="1" w:uiPriority="49" w:unhideWhenUsed="1"/>
    <w:lsdException w:name="Body Text Indent 3" w:semiHidden="1" w:uiPriority="49" w:unhideWhenUsed="1"/>
    <w:lsdException w:name="Block Text" w:semiHidden="1" w:uiPriority="49" w:unhideWhenUsed="1"/>
    <w:lsdException w:name="Hyperlink" w:semiHidden="1" w:unhideWhenUsed="1"/>
    <w:lsdException w:name="FollowedHyperlink" w:semiHidden="1" w:uiPriority="49" w:unhideWhenUsed="1"/>
    <w:lsdException w:name="Document Map" w:semiHidden="1" w:uiPriority="49" w:unhideWhenUsed="1"/>
    <w:lsdException w:name="Plain Text" w:semiHidden="1" w:unhideWhenUsed="1"/>
    <w:lsdException w:name="E-mail Signature" w:semiHidden="1" w:uiPriority="49" w:unhideWhenUsed="1"/>
    <w:lsdException w:name="HTML Top of Form" w:semiHidden="1" w:unhideWhenUsed="1"/>
    <w:lsdException w:name="HTML Bottom of Form" w:semiHidden="1" w:unhideWhenUsed="1"/>
    <w:lsdException w:name="Normal (Web)" w:semiHidden="1" w:unhideWhenUsed="1"/>
    <w:lsdException w:name="HTML Acronym" w:semiHidden="1" w:uiPriority="49" w:unhideWhenUsed="1"/>
    <w:lsdException w:name="HTML Address" w:semiHidden="1" w:uiPriority="49" w:unhideWhenUsed="1"/>
    <w:lsdException w:name="HTML Cite" w:semiHidden="1" w:uiPriority="49" w:unhideWhenUsed="1"/>
    <w:lsdException w:name="HTML Code" w:semiHidden="1" w:uiPriority="49" w:unhideWhenUsed="1"/>
    <w:lsdException w:name="HTML Definition" w:semiHidden="1" w:uiPriority="49" w:unhideWhenUsed="1"/>
    <w:lsdException w:name="HTML Keyboard" w:semiHidden="1" w:uiPriority="49" w:unhideWhenUsed="1"/>
    <w:lsdException w:name="HTML Preformatted" w:semiHidden="1" w:uiPriority="49" w:unhideWhenUsed="1"/>
    <w:lsdException w:name="HTML Sample" w:semiHidden="1" w:uiPriority="49" w:unhideWhenUsed="1"/>
    <w:lsdException w:name="HTML Typewriter" w:semiHidden="1" w:uiPriority="49" w:unhideWhenUsed="1"/>
    <w:lsdException w:name="HTML Variable" w:semiHidden="1" w:uiPriority="49" w:unhideWhenUsed="1"/>
    <w:lsdException w:name="Normal Table" w:semiHidden="1" w:unhideWhenUsed="1"/>
    <w:lsdException w:name="annotation subject" w:semiHidden="1" w:uiPriority="4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4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CAA"/>
  </w:style>
  <w:style w:type="paragraph" w:styleId="Heading1">
    <w:name w:val="heading 1"/>
    <w:basedOn w:val="Normal"/>
    <w:next w:val="BodyText1"/>
    <w:link w:val="Heading1Char"/>
    <w:qFormat/>
    <w:rsid w:val="006978D4"/>
    <w:pPr>
      <w:keepNext/>
      <w:spacing w:after="360"/>
      <w:outlineLvl w:val="0"/>
    </w:pPr>
    <w:rPr>
      <w:rFonts w:asciiTheme="majorHAnsi" w:hAnsiTheme="majorHAnsi"/>
      <w:b/>
      <w:sz w:val="32"/>
    </w:rPr>
  </w:style>
  <w:style w:type="paragraph" w:styleId="Heading2">
    <w:name w:val="heading 2"/>
    <w:basedOn w:val="Normal"/>
    <w:next w:val="BodyText1"/>
    <w:link w:val="Heading2Char"/>
    <w:qFormat/>
    <w:rsid w:val="006978D4"/>
    <w:pPr>
      <w:keepNext/>
      <w:autoSpaceDE w:val="0"/>
      <w:autoSpaceDN w:val="0"/>
      <w:adjustRightInd w:val="0"/>
      <w:spacing w:before="120"/>
      <w:outlineLvl w:val="1"/>
    </w:pPr>
    <w:rPr>
      <w:rFonts w:asciiTheme="majorHAnsi" w:eastAsia="Times New Roman" w:hAnsiTheme="majorHAnsi" w:cs="Arial"/>
      <w:b/>
      <w:bCs/>
      <w:sz w:val="28"/>
    </w:rPr>
  </w:style>
  <w:style w:type="paragraph" w:styleId="Heading3">
    <w:name w:val="heading 3"/>
    <w:basedOn w:val="Normal"/>
    <w:next w:val="BodyText1"/>
    <w:link w:val="Heading3Char"/>
    <w:qFormat/>
    <w:rsid w:val="006978D4"/>
    <w:pPr>
      <w:keepNext/>
      <w:outlineLvl w:val="2"/>
    </w:pPr>
    <w:rPr>
      <w:rFonts w:asciiTheme="majorHAnsi" w:eastAsia="Times New Roman" w:hAnsiTheme="majorHAnsi" w:cs="Arial"/>
      <w:b/>
      <w:bCs/>
      <w:i/>
    </w:rPr>
  </w:style>
  <w:style w:type="paragraph" w:styleId="Heading4">
    <w:name w:val="heading 4"/>
    <w:basedOn w:val="Normal"/>
    <w:next w:val="BodyText1"/>
    <w:link w:val="Heading4Char"/>
    <w:qFormat/>
    <w:rsid w:val="006978D4"/>
    <w:pPr>
      <w:keepNext/>
      <w:outlineLvl w:val="3"/>
    </w:pPr>
    <w:rPr>
      <w:rFonts w:ascii="Arial" w:hAnsi="Arial"/>
      <w:i/>
    </w:rPr>
  </w:style>
  <w:style w:type="paragraph" w:styleId="Heading5">
    <w:name w:val="heading 5"/>
    <w:basedOn w:val="Normal"/>
    <w:next w:val="Normal"/>
    <w:link w:val="Heading5Char"/>
    <w:uiPriority w:val="4"/>
    <w:semiHidden/>
    <w:qFormat/>
    <w:rsid w:val="00DC52E3"/>
    <w:pPr>
      <w:outlineLvl w:val="4"/>
    </w:pPr>
    <w:rPr>
      <w:rFonts w:ascii="Trebuchet MS" w:hAnsi="Trebuchet MS"/>
      <w:b/>
      <w:sz w:val="32"/>
    </w:rPr>
  </w:style>
  <w:style w:type="paragraph" w:styleId="Heading6">
    <w:name w:val="heading 6"/>
    <w:basedOn w:val="Normal"/>
    <w:next w:val="Normal"/>
    <w:link w:val="Heading6Char"/>
    <w:uiPriority w:val="5"/>
    <w:semiHidden/>
    <w:qFormat/>
    <w:rsid w:val="00DC52E3"/>
    <w:pPr>
      <w:keepNext/>
      <w:keepLines/>
      <w:spacing w:before="200"/>
      <w:outlineLvl w:val="5"/>
    </w:pPr>
    <w:rPr>
      <w:rFonts w:ascii="Trebuchet MS" w:eastAsia="Times New Roman" w:hAnsi="Trebuchet MS"/>
      <w:iCs/>
      <w:color w:val="0C2577"/>
      <w:sz w:val="9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978D4"/>
    <w:rPr>
      <w:rFonts w:asciiTheme="majorHAnsi" w:hAnsiTheme="majorHAnsi"/>
      <w:b/>
      <w:sz w:val="32"/>
    </w:rPr>
  </w:style>
  <w:style w:type="character" w:customStyle="1" w:styleId="Heading2Char">
    <w:name w:val="Heading 2 Char"/>
    <w:basedOn w:val="DefaultParagraphFont"/>
    <w:link w:val="Heading2"/>
    <w:rsid w:val="006978D4"/>
    <w:rPr>
      <w:rFonts w:asciiTheme="majorHAnsi" w:eastAsia="Times New Roman" w:hAnsiTheme="majorHAnsi" w:cs="Arial"/>
      <w:b/>
      <w:bCs/>
      <w:sz w:val="28"/>
    </w:rPr>
  </w:style>
  <w:style w:type="character" w:styleId="PlaceholderText">
    <w:name w:val="Placeholder Text"/>
    <w:basedOn w:val="DefaultParagraphFont"/>
    <w:uiPriority w:val="99"/>
    <w:semiHidden/>
    <w:rsid w:val="00B04B20"/>
    <w:rPr>
      <w:color w:val="808080"/>
    </w:rPr>
  </w:style>
  <w:style w:type="paragraph" w:styleId="BalloonText">
    <w:name w:val="Balloon Text"/>
    <w:basedOn w:val="Normal"/>
    <w:link w:val="BalloonTextChar"/>
    <w:uiPriority w:val="49"/>
    <w:semiHidden/>
    <w:unhideWhenUsed/>
    <w:rsid w:val="00B04B20"/>
    <w:rPr>
      <w:rFonts w:ascii="Tahoma" w:hAnsi="Tahoma" w:cs="Tahoma"/>
      <w:sz w:val="16"/>
      <w:szCs w:val="16"/>
    </w:rPr>
  </w:style>
  <w:style w:type="character" w:customStyle="1" w:styleId="BalloonTextChar">
    <w:name w:val="Balloon Text Char"/>
    <w:basedOn w:val="DefaultParagraphFont"/>
    <w:link w:val="BalloonText"/>
    <w:uiPriority w:val="49"/>
    <w:semiHidden/>
    <w:rsid w:val="001F6B8D"/>
    <w:rPr>
      <w:rFonts w:ascii="Tahoma" w:hAnsi="Tahoma" w:cs="Tahoma"/>
      <w:sz w:val="16"/>
      <w:szCs w:val="16"/>
    </w:rPr>
  </w:style>
  <w:style w:type="character" w:customStyle="1" w:styleId="Heading3Char">
    <w:name w:val="Heading 3 Char"/>
    <w:basedOn w:val="DefaultParagraphFont"/>
    <w:link w:val="Heading3"/>
    <w:rsid w:val="006978D4"/>
    <w:rPr>
      <w:rFonts w:asciiTheme="majorHAnsi" w:eastAsia="Times New Roman" w:hAnsiTheme="majorHAnsi" w:cs="Arial"/>
      <w:b/>
      <w:bCs/>
      <w:i/>
    </w:rPr>
  </w:style>
  <w:style w:type="character" w:customStyle="1" w:styleId="Heading4Char">
    <w:name w:val="Heading 4 Char"/>
    <w:basedOn w:val="DefaultParagraphFont"/>
    <w:link w:val="Heading4"/>
    <w:rsid w:val="006978D4"/>
    <w:rPr>
      <w:rFonts w:ascii="Arial" w:hAnsi="Arial"/>
      <w:i/>
    </w:rPr>
  </w:style>
  <w:style w:type="character" w:customStyle="1" w:styleId="Heading5Char">
    <w:name w:val="Heading 5 Char"/>
    <w:basedOn w:val="DefaultParagraphFont"/>
    <w:link w:val="Heading5"/>
    <w:uiPriority w:val="4"/>
    <w:semiHidden/>
    <w:rsid w:val="00842FBD"/>
    <w:rPr>
      <w:rFonts w:ascii="Trebuchet MS" w:hAnsi="Trebuchet MS"/>
      <w:b/>
      <w:sz w:val="32"/>
    </w:rPr>
  </w:style>
  <w:style w:type="character" w:customStyle="1" w:styleId="Heading6Char">
    <w:name w:val="Heading 6 Char"/>
    <w:basedOn w:val="DefaultParagraphFont"/>
    <w:link w:val="Heading6"/>
    <w:uiPriority w:val="5"/>
    <w:semiHidden/>
    <w:rsid w:val="00787FA9"/>
    <w:rPr>
      <w:rFonts w:ascii="Trebuchet MS" w:eastAsia="Times New Roman" w:hAnsi="Trebuchet MS"/>
      <w:iCs/>
      <w:color w:val="0C2577"/>
      <w:sz w:val="90"/>
    </w:rPr>
  </w:style>
  <w:style w:type="paragraph" w:styleId="EnvelopeAddress">
    <w:name w:val="envelope address"/>
    <w:basedOn w:val="Normal"/>
    <w:uiPriority w:val="49"/>
    <w:semiHidden/>
    <w:unhideWhenUsed/>
    <w:rsid w:val="007031F4"/>
    <w:pPr>
      <w:framePr w:w="7920" w:h="1980" w:hRule="exact" w:hSpace="180" w:wrap="auto" w:hAnchor="page" w:xAlign="center" w:yAlign="bottom"/>
      <w:ind w:left="2880"/>
    </w:pPr>
    <w:rPr>
      <w:rFonts w:eastAsia="Times New Roman"/>
    </w:rPr>
  </w:style>
  <w:style w:type="paragraph" w:styleId="EnvelopeReturn">
    <w:name w:val="envelope return"/>
    <w:basedOn w:val="Normal"/>
    <w:uiPriority w:val="49"/>
    <w:semiHidden/>
    <w:unhideWhenUsed/>
    <w:rsid w:val="007031F4"/>
    <w:rPr>
      <w:rFonts w:eastAsia="Times New Roman"/>
      <w:sz w:val="20"/>
      <w:szCs w:val="20"/>
    </w:rPr>
  </w:style>
  <w:style w:type="character" w:styleId="Hyperlink">
    <w:name w:val="Hyperlink"/>
    <w:basedOn w:val="DefaultParagraphFont"/>
    <w:uiPriority w:val="99"/>
    <w:rsid w:val="00BC2D08"/>
    <w:rPr>
      <w:color w:val="0000FF"/>
      <w:u w:val="single"/>
    </w:rPr>
  </w:style>
  <w:style w:type="paragraph" w:styleId="BodyText2">
    <w:name w:val="Body Text 2"/>
    <w:basedOn w:val="Normal"/>
    <w:link w:val="BodyText2Char"/>
    <w:uiPriority w:val="99"/>
    <w:qFormat/>
    <w:rsid w:val="00656D42"/>
    <w:pPr>
      <w:numPr>
        <w:ilvl w:val="1"/>
        <w:numId w:val="19"/>
      </w:numPr>
    </w:pPr>
  </w:style>
  <w:style w:type="character" w:customStyle="1" w:styleId="BodyText2Char">
    <w:name w:val="Body Text 2 Char"/>
    <w:basedOn w:val="DefaultParagraphFont"/>
    <w:link w:val="BodyText2"/>
    <w:uiPriority w:val="99"/>
    <w:rsid w:val="00656D42"/>
  </w:style>
  <w:style w:type="paragraph" w:styleId="ListBullet">
    <w:name w:val="List Bullet"/>
    <w:basedOn w:val="Normal"/>
    <w:uiPriority w:val="38"/>
    <w:semiHidden/>
    <w:unhideWhenUsed/>
    <w:rsid w:val="005050E8"/>
    <w:pPr>
      <w:numPr>
        <w:numId w:val="11"/>
      </w:numPr>
      <w:ind w:left="357" w:hanging="357"/>
      <w:contextualSpacing/>
    </w:pPr>
  </w:style>
  <w:style w:type="paragraph" w:styleId="Header">
    <w:name w:val="header"/>
    <w:basedOn w:val="Normal"/>
    <w:next w:val="Normal"/>
    <w:link w:val="HeaderChar"/>
    <w:rsid w:val="00110917"/>
    <w:pPr>
      <w:tabs>
        <w:tab w:val="center" w:pos="4513"/>
        <w:tab w:val="right" w:pos="9026"/>
      </w:tabs>
      <w:spacing w:after="0"/>
      <w:contextualSpacing/>
      <w:jc w:val="right"/>
    </w:pPr>
    <w:rPr>
      <w:b/>
    </w:rPr>
  </w:style>
  <w:style w:type="character" w:customStyle="1" w:styleId="HeaderChar">
    <w:name w:val="Header Char"/>
    <w:basedOn w:val="DefaultParagraphFont"/>
    <w:link w:val="Header"/>
    <w:rsid w:val="00E83A76"/>
    <w:rPr>
      <w:b/>
    </w:rPr>
  </w:style>
  <w:style w:type="paragraph" w:styleId="Footer">
    <w:name w:val="footer"/>
    <w:basedOn w:val="Normal"/>
    <w:link w:val="FooterChar"/>
    <w:uiPriority w:val="99"/>
    <w:rsid w:val="00867092"/>
    <w:pPr>
      <w:tabs>
        <w:tab w:val="center" w:pos="4513"/>
        <w:tab w:val="right" w:pos="9026"/>
      </w:tabs>
      <w:spacing w:after="120"/>
      <w:jc w:val="right"/>
    </w:pPr>
    <w:rPr>
      <w:b/>
    </w:rPr>
  </w:style>
  <w:style w:type="character" w:customStyle="1" w:styleId="FooterChar">
    <w:name w:val="Footer Char"/>
    <w:basedOn w:val="DefaultParagraphFont"/>
    <w:link w:val="Footer"/>
    <w:uiPriority w:val="99"/>
    <w:rsid w:val="00E83A76"/>
    <w:rPr>
      <w:b/>
    </w:rPr>
  </w:style>
  <w:style w:type="paragraph" w:styleId="FootnoteText">
    <w:name w:val="footnote text"/>
    <w:basedOn w:val="Normal"/>
    <w:link w:val="FootnoteTextChar"/>
    <w:uiPriority w:val="99"/>
    <w:rsid w:val="00E83A76"/>
    <w:pPr>
      <w:spacing w:after="0"/>
      <w:ind w:left="567" w:hanging="567"/>
      <w:jc w:val="both"/>
    </w:pPr>
    <w:rPr>
      <w:sz w:val="20"/>
    </w:rPr>
  </w:style>
  <w:style w:type="character" w:customStyle="1" w:styleId="FootnoteTextChar">
    <w:name w:val="Footnote Text Char"/>
    <w:basedOn w:val="DefaultParagraphFont"/>
    <w:link w:val="FootnoteText"/>
    <w:uiPriority w:val="99"/>
    <w:rsid w:val="00E83A76"/>
    <w:rPr>
      <w:sz w:val="20"/>
    </w:rPr>
  </w:style>
  <w:style w:type="character" w:styleId="FootnoteReference">
    <w:name w:val="footnote reference"/>
    <w:basedOn w:val="DefaultParagraphFont"/>
    <w:uiPriority w:val="99"/>
    <w:semiHidden/>
    <w:rsid w:val="00725AA6"/>
    <w:rPr>
      <w:vertAlign w:val="superscript"/>
    </w:rPr>
  </w:style>
  <w:style w:type="table" w:styleId="TableGrid">
    <w:name w:val="Table Grid"/>
    <w:basedOn w:val="TableNormal"/>
    <w:uiPriority w:val="59"/>
    <w:rsid w:val="00485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B47BD7"/>
    <w:pPr>
      <w:tabs>
        <w:tab w:val="right" w:leader="dot" w:pos="8302"/>
      </w:tabs>
      <w:spacing w:after="120"/>
      <w:ind w:right="567"/>
    </w:pPr>
    <w:rPr>
      <w:rFonts w:ascii="Arial" w:hAnsi="Arial"/>
      <w:noProof/>
    </w:rPr>
  </w:style>
  <w:style w:type="paragraph" w:styleId="TOC3">
    <w:name w:val="toc 3"/>
    <w:basedOn w:val="Normal"/>
    <w:next w:val="Normal"/>
    <w:autoRedefine/>
    <w:uiPriority w:val="39"/>
    <w:rsid w:val="0029455F"/>
    <w:pPr>
      <w:tabs>
        <w:tab w:val="right" w:leader="dot" w:pos="8302"/>
      </w:tabs>
      <w:spacing w:after="120"/>
      <w:ind w:left="567" w:right="567"/>
    </w:pPr>
    <w:rPr>
      <w:rFonts w:ascii="Arial" w:hAnsi="Arial"/>
    </w:rPr>
  </w:style>
  <w:style w:type="paragraph" w:styleId="TOCHeading">
    <w:name w:val="TOC Heading"/>
    <w:basedOn w:val="Heading1"/>
    <w:next w:val="Normal"/>
    <w:uiPriority w:val="1"/>
    <w:rsid w:val="00E96B6D"/>
    <w:pPr>
      <w:outlineLvl w:val="9"/>
    </w:pPr>
    <w:rPr>
      <w:rFonts w:eastAsiaTheme="majorEastAsia" w:cstheme="majorBidi"/>
      <w:szCs w:val="28"/>
    </w:rPr>
  </w:style>
  <w:style w:type="character" w:customStyle="1" w:styleId="BodyText1Char">
    <w:name w:val="Body Text 1 Char"/>
    <w:basedOn w:val="DefaultParagraphFont"/>
    <w:link w:val="BodyText1"/>
    <w:rsid w:val="00656D42"/>
    <w:rPr>
      <w:rFonts w:eastAsia="Times New Roman"/>
    </w:rPr>
  </w:style>
  <w:style w:type="paragraph" w:styleId="NoSpacing">
    <w:name w:val="No Spacing"/>
    <w:uiPriority w:val="1"/>
    <w:qFormat/>
    <w:rsid w:val="009D467A"/>
    <w:pPr>
      <w:spacing w:after="0"/>
    </w:pPr>
  </w:style>
  <w:style w:type="paragraph" w:customStyle="1" w:styleId="BoxHeading">
    <w:name w:val="Box Heading"/>
    <w:next w:val="Normal"/>
    <w:uiPriority w:val="1"/>
    <w:qFormat/>
    <w:rsid w:val="00656D42"/>
    <w:pPr>
      <w:spacing w:before="120" w:after="360"/>
    </w:pPr>
    <w:rPr>
      <w:rFonts w:ascii="Arial" w:eastAsia="Times New Roman" w:hAnsi="Arial" w:cs="Arial"/>
      <w:b/>
      <w:bCs/>
      <w:sz w:val="32"/>
      <w:szCs w:val="32"/>
    </w:rPr>
  </w:style>
  <w:style w:type="paragraph" w:customStyle="1" w:styleId="BoxBullet">
    <w:name w:val="Box Bullet"/>
    <w:basedOn w:val="Normal"/>
    <w:uiPriority w:val="1"/>
    <w:qFormat/>
    <w:rsid w:val="003936EA"/>
    <w:pPr>
      <w:numPr>
        <w:numId w:val="17"/>
      </w:numPr>
    </w:pPr>
    <w:rPr>
      <w:rFonts w:eastAsia="Times New Roman"/>
      <w:szCs w:val="26"/>
    </w:rPr>
  </w:style>
  <w:style w:type="paragraph" w:customStyle="1" w:styleId="BodyText1">
    <w:name w:val="Body Text 1"/>
    <w:basedOn w:val="Normal"/>
    <w:link w:val="BodyText1Char"/>
    <w:qFormat/>
    <w:rsid w:val="00E07F40"/>
    <w:pPr>
      <w:numPr>
        <w:numId w:val="19"/>
      </w:numPr>
      <w:jc w:val="both"/>
    </w:pPr>
    <w:rPr>
      <w:rFonts w:eastAsia="Times New Roman"/>
    </w:rPr>
  </w:style>
  <w:style w:type="character" w:customStyle="1" w:styleId="PSNamefieldtext">
    <w:name w:val="PS Name field text"/>
    <w:basedOn w:val="DefaultParagraphFont"/>
    <w:uiPriority w:val="2"/>
    <w:qFormat/>
    <w:rsid w:val="00E07F40"/>
    <w:rPr>
      <w:lang w:eastAsia="en-AU"/>
    </w:rPr>
  </w:style>
  <w:style w:type="character" w:customStyle="1" w:styleId="PSNofieldtext">
    <w:name w:val="PS No. field text"/>
    <w:basedOn w:val="DefaultParagraphFont"/>
    <w:uiPriority w:val="2"/>
    <w:qFormat/>
    <w:rsid w:val="00E07F40"/>
  </w:style>
  <w:style w:type="paragraph" w:styleId="BodyText3">
    <w:name w:val="Body Text 3"/>
    <w:basedOn w:val="Normal"/>
    <w:link w:val="BodyText3Char"/>
    <w:uiPriority w:val="99"/>
    <w:qFormat/>
    <w:rsid w:val="00656D42"/>
    <w:pPr>
      <w:numPr>
        <w:ilvl w:val="2"/>
        <w:numId w:val="19"/>
      </w:numPr>
    </w:pPr>
    <w:rPr>
      <w:szCs w:val="16"/>
    </w:rPr>
  </w:style>
  <w:style w:type="character" w:customStyle="1" w:styleId="BodyText3Char">
    <w:name w:val="Body Text 3 Char"/>
    <w:basedOn w:val="DefaultParagraphFont"/>
    <w:link w:val="BodyText3"/>
    <w:uiPriority w:val="99"/>
    <w:rsid w:val="00656D42"/>
    <w:rPr>
      <w:szCs w:val="16"/>
    </w:rPr>
  </w:style>
  <w:style w:type="character" w:customStyle="1" w:styleId="Attachmentfieldtext">
    <w:name w:val="Attachment field text"/>
    <w:basedOn w:val="DefaultParagraphFont"/>
    <w:uiPriority w:val="2"/>
    <w:qFormat/>
    <w:rsid w:val="00867092"/>
  </w:style>
  <w:style w:type="paragraph" w:styleId="Title">
    <w:name w:val="Title"/>
    <w:basedOn w:val="Normal"/>
    <w:next w:val="Normal"/>
    <w:link w:val="TitleChar"/>
    <w:qFormat/>
    <w:rsid w:val="00C67A76"/>
    <w:pPr>
      <w:spacing w:before="120"/>
    </w:pPr>
    <w:rPr>
      <w:rFonts w:asciiTheme="majorHAnsi" w:hAnsiTheme="majorHAnsi"/>
      <w:b/>
      <w:sz w:val="40"/>
    </w:rPr>
  </w:style>
  <w:style w:type="character" w:customStyle="1" w:styleId="TitleChar">
    <w:name w:val="Title Char"/>
    <w:basedOn w:val="DefaultParagraphFont"/>
    <w:link w:val="Title"/>
    <w:uiPriority w:val="1"/>
    <w:rsid w:val="00C67A76"/>
    <w:rPr>
      <w:rFonts w:asciiTheme="majorHAnsi" w:hAnsiTheme="majorHAnsi"/>
      <w:b/>
      <w:sz w:val="40"/>
    </w:rPr>
  </w:style>
  <w:style w:type="paragraph" w:styleId="TOC1">
    <w:name w:val="toc 1"/>
    <w:basedOn w:val="Normal"/>
    <w:next w:val="Normal"/>
    <w:autoRedefine/>
    <w:uiPriority w:val="39"/>
    <w:rsid w:val="00E83A76"/>
    <w:pPr>
      <w:tabs>
        <w:tab w:val="right" w:leader="dot" w:pos="8302"/>
      </w:tabs>
      <w:spacing w:after="120"/>
      <w:ind w:right="567"/>
    </w:pPr>
    <w:rPr>
      <w:rFonts w:asciiTheme="majorHAnsi" w:hAnsiTheme="majorHAnsi" w:cstheme="majorHAnsi"/>
      <w:noProof/>
    </w:rPr>
  </w:style>
  <w:style w:type="paragraph" w:styleId="TOC4">
    <w:name w:val="toc 4"/>
    <w:basedOn w:val="Normal"/>
    <w:next w:val="Normal"/>
    <w:autoRedefine/>
    <w:uiPriority w:val="39"/>
    <w:rsid w:val="00E83A76"/>
    <w:pPr>
      <w:tabs>
        <w:tab w:val="right" w:leader="dot" w:pos="8302"/>
      </w:tabs>
      <w:spacing w:after="100"/>
      <w:ind w:left="1134" w:right="567"/>
    </w:pPr>
    <w:rPr>
      <w:rFonts w:asciiTheme="majorHAnsi" w:hAnsiTheme="majorHAnsi"/>
    </w:rPr>
  </w:style>
  <w:style w:type="paragraph" w:customStyle="1" w:styleId="BodyText4">
    <w:name w:val="Body Text 4"/>
    <w:basedOn w:val="Normal"/>
    <w:qFormat/>
    <w:rsid w:val="00BF6CDF"/>
    <w:pPr>
      <w:numPr>
        <w:ilvl w:val="3"/>
        <w:numId w:val="19"/>
      </w:numPr>
    </w:pPr>
  </w:style>
  <w:style w:type="character" w:styleId="CommentReference">
    <w:name w:val="annotation reference"/>
    <w:basedOn w:val="DefaultParagraphFont"/>
    <w:uiPriority w:val="99"/>
    <w:semiHidden/>
    <w:unhideWhenUsed/>
    <w:rsid w:val="00853A98"/>
    <w:rPr>
      <w:sz w:val="16"/>
      <w:szCs w:val="16"/>
    </w:rPr>
  </w:style>
  <w:style w:type="paragraph" w:styleId="CommentText">
    <w:name w:val="annotation text"/>
    <w:basedOn w:val="Normal"/>
    <w:link w:val="CommentTextChar"/>
    <w:uiPriority w:val="99"/>
    <w:unhideWhenUsed/>
    <w:rsid w:val="00853A98"/>
    <w:rPr>
      <w:sz w:val="20"/>
      <w:szCs w:val="20"/>
    </w:rPr>
  </w:style>
  <w:style w:type="character" w:customStyle="1" w:styleId="CommentTextChar">
    <w:name w:val="Comment Text Char"/>
    <w:basedOn w:val="DefaultParagraphFont"/>
    <w:link w:val="CommentText"/>
    <w:uiPriority w:val="99"/>
    <w:rsid w:val="00853A98"/>
    <w:rPr>
      <w:sz w:val="20"/>
      <w:szCs w:val="20"/>
    </w:rPr>
  </w:style>
  <w:style w:type="paragraph" w:styleId="CommentSubject">
    <w:name w:val="annotation subject"/>
    <w:basedOn w:val="CommentText"/>
    <w:next w:val="CommentText"/>
    <w:link w:val="CommentSubjectChar"/>
    <w:uiPriority w:val="49"/>
    <w:semiHidden/>
    <w:unhideWhenUsed/>
    <w:rsid w:val="00853A98"/>
    <w:rPr>
      <w:b/>
      <w:bCs/>
    </w:rPr>
  </w:style>
  <w:style w:type="character" w:customStyle="1" w:styleId="CommentSubjectChar">
    <w:name w:val="Comment Subject Char"/>
    <w:basedOn w:val="CommentTextChar"/>
    <w:link w:val="CommentSubject"/>
    <w:uiPriority w:val="49"/>
    <w:semiHidden/>
    <w:rsid w:val="00853A98"/>
    <w:rPr>
      <w:b/>
      <w:bCs/>
      <w:sz w:val="20"/>
      <w:szCs w:val="20"/>
    </w:rPr>
  </w:style>
  <w:style w:type="paragraph" w:styleId="Revision">
    <w:name w:val="Revision"/>
    <w:hidden/>
    <w:uiPriority w:val="99"/>
    <w:semiHidden/>
    <w:rsid w:val="00853A98"/>
    <w:pPr>
      <w:spacing w:after="0"/>
    </w:pPr>
  </w:style>
  <w:style w:type="paragraph" w:styleId="ListParagraph">
    <w:name w:val="List Paragraph"/>
    <w:basedOn w:val="Normal"/>
    <w:uiPriority w:val="34"/>
    <w:qFormat/>
    <w:rsid w:val="00271992"/>
    <w:pPr>
      <w:spacing w:after="0"/>
      <w:ind w:left="720"/>
    </w:pPr>
    <w:rPr>
      <w:rFonts w:eastAsia="Times New Roman"/>
    </w:rPr>
  </w:style>
  <w:style w:type="paragraph" w:customStyle="1" w:styleId="Heading50">
    <w:name w:val="Heading5"/>
    <w:basedOn w:val="Heading4"/>
    <w:qFormat/>
    <w:rsid w:val="006978D4"/>
    <w:rPr>
      <w:i w:val="0"/>
    </w:rPr>
  </w:style>
  <w:style w:type="character" w:styleId="FollowedHyperlink">
    <w:name w:val="FollowedHyperlink"/>
    <w:basedOn w:val="DefaultParagraphFont"/>
    <w:uiPriority w:val="49"/>
    <w:semiHidden/>
    <w:unhideWhenUsed/>
    <w:rsid w:val="00372D71"/>
    <w:rPr>
      <w:color w:val="919191" w:themeColor="followedHyperlink"/>
      <w:u w:val="single"/>
    </w:rPr>
  </w:style>
  <w:style w:type="paragraph" w:customStyle="1" w:styleId="Heady2body">
    <w:name w:val="Heady 2_body"/>
    <w:basedOn w:val="Heading2"/>
    <w:qFormat/>
    <w:rsid w:val="00BC23C0"/>
  </w:style>
  <w:style w:type="character" w:styleId="UnresolvedMention">
    <w:name w:val="Unresolved Mention"/>
    <w:basedOn w:val="DefaultParagraphFont"/>
    <w:uiPriority w:val="99"/>
    <w:semiHidden/>
    <w:unhideWhenUsed/>
    <w:rsid w:val="001C4149"/>
    <w:rPr>
      <w:color w:val="605E5C"/>
      <w:shd w:val="clear" w:color="auto" w:fill="E1DFDD"/>
    </w:rPr>
  </w:style>
  <w:style w:type="paragraph" w:customStyle="1" w:styleId="bodytext10">
    <w:name w:val="bodytext1"/>
    <w:basedOn w:val="Normal"/>
    <w:rsid w:val="00202A16"/>
    <w:pPr>
      <w:spacing w:before="100" w:beforeAutospacing="1" w:after="100" w:afterAutospacing="1"/>
    </w:pPr>
    <w:rPr>
      <w:rFonts w:eastAsia="Times New Roman"/>
    </w:rPr>
  </w:style>
  <w:style w:type="numbering" w:styleId="1ai">
    <w:name w:val="Outline List 1"/>
    <w:basedOn w:val="NoList"/>
    <w:uiPriority w:val="99"/>
    <w:semiHidden/>
    <w:unhideWhenUsed/>
    <w:rsid w:val="006A2652"/>
    <w:pPr>
      <w:numPr>
        <w:numId w:val="31"/>
      </w:numPr>
    </w:pPr>
  </w:style>
  <w:style w:type="paragraph" w:styleId="BodyTextIndent">
    <w:name w:val="Body Text Indent"/>
    <w:basedOn w:val="Normal"/>
    <w:link w:val="BodyTextIndentChar"/>
    <w:uiPriority w:val="49"/>
    <w:semiHidden/>
    <w:unhideWhenUsed/>
    <w:rsid w:val="00C93704"/>
    <w:pPr>
      <w:spacing w:after="120"/>
      <w:ind w:left="283"/>
    </w:pPr>
  </w:style>
  <w:style w:type="character" w:customStyle="1" w:styleId="BodyTextIndentChar">
    <w:name w:val="Body Text Indent Char"/>
    <w:basedOn w:val="DefaultParagraphFont"/>
    <w:link w:val="BodyTextIndent"/>
    <w:uiPriority w:val="49"/>
    <w:semiHidden/>
    <w:rsid w:val="00C93704"/>
  </w:style>
  <w:style w:type="paragraph" w:styleId="BodyTextFirstIndent2">
    <w:name w:val="Body Text First Indent 2"/>
    <w:basedOn w:val="BodyTextIndent"/>
    <w:link w:val="BodyTextFirstIndent2Char"/>
    <w:uiPriority w:val="99"/>
    <w:semiHidden/>
    <w:unhideWhenUsed/>
    <w:rsid w:val="00C93704"/>
    <w:pPr>
      <w:spacing w:after="240"/>
      <w:ind w:left="360" w:firstLine="360"/>
    </w:pPr>
  </w:style>
  <w:style w:type="character" w:customStyle="1" w:styleId="BodyTextFirstIndent2Char">
    <w:name w:val="Body Text First Indent 2 Char"/>
    <w:basedOn w:val="BodyTextIndentChar"/>
    <w:link w:val="BodyTextFirstIndent2"/>
    <w:uiPriority w:val="99"/>
    <w:semiHidden/>
    <w:rsid w:val="00C93704"/>
  </w:style>
  <w:style w:type="paragraph" w:styleId="List">
    <w:name w:val="List"/>
    <w:basedOn w:val="Normal"/>
    <w:uiPriority w:val="17"/>
    <w:qFormat/>
    <w:rsid w:val="00C93704"/>
    <w:pPr>
      <w:tabs>
        <w:tab w:val="num" w:pos="425"/>
      </w:tabs>
      <w:ind w:left="425" w:hanging="425"/>
      <w:jc w:val="both"/>
    </w:pPr>
    <w:rPr>
      <w:rFonts w:ascii="Arial" w:eastAsiaTheme="minorHAnsi" w:hAnsi="Arial" w:cstheme="minorBidi"/>
      <w:color w:val="000000"/>
      <w:sz w:val="22"/>
      <w:szCs w:val="22"/>
      <w:lang w:eastAsia="en-US"/>
    </w:rPr>
  </w:style>
  <w:style w:type="paragraph" w:styleId="List2">
    <w:name w:val="List 2"/>
    <w:basedOn w:val="Normal"/>
    <w:uiPriority w:val="17"/>
    <w:qFormat/>
    <w:rsid w:val="00C93704"/>
    <w:pPr>
      <w:tabs>
        <w:tab w:val="num" w:pos="851"/>
      </w:tabs>
      <w:ind w:left="851" w:hanging="426"/>
      <w:jc w:val="both"/>
    </w:pPr>
    <w:rPr>
      <w:rFonts w:ascii="Arial" w:eastAsiaTheme="minorHAnsi" w:hAnsi="Arial" w:cstheme="minorBidi"/>
      <w:color w:val="000000"/>
      <w:sz w:val="22"/>
      <w:szCs w:val="22"/>
      <w:lang w:eastAsia="en-US"/>
    </w:rPr>
  </w:style>
  <w:style w:type="paragraph" w:styleId="List3">
    <w:name w:val="List 3"/>
    <w:basedOn w:val="Normal"/>
    <w:uiPriority w:val="17"/>
    <w:qFormat/>
    <w:rsid w:val="00C93704"/>
    <w:pPr>
      <w:tabs>
        <w:tab w:val="num" w:pos="1276"/>
      </w:tabs>
      <w:ind w:left="1276" w:hanging="425"/>
      <w:jc w:val="both"/>
    </w:pPr>
    <w:rPr>
      <w:rFonts w:ascii="Arial" w:eastAsiaTheme="minorHAnsi" w:hAnsi="Arial" w:cstheme="minorBidi"/>
      <w:color w:val="000000"/>
      <w:sz w:val="22"/>
      <w:szCs w:val="22"/>
      <w:lang w:eastAsia="en-US"/>
    </w:rPr>
  </w:style>
  <w:style w:type="paragraph" w:customStyle="1" w:styleId="ActTitle">
    <w:name w:val="Act Title"/>
    <w:basedOn w:val="Normal"/>
    <w:next w:val="IntroTo"/>
    <w:rsid w:val="00AA6DFA"/>
    <w:pPr>
      <w:pBdr>
        <w:bottom w:val="single" w:sz="4" w:space="3" w:color="auto"/>
      </w:pBdr>
      <w:spacing w:before="480"/>
    </w:pPr>
    <w:rPr>
      <w:rFonts w:ascii="Arial" w:eastAsia="Times New Roman" w:hAnsi="Arial"/>
      <w:i/>
      <w:iCs/>
      <w:sz w:val="28"/>
      <w:szCs w:val="20"/>
    </w:rPr>
  </w:style>
  <w:style w:type="paragraph" w:customStyle="1" w:styleId="IntroTo">
    <w:name w:val="IntroTo:"/>
    <w:basedOn w:val="Normal"/>
    <w:rsid w:val="00AA6DFA"/>
    <w:pPr>
      <w:spacing w:after="0"/>
      <w:ind w:left="720" w:hanging="720"/>
    </w:pPr>
    <w:rPr>
      <w:rFonts w:eastAsia="Times New Roman"/>
      <w:szCs w:val="20"/>
      <w:lang w:eastAsia="en-US"/>
    </w:rPr>
  </w:style>
  <w:style w:type="paragraph" w:customStyle="1" w:styleId="IH">
    <w:name w:val="IH"/>
    <w:aliases w:val="Interpretation heading"/>
    <w:basedOn w:val="Normal"/>
    <w:next w:val="Normal"/>
    <w:rsid w:val="00AA6DFA"/>
    <w:pPr>
      <w:keepNext/>
      <w:spacing w:before="480" w:after="0"/>
      <w:ind w:left="964" w:hanging="964"/>
    </w:pPr>
    <w:rPr>
      <w:rFonts w:ascii="Arial" w:eastAsia="Times New Roman" w:hAnsi="Arial"/>
      <w:b/>
      <w:lang w:eastAsia="en-US"/>
    </w:rPr>
  </w:style>
  <w:style w:type="paragraph" w:customStyle="1" w:styleId="IP">
    <w:name w:val="IP"/>
    <w:aliases w:val="Interpretation paragraph"/>
    <w:basedOn w:val="Normal"/>
    <w:next w:val="Normal"/>
    <w:rsid w:val="00AA6DFA"/>
    <w:pPr>
      <w:keepNext/>
      <w:tabs>
        <w:tab w:val="right" w:pos="794"/>
      </w:tabs>
      <w:spacing w:before="120" w:after="0" w:line="260" w:lineRule="exact"/>
      <w:ind w:left="964" w:hanging="964"/>
      <w:jc w:val="both"/>
    </w:pPr>
    <w:rPr>
      <w:rFonts w:eastAsia="Times New Roman"/>
      <w:lang w:eastAsia="en-US"/>
    </w:rPr>
  </w:style>
  <w:style w:type="paragraph" w:customStyle="1" w:styleId="AS">
    <w:name w:val="AS"/>
    <w:aliases w:val="Schedule title Amendment"/>
    <w:basedOn w:val="Normal"/>
    <w:next w:val="ASref"/>
    <w:rsid w:val="00AA6DFA"/>
    <w:pPr>
      <w:keepNext/>
      <w:autoSpaceDE w:val="0"/>
      <w:autoSpaceDN w:val="0"/>
      <w:spacing w:before="480" w:after="0"/>
      <w:ind w:left="2410" w:hanging="2410"/>
    </w:pPr>
    <w:rPr>
      <w:rFonts w:ascii="Arial" w:eastAsia="Times New Roman" w:hAnsi="Arial" w:cs="Arial"/>
      <w:b/>
      <w:bCs/>
      <w:sz w:val="32"/>
      <w:szCs w:val="32"/>
    </w:rPr>
  </w:style>
  <w:style w:type="paragraph" w:customStyle="1" w:styleId="ASref">
    <w:name w:val="AS ref"/>
    <w:basedOn w:val="Normal"/>
    <w:next w:val="Normal"/>
    <w:rsid w:val="00AA6DFA"/>
    <w:pPr>
      <w:keepNext/>
      <w:autoSpaceDE w:val="0"/>
      <w:autoSpaceDN w:val="0"/>
      <w:spacing w:before="60" w:after="0" w:line="200" w:lineRule="exact"/>
      <w:ind w:left="2410"/>
    </w:pPr>
    <w:rPr>
      <w:rFonts w:ascii="Arial" w:eastAsia="Times New Roman" w:hAnsi="Arial" w:cs="Arial"/>
      <w:sz w:val="18"/>
      <w:szCs w:val="18"/>
    </w:rPr>
  </w:style>
  <w:style w:type="character" w:customStyle="1" w:styleId="CharSchNo">
    <w:name w:val="CharSchNo"/>
    <w:basedOn w:val="DefaultParagraphFont"/>
    <w:rsid w:val="00AA6DFA"/>
  </w:style>
  <w:style w:type="character" w:customStyle="1" w:styleId="CharSchText">
    <w:name w:val="CharSchText"/>
    <w:basedOn w:val="DefaultParagraphFont"/>
    <w:rsid w:val="00AA6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7757">
      <w:bodyDiv w:val="1"/>
      <w:marLeft w:val="0"/>
      <w:marRight w:val="0"/>
      <w:marTop w:val="0"/>
      <w:marBottom w:val="0"/>
      <w:divBdr>
        <w:top w:val="none" w:sz="0" w:space="0" w:color="auto"/>
        <w:left w:val="none" w:sz="0" w:space="0" w:color="auto"/>
        <w:bottom w:val="none" w:sz="0" w:space="0" w:color="auto"/>
        <w:right w:val="none" w:sz="0" w:space="0" w:color="auto"/>
      </w:divBdr>
    </w:div>
    <w:div w:id="156653367">
      <w:bodyDiv w:val="1"/>
      <w:marLeft w:val="0"/>
      <w:marRight w:val="0"/>
      <w:marTop w:val="0"/>
      <w:marBottom w:val="0"/>
      <w:divBdr>
        <w:top w:val="none" w:sz="0" w:space="0" w:color="auto"/>
        <w:left w:val="none" w:sz="0" w:space="0" w:color="auto"/>
        <w:bottom w:val="none" w:sz="0" w:space="0" w:color="auto"/>
        <w:right w:val="none" w:sz="0" w:space="0" w:color="auto"/>
      </w:divBdr>
    </w:div>
    <w:div w:id="271285169">
      <w:bodyDiv w:val="1"/>
      <w:marLeft w:val="0"/>
      <w:marRight w:val="0"/>
      <w:marTop w:val="0"/>
      <w:marBottom w:val="0"/>
      <w:divBdr>
        <w:top w:val="none" w:sz="0" w:space="0" w:color="auto"/>
        <w:left w:val="none" w:sz="0" w:space="0" w:color="auto"/>
        <w:bottom w:val="none" w:sz="0" w:space="0" w:color="auto"/>
        <w:right w:val="none" w:sz="0" w:space="0" w:color="auto"/>
      </w:divBdr>
    </w:div>
    <w:div w:id="415977418">
      <w:bodyDiv w:val="1"/>
      <w:marLeft w:val="0"/>
      <w:marRight w:val="0"/>
      <w:marTop w:val="0"/>
      <w:marBottom w:val="0"/>
      <w:divBdr>
        <w:top w:val="none" w:sz="0" w:space="0" w:color="auto"/>
        <w:left w:val="none" w:sz="0" w:space="0" w:color="auto"/>
        <w:bottom w:val="none" w:sz="0" w:space="0" w:color="auto"/>
        <w:right w:val="none" w:sz="0" w:space="0" w:color="auto"/>
      </w:divBdr>
    </w:div>
    <w:div w:id="576288863">
      <w:bodyDiv w:val="1"/>
      <w:marLeft w:val="0"/>
      <w:marRight w:val="0"/>
      <w:marTop w:val="0"/>
      <w:marBottom w:val="0"/>
      <w:divBdr>
        <w:top w:val="none" w:sz="0" w:space="0" w:color="auto"/>
        <w:left w:val="none" w:sz="0" w:space="0" w:color="auto"/>
        <w:bottom w:val="none" w:sz="0" w:space="0" w:color="auto"/>
        <w:right w:val="none" w:sz="0" w:space="0" w:color="auto"/>
      </w:divBdr>
    </w:div>
    <w:div w:id="871916056">
      <w:bodyDiv w:val="1"/>
      <w:marLeft w:val="0"/>
      <w:marRight w:val="0"/>
      <w:marTop w:val="0"/>
      <w:marBottom w:val="0"/>
      <w:divBdr>
        <w:top w:val="none" w:sz="0" w:space="0" w:color="auto"/>
        <w:left w:val="none" w:sz="0" w:space="0" w:color="auto"/>
        <w:bottom w:val="none" w:sz="0" w:space="0" w:color="auto"/>
        <w:right w:val="none" w:sz="0" w:space="0" w:color="auto"/>
      </w:divBdr>
    </w:div>
    <w:div w:id="1677613389">
      <w:bodyDiv w:val="1"/>
      <w:marLeft w:val="0"/>
      <w:marRight w:val="0"/>
      <w:marTop w:val="0"/>
      <w:marBottom w:val="0"/>
      <w:divBdr>
        <w:top w:val="none" w:sz="0" w:space="0" w:color="auto"/>
        <w:left w:val="none" w:sz="0" w:space="0" w:color="auto"/>
        <w:bottom w:val="none" w:sz="0" w:space="0" w:color="auto"/>
        <w:right w:val="none" w:sz="0" w:space="0" w:color="auto"/>
      </w:divBdr>
    </w:div>
    <w:div w:id="1695157919">
      <w:bodyDiv w:val="1"/>
      <w:marLeft w:val="0"/>
      <w:marRight w:val="0"/>
      <w:marTop w:val="0"/>
      <w:marBottom w:val="0"/>
      <w:divBdr>
        <w:top w:val="none" w:sz="0" w:space="0" w:color="auto"/>
        <w:left w:val="none" w:sz="0" w:space="0" w:color="auto"/>
        <w:bottom w:val="none" w:sz="0" w:space="0" w:color="auto"/>
        <w:right w:val="none" w:sz="0" w:space="0" w:color="auto"/>
      </w:divBdr>
    </w:div>
    <w:div w:id="1741827348">
      <w:bodyDiv w:val="1"/>
      <w:marLeft w:val="0"/>
      <w:marRight w:val="0"/>
      <w:marTop w:val="0"/>
      <w:marBottom w:val="0"/>
      <w:divBdr>
        <w:top w:val="none" w:sz="0" w:space="0" w:color="auto"/>
        <w:left w:val="none" w:sz="0" w:space="0" w:color="auto"/>
        <w:bottom w:val="none" w:sz="0" w:space="0" w:color="auto"/>
        <w:right w:val="none" w:sz="0" w:space="0" w:color="auto"/>
      </w:divBdr>
    </w:div>
    <w:div w:id="199020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wmf"/><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oter" Target="footer7.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footer" Target="footer6.xml"/></Relationships>
</file>

<file path=word/theme/theme1.xml><?xml version="1.0" encoding="utf-8"?>
<a:theme xmlns:a="http://schemas.openxmlformats.org/drawingml/2006/main" name="APRA">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SharedContentType xmlns="Microsoft.SharePoint.Taxonomy.ContentTypeSync" SourceId="8aef97a4-ded2-4e4a-9fbc-e666dae3ecd2" ContentTypeId="0x0101008CA7A4F8331B45C7B0D3158B4994D0CA02" PreviousValue="false"/>
</file>

<file path=customXml/item3.xml><?xml version="1.0" encoding="utf-8"?>
<p:properties xmlns:p="http://schemas.microsoft.com/office/2006/metadata/properties" xmlns:xsi="http://www.w3.org/2001/XMLSchema-instance" xmlns:pc="http://schemas.microsoft.com/office/infopath/2007/PartnerControls">
  <documentManagement>
    <APRADocScanCheck xmlns="814d62cb-2db6-4c25-ab62-b9075facbc11">false</APRADocScanCheck>
    <j163382b748246d3b6e7caae71dbeeb0 xmlns="814d62cb-2db6-4c25-ab62-b9075facbc11">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84d6b2d0-8498-4d62-bf46-bab38babbe9e</TermId>
        </TermInfo>
      </Terms>
    </j163382b748246d3b6e7caae71dbeeb0>
    <l003ee8eff60461aa1bd0027aba92ea4 xmlns="814d62cb-2db6-4c25-ab62-b9075facbc11">
      <Terms xmlns="http://schemas.microsoft.com/office/infopath/2007/PartnerControls"/>
    </l003ee8eff60461aa1bd0027aba92ea4>
    <APRASecurityClassification xmlns="814d62cb-2db6-4c25-ab62-b9075facbc11">OFFICIAL</APRASecurityClassification>
    <p10c80fc2da942ae8f2ea9b33b6ea0ba xmlns="814d62cb-2db6-4c25-ab62-b9075facbc11">
      <Terms xmlns="http://schemas.microsoft.com/office/infopath/2007/PartnerControls">
        <TermInfo xmlns="http://schemas.microsoft.com/office/infopath/2007/PartnerControls">
          <TermName xmlns="http://schemas.microsoft.com/office/infopath/2007/PartnerControls">Legal - ADI</TermName>
          <TermId xmlns="http://schemas.microsoft.com/office/infopath/2007/PartnerControls">652d8d2a-ab45-47b4-ac6e-fe6ac9299b39</TermId>
        </TermInfo>
        <TermInfo xmlns="http://schemas.microsoft.com/office/infopath/2007/PartnerControls">
          <TermName xmlns="http://schemas.microsoft.com/office/infopath/2007/PartnerControls">Legal - Insurance: General</TermName>
          <TermId xmlns="http://schemas.microsoft.com/office/infopath/2007/PartnerControls">8229dc1a-d7f2-47b2-844a-b026fed0c13d</TermId>
        </TermInfo>
        <TermInfo xmlns="http://schemas.microsoft.com/office/infopath/2007/PartnerControls">
          <TermName xmlns="http://schemas.microsoft.com/office/infopath/2007/PartnerControls">Legal - Insurance: Health</TermName>
          <TermId xmlns="http://schemas.microsoft.com/office/infopath/2007/PartnerControls">21611e62-d688-4f0d-8807-02701cc43699</TermId>
        </TermInfo>
        <TermInfo xmlns="http://schemas.microsoft.com/office/infopath/2007/PartnerControls">
          <TermName xmlns="http://schemas.microsoft.com/office/infopath/2007/PartnerControls">Legal - Insurance: Life</TermName>
          <TermId xmlns="http://schemas.microsoft.com/office/infopath/2007/PartnerControls">56f18b50-6605-4f3f-97e3-cad1cb5394e0</TermId>
        </TermInfo>
        <TermInfo xmlns="http://schemas.microsoft.com/office/infopath/2007/PartnerControls">
          <TermName xmlns="http://schemas.microsoft.com/office/infopath/2007/PartnerControls">Legal - Superannuation</TermName>
          <TermId xmlns="http://schemas.microsoft.com/office/infopath/2007/PartnerControls">cce3181d-fd23-4eee-94d3-c66abc2350cf</TermId>
        </TermInfo>
      </Terms>
    </p10c80fc2da942ae8f2ea9b33b6ea0ba>
    <_dlc_DocId xmlns="814d62cb-2db6-4c25-ab62-b9075facbc11">5JENXJJSCC7A-445999044-11859</_dlc_DocId>
    <APRAOwner xmlns="814d62cb-2db6-4c25-ab62-b9075facbc11">
      <UserInfo>
        <DisplayName/>
        <AccountId xsi:nil="true"/>
        <AccountType/>
      </UserInfo>
    </APRAOwner>
    <pa005173035e41c3986b37b8e650f3ef xmlns="814d62cb-2db6-4c25-ab62-b9075facbc11">
      <Terms xmlns="http://schemas.microsoft.com/office/infopath/2007/PartnerControls"/>
    </pa005173035e41c3986b37b8e650f3ef>
    <ka2715b9eb154114a4f57d7fbf82ec75 xmlns="814d62cb-2db6-4c25-ab62-b9075facbc11">
      <Terms xmlns="http://schemas.microsoft.com/office/infopath/2007/PartnerControls"/>
    </ka2715b9eb154114a4f57d7fbf82ec75>
    <APRADescription xmlns="814d62cb-2db6-4c25-ab62-b9075facbc11">APS 110 Capital Adequacy</APRADescription>
    <APRAApprovedBy xmlns="814d62cb-2db6-4c25-ab62-b9075facbc11">
      <UserInfo>
        <DisplayName/>
        <AccountId xsi:nil="true"/>
        <AccountType/>
      </UserInfo>
    </APRAApprovedBy>
    <f284b4f8578a44cfae4f67a86df81119 xmlns="814d62cb-2db6-4c25-ab62-b9075facbc11">
      <Terms xmlns="http://schemas.microsoft.com/office/infopath/2007/PartnerControls"/>
    </f284b4f8578a44cfae4f67a86df81119>
    <i08e72d8ce2b4ffa9361f9f4e0a63abc xmlns="814d62cb-2db6-4c25-ab62-b9075facbc11">
      <Terms xmlns="http://schemas.microsoft.com/office/infopath/2007/PartnerControls"/>
    </i08e72d8ce2b4ffa9361f9f4e0a63abc>
    <APRAKeywords xmlns="814d62cb-2db6-4c25-ab62-b9075facbc11" xsi:nil="true"/>
    <i05115a133414b4dabee2531e4b46b67 xmlns="814d62cb-2db6-4c25-ab62-b9075facbc11">
      <Terms xmlns="http://schemas.microsoft.com/office/infopath/2007/PartnerControls">
        <TermInfo xmlns="http://schemas.microsoft.com/office/infopath/2007/PartnerControls">
          <TermName xmlns="http://schemas.microsoft.com/office/infopath/2007/PartnerControls">Registration</TermName>
          <TermId xmlns="http://schemas.microsoft.com/office/infopath/2007/PartnerControls">390476ce-d76d-4e8d-905f-28e32d2df127</TermId>
        </TermInfo>
        <TermInfo xmlns="http://schemas.microsoft.com/office/infopath/2007/PartnerControls">
          <TermName xmlns="http://schemas.microsoft.com/office/infopath/2007/PartnerControls">Statutory instrument</TermName>
          <TermId xmlns="http://schemas.microsoft.com/office/infopath/2007/PartnerControls">fe68928c-5a9c-4caf-bc8c-6c18cedcb17f</TermId>
        </TermInfo>
      </Terms>
    </i05115a133414b4dabee2531e4b46b67>
    <ic4067bd02f14cf3a95ad35878404a71 xmlns="814d62cb-2db6-4c25-ab62-b9075facbc11">
      <Terms xmlns="http://schemas.microsoft.com/office/infopath/2007/PartnerControls"/>
    </ic4067bd02f14cf3a95ad35878404a71>
    <k4bcc0d734474fea9fb713d9c415b4b0 xmlns="814d62cb-2db6-4c25-ab62-b9075facbc11">
      <Terms xmlns="http://schemas.microsoft.com/office/infopath/2007/PartnerControls"/>
    </k4bcc0d734474fea9fb713d9c415b4b0>
    <_dlc_DocIdUrl xmlns="814d62cb-2db6-4c25-ab62-b9075facbc11">
      <Url>https://im/teams/LEGAL/_layouts/15/DocIdRedir.aspx?ID=5JENXJJSCC7A-445999044-11859</Url>
      <Description>5JENXJJSCC7A-445999044-11859</Description>
    </_dlc_DocIdUrl>
    <j724204a644741eb9f777fcb03fe8840 xmlns="814d62cb-2db6-4c25-ab62-b9075facbc11">
      <Terms xmlns="http://schemas.microsoft.com/office/infopath/2007/PartnerControls"/>
    </j724204a644741eb9f777fcb03fe8840>
    <APRADate xmlns="814d62cb-2db6-4c25-ab62-b9075facbc11" xsi:nil="true"/>
    <aa36a5a650d54f768f171f4d17b8b238 xmlns="814d62cb-2db6-4c25-ab62-b9075facbc11">
      <Terms xmlns="http://schemas.microsoft.com/office/infopath/2007/PartnerControls"/>
    </aa36a5a650d54f768f171f4d17b8b238>
    <b37d8d7e823543f58f89056343a9035c xmlns="814d62cb-2db6-4c25-ab62-b9075facbc11">
      <Terms xmlns="http://schemas.microsoft.com/office/infopath/2007/PartnerControls"/>
    </b37d8d7e823543f58f89056343a9035c>
    <d9a849fd1b8e46ada0321eb0681a10ee xmlns="814d62cb-2db6-4c25-ab62-b9075facbc11">
      <Terms xmlns="http://schemas.microsoft.com/office/infopath/2007/PartnerControls"/>
    </d9a849fd1b8e46ada0321eb0681a10ee>
    <m2df5fdf6d1643b4a596982762bb3d00 xmlns="814d62cb-2db6-4c25-ab62-b9075facbc11">
      <Terms xmlns="http://schemas.microsoft.com/office/infopath/2007/PartnerControls"/>
    </m2df5fdf6d1643b4a596982762bb3d00>
    <APRAApprovalDate xmlns="814d62cb-2db6-4c25-ab62-b9075facbc11" xsi:nil="true"/>
    <h67caa35a4114acd8e15fe89b3f29f9e xmlns="814d62cb-2db6-4c25-ab62-b9075facbc11">
      <Terms xmlns="http://schemas.microsoft.com/office/infopath/2007/PartnerControls">
        <TermInfo xmlns="http://schemas.microsoft.com/office/infopath/2007/PartnerControls">
          <TermName xmlns="http://schemas.microsoft.com/office/infopath/2007/PartnerControls">Prudential standard</TermName>
          <TermId xmlns="http://schemas.microsoft.com/office/infopath/2007/PartnerControls">6ce5a155-9ab2-41e3-9b2a-5baab4b7f1d1</TermId>
        </TermInfo>
        <TermInfo xmlns="http://schemas.microsoft.com/office/infopath/2007/PartnerControls">
          <TermName xmlns="http://schemas.microsoft.com/office/infopath/2007/PartnerControls">Legal instrument</TermName>
          <TermId xmlns="http://schemas.microsoft.com/office/infopath/2007/PartnerControls">71fd6ed3-d6d6-4975-ba99-bfe45802e734</TermId>
        </TermInfo>
      </Terms>
    </h67caa35a4114acd8e15fe89b3f29f9e>
    <TaxCatchAll xmlns="814d62cb-2db6-4c25-ab62-b9075facbc11">
      <Value>24</Value>
      <Value>83</Value>
      <Value>58</Value>
      <Value>134</Value>
      <Value>10</Value>
      <Value>26</Value>
      <Value>93</Value>
      <Value>109</Value>
      <Value>142</Value>
      <Value>19</Value>
    </TaxCatchAll>
    <APRAActivityID xmlns="814d62cb-2db6-4c25-ab62-b9075facbc11" xsi:nil="true"/>
    <APRAMeetingDate xmlns="814d62cb-2db6-4c25-ab62-b9075facbc11" xsi:nil="true"/>
    <APRAMeetingNumber xmlns="814d62cb-2db6-4c25-ab62-b9075facbc1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ct:contentTypeSchema xmlns:ct="http://schemas.microsoft.com/office/2006/metadata/contentType" xmlns:ma="http://schemas.microsoft.com/office/2006/metadata/properties/metaAttributes" ct:_="" ma:_="" ma:contentTypeName="Standard Content" ma:contentTypeID="0x0101008CA7A4F8331B45C7B0D3158B4994D0CA0200577EC0F5A1FBFC498F9A8436B963F8A6" ma:contentTypeVersion="73" ma:contentTypeDescription="Create a new document." ma:contentTypeScope="" ma:versionID="73e2e2cfc32a2691ee31d7af9bd362de">
  <xsd:schema xmlns:xsd="http://www.w3.org/2001/XMLSchema" xmlns:xs="http://www.w3.org/2001/XMLSchema" xmlns:p="http://schemas.microsoft.com/office/2006/metadata/properties" xmlns:ns1="814d62cb-2db6-4c25-ab62-b9075facbc11" targetNamespace="http://schemas.microsoft.com/office/2006/metadata/properties" ma:root="true" ma:fieldsID="7be0268868a1afd65d01f44ca09bb39c" ns1:_="">
    <xsd:import namespace="814d62cb-2db6-4c25-ab62-b9075facbc11"/>
    <xsd:element name="properties">
      <xsd:complexType>
        <xsd:sequence>
          <xsd:element name="documentManagement">
            <xsd:complexType>
              <xsd:all>
                <xsd:element ref="ns1:_dlc_DocIdUrl" minOccurs="0"/>
                <xsd:element ref="ns1:APRADescription" minOccurs="0"/>
                <xsd:element ref="ns1:APRAActivityID" minOccurs="0"/>
                <xsd:element ref="ns1:APRASecurityClassification"/>
                <xsd:element ref="ns1:APRAKeywords" minOccurs="0"/>
                <xsd:element ref="ns1:APRADate" minOccurs="0"/>
                <xsd:element ref="ns1:APRAOwner" minOccurs="0"/>
                <xsd:element ref="ns1:APRAApprovedBy" minOccurs="0"/>
                <xsd:element ref="ns1:APRAApprovalDate" minOccurs="0"/>
                <xsd:element ref="ns1:APRAEntityID" minOccurs="0"/>
                <xsd:element ref="ns1:APRAEntityName" minOccurs="0"/>
                <xsd:element ref="ns1:Received" minOccurs="0"/>
                <xsd:element ref="ns1:From-Address" minOccurs="0"/>
                <xsd:element ref="ns1:To-Address" minOccurs="0"/>
                <xsd:element ref="ns1:Attachment" minOccurs="0"/>
                <xsd:element ref="ns1:Conversation" minOccurs="0"/>
                <xsd:element ref="ns1:APRADocScanCheck" minOccurs="0"/>
                <xsd:element ref="ns1:j163382b748246d3b6e7caae71dbeeb0" minOccurs="0"/>
                <xsd:element ref="ns1:f284b4f8578a44cfae4f67a86df81119" minOccurs="0"/>
                <xsd:element ref="ns1:_dlc_DocIdPersistId" minOccurs="0"/>
                <xsd:element ref="ns1:i05115a133414b4dabee2531e4b46b67" minOccurs="0"/>
                <xsd:element ref="ns1:h67caa35a4114acd8e15fe89b3f29f9e" minOccurs="0"/>
                <xsd:element ref="ns1:pa005173035e41c3986b37b8e650f3ef" minOccurs="0"/>
                <xsd:element ref="ns1:p10c80fc2da942ae8f2ea9b33b6ea0ba" minOccurs="0"/>
                <xsd:element ref="ns1:ka2715b9eb154114a4f57d7fbf82ec75" minOccurs="0"/>
                <xsd:element ref="ns1:TaxCatchAll" minOccurs="0"/>
                <xsd:element ref="ns1:i08e72d8ce2b4ffa9361f9f4e0a63abc" minOccurs="0"/>
                <xsd:element ref="ns1:TaxCatchAllLabel" minOccurs="0"/>
                <xsd:element ref="ns1:ic4067bd02f14cf3a95ad35878404a71" minOccurs="0"/>
                <xsd:element ref="ns1:l003ee8eff60461aa1bd0027aba92ea4" minOccurs="0"/>
                <xsd:element ref="ns1:b37d8d7e823543f58f89056343a9035c" minOccurs="0"/>
                <xsd:element ref="ns1:_dlc_DocId" minOccurs="0"/>
                <xsd:element ref="ns1:aa36a5a650d54f768f171f4d17b8b238" minOccurs="0"/>
                <xsd:element ref="ns1:j724204a644741eb9f777fcb03fe8840" minOccurs="0"/>
                <xsd:element ref="ns1:m2df5fdf6d1643b4a596982762bb3d00" minOccurs="0"/>
                <xsd:element ref="ns1:k4bcc0d734474fea9fb713d9c415b4b0" minOccurs="0"/>
                <xsd:element ref="ns1:d9a849fd1b8e46ada0321eb0681a10ee" minOccurs="0"/>
                <xsd:element ref="ns1:APRAMeetingDate" minOccurs="0"/>
                <xsd:element ref="ns1:APRAMeeting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d62cb-2db6-4c25-ab62-b9075facbc11" elementFormDefault="qualified">
    <xsd:import namespace="http://schemas.microsoft.com/office/2006/documentManagement/types"/>
    <xsd:import namespace="http://schemas.microsoft.com/office/infopath/2007/PartnerControls"/>
    <xsd:element name="_dlc_DocIdUrl" ma:index="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APRADescription" ma:index="3" nillable="true" ma:displayName="Description" ma:internalName="APRADescription">
      <xsd:simpleType>
        <xsd:restriction base="dms:Note"/>
      </xsd:simpleType>
    </xsd:element>
    <xsd:element name="APRAActivityID" ma:index="4" nillable="true" ma:displayName="Activity ID" ma:internalName="APRAActivityID" ma:readOnly="false">
      <xsd:simpleType>
        <xsd:restriction base="dms:Text"/>
      </xsd:simpleType>
    </xsd:element>
    <xsd:element name="APRASecurityClassification" ma:index="8" ma:displayName="Security classification" ma:default="OFFICIAL: Sensitive" ma:hidden="true" ma:internalName="APRASecurityClassification" ma:readOnly="false">
      <xsd:simpleType>
        <xsd:restriction base="dms:Choice">
          <xsd:enumeration value="OFFICIAL"/>
          <xsd:enumeration value="OFFICIAL: Sensitive"/>
          <xsd:enumeration value="OFFICIAL: Sensitive (APRA Act s56)"/>
          <xsd:enumeration value="OFFICIAL: Sensitive (Personal privacy)"/>
          <xsd:enumeration value="OFFICIAL: Sensitive (Legal privilege)"/>
          <xsd:enumeration value="OFFICIAL: Sensitive: NATIONAL CABINET"/>
          <xsd:enumeration value="OFFICIAL: Sensitive: NATIONAL CABINET (APRA Act s56)"/>
          <xsd:enumeration value="OFFICIAL: Sensitive: NATIONAL CABINET (Personal privacy)"/>
          <xsd:enumeration value="OFFICIAL: Sensitive: NATIONAL CABINET (Legal privilege)"/>
          <xsd:enumeration value="PROTECTED"/>
          <xsd:enumeration value="PROTECTED (APRA Act s56)"/>
          <xsd:enumeration value="PROTECTED (Personal privacy)"/>
          <xsd:enumeration value="PROTECTED (Legal privilege)"/>
          <xsd:enumeration value="PROTECTED: CABINET"/>
          <xsd:enumeration value="PROTECTED: CABINET (APRA Act s56)"/>
          <xsd:enumeration value="PROTECTED: CABINET (Personal privacy)"/>
          <xsd:enumeration value="PROTECTED: CABINET (Legal privilege)"/>
          <xsd:enumeration value="PROTECTED: NATIONAL CABINET"/>
          <xsd:enumeration value="PROTECTED: NATIONAL CABINET (APRA Act s56)"/>
          <xsd:enumeration value="PROTECTED: NATIONAL CABINET (Personal privacy)"/>
          <xsd:enumeration value="PROTECTED: NATIONAL CABINET (Legal privilege)"/>
          <xsd:enumeration value="UNCLASSIFIED"/>
          <xsd:enumeration value="DLM: For Official Use Only"/>
          <xsd:enumeration value="DLM: Sensitive"/>
          <xsd:enumeration value="DLM: Sensitive: Legal"/>
          <xsd:enumeration value="DLM: Sensitive: Personal"/>
          <xsd:enumeration value="PROTECTED: Sensitive: Cabinet"/>
          <xsd:enumeration value="UNOFFICIAL"/>
        </xsd:restriction>
      </xsd:simpleType>
    </xsd:element>
    <xsd:element name="APRAKeywords" ma:index="16" nillable="true" ma:displayName="Keywords" ma:internalName="APRAKeywords" ma:readOnly="false">
      <xsd:simpleType>
        <xsd:restriction base="dms:Text"/>
      </xsd:simpleType>
    </xsd:element>
    <xsd:element name="APRADate" ma:index="18" nillable="true" ma:displayName="Date" ma:format="DateOnly" ma:internalName="APRADate" ma:readOnly="false">
      <xsd:simpleType>
        <xsd:restriction base="dms:DateTime"/>
      </xsd:simpleType>
    </xsd:element>
    <xsd:element name="APRAOwner" ma:index="21" nillable="true" ma:displayName="Owner" ma:list="UserInfo" ma:internalName="APRAOwn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edBy" ma:index="22" nillable="true" ma:displayName="Approved by" ma:list="UserInfo" ma:internalName="APRAApprov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alDate" ma:index="23" nillable="true" ma:displayName="Approval date" ma:format="DateOnly" ma:internalName="APRAApprovalDate" ma:readOnly="false">
      <xsd:simpleType>
        <xsd:restriction base="dms:DateTime"/>
      </xsd:simpleType>
    </xsd:element>
    <xsd:element name="APRAEntityID" ma:index="24" nillable="true" ma:displayName="Entity ID" ma:internalName="APRAEntityID" ma:readOnly="true">
      <xsd:simpleType>
        <xsd:restriction base="dms:Text"/>
      </xsd:simpleType>
    </xsd:element>
    <xsd:element name="APRAEntityName" ma:index="25" nillable="true" ma:displayName="Entity name" ma:internalName="APRAEntityName" ma:readOnly="true">
      <xsd:simpleType>
        <xsd:restriction base="dms:Text"/>
      </xsd:simpleType>
    </xsd:element>
    <xsd:element name="Received" ma:index="28" nillable="true" ma:displayName="Received" ma:format="DateTime" ma:internalName="Received" ma:readOnly="true">
      <xsd:simpleType>
        <xsd:restriction base="dms:DateTime"/>
      </xsd:simpleType>
    </xsd:element>
    <xsd:element name="From-Address" ma:index="29" nillable="true" ma:displayName="From-Address" ma:internalName="From_x002d_Address" ma:readOnly="true">
      <xsd:simpleType>
        <xsd:restriction base="dms:Text"/>
      </xsd:simpleType>
    </xsd:element>
    <xsd:element name="To-Address" ma:index="30" nillable="true" ma:displayName="To-Address" ma:internalName="To_x002d_Address" ma:readOnly="true">
      <xsd:simpleType>
        <xsd:restriction base="dms:Text"/>
      </xsd:simpleType>
    </xsd:element>
    <xsd:element name="Attachment" ma:index="31" nillable="true" ma:displayName="Attachment" ma:internalName="Attachment" ma:readOnly="true">
      <xsd:simpleType>
        <xsd:restriction base="dms:Boolean"/>
      </xsd:simpleType>
    </xsd:element>
    <xsd:element name="Conversation" ma:index="32" nillable="true" ma:displayName="Conversation" ma:internalName="Conversation" ma:readOnly="true">
      <xsd:simpleType>
        <xsd:restriction base="dms:Text"/>
      </xsd:simpleType>
    </xsd:element>
    <xsd:element name="APRADocScanCheck" ma:index="33" nillable="true" ma:displayName="Scanned document checked" ma:default="0" ma:internalName="APRADocScanCheck" ma:readOnly="false">
      <xsd:simpleType>
        <xsd:restriction base="dms:Boolean"/>
      </xsd:simpleType>
    </xsd:element>
    <xsd:element name="j163382b748246d3b6e7caae71dbeeb0" ma:index="34" ma:taxonomy="true" ma:internalName="j163382b748246d3b6e7caae71dbeeb0" ma:taxonomyFieldName="APRAStatus" ma:displayName="Status" ma:readOnly="false" ma:default="1;#Draft|0e1556d2-3fe8-443a-ada7-3620563b46b3" ma:fieldId="{3163382b-7482-46d3-b6e7-caae71dbeeb0}" ma:sspId="8aef97a4-ded2-4e4a-9fbc-e666dae3ecd2" ma:termSetId="7eb4e65e-417b-4c63-9676-ecbbffa46ffa" ma:anchorId="00000000-0000-0000-0000-000000000000" ma:open="false" ma:isKeyword="false">
      <xsd:complexType>
        <xsd:sequence>
          <xsd:element ref="pc:Terms" minOccurs="0" maxOccurs="1"/>
        </xsd:sequence>
      </xsd:complexType>
    </xsd:element>
    <xsd:element name="f284b4f8578a44cfae4f67a86df81119" ma:index="35" nillable="true" ma:taxonomy="true" ma:internalName="f284b4f8578a44cfae4f67a86df81119" ma:taxonomyFieldName="APRAReportingGroup" ma:displayName="Reporting group" ma:readOnly="true" ma:fieldId="{f284b4f8-578a-44cf-ae4f-67a86df81119}" ma:sspId="8aef97a4-ded2-4e4a-9fbc-e666dae3ecd2" ma:termSetId="c09f06e2-9097-495c-bd1d-5eef1197c3cb" ma:anchorId="00000000-0000-0000-0000-000000000000" ma:open="false" ma:isKeyword="false">
      <xsd:complexType>
        <xsd:sequence>
          <xsd:element ref="pc:Terms" minOccurs="0" maxOccurs="1"/>
        </xsd:sequence>
      </xsd:complexType>
    </xsd:element>
    <xsd:element name="_dlc_DocIdPersistId" ma:index="37" nillable="true" ma:displayName="Persist ID" ma:description="Keep ID on add." ma:hidden="true" ma:internalName="_dlc_DocIdPersistId" ma:readOnly="true">
      <xsd:simpleType>
        <xsd:restriction base="dms:Boolean"/>
      </xsd:simpleType>
    </xsd:element>
    <xsd:element name="i05115a133414b4dabee2531e4b46b67" ma:index="39" ma:taxonomy="true" ma:internalName="i05115a133414b4dabee2531e4b46b67" ma:taxonomyFieldName="APRAActivity" ma:displayName="Activity" ma:readOnly="false" ma:fieldId="{205115a1-3341-4b4d-abee-2531e4b46b67}" ma:taxonomyMulti="true" ma:sspId="8aef97a4-ded2-4e4a-9fbc-e666dae3ecd2" ma:termSetId="0a2aee47-fbed-4b43-b934-0547b3421a87" ma:anchorId="00000000-0000-0000-0000-000000000000" ma:open="false" ma:isKeyword="false">
      <xsd:complexType>
        <xsd:sequence>
          <xsd:element ref="pc:Terms" minOccurs="0" maxOccurs="1"/>
        </xsd:sequence>
      </xsd:complexType>
    </xsd:element>
    <xsd:element name="h67caa35a4114acd8e15fe89b3f29f9e" ma:index="40" ma:taxonomy="true" ma:internalName="h67caa35a4114acd8e15fe89b3f29f9e" ma:taxonomyFieldName="APRADocumentType" ma:displayName="Document type" ma:readOnly="false" ma:fieldId="{167caa35-a411-4acd-8e15-fe89b3f29f9e}" ma:taxonomyMulti="true" ma:sspId="8aef97a4-ded2-4e4a-9fbc-e666dae3ecd2" ma:termSetId="af1c35f7-5763-4cde-bc1a-b0c7e164f1eb" ma:anchorId="00000000-0000-0000-0000-000000000000" ma:open="false" ma:isKeyword="false">
      <xsd:complexType>
        <xsd:sequence>
          <xsd:element ref="pc:Terms" minOccurs="0" maxOccurs="1"/>
        </xsd:sequence>
      </xsd:complexType>
    </xsd:element>
    <xsd:element name="pa005173035e41c3986b37b8e650f3ef" ma:index="41" nillable="true" ma:taxonomy="true" ma:internalName="pa005173035e41c3986b37b8e650f3ef" ma:taxonomyFieldName="APRAExternalOrganisation" ma:displayName="External organisation" ma:readOnly="false" ma:fieldId="{9a005173-035e-41c3-986b-37b8e650f3ef}" ma:taxonomyMulti="true" ma:sspId="8aef97a4-ded2-4e4a-9fbc-e666dae3ecd2" ma:termSetId="8f5dd4ac-0a4b-4ffd-a2d2-a2e85755e1cd" ma:anchorId="00000000-0000-0000-0000-000000000000" ma:open="false" ma:isKeyword="false">
      <xsd:complexType>
        <xsd:sequence>
          <xsd:element ref="pc:Terms" minOccurs="0" maxOccurs="1"/>
        </xsd:sequence>
      </xsd:complexType>
    </xsd:element>
    <xsd:element name="p10c80fc2da942ae8f2ea9b33b6ea0ba" ma:index="43" nillable="true" ma:taxonomy="true" ma:internalName="p10c80fc2da942ae8f2ea9b33b6ea0ba" ma:taxonomyFieldName="APRACostCentre" ma:displayName="Cost Centre/Team" ma:readOnly="false" ma:fieldId="{910c80fc-2da9-42ae-8f2e-a9b33b6ea0ba}" ma:taxonomyMulti="true" ma:sspId="8aef97a4-ded2-4e4a-9fbc-e666dae3ecd2" ma:termSetId="f265c3b6-05fc-4e2c-ba60-4d4988c2d861" ma:anchorId="00000000-0000-0000-0000-000000000000" ma:open="false" ma:isKeyword="false">
      <xsd:complexType>
        <xsd:sequence>
          <xsd:element ref="pc:Terms" minOccurs="0" maxOccurs="1"/>
        </xsd:sequence>
      </xsd:complexType>
    </xsd:element>
    <xsd:element name="ka2715b9eb154114a4f57d7fbf82ec75" ma:index="45" nillable="true" ma:taxonomy="true" ma:internalName="ka2715b9eb154114a4f57d7fbf82ec75" ma:taxonomyFieldName="APRAPeriod" ma:displayName="Period" ma:readOnly="false" ma:fieldId="{4a2715b9-eb15-4114-a4f5-7d7fbf82ec75}" ma:taxonomyMulti="true" ma:sspId="8aef97a4-ded2-4e4a-9fbc-e666dae3ecd2" ma:termSetId="1a5cf56a-d80d-4891-bac9-68519ce5a3ac" ma:anchorId="00000000-0000-0000-0000-000000000000" ma:open="false" ma:isKeyword="false">
      <xsd:complexType>
        <xsd:sequence>
          <xsd:element ref="pc:Terms" minOccurs="0" maxOccurs="1"/>
        </xsd:sequence>
      </xsd:complexType>
    </xsd:element>
    <xsd:element name="TaxCatchAll" ma:index="46" nillable="true" ma:displayName="Taxonomy Catch All Column" ma:hidden="true" ma:list="{84347c30-9e0d-4c46-b2d7-e19e22f5828c}" ma:internalName="TaxCatchAll" ma:showField="CatchAllData"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08e72d8ce2b4ffa9361f9f4e0a63abc" ma:index="47" nillable="true" ma:taxonomy="true" ma:internalName="i08e72d8ce2b4ffa9361f9f4e0a63abc" ma:taxonomyFieldName="APRAYear" ma:displayName="Year" ma:readOnly="false" ma:fieldId="{208e72d8-ce2b-4ffa-9361-f9f4e0a63abc}" ma:taxonomyMulti="true" ma:sspId="8aef97a4-ded2-4e4a-9fbc-e666dae3ecd2" ma:termSetId="b4e5147a-ac61-437a-b431-73cf5e3f50b4" ma:anchorId="00000000-0000-0000-0000-000000000000" ma:open="false" ma:isKeyword="false">
      <xsd:complexType>
        <xsd:sequence>
          <xsd:element ref="pc:Terms" minOccurs="0" maxOccurs="1"/>
        </xsd:sequence>
      </xsd:complexType>
    </xsd:element>
    <xsd:element name="TaxCatchAllLabel" ma:index="48" nillable="true" ma:displayName="Taxonomy Catch All Column1" ma:hidden="true" ma:list="{84347c30-9e0d-4c46-b2d7-e19e22f5828c}" ma:internalName="TaxCatchAllLabel" ma:readOnly="true" ma:showField="CatchAllDataLabel"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c4067bd02f14cf3a95ad35878404a71" ma:index="49" nillable="true" ma:taxonomy="true" ma:internalName="ic4067bd02f14cf3a95ad35878404a71" ma:taxonomyFieldName="APRAIRTR" ma:displayName="Industry risk/thematic review" ma:readOnly="false" ma:fieldId="{2c4067bd-02f1-4cf3-a95a-d35878404a71}" ma:taxonomyMulti="true" ma:sspId="8aef97a4-ded2-4e4a-9fbc-e666dae3ecd2" ma:termSetId="6721df7c-916a-435f-a198-7feb96db3976" ma:anchorId="00000000-0000-0000-0000-000000000000" ma:open="false" ma:isKeyword="false">
      <xsd:complexType>
        <xsd:sequence>
          <xsd:element ref="pc:Terms" minOccurs="0" maxOccurs="1"/>
        </xsd:sequence>
      </xsd:complexType>
    </xsd:element>
    <xsd:element name="l003ee8eff60461aa1bd0027aba92ea4" ma:index="50" nillable="true" ma:taxonomy="true" ma:internalName="l003ee8eff60461aa1bd0027aba92ea4" ma:taxonomyFieldName="APRAIndustry" ma:displayName="Industry/Sector" ma:readOnly="false" ma:fieldId="{5003ee8e-ff60-461a-a1bd-0027aba92ea4}" ma:taxonomyMulti="true" ma:sspId="8aef97a4-ded2-4e4a-9fbc-e666dae3ecd2"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51" nillable="true" ma:taxonomy="true" ma:internalName="b37d8d7e823543f58f89056343a9035c" ma:taxonomyFieldName="APRALegislation" ma:displayName="Legislation" ma:readOnly="false" ma:fieldId="{b37d8d7e-8235-43f5-8f89-056343a9035c}" ma:taxonomyMulti="true" ma:sspId="8aef97a4-ded2-4e4a-9fbc-e666dae3ecd2" ma:termSetId="67e0a470-b4af-4691-908a-b900ee38db35" ma:anchorId="00000000-0000-0000-0000-000000000000" ma:open="false" ma:isKeyword="false">
      <xsd:complexType>
        <xsd:sequence>
          <xsd:element ref="pc:Terms" minOccurs="0" maxOccurs="1"/>
        </xsd:sequence>
      </xsd:complexType>
    </xsd:element>
    <xsd:element name="_dlc_DocId" ma:index="52" nillable="true" ma:displayName="Document ID Value" ma:description="The value of the document ID assigned to this item." ma:internalName="_dlc_DocId" ma:readOnly="true">
      <xsd:simpleType>
        <xsd:restriction base="dms:Text"/>
      </xsd:simpleType>
    </xsd:element>
    <xsd:element name="aa36a5a650d54f768f171f4d17b8b238" ma:index="53" nillable="true" ma:taxonomy="true" ma:internalName="aa36a5a650d54f768f171f4d17b8b238" ma:taxonomyFieldName="APRAPRSG" ma:displayName="Prudential/Reporting Standards and Guidance" ma:readOnly="false" ma:fieldId="{aa36a5a6-50d5-4f76-8f17-1f4d17b8b238}" ma:taxonomyMulti="true" ma:sspId="8aef97a4-ded2-4e4a-9fbc-e666dae3ecd2" ma:termSetId="1abfbd64-a7ba-41ad-bd44-677dfc6b15d7" ma:anchorId="00000000-0000-0000-0000-000000000000" ma:open="false" ma:isKeyword="false">
      <xsd:complexType>
        <xsd:sequence>
          <xsd:element ref="pc:Terms" minOccurs="0" maxOccurs="1"/>
        </xsd:sequence>
      </xsd:complexType>
    </xsd:element>
    <xsd:element name="j724204a644741eb9f777fcb03fe8840" ma:index="55" nillable="true" ma:taxonomy="true" ma:internalName="j724204a644741eb9f777fcb03fe8840" ma:taxonomyFieldName="APRACategory" ma:displayName="Category" ma:readOnly="false" ma:fieldId="{3724204a-6447-41eb-9f77-7fcb03fe8840}" ma:taxonomyMulti="true" ma:sspId="8aef97a4-ded2-4e4a-9fbc-e666dae3ecd2" ma:termSetId="41464afd-e131-42da-a884-f3396a619f5e" ma:anchorId="00000000-0000-0000-0000-000000000000" ma:open="false" ma:isKeyword="false">
      <xsd:complexType>
        <xsd:sequence>
          <xsd:element ref="pc:Terms" minOccurs="0" maxOccurs="1"/>
        </xsd:sequence>
      </xsd:complexType>
    </xsd:element>
    <xsd:element name="m2df5fdf6d1643b4a596982762bb3d00" ma:index="56" nillable="true" ma:taxonomy="true" ma:internalName="m2df5fdf6d1643b4a596982762bb3d00" ma:taxonomyFieldName="APRAPeerGroup" ma:displayName="Peer group" ma:readOnly="true" ma:fieldId="{62df5fdf-6d16-43b4-a596-982762bb3d00}" ma:sspId="8aef97a4-ded2-4e4a-9fbc-e666dae3ecd2" ma:termSetId="c3795591-82c1-4a32-b59e-800e245eddf3" ma:anchorId="00000000-0000-0000-0000-000000000000" ma:open="false" ma:isKeyword="false">
      <xsd:complexType>
        <xsd:sequence>
          <xsd:element ref="pc:Terms" minOccurs="0" maxOccurs="1"/>
        </xsd:sequence>
      </xsd:complexType>
    </xsd:element>
    <xsd:element name="k4bcc0d734474fea9fb713d9c415b4b0" ma:index="57" nillable="true" ma:taxonomy="true" ma:internalName="k4bcc0d734474fea9fb713d9c415b4b0" ma:taxonomyFieldName="APRAEntityAdviceSupport" ma:displayName="Entity (advice/support)" ma:readOnly="false" ma:fieldId="{44bcc0d7-3447-4fea-9fb7-13d9c415b4b0}" ma:taxonomyMulti="true" ma:sspId="8aef97a4-ded2-4e4a-9fbc-e666dae3ecd2" ma:termSetId="65e4e273-0c24-4815-bb8d-38cd0e8111f8" ma:anchorId="00000000-0000-0000-0000-000000000000" ma:open="false" ma:isKeyword="false">
      <xsd:complexType>
        <xsd:sequence>
          <xsd:element ref="pc:Terms" minOccurs="0" maxOccurs="1"/>
        </xsd:sequence>
      </xsd:complexType>
    </xsd:element>
    <xsd:element name="d9a849fd1b8e46ada0321eb0681a10ee" ma:index="59" nillable="true" ma:taxonomy="true" ma:internalName="d9a849fd1b8e46ada0321eb0681a10ee" ma:taxonomyFieldName="IT_x0020_system_x0020_type" ma:displayName="IT system type" ma:readOnly="false" ma:default="" ma:fieldId="{d9a849fd-1b8e-46ad-a032-1eb0681a10ee}" ma:sspId="8aef97a4-ded2-4e4a-9fbc-e666dae3ecd2" ma:termSetId="a68d55e5-4bde-43c7-bab2-2f4763c2c76b" ma:anchorId="00000000-0000-0000-0000-000000000000" ma:open="false" ma:isKeyword="false">
      <xsd:complexType>
        <xsd:sequence>
          <xsd:element ref="pc:Terms" minOccurs="0" maxOccurs="1"/>
        </xsd:sequence>
      </xsd:complexType>
    </xsd:element>
    <xsd:element name="APRAMeetingDate" ma:index="61" nillable="true" ma:displayName="Meeting date" ma:format="DateOnly" ma:internalName="APRAMeetingDate" ma:readOnly="false">
      <xsd:simpleType>
        <xsd:restriction base="dms:DateTime"/>
      </xsd:simpleType>
    </xsd:element>
    <xsd:element name="APRAMeetingNumber" ma:index="62" nillable="true" ma:displayName="Meeting no." ma:internalName="APRAMeetingNumbe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164828-D5A2-4BFB-A065-6E79EDCC7928}">
  <ds:schemaRefs>
    <ds:schemaRef ds:uri="http://schemas.microsoft.com/sharepoint/events"/>
  </ds:schemaRefs>
</ds:datastoreItem>
</file>

<file path=customXml/itemProps2.xml><?xml version="1.0" encoding="utf-8"?>
<ds:datastoreItem xmlns:ds="http://schemas.openxmlformats.org/officeDocument/2006/customXml" ds:itemID="{37D125B7-C5B2-458D-92D2-965A73480339}">
  <ds:schemaRefs>
    <ds:schemaRef ds:uri="Microsoft.SharePoint.Taxonomy.ContentTypeSync"/>
  </ds:schemaRefs>
</ds:datastoreItem>
</file>

<file path=customXml/itemProps3.xml><?xml version="1.0" encoding="utf-8"?>
<ds:datastoreItem xmlns:ds="http://schemas.openxmlformats.org/officeDocument/2006/customXml" ds:itemID="{F3CFF5C1-A60D-4D2C-8C3C-D73B7CB44575}">
  <ds:schemaRefs>
    <ds:schemaRef ds:uri="http://purl.org/dc/elements/1.1/"/>
    <ds:schemaRef ds:uri="http://schemas.microsoft.com/office/2006/documentManagement/types"/>
    <ds:schemaRef ds:uri="http://schemas.microsoft.com/office/infopath/2007/PartnerControls"/>
    <ds:schemaRef ds:uri="http://schemas.microsoft.com/office/2006/metadata/properties"/>
    <ds:schemaRef ds:uri="http://purl.org/dc/dcmitype/"/>
    <ds:schemaRef ds:uri="http://purl.org/dc/terms/"/>
    <ds:schemaRef ds:uri="http://schemas.openxmlformats.org/package/2006/metadata/core-properties"/>
    <ds:schemaRef ds:uri="814d62cb-2db6-4c25-ab62-b9075facbc11"/>
    <ds:schemaRef ds:uri="http://www.w3.org/XML/1998/namespace"/>
  </ds:schemaRefs>
</ds:datastoreItem>
</file>

<file path=customXml/itemProps4.xml><?xml version="1.0" encoding="utf-8"?>
<ds:datastoreItem xmlns:ds="http://schemas.openxmlformats.org/officeDocument/2006/customXml" ds:itemID="{A2EF3E10-8AB5-428A-BD7B-4F1EB8F7E76C}">
  <ds:schemaRefs>
    <ds:schemaRef ds:uri="http://schemas.microsoft.com/sharepoint/v3/contenttype/forms"/>
  </ds:schemaRefs>
</ds:datastoreItem>
</file>

<file path=customXml/itemProps5.xml><?xml version="1.0" encoding="utf-8"?>
<ds:datastoreItem xmlns:ds="http://schemas.openxmlformats.org/officeDocument/2006/customXml" ds:itemID="{154317C2-2113-4DDE-B165-472B998E7F73}">
  <ds:schemaRefs>
    <ds:schemaRef ds:uri="http://schemas.openxmlformats.org/officeDocument/2006/bibliography"/>
  </ds:schemaRefs>
</ds:datastoreItem>
</file>

<file path=customXml/itemProps6.xml><?xml version="1.0" encoding="utf-8"?>
<ds:datastoreItem xmlns:ds="http://schemas.openxmlformats.org/officeDocument/2006/customXml" ds:itemID="{C30D920B-6FD2-431C-AB43-C108B99967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d62cb-2db6-4c25-ab62-b9075facbc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8797</Words>
  <Characters>45746</Characters>
  <Application>Microsoft Office Word</Application>
  <DocSecurity>0</DocSecurity>
  <Lines>973</Lines>
  <Paragraphs>478</Paragraphs>
  <ScaleCrop>false</ScaleCrop>
  <HeadingPairs>
    <vt:vector size="2" baseType="variant">
      <vt:variant>
        <vt:lpstr>Title</vt:lpstr>
      </vt:variant>
      <vt:variant>
        <vt:i4>1</vt:i4>
      </vt:variant>
    </vt:vector>
  </HeadingPairs>
  <TitlesOfParts>
    <vt:vector size="1" baseType="lpstr">
      <vt:lpstr>Prudential Standard APS 110 Capital Adequacy - marked up</vt:lpstr>
    </vt:vector>
  </TitlesOfParts>
  <Company/>
  <LinksUpToDate>false</LinksUpToDate>
  <CharactersWithSpaces>54065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Banking (prudential standard) determination No. 4 of 2022</dc:title>
  <dc:subject/>
  <dc:creator>APRA</dc:creator>
  <cp:keywords>[SEC=OFFICIAL]</cp:keywords>
  <dc:description/>
  <cp:lastModifiedBy>Toni Michalis</cp:lastModifiedBy>
  <cp:revision>2</cp:revision>
  <cp:lastPrinted>2020-10-19T03:41:00Z</cp:lastPrinted>
  <dcterms:created xsi:type="dcterms:W3CDTF">2022-12-08T00:11:00Z</dcterms:created>
  <dcterms:modified xsi:type="dcterms:W3CDTF">2022-12-08T00:11:00Z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Locked">
    <vt:lpwstr>False</vt:lpwstr>
  </property>
  <property fmtid="{D5CDD505-2E9C-101B-9397-08002B2CF9AE}" pid="3" name="RecordPoint_RecordNumberSubmitted">
    <vt:lpwstr/>
  </property>
  <property fmtid="{D5CDD505-2E9C-101B-9397-08002B2CF9AE}" pid="4" name="PM_ProtectiveMarkingImage_Header">
    <vt:lpwstr>C:\Program Files\Common Files\janusNET Shared\janusSEAL\Images\DocumentSlashBlue.png</vt:lpwstr>
  </property>
  <property fmtid="{D5CDD505-2E9C-101B-9397-08002B2CF9AE}" pid="5" name="APRACostCentre">
    <vt:lpwstr>24;#Legal - ADI|652d8d2a-ab45-47b4-ac6e-fe6ac9299b39;#26;#Legal - Insurance: General|8229dc1a-d7f2-47b2-844a-b026fed0c13d;#93;#Legal - Insurance: Health|21611e62-d688-4f0d-8807-02701cc43699;#83;#Legal - Insurance: Life|56f18b50-6605-4f3f-97e3-cad1cb5394e0;#134;#Legal - Superannuation|cce3181d-fd23-4eee-94d3-c66abc2350cf</vt:lpwstr>
  </property>
  <property fmtid="{D5CDD505-2E9C-101B-9397-08002B2CF9AE}" pid="6" name="ContentTypeId">
    <vt:lpwstr>0x0101008CA7A4F8331B45C7B0D3158B4994D0CA0200577EC0F5A1FBFC498F9A8436B963F8A6</vt:lpwstr>
  </property>
  <property fmtid="{D5CDD505-2E9C-101B-9397-08002B2CF9AE}" pid="7" name="PM_ProtectiveMarkingImage_Footer">
    <vt:lpwstr>C:\Program Files\Common Files\janusNET Shared\janusSEAL\Images\DocumentSlashBlue.png</vt:lpwstr>
  </property>
  <property fmtid="{D5CDD505-2E9C-101B-9397-08002B2CF9AE}" pid="8" name="RecordPoint_WorkflowType">
    <vt:lpwstr>ActiveSubmitStub</vt:lpwstr>
  </property>
  <property fmtid="{D5CDD505-2E9C-101B-9397-08002B2CF9AE}" pid="9" name="PM_DisplayValueSecClassificationWithQualifier">
    <vt:lpwstr>OFFICIAL</vt:lpwstr>
  </property>
  <property fmtid="{D5CDD505-2E9C-101B-9397-08002B2CF9AE}" pid="10" name="PM_Hash_Version">
    <vt:lpwstr>2018.0</vt:lpwstr>
  </property>
  <property fmtid="{D5CDD505-2E9C-101B-9397-08002B2CF9AE}" pid="11" name="PM_Qualifier_Prev">
    <vt:lpwstr/>
  </property>
  <property fmtid="{D5CDD505-2E9C-101B-9397-08002B2CF9AE}" pid="12" name="PM_ProtectiveMarkingValue_Header">
    <vt:lpwstr>OFFICIAL</vt:lpwstr>
  </property>
  <property fmtid="{D5CDD505-2E9C-101B-9397-08002B2CF9AE}" pid="13" name="IT system type">
    <vt:lpwstr/>
  </property>
  <property fmtid="{D5CDD505-2E9C-101B-9397-08002B2CF9AE}" pid="14" name="PM_Originating_FileId">
    <vt:lpwstr>9CDD4A8A38FF4D3681F9F9DB8CFE362E</vt:lpwstr>
  </property>
  <property fmtid="{D5CDD505-2E9C-101B-9397-08002B2CF9AE}" pid="15" name="APRACategory">
    <vt:lpwstr/>
  </property>
  <property fmtid="{D5CDD505-2E9C-101B-9397-08002B2CF9AE}" pid="16" name="APRAPeerGroup">
    <vt:lpwstr/>
  </property>
  <property fmtid="{D5CDD505-2E9C-101B-9397-08002B2CF9AE}" pid="17" name="_dlc_DocIdItemGuid">
    <vt:lpwstr>8a21a0db-cba8-4093-807f-fd9c1ed30a9d</vt:lpwstr>
  </property>
  <property fmtid="{D5CDD505-2E9C-101B-9397-08002B2CF9AE}" pid="18" name="PM_Version">
    <vt:lpwstr>2018.3</vt:lpwstr>
  </property>
  <property fmtid="{D5CDD505-2E9C-101B-9397-08002B2CF9AE}" pid="19" name="APRADocumentType">
    <vt:lpwstr>142;#Prudential standard|6ce5a155-9ab2-41e3-9b2a-5baab4b7f1d1;#58;#Legal instrument|71fd6ed3-d6d6-4975-ba99-bfe45802e734</vt:lpwstr>
  </property>
  <property fmtid="{D5CDD505-2E9C-101B-9397-08002B2CF9AE}" pid="20" name="APRAStatus">
    <vt:lpwstr>19;#Final|84d6b2d0-8498-4d62-bf46-bab38babbe9e</vt:lpwstr>
  </property>
  <property fmtid="{D5CDD505-2E9C-101B-9397-08002B2CF9AE}" pid="21" name="APRAPRSG">
    <vt:lpwstr/>
  </property>
  <property fmtid="{D5CDD505-2E9C-101B-9397-08002B2CF9AE}" pid="22" name="RecordPoint_ActiveItemSiteId">
    <vt:lpwstr>{88691c01-5bbb-4215-adc0-66cb7065b0af}</vt:lpwstr>
  </property>
  <property fmtid="{D5CDD505-2E9C-101B-9397-08002B2CF9AE}" pid="23" name="PM_Qualifier">
    <vt:lpwstr/>
  </property>
  <property fmtid="{D5CDD505-2E9C-101B-9397-08002B2CF9AE}" pid="24" name="PM_SecurityClassification_Prev">
    <vt:lpwstr>OFFICIAL</vt:lpwstr>
  </property>
  <property fmtid="{D5CDD505-2E9C-101B-9397-08002B2CF9AE}" pid="25" name="APRAReportingGroup">
    <vt:lpwstr/>
  </property>
  <property fmtid="{D5CDD505-2E9C-101B-9397-08002B2CF9AE}" pid="26" name="APRAActivity">
    <vt:lpwstr>10;#Registration|390476ce-d76d-4e8d-905f-28e32d2df127;#109;#Statutory instrument|fe68928c-5a9c-4caf-bc8c-6c18cedcb17f</vt:lpwstr>
  </property>
  <property fmtid="{D5CDD505-2E9C-101B-9397-08002B2CF9AE}" pid="27" name="APRAEntityAdviceSupport">
    <vt:lpwstr/>
  </property>
  <property fmtid="{D5CDD505-2E9C-101B-9397-08002B2CF9AE}" pid="28" name="APRATemplateType">
    <vt:lpwstr>23;#Policy|f1d41970-be64-43ea-8d6f-300cb1384ee7</vt:lpwstr>
  </property>
  <property fmtid="{D5CDD505-2E9C-101B-9397-08002B2CF9AE}" pid="29" name="RecordPoint_ActiveItemListId">
    <vt:lpwstr>{0e59e171-09d8-4401-800a-327154450cb3}</vt:lpwstr>
  </property>
  <property fmtid="{D5CDD505-2E9C-101B-9397-08002B2CF9AE}" pid="30" name="APRAYear">
    <vt:lpwstr/>
  </property>
  <property fmtid="{D5CDD505-2E9C-101B-9397-08002B2CF9AE}" pid="31" name="APRAIndustry">
    <vt:lpwstr/>
  </property>
  <property fmtid="{D5CDD505-2E9C-101B-9397-08002B2CF9AE}" pid="32" name="APRALegislation">
    <vt:lpwstr/>
  </property>
  <property fmtid="{D5CDD505-2E9C-101B-9397-08002B2CF9AE}" pid="33" name="RecordPoint_ActiveItemUniqueId">
    <vt:lpwstr>{8a21a0db-cba8-4093-807f-fd9c1ed30a9d}</vt:lpwstr>
  </property>
  <property fmtid="{D5CDD505-2E9C-101B-9397-08002B2CF9AE}" pid="34" name="PM_ProtectiveMarkingValue_Footer">
    <vt:lpwstr>OFFICIAL</vt:lpwstr>
  </property>
  <property fmtid="{D5CDD505-2E9C-101B-9397-08002B2CF9AE}" pid="35" name="PM_InsertionValue">
    <vt:lpwstr>OFFICIAL</vt:lpwstr>
  </property>
  <property fmtid="{D5CDD505-2E9C-101B-9397-08002B2CF9AE}" pid="36" name="Language">
    <vt:lpwstr>English</vt:lpwstr>
  </property>
  <property fmtid="{D5CDD505-2E9C-101B-9397-08002B2CF9AE}" pid="37" name="PM_MinimumSecurityClassification">
    <vt:lpwstr/>
  </property>
  <property fmtid="{D5CDD505-2E9C-101B-9397-08002B2CF9AE}" pid="38" name="APRAExternalOrganisation">
    <vt:lpwstr/>
  </property>
  <property fmtid="{D5CDD505-2E9C-101B-9397-08002B2CF9AE}" pid="39" name="PM_SecurityClassification">
    <vt:lpwstr>OFFICIAL</vt:lpwstr>
  </property>
  <property fmtid="{D5CDD505-2E9C-101B-9397-08002B2CF9AE}" pid="40" name="APRAIRTR">
    <vt:lpwstr/>
  </property>
  <property fmtid="{D5CDD505-2E9C-101B-9397-08002B2CF9AE}" pid="41" name="APRAPeriod">
    <vt:lpwstr/>
  </property>
  <property fmtid="{D5CDD505-2E9C-101B-9397-08002B2CF9AE}" pid="42" name="PM_Caveats_Count">
    <vt:lpwstr>0</vt:lpwstr>
  </property>
  <property fmtid="{D5CDD505-2E9C-101B-9397-08002B2CF9AE}" pid="43" name="RecordPoint_ActiveItemWebId">
    <vt:lpwstr>{75a71c27-8d66-4282-ae60-1bfc22a83be1}</vt:lpwstr>
  </property>
  <property fmtid="{D5CDD505-2E9C-101B-9397-08002B2CF9AE}" pid="44" name="PM_Namespace">
    <vt:lpwstr>gov.au</vt:lpwstr>
  </property>
  <property fmtid="{D5CDD505-2E9C-101B-9397-08002B2CF9AE}" pid="45" name="RecordPoint_SubmissionDate">
    <vt:lpwstr/>
  </property>
  <property fmtid="{D5CDD505-2E9C-101B-9397-08002B2CF9AE}" pid="46" name="RecordPoint_ActiveItemMoved">
    <vt:lpwstr/>
  </property>
  <property fmtid="{D5CDD505-2E9C-101B-9397-08002B2CF9AE}" pid="47" name="RecordPoint_RecordFormat">
    <vt:lpwstr/>
  </property>
  <property fmtid="{D5CDD505-2E9C-101B-9397-08002B2CF9AE}" pid="48" name="PM_Note">
    <vt:lpwstr/>
  </property>
  <property fmtid="{D5CDD505-2E9C-101B-9397-08002B2CF9AE}" pid="49" name="PM_Markers">
    <vt:lpwstr/>
  </property>
  <property fmtid="{D5CDD505-2E9C-101B-9397-08002B2CF9AE}" pid="50" name="_docset_NoMedatataSyncRequired">
    <vt:lpwstr>False</vt:lpwstr>
  </property>
  <property fmtid="{D5CDD505-2E9C-101B-9397-08002B2CF9AE}" pid="51" name="PM_Display">
    <vt:lpwstr>OFFICIAL</vt:lpwstr>
  </property>
  <property fmtid="{D5CDD505-2E9C-101B-9397-08002B2CF9AE}" pid="52" name="PM_OriginatorDomainName_SHA256">
    <vt:lpwstr>ECBDE2B44A971754412B3FB70606937A119CC0D4B6C1B658A40FBD41C30BE3EC</vt:lpwstr>
  </property>
  <property fmtid="{D5CDD505-2E9C-101B-9397-08002B2CF9AE}" pid="53" name="PM_Originator_Hash_SHA1">
    <vt:lpwstr>C3AD57350F36D8E1BD75F8F67CB06D435C9C43CA</vt:lpwstr>
  </property>
  <property fmtid="{D5CDD505-2E9C-101B-9397-08002B2CF9AE}" pid="54" name="PM_OriginatorUserAccountName_SHA256">
    <vt:lpwstr>6E3018F28A186D2E5FF5207C041E7A82E907C3008E071057026A53705873B72E</vt:lpwstr>
  </property>
  <property fmtid="{D5CDD505-2E9C-101B-9397-08002B2CF9AE}" pid="55" name="PM_Hash_Salt_Prev">
    <vt:lpwstr>8E963CC82B2785B17D44BA1C65E60D1B</vt:lpwstr>
  </property>
  <property fmtid="{D5CDD505-2E9C-101B-9397-08002B2CF9AE}" pid="56" name="PM_Hash_SHA1">
    <vt:lpwstr>4CCCDC2AE3E9A3850A41616F21232A5F52891447</vt:lpwstr>
  </property>
  <property fmtid="{D5CDD505-2E9C-101B-9397-08002B2CF9AE}" pid="57" name="PM_Hash_Salt">
    <vt:lpwstr>95B543C4D237BAE48064DF193427693D</vt:lpwstr>
  </property>
  <property fmtid="{D5CDD505-2E9C-101B-9397-08002B2CF9AE}" pid="58" name="PM_OriginationTimeStamp">
    <vt:lpwstr>2022-12-08T00:11:33Z</vt:lpwstr>
  </property>
  <property fmtid="{D5CDD505-2E9C-101B-9397-08002B2CF9AE}" pid="59" name="RecordPoint_SubmissionCompleted">
    <vt:lpwstr/>
  </property>
  <property fmtid="{D5CDD505-2E9C-101B-9397-08002B2CF9AE}" pid="60" name="MSIP_Label_c0129afb-6481-4f92-bc9f-5a4a6346364d_SetDate">
    <vt:lpwstr>2022-12-07T21:53:40Z</vt:lpwstr>
  </property>
  <property fmtid="{D5CDD505-2E9C-101B-9397-08002B2CF9AE}" pid="61" name="PMUuid">
    <vt:lpwstr>2A74E7A6-2821-5142-8C4A-BF7684DF216B</vt:lpwstr>
  </property>
  <property fmtid="{D5CDD505-2E9C-101B-9397-08002B2CF9AE}" pid="62" name="PMUuidVer">
    <vt:lpwstr>2022.1</vt:lpwstr>
  </property>
  <property fmtid="{D5CDD505-2E9C-101B-9397-08002B2CF9AE}" pid="63" name="MSIP_Label_c0129afb-6481-4f92-bc9f-5a4a6346364d_Name">
    <vt:lpwstr>OFFICIAL</vt:lpwstr>
  </property>
  <property fmtid="{D5CDD505-2E9C-101B-9397-08002B2CF9AE}" pid="64" name="MSIP_Label_c0129afb-6481-4f92-bc9f-5a4a6346364d_SiteId">
    <vt:lpwstr>c05e3ffd-b491-4431-9809-e61d4dc78816</vt:lpwstr>
  </property>
  <property fmtid="{D5CDD505-2E9C-101B-9397-08002B2CF9AE}" pid="65" name="MSIP_Label_c0129afb-6481-4f92-bc9f-5a4a6346364d_Enabled">
    <vt:lpwstr>true</vt:lpwstr>
  </property>
</Properties>
</file>