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3A34" w14:textId="77777777" w:rsidR="001F6C6C" w:rsidRPr="007C17E1" w:rsidRDefault="001F6C6C" w:rsidP="001F6C6C">
      <w:pPr>
        <w:pStyle w:val="Heading2"/>
        <w:rPr>
          <w:i w:val="0"/>
          <w:sz w:val="22"/>
          <w:szCs w:val="22"/>
        </w:rPr>
      </w:pPr>
      <w:r>
        <w:rPr>
          <w:noProof/>
          <w:color w:val="000000"/>
        </w:rPr>
        <w:drawing>
          <wp:inline distT="0" distB="0" distL="0" distR="0" wp14:anchorId="6E3F2B61" wp14:editId="5C6A37DC">
            <wp:extent cx="1419225" cy="1104900"/>
            <wp:effectExtent l="0" t="0" r="9525" b="0"/>
            <wp:docPr id="1" name="Picture 1"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monwealth Coat of A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0CCA772" w14:textId="77777777" w:rsidR="001F6C6C" w:rsidRPr="003376C6" w:rsidRDefault="001F6C6C" w:rsidP="001F6C6C">
      <w:pPr>
        <w:pStyle w:val="Heading2"/>
        <w:spacing w:before="480" w:after="120"/>
        <w:rPr>
          <w:i w:val="0"/>
          <w:sz w:val="40"/>
          <w:szCs w:val="40"/>
        </w:rPr>
      </w:pPr>
      <w:r w:rsidRPr="003376C6">
        <w:rPr>
          <w:i w:val="0"/>
          <w:sz w:val="40"/>
          <w:szCs w:val="40"/>
        </w:rPr>
        <w:t xml:space="preserve">Banking (prudential standard) determination No. </w:t>
      </w:r>
      <w:sdt>
        <w:sdtPr>
          <w:rPr>
            <w:i w:val="0"/>
            <w:sz w:val="40"/>
            <w:szCs w:val="40"/>
          </w:rPr>
          <w:alias w:val="place"/>
          <w:tag w:val="place"/>
          <w:id w:val="-1611119149"/>
          <w:placeholder>
            <w:docPart w:val="99166AE063C7460FB1889FE56CFD199B"/>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Pr="003376C6">
            <w:rPr>
              <w:i w:val="0"/>
              <w:sz w:val="40"/>
              <w:szCs w:val="40"/>
            </w:rPr>
            <w:t>3</w:t>
          </w:r>
        </w:sdtContent>
      </w:sdt>
      <w:r w:rsidRPr="003376C6">
        <w:rPr>
          <w:i w:val="0"/>
          <w:sz w:val="40"/>
          <w:szCs w:val="40"/>
        </w:rPr>
        <w:t xml:space="preserve"> of 2023</w:t>
      </w:r>
    </w:p>
    <w:p w14:paraId="66408FFC" w14:textId="77777777" w:rsidR="001F6C6C" w:rsidRPr="003376C6" w:rsidRDefault="001F6C6C" w:rsidP="001F6C6C">
      <w:pPr>
        <w:pStyle w:val="Heading2"/>
        <w:spacing w:after="0"/>
        <w:rPr>
          <w:i w:val="0"/>
        </w:rPr>
      </w:pPr>
      <w:bookmarkStart w:id="0" w:name="_Hlk134001610"/>
      <w:r w:rsidRPr="003376C6">
        <w:rPr>
          <w:i w:val="0"/>
        </w:rPr>
        <w:t xml:space="preserve">Prudential Standard </w:t>
      </w:r>
      <w:bookmarkStart w:id="1" w:name="_Hlk134001595"/>
      <w:r w:rsidRPr="003376C6">
        <w:rPr>
          <w:i w:val="0"/>
        </w:rPr>
        <w:t xml:space="preserve">APS 610 Prudential Requirements for Providers of Purchased Payment Facilities </w:t>
      </w:r>
      <w:bookmarkEnd w:id="1"/>
    </w:p>
    <w:bookmarkEnd w:id="0"/>
    <w:p w14:paraId="55E0B300" w14:textId="77777777" w:rsidR="001F6C6C" w:rsidRPr="003376C6" w:rsidRDefault="001F6C6C" w:rsidP="001F6C6C">
      <w:pPr>
        <w:pStyle w:val="ActTitle"/>
        <w:spacing w:before="240" w:after="0"/>
        <w:rPr>
          <w:i w:val="0"/>
        </w:rPr>
      </w:pPr>
      <w:r w:rsidRPr="003376C6">
        <w:rPr>
          <w:i w:val="0"/>
        </w:rPr>
        <w:t xml:space="preserve">Banking Act 1959 </w:t>
      </w:r>
    </w:p>
    <w:p w14:paraId="283FFBE4" w14:textId="77777777" w:rsidR="001F6C6C" w:rsidRPr="00184D25" w:rsidRDefault="001F6C6C" w:rsidP="001F6C6C">
      <w:pPr>
        <w:pStyle w:val="introto0"/>
        <w:rPr>
          <w:sz w:val="22"/>
          <w:szCs w:val="22"/>
        </w:rPr>
      </w:pPr>
      <w:r w:rsidRPr="00184D25">
        <w:rPr>
          <w:rFonts w:ascii="Arial" w:hAnsi="Arial" w:cs="Arial"/>
          <w:sz w:val="22"/>
          <w:szCs w:val="22"/>
        </w:rPr>
        <w:t>I, Clare Gibney, a delegate of APRA:</w:t>
      </w:r>
    </w:p>
    <w:p w14:paraId="39AF1B17" w14:textId="77777777" w:rsidR="001F6C6C" w:rsidRPr="003D4069" w:rsidRDefault="001F6C6C" w:rsidP="001F6C6C">
      <w:pPr>
        <w:pStyle w:val="Default"/>
        <w:numPr>
          <w:ilvl w:val="0"/>
          <w:numId w:val="47"/>
        </w:numPr>
        <w:ind w:left="567" w:hanging="567"/>
        <w:rPr>
          <w:sz w:val="22"/>
          <w:szCs w:val="22"/>
        </w:rPr>
      </w:pPr>
      <w:r w:rsidRPr="003D4069">
        <w:rPr>
          <w:sz w:val="22"/>
          <w:szCs w:val="22"/>
        </w:rPr>
        <w:t>under subsection 11</w:t>
      </w:r>
      <w:proofErr w:type="gramStart"/>
      <w:r w:rsidRPr="003D4069">
        <w:rPr>
          <w:sz w:val="22"/>
          <w:szCs w:val="22"/>
        </w:rPr>
        <w:t>AF(</w:t>
      </w:r>
      <w:proofErr w:type="gramEnd"/>
      <w:r w:rsidRPr="003D4069">
        <w:rPr>
          <w:sz w:val="22"/>
          <w:szCs w:val="22"/>
        </w:rPr>
        <w:t xml:space="preserve">3) of the </w:t>
      </w:r>
      <w:r w:rsidRPr="006F4FB8">
        <w:rPr>
          <w:i/>
          <w:sz w:val="22"/>
          <w:szCs w:val="22"/>
        </w:rPr>
        <w:t>Banking Act 1959</w:t>
      </w:r>
      <w:r w:rsidRPr="003D4069">
        <w:rPr>
          <w:sz w:val="22"/>
          <w:szCs w:val="22"/>
        </w:rPr>
        <w:t xml:space="preserve"> </w:t>
      </w:r>
      <w:r>
        <w:rPr>
          <w:sz w:val="22"/>
          <w:szCs w:val="22"/>
        </w:rPr>
        <w:t xml:space="preserve">(the </w:t>
      </w:r>
      <w:r w:rsidRPr="003D4069">
        <w:rPr>
          <w:sz w:val="22"/>
          <w:szCs w:val="22"/>
        </w:rPr>
        <w:t>Act</w:t>
      </w:r>
      <w:r>
        <w:rPr>
          <w:sz w:val="22"/>
          <w:szCs w:val="22"/>
        </w:rPr>
        <w:t>)</w:t>
      </w:r>
      <w:r w:rsidRPr="003D4069">
        <w:rPr>
          <w:sz w:val="22"/>
          <w:szCs w:val="22"/>
        </w:rPr>
        <w:t xml:space="preserve"> REVOKE Banking (prudential standard) determination No. 6 of 2014, including </w:t>
      </w:r>
      <w:bookmarkStart w:id="2" w:name="_Hlk134001958"/>
      <w:r w:rsidRPr="003D4069">
        <w:rPr>
          <w:i/>
          <w:sz w:val="22"/>
          <w:szCs w:val="22"/>
        </w:rPr>
        <w:t>Prudential Standard APS 610 Prudential Requirements for Providers of Purchased Payment Facilities</w:t>
      </w:r>
      <w:bookmarkEnd w:id="2"/>
      <w:r w:rsidRPr="003D4069">
        <w:rPr>
          <w:sz w:val="22"/>
          <w:szCs w:val="22"/>
        </w:rPr>
        <w:t xml:space="preserve"> made under that </w:t>
      </w:r>
      <w:r>
        <w:rPr>
          <w:sz w:val="22"/>
          <w:szCs w:val="22"/>
        </w:rPr>
        <w:t>d</w:t>
      </w:r>
      <w:r w:rsidRPr="003D4069">
        <w:rPr>
          <w:sz w:val="22"/>
          <w:szCs w:val="22"/>
        </w:rPr>
        <w:t>etermination; and</w:t>
      </w:r>
    </w:p>
    <w:p w14:paraId="0DAF2337" w14:textId="77777777" w:rsidR="001F6C6C" w:rsidRPr="003D4069" w:rsidRDefault="001F6C6C" w:rsidP="001F6C6C">
      <w:pPr>
        <w:pStyle w:val="Default"/>
        <w:ind w:left="567" w:hanging="567"/>
        <w:rPr>
          <w:sz w:val="22"/>
          <w:szCs w:val="22"/>
        </w:rPr>
      </w:pPr>
    </w:p>
    <w:p w14:paraId="12E6B100" w14:textId="77777777" w:rsidR="001F6C6C" w:rsidRPr="003D4069" w:rsidRDefault="001F6C6C" w:rsidP="001F6C6C">
      <w:pPr>
        <w:pStyle w:val="Default"/>
        <w:numPr>
          <w:ilvl w:val="0"/>
          <w:numId w:val="47"/>
        </w:numPr>
        <w:ind w:left="567" w:hanging="567"/>
        <w:rPr>
          <w:sz w:val="22"/>
          <w:szCs w:val="22"/>
        </w:rPr>
      </w:pPr>
      <w:r w:rsidRPr="003D4069">
        <w:rPr>
          <w:sz w:val="22"/>
          <w:szCs w:val="22"/>
        </w:rPr>
        <w:t>under subsection 11</w:t>
      </w:r>
      <w:proofErr w:type="gramStart"/>
      <w:r w:rsidRPr="003D4069">
        <w:rPr>
          <w:sz w:val="22"/>
          <w:szCs w:val="22"/>
        </w:rPr>
        <w:t>AF(</w:t>
      </w:r>
      <w:proofErr w:type="gramEnd"/>
      <w:r w:rsidRPr="003D4069">
        <w:rPr>
          <w:sz w:val="22"/>
          <w:szCs w:val="22"/>
        </w:rPr>
        <w:t xml:space="preserve">1) of the Act DETERMINE </w:t>
      </w:r>
      <w:r w:rsidRPr="003D4069">
        <w:rPr>
          <w:i/>
          <w:sz w:val="22"/>
          <w:szCs w:val="22"/>
        </w:rPr>
        <w:t>Prudential Standard APS 610 Prudential Requirements for Providers of Purchased Payment Facilities</w:t>
      </w:r>
      <w:r w:rsidRPr="003D4069">
        <w:rPr>
          <w:sz w:val="22"/>
          <w:szCs w:val="22"/>
        </w:rPr>
        <w:t xml:space="preserve">, in the form set out in the </w:t>
      </w:r>
      <w:r>
        <w:rPr>
          <w:sz w:val="22"/>
          <w:szCs w:val="22"/>
        </w:rPr>
        <w:t>s</w:t>
      </w:r>
      <w:r w:rsidRPr="003D4069">
        <w:rPr>
          <w:sz w:val="22"/>
          <w:szCs w:val="22"/>
        </w:rPr>
        <w:t>chedule, which applies to ADIs that are purchased payment facility providers.</w:t>
      </w:r>
    </w:p>
    <w:p w14:paraId="3721136F" w14:textId="77777777" w:rsidR="001F6C6C" w:rsidRPr="00BE18D0" w:rsidRDefault="001F6C6C" w:rsidP="001F6C6C">
      <w:pPr>
        <w:pStyle w:val="Default"/>
        <w:rPr>
          <w:sz w:val="22"/>
          <w:szCs w:val="22"/>
        </w:rPr>
      </w:pPr>
    </w:p>
    <w:p w14:paraId="0AF35947" w14:textId="52B2C196" w:rsidR="001F6C6C" w:rsidRPr="003355F0" w:rsidRDefault="001F6C6C" w:rsidP="001F6C6C">
      <w:pPr>
        <w:pStyle w:val="Default"/>
        <w:rPr>
          <w:sz w:val="22"/>
          <w:szCs w:val="22"/>
        </w:rPr>
      </w:pPr>
      <w:r>
        <w:rPr>
          <w:sz w:val="22"/>
          <w:szCs w:val="22"/>
        </w:rPr>
        <w:t xml:space="preserve">This instrument commences </w:t>
      </w:r>
      <w:r w:rsidR="0025680D">
        <w:rPr>
          <w:sz w:val="22"/>
          <w:szCs w:val="22"/>
        </w:rPr>
        <w:t>upon registration on the Federal Register of Legislation</w:t>
      </w:r>
      <w:r>
        <w:rPr>
          <w:sz w:val="22"/>
          <w:szCs w:val="22"/>
        </w:rPr>
        <w:t>.</w:t>
      </w:r>
    </w:p>
    <w:p w14:paraId="34B4A500" w14:textId="77777777" w:rsidR="001F6C6C" w:rsidRPr="00BE18D0" w:rsidRDefault="001F6C6C" w:rsidP="001F6C6C">
      <w:pPr>
        <w:pStyle w:val="Default"/>
        <w:rPr>
          <w:sz w:val="22"/>
          <w:szCs w:val="22"/>
        </w:rPr>
      </w:pPr>
    </w:p>
    <w:p w14:paraId="112AD149" w14:textId="1FB4C138" w:rsidR="001F6C6C" w:rsidRPr="002B59EA" w:rsidRDefault="001F6C6C" w:rsidP="001F6C6C">
      <w:pPr>
        <w:pStyle w:val="CM5"/>
        <w:tabs>
          <w:tab w:val="clear" w:pos="851"/>
          <w:tab w:val="left" w:pos="284"/>
        </w:tabs>
        <w:ind w:left="0" w:firstLine="0"/>
        <w:jc w:val="both"/>
        <w:rPr>
          <w:rFonts w:ascii="Arial" w:hAnsi="Arial" w:cs="Arial"/>
          <w:sz w:val="22"/>
          <w:szCs w:val="22"/>
        </w:rPr>
      </w:pPr>
      <w:r w:rsidRPr="002B59EA">
        <w:rPr>
          <w:rFonts w:ascii="Arial" w:hAnsi="Arial" w:cs="Arial"/>
          <w:sz w:val="22"/>
          <w:szCs w:val="22"/>
        </w:rPr>
        <w:t xml:space="preserve">Dated: </w:t>
      </w:r>
      <w:r w:rsidR="00B076F6">
        <w:rPr>
          <w:rFonts w:ascii="Arial" w:hAnsi="Arial" w:cs="Arial"/>
          <w:sz w:val="22"/>
          <w:szCs w:val="22"/>
        </w:rPr>
        <w:t>11 May 2023</w:t>
      </w:r>
    </w:p>
    <w:p w14:paraId="32ABA0A8" w14:textId="77777777" w:rsidR="001F6C6C" w:rsidRPr="00E15F46" w:rsidRDefault="001F6C6C" w:rsidP="001F6C6C">
      <w:pPr>
        <w:pStyle w:val="Default"/>
      </w:pPr>
    </w:p>
    <w:p w14:paraId="7D3F1D47" w14:textId="77777777" w:rsidR="001F6C6C" w:rsidRPr="00E15F46" w:rsidRDefault="001F6C6C" w:rsidP="001F6C6C">
      <w:pPr>
        <w:pStyle w:val="Default"/>
      </w:pPr>
    </w:p>
    <w:p w14:paraId="79531B3C" w14:textId="77777777" w:rsidR="001F6C6C" w:rsidRPr="000E057A" w:rsidRDefault="001F6C6C" w:rsidP="001F6C6C">
      <w:pPr>
        <w:pStyle w:val="CM5"/>
        <w:tabs>
          <w:tab w:val="left" w:pos="0"/>
        </w:tabs>
        <w:ind w:left="0" w:firstLine="0"/>
        <w:jc w:val="both"/>
        <w:rPr>
          <w:rFonts w:ascii="Arial" w:hAnsi="Arial" w:cs="Arial"/>
          <w:sz w:val="22"/>
          <w:szCs w:val="22"/>
        </w:rPr>
      </w:pPr>
      <w:r>
        <w:rPr>
          <w:rFonts w:ascii="Arial" w:hAnsi="Arial" w:cs="Arial"/>
          <w:sz w:val="22"/>
          <w:szCs w:val="22"/>
        </w:rPr>
        <w:t>Clare Gibney</w:t>
      </w:r>
    </w:p>
    <w:p w14:paraId="0448C31D" w14:textId="77777777" w:rsidR="001F6C6C" w:rsidRPr="000E057A" w:rsidRDefault="001F6C6C" w:rsidP="001F6C6C">
      <w:pPr>
        <w:pStyle w:val="CM5"/>
        <w:tabs>
          <w:tab w:val="left" w:pos="0"/>
        </w:tabs>
        <w:ind w:left="0" w:firstLine="0"/>
        <w:jc w:val="both"/>
        <w:rPr>
          <w:rFonts w:ascii="Arial" w:hAnsi="Arial" w:cs="Arial"/>
          <w:sz w:val="22"/>
          <w:szCs w:val="22"/>
        </w:rPr>
      </w:pPr>
      <w:r>
        <w:rPr>
          <w:rFonts w:ascii="Arial" w:hAnsi="Arial" w:cs="Arial"/>
          <w:sz w:val="22"/>
          <w:szCs w:val="22"/>
        </w:rPr>
        <w:t>Executive Director</w:t>
      </w:r>
    </w:p>
    <w:p w14:paraId="7671DBD1" w14:textId="77777777" w:rsidR="001F6C6C" w:rsidRPr="00ED7A11" w:rsidRDefault="001F6C6C" w:rsidP="001F6C6C">
      <w:pPr>
        <w:rPr>
          <w:rFonts w:ascii="Arial" w:hAnsi="Arial" w:cs="Arial"/>
          <w:sz w:val="22"/>
          <w:szCs w:val="22"/>
        </w:rPr>
      </w:pPr>
      <w:r w:rsidRPr="00ED7A11">
        <w:rPr>
          <w:rFonts w:ascii="Arial" w:hAnsi="Arial" w:cs="Arial"/>
          <w:sz w:val="22"/>
          <w:szCs w:val="22"/>
        </w:rPr>
        <w:t>Policy and Advice Division</w:t>
      </w:r>
    </w:p>
    <w:p w14:paraId="090AC82E" w14:textId="77777777" w:rsidR="001F6C6C" w:rsidRPr="000E057A" w:rsidRDefault="001F6C6C" w:rsidP="001F6C6C">
      <w:pPr>
        <w:rPr>
          <w:rFonts w:cs="Arial"/>
          <w:szCs w:val="22"/>
        </w:rPr>
      </w:pPr>
    </w:p>
    <w:p w14:paraId="7DAE4BDF" w14:textId="77777777" w:rsidR="001F6C6C" w:rsidRPr="00DE3CD8" w:rsidRDefault="001F6C6C" w:rsidP="001F6C6C">
      <w:pPr>
        <w:spacing w:before="480"/>
        <w:rPr>
          <w:rFonts w:ascii="Arial" w:hAnsi="Arial" w:cs="Arial"/>
          <w:b/>
        </w:rPr>
      </w:pPr>
      <w:r w:rsidRPr="00DE3CD8">
        <w:rPr>
          <w:rFonts w:ascii="Arial" w:hAnsi="Arial" w:cs="Arial"/>
          <w:b/>
        </w:rPr>
        <w:t>Interpretation</w:t>
      </w:r>
    </w:p>
    <w:p w14:paraId="22A1AEF0" w14:textId="77777777" w:rsidR="001F6C6C" w:rsidRPr="00DE3CD8" w:rsidRDefault="001F6C6C" w:rsidP="001F6C6C">
      <w:pPr>
        <w:spacing w:before="120"/>
        <w:rPr>
          <w:rFonts w:ascii="Arial" w:hAnsi="Arial" w:cs="Arial"/>
          <w:sz w:val="22"/>
          <w:szCs w:val="22"/>
        </w:rPr>
      </w:pPr>
      <w:r w:rsidRPr="00DE3CD8">
        <w:rPr>
          <w:rFonts w:ascii="Arial" w:hAnsi="Arial" w:cs="Arial"/>
          <w:sz w:val="22"/>
          <w:szCs w:val="22"/>
        </w:rPr>
        <w:t>In this instrument:</w:t>
      </w:r>
    </w:p>
    <w:p w14:paraId="2FC0E9A8" w14:textId="77777777" w:rsidR="001F6C6C" w:rsidRPr="00DE3CD8" w:rsidRDefault="001F6C6C" w:rsidP="001F6C6C">
      <w:pPr>
        <w:pStyle w:val="CM5"/>
        <w:spacing w:before="120" w:after="120"/>
        <w:ind w:left="567"/>
        <w:jc w:val="both"/>
        <w:rPr>
          <w:rFonts w:ascii="Arial" w:hAnsi="Arial" w:cs="Arial"/>
          <w:sz w:val="22"/>
          <w:szCs w:val="22"/>
        </w:rPr>
      </w:pPr>
      <w:r w:rsidRPr="00DE3CD8">
        <w:rPr>
          <w:rFonts w:ascii="Arial" w:hAnsi="Arial" w:cs="Arial"/>
          <w:b/>
          <w:i/>
          <w:sz w:val="22"/>
          <w:szCs w:val="22"/>
        </w:rPr>
        <w:t>APRA</w:t>
      </w:r>
      <w:r w:rsidRPr="00DE3CD8">
        <w:rPr>
          <w:rFonts w:ascii="Arial" w:hAnsi="Arial" w:cs="Arial"/>
          <w:sz w:val="22"/>
          <w:szCs w:val="22"/>
        </w:rPr>
        <w:t xml:space="preserve"> means the Australian Prudential Regulation Authority.</w:t>
      </w:r>
    </w:p>
    <w:p w14:paraId="16D09BEA" w14:textId="77777777" w:rsidR="001F6C6C" w:rsidRPr="00DE3CD8" w:rsidRDefault="001F6C6C" w:rsidP="001F6C6C">
      <w:pPr>
        <w:pStyle w:val="CM5"/>
        <w:tabs>
          <w:tab w:val="clear" w:pos="851"/>
          <w:tab w:val="left" w:pos="284"/>
        </w:tabs>
        <w:spacing w:before="120" w:after="120"/>
        <w:ind w:left="0" w:firstLine="0"/>
        <w:jc w:val="both"/>
        <w:rPr>
          <w:rFonts w:ascii="Arial" w:hAnsi="Arial" w:cs="Arial"/>
          <w:b/>
          <w:i/>
          <w:sz w:val="22"/>
          <w:szCs w:val="22"/>
        </w:rPr>
      </w:pPr>
      <w:r w:rsidRPr="00DE3CD8">
        <w:rPr>
          <w:rFonts w:ascii="Arial" w:hAnsi="Arial" w:cs="Arial"/>
          <w:b/>
          <w:i/>
          <w:sz w:val="22"/>
          <w:szCs w:val="22"/>
        </w:rPr>
        <w:t xml:space="preserve">ADI </w:t>
      </w:r>
      <w:r w:rsidRPr="00DE3CD8">
        <w:rPr>
          <w:rFonts w:ascii="Arial" w:hAnsi="Arial" w:cs="Arial"/>
          <w:sz w:val="22"/>
          <w:szCs w:val="22"/>
        </w:rPr>
        <w:t>has the meaning given in subsection 5(1) of the Act.</w:t>
      </w:r>
    </w:p>
    <w:p w14:paraId="5BFA173B" w14:textId="77777777" w:rsidR="001F6C6C" w:rsidRPr="00DE3CD8" w:rsidRDefault="001F6C6C" w:rsidP="001F6C6C">
      <w:pPr>
        <w:rPr>
          <w:rFonts w:ascii="Arial" w:hAnsi="Arial" w:cs="Arial"/>
          <w:b/>
          <w:i/>
          <w:sz w:val="22"/>
          <w:szCs w:val="22"/>
        </w:rPr>
      </w:pPr>
      <w:r w:rsidRPr="00DE3CD8">
        <w:rPr>
          <w:rFonts w:ascii="Arial" w:hAnsi="Arial" w:cs="Arial"/>
          <w:b/>
          <w:bCs/>
          <w:i/>
          <w:iCs/>
          <w:sz w:val="22"/>
          <w:szCs w:val="22"/>
        </w:rPr>
        <w:t>purchased payment facility</w:t>
      </w:r>
      <w:r w:rsidRPr="00DE3CD8">
        <w:rPr>
          <w:rFonts w:ascii="Arial" w:hAnsi="Arial" w:cs="Arial"/>
          <w:b/>
          <w:i/>
          <w:sz w:val="22"/>
          <w:szCs w:val="22"/>
        </w:rPr>
        <w:t xml:space="preserve"> </w:t>
      </w:r>
      <w:r w:rsidRPr="00DE3CD8">
        <w:rPr>
          <w:rFonts w:ascii="Arial" w:hAnsi="Arial" w:cs="Arial"/>
          <w:sz w:val="22"/>
          <w:szCs w:val="22"/>
        </w:rPr>
        <w:t xml:space="preserve">has the meaning given in section 7 of the </w:t>
      </w:r>
      <w:r w:rsidRPr="00DE3CD8">
        <w:rPr>
          <w:rFonts w:ascii="Arial" w:hAnsi="Arial" w:cs="Arial"/>
          <w:i/>
          <w:iCs/>
          <w:sz w:val="22"/>
          <w:szCs w:val="22"/>
        </w:rPr>
        <w:t>Payment Systems (Regulation) Act 1998</w:t>
      </w:r>
      <w:r w:rsidRPr="00DE3CD8">
        <w:rPr>
          <w:rFonts w:ascii="Arial" w:hAnsi="Arial" w:cs="Arial"/>
          <w:sz w:val="22"/>
          <w:szCs w:val="22"/>
        </w:rPr>
        <w:t>.</w:t>
      </w:r>
    </w:p>
    <w:p w14:paraId="245A0741" w14:textId="77777777" w:rsidR="001F6C6C" w:rsidRPr="00DE3CD8" w:rsidRDefault="001F6C6C" w:rsidP="001F6C6C">
      <w:pPr>
        <w:spacing w:before="240" w:after="120" w:line="288" w:lineRule="auto"/>
        <w:rPr>
          <w:rFonts w:ascii="Arial" w:hAnsi="Arial" w:cs="Arial"/>
          <w:b/>
        </w:rPr>
      </w:pPr>
      <w:r w:rsidRPr="00DE3CD8">
        <w:rPr>
          <w:rFonts w:ascii="Arial" w:hAnsi="Arial" w:cs="Arial"/>
          <w:szCs w:val="22"/>
        </w:rPr>
        <w:br w:type="page"/>
      </w:r>
      <w:r w:rsidRPr="00DE3CD8">
        <w:rPr>
          <w:rFonts w:ascii="Arial" w:hAnsi="Arial" w:cs="Arial"/>
          <w:b/>
        </w:rPr>
        <w:lastRenderedPageBreak/>
        <w:t>Schedule</w:t>
      </w:r>
    </w:p>
    <w:p w14:paraId="2CD513C5" w14:textId="77777777" w:rsidR="001F6C6C" w:rsidRPr="00481DA6" w:rsidRDefault="001F6C6C" w:rsidP="001F6C6C">
      <w:pPr>
        <w:rPr>
          <w:rFonts w:ascii="Arial" w:hAnsi="Arial" w:cs="Arial"/>
          <w:sz w:val="22"/>
          <w:szCs w:val="22"/>
        </w:rPr>
      </w:pPr>
      <w:r w:rsidRPr="00481DA6">
        <w:rPr>
          <w:rFonts w:ascii="Arial" w:hAnsi="Arial" w:cs="Arial"/>
          <w:i/>
          <w:sz w:val="22"/>
          <w:szCs w:val="22"/>
        </w:rPr>
        <w:t xml:space="preserve">Prudential Standard APS 610 Prudential Requirements for Providers of Purchased Payment Facilities </w:t>
      </w:r>
      <w:r w:rsidRPr="00481DA6">
        <w:rPr>
          <w:rFonts w:ascii="Arial" w:hAnsi="Arial" w:cs="Arial"/>
          <w:sz w:val="22"/>
          <w:szCs w:val="22"/>
        </w:rPr>
        <w:t>comprises the document commencing on the following page.</w:t>
      </w:r>
    </w:p>
    <w:p w14:paraId="3833A127" w14:textId="77777777" w:rsidR="000576F4" w:rsidRPr="00DE3CD8" w:rsidRDefault="000576F4" w:rsidP="001F6C6C">
      <w:pPr>
        <w:rPr>
          <w:rFonts w:ascii="Arial" w:hAnsi="Arial" w:cs="Arial"/>
          <w:szCs w:val="22"/>
        </w:rPr>
      </w:pPr>
    </w:p>
    <w:p w14:paraId="2F59E4F7" w14:textId="77777777" w:rsidR="00B900A3" w:rsidRPr="00F2507A" w:rsidRDefault="00C7046D">
      <w:pPr>
        <w:rPr>
          <w:b/>
          <w:sz w:val="50"/>
          <w:szCs w:val="20"/>
        </w:rPr>
        <w:sectPr w:rsidR="00B900A3" w:rsidRPr="00F2507A" w:rsidSect="00EA2EE7">
          <w:headerReference w:type="default" r:id="rId14"/>
          <w:pgSz w:w="11907" w:h="16840" w:code="9"/>
          <w:pgMar w:top="1440" w:right="1797" w:bottom="1418" w:left="1797" w:header="720" w:footer="720" w:gutter="0"/>
          <w:pgNumType w:start="1"/>
          <w:cols w:space="720"/>
        </w:sectPr>
      </w:pPr>
      <w:r>
        <w:rPr>
          <w:b/>
          <w:sz w:val="50"/>
          <w:szCs w:val="20"/>
        </w:rPr>
        <w:br w:type="page"/>
      </w:r>
    </w:p>
    <w:p w14:paraId="72E2CE80" w14:textId="75A50819" w:rsidR="00C7046D" w:rsidRPr="00B900A3" w:rsidRDefault="00C7046D">
      <w:pPr>
        <w:rPr>
          <w:rFonts w:cs="Arial"/>
          <w:b/>
          <w:szCs w:val="22"/>
        </w:rPr>
      </w:pPr>
    </w:p>
    <w:p w14:paraId="691F3C96" w14:textId="602E7F9F" w:rsidR="00EA2EE7" w:rsidRPr="009E4162" w:rsidRDefault="00EA2EE7" w:rsidP="00EA2EE7">
      <w:pPr>
        <w:keepNext/>
        <w:spacing w:after="360"/>
        <w:jc w:val="both"/>
        <w:outlineLvl w:val="4"/>
        <w:rPr>
          <w:b/>
          <w:sz w:val="50"/>
          <w:szCs w:val="20"/>
        </w:rPr>
      </w:pPr>
      <w:r w:rsidRPr="00EA2EE7">
        <w:rPr>
          <w:b/>
          <w:noProof/>
          <w:sz w:val="52"/>
          <w:szCs w:val="20"/>
        </w:rPr>
        <w:drawing>
          <wp:inline distT="0" distB="0" distL="0" distR="0" wp14:anchorId="59FEA527" wp14:editId="4A176F0C">
            <wp:extent cx="1419225" cy="1104900"/>
            <wp:effectExtent l="0" t="0" r="0" b="0"/>
            <wp:docPr id="3" name="Picture 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onwealth Coat of Arms"/>
                    <pic:cNvPicPr>
                      <a:picLocks noChangeAspect="1" noChangeArrowheads="1"/>
                    </pic:cNvPicPr>
                  </pic:nvPicPr>
                  <pic:blipFill>
                    <a:blip r:embed="rId13" cstate="print"/>
                    <a:srcRect/>
                    <a:stretch>
                      <a:fillRect/>
                    </a:stretch>
                  </pic:blipFill>
                  <pic:spPr bwMode="auto">
                    <a:xfrm>
                      <a:off x="0" y="0"/>
                      <a:ext cx="1419225" cy="1104900"/>
                    </a:xfrm>
                    <a:prstGeom prst="rect">
                      <a:avLst/>
                    </a:prstGeom>
                    <a:noFill/>
                    <a:ln w="9525">
                      <a:noFill/>
                      <a:miter lim="800000"/>
                      <a:headEnd/>
                      <a:tailEnd/>
                    </a:ln>
                  </pic:spPr>
                </pic:pic>
              </a:graphicData>
            </a:graphic>
          </wp:inline>
        </w:drawing>
      </w:r>
    </w:p>
    <w:p w14:paraId="6E6446FE" w14:textId="77777777" w:rsidR="00EA2EE7" w:rsidRPr="001D566A" w:rsidRDefault="00EA2EE7" w:rsidP="00EA2EE7">
      <w:pPr>
        <w:keepNext/>
        <w:spacing w:before="120" w:after="240"/>
        <w:jc w:val="both"/>
        <w:outlineLvl w:val="4"/>
        <w:rPr>
          <w:rFonts w:ascii="Arial" w:hAnsi="Arial" w:cs="Arial"/>
          <w:b/>
          <w:sz w:val="40"/>
          <w:szCs w:val="40"/>
        </w:rPr>
      </w:pPr>
      <w:r w:rsidRPr="00FE14A7">
        <w:rPr>
          <w:rFonts w:ascii="Arial" w:hAnsi="Arial" w:cs="Arial"/>
          <w:b/>
          <w:sz w:val="40"/>
          <w:szCs w:val="40"/>
        </w:rPr>
        <w:t>Prudential</w:t>
      </w:r>
      <w:r w:rsidRPr="00EA2EE7">
        <w:rPr>
          <w:rFonts w:ascii="Arial" w:hAnsi="Arial" w:cs="Arial"/>
          <w:b/>
          <w:sz w:val="40"/>
          <w:szCs w:val="40"/>
        </w:rPr>
        <w:t xml:space="preserve"> Standard </w:t>
      </w:r>
      <w:r w:rsidRPr="005728C4">
        <w:rPr>
          <w:rFonts w:ascii="Arial" w:hAnsi="Arial" w:cs="Arial"/>
          <w:b/>
          <w:sz w:val="40"/>
          <w:szCs w:val="40"/>
        </w:rPr>
        <w:t>APS</w:t>
      </w:r>
      <w:r w:rsidRPr="00EA2EE7">
        <w:rPr>
          <w:rFonts w:ascii="Arial" w:hAnsi="Arial" w:cs="Arial"/>
          <w:b/>
          <w:sz w:val="40"/>
          <w:szCs w:val="40"/>
        </w:rPr>
        <w:t xml:space="preserve"> 610</w:t>
      </w:r>
    </w:p>
    <w:p w14:paraId="18046BD2" w14:textId="77777777" w:rsidR="00EA2EE7" w:rsidRPr="00EA2EE7" w:rsidRDefault="00EA2EE7" w:rsidP="00EA2EE7">
      <w:pPr>
        <w:keepNext/>
        <w:spacing w:before="120" w:after="240"/>
        <w:jc w:val="both"/>
        <w:outlineLvl w:val="4"/>
        <w:rPr>
          <w:rFonts w:ascii="Arial" w:hAnsi="Arial" w:cs="Arial"/>
          <w:b/>
          <w:sz w:val="40"/>
          <w:szCs w:val="40"/>
        </w:rPr>
      </w:pPr>
      <w:r w:rsidRPr="00EA2EE7">
        <w:rPr>
          <w:rFonts w:ascii="Arial" w:hAnsi="Arial" w:cs="Arial"/>
          <w:b/>
          <w:sz w:val="40"/>
          <w:szCs w:val="40"/>
        </w:rPr>
        <w:t>Prudential Requirements for Providers of Purchased Payment Facilities</w:t>
      </w:r>
    </w:p>
    <w:p w14:paraId="7CA92057" w14:textId="26B625F6" w:rsidR="00EA2EE7" w:rsidRPr="00EA2EE7" w:rsidRDefault="00EA2EE7" w:rsidP="00EA2EE7">
      <w:pPr>
        <w:keepNext/>
        <w:pBdr>
          <w:top w:val="single" w:sz="4" w:space="1" w:color="auto"/>
          <w:left w:val="single" w:sz="4" w:space="4" w:color="auto"/>
          <w:bottom w:val="single" w:sz="4" w:space="1" w:color="auto"/>
          <w:right w:val="single" w:sz="4" w:space="4" w:color="auto"/>
        </w:pBdr>
        <w:shd w:val="pct10" w:color="auto" w:fill="FFFFFF"/>
        <w:spacing w:before="120" w:after="240"/>
        <w:jc w:val="both"/>
        <w:outlineLvl w:val="2"/>
        <w:rPr>
          <w:rFonts w:ascii="Arial" w:hAnsi="Arial" w:cs="Arial"/>
          <w:b/>
          <w:sz w:val="32"/>
          <w:szCs w:val="32"/>
        </w:rPr>
      </w:pPr>
      <w:bookmarkStart w:id="3" w:name="_Toc131532845"/>
      <w:r w:rsidRPr="00EA2EE7">
        <w:rPr>
          <w:rFonts w:ascii="Arial" w:hAnsi="Arial" w:cs="Arial"/>
          <w:b/>
          <w:sz w:val="32"/>
          <w:szCs w:val="32"/>
        </w:rPr>
        <w:t>Objective</w:t>
      </w:r>
      <w:r w:rsidR="00824D7E">
        <w:rPr>
          <w:rFonts w:ascii="Arial" w:hAnsi="Arial" w:cs="Arial"/>
          <w:b/>
          <w:sz w:val="32"/>
          <w:szCs w:val="32"/>
        </w:rPr>
        <w:t>s</w:t>
      </w:r>
      <w:r w:rsidRPr="00EA2EE7">
        <w:rPr>
          <w:rFonts w:ascii="Arial" w:hAnsi="Arial" w:cs="Arial"/>
          <w:b/>
          <w:sz w:val="32"/>
          <w:szCs w:val="32"/>
        </w:rPr>
        <w:t xml:space="preserve"> and key requirements of this Prudential Standard</w:t>
      </w:r>
      <w:bookmarkEnd w:id="3"/>
    </w:p>
    <w:p w14:paraId="7F4AADA0" w14:textId="2D8F84CB" w:rsidR="00EA2EE7" w:rsidRPr="00EA2EE7" w:rsidRDefault="00EA2EE7" w:rsidP="00EA2EE7">
      <w:pPr>
        <w:pBdr>
          <w:top w:val="single" w:sz="4" w:space="1" w:color="auto"/>
          <w:left w:val="single" w:sz="4" w:space="4" w:color="auto"/>
          <w:bottom w:val="single" w:sz="4" w:space="1" w:color="auto"/>
          <w:right w:val="single" w:sz="4" w:space="4" w:color="auto"/>
        </w:pBdr>
        <w:shd w:val="pct10" w:color="auto" w:fill="FFFFFF"/>
        <w:spacing w:after="240"/>
        <w:jc w:val="both"/>
      </w:pPr>
      <w:r w:rsidRPr="00EA2EE7">
        <w:t xml:space="preserve">This Prudential Standard requires authorised deposit-taking institutions (ADIs) that have obtained an authority to provide purchased payment facilities (PPFs) to meet prudential requirements commensurate with their risk profile. These ADIs form a class of </w:t>
      </w:r>
      <w:smartTag w:uri="urn:schemas-microsoft-com:office:smarttags" w:element="stockticker">
        <w:r w:rsidRPr="00EA2EE7">
          <w:t>ADI</w:t>
        </w:r>
      </w:smartTag>
      <w:r w:rsidRPr="00EA2EE7">
        <w:t xml:space="preserve"> known as purchased payment facility providers (PPF providers). They are not authorised to conduct general banking business.</w:t>
      </w:r>
      <w:r w:rsidR="001E756D">
        <w:t xml:space="preserve"> </w:t>
      </w:r>
      <w:r w:rsidR="008230AF">
        <w:t xml:space="preserve"> </w:t>
      </w:r>
    </w:p>
    <w:p w14:paraId="6EF3D56C" w14:textId="740B1C58" w:rsidR="00EA2EE7" w:rsidRPr="00EA2EE7" w:rsidRDefault="00EA2EE7" w:rsidP="00EA2EE7">
      <w:pPr>
        <w:pBdr>
          <w:top w:val="single" w:sz="4" w:space="1" w:color="auto"/>
          <w:left w:val="single" w:sz="4" w:space="4" w:color="auto"/>
          <w:bottom w:val="single" w:sz="4" w:space="1" w:color="auto"/>
          <w:right w:val="single" w:sz="4" w:space="4" w:color="auto"/>
        </w:pBdr>
        <w:shd w:val="pct10" w:color="auto" w:fill="FFFFFF"/>
        <w:spacing w:after="240"/>
        <w:jc w:val="both"/>
      </w:pPr>
      <w:r w:rsidRPr="00EA2EE7">
        <w:t xml:space="preserve">This Prudential Standard sets out the </w:t>
      </w:r>
      <w:smartTag w:uri="urn:schemas-microsoft-com:office:smarttags" w:element="stockticker">
        <w:r w:rsidRPr="00EA2EE7">
          <w:t>ADI</w:t>
        </w:r>
      </w:smartTag>
      <w:r w:rsidRPr="00EA2EE7">
        <w:t xml:space="preserve"> prudential standards that apply to PPF providers, as well as additional requirements applying to PPF providers that have stored value at risk.  </w:t>
      </w:r>
    </w:p>
    <w:p w14:paraId="1B4F8BA5" w14:textId="1957BEB9" w:rsidR="00EA2EE7" w:rsidRPr="00EA2EE7" w:rsidRDefault="00EA2EE7" w:rsidP="00EA2EE7">
      <w:pPr>
        <w:pBdr>
          <w:top w:val="single" w:sz="4" w:space="1" w:color="auto"/>
          <w:left w:val="single" w:sz="4" w:space="4" w:color="auto"/>
          <w:bottom w:val="single" w:sz="4" w:space="1" w:color="auto"/>
          <w:right w:val="single" w:sz="4" w:space="4" w:color="auto"/>
        </w:pBdr>
        <w:shd w:val="pct10" w:color="auto" w:fill="FFFFFF"/>
        <w:spacing w:after="120"/>
        <w:jc w:val="both"/>
      </w:pPr>
      <w:r w:rsidRPr="00EA2EE7">
        <w:t>The key requirements of this Prudential Standard for PPF providers with stored value at risk are:</w:t>
      </w:r>
    </w:p>
    <w:p w14:paraId="59CFBBE0" w14:textId="7BD7A97B" w:rsidR="008230AF" w:rsidRDefault="008230AF" w:rsidP="00B20EAB">
      <w:pPr>
        <w:numPr>
          <w:ilvl w:val="0"/>
          <w:numId w:val="40"/>
        </w:numPr>
        <w:pBdr>
          <w:top w:val="single" w:sz="4" w:space="1" w:color="auto"/>
          <w:left w:val="single" w:sz="4" w:space="4" w:color="auto"/>
          <w:bottom w:val="single" w:sz="4" w:space="1" w:color="auto"/>
          <w:right w:val="single" w:sz="4" w:space="4" w:color="auto"/>
        </w:pBdr>
        <w:shd w:val="pct10" w:color="auto" w:fill="FFFFFF"/>
        <w:spacing w:after="240"/>
        <w:jc w:val="both"/>
      </w:pPr>
      <w:r>
        <w:t xml:space="preserve">a PPF provider must maintain Common Equity </w:t>
      </w:r>
      <w:r w:rsidRPr="00EA2EE7">
        <w:t xml:space="preserve">Tier 1 </w:t>
      </w:r>
      <w:r>
        <w:t>C</w:t>
      </w:r>
      <w:r w:rsidRPr="00EA2EE7">
        <w:t xml:space="preserve">apital </w:t>
      </w:r>
      <w:r>
        <w:t xml:space="preserve">above its prudential capital requirement (PCR) at all times; </w:t>
      </w:r>
    </w:p>
    <w:p w14:paraId="107CC2BA" w14:textId="03EDA457" w:rsidR="00EA2EE7" w:rsidRPr="00B20EAB" w:rsidRDefault="00EA2EE7" w:rsidP="00EA2EE7">
      <w:pPr>
        <w:numPr>
          <w:ilvl w:val="0"/>
          <w:numId w:val="40"/>
        </w:numPr>
        <w:pBdr>
          <w:top w:val="single" w:sz="4" w:space="1" w:color="auto"/>
          <w:left w:val="single" w:sz="4" w:space="4" w:color="auto"/>
          <w:bottom w:val="single" w:sz="4" w:space="1" w:color="auto"/>
          <w:right w:val="single" w:sz="4" w:space="4" w:color="auto"/>
        </w:pBdr>
        <w:shd w:val="pct10" w:color="auto" w:fill="FFFFFF"/>
        <w:spacing w:after="240"/>
        <w:jc w:val="both"/>
      </w:pPr>
      <w:r w:rsidRPr="00B20EAB">
        <w:t>a PPF provider with stored value at risk must hold, at all times, high quality liquid assets equal to its stored value liabilities; and</w:t>
      </w:r>
    </w:p>
    <w:p w14:paraId="1D470A0D" w14:textId="32DC9CE8" w:rsidR="00EA2EE7" w:rsidRPr="00EA2EE7" w:rsidRDefault="00EA2EE7" w:rsidP="00EA2EE7">
      <w:pPr>
        <w:numPr>
          <w:ilvl w:val="0"/>
          <w:numId w:val="40"/>
        </w:numPr>
        <w:pBdr>
          <w:top w:val="single" w:sz="4" w:space="1" w:color="auto"/>
          <w:left w:val="single" w:sz="4" w:space="4" w:color="auto"/>
          <w:bottom w:val="single" w:sz="4" w:space="1" w:color="auto"/>
          <w:right w:val="single" w:sz="4" w:space="4" w:color="auto"/>
        </w:pBdr>
        <w:shd w:val="pct10" w:color="auto" w:fill="FFFFFF"/>
        <w:spacing w:after="240"/>
        <w:jc w:val="both"/>
      </w:pPr>
      <w:r w:rsidRPr="00B20EAB">
        <w:t>a PPF provider with stored value at risk</w:t>
      </w:r>
      <w:r w:rsidRPr="00EA2EE7">
        <w:t xml:space="preserve"> must meet certain operational risk requirements.</w:t>
      </w:r>
    </w:p>
    <w:p w14:paraId="49595C34" w14:textId="73893190" w:rsidR="00EA2EE7" w:rsidRPr="00EA2EE7" w:rsidRDefault="00EA2EE7" w:rsidP="00EA2EE7">
      <w:pPr>
        <w:keepNext/>
        <w:pageBreakBefore/>
        <w:spacing w:before="120" w:after="240"/>
        <w:jc w:val="both"/>
        <w:outlineLvl w:val="2"/>
        <w:rPr>
          <w:rFonts w:ascii="Arial" w:hAnsi="Arial" w:cs="Arial"/>
          <w:b/>
        </w:rPr>
      </w:pPr>
      <w:bookmarkStart w:id="4" w:name="_Toc131532846"/>
      <w:r w:rsidRPr="00EA2EE7">
        <w:rPr>
          <w:rFonts w:ascii="Arial" w:hAnsi="Arial" w:cs="Arial"/>
          <w:b/>
        </w:rPr>
        <w:lastRenderedPageBreak/>
        <w:t xml:space="preserve">Authority </w:t>
      </w:r>
      <w:bookmarkEnd w:id="4"/>
    </w:p>
    <w:p w14:paraId="04331BAC" w14:textId="62B39EB9" w:rsidR="00EA2EE7" w:rsidRPr="00EA2EE7" w:rsidRDefault="00EA2EE7" w:rsidP="00EA2EE7">
      <w:pPr>
        <w:numPr>
          <w:ilvl w:val="0"/>
          <w:numId w:val="36"/>
        </w:numPr>
        <w:spacing w:after="240"/>
        <w:jc w:val="both"/>
        <w:rPr>
          <w:b/>
          <w:szCs w:val="20"/>
          <w:lang w:val="en-US"/>
        </w:rPr>
      </w:pPr>
      <w:r w:rsidRPr="00EA2EE7">
        <w:rPr>
          <w:szCs w:val="20"/>
        </w:rPr>
        <w:t>This Prudential Standard</w:t>
      </w:r>
      <w:r w:rsidRPr="00EA2EE7">
        <w:rPr>
          <w:szCs w:val="20"/>
          <w:lang w:val="en-US"/>
        </w:rPr>
        <w:t xml:space="preserve"> is made under section 11AF of the </w:t>
      </w:r>
      <w:r w:rsidRPr="00F102C6">
        <w:rPr>
          <w:b/>
          <w:lang w:val="en-US"/>
        </w:rPr>
        <w:t>Banking Act</w:t>
      </w:r>
      <w:r w:rsidRPr="00EA2EE7">
        <w:rPr>
          <w:szCs w:val="20"/>
        </w:rPr>
        <w:t>.</w:t>
      </w:r>
    </w:p>
    <w:p w14:paraId="37B954BA" w14:textId="77A0F234" w:rsidR="00EA2EE7" w:rsidRPr="00EA2EE7" w:rsidRDefault="00EA2EE7" w:rsidP="00EA2EE7">
      <w:pPr>
        <w:spacing w:after="240"/>
        <w:jc w:val="both"/>
        <w:rPr>
          <w:rFonts w:ascii="Arial" w:hAnsi="Arial" w:cs="Arial"/>
          <w:b/>
          <w:lang w:val="en-US"/>
        </w:rPr>
      </w:pPr>
      <w:r w:rsidRPr="00EA2EE7">
        <w:rPr>
          <w:rFonts w:ascii="Arial" w:hAnsi="Arial" w:cs="Arial"/>
          <w:b/>
          <w:lang w:val="en-US"/>
        </w:rPr>
        <w:t>Application</w:t>
      </w:r>
      <w:r w:rsidR="000E009F">
        <w:rPr>
          <w:rFonts w:ascii="Arial" w:hAnsi="Arial" w:cs="Arial"/>
          <w:b/>
          <w:lang w:val="en-US"/>
        </w:rPr>
        <w:t xml:space="preserve"> </w:t>
      </w:r>
    </w:p>
    <w:p w14:paraId="5BF422BC" w14:textId="16D18CF8" w:rsidR="00EA2EE7" w:rsidRDefault="00EA2EE7" w:rsidP="00EA2EE7">
      <w:pPr>
        <w:numPr>
          <w:ilvl w:val="0"/>
          <w:numId w:val="36"/>
        </w:numPr>
        <w:spacing w:after="240"/>
        <w:jc w:val="both"/>
      </w:pPr>
      <w:r w:rsidRPr="00EA2EE7">
        <w:t xml:space="preserve">This Prudential Standard applies to </w:t>
      </w:r>
      <w:r w:rsidRPr="00EA2EE7">
        <w:rPr>
          <w:b/>
          <w:lang w:val="en-US"/>
        </w:rPr>
        <w:t xml:space="preserve">purchased payment facility providers </w:t>
      </w:r>
      <w:r w:rsidRPr="00EA2EE7">
        <w:rPr>
          <w:lang w:val="en-US"/>
        </w:rPr>
        <w:t>(</w:t>
      </w:r>
      <w:r w:rsidRPr="00EA2EE7">
        <w:rPr>
          <w:b/>
          <w:lang w:val="en-US"/>
        </w:rPr>
        <w:t>PPF providers</w:t>
      </w:r>
      <w:r w:rsidRPr="00EA2EE7">
        <w:t>).</w:t>
      </w:r>
    </w:p>
    <w:p w14:paraId="3FE564DB" w14:textId="5A3A2517" w:rsidR="00EA2EE7" w:rsidRPr="00EA2EE7" w:rsidRDefault="00EA2EE7" w:rsidP="00EA2EE7">
      <w:pPr>
        <w:spacing w:after="240"/>
        <w:jc w:val="both"/>
        <w:rPr>
          <w:rFonts w:ascii="Arial" w:hAnsi="Arial" w:cs="Arial"/>
        </w:rPr>
      </w:pPr>
      <w:r w:rsidRPr="00EA2EE7">
        <w:rPr>
          <w:rFonts w:ascii="Arial" w:hAnsi="Arial" w:cs="Arial"/>
          <w:b/>
        </w:rPr>
        <w:t xml:space="preserve">Applicable </w:t>
      </w:r>
      <w:smartTag w:uri="urn:schemas-microsoft-com:office:smarttags" w:element="stockticker">
        <w:r w:rsidRPr="00EA2EE7">
          <w:rPr>
            <w:rFonts w:ascii="Arial" w:hAnsi="Arial" w:cs="Arial"/>
            <w:b/>
          </w:rPr>
          <w:t>ADI</w:t>
        </w:r>
      </w:smartTag>
      <w:r w:rsidRPr="00EA2EE7">
        <w:rPr>
          <w:rFonts w:ascii="Arial" w:hAnsi="Arial" w:cs="Arial"/>
          <w:b/>
        </w:rPr>
        <w:t xml:space="preserve"> prudential </w:t>
      </w:r>
      <w:r w:rsidRPr="00D95597">
        <w:rPr>
          <w:rFonts w:ascii="Arial" w:hAnsi="Arial" w:cs="Arial"/>
          <w:b/>
        </w:rPr>
        <w:t>standards</w:t>
      </w:r>
    </w:p>
    <w:p w14:paraId="5E5B083D" w14:textId="3B17C909" w:rsidR="00EA2EE7" w:rsidRPr="00EA2EE7" w:rsidRDefault="00EA2EE7" w:rsidP="00EA2EE7">
      <w:pPr>
        <w:numPr>
          <w:ilvl w:val="0"/>
          <w:numId w:val="36"/>
        </w:numPr>
        <w:spacing w:after="240"/>
        <w:jc w:val="both"/>
      </w:pPr>
      <w:r w:rsidRPr="00EA2EE7">
        <w:t>Prudential standards that apply to PPF providers are:</w:t>
      </w:r>
    </w:p>
    <w:p w14:paraId="6557EE77" w14:textId="68150F35" w:rsidR="00EA2EE7" w:rsidRPr="004B5D46" w:rsidRDefault="00FF50D1" w:rsidP="00EA2EE7">
      <w:pPr>
        <w:numPr>
          <w:ilvl w:val="0"/>
          <w:numId w:val="41"/>
        </w:numPr>
        <w:spacing w:after="240"/>
        <w:ind w:left="1134" w:hanging="567"/>
        <w:jc w:val="both"/>
      </w:pPr>
      <w:r w:rsidRPr="009C5806">
        <w:t xml:space="preserve">until </w:t>
      </w:r>
      <w:r w:rsidR="00D0782F" w:rsidRPr="009C5806">
        <w:t>30 June</w:t>
      </w:r>
      <w:r w:rsidRPr="009C5806">
        <w:t xml:space="preserve"> 2025, </w:t>
      </w:r>
      <w:r w:rsidR="00EA2EE7" w:rsidRPr="00EA2EE7">
        <w:rPr>
          <w:i/>
        </w:rPr>
        <w:t xml:space="preserve">Prudential Standard CPS 231 Outsourcing </w:t>
      </w:r>
      <w:r w:rsidR="00EA2EE7" w:rsidRPr="00EA2EE7">
        <w:t>(</w:t>
      </w:r>
      <w:r w:rsidR="00EA2EE7" w:rsidRPr="004B5D46">
        <w:t>CPS 231);</w:t>
      </w:r>
    </w:p>
    <w:p w14:paraId="7964310E" w14:textId="3BA40DB9" w:rsidR="00EA2EE7" w:rsidRPr="004B5D46" w:rsidRDefault="00FF50D1" w:rsidP="00EA2EE7">
      <w:pPr>
        <w:numPr>
          <w:ilvl w:val="0"/>
          <w:numId w:val="41"/>
        </w:numPr>
        <w:spacing w:after="240"/>
        <w:ind w:left="1134" w:hanging="567"/>
        <w:jc w:val="both"/>
      </w:pPr>
      <w:r>
        <w:t xml:space="preserve">until </w:t>
      </w:r>
      <w:r w:rsidR="00D0782F">
        <w:t>30 June</w:t>
      </w:r>
      <w:r>
        <w:t xml:space="preserve"> 2025, </w:t>
      </w:r>
      <w:r w:rsidR="00EA2EE7" w:rsidRPr="004B5D46">
        <w:rPr>
          <w:i/>
        </w:rPr>
        <w:t xml:space="preserve">Prudential Standard CPS 232 Business Continuity Management </w:t>
      </w:r>
      <w:r w:rsidR="00EA2EE7" w:rsidRPr="004B5D46">
        <w:t>(CPS 232);</w:t>
      </w:r>
    </w:p>
    <w:p w14:paraId="2CE6E07F" w14:textId="7E05232A" w:rsidR="00FF50D1" w:rsidRPr="009C5806" w:rsidRDefault="00FF50D1" w:rsidP="00EA2EE7">
      <w:pPr>
        <w:numPr>
          <w:ilvl w:val="0"/>
          <w:numId w:val="41"/>
        </w:numPr>
        <w:spacing w:after="240"/>
        <w:ind w:left="1134" w:hanging="567"/>
        <w:jc w:val="both"/>
      </w:pPr>
      <w:r>
        <w:rPr>
          <w:i/>
        </w:rPr>
        <w:t xml:space="preserve"> </w:t>
      </w:r>
      <w:r w:rsidR="005A7486">
        <w:t>o</w:t>
      </w:r>
      <w:r>
        <w:t xml:space="preserve">n and from 1 July 2025, </w:t>
      </w:r>
      <w:r>
        <w:rPr>
          <w:i/>
        </w:rPr>
        <w:t>Prudential Standard CPS 230 Operational Risk Management</w:t>
      </w:r>
      <w:r w:rsidRPr="009C5806">
        <w:rPr>
          <w:iCs/>
        </w:rPr>
        <w:t>;</w:t>
      </w:r>
    </w:p>
    <w:p w14:paraId="34D821FE" w14:textId="0824E776" w:rsidR="003A00C2" w:rsidRPr="004B5D46" w:rsidRDefault="003A00C2" w:rsidP="00EA2EE7">
      <w:pPr>
        <w:numPr>
          <w:ilvl w:val="0"/>
          <w:numId w:val="41"/>
        </w:numPr>
        <w:spacing w:after="240"/>
        <w:ind w:left="1134" w:hanging="567"/>
        <w:jc w:val="both"/>
      </w:pPr>
      <w:r>
        <w:rPr>
          <w:i/>
        </w:rPr>
        <w:t>Prudential Standard CPS 234 Information Security</w:t>
      </w:r>
      <w:r>
        <w:rPr>
          <w:iCs/>
        </w:rPr>
        <w:t>;</w:t>
      </w:r>
    </w:p>
    <w:p w14:paraId="13BAE086" w14:textId="7592177A" w:rsidR="004B5D46" w:rsidRPr="004B5D46" w:rsidRDefault="004B5D46" w:rsidP="00EA2EE7">
      <w:pPr>
        <w:numPr>
          <w:ilvl w:val="0"/>
          <w:numId w:val="41"/>
        </w:numPr>
        <w:spacing w:after="240"/>
        <w:ind w:left="1134" w:hanging="567"/>
        <w:jc w:val="both"/>
      </w:pPr>
      <w:r w:rsidRPr="004B5D46">
        <w:rPr>
          <w:i/>
        </w:rPr>
        <w:t>Prudential Standard CPS 220 Risk Management</w:t>
      </w:r>
      <w:r w:rsidRPr="004B5D46">
        <w:t>;</w:t>
      </w:r>
    </w:p>
    <w:p w14:paraId="034420AB" w14:textId="61107A20" w:rsidR="00EA2EE7" w:rsidRPr="004B5D46" w:rsidRDefault="00EA2EE7" w:rsidP="00EA2EE7">
      <w:pPr>
        <w:numPr>
          <w:ilvl w:val="0"/>
          <w:numId w:val="41"/>
        </w:numPr>
        <w:spacing w:after="240"/>
        <w:ind w:left="1134" w:hanging="567"/>
        <w:jc w:val="both"/>
      </w:pPr>
      <w:r w:rsidRPr="004B5D46">
        <w:rPr>
          <w:i/>
        </w:rPr>
        <w:t xml:space="preserve">Prudential Standard APS 310 Audit and Related </w:t>
      </w:r>
      <w:r w:rsidR="004B5D46">
        <w:rPr>
          <w:i/>
        </w:rPr>
        <w:t>Matters</w:t>
      </w:r>
      <w:r w:rsidRPr="004B5D46">
        <w:t>;</w:t>
      </w:r>
    </w:p>
    <w:p w14:paraId="67A5E522" w14:textId="057831EF" w:rsidR="00EA2EE7" w:rsidRPr="004B5D46" w:rsidRDefault="00EA2EE7" w:rsidP="00EA2EE7">
      <w:pPr>
        <w:numPr>
          <w:ilvl w:val="0"/>
          <w:numId w:val="41"/>
        </w:numPr>
        <w:spacing w:after="240"/>
        <w:ind w:left="1134" w:hanging="567"/>
        <w:jc w:val="both"/>
      </w:pPr>
      <w:r w:rsidRPr="004B5D46">
        <w:rPr>
          <w:i/>
        </w:rPr>
        <w:t>Prudential Standard CPS 510 Governance</w:t>
      </w:r>
      <w:r w:rsidRPr="004B5D46">
        <w:t>;</w:t>
      </w:r>
    </w:p>
    <w:p w14:paraId="62543F37" w14:textId="7AE77079" w:rsidR="00EA2EE7" w:rsidRDefault="00EA2EE7" w:rsidP="00EA2EE7">
      <w:pPr>
        <w:numPr>
          <w:ilvl w:val="0"/>
          <w:numId w:val="41"/>
        </w:numPr>
        <w:spacing w:after="240"/>
        <w:ind w:left="1134" w:hanging="567"/>
        <w:jc w:val="both"/>
      </w:pPr>
      <w:r w:rsidRPr="004B5D46">
        <w:rPr>
          <w:i/>
        </w:rPr>
        <w:t>Prudential Standard CPS 520 Fit and Proper</w:t>
      </w:r>
      <w:r w:rsidR="00E3211E">
        <w:t>;</w:t>
      </w:r>
      <w:r w:rsidR="00EE4235">
        <w:t xml:space="preserve"> and</w:t>
      </w:r>
    </w:p>
    <w:p w14:paraId="5069B1BA" w14:textId="53640453" w:rsidR="00E3211E" w:rsidRPr="004B5D46" w:rsidRDefault="00E3211E" w:rsidP="00EA2EE7">
      <w:pPr>
        <w:numPr>
          <w:ilvl w:val="0"/>
          <w:numId w:val="41"/>
        </w:numPr>
        <w:spacing w:after="240"/>
        <w:ind w:left="1134" w:hanging="567"/>
        <w:jc w:val="both"/>
      </w:pPr>
      <w:r>
        <w:rPr>
          <w:i/>
        </w:rPr>
        <w:t xml:space="preserve">Prudential Standard </w:t>
      </w:r>
      <w:r w:rsidRPr="00F102C6">
        <w:rPr>
          <w:i/>
        </w:rPr>
        <w:t xml:space="preserve">CPS </w:t>
      </w:r>
      <w:r>
        <w:rPr>
          <w:i/>
        </w:rPr>
        <w:t>900 Resolution Planning</w:t>
      </w:r>
      <w:r w:rsidRPr="00D16E55">
        <w:rPr>
          <w:iCs/>
        </w:rPr>
        <w:t>.</w:t>
      </w:r>
    </w:p>
    <w:p w14:paraId="128BB82D" w14:textId="46757B2F" w:rsidR="00AB1E04" w:rsidRPr="00E3620E" w:rsidRDefault="00AB1E04" w:rsidP="00AB1E04">
      <w:pPr>
        <w:spacing w:after="240"/>
        <w:jc w:val="both"/>
        <w:rPr>
          <w:rFonts w:ascii="Arial" w:hAnsi="Arial" w:cs="Arial"/>
          <w:b/>
        </w:rPr>
      </w:pPr>
      <w:r w:rsidRPr="00E3620E">
        <w:rPr>
          <w:rFonts w:ascii="Arial" w:hAnsi="Arial" w:cs="Arial"/>
          <w:b/>
        </w:rPr>
        <w:t xml:space="preserve">Interpretation </w:t>
      </w:r>
    </w:p>
    <w:p w14:paraId="152549C0" w14:textId="77777777" w:rsidR="00AB1E04" w:rsidRPr="00E3620E" w:rsidRDefault="00AB1E04" w:rsidP="00AB1E04">
      <w:pPr>
        <w:numPr>
          <w:ilvl w:val="0"/>
          <w:numId w:val="36"/>
        </w:numPr>
        <w:spacing w:after="240"/>
        <w:jc w:val="both"/>
        <w:rPr>
          <w:rFonts w:ascii="Arial" w:hAnsi="Arial" w:cs="Arial"/>
          <w:b/>
        </w:rPr>
      </w:pPr>
      <w:r>
        <w:t xml:space="preserve">Terms that are defined in </w:t>
      </w:r>
      <w:r w:rsidRPr="00E3620E">
        <w:rPr>
          <w:i/>
        </w:rPr>
        <w:t>Prudential Standard APS 001 Definitions</w:t>
      </w:r>
      <w:r>
        <w:t xml:space="preserve"> appear in bold the first time they are used in this Prudential Standard. </w:t>
      </w:r>
    </w:p>
    <w:p w14:paraId="528B1574" w14:textId="77777777" w:rsidR="00AB1E04" w:rsidRPr="00E3620E" w:rsidRDefault="00AB1E04" w:rsidP="00AB1E04">
      <w:pPr>
        <w:numPr>
          <w:ilvl w:val="0"/>
          <w:numId w:val="36"/>
        </w:numPr>
        <w:spacing w:after="240"/>
        <w:jc w:val="both"/>
        <w:rPr>
          <w:rFonts w:ascii="Arial" w:hAnsi="Arial" w:cs="Arial"/>
          <w:b/>
        </w:rPr>
      </w:pPr>
      <w:r>
        <w:t xml:space="preserve">Where this Prudential Standard provides for APRA to exercise a power or discretion, this power or discretion is to be exercised in writing. </w:t>
      </w:r>
    </w:p>
    <w:p w14:paraId="0FED8120" w14:textId="30A60E12" w:rsidR="00AB1E04" w:rsidRPr="00AB1E04" w:rsidRDefault="00AB1E04" w:rsidP="009C5806">
      <w:pPr>
        <w:numPr>
          <w:ilvl w:val="0"/>
          <w:numId w:val="36"/>
        </w:numPr>
        <w:spacing w:after="240"/>
        <w:jc w:val="both"/>
        <w:rPr>
          <w:rFonts w:ascii="Arial" w:hAnsi="Arial" w:cs="Arial"/>
          <w:b/>
        </w:rPr>
      </w:pPr>
      <w:r>
        <w:t>In this Prudential Standard, unless the contrary intention appears, a reference to an Act, Regulations or Prudential Standard is a reference to the Act, Regulations or Prudential Standard the instrument as in force from time to time.</w:t>
      </w:r>
    </w:p>
    <w:p w14:paraId="550A071B" w14:textId="409825B3" w:rsidR="00EA2EE7" w:rsidRDefault="00EA2EE7" w:rsidP="00EA2EE7">
      <w:pPr>
        <w:spacing w:after="240"/>
        <w:jc w:val="both"/>
        <w:rPr>
          <w:rFonts w:ascii="Arial" w:hAnsi="Arial" w:cs="Arial"/>
          <w:b/>
        </w:rPr>
      </w:pPr>
      <w:r w:rsidRPr="00EA2EE7">
        <w:rPr>
          <w:rFonts w:ascii="Arial" w:hAnsi="Arial" w:cs="Arial"/>
          <w:b/>
        </w:rPr>
        <w:t>Definition</w:t>
      </w:r>
      <w:r w:rsidR="00AB1E04">
        <w:rPr>
          <w:rFonts w:ascii="Arial" w:hAnsi="Arial" w:cs="Arial"/>
          <w:b/>
        </w:rPr>
        <w:t>s</w:t>
      </w:r>
      <w:r w:rsidRPr="00EA2EE7">
        <w:rPr>
          <w:rFonts w:ascii="Arial" w:hAnsi="Arial" w:cs="Arial"/>
          <w:b/>
        </w:rPr>
        <w:t xml:space="preserve"> </w:t>
      </w:r>
    </w:p>
    <w:p w14:paraId="029EDEF1" w14:textId="3EAC2D98" w:rsidR="00AB1E04" w:rsidRPr="009C5806" w:rsidRDefault="00AB1E04" w:rsidP="00D16E55">
      <w:pPr>
        <w:numPr>
          <w:ilvl w:val="0"/>
          <w:numId w:val="36"/>
        </w:numPr>
        <w:spacing w:after="240"/>
        <w:jc w:val="both"/>
      </w:pPr>
      <w:r w:rsidRPr="009C5806">
        <w:t xml:space="preserve">The following definitions are used in this Prudential Standard: </w:t>
      </w:r>
    </w:p>
    <w:p w14:paraId="19162C29" w14:textId="7F63CA13" w:rsidR="00FA56F8" w:rsidRPr="00BC38E7" w:rsidRDefault="000A3708" w:rsidP="00F102C6">
      <w:pPr>
        <w:numPr>
          <w:ilvl w:val="0"/>
          <w:numId w:val="30"/>
        </w:numPr>
        <w:tabs>
          <w:tab w:val="clear" w:pos="720"/>
          <w:tab w:val="left" w:pos="1134"/>
        </w:tabs>
        <w:autoSpaceDE w:val="0"/>
        <w:autoSpaceDN w:val="0"/>
        <w:adjustRightInd w:val="0"/>
        <w:spacing w:after="240"/>
        <w:ind w:left="1134" w:hanging="567"/>
        <w:jc w:val="both"/>
        <w:rPr>
          <w:szCs w:val="20"/>
        </w:rPr>
      </w:pPr>
      <w:r w:rsidRPr="00F102C6">
        <w:t>s</w:t>
      </w:r>
      <w:r w:rsidR="00EA2EE7" w:rsidRPr="00F102C6">
        <w:t>tored</w:t>
      </w:r>
      <w:r w:rsidR="00EA2EE7" w:rsidRPr="00BA41A8">
        <w:rPr>
          <w:rFonts w:ascii="Arial" w:hAnsi="Arial" w:cs="Arial"/>
          <w:b/>
        </w:rPr>
        <w:t xml:space="preserve"> </w:t>
      </w:r>
      <w:r w:rsidR="00EA2EE7" w:rsidRPr="00F102C6">
        <w:t>value</w:t>
      </w:r>
      <w:r w:rsidR="00BA41A8" w:rsidRPr="00F102C6">
        <w:t xml:space="preserve"> </w:t>
      </w:r>
      <w:r w:rsidR="00BA41A8">
        <w:rPr>
          <w:szCs w:val="20"/>
        </w:rPr>
        <w:t>- means</w:t>
      </w:r>
      <w:r w:rsidR="00EA2EE7" w:rsidRPr="00862FFA">
        <w:rPr>
          <w:szCs w:val="20"/>
        </w:rPr>
        <w:t xml:space="preserve"> the balance of funds represented on purchased payment facility (</w:t>
      </w:r>
      <w:r w:rsidR="00EA2EE7" w:rsidRPr="00F102C6">
        <w:rPr>
          <w:b/>
        </w:rPr>
        <w:t>PPF</w:t>
      </w:r>
      <w:r w:rsidR="00EA2EE7" w:rsidRPr="00862FFA">
        <w:rPr>
          <w:szCs w:val="20"/>
        </w:rPr>
        <w:t>) devices or PPF accounts held by beneficiaries for the purpose of making payments</w:t>
      </w:r>
      <w:r w:rsidR="00BA41A8">
        <w:rPr>
          <w:szCs w:val="20"/>
        </w:rPr>
        <w:t>; and</w:t>
      </w:r>
    </w:p>
    <w:p w14:paraId="5AA15BD3" w14:textId="2770CC77" w:rsidR="00EA2EE7" w:rsidRPr="00FA56F8" w:rsidRDefault="00BA41A8" w:rsidP="00F102C6">
      <w:pPr>
        <w:numPr>
          <w:ilvl w:val="0"/>
          <w:numId w:val="30"/>
        </w:numPr>
        <w:tabs>
          <w:tab w:val="clear" w:pos="720"/>
          <w:tab w:val="left" w:pos="1134"/>
        </w:tabs>
        <w:autoSpaceDE w:val="0"/>
        <w:autoSpaceDN w:val="0"/>
        <w:adjustRightInd w:val="0"/>
        <w:spacing w:after="240"/>
        <w:ind w:left="1134" w:hanging="567"/>
        <w:jc w:val="both"/>
        <w:rPr>
          <w:rFonts w:ascii="Arial" w:hAnsi="Arial" w:cs="Arial"/>
          <w:b/>
        </w:rPr>
      </w:pPr>
      <w:r>
        <w:lastRenderedPageBreak/>
        <w:t>s</w:t>
      </w:r>
      <w:r w:rsidR="00EA2EE7" w:rsidRPr="00EA2EE7">
        <w:t>tored value liabilities</w:t>
      </w:r>
      <w:r>
        <w:t xml:space="preserve"> -</w:t>
      </w:r>
      <w:r w:rsidR="00EA2EE7" w:rsidRPr="00EA2EE7">
        <w:t xml:space="preserve"> </w:t>
      </w:r>
      <w:r>
        <w:t>means</w:t>
      </w:r>
      <w:r w:rsidR="00EA2EE7" w:rsidRPr="00EA2EE7">
        <w:t xml:space="preserve"> the aggregate liabilities of a PPF provider to beneficiaries to complete payments made with PPF devices or PPF accounts, and the outstanding obligations to payees for payments made but not yet settled.</w:t>
      </w:r>
    </w:p>
    <w:p w14:paraId="767E4CF3" w14:textId="77777777" w:rsidR="00BA41A8" w:rsidRPr="006E680D" w:rsidRDefault="00BA41A8" w:rsidP="00BA41A8">
      <w:pPr>
        <w:spacing w:after="240"/>
        <w:jc w:val="both"/>
        <w:rPr>
          <w:rFonts w:ascii="Arial" w:hAnsi="Arial" w:cs="Arial"/>
          <w:b/>
        </w:rPr>
      </w:pPr>
      <w:r w:rsidRPr="006E680D">
        <w:rPr>
          <w:rFonts w:ascii="Arial" w:hAnsi="Arial" w:cs="Arial"/>
          <w:b/>
        </w:rPr>
        <w:t xml:space="preserve">Adjustments and exclusions </w:t>
      </w:r>
    </w:p>
    <w:p w14:paraId="665B0248" w14:textId="7454FE22" w:rsidR="00BA41A8" w:rsidRDefault="00BA41A8" w:rsidP="00BA41A8">
      <w:pPr>
        <w:numPr>
          <w:ilvl w:val="0"/>
          <w:numId w:val="36"/>
        </w:numPr>
        <w:spacing w:after="240"/>
        <w:jc w:val="both"/>
      </w:pPr>
      <w:r>
        <w:t>APRA may adjust or exclude a specific prudential requirement in this Prudential Standard in relation to one or more specified PPF providers.</w:t>
      </w:r>
    </w:p>
    <w:p w14:paraId="2B25DA49" w14:textId="77777777" w:rsidR="00BA41A8" w:rsidRPr="006E680D" w:rsidRDefault="00BA41A8" w:rsidP="00BA41A8">
      <w:pPr>
        <w:spacing w:after="240"/>
        <w:jc w:val="both"/>
        <w:rPr>
          <w:rFonts w:ascii="Arial" w:hAnsi="Arial" w:cs="Arial"/>
          <w:b/>
        </w:rPr>
      </w:pPr>
      <w:r w:rsidRPr="006E680D">
        <w:rPr>
          <w:rFonts w:ascii="Arial" w:hAnsi="Arial" w:cs="Arial"/>
          <w:b/>
        </w:rPr>
        <w:t xml:space="preserve">Previous exercise of discretion </w:t>
      </w:r>
    </w:p>
    <w:p w14:paraId="04559BA1" w14:textId="3D223B46" w:rsidR="00BA41A8" w:rsidRDefault="00BA41A8" w:rsidP="00BA41A8">
      <w:pPr>
        <w:numPr>
          <w:ilvl w:val="0"/>
          <w:numId w:val="36"/>
        </w:numPr>
        <w:spacing w:after="240"/>
        <w:jc w:val="both"/>
      </w:pPr>
      <w:r>
        <w:t xml:space="preserve">A PPF provider must contact APRA if it seeks to place reliance, for the purposes of complying with this Prudential Standard, on a previous exemption or other exercise of discretion by APRA under a previous version of this Prudential Standard. </w:t>
      </w:r>
    </w:p>
    <w:p w14:paraId="7B4C9307" w14:textId="0C070CD9" w:rsidR="00EA2EE7" w:rsidRPr="00EA2EE7" w:rsidRDefault="00EA2EE7" w:rsidP="00EA2EE7">
      <w:pPr>
        <w:spacing w:before="120" w:after="240"/>
        <w:jc w:val="both"/>
        <w:rPr>
          <w:rFonts w:ascii="Arial" w:hAnsi="Arial" w:cs="Arial"/>
          <w:b/>
        </w:rPr>
      </w:pPr>
      <w:r w:rsidRPr="00EA2EE7">
        <w:rPr>
          <w:rFonts w:ascii="Arial" w:hAnsi="Arial" w:cs="Arial"/>
          <w:b/>
        </w:rPr>
        <w:t>Prudential requirements for PPF providers with stored value at risk</w:t>
      </w:r>
    </w:p>
    <w:p w14:paraId="43B16A87" w14:textId="77777777" w:rsidR="00EA2EE7" w:rsidRPr="00EA2EE7" w:rsidRDefault="00EA2EE7" w:rsidP="00EA2EE7">
      <w:pPr>
        <w:numPr>
          <w:ilvl w:val="0"/>
          <w:numId w:val="36"/>
        </w:numPr>
        <w:spacing w:after="240"/>
        <w:jc w:val="both"/>
      </w:pPr>
      <w:r w:rsidRPr="00EA2EE7">
        <w:t>The remainder of this Prudential Standard sets out requirements that apply to all PPF providers with stored value at risk.</w:t>
      </w:r>
    </w:p>
    <w:p w14:paraId="0850A7F8" w14:textId="3554C554" w:rsidR="00EA2EE7" w:rsidRPr="00EA2EE7" w:rsidRDefault="00EA2EE7" w:rsidP="00EA2EE7">
      <w:pPr>
        <w:spacing w:before="120" w:after="240"/>
        <w:jc w:val="both"/>
        <w:rPr>
          <w:rFonts w:ascii="Arial" w:hAnsi="Arial" w:cs="Arial"/>
          <w:b/>
        </w:rPr>
      </w:pPr>
      <w:r w:rsidRPr="00EA2EE7">
        <w:rPr>
          <w:rFonts w:ascii="Arial" w:hAnsi="Arial" w:cs="Arial"/>
          <w:b/>
        </w:rPr>
        <w:t>Stored value at risk</w:t>
      </w:r>
    </w:p>
    <w:p w14:paraId="1948904A" w14:textId="77777777" w:rsidR="00EA2EE7" w:rsidRPr="00EA2EE7" w:rsidRDefault="00EA2EE7" w:rsidP="00EA2EE7">
      <w:pPr>
        <w:numPr>
          <w:ilvl w:val="0"/>
          <w:numId w:val="36"/>
        </w:numPr>
        <w:spacing w:after="240"/>
        <w:jc w:val="both"/>
      </w:pPr>
      <w:r w:rsidRPr="00EA2EE7">
        <w:rPr>
          <w:lang w:val="en-US"/>
        </w:rPr>
        <w:t xml:space="preserve">A PPF </w:t>
      </w:r>
      <w:r w:rsidRPr="00EA2EE7">
        <w:t>provider</w:t>
      </w:r>
      <w:r w:rsidRPr="00EA2EE7">
        <w:rPr>
          <w:lang w:val="en-US"/>
        </w:rPr>
        <w:t xml:space="preserve"> is deemed not to have stored value at risk if the PPF provider can satisfy APRA that</w:t>
      </w:r>
      <w:r w:rsidRPr="00EA2EE7">
        <w:t>:</w:t>
      </w:r>
    </w:p>
    <w:p w14:paraId="0FD42D65" w14:textId="77777777" w:rsidR="00EA2EE7" w:rsidRPr="00F102C6" w:rsidRDefault="00EA2EE7" w:rsidP="00F102C6">
      <w:pPr>
        <w:numPr>
          <w:ilvl w:val="0"/>
          <w:numId w:val="38"/>
        </w:numPr>
        <w:autoSpaceDE w:val="0"/>
        <w:autoSpaceDN w:val="0"/>
        <w:adjustRightInd w:val="0"/>
        <w:spacing w:after="240"/>
        <w:jc w:val="both"/>
        <w:rPr>
          <w:color w:val="000000"/>
        </w:rPr>
      </w:pPr>
      <w:r w:rsidRPr="00F102C6">
        <w:rPr>
          <w:color w:val="000000"/>
        </w:rPr>
        <w:t>the PPF provider does not itself have any stored value liabilities; or</w:t>
      </w:r>
    </w:p>
    <w:p w14:paraId="59DE2C3E" w14:textId="77777777" w:rsidR="00EA2EE7" w:rsidRPr="00F102C6" w:rsidRDefault="00EA2EE7" w:rsidP="00F102C6">
      <w:pPr>
        <w:numPr>
          <w:ilvl w:val="0"/>
          <w:numId w:val="38"/>
        </w:numPr>
        <w:autoSpaceDE w:val="0"/>
        <w:autoSpaceDN w:val="0"/>
        <w:adjustRightInd w:val="0"/>
        <w:spacing w:after="240"/>
        <w:jc w:val="both"/>
        <w:rPr>
          <w:color w:val="000000"/>
        </w:rPr>
      </w:pPr>
      <w:r w:rsidRPr="00F102C6">
        <w:rPr>
          <w:color w:val="000000"/>
        </w:rPr>
        <w:t>the PPF provider has stored value liabilities but:</w:t>
      </w:r>
    </w:p>
    <w:p w14:paraId="3B543B56" w14:textId="77777777" w:rsidR="00EA2EE7" w:rsidRPr="00BB4523" w:rsidRDefault="00EA2EE7" w:rsidP="00BB4523">
      <w:pPr>
        <w:numPr>
          <w:ilvl w:val="1"/>
          <w:numId w:val="31"/>
        </w:numPr>
        <w:tabs>
          <w:tab w:val="left" w:pos="1701"/>
        </w:tabs>
        <w:spacing w:after="240"/>
        <w:jc w:val="both"/>
        <w:rPr>
          <w:szCs w:val="20"/>
          <w:lang w:val="en-US"/>
        </w:rPr>
      </w:pPr>
      <w:r w:rsidRPr="00BB4523">
        <w:rPr>
          <w:szCs w:val="20"/>
          <w:lang w:val="en-US"/>
        </w:rPr>
        <w:t xml:space="preserve">the funds received in exchange for stored value on PPF devices or in PPF accounts are deposited in an account held with an </w:t>
      </w:r>
      <w:smartTag w:uri="urn:schemas-microsoft-com:office:smarttags" w:element="stockticker">
        <w:r w:rsidRPr="00BB4523">
          <w:rPr>
            <w:szCs w:val="20"/>
            <w:lang w:val="en-US"/>
          </w:rPr>
          <w:t>ADI</w:t>
        </w:r>
      </w:smartTag>
      <w:r w:rsidRPr="00BB4523">
        <w:rPr>
          <w:szCs w:val="20"/>
          <w:lang w:val="en-US"/>
        </w:rPr>
        <w:t xml:space="preserve"> until settlement to payees occurs; and</w:t>
      </w:r>
    </w:p>
    <w:p w14:paraId="297532E7" w14:textId="77777777" w:rsidR="00EA2EE7" w:rsidRPr="00EA2EE7" w:rsidRDefault="00EA2EE7" w:rsidP="00EA2EE7">
      <w:pPr>
        <w:numPr>
          <w:ilvl w:val="1"/>
          <w:numId w:val="31"/>
        </w:numPr>
        <w:tabs>
          <w:tab w:val="left" w:pos="1701"/>
        </w:tabs>
        <w:spacing w:after="240"/>
        <w:jc w:val="both"/>
        <w:rPr>
          <w:lang w:val="en-US"/>
        </w:rPr>
      </w:pPr>
      <w:r w:rsidRPr="00EA2EE7">
        <w:rPr>
          <w:szCs w:val="20"/>
          <w:lang w:val="en-US"/>
        </w:rPr>
        <w:t>the PPF provider has no operational control of the account; and</w:t>
      </w:r>
    </w:p>
    <w:p w14:paraId="102E8789" w14:textId="77777777" w:rsidR="00EA2EE7" w:rsidRPr="00EA2EE7" w:rsidRDefault="00EA2EE7" w:rsidP="00EA2EE7">
      <w:pPr>
        <w:numPr>
          <w:ilvl w:val="1"/>
          <w:numId w:val="31"/>
        </w:numPr>
        <w:tabs>
          <w:tab w:val="left" w:pos="1701"/>
        </w:tabs>
        <w:spacing w:after="240"/>
        <w:jc w:val="both"/>
        <w:rPr>
          <w:lang w:val="en-US"/>
        </w:rPr>
      </w:pPr>
      <w:r w:rsidRPr="00EA2EE7">
        <w:rPr>
          <w:szCs w:val="20"/>
          <w:lang w:val="en-US"/>
        </w:rPr>
        <w:t>no creditors aside from the beneficiaries or payees of the stored value can have legal recourse to the assets held in this account in the event the PPF provider becomes insolvent or is wound-up.</w:t>
      </w:r>
    </w:p>
    <w:p w14:paraId="64124E69" w14:textId="77777777" w:rsidR="00EA2EE7" w:rsidRPr="00EA2EE7" w:rsidRDefault="00EA2EE7" w:rsidP="00EA2EE7">
      <w:pPr>
        <w:spacing w:before="120" w:after="240"/>
        <w:jc w:val="both"/>
        <w:rPr>
          <w:rFonts w:ascii="Arial" w:hAnsi="Arial" w:cs="Arial"/>
          <w:b/>
        </w:rPr>
      </w:pPr>
      <w:r w:rsidRPr="00EA2EE7">
        <w:rPr>
          <w:rFonts w:ascii="Arial" w:hAnsi="Arial" w:cs="Arial"/>
          <w:b/>
        </w:rPr>
        <w:t>Responsibility for capital adequacy</w:t>
      </w:r>
    </w:p>
    <w:p w14:paraId="2D570277" w14:textId="77777777" w:rsidR="00EA2EE7" w:rsidRPr="00575B11" w:rsidRDefault="00EA2EE7" w:rsidP="00EA2EE7">
      <w:pPr>
        <w:numPr>
          <w:ilvl w:val="0"/>
          <w:numId w:val="36"/>
        </w:numPr>
        <w:spacing w:after="240"/>
        <w:jc w:val="both"/>
        <w:rPr>
          <w:color w:val="000000"/>
          <w:lang w:val="en-US"/>
        </w:rPr>
      </w:pPr>
      <w:r w:rsidRPr="00575B11">
        <w:rPr>
          <w:color w:val="000000"/>
          <w:lang w:val="en-US"/>
        </w:rPr>
        <w:t xml:space="preserve">The </w:t>
      </w:r>
      <w:r w:rsidRPr="00575B11">
        <w:t>Board</w:t>
      </w:r>
      <w:r w:rsidRPr="00575B11">
        <w:rPr>
          <w:color w:val="000000"/>
          <w:lang w:val="en-US"/>
        </w:rPr>
        <w:t xml:space="preserve"> of Directors (</w:t>
      </w:r>
      <w:r w:rsidRPr="00575B11">
        <w:rPr>
          <w:b/>
          <w:color w:val="000000"/>
          <w:lang w:val="en-US"/>
        </w:rPr>
        <w:t>Board</w:t>
      </w:r>
      <w:r w:rsidRPr="00575B11">
        <w:rPr>
          <w:color w:val="000000"/>
          <w:lang w:val="en-US"/>
        </w:rPr>
        <w:t xml:space="preserve">) of a </w:t>
      </w:r>
      <w:r w:rsidRPr="00575B11">
        <w:t xml:space="preserve">PPF provider </w:t>
      </w:r>
      <w:r w:rsidRPr="00575B11">
        <w:rPr>
          <w:color w:val="000000"/>
          <w:lang w:val="en-US"/>
        </w:rPr>
        <w:t xml:space="preserve">must ensure that the </w:t>
      </w:r>
      <w:r w:rsidRPr="00575B11">
        <w:t xml:space="preserve">PPF provider </w:t>
      </w:r>
      <w:r w:rsidRPr="00575B11">
        <w:rPr>
          <w:color w:val="000000"/>
          <w:lang w:val="en-US"/>
        </w:rPr>
        <w:t xml:space="preserve">maintains an appropriate level of capital commensurate with the level and extent of risks to which the </w:t>
      </w:r>
      <w:r w:rsidRPr="00575B11">
        <w:t xml:space="preserve">PPF provider </w:t>
      </w:r>
      <w:r w:rsidRPr="00575B11">
        <w:rPr>
          <w:color w:val="000000"/>
          <w:lang w:val="en-US"/>
        </w:rPr>
        <w:t xml:space="preserve">is exposed from its activities. </w:t>
      </w:r>
      <w:bookmarkStart w:id="5" w:name="_Ref338765194"/>
      <w:r w:rsidRPr="00575B11">
        <w:rPr>
          <w:color w:val="000000"/>
          <w:lang w:val="en-US"/>
        </w:rPr>
        <w:t>To t</w:t>
      </w:r>
      <w:r w:rsidRPr="00575B11">
        <w:rPr>
          <w:color w:val="000000"/>
        </w:rPr>
        <w:t>his e</w:t>
      </w:r>
      <w:proofErr w:type="spellStart"/>
      <w:r w:rsidRPr="00575B11">
        <w:rPr>
          <w:color w:val="000000"/>
          <w:lang w:val="en-US"/>
        </w:rPr>
        <w:t>nd</w:t>
      </w:r>
      <w:proofErr w:type="spellEnd"/>
      <w:r w:rsidRPr="00575B11">
        <w:rPr>
          <w:color w:val="000000"/>
          <w:lang w:val="en-US"/>
        </w:rPr>
        <w:t xml:space="preserve">, the </w:t>
      </w:r>
      <w:r w:rsidRPr="00575B11">
        <w:rPr>
          <w:color w:val="000000"/>
        </w:rPr>
        <w:t xml:space="preserve">PPF provider </w:t>
      </w:r>
      <w:r w:rsidRPr="00575B11">
        <w:rPr>
          <w:color w:val="000000"/>
          <w:lang w:val="en-US"/>
        </w:rPr>
        <w:t>must:</w:t>
      </w:r>
      <w:bookmarkEnd w:id="5"/>
    </w:p>
    <w:p w14:paraId="7E064D6B" w14:textId="77777777" w:rsidR="00EA2EE7" w:rsidRPr="00575B11" w:rsidRDefault="00EA2EE7" w:rsidP="00F102C6">
      <w:pPr>
        <w:numPr>
          <w:ilvl w:val="0"/>
          <w:numId w:val="43"/>
        </w:numPr>
        <w:autoSpaceDE w:val="0"/>
        <w:autoSpaceDN w:val="0"/>
        <w:adjustRightInd w:val="0"/>
        <w:spacing w:after="240"/>
        <w:jc w:val="both"/>
        <w:rPr>
          <w:color w:val="000000"/>
        </w:rPr>
      </w:pPr>
      <w:r w:rsidRPr="00575B11">
        <w:rPr>
          <w:color w:val="000000"/>
        </w:rPr>
        <w:t>have</w:t>
      </w:r>
      <w:r w:rsidRPr="00575B11">
        <w:t xml:space="preserve"> adequate sys</w:t>
      </w:r>
      <w:r w:rsidRPr="00575B11">
        <w:rPr>
          <w:color w:val="000000"/>
        </w:rPr>
        <w:t>tems and procedures in place to id</w:t>
      </w:r>
      <w:r w:rsidRPr="00575B11">
        <w:t>entify, measu</w:t>
      </w:r>
      <w:r w:rsidRPr="00575B11">
        <w:rPr>
          <w:color w:val="000000"/>
        </w:rPr>
        <w:t xml:space="preserve">re, monitor and manage the risks arising from its activities to ensure that capital is held at a level </w:t>
      </w:r>
      <w:r w:rsidRPr="00575B11">
        <w:t>consistent wi</w:t>
      </w:r>
      <w:r w:rsidRPr="00575B11">
        <w:rPr>
          <w:color w:val="000000"/>
        </w:rPr>
        <w:t>th the PPF provider’s risk profile; and</w:t>
      </w:r>
    </w:p>
    <w:p w14:paraId="52D4F8EE" w14:textId="77777777" w:rsidR="00EA2EE7" w:rsidRPr="00575B11" w:rsidRDefault="00EA2EE7" w:rsidP="00F102C6">
      <w:pPr>
        <w:numPr>
          <w:ilvl w:val="0"/>
          <w:numId w:val="43"/>
        </w:numPr>
        <w:autoSpaceDE w:val="0"/>
        <w:autoSpaceDN w:val="0"/>
        <w:adjustRightInd w:val="0"/>
        <w:spacing w:after="240"/>
        <w:jc w:val="both"/>
      </w:pPr>
      <w:bookmarkStart w:id="6" w:name="_Ref338765196"/>
      <w:r w:rsidRPr="00575B11">
        <w:rPr>
          <w:color w:val="000000"/>
        </w:rPr>
        <w:lastRenderedPageBreak/>
        <w:t>maintain</w:t>
      </w:r>
      <w:r w:rsidRPr="00575B11">
        <w:t xml:space="preserve"> and implemen</w:t>
      </w:r>
      <w:r w:rsidRPr="00575B11">
        <w:rPr>
          <w:color w:val="000000"/>
        </w:rPr>
        <w:t>t a ca</w:t>
      </w:r>
      <w:r w:rsidRPr="00575B11">
        <w:t>pital management plan, consistent with the overall business plan, for managing its capital levels on an ongoing basis.  The plan must set out:</w:t>
      </w:r>
      <w:bookmarkEnd w:id="6"/>
    </w:p>
    <w:p w14:paraId="4F5EB46D" w14:textId="77777777" w:rsidR="00EA2EE7" w:rsidRPr="00575B11" w:rsidRDefault="00EA2EE7" w:rsidP="00EA2EE7">
      <w:pPr>
        <w:numPr>
          <w:ilvl w:val="0"/>
          <w:numId w:val="37"/>
        </w:numPr>
        <w:spacing w:after="240"/>
        <w:jc w:val="both"/>
        <w:rPr>
          <w:color w:val="000000"/>
          <w:lang w:val="en-US"/>
        </w:rPr>
      </w:pPr>
      <w:r w:rsidRPr="00575B11">
        <w:rPr>
          <w:color w:val="000000"/>
          <w:lang w:val="en-US"/>
        </w:rPr>
        <w:t xml:space="preserve">the </w:t>
      </w:r>
      <w:r w:rsidRPr="00575B11">
        <w:t xml:space="preserve">PPF provider’s </w:t>
      </w:r>
      <w:r w:rsidRPr="00575B11">
        <w:rPr>
          <w:color w:val="000000"/>
          <w:lang w:val="en-US"/>
        </w:rPr>
        <w:t xml:space="preserve">strategy for maintaining capital resources over time, for example, by outlining its capital needs for supporting the degree of risks involved in the </w:t>
      </w:r>
      <w:r w:rsidRPr="00575B11">
        <w:t xml:space="preserve">PPF provider’s </w:t>
      </w:r>
      <w:r w:rsidRPr="00575B11">
        <w:rPr>
          <w:color w:val="000000"/>
          <w:lang w:val="en-US"/>
        </w:rPr>
        <w:t>business, how the required level of capital is to be met, as well as the means available for sourcing additional capital where required; and</w:t>
      </w:r>
    </w:p>
    <w:p w14:paraId="7F3C9DFF" w14:textId="77777777" w:rsidR="00EA2EE7" w:rsidRPr="00575B11" w:rsidRDefault="00EA2EE7" w:rsidP="00EA2EE7">
      <w:pPr>
        <w:numPr>
          <w:ilvl w:val="0"/>
          <w:numId w:val="37"/>
        </w:numPr>
        <w:tabs>
          <w:tab w:val="left" w:pos="1701"/>
        </w:tabs>
        <w:spacing w:after="240"/>
        <w:ind w:left="1644"/>
        <w:jc w:val="both"/>
        <w:rPr>
          <w:color w:val="000000"/>
          <w:lang w:val="en-US"/>
        </w:rPr>
      </w:pPr>
      <w:bookmarkStart w:id="7" w:name="_Ref338765198"/>
      <w:r w:rsidRPr="00575B11">
        <w:rPr>
          <w:color w:val="000000"/>
          <w:lang w:val="en-US"/>
        </w:rPr>
        <w:t xml:space="preserve">actions and procedures for monitoring the </w:t>
      </w:r>
      <w:r w:rsidRPr="00575B11">
        <w:t xml:space="preserve">PPF provider’s </w:t>
      </w:r>
      <w:r w:rsidRPr="00575B11">
        <w:rPr>
          <w:color w:val="000000"/>
          <w:lang w:val="en-US"/>
        </w:rPr>
        <w:t>compliance with minimum capital adequacy requirements, including the setting of trigger ratios to alert management of, and avert, potential breaches to the minimum capital required by APRA.</w:t>
      </w:r>
      <w:bookmarkEnd w:id="7"/>
    </w:p>
    <w:p w14:paraId="53864F20" w14:textId="77777777" w:rsidR="00EA2EE7" w:rsidRPr="00EA2EE7" w:rsidRDefault="00EA2EE7" w:rsidP="00EA2EE7">
      <w:pPr>
        <w:spacing w:before="120" w:after="240"/>
        <w:jc w:val="both"/>
        <w:rPr>
          <w:rFonts w:ascii="Arial" w:hAnsi="Arial" w:cs="Arial"/>
          <w:b/>
          <w:color w:val="000000"/>
          <w:lang w:val="en-US"/>
        </w:rPr>
      </w:pPr>
      <w:r w:rsidRPr="00EA2EE7">
        <w:rPr>
          <w:rFonts w:ascii="Arial" w:hAnsi="Arial" w:cs="Arial"/>
          <w:b/>
          <w:color w:val="000000"/>
          <w:lang w:val="en-US"/>
        </w:rPr>
        <w:t>Minimum capital adequacy requirements</w:t>
      </w:r>
    </w:p>
    <w:p w14:paraId="1AF7C60F" w14:textId="6ADF5C25" w:rsidR="00EA2EE7" w:rsidRPr="00EA2EE7" w:rsidRDefault="00EA2EE7" w:rsidP="0033181D">
      <w:pPr>
        <w:numPr>
          <w:ilvl w:val="0"/>
          <w:numId w:val="36"/>
        </w:numPr>
        <w:spacing w:after="240"/>
        <w:jc w:val="both"/>
      </w:pPr>
      <w:bookmarkStart w:id="8" w:name="_Ref338168584"/>
      <w:bookmarkStart w:id="9" w:name="_Ref133483300"/>
      <w:r w:rsidRPr="00575B11">
        <w:rPr>
          <w:color w:val="000000"/>
          <w:lang w:val="en-US"/>
        </w:rPr>
        <w:t xml:space="preserve">A </w:t>
      </w:r>
      <w:r w:rsidRPr="00575B11">
        <w:t xml:space="preserve">PPF </w:t>
      </w:r>
      <w:r w:rsidRPr="00575B11">
        <w:rPr>
          <w:color w:val="000000"/>
          <w:lang w:val="en-US"/>
        </w:rPr>
        <w:t>provider</w:t>
      </w:r>
      <w:r w:rsidRPr="00575B11">
        <w:t xml:space="preserve"> </w:t>
      </w:r>
      <w:r w:rsidRPr="00575B11">
        <w:rPr>
          <w:color w:val="000000"/>
          <w:lang w:val="en-US"/>
        </w:rPr>
        <w:t>must</w:t>
      </w:r>
      <w:r w:rsidR="00BF2218">
        <w:rPr>
          <w:color w:val="000000"/>
          <w:lang w:val="en-US"/>
        </w:rPr>
        <w:t xml:space="preserve"> maintain </w:t>
      </w:r>
      <w:r w:rsidR="00BF2218">
        <w:rPr>
          <w:b/>
          <w:color w:val="000000"/>
          <w:lang w:val="en-US"/>
        </w:rPr>
        <w:t>Common Equity</w:t>
      </w:r>
      <w:r w:rsidRPr="00575B11">
        <w:rPr>
          <w:color w:val="000000"/>
          <w:lang w:val="en-US"/>
        </w:rPr>
        <w:t xml:space="preserve"> </w:t>
      </w:r>
      <w:r w:rsidRPr="00575B11">
        <w:rPr>
          <w:b/>
          <w:color w:val="000000"/>
          <w:lang w:val="en-US"/>
        </w:rPr>
        <w:t>Tier 1 Capital</w:t>
      </w:r>
      <w:r w:rsidR="00BF2218">
        <w:rPr>
          <w:color w:val="000000"/>
          <w:lang w:val="en-US"/>
        </w:rPr>
        <w:t xml:space="preserve"> above its </w:t>
      </w:r>
      <w:r w:rsidR="000A28E1">
        <w:rPr>
          <w:color w:val="000000"/>
          <w:lang w:val="en-US"/>
        </w:rPr>
        <w:t>prudential</w:t>
      </w:r>
      <w:r w:rsidR="000A28E1" w:rsidRPr="00F102C6">
        <w:rPr>
          <w:color w:val="000000"/>
          <w:lang w:val="en-US"/>
        </w:rPr>
        <w:t xml:space="preserve"> capital </w:t>
      </w:r>
      <w:r w:rsidR="000A28E1">
        <w:rPr>
          <w:color w:val="000000"/>
          <w:lang w:val="en-US"/>
        </w:rPr>
        <w:t>requirement (</w:t>
      </w:r>
      <w:r w:rsidR="00BF2218" w:rsidRPr="00A12581">
        <w:rPr>
          <w:color w:val="000000"/>
          <w:lang w:val="en-US"/>
        </w:rPr>
        <w:t>PCR</w:t>
      </w:r>
      <w:r w:rsidR="000A28E1">
        <w:rPr>
          <w:color w:val="000000"/>
          <w:lang w:val="en-US"/>
        </w:rPr>
        <w:t>)</w:t>
      </w:r>
      <w:r w:rsidR="00BF2218">
        <w:rPr>
          <w:color w:val="000000"/>
          <w:lang w:val="en-US"/>
        </w:rPr>
        <w:t xml:space="preserve"> at all times</w:t>
      </w:r>
      <w:r w:rsidR="00FF1497">
        <w:rPr>
          <w:color w:val="000000"/>
          <w:lang w:val="en-US"/>
        </w:rPr>
        <w:t>. The minimum PCR</w:t>
      </w:r>
      <w:r w:rsidR="00FF1497" w:rsidRPr="00F102C6">
        <w:rPr>
          <w:color w:val="000000"/>
          <w:lang w:val="en-US"/>
        </w:rPr>
        <w:t xml:space="preserve"> for </w:t>
      </w:r>
      <w:r w:rsidR="00FF1497">
        <w:rPr>
          <w:color w:val="000000"/>
          <w:lang w:val="en-US"/>
        </w:rPr>
        <w:t xml:space="preserve">a </w:t>
      </w:r>
      <w:r w:rsidR="00FF1497" w:rsidRPr="00F102C6">
        <w:rPr>
          <w:color w:val="000000"/>
          <w:lang w:val="en-US"/>
        </w:rPr>
        <w:t xml:space="preserve">PPF </w:t>
      </w:r>
      <w:r w:rsidR="00FF1497">
        <w:rPr>
          <w:color w:val="000000"/>
          <w:lang w:val="en-US"/>
        </w:rPr>
        <w:t>provider is</w:t>
      </w:r>
      <w:r w:rsidR="00AA109A">
        <w:t xml:space="preserve"> </w:t>
      </w:r>
      <w:bookmarkStart w:id="10" w:name="_Ref131451631"/>
      <w:bookmarkEnd w:id="8"/>
      <w:r w:rsidR="000C0F09" w:rsidRPr="000C0F09">
        <w:t>4 per cent of total outstanding stored value liabilities</w:t>
      </w:r>
      <w:r w:rsidR="00AA109A">
        <w:t>.</w:t>
      </w:r>
      <w:bookmarkStart w:id="11" w:name="_Ref338168585"/>
      <w:bookmarkEnd w:id="9"/>
      <w:bookmarkEnd w:id="10"/>
      <w:r w:rsidR="0033181D">
        <w:rPr>
          <w:color w:val="000000"/>
          <w:lang w:val="en-US"/>
        </w:rPr>
        <w:t xml:space="preserve"> </w:t>
      </w:r>
      <w:r w:rsidR="0037172C" w:rsidRPr="0033181D">
        <w:rPr>
          <w:color w:val="000000"/>
          <w:lang w:val="en-US"/>
        </w:rPr>
        <w:t>APRA</w:t>
      </w:r>
      <w:r w:rsidR="000C0F09">
        <w:t xml:space="preserve"> may </w:t>
      </w:r>
      <w:r w:rsidR="000C0F09" w:rsidRPr="0033181D">
        <w:rPr>
          <w:color w:val="000000"/>
          <w:lang w:val="en-US"/>
        </w:rPr>
        <w:t>change</w:t>
      </w:r>
      <w:r w:rsidR="000C0F09">
        <w:t xml:space="preserve"> a PPF provider’s PCR at any time, including on account of a supervisory review. APR</w:t>
      </w:r>
      <w:r w:rsidR="00970C19">
        <w:t>A may express a PCR as a minimum dollar amount. A PPF provider must not publicly disclose its PCR.</w:t>
      </w:r>
      <w:bookmarkEnd w:id="11"/>
    </w:p>
    <w:p w14:paraId="7AC71B54" w14:textId="33C0CC9A" w:rsidR="00EA2EE7" w:rsidRPr="00575B11" w:rsidRDefault="00EA2EE7" w:rsidP="00970C19">
      <w:pPr>
        <w:numPr>
          <w:ilvl w:val="0"/>
          <w:numId w:val="36"/>
        </w:numPr>
        <w:spacing w:after="240"/>
        <w:jc w:val="both"/>
        <w:rPr>
          <w:color w:val="000000"/>
          <w:lang w:val="en-US"/>
        </w:rPr>
      </w:pPr>
      <w:r w:rsidRPr="00575B11">
        <w:rPr>
          <w:color w:val="000000"/>
          <w:lang w:val="en-US"/>
        </w:rPr>
        <w:t>Examples</w:t>
      </w:r>
      <w:r w:rsidRPr="00575B11">
        <w:t xml:space="preserve"> of</w:t>
      </w:r>
      <w:r w:rsidR="00A773E0">
        <w:t xml:space="preserve"> Common Equity</w:t>
      </w:r>
      <w:r w:rsidRPr="00575B11">
        <w:t xml:space="preserve"> Tier 1 Capital include paid-up ordinary shares and retained earnings. </w:t>
      </w:r>
      <w:r w:rsidRPr="00575B11">
        <w:rPr>
          <w:i/>
        </w:rPr>
        <w:t xml:space="preserve">Prudential Standard </w:t>
      </w:r>
      <w:smartTag w:uri="urn:schemas-microsoft-com:office:smarttags" w:element="stockticker">
        <w:r w:rsidRPr="00575B11">
          <w:rPr>
            <w:i/>
          </w:rPr>
          <w:t>APS</w:t>
        </w:r>
      </w:smartTag>
      <w:r w:rsidRPr="00575B11">
        <w:rPr>
          <w:i/>
        </w:rPr>
        <w:t xml:space="preserve"> 111</w:t>
      </w:r>
      <w:r w:rsidRPr="00575B11">
        <w:t xml:space="preserve"> </w:t>
      </w:r>
      <w:r w:rsidRPr="00575B11">
        <w:rPr>
          <w:i/>
        </w:rPr>
        <w:t>Capital Adequacy: Measurement of Capital</w:t>
      </w:r>
      <w:r w:rsidRPr="00575B11">
        <w:t xml:space="preserve"> detail</w:t>
      </w:r>
      <w:r w:rsidR="00AB3443">
        <w:t>s</w:t>
      </w:r>
      <w:r w:rsidRPr="00575B11">
        <w:t xml:space="preserve"> the criteria </w:t>
      </w:r>
      <w:r w:rsidR="00AB3443">
        <w:t xml:space="preserve">financial </w:t>
      </w:r>
      <w:r w:rsidRPr="00575B11">
        <w:t xml:space="preserve">instruments must meet to be classified as </w:t>
      </w:r>
      <w:r w:rsidR="00A773E0">
        <w:t xml:space="preserve">Common Equity </w:t>
      </w:r>
      <w:r w:rsidRPr="00575B11">
        <w:t>Tier 1 Capital.</w:t>
      </w:r>
    </w:p>
    <w:p w14:paraId="437056A8" w14:textId="6795EBB9" w:rsidR="00EA2EE7" w:rsidRPr="00575B11" w:rsidRDefault="00EA2EE7" w:rsidP="00EA2EE7">
      <w:pPr>
        <w:numPr>
          <w:ilvl w:val="0"/>
          <w:numId w:val="36"/>
        </w:numPr>
        <w:spacing w:after="240"/>
        <w:jc w:val="both"/>
        <w:rPr>
          <w:color w:val="000000"/>
          <w:lang w:val="en-US"/>
        </w:rPr>
      </w:pPr>
      <w:r w:rsidRPr="00575B11">
        <w:rPr>
          <w:color w:val="000000"/>
          <w:lang w:val="en-US"/>
        </w:rPr>
        <w:t xml:space="preserve">A PPF provider must continuously monitor its stored value liabilities. If a </w:t>
      </w:r>
      <w:r w:rsidRPr="00575B11">
        <w:t xml:space="preserve">PPF </w:t>
      </w:r>
      <w:r w:rsidRPr="00575B11">
        <w:rPr>
          <w:color w:val="000000"/>
          <w:lang w:val="en-US"/>
        </w:rPr>
        <w:t>provider</w:t>
      </w:r>
      <w:r w:rsidRPr="00575B11">
        <w:t xml:space="preserve"> </w:t>
      </w:r>
      <w:r w:rsidRPr="00575B11">
        <w:rPr>
          <w:color w:val="000000"/>
          <w:lang w:val="en-US"/>
        </w:rPr>
        <w:t xml:space="preserve">is unable to do so, it must determine if paragraph </w:t>
      </w:r>
      <w:r w:rsidR="007766B5">
        <w:fldChar w:fldCharType="begin"/>
      </w:r>
      <w:r w:rsidR="007766B5">
        <w:rPr>
          <w:color w:val="000000"/>
          <w:lang w:val="en-US"/>
        </w:rPr>
        <w:instrText xml:space="preserve"> REF _Ref133483300 \r \h </w:instrText>
      </w:r>
      <w:r w:rsidR="007766B5">
        <w:fldChar w:fldCharType="separate"/>
      </w:r>
      <w:r w:rsidR="007766B5">
        <w:rPr>
          <w:color w:val="000000"/>
          <w:lang w:val="en-US"/>
        </w:rPr>
        <w:t>14</w:t>
      </w:r>
      <w:r w:rsidR="007766B5">
        <w:fldChar w:fldCharType="end"/>
      </w:r>
      <w:r w:rsidRPr="00575B11">
        <w:rPr>
          <w:color w:val="000000"/>
          <w:lang w:val="en-US"/>
        </w:rPr>
        <w:t xml:space="preserve"> applies by using the highest value of stored value liabilities held over the preceding </w:t>
      </w:r>
      <w:proofErr w:type="gramStart"/>
      <w:r w:rsidRPr="00575B11">
        <w:rPr>
          <w:color w:val="000000"/>
          <w:lang w:val="en-US"/>
        </w:rPr>
        <w:t>six month</w:t>
      </w:r>
      <w:proofErr w:type="gramEnd"/>
      <w:r w:rsidRPr="00575B11">
        <w:rPr>
          <w:color w:val="000000"/>
          <w:lang w:val="en-US"/>
        </w:rPr>
        <w:t xml:space="preserve"> period, measured in a manner approved by APRA.</w:t>
      </w:r>
    </w:p>
    <w:p w14:paraId="47B94FA9" w14:textId="0B1D09AD" w:rsidR="00EA2EE7" w:rsidRPr="00EA2EE7" w:rsidRDefault="00EA2EE7" w:rsidP="00EA2EE7">
      <w:pPr>
        <w:spacing w:before="120" w:after="240"/>
        <w:jc w:val="both"/>
        <w:rPr>
          <w:rFonts w:ascii="Arial" w:hAnsi="Arial" w:cs="Arial"/>
          <w:b/>
          <w:color w:val="000000"/>
          <w:lang w:val="en-US"/>
        </w:rPr>
      </w:pPr>
      <w:r w:rsidRPr="00EA2EE7">
        <w:rPr>
          <w:rFonts w:ascii="Arial" w:hAnsi="Arial" w:cs="Arial"/>
          <w:b/>
          <w:color w:val="000000"/>
          <w:lang w:val="en-US"/>
        </w:rPr>
        <w:t>Liquidity and asset requirements</w:t>
      </w:r>
    </w:p>
    <w:p w14:paraId="2B31DE10" w14:textId="77777777" w:rsidR="00EA2EE7" w:rsidRPr="00575B11" w:rsidRDefault="00EA2EE7" w:rsidP="00EA2EE7">
      <w:pPr>
        <w:numPr>
          <w:ilvl w:val="0"/>
          <w:numId w:val="36"/>
        </w:numPr>
        <w:spacing w:after="240"/>
        <w:jc w:val="both"/>
        <w:rPr>
          <w:color w:val="000000"/>
          <w:lang w:val="en-US"/>
        </w:rPr>
      </w:pPr>
      <w:r w:rsidRPr="00575B11">
        <w:rPr>
          <w:color w:val="000000"/>
          <w:lang w:val="en-US"/>
        </w:rPr>
        <w:t xml:space="preserve">A </w:t>
      </w:r>
      <w:r w:rsidRPr="00575B11">
        <w:t xml:space="preserve">PPF </w:t>
      </w:r>
      <w:r w:rsidRPr="00575B11">
        <w:rPr>
          <w:color w:val="000000"/>
          <w:lang w:val="en-US"/>
        </w:rPr>
        <w:t>provider</w:t>
      </w:r>
      <w:r w:rsidRPr="00575B11">
        <w:t xml:space="preserve"> </w:t>
      </w:r>
      <w:r w:rsidRPr="00575B11">
        <w:rPr>
          <w:color w:val="000000"/>
          <w:lang w:val="en-US"/>
        </w:rPr>
        <w:t>must hold at all times high quality liquid assets equal to its stored value liabilities. High quality liquid assets must be free from encumbrances (except where approved for a prudential purpose by APRA).  Eligible assets include:</w:t>
      </w:r>
    </w:p>
    <w:p w14:paraId="3320D338" w14:textId="77777777" w:rsidR="00EA2EE7" w:rsidRPr="00EA2EE7" w:rsidRDefault="00EA2EE7" w:rsidP="00EA2EE7">
      <w:pPr>
        <w:numPr>
          <w:ilvl w:val="0"/>
          <w:numId w:val="33"/>
        </w:numPr>
        <w:tabs>
          <w:tab w:val="clear" w:pos="720"/>
          <w:tab w:val="num" w:pos="1134"/>
        </w:tabs>
        <w:autoSpaceDE w:val="0"/>
        <w:autoSpaceDN w:val="0"/>
        <w:adjustRightInd w:val="0"/>
        <w:spacing w:after="240"/>
        <w:ind w:left="1134" w:hanging="567"/>
        <w:jc w:val="both"/>
      </w:pPr>
      <w:r w:rsidRPr="00EA2EE7">
        <w:t>cash;</w:t>
      </w:r>
    </w:p>
    <w:p w14:paraId="0D53E928" w14:textId="77777777" w:rsidR="00EA2EE7" w:rsidRPr="00EA2EE7" w:rsidRDefault="00EA2EE7" w:rsidP="00EA2EE7">
      <w:pPr>
        <w:numPr>
          <w:ilvl w:val="0"/>
          <w:numId w:val="33"/>
        </w:numPr>
        <w:tabs>
          <w:tab w:val="clear" w:pos="720"/>
          <w:tab w:val="num" w:pos="1134"/>
        </w:tabs>
        <w:autoSpaceDE w:val="0"/>
        <w:autoSpaceDN w:val="0"/>
        <w:adjustRightInd w:val="0"/>
        <w:spacing w:after="240"/>
        <w:ind w:left="1134" w:hanging="567"/>
        <w:jc w:val="both"/>
      </w:pPr>
      <w:r w:rsidRPr="00EA2EE7">
        <w:t>securities eligible for repurchase transactions with the Reserve Bank of Australia;</w:t>
      </w:r>
    </w:p>
    <w:p w14:paraId="672466E4" w14:textId="77777777" w:rsidR="00EA2EE7" w:rsidRPr="00EA2EE7" w:rsidRDefault="00EA2EE7" w:rsidP="00EA2EE7">
      <w:pPr>
        <w:numPr>
          <w:ilvl w:val="0"/>
          <w:numId w:val="33"/>
        </w:numPr>
        <w:tabs>
          <w:tab w:val="clear" w:pos="720"/>
          <w:tab w:val="num" w:pos="1134"/>
        </w:tabs>
        <w:autoSpaceDE w:val="0"/>
        <w:autoSpaceDN w:val="0"/>
        <w:adjustRightInd w:val="0"/>
        <w:spacing w:after="240"/>
        <w:ind w:left="1134" w:hanging="567"/>
        <w:jc w:val="both"/>
      </w:pPr>
      <w:r w:rsidRPr="00EA2EE7">
        <w:t xml:space="preserve">bank bills and CDs issued by ADIs provided the issue is rated at least ‘investment grade’ (refer to Attachment C to </w:t>
      </w:r>
      <w:r w:rsidRPr="00EA2EE7">
        <w:rPr>
          <w:i/>
        </w:rPr>
        <w:t xml:space="preserve">Prudential Standard </w:t>
      </w:r>
      <w:smartTag w:uri="urn:schemas-microsoft-com:office:smarttags" w:element="stockticker">
        <w:r w:rsidRPr="00EA2EE7">
          <w:rPr>
            <w:i/>
          </w:rPr>
          <w:t>APS</w:t>
        </w:r>
      </w:smartTag>
      <w:r w:rsidRPr="00EA2EE7">
        <w:rPr>
          <w:i/>
        </w:rPr>
        <w:t xml:space="preserve"> 116 Capital Adequacy: Market Risk</w:t>
      </w:r>
      <w:r w:rsidRPr="00EA2EE7">
        <w:t>);</w:t>
      </w:r>
    </w:p>
    <w:p w14:paraId="7A8C1DFA" w14:textId="77777777" w:rsidR="00EA2EE7" w:rsidRPr="00EA2EE7" w:rsidRDefault="00EA2EE7" w:rsidP="00EA2EE7">
      <w:pPr>
        <w:numPr>
          <w:ilvl w:val="0"/>
          <w:numId w:val="33"/>
        </w:numPr>
        <w:tabs>
          <w:tab w:val="clear" w:pos="720"/>
          <w:tab w:val="num" w:pos="1134"/>
        </w:tabs>
        <w:autoSpaceDE w:val="0"/>
        <w:autoSpaceDN w:val="0"/>
        <w:adjustRightInd w:val="0"/>
        <w:spacing w:after="240"/>
        <w:ind w:left="1134" w:hanging="567"/>
        <w:jc w:val="both"/>
      </w:pPr>
      <w:r w:rsidRPr="00EA2EE7">
        <w:t>deposits (at call and any other deposits readily convertible into cash within two business days) held with other ADIs; and</w:t>
      </w:r>
    </w:p>
    <w:p w14:paraId="6C670843" w14:textId="77777777" w:rsidR="00EA2EE7" w:rsidRPr="00EA2EE7" w:rsidRDefault="00EA2EE7" w:rsidP="00EA2EE7">
      <w:pPr>
        <w:numPr>
          <w:ilvl w:val="0"/>
          <w:numId w:val="33"/>
        </w:numPr>
        <w:tabs>
          <w:tab w:val="clear" w:pos="720"/>
          <w:tab w:val="num" w:pos="1134"/>
        </w:tabs>
        <w:autoSpaceDE w:val="0"/>
        <w:autoSpaceDN w:val="0"/>
        <w:adjustRightInd w:val="0"/>
        <w:spacing w:after="240"/>
        <w:ind w:left="1134" w:hanging="567"/>
        <w:jc w:val="both"/>
      </w:pPr>
      <w:r w:rsidRPr="00EA2EE7">
        <w:lastRenderedPageBreak/>
        <w:t>any asset approved by APRA (subject to any conditions imposed by APRA) as a high quality liquid asset for the purposes of this Prudential Standard.</w:t>
      </w:r>
    </w:p>
    <w:p w14:paraId="47B4E9B3" w14:textId="7408F967" w:rsidR="00EA2EE7" w:rsidRPr="00EA2EE7" w:rsidRDefault="00EA2EE7" w:rsidP="00EA2EE7">
      <w:pPr>
        <w:spacing w:before="120" w:after="240"/>
        <w:jc w:val="both"/>
        <w:rPr>
          <w:sz w:val="26"/>
          <w:szCs w:val="20"/>
        </w:rPr>
      </w:pPr>
      <w:r w:rsidRPr="00EA2EE7">
        <w:rPr>
          <w:rFonts w:ascii="Arial" w:hAnsi="Arial" w:cs="Arial"/>
          <w:b/>
        </w:rPr>
        <w:t>Operational risk</w:t>
      </w:r>
    </w:p>
    <w:p w14:paraId="02765F82" w14:textId="77777777" w:rsidR="00EA2EE7" w:rsidRPr="00575B11" w:rsidRDefault="00EA2EE7" w:rsidP="00EA2EE7">
      <w:pPr>
        <w:numPr>
          <w:ilvl w:val="0"/>
          <w:numId w:val="36"/>
        </w:numPr>
        <w:spacing w:after="240"/>
        <w:jc w:val="both"/>
        <w:rPr>
          <w:lang w:val="en-US"/>
        </w:rPr>
      </w:pPr>
      <w:r w:rsidRPr="00575B11">
        <w:rPr>
          <w:lang w:val="en-US"/>
        </w:rPr>
        <w:t xml:space="preserve">The Board and senior management of a PPF provider must develop, implement and </w:t>
      </w:r>
      <w:r w:rsidRPr="00575B11">
        <w:rPr>
          <w:color w:val="000000"/>
          <w:lang w:val="en-US"/>
        </w:rPr>
        <w:t>maintain</w:t>
      </w:r>
      <w:r w:rsidRPr="00575B11">
        <w:rPr>
          <w:lang w:val="en-US"/>
        </w:rPr>
        <w:t xml:space="preserve"> a risk management framework to address </w:t>
      </w:r>
      <w:r w:rsidRPr="00575B11">
        <w:rPr>
          <w:b/>
          <w:lang w:val="en-US"/>
        </w:rPr>
        <w:t xml:space="preserve">operational risk </w:t>
      </w:r>
      <w:r w:rsidRPr="00575B11">
        <w:rPr>
          <w:lang w:val="en-US"/>
        </w:rPr>
        <w:t>that is appropriate to the size, complexity and business mix of the PPF provider.</w:t>
      </w:r>
    </w:p>
    <w:p w14:paraId="123AABC9" w14:textId="77777777" w:rsidR="00EA2EE7" w:rsidRPr="00575B11" w:rsidRDefault="00EA2EE7" w:rsidP="00EA2EE7">
      <w:pPr>
        <w:numPr>
          <w:ilvl w:val="0"/>
          <w:numId w:val="36"/>
        </w:numPr>
        <w:spacing w:after="240"/>
        <w:jc w:val="both"/>
        <w:rPr>
          <w:color w:val="000000"/>
          <w:lang w:val="en-US"/>
        </w:rPr>
      </w:pPr>
      <w:r w:rsidRPr="00575B11">
        <w:rPr>
          <w:lang w:val="en-US"/>
        </w:rPr>
        <w:t xml:space="preserve">The </w:t>
      </w:r>
      <w:r w:rsidRPr="00575B11">
        <w:rPr>
          <w:color w:val="000000"/>
          <w:lang w:val="en-US"/>
        </w:rPr>
        <w:t>management</w:t>
      </w:r>
      <w:r w:rsidRPr="00575B11">
        <w:rPr>
          <w:lang w:val="en-US"/>
        </w:rPr>
        <w:t xml:space="preserve"> of operational risk must include, but is not limited to, the risks associated with</w:t>
      </w:r>
      <w:r w:rsidRPr="00575B11">
        <w:rPr>
          <w:color w:val="000000"/>
          <w:lang w:val="en-US"/>
        </w:rPr>
        <w:t>:</w:t>
      </w:r>
    </w:p>
    <w:p w14:paraId="6FDD0247" w14:textId="77777777" w:rsidR="00EA2EE7" w:rsidRPr="00575B11" w:rsidRDefault="00EA2EE7" w:rsidP="00EA2EE7">
      <w:pPr>
        <w:numPr>
          <w:ilvl w:val="0"/>
          <w:numId w:val="35"/>
        </w:numPr>
        <w:tabs>
          <w:tab w:val="clear" w:pos="720"/>
          <w:tab w:val="num" w:pos="1134"/>
        </w:tabs>
        <w:autoSpaceDE w:val="0"/>
        <w:autoSpaceDN w:val="0"/>
        <w:adjustRightInd w:val="0"/>
        <w:spacing w:after="240"/>
        <w:ind w:left="1134" w:hanging="567"/>
        <w:jc w:val="both"/>
      </w:pPr>
      <w:r w:rsidRPr="00575B11">
        <w:rPr>
          <w:lang w:val="en-US"/>
        </w:rPr>
        <w:t>t</w:t>
      </w:r>
      <w:r w:rsidRPr="00575B11">
        <w:t>he integrity of transaction data and timely processing of transactions;</w:t>
      </w:r>
    </w:p>
    <w:p w14:paraId="0CAD60D9" w14:textId="58440526" w:rsidR="00EA2EE7" w:rsidRPr="00575B11" w:rsidRDefault="00EA2EE7" w:rsidP="00EA2EE7">
      <w:pPr>
        <w:numPr>
          <w:ilvl w:val="0"/>
          <w:numId w:val="35"/>
        </w:numPr>
        <w:tabs>
          <w:tab w:val="clear" w:pos="720"/>
          <w:tab w:val="num" w:pos="1134"/>
        </w:tabs>
        <w:autoSpaceDE w:val="0"/>
        <w:autoSpaceDN w:val="0"/>
        <w:adjustRightInd w:val="0"/>
        <w:spacing w:after="240"/>
        <w:ind w:left="1134" w:hanging="567"/>
        <w:jc w:val="both"/>
      </w:pPr>
      <w:r w:rsidRPr="00575B11">
        <w:t xml:space="preserve">appropriate back-up and disaster recovery plans and facilities, including resilient critical processing systems (refer to </w:t>
      </w:r>
      <w:r w:rsidRPr="002020E6">
        <w:rPr>
          <w:iCs/>
        </w:rPr>
        <w:t>CPS 232</w:t>
      </w:r>
      <w:r w:rsidRPr="00575B11">
        <w:t>);</w:t>
      </w:r>
    </w:p>
    <w:p w14:paraId="72690C77" w14:textId="77777777" w:rsidR="00EA2EE7" w:rsidRPr="00575B11" w:rsidRDefault="00EA2EE7" w:rsidP="00EA2EE7">
      <w:pPr>
        <w:numPr>
          <w:ilvl w:val="0"/>
          <w:numId w:val="35"/>
        </w:numPr>
        <w:tabs>
          <w:tab w:val="clear" w:pos="720"/>
          <w:tab w:val="num" w:pos="1134"/>
        </w:tabs>
        <w:autoSpaceDE w:val="0"/>
        <w:autoSpaceDN w:val="0"/>
        <w:adjustRightInd w:val="0"/>
        <w:spacing w:after="240"/>
        <w:ind w:left="1134" w:hanging="567"/>
        <w:jc w:val="both"/>
      </w:pPr>
      <w:r w:rsidRPr="00575B11">
        <w:t>regular testing of business continuity and disaster recovery arrangements (refer to</w:t>
      </w:r>
      <w:r w:rsidRPr="00F102C6">
        <w:rPr>
          <w:i/>
        </w:rPr>
        <w:t xml:space="preserve"> </w:t>
      </w:r>
      <w:r w:rsidRPr="002020E6">
        <w:rPr>
          <w:iCs/>
        </w:rPr>
        <w:t>CPS 232</w:t>
      </w:r>
      <w:r w:rsidRPr="00575B11">
        <w:t>);</w:t>
      </w:r>
    </w:p>
    <w:p w14:paraId="431034CE" w14:textId="554A0421" w:rsidR="00EA2EE7" w:rsidRPr="00575B11" w:rsidRDefault="00EA2EE7" w:rsidP="00EA2EE7">
      <w:pPr>
        <w:numPr>
          <w:ilvl w:val="0"/>
          <w:numId w:val="35"/>
        </w:numPr>
        <w:tabs>
          <w:tab w:val="clear" w:pos="720"/>
          <w:tab w:val="num" w:pos="1134"/>
        </w:tabs>
        <w:autoSpaceDE w:val="0"/>
        <w:autoSpaceDN w:val="0"/>
        <w:adjustRightInd w:val="0"/>
        <w:spacing w:after="240"/>
        <w:ind w:left="1134" w:hanging="567"/>
        <w:jc w:val="both"/>
      </w:pPr>
      <w:r w:rsidRPr="00575B11">
        <w:t xml:space="preserve">outsourcing risk management to any third-party service providers (refer to </w:t>
      </w:r>
      <w:r w:rsidRPr="002020E6">
        <w:rPr>
          <w:iCs/>
        </w:rPr>
        <w:t>CPS 231</w:t>
      </w:r>
      <w:r w:rsidRPr="00575B11">
        <w:t>);</w:t>
      </w:r>
    </w:p>
    <w:p w14:paraId="5FC69B2D" w14:textId="77777777" w:rsidR="00EA2EE7" w:rsidRPr="00EA2EE7" w:rsidRDefault="00EA2EE7" w:rsidP="00EA2EE7">
      <w:pPr>
        <w:numPr>
          <w:ilvl w:val="0"/>
          <w:numId w:val="35"/>
        </w:numPr>
        <w:tabs>
          <w:tab w:val="clear" w:pos="720"/>
          <w:tab w:val="num" w:pos="1134"/>
        </w:tabs>
        <w:autoSpaceDE w:val="0"/>
        <w:autoSpaceDN w:val="0"/>
        <w:adjustRightInd w:val="0"/>
        <w:spacing w:after="240"/>
        <w:ind w:left="1134" w:hanging="567"/>
        <w:jc w:val="both"/>
      </w:pPr>
      <w:r w:rsidRPr="00EA2EE7">
        <w:t>internal and external fraud risk management, which must include the following elements:</w:t>
      </w:r>
    </w:p>
    <w:p w14:paraId="613BED1B" w14:textId="77777777" w:rsidR="00EA2EE7" w:rsidRPr="00EA2EE7" w:rsidRDefault="00EA2EE7" w:rsidP="00EA2EE7">
      <w:pPr>
        <w:numPr>
          <w:ilvl w:val="0"/>
          <w:numId w:val="39"/>
        </w:numPr>
        <w:spacing w:after="240"/>
        <w:jc w:val="both"/>
        <w:rPr>
          <w:lang w:val="en-US"/>
        </w:rPr>
      </w:pPr>
      <w:r w:rsidRPr="00EA2EE7">
        <w:rPr>
          <w:lang w:val="en-US"/>
        </w:rPr>
        <w:t>risk identification and assessment;</w:t>
      </w:r>
    </w:p>
    <w:p w14:paraId="530403E4" w14:textId="77777777" w:rsidR="00EA2EE7" w:rsidRPr="00EA2EE7" w:rsidRDefault="00EA2EE7" w:rsidP="00EA2EE7">
      <w:pPr>
        <w:numPr>
          <w:ilvl w:val="0"/>
          <w:numId w:val="39"/>
        </w:numPr>
        <w:spacing w:after="240"/>
        <w:jc w:val="both"/>
        <w:rPr>
          <w:lang w:val="en-US"/>
        </w:rPr>
      </w:pPr>
      <w:r w:rsidRPr="00EA2EE7">
        <w:rPr>
          <w:lang w:val="en-US"/>
        </w:rPr>
        <w:t>internal controls and mitigation strategies;</w:t>
      </w:r>
    </w:p>
    <w:p w14:paraId="5C162EEC" w14:textId="77777777" w:rsidR="00EA2EE7" w:rsidRPr="00EA2EE7" w:rsidRDefault="00EA2EE7" w:rsidP="00EA2EE7">
      <w:pPr>
        <w:numPr>
          <w:ilvl w:val="0"/>
          <w:numId w:val="39"/>
        </w:numPr>
        <w:spacing w:after="240"/>
        <w:jc w:val="both"/>
        <w:rPr>
          <w:lang w:val="en-US"/>
        </w:rPr>
      </w:pPr>
      <w:r w:rsidRPr="00EA2EE7">
        <w:rPr>
          <w:lang w:val="en-US"/>
        </w:rPr>
        <w:t>segregation of duties at both an operational level and in relation to functional reporting lines;</w:t>
      </w:r>
    </w:p>
    <w:p w14:paraId="5A12FF8E" w14:textId="77777777" w:rsidR="00EA2EE7" w:rsidRPr="00EA2EE7" w:rsidRDefault="00EA2EE7" w:rsidP="00EA2EE7">
      <w:pPr>
        <w:numPr>
          <w:ilvl w:val="0"/>
          <w:numId w:val="39"/>
        </w:numPr>
        <w:spacing w:after="240"/>
        <w:jc w:val="both"/>
        <w:rPr>
          <w:lang w:val="en-US"/>
        </w:rPr>
      </w:pPr>
      <w:r w:rsidRPr="00EA2EE7">
        <w:rPr>
          <w:lang w:val="en-US"/>
        </w:rPr>
        <w:t>financial accounting controls; and</w:t>
      </w:r>
    </w:p>
    <w:p w14:paraId="25E2D30A" w14:textId="77777777" w:rsidR="00EA2EE7" w:rsidRPr="00EA2EE7" w:rsidRDefault="00EA2EE7" w:rsidP="00EA2EE7">
      <w:pPr>
        <w:numPr>
          <w:ilvl w:val="0"/>
          <w:numId w:val="39"/>
        </w:numPr>
        <w:spacing w:after="240"/>
        <w:jc w:val="both"/>
        <w:rPr>
          <w:lang w:val="en-US"/>
        </w:rPr>
      </w:pPr>
      <w:r w:rsidRPr="00EA2EE7">
        <w:rPr>
          <w:lang w:val="en-US"/>
        </w:rPr>
        <w:t>staff training and awareness;</w:t>
      </w:r>
    </w:p>
    <w:p w14:paraId="09C6E20E" w14:textId="77777777" w:rsidR="00EA2EE7" w:rsidRPr="00EA2EE7" w:rsidRDefault="00EA2EE7" w:rsidP="00EA2EE7">
      <w:pPr>
        <w:numPr>
          <w:ilvl w:val="0"/>
          <w:numId w:val="35"/>
        </w:numPr>
        <w:tabs>
          <w:tab w:val="left" w:pos="1134"/>
        </w:tabs>
        <w:autoSpaceDE w:val="0"/>
        <w:autoSpaceDN w:val="0"/>
        <w:adjustRightInd w:val="0"/>
        <w:spacing w:after="240"/>
        <w:jc w:val="both"/>
      </w:pPr>
      <w:r w:rsidRPr="00EA2EE7">
        <w:t>controls against information security and physical security risks; and</w:t>
      </w:r>
    </w:p>
    <w:p w14:paraId="2DDAE823" w14:textId="7BEAA35F" w:rsidR="00EA2EE7" w:rsidRPr="00EA2EE7" w:rsidRDefault="00EA2EE7" w:rsidP="00EA2EE7">
      <w:pPr>
        <w:numPr>
          <w:ilvl w:val="0"/>
          <w:numId w:val="35"/>
        </w:numPr>
        <w:tabs>
          <w:tab w:val="left" w:pos="1134"/>
        </w:tabs>
        <w:autoSpaceDE w:val="0"/>
        <w:autoSpaceDN w:val="0"/>
        <w:adjustRightInd w:val="0"/>
        <w:spacing w:after="240"/>
        <w:jc w:val="both"/>
      </w:pPr>
      <w:r w:rsidRPr="00EA2EE7">
        <w:t xml:space="preserve">compliance obligations regarding relevant laws and regulations, for example those relating to licensing requirements under the </w:t>
      </w:r>
      <w:r w:rsidR="006A44E9" w:rsidRPr="00F102C6">
        <w:rPr>
          <w:b/>
        </w:rPr>
        <w:t>Corporations Act</w:t>
      </w:r>
      <w:r w:rsidRPr="00EA2EE7">
        <w:t>.</w:t>
      </w:r>
    </w:p>
    <w:p w14:paraId="42085145" w14:textId="77777777" w:rsidR="00EA2EE7" w:rsidRPr="00EA2EE7" w:rsidRDefault="00EA2EE7" w:rsidP="00EA2EE7">
      <w:pPr>
        <w:numPr>
          <w:ilvl w:val="0"/>
          <w:numId w:val="36"/>
        </w:numPr>
        <w:spacing w:after="240"/>
        <w:jc w:val="both"/>
      </w:pPr>
      <w:r w:rsidRPr="00EA2EE7">
        <w:t>A PPF provider must have in place effective management information systems and monitoring mechanisms to assist with early detection and correction of deficiencies in procedures for managing operational risk.</w:t>
      </w:r>
    </w:p>
    <w:p w14:paraId="542293A4" w14:textId="7A24C341" w:rsidR="00EA2EE7" w:rsidRPr="00EA2EE7" w:rsidRDefault="00EA2EE7" w:rsidP="00EA2EE7">
      <w:pPr>
        <w:numPr>
          <w:ilvl w:val="0"/>
          <w:numId w:val="36"/>
        </w:numPr>
        <w:spacing w:after="240"/>
        <w:jc w:val="both"/>
      </w:pPr>
      <w:r w:rsidRPr="00EA2EE7">
        <w:t xml:space="preserve">A PPF provider must consider the imposition of a limit on the amount of stored value </w:t>
      </w:r>
      <w:r w:rsidRPr="00E65FF9">
        <w:t xml:space="preserve">that can be loaded, stored or paid on a device or account purchased from the PPF </w:t>
      </w:r>
      <w:r w:rsidRPr="00E65FF9">
        <w:rPr>
          <w:color w:val="000000"/>
          <w:lang w:val="en-US"/>
        </w:rPr>
        <w:t>provider</w:t>
      </w:r>
      <w:r w:rsidRPr="00E65FF9">
        <w:t>. APRA will closely examine any facility that allows a purchaser to load, store, or pay sizeable amounts of money to ensure that the integrity of the facility is not compromised</w:t>
      </w:r>
      <w:r w:rsidRPr="00EA2EE7">
        <w:t xml:space="preserve">. Where a PPF provider is involved with this type of </w:t>
      </w:r>
      <w:r w:rsidRPr="00EA2EE7">
        <w:lastRenderedPageBreak/>
        <w:t>facility, it must ensure that it has in place adequate systems for the identification of purchasers and the recording and tracing of transaction data.</w:t>
      </w:r>
    </w:p>
    <w:p w14:paraId="4D86D0AC" w14:textId="69E2456A" w:rsidR="00EA2EE7" w:rsidRDefault="00EA2EE7" w:rsidP="00EA2EE7">
      <w:pPr>
        <w:numPr>
          <w:ilvl w:val="0"/>
          <w:numId w:val="36"/>
        </w:numPr>
        <w:spacing w:after="240"/>
        <w:jc w:val="both"/>
      </w:pPr>
      <w:r w:rsidRPr="00EA2EE7">
        <w:t>A PPF provider must not be involved in providing PPFs that do not have a reasonable limit on the amount that can be loaded, stored or paid on a device or account, or provide an audit trail of purchaser and transaction information.  Australia’s anti-money laundering regulator and specialist financial intelligence unit is the Australian Transaction Reports and Analysis Centre (</w:t>
      </w:r>
      <w:r w:rsidRPr="00F102C6">
        <w:rPr>
          <w:b/>
        </w:rPr>
        <w:t>AUSTRAC</w:t>
      </w:r>
      <w:r w:rsidRPr="00EA2EE7">
        <w:t>), and a PPF provider must comply with all anti-money laundering requirements, including customer due diligence, as administered by AUSTRAC.</w:t>
      </w:r>
    </w:p>
    <w:p w14:paraId="48002502" w14:textId="5B072066" w:rsidR="00EA2EE7" w:rsidRPr="00EA2EE7" w:rsidRDefault="00EA2EE7" w:rsidP="00EA2EE7">
      <w:pPr>
        <w:keepNext/>
        <w:spacing w:before="120" w:after="240"/>
        <w:jc w:val="both"/>
        <w:rPr>
          <w:rFonts w:ascii="Arial" w:hAnsi="Arial" w:cs="Arial"/>
          <w:b/>
        </w:rPr>
      </w:pPr>
      <w:r w:rsidRPr="00EA2EE7">
        <w:rPr>
          <w:rFonts w:ascii="Arial" w:hAnsi="Arial" w:cs="Arial"/>
          <w:b/>
        </w:rPr>
        <w:t>Notification requirements</w:t>
      </w:r>
    </w:p>
    <w:p w14:paraId="695A60E6" w14:textId="4864BA70" w:rsidR="00D16E55" w:rsidRPr="00F102C6" w:rsidRDefault="00D16E55" w:rsidP="00D16E55">
      <w:pPr>
        <w:numPr>
          <w:ilvl w:val="0"/>
          <w:numId w:val="36"/>
        </w:numPr>
        <w:spacing w:after="240"/>
        <w:jc w:val="both"/>
      </w:pPr>
      <w:r w:rsidRPr="00F102C6">
        <w:t xml:space="preserve">A </w:t>
      </w:r>
      <w:r w:rsidRPr="00575B11">
        <w:rPr>
          <w:color w:val="000000"/>
          <w:lang w:val="en-US"/>
        </w:rPr>
        <w:t xml:space="preserve">PPF provider must </w:t>
      </w:r>
      <w:r w:rsidR="00012FF0">
        <w:rPr>
          <w:color w:val="000000"/>
          <w:lang w:val="en-US"/>
        </w:rPr>
        <w:t xml:space="preserve">comply </w:t>
      </w:r>
      <w:r w:rsidRPr="00575B11">
        <w:rPr>
          <w:color w:val="000000"/>
          <w:lang w:val="en-US"/>
        </w:rPr>
        <w:t>with section 62A of the Banking Act</w:t>
      </w:r>
      <w:r w:rsidR="00012FF0">
        <w:rPr>
          <w:color w:val="000000"/>
          <w:lang w:val="en-US"/>
        </w:rPr>
        <w:t xml:space="preserve"> in respect of any breach of a requirement of this Prudential Standard, including:</w:t>
      </w:r>
    </w:p>
    <w:p w14:paraId="0871989A" w14:textId="1B848BFE" w:rsidR="00D16E55" w:rsidRPr="00575B11" w:rsidRDefault="00D16E55" w:rsidP="00F102C6">
      <w:pPr>
        <w:numPr>
          <w:ilvl w:val="0"/>
          <w:numId w:val="46"/>
        </w:numPr>
        <w:tabs>
          <w:tab w:val="clear" w:pos="720"/>
          <w:tab w:val="num" w:pos="1276"/>
        </w:tabs>
        <w:autoSpaceDE w:val="0"/>
        <w:autoSpaceDN w:val="0"/>
        <w:adjustRightInd w:val="0"/>
        <w:spacing w:after="240"/>
        <w:ind w:left="1134" w:hanging="567"/>
        <w:jc w:val="both"/>
      </w:pPr>
      <w:r w:rsidRPr="00EA2EE7">
        <w:t xml:space="preserve">any breach of the minimum capital adequacy requirements (refer to paragraph </w:t>
      </w:r>
      <w:r w:rsidRPr="00EA2EE7">
        <w:fldChar w:fldCharType="begin"/>
      </w:r>
      <w:r w:rsidRPr="00EA2EE7">
        <w:instrText xml:space="preserve"> REF _Ref338168584 \r \h </w:instrText>
      </w:r>
      <w:r w:rsidRPr="00EA2EE7">
        <w:fldChar w:fldCharType="separate"/>
      </w:r>
      <w:r>
        <w:t>14</w:t>
      </w:r>
      <w:r w:rsidRPr="00EA2EE7">
        <w:fldChar w:fldCharType="end"/>
      </w:r>
      <w:r w:rsidRPr="00EA2EE7">
        <w:t xml:space="preserve">) and any potential breach of these requirements (e.g. breaches of trigger ratios set under paragraph </w:t>
      </w:r>
      <w:r>
        <w:fldChar w:fldCharType="begin"/>
      </w:r>
      <w:r>
        <w:instrText xml:space="preserve"> REF _Ref338765194 \r \h  \* MERGEFORMAT </w:instrText>
      </w:r>
      <w:r>
        <w:fldChar w:fldCharType="separate"/>
      </w:r>
      <w:r>
        <w:t>13</w:t>
      </w:r>
      <w:r>
        <w:fldChar w:fldCharType="end"/>
      </w:r>
      <w:r>
        <w:fldChar w:fldCharType="begin"/>
      </w:r>
      <w:r>
        <w:instrText xml:space="preserve"> REF _Ref338765196 \r \h  \* MERGEFORMAT </w:instrText>
      </w:r>
      <w:r>
        <w:fldChar w:fldCharType="separate"/>
      </w:r>
      <w:r>
        <w:t>(b)</w:t>
      </w:r>
      <w:r>
        <w:fldChar w:fldCharType="end"/>
      </w:r>
      <w:r>
        <w:fldChar w:fldCharType="begin"/>
      </w:r>
      <w:r>
        <w:instrText xml:space="preserve"> REF _Ref338765198 \r \h  \* MERGEFORMAT </w:instrText>
      </w:r>
      <w:r>
        <w:fldChar w:fldCharType="separate"/>
      </w:r>
      <w:r>
        <w:t>(ii)</w:t>
      </w:r>
      <w:r>
        <w:fldChar w:fldCharType="end"/>
      </w:r>
      <w:r w:rsidRPr="00EA2EE7">
        <w:t>), including remedial actions taken/planned</w:t>
      </w:r>
      <w:r w:rsidRPr="00D16E55">
        <w:rPr>
          <w:b/>
        </w:rPr>
        <w:t xml:space="preserve"> </w:t>
      </w:r>
      <w:r w:rsidRPr="00EA2EE7">
        <w:t>to deal with the problem;</w:t>
      </w:r>
      <w:r w:rsidR="00012FF0">
        <w:t xml:space="preserve"> and</w:t>
      </w:r>
    </w:p>
    <w:p w14:paraId="601E2EF8" w14:textId="69476AB8" w:rsidR="00EA2EE7" w:rsidRPr="00F102C6" w:rsidRDefault="00D16E55" w:rsidP="00F102C6">
      <w:pPr>
        <w:numPr>
          <w:ilvl w:val="0"/>
          <w:numId w:val="46"/>
        </w:numPr>
        <w:tabs>
          <w:tab w:val="clear" w:pos="720"/>
          <w:tab w:val="num" w:pos="1134"/>
        </w:tabs>
        <w:autoSpaceDE w:val="0"/>
        <w:autoSpaceDN w:val="0"/>
        <w:adjustRightInd w:val="0"/>
        <w:spacing w:after="240"/>
        <w:ind w:left="1134" w:hanging="567"/>
        <w:jc w:val="both"/>
      </w:pPr>
      <w:r w:rsidRPr="00EA2EE7">
        <w:t>any breach of its minimum liquidity holdings, or concerns over the adequacy of its liquidity holdings</w:t>
      </w:r>
      <w:r>
        <w:t>.</w:t>
      </w:r>
    </w:p>
    <w:sectPr w:rsidR="00EA2EE7" w:rsidRPr="00F102C6" w:rsidSect="00EA2EE7">
      <w:footerReference w:type="default" r:id="rId15"/>
      <w:pgSz w:w="11907" w:h="16840" w:code="9"/>
      <w:pgMar w:top="1440" w:right="1797" w:bottom="1418"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5C353" w14:textId="77777777" w:rsidR="00D12AA7" w:rsidRDefault="00D12AA7" w:rsidP="005C75EC">
      <w:r>
        <w:separator/>
      </w:r>
    </w:p>
  </w:endnote>
  <w:endnote w:type="continuationSeparator" w:id="0">
    <w:p w14:paraId="5E3CECBC" w14:textId="77777777" w:rsidR="00D12AA7" w:rsidRDefault="00D12AA7" w:rsidP="005C75EC">
      <w:r>
        <w:continuationSeparator/>
      </w:r>
    </w:p>
  </w:endnote>
  <w:endnote w:type="continuationNotice" w:id="1">
    <w:p w14:paraId="1E10B1D1" w14:textId="77777777" w:rsidR="00D12AA7" w:rsidRDefault="00D12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BEAA" w14:textId="77777777" w:rsidR="00F2507A" w:rsidRPr="00F2507A" w:rsidRDefault="00F2507A" w:rsidP="00F2507A">
    <w:pPr>
      <w:pStyle w:val="Footer"/>
      <w:jc w:val="right"/>
      <w:rPr>
        <w:b/>
      </w:rPr>
    </w:pPr>
    <w:r>
      <w:rPr>
        <w:b/>
      </w:rPr>
      <w:t xml:space="preserve">APS 610 - </w:t>
    </w:r>
    <w:r>
      <w:rPr>
        <w:rStyle w:val="PageNumber"/>
        <w:b/>
      </w:rPr>
      <w:fldChar w:fldCharType="begin"/>
    </w:r>
    <w:r>
      <w:rPr>
        <w:rStyle w:val="PageNumber"/>
        <w:b/>
      </w:rPr>
      <w:instrText xml:space="preserve"> PAGE </w:instrText>
    </w:r>
    <w:r>
      <w:rPr>
        <w:rStyle w:val="PageNumber"/>
        <w:b/>
      </w:rPr>
      <w:fldChar w:fldCharType="separate"/>
    </w:r>
    <w:r>
      <w:rPr>
        <w:rStyle w:val="PageNumber"/>
        <w:b/>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78C89" w14:textId="77777777" w:rsidR="00D12AA7" w:rsidRPr="00884876" w:rsidRDefault="00D12AA7" w:rsidP="00D030F0">
      <w:r>
        <w:separator/>
      </w:r>
    </w:p>
  </w:footnote>
  <w:footnote w:type="continuationSeparator" w:id="0">
    <w:p w14:paraId="691EB577" w14:textId="77777777" w:rsidR="00D12AA7" w:rsidRDefault="00D12AA7" w:rsidP="005C75EC">
      <w:r>
        <w:continuationSeparator/>
      </w:r>
    </w:p>
  </w:footnote>
  <w:footnote w:type="continuationNotice" w:id="1">
    <w:p w14:paraId="46E006B0" w14:textId="77777777" w:rsidR="00D12AA7" w:rsidRDefault="00D12A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9923" w14:textId="738C0B7D" w:rsidR="000015E8" w:rsidRPr="00EE26AE" w:rsidRDefault="00EA2EE7" w:rsidP="00EA2EE7">
    <w:pPr>
      <w:pStyle w:val="Header"/>
      <w:tabs>
        <w:tab w:val="center" w:pos="8222"/>
      </w:tabs>
      <w:jc w:val="right"/>
    </w:pPr>
    <w:r>
      <w:rPr>
        <w:noProof/>
      </w:rPr>
      <w:tab/>
    </w:r>
    <w:r w:rsidR="009E4162">
      <w:rPr>
        <w:noProof/>
      </w:rPr>
      <w:t>May 2023</w:t>
    </w:r>
  </w:p>
  <w:p w14:paraId="7E937C48" w14:textId="77777777" w:rsidR="000015E8" w:rsidRPr="00E20E9E" w:rsidRDefault="000015E8" w:rsidP="000015E8">
    <w:pPr>
      <w:pStyle w:val="Header"/>
      <w:jc w:val="center"/>
      <w:rPr>
        <w:b/>
        <w:sz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9FE"/>
    <w:multiLevelType w:val="hybridMultilevel"/>
    <w:tmpl w:val="89D08E42"/>
    <w:lvl w:ilvl="0" w:tplc="FFFFFFFF">
      <w:start w:val="1"/>
      <w:numFmt w:val="lowerLetter"/>
      <w:lvlText w:val="(%1)"/>
      <w:lvlJc w:val="left"/>
      <w:pPr>
        <w:tabs>
          <w:tab w:val="num" w:pos="2520"/>
        </w:tabs>
        <w:ind w:left="2520" w:hanging="360"/>
      </w:pPr>
      <w:rPr>
        <w:rFonts w:hint="default"/>
      </w:rPr>
    </w:lvl>
    <w:lvl w:ilvl="1" w:tplc="FFFFFFFF">
      <w:start w:val="1"/>
      <w:numFmt w:val="lowerLetter"/>
      <w:lvlText w:val="%2."/>
      <w:lvlJc w:val="left"/>
      <w:pPr>
        <w:tabs>
          <w:tab w:val="num" w:pos="3240"/>
        </w:tabs>
        <w:ind w:left="3240" w:hanging="360"/>
      </w:p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1" w15:restartNumberingAfterBreak="0">
    <w:nsid w:val="0D483B15"/>
    <w:multiLevelType w:val="hybridMultilevel"/>
    <w:tmpl w:val="89D08E42"/>
    <w:lvl w:ilvl="0" w:tplc="EDD0F382">
      <w:start w:val="1"/>
      <w:numFmt w:val="lowerLetter"/>
      <w:lvlText w:val="(%1)"/>
      <w:lvlJc w:val="left"/>
      <w:pPr>
        <w:tabs>
          <w:tab w:val="num" w:pos="720"/>
        </w:tabs>
        <w:ind w:left="720" w:hanging="36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2D47222"/>
    <w:multiLevelType w:val="singleLevel"/>
    <w:tmpl w:val="7908A502"/>
    <w:lvl w:ilvl="0">
      <w:start w:val="1"/>
      <w:numFmt w:val="decimal"/>
      <w:lvlText w:val="%1."/>
      <w:lvlJc w:val="left"/>
      <w:pPr>
        <w:tabs>
          <w:tab w:val="num" w:pos="567"/>
        </w:tabs>
        <w:ind w:left="567" w:hanging="567"/>
      </w:pPr>
      <w:rPr>
        <w:rFonts w:ascii="Times New Roman" w:hAnsi="Times New Roman" w:cs="Times New Roman" w:hint="default"/>
        <w:b w:val="0"/>
        <w:i w:val="0"/>
        <w:sz w:val="24"/>
        <w:szCs w:val="24"/>
      </w:rPr>
    </w:lvl>
  </w:abstractNum>
  <w:abstractNum w:abstractNumId="3" w15:restartNumberingAfterBreak="0">
    <w:nsid w:val="13D75C16"/>
    <w:multiLevelType w:val="singleLevel"/>
    <w:tmpl w:val="274AA128"/>
    <w:lvl w:ilvl="0">
      <w:start w:val="1"/>
      <w:numFmt w:val="lowerRoman"/>
      <w:lvlText w:val="(%1)"/>
      <w:lvlJc w:val="left"/>
      <w:pPr>
        <w:tabs>
          <w:tab w:val="num" w:pos="1701"/>
        </w:tabs>
        <w:ind w:left="1701" w:hanging="567"/>
      </w:pPr>
      <w:rPr>
        <w:rFonts w:ascii="Times New Roman" w:hAnsi="Times New Roman" w:hint="default"/>
        <w:b w:val="0"/>
        <w:i w:val="0"/>
        <w:sz w:val="24"/>
        <w:szCs w:val="24"/>
      </w:rPr>
    </w:lvl>
  </w:abstractNum>
  <w:abstractNum w:abstractNumId="4" w15:restartNumberingAfterBreak="0">
    <w:nsid w:val="14C16960"/>
    <w:multiLevelType w:val="hybridMultilevel"/>
    <w:tmpl w:val="54C6A212"/>
    <w:lvl w:ilvl="0" w:tplc="2DAA46B6">
      <w:start w:val="1"/>
      <w:numFmt w:val="decimal"/>
      <w:lvlText w:val="%1."/>
      <w:lvlJc w:val="left"/>
      <w:pPr>
        <w:tabs>
          <w:tab w:val="num" w:pos="567"/>
        </w:tabs>
        <w:ind w:left="567" w:hanging="567"/>
      </w:pPr>
      <w:rPr>
        <w:rFonts w:ascii="Times New Roman" w:hAnsi="Times New Roman" w:cs="Times New Roman" w:hint="default"/>
        <w:b w:val="0"/>
        <w:i w:val="0"/>
        <w:sz w:val="24"/>
        <w:szCs w:val="24"/>
      </w:rPr>
    </w:lvl>
    <w:lvl w:ilvl="1" w:tplc="FFFFFFFF">
      <w:start w:val="1"/>
      <w:numFmt w:val="lowerLetter"/>
      <w:lvlText w:val="(%2)"/>
      <w:lvlJc w:val="left"/>
      <w:pPr>
        <w:tabs>
          <w:tab w:val="num" w:pos="1185"/>
        </w:tabs>
        <w:ind w:left="1185" w:hanging="465"/>
      </w:pPr>
      <w:rPr>
        <w:rFonts w:ascii="Times New Roman" w:hAnsi="Times New Roman" w:hint="default"/>
        <w:b w:val="0"/>
        <w:i w:val="0"/>
        <w:sz w:val="24"/>
        <w:szCs w:val="24"/>
      </w:rPr>
    </w:lvl>
    <w:lvl w:ilvl="2" w:tplc="FFFFFFFF" w:tentative="1">
      <w:start w:val="1"/>
      <w:numFmt w:val="lowerRoman"/>
      <w:lvlText w:val="%3."/>
      <w:lvlJc w:val="right"/>
      <w:pPr>
        <w:tabs>
          <w:tab w:val="num" w:pos="2340"/>
        </w:tabs>
        <w:ind w:left="2340" w:hanging="180"/>
      </w:pPr>
    </w:lvl>
    <w:lvl w:ilvl="3" w:tplc="FFFFFFFF" w:tentative="1">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5" w15:restartNumberingAfterBreak="0">
    <w:nsid w:val="1C825BF9"/>
    <w:multiLevelType w:val="hybridMultilevel"/>
    <w:tmpl w:val="6316A960"/>
    <w:lvl w:ilvl="0" w:tplc="3CCE0AB0">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18589D"/>
    <w:multiLevelType w:val="hybridMultilevel"/>
    <w:tmpl w:val="A0FA1B38"/>
    <w:lvl w:ilvl="0" w:tplc="5936CC4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D8A00AC"/>
    <w:multiLevelType w:val="hybridMultilevel"/>
    <w:tmpl w:val="E7345D86"/>
    <w:lvl w:ilvl="0" w:tplc="6D1E7476">
      <w:start w:val="1"/>
      <w:numFmt w:val="lowerRoman"/>
      <w:lvlText w:val="(%1)"/>
      <w:lvlJc w:val="left"/>
      <w:pPr>
        <w:tabs>
          <w:tab w:val="num" w:pos="1701"/>
        </w:tabs>
        <w:ind w:left="1701" w:hanging="567"/>
      </w:pPr>
      <w:rPr>
        <w:rFonts w:hint="default"/>
      </w:rPr>
    </w:lvl>
    <w:lvl w:ilvl="1" w:tplc="0C090019">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abstractNum w:abstractNumId="8" w15:restartNumberingAfterBreak="0">
    <w:nsid w:val="1F442C4B"/>
    <w:multiLevelType w:val="hybridMultilevel"/>
    <w:tmpl w:val="0276B15A"/>
    <w:lvl w:ilvl="0" w:tplc="553C40D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1F687E82"/>
    <w:multiLevelType w:val="singleLevel"/>
    <w:tmpl w:val="0A5CE53E"/>
    <w:lvl w:ilvl="0">
      <w:start w:val="1"/>
      <w:numFmt w:val="decimal"/>
      <w:lvlText w:val="%1."/>
      <w:lvlJc w:val="left"/>
      <w:pPr>
        <w:tabs>
          <w:tab w:val="num" w:pos="567"/>
        </w:tabs>
        <w:ind w:left="567" w:hanging="567"/>
      </w:pPr>
      <w:rPr>
        <w:rFonts w:ascii="Times New Roman" w:hAnsi="Times New Roman" w:hint="default"/>
        <w:b w:val="0"/>
        <w:i w:val="0"/>
        <w:sz w:val="24"/>
        <w:szCs w:val="24"/>
      </w:rPr>
    </w:lvl>
  </w:abstractNum>
  <w:abstractNum w:abstractNumId="10" w15:restartNumberingAfterBreak="0">
    <w:nsid w:val="21E802A3"/>
    <w:multiLevelType w:val="hybridMultilevel"/>
    <w:tmpl w:val="80B03D7C"/>
    <w:lvl w:ilvl="0" w:tplc="9216C6F8">
      <w:start w:val="1"/>
      <w:numFmt w:val="lowerLetter"/>
      <w:lvlText w:val="(%1)"/>
      <w:lvlJc w:val="left"/>
      <w:pPr>
        <w:tabs>
          <w:tab w:val="num" w:pos="1134"/>
        </w:tabs>
        <w:ind w:left="1134" w:hanging="567"/>
      </w:pPr>
      <w:rPr>
        <w:rFonts w:hint="default"/>
      </w:rPr>
    </w:lvl>
    <w:lvl w:ilvl="1" w:tplc="EBA240C6">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4F17C7B"/>
    <w:multiLevelType w:val="hybridMultilevel"/>
    <w:tmpl w:val="4D2890FE"/>
    <w:lvl w:ilvl="0" w:tplc="2800097A">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279120CF"/>
    <w:multiLevelType w:val="hybridMultilevel"/>
    <w:tmpl w:val="DEE45C6E"/>
    <w:lvl w:ilvl="0" w:tplc="EDD0F382">
      <w:start w:val="1"/>
      <w:numFmt w:val="lowerLetter"/>
      <w:lvlText w:val="(%1)"/>
      <w:lvlJc w:val="left"/>
      <w:pPr>
        <w:tabs>
          <w:tab w:val="num" w:pos="720"/>
        </w:tabs>
        <w:ind w:left="720" w:hanging="360"/>
      </w:pPr>
      <w:rPr>
        <w:rFonts w:hint="default"/>
      </w:rPr>
    </w:lvl>
    <w:lvl w:ilvl="1" w:tplc="2C38CD8A">
      <w:start w:val="1"/>
      <w:numFmt w:val="lowerRoman"/>
      <w:lvlText w:val="(%2)"/>
      <w:lvlJc w:val="left"/>
      <w:pPr>
        <w:tabs>
          <w:tab w:val="num" w:pos="1701"/>
        </w:tabs>
        <w:ind w:left="1701" w:hanging="567"/>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8811E99"/>
    <w:multiLevelType w:val="hybridMultilevel"/>
    <w:tmpl w:val="9752C59E"/>
    <w:lvl w:ilvl="0" w:tplc="1C16C9C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29281A78"/>
    <w:multiLevelType w:val="hybridMultilevel"/>
    <w:tmpl w:val="17B4CA60"/>
    <w:lvl w:ilvl="0" w:tplc="355EA246">
      <w:start w:val="1"/>
      <w:numFmt w:val="decimal"/>
      <w:pStyle w:val="Note"/>
      <w:lvlText w:val="Note %1"/>
      <w:lvlJc w:val="left"/>
      <w:pPr>
        <w:tabs>
          <w:tab w:val="num" w:pos="794"/>
        </w:tabs>
        <w:ind w:left="0" w:firstLine="0"/>
      </w:pPr>
      <w:rPr>
        <w:rFonts w:hint="default"/>
        <w:b w:val="0"/>
        <w:i/>
      </w:rPr>
    </w:lvl>
    <w:lvl w:ilvl="1" w:tplc="0C09000F">
      <w:start w:val="1"/>
      <w:numFmt w:val="decimal"/>
      <w:lvlText w:val="%2."/>
      <w:lvlJc w:val="left"/>
      <w:pPr>
        <w:tabs>
          <w:tab w:val="num" w:pos="2404"/>
        </w:tabs>
        <w:ind w:left="2404" w:hanging="360"/>
      </w:pPr>
      <w:rPr>
        <w:rFonts w:hint="default"/>
        <w:b w:val="0"/>
        <w:i/>
      </w:rPr>
    </w:lvl>
    <w:lvl w:ilvl="2" w:tplc="0C09001B" w:tentative="1">
      <w:start w:val="1"/>
      <w:numFmt w:val="lowerRoman"/>
      <w:lvlText w:val="%3."/>
      <w:lvlJc w:val="right"/>
      <w:pPr>
        <w:tabs>
          <w:tab w:val="num" w:pos="3124"/>
        </w:tabs>
        <w:ind w:left="3124" w:hanging="180"/>
      </w:pPr>
    </w:lvl>
    <w:lvl w:ilvl="3" w:tplc="0C09000F" w:tentative="1">
      <w:start w:val="1"/>
      <w:numFmt w:val="decimal"/>
      <w:lvlText w:val="%4."/>
      <w:lvlJc w:val="left"/>
      <w:pPr>
        <w:tabs>
          <w:tab w:val="num" w:pos="3844"/>
        </w:tabs>
        <w:ind w:left="3844" w:hanging="360"/>
      </w:pPr>
    </w:lvl>
    <w:lvl w:ilvl="4" w:tplc="0C090019" w:tentative="1">
      <w:start w:val="1"/>
      <w:numFmt w:val="lowerLetter"/>
      <w:lvlText w:val="%5."/>
      <w:lvlJc w:val="left"/>
      <w:pPr>
        <w:tabs>
          <w:tab w:val="num" w:pos="4564"/>
        </w:tabs>
        <w:ind w:left="4564" w:hanging="360"/>
      </w:pPr>
    </w:lvl>
    <w:lvl w:ilvl="5" w:tplc="0C09001B" w:tentative="1">
      <w:start w:val="1"/>
      <w:numFmt w:val="lowerRoman"/>
      <w:lvlText w:val="%6."/>
      <w:lvlJc w:val="right"/>
      <w:pPr>
        <w:tabs>
          <w:tab w:val="num" w:pos="5284"/>
        </w:tabs>
        <w:ind w:left="5284" w:hanging="180"/>
      </w:pPr>
    </w:lvl>
    <w:lvl w:ilvl="6" w:tplc="0C09000F" w:tentative="1">
      <w:start w:val="1"/>
      <w:numFmt w:val="decimal"/>
      <w:lvlText w:val="%7."/>
      <w:lvlJc w:val="left"/>
      <w:pPr>
        <w:tabs>
          <w:tab w:val="num" w:pos="6004"/>
        </w:tabs>
        <w:ind w:left="6004" w:hanging="360"/>
      </w:pPr>
    </w:lvl>
    <w:lvl w:ilvl="7" w:tplc="0C090019" w:tentative="1">
      <w:start w:val="1"/>
      <w:numFmt w:val="lowerLetter"/>
      <w:lvlText w:val="%8."/>
      <w:lvlJc w:val="left"/>
      <w:pPr>
        <w:tabs>
          <w:tab w:val="num" w:pos="6724"/>
        </w:tabs>
        <w:ind w:left="6724" w:hanging="360"/>
      </w:pPr>
    </w:lvl>
    <w:lvl w:ilvl="8" w:tplc="0C09001B" w:tentative="1">
      <w:start w:val="1"/>
      <w:numFmt w:val="lowerRoman"/>
      <w:lvlText w:val="%9."/>
      <w:lvlJc w:val="right"/>
      <w:pPr>
        <w:tabs>
          <w:tab w:val="num" w:pos="7444"/>
        </w:tabs>
        <w:ind w:left="7444" w:hanging="180"/>
      </w:pPr>
    </w:lvl>
  </w:abstractNum>
  <w:abstractNum w:abstractNumId="15" w15:restartNumberingAfterBreak="0">
    <w:nsid w:val="2D3A3C0E"/>
    <w:multiLevelType w:val="hybridMultilevel"/>
    <w:tmpl w:val="1F101D86"/>
    <w:lvl w:ilvl="0" w:tplc="73AAD994">
      <w:start w:val="1"/>
      <w:numFmt w:val="lowerLetter"/>
      <w:lvlText w:val="(%1)"/>
      <w:lvlJc w:val="left"/>
      <w:pPr>
        <w:tabs>
          <w:tab w:val="num" w:pos="1134"/>
        </w:tabs>
        <w:ind w:left="1134" w:hanging="567"/>
      </w:pPr>
      <w:rPr>
        <w:rFonts w:hint="default"/>
      </w:rPr>
    </w:lvl>
    <w:lvl w:ilvl="1" w:tplc="DD465C0E">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DCC266B"/>
    <w:multiLevelType w:val="hybridMultilevel"/>
    <w:tmpl w:val="8724DAEE"/>
    <w:lvl w:ilvl="0" w:tplc="81028F00">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001236"/>
    <w:multiLevelType w:val="hybridMultilevel"/>
    <w:tmpl w:val="8F6EE438"/>
    <w:lvl w:ilvl="0" w:tplc="4D3EBF16">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15:restartNumberingAfterBreak="0">
    <w:nsid w:val="33004AF8"/>
    <w:multiLevelType w:val="hybridMultilevel"/>
    <w:tmpl w:val="9042CFF0"/>
    <w:lvl w:ilvl="0" w:tplc="E3AA8E7E">
      <w:start w:val="1"/>
      <w:numFmt w:val="lowerLetter"/>
      <w:lvlText w:val="(%1)"/>
      <w:lvlJc w:val="left"/>
      <w:pPr>
        <w:ind w:left="1287" w:hanging="360"/>
      </w:pPr>
      <w:rPr>
        <w:rFonts w:ascii="Times New Roman" w:hAnsi="Times New Roman" w:hint="default"/>
        <w:b w:val="0"/>
        <w:i w:val="0"/>
        <w:sz w:val="24"/>
        <w:szCs w:val="24"/>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9" w15:restartNumberingAfterBreak="0">
    <w:nsid w:val="3551298B"/>
    <w:multiLevelType w:val="hybridMultilevel"/>
    <w:tmpl w:val="E4FC5596"/>
    <w:lvl w:ilvl="0" w:tplc="13E6DDDA">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35AC5079"/>
    <w:multiLevelType w:val="hybridMultilevel"/>
    <w:tmpl w:val="F5D8FE60"/>
    <w:lvl w:ilvl="0" w:tplc="6284EC34">
      <w:start w:val="1"/>
      <w:numFmt w:val="lowerRoman"/>
      <w:lvlText w:val="(%1)"/>
      <w:lvlJc w:val="left"/>
      <w:pPr>
        <w:tabs>
          <w:tab w:val="num" w:pos="1701"/>
        </w:tabs>
        <w:ind w:left="1701"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36F233B6"/>
    <w:multiLevelType w:val="hybridMultilevel"/>
    <w:tmpl w:val="0A387E86"/>
    <w:lvl w:ilvl="0" w:tplc="EDD0F38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9A36A97"/>
    <w:multiLevelType w:val="hybridMultilevel"/>
    <w:tmpl w:val="C22812E2"/>
    <w:lvl w:ilvl="0" w:tplc="1390B946">
      <w:start w:val="1"/>
      <w:numFmt w:val="lowerRoman"/>
      <w:lvlText w:val="(%1)"/>
      <w:lvlJc w:val="left"/>
      <w:pPr>
        <w:tabs>
          <w:tab w:val="num" w:pos="1701"/>
        </w:tabs>
        <w:ind w:left="1701"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9BA1E7B"/>
    <w:multiLevelType w:val="hybridMultilevel"/>
    <w:tmpl w:val="FD2410BE"/>
    <w:lvl w:ilvl="0" w:tplc="1C3C8798">
      <w:start w:val="1"/>
      <w:numFmt w:val="decimal"/>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15:restartNumberingAfterBreak="0">
    <w:nsid w:val="4CD72B23"/>
    <w:multiLevelType w:val="hybridMultilevel"/>
    <w:tmpl w:val="0FE6357E"/>
    <w:lvl w:ilvl="0" w:tplc="190AF1AC">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4EA42046"/>
    <w:multiLevelType w:val="hybridMultilevel"/>
    <w:tmpl w:val="0276B15A"/>
    <w:lvl w:ilvl="0" w:tplc="FFFFFFFF">
      <w:start w:val="1"/>
      <w:numFmt w:val="lowerLetter"/>
      <w:lvlText w:val="(%1)"/>
      <w:lvlJc w:val="left"/>
      <w:pPr>
        <w:tabs>
          <w:tab w:val="num" w:pos="1134"/>
        </w:tabs>
        <w:ind w:left="1134"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15:restartNumberingAfterBreak="0">
    <w:nsid w:val="4EC52DCD"/>
    <w:multiLevelType w:val="singleLevel"/>
    <w:tmpl w:val="9D428520"/>
    <w:lvl w:ilvl="0">
      <w:start w:val="1"/>
      <w:numFmt w:val="lowerLetter"/>
      <w:lvlText w:val="(%1)"/>
      <w:lvlJc w:val="left"/>
      <w:pPr>
        <w:tabs>
          <w:tab w:val="num" w:pos="1134"/>
        </w:tabs>
        <w:ind w:left="1134" w:hanging="567"/>
      </w:pPr>
      <w:rPr>
        <w:rFonts w:ascii="Times New Roman" w:hAnsi="Times New Roman" w:hint="default"/>
        <w:b w:val="0"/>
        <w:i w:val="0"/>
        <w:sz w:val="24"/>
        <w:szCs w:val="24"/>
      </w:rPr>
    </w:lvl>
  </w:abstractNum>
  <w:abstractNum w:abstractNumId="27" w15:restartNumberingAfterBreak="0">
    <w:nsid w:val="511B4ECB"/>
    <w:multiLevelType w:val="hybridMultilevel"/>
    <w:tmpl w:val="1CE6F568"/>
    <w:lvl w:ilvl="0" w:tplc="493AA246">
      <w:start w:val="1"/>
      <w:numFmt w:val="lowerLetter"/>
      <w:lvlText w:val="(%1)"/>
      <w:lvlJc w:val="left"/>
      <w:pPr>
        <w:tabs>
          <w:tab w:val="num" w:pos="720"/>
        </w:tabs>
        <w:ind w:left="720" w:hanging="360"/>
      </w:pPr>
      <w:rPr>
        <w:rFonts w:ascii="Times New Roman" w:hAnsi="Times New Roman" w:cs="Times New Roman"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52636A47"/>
    <w:multiLevelType w:val="hybridMultilevel"/>
    <w:tmpl w:val="C4102A3C"/>
    <w:lvl w:ilvl="0" w:tplc="A6E670BE">
      <w:start w:val="1"/>
      <w:numFmt w:val="bullet"/>
      <w:lvlText w:val=""/>
      <w:lvlJc w:val="left"/>
      <w:pPr>
        <w:tabs>
          <w:tab w:val="num" w:pos="360"/>
        </w:tabs>
        <w:ind w:left="360" w:hanging="360"/>
      </w:pPr>
      <w:rPr>
        <w:rFonts w:ascii="Symbol" w:hAnsi="Symbol" w:hint="default"/>
        <w:sz w:val="20"/>
        <w:szCs w:val="20"/>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54FF7787"/>
    <w:multiLevelType w:val="multilevel"/>
    <w:tmpl w:val="84F64130"/>
    <w:lvl w:ilvl="0">
      <w:start w:val="1"/>
      <w:numFmt w:val="decimal"/>
      <w:lvlText w:val="%1."/>
      <w:lvlJc w:val="left"/>
      <w:pPr>
        <w:tabs>
          <w:tab w:val="num" w:pos="567"/>
        </w:tabs>
        <w:ind w:left="567" w:hanging="567"/>
      </w:pPr>
      <w:rPr>
        <w:rFonts w:ascii="Times New Roman" w:hAnsi="Times New Roman" w:hint="default"/>
        <w:b w:val="0"/>
        <w:i w:val="0"/>
        <w:sz w:val="26"/>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9BF2C75"/>
    <w:multiLevelType w:val="hybridMultilevel"/>
    <w:tmpl w:val="5A7E12F4"/>
    <w:lvl w:ilvl="0" w:tplc="87463356">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5BDA715C"/>
    <w:multiLevelType w:val="hybridMultilevel"/>
    <w:tmpl w:val="38187064"/>
    <w:lvl w:ilvl="0" w:tplc="60B0A44E">
      <w:start w:val="1"/>
      <w:numFmt w:val="bullet"/>
      <w:pStyle w:val="StyleBodyText13ptCharCharChar"/>
      <w:lvlText w:val=""/>
      <w:lvlJc w:val="left"/>
      <w:pPr>
        <w:tabs>
          <w:tab w:val="num" w:pos="720"/>
        </w:tabs>
        <w:ind w:left="720" w:hanging="360"/>
      </w:pPr>
      <w:rPr>
        <w:rFonts w:ascii="Symbol" w:hAnsi="Symbol" w:hint="default"/>
      </w:rPr>
    </w:lvl>
    <w:lvl w:ilvl="1" w:tplc="E264A6F4" w:tentative="1">
      <w:start w:val="1"/>
      <w:numFmt w:val="bullet"/>
      <w:lvlText w:val="o"/>
      <w:lvlJc w:val="left"/>
      <w:pPr>
        <w:tabs>
          <w:tab w:val="num" w:pos="1440"/>
        </w:tabs>
        <w:ind w:left="1440" w:hanging="360"/>
      </w:pPr>
      <w:rPr>
        <w:rFonts w:ascii="Courier New" w:hAnsi="Courier New" w:cs="Courier New" w:hint="default"/>
      </w:rPr>
    </w:lvl>
    <w:lvl w:ilvl="2" w:tplc="7CE612D4" w:tentative="1">
      <w:start w:val="1"/>
      <w:numFmt w:val="bullet"/>
      <w:lvlText w:val=""/>
      <w:lvlJc w:val="left"/>
      <w:pPr>
        <w:tabs>
          <w:tab w:val="num" w:pos="2160"/>
        </w:tabs>
        <w:ind w:left="2160" w:hanging="360"/>
      </w:pPr>
      <w:rPr>
        <w:rFonts w:ascii="Wingdings" w:hAnsi="Wingdings" w:hint="default"/>
      </w:rPr>
    </w:lvl>
    <w:lvl w:ilvl="3" w:tplc="8FA65562" w:tentative="1">
      <w:start w:val="1"/>
      <w:numFmt w:val="bullet"/>
      <w:lvlText w:val=""/>
      <w:lvlJc w:val="left"/>
      <w:pPr>
        <w:tabs>
          <w:tab w:val="num" w:pos="2880"/>
        </w:tabs>
        <w:ind w:left="2880" w:hanging="360"/>
      </w:pPr>
      <w:rPr>
        <w:rFonts w:ascii="Symbol" w:hAnsi="Symbol" w:hint="default"/>
      </w:rPr>
    </w:lvl>
    <w:lvl w:ilvl="4" w:tplc="EDFA29A4" w:tentative="1">
      <w:start w:val="1"/>
      <w:numFmt w:val="bullet"/>
      <w:lvlText w:val="o"/>
      <w:lvlJc w:val="left"/>
      <w:pPr>
        <w:tabs>
          <w:tab w:val="num" w:pos="3600"/>
        </w:tabs>
        <w:ind w:left="3600" w:hanging="360"/>
      </w:pPr>
      <w:rPr>
        <w:rFonts w:ascii="Courier New" w:hAnsi="Courier New" w:cs="Courier New" w:hint="default"/>
      </w:rPr>
    </w:lvl>
    <w:lvl w:ilvl="5" w:tplc="EB5E0C9A" w:tentative="1">
      <w:start w:val="1"/>
      <w:numFmt w:val="bullet"/>
      <w:lvlText w:val=""/>
      <w:lvlJc w:val="left"/>
      <w:pPr>
        <w:tabs>
          <w:tab w:val="num" w:pos="4320"/>
        </w:tabs>
        <w:ind w:left="4320" w:hanging="360"/>
      </w:pPr>
      <w:rPr>
        <w:rFonts w:ascii="Wingdings" w:hAnsi="Wingdings" w:hint="default"/>
      </w:rPr>
    </w:lvl>
    <w:lvl w:ilvl="6" w:tplc="C40EF152" w:tentative="1">
      <w:start w:val="1"/>
      <w:numFmt w:val="bullet"/>
      <w:lvlText w:val=""/>
      <w:lvlJc w:val="left"/>
      <w:pPr>
        <w:tabs>
          <w:tab w:val="num" w:pos="5040"/>
        </w:tabs>
        <w:ind w:left="5040" w:hanging="360"/>
      </w:pPr>
      <w:rPr>
        <w:rFonts w:ascii="Symbol" w:hAnsi="Symbol" w:hint="default"/>
      </w:rPr>
    </w:lvl>
    <w:lvl w:ilvl="7" w:tplc="86A868CA" w:tentative="1">
      <w:start w:val="1"/>
      <w:numFmt w:val="bullet"/>
      <w:lvlText w:val="o"/>
      <w:lvlJc w:val="left"/>
      <w:pPr>
        <w:tabs>
          <w:tab w:val="num" w:pos="5760"/>
        </w:tabs>
        <w:ind w:left="5760" w:hanging="360"/>
      </w:pPr>
      <w:rPr>
        <w:rFonts w:ascii="Courier New" w:hAnsi="Courier New" w:cs="Courier New" w:hint="default"/>
      </w:rPr>
    </w:lvl>
    <w:lvl w:ilvl="8" w:tplc="925C768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983CC2"/>
    <w:multiLevelType w:val="hybridMultilevel"/>
    <w:tmpl w:val="59B61230"/>
    <w:lvl w:ilvl="0" w:tplc="D6109C5C">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64375CEE"/>
    <w:multiLevelType w:val="hybridMultilevel"/>
    <w:tmpl w:val="E63C224C"/>
    <w:lvl w:ilvl="0" w:tplc="20FA70CC">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5C21588"/>
    <w:multiLevelType w:val="singleLevel"/>
    <w:tmpl w:val="8B26B918"/>
    <w:lvl w:ilvl="0">
      <w:start w:val="1"/>
      <w:numFmt w:val="lowerLetter"/>
      <w:pStyle w:val="Normalalpha"/>
      <w:lvlText w:val="(%1)"/>
      <w:lvlJc w:val="left"/>
      <w:pPr>
        <w:tabs>
          <w:tab w:val="num" w:pos="851"/>
        </w:tabs>
        <w:ind w:left="851" w:hanging="567"/>
      </w:pPr>
      <w:rPr>
        <w:rFonts w:hint="default"/>
      </w:rPr>
    </w:lvl>
  </w:abstractNum>
  <w:abstractNum w:abstractNumId="35" w15:restartNumberingAfterBreak="0">
    <w:nsid w:val="679C1F9B"/>
    <w:multiLevelType w:val="hybridMultilevel"/>
    <w:tmpl w:val="9E162764"/>
    <w:lvl w:ilvl="0" w:tplc="0C090001">
      <w:start w:val="1"/>
      <w:numFmt w:val="lowerLetter"/>
      <w:lvlText w:val="(%1)"/>
      <w:lvlJc w:val="left"/>
      <w:pPr>
        <w:tabs>
          <w:tab w:val="num" w:pos="1134"/>
        </w:tabs>
        <w:ind w:left="1134" w:hanging="567"/>
      </w:pPr>
      <w:rPr>
        <w:rFonts w:hint="default"/>
      </w:rPr>
    </w:lvl>
    <w:lvl w:ilvl="1" w:tplc="0C090003" w:tentative="1">
      <w:start w:val="1"/>
      <w:numFmt w:val="lowerLetter"/>
      <w:lvlText w:val="%2."/>
      <w:lvlJc w:val="left"/>
      <w:pPr>
        <w:tabs>
          <w:tab w:val="num" w:pos="1140"/>
        </w:tabs>
        <w:ind w:left="1140" w:hanging="360"/>
      </w:pPr>
    </w:lvl>
    <w:lvl w:ilvl="2" w:tplc="0C090005" w:tentative="1">
      <w:start w:val="1"/>
      <w:numFmt w:val="lowerRoman"/>
      <w:lvlText w:val="%3."/>
      <w:lvlJc w:val="right"/>
      <w:pPr>
        <w:tabs>
          <w:tab w:val="num" w:pos="1860"/>
        </w:tabs>
        <w:ind w:left="1860" w:hanging="180"/>
      </w:pPr>
    </w:lvl>
    <w:lvl w:ilvl="3" w:tplc="0C090001" w:tentative="1">
      <w:start w:val="1"/>
      <w:numFmt w:val="decimal"/>
      <w:lvlText w:val="%4."/>
      <w:lvlJc w:val="left"/>
      <w:pPr>
        <w:tabs>
          <w:tab w:val="num" w:pos="2580"/>
        </w:tabs>
        <w:ind w:left="2580" w:hanging="360"/>
      </w:pPr>
    </w:lvl>
    <w:lvl w:ilvl="4" w:tplc="0C090003" w:tentative="1">
      <w:start w:val="1"/>
      <w:numFmt w:val="lowerLetter"/>
      <w:lvlText w:val="%5."/>
      <w:lvlJc w:val="left"/>
      <w:pPr>
        <w:tabs>
          <w:tab w:val="num" w:pos="3300"/>
        </w:tabs>
        <w:ind w:left="3300" w:hanging="360"/>
      </w:pPr>
    </w:lvl>
    <w:lvl w:ilvl="5" w:tplc="0C090005" w:tentative="1">
      <w:start w:val="1"/>
      <w:numFmt w:val="lowerRoman"/>
      <w:lvlText w:val="%6."/>
      <w:lvlJc w:val="right"/>
      <w:pPr>
        <w:tabs>
          <w:tab w:val="num" w:pos="4020"/>
        </w:tabs>
        <w:ind w:left="4020" w:hanging="180"/>
      </w:pPr>
    </w:lvl>
    <w:lvl w:ilvl="6" w:tplc="0C090001" w:tentative="1">
      <w:start w:val="1"/>
      <w:numFmt w:val="decimal"/>
      <w:lvlText w:val="%7."/>
      <w:lvlJc w:val="left"/>
      <w:pPr>
        <w:tabs>
          <w:tab w:val="num" w:pos="4740"/>
        </w:tabs>
        <w:ind w:left="4740" w:hanging="360"/>
      </w:pPr>
    </w:lvl>
    <w:lvl w:ilvl="7" w:tplc="0C090003" w:tentative="1">
      <w:start w:val="1"/>
      <w:numFmt w:val="lowerLetter"/>
      <w:lvlText w:val="%8."/>
      <w:lvlJc w:val="left"/>
      <w:pPr>
        <w:tabs>
          <w:tab w:val="num" w:pos="5460"/>
        </w:tabs>
        <w:ind w:left="5460" w:hanging="360"/>
      </w:pPr>
    </w:lvl>
    <w:lvl w:ilvl="8" w:tplc="0C090005" w:tentative="1">
      <w:start w:val="1"/>
      <w:numFmt w:val="lowerRoman"/>
      <w:lvlText w:val="%9."/>
      <w:lvlJc w:val="right"/>
      <w:pPr>
        <w:tabs>
          <w:tab w:val="num" w:pos="6180"/>
        </w:tabs>
        <w:ind w:left="6180" w:hanging="180"/>
      </w:pPr>
    </w:lvl>
  </w:abstractNum>
  <w:abstractNum w:abstractNumId="36" w15:restartNumberingAfterBreak="0">
    <w:nsid w:val="6CBD52B2"/>
    <w:multiLevelType w:val="hybridMultilevel"/>
    <w:tmpl w:val="9DB81C4E"/>
    <w:lvl w:ilvl="0" w:tplc="FAF08E24">
      <w:start w:val="1"/>
      <w:numFmt w:val="decimal"/>
      <w:lvlText w:val="%1."/>
      <w:lvlJc w:val="left"/>
      <w:pPr>
        <w:tabs>
          <w:tab w:val="num" w:pos="567"/>
        </w:tabs>
        <w:ind w:left="567" w:hanging="567"/>
      </w:pPr>
      <w:rPr>
        <w:rFonts w:hint="default"/>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7" w15:restartNumberingAfterBreak="0">
    <w:nsid w:val="71260604"/>
    <w:multiLevelType w:val="hybridMultilevel"/>
    <w:tmpl w:val="038454B8"/>
    <w:lvl w:ilvl="0" w:tplc="EDD0F38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7174513B"/>
    <w:multiLevelType w:val="hybridMultilevel"/>
    <w:tmpl w:val="EF1CC78E"/>
    <w:lvl w:ilvl="0" w:tplc="BA6C715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3071C4D"/>
    <w:multiLevelType w:val="hybridMultilevel"/>
    <w:tmpl w:val="F81E17D6"/>
    <w:lvl w:ilvl="0" w:tplc="32044736">
      <w:start w:val="1"/>
      <w:numFmt w:val="lowerLetter"/>
      <w:lvlText w:val="(%1)"/>
      <w:lvlJc w:val="left"/>
      <w:pPr>
        <w:tabs>
          <w:tab w:val="num" w:pos="567"/>
        </w:tabs>
        <w:ind w:left="1134" w:hanging="567"/>
      </w:pPr>
      <w:rPr>
        <w:rFonts w:hint="default"/>
        <w:vertAlign w:val="baseline"/>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0" w15:restartNumberingAfterBreak="0">
    <w:nsid w:val="740063E0"/>
    <w:multiLevelType w:val="hybridMultilevel"/>
    <w:tmpl w:val="2D069F76"/>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15:restartNumberingAfterBreak="0">
    <w:nsid w:val="76F31396"/>
    <w:multiLevelType w:val="hybridMultilevel"/>
    <w:tmpl w:val="13CCB916"/>
    <w:lvl w:ilvl="0" w:tplc="1E805DEE">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DD1944"/>
    <w:multiLevelType w:val="multilevel"/>
    <w:tmpl w:val="FB0232A0"/>
    <w:lvl w:ilvl="0">
      <w:start w:val="1"/>
      <w:numFmt w:val="decimal"/>
      <w:lvlText w:val="%1."/>
      <w:lvlJc w:val="left"/>
      <w:pPr>
        <w:tabs>
          <w:tab w:val="num" w:pos="567"/>
        </w:tabs>
        <w:ind w:left="567" w:hanging="567"/>
      </w:pPr>
      <w:rPr>
        <w:rFonts w:ascii="Times New Roman" w:hAnsi="Times New Roman" w:hint="default"/>
        <w:b w:val="0"/>
        <w:i w:val="0"/>
        <w:sz w:val="26"/>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3" w15:restartNumberingAfterBreak="0">
    <w:nsid w:val="795D35D2"/>
    <w:multiLevelType w:val="hybridMultilevel"/>
    <w:tmpl w:val="5ED0E62E"/>
    <w:lvl w:ilvl="0" w:tplc="119A7D68">
      <w:start w:val="1"/>
      <w:numFmt w:val="lowerLetter"/>
      <w:lvlText w:val="(%1)"/>
      <w:lvlJc w:val="left"/>
      <w:pPr>
        <w:tabs>
          <w:tab w:val="num" w:pos="567"/>
        </w:tabs>
        <w:ind w:left="567" w:hanging="567"/>
      </w:pPr>
      <w:rPr>
        <w:rFonts w:hint="default"/>
      </w:rPr>
    </w:lvl>
    <w:lvl w:ilvl="1" w:tplc="A6E670BE">
      <w:start w:val="1"/>
      <w:numFmt w:val="bullet"/>
      <w:lvlText w:val=""/>
      <w:lvlJc w:val="left"/>
      <w:pPr>
        <w:tabs>
          <w:tab w:val="num" w:pos="1440"/>
        </w:tabs>
        <w:ind w:left="1440" w:hanging="360"/>
      </w:pPr>
      <w:rPr>
        <w:rFonts w:ascii="Symbol" w:hAnsi="Symbol" w:hint="default"/>
      </w:r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44" w15:restartNumberingAfterBreak="0">
    <w:nsid w:val="7A1E2158"/>
    <w:multiLevelType w:val="hybridMultilevel"/>
    <w:tmpl w:val="CA1E5E16"/>
    <w:lvl w:ilvl="0" w:tplc="38406F6E">
      <w:start w:val="1"/>
      <w:numFmt w:val="lowerLetter"/>
      <w:lvlText w:val="(%1)"/>
      <w:lvlJc w:val="left"/>
      <w:pPr>
        <w:tabs>
          <w:tab w:val="num" w:pos="1134"/>
        </w:tabs>
        <w:ind w:left="1134" w:hanging="567"/>
      </w:pPr>
      <w:rPr>
        <w:rFonts w:hint="default"/>
      </w:rPr>
    </w:lvl>
    <w:lvl w:ilvl="1" w:tplc="0C090001"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5" w15:restartNumberingAfterBreak="0">
    <w:nsid w:val="7AA25B60"/>
    <w:multiLevelType w:val="multilevel"/>
    <w:tmpl w:val="84F64130"/>
    <w:lvl w:ilvl="0">
      <w:start w:val="1"/>
      <w:numFmt w:val="decimal"/>
      <w:lvlText w:val="%1."/>
      <w:lvlJc w:val="left"/>
      <w:pPr>
        <w:tabs>
          <w:tab w:val="num" w:pos="567"/>
        </w:tabs>
        <w:ind w:left="567" w:hanging="567"/>
      </w:pPr>
      <w:rPr>
        <w:rFonts w:ascii="Times New Roman" w:hAnsi="Times New Roman" w:hint="default"/>
        <w:b w:val="0"/>
        <w:i w:val="0"/>
        <w:sz w:val="26"/>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6" w15:restartNumberingAfterBreak="0">
    <w:nsid w:val="7BFD6E67"/>
    <w:multiLevelType w:val="hybridMultilevel"/>
    <w:tmpl w:val="464C4F96"/>
    <w:lvl w:ilvl="0" w:tplc="EDD0F382">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184633035">
    <w:abstractNumId w:val="31"/>
  </w:num>
  <w:num w:numId="2" w16cid:durableId="471797920">
    <w:abstractNumId w:val="42"/>
  </w:num>
  <w:num w:numId="3" w16cid:durableId="1422949438">
    <w:abstractNumId w:val="4"/>
  </w:num>
  <w:num w:numId="4" w16cid:durableId="1046488152">
    <w:abstractNumId w:val="34"/>
  </w:num>
  <w:num w:numId="5" w16cid:durableId="1526404104">
    <w:abstractNumId w:val="3"/>
  </w:num>
  <w:num w:numId="6" w16cid:durableId="749349801">
    <w:abstractNumId w:val="11"/>
  </w:num>
  <w:num w:numId="7" w16cid:durableId="1262372273">
    <w:abstractNumId w:val="6"/>
  </w:num>
  <w:num w:numId="8" w16cid:durableId="1473525887">
    <w:abstractNumId w:val="9"/>
  </w:num>
  <w:num w:numId="9" w16cid:durableId="697777239">
    <w:abstractNumId w:val="35"/>
  </w:num>
  <w:num w:numId="10" w16cid:durableId="949749696">
    <w:abstractNumId w:val="45"/>
  </w:num>
  <w:num w:numId="11" w16cid:durableId="829759338">
    <w:abstractNumId w:val="13"/>
  </w:num>
  <w:num w:numId="12" w16cid:durableId="2048406617">
    <w:abstractNumId w:val="26"/>
  </w:num>
  <w:num w:numId="13" w16cid:durableId="444690847">
    <w:abstractNumId w:val="20"/>
  </w:num>
  <w:num w:numId="14" w16cid:durableId="1118640099">
    <w:abstractNumId w:val="15"/>
  </w:num>
  <w:num w:numId="15" w16cid:durableId="736439125">
    <w:abstractNumId w:val="32"/>
  </w:num>
  <w:num w:numId="16" w16cid:durableId="828834267">
    <w:abstractNumId w:val="10"/>
  </w:num>
  <w:num w:numId="17" w16cid:durableId="1111315780">
    <w:abstractNumId w:val="19"/>
  </w:num>
  <w:num w:numId="18" w16cid:durableId="2134128007">
    <w:abstractNumId w:val="39"/>
  </w:num>
  <w:num w:numId="19" w16cid:durableId="936324585">
    <w:abstractNumId w:val="30"/>
  </w:num>
  <w:num w:numId="20" w16cid:durableId="2106001188">
    <w:abstractNumId w:val="33"/>
  </w:num>
  <w:num w:numId="21" w16cid:durableId="2127310922">
    <w:abstractNumId w:val="36"/>
  </w:num>
  <w:num w:numId="22" w16cid:durableId="491682189">
    <w:abstractNumId w:val="17"/>
  </w:num>
  <w:num w:numId="23" w16cid:durableId="1708407538">
    <w:abstractNumId w:val="24"/>
  </w:num>
  <w:num w:numId="24" w16cid:durableId="838276512">
    <w:abstractNumId w:val="23"/>
  </w:num>
  <w:num w:numId="25" w16cid:durableId="2060010823">
    <w:abstractNumId w:val="44"/>
  </w:num>
  <w:num w:numId="26" w16cid:durableId="816994986">
    <w:abstractNumId w:val="28"/>
  </w:num>
  <w:num w:numId="27" w16cid:durableId="411703028">
    <w:abstractNumId w:val="29"/>
  </w:num>
  <w:num w:numId="28" w16cid:durableId="1631746114">
    <w:abstractNumId w:val="43"/>
  </w:num>
  <w:num w:numId="29" w16cid:durableId="1947999902">
    <w:abstractNumId w:val="14"/>
  </w:num>
  <w:num w:numId="30" w16cid:durableId="925386078">
    <w:abstractNumId w:val="27"/>
  </w:num>
  <w:num w:numId="31" w16cid:durableId="386032266">
    <w:abstractNumId w:val="12"/>
  </w:num>
  <w:num w:numId="32" w16cid:durableId="1973125102">
    <w:abstractNumId w:val="46"/>
  </w:num>
  <w:num w:numId="33" w16cid:durableId="880822452">
    <w:abstractNumId w:val="37"/>
  </w:num>
  <w:num w:numId="34" w16cid:durableId="1860853197">
    <w:abstractNumId w:val="21"/>
  </w:num>
  <w:num w:numId="35" w16cid:durableId="2136756674">
    <w:abstractNumId w:val="1"/>
  </w:num>
  <w:num w:numId="36" w16cid:durableId="188185643">
    <w:abstractNumId w:val="2"/>
  </w:num>
  <w:num w:numId="37" w16cid:durableId="227346395">
    <w:abstractNumId w:val="7"/>
  </w:num>
  <w:num w:numId="38" w16cid:durableId="1116561458">
    <w:abstractNumId w:val="8"/>
  </w:num>
  <w:num w:numId="39" w16cid:durableId="173620304">
    <w:abstractNumId w:val="22"/>
  </w:num>
  <w:num w:numId="40" w16cid:durableId="540828484">
    <w:abstractNumId w:val="41"/>
  </w:num>
  <w:num w:numId="41" w16cid:durableId="1708986749">
    <w:abstractNumId w:val="18"/>
  </w:num>
  <w:num w:numId="42" w16cid:durableId="1540584783">
    <w:abstractNumId w:val="40"/>
  </w:num>
  <w:num w:numId="43" w16cid:durableId="1317144872">
    <w:abstractNumId w:val="25"/>
  </w:num>
  <w:num w:numId="44" w16cid:durableId="591625489">
    <w:abstractNumId w:val="16"/>
  </w:num>
  <w:num w:numId="45" w16cid:durableId="292755945">
    <w:abstractNumId w:val="0"/>
  </w:num>
  <w:num w:numId="46" w16cid:durableId="576717420">
    <w:abstractNumId w:val="5"/>
  </w:num>
  <w:num w:numId="47" w16cid:durableId="44569821">
    <w:abstractNumId w:val="3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97"/>
    <w:rsid w:val="000001FB"/>
    <w:rsid w:val="000006F1"/>
    <w:rsid w:val="00000701"/>
    <w:rsid w:val="000012C6"/>
    <w:rsid w:val="000015E8"/>
    <w:rsid w:val="00002BBA"/>
    <w:rsid w:val="00002DED"/>
    <w:rsid w:val="000060A6"/>
    <w:rsid w:val="0000632B"/>
    <w:rsid w:val="00006A8F"/>
    <w:rsid w:val="0000788B"/>
    <w:rsid w:val="00012B53"/>
    <w:rsid w:val="00012FF0"/>
    <w:rsid w:val="00013145"/>
    <w:rsid w:val="000132B6"/>
    <w:rsid w:val="0001540B"/>
    <w:rsid w:val="00016209"/>
    <w:rsid w:val="00020320"/>
    <w:rsid w:val="00026BE5"/>
    <w:rsid w:val="00027AAE"/>
    <w:rsid w:val="000316AF"/>
    <w:rsid w:val="000343F8"/>
    <w:rsid w:val="00034A91"/>
    <w:rsid w:val="00035AC2"/>
    <w:rsid w:val="00036665"/>
    <w:rsid w:val="0004116C"/>
    <w:rsid w:val="00041ACD"/>
    <w:rsid w:val="00043219"/>
    <w:rsid w:val="00044189"/>
    <w:rsid w:val="00044FC1"/>
    <w:rsid w:val="000453FA"/>
    <w:rsid w:val="000463E6"/>
    <w:rsid w:val="0004693D"/>
    <w:rsid w:val="00050EEA"/>
    <w:rsid w:val="0005299A"/>
    <w:rsid w:val="00052CE2"/>
    <w:rsid w:val="00052DDA"/>
    <w:rsid w:val="00054D40"/>
    <w:rsid w:val="000564A0"/>
    <w:rsid w:val="000576F4"/>
    <w:rsid w:val="00060092"/>
    <w:rsid w:val="00062A8C"/>
    <w:rsid w:val="00062C78"/>
    <w:rsid w:val="00063D43"/>
    <w:rsid w:val="00064F01"/>
    <w:rsid w:val="00072360"/>
    <w:rsid w:val="000735F1"/>
    <w:rsid w:val="00074598"/>
    <w:rsid w:val="0007476D"/>
    <w:rsid w:val="00074B33"/>
    <w:rsid w:val="00075C51"/>
    <w:rsid w:val="00075D8A"/>
    <w:rsid w:val="00076BF1"/>
    <w:rsid w:val="000811F2"/>
    <w:rsid w:val="00081477"/>
    <w:rsid w:val="00081DE5"/>
    <w:rsid w:val="00084DA4"/>
    <w:rsid w:val="00085993"/>
    <w:rsid w:val="00090ABD"/>
    <w:rsid w:val="00090D91"/>
    <w:rsid w:val="00091F7E"/>
    <w:rsid w:val="000929A0"/>
    <w:rsid w:val="00093422"/>
    <w:rsid w:val="00093D0A"/>
    <w:rsid w:val="000947EF"/>
    <w:rsid w:val="000953F8"/>
    <w:rsid w:val="0009748E"/>
    <w:rsid w:val="000A0ADF"/>
    <w:rsid w:val="000A1DD9"/>
    <w:rsid w:val="000A28E1"/>
    <w:rsid w:val="000A2C1A"/>
    <w:rsid w:val="000A3708"/>
    <w:rsid w:val="000A372D"/>
    <w:rsid w:val="000A3D56"/>
    <w:rsid w:val="000A5627"/>
    <w:rsid w:val="000B0138"/>
    <w:rsid w:val="000B3D72"/>
    <w:rsid w:val="000C0F09"/>
    <w:rsid w:val="000C1060"/>
    <w:rsid w:val="000C30A6"/>
    <w:rsid w:val="000C3D12"/>
    <w:rsid w:val="000C58C7"/>
    <w:rsid w:val="000C5D42"/>
    <w:rsid w:val="000D143B"/>
    <w:rsid w:val="000D16CB"/>
    <w:rsid w:val="000D1F51"/>
    <w:rsid w:val="000D2533"/>
    <w:rsid w:val="000D2FE8"/>
    <w:rsid w:val="000D3829"/>
    <w:rsid w:val="000D414F"/>
    <w:rsid w:val="000D534B"/>
    <w:rsid w:val="000D5351"/>
    <w:rsid w:val="000D6CB2"/>
    <w:rsid w:val="000D7E2F"/>
    <w:rsid w:val="000E009F"/>
    <w:rsid w:val="000E112C"/>
    <w:rsid w:val="000E41A0"/>
    <w:rsid w:val="000E5DB9"/>
    <w:rsid w:val="000F3CC3"/>
    <w:rsid w:val="000F5987"/>
    <w:rsid w:val="000F70B9"/>
    <w:rsid w:val="0010058F"/>
    <w:rsid w:val="00102107"/>
    <w:rsid w:val="00103713"/>
    <w:rsid w:val="00103CB3"/>
    <w:rsid w:val="00103E78"/>
    <w:rsid w:val="00107326"/>
    <w:rsid w:val="001101CD"/>
    <w:rsid w:val="00110AE1"/>
    <w:rsid w:val="001133C8"/>
    <w:rsid w:val="00115464"/>
    <w:rsid w:val="00115597"/>
    <w:rsid w:val="00117BDE"/>
    <w:rsid w:val="00122E93"/>
    <w:rsid w:val="00123776"/>
    <w:rsid w:val="0012630B"/>
    <w:rsid w:val="00126C4F"/>
    <w:rsid w:val="00127D37"/>
    <w:rsid w:val="001317A8"/>
    <w:rsid w:val="0013248D"/>
    <w:rsid w:val="001328F1"/>
    <w:rsid w:val="00143106"/>
    <w:rsid w:val="00144279"/>
    <w:rsid w:val="001444DB"/>
    <w:rsid w:val="00145A5E"/>
    <w:rsid w:val="00146D87"/>
    <w:rsid w:val="00147246"/>
    <w:rsid w:val="00150365"/>
    <w:rsid w:val="0015189A"/>
    <w:rsid w:val="00152C6E"/>
    <w:rsid w:val="00152CAE"/>
    <w:rsid w:val="00153627"/>
    <w:rsid w:val="00154066"/>
    <w:rsid w:val="0015419B"/>
    <w:rsid w:val="00156B45"/>
    <w:rsid w:val="00156BD5"/>
    <w:rsid w:val="00164EA6"/>
    <w:rsid w:val="001676AD"/>
    <w:rsid w:val="00167837"/>
    <w:rsid w:val="001700D8"/>
    <w:rsid w:val="00172A95"/>
    <w:rsid w:val="00174362"/>
    <w:rsid w:val="001743B7"/>
    <w:rsid w:val="00174779"/>
    <w:rsid w:val="001754E9"/>
    <w:rsid w:val="0017595E"/>
    <w:rsid w:val="00177C94"/>
    <w:rsid w:val="00182113"/>
    <w:rsid w:val="00182132"/>
    <w:rsid w:val="0018316D"/>
    <w:rsid w:val="00185779"/>
    <w:rsid w:val="00186B13"/>
    <w:rsid w:val="00194E8A"/>
    <w:rsid w:val="0019558B"/>
    <w:rsid w:val="00195E3B"/>
    <w:rsid w:val="001968D0"/>
    <w:rsid w:val="001A17D3"/>
    <w:rsid w:val="001A1F36"/>
    <w:rsid w:val="001A2581"/>
    <w:rsid w:val="001A32DD"/>
    <w:rsid w:val="001A3601"/>
    <w:rsid w:val="001A4C05"/>
    <w:rsid w:val="001A5508"/>
    <w:rsid w:val="001A5896"/>
    <w:rsid w:val="001A5F8D"/>
    <w:rsid w:val="001B152D"/>
    <w:rsid w:val="001B42E5"/>
    <w:rsid w:val="001B4657"/>
    <w:rsid w:val="001B7D24"/>
    <w:rsid w:val="001C2836"/>
    <w:rsid w:val="001C3FE1"/>
    <w:rsid w:val="001C5BD1"/>
    <w:rsid w:val="001C6CA9"/>
    <w:rsid w:val="001D0C16"/>
    <w:rsid w:val="001D4F00"/>
    <w:rsid w:val="001D4F04"/>
    <w:rsid w:val="001D5601"/>
    <w:rsid w:val="001D566A"/>
    <w:rsid w:val="001E0C0F"/>
    <w:rsid w:val="001E0D8C"/>
    <w:rsid w:val="001E223D"/>
    <w:rsid w:val="001E3D2B"/>
    <w:rsid w:val="001E4B19"/>
    <w:rsid w:val="001E5D24"/>
    <w:rsid w:val="001E709E"/>
    <w:rsid w:val="001E756D"/>
    <w:rsid w:val="001F17D5"/>
    <w:rsid w:val="001F1811"/>
    <w:rsid w:val="001F57FC"/>
    <w:rsid w:val="001F612C"/>
    <w:rsid w:val="001F6C6C"/>
    <w:rsid w:val="001F7F87"/>
    <w:rsid w:val="002005CD"/>
    <w:rsid w:val="002008C4"/>
    <w:rsid w:val="002015BA"/>
    <w:rsid w:val="002020E6"/>
    <w:rsid w:val="00202158"/>
    <w:rsid w:val="00203721"/>
    <w:rsid w:val="00203BFF"/>
    <w:rsid w:val="002043C1"/>
    <w:rsid w:val="0020558E"/>
    <w:rsid w:val="002067B0"/>
    <w:rsid w:val="00206C02"/>
    <w:rsid w:val="00207B11"/>
    <w:rsid w:val="002124DC"/>
    <w:rsid w:val="002154C4"/>
    <w:rsid w:val="002170D2"/>
    <w:rsid w:val="00217B7E"/>
    <w:rsid w:val="00222F16"/>
    <w:rsid w:val="00223B41"/>
    <w:rsid w:val="00224B39"/>
    <w:rsid w:val="00225450"/>
    <w:rsid w:val="00226237"/>
    <w:rsid w:val="002307A8"/>
    <w:rsid w:val="0023264D"/>
    <w:rsid w:val="00232E37"/>
    <w:rsid w:val="002335CE"/>
    <w:rsid w:val="002336EA"/>
    <w:rsid w:val="00233D9D"/>
    <w:rsid w:val="0023599C"/>
    <w:rsid w:val="00235F75"/>
    <w:rsid w:val="0023665F"/>
    <w:rsid w:val="00237649"/>
    <w:rsid w:val="00237F6B"/>
    <w:rsid w:val="002422AA"/>
    <w:rsid w:val="00242444"/>
    <w:rsid w:val="002425B5"/>
    <w:rsid w:val="0024443C"/>
    <w:rsid w:val="00245DF1"/>
    <w:rsid w:val="0024660D"/>
    <w:rsid w:val="00246811"/>
    <w:rsid w:val="00247F83"/>
    <w:rsid w:val="00250A16"/>
    <w:rsid w:val="00251CAC"/>
    <w:rsid w:val="00252C26"/>
    <w:rsid w:val="00253B2E"/>
    <w:rsid w:val="0025566A"/>
    <w:rsid w:val="0025680D"/>
    <w:rsid w:val="002568A4"/>
    <w:rsid w:val="00256ACD"/>
    <w:rsid w:val="00256EEF"/>
    <w:rsid w:val="00260274"/>
    <w:rsid w:val="0026145C"/>
    <w:rsid w:val="00261A31"/>
    <w:rsid w:val="00262917"/>
    <w:rsid w:val="00263930"/>
    <w:rsid w:val="00263C63"/>
    <w:rsid w:val="00266BEB"/>
    <w:rsid w:val="00267725"/>
    <w:rsid w:val="00270267"/>
    <w:rsid w:val="00270BFC"/>
    <w:rsid w:val="00272341"/>
    <w:rsid w:val="002730F6"/>
    <w:rsid w:val="002747AC"/>
    <w:rsid w:val="002748F0"/>
    <w:rsid w:val="0027683C"/>
    <w:rsid w:val="00277FB8"/>
    <w:rsid w:val="00280DBB"/>
    <w:rsid w:val="0028478B"/>
    <w:rsid w:val="00291BEC"/>
    <w:rsid w:val="00292B90"/>
    <w:rsid w:val="0029394C"/>
    <w:rsid w:val="0029657E"/>
    <w:rsid w:val="00296924"/>
    <w:rsid w:val="00297D07"/>
    <w:rsid w:val="002A2E9E"/>
    <w:rsid w:val="002A6485"/>
    <w:rsid w:val="002B07A9"/>
    <w:rsid w:val="002B09F8"/>
    <w:rsid w:val="002B0C05"/>
    <w:rsid w:val="002B0C28"/>
    <w:rsid w:val="002B2F6D"/>
    <w:rsid w:val="002B526C"/>
    <w:rsid w:val="002B74BB"/>
    <w:rsid w:val="002B75AE"/>
    <w:rsid w:val="002C0737"/>
    <w:rsid w:val="002C0B6B"/>
    <w:rsid w:val="002C1154"/>
    <w:rsid w:val="002C2087"/>
    <w:rsid w:val="002C2106"/>
    <w:rsid w:val="002C38D5"/>
    <w:rsid w:val="002C3DF0"/>
    <w:rsid w:val="002C40FE"/>
    <w:rsid w:val="002C4284"/>
    <w:rsid w:val="002C4367"/>
    <w:rsid w:val="002C562E"/>
    <w:rsid w:val="002C739B"/>
    <w:rsid w:val="002C7761"/>
    <w:rsid w:val="002C7DFC"/>
    <w:rsid w:val="002D0FDF"/>
    <w:rsid w:val="002D1742"/>
    <w:rsid w:val="002D1D0F"/>
    <w:rsid w:val="002D2F1E"/>
    <w:rsid w:val="002D7BBA"/>
    <w:rsid w:val="002E0334"/>
    <w:rsid w:val="002E0660"/>
    <w:rsid w:val="002E092C"/>
    <w:rsid w:val="002E1191"/>
    <w:rsid w:val="002E3466"/>
    <w:rsid w:val="002E74BD"/>
    <w:rsid w:val="002E7DA9"/>
    <w:rsid w:val="002F2BDB"/>
    <w:rsid w:val="002F6713"/>
    <w:rsid w:val="002F6CE1"/>
    <w:rsid w:val="002F7CF3"/>
    <w:rsid w:val="00300D1E"/>
    <w:rsid w:val="00302ECD"/>
    <w:rsid w:val="0030751E"/>
    <w:rsid w:val="00312DAC"/>
    <w:rsid w:val="00313DBF"/>
    <w:rsid w:val="00313FFB"/>
    <w:rsid w:val="00314D43"/>
    <w:rsid w:val="0031509D"/>
    <w:rsid w:val="00317687"/>
    <w:rsid w:val="00323406"/>
    <w:rsid w:val="003239C1"/>
    <w:rsid w:val="00324E19"/>
    <w:rsid w:val="00330B81"/>
    <w:rsid w:val="0033181D"/>
    <w:rsid w:val="00331FA5"/>
    <w:rsid w:val="0033688B"/>
    <w:rsid w:val="003373CE"/>
    <w:rsid w:val="003376C6"/>
    <w:rsid w:val="0034097F"/>
    <w:rsid w:val="00341AD2"/>
    <w:rsid w:val="0034212B"/>
    <w:rsid w:val="003426FD"/>
    <w:rsid w:val="003430A6"/>
    <w:rsid w:val="0034375E"/>
    <w:rsid w:val="003451CA"/>
    <w:rsid w:val="00350389"/>
    <w:rsid w:val="003508F6"/>
    <w:rsid w:val="00352C5A"/>
    <w:rsid w:val="003532DF"/>
    <w:rsid w:val="00353778"/>
    <w:rsid w:val="003543EE"/>
    <w:rsid w:val="003565E3"/>
    <w:rsid w:val="00356B1D"/>
    <w:rsid w:val="00357563"/>
    <w:rsid w:val="00357B2C"/>
    <w:rsid w:val="00361DCC"/>
    <w:rsid w:val="003625D5"/>
    <w:rsid w:val="00363046"/>
    <w:rsid w:val="0036504A"/>
    <w:rsid w:val="003709ED"/>
    <w:rsid w:val="00370DB2"/>
    <w:rsid w:val="0037172C"/>
    <w:rsid w:val="00372169"/>
    <w:rsid w:val="00372A7C"/>
    <w:rsid w:val="00373035"/>
    <w:rsid w:val="003733CD"/>
    <w:rsid w:val="00374BDF"/>
    <w:rsid w:val="00376A4F"/>
    <w:rsid w:val="00381103"/>
    <w:rsid w:val="0038471A"/>
    <w:rsid w:val="003872FB"/>
    <w:rsid w:val="00390842"/>
    <w:rsid w:val="00391FCB"/>
    <w:rsid w:val="00392081"/>
    <w:rsid w:val="003922E6"/>
    <w:rsid w:val="00393296"/>
    <w:rsid w:val="00395EC6"/>
    <w:rsid w:val="0039600D"/>
    <w:rsid w:val="003962F0"/>
    <w:rsid w:val="003971DB"/>
    <w:rsid w:val="003A00C2"/>
    <w:rsid w:val="003A2134"/>
    <w:rsid w:val="003A6549"/>
    <w:rsid w:val="003B0050"/>
    <w:rsid w:val="003B11CE"/>
    <w:rsid w:val="003B14BA"/>
    <w:rsid w:val="003B2F7F"/>
    <w:rsid w:val="003B44B7"/>
    <w:rsid w:val="003B44BB"/>
    <w:rsid w:val="003B471E"/>
    <w:rsid w:val="003B5708"/>
    <w:rsid w:val="003B5CC4"/>
    <w:rsid w:val="003B6C91"/>
    <w:rsid w:val="003B7D59"/>
    <w:rsid w:val="003C061E"/>
    <w:rsid w:val="003C2175"/>
    <w:rsid w:val="003C3A30"/>
    <w:rsid w:val="003C3AED"/>
    <w:rsid w:val="003C4060"/>
    <w:rsid w:val="003C4B86"/>
    <w:rsid w:val="003C5693"/>
    <w:rsid w:val="003C5F33"/>
    <w:rsid w:val="003C6388"/>
    <w:rsid w:val="003C69B2"/>
    <w:rsid w:val="003C7151"/>
    <w:rsid w:val="003D0144"/>
    <w:rsid w:val="003D1085"/>
    <w:rsid w:val="003D1600"/>
    <w:rsid w:val="003D3B35"/>
    <w:rsid w:val="003D49C1"/>
    <w:rsid w:val="003D7D2A"/>
    <w:rsid w:val="003E0CA2"/>
    <w:rsid w:val="003E2D27"/>
    <w:rsid w:val="003E3689"/>
    <w:rsid w:val="003E57F5"/>
    <w:rsid w:val="003E594B"/>
    <w:rsid w:val="003F0C85"/>
    <w:rsid w:val="003F4B7F"/>
    <w:rsid w:val="003F64CA"/>
    <w:rsid w:val="003F7010"/>
    <w:rsid w:val="00400BA1"/>
    <w:rsid w:val="00402655"/>
    <w:rsid w:val="00402815"/>
    <w:rsid w:val="00402D88"/>
    <w:rsid w:val="004031D0"/>
    <w:rsid w:val="00407B34"/>
    <w:rsid w:val="00407F60"/>
    <w:rsid w:val="00412268"/>
    <w:rsid w:val="00412722"/>
    <w:rsid w:val="00412AD2"/>
    <w:rsid w:val="00412C6A"/>
    <w:rsid w:val="00414123"/>
    <w:rsid w:val="0041659A"/>
    <w:rsid w:val="00416C8F"/>
    <w:rsid w:val="0041789B"/>
    <w:rsid w:val="004215FA"/>
    <w:rsid w:val="00422F01"/>
    <w:rsid w:val="004250EB"/>
    <w:rsid w:val="00427878"/>
    <w:rsid w:val="00427ABF"/>
    <w:rsid w:val="00427C9B"/>
    <w:rsid w:val="00427E99"/>
    <w:rsid w:val="004312E6"/>
    <w:rsid w:val="0043434F"/>
    <w:rsid w:val="00435466"/>
    <w:rsid w:val="004356E3"/>
    <w:rsid w:val="00440463"/>
    <w:rsid w:val="00443C5C"/>
    <w:rsid w:val="004443DA"/>
    <w:rsid w:val="004444CF"/>
    <w:rsid w:val="004445D9"/>
    <w:rsid w:val="00444F1A"/>
    <w:rsid w:val="004453D4"/>
    <w:rsid w:val="0045053A"/>
    <w:rsid w:val="0045299B"/>
    <w:rsid w:val="0045302F"/>
    <w:rsid w:val="00453676"/>
    <w:rsid w:val="004545C7"/>
    <w:rsid w:val="0045533D"/>
    <w:rsid w:val="00455F96"/>
    <w:rsid w:val="00456A11"/>
    <w:rsid w:val="00457CFC"/>
    <w:rsid w:val="0046059E"/>
    <w:rsid w:val="004611FE"/>
    <w:rsid w:val="00465670"/>
    <w:rsid w:val="004663EC"/>
    <w:rsid w:val="0047198D"/>
    <w:rsid w:val="00475E62"/>
    <w:rsid w:val="00477502"/>
    <w:rsid w:val="00477634"/>
    <w:rsid w:val="00481DA6"/>
    <w:rsid w:val="004829FC"/>
    <w:rsid w:val="00484A58"/>
    <w:rsid w:val="00487581"/>
    <w:rsid w:val="0049309D"/>
    <w:rsid w:val="004937F0"/>
    <w:rsid w:val="00494A66"/>
    <w:rsid w:val="0049575E"/>
    <w:rsid w:val="004A1229"/>
    <w:rsid w:val="004A3106"/>
    <w:rsid w:val="004A33FA"/>
    <w:rsid w:val="004A40AC"/>
    <w:rsid w:val="004A4D25"/>
    <w:rsid w:val="004A5EA8"/>
    <w:rsid w:val="004B05B3"/>
    <w:rsid w:val="004B2E7E"/>
    <w:rsid w:val="004B39B0"/>
    <w:rsid w:val="004B5D46"/>
    <w:rsid w:val="004B6E00"/>
    <w:rsid w:val="004B75AE"/>
    <w:rsid w:val="004C03E1"/>
    <w:rsid w:val="004C2FFD"/>
    <w:rsid w:val="004C358E"/>
    <w:rsid w:val="004C3C07"/>
    <w:rsid w:val="004C5E80"/>
    <w:rsid w:val="004C6D39"/>
    <w:rsid w:val="004C6D50"/>
    <w:rsid w:val="004C72AA"/>
    <w:rsid w:val="004D0F6A"/>
    <w:rsid w:val="004D2C33"/>
    <w:rsid w:val="004D2CCB"/>
    <w:rsid w:val="004D6972"/>
    <w:rsid w:val="004D7462"/>
    <w:rsid w:val="004D7BBF"/>
    <w:rsid w:val="004E228B"/>
    <w:rsid w:val="004E30FD"/>
    <w:rsid w:val="004E3B8F"/>
    <w:rsid w:val="004E4082"/>
    <w:rsid w:val="004E55B8"/>
    <w:rsid w:val="004E65CC"/>
    <w:rsid w:val="004E666D"/>
    <w:rsid w:val="004E6C69"/>
    <w:rsid w:val="004E725B"/>
    <w:rsid w:val="004E7DA3"/>
    <w:rsid w:val="004F11CF"/>
    <w:rsid w:val="004F1571"/>
    <w:rsid w:val="004F54F9"/>
    <w:rsid w:val="004F7389"/>
    <w:rsid w:val="0050064C"/>
    <w:rsid w:val="00501F04"/>
    <w:rsid w:val="0050365A"/>
    <w:rsid w:val="005036C4"/>
    <w:rsid w:val="00503D99"/>
    <w:rsid w:val="00511401"/>
    <w:rsid w:val="00514166"/>
    <w:rsid w:val="005141F3"/>
    <w:rsid w:val="0051493E"/>
    <w:rsid w:val="0052058C"/>
    <w:rsid w:val="0052160C"/>
    <w:rsid w:val="00521650"/>
    <w:rsid w:val="00521DDF"/>
    <w:rsid w:val="00522267"/>
    <w:rsid w:val="00524A9E"/>
    <w:rsid w:val="005271E2"/>
    <w:rsid w:val="005279B9"/>
    <w:rsid w:val="00527E5F"/>
    <w:rsid w:val="00531324"/>
    <w:rsid w:val="005372D9"/>
    <w:rsid w:val="00537E71"/>
    <w:rsid w:val="00540C7C"/>
    <w:rsid w:val="00541794"/>
    <w:rsid w:val="005432DA"/>
    <w:rsid w:val="00543ACB"/>
    <w:rsid w:val="00543D95"/>
    <w:rsid w:val="005442E7"/>
    <w:rsid w:val="00544549"/>
    <w:rsid w:val="00544D9B"/>
    <w:rsid w:val="005452A4"/>
    <w:rsid w:val="005513FA"/>
    <w:rsid w:val="005563B5"/>
    <w:rsid w:val="00556B58"/>
    <w:rsid w:val="00557583"/>
    <w:rsid w:val="005603B9"/>
    <w:rsid w:val="00560765"/>
    <w:rsid w:val="00560C5A"/>
    <w:rsid w:val="00560EEF"/>
    <w:rsid w:val="00561618"/>
    <w:rsid w:val="00561C97"/>
    <w:rsid w:val="00562AFC"/>
    <w:rsid w:val="0056325A"/>
    <w:rsid w:val="00564FCD"/>
    <w:rsid w:val="005650B4"/>
    <w:rsid w:val="00565479"/>
    <w:rsid w:val="0056621E"/>
    <w:rsid w:val="0057078E"/>
    <w:rsid w:val="00570F7F"/>
    <w:rsid w:val="0057169E"/>
    <w:rsid w:val="005728C4"/>
    <w:rsid w:val="00574729"/>
    <w:rsid w:val="00575342"/>
    <w:rsid w:val="00575B11"/>
    <w:rsid w:val="005777F9"/>
    <w:rsid w:val="0058004F"/>
    <w:rsid w:val="00582C75"/>
    <w:rsid w:val="00584B93"/>
    <w:rsid w:val="005850A1"/>
    <w:rsid w:val="00586C80"/>
    <w:rsid w:val="0058732A"/>
    <w:rsid w:val="00592B8B"/>
    <w:rsid w:val="00592E09"/>
    <w:rsid w:val="00593AA6"/>
    <w:rsid w:val="00594C9D"/>
    <w:rsid w:val="005964C7"/>
    <w:rsid w:val="005A0CEF"/>
    <w:rsid w:val="005A0D43"/>
    <w:rsid w:val="005A0D8F"/>
    <w:rsid w:val="005A2617"/>
    <w:rsid w:val="005A43AB"/>
    <w:rsid w:val="005A459F"/>
    <w:rsid w:val="005A51D5"/>
    <w:rsid w:val="005A7486"/>
    <w:rsid w:val="005B0136"/>
    <w:rsid w:val="005B096E"/>
    <w:rsid w:val="005B0DC8"/>
    <w:rsid w:val="005B3875"/>
    <w:rsid w:val="005B3DAE"/>
    <w:rsid w:val="005B4EAB"/>
    <w:rsid w:val="005C2366"/>
    <w:rsid w:val="005C421E"/>
    <w:rsid w:val="005C495B"/>
    <w:rsid w:val="005C50F5"/>
    <w:rsid w:val="005C652B"/>
    <w:rsid w:val="005C75EC"/>
    <w:rsid w:val="005C7F43"/>
    <w:rsid w:val="005D0F9E"/>
    <w:rsid w:val="005D1573"/>
    <w:rsid w:val="005D157E"/>
    <w:rsid w:val="005D18C0"/>
    <w:rsid w:val="005D3A39"/>
    <w:rsid w:val="005D3B20"/>
    <w:rsid w:val="005D46FD"/>
    <w:rsid w:val="005D76A9"/>
    <w:rsid w:val="005E0B1D"/>
    <w:rsid w:val="005E15F3"/>
    <w:rsid w:val="005E5394"/>
    <w:rsid w:val="005E713F"/>
    <w:rsid w:val="005F1723"/>
    <w:rsid w:val="005F1AD3"/>
    <w:rsid w:val="005F335D"/>
    <w:rsid w:val="005F4134"/>
    <w:rsid w:val="005F450A"/>
    <w:rsid w:val="005F54AC"/>
    <w:rsid w:val="005F66C2"/>
    <w:rsid w:val="005F7852"/>
    <w:rsid w:val="00601311"/>
    <w:rsid w:val="00605F5A"/>
    <w:rsid w:val="00606249"/>
    <w:rsid w:val="00612A85"/>
    <w:rsid w:val="006148E6"/>
    <w:rsid w:val="00615E51"/>
    <w:rsid w:val="0062145C"/>
    <w:rsid w:val="006240AF"/>
    <w:rsid w:val="006245E9"/>
    <w:rsid w:val="0062580A"/>
    <w:rsid w:val="00625D6C"/>
    <w:rsid w:val="00625E9E"/>
    <w:rsid w:val="0062609B"/>
    <w:rsid w:val="00627026"/>
    <w:rsid w:val="00627A56"/>
    <w:rsid w:val="00630801"/>
    <w:rsid w:val="00630A7A"/>
    <w:rsid w:val="00630B04"/>
    <w:rsid w:val="00634259"/>
    <w:rsid w:val="00634459"/>
    <w:rsid w:val="00634F6B"/>
    <w:rsid w:val="00634FF0"/>
    <w:rsid w:val="0064061C"/>
    <w:rsid w:val="0064193B"/>
    <w:rsid w:val="00643231"/>
    <w:rsid w:val="00644801"/>
    <w:rsid w:val="00647DBB"/>
    <w:rsid w:val="0065050F"/>
    <w:rsid w:val="00652397"/>
    <w:rsid w:val="00654BAA"/>
    <w:rsid w:val="006552F8"/>
    <w:rsid w:val="006557B3"/>
    <w:rsid w:val="0065769D"/>
    <w:rsid w:val="0066080A"/>
    <w:rsid w:val="00661E15"/>
    <w:rsid w:val="00662A2E"/>
    <w:rsid w:val="0066373B"/>
    <w:rsid w:val="0066638C"/>
    <w:rsid w:val="00666C91"/>
    <w:rsid w:val="006745B6"/>
    <w:rsid w:val="00677130"/>
    <w:rsid w:val="0068132E"/>
    <w:rsid w:val="00681AAD"/>
    <w:rsid w:val="00682619"/>
    <w:rsid w:val="006829CB"/>
    <w:rsid w:val="00682B20"/>
    <w:rsid w:val="00683C54"/>
    <w:rsid w:val="00684C1E"/>
    <w:rsid w:val="00684D95"/>
    <w:rsid w:val="00685B87"/>
    <w:rsid w:val="0068708E"/>
    <w:rsid w:val="006902A2"/>
    <w:rsid w:val="00691433"/>
    <w:rsid w:val="00693D49"/>
    <w:rsid w:val="00694B04"/>
    <w:rsid w:val="0069572C"/>
    <w:rsid w:val="00696B1A"/>
    <w:rsid w:val="006A44E9"/>
    <w:rsid w:val="006A6444"/>
    <w:rsid w:val="006B05A9"/>
    <w:rsid w:val="006B0D4B"/>
    <w:rsid w:val="006B20BB"/>
    <w:rsid w:val="006B268C"/>
    <w:rsid w:val="006B3C1A"/>
    <w:rsid w:val="006B44E5"/>
    <w:rsid w:val="006B45A1"/>
    <w:rsid w:val="006B5279"/>
    <w:rsid w:val="006B5288"/>
    <w:rsid w:val="006B6DE8"/>
    <w:rsid w:val="006C0245"/>
    <w:rsid w:val="006C17CC"/>
    <w:rsid w:val="006C222D"/>
    <w:rsid w:val="006C23CD"/>
    <w:rsid w:val="006C4D3A"/>
    <w:rsid w:val="006C5B05"/>
    <w:rsid w:val="006C6BF2"/>
    <w:rsid w:val="006C7FC4"/>
    <w:rsid w:val="006D0CCD"/>
    <w:rsid w:val="006D139C"/>
    <w:rsid w:val="006D4D86"/>
    <w:rsid w:val="006D64A2"/>
    <w:rsid w:val="006D7A3A"/>
    <w:rsid w:val="006D7D0B"/>
    <w:rsid w:val="006E0DFC"/>
    <w:rsid w:val="006E0E3E"/>
    <w:rsid w:val="006E3196"/>
    <w:rsid w:val="006E4488"/>
    <w:rsid w:val="006E6181"/>
    <w:rsid w:val="006E6315"/>
    <w:rsid w:val="006E769C"/>
    <w:rsid w:val="006E771E"/>
    <w:rsid w:val="006F0CFE"/>
    <w:rsid w:val="006F2036"/>
    <w:rsid w:val="006F34F2"/>
    <w:rsid w:val="006F47BF"/>
    <w:rsid w:val="006F5603"/>
    <w:rsid w:val="006F654A"/>
    <w:rsid w:val="0070419F"/>
    <w:rsid w:val="00704569"/>
    <w:rsid w:val="00706751"/>
    <w:rsid w:val="00707B6B"/>
    <w:rsid w:val="00710451"/>
    <w:rsid w:val="00710E77"/>
    <w:rsid w:val="00712CFC"/>
    <w:rsid w:val="00714101"/>
    <w:rsid w:val="007151D4"/>
    <w:rsid w:val="00715F69"/>
    <w:rsid w:val="00717285"/>
    <w:rsid w:val="007173CD"/>
    <w:rsid w:val="00720BE2"/>
    <w:rsid w:val="00720FCE"/>
    <w:rsid w:val="0072195F"/>
    <w:rsid w:val="00723860"/>
    <w:rsid w:val="00723DF3"/>
    <w:rsid w:val="00725C36"/>
    <w:rsid w:val="007278ED"/>
    <w:rsid w:val="00730A46"/>
    <w:rsid w:val="00730F6B"/>
    <w:rsid w:val="00731007"/>
    <w:rsid w:val="00731FD9"/>
    <w:rsid w:val="0073263D"/>
    <w:rsid w:val="00732DF4"/>
    <w:rsid w:val="007333B4"/>
    <w:rsid w:val="00733968"/>
    <w:rsid w:val="00734220"/>
    <w:rsid w:val="00734E4F"/>
    <w:rsid w:val="007356E1"/>
    <w:rsid w:val="00736914"/>
    <w:rsid w:val="00740BFA"/>
    <w:rsid w:val="007415FF"/>
    <w:rsid w:val="00741D70"/>
    <w:rsid w:val="00743F50"/>
    <w:rsid w:val="0074503B"/>
    <w:rsid w:val="00746998"/>
    <w:rsid w:val="007475CE"/>
    <w:rsid w:val="0074785E"/>
    <w:rsid w:val="00750541"/>
    <w:rsid w:val="00753F69"/>
    <w:rsid w:val="00761DC6"/>
    <w:rsid w:val="00762121"/>
    <w:rsid w:val="0076327D"/>
    <w:rsid w:val="00764D98"/>
    <w:rsid w:val="00765933"/>
    <w:rsid w:val="00765A06"/>
    <w:rsid w:val="00767819"/>
    <w:rsid w:val="0076782A"/>
    <w:rsid w:val="0077009F"/>
    <w:rsid w:val="0077310D"/>
    <w:rsid w:val="00774848"/>
    <w:rsid w:val="00775243"/>
    <w:rsid w:val="00775476"/>
    <w:rsid w:val="007758C0"/>
    <w:rsid w:val="007766B5"/>
    <w:rsid w:val="00777196"/>
    <w:rsid w:val="00777619"/>
    <w:rsid w:val="0078032F"/>
    <w:rsid w:val="007815D5"/>
    <w:rsid w:val="00781863"/>
    <w:rsid w:val="00781AD5"/>
    <w:rsid w:val="007824AF"/>
    <w:rsid w:val="007825CF"/>
    <w:rsid w:val="00784DAC"/>
    <w:rsid w:val="00787B1E"/>
    <w:rsid w:val="0079087B"/>
    <w:rsid w:val="007914E9"/>
    <w:rsid w:val="00791CEE"/>
    <w:rsid w:val="00792470"/>
    <w:rsid w:val="00793DBF"/>
    <w:rsid w:val="00797862"/>
    <w:rsid w:val="007A1C6C"/>
    <w:rsid w:val="007A22BC"/>
    <w:rsid w:val="007A3A09"/>
    <w:rsid w:val="007A4A40"/>
    <w:rsid w:val="007A4A9B"/>
    <w:rsid w:val="007A4D37"/>
    <w:rsid w:val="007A5B30"/>
    <w:rsid w:val="007A63A4"/>
    <w:rsid w:val="007A6A48"/>
    <w:rsid w:val="007A6F3B"/>
    <w:rsid w:val="007A6F9B"/>
    <w:rsid w:val="007A7E4D"/>
    <w:rsid w:val="007B01E5"/>
    <w:rsid w:val="007B1B91"/>
    <w:rsid w:val="007B2861"/>
    <w:rsid w:val="007B3B18"/>
    <w:rsid w:val="007B5098"/>
    <w:rsid w:val="007B6735"/>
    <w:rsid w:val="007B6E5A"/>
    <w:rsid w:val="007B77AA"/>
    <w:rsid w:val="007C17E1"/>
    <w:rsid w:val="007C1AA8"/>
    <w:rsid w:val="007C4539"/>
    <w:rsid w:val="007C55B2"/>
    <w:rsid w:val="007C62D8"/>
    <w:rsid w:val="007D0558"/>
    <w:rsid w:val="007D3EF6"/>
    <w:rsid w:val="007D3EF7"/>
    <w:rsid w:val="007D477C"/>
    <w:rsid w:val="007D5123"/>
    <w:rsid w:val="007D553A"/>
    <w:rsid w:val="007E0EFB"/>
    <w:rsid w:val="007E14F5"/>
    <w:rsid w:val="007E213B"/>
    <w:rsid w:val="007E28F1"/>
    <w:rsid w:val="007E2E01"/>
    <w:rsid w:val="007E694D"/>
    <w:rsid w:val="007F03E6"/>
    <w:rsid w:val="007F1924"/>
    <w:rsid w:val="007F4802"/>
    <w:rsid w:val="007F5A7C"/>
    <w:rsid w:val="007F6A31"/>
    <w:rsid w:val="007F7E7D"/>
    <w:rsid w:val="008011BD"/>
    <w:rsid w:val="00801267"/>
    <w:rsid w:val="00804637"/>
    <w:rsid w:val="008057EA"/>
    <w:rsid w:val="00806D50"/>
    <w:rsid w:val="00807353"/>
    <w:rsid w:val="00811D3B"/>
    <w:rsid w:val="008142FE"/>
    <w:rsid w:val="0081503F"/>
    <w:rsid w:val="00820B2C"/>
    <w:rsid w:val="00821069"/>
    <w:rsid w:val="0082209B"/>
    <w:rsid w:val="0082214E"/>
    <w:rsid w:val="00822422"/>
    <w:rsid w:val="008230AF"/>
    <w:rsid w:val="00823157"/>
    <w:rsid w:val="00824D7E"/>
    <w:rsid w:val="00824FC0"/>
    <w:rsid w:val="00825E0E"/>
    <w:rsid w:val="00830D9C"/>
    <w:rsid w:val="00833239"/>
    <w:rsid w:val="00834CC2"/>
    <w:rsid w:val="00835D2E"/>
    <w:rsid w:val="008361B8"/>
    <w:rsid w:val="008367D0"/>
    <w:rsid w:val="00836D32"/>
    <w:rsid w:val="00840FEC"/>
    <w:rsid w:val="00843AC9"/>
    <w:rsid w:val="008473F7"/>
    <w:rsid w:val="00847615"/>
    <w:rsid w:val="00853F76"/>
    <w:rsid w:val="008541C2"/>
    <w:rsid w:val="00854640"/>
    <w:rsid w:val="0085496F"/>
    <w:rsid w:val="008564AB"/>
    <w:rsid w:val="00862FFA"/>
    <w:rsid w:val="008648B5"/>
    <w:rsid w:val="00864C27"/>
    <w:rsid w:val="00864D3B"/>
    <w:rsid w:val="00865AD9"/>
    <w:rsid w:val="008666A6"/>
    <w:rsid w:val="00867D2D"/>
    <w:rsid w:val="00873F3A"/>
    <w:rsid w:val="00874FBC"/>
    <w:rsid w:val="008773AA"/>
    <w:rsid w:val="0088097F"/>
    <w:rsid w:val="008841FC"/>
    <w:rsid w:val="00884876"/>
    <w:rsid w:val="008868CC"/>
    <w:rsid w:val="00887D80"/>
    <w:rsid w:val="00890A59"/>
    <w:rsid w:val="008922E7"/>
    <w:rsid w:val="0089322D"/>
    <w:rsid w:val="00894D6A"/>
    <w:rsid w:val="00894E2E"/>
    <w:rsid w:val="00895857"/>
    <w:rsid w:val="008958C1"/>
    <w:rsid w:val="008968BA"/>
    <w:rsid w:val="00897114"/>
    <w:rsid w:val="008A053E"/>
    <w:rsid w:val="008A07A9"/>
    <w:rsid w:val="008A129A"/>
    <w:rsid w:val="008A1678"/>
    <w:rsid w:val="008A1C6A"/>
    <w:rsid w:val="008A2B39"/>
    <w:rsid w:val="008A3339"/>
    <w:rsid w:val="008A3865"/>
    <w:rsid w:val="008A58F1"/>
    <w:rsid w:val="008A7A1E"/>
    <w:rsid w:val="008A7C51"/>
    <w:rsid w:val="008B28A2"/>
    <w:rsid w:val="008B4D83"/>
    <w:rsid w:val="008B63A1"/>
    <w:rsid w:val="008B649B"/>
    <w:rsid w:val="008B70F7"/>
    <w:rsid w:val="008B7B5C"/>
    <w:rsid w:val="008C0B42"/>
    <w:rsid w:val="008C0BA8"/>
    <w:rsid w:val="008C0CE1"/>
    <w:rsid w:val="008C39B4"/>
    <w:rsid w:val="008C463E"/>
    <w:rsid w:val="008C6347"/>
    <w:rsid w:val="008C77DB"/>
    <w:rsid w:val="008C7AFB"/>
    <w:rsid w:val="008D6ABC"/>
    <w:rsid w:val="008D7252"/>
    <w:rsid w:val="008E1C1A"/>
    <w:rsid w:val="008E23A4"/>
    <w:rsid w:val="008E23BE"/>
    <w:rsid w:val="008E2DDF"/>
    <w:rsid w:val="008E374E"/>
    <w:rsid w:val="008E38A5"/>
    <w:rsid w:val="008E4B6D"/>
    <w:rsid w:val="008E4EF2"/>
    <w:rsid w:val="008E4F70"/>
    <w:rsid w:val="008E5FDE"/>
    <w:rsid w:val="008E619A"/>
    <w:rsid w:val="008E76B8"/>
    <w:rsid w:val="008F0247"/>
    <w:rsid w:val="008F072D"/>
    <w:rsid w:val="008F0E6F"/>
    <w:rsid w:val="008F1364"/>
    <w:rsid w:val="008F2CE1"/>
    <w:rsid w:val="008F48D1"/>
    <w:rsid w:val="008F6C1F"/>
    <w:rsid w:val="008F6D76"/>
    <w:rsid w:val="009018B4"/>
    <w:rsid w:val="00901BB9"/>
    <w:rsid w:val="00901C19"/>
    <w:rsid w:val="009021BE"/>
    <w:rsid w:val="00902C9F"/>
    <w:rsid w:val="00905C7F"/>
    <w:rsid w:val="009064D0"/>
    <w:rsid w:val="00906FA9"/>
    <w:rsid w:val="00913087"/>
    <w:rsid w:val="00913099"/>
    <w:rsid w:val="00914191"/>
    <w:rsid w:val="0091522F"/>
    <w:rsid w:val="0091550C"/>
    <w:rsid w:val="00915753"/>
    <w:rsid w:val="00915ADC"/>
    <w:rsid w:val="00917C77"/>
    <w:rsid w:val="009223A5"/>
    <w:rsid w:val="00923CE8"/>
    <w:rsid w:val="00924539"/>
    <w:rsid w:val="00924740"/>
    <w:rsid w:val="00924E22"/>
    <w:rsid w:val="009273E1"/>
    <w:rsid w:val="00931845"/>
    <w:rsid w:val="00931FEB"/>
    <w:rsid w:val="00932924"/>
    <w:rsid w:val="00934366"/>
    <w:rsid w:val="0093762A"/>
    <w:rsid w:val="00940DE2"/>
    <w:rsid w:val="00941A58"/>
    <w:rsid w:val="00941F86"/>
    <w:rsid w:val="009433C1"/>
    <w:rsid w:val="00947B12"/>
    <w:rsid w:val="00947C45"/>
    <w:rsid w:val="009500DA"/>
    <w:rsid w:val="00951CD0"/>
    <w:rsid w:val="00953B2D"/>
    <w:rsid w:val="0095561D"/>
    <w:rsid w:val="00956E4F"/>
    <w:rsid w:val="00960499"/>
    <w:rsid w:val="00960A77"/>
    <w:rsid w:val="00961F05"/>
    <w:rsid w:val="00964AE6"/>
    <w:rsid w:val="00964EAD"/>
    <w:rsid w:val="00965991"/>
    <w:rsid w:val="0096682A"/>
    <w:rsid w:val="00967A88"/>
    <w:rsid w:val="00970C19"/>
    <w:rsid w:val="009714D7"/>
    <w:rsid w:val="00972D81"/>
    <w:rsid w:val="009738A9"/>
    <w:rsid w:val="009756F7"/>
    <w:rsid w:val="0097721B"/>
    <w:rsid w:val="00980269"/>
    <w:rsid w:val="00983A9E"/>
    <w:rsid w:val="00984EA0"/>
    <w:rsid w:val="00985100"/>
    <w:rsid w:val="0099013E"/>
    <w:rsid w:val="00991C15"/>
    <w:rsid w:val="009930FC"/>
    <w:rsid w:val="00993FF0"/>
    <w:rsid w:val="00995366"/>
    <w:rsid w:val="009964C5"/>
    <w:rsid w:val="00997466"/>
    <w:rsid w:val="009A1F05"/>
    <w:rsid w:val="009A2079"/>
    <w:rsid w:val="009A20AE"/>
    <w:rsid w:val="009A21F7"/>
    <w:rsid w:val="009A3800"/>
    <w:rsid w:val="009A4292"/>
    <w:rsid w:val="009A7029"/>
    <w:rsid w:val="009B4622"/>
    <w:rsid w:val="009B4B1E"/>
    <w:rsid w:val="009B4CF1"/>
    <w:rsid w:val="009B5197"/>
    <w:rsid w:val="009B5C66"/>
    <w:rsid w:val="009B5F68"/>
    <w:rsid w:val="009B61E6"/>
    <w:rsid w:val="009C1952"/>
    <w:rsid w:val="009C4463"/>
    <w:rsid w:val="009C5806"/>
    <w:rsid w:val="009C73A6"/>
    <w:rsid w:val="009D3055"/>
    <w:rsid w:val="009D3C4A"/>
    <w:rsid w:val="009D4F3B"/>
    <w:rsid w:val="009E05EA"/>
    <w:rsid w:val="009E1A51"/>
    <w:rsid w:val="009E26EB"/>
    <w:rsid w:val="009E4162"/>
    <w:rsid w:val="009E5F9B"/>
    <w:rsid w:val="009E709C"/>
    <w:rsid w:val="009F1CA8"/>
    <w:rsid w:val="009F352E"/>
    <w:rsid w:val="009F4917"/>
    <w:rsid w:val="009F5114"/>
    <w:rsid w:val="009F6AEA"/>
    <w:rsid w:val="009F7EFD"/>
    <w:rsid w:val="00A00CA1"/>
    <w:rsid w:val="00A01A85"/>
    <w:rsid w:val="00A043D5"/>
    <w:rsid w:val="00A058E9"/>
    <w:rsid w:val="00A07CA1"/>
    <w:rsid w:val="00A103F9"/>
    <w:rsid w:val="00A12581"/>
    <w:rsid w:val="00A132A9"/>
    <w:rsid w:val="00A167E5"/>
    <w:rsid w:val="00A16830"/>
    <w:rsid w:val="00A16B89"/>
    <w:rsid w:val="00A225FD"/>
    <w:rsid w:val="00A24084"/>
    <w:rsid w:val="00A2472D"/>
    <w:rsid w:val="00A26258"/>
    <w:rsid w:val="00A272A3"/>
    <w:rsid w:val="00A318FC"/>
    <w:rsid w:val="00A319E3"/>
    <w:rsid w:val="00A3453E"/>
    <w:rsid w:val="00A355DF"/>
    <w:rsid w:val="00A35C65"/>
    <w:rsid w:val="00A50082"/>
    <w:rsid w:val="00A523FC"/>
    <w:rsid w:val="00A528D5"/>
    <w:rsid w:val="00A5374F"/>
    <w:rsid w:val="00A54858"/>
    <w:rsid w:val="00A5726D"/>
    <w:rsid w:val="00A601CF"/>
    <w:rsid w:val="00A62810"/>
    <w:rsid w:val="00A63752"/>
    <w:rsid w:val="00A65295"/>
    <w:rsid w:val="00A656BF"/>
    <w:rsid w:val="00A65D12"/>
    <w:rsid w:val="00A6660A"/>
    <w:rsid w:val="00A6787C"/>
    <w:rsid w:val="00A71B63"/>
    <w:rsid w:val="00A72126"/>
    <w:rsid w:val="00A72509"/>
    <w:rsid w:val="00A72580"/>
    <w:rsid w:val="00A72A0E"/>
    <w:rsid w:val="00A73BF6"/>
    <w:rsid w:val="00A773E0"/>
    <w:rsid w:val="00A81740"/>
    <w:rsid w:val="00A8235E"/>
    <w:rsid w:val="00A82729"/>
    <w:rsid w:val="00A82DE0"/>
    <w:rsid w:val="00A8594E"/>
    <w:rsid w:val="00A85F2F"/>
    <w:rsid w:val="00A90648"/>
    <w:rsid w:val="00A935CD"/>
    <w:rsid w:val="00A935D1"/>
    <w:rsid w:val="00A93610"/>
    <w:rsid w:val="00A9493E"/>
    <w:rsid w:val="00A951D6"/>
    <w:rsid w:val="00A954E4"/>
    <w:rsid w:val="00AA0728"/>
    <w:rsid w:val="00AA109A"/>
    <w:rsid w:val="00AA1F44"/>
    <w:rsid w:val="00AA4F15"/>
    <w:rsid w:val="00AA5970"/>
    <w:rsid w:val="00AA733B"/>
    <w:rsid w:val="00AB0573"/>
    <w:rsid w:val="00AB108C"/>
    <w:rsid w:val="00AB1E04"/>
    <w:rsid w:val="00AB3443"/>
    <w:rsid w:val="00AB36CA"/>
    <w:rsid w:val="00AB7EBB"/>
    <w:rsid w:val="00AC187F"/>
    <w:rsid w:val="00AC1B16"/>
    <w:rsid w:val="00AC2584"/>
    <w:rsid w:val="00AC5988"/>
    <w:rsid w:val="00AC6FA2"/>
    <w:rsid w:val="00AD3A8A"/>
    <w:rsid w:val="00AD3A9E"/>
    <w:rsid w:val="00AD4AFC"/>
    <w:rsid w:val="00AD6CC6"/>
    <w:rsid w:val="00AD795F"/>
    <w:rsid w:val="00AD7DE3"/>
    <w:rsid w:val="00AE052B"/>
    <w:rsid w:val="00AE1426"/>
    <w:rsid w:val="00AE1826"/>
    <w:rsid w:val="00AE23C0"/>
    <w:rsid w:val="00AE2B66"/>
    <w:rsid w:val="00AE2ECD"/>
    <w:rsid w:val="00AE3317"/>
    <w:rsid w:val="00AE4690"/>
    <w:rsid w:val="00AE557C"/>
    <w:rsid w:val="00AE6A96"/>
    <w:rsid w:val="00AE6BCD"/>
    <w:rsid w:val="00AE76D1"/>
    <w:rsid w:val="00AF0EB2"/>
    <w:rsid w:val="00AF4EE7"/>
    <w:rsid w:val="00AF6437"/>
    <w:rsid w:val="00AF6B49"/>
    <w:rsid w:val="00AF7773"/>
    <w:rsid w:val="00B01759"/>
    <w:rsid w:val="00B017AB"/>
    <w:rsid w:val="00B01BA9"/>
    <w:rsid w:val="00B05B2A"/>
    <w:rsid w:val="00B076F6"/>
    <w:rsid w:val="00B10786"/>
    <w:rsid w:val="00B12E05"/>
    <w:rsid w:val="00B13E16"/>
    <w:rsid w:val="00B158A5"/>
    <w:rsid w:val="00B20C63"/>
    <w:rsid w:val="00B20EAB"/>
    <w:rsid w:val="00B20F22"/>
    <w:rsid w:val="00B2204B"/>
    <w:rsid w:val="00B24369"/>
    <w:rsid w:val="00B262E5"/>
    <w:rsid w:val="00B2654F"/>
    <w:rsid w:val="00B26900"/>
    <w:rsid w:val="00B30010"/>
    <w:rsid w:val="00B31BBE"/>
    <w:rsid w:val="00B31C15"/>
    <w:rsid w:val="00B34F6D"/>
    <w:rsid w:val="00B35473"/>
    <w:rsid w:val="00B35C88"/>
    <w:rsid w:val="00B376FA"/>
    <w:rsid w:val="00B41F78"/>
    <w:rsid w:val="00B43683"/>
    <w:rsid w:val="00B4427C"/>
    <w:rsid w:val="00B44808"/>
    <w:rsid w:val="00B45F94"/>
    <w:rsid w:val="00B507E4"/>
    <w:rsid w:val="00B51CCB"/>
    <w:rsid w:val="00B5358B"/>
    <w:rsid w:val="00B54734"/>
    <w:rsid w:val="00B54F09"/>
    <w:rsid w:val="00B5640F"/>
    <w:rsid w:val="00B57341"/>
    <w:rsid w:val="00B5748F"/>
    <w:rsid w:val="00B6163D"/>
    <w:rsid w:val="00B6408B"/>
    <w:rsid w:val="00B67132"/>
    <w:rsid w:val="00B713B0"/>
    <w:rsid w:val="00B7165D"/>
    <w:rsid w:val="00B722CC"/>
    <w:rsid w:val="00B736DA"/>
    <w:rsid w:val="00B7435C"/>
    <w:rsid w:val="00B75D3E"/>
    <w:rsid w:val="00B8196E"/>
    <w:rsid w:val="00B82FBF"/>
    <w:rsid w:val="00B85731"/>
    <w:rsid w:val="00B86A84"/>
    <w:rsid w:val="00B900A3"/>
    <w:rsid w:val="00B93295"/>
    <w:rsid w:val="00B9347E"/>
    <w:rsid w:val="00B94179"/>
    <w:rsid w:val="00B9564C"/>
    <w:rsid w:val="00B961B4"/>
    <w:rsid w:val="00B96F2C"/>
    <w:rsid w:val="00B9701B"/>
    <w:rsid w:val="00B97329"/>
    <w:rsid w:val="00B9742E"/>
    <w:rsid w:val="00B97624"/>
    <w:rsid w:val="00B979A5"/>
    <w:rsid w:val="00BA2AC4"/>
    <w:rsid w:val="00BA41A8"/>
    <w:rsid w:val="00BA45A3"/>
    <w:rsid w:val="00BA519D"/>
    <w:rsid w:val="00BB0F0F"/>
    <w:rsid w:val="00BB36CF"/>
    <w:rsid w:val="00BB3F20"/>
    <w:rsid w:val="00BB4523"/>
    <w:rsid w:val="00BB587B"/>
    <w:rsid w:val="00BB5E73"/>
    <w:rsid w:val="00BB6783"/>
    <w:rsid w:val="00BB6EF0"/>
    <w:rsid w:val="00BB789E"/>
    <w:rsid w:val="00BC07E4"/>
    <w:rsid w:val="00BC1C8A"/>
    <w:rsid w:val="00BC326E"/>
    <w:rsid w:val="00BC38E7"/>
    <w:rsid w:val="00BC3EF8"/>
    <w:rsid w:val="00BC4167"/>
    <w:rsid w:val="00BC4603"/>
    <w:rsid w:val="00BC4C52"/>
    <w:rsid w:val="00BC5505"/>
    <w:rsid w:val="00BC6B42"/>
    <w:rsid w:val="00BD0510"/>
    <w:rsid w:val="00BD071B"/>
    <w:rsid w:val="00BD24E7"/>
    <w:rsid w:val="00BD267D"/>
    <w:rsid w:val="00BD6C21"/>
    <w:rsid w:val="00BD7067"/>
    <w:rsid w:val="00BE0669"/>
    <w:rsid w:val="00BE0DD1"/>
    <w:rsid w:val="00BE300F"/>
    <w:rsid w:val="00BE5B80"/>
    <w:rsid w:val="00BE5F5D"/>
    <w:rsid w:val="00BE741D"/>
    <w:rsid w:val="00BF10A8"/>
    <w:rsid w:val="00BF127D"/>
    <w:rsid w:val="00BF2218"/>
    <w:rsid w:val="00BF525A"/>
    <w:rsid w:val="00BF6852"/>
    <w:rsid w:val="00BF690B"/>
    <w:rsid w:val="00C04C2E"/>
    <w:rsid w:val="00C04F8A"/>
    <w:rsid w:val="00C07516"/>
    <w:rsid w:val="00C107B3"/>
    <w:rsid w:val="00C10892"/>
    <w:rsid w:val="00C115C5"/>
    <w:rsid w:val="00C116E0"/>
    <w:rsid w:val="00C118A4"/>
    <w:rsid w:val="00C12AC6"/>
    <w:rsid w:val="00C1673C"/>
    <w:rsid w:val="00C16CD2"/>
    <w:rsid w:val="00C205AD"/>
    <w:rsid w:val="00C207EE"/>
    <w:rsid w:val="00C20E97"/>
    <w:rsid w:val="00C21880"/>
    <w:rsid w:val="00C22B06"/>
    <w:rsid w:val="00C22C2A"/>
    <w:rsid w:val="00C22C90"/>
    <w:rsid w:val="00C262D3"/>
    <w:rsid w:val="00C26D05"/>
    <w:rsid w:val="00C33271"/>
    <w:rsid w:val="00C366AD"/>
    <w:rsid w:val="00C36C36"/>
    <w:rsid w:val="00C400F7"/>
    <w:rsid w:val="00C42970"/>
    <w:rsid w:val="00C434D4"/>
    <w:rsid w:val="00C43C27"/>
    <w:rsid w:val="00C44DE4"/>
    <w:rsid w:val="00C455D5"/>
    <w:rsid w:val="00C45900"/>
    <w:rsid w:val="00C45F52"/>
    <w:rsid w:val="00C50666"/>
    <w:rsid w:val="00C51071"/>
    <w:rsid w:val="00C5159A"/>
    <w:rsid w:val="00C53E0B"/>
    <w:rsid w:val="00C54DAE"/>
    <w:rsid w:val="00C56BE3"/>
    <w:rsid w:val="00C60998"/>
    <w:rsid w:val="00C61734"/>
    <w:rsid w:val="00C66577"/>
    <w:rsid w:val="00C67EA8"/>
    <w:rsid w:val="00C7046D"/>
    <w:rsid w:val="00C70D02"/>
    <w:rsid w:val="00C72A67"/>
    <w:rsid w:val="00C75962"/>
    <w:rsid w:val="00C76C1D"/>
    <w:rsid w:val="00C778CF"/>
    <w:rsid w:val="00C77D69"/>
    <w:rsid w:val="00C77F94"/>
    <w:rsid w:val="00C8063E"/>
    <w:rsid w:val="00C8141C"/>
    <w:rsid w:val="00C85CAB"/>
    <w:rsid w:val="00C87D0E"/>
    <w:rsid w:val="00C91AEF"/>
    <w:rsid w:val="00C93344"/>
    <w:rsid w:val="00C94E81"/>
    <w:rsid w:val="00C96050"/>
    <w:rsid w:val="00C96CBF"/>
    <w:rsid w:val="00CA0D40"/>
    <w:rsid w:val="00CA1CBD"/>
    <w:rsid w:val="00CA2EB0"/>
    <w:rsid w:val="00CA3787"/>
    <w:rsid w:val="00CB0E39"/>
    <w:rsid w:val="00CB501D"/>
    <w:rsid w:val="00CB5078"/>
    <w:rsid w:val="00CB6327"/>
    <w:rsid w:val="00CB6678"/>
    <w:rsid w:val="00CB78B3"/>
    <w:rsid w:val="00CC282E"/>
    <w:rsid w:val="00CC3186"/>
    <w:rsid w:val="00CC5A1E"/>
    <w:rsid w:val="00CC63CC"/>
    <w:rsid w:val="00CC66C1"/>
    <w:rsid w:val="00CD027D"/>
    <w:rsid w:val="00CD0784"/>
    <w:rsid w:val="00CE33CF"/>
    <w:rsid w:val="00CE6947"/>
    <w:rsid w:val="00CE6E32"/>
    <w:rsid w:val="00CE75AE"/>
    <w:rsid w:val="00CE7F26"/>
    <w:rsid w:val="00CF2193"/>
    <w:rsid w:val="00CF2230"/>
    <w:rsid w:val="00CF41B5"/>
    <w:rsid w:val="00CF5BE4"/>
    <w:rsid w:val="00CF7991"/>
    <w:rsid w:val="00D01BE8"/>
    <w:rsid w:val="00D030F0"/>
    <w:rsid w:val="00D03E74"/>
    <w:rsid w:val="00D06068"/>
    <w:rsid w:val="00D067EA"/>
    <w:rsid w:val="00D06C81"/>
    <w:rsid w:val="00D0782F"/>
    <w:rsid w:val="00D10C2A"/>
    <w:rsid w:val="00D1142C"/>
    <w:rsid w:val="00D12AA7"/>
    <w:rsid w:val="00D15851"/>
    <w:rsid w:val="00D16E55"/>
    <w:rsid w:val="00D21CC5"/>
    <w:rsid w:val="00D23395"/>
    <w:rsid w:val="00D25222"/>
    <w:rsid w:val="00D314F5"/>
    <w:rsid w:val="00D34355"/>
    <w:rsid w:val="00D35365"/>
    <w:rsid w:val="00D40234"/>
    <w:rsid w:val="00D40396"/>
    <w:rsid w:val="00D4367F"/>
    <w:rsid w:val="00D43BD8"/>
    <w:rsid w:val="00D44479"/>
    <w:rsid w:val="00D459A8"/>
    <w:rsid w:val="00D5079E"/>
    <w:rsid w:val="00D55169"/>
    <w:rsid w:val="00D57610"/>
    <w:rsid w:val="00D6192F"/>
    <w:rsid w:val="00D62D05"/>
    <w:rsid w:val="00D63D68"/>
    <w:rsid w:val="00D6798E"/>
    <w:rsid w:val="00D70159"/>
    <w:rsid w:val="00D77350"/>
    <w:rsid w:val="00D776A1"/>
    <w:rsid w:val="00D840C8"/>
    <w:rsid w:val="00D84FD1"/>
    <w:rsid w:val="00D86A03"/>
    <w:rsid w:val="00D8707E"/>
    <w:rsid w:val="00D905E5"/>
    <w:rsid w:val="00D916AB"/>
    <w:rsid w:val="00D9272F"/>
    <w:rsid w:val="00D95597"/>
    <w:rsid w:val="00D95B89"/>
    <w:rsid w:val="00DA0C3B"/>
    <w:rsid w:val="00DA13F9"/>
    <w:rsid w:val="00DB0A2C"/>
    <w:rsid w:val="00DB126B"/>
    <w:rsid w:val="00DC1EB8"/>
    <w:rsid w:val="00DC20A1"/>
    <w:rsid w:val="00DC3554"/>
    <w:rsid w:val="00DC4374"/>
    <w:rsid w:val="00DC5149"/>
    <w:rsid w:val="00DC64D4"/>
    <w:rsid w:val="00DC783A"/>
    <w:rsid w:val="00DD35EF"/>
    <w:rsid w:val="00DD3CFE"/>
    <w:rsid w:val="00DD4228"/>
    <w:rsid w:val="00DD5C81"/>
    <w:rsid w:val="00DD5DB0"/>
    <w:rsid w:val="00DE3CD8"/>
    <w:rsid w:val="00DE55DF"/>
    <w:rsid w:val="00DF0C85"/>
    <w:rsid w:val="00DF235B"/>
    <w:rsid w:val="00DF24C4"/>
    <w:rsid w:val="00DF5DCC"/>
    <w:rsid w:val="00DF786F"/>
    <w:rsid w:val="00E00C5B"/>
    <w:rsid w:val="00E010A9"/>
    <w:rsid w:val="00E07491"/>
    <w:rsid w:val="00E12CAC"/>
    <w:rsid w:val="00E171BA"/>
    <w:rsid w:val="00E20A6F"/>
    <w:rsid w:val="00E2103F"/>
    <w:rsid w:val="00E225F7"/>
    <w:rsid w:val="00E229ED"/>
    <w:rsid w:val="00E241DF"/>
    <w:rsid w:val="00E2554F"/>
    <w:rsid w:val="00E270CE"/>
    <w:rsid w:val="00E27AEF"/>
    <w:rsid w:val="00E3211E"/>
    <w:rsid w:val="00E33A5A"/>
    <w:rsid w:val="00E35E64"/>
    <w:rsid w:val="00E40BDA"/>
    <w:rsid w:val="00E40BFC"/>
    <w:rsid w:val="00E41367"/>
    <w:rsid w:val="00E4182D"/>
    <w:rsid w:val="00E42278"/>
    <w:rsid w:val="00E4266C"/>
    <w:rsid w:val="00E44457"/>
    <w:rsid w:val="00E44605"/>
    <w:rsid w:val="00E46218"/>
    <w:rsid w:val="00E46273"/>
    <w:rsid w:val="00E46C7C"/>
    <w:rsid w:val="00E5061C"/>
    <w:rsid w:val="00E51F96"/>
    <w:rsid w:val="00E52895"/>
    <w:rsid w:val="00E54FEF"/>
    <w:rsid w:val="00E552A3"/>
    <w:rsid w:val="00E579FE"/>
    <w:rsid w:val="00E6043E"/>
    <w:rsid w:val="00E6061F"/>
    <w:rsid w:val="00E60649"/>
    <w:rsid w:val="00E64571"/>
    <w:rsid w:val="00E649B3"/>
    <w:rsid w:val="00E64E66"/>
    <w:rsid w:val="00E65FF9"/>
    <w:rsid w:val="00E6742C"/>
    <w:rsid w:val="00E6767A"/>
    <w:rsid w:val="00E70607"/>
    <w:rsid w:val="00E73348"/>
    <w:rsid w:val="00E74157"/>
    <w:rsid w:val="00E7445E"/>
    <w:rsid w:val="00E746C9"/>
    <w:rsid w:val="00E74C8E"/>
    <w:rsid w:val="00E77B1B"/>
    <w:rsid w:val="00E77DE0"/>
    <w:rsid w:val="00E81738"/>
    <w:rsid w:val="00E967B5"/>
    <w:rsid w:val="00EA2EE7"/>
    <w:rsid w:val="00EA3C8E"/>
    <w:rsid w:val="00EA67AF"/>
    <w:rsid w:val="00EA686B"/>
    <w:rsid w:val="00EA6995"/>
    <w:rsid w:val="00EA6D5E"/>
    <w:rsid w:val="00EA6D90"/>
    <w:rsid w:val="00EA6FB7"/>
    <w:rsid w:val="00EA78E4"/>
    <w:rsid w:val="00EB17AB"/>
    <w:rsid w:val="00EB38A2"/>
    <w:rsid w:val="00EB4BC2"/>
    <w:rsid w:val="00EB4CCA"/>
    <w:rsid w:val="00EB586C"/>
    <w:rsid w:val="00EB6AE3"/>
    <w:rsid w:val="00EC0BB1"/>
    <w:rsid w:val="00EC2AB9"/>
    <w:rsid w:val="00EC2ABF"/>
    <w:rsid w:val="00EC4AEE"/>
    <w:rsid w:val="00EC4E99"/>
    <w:rsid w:val="00EC5739"/>
    <w:rsid w:val="00EC7832"/>
    <w:rsid w:val="00EC7EC8"/>
    <w:rsid w:val="00ED0512"/>
    <w:rsid w:val="00ED066B"/>
    <w:rsid w:val="00ED0FE1"/>
    <w:rsid w:val="00ED2D16"/>
    <w:rsid w:val="00ED4A9C"/>
    <w:rsid w:val="00ED65B8"/>
    <w:rsid w:val="00ED7250"/>
    <w:rsid w:val="00ED7A11"/>
    <w:rsid w:val="00EE01E8"/>
    <w:rsid w:val="00EE09A8"/>
    <w:rsid w:val="00EE1D8A"/>
    <w:rsid w:val="00EE209B"/>
    <w:rsid w:val="00EE24B4"/>
    <w:rsid w:val="00EE2618"/>
    <w:rsid w:val="00EE26AE"/>
    <w:rsid w:val="00EE340B"/>
    <w:rsid w:val="00EE4235"/>
    <w:rsid w:val="00EE4DFD"/>
    <w:rsid w:val="00EE53E8"/>
    <w:rsid w:val="00EE75EC"/>
    <w:rsid w:val="00EE77C2"/>
    <w:rsid w:val="00EF13A5"/>
    <w:rsid w:val="00EF18AF"/>
    <w:rsid w:val="00EF1F90"/>
    <w:rsid w:val="00EF2605"/>
    <w:rsid w:val="00EF3804"/>
    <w:rsid w:val="00EF6A37"/>
    <w:rsid w:val="00EF6BE5"/>
    <w:rsid w:val="00F0024F"/>
    <w:rsid w:val="00F012C0"/>
    <w:rsid w:val="00F04946"/>
    <w:rsid w:val="00F04A60"/>
    <w:rsid w:val="00F05996"/>
    <w:rsid w:val="00F06111"/>
    <w:rsid w:val="00F07FB3"/>
    <w:rsid w:val="00F102C6"/>
    <w:rsid w:val="00F10CB5"/>
    <w:rsid w:val="00F12EB4"/>
    <w:rsid w:val="00F2081F"/>
    <w:rsid w:val="00F22FF3"/>
    <w:rsid w:val="00F23760"/>
    <w:rsid w:val="00F243BA"/>
    <w:rsid w:val="00F24B4A"/>
    <w:rsid w:val="00F2507A"/>
    <w:rsid w:val="00F25F7C"/>
    <w:rsid w:val="00F30934"/>
    <w:rsid w:val="00F32279"/>
    <w:rsid w:val="00F3624B"/>
    <w:rsid w:val="00F37431"/>
    <w:rsid w:val="00F40A6E"/>
    <w:rsid w:val="00F447D5"/>
    <w:rsid w:val="00F450CA"/>
    <w:rsid w:val="00F4534A"/>
    <w:rsid w:val="00F464EE"/>
    <w:rsid w:val="00F47827"/>
    <w:rsid w:val="00F50A2A"/>
    <w:rsid w:val="00F53E0F"/>
    <w:rsid w:val="00F55BD5"/>
    <w:rsid w:val="00F55C9A"/>
    <w:rsid w:val="00F57574"/>
    <w:rsid w:val="00F57C6A"/>
    <w:rsid w:val="00F604F6"/>
    <w:rsid w:val="00F62858"/>
    <w:rsid w:val="00F62C53"/>
    <w:rsid w:val="00F63D5D"/>
    <w:rsid w:val="00F67855"/>
    <w:rsid w:val="00F67F43"/>
    <w:rsid w:val="00F71390"/>
    <w:rsid w:val="00F71B18"/>
    <w:rsid w:val="00F71DAE"/>
    <w:rsid w:val="00F72095"/>
    <w:rsid w:val="00F72D0E"/>
    <w:rsid w:val="00F76E02"/>
    <w:rsid w:val="00F817DC"/>
    <w:rsid w:val="00F81F42"/>
    <w:rsid w:val="00F8306C"/>
    <w:rsid w:val="00F834F1"/>
    <w:rsid w:val="00F84D36"/>
    <w:rsid w:val="00F84E21"/>
    <w:rsid w:val="00F85C9E"/>
    <w:rsid w:val="00F87511"/>
    <w:rsid w:val="00F87D32"/>
    <w:rsid w:val="00F91CB1"/>
    <w:rsid w:val="00F947AA"/>
    <w:rsid w:val="00F949D0"/>
    <w:rsid w:val="00F95FF6"/>
    <w:rsid w:val="00F96190"/>
    <w:rsid w:val="00F9722A"/>
    <w:rsid w:val="00FA1D61"/>
    <w:rsid w:val="00FA4244"/>
    <w:rsid w:val="00FA56F8"/>
    <w:rsid w:val="00FB0ACA"/>
    <w:rsid w:val="00FB0AE9"/>
    <w:rsid w:val="00FB1E32"/>
    <w:rsid w:val="00FB3947"/>
    <w:rsid w:val="00FB4571"/>
    <w:rsid w:val="00FB51FB"/>
    <w:rsid w:val="00FB7282"/>
    <w:rsid w:val="00FC1B49"/>
    <w:rsid w:val="00FC3225"/>
    <w:rsid w:val="00FC3234"/>
    <w:rsid w:val="00FC3255"/>
    <w:rsid w:val="00FC50FF"/>
    <w:rsid w:val="00FC6B71"/>
    <w:rsid w:val="00FC7056"/>
    <w:rsid w:val="00FD1EE1"/>
    <w:rsid w:val="00FD3197"/>
    <w:rsid w:val="00FD5A56"/>
    <w:rsid w:val="00FD7207"/>
    <w:rsid w:val="00FD7BC5"/>
    <w:rsid w:val="00FE14A7"/>
    <w:rsid w:val="00FE1E4F"/>
    <w:rsid w:val="00FE3B60"/>
    <w:rsid w:val="00FE4727"/>
    <w:rsid w:val="00FE53A6"/>
    <w:rsid w:val="00FE6D19"/>
    <w:rsid w:val="00FE7661"/>
    <w:rsid w:val="00FF1497"/>
    <w:rsid w:val="00FF193F"/>
    <w:rsid w:val="00FF2462"/>
    <w:rsid w:val="00FF26B7"/>
    <w:rsid w:val="00FF4B88"/>
    <w:rsid w:val="00FF4E7A"/>
    <w:rsid w:val="00FF50D1"/>
    <w:rsid w:val="00FF616D"/>
    <w:rsid w:val="00FF741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59C06FCF"/>
  <w15:docId w15:val="{7AC4C6C0-2DDF-4364-8941-8E5DF6ED6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247"/>
    <w:rPr>
      <w:sz w:val="24"/>
      <w:szCs w:val="24"/>
    </w:rPr>
  </w:style>
  <w:style w:type="paragraph" w:styleId="Heading1">
    <w:name w:val="heading 1"/>
    <w:basedOn w:val="Normal"/>
    <w:next w:val="Normal"/>
    <w:qFormat/>
    <w:rsid w:val="00B5734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57341"/>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57341"/>
    <w:pPr>
      <w:keepNext/>
      <w:spacing w:before="240" w:after="60"/>
      <w:outlineLvl w:val="2"/>
    </w:pPr>
    <w:rPr>
      <w:rFonts w:ascii="Arial" w:hAnsi="Arial" w:cs="Arial"/>
      <w:b/>
      <w:bCs/>
      <w:sz w:val="26"/>
      <w:szCs w:val="26"/>
    </w:rPr>
  </w:style>
  <w:style w:type="paragraph" w:styleId="Heading4">
    <w:name w:val="heading 4"/>
    <w:basedOn w:val="Normal"/>
    <w:next w:val="Normal"/>
    <w:qFormat/>
    <w:rsid w:val="008A2B39"/>
    <w:pPr>
      <w:keepNext/>
      <w:tabs>
        <w:tab w:val="num" w:pos="864"/>
      </w:tabs>
      <w:ind w:left="864" w:hanging="864"/>
      <w:outlineLvl w:val="3"/>
    </w:pPr>
  </w:style>
  <w:style w:type="paragraph" w:styleId="Heading5">
    <w:name w:val="heading 5"/>
    <w:basedOn w:val="Normal"/>
    <w:next w:val="Normal"/>
    <w:qFormat/>
    <w:rsid w:val="008A2B39"/>
    <w:pPr>
      <w:keepNext/>
      <w:tabs>
        <w:tab w:val="num" w:pos="1008"/>
      </w:tabs>
      <w:spacing w:after="240"/>
      <w:ind w:left="1008" w:hanging="1008"/>
      <w:jc w:val="center"/>
      <w:outlineLvl w:val="4"/>
    </w:pPr>
    <w:rPr>
      <w:rFonts w:ascii="Garamond" w:hAnsi="Garamond" w:cs="TF Arrow"/>
      <w:b/>
      <w:bCs/>
    </w:rPr>
  </w:style>
  <w:style w:type="paragraph" w:styleId="Heading6">
    <w:name w:val="heading 6"/>
    <w:basedOn w:val="Normal"/>
    <w:next w:val="Normal"/>
    <w:qFormat/>
    <w:rsid w:val="008A2B39"/>
    <w:pPr>
      <w:keepNext/>
      <w:tabs>
        <w:tab w:val="num" w:pos="1152"/>
      </w:tabs>
      <w:spacing w:after="240"/>
      <w:ind w:left="1152" w:hanging="1152"/>
      <w:jc w:val="center"/>
      <w:outlineLvl w:val="5"/>
    </w:pPr>
    <w:rPr>
      <w:rFonts w:ascii="Garamond" w:hAnsi="Garamond" w:cs="TF Arrow"/>
      <w:b/>
      <w:bCs/>
      <w:sz w:val="26"/>
      <w:szCs w:val="26"/>
    </w:rPr>
  </w:style>
  <w:style w:type="paragraph" w:styleId="Heading7">
    <w:name w:val="heading 7"/>
    <w:basedOn w:val="Normal"/>
    <w:next w:val="Normal"/>
    <w:qFormat/>
    <w:rsid w:val="008A2B39"/>
    <w:pPr>
      <w:keepNext/>
      <w:tabs>
        <w:tab w:val="num" w:pos="1296"/>
      </w:tabs>
      <w:spacing w:after="120" w:line="360" w:lineRule="auto"/>
      <w:ind w:left="1296" w:hanging="1296"/>
      <w:jc w:val="both"/>
      <w:outlineLvl w:val="6"/>
    </w:pPr>
    <w:rPr>
      <w:rFonts w:ascii="Garamond" w:hAnsi="Garamond" w:cs="TF Arrow"/>
      <w:b/>
      <w:bCs/>
      <w:lang w:val="en-US"/>
    </w:rPr>
  </w:style>
  <w:style w:type="paragraph" w:styleId="Heading8">
    <w:name w:val="heading 8"/>
    <w:basedOn w:val="Normal"/>
    <w:next w:val="Normal"/>
    <w:qFormat/>
    <w:rsid w:val="008A2B39"/>
    <w:pPr>
      <w:keepNext/>
      <w:tabs>
        <w:tab w:val="num" w:pos="1440"/>
      </w:tabs>
      <w:spacing w:after="120" w:line="360" w:lineRule="auto"/>
      <w:ind w:left="1440" w:hanging="1440"/>
      <w:jc w:val="both"/>
      <w:outlineLvl w:val="7"/>
    </w:pPr>
    <w:rPr>
      <w:rFonts w:ascii="Garamond" w:hAnsi="Garamond" w:cs="TF Arrow"/>
      <w:i/>
      <w:iCs/>
    </w:rPr>
  </w:style>
  <w:style w:type="paragraph" w:styleId="Heading9">
    <w:name w:val="heading 9"/>
    <w:basedOn w:val="Normal"/>
    <w:next w:val="Normal"/>
    <w:qFormat/>
    <w:rsid w:val="008A2B39"/>
    <w:pPr>
      <w:keepNext/>
      <w:tabs>
        <w:tab w:val="num" w:pos="1584"/>
      </w:tabs>
      <w:spacing w:after="240"/>
      <w:ind w:left="1584" w:hanging="1584"/>
      <w:jc w:val="both"/>
      <w:outlineLvl w:val="8"/>
    </w:pPr>
    <w:rPr>
      <w:rFonts w:ascii="TF Arrow" w:cs="Tahoma"/>
      <w:sz w:val="86"/>
      <w:szCs w:val="8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ubHeading"/>
    <w:rsid w:val="00B57341"/>
    <w:rPr>
      <w:sz w:val="26"/>
    </w:rPr>
  </w:style>
  <w:style w:type="paragraph" w:customStyle="1" w:styleId="SubHeading">
    <w:name w:val="Sub Heading"/>
    <w:basedOn w:val="Normal"/>
    <w:next w:val="Header"/>
    <w:rsid w:val="00B57341"/>
    <w:pPr>
      <w:keepNext/>
      <w:spacing w:before="240" w:after="60"/>
      <w:outlineLvl w:val="0"/>
    </w:pPr>
    <w:rPr>
      <w:rFonts w:cs="Arial"/>
      <w:b/>
      <w:kern w:val="32"/>
      <w:szCs w:val="32"/>
    </w:rPr>
  </w:style>
  <w:style w:type="paragraph" w:styleId="Header">
    <w:name w:val="header"/>
    <w:basedOn w:val="Normal"/>
    <w:rsid w:val="008F0247"/>
    <w:pPr>
      <w:tabs>
        <w:tab w:val="center" w:pos="4153"/>
        <w:tab w:val="right" w:pos="8306"/>
      </w:tabs>
    </w:pPr>
  </w:style>
  <w:style w:type="table" w:styleId="TableGrid">
    <w:name w:val="Table Grid"/>
    <w:basedOn w:val="TableNormal"/>
    <w:rsid w:val="008F0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F0247"/>
    <w:pPr>
      <w:tabs>
        <w:tab w:val="center" w:pos="4153"/>
        <w:tab w:val="right" w:pos="8306"/>
      </w:tabs>
    </w:pPr>
  </w:style>
  <w:style w:type="character" w:styleId="PageNumber">
    <w:name w:val="page number"/>
    <w:basedOn w:val="DefaultParagraphFont"/>
    <w:rsid w:val="008F0247"/>
  </w:style>
  <w:style w:type="paragraph" w:styleId="BalloonText">
    <w:name w:val="Balloon Text"/>
    <w:basedOn w:val="Normal"/>
    <w:semiHidden/>
    <w:rsid w:val="003B2F7F"/>
    <w:rPr>
      <w:rFonts w:ascii="Tahoma" w:hAnsi="Tahoma" w:cs="Tahoma"/>
      <w:sz w:val="16"/>
      <w:szCs w:val="16"/>
    </w:rPr>
  </w:style>
  <w:style w:type="paragraph" w:customStyle="1" w:styleId="Text">
    <w:name w:val="Text"/>
    <w:basedOn w:val="Normal"/>
    <w:rsid w:val="008968BA"/>
    <w:pPr>
      <w:spacing w:after="360" w:line="360" w:lineRule="exact"/>
      <w:jc w:val="both"/>
    </w:pPr>
    <w:rPr>
      <w:rFonts w:ascii="Garamond" w:hAnsi="Garamond" w:cs="TF Arrow"/>
    </w:rPr>
  </w:style>
  <w:style w:type="paragraph" w:customStyle="1" w:styleId="StyleHeading2TrebuchetMSLeft">
    <w:name w:val="Style Heading 2 + Trebuchet MS Left"/>
    <w:basedOn w:val="Heading2"/>
    <w:rsid w:val="008968BA"/>
    <w:pPr>
      <w:spacing w:before="0" w:after="240" w:line="360" w:lineRule="auto"/>
    </w:pPr>
    <w:rPr>
      <w:rFonts w:ascii="Trebuchet MS" w:hAnsi="Trebuchet MS" w:cs="Times New Roman"/>
      <w:i w:val="0"/>
      <w:iCs w:val="0"/>
      <w:sz w:val="24"/>
      <w:szCs w:val="20"/>
    </w:rPr>
  </w:style>
  <w:style w:type="character" w:styleId="CommentReference">
    <w:name w:val="annotation reference"/>
    <w:basedOn w:val="DefaultParagraphFont"/>
    <w:semiHidden/>
    <w:rsid w:val="00C8141C"/>
    <w:rPr>
      <w:sz w:val="16"/>
      <w:szCs w:val="16"/>
    </w:rPr>
  </w:style>
  <w:style w:type="paragraph" w:styleId="CommentText">
    <w:name w:val="annotation text"/>
    <w:basedOn w:val="Normal"/>
    <w:link w:val="CommentTextChar"/>
    <w:rsid w:val="00C22C90"/>
    <w:rPr>
      <w:sz w:val="20"/>
      <w:szCs w:val="20"/>
    </w:rPr>
  </w:style>
  <w:style w:type="paragraph" w:styleId="BodyText2">
    <w:name w:val="Body Text 2"/>
    <w:basedOn w:val="Normal"/>
    <w:rsid w:val="008C7AFB"/>
    <w:pPr>
      <w:spacing w:after="240" w:line="360" w:lineRule="auto"/>
    </w:pPr>
    <w:rPr>
      <w:sz w:val="28"/>
      <w:szCs w:val="20"/>
    </w:rPr>
  </w:style>
  <w:style w:type="paragraph" w:styleId="BodyText3">
    <w:name w:val="Body Text 3"/>
    <w:basedOn w:val="Normal"/>
    <w:rsid w:val="008C7AFB"/>
    <w:pPr>
      <w:jc w:val="both"/>
    </w:pPr>
    <w:rPr>
      <w:sz w:val="28"/>
      <w:szCs w:val="20"/>
    </w:rPr>
  </w:style>
  <w:style w:type="paragraph" w:styleId="BodyText">
    <w:name w:val="Body Text"/>
    <w:basedOn w:val="Normal"/>
    <w:rsid w:val="008C7AFB"/>
    <w:pPr>
      <w:spacing w:after="120"/>
    </w:pPr>
  </w:style>
  <w:style w:type="paragraph" w:styleId="FootnoteText">
    <w:name w:val="footnote text"/>
    <w:basedOn w:val="Normal"/>
    <w:link w:val="FootnoteTextChar"/>
    <w:semiHidden/>
    <w:rsid w:val="008C7AFB"/>
    <w:rPr>
      <w:sz w:val="20"/>
      <w:szCs w:val="20"/>
    </w:rPr>
  </w:style>
  <w:style w:type="character" w:styleId="FootnoteReference">
    <w:name w:val="footnote reference"/>
    <w:basedOn w:val="DefaultParagraphFont"/>
    <w:semiHidden/>
    <w:rsid w:val="008C7AFB"/>
    <w:rPr>
      <w:vertAlign w:val="superscript"/>
    </w:rPr>
  </w:style>
  <w:style w:type="character" w:styleId="Hyperlink">
    <w:name w:val="Hyperlink"/>
    <w:basedOn w:val="DefaultParagraphFont"/>
    <w:rsid w:val="00356B1D"/>
    <w:rPr>
      <w:color w:val="0000FF"/>
      <w:u w:val="single"/>
    </w:rPr>
  </w:style>
  <w:style w:type="character" w:styleId="FollowedHyperlink">
    <w:name w:val="FollowedHyperlink"/>
    <w:basedOn w:val="DefaultParagraphFont"/>
    <w:rsid w:val="00356B1D"/>
    <w:rPr>
      <w:color w:val="800080"/>
      <w:u w:val="single"/>
    </w:rPr>
  </w:style>
  <w:style w:type="paragraph" w:customStyle="1" w:styleId="StyleGaramondJustifiedAfter12ptLinespacingExactly18">
    <w:name w:val="Style Garamond Justified After:  12 pt Line spacing:  Exactly 18..."/>
    <w:basedOn w:val="Normal"/>
    <w:rsid w:val="00356B1D"/>
    <w:pPr>
      <w:spacing w:before="240" w:after="240"/>
      <w:jc w:val="both"/>
    </w:pPr>
    <w:rPr>
      <w:rFonts w:ascii="Garamond" w:hAnsi="Garamond"/>
      <w:szCs w:val="20"/>
    </w:rPr>
  </w:style>
  <w:style w:type="paragraph" w:customStyle="1" w:styleId="StyleGaramondJustified">
    <w:name w:val="Style Garamond Justified"/>
    <w:basedOn w:val="Normal"/>
    <w:rsid w:val="00356B1D"/>
    <w:pPr>
      <w:spacing w:before="240" w:after="240"/>
      <w:jc w:val="both"/>
    </w:pPr>
    <w:rPr>
      <w:rFonts w:ascii="Garamond" w:hAnsi="Garamond"/>
      <w:szCs w:val="20"/>
    </w:rPr>
  </w:style>
  <w:style w:type="paragraph" w:styleId="DocumentMap">
    <w:name w:val="Document Map"/>
    <w:basedOn w:val="Normal"/>
    <w:semiHidden/>
    <w:rsid w:val="00AC2584"/>
    <w:pPr>
      <w:shd w:val="clear" w:color="auto" w:fill="000080"/>
    </w:pPr>
    <w:rPr>
      <w:rFonts w:ascii="Tahoma" w:hAnsi="Tahoma" w:cs="Tahoma"/>
    </w:rPr>
  </w:style>
  <w:style w:type="paragraph" w:customStyle="1" w:styleId="StyleBodyText13ptCharCharChar">
    <w:name w:val="Style Body Text + 13 pt Char Char Char"/>
    <w:basedOn w:val="BodyText"/>
    <w:link w:val="StyleBodyText13ptCharCharCharChar"/>
    <w:rsid w:val="004445D9"/>
    <w:pPr>
      <w:numPr>
        <w:numId w:val="1"/>
      </w:numPr>
      <w:spacing w:after="240" w:line="360" w:lineRule="auto"/>
      <w:jc w:val="both"/>
    </w:pPr>
  </w:style>
  <w:style w:type="character" w:customStyle="1" w:styleId="StyleBodyText13ptCharCharCharChar">
    <w:name w:val="Style Body Text + 13 pt Char Char Char Char"/>
    <w:basedOn w:val="DefaultParagraphFont"/>
    <w:link w:val="StyleBodyText13ptCharCharChar"/>
    <w:rsid w:val="004445D9"/>
    <w:rPr>
      <w:sz w:val="24"/>
      <w:szCs w:val="24"/>
    </w:rPr>
  </w:style>
  <w:style w:type="paragraph" w:customStyle="1" w:styleId="NormaltextCharCharCharCharCharChar">
    <w:name w:val="Normal text Char Char Char Char Char Char"/>
    <w:basedOn w:val="BodyText"/>
    <w:link w:val="NormaltextCharCharCharCharCharCharChar"/>
    <w:rsid w:val="004445D9"/>
    <w:pPr>
      <w:tabs>
        <w:tab w:val="num" w:pos="720"/>
      </w:tabs>
      <w:spacing w:after="240"/>
      <w:ind w:left="720" w:hanging="360"/>
      <w:jc w:val="both"/>
    </w:pPr>
  </w:style>
  <w:style w:type="character" w:customStyle="1" w:styleId="NormaltextCharCharCharCharCharCharChar">
    <w:name w:val="Normal text Char Char Char Char Char Char Char"/>
    <w:basedOn w:val="DefaultParagraphFont"/>
    <w:link w:val="NormaltextCharCharCharCharCharChar"/>
    <w:rsid w:val="004445D9"/>
    <w:rPr>
      <w:sz w:val="24"/>
      <w:szCs w:val="24"/>
    </w:rPr>
  </w:style>
  <w:style w:type="paragraph" w:styleId="CommentSubject">
    <w:name w:val="annotation subject"/>
    <w:basedOn w:val="CommentText"/>
    <w:next w:val="CommentText"/>
    <w:semiHidden/>
    <w:rsid w:val="00CE7F26"/>
    <w:rPr>
      <w:b/>
      <w:bCs/>
    </w:rPr>
  </w:style>
  <w:style w:type="paragraph" w:customStyle="1" w:styleId="normaltextcharcharcharcharchar">
    <w:name w:val="normaltextcharcharcharcharchar"/>
    <w:basedOn w:val="Normal"/>
    <w:rsid w:val="001A1F36"/>
    <w:pPr>
      <w:spacing w:after="240"/>
      <w:ind w:left="567" w:hanging="567"/>
      <w:jc w:val="both"/>
    </w:pPr>
    <w:rPr>
      <w:rFonts w:ascii="Trebuchet MS" w:hAnsi="Trebuchet MS"/>
    </w:rPr>
  </w:style>
  <w:style w:type="paragraph" w:customStyle="1" w:styleId="Normalalpha">
    <w:name w:val="Normal alpha"/>
    <w:basedOn w:val="Normal"/>
    <w:rsid w:val="001A1F36"/>
    <w:pPr>
      <w:numPr>
        <w:numId w:val="4"/>
      </w:numPr>
      <w:spacing w:after="240"/>
      <w:jc w:val="both"/>
    </w:pPr>
    <w:rPr>
      <w:szCs w:val="20"/>
    </w:rPr>
  </w:style>
  <w:style w:type="paragraph" w:customStyle="1" w:styleId="PSHeading3">
    <w:name w:val="PS Heading 3"/>
    <w:basedOn w:val="Normal"/>
    <w:rsid w:val="001A1F36"/>
    <w:pPr>
      <w:keepNext/>
      <w:widowControl w:val="0"/>
      <w:spacing w:after="240"/>
      <w:outlineLvl w:val="0"/>
    </w:pPr>
    <w:rPr>
      <w:rFonts w:ascii="Arial" w:hAnsi="Arial"/>
      <w:b/>
      <w:szCs w:val="20"/>
      <w:lang w:val="en-US"/>
    </w:rPr>
  </w:style>
  <w:style w:type="paragraph" w:styleId="Title">
    <w:name w:val="Title"/>
    <w:basedOn w:val="Normal"/>
    <w:next w:val="ActTitle"/>
    <w:qFormat/>
    <w:rsid w:val="001B4657"/>
    <w:pPr>
      <w:spacing w:before="480"/>
    </w:pPr>
    <w:rPr>
      <w:rFonts w:ascii="Arial" w:hAnsi="Arial" w:cs="Arial"/>
      <w:b/>
      <w:bCs/>
      <w:sz w:val="40"/>
      <w:szCs w:val="40"/>
      <w:lang w:eastAsia="en-US"/>
    </w:rPr>
  </w:style>
  <w:style w:type="paragraph" w:styleId="TOC1">
    <w:name w:val="toc 1"/>
    <w:basedOn w:val="Heading"/>
    <w:next w:val="Normal"/>
    <w:autoRedefine/>
    <w:rsid w:val="00C22C90"/>
    <w:pPr>
      <w:tabs>
        <w:tab w:val="right" w:leader="dot" w:pos="8296"/>
      </w:tabs>
      <w:spacing w:before="0" w:after="0"/>
    </w:pPr>
    <w:rPr>
      <w:rFonts w:ascii="Arial" w:hAnsi="Arial"/>
      <w:bCs/>
      <w:iCs/>
      <w:sz w:val="24"/>
      <w:szCs w:val="24"/>
    </w:rPr>
  </w:style>
  <w:style w:type="paragraph" w:styleId="TOC2">
    <w:name w:val="toc 2"/>
    <w:basedOn w:val="Heading2"/>
    <w:next w:val="Normal"/>
    <w:autoRedefine/>
    <w:rsid w:val="00C22C90"/>
    <w:pPr>
      <w:tabs>
        <w:tab w:val="right" w:leader="dot" w:pos="8296"/>
      </w:tabs>
      <w:spacing w:before="0" w:after="0"/>
    </w:pPr>
    <w:rPr>
      <w:i w:val="0"/>
      <w:noProof/>
      <w:sz w:val="24"/>
      <w:szCs w:val="24"/>
    </w:rPr>
  </w:style>
  <w:style w:type="paragraph" w:customStyle="1" w:styleId="ActTitle">
    <w:name w:val="Act Title"/>
    <w:basedOn w:val="Normal"/>
    <w:next w:val="IntroTo"/>
    <w:rsid w:val="001B4657"/>
    <w:pPr>
      <w:pBdr>
        <w:bottom w:val="single" w:sz="4" w:space="3" w:color="auto"/>
      </w:pBdr>
      <w:spacing w:before="480" w:after="240"/>
    </w:pPr>
    <w:rPr>
      <w:rFonts w:ascii="Arial" w:hAnsi="Arial"/>
      <w:i/>
      <w:iCs/>
      <w:sz w:val="28"/>
      <w:szCs w:val="20"/>
    </w:rPr>
  </w:style>
  <w:style w:type="paragraph" w:customStyle="1" w:styleId="IntroTo">
    <w:name w:val="IntroTo:"/>
    <w:basedOn w:val="Normal"/>
    <w:rsid w:val="001B4657"/>
    <w:pPr>
      <w:ind w:left="720" w:hanging="720"/>
    </w:pPr>
    <w:rPr>
      <w:szCs w:val="20"/>
      <w:lang w:eastAsia="en-US"/>
    </w:rPr>
  </w:style>
  <w:style w:type="paragraph" w:customStyle="1" w:styleId="IP">
    <w:name w:val="IP"/>
    <w:aliases w:val="Interpretation paragraph"/>
    <w:basedOn w:val="Normal"/>
    <w:next w:val="Normal"/>
    <w:rsid w:val="001B4657"/>
    <w:pPr>
      <w:keepNext/>
      <w:tabs>
        <w:tab w:val="right" w:pos="794"/>
      </w:tabs>
      <w:spacing w:before="120" w:line="260" w:lineRule="exact"/>
      <w:ind w:left="964" w:hanging="964"/>
      <w:jc w:val="both"/>
    </w:pPr>
    <w:rPr>
      <w:lang w:eastAsia="en-US"/>
    </w:rPr>
  </w:style>
  <w:style w:type="paragraph" w:customStyle="1" w:styleId="definition">
    <w:name w:val="definition"/>
    <w:basedOn w:val="Normal"/>
    <w:rsid w:val="001B4657"/>
    <w:pPr>
      <w:spacing w:before="80" w:line="260" w:lineRule="exact"/>
      <w:jc w:val="both"/>
    </w:pPr>
    <w:rPr>
      <w:lang w:eastAsia="en-US"/>
    </w:rPr>
  </w:style>
  <w:style w:type="paragraph" w:customStyle="1" w:styleId="AS">
    <w:name w:val="AS"/>
    <w:aliases w:val="Schedule title Amendment"/>
    <w:basedOn w:val="Normal"/>
    <w:next w:val="Normal"/>
    <w:rsid w:val="001B4657"/>
    <w:pPr>
      <w:keepNext/>
      <w:autoSpaceDE w:val="0"/>
      <w:autoSpaceDN w:val="0"/>
      <w:spacing w:before="480"/>
      <w:ind w:left="2410" w:hanging="2410"/>
    </w:pPr>
    <w:rPr>
      <w:rFonts w:ascii="Arial" w:hAnsi="Arial" w:cs="Arial"/>
      <w:b/>
      <w:bCs/>
      <w:sz w:val="32"/>
      <w:szCs w:val="32"/>
    </w:rPr>
  </w:style>
  <w:style w:type="character" w:customStyle="1" w:styleId="CharSchNo">
    <w:name w:val="CharSchNo"/>
    <w:basedOn w:val="DefaultParagraphFont"/>
    <w:rsid w:val="001B4657"/>
  </w:style>
  <w:style w:type="paragraph" w:customStyle="1" w:styleId="HeaderLiteEven">
    <w:name w:val="HeaderLiteEven"/>
    <w:basedOn w:val="Normal"/>
    <w:rsid w:val="00C118A4"/>
    <w:pPr>
      <w:tabs>
        <w:tab w:val="center" w:pos="3969"/>
        <w:tab w:val="right" w:pos="8505"/>
      </w:tabs>
      <w:spacing w:before="60"/>
    </w:pPr>
    <w:rPr>
      <w:rFonts w:ascii="Arial" w:hAnsi="Arial"/>
      <w:sz w:val="18"/>
      <w:lang w:eastAsia="en-US"/>
    </w:rPr>
  </w:style>
  <w:style w:type="paragraph" w:customStyle="1" w:styleId="CoverAct">
    <w:name w:val="CoverAct"/>
    <w:basedOn w:val="Normal"/>
    <w:next w:val="Normal"/>
    <w:rsid w:val="00C118A4"/>
    <w:pPr>
      <w:pBdr>
        <w:bottom w:val="single" w:sz="4" w:space="3" w:color="auto"/>
      </w:pBdr>
    </w:pPr>
    <w:rPr>
      <w:rFonts w:ascii="Arial" w:hAnsi="Arial"/>
      <w:i/>
      <w:noProof/>
      <w:sz w:val="28"/>
    </w:rPr>
  </w:style>
  <w:style w:type="paragraph" w:customStyle="1" w:styleId="CoverUpdate">
    <w:name w:val="CoverUpdate"/>
    <w:basedOn w:val="Normal"/>
    <w:rsid w:val="00C118A4"/>
    <w:pPr>
      <w:spacing w:before="240"/>
    </w:pPr>
    <w:rPr>
      <w:noProof/>
    </w:rPr>
  </w:style>
  <w:style w:type="paragraph" w:customStyle="1" w:styleId="CoverMade">
    <w:name w:val="CoverMade"/>
    <w:basedOn w:val="Normal"/>
    <w:rsid w:val="00C118A4"/>
    <w:pPr>
      <w:spacing w:before="240" w:after="240"/>
    </w:pPr>
    <w:rPr>
      <w:rFonts w:ascii="Arial" w:hAnsi="Arial"/>
      <w:noProof/>
    </w:rPr>
  </w:style>
  <w:style w:type="paragraph" w:customStyle="1" w:styleId="SigningPageBreak">
    <w:name w:val="SigningPageBreak"/>
    <w:basedOn w:val="Normal"/>
    <w:next w:val="Normal"/>
    <w:rsid w:val="00C118A4"/>
    <w:rPr>
      <w:lang w:eastAsia="en-US"/>
    </w:rPr>
  </w:style>
  <w:style w:type="paragraph" w:customStyle="1" w:styleId="HeaderBoldEven">
    <w:name w:val="HeaderBoldEven"/>
    <w:basedOn w:val="Normal"/>
    <w:rsid w:val="00C118A4"/>
    <w:pPr>
      <w:spacing w:before="120" w:after="60"/>
    </w:pPr>
    <w:rPr>
      <w:rFonts w:ascii="Arial" w:hAnsi="Arial"/>
      <w:b/>
      <w:sz w:val="20"/>
      <w:lang w:eastAsia="en-US"/>
    </w:rPr>
  </w:style>
  <w:style w:type="paragraph" w:customStyle="1" w:styleId="FooterPageOdd">
    <w:name w:val="FooterPageOdd"/>
    <w:basedOn w:val="Footer"/>
    <w:rsid w:val="00C118A4"/>
    <w:pPr>
      <w:jc w:val="right"/>
    </w:pPr>
    <w:rPr>
      <w:rFonts w:ascii="Arial" w:hAnsi="Arial"/>
      <w:sz w:val="22"/>
    </w:rPr>
  </w:style>
  <w:style w:type="paragraph" w:customStyle="1" w:styleId="Footerinfo">
    <w:name w:val="Footerinfo"/>
    <w:basedOn w:val="Footer"/>
    <w:rsid w:val="00C118A4"/>
    <w:rPr>
      <w:rFonts w:ascii="Arial" w:hAnsi="Arial"/>
      <w:sz w:val="12"/>
    </w:rPr>
  </w:style>
  <w:style w:type="paragraph" w:customStyle="1" w:styleId="FooterPageEven">
    <w:name w:val="FooterPageEven"/>
    <w:basedOn w:val="FooterPageOdd"/>
    <w:rsid w:val="00C118A4"/>
    <w:pPr>
      <w:jc w:val="left"/>
    </w:pPr>
  </w:style>
  <w:style w:type="paragraph" w:customStyle="1" w:styleId="CoverStatRule">
    <w:name w:val="CoverStatRule"/>
    <w:basedOn w:val="Normal"/>
    <w:next w:val="CoverMade"/>
    <w:rsid w:val="00C118A4"/>
    <w:pPr>
      <w:spacing w:before="240"/>
    </w:pPr>
    <w:rPr>
      <w:rFonts w:ascii="Arial" w:hAnsi="Arial"/>
      <w:b/>
    </w:rPr>
  </w:style>
  <w:style w:type="paragraph" w:customStyle="1" w:styleId="FooterCitation">
    <w:name w:val="FooterCitation"/>
    <w:basedOn w:val="Footer"/>
    <w:rsid w:val="00C118A4"/>
    <w:pPr>
      <w:spacing w:before="20"/>
      <w:jc w:val="center"/>
    </w:pPr>
    <w:rPr>
      <w:rFonts w:ascii="Arial" w:hAnsi="Arial"/>
      <w:i/>
      <w:sz w:val="18"/>
    </w:rPr>
  </w:style>
  <w:style w:type="character" w:customStyle="1" w:styleId="FooterChar">
    <w:name w:val="Footer Char"/>
    <w:basedOn w:val="DefaultParagraphFont"/>
    <w:link w:val="Footer"/>
    <w:uiPriority w:val="99"/>
    <w:rsid w:val="00C118A4"/>
    <w:rPr>
      <w:sz w:val="24"/>
      <w:szCs w:val="24"/>
    </w:rPr>
  </w:style>
  <w:style w:type="paragraph" w:styleId="NoteHeading">
    <w:name w:val="Note Heading"/>
    <w:aliases w:val="HN"/>
    <w:basedOn w:val="Normal"/>
    <w:next w:val="Normal"/>
    <w:link w:val="NoteHeadingChar"/>
    <w:rsid w:val="00A16B89"/>
    <w:pPr>
      <w:keepNext/>
      <w:keepLines/>
      <w:spacing w:before="120" w:line="240" w:lineRule="atLeast"/>
    </w:pPr>
    <w:rPr>
      <w:rFonts w:ascii="Arial" w:hAnsi="Arial"/>
      <w:b/>
      <w:sz w:val="32"/>
      <w:szCs w:val="32"/>
      <w:lang w:eastAsia="en-US"/>
    </w:rPr>
  </w:style>
  <w:style w:type="character" w:customStyle="1" w:styleId="NoteHeadingChar">
    <w:name w:val="Note Heading Char"/>
    <w:aliases w:val="HN Char"/>
    <w:basedOn w:val="DefaultParagraphFont"/>
    <w:link w:val="NoteHeading"/>
    <w:rsid w:val="00A16B89"/>
    <w:rPr>
      <w:rFonts w:ascii="Arial" w:hAnsi="Arial"/>
      <w:b/>
      <w:sz w:val="32"/>
      <w:szCs w:val="32"/>
      <w:lang w:eastAsia="en-US"/>
    </w:rPr>
  </w:style>
  <w:style w:type="paragraph" w:customStyle="1" w:styleId="EndNotes">
    <w:name w:val="EndNotes"/>
    <w:basedOn w:val="Normal"/>
    <w:rsid w:val="00A16B89"/>
    <w:pPr>
      <w:spacing w:before="120" w:line="260" w:lineRule="exact"/>
      <w:jc w:val="both"/>
    </w:pPr>
    <w:rPr>
      <w:noProof/>
    </w:rPr>
  </w:style>
  <w:style w:type="paragraph" w:customStyle="1" w:styleId="ENoteNo">
    <w:name w:val="ENoteNo"/>
    <w:basedOn w:val="EndNotes"/>
    <w:rsid w:val="00A16B89"/>
    <w:pPr>
      <w:ind w:left="357" w:hanging="357"/>
    </w:pPr>
    <w:rPr>
      <w:rFonts w:ascii="Arial" w:hAnsi="Arial"/>
      <w:b/>
    </w:rPr>
  </w:style>
  <w:style w:type="paragraph" w:customStyle="1" w:styleId="TableColHead">
    <w:name w:val="TableColHead"/>
    <w:basedOn w:val="Normal"/>
    <w:rsid w:val="00A16B89"/>
    <w:pPr>
      <w:keepNext/>
      <w:spacing w:before="120" w:after="60" w:line="200" w:lineRule="exact"/>
    </w:pPr>
    <w:rPr>
      <w:rFonts w:ascii="Arial" w:hAnsi="Arial"/>
      <w:b/>
      <w:sz w:val="18"/>
      <w:lang w:eastAsia="en-US"/>
    </w:rPr>
  </w:style>
  <w:style w:type="character" w:customStyle="1" w:styleId="CharENotesHeading">
    <w:name w:val="CharENotesHeading"/>
    <w:basedOn w:val="DefaultParagraphFont"/>
    <w:rsid w:val="00A16B89"/>
  </w:style>
  <w:style w:type="paragraph" w:customStyle="1" w:styleId="TableENotesHeading">
    <w:name w:val="TableENotesHeading"/>
    <w:basedOn w:val="NoteHeading"/>
    <w:next w:val="Normal"/>
    <w:rsid w:val="00A16B89"/>
    <w:pPr>
      <w:ind w:left="1800" w:hanging="1800"/>
    </w:pPr>
    <w:rPr>
      <w:sz w:val="28"/>
    </w:rPr>
  </w:style>
  <w:style w:type="paragraph" w:customStyle="1" w:styleId="TableOfStatRules">
    <w:name w:val="TableOfStatRules"/>
    <w:basedOn w:val="Normal"/>
    <w:rsid w:val="00A16B89"/>
    <w:pPr>
      <w:spacing w:before="60" w:line="200" w:lineRule="exact"/>
    </w:pPr>
    <w:rPr>
      <w:rFonts w:ascii="Arial" w:hAnsi="Arial"/>
      <w:sz w:val="18"/>
    </w:rPr>
  </w:style>
  <w:style w:type="paragraph" w:customStyle="1" w:styleId="TableENotesHeadingAmdt">
    <w:name w:val="TableENotesHeadingAmdt"/>
    <w:basedOn w:val="Normal"/>
    <w:next w:val="TableOfAmendHead"/>
    <w:rsid w:val="00A16B89"/>
    <w:pPr>
      <w:pageBreakBefore/>
      <w:spacing w:before="240" w:after="240" w:line="300" w:lineRule="exact"/>
      <w:ind w:left="2410" w:hanging="2410"/>
    </w:pPr>
    <w:rPr>
      <w:rFonts w:ascii="Arial" w:hAnsi="Arial"/>
      <w:b/>
      <w:noProof/>
      <w:sz w:val="28"/>
    </w:rPr>
  </w:style>
  <w:style w:type="paragraph" w:customStyle="1" w:styleId="TableOfAmendHead">
    <w:name w:val="TableOfAmendHead"/>
    <w:basedOn w:val="TableOfAmend"/>
    <w:next w:val="Normal"/>
    <w:rsid w:val="00A16B89"/>
    <w:pPr>
      <w:spacing w:after="60"/>
    </w:pPr>
    <w:rPr>
      <w:sz w:val="16"/>
    </w:rPr>
  </w:style>
  <w:style w:type="paragraph" w:customStyle="1" w:styleId="TableOfAmend">
    <w:name w:val="TableOfAmend"/>
    <w:basedOn w:val="Normal"/>
    <w:rsid w:val="00A16B89"/>
    <w:pPr>
      <w:tabs>
        <w:tab w:val="right" w:leader="dot" w:pos="2268"/>
      </w:tabs>
      <w:spacing w:before="60" w:line="200" w:lineRule="exact"/>
      <w:ind w:left="170" w:right="-11" w:hanging="170"/>
    </w:pPr>
    <w:rPr>
      <w:rFonts w:ascii="Arial" w:hAnsi="Arial"/>
      <w:sz w:val="18"/>
    </w:rPr>
  </w:style>
  <w:style w:type="paragraph" w:customStyle="1" w:styleId="Note">
    <w:name w:val="Note"/>
    <w:basedOn w:val="Normal"/>
    <w:rsid w:val="00733968"/>
    <w:pPr>
      <w:numPr>
        <w:numId w:val="29"/>
      </w:numPr>
      <w:spacing w:before="120" w:line="220" w:lineRule="exact"/>
      <w:jc w:val="both"/>
    </w:pPr>
    <w:rPr>
      <w:sz w:val="20"/>
      <w:lang w:eastAsia="en-US"/>
    </w:rPr>
  </w:style>
  <w:style w:type="paragraph" w:styleId="Revision">
    <w:name w:val="Revision"/>
    <w:hidden/>
    <w:uiPriority w:val="99"/>
    <w:semiHidden/>
    <w:rsid w:val="002E0660"/>
    <w:rPr>
      <w:sz w:val="24"/>
      <w:szCs w:val="24"/>
    </w:rPr>
  </w:style>
  <w:style w:type="character" w:customStyle="1" w:styleId="FootnoteTextChar">
    <w:name w:val="Footnote Text Char"/>
    <w:basedOn w:val="DefaultParagraphFont"/>
    <w:link w:val="FootnoteText"/>
    <w:semiHidden/>
    <w:rsid w:val="00103713"/>
  </w:style>
  <w:style w:type="paragraph" w:styleId="ListParagraph">
    <w:name w:val="List Paragraph"/>
    <w:basedOn w:val="Normal"/>
    <w:uiPriority w:val="34"/>
    <w:qFormat/>
    <w:rsid w:val="004D2CCB"/>
    <w:pPr>
      <w:ind w:left="720"/>
      <w:contextualSpacing/>
    </w:pPr>
  </w:style>
  <w:style w:type="paragraph" w:styleId="TOCHeading">
    <w:name w:val="TOC Heading"/>
    <w:basedOn w:val="Heading1"/>
    <w:next w:val="Normal"/>
    <w:uiPriority w:val="39"/>
    <w:unhideWhenUsed/>
    <w:qFormat/>
    <w:rsid w:val="00874FBC"/>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3">
    <w:name w:val="toc 3"/>
    <w:basedOn w:val="Normal"/>
    <w:next w:val="Normal"/>
    <w:autoRedefine/>
    <w:uiPriority w:val="39"/>
    <w:unhideWhenUsed/>
    <w:rsid w:val="00874FBC"/>
    <w:pPr>
      <w:spacing w:after="100"/>
      <w:ind w:left="480"/>
    </w:pPr>
  </w:style>
  <w:style w:type="character" w:customStyle="1" w:styleId="CommentTextChar">
    <w:name w:val="Comment Text Char"/>
    <w:basedOn w:val="DefaultParagraphFont"/>
    <w:link w:val="CommentText"/>
    <w:rsid w:val="00DF0C85"/>
  </w:style>
  <w:style w:type="character" w:customStyle="1" w:styleId="Heading2Char">
    <w:name w:val="Heading 2 Char"/>
    <w:basedOn w:val="DefaultParagraphFont"/>
    <w:link w:val="Heading2"/>
    <w:rsid w:val="001F6C6C"/>
    <w:rPr>
      <w:rFonts w:ascii="Arial" w:hAnsi="Arial" w:cs="Arial"/>
      <w:b/>
      <w:bCs/>
      <w:i/>
      <w:iCs/>
      <w:sz w:val="28"/>
      <w:szCs w:val="28"/>
    </w:rPr>
  </w:style>
  <w:style w:type="character" w:styleId="PlaceholderText">
    <w:name w:val="Placeholder Text"/>
    <w:basedOn w:val="DefaultParagraphFont"/>
    <w:uiPriority w:val="99"/>
    <w:semiHidden/>
    <w:rsid w:val="001F6C6C"/>
    <w:rPr>
      <w:color w:val="808080"/>
    </w:rPr>
  </w:style>
  <w:style w:type="paragraph" w:customStyle="1" w:styleId="Default">
    <w:name w:val="Default"/>
    <w:rsid w:val="001F6C6C"/>
    <w:pPr>
      <w:widowControl w:val="0"/>
      <w:autoSpaceDE w:val="0"/>
      <w:autoSpaceDN w:val="0"/>
      <w:adjustRightInd w:val="0"/>
    </w:pPr>
    <w:rPr>
      <w:rFonts w:ascii="Arial" w:eastAsiaTheme="minorEastAsia" w:hAnsi="Arial" w:cs="Arial"/>
      <w:color w:val="000000"/>
      <w:sz w:val="24"/>
      <w:szCs w:val="24"/>
    </w:rPr>
  </w:style>
  <w:style w:type="paragraph" w:customStyle="1" w:styleId="CM5">
    <w:name w:val="CM5"/>
    <w:basedOn w:val="Default"/>
    <w:next w:val="Default"/>
    <w:uiPriority w:val="99"/>
    <w:rsid w:val="001F6C6C"/>
    <w:pPr>
      <w:tabs>
        <w:tab w:val="left" w:pos="851"/>
      </w:tabs>
      <w:ind w:left="851" w:hanging="567"/>
    </w:pPr>
    <w:rPr>
      <w:rFonts w:ascii="Times New Roman" w:hAnsi="Times New Roman" w:cs="Times New Roman"/>
    </w:rPr>
  </w:style>
  <w:style w:type="paragraph" w:customStyle="1" w:styleId="introto0">
    <w:name w:val="introto"/>
    <w:basedOn w:val="Normal"/>
    <w:rsid w:val="001F6C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772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166AE063C7460FB1889FE56CFD199B"/>
        <w:category>
          <w:name w:val="General"/>
          <w:gallery w:val="placeholder"/>
        </w:category>
        <w:types>
          <w:type w:val="bbPlcHdr"/>
        </w:types>
        <w:behaviors>
          <w:behavior w:val="content"/>
        </w:behaviors>
        <w:guid w:val="{DDCBB51F-24F2-485D-A149-44123503969D}"/>
      </w:docPartPr>
      <w:docPartBody>
        <w:p w:rsidR="00701D72" w:rsidRDefault="00576D51" w:rsidP="00576D51">
          <w:pPr>
            <w:pStyle w:val="99166AE063C7460FB1889FE56CFD199B"/>
          </w:pPr>
          <w:r w:rsidRPr="00591A1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F Arro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51"/>
    <w:rsid w:val="00153AB6"/>
    <w:rsid w:val="00576D51"/>
    <w:rsid w:val="00701D72"/>
    <w:rsid w:val="00A50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D51"/>
    <w:rPr>
      <w:color w:val="808080"/>
    </w:rPr>
  </w:style>
  <w:style w:type="paragraph" w:customStyle="1" w:styleId="99166AE063C7460FB1889FE56CFD199B">
    <w:name w:val="99166AE063C7460FB1889FE56CFD199B"/>
    <w:rsid w:val="00576D51"/>
  </w:style>
  <w:style w:type="paragraph" w:customStyle="1" w:styleId="C1991DA57A644AFBB709ACA8AF846F95">
    <w:name w:val="C1991DA57A644AFBB709ACA8AF846F95"/>
    <w:rsid w:val="00576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OFFICIAL</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 xsi:nil="tru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19</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APS 610 Prudential Requirements for Providers of Purchased Payment Facilities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s>
    </p10c80fc2da942ae8f2ea9b33b6ea0ba>
    <i08e72d8ce2b4ffa9361f9f4e0a63abc xmlns="814d62cb-2db6-4c25-ab62-b9075facbc11">
      <Terms xmlns="http://schemas.microsoft.com/office/infopath/2007/PartnerControl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5JENXJJSCC7A-445999044-12144</_dlc_DocId>
    <_dlc_DocIdUrl xmlns="814d62cb-2db6-4c25-ab62-b9075facbc11">
      <Url>https://im/teams/LEGAL/_layouts/15/DocIdRedir.aspx?ID=5JENXJJSCC7A-445999044-12144</Url>
      <Description>5JENXJJSCC7A-445999044-12144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73" ma:contentTypeDescription="Create a new document." ma:contentTypeScope="" ma:versionID="73e2e2cfc32a2691ee31d7af9bd362de">
  <xsd:schema xmlns:xsd="http://www.w3.org/2001/XMLSchema" xmlns:xs="http://www.w3.org/2001/XMLSchema" xmlns:p="http://schemas.microsoft.com/office/2006/metadata/properties" xmlns:ns1="814d62cb-2db6-4c25-ab62-b9075facbc11" targetNamespace="http://schemas.microsoft.com/office/2006/metadata/properties" ma:root="true" ma:fieldsID="7be0268868a1afd65d01f44ca09bb39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OFFICIAL: Sensitive" ma:hidden="true"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8aef97a4-ded2-4e4a-9fbc-e666dae3ecd2" ContentTypeId="0x0101008CA7A4F8331B45C7B0D3158B4994D0CA02" PreviousValue="false"/>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285940D-E865-49D5-84B2-EE84738C89AF}">
  <ds:schemaRefs>
    <ds:schemaRef ds:uri="http://schemas.openxmlformats.org/officeDocument/2006/bibliography"/>
  </ds:schemaRefs>
</ds:datastoreItem>
</file>

<file path=customXml/itemProps2.xml><?xml version="1.0" encoding="utf-8"?>
<ds:datastoreItem xmlns:ds="http://schemas.openxmlformats.org/officeDocument/2006/customXml" ds:itemID="{8E77B6EA-A6FA-4367-AFA4-A61629889DC6}">
  <ds:schemaRefs>
    <ds:schemaRef ds:uri="http://schemas.microsoft.com/sharepoint/v3/contenttype/forms"/>
  </ds:schemaRefs>
</ds:datastoreItem>
</file>

<file path=customXml/itemProps3.xml><?xml version="1.0" encoding="utf-8"?>
<ds:datastoreItem xmlns:ds="http://schemas.openxmlformats.org/officeDocument/2006/customXml" ds:itemID="{25CF51ED-BCAD-40A7-84A0-0554216B8B72}">
  <ds:schemaRefs>
    <ds:schemaRef ds:uri="http://purl.org/dc/dcmitype/"/>
    <ds:schemaRef ds:uri="http://purl.org/dc/elements/1.1/"/>
    <ds:schemaRef ds:uri="http://purl.org/dc/terms/"/>
    <ds:schemaRef ds:uri="http://schemas.microsoft.com/office/infopath/2007/PartnerControls"/>
    <ds:schemaRef ds:uri="814d62cb-2db6-4c25-ab62-b9075facbc11"/>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C421DB15-0DA1-4017-A702-5A291B91A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866A95-204C-4778-8159-BC5C9E07ED99}">
  <ds:schemaRefs>
    <ds:schemaRef ds:uri="Microsoft.SharePoint.Taxonomy.ContentTypeSync"/>
  </ds:schemaRefs>
</ds:datastoreItem>
</file>

<file path=customXml/itemProps6.xml><?xml version="1.0" encoding="utf-8"?>
<ds:datastoreItem xmlns:ds="http://schemas.openxmlformats.org/officeDocument/2006/customXml" ds:itemID="{DE2AFE87-4D02-44C1-B6EF-7C84FA54F10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1870</Words>
  <Characters>10172</Characters>
  <Application>Microsoft Office Word</Application>
  <DocSecurity>0</DocSecurity>
  <Lines>220</Lines>
  <Paragraphs>102</Paragraphs>
  <ScaleCrop>false</ScaleCrop>
  <HeadingPairs>
    <vt:vector size="2" baseType="variant">
      <vt:variant>
        <vt:lpstr>Title</vt:lpstr>
      </vt:variant>
      <vt:variant>
        <vt:i4>1</vt:i4>
      </vt:variant>
    </vt:vector>
  </HeadingPairs>
  <TitlesOfParts>
    <vt:vector size="1" baseType="lpstr">
      <vt:lpstr>Banking (prudential standard) determination No. 3 of 2023</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(prudential standard) determination No. 3 of 2023</dc:title>
  <dc:subject/>
  <dc:creator>Tawadros, Monica</dc:creator>
  <cp:keywords>[SEC=OFFICIAL]</cp:keywords>
  <dc:description/>
  <cp:lastModifiedBy>Toni Michalis</cp:lastModifiedBy>
  <cp:revision>6</cp:revision>
  <dcterms:created xsi:type="dcterms:W3CDTF">2023-05-29T07:35:00Z</dcterms:created>
  <dcterms:modified xsi:type="dcterms:W3CDTF">2023-05-30T01:03:00Z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Namespace">
    <vt:lpwstr>gov.au</vt:lpwstr>
  </property>
  <property fmtid="{D5CDD505-2E9C-101B-9397-08002B2CF9AE}" pid="3" name="PM_Version">
    <vt:lpwstr>2018.4</vt:lpwstr>
  </property>
  <property fmtid="{D5CDD505-2E9C-101B-9397-08002B2CF9AE}" pid="4" name="PM_SecurityClassification">
    <vt:lpwstr>OFFICIAL</vt:lpwstr>
  </property>
  <property fmtid="{D5CDD505-2E9C-101B-9397-08002B2CF9AE}" pid="5" name="PM_Qualifier">
    <vt:lpwstr/>
  </property>
  <property fmtid="{D5CDD505-2E9C-101B-9397-08002B2CF9AE}" pid="6" name="PM_Note">
    <vt:lpwstr/>
  </property>
  <property fmtid="{D5CDD505-2E9C-101B-9397-08002B2CF9AE}" pid="7" name="PM_ProtectiveMarkingValue_Header">
    <vt:lpwstr>OFFICIAL</vt:lpwstr>
  </property>
  <property fmtid="{D5CDD505-2E9C-101B-9397-08002B2CF9AE}" pid="8" name="PM_OriginationTimeStamp">
    <vt:lpwstr>2023-04-21T07:26:56Z</vt:lpwstr>
  </property>
  <property fmtid="{D5CDD505-2E9C-101B-9397-08002B2CF9AE}" pid="9" name="PM_Markers">
    <vt:lpwstr/>
  </property>
  <property fmtid="{D5CDD505-2E9C-101B-9397-08002B2CF9AE}" pid="10" name="PM_Qualifier_Prev">
    <vt:lpwstr/>
  </property>
  <property fmtid="{D5CDD505-2E9C-101B-9397-08002B2CF9AE}" pid="11" name="PM_InsertionValue">
    <vt:lpwstr>OFFICIAL</vt:lpwstr>
  </property>
  <property fmtid="{D5CDD505-2E9C-101B-9397-08002B2CF9AE}" pid="12" name="PM_DisplayValueSecClassificationWithQualifier">
    <vt:lpwstr>OFFICIAL</vt:lpwstr>
  </property>
  <property fmtid="{D5CDD505-2E9C-101B-9397-08002B2CF9AE}" pid="13" name="PM_ProtectiveMarkingValue_Footer">
    <vt:lpwstr>OFFICIAL</vt:lpwstr>
  </property>
  <property fmtid="{D5CDD505-2E9C-101B-9397-08002B2CF9AE}" pid="14" name="PM_Originating_FileId">
    <vt:lpwstr>270D81F6F43A4087B4AE8366E8EFAA10</vt:lpwstr>
  </property>
  <property fmtid="{D5CDD505-2E9C-101B-9397-08002B2CF9AE}" pid="15" name="PM_ProtectiveMarkingImage_Header">
    <vt:lpwstr>C:\Program Files\Common Files\janusNET Shared\janusSEAL\Images\DocumentSlashBlue.png</vt:lpwstr>
  </property>
  <property fmtid="{D5CDD505-2E9C-101B-9397-08002B2CF9AE}" pid="16" name="PM_ProtectiveMarkingImage_Footer">
    <vt:lpwstr>C:\Program Files\Common Files\janusNET Shared\janusSEAL\Images\DocumentSlashBlue.png</vt:lpwstr>
  </property>
  <property fmtid="{D5CDD505-2E9C-101B-9397-08002B2CF9AE}" pid="17" name="PM_Display">
    <vt:lpwstr>OFFICIAL</vt:lpwstr>
  </property>
  <property fmtid="{D5CDD505-2E9C-101B-9397-08002B2CF9AE}" pid="18" name="PM_OriginatorDomainName_SHA256">
    <vt:lpwstr>ECBDE2B44A971754412B3FB70606937A119CC0D4B6C1B658A40FBD41C30BE3EC</vt:lpwstr>
  </property>
  <property fmtid="{D5CDD505-2E9C-101B-9397-08002B2CF9AE}" pid="19" name="PMUuid">
    <vt:lpwstr>v=2022.2;d=gov.au;g=46DD6D7C-8107-577B-BC6E-F348953B2E44</vt:lpwstr>
  </property>
  <property fmtid="{D5CDD505-2E9C-101B-9397-08002B2CF9AE}" pid="20" name="PM_Hash_Version">
    <vt:lpwstr>2022.1</vt:lpwstr>
  </property>
  <property fmtid="{D5CDD505-2E9C-101B-9397-08002B2CF9AE}" pid="21" name="PM_SecurityClassification_Prev">
    <vt:lpwstr>OFFICIAL</vt:lpwstr>
  </property>
  <property fmtid="{D5CDD505-2E9C-101B-9397-08002B2CF9AE}" pid="22" name="PM_Caveats_Count">
    <vt:lpwstr>0</vt:lpwstr>
  </property>
  <property fmtid="{D5CDD505-2E9C-101B-9397-08002B2CF9AE}" pid="23" name="ContentTypeId">
    <vt:lpwstr>0x0101008CA7A4F8331B45C7B0D3158B4994D0CA0200577EC0F5A1FBFC498F9A8436B963F8A6</vt:lpwstr>
  </property>
  <property fmtid="{D5CDD505-2E9C-101B-9397-08002B2CF9AE}" pid="24" name="RecordPoint_WorkflowType">
    <vt:lpwstr>ActiveSubmitStub</vt:lpwstr>
  </property>
  <property fmtid="{D5CDD505-2E9C-101B-9397-08002B2CF9AE}" pid="25" name="APRACategory">
    <vt:lpwstr/>
  </property>
  <property fmtid="{D5CDD505-2E9C-101B-9397-08002B2CF9AE}" pid="26" name="APRAPRSG">
    <vt:lpwstr/>
  </property>
  <property fmtid="{D5CDD505-2E9C-101B-9397-08002B2CF9AE}" pid="27" name="RecordPoint_ActiveItemSiteId">
    <vt:lpwstr>{88691c01-5bbb-4215-adc0-66cb7065b0af}</vt:lpwstr>
  </property>
  <property fmtid="{D5CDD505-2E9C-101B-9397-08002B2CF9AE}" pid="28" name="APRAEntityAdviceSupport">
    <vt:lpwstr/>
  </property>
  <property fmtid="{D5CDD505-2E9C-101B-9397-08002B2CF9AE}" pid="29" name="RecordPoint_ActiveItemListId">
    <vt:lpwstr>{0e59e171-09d8-4401-800a-327154450cb3}</vt:lpwstr>
  </property>
  <property fmtid="{D5CDD505-2E9C-101B-9397-08002B2CF9AE}" pid="30" name="APRALegislation">
    <vt:lpwstr/>
  </property>
  <property fmtid="{D5CDD505-2E9C-101B-9397-08002B2CF9AE}" pid="31" name="APRAYear">
    <vt:lpwstr/>
  </property>
  <property fmtid="{D5CDD505-2E9C-101B-9397-08002B2CF9AE}" pid="32" name="APRAIndustry">
    <vt:lpwstr/>
  </property>
  <property fmtid="{D5CDD505-2E9C-101B-9397-08002B2CF9AE}" pid="33" name="RecordPoint_ActiveItemUniqueId">
    <vt:lpwstr>{02e032a0-cdf1-4f3f-baee-3348804339b2}</vt:lpwstr>
  </property>
  <property fmtid="{D5CDD505-2E9C-101B-9397-08002B2CF9AE}" pid="34" name="APRAExternalOrganisation">
    <vt:lpwstr/>
  </property>
  <property fmtid="{D5CDD505-2E9C-101B-9397-08002B2CF9AE}" pid="35" name="APRAIRTR">
    <vt:lpwstr/>
  </property>
  <property fmtid="{D5CDD505-2E9C-101B-9397-08002B2CF9AE}" pid="36" name="APRAPeriod">
    <vt:lpwstr/>
  </property>
  <property fmtid="{D5CDD505-2E9C-101B-9397-08002B2CF9AE}" pid="37" name="RecordPoint_ActiveItemWebId">
    <vt:lpwstr>{75a71c27-8d66-4282-ae60-1bfc22a83be1}</vt:lpwstr>
  </property>
  <property fmtid="{D5CDD505-2E9C-101B-9397-08002B2CF9AE}" pid="38" name="IT system type">
    <vt:lpwstr/>
  </property>
  <property fmtid="{D5CDD505-2E9C-101B-9397-08002B2CF9AE}" pid="39" name="RecordPoint_SubmissionDate">
    <vt:lpwstr/>
  </property>
  <property fmtid="{D5CDD505-2E9C-101B-9397-08002B2CF9AE}" pid="40" name="RecordPoint_RecordNumberSubmitted">
    <vt:lpwstr/>
  </property>
  <property fmtid="{D5CDD505-2E9C-101B-9397-08002B2CF9AE}" pid="41" name="RecordPoint_ActiveItemMoved">
    <vt:lpwstr/>
  </property>
  <property fmtid="{D5CDD505-2E9C-101B-9397-08002B2CF9AE}" pid="42" name="RecordPoint_RecordFormat">
    <vt:lpwstr/>
  </property>
  <property fmtid="{D5CDD505-2E9C-101B-9397-08002B2CF9AE}" pid="43" name="RecordPoint_SubmissionCompleted">
    <vt:lpwstr/>
  </property>
  <property fmtid="{D5CDD505-2E9C-101B-9397-08002B2CF9AE}" pid="44" name="PM_Originator_Hash_SHA1">
    <vt:lpwstr>C3AD57350F36D8E1BD75F8F67CB06D435C9C43CA</vt:lpwstr>
  </property>
  <property fmtid="{D5CDD505-2E9C-101B-9397-08002B2CF9AE}" pid="45" name="PM_OriginatorUserAccountName_SHA256">
    <vt:lpwstr>6E3018F28A186D2E5FF5207C041E7A82E907C3008E071057026A53705873B72E</vt:lpwstr>
  </property>
  <property fmtid="{D5CDD505-2E9C-101B-9397-08002B2CF9AE}" pid="46" name="PMHMAC">
    <vt:lpwstr>v=2022.1;a=SHA256;h=396B5042E20512516A493A386FE3657FCF42EDAEE61A041A639AE3C45579C414</vt:lpwstr>
  </property>
  <property fmtid="{D5CDD505-2E9C-101B-9397-08002B2CF9AE}" pid="47" name="PM_Hash_Salt_Prev">
    <vt:lpwstr>6F3DFF622097EFC336AE8B1ECF2B5529</vt:lpwstr>
  </property>
  <property fmtid="{D5CDD505-2E9C-101B-9397-08002B2CF9AE}" pid="48" name="PM_Hash_Salt">
    <vt:lpwstr>0A6208E30D57CC05C9F08B31F979385E</vt:lpwstr>
  </property>
  <property fmtid="{D5CDD505-2E9C-101B-9397-08002B2CF9AE}" pid="49" name="PM_Hash_SHA1">
    <vt:lpwstr>BD2E9F02A5D4E4D3C2B53F47E924F11169CADF95</vt:lpwstr>
  </property>
  <property fmtid="{D5CDD505-2E9C-101B-9397-08002B2CF9AE}" pid="50" name="MSIP_Label_c0129afb-6481-4f92-bc9f-5a4a6346364d_Method">
    <vt:lpwstr>Privileged</vt:lpwstr>
  </property>
  <property fmtid="{D5CDD505-2E9C-101B-9397-08002B2CF9AE}" pid="51" name="MSIP_Label_c0129afb-6481-4f92-bc9f-5a4a6346364d_ContentBits">
    <vt:lpwstr>0</vt:lpwstr>
  </property>
  <property fmtid="{D5CDD505-2E9C-101B-9397-08002B2CF9AE}" pid="52" name="MSIP_Label_c0129afb-6481-4f92-bc9f-5a4a6346364d_Enabled">
    <vt:lpwstr>true</vt:lpwstr>
  </property>
  <property fmtid="{D5CDD505-2E9C-101B-9397-08002B2CF9AE}" pid="53" name="MSIP_Label_c0129afb-6481-4f92-bc9f-5a4a6346364d_SetDate">
    <vt:lpwstr>2023-04-21T07:26:56Z</vt:lpwstr>
  </property>
  <property fmtid="{D5CDD505-2E9C-101B-9397-08002B2CF9AE}" pid="54" name="MSIP_Label_c0129afb-6481-4f92-bc9f-5a4a6346364d_Name">
    <vt:lpwstr>OFFICIAL</vt:lpwstr>
  </property>
  <property fmtid="{D5CDD505-2E9C-101B-9397-08002B2CF9AE}" pid="55" name="MSIP_Label_c0129afb-6481-4f92-bc9f-5a4a6346364d_SiteId">
    <vt:lpwstr>c05e3ffd-b491-4431-9809-e61d4dc78816</vt:lpwstr>
  </property>
  <property fmtid="{D5CDD505-2E9C-101B-9397-08002B2CF9AE}" pid="56" name="MSIP_Label_c0129afb-6481-4f92-bc9f-5a4a6346364d_ActionId">
    <vt:lpwstr>f94913608de74dbba4d4fbb898c1e510</vt:lpwstr>
  </property>
  <property fmtid="{D5CDD505-2E9C-101B-9397-08002B2CF9AE}" pid="57" name="APRADocScanCheck">
    <vt:bool>false</vt:bool>
  </property>
  <property fmtid="{D5CDD505-2E9C-101B-9397-08002B2CF9AE}" pid="58" name="j163382b748246d3b6e7caae71dbeeb0">
    <vt:lpwstr>Draft|0e1556d2-3fe8-443a-ada7-3620563b46b3</vt:lpwstr>
  </property>
  <property fmtid="{D5CDD505-2E9C-101B-9397-08002B2CF9AE}" pid="59" name="APRASecurityClassification">
    <vt:lpwstr>OFFICIAL</vt:lpwstr>
  </property>
  <property fmtid="{D5CDD505-2E9C-101B-9397-08002B2CF9AE}" pid="60" name="DocumentSetDescription">
    <vt:lpwstr/>
  </property>
  <property fmtid="{D5CDD505-2E9C-101B-9397-08002B2CF9AE}" pid="61" name="_dlc_DocId">
    <vt:lpwstr>5PCYMS3VTAUD-626204655-10396</vt:lpwstr>
  </property>
  <property fmtid="{D5CDD505-2E9C-101B-9397-08002B2CF9AE}" pid="62" name="APRAOwner">
    <vt:lpwstr/>
  </property>
  <property fmtid="{D5CDD505-2E9C-101B-9397-08002B2CF9AE}" pid="63" name="APRAApprovedBy">
    <vt:lpwstr/>
  </property>
  <property fmtid="{D5CDD505-2E9C-101B-9397-08002B2CF9AE}" pid="64" name="_ExtendedDescription">
    <vt:lpwstr/>
  </property>
  <property fmtid="{D5CDD505-2E9C-101B-9397-08002B2CF9AE}" pid="65" name="i05115a133414b4dabee2531e4b46b67">
    <vt:lpwstr>Prudential policy development|4cf81ba0-32a2-4f8f-8216-9e632903331b</vt:lpwstr>
  </property>
  <property fmtid="{D5CDD505-2E9C-101B-9397-08002B2CF9AE}" pid="66" name="URL">
    <vt:lpwstr/>
  </property>
  <property fmtid="{D5CDD505-2E9C-101B-9397-08002B2CF9AE}" pid="67" name="h67caa35a4114acd8e15fe89b3f29f9e">
    <vt:lpwstr>Prudential standard|6ce5a155-9ab2-41e3-9b2a-5baab4b7f1d1</vt:lpwstr>
  </property>
  <property fmtid="{D5CDD505-2E9C-101B-9397-08002B2CF9AE}" pid="68" name="TaxCatchAll">
    <vt:lpwstr>76;#;#19;#;#1;#</vt:lpwstr>
  </property>
  <property fmtid="{D5CDD505-2E9C-101B-9397-08002B2CF9AE}" pid="69" name="_dlc_DocIdUrl">
    <vt:lpwstr>https://im/teams/POLICYADI/_layouts/15/DocIdRedir.aspx?ID=5PCYMS3VTAUD-626204655-10396, 5PCYMS3VTAUD-626204655-10396</vt:lpwstr>
  </property>
  <property fmtid="{D5CDD505-2E9C-101B-9397-08002B2CF9AE}" pid="70" name="IsLocked">
    <vt:lpwstr>Yes</vt:lpwstr>
  </property>
  <property fmtid="{D5CDD505-2E9C-101B-9397-08002B2CF9AE}" pid="71" name="APRACostCentre">
    <vt:lpwstr>24;#Legal - ADI|652d8d2a-ab45-47b4-ac6e-fe6ac9299b39;#26;#Legal - Insurance: General|8229dc1a-d7f2-47b2-844a-b026fed0c13d;#93;#Legal - Insurance: Health|21611e62-d688-4f0d-8807-02701cc43699;#83;#Legal - Insurance: Life|56f18b50-6605-4f3f-97e3-cad1cb5394e0;#134;#Legal - Superannuation|cce3181d-fd23-4eee-94d3-c66abc2350cf</vt:lpwstr>
  </property>
  <property fmtid="{D5CDD505-2E9C-101B-9397-08002B2CF9AE}" pid="72" name="_dlc_DocIdItemGuid">
    <vt:lpwstr>02e032a0-cdf1-4f3f-baee-3348804339b2</vt:lpwstr>
  </property>
  <property fmtid="{D5CDD505-2E9C-101B-9397-08002B2CF9AE}" pid="73" name="APRAStatus">
    <vt:lpwstr>19;#Final|84d6b2d0-8498-4d62-bf46-bab38babbe9e</vt:lpwstr>
  </property>
  <property fmtid="{D5CDD505-2E9C-101B-9397-08002B2CF9AE}" pid="74" name="APRADocumentType">
    <vt:lpwstr>58;#Legal instrument|71fd6ed3-d6d6-4975-ba99-bfe45802e734</vt:lpwstr>
  </property>
  <property fmtid="{D5CDD505-2E9C-101B-9397-08002B2CF9AE}" pid="75" name="APRAActivity">
    <vt:lpwstr>10;#Registration|390476ce-d76d-4e8d-905f-28e32d2df127;#109;#Statutory instrument|fe68928c-5a9c-4caf-bc8c-6c18cedcb17f</vt:lpwstr>
  </property>
</Properties>
</file>