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D1D1" w14:textId="77777777" w:rsidR="001E6369" w:rsidRDefault="001C2173" w:rsidP="001E6369">
      <w:r>
        <w:t xml:space="preserve"> </w:t>
      </w:r>
      <w:r w:rsidR="001E6369">
        <w:rPr>
          <w:noProof/>
        </w:rPr>
        <w:drawing>
          <wp:inline distT="0" distB="0" distL="0" distR="0" wp14:anchorId="6B40CEC2" wp14:editId="3048EBD4">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monwealth Coat of A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55022CF" w14:textId="467E7836" w:rsidR="001E6369" w:rsidRPr="007432F5" w:rsidRDefault="001E6369" w:rsidP="001E6369">
      <w:pPr>
        <w:spacing w:before="480" w:after="120"/>
        <w:rPr>
          <w:rFonts w:ascii="Arial" w:hAnsi="Arial" w:cs="Arial"/>
          <w:b/>
          <w:sz w:val="40"/>
          <w:szCs w:val="40"/>
        </w:rPr>
      </w:pPr>
      <w:r w:rsidRPr="007432F5">
        <w:rPr>
          <w:rFonts w:ascii="Arial" w:hAnsi="Arial" w:cs="Arial"/>
          <w:b/>
          <w:sz w:val="40"/>
          <w:szCs w:val="40"/>
        </w:rPr>
        <w:t>Banking, Insurance, Life Insurance, Health Insurance and Superannuation (prudential standard) determination No.</w:t>
      </w:r>
      <w:r w:rsidRPr="000059B3">
        <w:rPr>
          <w:rFonts w:ascii="Arial" w:hAnsi="Arial" w:cs="Arial"/>
          <w:b/>
          <w:sz w:val="40"/>
          <w:szCs w:val="40"/>
        </w:rPr>
        <w:t xml:space="preserve"> </w:t>
      </w:r>
      <w:r w:rsidR="00C97B81">
        <w:rPr>
          <w:rFonts w:ascii="Arial" w:hAnsi="Arial" w:cs="Arial"/>
          <w:b/>
          <w:sz w:val="40"/>
          <w:szCs w:val="40"/>
        </w:rPr>
        <w:t>3</w:t>
      </w:r>
      <w:r w:rsidRPr="007432F5">
        <w:rPr>
          <w:rFonts w:ascii="Arial" w:hAnsi="Arial" w:cs="Arial"/>
          <w:b/>
          <w:sz w:val="40"/>
          <w:szCs w:val="40"/>
        </w:rPr>
        <w:t xml:space="preserve"> of 2023</w:t>
      </w:r>
      <w:r w:rsidRPr="007432F5">
        <w:rPr>
          <w:rFonts w:ascii="Arial" w:hAnsi="Arial" w:cs="Arial"/>
          <w:b/>
        </w:rPr>
        <w:t xml:space="preserve"> </w:t>
      </w:r>
    </w:p>
    <w:p w14:paraId="6E54178B" w14:textId="03000E6A" w:rsidR="001E6369" w:rsidRPr="002F1BDE" w:rsidRDefault="001E6369" w:rsidP="001E6369">
      <w:pPr>
        <w:pStyle w:val="ActTitle"/>
        <w:spacing w:before="240" w:after="0"/>
        <w:rPr>
          <w:b/>
          <w:i w:val="0"/>
        </w:rPr>
      </w:pPr>
      <w:r w:rsidRPr="002F1BDE">
        <w:rPr>
          <w:b/>
          <w:i w:val="0"/>
        </w:rPr>
        <w:t xml:space="preserve">Prudential Standard CPS </w:t>
      </w:r>
      <w:r w:rsidR="00345BB8">
        <w:rPr>
          <w:b/>
          <w:i w:val="0"/>
        </w:rPr>
        <w:t>511</w:t>
      </w:r>
      <w:r w:rsidRPr="002F1BDE">
        <w:rPr>
          <w:b/>
          <w:i w:val="0"/>
        </w:rPr>
        <w:t xml:space="preserve"> </w:t>
      </w:r>
      <w:r w:rsidR="00345BB8">
        <w:rPr>
          <w:b/>
          <w:i w:val="0"/>
        </w:rPr>
        <w:t>Re</w:t>
      </w:r>
      <w:r w:rsidR="00A76EEC">
        <w:rPr>
          <w:b/>
          <w:i w:val="0"/>
        </w:rPr>
        <w:t>muneration</w:t>
      </w:r>
    </w:p>
    <w:p w14:paraId="2B18201D" w14:textId="77777777" w:rsidR="001E6369" w:rsidRDefault="001E6369" w:rsidP="001E6369">
      <w:pPr>
        <w:pStyle w:val="ActTitle"/>
        <w:spacing w:before="120" w:after="0" w:line="120" w:lineRule="auto"/>
      </w:pPr>
    </w:p>
    <w:p w14:paraId="5794D2AC" w14:textId="77777777" w:rsidR="001E6369" w:rsidRPr="00874654" w:rsidRDefault="001E6369" w:rsidP="001E6369">
      <w:pPr>
        <w:pStyle w:val="ActTitle"/>
        <w:spacing w:before="0" w:after="0"/>
        <w:rPr>
          <w:i w:val="0"/>
        </w:rPr>
      </w:pPr>
      <w:r w:rsidRPr="00874654">
        <w:t>Banking Act 1959</w:t>
      </w:r>
    </w:p>
    <w:p w14:paraId="0362FE09" w14:textId="77777777" w:rsidR="001E6369" w:rsidRPr="00874654" w:rsidRDefault="001E6369" w:rsidP="001E6369">
      <w:pPr>
        <w:pStyle w:val="ActTitle"/>
        <w:spacing w:before="0" w:after="0"/>
      </w:pPr>
      <w:r w:rsidRPr="00874654">
        <w:t>Insurance Act 1973</w:t>
      </w:r>
    </w:p>
    <w:p w14:paraId="07B841D1" w14:textId="77777777" w:rsidR="001E6369" w:rsidRPr="00874654" w:rsidRDefault="001E6369" w:rsidP="001E6369">
      <w:pPr>
        <w:pStyle w:val="ActTitle"/>
        <w:spacing w:before="0" w:after="0"/>
      </w:pPr>
      <w:r w:rsidRPr="00874654">
        <w:t>Life Insurance Act 1995</w:t>
      </w:r>
    </w:p>
    <w:p w14:paraId="42C19849" w14:textId="77777777" w:rsidR="001E6369" w:rsidRPr="00874654" w:rsidRDefault="001E6369" w:rsidP="001E6369">
      <w:pPr>
        <w:pStyle w:val="ActTitle"/>
        <w:spacing w:before="0" w:after="0"/>
      </w:pPr>
      <w:r w:rsidRPr="00874654">
        <w:t>Private Health Insurance (Prudential Supervision) Act 2015</w:t>
      </w:r>
    </w:p>
    <w:p w14:paraId="17FC0C8D" w14:textId="77777777" w:rsidR="001E6369" w:rsidRPr="00874654" w:rsidRDefault="001E6369" w:rsidP="001E6369">
      <w:pPr>
        <w:pStyle w:val="ActTitle"/>
        <w:spacing w:before="0"/>
      </w:pPr>
      <w:r w:rsidRPr="00874654">
        <w:t>Superannuation Industry (Supervision) Act 1993</w:t>
      </w:r>
    </w:p>
    <w:p w14:paraId="3B7A4382" w14:textId="011ADFA2" w:rsidR="001E6369" w:rsidRPr="0091378D" w:rsidRDefault="001E6369" w:rsidP="001E6369">
      <w:pPr>
        <w:pStyle w:val="introto0"/>
        <w:shd w:val="clear" w:color="auto" w:fill="FFFFFF"/>
        <w:spacing w:before="240" w:beforeAutospacing="0" w:after="120" w:afterAutospacing="0"/>
        <w:jc w:val="both"/>
        <w:rPr>
          <w:rFonts w:ascii="Arial" w:hAnsi="Arial" w:cs="Arial"/>
          <w:color w:val="000000"/>
          <w:sz w:val="22"/>
          <w:szCs w:val="22"/>
        </w:rPr>
      </w:pPr>
      <w:r w:rsidRPr="0091378D">
        <w:rPr>
          <w:rFonts w:ascii="Arial" w:hAnsi="Arial" w:cs="Arial"/>
          <w:sz w:val="22"/>
          <w:szCs w:val="22"/>
        </w:rPr>
        <w:t xml:space="preserve">I, </w:t>
      </w:r>
      <w:r w:rsidR="00425625">
        <w:rPr>
          <w:rFonts w:ascii="Arial" w:hAnsi="Arial" w:cs="Arial"/>
          <w:sz w:val="22"/>
          <w:szCs w:val="22"/>
        </w:rPr>
        <w:t xml:space="preserve">John </w:t>
      </w:r>
      <w:r w:rsidR="00E57122">
        <w:rPr>
          <w:rFonts w:ascii="Arial" w:hAnsi="Arial" w:cs="Arial"/>
          <w:sz w:val="22"/>
          <w:szCs w:val="22"/>
        </w:rPr>
        <w:t>Lon</w:t>
      </w:r>
      <w:r w:rsidR="00AC34E1">
        <w:rPr>
          <w:rFonts w:ascii="Arial" w:hAnsi="Arial" w:cs="Arial"/>
          <w:sz w:val="22"/>
          <w:szCs w:val="22"/>
        </w:rPr>
        <w:t>sdale</w:t>
      </w:r>
      <w:r w:rsidRPr="0091378D">
        <w:rPr>
          <w:rFonts w:ascii="Arial" w:hAnsi="Arial" w:cs="Arial"/>
          <w:sz w:val="22"/>
          <w:szCs w:val="22"/>
        </w:rPr>
        <w:t>, a delegate of APRA:</w:t>
      </w:r>
    </w:p>
    <w:p w14:paraId="532509EC" w14:textId="37B33C26" w:rsidR="00A97B15" w:rsidRDefault="00D228CD" w:rsidP="001E6369">
      <w:pPr>
        <w:pStyle w:val="Style1"/>
        <w:rPr>
          <w:rFonts w:ascii="Arial" w:hAnsi="Arial" w:cs="Arial"/>
          <w:sz w:val="22"/>
          <w:szCs w:val="22"/>
        </w:rPr>
      </w:pPr>
      <w:r w:rsidRPr="00D228CD">
        <w:rPr>
          <w:rFonts w:ascii="Arial" w:hAnsi="Arial" w:cs="Arial"/>
          <w:sz w:val="22"/>
          <w:szCs w:val="22"/>
        </w:rPr>
        <w:t>under subsection</w:t>
      </w:r>
      <w:r w:rsidR="00C112A4">
        <w:rPr>
          <w:rFonts w:ascii="Arial" w:hAnsi="Arial" w:cs="Arial"/>
          <w:sz w:val="22"/>
          <w:szCs w:val="22"/>
        </w:rPr>
        <w:t>s</w:t>
      </w:r>
      <w:r w:rsidRPr="00D228CD">
        <w:rPr>
          <w:rFonts w:ascii="Arial" w:hAnsi="Arial" w:cs="Arial"/>
          <w:sz w:val="22"/>
          <w:szCs w:val="22"/>
        </w:rPr>
        <w:t xml:space="preserve"> 11AF(3) of the </w:t>
      </w:r>
      <w:r w:rsidRPr="00D228CD">
        <w:rPr>
          <w:rFonts w:ascii="Arial" w:hAnsi="Arial" w:cs="Arial"/>
          <w:i/>
          <w:sz w:val="22"/>
          <w:szCs w:val="22"/>
        </w:rPr>
        <w:t>Banking Act 1959</w:t>
      </w:r>
      <w:r w:rsidR="00B063ED">
        <w:rPr>
          <w:rFonts w:ascii="Arial" w:hAnsi="Arial" w:cs="Arial"/>
          <w:i/>
          <w:sz w:val="22"/>
          <w:szCs w:val="22"/>
        </w:rPr>
        <w:t>,</w:t>
      </w:r>
      <w:r w:rsidR="00B063ED" w:rsidRPr="00B063ED">
        <w:rPr>
          <w:rFonts w:ascii="Arial" w:hAnsi="Arial" w:cs="Arial"/>
          <w:sz w:val="22"/>
          <w:szCs w:val="22"/>
        </w:rPr>
        <w:t xml:space="preserve"> </w:t>
      </w:r>
      <w:r w:rsidR="00B063ED" w:rsidRPr="00BC18A1">
        <w:rPr>
          <w:rFonts w:ascii="Arial" w:hAnsi="Arial" w:cs="Arial"/>
          <w:sz w:val="22"/>
          <w:szCs w:val="22"/>
        </w:rPr>
        <w:t xml:space="preserve">32(4) of the </w:t>
      </w:r>
      <w:r w:rsidR="00B063ED" w:rsidRPr="00BC18A1">
        <w:rPr>
          <w:rFonts w:ascii="Arial" w:hAnsi="Arial" w:cs="Arial"/>
          <w:i/>
          <w:sz w:val="22"/>
          <w:szCs w:val="22"/>
        </w:rPr>
        <w:t>Insurance Act 1973</w:t>
      </w:r>
      <w:r w:rsidR="00B545C8">
        <w:rPr>
          <w:rFonts w:ascii="Arial" w:hAnsi="Arial" w:cs="Arial"/>
          <w:sz w:val="22"/>
          <w:szCs w:val="22"/>
        </w:rPr>
        <w:t xml:space="preserve">, </w:t>
      </w:r>
      <w:r w:rsidR="00674021" w:rsidRPr="00674021">
        <w:rPr>
          <w:rFonts w:ascii="Arial" w:hAnsi="Arial" w:cs="Arial"/>
          <w:sz w:val="22"/>
          <w:szCs w:val="22"/>
        </w:rPr>
        <w:t xml:space="preserve">230A(5) of the </w:t>
      </w:r>
      <w:r w:rsidR="00674021" w:rsidRPr="000F71D4">
        <w:rPr>
          <w:rFonts w:ascii="Arial" w:hAnsi="Arial" w:cs="Arial"/>
          <w:i/>
          <w:sz w:val="22"/>
          <w:szCs w:val="22"/>
        </w:rPr>
        <w:t>Life Insurance Act 1995</w:t>
      </w:r>
      <w:r w:rsidR="00674021">
        <w:rPr>
          <w:rFonts w:ascii="Arial" w:hAnsi="Arial" w:cs="Arial"/>
          <w:sz w:val="22"/>
          <w:szCs w:val="22"/>
        </w:rPr>
        <w:t>,</w:t>
      </w:r>
      <w:r w:rsidRPr="00D228CD">
        <w:rPr>
          <w:rFonts w:ascii="Arial" w:hAnsi="Arial" w:cs="Arial"/>
          <w:sz w:val="22"/>
          <w:szCs w:val="22"/>
        </w:rPr>
        <w:t xml:space="preserve"> </w:t>
      </w:r>
      <w:r w:rsidR="00762548" w:rsidRPr="00762548">
        <w:rPr>
          <w:rFonts w:ascii="Arial" w:hAnsi="Arial" w:cs="Arial"/>
          <w:sz w:val="22"/>
          <w:szCs w:val="22"/>
        </w:rPr>
        <w:t xml:space="preserve">92(5) of the </w:t>
      </w:r>
      <w:r w:rsidR="00762548" w:rsidRPr="0014713D">
        <w:rPr>
          <w:rFonts w:ascii="Arial" w:hAnsi="Arial" w:cs="Arial"/>
          <w:i/>
          <w:sz w:val="22"/>
          <w:szCs w:val="22"/>
        </w:rPr>
        <w:t>Private Health Insurance (Prudential Supervision) Act 2015</w:t>
      </w:r>
      <w:r w:rsidR="00762548" w:rsidRPr="00762548">
        <w:rPr>
          <w:rFonts w:ascii="Arial" w:hAnsi="Arial" w:cs="Arial"/>
          <w:sz w:val="22"/>
          <w:szCs w:val="22"/>
        </w:rPr>
        <w:t xml:space="preserve"> </w:t>
      </w:r>
      <w:r w:rsidR="00181885">
        <w:t xml:space="preserve">and </w:t>
      </w:r>
      <w:r w:rsidR="000C60C5" w:rsidRPr="000C60C5">
        <w:rPr>
          <w:rFonts w:ascii="Arial" w:hAnsi="Arial" w:cs="Arial"/>
          <w:sz w:val="22"/>
          <w:szCs w:val="22"/>
        </w:rPr>
        <w:t xml:space="preserve">34C(6) of the </w:t>
      </w:r>
      <w:r w:rsidR="00AC1589" w:rsidRPr="00181885">
        <w:rPr>
          <w:rFonts w:ascii="Arial" w:hAnsi="Arial" w:cs="Arial"/>
          <w:i/>
          <w:sz w:val="22"/>
          <w:szCs w:val="22"/>
        </w:rPr>
        <w:t>Superannuation Industry (Supervision) Act 1993</w:t>
      </w:r>
      <w:r w:rsidR="0014713D">
        <w:rPr>
          <w:rFonts w:ascii="Arial" w:hAnsi="Arial" w:cs="Arial"/>
          <w:sz w:val="22"/>
          <w:szCs w:val="22"/>
        </w:rPr>
        <w:t xml:space="preserve"> </w:t>
      </w:r>
      <w:r w:rsidRPr="00D228CD">
        <w:rPr>
          <w:rFonts w:ascii="Arial" w:hAnsi="Arial" w:cs="Arial"/>
          <w:sz w:val="22"/>
          <w:szCs w:val="22"/>
        </w:rPr>
        <w:t>REVOKE Banking, Insurance</w:t>
      </w:r>
      <w:r w:rsidR="00F54D0F">
        <w:rPr>
          <w:rFonts w:ascii="Arial" w:hAnsi="Arial" w:cs="Arial"/>
          <w:sz w:val="22"/>
          <w:szCs w:val="22"/>
        </w:rPr>
        <w:t>,</w:t>
      </w:r>
      <w:r w:rsidRPr="00D228CD">
        <w:rPr>
          <w:rFonts w:ascii="Arial" w:hAnsi="Arial" w:cs="Arial"/>
          <w:sz w:val="22"/>
          <w:szCs w:val="22"/>
        </w:rPr>
        <w:t xml:space="preserve"> Life Insurance</w:t>
      </w:r>
      <w:r w:rsidR="00F54D0F">
        <w:rPr>
          <w:rFonts w:ascii="Arial" w:hAnsi="Arial" w:cs="Arial"/>
          <w:sz w:val="22"/>
          <w:szCs w:val="22"/>
        </w:rPr>
        <w:t>, Health Insurance and Superannuation</w:t>
      </w:r>
      <w:r w:rsidRPr="00D228CD">
        <w:rPr>
          <w:rFonts w:ascii="Arial" w:hAnsi="Arial" w:cs="Arial"/>
          <w:sz w:val="22"/>
          <w:szCs w:val="22"/>
        </w:rPr>
        <w:t xml:space="preserve"> (prudential standard) determination No. </w:t>
      </w:r>
      <w:r w:rsidR="008B7068">
        <w:rPr>
          <w:rFonts w:ascii="Arial" w:hAnsi="Arial" w:cs="Arial"/>
          <w:sz w:val="22"/>
          <w:szCs w:val="22"/>
        </w:rPr>
        <w:t>1</w:t>
      </w:r>
      <w:r w:rsidRPr="00D228CD">
        <w:rPr>
          <w:rFonts w:ascii="Arial" w:hAnsi="Arial" w:cs="Arial"/>
          <w:sz w:val="22"/>
          <w:szCs w:val="22"/>
        </w:rPr>
        <w:t xml:space="preserve"> of  20</w:t>
      </w:r>
      <w:r w:rsidR="008B7068">
        <w:rPr>
          <w:rFonts w:ascii="Arial" w:hAnsi="Arial" w:cs="Arial"/>
          <w:sz w:val="22"/>
          <w:szCs w:val="22"/>
        </w:rPr>
        <w:t>21</w:t>
      </w:r>
      <w:r w:rsidRPr="00D228CD">
        <w:rPr>
          <w:rFonts w:ascii="Arial" w:hAnsi="Arial" w:cs="Arial"/>
          <w:sz w:val="22"/>
          <w:szCs w:val="22"/>
        </w:rPr>
        <w:t xml:space="preserve">, including </w:t>
      </w:r>
      <w:r w:rsidRPr="00BC18A1">
        <w:rPr>
          <w:rFonts w:ascii="Arial" w:hAnsi="Arial" w:cs="Arial"/>
          <w:i/>
          <w:sz w:val="22"/>
          <w:szCs w:val="22"/>
        </w:rPr>
        <w:t xml:space="preserve">Prudential Standard CPS </w:t>
      </w:r>
      <w:r w:rsidR="00141D27" w:rsidRPr="00BC18A1">
        <w:rPr>
          <w:rFonts w:ascii="Arial" w:hAnsi="Arial" w:cs="Arial"/>
          <w:i/>
          <w:sz w:val="22"/>
          <w:szCs w:val="22"/>
        </w:rPr>
        <w:t>511 Remuneration</w:t>
      </w:r>
      <w:r w:rsidRPr="00D228CD">
        <w:rPr>
          <w:rFonts w:ascii="Arial" w:hAnsi="Arial" w:cs="Arial"/>
          <w:sz w:val="22"/>
          <w:szCs w:val="22"/>
        </w:rPr>
        <w:t xml:space="preserve"> made under that </w:t>
      </w:r>
      <w:r w:rsidR="00731B7E">
        <w:rPr>
          <w:rFonts w:ascii="Arial" w:hAnsi="Arial" w:cs="Arial"/>
          <w:sz w:val="22"/>
          <w:szCs w:val="22"/>
        </w:rPr>
        <w:t>d</w:t>
      </w:r>
      <w:r w:rsidRPr="00D228CD">
        <w:rPr>
          <w:rFonts w:ascii="Arial" w:hAnsi="Arial" w:cs="Arial"/>
          <w:sz w:val="22"/>
          <w:szCs w:val="22"/>
        </w:rPr>
        <w:t>etermination</w:t>
      </w:r>
      <w:r w:rsidR="00731B7E">
        <w:rPr>
          <w:rFonts w:ascii="Arial" w:hAnsi="Arial" w:cs="Arial"/>
          <w:sz w:val="22"/>
          <w:szCs w:val="22"/>
        </w:rPr>
        <w:t>;</w:t>
      </w:r>
    </w:p>
    <w:p w14:paraId="5C7C943D" w14:textId="5DBC490D" w:rsidR="001E6369" w:rsidRPr="0091378D" w:rsidRDefault="001E6369" w:rsidP="001E6369">
      <w:pPr>
        <w:pStyle w:val="Style1"/>
        <w:rPr>
          <w:rFonts w:ascii="Arial" w:hAnsi="Arial" w:cs="Arial"/>
          <w:sz w:val="22"/>
          <w:szCs w:val="22"/>
        </w:rPr>
      </w:pPr>
      <w:r w:rsidRPr="0091378D">
        <w:rPr>
          <w:rFonts w:ascii="Arial" w:hAnsi="Arial" w:cs="Arial"/>
          <w:sz w:val="22"/>
          <w:szCs w:val="22"/>
        </w:rPr>
        <w:t xml:space="preserve">under subsection 11AF(1) of the </w:t>
      </w:r>
      <w:r w:rsidRPr="0091378D">
        <w:rPr>
          <w:rFonts w:ascii="Arial" w:hAnsi="Arial" w:cs="Arial"/>
          <w:i/>
          <w:sz w:val="22"/>
          <w:szCs w:val="22"/>
        </w:rPr>
        <w:t>Banking Act 1959</w:t>
      </w:r>
      <w:r w:rsidRPr="0091378D">
        <w:rPr>
          <w:rFonts w:ascii="Arial" w:hAnsi="Arial" w:cs="Arial"/>
          <w:sz w:val="22"/>
          <w:szCs w:val="22"/>
        </w:rPr>
        <w:t xml:space="preserve"> DETERMINE</w:t>
      </w:r>
      <w:r w:rsidR="00A87E07">
        <w:rPr>
          <w:rFonts w:ascii="Arial" w:hAnsi="Arial" w:cs="Arial"/>
          <w:sz w:val="22"/>
          <w:szCs w:val="22"/>
        </w:rPr>
        <w:t xml:space="preserve"> the prudential standard</w:t>
      </w:r>
      <w:r w:rsidRPr="0091378D">
        <w:rPr>
          <w:rFonts w:ascii="Arial" w:hAnsi="Arial" w:cs="Arial"/>
          <w:sz w:val="22"/>
          <w:szCs w:val="22"/>
        </w:rPr>
        <w:t xml:space="preserve">, </w:t>
      </w:r>
      <w:bookmarkStart w:id="0" w:name="_Hlk86315380"/>
      <w:r w:rsidRPr="0091378D">
        <w:rPr>
          <w:rFonts w:ascii="Arial" w:hAnsi="Arial" w:cs="Arial"/>
          <w:sz w:val="22"/>
          <w:szCs w:val="22"/>
        </w:rPr>
        <w:t xml:space="preserve">which applies to all ADIs, excluding ADIs referred to in paragraph 2 of the prudential standard, and </w:t>
      </w:r>
      <w:r w:rsidRPr="001346D4">
        <w:rPr>
          <w:rFonts w:ascii="Arial" w:hAnsi="Arial" w:cs="Arial"/>
          <w:sz w:val="22"/>
          <w:szCs w:val="22"/>
        </w:rPr>
        <w:t>authorised banking NOHCs</w:t>
      </w:r>
      <w:bookmarkEnd w:id="0"/>
      <w:r w:rsidRPr="0091378D">
        <w:rPr>
          <w:rFonts w:ascii="Arial" w:hAnsi="Arial" w:cs="Arial"/>
          <w:sz w:val="22"/>
          <w:szCs w:val="22"/>
        </w:rPr>
        <w:t>;</w:t>
      </w:r>
    </w:p>
    <w:p w14:paraId="324FC2F9" w14:textId="6F5E4EC1" w:rsidR="001E6369" w:rsidRPr="0091378D" w:rsidRDefault="001E6369" w:rsidP="001E6369">
      <w:pPr>
        <w:pStyle w:val="Style1"/>
        <w:rPr>
          <w:rFonts w:ascii="Arial" w:hAnsi="Arial" w:cs="Arial"/>
          <w:sz w:val="22"/>
          <w:szCs w:val="22"/>
        </w:rPr>
      </w:pPr>
      <w:r w:rsidRPr="0091378D">
        <w:rPr>
          <w:rFonts w:ascii="Arial" w:hAnsi="Arial" w:cs="Arial"/>
          <w:sz w:val="22"/>
          <w:szCs w:val="22"/>
        </w:rPr>
        <w:t xml:space="preserve">under subsection 32(1) of the </w:t>
      </w:r>
      <w:r w:rsidRPr="0091378D">
        <w:rPr>
          <w:rFonts w:ascii="Arial" w:hAnsi="Arial" w:cs="Arial"/>
          <w:i/>
          <w:sz w:val="22"/>
          <w:szCs w:val="22"/>
        </w:rPr>
        <w:t>Insurance Act 1973</w:t>
      </w:r>
      <w:r w:rsidRPr="0091378D">
        <w:rPr>
          <w:rFonts w:ascii="Arial" w:hAnsi="Arial" w:cs="Arial"/>
          <w:sz w:val="22"/>
          <w:szCs w:val="22"/>
        </w:rPr>
        <w:t xml:space="preserve"> DETERMINE </w:t>
      </w:r>
      <w:r w:rsidR="00E25A90">
        <w:rPr>
          <w:rFonts w:ascii="Arial" w:hAnsi="Arial" w:cs="Arial"/>
          <w:sz w:val="22"/>
          <w:szCs w:val="22"/>
        </w:rPr>
        <w:t>the prudential standard</w:t>
      </w:r>
      <w:r w:rsidR="000253D3" w:rsidRPr="0091378D">
        <w:rPr>
          <w:rFonts w:ascii="Arial" w:hAnsi="Arial" w:cs="Arial"/>
          <w:sz w:val="22"/>
          <w:szCs w:val="22"/>
        </w:rPr>
        <w:t>,</w:t>
      </w:r>
      <w:r w:rsidRPr="0091378D">
        <w:rPr>
          <w:rFonts w:ascii="Arial" w:hAnsi="Arial" w:cs="Arial"/>
          <w:sz w:val="22"/>
          <w:szCs w:val="22"/>
        </w:rPr>
        <w:t xml:space="preserve"> which applies to </w:t>
      </w:r>
      <w:bookmarkStart w:id="1" w:name="_Hlk86315495"/>
      <w:r w:rsidRPr="0091378D">
        <w:rPr>
          <w:rFonts w:ascii="Arial" w:hAnsi="Arial" w:cs="Arial"/>
          <w:sz w:val="22"/>
          <w:szCs w:val="22"/>
        </w:rPr>
        <w:t xml:space="preserve">all general insurers and authorised insurance NOHCs, and subsidiaries of general insurers </w:t>
      </w:r>
      <w:r w:rsidR="00444944">
        <w:rPr>
          <w:rFonts w:ascii="Arial" w:hAnsi="Arial" w:cs="Arial"/>
          <w:sz w:val="22"/>
          <w:szCs w:val="22"/>
        </w:rPr>
        <w:t>or</w:t>
      </w:r>
      <w:r w:rsidRPr="0091378D">
        <w:rPr>
          <w:rFonts w:ascii="Arial" w:hAnsi="Arial" w:cs="Arial"/>
          <w:sz w:val="22"/>
          <w:szCs w:val="22"/>
        </w:rPr>
        <w:t xml:space="preserve"> </w:t>
      </w:r>
      <w:r w:rsidRPr="001346D4">
        <w:rPr>
          <w:rFonts w:ascii="Arial" w:hAnsi="Arial" w:cs="Arial"/>
          <w:sz w:val="22"/>
          <w:szCs w:val="22"/>
        </w:rPr>
        <w:t>authorised insurance NOHCs</w:t>
      </w:r>
      <w:bookmarkEnd w:id="1"/>
      <w:r w:rsidR="00A732FA">
        <w:rPr>
          <w:rFonts w:ascii="Arial" w:hAnsi="Arial" w:cs="Arial"/>
          <w:sz w:val="22"/>
          <w:szCs w:val="22"/>
        </w:rPr>
        <w:t xml:space="preserve"> where th</w:t>
      </w:r>
      <w:r w:rsidR="005D0203">
        <w:rPr>
          <w:rFonts w:ascii="Arial" w:hAnsi="Arial" w:cs="Arial"/>
          <w:sz w:val="22"/>
          <w:szCs w:val="22"/>
        </w:rPr>
        <w:t>ose</w:t>
      </w:r>
      <w:r w:rsidR="00A732FA">
        <w:rPr>
          <w:rFonts w:ascii="Arial" w:hAnsi="Arial" w:cs="Arial"/>
          <w:sz w:val="22"/>
          <w:szCs w:val="22"/>
        </w:rPr>
        <w:t xml:space="preserve"> subsidiar</w:t>
      </w:r>
      <w:r w:rsidR="005D0203">
        <w:rPr>
          <w:rFonts w:ascii="Arial" w:hAnsi="Arial" w:cs="Arial"/>
          <w:sz w:val="22"/>
          <w:szCs w:val="22"/>
        </w:rPr>
        <w:t>ies</w:t>
      </w:r>
      <w:r w:rsidR="00A732FA">
        <w:rPr>
          <w:rFonts w:ascii="Arial" w:hAnsi="Arial" w:cs="Arial"/>
          <w:sz w:val="22"/>
          <w:szCs w:val="22"/>
        </w:rPr>
        <w:t xml:space="preserve"> </w:t>
      </w:r>
      <w:r w:rsidR="005D0203">
        <w:rPr>
          <w:rFonts w:ascii="Arial" w:hAnsi="Arial" w:cs="Arial"/>
          <w:sz w:val="22"/>
          <w:szCs w:val="22"/>
        </w:rPr>
        <w:t>are</w:t>
      </w:r>
      <w:r w:rsidR="00A732FA">
        <w:rPr>
          <w:rFonts w:ascii="Arial" w:hAnsi="Arial" w:cs="Arial"/>
          <w:sz w:val="22"/>
          <w:szCs w:val="22"/>
        </w:rPr>
        <w:t xml:space="preserve"> parent entit</w:t>
      </w:r>
      <w:r w:rsidR="003E32DF">
        <w:rPr>
          <w:rFonts w:ascii="Arial" w:hAnsi="Arial" w:cs="Arial"/>
          <w:sz w:val="22"/>
          <w:szCs w:val="22"/>
        </w:rPr>
        <w:t>ies</w:t>
      </w:r>
      <w:r w:rsidR="00A732FA">
        <w:rPr>
          <w:rFonts w:ascii="Arial" w:hAnsi="Arial" w:cs="Arial"/>
          <w:sz w:val="22"/>
          <w:szCs w:val="22"/>
        </w:rPr>
        <w:t xml:space="preserve"> of Level </w:t>
      </w:r>
      <w:r w:rsidR="00CB2531">
        <w:rPr>
          <w:rFonts w:ascii="Arial" w:hAnsi="Arial" w:cs="Arial"/>
          <w:sz w:val="22"/>
          <w:szCs w:val="22"/>
        </w:rPr>
        <w:t>2 insurance group</w:t>
      </w:r>
      <w:r w:rsidR="000D3849">
        <w:rPr>
          <w:rFonts w:ascii="Arial" w:hAnsi="Arial" w:cs="Arial"/>
          <w:sz w:val="22"/>
          <w:szCs w:val="22"/>
        </w:rPr>
        <w:t>s</w:t>
      </w:r>
      <w:r w:rsidRPr="0091378D">
        <w:rPr>
          <w:rFonts w:ascii="Arial" w:hAnsi="Arial" w:cs="Arial"/>
          <w:sz w:val="22"/>
          <w:szCs w:val="22"/>
        </w:rPr>
        <w:t>;</w:t>
      </w:r>
    </w:p>
    <w:p w14:paraId="38F7A9FE" w14:textId="41FDDFDC" w:rsidR="001E6369" w:rsidRPr="0091378D" w:rsidRDefault="001E6369" w:rsidP="001E6369">
      <w:pPr>
        <w:pStyle w:val="Style1"/>
        <w:rPr>
          <w:rFonts w:ascii="Arial" w:hAnsi="Arial" w:cs="Arial"/>
          <w:sz w:val="22"/>
          <w:szCs w:val="22"/>
        </w:rPr>
      </w:pPr>
      <w:r w:rsidRPr="0091378D">
        <w:rPr>
          <w:rFonts w:ascii="Arial" w:hAnsi="Arial" w:cs="Arial"/>
          <w:sz w:val="22"/>
          <w:szCs w:val="22"/>
        </w:rPr>
        <w:t xml:space="preserve">under subsection 230A(1) of the </w:t>
      </w:r>
      <w:r w:rsidRPr="0091378D">
        <w:rPr>
          <w:rFonts w:ascii="Arial" w:hAnsi="Arial" w:cs="Arial"/>
          <w:i/>
          <w:sz w:val="22"/>
          <w:szCs w:val="22"/>
        </w:rPr>
        <w:t>Life Insurance Act 1995</w:t>
      </w:r>
      <w:r w:rsidRPr="0091378D">
        <w:rPr>
          <w:rFonts w:ascii="Arial" w:hAnsi="Arial" w:cs="Arial"/>
          <w:sz w:val="22"/>
          <w:szCs w:val="22"/>
        </w:rPr>
        <w:t xml:space="preserve"> DETERMINE </w:t>
      </w:r>
      <w:r w:rsidR="00E25A90">
        <w:rPr>
          <w:rFonts w:ascii="Arial" w:hAnsi="Arial" w:cs="Arial"/>
          <w:sz w:val="22"/>
          <w:szCs w:val="22"/>
        </w:rPr>
        <w:t>the prudential standard</w:t>
      </w:r>
      <w:r w:rsidR="001979A4" w:rsidRPr="0091378D">
        <w:rPr>
          <w:rFonts w:ascii="Arial" w:hAnsi="Arial" w:cs="Arial"/>
          <w:sz w:val="22"/>
          <w:szCs w:val="22"/>
        </w:rPr>
        <w:t>,</w:t>
      </w:r>
      <w:r w:rsidRPr="0091378D">
        <w:rPr>
          <w:rFonts w:ascii="Arial" w:hAnsi="Arial" w:cs="Arial"/>
          <w:sz w:val="22"/>
          <w:szCs w:val="22"/>
        </w:rPr>
        <w:t xml:space="preserve"> which applies to </w:t>
      </w:r>
      <w:bookmarkStart w:id="2" w:name="_Hlk86315670"/>
      <w:r w:rsidRPr="0091378D">
        <w:rPr>
          <w:rFonts w:ascii="Arial" w:hAnsi="Arial" w:cs="Arial"/>
          <w:sz w:val="22"/>
          <w:szCs w:val="22"/>
        </w:rPr>
        <w:t>all life companies, including friendly societies, and registered NOHCs</w:t>
      </w:r>
      <w:bookmarkEnd w:id="2"/>
      <w:r w:rsidRPr="0091378D">
        <w:rPr>
          <w:rFonts w:ascii="Arial" w:hAnsi="Arial" w:cs="Arial"/>
          <w:sz w:val="22"/>
          <w:szCs w:val="22"/>
        </w:rPr>
        <w:t>;</w:t>
      </w:r>
    </w:p>
    <w:p w14:paraId="10413F75" w14:textId="5F3F3074" w:rsidR="001E6369" w:rsidRPr="0091378D" w:rsidRDefault="001E6369" w:rsidP="001E6369">
      <w:pPr>
        <w:pStyle w:val="Style1"/>
        <w:rPr>
          <w:rFonts w:ascii="Arial" w:hAnsi="Arial" w:cs="Arial"/>
          <w:sz w:val="22"/>
          <w:szCs w:val="22"/>
        </w:rPr>
      </w:pPr>
      <w:r w:rsidRPr="0091378D">
        <w:rPr>
          <w:rFonts w:ascii="Arial" w:hAnsi="Arial" w:cs="Arial"/>
          <w:sz w:val="22"/>
          <w:szCs w:val="22"/>
          <w:shd w:val="clear" w:color="auto" w:fill="FFFFFF"/>
        </w:rPr>
        <w:t xml:space="preserve">under subsection 92(1) of the </w:t>
      </w:r>
      <w:r w:rsidRPr="0091378D">
        <w:rPr>
          <w:rFonts w:ascii="Arial" w:hAnsi="Arial" w:cs="Arial"/>
          <w:i/>
          <w:sz w:val="22"/>
          <w:szCs w:val="22"/>
          <w:shd w:val="clear" w:color="auto" w:fill="FFFFFF"/>
        </w:rPr>
        <w:t>Private Health Insurance (Prudential Supervision) Act 2015</w:t>
      </w:r>
      <w:r w:rsidRPr="0091378D">
        <w:rPr>
          <w:rFonts w:ascii="Arial" w:hAnsi="Arial" w:cs="Arial"/>
          <w:i/>
          <w:iCs/>
          <w:sz w:val="22"/>
          <w:szCs w:val="22"/>
          <w:shd w:val="clear" w:color="auto" w:fill="FFFFFF"/>
        </w:rPr>
        <w:t xml:space="preserve"> </w:t>
      </w:r>
      <w:r w:rsidRPr="0091378D">
        <w:rPr>
          <w:rFonts w:ascii="Arial" w:hAnsi="Arial" w:cs="Arial"/>
          <w:sz w:val="22"/>
          <w:szCs w:val="22"/>
          <w:shd w:val="clear" w:color="auto" w:fill="FFFFFF"/>
        </w:rPr>
        <w:t xml:space="preserve">DETERMINE </w:t>
      </w:r>
      <w:r w:rsidR="009A4EE4">
        <w:rPr>
          <w:rFonts w:ascii="Arial" w:hAnsi="Arial" w:cs="Arial"/>
          <w:sz w:val="22"/>
          <w:szCs w:val="22"/>
        </w:rPr>
        <w:t>the prudential standard</w:t>
      </w:r>
      <w:r w:rsidR="00C6324F" w:rsidRPr="0091378D">
        <w:rPr>
          <w:rFonts w:ascii="Arial" w:hAnsi="Arial" w:cs="Arial"/>
          <w:sz w:val="22"/>
          <w:szCs w:val="22"/>
        </w:rPr>
        <w:t>,</w:t>
      </w:r>
      <w:r w:rsidRPr="0091378D">
        <w:rPr>
          <w:rFonts w:ascii="Arial" w:hAnsi="Arial" w:cs="Arial"/>
          <w:sz w:val="22"/>
          <w:szCs w:val="22"/>
          <w:shd w:val="clear" w:color="auto" w:fill="FFFFFF"/>
        </w:rPr>
        <w:t xml:space="preserve"> </w:t>
      </w:r>
      <w:r w:rsidRPr="0091378D">
        <w:rPr>
          <w:rFonts w:ascii="Arial" w:hAnsi="Arial" w:cs="Arial"/>
          <w:sz w:val="22"/>
          <w:szCs w:val="22"/>
        </w:rPr>
        <w:t xml:space="preserve">which </w:t>
      </w:r>
      <w:r w:rsidRPr="0091378D">
        <w:rPr>
          <w:rFonts w:ascii="Arial" w:hAnsi="Arial" w:cs="Arial"/>
          <w:sz w:val="22"/>
          <w:szCs w:val="22"/>
          <w:shd w:val="clear" w:color="auto" w:fill="FFFFFF"/>
        </w:rPr>
        <w:t>applies to all private health insurers</w:t>
      </w:r>
      <w:r w:rsidRPr="0091378D">
        <w:rPr>
          <w:rFonts w:ascii="Arial" w:hAnsi="Arial" w:cs="Arial"/>
          <w:sz w:val="22"/>
          <w:szCs w:val="22"/>
        </w:rPr>
        <w:t>; and</w:t>
      </w:r>
    </w:p>
    <w:p w14:paraId="322C183D" w14:textId="1632BC2B" w:rsidR="001E6369" w:rsidRPr="0091378D" w:rsidRDefault="001E6369" w:rsidP="001E6369">
      <w:pPr>
        <w:pStyle w:val="Style1"/>
        <w:rPr>
          <w:rFonts w:ascii="Arial" w:hAnsi="Arial" w:cs="Arial"/>
          <w:sz w:val="22"/>
          <w:szCs w:val="22"/>
        </w:rPr>
      </w:pPr>
      <w:r w:rsidRPr="0091378D">
        <w:rPr>
          <w:rFonts w:ascii="Arial" w:hAnsi="Arial" w:cs="Arial"/>
          <w:sz w:val="22"/>
          <w:szCs w:val="22"/>
        </w:rPr>
        <w:t xml:space="preserve">under subsection 34C(1) of the </w:t>
      </w:r>
      <w:r w:rsidRPr="0091378D">
        <w:rPr>
          <w:rFonts w:ascii="Arial" w:hAnsi="Arial" w:cs="Arial"/>
          <w:i/>
          <w:sz w:val="22"/>
          <w:szCs w:val="22"/>
        </w:rPr>
        <w:t>Superannuation Industry (Supervision) Act 1993</w:t>
      </w:r>
      <w:r w:rsidRPr="0091378D">
        <w:rPr>
          <w:rFonts w:ascii="Arial" w:hAnsi="Arial" w:cs="Arial"/>
          <w:sz w:val="22"/>
          <w:szCs w:val="22"/>
        </w:rPr>
        <w:t xml:space="preserve"> DETERMINE </w:t>
      </w:r>
      <w:r w:rsidR="0039717A">
        <w:rPr>
          <w:rFonts w:ascii="Arial" w:hAnsi="Arial" w:cs="Arial"/>
          <w:sz w:val="22"/>
          <w:szCs w:val="22"/>
        </w:rPr>
        <w:t>the prudential standard</w:t>
      </w:r>
      <w:r w:rsidR="002D0FEC" w:rsidRPr="0091378D">
        <w:rPr>
          <w:rFonts w:ascii="Arial" w:hAnsi="Arial" w:cs="Arial"/>
          <w:sz w:val="22"/>
          <w:szCs w:val="22"/>
        </w:rPr>
        <w:t>,</w:t>
      </w:r>
      <w:r w:rsidRPr="0091378D">
        <w:rPr>
          <w:rFonts w:ascii="Arial" w:hAnsi="Arial" w:cs="Arial"/>
          <w:sz w:val="22"/>
          <w:szCs w:val="22"/>
        </w:rPr>
        <w:t xml:space="preserve"> which applies to all RSE licensees.</w:t>
      </w:r>
    </w:p>
    <w:p w14:paraId="60AAA07E" w14:textId="77777777" w:rsidR="001E6369" w:rsidRPr="0091378D" w:rsidRDefault="001E6369" w:rsidP="001E6369">
      <w:pPr>
        <w:pStyle w:val="IntroTo"/>
        <w:spacing w:before="240" w:after="120"/>
        <w:ind w:left="0" w:firstLine="0"/>
        <w:jc w:val="both"/>
        <w:rPr>
          <w:rFonts w:ascii="Arial" w:hAnsi="Arial" w:cs="Arial"/>
          <w:sz w:val="22"/>
          <w:szCs w:val="22"/>
        </w:rPr>
      </w:pPr>
      <w:r w:rsidRPr="0091378D">
        <w:rPr>
          <w:rFonts w:ascii="Arial" w:hAnsi="Arial" w:cs="Arial"/>
          <w:sz w:val="22"/>
          <w:szCs w:val="22"/>
        </w:rPr>
        <w:lastRenderedPageBreak/>
        <w:t>This instrument commences on 1 January 2024.</w:t>
      </w:r>
    </w:p>
    <w:p w14:paraId="0CDBF4CB" w14:textId="77777777" w:rsidR="001E6369" w:rsidRPr="0091378D" w:rsidRDefault="001E6369" w:rsidP="001E6369">
      <w:pPr>
        <w:pStyle w:val="IntroTo"/>
        <w:ind w:left="0" w:firstLine="0"/>
        <w:jc w:val="both"/>
        <w:rPr>
          <w:rFonts w:ascii="Arial" w:hAnsi="Arial" w:cs="Arial"/>
          <w:sz w:val="22"/>
          <w:szCs w:val="22"/>
        </w:rPr>
      </w:pPr>
    </w:p>
    <w:p w14:paraId="6D4ABC40" w14:textId="2932CDF3" w:rsidR="001E6369" w:rsidRPr="0091378D" w:rsidRDefault="001E6369" w:rsidP="001E6369">
      <w:pPr>
        <w:pStyle w:val="IntroTo"/>
        <w:jc w:val="both"/>
        <w:rPr>
          <w:rFonts w:ascii="Arial" w:hAnsi="Arial" w:cs="Arial"/>
          <w:sz w:val="22"/>
          <w:szCs w:val="22"/>
        </w:rPr>
      </w:pPr>
      <w:r w:rsidRPr="0091378D">
        <w:rPr>
          <w:rFonts w:ascii="Arial" w:hAnsi="Arial" w:cs="Arial"/>
          <w:sz w:val="22"/>
          <w:szCs w:val="22"/>
        </w:rPr>
        <w:t xml:space="preserve">Dated: </w:t>
      </w:r>
      <w:sdt>
        <w:sdtPr>
          <w:rPr>
            <w:rFonts w:ascii="Arial" w:hAnsi="Arial" w:cs="Arial"/>
            <w:sz w:val="22"/>
            <w:szCs w:val="22"/>
          </w:rPr>
          <w:alias w:val="Approval date"/>
          <w:tag w:val="APRAApprovalDate"/>
          <w:id w:val="-805078090"/>
          <w:placeholder>
            <w:docPart w:val="4E26D3E651B6472FB454FE8AFAFED8E2"/>
          </w:placeholder>
          <w:dataBinding w:prefixMappings="xmlns:ns0='http://schemas.microsoft.com/office/2006/metadata/properties' xmlns:ns1='http://www.w3.org/2001/XMLSchema-instance' xmlns:ns2='http://schemas.microsoft.com/office/infopath/2007/PartnerControls' xmlns:ns3='814d62cb-2db6-4c25-ab62-b9075facbc11' xmlns:ns4='http://schemas.microsoft.com/sharepoint/v3' " w:xpath="/ns0:properties[1]/documentManagement[1]/ns3:APRAApprovalDate[1]" w:storeItemID="{CC66208C-89EA-450E-BA15-444249069C72}"/>
          <w:date w:fullDate="2023-09-28T00:00:00Z">
            <w:dateFormat w:val="d MMMM yyyy"/>
            <w:lid w:val="en-AU"/>
            <w:storeMappedDataAs w:val="dateTime"/>
            <w:calendar w:val="gregorian"/>
          </w:date>
        </w:sdtPr>
        <w:sdtEndPr/>
        <w:sdtContent>
          <w:r w:rsidR="00DE6765">
            <w:rPr>
              <w:rFonts w:ascii="Arial" w:hAnsi="Arial" w:cs="Arial"/>
              <w:sz w:val="22"/>
              <w:szCs w:val="22"/>
            </w:rPr>
            <w:t>28 September 2023</w:t>
          </w:r>
        </w:sdtContent>
      </w:sdt>
    </w:p>
    <w:p w14:paraId="6724DF67" w14:textId="77777777" w:rsidR="001E6369" w:rsidRPr="0091378D" w:rsidRDefault="001E6369" w:rsidP="001E6369">
      <w:pPr>
        <w:pStyle w:val="IntroTo"/>
        <w:jc w:val="both"/>
        <w:rPr>
          <w:rFonts w:ascii="Arial" w:hAnsi="Arial" w:cs="Arial"/>
          <w:b/>
          <w:sz w:val="22"/>
          <w:szCs w:val="22"/>
          <w:highlight w:val="yellow"/>
        </w:rPr>
      </w:pPr>
    </w:p>
    <w:p w14:paraId="0C9B71E0" w14:textId="77777777" w:rsidR="001E6369" w:rsidRPr="0091378D" w:rsidRDefault="001E6369" w:rsidP="001E6369">
      <w:pPr>
        <w:pStyle w:val="IntroTo"/>
        <w:rPr>
          <w:rFonts w:ascii="Arial" w:hAnsi="Arial" w:cs="Arial"/>
          <w:sz w:val="22"/>
          <w:szCs w:val="22"/>
        </w:rPr>
      </w:pPr>
    </w:p>
    <w:p w14:paraId="426C50BA" w14:textId="77777777" w:rsidR="001E6369" w:rsidRPr="0091378D" w:rsidRDefault="001E6369" w:rsidP="001E6369">
      <w:pPr>
        <w:pStyle w:val="IntroTo"/>
        <w:rPr>
          <w:rFonts w:ascii="Arial" w:hAnsi="Arial" w:cs="Arial"/>
          <w:sz w:val="22"/>
          <w:szCs w:val="22"/>
        </w:rPr>
      </w:pPr>
    </w:p>
    <w:p w14:paraId="5061CBCE" w14:textId="36A7CB00" w:rsidR="001E6369" w:rsidRPr="0091378D" w:rsidRDefault="008C3F96" w:rsidP="001E6369">
      <w:pPr>
        <w:spacing w:after="0"/>
        <w:jc w:val="both"/>
        <w:rPr>
          <w:rFonts w:ascii="Arial" w:hAnsi="Arial" w:cs="Arial"/>
          <w:sz w:val="22"/>
          <w:szCs w:val="22"/>
        </w:rPr>
      </w:pPr>
      <w:r>
        <w:rPr>
          <w:rFonts w:ascii="Arial" w:hAnsi="Arial" w:cs="Arial"/>
          <w:sz w:val="22"/>
          <w:szCs w:val="22"/>
        </w:rPr>
        <w:t>John Lonsdale</w:t>
      </w:r>
      <w:r w:rsidR="001E6369" w:rsidRPr="0091378D">
        <w:rPr>
          <w:rFonts w:ascii="Arial" w:hAnsi="Arial" w:cs="Arial"/>
          <w:sz w:val="22"/>
          <w:szCs w:val="22"/>
        </w:rPr>
        <w:t xml:space="preserve"> </w:t>
      </w:r>
    </w:p>
    <w:p w14:paraId="52D48EAD" w14:textId="24DA4D9D" w:rsidR="001E6369" w:rsidRPr="0091378D" w:rsidRDefault="008C3F96" w:rsidP="001E6369">
      <w:pPr>
        <w:spacing w:after="0"/>
        <w:jc w:val="both"/>
        <w:rPr>
          <w:rFonts w:ascii="Arial" w:hAnsi="Arial" w:cs="Arial"/>
          <w:sz w:val="22"/>
          <w:szCs w:val="22"/>
        </w:rPr>
      </w:pPr>
      <w:r>
        <w:rPr>
          <w:rFonts w:ascii="Arial" w:hAnsi="Arial" w:cs="Arial"/>
          <w:sz w:val="22"/>
          <w:szCs w:val="22"/>
        </w:rPr>
        <w:t>Chair</w:t>
      </w:r>
    </w:p>
    <w:p w14:paraId="3F7271D1" w14:textId="77777777" w:rsidR="001E6369" w:rsidRPr="0091378D" w:rsidRDefault="001E6369" w:rsidP="001E6369">
      <w:pPr>
        <w:spacing w:after="0"/>
        <w:jc w:val="both"/>
        <w:rPr>
          <w:rFonts w:ascii="Arial" w:hAnsi="Arial" w:cs="Arial"/>
          <w:sz w:val="22"/>
          <w:szCs w:val="22"/>
        </w:rPr>
      </w:pPr>
      <w:r w:rsidRPr="0091378D">
        <w:rPr>
          <w:rFonts w:ascii="Arial" w:hAnsi="Arial" w:cs="Arial"/>
          <w:sz w:val="22"/>
          <w:szCs w:val="22"/>
        </w:rPr>
        <w:t>APRA</w:t>
      </w:r>
    </w:p>
    <w:p w14:paraId="24853924" w14:textId="77777777" w:rsidR="001E6369" w:rsidRPr="001C4557" w:rsidRDefault="001E6369" w:rsidP="001E6369">
      <w:pPr>
        <w:spacing w:before="480" w:after="0"/>
        <w:jc w:val="both"/>
        <w:rPr>
          <w:rFonts w:ascii="Arial" w:hAnsi="Arial" w:cs="Arial"/>
          <w:b/>
          <w:sz w:val="22"/>
          <w:szCs w:val="22"/>
        </w:rPr>
      </w:pPr>
      <w:r w:rsidRPr="001C4557">
        <w:rPr>
          <w:rFonts w:ascii="Arial" w:hAnsi="Arial" w:cs="Arial"/>
          <w:b/>
          <w:sz w:val="22"/>
          <w:szCs w:val="22"/>
        </w:rPr>
        <w:t>Interpretation</w:t>
      </w:r>
    </w:p>
    <w:p w14:paraId="25EDE83B" w14:textId="77777777" w:rsidR="001E6369" w:rsidRPr="001C4557" w:rsidRDefault="001E6369" w:rsidP="001E6369">
      <w:pPr>
        <w:spacing w:before="120" w:after="0"/>
        <w:jc w:val="both"/>
        <w:rPr>
          <w:rFonts w:ascii="Arial" w:hAnsi="Arial" w:cs="Arial"/>
          <w:sz w:val="22"/>
          <w:szCs w:val="22"/>
        </w:rPr>
      </w:pPr>
      <w:r w:rsidRPr="001C4557">
        <w:rPr>
          <w:rFonts w:ascii="Arial" w:hAnsi="Arial" w:cs="Arial"/>
          <w:sz w:val="22"/>
          <w:szCs w:val="22"/>
        </w:rPr>
        <w:t>In this Determination:</w:t>
      </w:r>
    </w:p>
    <w:p w14:paraId="32F2E438" w14:textId="77777777" w:rsidR="001E6369" w:rsidRPr="001C4557" w:rsidRDefault="001E6369" w:rsidP="001E6369">
      <w:pPr>
        <w:pStyle w:val="introto0"/>
        <w:shd w:val="clear" w:color="auto" w:fill="FFFFFF"/>
        <w:spacing w:before="120" w:beforeAutospacing="0" w:after="120" w:afterAutospacing="0"/>
        <w:jc w:val="both"/>
        <w:rPr>
          <w:rFonts w:ascii="Arial" w:hAnsi="Arial" w:cs="Arial"/>
          <w:color w:val="000000"/>
          <w:sz w:val="22"/>
          <w:szCs w:val="22"/>
        </w:rPr>
      </w:pPr>
      <w:r w:rsidRPr="001C4557">
        <w:rPr>
          <w:rFonts w:ascii="Arial" w:hAnsi="Arial" w:cs="Arial"/>
          <w:b/>
          <w:i/>
          <w:color w:val="000000"/>
          <w:sz w:val="22"/>
          <w:szCs w:val="22"/>
        </w:rPr>
        <w:t>ADI</w:t>
      </w:r>
      <w:r w:rsidRPr="001C4557">
        <w:rPr>
          <w:rFonts w:ascii="Arial" w:hAnsi="Arial" w:cs="Arial"/>
          <w:b/>
          <w:bCs/>
          <w:i/>
          <w:iCs/>
          <w:color w:val="000000"/>
          <w:sz w:val="22"/>
          <w:szCs w:val="22"/>
        </w:rPr>
        <w:t xml:space="preserve"> </w:t>
      </w:r>
      <w:r w:rsidRPr="001C4557">
        <w:rPr>
          <w:rFonts w:ascii="Arial" w:hAnsi="Arial" w:cs="Arial"/>
          <w:color w:val="000000"/>
          <w:sz w:val="22"/>
          <w:szCs w:val="22"/>
        </w:rPr>
        <w:t xml:space="preserve">has the meaning given in section 5 of the </w:t>
      </w:r>
      <w:r w:rsidRPr="001C4557">
        <w:rPr>
          <w:rFonts w:ascii="Arial" w:hAnsi="Arial" w:cs="Arial"/>
          <w:i/>
          <w:color w:val="000000"/>
          <w:sz w:val="22"/>
          <w:szCs w:val="22"/>
        </w:rPr>
        <w:t>Banking Act 1959</w:t>
      </w:r>
      <w:r w:rsidRPr="001C4557">
        <w:rPr>
          <w:rFonts w:ascii="Arial" w:hAnsi="Arial" w:cs="Arial"/>
          <w:color w:val="000000"/>
          <w:sz w:val="22"/>
          <w:szCs w:val="22"/>
        </w:rPr>
        <w:t>.</w:t>
      </w:r>
    </w:p>
    <w:p w14:paraId="2B2A0872" w14:textId="77777777" w:rsidR="001E6369" w:rsidRPr="001C4557" w:rsidRDefault="001E6369" w:rsidP="001E6369">
      <w:pPr>
        <w:pStyle w:val="introto0"/>
        <w:shd w:val="clear" w:color="auto" w:fill="FFFFFF"/>
        <w:spacing w:before="120" w:beforeAutospacing="0" w:after="120" w:afterAutospacing="0"/>
        <w:jc w:val="both"/>
        <w:rPr>
          <w:rFonts w:ascii="Arial" w:hAnsi="Arial" w:cs="Arial"/>
          <w:color w:val="000000"/>
          <w:sz w:val="22"/>
          <w:szCs w:val="22"/>
        </w:rPr>
      </w:pPr>
      <w:r w:rsidRPr="001C4557">
        <w:rPr>
          <w:rFonts w:ascii="Arial" w:hAnsi="Arial" w:cs="Arial"/>
          <w:b/>
          <w:i/>
          <w:color w:val="000000"/>
          <w:sz w:val="22"/>
          <w:szCs w:val="22"/>
        </w:rPr>
        <w:t>APRA</w:t>
      </w:r>
      <w:r w:rsidRPr="001C4557">
        <w:rPr>
          <w:rFonts w:ascii="Arial" w:hAnsi="Arial" w:cs="Arial"/>
          <w:color w:val="000000"/>
          <w:sz w:val="22"/>
          <w:szCs w:val="22"/>
        </w:rPr>
        <w:t xml:space="preserve"> means the Australian Prudential Regulation Authority.</w:t>
      </w:r>
    </w:p>
    <w:p w14:paraId="0692B790" w14:textId="77777777" w:rsidR="001E6369" w:rsidRPr="001C4557" w:rsidRDefault="001E6369" w:rsidP="001E6369">
      <w:pPr>
        <w:shd w:val="clear" w:color="auto" w:fill="FFFFFF"/>
        <w:spacing w:before="120" w:after="120"/>
        <w:jc w:val="both"/>
        <w:rPr>
          <w:rFonts w:ascii="Arial" w:hAnsi="Arial" w:cs="Arial"/>
          <w:sz w:val="22"/>
          <w:szCs w:val="22"/>
        </w:rPr>
      </w:pPr>
      <w:r w:rsidRPr="001346D4">
        <w:rPr>
          <w:rFonts w:ascii="Arial" w:hAnsi="Arial" w:cs="Arial"/>
          <w:b/>
          <w:i/>
          <w:sz w:val="22"/>
          <w:szCs w:val="22"/>
        </w:rPr>
        <w:t>authorised banking NOHC</w:t>
      </w:r>
      <w:r w:rsidRPr="001C4557">
        <w:rPr>
          <w:rFonts w:ascii="Arial" w:hAnsi="Arial" w:cs="Arial"/>
          <w:sz w:val="22"/>
          <w:szCs w:val="22"/>
        </w:rPr>
        <w:t xml:space="preserve"> has the meaning given to the expression </w:t>
      </w:r>
      <w:r w:rsidRPr="001C4557">
        <w:rPr>
          <w:rFonts w:ascii="Arial" w:hAnsi="Arial" w:cs="Arial"/>
          <w:i/>
          <w:sz w:val="22"/>
          <w:szCs w:val="22"/>
        </w:rPr>
        <w:t>authorised NOHC</w:t>
      </w:r>
      <w:r w:rsidRPr="001C4557">
        <w:rPr>
          <w:rFonts w:ascii="Arial" w:hAnsi="Arial" w:cs="Arial"/>
          <w:sz w:val="22"/>
          <w:szCs w:val="22"/>
        </w:rPr>
        <w:t xml:space="preserve"> in section 5 of the </w:t>
      </w:r>
      <w:r w:rsidRPr="001C4557">
        <w:rPr>
          <w:rFonts w:ascii="Arial" w:hAnsi="Arial" w:cs="Arial"/>
          <w:i/>
          <w:sz w:val="22"/>
          <w:szCs w:val="22"/>
        </w:rPr>
        <w:t>Banking Act</w:t>
      </w:r>
      <w:r w:rsidRPr="001C4557">
        <w:rPr>
          <w:rFonts w:ascii="Arial" w:hAnsi="Arial" w:cs="Arial"/>
          <w:sz w:val="22"/>
          <w:szCs w:val="22"/>
        </w:rPr>
        <w:t xml:space="preserve"> </w:t>
      </w:r>
      <w:r w:rsidRPr="001C4557">
        <w:rPr>
          <w:rFonts w:ascii="Arial" w:hAnsi="Arial" w:cs="Arial"/>
          <w:i/>
          <w:sz w:val="22"/>
          <w:szCs w:val="22"/>
        </w:rPr>
        <w:t>1959</w:t>
      </w:r>
      <w:r w:rsidRPr="001C4557">
        <w:rPr>
          <w:rFonts w:ascii="Arial" w:hAnsi="Arial" w:cs="Arial"/>
          <w:sz w:val="22"/>
          <w:szCs w:val="22"/>
        </w:rPr>
        <w:t>.</w:t>
      </w:r>
    </w:p>
    <w:p w14:paraId="4598C0FD" w14:textId="77777777" w:rsidR="001E6369" w:rsidRPr="001C4557" w:rsidRDefault="001E6369" w:rsidP="001E6369">
      <w:pPr>
        <w:shd w:val="clear" w:color="auto" w:fill="FFFFFF"/>
        <w:spacing w:before="120" w:after="120"/>
        <w:jc w:val="both"/>
        <w:rPr>
          <w:rFonts w:ascii="Arial" w:hAnsi="Arial" w:cs="Arial"/>
          <w:sz w:val="22"/>
          <w:szCs w:val="22"/>
        </w:rPr>
      </w:pPr>
      <w:r w:rsidRPr="0046768C">
        <w:rPr>
          <w:rFonts w:ascii="Arial" w:hAnsi="Arial" w:cs="Arial"/>
          <w:b/>
          <w:i/>
          <w:sz w:val="22"/>
          <w:szCs w:val="22"/>
        </w:rPr>
        <w:t xml:space="preserve">authorised insurance </w:t>
      </w:r>
      <w:r w:rsidRPr="0046768C">
        <w:rPr>
          <w:rFonts w:ascii="Arial" w:hAnsi="Arial" w:cs="Arial"/>
          <w:b/>
          <w:bCs/>
          <w:i/>
          <w:iCs/>
          <w:sz w:val="22"/>
          <w:szCs w:val="22"/>
        </w:rPr>
        <w:t>NOHC</w:t>
      </w:r>
      <w:r w:rsidRPr="001C4557">
        <w:rPr>
          <w:rFonts w:ascii="Arial" w:hAnsi="Arial" w:cs="Arial"/>
          <w:b/>
          <w:sz w:val="22"/>
          <w:szCs w:val="22"/>
        </w:rPr>
        <w:t> </w:t>
      </w:r>
      <w:r w:rsidRPr="001C4557">
        <w:rPr>
          <w:rFonts w:ascii="Arial" w:hAnsi="Arial" w:cs="Arial"/>
          <w:sz w:val="22"/>
          <w:szCs w:val="22"/>
        </w:rPr>
        <w:t xml:space="preserve">has the meaning given to the expression </w:t>
      </w:r>
      <w:r w:rsidRPr="001C4557">
        <w:rPr>
          <w:rFonts w:ascii="Arial" w:hAnsi="Arial" w:cs="Arial"/>
          <w:i/>
          <w:sz w:val="22"/>
          <w:szCs w:val="22"/>
        </w:rPr>
        <w:t>authorised NOHC</w:t>
      </w:r>
      <w:r w:rsidRPr="001C4557">
        <w:rPr>
          <w:rFonts w:ascii="Arial" w:hAnsi="Arial" w:cs="Arial"/>
          <w:sz w:val="22"/>
          <w:szCs w:val="22"/>
        </w:rPr>
        <w:t xml:space="preserve"> in subsection 3(1) of the </w:t>
      </w:r>
      <w:r w:rsidRPr="001C4557">
        <w:rPr>
          <w:rFonts w:ascii="Arial" w:hAnsi="Arial" w:cs="Arial"/>
          <w:i/>
          <w:sz w:val="22"/>
          <w:szCs w:val="22"/>
        </w:rPr>
        <w:t>Insurance Act</w:t>
      </w:r>
      <w:r w:rsidRPr="001C4557">
        <w:rPr>
          <w:rFonts w:ascii="Arial" w:hAnsi="Arial" w:cs="Arial"/>
          <w:sz w:val="22"/>
          <w:szCs w:val="22"/>
        </w:rPr>
        <w:t> </w:t>
      </w:r>
      <w:r w:rsidRPr="001C4557">
        <w:rPr>
          <w:rFonts w:ascii="Arial" w:hAnsi="Arial" w:cs="Arial"/>
          <w:i/>
          <w:sz w:val="22"/>
          <w:szCs w:val="22"/>
        </w:rPr>
        <w:t>1973</w:t>
      </w:r>
      <w:r w:rsidRPr="001C4557">
        <w:rPr>
          <w:rFonts w:ascii="Arial" w:hAnsi="Arial" w:cs="Arial"/>
          <w:sz w:val="22"/>
          <w:szCs w:val="22"/>
        </w:rPr>
        <w:t>.</w:t>
      </w:r>
    </w:p>
    <w:p w14:paraId="10309429" w14:textId="77777777" w:rsidR="001E6369" w:rsidRPr="001C4557" w:rsidRDefault="001E6369" w:rsidP="001E6369">
      <w:pPr>
        <w:shd w:val="clear" w:color="auto" w:fill="FFFFFF"/>
        <w:spacing w:before="120" w:after="120"/>
        <w:ind w:left="720" w:hanging="720"/>
        <w:jc w:val="both"/>
        <w:rPr>
          <w:rFonts w:ascii="Arial" w:hAnsi="Arial" w:cs="Arial"/>
          <w:sz w:val="22"/>
          <w:szCs w:val="22"/>
        </w:rPr>
      </w:pPr>
      <w:r w:rsidRPr="001C4557">
        <w:rPr>
          <w:rFonts w:ascii="Arial" w:hAnsi="Arial" w:cs="Arial"/>
          <w:b/>
          <w:i/>
          <w:sz w:val="22"/>
          <w:szCs w:val="22"/>
        </w:rPr>
        <w:t>friendly society</w:t>
      </w:r>
      <w:r w:rsidRPr="001C4557">
        <w:rPr>
          <w:rFonts w:ascii="Arial" w:hAnsi="Arial" w:cs="Arial"/>
          <w:sz w:val="22"/>
          <w:szCs w:val="22"/>
        </w:rPr>
        <w:t xml:space="preserve"> has the meaning given in section 16C of the </w:t>
      </w:r>
      <w:r w:rsidRPr="001C4557">
        <w:rPr>
          <w:rFonts w:ascii="Arial" w:hAnsi="Arial" w:cs="Arial"/>
          <w:i/>
          <w:sz w:val="22"/>
          <w:szCs w:val="22"/>
        </w:rPr>
        <w:t>Life Insurance Act 1995</w:t>
      </w:r>
      <w:r w:rsidRPr="001C4557">
        <w:rPr>
          <w:rFonts w:ascii="Arial" w:hAnsi="Arial" w:cs="Arial"/>
          <w:sz w:val="22"/>
          <w:szCs w:val="22"/>
        </w:rPr>
        <w:t>.</w:t>
      </w:r>
    </w:p>
    <w:p w14:paraId="32B0B21A" w14:textId="77777777" w:rsidR="001E6369" w:rsidRPr="001C4557" w:rsidRDefault="001E6369" w:rsidP="001E6369">
      <w:pPr>
        <w:shd w:val="clear" w:color="auto" w:fill="FFFFFF"/>
        <w:spacing w:before="120" w:after="120"/>
        <w:ind w:left="720" w:hanging="720"/>
        <w:jc w:val="both"/>
        <w:rPr>
          <w:rFonts w:ascii="Arial" w:hAnsi="Arial" w:cs="Arial"/>
          <w:sz w:val="22"/>
          <w:szCs w:val="22"/>
        </w:rPr>
      </w:pPr>
      <w:r w:rsidRPr="001C4557">
        <w:rPr>
          <w:rFonts w:ascii="Arial" w:hAnsi="Arial" w:cs="Arial"/>
          <w:b/>
          <w:i/>
          <w:sz w:val="22"/>
          <w:szCs w:val="22"/>
        </w:rPr>
        <w:t>general insurer</w:t>
      </w:r>
      <w:r w:rsidRPr="001C4557">
        <w:rPr>
          <w:rFonts w:ascii="Arial" w:hAnsi="Arial" w:cs="Arial"/>
          <w:b/>
          <w:bCs/>
          <w:sz w:val="22"/>
          <w:szCs w:val="22"/>
        </w:rPr>
        <w:t xml:space="preserve"> </w:t>
      </w:r>
      <w:r w:rsidRPr="001C4557">
        <w:rPr>
          <w:rFonts w:ascii="Arial" w:hAnsi="Arial" w:cs="Arial"/>
          <w:sz w:val="22"/>
          <w:szCs w:val="22"/>
        </w:rPr>
        <w:t xml:space="preserve">has the meaning given in section 11 of the </w:t>
      </w:r>
      <w:r w:rsidRPr="001C4557">
        <w:rPr>
          <w:rFonts w:ascii="Arial" w:hAnsi="Arial" w:cs="Arial"/>
          <w:i/>
          <w:sz w:val="22"/>
          <w:szCs w:val="22"/>
        </w:rPr>
        <w:t>Insurance Act 1973</w:t>
      </w:r>
      <w:r w:rsidRPr="001C4557">
        <w:rPr>
          <w:rFonts w:ascii="Arial" w:hAnsi="Arial" w:cs="Arial"/>
          <w:sz w:val="22"/>
          <w:szCs w:val="22"/>
        </w:rPr>
        <w:t>.</w:t>
      </w:r>
    </w:p>
    <w:p w14:paraId="1FACCB22" w14:textId="78804CC4" w:rsidR="000A2485" w:rsidRPr="000B051F" w:rsidRDefault="000A2485" w:rsidP="000B051F">
      <w:pPr>
        <w:shd w:val="clear" w:color="auto" w:fill="FFFFFF"/>
        <w:spacing w:before="120" w:after="120"/>
        <w:jc w:val="both"/>
        <w:rPr>
          <w:rFonts w:ascii="Arial" w:hAnsi="Arial" w:cs="Arial"/>
          <w:sz w:val="22"/>
          <w:szCs w:val="22"/>
        </w:rPr>
      </w:pPr>
      <w:r>
        <w:rPr>
          <w:rFonts w:ascii="Arial" w:hAnsi="Arial" w:cs="Arial"/>
          <w:b/>
          <w:i/>
          <w:sz w:val="22"/>
          <w:szCs w:val="22"/>
        </w:rPr>
        <w:t>Level 2 insurance group</w:t>
      </w:r>
      <w:r w:rsidR="000B051F">
        <w:rPr>
          <w:rFonts w:ascii="Arial" w:hAnsi="Arial" w:cs="Arial"/>
          <w:i/>
          <w:sz w:val="22"/>
          <w:szCs w:val="22"/>
        </w:rPr>
        <w:t xml:space="preserve"> </w:t>
      </w:r>
      <w:r w:rsidR="000B051F">
        <w:rPr>
          <w:rFonts w:ascii="Arial" w:hAnsi="Arial" w:cs="Arial"/>
          <w:sz w:val="22"/>
          <w:szCs w:val="22"/>
        </w:rPr>
        <w:t xml:space="preserve">has the meaning given in </w:t>
      </w:r>
      <w:r w:rsidR="000B051F" w:rsidRPr="00C347C5">
        <w:rPr>
          <w:rFonts w:ascii="Arial" w:hAnsi="Arial" w:cs="Arial"/>
          <w:i/>
          <w:sz w:val="22"/>
          <w:szCs w:val="22"/>
        </w:rPr>
        <w:t>Prudential Standard GPS 001 Definitions</w:t>
      </w:r>
      <w:r w:rsidR="00C347C5">
        <w:rPr>
          <w:rFonts w:ascii="Arial" w:hAnsi="Arial" w:cs="Arial"/>
          <w:i/>
          <w:sz w:val="22"/>
          <w:szCs w:val="22"/>
        </w:rPr>
        <w:t>.</w:t>
      </w:r>
    </w:p>
    <w:p w14:paraId="3FAD54AE" w14:textId="00AD9EAC" w:rsidR="001E6369" w:rsidRPr="001C4557" w:rsidRDefault="001E6369" w:rsidP="001E6369">
      <w:pPr>
        <w:shd w:val="clear" w:color="auto" w:fill="FFFFFF"/>
        <w:spacing w:before="120" w:after="120"/>
        <w:ind w:left="720" w:hanging="720"/>
        <w:jc w:val="both"/>
        <w:rPr>
          <w:rFonts w:ascii="Arial" w:hAnsi="Arial" w:cs="Arial"/>
          <w:sz w:val="22"/>
          <w:szCs w:val="22"/>
        </w:rPr>
      </w:pPr>
      <w:r w:rsidRPr="001C4557">
        <w:rPr>
          <w:rFonts w:ascii="Arial" w:hAnsi="Arial" w:cs="Arial"/>
          <w:b/>
          <w:i/>
          <w:sz w:val="22"/>
          <w:szCs w:val="22"/>
        </w:rPr>
        <w:t>life company</w:t>
      </w:r>
      <w:r w:rsidRPr="001C4557">
        <w:rPr>
          <w:rFonts w:ascii="Arial" w:hAnsi="Arial" w:cs="Arial"/>
          <w:sz w:val="22"/>
          <w:szCs w:val="22"/>
        </w:rPr>
        <w:t xml:space="preserve"> has the meaning given in the Schedule to the </w:t>
      </w:r>
      <w:r w:rsidRPr="001C4557">
        <w:rPr>
          <w:rFonts w:ascii="Arial" w:hAnsi="Arial" w:cs="Arial"/>
          <w:i/>
          <w:sz w:val="22"/>
          <w:szCs w:val="22"/>
        </w:rPr>
        <w:t>Life Insurance Act 1995</w:t>
      </w:r>
      <w:r w:rsidRPr="001C4557">
        <w:rPr>
          <w:rFonts w:ascii="Arial" w:hAnsi="Arial" w:cs="Arial"/>
          <w:sz w:val="22"/>
          <w:szCs w:val="22"/>
        </w:rPr>
        <w:t>.</w:t>
      </w:r>
    </w:p>
    <w:p w14:paraId="17B35866" w14:textId="2CA2BF1E" w:rsidR="00DA6843" w:rsidRPr="004162C5" w:rsidRDefault="004162C5" w:rsidP="001E6369">
      <w:pPr>
        <w:shd w:val="clear" w:color="auto" w:fill="FFFFFF"/>
        <w:spacing w:before="120" w:after="120"/>
        <w:jc w:val="both"/>
        <w:rPr>
          <w:rFonts w:ascii="Arial" w:hAnsi="Arial" w:cs="Arial"/>
          <w:sz w:val="22"/>
          <w:szCs w:val="22"/>
        </w:rPr>
      </w:pPr>
      <w:r>
        <w:rPr>
          <w:rFonts w:ascii="Arial" w:hAnsi="Arial" w:cs="Arial"/>
          <w:b/>
          <w:i/>
          <w:sz w:val="22"/>
          <w:szCs w:val="22"/>
        </w:rPr>
        <w:t xml:space="preserve">parent entity </w:t>
      </w:r>
      <w:r>
        <w:rPr>
          <w:rFonts w:ascii="Arial" w:hAnsi="Arial" w:cs="Arial"/>
          <w:sz w:val="22"/>
          <w:szCs w:val="22"/>
        </w:rPr>
        <w:t xml:space="preserve">has </w:t>
      </w:r>
      <w:r w:rsidR="00756409">
        <w:rPr>
          <w:rFonts w:ascii="Arial" w:hAnsi="Arial" w:cs="Arial"/>
          <w:sz w:val="22"/>
          <w:szCs w:val="22"/>
        </w:rPr>
        <w:t xml:space="preserve">the meaning given in </w:t>
      </w:r>
      <w:r w:rsidR="00756409" w:rsidRPr="00BE7EF9">
        <w:rPr>
          <w:rFonts w:ascii="Arial" w:hAnsi="Arial" w:cs="Arial"/>
          <w:i/>
          <w:sz w:val="22"/>
          <w:szCs w:val="22"/>
        </w:rPr>
        <w:t>Prudential Standard GPS 001 Definitions</w:t>
      </w:r>
      <w:r w:rsidR="00756409" w:rsidRPr="00756409">
        <w:rPr>
          <w:rFonts w:ascii="Arial" w:hAnsi="Arial" w:cs="Arial"/>
          <w:sz w:val="22"/>
          <w:szCs w:val="22"/>
        </w:rPr>
        <w:t>.</w:t>
      </w:r>
    </w:p>
    <w:p w14:paraId="77966AC1" w14:textId="45B3A450" w:rsidR="001E6369" w:rsidRPr="001C4557" w:rsidRDefault="001E6369" w:rsidP="001E6369">
      <w:pPr>
        <w:shd w:val="clear" w:color="auto" w:fill="FFFFFF"/>
        <w:spacing w:before="120" w:after="120"/>
        <w:jc w:val="both"/>
        <w:rPr>
          <w:rFonts w:ascii="Arial" w:hAnsi="Arial" w:cs="Arial"/>
          <w:sz w:val="22"/>
          <w:szCs w:val="22"/>
        </w:rPr>
      </w:pPr>
      <w:r w:rsidRPr="001C4557">
        <w:rPr>
          <w:rFonts w:ascii="Arial" w:hAnsi="Arial" w:cs="Arial"/>
          <w:b/>
          <w:i/>
          <w:sz w:val="22"/>
          <w:szCs w:val="22"/>
        </w:rPr>
        <w:t>private health insurer</w:t>
      </w:r>
      <w:r w:rsidRPr="001C4557">
        <w:rPr>
          <w:rFonts w:ascii="Arial" w:hAnsi="Arial" w:cs="Arial"/>
          <w:sz w:val="22"/>
          <w:szCs w:val="22"/>
        </w:rPr>
        <w:t xml:space="preserve"> has the meaning given in section 4 of</w:t>
      </w:r>
      <w:r w:rsidR="00421399">
        <w:rPr>
          <w:rFonts w:ascii="Arial" w:hAnsi="Arial" w:cs="Arial"/>
          <w:sz w:val="22"/>
          <w:szCs w:val="22"/>
        </w:rPr>
        <w:t xml:space="preserve"> the</w:t>
      </w:r>
      <w:r w:rsidRPr="001C4557">
        <w:rPr>
          <w:rFonts w:ascii="Arial" w:hAnsi="Arial" w:cs="Arial"/>
          <w:sz w:val="22"/>
          <w:szCs w:val="22"/>
        </w:rPr>
        <w:t xml:space="preserve"> </w:t>
      </w:r>
      <w:r w:rsidRPr="001C4557">
        <w:rPr>
          <w:rFonts w:ascii="Arial" w:hAnsi="Arial" w:cs="Arial"/>
          <w:i/>
          <w:sz w:val="22"/>
          <w:szCs w:val="22"/>
        </w:rPr>
        <w:t>Private Health Insurance (Prudential Supervision) Act 2015.</w:t>
      </w:r>
    </w:p>
    <w:p w14:paraId="608A5C42" w14:textId="315E7EE3" w:rsidR="001E6369" w:rsidRPr="001C4557" w:rsidRDefault="001E6369" w:rsidP="001E6369">
      <w:pPr>
        <w:shd w:val="clear" w:color="auto" w:fill="FFFFFF"/>
        <w:spacing w:before="120" w:after="120"/>
        <w:jc w:val="both"/>
        <w:rPr>
          <w:rFonts w:ascii="Arial" w:hAnsi="Arial" w:cs="Arial"/>
          <w:sz w:val="22"/>
          <w:szCs w:val="22"/>
        </w:rPr>
      </w:pPr>
      <w:r w:rsidRPr="001C4557">
        <w:rPr>
          <w:rFonts w:ascii="Arial" w:hAnsi="Arial" w:cs="Arial"/>
          <w:b/>
          <w:i/>
          <w:sz w:val="22"/>
          <w:szCs w:val="22"/>
        </w:rPr>
        <w:t>registered</w:t>
      </w:r>
      <w:r w:rsidRPr="001C4557" w:rsidDel="009F4578">
        <w:rPr>
          <w:rFonts w:ascii="Arial" w:hAnsi="Arial" w:cs="Arial"/>
          <w:b/>
          <w:i/>
          <w:sz w:val="22"/>
          <w:szCs w:val="22"/>
        </w:rPr>
        <w:t xml:space="preserve"> </w:t>
      </w:r>
      <w:r w:rsidRPr="001C4557">
        <w:rPr>
          <w:rFonts w:ascii="Arial" w:hAnsi="Arial" w:cs="Arial"/>
          <w:b/>
          <w:i/>
          <w:sz w:val="22"/>
          <w:szCs w:val="22"/>
        </w:rPr>
        <w:t>NOHC</w:t>
      </w:r>
      <w:r w:rsidRPr="001C4557">
        <w:rPr>
          <w:rFonts w:ascii="Arial" w:hAnsi="Arial" w:cs="Arial"/>
          <w:sz w:val="22"/>
          <w:szCs w:val="22"/>
        </w:rPr>
        <w:t xml:space="preserve"> has the meaning given in the Schedule to the </w:t>
      </w:r>
      <w:r w:rsidRPr="001C4557">
        <w:rPr>
          <w:rFonts w:ascii="Arial" w:hAnsi="Arial" w:cs="Arial"/>
          <w:i/>
          <w:sz w:val="22"/>
          <w:szCs w:val="22"/>
        </w:rPr>
        <w:t>Life Insurance Act 1995</w:t>
      </w:r>
      <w:r w:rsidRPr="001C4557">
        <w:rPr>
          <w:rFonts w:ascii="Arial" w:hAnsi="Arial" w:cs="Arial"/>
          <w:sz w:val="22"/>
          <w:szCs w:val="22"/>
        </w:rPr>
        <w:t>.</w:t>
      </w:r>
    </w:p>
    <w:p w14:paraId="37022A6A" w14:textId="0C9041CF" w:rsidR="001E6369" w:rsidRDefault="001E6369" w:rsidP="001E6369">
      <w:pPr>
        <w:shd w:val="clear" w:color="auto" w:fill="FFFFFF"/>
        <w:spacing w:before="120" w:after="120"/>
        <w:jc w:val="both"/>
        <w:rPr>
          <w:rFonts w:ascii="Arial" w:hAnsi="Arial" w:cs="Arial"/>
          <w:sz w:val="22"/>
          <w:szCs w:val="22"/>
          <w:shd w:val="clear" w:color="auto" w:fill="FFFFFF"/>
        </w:rPr>
      </w:pPr>
      <w:r w:rsidRPr="001C4557">
        <w:rPr>
          <w:rFonts w:ascii="Arial" w:hAnsi="Arial" w:cs="Arial"/>
          <w:b/>
          <w:i/>
          <w:sz w:val="22"/>
          <w:szCs w:val="22"/>
          <w:shd w:val="clear" w:color="auto" w:fill="FFFFFF"/>
        </w:rPr>
        <w:t>RSE licensee</w:t>
      </w:r>
      <w:r w:rsidRPr="001C4557">
        <w:rPr>
          <w:rFonts w:ascii="Arial" w:hAnsi="Arial" w:cs="Arial"/>
          <w:sz w:val="22"/>
          <w:szCs w:val="22"/>
          <w:shd w:val="clear" w:color="auto" w:fill="FFFFFF"/>
        </w:rPr>
        <w:t xml:space="preserve"> has the meaning given in </w:t>
      </w:r>
      <w:r w:rsidR="0039717A">
        <w:rPr>
          <w:rFonts w:ascii="Arial" w:hAnsi="Arial" w:cs="Arial"/>
          <w:sz w:val="22"/>
          <w:szCs w:val="22"/>
          <w:shd w:val="clear" w:color="auto" w:fill="FFFFFF"/>
        </w:rPr>
        <w:t>sub</w:t>
      </w:r>
      <w:r w:rsidRPr="001C4557">
        <w:rPr>
          <w:rFonts w:ascii="Arial" w:hAnsi="Arial" w:cs="Arial"/>
          <w:sz w:val="22"/>
          <w:szCs w:val="22"/>
          <w:shd w:val="clear" w:color="auto" w:fill="FFFFFF"/>
        </w:rPr>
        <w:t>section 10</w:t>
      </w:r>
      <w:r w:rsidR="0039717A">
        <w:rPr>
          <w:rFonts w:ascii="Arial" w:hAnsi="Arial" w:cs="Arial"/>
          <w:sz w:val="22"/>
          <w:szCs w:val="22"/>
          <w:shd w:val="clear" w:color="auto" w:fill="FFFFFF"/>
        </w:rPr>
        <w:t>(1)</w:t>
      </w:r>
      <w:r w:rsidRPr="001C4557">
        <w:rPr>
          <w:rFonts w:ascii="Arial" w:hAnsi="Arial" w:cs="Arial"/>
          <w:sz w:val="22"/>
          <w:szCs w:val="22"/>
          <w:shd w:val="clear" w:color="auto" w:fill="FFFFFF"/>
        </w:rPr>
        <w:t xml:space="preserve"> of the </w:t>
      </w:r>
      <w:r w:rsidRPr="001C4557">
        <w:rPr>
          <w:rFonts w:ascii="Arial" w:hAnsi="Arial" w:cs="Arial"/>
          <w:i/>
          <w:sz w:val="22"/>
          <w:szCs w:val="22"/>
          <w:shd w:val="clear" w:color="auto" w:fill="FFFFFF"/>
        </w:rPr>
        <w:t>Superannuation Industry (Supervision) Act 1993</w:t>
      </w:r>
      <w:r w:rsidRPr="001C4557">
        <w:rPr>
          <w:rFonts w:ascii="Arial" w:hAnsi="Arial" w:cs="Arial"/>
          <w:sz w:val="22"/>
          <w:szCs w:val="22"/>
          <w:shd w:val="clear" w:color="auto" w:fill="FFFFFF"/>
        </w:rPr>
        <w:t>.</w:t>
      </w:r>
    </w:p>
    <w:p w14:paraId="312179FD" w14:textId="47A84663" w:rsidR="00EC1056" w:rsidRDefault="00EC1056" w:rsidP="001E6369">
      <w:pPr>
        <w:shd w:val="clear" w:color="auto" w:fill="FFFFFF"/>
        <w:spacing w:before="120" w:after="120"/>
        <w:jc w:val="both"/>
        <w:rPr>
          <w:rFonts w:ascii="Arial" w:hAnsi="Arial" w:cs="Arial"/>
          <w:sz w:val="22"/>
          <w:szCs w:val="22"/>
          <w:shd w:val="clear" w:color="auto" w:fill="FFFFFF"/>
        </w:rPr>
      </w:pPr>
      <w:r w:rsidRPr="00EC1056">
        <w:rPr>
          <w:rFonts w:ascii="Arial" w:hAnsi="Arial" w:cs="Arial"/>
          <w:b/>
          <w:i/>
          <w:sz w:val="22"/>
          <w:szCs w:val="22"/>
          <w:shd w:val="clear" w:color="auto" w:fill="FFFFFF"/>
        </w:rPr>
        <w:t>subsidiary</w:t>
      </w:r>
      <w:r>
        <w:rPr>
          <w:rFonts w:ascii="Arial" w:hAnsi="Arial" w:cs="Arial"/>
          <w:sz w:val="22"/>
          <w:szCs w:val="22"/>
          <w:shd w:val="clear" w:color="auto" w:fill="FFFFFF"/>
        </w:rPr>
        <w:t xml:space="preserve"> has the meaning given in </w:t>
      </w:r>
      <w:r w:rsidRPr="00EC1056">
        <w:rPr>
          <w:rFonts w:ascii="Arial" w:hAnsi="Arial" w:cs="Arial"/>
          <w:i/>
          <w:sz w:val="22"/>
          <w:szCs w:val="22"/>
          <w:shd w:val="clear" w:color="auto" w:fill="FFFFFF"/>
        </w:rPr>
        <w:t>Prudential Standard GPS 001 Definitions</w:t>
      </w:r>
      <w:r>
        <w:rPr>
          <w:rFonts w:ascii="Arial" w:hAnsi="Arial" w:cs="Arial"/>
          <w:sz w:val="22"/>
          <w:szCs w:val="22"/>
          <w:shd w:val="clear" w:color="auto" w:fill="FFFFFF"/>
        </w:rPr>
        <w:t xml:space="preserve">. </w:t>
      </w:r>
    </w:p>
    <w:p w14:paraId="6D3E54F7" w14:textId="0287CCD1" w:rsidR="0085731F" w:rsidRPr="0085731F" w:rsidRDefault="00CD3CD4" w:rsidP="001E6369">
      <w:pPr>
        <w:shd w:val="clear" w:color="auto" w:fill="FFFFFF"/>
        <w:spacing w:before="120" w:after="120"/>
        <w:jc w:val="both"/>
        <w:rPr>
          <w:rFonts w:ascii="Arial" w:hAnsi="Arial" w:cs="Arial"/>
          <w:b/>
          <w:sz w:val="22"/>
          <w:szCs w:val="22"/>
        </w:rPr>
      </w:pPr>
      <w:r>
        <w:rPr>
          <w:rFonts w:ascii="Arial" w:hAnsi="Arial" w:cs="Arial"/>
          <w:b/>
          <w:i/>
          <w:sz w:val="22"/>
          <w:szCs w:val="22"/>
        </w:rPr>
        <w:t xml:space="preserve">the </w:t>
      </w:r>
      <w:r w:rsidR="0085731F">
        <w:rPr>
          <w:rFonts w:ascii="Arial" w:hAnsi="Arial" w:cs="Arial"/>
          <w:b/>
          <w:i/>
          <w:sz w:val="22"/>
          <w:szCs w:val="22"/>
        </w:rPr>
        <w:t xml:space="preserve">prudential </w:t>
      </w:r>
      <w:r w:rsidR="0085731F" w:rsidRPr="00087ED9">
        <w:rPr>
          <w:rFonts w:ascii="Arial" w:hAnsi="Arial" w:cs="Arial"/>
          <w:b/>
          <w:i/>
          <w:sz w:val="22"/>
          <w:szCs w:val="22"/>
        </w:rPr>
        <w:t xml:space="preserve">standard </w:t>
      </w:r>
      <w:r w:rsidR="0085731F" w:rsidRPr="00DB5A18">
        <w:rPr>
          <w:rFonts w:ascii="Arial" w:hAnsi="Arial" w:cs="Arial"/>
          <w:sz w:val="22"/>
          <w:szCs w:val="22"/>
        </w:rPr>
        <w:t>means</w:t>
      </w:r>
      <w:r w:rsidR="0085731F" w:rsidRPr="00087ED9">
        <w:rPr>
          <w:rFonts w:ascii="Arial" w:hAnsi="Arial" w:cs="Arial"/>
          <w:i/>
          <w:sz w:val="22"/>
          <w:szCs w:val="22"/>
        </w:rPr>
        <w:t xml:space="preserve"> Prudential Standard CPS 511 Remuneration </w:t>
      </w:r>
      <w:r w:rsidR="0085731F" w:rsidRPr="00DB5A18">
        <w:rPr>
          <w:rFonts w:ascii="Arial" w:hAnsi="Arial" w:cs="Arial"/>
          <w:sz w:val="22"/>
          <w:szCs w:val="22"/>
        </w:rPr>
        <w:t>in the form set out in the Schedule.</w:t>
      </w:r>
      <w:r w:rsidR="0085731F" w:rsidRPr="00DB5A18">
        <w:rPr>
          <w:rFonts w:ascii="Arial" w:hAnsi="Arial" w:cs="Arial"/>
          <w:b/>
          <w:sz w:val="22"/>
          <w:szCs w:val="22"/>
        </w:rPr>
        <w:t xml:space="preserve"> </w:t>
      </w:r>
    </w:p>
    <w:p w14:paraId="5988FE18" w14:textId="77777777" w:rsidR="001E6369" w:rsidRPr="00B2091D" w:rsidRDefault="001E6369" w:rsidP="001E6369">
      <w:pPr>
        <w:rPr>
          <w:rFonts w:asciiTheme="majorHAnsi" w:hAnsiTheme="majorHAnsi" w:cstheme="majorHAnsi"/>
        </w:rPr>
      </w:pPr>
    </w:p>
    <w:p w14:paraId="7788D64D" w14:textId="77777777" w:rsidR="001E6369" w:rsidRPr="00B2091D" w:rsidRDefault="001E6369" w:rsidP="001E6369">
      <w:pPr>
        <w:jc w:val="both"/>
        <w:rPr>
          <w:rFonts w:asciiTheme="majorHAnsi" w:eastAsia="Times New Roman" w:hAnsiTheme="majorHAnsi" w:cstheme="majorHAnsi"/>
          <w:sz w:val="32"/>
          <w:szCs w:val="32"/>
        </w:rPr>
      </w:pPr>
      <w:r w:rsidRPr="00B2091D">
        <w:rPr>
          <w:rFonts w:asciiTheme="majorHAnsi" w:hAnsiTheme="majorHAnsi" w:cstheme="majorHAnsi"/>
          <w:b/>
          <w:sz w:val="32"/>
          <w:szCs w:val="32"/>
        </w:rPr>
        <w:t xml:space="preserve">Schedule </w:t>
      </w:r>
    </w:p>
    <w:p w14:paraId="57924447" w14:textId="402ECFDB" w:rsidR="001E6369" w:rsidRPr="002C6A91" w:rsidRDefault="001E6369" w:rsidP="001E6369">
      <w:pPr>
        <w:jc w:val="both"/>
        <w:rPr>
          <w:rFonts w:ascii="Arial" w:hAnsi="Arial" w:cs="Arial"/>
          <w:sz w:val="22"/>
          <w:szCs w:val="22"/>
        </w:rPr>
      </w:pPr>
      <w:r w:rsidRPr="002C6A91">
        <w:rPr>
          <w:rFonts w:ascii="Arial" w:hAnsi="Arial" w:cs="Arial"/>
          <w:i/>
          <w:sz w:val="22"/>
          <w:szCs w:val="22"/>
          <w:shd w:val="clear" w:color="auto" w:fill="FFFFFF"/>
        </w:rPr>
        <w:t xml:space="preserve">Prudential Standard CPS </w:t>
      </w:r>
      <w:r w:rsidR="009F6CC2">
        <w:rPr>
          <w:rFonts w:ascii="Arial" w:hAnsi="Arial" w:cs="Arial"/>
          <w:i/>
          <w:sz w:val="22"/>
          <w:szCs w:val="22"/>
          <w:shd w:val="clear" w:color="auto" w:fill="FFFFFF"/>
        </w:rPr>
        <w:t>511</w:t>
      </w:r>
      <w:r w:rsidRPr="002C6A91">
        <w:rPr>
          <w:rFonts w:ascii="Arial" w:hAnsi="Arial" w:cs="Arial"/>
          <w:i/>
          <w:sz w:val="22"/>
          <w:szCs w:val="22"/>
          <w:shd w:val="clear" w:color="auto" w:fill="FFFFFF"/>
        </w:rPr>
        <w:t xml:space="preserve"> </w:t>
      </w:r>
      <w:r w:rsidR="009F6CC2">
        <w:rPr>
          <w:rFonts w:ascii="Arial" w:hAnsi="Arial" w:cs="Arial"/>
          <w:i/>
          <w:sz w:val="22"/>
          <w:szCs w:val="22"/>
          <w:shd w:val="clear" w:color="auto" w:fill="FFFFFF"/>
        </w:rPr>
        <w:t>Remuneration</w:t>
      </w:r>
      <w:r w:rsidRPr="002C6A91">
        <w:rPr>
          <w:rFonts w:ascii="Arial" w:hAnsi="Arial" w:cs="Arial"/>
          <w:i/>
          <w:sz w:val="22"/>
          <w:szCs w:val="22"/>
          <w:shd w:val="clear" w:color="auto" w:fill="FFFFFF"/>
        </w:rPr>
        <w:t xml:space="preserve"> </w:t>
      </w:r>
      <w:r w:rsidRPr="002C6A91">
        <w:rPr>
          <w:rFonts w:ascii="Arial" w:hAnsi="Arial" w:cs="Arial"/>
          <w:sz w:val="22"/>
          <w:szCs w:val="22"/>
          <w:shd w:val="clear" w:color="auto" w:fill="FFFFFF"/>
        </w:rPr>
        <w:t>comprises the document commencing on the following page.</w:t>
      </w:r>
    </w:p>
    <w:p w14:paraId="5957D892" w14:textId="21523ED2" w:rsidR="000B639D" w:rsidRDefault="000B639D">
      <w:pPr>
        <w:sectPr w:rsidR="000B639D" w:rsidSect="00327ACD">
          <w:headerReference w:type="even" r:id="rId12"/>
          <w:headerReference w:type="first" r:id="rId13"/>
          <w:pgSz w:w="11906" w:h="16838" w:code="9"/>
          <w:pgMar w:top="1440" w:right="1797" w:bottom="1440" w:left="1797" w:header="709" w:footer="709" w:gutter="0"/>
          <w:pgNumType w:start="1"/>
          <w:cols w:space="708"/>
          <w:docGrid w:linePitch="360"/>
        </w:sectPr>
      </w:pPr>
    </w:p>
    <w:p w14:paraId="35A35BF2" w14:textId="27B648CC" w:rsidR="00C20D94" w:rsidRDefault="00C20D94"/>
    <w:p w14:paraId="570B14B3" w14:textId="77777777" w:rsidR="003B52EB" w:rsidRDefault="008E1AAF" w:rsidP="00D557BC">
      <w:pPr>
        <w:spacing w:after="0"/>
        <w:jc w:val="both"/>
      </w:pPr>
      <w:r>
        <w:t xml:space="preserve"> </w:t>
      </w:r>
      <w:r w:rsidR="00506079">
        <w:rPr>
          <w:noProof/>
        </w:rPr>
        <w:drawing>
          <wp:inline distT="0" distB="0" distL="0" distR="0" wp14:anchorId="5EAEC0DE" wp14:editId="40E85BBD">
            <wp:extent cx="1485900" cy="1095375"/>
            <wp:effectExtent l="0" t="0" r="0" b="9525"/>
            <wp:docPr id="2" name="Picture 2"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monwealth Coat of Ar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5F26034C" w14:textId="77777777" w:rsidR="00DA3651" w:rsidRPr="00A50775" w:rsidRDefault="006A6A52" w:rsidP="00D557BC">
      <w:pPr>
        <w:pStyle w:val="Title"/>
        <w:jc w:val="both"/>
      </w:pPr>
      <w:bookmarkStart w:id="3" w:name="_Toc326937696"/>
      <w:r w:rsidRPr="001F6B8D">
        <w:t>Prudential</w:t>
      </w:r>
      <w:r w:rsidRPr="009B6212">
        <w:t xml:space="preserve"> Standard</w:t>
      </w:r>
      <w:r w:rsidRPr="00E07F40">
        <w:rPr>
          <w:rStyle w:val="PSNofieldtext"/>
        </w:rPr>
        <w:t xml:space="preserve"> </w:t>
      </w:r>
      <w:r w:rsidR="00721319">
        <w:rPr>
          <w:rStyle w:val="PSNofieldtext"/>
        </w:rPr>
        <w:t>CPS 511</w:t>
      </w:r>
    </w:p>
    <w:bookmarkEnd w:id="3"/>
    <w:p w14:paraId="50596681" w14:textId="77777777" w:rsidR="00BC2D08" w:rsidRPr="00110917" w:rsidRDefault="00721319" w:rsidP="00D557BC">
      <w:pPr>
        <w:pStyle w:val="Title"/>
        <w:jc w:val="both"/>
      </w:pPr>
      <w:r w:rsidRPr="002421E5">
        <w:rPr>
          <w:rStyle w:val="PSNamefieldtext"/>
        </w:rPr>
        <w:t>Remuneration</w:t>
      </w:r>
    </w:p>
    <w:tbl>
      <w:tblPr>
        <w:tblStyle w:val="TableGrid"/>
        <w:tblW w:w="0" w:type="auto"/>
        <w:shd w:val="clear" w:color="auto" w:fill="DDDDDD"/>
        <w:tblLook w:val="04A0" w:firstRow="1" w:lastRow="0" w:firstColumn="1" w:lastColumn="0" w:noHBand="0" w:noVBand="1"/>
      </w:tblPr>
      <w:tblGrid>
        <w:gridCol w:w="8302"/>
      </w:tblGrid>
      <w:tr w:rsidR="0048511B" w14:paraId="10639A50" w14:textId="77777777" w:rsidTr="00DF539C">
        <w:tc>
          <w:tcPr>
            <w:tcW w:w="8528" w:type="dxa"/>
            <w:shd w:val="clear" w:color="auto" w:fill="DDDDDD"/>
          </w:tcPr>
          <w:p w14:paraId="10BE5249" w14:textId="77777777" w:rsidR="003C46D7" w:rsidRPr="00B37C03" w:rsidRDefault="003C46D7" w:rsidP="00D557BC">
            <w:pPr>
              <w:pStyle w:val="BoxHeading"/>
              <w:jc w:val="both"/>
            </w:pPr>
            <w:r w:rsidRPr="00B37C03">
              <w:t xml:space="preserve">Objectives and key requirements of this Prudential </w:t>
            </w:r>
            <w:r w:rsidRPr="00173A04">
              <w:t>Standard</w:t>
            </w:r>
          </w:p>
          <w:p w14:paraId="706771D0" w14:textId="77777777" w:rsidR="00721319" w:rsidRDefault="00721319" w:rsidP="00D557BC">
            <w:pPr>
              <w:jc w:val="both"/>
              <w:rPr>
                <w:color w:val="000000"/>
              </w:rPr>
            </w:pPr>
            <w:r>
              <w:t xml:space="preserve">The objective of this Prudential Standard is </w:t>
            </w:r>
            <w:r w:rsidR="00D56851">
              <w:rPr>
                <w:rFonts w:asciiTheme="minorHAnsi" w:eastAsiaTheme="minorEastAsia" w:hAnsiTheme="minorHAnsi" w:cstheme="minorHAnsi"/>
                <w:kern w:val="24"/>
              </w:rPr>
              <w:t xml:space="preserve">to ensure that </w:t>
            </w:r>
            <w:r w:rsidR="00D56851" w:rsidRPr="00F4258B">
              <w:t xml:space="preserve">APRA-regulated </w:t>
            </w:r>
            <w:r w:rsidR="00D56851">
              <w:t>entities</w:t>
            </w:r>
            <w:r w:rsidR="00D56851" w:rsidRPr="00F4258B">
              <w:t xml:space="preserve"> </w:t>
            </w:r>
            <w:r w:rsidR="00D56851">
              <w:t xml:space="preserve">maintain remuneration arrangements </w:t>
            </w:r>
            <w:r w:rsidR="00E014E8">
              <w:t>which</w:t>
            </w:r>
            <w:r w:rsidR="00D56851">
              <w:t xml:space="preserve"> </w:t>
            </w:r>
            <w:r w:rsidR="00D066C3">
              <w:t xml:space="preserve">appropriately </w:t>
            </w:r>
            <w:r w:rsidR="00D56851">
              <w:t>incentivise individuals to prudently manage the risks they are responsible for, and that there are appropriate consequences for poor risk outcomes</w:t>
            </w:r>
            <w:r>
              <w:rPr>
                <w:rFonts w:asciiTheme="minorHAnsi" w:eastAsiaTheme="minorEastAsia" w:hAnsiTheme="minorHAnsi" w:cstheme="minorHAnsi"/>
                <w:kern w:val="24"/>
              </w:rPr>
              <w:t>.</w:t>
            </w:r>
            <w:r w:rsidR="00861733">
              <w:rPr>
                <w:color w:val="000000"/>
              </w:rPr>
              <w:t xml:space="preserve"> </w:t>
            </w:r>
            <w:bookmarkStart w:id="4" w:name="paragraphsub"/>
            <w:bookmarkEnd w:id="4"/>
          </w:p>
          <w:p w14:paraId="4B863AB6" w14:textId="77777777" w:rsidR="00721319" w:rsidRPr="00A23EBB" w:rsidRDefault="00721319" w:rsidP="00D557BC">
            <w:pPr>
              <w:jc w:val="both"/>
              <w:rPr>
                <w:rFonts w:asciiTheme="minorHAnsi" w:hAnsiTheme="minorHAnsi" w:cstheme="minorHAnsi"/>
              </w:rPr>
            </w:pPr>
            <w:r w:rsidRPr="00A23EBB">
              <w:rPr>
                <w:rFonts w:asciiTheme="minorHAnsi" w:hAnsiTheme="minorHAnsi" w:cstheme="minorHAnsi"/>
              </w:rPr>
              <w:t xml:space="preserve">The key requirements of this Prudential Standard </w:t>
            </w:r>
            <w:r>
              <w:rPr>
                <w:rFonts w:asciiTheme="minorHAnsi" w:hAnsiTheme="minorHAnsi" w:cstheme="minorHAnsi"/>
              </w:rPr>
              <w:t>are that</w:t>
            </w:r>
            <w:r w:rsidRPr="00A23EBB">
              <w:rPr>
                <w:rFonts w:asciiTheme="minorHAnsi" w:hAnsiTheme="minorHAnsi" w:cstheme="minorHAnsi"/>
              </w:rPr>
              <w:t>:</w:t>
            </w:r>
          </w:p>
          <w:p w14:paraId="77874596" w14:textId="77777777" w:rsidR="00721319" w:rsidRPr="004C78A2" w:rsidRDefault="00721319" w:rsidP="00D557BC">
            <w:pPr>
              <w:pStyle w:val="BoxBullet"/>
              <w:jc w:val="both"/>
              <w:rPr>
                <w:rFonts w:asciiTheme="minorHAnsi" w:eastAsiaTheme="minorEastAsia" w:hAnsiTheme="minorHAnsi" w:cstheme="minorHAnsi"/>
                <w:kern w:val="24"/>
              </w:rPr>
            </w:pPr>
            <w:r>
              <w:rPr>
                <w:rFonts w:eastAsiaTheme="minorEastAsia"/>
              </w:rPr>
              <w:t>t</w:t>
            </w:r>
            <w:r w:rsidRPr="00C546CB">
              <w:rPr>
                <w:rFonts w:eastAsiaTheme="minorEastAsia"/>
              </w:rPr>
              <w:t>he</w:t>
            </w:r>
            <w:r w:rsidRPr="0056690F">
              <w:rPr>
                <w:rFonts w:eastAsiaTheme="minorEastAsia"/>
              </w:rPr>
              <w:t xml:space="preserve"> </w:t>
            </w:r>
            <w:r w:rsidRPr="000A78C4">
              <w:rPr>
                <w:rFonts w:eastAsiaTheme="minorEastAsia"/>
              </w:rPr>
              <w:t xml:space="preserve">Board of an APRA-regulated </w:t>
            </w:r>
            <w:r w:rsidRPr="00061121">
              <w:rPr>
                <w:rFonts w:eastAsiaTheme="minorEastAsia"/>
              </w:rPr>
              <w:t xml:space="preserve">entity </w:t>
            </w:r>
            <w:r w:rsidR="00D35B2C">
              <w:rPr>
                <w:rFonts w:eastAsiaTheme="minorEastAsia"/>
              </w:rPr>
              <w:t>is</w:t>
            </w:r>
            <w:r w:rsidRPr="00061121">
              <w:rPr>
                <w:rFonts w:eastAsiaTheme="minorEastAsia"/>
              </w:rPr>
              <w:t xml:space="preserve"> responsible for the remuneration framework and its effective application</w:t>
            </w:r>
            <w:r w:rsidR="004E3405">
              <w:rPr>
                <w:rFonts w:eastAsiaTheme="minorEastAsia"/>
              </w:rPr>
              <w:t>,</w:t>
            </w:r>
            <w:r w:rsidR="00785324">
              <w:rPr>
                <w:rFonts w:eastAsiaTheme="minorEastAsia"/>
              </w:rPr>
              <w:t xml:space="preserve"> </w:t>
            </w:r>
            <w:r w:rsidR="00785324" w:rsidRPr="00550701">
              <w:rPr>
                <w:rFonts w:eastAsiaTheme="minorEastAsia"/>
              </w:rPr>
              <w:t>consistent with</w:t>
            </w:r>
            <w:r w:rsidR="00D56851" w:rsidRPr="00550701">
              <w:t xml:space="preserve"> </w:t>
            </w:r>
            <w:r w:rsidR="00D56851">
              <w:t>the</w:t>
            </w:r>
            <w:r w:rsidR="00D56851" w:rsidRPr="005E2F85">
              <w:t xml:space="preserve"> size, business mix and complexity</w:t>
            </w:r>
            <w:r w:rsidR="00D56851">
              <w:t xml:space="preserve"> of the entity</w:t>
            </w:r>
            <w:r>
              <w:rPr>
                <w:rFonts w:eastAsiaTheme="minorEastAsia"/>
              </w:rPr>
              <w:t>;</w:t>
            </w:r>
          </w:p>
          <w:p w14:paraId="1B8573CB" w14:textId="77777777" w:rsidR="00721319" w:rsidRPr="004C78A2" w:rsidRDefault="003F7B2C" w:rsidP="00D557BC">
            <w:pPr>
              <w:pStyle w:val="BoxBullet"/>
              <w:jc w:val="both"/>
              <w:rPr>
                <w:rFonts w:asciiTheme="minorHAnsi" w:eastAsiaTheme="minorEastAsia" w:hAnsiTheme="minorHAnsi" w:cstheme="minorHAnsi"/>
                <w:kern w:val="24"/>
              </w:rPr>
            </w:pPr>
            <w:r>
              <w:rPr>
                <w:rFonts w:eastAsia="Calibri"/>
              </w:rPr>
              <w:t xml:space="preserve">an </w:t>
            </w:r>
            <w:r w:rsidR="00721319" w:rsidRPr="00B70D5E">
              <w:rPr>
                <w:rFonts w:eastAsia="Calibri"/>
              </w:rPr>
              <w:t>entit</w:t>
            </w:r>
            <w:r w:rsidR="00D35B2C">
              <w:rPr>
                <w:rFonts w:eastAsia="Calibri"/>
              </w:rPr>
              <w:t>y</w:t>
            </w:r>
            <w:r w:rsidR="00721319" w:rsidRPr="00382F9E">
              <w:rPr>
                <w:rFonts w:eastAsiaTheme="minorEastAsia"/>
              </w:rPr>
              <w:t xml:space="preserve"> </w:t>
            </w:r>
            <w:r w:rsidR="00721319">
              <w:rPr>
                <w:rFonts w:eastAsiaTheme="minorEastAsia"/>
              </w:rPr>
              <w:t xml:space="preserve">must </w:t>
            </w:r>
            <w:r w:rsidR="0029059D">
              <w:rPr>
                <w:rFonts w:eastAsiaTheme="minorEastAsia"/>
              </w:rPr>
              <w:t xml:space="preserve">maintain </w:t>
            </w:r>
            <w:r w:rsidR="00721319" w:rsidRPr="00382F9E">
              <w:rPr>
                <w:rFonts w:eastAsiaTheme="minorEastAsia"/>
              </w:rPr>
              <w:t xml:space="preserve">a remuneration framework </w:t>
            </w:r>
            <w:r w:rsidR="0029059D">
              <w:rPr>
                <w:rFonts w:eastAsiaTheme="minorEastAsia"/>
              </w:rPr>
              <w:t>that promotes effective management of financial and non-financial risks</w:t>
            </w:r>
            <w:r w:rsidR="00721319">
              <w:rPr>
                <w:rFonts w:eastAsiaTheme="minorEastAsia"/>
              </w:rPr>
              <w:t>;</w:t>
            </w:r>
            <w:r w:rsidR="00B41E4A" w:rsidRPr="001F4325">
              <w:rPr>
                <w:rFonts w:eastAsiaTheme="minorEastAsia"/>
              </w:rPr>
              <w:t xml:space="preserve"> </w:t>
            </w:r>
          </w:p>
          <w:p w14:paraId="69B80697" w14:textId="1CCF4EA0" w:rsidR="00B41E4A" w:rsidRPr="001F4325" w:rsidRDefault="00721319" w:rsidP="00D557BC">
            <w:pPr>
              <w:pStyle w:val="BoxBullet"/>
              <w:jc w:val="both"/>
              <w:rPr>
                <w:rFonts w:asciiTheme="minorHAnsi" w:eastAsiaTheme="minorEastAsia" w:hAnsiTheme="minorHAnsi" w:cstheme="minorHAnsi"/>
                <w:kern w:val="24"/>
              </w:rPr>
            </w:pPr>
            <w:r w:rsidRPr="0029059D">
              <w:rPr>
                <w:rFonts w:eastAsia="Calibri"/>
              </w:rPr>
              <w:t>remuneration</w:t>
            </w:r>
            <w:r w:rsidRPr="001F4325">
              <w:rPr>
                <w:rFonts w:eastAsiaTheme="minorEastAsia"/>
              </w:rPr>
              <w:t xml:space="preserve"> outcomes must be commensurate with performance and risk outcomes; </w:t>
            </w:r>
          </w:p>
          <w:p w14:paraId="53E1B282" w14:textId="00D1CAD6" w:rsidR="00B41E4A" w:rsidRPr="007C3E0D" w:rsidRDefault="00D35B2C" w:rsidP="007C3E0D">
            <w:pPr>
              <w:pStyle w:val="ListParagraph"/>
              <w:keepNext/>
              <w:numPr>
                <w:ilvl w:val="0"/>
                <w:numId w:val="7"/>
              </w:numPr>
              <w:spacing w:after="240"/>
              <w:ind w:left="567" w:hanging="567"/>
              <w:contextualSpacing w:val="0"/>
              <w:jc w:val="both"/>
            </w:pPr>
            <w:r>
              <w:rPr>
                <w:rFonts w:eastAsiaTheme="minorEastAsia"/>
              </w:rPr>
              <w:t xml:space="preserve">higher standards must be met for key roles and </w:t>
            </w:r>
            <w:r w:rsidR="00721319" w:rsidRPr="00DB65F8">
              <w:rPr>
                <w:rFonts w:eastAsiaTheme="minorEastAsia"/>
              </w:rPr>
              <w:t>certain large</w:t>
            </w:r>
            <w:r w:rsidR="006D5CBC">
              <w:rPr>
                <w:rFonts w:eastAsiaTheme="minorEastAsia"/>
              </w:rPr>
              <w:t>,</w:t>
            </w:r>
            <w:r w:rsidR="00721319" w:rsidRPr="00DB65F8">
              <w:rPr>
                <w:rFonts w:eastAsiaTheme="minorEastAsia"/>
              </w:rPr>
              <w:t xml:space="preserve"> complex entities</w:t>
            </w:r>
            <w:r w:rsidR="007C3E0D">
              <w:rPr>
                <w:rFonts w:eastAsiaTheme="minorEastAsia"/>
              </w:rPr>
              <w:t>; and</w:t>
            </w:r>
          </w:p>
          <w:p w14:paraId="03984860" w14:textId="28C0DAE6" w:rsidR="007C3E0D" w:rsidRPr="00786CEC" w:rsidRDefault="00E92445" w:rsidP="00D557BC">
            <w:pPr>
              <w:pStyle w:val="ListParagraph"/>
              <w:keepNext/>
              <w:numPr>
                <w:ilvl w:val="0"/>
                <w:numId w:val="7"/>
              </w:numPr>
              <w:ind w:left="567" w:hanging="567"/>
              <w:jc w:val="both"/>
            </w:pPr>
            <w:r>
              <w:rPr>
                <w:rFonts w:eastAsiaTheme="minorEastAsia"/>
              </w:rPr>
              <w:t xml:space="preserve">an </w:t>
            </w:r>
            <w:r w:rsidR="004110FF" w:rsidRPr="00F4258B">
              <w:t xml:space="preserve">APRA-regulated </w:t>
            </w:r>
            <w:r>
              <w:rPr>
                <w:rFonts w:eastAsiaTheme="minorEastAsia"/>
              </w:rPr>
              <w:t xml:space="preserve">entity must make </w:t>
            </w:r>
            <w:r w:rsidR="007417FF">
              <w:t>clear, comprehensive, meaningful, consistent and comparable public disclosures on remuneration.</w:t>
            </w:r>
          </w:p>
          <w:p w14:paraId="148A1566" w14:textId="77777777" w:rsidR="00786CEC" w:rsidRDefault="00786CEC" w:rsidP="00D557BC">
            <w:pPr>
              <w:pStyle w:val="ListParagraph"/>
              <w:keepNext/>
              <w:ind w:left="567"/>
              <w:jc w:val="both"/>
            </w:pPr>
          </w:p>
        </w:tc>
      </w:tr>
    </w:tbl>
    <w:p w14:paraId="5823A1A3" w14:textId="77777777" w:rsidR="00327ACD" w:rsidRDefault="00327ACD">
      <w:pPr>
        <w:rPr>
          <w:rFonts w:asciiTheme="majorHAnsi" w:eastAsiaTheme="majorEastAsia" w:hAnsiTheme="majorHAnsi" w:cstheme="majorBidi"/>
          <w:b/>
          <w:szCs w:val="28"/>
        </w:rPr>
      </w:pPr>
      <w:bookmarkStart w:id="5" w:name="_Toc326676936"/>
      <w:bookmarkStart w:id="6" w:name="_Toc326756341"/>
      <w:bookmarkStart w:id="7" w:name="_Toc256519850"/>
      <w:r>
        <w:br w:type="page"/>
      </w:r>
    </w:p>
    <w:p w14:paraId="69FCDB5B" w14:textId="77777777" w:rsidR="00C6788C" w:rsidRPr="002377C0" w:rsidRDefault="009D467A" w:rsidP="00D557BC">
      <w:pPr>
        <w:pStyle w:val="TOCHeading"/>
        <w:jc w:val="both"/>
      </w:pPr>
      <w:r>
        <w:lastRenderedPageBreak/>
        <w:t>Table of Contents</w:t>
      </w:r>
    </w:p>
    <w:p w14:paraId="3D52DEEC" w14:textId="2FC38677" w:rsidR="005C1B1D" w:rsidRDefault="009B0A33" w:rsidP="007C4EBE">
      <w:pPr>
        <w:pStyle w:val="TOC1"/>
        <w:rPr>
          <w:rFonts w:asciiTheme="minorHAnsi" w:eastAsiaTheme="minorEastAsia" w:hAnsiTheme="minorHAnsi" w:cstheme="minorBidi"/>
          <w:sz w:val="22"/>
          <w:szCs w:val="22"/>
        </w:rPr>
      </w:pPr>
      <w:r>
        <w:rPr>
          <w:rFonts w:ascii="Arial" w:hAnsi="Arial"/>
        </w:rPr>
        <w:fldChar w:fldCharType="begin"/>
      </w:r>
      <w:r w:rsidR="00C6788C" w:rsidRPr="009D467A">
        <w:instrText xml:space="preserve"> TOC \o "</w:instrText>
      </w:r>
      <w:r w:rsidR="00E96B6D">
        <w:instrText>1</w:instrText>
      </w:r>
      <w:r w:rsidR="00C86748">
        <w:instrText>-4</w:instrText>
      </w:r>
      <w:r w:rsidR="00C6788C" w:rsidRPr="009D467A">
        <w:instrText xml:space="preserve">" \h \z \u </w:instrText>
      </w:r>
      <w:r>
        <w:rPr>
          <w:rFonts w:ascii="Arial" w:hAnsi="Arial"/>
        </w:rPr>
        <w:fldChar w:fldCharType="separate"/>
      </w:r>
      <w:hyperlink w:anchor="_Toc102482612" w:history="1">
        <w:r w:rsidR="005C1B1D" w:rsidRPr="00FB1E2D">
          <w:rPr>
            <w:rStyle w:val="Hyperlink"/>
          </w:rPr>
          <w:t>Authority</w:t>
        </w:r>
        <w:r w:rsidR="005C1B1D">
          <w:rPr>
            <w:webHidden/>
          </w:rPr>
          <w:tab/>
        </w:r>
        <w:r w:rsidR="005C1B1D">
          <w:rPr>
            <w:webHidden/>
          </w:rPr>
          <w:fldChar w:fldCharType="begin"/>
        </w:r>
        <w:r w:rsidR="005C1B1D">
          <w:rPr>
            <w:webHidden/>
          </w:rPr>
          <w:instrText xml:space="preserve"> PAGEREF _Toc102482612 \h </w:instrText>
        </w:r>
        <w:r w:rsidR="005C1B1D">
          <w:rPr>
            <w:webHidden/>
          </w:rPr>
        </w:r>
        <w:r w:rsidR="005C1B1D">
          <w:rPr>
            <w:webHidden/>
          </w:rPr>
          <w:fldChar w:fldCharType="separate"/>
        </w:r>
        <w:r w:rsidR="00DE6765">
          <w:rPr>
            <w:webHidden/>
          </w:rPr>
          <w:t>3</w:t>
        </w:r>
        <w:r w:rsidR="005C1B1D">
          <w:rPr>
            <w:webHidden/>
          </w:rPr>
          <w:fldChar w:fldCharType="end"/>
        </w:r>
      </w:hyperlink>
    </w:p>
    <w:p w14:paraId="2F3EE478" w14:textId="0C31D697" w:rsidR="005C1B1D" w:rsidRDefault="00492178" w:rsidP="007C4EBE">
      <w:pPr>
        <w:pStyle w:val="TOC1"/>
        <w:rPr>
          <w:rFonts w:asciiTheme="minorHAnsi" w:eastAsiaTheme="minorEastAsia" w:hAnsiTheme="minorHAnsi" w:cstheme="minorBidi"/>
          <w:sz w:val="22"/>
          <w:szCs w:val="22"/>
        </w:rPr>
      </w:pPr>
      <w:hyperlink w:anchor="_Toc102482613" w:history="1">
        <w:r w:rsidR="005C1B1D" w:rsidRPr="00FB1E2D">
          <w:rPr>
            <w:rStyle w:val="Hyperlink"/>
          </w:rPr>
          <w:t>Application</w:t>
        </w:r>
        <w:r w:rsidR="005C1B1D">
          <w:rPr>
            <w:webHidden/>
          </w:rPr>
          <w:tab/>
        </w:r>
        <w:r w:rsidR="005C1B1D">
          <w:rPr>
            <w:webHidden/>
          </w:rPr>
          <w:fldChar w:fldCharType="begin"/>
        </w:r>
        <w:r w:rsidR="005C1B1D">
          <w:rPr>
            <w:webHidden/>
          </w:rPr>
          <w:instrText xml:space="preserve"> PAGEREF _Toc102482613 \h </w:instrText>
        </w:r>
        <w:r w:rsidR="005C1B1D">
          <w:rPr>
            <w:webHidden/>
          </w:rPr>
        </w:r>
        <w:r w:rsidR="005C1B1D">
          <w:rPr>
            <w:webHidden/>
          </w:rPr>
          <w:fldChar w:fldCharType="separate"/>
        </w:r>
        <w:r w:rsidR="00DE6765">
          <w:rPr>
            <w:webHidden/>
          </w:rPr>
          <w:t>3</w:t>
        </w:r>
        <w:r w:rsidR="005C1B1D">
          <w:rPr>
            <w:webHidden/>
          </w:rPr>
          <w:fldChar w:fldCharType="end"/>
        </w:r>
      </w:hyperlink>
    </w:p>
    <w:p w14:paraId="1ACF962E" w14:textId="3C10695D" w:rsidR="005C1B1D" w:rsidRDefault="00492178" w:rsidP="007C4EBE">
      <w:pPr>
        <w:pStyle w:val="TOC1"/>
        <w:rPr>
          <w:rFonts w:asciiTheme="minorHAnsi" w:eastAsiaTheme="minorEastAsia" w:hAnsiTheme="minorHAnsi" w:cstheme="minorBidi"/>
          <w:sz w:val="22"/>
          <w:szCs w:val="22"/>
        </w:rPr>
      </w:pPr>
      <w:hyperlink w:anchor="_Toc102482614" w:history="1">
        <w:r w:rsidR="005C1B1D" w:rsidRPr="00FB1E2D">
          <w:rPr>
            <w:rStyle w:val="Hyperlink"/>
          </w:rPr>
          <w:t>Interpretation</w:t>
        </w:r>
        <w:r w:rsidR="005C1B1D">
          <w:rPr>
            <w:webHidden/>
          </w:rPr>
          <w:tab/>
        </w:r>
        <w:r w:rsidR="005C1B1D">
          <w:rPr>
            <w:webHidden/>
          </w:rPr>
          <w:fldChar w:fldCharType="begin"/>
        </w:r>
        <w:r w:rsidR="005C1B1D">
          <w:rPr>
            <w:webHidden/>
          </w:rPr>
          <w:instrText xml:space="preserve"> PAGEREF _Toc102482614 \h </w:instrText>
        </w:r>
        <w:r w:rsidR="005C1B1D">
          <w:rPr>
            <w:webHidden/>
          </w:rPr>
        </w:r>
        <w:r w:rsidR="005C1B1D">
          <w:rPr>
            <w:webHidden/>
          </w:rPr>
          <w:fldChar w:fldCharType="separate"/>
        </w:r>
        <w:r w:rsidR="00DE6765">
          <w:rPr>
            <w:webHidden/>
          </w:rPr>
          <w:t>5</w:t>
        </w:r>
        <w:r w:rsidR="005C1B1D">
          <w:rPr>
            <w:webHidden/>
          </w:rPr>
          <w:fldChar w:fldCharType="end"/>
        </w:r>
      </w:hyperlink>
    </w:p>
    <w:p w14:paraId="28C11A3C" w14:textId="0AD844E7" w:rsidR="005C1B1D" w:rsidRDefault="00492178" w:rsidP="007C4EBE">
      <w:pPr>
        <w:pStyle w:val="TOC1"/>
        <w:rPr>
          <w:rFonts w:asciiTheme="minorHAnsi" w:eastAsiaTheme="minorEastAsia" w:hAnsiTheme="minorHAnsi" w:cstheme="minorBidi"/>
          <w:sz w:val="22"/>
          <w:szCs w:val="22"/>
        </w:rPr>
      </w:pPr>
      <w:hyperlink w:anchor="_Toc102482615" w:history="1">
        <w:r w:rsidR="005C1B1D" w:rsidRPr="00FB1E2D">
          <w:rPr>
            <w:rStyle w:val="Hyperlink"/>
          </w:rPr>
          <w:t>Adjustments and exclusions</w:t>
        </w:r>
        <w:r w:rsidR="005C1B1D">
          <w:rPr>
            <w:webHidden/>
          </w:rPr>
          <w:tab/>
        </w:r>
        <w:r w:rsidR="005C1B1D">
          <w:rPr>
            <w:webHidden/>
          </w:rPr>
          <w:fldChar w:fldCharType="begin"/>
        </w:r>
        <w:r w:rsidR="005C1B1D">
          <w:rPr>
            <w:webHidden/>
          </w:rPr>
          <w:instrText xml:space="preserve"> PAGEREF _Toc102482615 \h </w:instrText>
        </w:r>
        <w:r w:rsidR="005C1B1D">
          <w:rPr>
            <w:webHidden/>
          </w:rPr>
        </w:r>
        <w:r w:rsidR="005C1B1D">
          <w:rPr>
            <w:webHidden/>
          </w:rPr>
          <w:fldChar w:fldCharType="separate"/>
        </w:r>
        <w:r w:rsidR="00DE6765">
          <w:rPr>
            <w:webHidden/>
          </w:rPr>
          <w:t>6</w:t>
        </w:r>
        <w:r w:rsidR="005C1B1D">
          <w:rPr>
            <w:webHidden/>
          </w:rPr>
          <w:fldChar w:fldCharType="end"/>
        </w:r>
      </w:hyperlink>
    </w:p>
    <w:p w14:paraId="13183A21" w14:textId="6E955FDB" w:rsidR="005C1B1D" w:rsidRDefault="00492178" w:rsidP="007C4EBE">
      <w:pPr>
        <w:pStyle w:val="TOC1"/>
        <w:rPr>
          <w:rFonts w:asciiTheme="minorHAnsi" w:eastAsiaTheme="minorEastAsia" w:hAnsiTheme="minorHAnsi" w:cstheme="minorBidi"/>
          <w:sz w:val="22"/>
          <w:szCs w:val="22"/>
        </w:rPr>
      </w:pPr>
      <w:hyperlink w:anchor="_Toc102482616" w:history="1">
        <w:r w:rsidR="005C1B1D" w:rsidRPr="00FB1E2D">
          <w:rPr>
            <w:rStyle w:val="Hyperlink"/>
          </w:rPr>
          <w:t>Previous exercise of discretion</w:t>
        </w:r>
        <w:r w:rsidR="005C1B1D">
          <w:rPr>
            <w:webHidden/>
          </w:rPr>
          <w:tab/>
        </w:r>
        <w:r w:rsidR="005C1B1D">
          <w:rPr>
            <w:webHidden/>
          </w:rPr>
          <w:fldChar w:fldCharType="begin"/>
        </w:r>
        <w:r w:rsidR="005C1B1D">
          <w:rPr>
            <w:webHidden/>
          </w:rPr>
          <w:instrText xml:space="preserve"> PAGEREF _Toc102482616 \h </w:instrText>
        </w:r>
        <w:r w:rsidR="005C1B1D">
          <w:rPr>
            <w:webHidden/>
          </w:rPr>
        </w:r>
        <w:r w:rsidR="005C1B1D">
          <w:rPr>
            <w:webHidden/>
          </w:rPr>
          <w:fldChar w:fldCharType="separate"/>
        </w:r>
        <w:r w:rsidR="00DE6765">
          <w:rPr>
            <w:webHidden/>
          </w:rPr>
          <w:t>6</w:t>
        </w:r>
        <w:r w:rsidR="005C1B1D">
          <w:rPr>
            <w:webHidden/>
          </w:rPr>
          <w:fldChar w:fldCharType="end"/>
        </w:r>
      </w:hyperlink>
    </w:p>
    <w:p w14:paraId="237ABEA9" w14:textId="424E1973" w:rsidR="005C1B1D" w:rsidRDefault="00492178" w:rsidP="007C4EBE">
      <w:pPr>
        <w:pStyle w:val="TOC1"/>
        <w:rPr>
          <w:rFonts w:asciiTheme="minorHAnsi" w:eastAsiaTheme="minorEastAsia" w:hAnsiTheme="minorHAnsi" w:cstheme="minorBidi"/>
          <w:sz w:val="22"/>
          <w:szCs w:val="22"/>
        </w:rPr>
      </w:pPr>
      <w:hyperlink w:anchor="_Toc102482617" w:history="1">
        <w:r w:rsidR="005C1B1D" w:rsidRPr="00FB1E2D">
          <w:rPr>
            <w:rStyle w:val="Hyperlink"/>
          </w:rPr>
          <w:t>Definitions</w:t>
        </w:r>
        <w:r w:rsidR="005C1B1D">
          <w:rPr>
            <w:webHidden/>
          </w:rPr>
          <w:tab/>
        </w:r>
        <w:r w:rsidR="005C1B1D">
          <w:rPr>
            <w:webHidden/>
          </w:rPr>
          <w:fldChar w:fldCharType="begin"/>
        </w:r>
        <w:r w:rsidR="005C1B1D">
          <w:rPr>
            <w:webHidden/>
          </w:rPr>
          <w:instrText xml:space="preserve"> PAGEREF _Toc102482617 \h </w:instrText>
        </w:r>
        <w:r w:rsidR="005C1B1D">
          <w:rPr>
            <w:webHidden/>
          </w:rPr>
        </w:r>
        <w:r w:rsidR="005C1B1D">
          <w:rPr>
            <w:webHidden/>
          </w:rPr>
          <w:fldChar w:fldCharType="separate"/>
        </w:r>
        <w:r w:rsidR="00DE6765">
          <w:rPr>
            <w:webHidden/>
          </w:rPr>
          <w:t>6</w:t>
        </w:r>
        <w:r w:rsidR="005C1B1D">
          <w:rPr>
            <w:webHidden/>
          </w:rPr>
          <w:fldChar w:fldCharType="end"/>
        </w:r>
      </w:hyperlink>
    </w:p>
    <w:p w14:paraId="36F1157D" w14:textId="4C163423" w:rsidR="005C1B1D" w:rsidRDefault="00492178" w:rsidP="007C4EBE">
      <w:pPr>
        <w:pStyle w:val="TOC1"/>
        <w:rPr>
          <w:rFonts w:asciiTheme="minorHAnsi" w:eastAsiaTheme="minorEastAsia" w:hAnsiTheme="minorHAnsi" w:cstheme="minorBidi"/>
          <w:sz w:val="22"/>
          <w:szCs w:val="22"/>
        </w:rPr>
      </w:pPr>
      <w:hyperlink w:anchor="_Toc102482618" w:history="1">
        <w:r w:rsidR="005C1B1D" w:rsidRPr="00FB1E2D">
          <w:rPr>
            <w:rStyle w:val="Hyperlink"/>
          </w:rPr>
          <w:t>A. Requirements for SFIs</w:t>
        </w:r>
        <w:r w:rsidR="005C1B1D">
          <w:rPr>
            <w:webHidden/>
          </w:rPr>
          <w:tab/>
        </w:r>
        <w:r w:rsidR="005C1B1D">
          <w:rPr>
            <w:webHidden/>
          </w:rPr>
          <w:fldChar w:fldCharType="begin"/>
        </w:r>
        <w:r w:rsidR="005C1B1D">
          <w:rPr>
            <w:webHidden/>
          </w:rPr>
          <w:instrText xml:space="preserve"> PAGEREF _Toc102482618 \h </w:instrText>
        </w:r>
        <w:r w:rsidR="005C1B1D">
          <w:rPr>
            <w:webHidden/>
          </w:rPr>
        </w:r>
        <w:r w:rsidR="005C1B1D">
          <w:rPr>
            <w:webHidden/>
          </w:rPr>
          <w:fldChar w:fldCharType="separate"/>
        </w:r>
        <w:r w:rsidR="00DE6765">
          <w:rPr>
            <w:webHidden/>
          </w:rPr>
          <w:t>9</w:t>
        </w:r>
        <w:r w:rsidR="005C1B1D">
          <w:rPr>
            <w:webHidden/>
          </w:rPr>
          <w:fldChar w:fldCharType="end"/>
        </w:r>
      </w:hyperlink>
    </w:p>
    <w:p w14:paraId="59D229CF" w14:textId="0F81D4F7" w:rsidR="005C1B1D" w:rsidRDefault="00492178" w:rsidP="007C4EBE">
      <w:pPr>
        <w:pStyle w:val="TOC1"/>
        <w:rPr>
          <w:rFonts w:asciiTheme="minorHAnsi" w:eastAsiaTheme="minorEastAsia" w:hAnsiTheme="minorHAnsi" w:cstheme="minorBidi"/>
          <w:sz w:val="22"/>
          <w:szCs w:val="22"/>
        </w:rPr>
      </w:pPr>
      <w:hyperlink w:anchor="_Toc102482619" w:history="1">
        <w:r w:rsidR="005C1B1D" w:rsidRPr="00FB1E2D">
          <w:rPr>
            <w:rStyle w:val="Hyperlink"/>
          </w:rPr>
          <w:t>Remuneration framework</w:t>
        </w:r>
        <w:r w:rsidR="005C1B1D">
          <w:rPr>
            <w:webHidden/>
          </w:rPr>
          <w:tab/>
        </w:r>
        <w:r w:rsidR="005C1B1D">
          <w:rPr>
            <w:webHidden/>
          </w:rPr>
          <w:fldChar w:fldCharType="begin"/>
        </w:r>
        <w:r w:rsidR="005C1B1D">
          <w:rPr>
            <w:webHidden/>
          </w:rPr>
          <w:instrText xml:space="preserve"> PAGEREF _Toc102482619 \h </w:instrText>
        </w:r>
        <w:r w:rsidR="005C1B1D">
          <w:rPr>
            <w:webHidden/>
          </w:rPr>
        </w:r>
        <w:r w:rsidR="005C1B1D">
          <w:rPr>
            <w:webHidden/>
          </w:rPr>
          <w:fldChar w:fldCharType="separate"/>
        </w:r>
        <w:r w:rsidR="00DE6765">
          <w:rPr>
            <w:webHidden/>
          </w:rPr>
          <w:t>9</w:t>
        </w:r>
        <w:r w:rsidR="005C1B1D">
          <w:rPr>
            <w:webHidden/>
          </w:rPr>
          <w:fldChar w:fldCharType="end"/>
        </w:r>
      </w:hyperlink>
    </w:p>
    <w:p w14:paraId="6E9ADC63" w14:textId="125C93ED" w:rsidR="005C1B1D" w:rsidRDefault="00492178" w:rsidP="007C4EBE">
      <w:pPr>
        <w:pStyle w:val="TOC1"/>
        <w:rPr>
          <w:rFonts w:asciiTheme="minorHAnsi" w:eastAsiaTheme="minorEastAsia" w:hAnsiTheme="minorHAnsi" w:cstheme="minorBidi"/>
          <w:sz w:val="22"/>
          <w:szCs w:val="22"/>
        </w:rPr>
      </w:pPr>
      <w:hyperlink w:anchor="_Toc102482620" w:history="1">
        <w:r w:rsidR="005C1B1D" w:rsidRPr="00FB1E2D">
          <w:rPr>
            <w:rStyle w:val="Hyperlink"/>
          </w:rPr>
          <w:t>Role of the Board</w:t>
        </w:r>
        <w:r w:rsidR="005C1B1D">
          <w:rPr>
            <w:webHidden/>
          </w:rPr>
          <w:tab/>
        </w:r>
        <w:r w:rsidR="005C1B1D">
          <w:rPr>
            <w:webHidden/>
          </w:rPr>
          <w:fldChar w:fldCharType="begin"/>
        </w:r>
        <w:r w:rsidR="005C1B1D">
          <w:rPr>
            <w:webHidden/>
          </w:rPr>
          <w:instrText xml:space="preserve"> PAGEREF _Toc102482620 \h </w:instrText>
        </w:r>
        <w:r w:rsidR="005C1B1D">
          <w:rPr>
            <w:webHidden/>
          </w:rPr>
        </w:r>
        <w:r w:rsidR="005C1B1D">
          <w:rPr>
            <w:webHidden/>
          </w:rPr>
          <w:fldChar w:fldCharType="separate"/>
        </w:r>
        <w:r w:rsidR="00DE6765">
          <w:rPr>
            <w:webHidden/>
          </w:rPr>
          <w:t>10</w:t>
        </w:r>
        <w:r w:rsidR="005C1B1D">
          <w:rPr>
            <w:webHidden/>
          </w:rPr>
          <w:fldChar w:fldCharType="end"/>
        </w:r>
      </w:hyperlink>
    </w:p>
    <w:p w14:paraId="4605BB46" w14:textId="146911AF" w:rsidR="005C1B1D" w:rsidRDefault="00492178" w:rsidP="007C4EBE">
      <w:pPr>
        <w:pStyle w:val="TOC1"/>
        <w:rPr>
          <w:rFonts w:asciiTheme="minorHAnsi" w:eastAsiaTheme="minorEastAsia" w:hAnsiTheme="minorHAnsi" w:cstheme="minorBidi"/>
          <w:sz w:val="22"/>
          <w:szCs w:val="22"/>
        </w:rPr>
      </w:pPr>
      <w:hyperlink w:anchor="_Toc102482621" w:history="1">
        <w:r w:rsidR="005C1B1D" w:rsidRPr="00FB1E2D">
          <w:rPr>
            <w:rStyle w:val="Hyperlink"/>
          </w:rPr>
          <w:t>Board Remuneration Committee</w:t>
        </w:r>
        <w:r w:rsidR="005C1B1D">
          <w:rPr>
            <w:webHidden/>
          </w:rPr>
          <w:tab/>
        </w:r>
        <w:r w:rsidR="005C1B1D">
          <w:rPr>
            <w:webHidden/>
          </w:rPr>
          <w:fldChar w:fldCharType="begin"/>
        </w:r>
        <w:r w:rsidR="005C1B1D">
          <w:rPr>
            <w:webHidden/>
          </w:rPr>
          <w:instrText xml:space="preserve"> PAGEREF _Toc102482621 \h </w:instrText>
        </w:r>
        <w:r w:rsidR="005C1B1D">
          <w:rPr>
            <w:webHidden/>
          </w:rPr>
        </w:r>
        <w:r w:rsidR="005C1B1D">
          <w:rPr>
            <w:webHidden/>
          </w:rPr>
          <w:fldChar w:fldCharType="separate"/>
        </w:r>
        <w:r w:rsidR="00DE6765">
          <w:rPr>
            <w:webHidden/>
          </w:rPr>
          <w:t>10</w:t>
        </w:r>
        <w:r w:rsidR="005C1B1D">
          <w:rPr>
            <w:webHidden/>
          </w:rPr>
          <w:fldChar w:fldCharType="end"/>
        </w:r>
      </w:hyperlink>
    </w:p>
    <w:p w14:paraId="64EE4944" w14:textId="06FECFCD" w:rsidR="005C1B1D" w:rsidRDefault="00492178" w:rsidP="007C4EBE">
      <w:pPr>
        <w:pStyle w:val="TOC1"/>
        <w:rPr>
          <w:rFonts w:asciiTheme="minorHAnsi" w:eastAsiaTheme="minorEastAsia" w:hAnsiTheme="minorHAnsi" w:cstheme="minorBidi"/>
          <w:sz w:val="22"/>
          <w:szCs w:val="22"/>
        </w:rPr>
      </w:pPr>
      <w:hyperlink w:anchor="_Toc102482622" w:history="1">
        <w:r w:rsidR="005C1B1D" w:rsidRPr="00FB1E2D">
          <w:rPr>
            <w:rStyle w:val="Hyperlink"/>
          </w:rPr>
          <w:t>Remuneration design</w:t>
        </w:r>
        <w:r w:rsidR="005C1B1D">
          <w:rPr>
            <w:webHidden/>
          </w:rPr>
          <w:tab/>
        </w:r>
        <w:r w:rsidR="005C1B1D">
          <w:rPr>
            <w:webHidden/>
          </w:rPr>
          <w:fldChar w:fldCharType="begin"/>
        </w:r>
        <w:r w:rsidR="005C1B1D">
          <w:rPr>
            <w:webHidden/>
          </w:rPr>
          <w:instrText xml:space="preserve"> PAGEREF _Toc102482622 \h </w:instrText>
        </w:r>
        <w:r w:rsidR="005C1B1D">
          <w:rPr>
            <w:webHidden/>
          </w:rPr>
        </w:r>
        <w:r w:rsidR="005C1B1D">
          <w:rPr>
            <w:webHidden/>
          </w:rPr>
          <w:fldChar w:fldCharType="separate"/>
        </w:r>
        <w:r w:rsidR="00DE6765">
          <w:rPr>
            <w:webHidden/>
          </w:rPr>
          <w:t>11</w:t>
        </w:r>
        <w:r w:rsidR="005C1B1D">
          <w:rPr>
            <w:webHidden/>
          </w:rPr>
          <w:fldChar w:fldCharType="end"/>
        </w:r>
      </w:hyperlink>
    </w:p>
    <w:p w14:paraId="247D9191" w14:textId="7CAAE031" w:rsidR="005C1B1D" w:rsidRDefault="00492178" w:rsidP="007C4EBE">
      <w:pPr>
        <w:pStyle w:val="TOC1"/>
        <w:rPr>
          <w:rFonts w:asciiTheme="minorHAnsi" w:eastAsiaTheme="minorEastAsia" w:hAnsiTheme="minorHAnsi" w:cstheme="minorBidi"/>
          <w:sz w:val="22"/>
          <w:szCs w:val="22"/>
        </w:rPr>
      </w:pPr>
      <w:hyperlink w:anchor="_Toc102482623" w:history="1">
        <w:r w:rsidR="005C1B1D" w:rsidRPr="00FB1E2D">
          <w:rPr>
            <w:rStyle w:val="Hyperlink"/>
          </w:rPr>
          <w:t>Deferral</w:t>
        </w:r>
        <w:r w:rsidR="005C1B1D">
          <w:rPr>
            <w:webHidden/>
          </w:rPr>
          <w:tab/>
        </w:r>
        <w:r w:rsidR="005C1B1D">
          <w:rPr>
            <w:webHidden/>
          </w:rPr>
          <w:fldChar w:fldCharType="begin"/>
        </w:r>
        <w:r w:rsidR="005C1B1D">
          <w:rPr>
            <w:webHidden/>
          </w:rPr>
          <w:instrText xml:space="preserve"> PAGEREF _Toc102482623 \h </w:instrText>
        </w:r>
        <w:r w:rsidR="005C1B1D">
          <w:rPr>
            <w:webHidden/>
          </w:rPr>
        </w:r>
        <w:r w:rsidR="005C1B1D">
          <w:rPr>
            <w:webHidden/>
          </w:rPr>
          <w:fldChar w:fldCharType="separate"/>
        </w:r>
        <w:r w:rsidR="00DE6765">
          <w:rPr>
            <w:webHidden/>
          </w:rPr>
          <w:t>13</w:t>
        </w:r>
        <w:r w:rsidR="005C1B1D">
          <w:rPr>
            <w:webHidden/>
          </w:rPr>
          <w:fldChar w:fldCharType="end"/>
        </w:r>
      </w:hyperlink>
    </w:p>
    <w:p w14:paraId="004635AE" w14:textId="1FC5D337" w:rsidR="005C1B1D" w:rsidRDefault="00492178" w:rsidP="007C4EBE">
      <w:pPr>
        <w:pStyle w:val="TOC1"/>
        <w:rPr>
          <w:rFonts w:asciiTheme="minorHAnsi" w:eastAsiaTheme="minorEastAsia" w:hAnsiTheme="minorHAnsi" w:cstheme="minorBidi"/>
          <w:sz w:val="22"/>
          <w:szCs w:val="22"/>
        </w:rPr>
      </w:pPr>
      <w:hyperlink w:anchor="_Toc102482624" w:history="1">
        <w:r w:rsidR="005C1B1D" w:rsidRPr="00FB1E2D">
          <w:rPr>
            <w:rStyle w:val="Hyperlink"/>
          </w:rPr>
          <w:t>Remuneration outcomes</w:t>
        </w:r>
        <w:r w:rsidR="005C1B1D">
          <w:rPr>
            <w:webHidden/>
          </w:rPr>
          <w:tab/>
        </w:r>
        <w:r w:rsidR="005C1B1D">
          <w:rPr>
            <w:webHidden/>
          </w:rPr>
          <w:fldChar w:fldCharType="begin"/>
        </w:r>
        <w:r w:rsidR="005C1B1D">
          <w:rPr>
            <w:webHidden/>
          </w:rPr>
          <w:instrText xml:space="preserve"> PAGEREF _Toc102482624 \h </w:instrText>
        </w:r>
        <w:r w:rsidR="005C1B1D">
          <w:rPr>
            <w:webHidden/>
          </w:rPr>
        </w:r>
        <w:r w:rsidR="005C1B1D">
          <w:rPr>
            <w:webHidden/>
          </w:rPr>
          <w:fldChar w:fldCharType="separate"/>
        </w:r>
        <w:r w:rsidR="00DE6765">
          <w:rPr>
            <w:webHidden/>
          </w:rPr>
          <w:t>13</w:t>
        </w:r>
        <w:r w:rsidR="005C1B1D">
          <w:rPr>
            <w:webHidden/>
          </w:rPr>
          <w:fldChar w:fldCharType="end"/>
        </w:r>
      </w:hyperlink>
    </w:p>
    <w:p w14:paraId="20860B10" w14:textId="7DE680A4" w:rsidR="005C1B1D" w:rsidRDefault="00492178" w:rsidP="007C4EBE">
      <w:pPr>
        <w:pStyle w:val="TOC1"/>
        <w:rPr>
          <w:rFonts w:asciiTheme="minorHAnsi" w:eastAsiaTheme="minorEastAsia" w:hAnsiTheme="minorHAnsi" w:cstheme="minorBidi"/>
          <w:sz w:val="22"/>
          <w:szCs w:val="22"/>
        </w:rPr>
      </w:pPr>
      <w:hyperlink w:anchor="_Toc102482625" w:history="1">
        <w:r w:rsidR="005C1B1D" w:rsidRPr="00FB1E2D">
          <w:rPr>
            <w:rStyle w:val="Hyperlink"/>
          </w:rPr>
          <w:t>Specified roles</w:t>
        </w:r>
        <w:r w:rsidR="005C1B1D">
          <w:rPr>
            <w:webHidden/>
          </w:rPr>
          <w:tab/>
        </w:r>
        <w:r w:rsidR="005C1B1D">
          <w:rPr>
            <w:webHidden/>
          </w:rPr>
          <w:fldChar w:fldCharType="begin"/>
        </w:r>
        <w:r w:rsidR="005C1B1D">
          <w:rPr>
            <w:webHidden/>
          </w:rPr>
          <w:instrText xml:space="preserve"> PAGEREF _Toc102482625 \h </w:instrText>
        </w:r>
        <w:r w:rsidR="005C1B1D">
          <w:rPr>
            <w:webHidden/>
          </w:rPr>
        </w:r>
        <w:r w:rsidR="005C1B1D">
          <w:rPr>
            <w:webHidden/>
          </w:rPr>
          <w:fldChar w:fldCharType="separate"/>
        </w:r>
        <w:r w:rsidR="00DE6765">
          <w:rPr>
            <w:webHidden/>
          </w:rPr>
          <w:t>14</w:t>
        </w:r>
        <w:r w:rsidR="005C1B1D">
          <w:rPr>
            <w:webHidden/>
          </w:rPr>
          <w:fldChar w:fldCharType="end"/>
        </w:r>
      </w:hyperlink>
    </w:p>
    <w:p w14:paraId="516316CA" w14:textId="113AB2A0" w:rsidR="005C1B1D" w:rsidRDefault="00492178" w:rsidP="007C4EBE">
      <w:pPr>
        <w:pStyle w:val="TOC1"/>
        <w:rPr>
          <w:rFonts w:asciiTheme="minorHAnsi" w:eastAsiaTheme="minorEastAsia" w:hAnsiTheme="minorHAnsi" w:cstheme="minorBidi"/>
          <w:sz w:val="22"/>
          <w:szCs w:val="22"/>
        </w:rPr>
      </w:pPr>
      <w:hyperlink w:anchor="_Toc102482626" w:history="1">
        <w:r w:rsidR="005C1B1D" w:rsidRPr="00FB1E2D">
          <w:rPr>
            <w:rStyle w:val="Hyperlink"/>
          </w:rPr>
          <w:t>Review of the remuneration framework</w:t>
        </w:r>
        <w:r w:rsidR="005C1B1D">
          <w:rPr>
            <w:webHidden/>
          </w:rPr>
          <w:tab/>
        </w:r>
        <w:r w:rsidR="005C1B1D">
          <w:rPr>
            <w:webHidden/>
          </w:rPr>
          <w:fldChar w:fldCharType="begin"/>
        </w:r>
        <w:r w:rsidR="005C1B1D">
          <w:rPr>
            <w:webHidden/>
          </w:rPr>
          <w:instrText xml:space="preserve"> PAGEREF _Toc102482626 \h </w:instrText>
        </w:r>
        <w:r w:rsidR="005C1B1D">
          <w:rPr>
            <w:webHidden/>
          </w:rPr>
        </w:r>
        <w:r w:rsidR="005C1B1D">
          <w:rPr>
            <w:webHidden/>
          </w:rPr>
          <w:fldChar w:fldCharType="separate"/>
        </w:r>
        <w:r w:rsidR="00DE6765">
          <w:rPr>
            <w:webHidden/>
          </w:rPr>
          <w:t>15</w:t>
        </w:r>
        <w:r w:rsidR="005C1B1D">
          <w:rPr>
            <w:webHidden/>
          </w:rPr>
          <w:fldChar w:fldCharType="end"/>
        </w:r>
      </w:hyperlink>
    </w:p>
    <w:p w14:paraId="616E3187" w14:textId="160E84D1" w:rsidR="005C1B1D" w:rsidRDefault="00492178" w:rsidP="007C4EBE">
      <w:pPr>
        <w:pStyle w:val="TOC1"/>
        <w:rPr>
          <w:rFonts w:asciiTheme="minorHAnsi" w:eastAsiaTheme="minorEastAsia" w:hAnsiTheme="minorHAnsi" w:cstheme="minorBidi"/>
          <w:sz w:val="22"/>
          <w:szCs w:val="22"/>
        </w:rPr>
      </w:pPr>
      <w:hyperlink w:anchor="_Toc102482627" w:history="1">
        <w:r w:rsidR="005C1B1D" w:rsidRPr="00FB1E2D">
          <w:rPr>
            <w:rStyle w:val="Hyperlink"/>
          </w:rPr>
          <w:t>Other requirements</w:t>
        </w:r>
        <w:r w:rsidR="005C1B1D">
          <w:rPr>
            <w:webHidden/>
          </w:rPr>
          <w:tab/>
        </w:r>
        <w:r w:rsidR="005C1B1D">
          <w:rPr>
            <w:webHidden/>
          </w:rPr>
          <w:fldChar w:fldCharType="begin"/>
        </w:r>
        <w:r w:rsidR="005C1B1D">
          <w:rPr>
            <w:webHidden/>
          </w:rPr>
          <w:instrText xml:space="preserve"> PAGEREF _Toc102482627 \h </w:instrText>
        </w:r>
        <w:r w:rsidR="005C1B1D">
          <w:rPr>
            <w:webHidden/>
          </w:rPr>
        </w:r>
        <w:r w:rsidR="005C1B1D">
          <w:rPr>
            <w:webHidden/>
          </w:rPr>
          <w:fldChar w:fldCharType="separate"/>
        </w:r>
        <w:r w:rsidR="00DE6765">
          <w:rPr>
            <w:webHidden/>
          </w:rPr>
          <w:t>16</w:t>
        </w:r>
        <w:r w:rsidR="005C1B1D">
          <w:rPr>
            <w:webHidden/>
          </w:rPr>
          <w:fldChar w:fldCharType="end"/>
        </w:r>
      </w:hyperlink>
    </w:p>
    <w:p w14:paraId="5B6EE255" w14:textId="07139D35" w:rsidR="005C1B1D" w:rsidRDefault="00492178" w:rsidP="007C4EBE">
      <w:pPr>
        <w:pStyle w:val="TOC1"/>
        <w:rPr>
          <w:rFonts w:asciiTheme="minorHAnsi" w:eastAsiaTheme="minorEastAsia" w:hAnsiTheme="minorHAnsi" w:cstheme="minorBidi"/>
          <w:sz w:val="22"/>
          <w:szCs w:val="22"/>
        </w:rPr>
      </w:pPr>
      <w:hyperlink w:anchor="_Toc102482628" w:history="1">
        <w:r w:rsidR="005C1B1D" w:rsidRPr="00FB1E2D">
          <w:rPr>
            <w:rStyle w:val="Hyperlink"/>
          </w:rPr>
          <w:t>Disclosures</w:t>
        </w:r>
        <w:r w:rsidR="005C1B1D">
          <w:rPr>
            <w:webHidden/>
          </w:rPr>
          <w:tab/>
        </w:r>
        <w:r w:rsidR="005C1B1D">
          <w:rPr>
            <w:webHidden/>
          </w:rPr>
          <w:fldChar w:fldCharType="begin"/>
        </w:r>
        <w:r w:rsidR="005C1B1D">
          <w:rPr>
            <w:webHidden/>
          </w:rPr>
          <w:instrText xml:space="preserve"> PAGEREF _Toc102482628 \h </w:instrText>
        </w:r>
        <w:r w:rsidR="005C1B1D">
          <w:rPr>
            <w:webHidden/>
          </w:rPr>
        </w:r>
        <w:r w:rsidR="005C1B1D">
          <w:rPr>
            <w:webHidden/>
          </w:rPr>
          <w:fldChar w:fldCharType="separate"/>
        </w:r>
        <w:r w:rsidR="00DE6765">
          <w:rPr>
            <w:webHidden/>
          </w:rPr>
          <w:t>17</w:t>
        </w:r>
        <w:r w:rsidR="005C1B1D">
          <w:rPr>
            <w:webHidden/>
          </w:rPr>
          <w:fldChar w:fldCharType="end"/>
        </w:r>
      </w:hyperlink>
    </w:p>
    <w:p w14:paraId="0CE69CAC" w14:textId="2DB75776" w:rsidR="005C1B1D" w:rsidRDefault="00492178" w:rsidP="007C4EBE">
      <w:pPr>
        <w:pStyle w:val="TOC1"/>
        <w:rPr>
          <w:rFonts w:asciiTheme="minorHAnsi" w:eastAsiaTheme="minorEastAsia" w:hAnsiTheme="minorHAnsi" w:cstheme="minorBidi"/>
          <w:sz w:val="22"/>
          <w:szCs w:val="22"/>
        </w:rPr>
      </w:pPr>
      <w:hyperlink w:anchor="_Toc102482633" w:history="1">
        <w:r w:rsidR="005C1B1D" w:rsidRPr="00FB1E2D">
          <w:rPr>
            <w:rStyle w:val="Hyperlink"/>
          </w:rPr>
          <w:t>B. Requirements for Non-SFIs</w:t>
        </w:r>
        <w:r w:rsidR="005C1B1D">
          <w:rPr>
            <w:webHidden/>
          </w:rPr>
          <w:tab/>
        </w:r>
        <w:r w:rsidR="005C1B1D">
          <w:rPr>
            <w:webHidden/>
          </w:rPr>
          <w:fldChar w:fldCharType="begin"/>
        </w:r>
        <w:r w:rsidR="005C1B1D">
          <w:rPr>
            <w:webHidden/>
          </w:rPr>
          <w:instrText xml:space="preserve"> PAGEREF _Toc102482633 \h </w:instrText>
        </w:r>
        <w:r w:rsidR="005C1B1D">
          <w:rPr>
            <w:webHidden/>
          </w:rPr>
        </w:r>
        <w:r w:rsidR="005C1B1D">
          <w:rPr>
            <w:webHidden/>
          </w:rPr>
          <w:fldChar w:fldCharType="separate"/>
        </w:r>
        <w:r w:rsidR="00DE6765">
          <w:rPr>
            <w:webHidden/>
          </w:rPr>
          <w:t>25</w:t>
        </w:r>
        <w:r w:rsidR="005C1B1D">
          <w:rPr>
            <w:webHidden/>
          </w:rPr>
          <w:fldChar w:fldCharType="end"/>
        </w:r>
      </w:hyperlink>
    </w:p>
    <w:p w14:paraId="0615383F" w14:textId="24C91D82" w:rsidR="005C1B1D" w:rsidRDefault="00492178" w:rsidP="007C4EBE">
      <w:pPr>
        <w:pStyle w:val="TOC1"/>
        <w:rPr>
          <w:rFonts w:asciiTheme="minorHAnsi" w:eastAsiaTheme="minorEastAsia" w:hAnsiTheme="minorHAnsi" w:cstheme="minorBidi"/>
          <w:sz w:val="22"/>
          <w:szCs w:val="22"/>
        </w:rPr>
      </w:pPr>
      <w:hyperlink w:anchor="_Toc102482634" w:history="1">
        <w:r w:rsidR="005C1B1D" w:rsidRPr="00FB1E2D">
          <w:rPr>
            <w:rStyle w:val="Hyperlink"/>
          </w:rPr>
          <w:t>Remuneration framework</w:t>
        </w:r>
        <w:r w:rsidR="005C1B1D">
          <w:rPr>
            <w:webHidden/>
          </w:rPr>
          <w:tab/>
        </w:r>
        <w:r w:rsidR="005C1B1D">
          <w:rPr>
            <w:webHidden/>
          </w:rPr>
          <w:fldChar w:fldCharType="begin"/>
        </w:r>
        <w:r w:rsidR="005C1B1D">
          <w:rPr>
            <w:webHidden/>
          </w:rPr>
          <w:instrText xml:space="preserve"> PAGEREF _Toc102482634 \h </w:instrText>
        </w:r>
        <w:r w:rsidR="005C1B1D">
          <w:rPr>
            <w:webHidden/>
          </w:rPr>
        </w:r>
        <w:r w:rsidR="005C1B1D">
          <w:rPr>
            <w:webHidden/>
          </w:rPr>
          <w:fldChar w:fldCharType="separate"/>
        </w:r>
        <w:r w:rsidR="00DE6765">
          <w:rPr>
            <w:webHidden/>
          </w:rPr>
          <w:t>25</w:t>
        </w:r>
        <w:r w:rsidR="005C1B1D">
          <w:rPr>
            <w:webHidden/>
          </w:rPr>
          <w:fldChar w:fldCharType="end"/>
        </w:r>
      </w:hyperlink>
    </w:p>
    <w:p w14:paraId="771B807B" w14:textId="3EDD24F5" w:rsidR="005C1B1D" w:rsidRDefault="00492178" w:rsidP="007C4EBE">
      <w:pPr>
        <w:pStyle w:val="TOC1"/>
        <w:rPr>
          <w:rFonts w:asciiTheme="minorHAnsi" w:eastAsiaTheme="minorEastAsia" w:hAnsiTheme="minorHAnsi" w:cstheme="minorBidi"/>
          <w:sz w:val="22"/>
          <w:szCs w:val="22"/>
        </w:rPr>
      </w:pPr>
      <w:hyperlink w:anchor="_Toc102482635" w:history="1">
        <w:r w:rsidR="005C1B1D" w:rsidRPr="00FB1E2D">
          <w:rPr>
            <w:rStyle w:val="Hyperlink"/>
          </w:rPr>
          <w:t>Role of the Board</w:t>
        </w:r>
        <w:r w:rsidR="005C1B1D">
          <w:rPr>
            <w:webHidden/>
          </w:rPr>
          <w:tab/>
        </w:r>
        <w:r w:rsidR="005C1B1D">
          <w:rPr>
            <w:webHidden/>
          </w:rPr>
          <w:fldChar w:fldCharType="begin"/>
        </w:r>
        <w:r w:rsidR="005C1B1D">
          <w:rPr>
            <w:webHidden/>
          </w:rPr>
          <w:instrText xml:space="preserve"> PAGEREF _Toc102482635 \h </w:instrText>
        </w:r>
        <w:r w:rsidR="005C1B1D">
          <w:rPr>
            <w:webHidden/>
          </w:rPr>
        </w:r>
        <w:r w:rsidR="005C1B1D">
          <w:rPr>
            <w:webHidden/>
          </w:rPr>
          <w:fldChar w:fldCharType="separate"/>
        </w:r>
        <w:r w:rsidR="00DE6765">
          <w:rPr>
            <w:webHidden/>
          </w:rPr>
          <w:t>25</w:t>
        </w:r>
        <w:r w:rsidR="005C1B1D">
          <w:rPr>
            <w:webHidden/>
          </w:rPr>
          <w:fldChar w:fldCharType="end"/>
        </w:r>
      </w:hyperlink>
    </w:p>
    <w:p w14:paraId="751CE657" w14:textId="4FD2A606" w:rsidR="005C1B1D" w:rsidRDefault="00492178" w:rsidP="007C4EBE">
      <w:pPr>
        <w:pStyle w:val="TOC1"/>
        <w:rPr>
          <w:rFonts w:asciiTheme="minorHAnsi" w:eastAsiaTheme="minorEastAsia" w:hAnsiTheme="minorHAnsi" w:cstheme="minorBidi"/>
          <w:sz w:val="22"/>
          <w:szCs w:val="22"/>
        </w:rPr>
      </w:pPr>
      <w:hyperlink w:anchor="_Toc102482636" w:history="1">
        <w:r w:rsidR="005C1B1D" w:rsidRPr="00FB1E2D">
          <w:rPr>
            <w:rStyle w:val="Hyperlink"/>
          </w:rPr>
          <w:t>Remuneration design</w:t>
        </w:r>
        <w:r w:rsidR="005C1B1D">
          <w:rPr>
            <w:webHidden/>
          </w:rPr>
          <w:tab/>
        </w:r>
        <w:r w:rsidR="005C1B1D">
          <w:rPr>
            <w:webHidden/>
          </w:rPr>
          <w:fldChar w:fldCharType="begin"/>
        </w:r>
        <w:r w:rsidR="005C1B1D">
          <w:rPr>
            <w:webHidden/>
          </w:rPr>
          <w:instrText xml:space="preserve"> PAGEREF _Toc102482636 \h </w:instrText>
        </w:r>
        <w:r w:rsidR="005C1B1D">
          <w:rPr>
            <w:webHidden/>
          </w:rPr>
        </w:r>
        <w:r w:rsidR="005C1B1D">
          <w:rPr>
            <w:webHidden/>
          </w:rPr>
          <w:fldChar w:fldCharType="separate"/>
        </w:r>
        <w:r w:rsidR="00DE6765">
          <w:rPr>
            <w:webHidden/>
          </w:rPr>
          <w:t>26</w:t>
        </w:r>
        <w:r w:rsidR="005C1B1D">
          <w:rPr>
            <w:webHidden/>
          </w:rPr>
          <w:fldChar w:fldCharType="end"/>
        </w:r>
      </w:hyperlink>
    </w:p>
    <w:p w14:paraId="70BD9AF4" w14:textId="05421EB3" w:rsidR="005C1B1D" w:rsidRDefault="00492178" w:rsidP="007C4EBE">
      <w:pPr>
        <w:pStyle w:val="TOC1"/>
        <w:rPr>
          <w:rFonts w:asciiTheme="minorHAnsi" w:eastAsiaTheme="minorEastAsia" w:hAnsiTheme="minorHAnsi" w:cstheme="minorBidi"/>
          <w:sz w:val="22"/>
          <w:szCs w:val="22"/>
        </w:rPr>
      </w:pPr>
      <w:hyperlink w:anchor="_Toc102482637" w:history="1">
        <w:r w:rsidR="005C1B1D" w:rsidRPr="00FB1E2D">
          <w:rPr>
            <w:rStyle w:val="Hyperlink"/>
          </w:rPr>
          <w:t>Remuneration outcomes</w:t>
        </w:r>
        <w:r w:rsidR="005C1B1D">
          <w:rPr>
            <w:webHidden/>
          </w:rPr>
          <w:tab/>
        </w:r>
        <w:r w:rsidR="005C1B1D">
          <w:rPr>
            <w:webHidden/>
          </w:rPr>
          <w:fldChar w:fldCharType="begin"/>
        </w:r>
        <w:r w:rsidR="005C1B1D">
          <w:rPr>
            <w:webHidden/>
          </w:rPr>
          <w:instrText xml:space="preserve"> PAGEREF _Toc102482637 \h </w:instrText>
        </w:r>
        <w:r w:rsidR="005C1B1D">
          <w:rPr>
            <w:webHidden/>
          </w:rPr>
        </w:r>
        <w:r w:rsidR="005C1B1D">
          <w:rPr>
            <w:webHidden/>
          </w:rPr>
          <w:fldChar w:fldCharType="separate"/>
        </w:r>
        <w:r w:rsidR="00DE6765">
          <w:rPr>
            <w:webHidden/>
          </w:rPr>
          <w:t>27</w:t>
        </w:r>
        <w:r w:rsidR="005C1B1D">
          <w:rPr>
            <w:webHidden/>
          </w:rPr>
          <w:fldChar w:fldCharType="end"/>
        </w:r>
      </w:hyperlink>
    </w:p>
    <w:p w14:paraId="34EE6C84" w14:textId="279DB77D" w:rsidR="005C1B1D" w:rsidRDefault="00492178" w:rsidP="007C4EBE">
      <w:pPr>
        <w:pStyle w:val="TOC1"/>
        <w:rPr>
          <w:rFonts w:asciiTheme="minorHAnsi" w:eastAsiaTheme="minorEastAsia" w:hAnsiTheme="minorHAnsi" w:cstheme="minorBidi"/>
          <w:sz w:val="22"/>
          <w:szCs w:val="22"/>
        </w:rPr>
      </w:pPr>
      <w:hyperlink w:anchor="_Toc102482638" w:history="1">
        <w:r w:rsidR="005C1B1D" w:rsidRPr="00FB1E2D">
          <w:rPr>
            <w:rStyle w:val="Hyperlink"/>
          </w:rPr>
          <w:t>Specified roles</w:t>
        </w:r>
        <w:r w:rsidR="005C1B1D">
          <w:rPr>
            <w:webHidden/>
          </w:rPr>
          <w:tab/>
        </w:r>
        <w:r w:rsidR="005C1B1D">
          <w:rPr>
            <w:webHidden/>
          </w:rPr>
          <w:fldChar w:fldCharType="begin"/>
        </w:r>
        <w:r w:rsidR="005C1B1D">
          <w:rPr>
            <w:webHidden/>
          </w:rPr>
          <w:instrText xml:space="preserve"> PAGEREF _Toc102482638 \h </w:instrText>
        </w:r>
        <w:r w:rsidR="005C1B1D">
          <w:rPr>
            <w:webHidden/>
          </w:rPr>
        </w:r>
        <w:r w:rsidR="005C1B1D">
          <w:rPr>
            <w:webHidden/>
          </w:rPr>
          <w:fldChar w:fldCharType="separate"/>
        </w:r>
        <w:r w:rsidR="00DE6765">
          <w:rPr>
            <w:webHidden/>
          </w:rPr>
          <w:t>27</w:t>
        </w:r>
        <w:r w:rsidR="005C1B1D">
          <w:rPr>
            <w:webHidden/>
          </w:rPr>
          <w:fldChar w:fldCharType="end"/>
        </w:r>
      </w:hyperlink>
    </w:p>
    <w:p w14:paraId="39C5D0C1" w14:textId="361C6146" w:rsidR="005C1B1D" w:rsidRDefault="00492178" w:rsidP="007C4EBE">
      <w:pPr>
        <w:pStyle w:val="TOC1"/>
        <w:rPr>
          <w:rFonts w:asciiTheme="minorHAnsi" w:eastAsiaTheme="minorEastAsia" w:hAnsiTheme="minorHAnsi" w:cstheme="minorBidi"/>
          <w:sz w:val="22"/>
          <w:szCs w:val="22"/>
        </w:rPr>
      </w:pPr>
      <w:hyperlink w:anchor="_Toc102482639" w:history="1">
        <w:r w:rsidR="005C1B1D" w:rsidRPr="00FB1E2D">
          <w:rPr>
            <w:rStyle w:val="Hyperlink"/>
          </w:rPr>
          <w:t>Other requirements</w:t>
        </w:r>
        <w:r w:rsidR="005C1B1D">
          <w:rPr>
            <w:webHidden/>
          </w:rPr>
          <w:tab/>
        </w:r>
        <w:r w:rsidR="005C1B1D">
          <w:rPr>
            <w:webHidden/>
          </w:rPr>
          <w:fldChar w:fldCharType="begin"/>
        </w:r>
        <w:r w:rsidR="005C1B1D">
          <w:rPr>
            <w:webHidden/>
          </w:rPr>
          <w:instrText xml:space="preserve"> PAGEREF _Toc102482639 \h </w:instrText>
        </w:r>
        <w:r w:rsidR="005C1B1D">
          <w:rPr>
            <w:webHidden/>
          </w:rPr>
        </w:r>
        <w:r w:rsidR="005C1B1D">
          <w:rPr>
            <w:webHidden/>
          </w:rPr>
          <w:fldChar w:fldCharType="separate"/>
        </w:r>
        <w:r w:rsidR="00DE6765">
          <w:rPr>
            <w:webHidden/>
          </w:rPr>
          <w:t>28</w:t>
        </w:r>
        <w:r w:rsidR="005C1B1D">
          <w:rPr>
            <w:webHidden/>
          </w:rPr>
          <w:fldChar w:fldCharType="end"/>
        </w:r>
      </w:hyperlink>
    </w:p>
    <w:p w14:paraId="74E65CEB" w14:textId="3586CD97" w:rsidR="005C1B1D" w:rsidRDefault="00492178" w:rsidP="007C4EBE">
      <w:pPr>
        <w:pStyle w:val="TOC1"/>
        <w:rPr>
          <w:rFonts w:asciiTheme="minorHAnsi" w:eastAsiaTheme="minorEastAsia" w:hAnsiTheme="minorHAnsi" w:cstheme="minorBidi"/>
          <w:sz w:val="22"/>
          <w:szCs w:val="22"/>
        </w:rPr>
      </w:pPr>
      <w:hyperlink w:anchor="_Toc102482640" w:history="1">
        <w:r w:rsidR="005C1B1D" w:rsidRPr="00FB1E2D">
          <w:rPr>
            <w:rStyle w:val="Hyperlink"/>
          </w:rPr>
          <w:t>Disclosures</w:t>
        </w:r>
        <w:r w:rsidR="005C1B1D">
          <w:rPr>
            <w:webHidden/>
          </w:rPr>
          <w:tab/>
        </w:r>
        <w:r w:rsidR="005C1B1D">
          <w:rPr>
            <w:webHidden/>
          </w:rPr>
          <w:fldChar w:fldCharType="begin"/>
        </w:r>
        <w:r w:rsidR="005C1B1D">
          <w:rPr>
            <w:webHidden/>
          </w:rPr>
          <w:instrText xml:space="preserve"> PAGEREF _Toc102482640 \h </w:instrText>
        </w:r>
        <w:r w:rsidR="005C1B1D">
          <w:rPr>
            <w:webHidden/>
          </w:rPr>
        </w:r>
        <w:r w:rsidR="005C1B1D">
          <w:rPr>
            <w:webHidden/>
          </w:rPr>
          <w:fldChar w:fldCharType="separate"/>
        </w:r>
        <w:r w:rsidR="00DE6765">
          <w:rPr>
            <w:webHidden/>
          </w:rPr>
          <w:t>28</w:t>
        </w:r>
        <w:r w:rsidR="005C1B1D">
          <w:rPr>
            <w:webHidden/>
          </w:rPr>
          <w:fldChar w:fldCharType="end"/>
        </w:r>
      </w:hyperlink>
    </w:p>
    <w:p w14:paraId="7EB81E64" w14:textId="20C3A55C" w:rsidR="009D467A" w:rsidRDefault="009B0A33" w:rsidP="00D557BC">
      <w:pPr>
        <w:pStyle w:val="NoSpacing"/>
        <w:jc w:val="both"/>
      </w:pPr>
      <w:r>
        <w:fldChar w:fldCharType="end"/>
      </w:r>
      <w:bookmarkStart w:id="8" w:name="_Toc326937698"/>
      <w:bookmarkStart w:id="9" w:name="_Toc326938615"/>
      <w:bookmarkStart w:id="10" w:name="_Toc326938830"/>
      <w:bookmarkEnd w:id="5"/>
      <w:bookmarkEnd w:id="6"/>
    </w:p>
    <w:p w14:paraId="7872DCD5" w14:textId="77777777" w:rsidR="00E96B6D" w:rsidRDefault="00E96B6D" w:rsidP="00D557BC">
      <w:pPr>
        <w:pStyle w:val="Heading1"/>
        <w:jc w:val="both"/>
        <w:sectPr w:rsidR="00E96B6D" w:rsidSect="00327ACD">
          <w:headerReference w:type="default" r:id="rId15"/>
          <w:footerReference w:type="default" r:id="rId16"/>
          <w:pgSz w:w="11906" w:h="16838" w:code="9"/>
          <w:pgMar w:top="1440" w:right="1797" w:bottom="1440" w:left="1797" w:header="709" w:footer="709" w:gutter="0"/>
          <w:pgNumType w:start="1"/>
          <w:cols w:space="708"/>
          <w:docGrid w:linePitch="360"/>
        </w:sectPr>
      </w:pPr>
      <w:bookmarkStart w:id="11" w:name="_Toc314733116"/>
      <w:bookmarkStart w:id="12" w:name="_Toc341686774"/>
      <w:bookmarkEnd w:id="7"/>
      <w:bookmarkEnd w:id="8"/>
      <w:bookmarkEnd w:id="9"/>
      <w:bookmarkEnd w:id="10"/>
    </w:p>
    <w:p w14:paraId="698ED6FB" w14:textId="77777777" w:rsidR="00E07F40" w:rsidRPr="001F6B8D" w:rsidRDefault="00E07F40" w:rsidP="00D557BC">
      <w:pPr>
        <w:pStyle w:val="Heading1"/>
        <w:jc w:val="both"/>
      </w:pPr>
      <w:bookmarkStart w:id="13" w:name="_Toc10021876"/>
      <w:bookmarkStart w:id="14" w:name="_Toc10106374"/>
      <w:bookmarkStart w:id="15" w:name="_Toc10729966"/>
      <w:bookmarkStart w:id="16" w:name="_Toc11164788"/>
      <w:bookmarkStart w:id="17" w:name="_Toc14420644"/>
      <w:bookmarkStart w:id="18" w:name="_Toc55570106"/>
      <w:bookmarkStart w:id="19" w:name="_Toc102482612"/>
      <w:r w:rsidRPr="006D0EC1">
        <w:lastRenderedPageBreak/>
        <w:t>Authority</w:t>
      </w:r>
      <w:bookmarkEnd w:id="11"/>
      <w:bookmarkEnd w:id="12"/>
      <w:bookmarkEnd w:id="13"/>
      <w:bookmarkEnd w:id="14"/>
      <w:bookmarkEnd w:id="15"/>
      <w:bookmarkEnd w:id="16"/>
      <w:bookmarkEnd w:id="17"/>
      <w:bookmarkEnd w:id="18"/>
      <w:bookmarkEnd w:id="19"/>
    </w:p>
    <w:p w14:paraId="27DA41E9" w14:textId="77777777" w:rsidR="00721319" w:rsidRDefault="00721319" w:rsidP="00D557BC">
      <w:pPr>
        <w:pStyle w:val="BodyText1"/>
        <w:numPr>
          <w:ilvl w:val="0"/>
          <w:numId w:val="5"/>
        </w:numPr>
        <w:ind w:left="567" w:hanging="567"/>
      </w:pPr>
      <w:bookmarkStart w:id="20" w:name="_Ref129607281"/>
      <w:r w:rsidRPr="00B37C03">
        <w:t>This Prudential</w:t>
      </w:r>
      <w:r>
        <w:t xml:space="preserve"> Standard is made under:</w:t>
      </w:r>
      <w:bookmarkEnd w:id="20"/>
    </w:p>
    <w:p w14:paraId="7B1F629B" w14:textId="77777777" w:rsidR="00721319" w:rsidRPr="004F421E" w:rsidRDefault="00721319" w:rsidP="00D557BC">
      <w:pPr>
        <w:pStyle w:val="BodyText2"/>
        <w:jc w:val="both"/>
      </w:pPr>
      <w:r w:rsidRPr="004F421E">
        <w:t xml:space="preserve">section 11AF of </w:t>
      </w:r>
      <w:r w:rsidRPr="00861939">
        <w:rPr>
          <w:i/>
        </w:rPr>
        <w:t>the Banking Act 1959</w:t>
      </w:r>
      <w:r w:rsidRPr="004F421E">
        <w:t xml:space="preserve"> (Banking Act);</w:t>
      </w:r>
    </w:p>
    <w:p w14:paraId="7E16C1C6" w14:textId="77777777" w:rsidR="00721319" w:rsidRPr="004F421E" w:rsidRDefault="00721319" w:rsidP="00D557BC">
      <w:pPr>
        <w:pStyle w:val="BodyText2"/>
        <w:jc w:val="both"/>
      </w:pPr>
      <w:r w:rsidRPr="004F421E">
        <w:t xml:space="preserve">section 32 of the </w:t>
      </w:r>
      <w:r w:rsidRPr="00861939">
        <w:rPr>
          <w:i/>
        </w:rPr>
        <w:t>Insurance Act 1973</w:t>
      </w:r>
      <w:r w:rsidRPr="004F421E">
        <w:t xml:space="preserve"> (Insurance Act);</w:t>
      </w:r>
    </w:p>
    <w:p w14:paraId="4A14D7AB" w14:textId="77777777" w:rsidR="00721319" w:rsidRPr="004F421E" w:rsidRDefault="00721319" w:rsidP="00D557BC">
      <w:pPr>
        <w:pStyle w:val="BodyText2"/>
        <w:jc w:val="both"/>
      </w:pPr>
      <w:r w:rsidRPr="004F421E">
        <w:t xml:space="preserve">section 230A of the </w:t>
      </w:r>
      <w:r w:rsidRPr="00861939">
        <w:rPr>
          <w:i/>
        </w:rPr>
        <w:t>Life Insurance Act 1995</w:t>
      </w:r>
      <w:r w:rsidRPr="004F421E">
        <w:t xml:space="preserve"> (Life Insurance Act);</w:t>
      </w:r>
    </w:p>
    <w:p w14:paraId="1CA29603" w14:textId="77777777" w:rsidR="00721319" w:rsidRPr="004F421E" w:rsidRDefault="00721319" w:rsidP="00D557BC">
      <w:pPr>
        <w:pStyle w:val="BodyText2"/>
        <w:jc w:val="both"/>
      </w:pPr>
      <w:r w:rsidRPr="004F421E">
        <w:t xml:space="preserve">section 92 of the </w:t>
      </w:r>
      <w:r w:rsidRPr="00F45D4C">
        <w:rPr>
          <w:i/>
        </w:rPr>
        <w:t>P</w:t>
      </w:r>
      <w:r w:rsidRPr="00792E0E">
        <w:rPr>
          <w:i/>
        </w:rPr>
        <w:t>r</w:t>
      </w:r>
      <w:r w:rsidRPr="00861939">
        <w:rPr>
          <w:i/>
        </w:rPr>
        <w:t>ivate Health Insurance (Prudential Supervision) Act 2015</w:t>
      </w:r>
      <w:r w:rsidRPr="004F421E">
        <w:t xml:space="preserve"> (PHIPS Act); and</w:t>
      </w:r>
    </w:p>
    <w:p w14:paraId="2461B13B" w14:textId="77777777" w:rsidR="00721319" w:rsidRPr="004F421E" w:rsidRDefault="00C37AB4" w:rsidP="00D557BC">
      <w:pPr>
        <w:pStyle w:val="BodyText2"/>
        <w:jc w:val="both"/>
      </w:pPr>
      <w:r>
        <w:t>s</w:t>
      </w:r>
      <w:r w:rsidR="00721319" w:rsidRPr="004F421E">
        <w:t xml:space="preserve">ection 34C of the </w:t>
      </w:r>
      <w:r w:rsidR="00721319" w:rsidRPr="00861939">
        <w:rPr>
          <w:i/>
        </w:rPr>
        <w:t>Superannuation Industry (Supervision) Act 1993</w:t>
      </w:r>
      <w:r w:rsidR="00721319" w:rsidRPr="004F421E">
        <w:t xml:space="preserve"> (SIS Act).</w:t>
      </w:r>
    </w:p>
    <w:p w14:paraId="52D8EA7E" w14:textId="77777777" w:rsidR="00E07F40" w:rsidRDefault="00E07F40" w:rsidP="00D557BC">
      <w:pPr>
        <w:pStyle w:val="Heading1"/>
        <w:jc w:val="both"/>
      </w:pPr>
      <w:bookmarkStart w:id="21" w:name="_Toc314733118"/>
      <w:bookmarkStart w:id="22" w:name="_Toc341686775"/>
      <w:bookmarkStart w:id="23" w:name="_Toc10021877"/>
      <w:bookmarkStart w:id="24" w:name="_Toc10106375"/>
      <w:bookmarkStart w:id="25" w:name="_Toc10729967"/>
      <w:bookmarkStart w:id="26" w:name="_Toc11164789"/>
      <w:bookmarkStart w:id="27" w:name="_Toc14420645"/>
      <w:bookmarkStart w:id="28" w:name="_Toc55570107"/>
      <w:bookmarkStart w:id="29" w:name="_Toc102482613"/>
      <w:r w:rsidRPr="00B37C03">
        <w:t>Application</w:t>
      </w:r>
      <w:bookmarkEnd w:id="21"/>
      <w:bookmarkEnd w:id="22"/>
      <w:bookmarkEnd w:id="23"/>
      <w:bookmarkEnd w:id="24"/>
      <w:bookmarkEnd w:id="25"/>
      <w:bookmarkEnd w:id="26"/>
      <w:bookmarkEnd w:id="27"/>
      <w:bookmarkEnd w:id="28"/>
      <w:bookmarkEnd w:id="29"/>
      <w:r w:rsidR="000F3EC1">
        <w:t xml:space="preserve"> </w:t>
      </w:r>
    </w:p>
    <w:p w14:paraId="66A8B73E" w14:textId="365C41E4" w:rsidR="00721319" w:rsidRDefault="00721319" w:rsidP="00D557BC">
      <w:pPr>
        <w:pStyle w:val="BodyText1"/>
        <w:numPr>
          <w:ilvl w:val="0"/>
          <w:numId w:val="5"/>
        </w:numPr>
        <w:ind w:left="567" w:hanging="567"/>
      </w:pPr>
      <w:bookmarkStart w:id="30" w:name="_Ref9420659"/>
      <w:r>
        <w:t>Subject to paragraph</w:t>
      </w:r>
      <w:r w:rsidR="00584E5B">
        <w:t>s</w:t>
      </w:r>
      <w:r>
        <w:t xml:space="preserve"> </w:t>
      </w:r>
      <w:r w:rsidR="003567C9">
        <w:fldChar w:fldCharType="begin"/>
      </w:r>
      <w:r w:rsidR="003567C9">
        <w:instrText xml:space="preserve"> REF _Ref9952116 \r \h </w:instrText>
      </w:r>
      <w:r w:rsidR="0083622E">
        <w:instrText xml:space="preserve"> \* MERGEFORMAT </w:instrText>
      </w:r>
      <w:r w:rsidR="003567C9">
        <w:fldChar w:fldCharType="separate"/>
      </w:r>
      <w:r w:rsidR="00DE6765">
        <w:t>3</w:t>
      </w:r>
      <w:r w:rsidR="003567C9">
        <w:fldChar w:fldCharType="end"/>
      </w:r>
      <w:r w:rsidR="00584E5B">
        <w:t xml:space="preserve"> and </w:t>
      </w:r>
      <w:r w:rsidR="00584E5B">
        <w:fldChar w:fldCharType="begin"/>
      </w:r>
      <w:r w:rsidR="00584E5B">
        <w:instrText xml:space="preserve"> REF _Ref55369863 \r \h </w:instrText>
      </w:r>
      <w:r w:rsidR="00D557BC">
        <w:instrText xml:space="preserve"> \* MERGEFORMAT </w:instrText>
      </w:r>
      <w:r w:rsidR="00584E5B">
        <w:fldChar w:fldCharType="separate"/>
      </w:r>
      <w:r w:rsidR="00DE6765">
        <w:t>4</w:t>
      </w:r>
      <w:r w:rsidR="00584E5B">
        <w:fldChar w:fldCharType="end"/>
      </w:r>
      <w:r w:rsidR="003E4ABD">
        <w:t xml:space="preserve">, </w:t>
      </w:r>
      <w:r w:rsidR="00C83F62">
        <w:t>and in accordanc</w:t>
      </w:r>
      <w:r w:rsidR="00291A35">
        <w:t>e</w:t>
      </w:r>
      <w:r w:rsidR="00C83F62">
        <w:t xml:space="preserve"> with paragraphs </w:t>
      </w:r>
      <w:r w:rsidR="00204B8B">
        <w:t>9 to 11,</w:t>
      </w:r>
      <w:r w:rsidR="00C83F62">
        <w:t xml:space="preserve"> </w:t>
      </w:r>
      <w:r>
        <w:t>this Prudential Standard applies to all APRA-regulated entities, defined as:</w:t>
      </w:r>
      <w:bookmarkEnd w:id="30"/>
    </w:p>
    <w:p w14:paraId="718AACB2" w14:textId="77777777" w:rsidR="00721319" w:rsidRPr="006A7AE7" w:rsidRDefault="00721319" w:rsidP="000028BF">
      <w:pPr>
        <w:pStyle w:val="BodyText2"/>
        <w:numPr>
          <w:ilvl w:val="1"/>
          <w:numId w:val="11"/>
        </w:numPr>
        <w:tabs>
          <w:tab w:val="num" w:pos="1418"/>
        </w:tabs>
        <w:ind w:left="1134"/>
        <w:jc w:val="both"/>
      </w:pPr>
      <w:r w:rsidRPr="005F33C4">
        <w:rPr>
          <w:b/>
        </w:rPr>
        <w:t xml:space="preserve">authorised deposit taking </w:t>
      </w:r>
      <w:r w:rsidR="00D35B2C">
        <w:rPr>
          <w:b/>
        </w:rPr>
        <w:t>institutions</w:t>
      </w:r>
      <w:r w:rsidR="00D35B2C">
        <w:t xml:space="preserve"> </w:t>
      </w:r>
      <w:r>
        <w:t>(</w:t>
      </w:r>
      <w:r w:rsidRPr="005F33C4">
        <w:rPr>
          <w:b/>
        </w:rPr>
        <w:t>ADIs</w:t>
      </w:r>
      <w:r>
        <w:t>)</w:t>
      </w:r>
      <w:r w:rsidRPr="006A7AE7">
        <w:t xml:space="preserve">, including </w:t>
      </w:r>
      <w:r w:rsidRPr="005F33C4">
        <w:rPr>
          <w:b/>
        </w:rPr>
        <w:t>foreign ADIs</w:t>
      </w:r>
      <w:r w:rsidRPr="006A7AE7">
        <w:t xml:space="preserve">, and </w:t>
      </w:r>
      <w:r w:rsidRPr="005F33C4">
        <w:rPr>
          <w:b/>
        </w:rPr>
        <w:t>non-operating holding companies</w:t>
      </w:r>
      <w:r>
        <w:t xml:space="preserve"> authorised under the Banking Act (authorised banking NOHCs)</w:t>
      </w:r>
      <w:r w:rsidR="00C11DD3" w:rsidRPr="00C11DD3">
        <w:t xml:space="preserve"> </w:t>
      </w:r>
      <w:r w:rsidR="00C11DD3" w:rsidRPr="002E7F2C">
        <w:t xml:space="preserve">but excluding </w:t>
      </w:r>
      <w:r w:rsidR="00C11DD3" w:rsidRPr="00752BCC">
        <w:rPr>
          <w:b/>
        </w:rPr>
        <w:t>purchased payment facility providers</w:t>
      </w:r>
      <w:r w:rsidRPr="006A7AE7">
        <w:t>;</w:t>
      </w:r>
    </w:p>
    <w:p w14:paraId="70102D6F" w14:textId="77777777" w:rsidR="00721319" w:rsidRPr="006A7AE7" w:rsidRDefault="00721319" w:rsidP="00D557BC">
      <w:pPr>
        <w:pStyle w:val="BodyText2"/>
        <w:tabs>
          <w:tab w:val="num" w:pos="1418"/>
        </w:tabs>
        <w:jc w:val="both"/>
      </w:pPr>
      <w:r w:rsidRPr="004129C9">
        <w:rPr>
          <w:b/>
        </w:rPr>
        <w:t>general insurers</w:t>
      </w:r>
      <w:r w:rsidRPr="006A7AE7">
        <w:t xml:space="preserve">, including </w:t>
      </w:r>
      <w:r w:rsidRPr="006A7AE7">
        <w:rPr>
          <w:b/>
        </w:rPr>
        <w:t>Category C insurers</w:t>
      </w:r>
      <w:r w:rsidRPr="006A7AE7">
        <w:t xml:space="preserve">, </w:t>
      </w:r>
      <w:r w:rsidRPr="00513B54">
        <w:t>non-operating holding companies</w:t>
      </w:r>
      <w:r>
        <w:t xml:space="preserve"> authorised under the Insurance Act (</w:t>
      </w:r>
      <w:r w:rsidRPr="006A7AE7">
        <w:t>authorised insurance NOHCs</w:t>
      </w:r>
      <w:r>
        <w:t xml:space="preserve">) and </w:t>
      </w:r>
      <w:r w:rsidRPr="004129C9">
        <w:rPr>
          <w:b/>
        </w:rPr>
        <w:t xml:space="preserve">parent entities </w:t>
      </w:r>
      <w:r w:rsidRPr="009668D3">
        <w:t>of</w:t>
      </w:r>
      <w:r w:rsidRPr="004129C9">
        <w:rPr>
          <w:b/>
        </w:rPr>
        <w:t xml:space="preserve"> Level 2 insurance groups</w:t>
      </w:r>
      <w:r w:rsidRPr="002E2C33">
        <w:t>;</w:t>
      </w:r>
    </w:p>
    <w:p w14:paraId="37ABF66F" w14:textId="78449523" w:rsidR="00721319" w:rsidRDefault="00721319" w:rsidP="00D557BC">
      <w:pPr>
        <w:pStyle w:val="BodyText2"/>
        <w:tabs>
          <w:tab w:val="num" w:pos="1418"/>
        </w:tabs>
        <w:jc w:val="both"/>
      </w:pPr>
      <w:r w:rsidRPr="009668D3">
        <w:rPr>
          <w:b/>
        </w:rPr>
        <w:t>life companies</w:t>
      </w:r>
      <w:r w:rsidRPr="006A7AE7">
        <w:t xml:space="preserve">, including </w:t>
      </w:r>
      <w:r w:rsidRPr="004129C9">
        <w:rPr>
          <w:b/>
        </w:rPr>
        <w:t>friendly societies</w:t>
      </w:r>
      <w:r w:rsidR="006D5CBC">
        <w:rPr>
          <w:b/>
        </w:rPr>
        <w:t>,</w:t>
      </w:r>
      <w:r w:rsidRPr="006A7AE7">
        <w:t xml:space="preserve"> </w:t>
      </w:r>
      <w:r w:rsidRPr="006A7AE7">
        <w:rPr>
          <w:b/>
        </w:rPr>
        <w:t>eligible foreign life insurance companies</w:t>
      </w:r>
      <w:r w:rsidRPr="006A7AE7">
        <w:t xml:space="preserve"> (EFLICs) and </w:t>
      </w:r>
      <w:r w:rsidRPr="00917AE8">
        <w:rPr>
          <w:b/>
        </w:rPr>
        <w:t>registered NOHCs</w:t>
      </w:r>
      <w:r>
        <w:t>;</w:t>
      </w:r>
    </w:p>
    <w:p w14:paraId="5B19C495" w14:textId="77777777" w:rsidR="00721319" w:rsidRDefault="00721319" w:rsidP="00D557BC">
      <w:pPr>
        <w:pStyle w:val="BodyText2"/>
        <w:tabs>
          <w:tab w:val="num" w:pos="1418"/>
        </w:tabs>
        <w:jc w:val="both"/>
      </w:pPr>
      <w:r w:rsidRPr="00216172">
        <w:rPr>
          <w:b/>
          <w:spacing w:val="-1"/>
        </w:rPr>
        <w:t xml:space="preserve">private health insurers </w:t>
      </w:r>
      <w:r w:rsidRPr="00216172">
        <w:rPr>
          <w:spacing w:val="-1"/>
        </w:rPr>
        <w:t>registered under the PHIPS Act</w:t>
      </w:r>
      <w:r>
        <w:t>; and</w:t>
      </w:r>
    </w:p>
    <w:p w14:paraId="0697742E" w14:textId="77777777" w:rsidR="00721319" w:rsidRPr="00DF539C" w:rsidRDefault="00721319" w:rsidP="00D557BC">
      <w:pPr>
        <w:pStyle w:val="BodyText2"/>
        <w:tabs>
          <w:tab w:val="num" w:pos="1418"/>
        </w:tabs>
        <w:jc w:val="both"/>
      </w:pPr>
      <w:r w:rsidRPr="00861939">
        <w:rPr>
          <w:b/>
        </w:rPr>
        <w:t>registrable superannuation entity licensees</w:t>
      </w:r>
      <w:r>
        <w:t xml:space="preserve"> (RSE licensees) under the SIS Act in respect of their business operations.</w:t>
      </w:r>
      <w:r>
        <w:rPr>
          <w:rStyle w:val="FootnoteReference"/>
        </w:rPr>
        <w:footnoteReference w:id="2"/>
      </w:r>
    </w:p>
    <w:p w14:paraId="7B50B956" w14:textId="77777777" w:rsidR="00721319" w:rsidRDefault="00721319" w:rsidP="00D557BC">
      <w:pPr>
        <w:pStyle w:val="BodyText1"/>
        <w:numPr>
          <w:ilvl w:val="0"/>
          <w:numId w:val="8"/>
        </w:numPr>
      </w:pPr>
      <w:bookmarkStart w:id="31" w:name="_Ref9952116"/>
      <w:r w:rsidRPr="006A7AE7">
        <w:t xml:space="preserve">The obligations imposed by this Prudential Standard on, or in relation to, a foreign </w:t>
      </w:r>
      <w:smartTag w:uri="urn:schemas-microsoft-com:office:smarttags" w:element="stockticker">
        <w:r w:rsidRPr="006A7AE7">
          <w:t>ADI</w:t>
        </w:r>
      </w:smartTag>
      <w:r w:rsidRPr="006A7AE7">
        <w:t xml:space="preserve">, a Category C insurer or an EFLIC apply only in relation to the Australian branch operations of that </w:t>
      </w:r>
      <w:r>
        <w:t>entity</w:t>
      </w:r>
      <w:r w:rsidRPr="006A7AE7">
        <w:t>.</w:t>
      </w:r>
      <w:bookmarkEnd w:id="31"/>
    </w:p>
    <w:p w14:paraId="62E31406" w14:textId="520DF97F" w:rsidR="00367F2D" w:rsidRDefault="00367F2D" w:rsidP="00D557BC">
      <w:pPr>
        <w:pStyle w:val="BodyText1"/>
        <w:numPr>
          <w:ilvl w:val="0"/>
          <w:numId w:val="8"/>
        </w:numPr>
      </w:pPr>
      <w:bookmarkStart w:id="32" w:name="_Ref55369863"/>
      <w:bookmarkStart w:id="33" w:name="_Ref9938000"/>
      <w:r>
        <w:t xml:space="preserve">For the purposes of this Prudential Standard, an APRA-regulated entity is either a </w:t>
      </w:r>
      <w:r w:rsidRPr="00760DB2">
        <w:rPr>
          <w:b/>
        </w:rPr>
        <w:t>significant financial institution</w:t>
      </w:r>
      <w:r>
        <w:t xml:space="preserve"> </w:t>
      </w:r>
      <w:r w:rsidR="003528D8">
        <w:t xml:space="preserve">(SFI) </w:t>
      </w:r>
      <w:r>
        <w:t xml:space="preserve">or a </w:t>
      </w:r>
      <w:r w:rsidRPr="00760DB2">
        <w:rPr>
          <w:b/>
        </w:rPr>
        <w:t>non-significant financial institution</w:t>
      </w:r>
      <w:r>
        <w:t xml:space="preserve"> (non-SFI). </w:t>
      </w:r>
      <w:r w:rsidR="0080588B">
        <w:t>Unless APRA determines otherwise in a particular case,</w:t>
      </w:r>
      <w:r w:rsidR="0065040F" w:rsidRPr="0065040F">
        <w:rPr>
          <w:rStyle w:val="FootnoteReference"/>
        </w:rPr>
        <w:t xml:space="preserve"> </w:t>
      </w:r>
      <w:r w:rsidR="0065040F">
        <w:rPr>
          <w:rStyle w:val="FootnoteReference"/>
        </w:rPr>
        <w:footnoteReference w:id="3"/>
      </w:r>
      <w:r w:rsidR="0080588B">
        <w:t xml:space="preserve"> </w:t>
      </w:r>
      <w:r w:rsidR="0080588B">
        <w:lastRenderedPageBreak/>
        <w:t>this</w:t>
      </w:r>
      <w:r>
        <w:t xml:space="preserve"> Prudential Standard applies to these two classes of APRA-regulated entities as follows:</w:t>
      </w:r>
      <w:bookmarkEnd w:id="32"/>
    </w:p>
    <w:p w14:paraId="3C8406B7" w14:textId="5B6C224B" w:rsidR="0080588B" w:rsidRDefault="000963D6" w:rsidP="00D557BC">
      <w:pPr>
        <w:pStyle w:val="BodyText2"/>
        <w:tabs>
          <w:tab w:val="num" w:pos="1418"/>
        </w:tabs>
        <w:jc w:val="both"/>
      </w:pPr>
      <w:r>
        <w:t>p</w:t>
      </w:r>
      <w:r w:rsidR="0080588B">
        <w:t xml:space="preserve">aragraphs </w:t>
      </w:r>
      <w:r w:rsidR="00E37AF0">
        <w:fldChar w:fldCharType="begin"/>
      </w:r>
      <w:r w:rsidR="00E37AF0">
        <w:instrText xml:space="preserve"> REF _Ref129607281 \r \h </w:instrText>
      </w:r>
      <w:r w:rsidR="00E37AF0">
        <w:fldChar w:fldCharType="separate"/>
      </w:r>
      <w:r w:rsidR="00DE6765">
        <w:t>1</w:t>
      </w:r>
      <w:r w:rsidR="00E37AF0">
        <w:fldChar w:fldCharType="end"/>
      </w:r>
      <w:r w:rsidR="0080588B">
        <w:t xml:space="preserve"> to </w:t>
      </w:r>
      <w:r w:rsidR="00E37AF0">
        <w:fldChar w:fldCharType="begin"/>
      </w:r>
      <w:r w:rsidR="00E37AF0">
        <w:instrText xml:space="preserve"> REF _Ref9419271 \r \h </w:instrText>
      </w:r>
      <w:r w:rsidR="00E37AF0">
        <w:fldChar w:fldCharType="separate"/>
      </w:r>
      <w:r w:rsidR="00DE6765">
        <w:t>20</w:t>
      </w:r>
      <w:r w:rsidR="00E37AF0">
        <w:fldChar w:fldCharType="end"/>
      </w:r>
      <w:r w:rsidR="0080588B">
        <w:t xml:space="preserve"> apply to both SFIs and non-SFIs;</w:t>
      </w:r>
    </w:p>
    <w:p w14:paraId="300280D5" w14:textId="25A748C2" w:rsidR="00367F2D" w:rsidRDefault="00367F2D" w:rsidP="00D557BC">
      <w:pPr>
        <w:pStyle w:val="BodyText2"/>
        <w:tabs>
          <w:tab w:val="num" w:pos="1418"/>
        </w:tabs>
        <w:jc w:val="both"/>
      </w:pPr>
      <w:r>
        <w:t xml:space="preserve">paragraphs </w:t>
      </w:r>
      <w:r w:rsidR="00B3715F">
        <w:fldChar w:fldCharType="begin"/>
      </w:r>
      <w:r w:rsidR="00B3715F">
        <w:instrText xml:space="preserve"> REF _Ref5714864 \r \h </w:instrText>
      </w:r>
      <w:r w:rsidR="00B3715F">
        <w:fldChar w:fldCharType="separate"/>
      </w:r>
      <w:r w:rsidR="00DE6765">
        <w:t>21</w:t>
      </w:r>
      <w:r w:rsidR="00B3715F">
        <w:fldChar w:fldCharType="end"/>
      </w:r>
      <w:r>
        <w:t xml:space="preserve"> to </w:t>
      </w:r>
      <w:r w:rsidR="00B3715F">
        <w:fldChar w:fldCharType="begin"/>
      </w:r>
      <w:r w:rsidR="00B3715F">
        <w:instrText xml:space="preserve"> REF _Ref129607372 \r \h </w:instrText>
      </w:r>
      <w:r w:rsidR="00B3715F">
        <w:fldChar w:fldCharType="separate"/>
      </w:r>
      <w:r w:rsidR="00DE6765">
        <w:t>73</w:t>
      </w:r>
      <w:r w:rsidR="00B3715F">
        <w:fldChar w:fldCharType="end"/>
      </w:r>
      <w:r w:rsidR="00C318EB">
        <w:t xml:space="preserve"> </w:t>
      </w:r>
      <w:r>
        <w:t>apply</w:t>
      </w:r>
      <w:r w:rsidR="0080588B">
        <w:t xml:space="preserve"> only</w:t>
      </w:r>
      <w:r>
        <w:t xml:space="preserve"> to </w:t>
      </w:r>
      <w:r w:rsidR="005B4444">
        <w:t>SFI</w:t>
      </w:r>
      <w:r w:rsidR="0080588B">
        <w:t>s</w:t>
      </w:r>
      <w:r>
        <w:t>; and</w:t>
      </w:r>
    </w:p>
    <w:p w14:paraId="6B1549DC" w14:textId="63697489" w:rsidR="00367F2D" w:rsidRDefault="00367F2D" w:rsidP="00D557BC">
      <w:pPr>
        <w:pStyle w:val="BodyText2"/>
        <w:tabs>
          <w:tab w:val="num" w:pos="1418"/>
        </w:tabs>
        <w:jc w:val="both"/>
      </w:pPr>
      <w:r>
        <w:t xml:space="preserve">paragraphs </w:t>
      </w:r>
      <w:r w:rsidR="00B3715F">
        <w:fldChar w:fldCharType="begin"/>
      </w:r>
      <w:r w:rsidR="00B3715F">
        <w:instrText xml:space="preserve"> REF _Ref52354650 \r \h </w:instrText>
      </w:r>
      <w:r w:rsidR="00B3715F">
        <w:fldChar w:fldCharType="separate"/>
      </w:r>
      <w:r w:rsidR="00DE6765">
        <w:t>74</w:t>
      </w:r>
      <w:r w:rsidR="00B3715F">
        <w:fldChar w:fldCharType="end"/>
      </w:r>
      <w:r w:rsidR="00C318EB">
        <w:t xml:space="preserve"> </w:t>
      </w:r>
      <w:r>
        <w:t xml:space="preserve">to </w:t>
      </w:r>
      <w:r w:rsidR="00B3715F">
        <w:fldChar w:fldCharType="begin"/>
      </w:r>
      <w:r w:rsidR="00B3715F">
        <w:instrText xml:space="preserve"> REF _Ref129607401 \r \h </w:instrText>
      </w:r>
      <w:r w:rsidR="00B3715F">
        <w:fldChar w:fldCharType="separate"/>
      </w:r>
      <w:r w:rsidR="00DE6765">
        <w:t>98</w:t>
      </w:r>
      <w:r w:rsidR="00B3715F">
        <w:fldChar w:fldCharType="end"/>
      </w:r>
      <w:r w:rsidR="002C3FD1">
        <w:t xml:space="preserve"> </w:t>
      </w:r>
      <w:r>
        <w:t xml:space="preserve">apply </w:t>
      </w:r>
      <w:r w:rsidR="0080588B">
        <w:t xml:space="preserve">only </w:t>
      </w:r>
      <w:r>
        <w:t>to non-SFI</w:t>
      </w:r>
      <w:r w:rsidR="0080588B">
        <w:t>s</w:t>
      </w:r>
      <w:r>
        <w:t>.</w:t>
      </w:r>
    </w:p>
    <w:p w14:paraId="2ABF7F00" w14:textId="6305B635" w:rsidR="00721319" w:rsidRPr="00424575" w:rsidRDefault="001C343F" w:rsidP="00D557BC">
      <w:pPr>
        <w:pStyle w:val="BodyText1"/>
        <w:numPr>
          <w:ilvl w:val="0"/>
          <w:numId w:val="9"/>
        </w:numPr>
        <w:ind w:left="567" w:hanging="567"/>
      </w:pPr>
      <w:r>
        <w:t xml:space="preserve">Subject to paragraph </w:t>
      </w:r>
      <w:r>
        <w:fldChar w:fldCharType="begin"/>
      </w:r>
      <w:r>
        <w:instrText xml:space="preserve"> REF _Ref136848342 \r \h </w:instrText>
      </w:r>
      <w:r>
        <w:fldChar w:fldCharType="separate"/>
      </w:r>
      <w:r w:rsidR="00DE6765">
        <w:t>7</w:t>
      </w:r>
      <w:r>
        <w:fldChar w:fldCharType="end"/>
      </w:r>
      <w:r>
        <w:t>, w</w:t>
      </w:r>
      <w:r w:rsidR="00721319" w:rsidRPr="00424575">
        <w:t>here an entity is the ‘Head of a group’</w:t>
      </w:r>
      <w:r w:rsidR="00BA7CE7" w:rsidRPr="00424575">
        <w:t>,</w:t>
      </w:r>
      <w:r w:rsidR="002E6D1C" w:rsidRPr="00424575">
        <w:rPr>
          <w:rStyle w:val="FootnoteReference"/>
        </w:rPr>
        <w:footnoteReference w:id="4"/>
      </w:r>
      <w:r w:rsidR="00721319" w:rsidRPr="00424575">
        <w:t xml:space="preserve"> it must comply with a</w:t>
      </w:r>
      <w:r w:rsidR="005F3EA4" w:rsidRPr="00424575">
        <w:t>n applicable</w:t>
      </w:r>
      <w:r w:rsidR="00721319" w:rsidRPr="00424575">
        <w:t xml:space="preserve"> requirement of this Prudential Standard:</w:t>
      </w:r>
      <w:bookmarkEnd w:id="33"/>
    </w:p>
    <w:p w14:paraId="0F77E311" w14:textId="77777777" w:rsidR="00721319" w:rsidRPr="00424575" w:rsidRDefault="00721319" w:rsidP="000028BF">
      <w:pPr>
        <w:pStyle w:val="BodyText2"/>
        <w:numPr>
          <w:ilvl w:val="1"/>
          <w:numId w:val="13"/>
        </w:numPr>
        <w:tabs>
          <w:tab w:val="num" w:pos="1418"/>
        </w:tabs>
        <w:ind w:left="1134"/>
        <w:jc w:val="both"/>
      </w:pPr>
      <w:r w:rsidRPr="00424575">
        <w:t xml:space="preserve">in its capacity as an </w:t>
      </w:r>
      <w:r w:rsidR="006D5CBC" w:rsidRPr="00424575">
        <w:t xml:space="preserve">APRA-regulated </w:t>
      </w:r>
      <w:r w:rsidRPr="00424575">
        <w:t>entity;</w:t>
      </w:r>
    </w:p>
    <w:p w14:paraId="054EC245" w14:textId="77777777" w:rsidR="00721319" w:rsidRPr="00424575" w:rsidRDefault="00721319" w:rsidP="00D557BC">
      <w:pPr>
        <w:pStyle w:val="BodyText2"/>
        <w:tabs>
          <w:tab w:val="num" w:pos="1418"/>
        </w:tabs>
        <w:jc w:val="both"/>
        <w:rPr>
          <w:szCs w:val="16"/>
        </w:rPr>
      </w:pPr>
      <w:r w:rsidRPr="00424575">
        <w:t xml:space="preserve">by ensuring that </w:t>
      </w:r>
      <w:r w:rsidR="00C840DA" w:rsidRPr="00424575">
        <w:t>the</w:t>
      </w:r>
      <w:r w:rsidRPr="00424575">
        <w:t xml:space="preserve"> requirement is applied appropriately throughout the group, including in relation to entities that are not APRA-regulated; and</w:t>
      </w:r>
    </w:p>
    <w:p w14:paraId="397F824C" w14:textId="77777777" w:rsidR="00721319" w:rsidRPr="00424575" w:rsidRDefault="00721319" w:rsidP="00D557BC">
      <w:pPr>
        <w:pStyle w:val="BodyText2"/>
        <w:tabs>
          <w:tab w:val="num" w:pos="1418"/>
        </w:tabs>
        <w:jc w:val="both"/>
      </w:pPr>
      <w:r w:rsidRPr="00424575">
        <w:t>on a group basis.</w:t>
      </w:r>
    </w:p>
    <w:p w14:paraId="6BB65E0C" w14:textId="623149AD" w:rsidR="00721319" w:rsidRDefault="00721319" w:rsidP="00D557BC">
      <w:pPr>
        <w:pStyle w:val="BodyText1"/>
        <w:numPr>
          <w:ilvl w:val="0"/>
          <w:numId w:val="10"/>
        </w:numPr>
      </w:pPr>
      <w:bookmarkStart w:id="34" w:name="_Ref9938015"/>
      <w:r w:rsidRPr="00424575">
        <w:t xml:space="preserve">In applying the requirements of this Prudential Standard on a group basis, references </w:t>
      </w:r>
      <w:r w:rsidR="00F00F7F" w:rsidRPr="00424575">
        <w:t xml:space="preserve">in paragraphs </w:t>
      </w:r>
      <w:r w:rsidR="00B3715F">
        <w:fldChar w:fldCharType="begin"/>
      </w:r>
      <w:r w:rsidR="00B3715F">
        <w:instrText xml:space="preserve"> REF _Ref43094248 \r \h </w:instrText>
      </w:r>
      <w:r w:rsidR="00B3715F">
        <w:fldChar w:fldCharType="separate"/>
      </w:r>
      <w:r w:rsidR="00DE6765">
        <w:t>18</w:t>
      </w:r>
      <w:r w:rsidR="00B3715F">
        <w:fldChar w:fldCharType="end"/>
      </w:r>
      <w:r w:rsidR="00AD3041" w:rsidRPr="00424575">
        <w:t xml:space="preserve"> to </w:t>
      </w:r>
      <w:r w:rsidR="00B3715F">
        <w:fldChar w:fldCharType="begin"/>
      </w:r>
      <w:r w:rsidR="00B3715F">
        <w:instrText xml:space="preserve"> REF _Ref129607401 \r \h </w:instrText>
      </w:r>
      <w:r w:rsidR="00B3715F">
        <w:fldChar w:fldCharType="separate"/>
      </w:r>
      <w:r w:rsidR="00DE6765">
        <w:t>98</w:t>
      </w:r>
      <w:r w:rsidR="00B3715F">
        <w:fldChar w:fldCharType="end"/>
      </w:r>
      <w:r w:rsidR="00F00F7F" w:rsidRPr="00424575">
        <w:t xml:space="preserve"> </w:t>
      </w:r>
      <w:r w:rsidRPr="00424575">
        <w:t>to an ‘APRA-regulated entity’ must be read as ‘Head of a group’ and references to ‘entity’ must be read as ‘group’.</w:t>
      </w:r>
      <w:bookmarkEnd w:id="34"/>
    </w:p>
    <w:p w14:paraId="51FC7CE7" w14:textId="01F57D8B" w:rsidR="00F4126B" w:rsidRDefault="004638CE" w:rsidP="00D557BC">
      <w:pPr>
        <w:pStyle w:val="BodyText1"/>
        <w:numPr>
          <w:ilvl w:val="0"/>
          <w:numId w:val="10"/>
        </w:numPr>
      </w:pPr>
      <w:bookmarkStart w:id="35" w:name="_Ref136848342"/>
      <w:r>
        <w:t>Unless otherwise determined by APRA, a</w:t>
      </w:r>
      <w:r w:rsidR="002E2311" w:rsidRPr="005C5E1D">
        <w:t xml:space="preserve">n </w:t>
      </w:r>
      <w:r w:rsidR="002E2311">
        <w:t xml:space="preserve">APRA-regulated </w:t>
      </w:r>
      <w:r w:rsidR="002E2311" w:rsidRPr="005C5E1D">
        <w:t>entity within</w:t>
      </w:r>
      <w:r w:rsidR="002E2311">
        <w:t xml:space="preserve"> a</w:t>
      </w:r>
      <w:r w:rsidR="002E2311" w:rsidRPr="005C5E1D">
        <w:t xml:space="preserve"> group is </w:t>
      </w:r>
      <w:r w:rsidR="002E2311">
        <w:t xml:space="preserve">not </w:t>
      </w:r>
      <w:r w:rsidR="002E2311" w:rsidRPr="005C5E1D">
        <w:t xml:space="preserve">required to </w:t>
      </w:r>
      <w:r>
        <w:t>make</w:t>
      </w:r>
      <w:r w:rsidR="002E2311" w:rsidRPr="005C5E1D">
        <w:t xml:space="preserve"> the disclosure</w:t>
      </w:r>
      <w:r>
        <w:t>s</w:t>
      </w:r>
      <w:r w:rsidR="002E2311" w:rsidRPr="005C5E1D">
        <w:t xml:space="preserve"> </w:t>
      </w:r>
      <w:r w:rsidR="00F4126B">
        <w:t xml:space="preserve">required by this Prudential Standard on an individual </w:t>
      </w:r>
      <w:r w:rsidR="00FD5A51">
        <w:t xml:space="preserve">entity </w:t>
      </w:r>
      <w:r w:rsidR="00F4126B">
        <w:t>or a Level 2 basis where:</w:t>
      </w:r>
    </w:p>
    <w:p w14:paraId="36552E0C" w14:textId="47C4935B" w:rsidR="004F0E71" w:rsidRDefault="006552FF" w:rsidP="006552FF">
      <w:pPr>
        <w:pStyle w:val="BodyText2"/>
      </w:pPr>
      <w:r>
        <w:t>the APRA</w:t>
      </w:r>
      <w:r w:rsidR="00401460">
        <w:t>-regulated entity is part of a group headed by another APRA-regulated entity</w:t>
      </w:r>
      <w:r w:rsidR="004F0E71">
        <w:t>; and</w:t>
      </w:r>
    </w:p>
    <w:p w14:paraId="54C25EDB" w14:textId="5BB31D59" w:rsidR="005C5E1D" w:rsidRPr="00424575" w:rsidRDefault="004F0E71" w:rsidP="00F32B7C">
      <w:pPr>
        <w:pStyle w:val="BodyText2"/>
      </w:pPr>
      <w:r>
        <w:t xml:space="preserve">the other APRA-regulated </w:t>
      </w:r>
      <w:r w:rsidR="00357436">
        <w:t>as the Head of a group makes the required disclosures on a Level 2 basis or Level 3 basis, as applicable</w:t>
      </w:r>
      <w:r w:rsidR="005C5E1D" w:rsidRPr="005C5E1D">
        <w:t>.</w:t>
      </w:r>
      <w:bookmarkEnd w:id="35"/>
      <w:r w:rsidR="002E2311">
        <w:t xml:space="preserve"> </w:t>
      </w:r>
    </w:p>
    <w:p w14:paraId="4E42D44A" w14:textId="77777777" w:rsidR="00E83735" w:rsidRDefault="00E83735" w:rsidP="00D557BC">
      <w:pPr>
        <w:pStyle w:val="BodyText1"/>
        <w:numPr>
          <w:ilvl w:val="0"/>
          <w:numId w:val="10"/>
        </w:numPr>
      </w:pPr>
      <w:r>
        <w:t xml:space="preserve">This Prudential Standard does not apply to the extent it would require any </w:t>
      </w:r>
      <w:r w:rsidR="0004644A">
        <w:t>entity</w:t>
      </w:r>
      <w:r>
        <w:t xml:space="preserve"> to act (or not act) in a manner contrary to:</w:t>
      </w:r>
    </w:p>
    <w:p w14:paraId="74D7044E" w14:textId="77777777" w:rsidR="00E83735" w:rsidRDefault="00E83735" w:rsidP="00D557BC">
      <w:pPr>
        <w:pStyle w:val="BodyText2"/>
        <w:numPr>
          <w:ilvl w:val="1"/>
          <w:numId w:val="10"/>
        </w:numPr>
        <w:jc w:val="both"/>
      </w:pPr>
      <w:r w:rsidRPr="00273A32">
        <w:t>the</w:t>
      </w:r>
      <w:r w:rsidRPr="00273A32">
        <w:rPr>
          <w:i/>
        </w:rPr>
        <w:t xml:space="preserve"> Fair Work Act 2009</w:t>
      </w:r>
      <w:r>
        <w:t>; and</w:t>
      </w:r>
    </w:p>
    <w:p w14:paraId="77CD13FA" w14:textId="77777777" w:rsidR="00E83735" w:rsidRDefault="00E83735" w:rsidP="00D557BC">
      <w:pPr>
        <w:pStyle w:val="BodyText2"/>
        <w:numPr>
          <w:ilvl w:val="1"/>
          <w:numId w:val="10"/>
        </w:numPr>
        <w:jc w:val="both"/>
      </w:pPr>
      <w:r>
        <w:t xml:space="preserve">in relation to any employment contract or contract of appointment </w:t>
      </w:r>
      <w:r w:rsidR="0004644A">
        <w:t xml:space="preserve">or engagement </w:t>
      </w:r>
      <w:r>
        <w:t>governed by foreign law, any applicable foreign legislation.</w:t>
      </w:r>
    </w:p>
    <w:p w14:paraId="49A46681" w14:textId="2225C749" w:rsidR="00F856DD" w:rsidRDefault="00326026" w:rsidP="00C20D94">
      <w:pPr>
        <w:pStyle w:val="BodyText1"/>
      </w:pPr>
      <w:bookmarkStart w:id="36" w:name="_Hlk107310012"/>
      <w:r>
        <w:t xml:space="preserve">For an ADI, </w:t>
      </w:r>
      <w:r w:rsidR="00EF0576">
        <w:t>b</w:t>
      </w:r>
      <w:r w:rsidR="00F856DD">
        <w:t xml:space="preserve">y </w:t>
      </w:r>
      <w:r w:rsidR="00E83735">
        <w:t xml:space="preserve">operation of the </w:t>
      </w:r>
      <w:r w:rsidR="00E83735" w:rsidRPr="001702A7">
        <w:rPr>
          <w:i/>
        </w:rPr>
        <w:t>Legislation Act 2003</w:t>
      </w:r>
      <w:r w:rsidR="00E83735">
        <w:t>, this Prudential Standard is to be read and construed subject to</w:t>
      </w:r>
      <w:r w:rsidR="00085AB3">
        <w:t xml:space="preserve"> </w:t>
      </w:r>
      <w:r w:rsidR="004E2054">
        <w:t>the Banking Act, including Part IIAA</w:t>
      </w:r>
      <w:r w:rsidR="00300487">
        <w:t xml:space="preserve"> which imposes requirements relating to remuneration.</w:t>
      </w:r>
    </w:p>
    <w:p w14:paraId="1184508A" w14:textId="7586D48A" w:rsidR="0003737B" w:rsidRDefault="0003737B" w:rsidP="00300487">
      <w:pPr>
        <w:pStyle w:val="APRANORMAL"/>
      </w:pPr>
    </w:p>
    <w:p w14:paraId="1C127535" w14:textId="799399AD" w:rsidR="00721319" w:rsidRDefault="0002270D" w:rsidP="00D557BC">
      <w:pPr>
        <w:pStyle w:val="BodyText1"/>
      </w:pPr>
      <w:bookmarkStart w:id="37" w:name="_Ref33641332"/>
      <w:bookmarkStart w:id="38" w:name="_Ref55370668"/>
      <w:bookmarkEnd w:id="36"/>
      <w:bookmarkEnd w:id="37"/>
      <w:r>
        <w:lastRenderedPageBreak/>
        <w:t>Subject to paragraph</w:t>
      </w:r>
      <w:r w:rsidR="00881CA9">
        <w:t>s</w:t>
      </w:r>
      <w:r w:rsidR="00CD5858">
        <w:t xml:space="preserve"> </w:t>
      </w:r>
      <w:r w:rsidR="00CD5858">
        <w:fldChar w:fldCharType="begin"/>
      </w:r>
      <w:r w:rsidR="00CD5858">
        <w:instrText xml:space="preserve"> REF _Ref133917621 \r \h </w:instrText>
      </w:r>
      <w:r w:rsidR="00CD5858">
        <w:fldChar w:fldCharType="separate"/>
      </w:r>
      <w:r w:rsidR="00DE6765">
        <w:t>11</w:t>
      </w:r>
      <w:r w:rsidR="00CD5858">
        <w:fldChar w:fldCharType="end"/>
      </w:r>
      <w:r w:rsidR="00CD5858">
        <w:t>,</w:t>
      </w:r>
      <w:r w:rsidR="00881CA9">
        <w:t xml:space="preserve"> </w:t>
      </w:r>
      <w:r w:rsidR="008B53F7">
        <w:fldChar w:fldCharType="begin"/>
      </w:r>
      <w:r w:rsidR="008B53F7">
        <w:instrText xml:space="preserve"> REF _Ref129607668 \r \h </w:instrText>
      </w:r>
      <w:r w:rsidR="008B53F7">
        <w:fldChar w:fldCharType="separate"/>
      </w:r>
      <w:r w:rsidR="00DE6765">
        <w:t>12</w:t>
      </w:r>
      <w:r w:rsidR="008B53F7">
        <w:fldChar w:fldCharType="end"/>
      </w:r>
      <w:r w:rsidR="00881CA9">
        <w:t xml:space="preserve"> and </w:t>
      </w:r>
      <w:r w:rsidR="008B53F7">
        <w:fldChar w:fldCharType="begin"/>
      </w:r>
      <w:r w:rsidR="008B53F7">
        <w:instrText xml:space="preserve"> REF _Ref129607675 \r \h </w:instrText>
      </w:r>
      <w:r w:rsidR="008B53F7">
        <w:fldChar w:fldCharType="separate"/>
      </w:r>
      <w:r w:rsidR="00DE6765">
        <w:t>13</w:t>
      </w:r>
      <w:r w:rsidR="008B53F7">
        <w:fldChar w:fldCharType="end"/>
      </w:r>
      <w:r>
        <w:t>, t</w:t>
      </w:r>
      <w:r w:rsidR="00721319" w:rsidRPr="006A7AE7">
        <w:t>hi</w:t>
      </w:r>
      <w:r w:rsidR="0019657C">
        <w:t xml:space="preserve">s Prudential Standard </w:t>
      </w:r>
      <w:r w:rsidR="00A11B94">
        <w:t>applies</w:t>
      </w:r>
      <w:r w:rsidR="006B6A88">
        <w:t>:</w:t>
      </w:r>
      <w:bookmarkEnd w:id="38"/>
      <w:r w:rsidR="006B6A88" w:rsidRPr="006B6A88">
        <w:t xml:space="preserve"> </w:t>
      </w:r>
    </w:p>
    <w:p w14:paraId="0B273924" w14:textId="3C088A36" w:rsidR="00295396" w:rsidRDefault="00A11B94" w:rsidP="00D557BC">
      <w:pPr>
        <w:pStyle w:val="BodyText2"/>
        <w:numPr>
          <w:ilvl w:val="1"/>
          <w:numId w:val="10"/>
        </w:numPr>
        <w:jc w:val="both"/>
      </w:pPr>
      <w:r>
        <w:t xml:space="preserve">to </w:t>
      </w:r>
      <w:r w:rsidR="00295396">
        <w:t>an ADI that is a</w:t>
      </w:r>
      <w:r w:rsidR="005D73FE">
        <w:t>n SFI</w:t>
      </w:r>
      <w:r w:rsidR="00BA038A">
        <w:t>,</w:t>
      </w:r>
      <w:r w:rsidR="00295396">
        <w:t xml:space="preserve"> or a group headed by an ADI or authorised </w:t>
      </w:r>
      <w:r w:rsidR="006656E6">
        <w:t xml:space="preserve">banking </w:t>
      </w:r>
      <w:r w:rsidR="00295396">
        <w:t>NOHC that is a</w:t>
      </w:r>
      <w:r w:rsidR="00CD402A">
        <w:t>n</w:t>
      </w:r>
      <w:r w:rsidR="00295396">
        <w:t xml:space="preserve"> </w:t>
      </w:r>
      <w:r w:rsidR="00CD402A">
        <w:t>SFI</w:t>
      </w:r>
      <w:r w:rsidR="00295396">
        <w:t xml:space="preserve">, on 1 January 2023; </w:t>
      </w:r>
    </w:p>
    <w:p w14:paraId="7AC7C71B" w14:textId="2095E471" w:rsidR="00295396" w:rsidRDefault="00A11B94" w:rsidP="00D557BC">
      <w:pPr>
        <w:pStyle w:val="BodyText2"/>
        <w:numPr>
          <w:ilvl w:val="1"/>
          <w:numId w:val="10"/>
        </w:numPr>
        <w:jc w:val="both"/>
      </w:pPr>
      <w:r>
        <w:t xml:space="preserve">to </w:t>
      </w:r>
      <w:r w:rsidR="00295396">
        <w:t>a general insurer, life company, private health insurer or RSE licensee that is a</w:t>
      </w:r>
      <w:r w:rsidR="00EA33F3">
        <w:t>n</w:t>
      </w:r>
      <w:r w:rsidR="00295396">
        <w:t xml:space="preserve"> </w:t>
      </w:r>
      <w:r w:rsidR="00EA33F3">
        <w:t>SFI</w:t>
      </w:r>
      <w:r w:rsidR="00295396">
        <w:t>, or a group headed by such a</w:t>
      </w:r>
      <w:r w:rsidR="00EA33F3">
        <w:t>n</w:t>
      </w:r>
      <w:r w:rsidR="00295396">
        <w:t xml:space="preserve"> </w:t>
      </w:r>
      <w:r w:rsidR="00EA33F3">
        <w:t>SFI</w:t>
      </w:r>
      <w:r w:rsidR="00295396">
        <w:t xml:space="preserve">, or a group headed by an authorised </w:t>
      </w:r>
      <w:r w:rsidR="006656E6">
        <w:t xml:space="preserve">insurance </w:t>
      </w:r>
      <w:r w:rsidR="00295396">
        <w:t>NOHC</w:t>
      </w:r>
      <w:r w:rsidR="00785324">
        <w:t>,</w:t>
      </w:r>
      <w:r w:rsidR="00295396">
        <w:t xml:space="preserve"> </w:t>
      </w:r>
      <w:r w:rsidR="00785324" w:rsidRPr="00E5382C">
        <w:t xml:space="preserve">a parent entity of a Level 2 insurance group </w:t>
      </w:r>
      <w:r w:rsidR="00295396">
        <w:t>or a registered NOHC that is a</w:t>
      </w:r>
      <w:r w:rsidR="00EA33F3">
        <w:t>n</w:t>
      </w:r>
      <w:r w:rsidR="00295396">
        <w:t xml:space="preserve"> </w:t>
      </w:r>
      <w:r w:rsidR="000960F0">
        <w:t>SFI</w:t>
      </w:r>
      <w:r w:rsidR="00295396">
        <w:t>, on 1 July 2023; and</w:t>
      </w:r>
    </w:p>
    <w:p w14:paraId="5D2E5D61" w14:textId="2CC16864" w:rsidR="00295396" w:rsidRDefault="00A11B94" w:rsidP="00D557BC">
      <w:pPr>
        <w:pStyle w:val="BodyText2"/>
        <w:numPr>
          <w:ilvl w:val="1"/>
          <w:numId w:val="10"/>
        </w:numPr>
        <w:jc w:val="both"/>
      </w:pPr>
      <w:r>
        <w:t xml:space="preserve">to </w:t>
      </w:r>
      <w:r w:rsidR="00295396">
        <w:t>any other APRA-regulated entity on 1 January 2024.</w:t>
      </w:r>
    </w:p>
    <w:p w14:paraId="02637159" w14:textId="5031D6B2" w:rsidR="004C65C1" w:rsidRDefault="007B1B7E" w:rsidP="004D1072">
      <w:pPr>
        <w:pStyle w:val="BodyText1"/>
        <w:numPr>
          <w:ilvl w:val="0"/>
          <w:numId w:val="10"/>
        </w:numPr>
      </w:pPr>
      <w:bookmarkStart w:id="39" w:name="_Ref133917621"/>
      <w:r>
        <w:t>T</w:t>
      </w:r>
      <w:r w:rsidR="00F56139">
        <w:t>he disclosure</w:t>
      </w:r>
      <w:r w:rsidR="00E80DC8">
        <w:t xml:space="preserve"> requirements of this Prudential Standard, specified in</w:t>
      </w:r>
      <w:r w:rsidR="00F56139">
        <w:t xml:space="preserve"> </w:t>
      </w:r>
      <w:r w:rsidR="004C65C1">
        <w:t xml:space="preserve">paragraphs </w:t>
      </w:r>
      <w:r w:rsidR="00B166A8">
        <w:fldChar w:fldCharType="begin"/>
      </w:r>
      <w:r w:rsidR="00B166A8">
        <w:instrText xml:space="preserve"> REF _Ref130896764 \r \h </w:instrText>
      </w:r>
      <w:r w:rsidR="00B166A8">
        <w:fldChar w:fldCharType="separate"/>
      </w:r>
      <w:r w:rsidR="00DE6765">
        <w:t>63</w:t>
      </w:r>
      <w:r w:rsidR="00B166A8">
        <w:fldChar w:fldCharType="end"/>
      </w:r>
      <w:r w:rsidR="00B166A8">
        <w:t>-</w:t>
      </w:r>
      <w:r w:rsidR="00B166A8">
        <w:fldChar w:fldCharType="begin"/>
      </w:r>
      <w:r w:rsidR="00B166A8">
        <w:instrText xml:space="preserve"> REF _Ref129607372 \r \h </w:instrText>
      </w:r>
      <w:r w:rsidR="00B166A8">
        <w:fldChar w:fldCharType="separate"/>
      </w:r>
      <w:r w:rsidR="00DE6765">
        <w:t>73</w:t>
      </w:r>
      <w:r w:rsidR="00B166A8">
        <w:fldChar w:fldCharType="end"/>
      </w:r>
      <w:r w:rsidR="00B166A8">
        <w:t xml:space="preserve"> </w:t>
      </w:r>
      <w:r w:rsidR="004C65C1">
        <w:t xml:space="preserve">and paragraphs </w:t>
      </w:r>
      <w:r w:rsidR="00B166A8">
        <w:fldChar w:fldCharType="begin"/>
      </w:r>
      <w:r w:rsidR="00B166A8">
        <w:instrText xml:space="preserve"> REF _Ref133917496 \r \h </w:instrText>
      </w:r>
      <w:r w:rsidR="00B166A8">
        <w:fldChar w:fldCharType="separate"/>
      </w:r>
      <w:r w:rsidR="00DE6765">
        <w:t>91</w:t>
      </w:r>
      <w:r w:rsidR="00B166A8">
        <w:fldChar w:fldCharType="end"/>
      </w:r>
      <w:r w:rsidR="00B166A8">
        <w:t>-</w:t>
      </w:r>
      <w:r w:rsidR="00B166A8">
        <w:fldChar w:fldCharType="begin"/>
      </w:r>
      <w:r w:rsidR="00B166A8">
        <w:instrText xml:space="preserve"> REF _Ref129607401 \r \h </w:instrText>
      </w:r>
      <w:r w:rsidR="00B166A8">
        <w:fldChar w:fldCharType="separate"/>
      </w:r>
      <w:r w:rsidR="00DE6765">
        <w:t>98</w:t>
      </w:r>
      <w:r w:rsidR="00B166A8">
        <w:fldChar w:fldCharType="end"/>
      </w:r>
      <w:r w:rsidR="00E80DC8">
        <w:t>,</w:t>
      </w:r>
      <w:r w:rsidR="004C65C1">
        <w:t xml:space="preserve"> </w:t>
      </w:r>
      <w:r w:rsidR="002E3BAC">
        <w:t>apply to an APRA-regulated entity’s</w:t>
      </w:r>
      <w:r w:rsidR="00147EE0">
        <w:t xml:space="preserve"> first full financial year</w:t>
      </w:r>
      <w:r w:rsidR="0053241E">
        <w:t xml:space="preserve"> </w:t>
      </w:r>
      <w:r w:rsidR="002E3BAC">
        <w:t>that commences on or</w:t>
      </w:r>
      <w:r w:rsidR="00147EE0">
        <w:t xml:space="preserve"> after 1 January 2024</w:t>
      </w:r>
      <w:r w:rsidR="004C65C1">
        <w:t>.</w:t>
      </w:r>
      <w:bookmarkEnd w:id="39"/>
    </w:p>
    <w:p w14:paraId="56C134C5" w14:textId="507B9E06" w:rsidR="0055640A" w:rsidRPr="009B1354" w:rsidRDefault="0055640A" w:rsidP="00D557BC">
      <w:pPr>
        <w:pStyle w:val="BodyText1"/>
      </w:pPr>
      <w:bookmarkStart w:id="40" w:name="_Ref129607668"/>
      <w:bookmarkStart w:id="41" w:name="_Toc10021878"/>
      <w:bookmarkStart w:id="42" w:name="_Toc10106376"/>
      <w:bookmarkStart w:id="43" w:name="_Toc10729968"/>
      <w:bookmarkStart w:id="44" w:name="_Toc11164790"/>
      <w:bookmarkStart w:id="45" w:name="_Toc14420646"/>
      <w:bookmarkStart w:id="46" w:name="_Ref302645734"/>
      <w:r w:rsidRPr="009F37E3">
        <w:t xml:space="preserve">This Prudential Standard </w:t>
      </w:r>
      <w:r>
        <w:t xml:space="preserve">does not apply to a person’s variable remuneration if the opportunity to earn the variable remuneration arose before the relevant commencement dates specified in paragraph </w:t>
      </w:r>
      <w:r>
        <w:fldChar w:fldCharType="begin"/>
      </w:r>
      <w:r>
        <w:instrText xml:space="preserve"> REF _Ref55370668 \r \h </w:instrText>
      </w:r>
      <w:r w:rsidR="00D557BC">
        <w:instrText xml:space="preserve"> \* MERGEFORMAT </w:instrText>
      </w:r>
      <w:r>
        <w:fldChar w:fldCharType="separate"/>
      </w:r>
      <w:r w:rsidR="00DE6765">
        <w:t>10</w:t>
      </w:r>
      <w:r>
        <w:fldChar w:fldCharType="end"/>
      </w:r>
      <w:r w:rsidRPr="009B1354">
        <w:t>.</w:t>
      </w:r>
      <w:bookmarkEnd w:id="40"/>
    </w:p>
    <w:p w14:paraId="4D123DEF" w14:textId="610739CC" w:rsidR="00537539" w:rsidRPr="009F37E3" w:rsidRDefault="00537539" w:rsidP="00D557BC">
      <w:pPr>
        <w:pStyle w:val="BodyText1"/>
      </w:pPr>
      <w:bookmarkStart w:id="47" w:name="_Ref129607675"/>
      <w:r w:rsidRPr="009F37E3">
        <w:t xml:space="preserve">Despite paragraph </w:t>
      </w:r>
      <w:r w:rsidR="008B53F7">
        <w:fldChar w:fldCharType="begin"/>
      </w:r>
      <w:r w:rsidR="008B53F7">
        <w:instrText xml:space="preserve"> REF _Ref129607668 \r \h </w:instrText>
      </w:r>
      <w:r w:rsidR="008B53F7">
        <w:fldChar w:fldCharType="separate"/>
      </w:r>
      <w:r w:rsidR="00DE6765">
        <w:t>12</w:t>
      </w:r>
      <w:r w:rsidR="008B53F7">
        <w:fldChar w:fldCharType="end"/>
      </w:r>
      <w:r w:rsidRPr="009F37E3">
        <w:t>, if:</w:t>
      </w:r>
      <w:bookmarkEnd w:id="47"/>
    </w:p>
    <w:p w14:paraId="4FDEE7E5" w14:textId="6A208422" w:rsidR="00537539" w:rsidRPr="009B1354" w:rsidRDefault="00537539" w:rsidP="00D557BC">
      <w:pPr>
        <w:pStyle w:val="BodyText2"/>
        <w:numPr>
          <w:ilvl w:val="1"/>
          <w:numId w:val="10"/>
        </w:numPr>
        <w:jc w:val="both"/>
      </w:pPr>
      <w:r>
        <w:t>the</w:t>
      </w:r>
      <w:r w:rsidRPr="009B1354">
        <w:t xml:space="preserve"> person’s variable remuneration is payable under a contract entered into before </w:t>
      </w:r>
      <w:r w:rsidR="002C037A">
        <w:t xml:space="preserve">the previous version of </w:t>
      </w:r>
      <w:r w:rsidRPr="009B1354">
        <w:t>this Prudential Standard came into effect; and</w:t>
      </w:r>
    </w:p>
    <w:p w14:paraId="35730F83" w14:textId="3E1EDE6C" w:rsidR="00537539" w:rsidRPr="009B1354" w:rsidRDefault="00537539" w:rsidP="00D557BC">
      <w:pPr>
        <w:pStyle w:val="BodyText2"/>
        <w:numPr>
          <w:ilvl w:val="1"/>
          <w:numId w:val="10"/>
        </w:numPr>
        <w:jc w:val="both"/>
      </w:pPr>
      <w:r w:rsidRPr="009B1354">
        <w:t xml:space="preserve">apart from this paragraph, the application of this Prudential Standard to the variable remuneration would result in an acquisition of property from </w:t>
      </w:r>
      <w:r>
        <w:t>the</w:t>
      </w:r>
      <w:r w:rsidRPr="009B1354">
        <w:t xml:space="preserve"> person other than on just terms (within the meaning of paragraph 51(xxxi) of the </w:t>
      </w:r>
      <w:r w:rsidRPr="0069046C">
        <w:t>Constitution</w:t>
      </w:r>
      <w:r w:rsidRPr="009B1354">
        <w:t>);</w:t>
      </w:r>
    </w:p>
    <w:p w14:paraId="1A26EDD5" w14:textId="77777777" w:rsidR="0055640A" w:rsidRDefault="00537539" w:rsidP="00D557BC">
      <w:pPr>
        <w:ind w:left="567"/>
        <w:rPr>
          <w:rFonts w:eastAsia="Times New Roman"/>
        </w:rPr>
      </w:pPr>
      <w:r w:rsidRPr="009B1354">
        <w:rPr>
          <w:rFonts w:eastAsia="Times New Roman"/>
        </w:rPr>
        <w:t>this Prudential Standard does not apply to the variable remuneration to the extent it would result in such an acquisition.</w:t>
      </w:r>
      <w:r w:rsidRPr="009B1354">
        <w:rPr>
          <w:rFonts w:eastAsia="Times New Roman"/>
          <w:vertAlign w:val="superscript"/>
        </w:rPr>
        <w:footnoteReference w:id="5"/>
      </w:r>
      <w:r>
        <w:rPr>
          <w:rFonts w:eastAsia="Times New Roman"/>
        </w:rPr>
        <w:t xml:space="preserve"> </w:t>
      </w:r>
    </w:p>
    <w:p w14:paraId="627EC4AA" w14:textId="77777777" w:rsidR="00721319" w:rsidRDefault="00721319" w:rsidP="00D557BC">
      <w:pPr>
        <w:pStyle w:val="Heading1"/>
        <w:jc w:val="both"/>
      </w:pPr>
      <w:bookmarkStart w:id="48" w:name="_Toc55570109"/>
      <w:bookmarkStart w:id="49" w:name="_Toc102482614"/>
      <w:r>
        <w:t>Interpretation</w:t>
      </w:r>
      <w:bookmarkEnd w:id="41"/>
      <w:bookmarkEnd w:id="42"/>
      <w:bookmarkEnd w:id="43"/>
      <w:bookmarkEnd w:id="44"/>
      <w:bookmarkEnd w:id="45"/>
      <w:bookmarkEnd w:id="48"/>
      <w:bookmarkEnd w:id="49"/>
    </w:p>
    <w:p w14:paraId="344BA81E" w14:textId="6E298146" w:rsidR="00721319" w:rsidRDefault="00721319" w:rsidP="00D557BC">
      <w:pPr>
        <w:pStyle w:val="BodyText1"/>
      </w:pPr>
      <w:bookmarkStart w:id="50" w:name="_Ref55370058"/>
      <w:r w:rsidRPr="006A7AE7">
        <w:t xml:space="preserve">Terms that are defined </w:t>
      </w:r>
      <w:r w:rsidRPr="0036570B">
        <w:t xml:space="preserve">in </w:t>
      </w:r>
      <w:r w:rsidRPr="00E51145">
        <w:rPr>
          <w:i/>
        </w:rPr>
        <w:t>Prudential Standard 3PS 001 Definitions</w:t>
      </w:r>
      <w:r w:rsidRPr="006A7AE7">
        <w:t xml:space="preserve">, </w:t>
      </w:r>
      <w:r w:rsidRPr="00E51145">
        <w:rPr>
          <w:i/>
        </w:rPr>
        <w:t>Prudential Standard APS 001 Definitions</w:t>
      </w:r>
      <w:r w:rsidRPr="002C58DD">
        <w:t xml:space="preserve"> </w:t>
      </w:r>
      <w:r w:rsidRPr="006A7AE7">
        <w:t xml:space="preserve">(APS 001), </w:t>
      </w:r>
      <w:r w:rsidRPr="00E51145">
        <w:rPr>
          <w:i/>
        </w:rPr>
        <w:t>Prudential Standard GPS 001 Definitions</w:t>
      </w:r>
      <w:r w:rsidR="007E3204">
        <w:rPr>
          <w:i/>
        </w:rPr>
        <w:t xml:space="preserve"> </w:t>
      </w:r>
      <w:r w:rsidR="007E3204" w:rsidRPr="006A7AE7">
        <w:t>(</w:t>
      </w:r>
      <w:r w:rsidR="007E3204">
        <w:t>G</w:t>
      </w:r>
      <w:r w:rsidR="007E3204" w:rsidRPr="006A7AE7">
        <w:t>PS 001)</w:t>
      </w:r>
      <w:r>
        <w:t>,</w:t>
      </w:r>
      <w:r w:rsidRPr="006A7AE7">
        <w:t xml:space="preserve"> </w:t>
      </w:r>
      <w:r w:rsidRPr="00E51145">
        <w:rPr>
          <w:i/>
        </w:rPr>
        <w:t>Prudential Standard LPS 001 Definitions</w:t>
      </w:r>
      <w:r>
        <w:t xml:space="preserve"> </w:t>
      </w:r>
      <w:r w:rsidR="00346B32">
        <w:t xml:space="preserve">(LPS 001) </w:t>
      </w:r>
      <w:r>
        <w:t xml:space="preserve">or </w:t>
      </w:r>
      <w:r w:rsidRPr="00E51145">
        <w:rPr>
          <w:i/>
        </w:rPr>
        <w:t>Prudential Standard HPS 001 Definitions</w:t>
      </w:r>
      <w:r>
        <w:t xml:space="preserve"> </w:t>
      </w:r>
      <w:r w:rsidR="00346B32">
        <w:t xml:space="preserve">(HPS 001) </w:t>
      </w:r>
      <w:r w:rsidRPr="006A7AE7">
        <w:t>appear in bold the first time they are used in this Prudential Standard.</w:t>
      </w:r>
      <w:bookmarkEnd w:id="46"/>
      <w:bookmarkEnd w:id="50"/>
    </w:p>
    <w:p w14:paraId="557D5220" w14:textId="77777777" w:rsidR="00721319" w:rsidRDefault="00721319" w:rsidP="00D557BC">
      <w:pPr>
        <w:pStyle w:val="BodyText1"/>
      </w:pPr>
      <w:bookmarkStart w:id="51" w:name="_Ref55370065"/>
      <w:r w:rsidRPr="00C73D3B">
        <w:t>In this Prudential Standard, unless the contrary intention ap</w:t>
      </w:r>
      <w:r>
        <w:t>pears, a reference to an Act, R</w:t>
      </w:r>
      <w:r w:rsidRPr="00C73D3B">
        <w:t>egulations</w:t>
      </w:r>
      <w:r w:rsidR="0004644A">
        <w:t>, Rules</w:t>
      </w:r>
      <w:r w:rsidRPr="00C73D3B">
        <w:t xml:space="preserve"> or </w:t>
      </w:r>
      <w:r>
        <w:t>P</w:t>
      </w:r>
      <w:r w:rsidRPr="00C73D3B">
        <w:t xml:space="preserve">rudential </w:t>
      </w:r>
      <w:r>
        <w:t>S</w:t>
      </w:r>
      <w:r w:rsidRPr="00C73D3B">
        <w:t>tand</w:t>
      </w:r>
      <w:r>
        <w:t xml:space="preserve">ard is a reference to the Act, </w:t>
      </w:r>
      <w:r w:rsidR="00054F5B">
        <w:t>R</w:t>
      </w:r>
      <w:r w:rsidR="00054F5B" w:rsidRPr="00C73D3B">
        <w:t>egulations</w:t>
      </w:r>
      <w:r w:rsidR="0004644A">
        <w:t>, Rules</w:t>
      </w:r>
      <w:r w:rsidR="00054F5B" w:rsidRPr="00C73D3B">
        <w:t xml:space="preserve"> </w:t>
      </w:r>
      <w:r w:rsidR="00054F5B">
        <w:t>or</w:t>
      </w:r>
      <w:r>
        <w:t xml:space="preserve"> Prudential Standard as in force from time to time.</w:t>
      </w:r>
      <w:bookmarkEnd w:id="51"/>
    </w:p>
    <w:p w14:paraId="43C47D8D" w14:textId="77777777" w:rsidR="00332EE4" w:rsidRDefault="00332EE4" w:rsidP="00D557BC">
      <w:pPr>
        <w:pStyle w:val="BodyText1"/>
      </w:pPr>
      <w:r w:rsidRPr="006A7AE7">
        <w:lastRenderedPageBreak/>
        <w:t>Where this Prudential Standard provides for APRA to exercise a power or discretion, th</w:t>
      </w:r>
      <w:r>
        <w:t>e</w:t>
      </w:r>
      <w:r w:rsidRPr="006A7AE7">
        <w:t xml:space="preserve"> power or discretion is to be exercised in writing.</w:t>
      </w:r>
    </w:p>
    <w:p w14:paraId="64116196" w14:textId="77777777" w:rsidR="00332EE4" w:rsidRDefault="00332EE4" w:rsidP="00D557BC">
      <w:pPr>
        <w:pStyle w:val="BodyText1"/>
      </w:pPr>
      <w:bookmarkStart w:id="52" w:name="_Ref43094186"/>
      <w:r>
        <w:t xml:space="preserve">For </w:t>
      </w:r>
      <w:r w:rsidR="00273A32">
        <w:t>the purposes of this P</w:t>
      </w:r>
      <w:r>
        <w:t xml:space="preserve">rudential </w:t>
      </w:r>
      <w:r w:rsidR="00273A32">
        <w:t>S</w:t>
      </w:r>
      <w:r>
        <w:t>tandard:</w:t>
      </w:r>
      <w:bookmarkEnd w:id="52"/>
    </w:p>
    <w:p w14:paraId="09D9AFC1" w14:textId="77777777" w:rsidR="00332EE4" w:rsidRPr="00424575" w:rsidRDefault="00332EE4" w:rsidP="00D557BC">
      <w:pPr>
        <w:pStyle w:val="BodyText2"/>
        <w:jc w:val="both"/>
      </w:pPr>
      <w:r w:rsidRPr="00424575">
        <w:t xml:space="preserve">group – means a Level 2 group, </w:t>
      </w:r>
      <w:r w:rsidRPr="00424575">
        <w:rPr>
          <w:b/>
        </w:rPr>
        <w:t>Level 3 group</w:t>
      </w:r>
      <w:r w:rsidR="00C4491A" w:rsidRPr="00424575">
        <w:rPr>
          <w:b/>
        </w:rPr>
        <w:t xml:space="preserve"> </w:t>
      </w:r>
      <w:r w:rsidRPr="00424575">
        <w:t>or a group comprising the RSE licensee and all connected entities</w:t>
      </w:r>
      <w:r w:rsidRPr="00424575">
        <w:rPr>
          <w:rStyle w:val="FootnoteReference"/>
        </w:rPr>
        <w:footnoteReference w:id="6"/>
      </w:r>
      <w:r w:rsidRPr="00424575">
        <w:t xml:space="preserve"> and all related bodies corporate</w:t>
      </w:r>
      <w:r w:rsidRPr="00424575">
        <w:rPr>
          <w:rStyle w:val="FootnoteReference"/>
        </w:rPr>
        <w:footnoteReference w:id="7"/>
      </w:r>
      <w:r w:rsidRPr="00424575">
        <w:t xml:space="preserve"> of the RSE licensee, as relevant;</w:t>
      </w:r>
      <w:r w:rsidRPr="00424575">
        <w:rPr>
          <w:rStyle w:val="FootnoteReference"/>
        </w:rPr>
        <w:footnoteReference w:id="8"/>
      </w:r>
    </w:p>
    <w:p w14:paraId="7F38470A" w14:textId="77777777" w:rsidR="00332EE4" w:rsidRPr="00424575" w:rsidRDefault="00332EE4" w:rsidP="00D557BC">
      <w:pPr>
        <w:pStyle w:val="BodyText2"/>
        <w:jc w:val="both"/>
      </w:pPr>
      <w:r w:rsidRPr="00424575">
        <w:t xml:space="preserve">Head of a group – means a Level 2 Head or </w:t>
      </w:r>
      <w:r w:rsidRPr="00424575">
        <w:rPr>
          <w:b/>
        </w:rPr>
        <w:t>Level 3 Head</w:t>
      </w:r>
      <w:r w:rsidRPr="00424575">
        <w:t>, as relevant;</w:t>
      </w:r>
    </w:p>
    <w:p w14:paraId="2D0A5939" w14:textId="77777777" w:rsidR="00332EE4" w:rsidRPr="00424575" w:rsidRDefault="00332EE4" w:rsidP="00D557BC">
      <w:pPr>
        <w:pStyle w:val="BodyText2"/>
        <w:jc w:val="both"/>
      </w:pPr>
      <w:r w:rsidRPr="00424575">
        <w:t>Level 2 group – means the entities that comprise:</w:t>
      </w:r>
    </w:p>
    <w:p w14:paraId="010DACAA" w14:textId="77777777" w:rsidR="00332EE4" w:rsidRPr="00424575" w:rsidRDefault="00332EE4" w:rsidP="00D557BC">
      <w:pPr>
        <w:pStyle w:val="BodyText3"/>
        <w:jc w:val="both"/>
      </w:pPr>
      <w:r w:rsidRPr="00424575">
        <w:rPr>
          <w:b/>
        </w:rPr>
        <w:t xml:space="preserve">Level 2 </w:t>
      </w:r>
      <w:r w:rsidRPr="00424575">
        <w:t>as defined in APS 001; or</w:t>
      </w:r>
    </w:p>
    <w:p w14:paraId="04A597C7" w14:textId="77777777" w:rsidR="00332EE4" w:rsidRPr="00424575" w:rsidRDefault="00332EE4" w:rsidP="00D557BC">
      <w:pPr>
        <w:pStyle w:val="BodyText3"/>
        <w:jc w:val="both"/>
      </w:pPr>
      <w:r w:rsidRPr="00424575">
        <w:t>a Level 2 insurance group as defined in GPS 001;</w:t>
      </w:r>
    </w:p>
    <w:p w14:paraId="5FBC729A" w14:textId="77777777" w:rsidR="00332EE4" w:rsidRPr="00424575" w:rsidRDefault="00332EE4" w:rsidP="00D557BC">
      <w:pPr>
        <w:pStyle w:val="BodyText2"/>
        <w:jc w:val="both"/>
      </w:pPr>
      <w:r w:rsidRPr="00424575">
        <w:t>Level 2 Head – means:</w:t>
      </w:r>
    </w:p>
    <w:p w14:paraId="5B8563F4" w14:textId="77777777" w:rsidR="00332EE4" w:rsidRPr="00424575" w:rsidRDefault="00332EE4" w:rsidP="00D557BC">
      <w:pPr>
        <w:pStyle w:val="BodyText3"/>
        <w:jc w:val="both"/>
      </w:pPr>
      <w:r w:rsidRPr="00424575">
        <w:t xml:space="preserve">where an ADI that is a member of a Level 2 group is not a </w:t>
      </w:r>
      <w:r w:rsidRPr="00424575">
        <w:rPr>
          <w:b/>
        </w:rPr>
        <w:t>subsidiary</w:t>
      </w:r>
      <w:r w:rsidRPr="00424575">
        <w:t xml:space="preserve"> of an authorised banking NOHC or another ADI, that ADI;</w:t>
      </w:r>
    </w:p>
    <w:p w14:paraId="275878B6" w14:textId="77777777" w:rsidR="00332EE4" w:rsidRPr="00424575" w:rsidRDefault="00332EE4" w:rsidP="00D557BC">
      <w:pPr>
        <w:pStyle w:val="BodyText3"/>
        <w:jc w:val="both"/>
      </w:pPr>
      <w:r w:rsidRPr="00424575">
        <w:t>where an ADI that is a member of a Level 2 group is a subsidiary of an authorised banking NOHC, that authorised banking NOHC; or</w:t>
      </w:r>
    </w:p>
    <w:p w14:paraId="081B9545" w14:textId="77777777" w:rsidR="00332EE4" w:rsidRPr="00424575" w:rsidRDefault="00332EE4" w:rsidP="00D557BC">
      <w:pPr>
        <w:pStyle w:val="BodyText3"/>
        <w:jc w:val="both"/>
        <w:rPr>
          <w:sz w:val="20"/>
        </w:rPr>
      </w:pPr>
      <w:r w:rsidRPr="00424575">
        <w:t>the parent entity of a Level 2 insurance group as defined in GPS 001;</w:t>
      </w:r>
    </w:p>
    <w:p w14:paraId="253A1F8E" w14:textId="77777777" w:rsidR="00B11423" w:rsidRPr="00E546C7" w:rsidRDefault="00B11423" w:rsidP="00D557BC">
      <w:pPr>
        <w:pStyle w:val="Heading1"/>
        <w:jc w:val="both"/>
      </w:pPr>
      <w:bookmarkStart w:id="53" w:name="_Toc536533448"/>
      <w:bookmarkStart w:id="54" w:name="_Toc6989033"/>
      <w:bookmarkStart w:id="55" w:name="_Toc8908730"/>
      <w:bookmarkStart w:id="56" w:name="_Toc10021890"/>
      <w:bookmarkStart w:id="57" w:name="_Toc10106385"/>
      <w:bookmarkStart w:id="58" w:name="_Toc10729979"/>
      <w:bookmarkStart w:id="59" w:name="_Toc11164801"/>
      <w:bookmarkStart w:id="60" w:name="_Toc14420647"/>
      <w:bookmarkStart w:id="61" w:name="_Toc55570110"/>
      <w:bookmarkStart w:id="62" w:name="_Toc102482615"/>
      <w:bookmarkStart w:id="63" w:name="_Toc10021879"/>
      <w:bookmarkStart w:id="64" w:name="_Toc10106377"/>
      <w:bookmarkStart w:id="65" w:name="_Toc10729969"/>
      <w:bookmarkStart w:id="66" w:name="_Toc11164791"/>
      <w:r w:rsidRPr="00E546C7">
        <w:t>Adjustments and exclusions</w:t>
      </w:r>
      <w:bookmarkEnd w:id="53"/>
      <w:bookmarkEnd w:id="54"/>
      <w:bookmarkEnd w:id="55"/>
      <w:bookmarkEnd w:id="56"/>
      <w:bookmarkEnd w:id="57"/>
      <w:bookmarkEnd w:id="58"/>
      <w:bookmarkEnd w:id="59"/>
      <w:bookmarkEnd w:id="60"/>
      <w:bookmarkEnd w:id="61"/>
      <w:bookmarkEnd w:id="62"/>
    </w:p>
    <w:p w14:paraId="41D959DC" w14:textId="77777777" w:rsidR="00B11423" w:rsidRPr="00E6583C" w:rsidRDefault="00B11423" w:rsidP="00D557BC">
      <w:pPr>
        <w:pStyle w:val="BodyText1"/>
      </w:pPr>
      <w:bookmarkStart w:id="67" w:name="_Ref43094248"/>
      <w:r w:rsidRPr="00666895">
        <w:t>APRA may adjust or exclude a specific requirement in this Prudential Standard in relation to an</w:t>
      </w:r>
      <w:r>
        <w:t xml:space="preserve"> </w:t>
      </w:r>
      <w:r w:rsidR="001B0FA3">
        <w:t xml:space="preserve">APRA-regulated </w:t>
      </w:r>
      <w:r>
        <w:t>entity</w:t>
      </w:r>
      <w:r w:rsidRPr="00666895">
        <w:t>.</w:t>
      </w:r>
      <w:bookmarkEnd w:id="67"/>
    </w:p>
    <w:p w14:paraId="4A592D81" w14:textId="77777777" w:rsidR="00B11423" w:rsidRPr="00E546C7" w:rsidRDefault="00B11423" w:rsidP="00D557BC">
      <w:pPr>
        <w:pStyle w:val="Heading1"/>
        <w:jc w:val="both"/>
      </w:pPr>
      <w:bookmarkStart w:id="68" w:name="_Toc536533449"/>
      <w:bookmarkStart w:id="69" w:name="_Toc6989034"/>
      <w:bookmarkStart w:id="70" w:name="_Toc8908731"/>
      <w:bookmarkStart w:id="71" w:name="_Toc10021891"/>
      <w:bookmarkStart w:id="72" w:name="_Toc10106386"/>
      <w:bookmarkStart w:id="73" w:name="_Toc10729980"/>
      <w:bookmarkStart w:id="74" w:name="_Toc11164802"/>
      <w:bookmarkStart w:id="75" w:name="_Toc14420648"/>
      <w:bookmarkStart w:id="76" w:name="_Toc55570111"/>
      <w:bookmarkStart w:id="77" w:name="_Toc102482616"/>
      <w:r w:rsidRPr="00E546C7">
        <w:t>Previous exercise of discretion</w:t>
      </w:r>
      <w:bookmarkEnd w:id="68"/>
      <w:bookmarkEnd w:id="69"/>
      <w:bookmarkEnd w:id="70"/>
      <w:bookmarkEnd w:id="71"/>
      <w:bookmarkEnd w:id="72"/>
      <w:bookmarkEnd w:id="73"/>
      <w:bookmarkEnd w:id="74"/>
      <w:bookmarkEnd w:id="75"/>
      <w:bookmarkEnd w:id="76"/>
      <w:bookmarkEnd w:id="77"/>
    </w:p>
    <w:p w14:paraId="5A338CDF" w14:textId="68EA2C2D" w:rsidR="00B11423" w:rsidRPr="007D2D7F" w:rsidRDefault="00B11423" w:rsidP="00D557BC">
      <w:pPr>
        <w:pStyle w:val="BodyText1"/>
      </w:pPr>
      <w:bookmarkStart w:id="78" w:name="_Hlk79697761"/>
      <w:bookmarkStart w:id="79" w:name="_Ref5715779"/>
      <w:bookmarkStart w:id="80" w:name="_Ref6928986"/>
      <w:bookmarkStart w:id="81" w:name="_Ref10030013"/>
      <w:bookmarkStart w:id="82" w:name="_Ref10469452"/>
      <w:bookmarkStart w:id="83" w:name="_Ref10791540"/>
      <w:bookmarkStart w:id="84" w:name="_Ref11156585"/>
      <w:r w:rsidRPr="00666895">
        <w:t xml:space="preserve">An </w:t>
      </w:r>
      <w:r w:rsidR="001B0FA3">
        <w:t xml:space="preserve">APRA-regulated </w:t>
      </w:r>
      <w:r>
        <w:t>entity</w:t>
      </w:r>
      <w:r w:rsidRPr="00666895">
        <w:t xml:space="preserve"> must contact APRA if it seeks to place reliance, for the purposes of complying with this Prudential Standard, on a previous exemption or other exercise of discretion by APRA under </w:t>
      </w:r>
      <w:bookmarkEnd w:id="78"/>
      <w:r w:rsidR="00D1184D" w:rsidRPr="005537F5">
        <w:rPr>
          <w:i/>
          <w:szCs w:val="20"/>
        </w:rPr>
        <w:t>Prudential Standard CPS 510 Governance</w:t>
      </w:r>
      <w:r w:rsidR="00D1184D" w:rsidRPr="005537F5">
        <w:rPr>
          <w:szCs w:val="20"/>
        </w:rPr>
        <w:t xml:space="preserve"> </w:t>
      </w:r>
      <w:r w:rsidR="00D1184D">
        <w:rPr>
          <w:szCs w:val="20"/>
        </w:rPr>
        <w:t>or</w:t>
      </w:r>
      <w:r w:rsidR="00D1184D" w:rsidRPr="005537F5">
        <w:rPr>
          <w:szCs w:val="20"/>
        </w:rPr>
        <w:t xml:space="preserve"> </w:t>
      </w:r>
      <w:r w:rsidR="00D1184D" w:rsidRPr="005537F5">
        <w:rPr>
          <w:i/>
          <w:szCs w:val="20"/>
        </w:rPr>
        <w:t>Prudential Standard SPS 510 Governance</w:t>
      </w:r>
      <w:r w:rsidR="00D1184D" w:rsidRPr="005537F5">
        <w:rPr>
          <w:szCs w:val="20"/>
        </w:rPr>
        <w:t xml:space="preserve"> (</w:t>
      </w:r>
      <w:r w:rsidR="00D1184D">
        <w:rPr>
          <w:szCs w:val="20"/>
        </w:rPr>
        <w:t>S</w:t>
      </w:r>
      <w:r w:rsidR="00D1184D" w:rsidRPr="005537F5">
        <w:rPr>
          <w:szCs w:val="20"/>
        </w:rPr>
        <w:t>PS 510)</w:t>
      </w:r>
      <w:r w:rsidRPr="00666895">
        <w:t>.</w:t>
      </w:r>
      <w:bookmarkEnd w:id="79"/>
      <w:bookmarkEnd w:id="80"/>
      <w:bookmarkEnd w:id="81"/>
      <w:bookmarkEnd w:id="82"/>
      <w:bookmarkEnd w:id="83"/>
      <w:bookmarkEnd w:id="84"/>
      <w:r>
        <w:t xml:space="preserve"> </w:t>
      </w:r>
    </w:p>
    <w:p w14:paraId="06B02D25" w14:textId="77777777" w:rsidR="00721319" w:rsidRDefault="00721319" w:rsidP="00D557BC">
      <w:pPr>
        <w:pStyle w:val="Heading1"/>
        <w:jc w:val="both"/>
      </w:pPr>
      <w:bookmarkStart w:id="85" w:name="_Toc14420649"/>
      <w:bookmarkStart w:id="86" w:name="_Toc55570112"/>
      <w:bookmarkStart w:id="87" w:name="_Toc102482617"/>
      <w:r>
        <w:t>Defin</w:t>
      </w:r>
      <w:r w:rsidR="00DB420B">
        <w:t>i</w:t>
      </w:r>
      <w:r>
        <w:t>tions</w:t>
      </w:r>
      <w:bookmarkEnd w:id="63"/>
      <w:bookmarkEnd w:id="64"/>
      <w:bookmarkEnd w:id="65"/>
      <w:bookmarkEnd w:id="66"/>
      <w:bookmarkEnd w:id="85"/>
      <w:bookmarkEnd w:id="86"/>
      <w:bookmarkEnd w:id="87"/>
    </w:p>
    <w:p w14:paraId="2FC087A9" w14:textId="77777777" w:rsidR="00721319" w:rsidRDefault="00721319" w:rsidP="00D557BC">
      <w:pPr>
        <w:pStyle w:val="BodyText1"/>
      </w:pPr>
      <w:bookmarkStart w:id="88" w:name="_Ref9419271"/>
      <w:r>
        <w:t xml:space="preserve">The following definitions are used in this </w:t>
      </w:r>
      <w:r w:rsidRPr="006A7AE7">
        <w:t xml:space="preserve">Prudential </w:t>
      </w:r>
      <w:r>
        <w:t>Standard:</w:t>
      </w:r>
      <w:bookmarkEnd w:id="88"/>
    </w:p>
    <w:p w14:paraId="0821201C" w14:textId="77777777" w:rsidR="00F72854" w:rsidRDefault="00F72854" w:rsidP="00D557BC">
      <w:pPr>
        <w:pStyle w:val="BodyText2"/>
        <w:jc w:val="both"/>
      </w:pPr>
      <w:r>
        <w:lastRenderedPageBreak/>
        <w:t>Board –</w:t>
      </w:r>
      <w:r w:rsidR="00180324">
        <w:t xml:space="preserve"> </w:t>
      </w:r>
      <w:r>
        <w:t>f</w:t>
      </w:r>
      <w:r w:rsidRPr="00F72854">
        <w:t xml:space="preserve">or an RSE licensee, </w:t>
      </w:r>
      <w:r w:rsidR="00AC4D58">
        <w:t xml:space="preserve">means </w:t>
      </w:r>
      <w:r w:rsidRPr="00F72854">
        <w:t xml:space="preserve">a reference to the Board of directors or group of individual trustees of an RSE licensee </w:t>
      </w:r>
      <w:r w:rsidR="00991AA3">
        <w:t>where</w:t>
      </w:r>
      <w:r w:rsidRPr="00F72854">
        <w:t xml:space="preserve"> ‘group of individual trustees’ has the meaning given in </w:t>
      </w:r>
      <w:r w:rsidR="008B6F53">
        <w:t>sub</w:t>
      </w:r>
      <w:r w:rsidRPr="00F72854">
        <w:t>section 10(1) of the SIS Act</w:t>
      </w:r>
      <w:r>
        <w:t>;</w:t>
      </w:r>
    </w:p>
    <w:p w14:paraId="79D9911C" w14:textId="77777777" w:rsidR="00721319" w:rsidRDefault="00721319" w:rsidP="00D557BC">
      <w:pPr>
        <w:pStyle w:val="BodyText2"/>
        <w:jc w:val="both"/>
      </w:pPr>
      <w:r w:rsidRPr="007634CD">
        <w:t>clawback</w:t>
      </w:r>
      <w:r w:rsidRPr="007C0ADA">
        <w:t xml:space="preserve"> </w:t>
      </w:r>
      <w:r>
        <w:t>–</w:t>
      </w:r>
      <w:r w:rsidR="006B160C">
        <w:t xml:space="preserve"> means the recovery of </w:t>
      </w:r>
      <w:r w:rsidR="00D07FDC">
        <w:t xml:space="preserve">an amount </w:t>
      </w:r>
      <w:r w:rsidR="00D07FDC" w:rsidRPr="00AF6BEB">
        <w:t xml:space="preserve">corresponding to some or all variable </w:t>
      </w:r>
      <w:r w:rsidR="004E700E">
        <w:t>remuneration</w:t>
      </w:r>
      <w:r w:rsidR="006B160C">
        <w:t xml:space="preserve"> </w:t>
      </w:r>
      <w:r w:rsidR="00D07FDC" w:rsidRPr="00AF6BEB">
        <w:t>subject to recovery</w:t>
      </w:r>
      <w:r w:rsidR="00D07FDC">
        <w:t xml:space="preserve"> </w:t>
      </w:r>
      <w:r w:rsidR="006B160C">
        <w:t xml:space="preserve">that has been paid or vested </w:t>
      </w:r>
      <w:r w:rsidR="00C4491A">
        <w:t xml:space="preserve">to </w:t>
      </w:r>
      <w:r w:rsidR="006B160C">
        <w:t>a</w:t>
      </w:r>
      <w:r w:rsidR="001E02C9">
        <w:t xml:space="preserve"> person</w:t>
      </w:r>
      <w:r>
        <w:t>;</w:t>
      </w:r>
    </w:p>
    <w:p w14:paraId="2AA0CF31" w14:textId="0A9EE856" w:rsidR="005F3EA4" w:rsidRDefault="005F3EA4" w:rsidP="00802E43">
      <w:pPr>
        <w:pStyle w:val="BodyText2"/>
        <w:jc w:val="both"/>
      </w:pPr>
      <w:r>
        <w:t xml:space="preserve">conduct risk – means </w:t>
      </w:r>
      <w:r w:rsidRPr="005F3EA4">
        <w:t>the risk associated with misconduct</w:t>
      </w:r>
      <w:r>
        <w:t>;</w:t>
      </w:r>
    </w:p>
    <w:p w14:paraId="0D43CEC3" w14:textId="1476C90B" w:rsidR="000E5ACE" w:rsidRDefault="00873F66" w:rsidP="006F500C">
      <w:pPr>
        <w:pStyle w:val="BodyText2"/>
        <w:jc w:val="both"/>
      </w:pPr>
      <w:r w:rsidRPr="00873F66">
        <w:t>consequence management – means the approach to manag</w:t>
      </w:r>
      <w:r w:rsidR="000D549E">
        <w:t>ing</w:t>
      </w:r>
      <w:r w:rsidRPr="00873F66">
        <w:t xml:space="preserve"> performance, risk and conduct outcomes, which may include downward adjustments to variable remuneration</w:t>
      </w:r>
      <w:r w:rsidR="00DF456A">
        <w:t>;</w:t>
      </w:r>
    </w:p>
    <w:p w14:paraId="7639538E" w14:textId="77777777" w:rsidR="00293907" w:rsidRDefault="00293907" w:rsidP="00802E43">
      <w:pPr>
        <w:pStyle w:val="BodyText2"/>
        <w:jc w:val="both"/>
      </w:pPr>
      <w:r>
        <w:t xml:space="preserve">executive director – means a </w:t>
      </w:r>
      <w:r w:rsidR="00D82212" w:rsidRPr="00902A8A">
        <w:rPr>
          <w:b/>
        </w:rPr>
        <w:t>director</w:t>
      </w:r>
      <w:r w:rsidR="00D82212">
        <w:t xml:space="preserve"> that is not a</w:t>
      </w:r>
      <w:r>
        <w:t xml:space="preserve"> non-executive director</w:t>
      </w:r>
      <w:r w:rsidR="00902A8A">
        <w:t>;</w:t>
      </w:r>
    </w:p>
    <w:p w14:paraId="104756BD" w14:textId="77777777" w:rsidR="00FC68F9" w:rsidRDefault="00FC68F9" w:rsidP="00802E43">
      <w:pPr>
        <w:pStyle w:val="BodyText2"/>
        <w:jc w:val="both"/>
      </w:pPr>
      <w:r>
        <w:t xml:space="preserve">financial measures – means </w:t>
      </w:r>
      <w:r w:rsidRPr="004B3F1F">
        <w:t xml:space="preserve">measures that are based on </w:t>
      </w:r>
      <w:r w:rsidR="00DE399E">
        <w:t>revenue,</w:t>
      </w:r>
      <w:r w:rsidRPr="004B3F1F">
        <w:t xml:space="preserve"> </w:t>
      </w:r>
      <w:r w:rsidR="004F4BB9">
        <w:t xml:space="preserve">sales, </w:t>
      </w:r>
      <w:r w:rsidRPr="004B3F1F">
        <w:t xml:space="preserve">profit, </w:t>
      </w:r>
      <w:r w:rsidR="00DE399E">
        <w:t xml:space="preserve">the entity’s </w:t>
      </w:r>
      <w:r w:rsidR="00AD043C">
        <w:t>share price</w:t>
      </w:r>
      <w:r w:rsidRPr="004B3F1F">
        <w:t xml:space="preserve">, or </w:t>
      </w:r>
      <w:r w:rsidR="00DE399E">
        <w:t xml:space="preserve">other measures </w:t>
      </w:r>
      <w:r w:rsidRPr="004B3F1F">
        <w:t xml:space="preserve">that directly affect </w:t>
      </w:r>
      <w:r w:rsidR="00DE399E">
        <w:t>these</w:t>
      </w:r>
      <w:r>
        <w:t>;</w:t>
      </w:r>
      <w:r w:rsidRPr="007634CD">
        <w:t xml:space="preserve"> </w:t>
      </w:r>
    </w:p>
    <w:p w14:paraId="1BD756B8" w14:textId="77777777" w:rsidR="00721319" w:rsidRDefault="00721319" w:rsidP="00802E43">
      <w:pPr>
        <w:pStyle w:val="BodyText2"/>
        <w:jc w:val="both"/>
      </w:pPr>
      <w:r w:rsidRPr="007634CD">
        <w:t>high</w:t>
      </w:r>
      <w:r>
        <w:t>ly</w:t>
      </w:r>
      <w:r w:rsidR="00AD043C">
        <w:t xml:space="preserve"> </w:t>
      </w:r>
      <w:r w:rsidRPr="007634CD">
        <w:t>paid material risk</w:t>
      </w:r>
      <w:r w:rsidR="00D94169">
        <w:t>-</w:t>
      </w:r>
      <w:r w:rsidRPr="007634CD">
        <w:t>taker</w:t>
      </w:r>
      <w:r>
        <w:t xml:space="preserve"> –</w:t>
      </w:r>
      <w:r w:rsidR="00A47746">
        <w:t xml:space="preserve"> </w:t>
      </w:r>
      <w:r w:rsidR="00C37AB4">
        <w:t xml:space="preserve">means </w:t>
      </w:r>
      <w:r w:rsidR="00195B98">
        <w:t xml:space="preserve">a </w:t>
      </w:r>
      <w:r>
        <w:t>material risk</w:t>
      </w:r>
      <w:r w:rsidR="00D94169">
        <w:t>-</w:t>
      </w:r>
      <w:r>
        <w:t xml:space="preserve">taker whose </w:t>
      </w:r>
      <w:r w:rsidR="00B25D28">
        <w:t xml:space="preserve">total fixed remuneration (which includes salary, superannuation, allowances and benefits) </w:t>
      </w:r>
      <w:r w:rsidR="00FF0AD5">
        <w:t>plus</w:t>
      </w:r>
      <w:r w:rsidR="00B25D28">
        <w:t xml:space="preserve"> </w:t>
      </w:r>
      <w:r w:rsidR="00054D68">
        <w:t>actual</w:t>
      </w:r>
      <w:r w:rsidR="00B25D28" w:rsidRPr="00DA5DE6">
        <w:t xml:space="preserve"> variable remuneration </w:t>
      </w:r>
      <w:r>
        <w:t xml:space="preserve">is equal to or greater than 1 million AUD in a </w:t>
      </w:r>
      <w:r w:rsidR="00E2335F">
        <w:t xml:space="preserve">financial </w:t>
      </w:r>
      <w:r>
        <w:t>year</w:t>
      </w:r>
      <w:r w:rsidR="000A7647">
        <w:t xml:space="preserve"> of the entity</w:t>
      </w:r>
      <w:r>
        <w:t>;</w:t>
      </w:r>
    </w:p>
    <w:p w14:paraId="2F26A451" w14:textId="77777777" w:rsidR="00721319" w:rsidRDefault="00721319" w:rsidP="00802E43">
      <w:pPr>
        <w:pStyle w:val="BodyText2"/>
        <w:jc w:val="both"/>
      </w:pPr>
      <w:r w:rsidRPr="00895B83">
        <w:t>in-period adjustment</w:t>
      </w:r>
      <w:r>
        <w:t xml:space="preserve"> –</w:t>
      </w:r>
      <w:r w:rsidR="00A47746">
        <w:t xml:space="preserve"> </w:t>
      </w:r>
      <w:r w:rsidR="00C37AB4">
        <w:t>means</w:t>
      </w:r>
      <w:r w:rsidR="00195B98">
        <w:t xml:space="preserve"> an</w:t>
      </w:r>
      <w:r w:rsidR="00C37AB4">
        <w:t xml:space="preserve"> </w:t>
      </w:r>
      <w:r>
        <w:t xml:space="preserve">adjustment made </w:t>
      </w:r>
      <w:r w:rsidR="00A5501D">
        <w:t xml:space="preserve">to variable remuneration </w:t>
      </w:r>
      <w:r>
        <w:t xml:space="preserve">during the period </w:t>
      </w:r>
      <w:r w:rsidR="008F48B2">
        <w:t xml:space="preserve">set </w:t>
      </w:r>
      <w:r>
        <w:t xml:space="preserve">for measuring the performance </w:t>
      </w:r>
      <w:r w:rsidR="00AD043C">
        <w:t>under</w:t>
      </w:r>
      <w:r>
        <w:t xml:space="preserve"> a variable remuneration </w:t>
      </w:r>
      <w:r w:rsidR="008D7CBF">
        <w:t>arrangement</w:t>
      </w:r>
      <w:r>
        <w:t>;</w:t>
      </w:r>
    </w:p>
    <w:p w14:paraId="787A783C" w14:textId="77777777" w:rsidR="0031035C" w:rsidRDefault="0031035C" w:rsidP="00802E43">
      <w:pPr>
        <w:pStyle w:val="BodyText2"/>
        <w:jc w:val="both"/>
      </w:pPr>
      <w:r>
        <w:t>independent direct</w:t>
      </w:r>
      <w:r w:rsidR="00393635">
        <w:t>or – means a director</w:t>
      </w:r>
      <w:r w:rsidR="00393635" w:rsidRPr="008A566B">
        <w:t xml:space="preserve"> defined as </w:t>
      </w:r>
      <w:r w:rsidR="00393635">
        <w:t>independ</w:t>
      </w:r>
      <w:r w:rsidR="001D048F">
        <w:t>e</w:t>
      </w:r>
      <w:r w:rsidR="00393635">
        <w:t xml:space="preserve">nt </w:t>
      </w:r>
      <w:r w:rsidR="00393635" w:rsidRPr="008A566B">
        <w:t xml:space="preserve">in </w:t>
      </w:r>
      <w:r w:rsidR="00393635" w:rsidRPr="006430C4">
        <w:rPr>
          <w:i/>
        </w:rPr>
        <w:t>Prudential Standard CPS 510 G</w:t>
      </w:r>
      <w:r w:rsidR="00393635" w:rsidRPr="003F78D4">
        <w:rPr>
          <w:i/>
        </w:rPr>
        <w:t>overnance</w:t>
      </w:r>
      <w:r w:rsidR="00393635" w:rsidRPr="006430C4">
        <w:t xml:space="preserve"> </w:t>
      </w:r>
      <w:r w:rsidR="00393635">
        <w:t>and</w:t>
      </w:r>
      <w:r w:rsidR="008A377F" w:rsidRPr="008A377F">
        <w:t xml:space="preserve"> </w:t>
      </w:r>
      <w:r w:rsidR="008A377F">
        <w:t>in subsection 10(1) of the SIS Act</w:t>
      </w:r>
      <w:r w:rsidR="00393635" w:rsidRPr="008A566B">
        <w:t>;</w:t>
      </w:r>
    </w:p>
    <w:p w14:paraId="0D639A93" w14:textId="77777777" w:rsidR="00721319" w:rsidRDefault="00721319" w:rsidP="00802E43">
      <w:pPr>
        <w:pStyle w:val="BodyText2"/>
        <w:jc w:val="both"/>
      </w:pPr>
      <w:r w:rsidRPr="00895B83">
        <w:t xml:space="preserve">malus </w:t>
      </w:r>
      <w:r>
        <w:t>–</w:t>
      </w:r>
      <w:r w:rsidR="00A47746">
        <w:t xml:space="preserve"> </w:t>
      </w:r>
      <w:r w:rsidR="00C37AB4">
        <w:t xml:space="preserve">means </w:t>
      </w:r>
      <w:r>
        <w:t xml:space="preserve">an adjustment to reduce the value of all or part of deferred </w:t>
      </w:r>
      <w:r w:rsidR="00F56DFA">
        <w:t xml:space="preserve">variable </w:t>
      </w:r>
      <w:r>
        <w:t>remuneration before it has vested;</w:t>
      </w:r>
    </w:p>
    <w:p w14:paraId="412DA7C9" w14:textId="77777777" w:rsidR="00721319" w:rsidRDefault="00721319" w:rsidP="00802E43">
      <w:pPr>
        <w:pStyle w:val="BodyText2"/>
        <w:jc w:val="both"/>
      </w:pPr>
      <w:r w:rsidRPr="00895B83">
        <w:t>material risk</w:t>
      </w:r>
      <w:r w:rsidR="00E37602">
        <w:t>-</w:t>
      </w:r>
      <w:r w:rsidRPr="00895B83">
        <w:t>taker</w:t>
      </w:r>
      <w:r w:rsidRPr="004B0F6D">
        <w:rPr>
          <w:i/>
        </w:rPr>
        <w:t xml:space="preserve"> </w:t>
      </w:r>
      <w:r>
        <w:t>–</w:t>
      </w:r>
      <w:r w:rsidR="00A47746">
        <w:t xml:space="preserve"> </w:t>
      </w:r>
      <w:r w:rsidR="00C37AB4">
        <w:t xml:space="preserve">means </w:t>
      </w:r>
      <w:r w:rsidR="00195B98">
        <w:t xml:space="preserve">a </w:t>
      </w:r>
      <w:r>
        <w:t xml:space="preserve">person whose activities have a material </w:t>
      </w:r>
      <w:r w:rsidR="00EB7419">
        <w:t xml:space="preserve">potential </w:t>
      </w:r>
      <w:r>
        <w:t xml:space="preserve">impact on the entity’s </w:t>
      </w:r>
      <w:r w:rsidR="00C73659">
        <w:t xml:space="preserve">risk profile, </w:t>
      </w:r>
      <w:r>
        <w:t>performance</w:t>
      </w:r>
      <w:r w:rsidR="00E37602">
        <w:t xml:space="preserve"> and</w:t>
      </w:r>
      <w:r>
        <w:t xml:space="preserve"> long-term soundness</w:t>
      </w:r>
      <w:r w:rsidR="00E37602">
        <w:t>,</w:t>
      </w:r>
      <w:r w:rsidR="00C4491A">
        <w:t xml:space="preserve"> </w:t>
      </w:r>
      <w:r w:rsidR="00E37602">
        <w:t>and</w:t>
      </w:r>
      <w:r w:rsidR="00C4491A">
        <w:t xml:space="preserve"> </w:t>
      </w:r>
      <w:r w:rsidR="00462879">
        <w:t xml:space="preserve">in addition </w:t>
      </w:r>
      <w:r w:rsidR="00C4491A">
        <w:t>for a</w:t>
      </w:r>
      <w:r w:rsidR="00967EFD">
        <w:t>n</w:t>
      </w:r>
      <w:r w:rsidR="00C4491A">
        <w:t xml:space="preserve"> RSE licensee, </w:t>
      </w:r>
      <w:r w:rsidR="00462879">
        <w:t xml:space="preserve">means a person whose activities have a material potential </w:t>
      </w:r>
      <w:r w:rsidR="00C4491A">
        <w:t xml:space="preserve">impact on </w:t>
      </w:r>
      <w:r w:rsidR="009A006C" w:rsidRPr="009A006C">
        <w:t>perform</w:t>
      </w:r>
      <w:r w:rsidR="00CF53CD">
        <w:t>ing</w:t>
      </w:r>
      <w:r w:rsidR="009A006C" w:rsidRPr="009A006C">
        <w:t xml:space="preserve"> its duties and exercis</w:t>
      </w:r>
      <w:r w:rsidR="00CF53CD">
        <w:t>ing</w:t>
      </w:r>
      <w:r w:rsidR="009A006C" w:rsidRPr="009A006C">
        <w:t xml:space="preserve"> its powers in the best financial interests of beneficiaries</w:t>
      </w:r>
      <w:r>
        <w:t>;</w:t>
      </w:r>
      <w:r w:rsidR="00F56DFA" w:rsidDel="00F56DFA">
        <w:rPr>
          <w:rStyle w:val="FootnoteReference"/>
        </w:rPr>
        <w:t xml:space="preserve"> </w:t>
      </w:r>
    </w:p>
    <w:p w14:paraId="0F8A8E35" w14:textId="77777777" w:rsidR="005F3EA4" w:rsidRDefault="005F3EA4" w:rsidP="00802E43">
      <w:pPr>
        <w:pStyle w:val="BodyText2"/>
        <w:jc w:val="both"/>
      </w:pPr>
      <w:bookmarkStart w:id="89" w:name="_Hlk76753665"/>
      <w:r w:rsidRPr="0026572D">
        <w:t>misconduct –</w:t>
      </w:r>
      <w:r>
        <w:t xml:space="preserve"> means </w:t>
      </w:r>
      <w:r w:rsidR="003016C0">
        <w:t>an</w:t>
      </w:r>
      <w:r>
        <w:t xml:space="preserve"> </w:t>
      </w:r>
      <w:r w:rsidRPr="00FC4B7C">
        <w:t xml:space="preserve">action or inaction by a person covered by </w:t>
      </w:r>
      <w:r>
        <w:t>an</w:t>
      </w:r>
      <w:r w:rsidRPr="00FC4B7C">
        <w:t xml:space="preserve"> entity’s remuneration policy that </w:t>
      </w:r>
      <w:r>
        <w:t>does not meet</w:t>
      </w:r>
      <w:r w:rsidRPr="00FC4B7C" w:rsidDel="000D53D6">
        <w:t xml:space="preserve"> </w:t>
      </w:r>
      <w:r>
        <w:t>applicable:</w:t>
      </w:r>
    </w:p>
    <w:p w14:paraId="517E45F8" w14:textId="77777777" w:rsidR="005F3EA4" w:rsidRDefault="005F3EA4" w:rsidP="00802E43">
      <w:pPr>
        <w:pStyle w:val="BodyText3"/>
        <w:jc w:val="both"/>
      </w:pPr>
      <w:r>
        <w:t>legal and prudential obligations;</w:t>
      </w:r>
    </w:p>
    <w:p w14:paraId="744F1634" w14:textId="77777777" w:rsidR="005F3EA4" w:rsidRDefault="005F3EA4" w:rsidP="00802E43">
      <w:pPr>
        <w:pStyle w:val="BodyText3"/>
        <w:jc w:val="both"/>
      </w:pPr>
      <w:r>
        <w:t>requirements or standards of a recognised professional body; or</w:t>
      </w:r>
    </w:p>
    <w:p w14:paraId="1913C44D" w14:textId="77777777" w:rsidR="005F3EA4" w:rsidRPr="0026572D" w:rsidRDefault="005F3EA4" w:rsidP="00802E43">
      <w:pPr>
        <w:pStyle w:val="BodyText3"/>
        <w:jc w:val="both"/>
      </w:pPr>
      <w:r>
        <w:t xml:space="preserve">policies and procedures covering conduct and ethical standards set by </w:t>
      </w:r>
      <w:r w:rsidR="00D3780E">
        <w:t>the</w:t>
      </w:r>
      <w:r>
        <w:t xml:space="preserve"> entity;</w:t>
      </w:r>
    </w:p>
    <w:bookmarkEnd w:id="89"/>
    <w:p w14:paraId="265E77BF" w14:textId="6913499C" w:rsidR="0031035C" w:rsidRDefault="0031035C" w:rsidP="00D557BC">
      <w:pPr>
        <w:pStyle w:val="BodyText2"/>
        <w:jc w:val="both"/>
      </w:pPr>
      <w:r>
        <w:lastRenderedPageBreak/>
        <w:t>non-executive director –</w:t>
      </w:r>
      <w:r w:rsidR="00013D4D">
        <w:t xml:space="preserve"> </w:t>
      </w:r>
      <w:r w:rsidR="00366C6F">
        <w:t xml:space="preserve">has the meaning given in </w:t>
      </w:r>
      <w:r w:rsidR="00013D4D" w:rsidRPr="00293907">
        <w:rPr>
          <w:i/>
        </w:rPr>
        <w:t>Prudential Standard CPS</w:t>
      </w:r>
      <w:r w:rsidR="008728C2">
        <w:rPr>
          <w:i/>
        </w:rPr>
        <w:t> </w:t>
      </w:r>
      <w:r w:rsidR="00013D4D" w:rsidRPr="00293907">
        <w:rPr>
          <w:i/>
        </w:rPr>
        <w:t>5</w:t>
      </w:r>
      <w:r w:rsidR="00013D4D">
        <w:rPr>
          <w:i/>
        </w:rPr>
        <w:t>1</w:t>
      </w:r>
      <w:r w:rsidR="00013D4D" w:rsidRPr="00293907">
        <w:rPr>
          <w:i/>
        </w:rPr>
        <w:t xml:space="preserve">0 </w:t>
      </w:r>
      <w:r w:rsidR="00013D4D">
        <w:rPr>
          <w:i/>
        </w:rPr>
        <w:t>Gove</w:t>
      </w:r>
      <w:r w:rsidR="00013D4D" w:rsidRPr="00293907">
        <w:rPr>
          <w:i/>
        </w:rPr>
        <w:t>r</w:t>
      </w:r>
      <w:r w:rsidR="00013D4D">
        <w:rPr>
          <w:i/>
        </w:rPr>
        <w:t>nance</w:t>
      </w:r>
      <w:r w:rsidR="00013D4D">
        <w:t xml:space="preserve"> and for an RSE licensee,</w:t>
      </w:r>
      <w:r w:rsidR="00013D4D">
        <w:rPr>
          <w:i/>
        </w:rPr>
        <w:t xml:space="preserve"> Prudential Standard SPS</w:t>
      </w:r>
      <w:r w:rsidR="008728C2">
        <w:rPr>
          <w:i/>
        </w:rPr>
        <w:t> </w:t>
      </w:r>
      <w:r w:rsidR="00013D4D">
        <w:rPr>
          <w:i/>
        </w:rPr>
        <w:t>51</w:t>
      </w:r>
      <w:r w:rsidR="00013D4D" w:rsidRPr="00293907">
        <w:rPr>
          <w:i/>
        </w:rPr>
        <w:t xml:space="preserve">0 </w:t>
      </w:r>
      <w:r w:rsidR="00013D4D">
        <w:rPr>
          <w:i/>
        </w:rPr>
        <w:t>Governance</w:t>
      </w:r>
      <w:r w:rsidR="00393635">
        <w:t>;</w:t>
      </w:r>
    </w:p>
    <w:p w14:paraId="11248F97" w14:textId="77777777" w:rsidR="00F95EF9" w:rsidRDefault="00D1184D" w:rsidP="00D557BC">
      <w:pPr>
        <w:pStyle w:val="BodyText2"/>
        <w:jc w:val="both"/>
      </w:pPr>
      <w:r>
        <w:t>non-financial measures – means measures that are not financial measures;</w:t>
      </w:r>
    </w:p>
    <w:p w14:paraId="42A545FC" w14:textId="6FCD846B" w:rsidR="00CF53CD" w:rsidRDefault="00CF53CD" w:rsidP="00D557BC">
      <w:pPr>
        <w:pStyle w:val="BodyText2"/>
        <w:jc w:val="both"/>
      </w:pPr>
      <w:r>
        <w:t xml:space="preserve">non-significant financial institution </w:t>
      </w:r>
      <w:r w:rsidR="00883F05">
        <w:t xml:space="preserve">(non-SFI) </w:t>
      </w:r>
      <w:r>
        <w:t>– means</w:t>
      </w:r>
      <w:r w:rsidR="009A3DEB">
        <w:t>, in relation to RSE licensees,</w:t>
      </w:r>
      <w:r>
        <w:t xml:space="preserve"> an </w:t>
      </w:r>
      <w:r w:rsidR="009A3DEB">
        <w:t>RSE licensee</w:t>
      </w:r>
      <w:r>
        <w:t xml:space="preserve"> that is not a</w:t>
      </w:r>
      <w:r w:rsidR="00B65901">
        <w:t>n</w:t>
      </w:r>
      <w:r>
        <w:t xml:space="preserve"> </w:t>
      </w:r>
      <w:r w:rsidR="00B65901">
        <w:t>SFI</w:t>
      </w:r>
      <w:r>
        <w:t>;</w:t>
      </w:r>
      <w:r w:rsidR="009A3DEB">
        <w:rPr>
          <w:rStyle w:val="FootnoteReference"/>
        </w:rPr>
        <w:footnoteReference w:id="9"/>
      </w:r>
    </w:p>
    <w:p w14:paraId="597A9BE1" w14:textId="77777777" w:rsidR="00721319" w:rsidRDefault="00721319" w:rsidP="00D557BC">
      <w:pPr>
        <w:pStyle w:val="BodyText2"/>
        <w:jc w:val="both"/>
      </w:pPr>
      <w:r w:rsidRPr="00895B83">
        <w:t>relevant oversight function</w:t>
      </w:r>
      <w:r>
        <w:rPr>
          <w:i/>
        </w:rPr>
        <w:t xml:space="preserve"> </w:t>
      </w:r>
      <w:r>
        <w:t>–</w:t>
      </w:r>
      <w:r w:rsidR="00A47746">
        <w:t xml:space="preserve"> </w:t>
      </w:r>
      <w:r w:rsidR="00C37AB4">
        <w:t xml:space="preserve">means </w:t>
      </w:r>
      <w:r>
        <w:t>for foreign ADIs and Category C insurers, the senior officer outside Australia, and for EFLICs, the Compliance Committee;</w:t>
      </w:r>
    </w:p>
    <w:p w14:paraId="4FBADD94" w14:textId="77777777" w:rsidR="00721319" w:rsidRDefault="00721319" w:rsidP="00D557BC">
      <w:pPr>
        <w:pStyle w:val="BodyText2"/>
        <w:jc w:val="both"/>
      </w:pPr>
      <w:r w:rsidRPr="00895B83">
        <w:t>remuneration arrangement</w:t>
      </w:r>
      <w:r w:rsidRPr="009A6EC8">
        <w:rPr>
          <w:i/>
        </w:rPr>
        <w:t xml:space="preserve"> </w:t>
      </w:r>
      <w:r>
        <w:t>–</w:t>
      </w:r>
      <w:r w:rsidR="005E2D4A">
        <w:t xml:space="preserve"> </w:t>
      </w:r>
      <w:r w:rsidR="00C37AB4">
        <w:t xml:space="preserve">means </w:t>
      </w:r>
      <w:r w:rsidR="00195B98">
        <w:t xml:space="preserve">an </w:t>
      </w:r>
      <w:r w:rsidR="00082730" w:rsidRPr="00082730">
        <w:t xml:space="preserve">arrangement </w:t>
      </w:r>
      <w:r w:rsidR="0034106C">
        <w:t xml:space="preserve">that </w:t>
      </w:r>
      <w:r w:rsidR="006D7962" w:rsidRPr="0034106C">
        <w:t>includes measures of performance, the mix of forms of remuneration (such as fixed and variable components, and cash and equity-related benefits) and the timing of eligibility to receive payments. All forms of remuneration are captured by this Prudential Standard, regardless of where, or from whom, the remuneration is sourced</w:t>
      </w:r>
      <w:r>
        <w:t>;</w:t>
      </w:r>
      <w:r w:rsidR="00847949" w:rsidRPr="00847949">
        <w:t xml:space="preserve"> </w:t>
      </w:r>
    </w:p>
    <w:p w14:paraId="4ED3649C" w14:textId="77777777" w:rsidR="00D360EB" w:rsidRDefault="00D360EB" w:rsidP="00D557BC">
      <w:pPr>
        <w:pStyle w:val="BodyText2"/>
        <w:jc w:val="both"/>
      </w:pPr>
      <w:r>
        <w:t xml:space="preserve">remuneration framework – means </w:t>
      </w:r>
      <w:r w:rsidRPr="00A73E1F">
        <w:t xml:space="preserve">the totality of systems, structures, policies, processes and people within an </w:t>
      </w:r>
      <w:r>
        <w:t>entity</w:t>
      </w:r>
      <w:r w:rsidRPr="00A73E1F">
        <w:t xml:space="preserve"> that identify, measure, evaluate, monitor, report and control or mitigate all internal and external sources of </w:t>
      </w:r>
      <w:r>
        <w:t>risks relating to remuneration;</w:t>
      </w:r>
    </w:p>
    <w:p w14:paraId="1EC79974" w14:textId="77777777" w:rsidR="00A0455D" w:rsidRDefault="00721319" w:rsidP="00D557BC">
      <w:pPr>
        <w:pStyle w:val="BodyText2"/>
        <w:jc w:val="both"/>
      </w:pPr>
      <w:r w:rsidRPr="00895B83">
        <w:t>risk and financial control personnel</w:t>
      </w:r>
      <w:r w:rsidRPr="0031035C">
        <w:rPr>
          <w:i/>
        </w:rPr>
        <w:t xml:space="preserve"> </w:t>
      </w:r>
      <w:r>
        <w:t>–</w:t>
      </w:r>
      <w:r w:rsidR="00A47746">
        <w:t xml:space="preserve"> </w:t>
      </w:r>
      <w:r w:rsidR="00C37AB4">
        <w:t xml:space="preserve">means </w:t>
      </w:r>
      <w:r w:rsidRPr="004B0F6D">
        <w:t>person</w:t>
      </w:r>
      <w:r w:rsidR="003C175D">
        <w:t>s</w:t>
      </w:r>
      <w:r w:rsidRPr="004B0F6D">
        <w:t xml:space="preserve"> whose primary role is </w:t>
      </w:r>
      <w:r w:rsidR="003C175D">
        <w:t xml:space="preserve">in </w:t>
      </w:r>
      <w:r w:rsidRPr="004B0F6D">
        <w:t>risk management, compliance, internal audit, financial co</w:t>
      </w:r>
      <w:r>
        <w:t>ntrol or actuarial control;</w:t>
      </w:r>
    </w:p>
    <w:p w14:paraId="6A56B661" w14:textId="77777777" w:rsidR="003A6E1D" w:rsidRDefault="00721319" w:rsidP="00802E43">
      <w:pPr>
        <w:pStyle w:val="BodyText2"/>
        <w:jc w:val="both"/>
      </w:pPr>
      <w:r w:rsidRPr="008A566B">
        <w:t>senior manager –</w:t>
      </w:r>
      <w:r w:rsidR="004825BC">
        <w:t xml:space="preserve"> </w:t>
      </w:r>
      <w:r w:rsidR="003A6E1D" w:rsidRPr="003A6E1D">
        <w:t xml:space="preserve"> </w:t>
      </w:r>
    </w:p>
    <w:p w14:paraId="1B9F8CC5" w14:textId="77777777" w:rsidR="003A6E1D" w:rsidRDefault="003A6E1D" w:rsidP="00802E43">
      <w:pPr>
        <w:pStyle w:val="BodyText3"/>
        <w:jc w:val="both"/>
      </w:pPr>
      <w:r>
        <w:t>in relation to ADIs, has the meaning given in the Banking Act;</w:t>
      </w:r>
    </w:p>
    <w:p w14:paraId="52E819C3" w14:textId="1412490C" w:rsidR="003A6E1D" w:rsidRDefault="003A6E1D" w:rsidP="00802E43">
      <w:pPr>
        <w:pStyle w:val="BodyText3"/>
        <w:jc w:val="both"/>
      </w:pPr>
      <w:r>
        <w:t>in relation to general insurers, has the meaning given in the Insurance</w:t>
      </w:r>
      <w:r w:rsidR="00802E43">
        <w:t> </w:t>
      </w:r>
      <w:r>
        <w:t>Act;</w:t>
      </w:r>
    </w:p>
    <w:p w14:paraId="2D313086" w14:textId="1B11283A" w:rsidR="003A6E1D" w:rsidRDefault="003A6E1D" w:rsidP="00802E43">
      <w:pPr>
        <w:pStyle w:val="BodyText3"/>
        <w:jc w:val="both"/>
      </w:pPr>
      <w:r>
        <w:t>in relation to life insurers, has the meaning given in the Life Insurance</w:t>
      </w:r>
      <w:r w:rsidR="00802E43">
        <w:t> </w:t>
      </w:r>
      <w:r>
        <w:t xml:space="preserve">Act; </w:t>
      </w:r>
    </w:p>
    <w:p w14:paraId="531F409F" w14:textId="77777777" w:rsidR="003A6E1D" w:rsidRDefault="003A6E1D" w:rsidP="00802E43">
      <w:pPr>
        <w:pStyle w:val="BodyText3"/>
        <w:jc w:val="both"/>
      </w:pPr>
      <w:r>
        <w:t>in relation to private health insurers, means any person specified in paragraph (c) of the definition of officer in the PHIPS Act; and</w:t>
      </w:r>
    </w:p>
    <w:p w14:paraId="70FEF996" w14:textId="77777777" w:rsidR="003A6E1D" w:rsidRDefault="003A6E1D" w:rsidP="00802E43">
      <w:pPr>
        <w:pStyle w:val="BodyText3"/>
        <w:jc w:val="both"/>
      </w:pPr>
      <w:r>
        <w:t xml:space="preserve">in relation to RSE licensees, has the meaning given in </w:t>
      </w:r>
      <w:r w:rsidR="00034786">
        <w:rPr>
          <w:i/>
        </w:rPr>
        <w:t>Prudential Standard S</w:t>
      </w:r>
      <w:r w:rsidRPr="00961D78">
        <w:rPr>
          <w:i/>
        </w:rPr>
        <w:t>PS 520 Fit and Proper</w:t>
      </w:r>
      <w:r w:rsidR="00264EC1">
        <w:t>;</w:t>
      </w:r>
      <w:r>
        <w:t xml:space="preserve">    </w:t>
      </w:r>
    </w:p>
    <w:p w14:paraId="00B9E9EE" w14:textId="006CF70F" w:rsidR="00406A4B" w:rsidRDefault="00721319" w:rsidP="000963D6">
      <w:pPr>
        <w:pStyle w:val="BodyText2"/>
        <w:jc w:val="both"/>
      </w:pPr>
      <w:bookmarkStart w:id="90" w:name="_Ref129608016"/>
      <w:bookmarkStart w:id="91" w:name="_Hlk97806152"/>
      <w:r w:rsidRPr="00895B83">
        <w:t>significant financial institution</w:t>
      </w:r>
      <w:r>
        <w:t xml:space="preserve"> </w:t>
      </w:r>
      <w:r w:rsidR="00526A85">
        <w:t xml:space="preserve">(SFI) </w:t>
      </w:r>
      <w:r>
        <w:t>–</w:t>
      </w:r>
      <w:r w:rsidR="00A47746">
        <w:t xml:space="preserve"> </w:t>
      </w:r>
      <w:r w:rsidR="00C37AB4">
        <w:t>means</w:t>
      </w:r>
      <w:r w:rsidR="0009190D">
        <w:t xml:space="preserve">, </w:t>
      </w:r>
      <w:r w:rsidR="006948E9">
        <w:t xml:space="preserve">in </w:t>
      </w:r>
      <w:r w:rsidR="0009190D">
        <w:t>relation to RSE licensees,</w:t>
      </w:r>
      <w:r w:rsidR="00C37AB4">
        <w:t xml:space="preserve"> </w:t>
      </w:r>
      <w:r w:rsidR="00195B98">
        <w:t>a</w:t>
      </w:r>
      <w:r w:rsidR="00FF2E60">
        <w:t>n</w:t>
      </w:r>
      <w:r w:rsidR="00195B98">
        <w:t xml:space="preserve"> </w:t>
      </w:r>
      <w:r w:rsidR="0009190D">
        <w:t>RSE licensee</w:t>
      </w:r>
      <w:r w:rsidR="002224EA">
        <w:t xml:space="preserve"> that </w:t>
      </w:r>
      <w:r w:rsidR="0039614B">
        <w:t>either</w:t>
      </w:r>
      <w:r w:rsidR="00406A4B">
        <w:t>:</w:t>
      </w:r>
      <w:bookmarkEnd w:id="90"/>
    </w:p>
    <w:p w14:paraId="045CD111" w14:textId="3A5DFDF9" w:rsidR="007B7968" w:rsidRPr="003528D8" w:rsidRDefault="0009190D" w:rsidP="00802E43">
      <w:pPr>
        <w:pStyle w:val="BodyText3"/>
        <w:jc w:val="both"/>
      </w:pPr>
      <w:r w:rsidRPr="0009190D">
        <w:rPr>
          <w:szCs w:val="24"/>
        </w:rPr>
        <w:lastRenderedPageBreak/>
        <w:t>has total assets in excess of AUD $30 billion in the case of a single RSE operated by an RSE licensee, or if the RSE licensee operates more than one RSE where the combined total assets of all RSEs exceed this amount; or</w:t>
      </w:r>
      <w:r>
        <w:rPr>
          <w:i/>
        </w:rPr>
        <w:t xml:space="preserve"> </w:t>
      </w:r>
      <w:bookmarkEnd w:id="91"/>
    </w:p>
    <w:p w14:paraId="12E6B76B" w14:textId="5CD76961" w:rsidR="00406A4B" w:rsidRDefault="00666F92" w:rsidP="00802E43">
      <w:pPr>
        <w:pStyle w:val="BodyText3"/>
        <w:jc w:val="both"/>
      </w:pPr>
      <w:r>
        <w:t xml:space="preserve">is </w:t>
      </w:r>
      <w:r w:rsidR="002224EA" w:rsidRPr="000A4ABC">
        <w:t xml:space="preserve">determined </w:t>
      </w:r>
      <w:r w:rsidR="002224EA">
        <w:t xml:space="preserve">as such </w:t>
      </w:r>
      <w:r w:rsidR="002224EA" w:rsidRPr="000A4ABC">
        <w:t>by APRA</w:t>
      </w:r>
      <w:r w:rsidR="001329EA">
        <w:t>,</w:t>
      </w:r>
      <w:r w:rsidR="002224EA">
        <w:t xml:space="preserve"> </w:t>
      </w:r>
      <w:r w:rsidR="0039614B">
        <w:t>having regard to matters such as</w:t>
      </w:r>
      <w:r w:rsidR="002224EA">
        <w:t xml:space="preserve"> c</w:t>
      </w:r>
      <w:r w:rsidR="002224EA" w:rsidRPr="00B95035">
        <w:t xml:space="preserve">omplexity in </w:t>
      </w:r>
      <w:r w:rsidR="002224EA">
        <w:t xml:space="preserve">its </w:t>
      </w:r>
      <w:r w:rsidR="002224EA" w:rsidRPr="00B95035">
        <w:t>operations</w:t>
      </w:r>
      <w:r w:rsidR="0039614B">
        <w:t xml:space="preserve"> or its</w:t>
      </w:r>
      <w:r w:rsidR="002224EA">
        <w:t xml:space="preserve"> member</w:t>
      </w:r>
      <w:r w:rsidR="0039614B">
        <w:t>ship</w:t>
      </w:r>
      <w:r w:rsidR="002224EA" w:rsidRPr="00FF2E60">
        <w:t xml:space="preserve"> </w:t>
      </w:r>
      <w:r w:rsidR="002224EA">
        <w:t>of</w:t>
      </w:r>
      <w:r w:rsidR="002224EA" w:rsidRPr="00FF2E60">
        <w:t xml:space="preserve"> a group</w:t>
      </w:r>
      <w:r w:rsidR="00403F96">
        <w:t>;</w:t>
      </w:r>
      <w:r w:rsidR="0009190D">
        <w:rPr>
          <w:rStyle w:val="FootnoteReference"/>
        </w:rPr>
        <w:footnoteReference w:id="10"/>
      </w:r>
      <w:r w:rsidR="003004C6">
        <w:t xml:space="preserve"> </w:t>
      </w:r>
    </w:p>
    <w:p w14:paraId="381742A9" w14:textId="77777777" w:rsidR="00721319" w:rsidRPr="000A4ABC" w:rsidRDefault="00721319" w:rsidP="00802E43">
      <w:pPr>
        <w:pStyle w:val="BodyText2"/>
        <w:jc w:val="both"/>
      </w:pPr>
      <w:bookmarkStart w:id="92" w:name="_Ref134175720"/>
      <w:r w:rsidRPr="000A4ABC">
        <w:t>speci</w:t>
      </w:r>
      <w:r w:rsidR="008E267F" w:rsidRPr="000A4ABC">
        <w:t>fied</w:t>
      </w:r>
      <w:r w:rsidRPr="000A4ABC">
        <w:t xml:space="preserve"> role</w:t>
      </w:r>
      <w:r w:rsidR="00AA7BC6">
        <w:t xml:space="preserve"> </w:t>
      </w:r>
      <w:r w:rsidRPr="000A4ABC">
        <w:t>–</w:t>
      </w:r>
      <w:r w:rsidR="00A47746" w:rsidRPr="000A4ABC">
        <w:t xml:space="preserve"> </w:t>
      </w:r>
      <w:r w:rsidR="00C37AB4" w:rsidRPr="000A4ABC">
        <w:t xml:space="preserve">means </w:t>
      </w:r>
      <w:r w:rsidR="00EA73C2" w:rsidRPr="000A4ABC">
        <w:t xml:space="preserve">a </w:t>
      </w:r>
      <w:r w:rsidRPr="000A4ABC">
        <w:t xml:space="preserve">person </w:t>
      </w:r>
      <w:r w:rsidR="000120F7">
        <w:t>who is a</w:t>
      </w:r>
      <w:r w:rsidRPr="000A4ABC">
        <w:t xml:space="preserve"> </w:t>
      </w:r>
      <w:r w:rsidRPr="00E22B01">
        <w:t>senior manager</w:t>
      </w:r>
      <w:r w:rsidRPr="000A4ABC">
        <w:t xml:space="preserve">, </w:t>
      </w:r>
      <w:r w:rsidR="00293907" w:rsidRPr="000A4ABC">
        <w:t>e</w:t>
      </w:r>
      <w:r w:rsidR="00727804">
        <w:t>xecutive director</w:t>
      </w:r>
      <w:r w:rsidR="000A4ABC">
        <w:t xml:space="preserve">, </w:t>
      </w:r>
      <w:r w:rsidRPr="000A4ABC">
        <w:t>material risk</w:t>
      </w:r>
      <w:r w:rsidR="00462879" w:rsidRPr="000A4ABC">
        <w:t>-</w:t>
      </w:r>
      <w:r w:rsidRPr="000A4ABC">
        <w:t>taker</w:t>
      </w:r>
      <w:r w:rsidR="000758D9" w:rsidRPr="000A4ABC">
        <w:t xml:space="preserve"> </w:t>
      </w:r>
      <w:r w:rsidR="000E50B3" w:rsidRPr="000A4ABC">
        <w:t>(including highly</w:t>
      </w:r>
      <w:r w:rsidR="00D94169" w:rsidRPr="000A4ABC">
        <w:t>-</w:t>
      </w:r>
      <w:r w:rsidR="000E50B3" w:rsidRPr="000A4ABC">
        <w:t>paid material risk</w:t>
      </w:r>
      <w:r w:rsidR="00D94169" w:rsidRPr="000A4ABC">
        <w:t>-</w:t>
      </w:r>
      <w:r w:rsidR="000E50B3" w:rsidRPr="000A4ABC">
        <w:t>takers)</w:t>
      </w:r>
      <w:r w:rsidRPr="000A4ABC">
        <w:t xml:space="preserve"> </w:t>
      </w:r>
      <w:r w:rsidR="00E56173" w:rsidRPr="000A4ABC">
        <w:t xml:space="preserve">and </w:t>
      </w:r>
      <w:r w:rsidRPr="000A4ABC">
        <w:t>risk and financial control personnel</w:t>
      </w:r>
      <w:r w:rsidR="000758D9" w:rsidRPr="000A4ABC">
        <w:t>;</w:t>
      </w:r>
      <w:bookmarkEnd w:id="92"/>
    </w:p>
    <w:p w14:paraId="6F652F79" w14:textId="434117E7" w:rsidR="006E50FF" w:rsidRDefault="006E50FF" w:rsidP="00802E43">
      <w:pPr>
        <w:pStyle w:val="BodyText2"/>
        <w:jc w:val="both"/>
      </w:pPr>
      <w:r>
        <w:t xml:space="preserve">third-party service provider </w:t>
      </w:r>
      <w:r w:rsidR="00B3050C">
        <w:t xml:space="preserve">– </w:t>
      </w:r>
      <w:r w:rsidR="00D1184D">
        <w:t>means</w:t>
      </w:r>
      <w:r w:rsidR="00B3050C">
        <w:t xml:space="preserve"> </w:t>
      </w:r>
      <w:r w:rsidR="00D1184D">
        <w:t>an entity that provides</w:t>
      </w:r>
      <w:r w:rsidR="00AB5442">
        <w:t>, under a compensation arrangement,</w:t>
      </w:r>
      <w:r w:rsidR="00D1184D">
        <w:t xml:space="preserve"> a service </w:t>
      </w:r>
      <w:r w:rsidR="00610060">
        <w:t xml:space="preserve">to an APRA-regulated entity </w:t>
      </w:r>
      <w:r w:rsidRPr="006E50FF">
        <w:t>that is not a related body corporate or connected entity of the APRA-regulated entity</w:t>
      </w:r>
      <w:r>
        <w:t>;</w:t>
      </w:r>
    </w:p>
    <w:p w14:paraId="17DB2C3F" w14:textId="77777777" w:rsidR="00721319" w:rsidRPr="00DA5DE6" w:rsidDel="007A161B" w:rsidRDefault="007E6335" w:rsidP="00802E43">
      <w:pPr>
        <w:pStyle w:val="BodyText2"/>
        <w:jc w:val="both"/>
      </w:pPr>
      <w:r w:rsidRPr="00DA5DE6">
        <w:t xml:space="preserve">variable </w:t>
      </w:r>
      <w:r w:rsidR="00721319" w:rsidRPr="00DA5DE6">
        <w:t>remuneration –</w:t>
      </w:r>
      <w:r w:rsidR="00CA1957">
        <w:t xml:space="preserve"> means the amount of a </w:t>
      </w:r>
      <w:r w:rsidR="001E02C9">
        <w:t>person’s</w:t>
      </w:r>
      <w:r w:rsidR="00CA1957">
        <w:t xml:space="preserve"> total remuneration that is conditional on objectives</w:t>
      </w:r>
      <w:r w:rsidR="00FC68F9">
        <w:t xml:space="preserve">, which include </w:t>
      </w:r>
      <w:r w:rsidR="00FC68F9" w:rsidRPr="004B3F1F">
        <w:rPr>
          <w:rFonts w:cs="Arial"/>
          <w:szCs w:val="20"/>
        </w:rPr>
        <w:t xml:space="preserve">performance criteria, service requirements </w:t>
      </w:r>
      <w:r w:rsidR="00F36A37">
        <w:rPr>
          <w:rFonts w:cs="Arial"/>
          <w:szCs w:val="20"/>
        </w:rPr>
        <w:t>or</w:t>
      </w:r>
      <w:r w:rsidR="00FC68F9" w:rsidRPr="004B3F1F">
        <w:rPr>
          <w:rFonts w:cs="Arial"/>
          <w:szCs w:val="20"/>
        </w:rPr>
        <w:t xml:space="preserve"> the passage of time</w:t>
      </w:r>
      <w:r w:rsidR="00CA1957">
        <w:t>;</w:t>
      </w:r>
      <w:r w:rsidR="000758D9">
        <w:t xml:space="preserve"> and</w:t>
      </w:r>
    </w:p>
    <w:p w14:paraId="4E3D26F5" w14:textId="77777777" w:rsidR="00721319" w:rsidRPr="004F5E61" w:rsidRDefault="00721319" w:rsidP="00802E43">
      <w:pPr>
        <w:pStyle w:val="BodyText2"/>
        <w:jc w:val="both"/>
        <w:rPr>
          <w:sz w:val="20"/>
        </w:rPr>
      </w:pPr>
      <w:r w:rsidRPr="004C78A2">
        <w:t xml:space="preserve">vesting </w:t>
      </w:r>
      <w:r>
        <w:t>–</w:t>
      </w:r>
      <w:r w:rsidR="00C37AB4">
        <w:t xml:space="preserve"> </w:t>
      </w:r>
      <w:r w:rsidR="000D7A6A" w:rsidRPr="000D7A6A">
        <w:t>means</w:t>
      </w:r>
      <w:r w:rsidR="006D5A93">
        <w:t>, in relation to variable remuneration,</w:t>
      </w:r>
      <w:r w:rsidR="000D7A6A" w:rsidRPr="000D7A6A">
        <w:t xml:space="preserve"> the </w:t>
      </w:r>
      <w:r w:rsidR="002B387D">
        <w:t>process</w:t>
      </w:r>
      <w:r w:rsidR="000D7A6A" w:rsidRPr="000D7A6A">
        <w:t xml:space="preserve"> by which </w:t>
      </w:r>
      <w:r w:rsidR="00D5539C">
        <w:t>a</w:t>
      </w:r>
      <w:r w:rsidR="00D5539C" w:rsidRPr="000D7A6A">
        <w:t xml:space="preserve"> </w:t>
      </w:r>
      <w:r w:rsidR="001E02C9">
        <w:t>person</w:t>
      </w:r>
      <w:r w:rsidR="000D7A6A" w:rsidRPr="000D7A6A">
        <w:t xml:space="preserve"> becomes the legal owner of the variable remuneration</w:t>
      </w:r>
      <w:r w:rsidRPr="004F5E61">
        <w:t>.</w:t>
      </w:r>
    </w:p>
    <w:p w14:paraId="1B0C5614" w14:textId="77777777" w:rsidR="00C745FF" w:rsidRDefault="00C745FF" w:rsidP="00D557BC">
      <w:pPr>
        <w:pStyle w:val="Heading1"/>
        <w:jc w:val="both"/>
        <w:rPr>
          <w:rStyle w:val="CommentReference"/>
          <w:rFonts w:ascii="Times New Roman" w:hAnsi="Times New Roman"/>
          <w:b w:val="0"/>
        </w:rPr>
      </w:pPr>
      <w:bookmarkStart w:id="93" w:name="_Toc55570113"/>
      <w:bookmarkStart w:id="94" w:name="_Toc102482618"/>
      <w:bookmarkStart w:id="95" w:name="_Toc10021880"/>
      <w:bookmarkStart w:id="96" w:name="_Toc10106378"/>
      <w:bookmarkStart w:id="97" w:name="_Toc10729970"/>
      <w:bookmarkStart w:id="98" w:name="_Toc11164792"/>
      <w:bookmarkStart w:id="99" w:name="_Toc14420650"/>
      <w:r>
        <w:t>A</w:t>
      </w:r>
      <w:r w:rsidR="00AA2EB6">
        <w:t>.</w:t>
      </w:r>
      <w:r>
        <w:t xml:space="preserve"> </w:t>
      </w:r>
      <w:r w:rsidRPr="00CB502A">
        <w:t>Requirements</w:t>
      </w:r>
      <w:r>
        <w:t xml:space="preserve"> for SFIs</w:t>
      </w:r>
      <w:bookmarkEnd w:id="93"/>
      <w:bookmarkEnd w:id="94"/>
      <w:r w:rsidDel="00311AB2">
        <w:rPr>
          <w:rStyle w:val="CommentReference"/>
          <w:rFonts w:ascii="Times New Roman" w:hAnsi="Times New Roman"/>
          <w:b w:val="0"/>
        </w:rPr>
        <w:t xml:space="preserve"> </w:t>
      </w:r>
    </w:p>
    <w:p w14:paraId="434F0546" w14:textId="77777777" w:rsidR="00CC5495" w:rsidRDefault="00CC5495" w:rsidP="00D557BC">
      <w:pPr>
        <w:pStyle w:val="Heading1"/>
        <w:jc w:val="both"/>
      </w:pPr>
      <w:bookmarkStart w:id="100" w:name="_Toc55570114"/>
      <w:bookmarkStart w:id="101" w:name="_Toc102482619"/>
      <w:r>
        <w:t>Remuneration framework</w:t>
      </w:r>
      <w:bookmarkEnd w:id="95"/>
      <w:bookmarkEnd w:id="96"/>
      <w:bookmarkEnd w:id="97"/>
      <w:bookmarkEnd w:id="98"/>
      <w:bookmarkEnd w:id="99"/>
      <w:bookmarkEnd w:id="100"/>
      <w:bookmarkEnd w:id="101"/>
    </w:p>
    <w:p w14:paraId="498A1742" w14:textId="77777777" w:rsidR="00A14193" w:rsidRDefault="00A14193" w:rsidP="00D557BC">
      <w:pPr>
        <w:pStyle w:val="BodyText1"/>
        <w:keepNext/>
      </w:pPr>
      <w:bookmarkStart w:id="102" w:name="_Ref5714864"/>
      <w:bookmarkStart w:id="103" w:name="_Ref25927168"/>
      <w:bookmarkStart w:id="104" w:name="_Ref40329811"/>
      <w:r>
        <w:t>An APRA-regulated entity must</w:t>
      </w:r>
      <w:r w:rsidRPr="00A14193">
        <w:t xml:space="preserve"> </w:t>
      </w:r>
      <w:r w:rsidRPr="00D45FB9">
        <w:t>maintain</w:t>
      </w:r>
      <w:r>
        <w:t xml:space="preserve"> a remuneration framework that:</w:t>
      </w:r>
      <w:bookmarkEnd w:id="102"/>
      <w:bookmarkEnd w:id="103"/>
      <w:bookmarkEnd w:id="104"/>
    </w:p>
    <w:p w14:paraId="51AB2E18" w14:textId="77777777" w:rsidR="00A14193" w:rsidRPr="00DF776C" w:rsidRDefault="00A14193" w:rsidP="004676E1">
      <w:pPr>
        <w:pStyle w:val="BodyText2"/>
        <w:keepNext/>
        <w:numPr>
          <w:ilvl w:val="1"/>
          <w:numId w:val="6"/>
        </w:numPr>
        <w:ind w:left="1134"/>
        <w:jc w:val="both"/>
      </w:pPr>
      <w:r w:rsidRPr="00DF776C">
        <w:t>align</w:t>
      </w:r>
      <w:r>
        <w:t>s</w:t>
      </w:r>
      <w:r w:rsidRPr="00DF776C">
        <w:t xml:space="preserve"> with the entity’s business </w:t>
      </w:r>
      <w:r>
        <w:t>plan</w:t>
      </w:r>
      <w:r w:rsidRPr="00DF776C">
        <w:t>,</w:t>
      </w:r>
      <w:r w:rsidR="001F4325">
        <w:t xml:space="preserve"> </w:t>
      </w:r>
      <w:r w:rsidR="00BF1AED">
        <w:t>strategic objectives and risk management framework</w:t>
      </w:r>
      <w:r w:rsidRPr="00DF776C">
        <w:t>;</w:t>
      </w:r>
      <w:r w:rsidR="00BF1AED">
        <w:rPr>
          <w:rStyle w:val="FootnoteReference"/>
        </w:rPr>
        <w:footnoteReference w:id="11"/>
      </w:r>
    </w:p>
    <w:p w14:paraId="2F1436DF" w14:textId="77777777" w:rsidR="00A14193" w:rsidRDefault="00A14193" w:rsidP="00D557BC">
      <w:pPr>
        <w:pStyle w:val="BodyText2"/>
        <w:jc w:val="both"/>
      </w:pPr>
      <w:r>
        <w:t>promote</w:t>
      </w:r>
      <w:r w:rsidR="00DE399E">
        <w:t>s</w:t>
      </w:r>
      <w:r>
        <w:t xml:space="preserve"> effective management of both financial and non-financial risks, </w:t>
      </w:r>
      <w:r>
        <w:rPr>
          <w:rFonts w:asciiTheme="minorHAnsi" w:eastAsiaTheme="minorEastAsia" w:hAnsiTheme="minorHAnsi" w:cstheme="minorHAnsi"/>
          <w:kern w:val="24"/>
        </w:rPr>
        <w:t>sustainable performance</w:t>
      </w:r>
      <w:r>
        <w:t xml:space="preserve"> and</w:t>
      </w:r>
      <w:r w:rsidRPr="00046419">
        <w:t xml:space="preserve"> the entity’s long-term soundness</w:t>
      </w:r>
      <w:r>
        <w:t xml:space="preserve">; </w:t>
      </w:r>
    </w:p>
    <w:p w14:paraId="3589CEEC" w14:textId="77777777" w:rsidR="00A14193" w:rsidRPr="00046419" w:rsidRDefault="00A14193" w:rsidP="00D557BC">
      <w:pPr>
        <w:pStyle w:val="BodyText2"/>
        <w:jc w:val="both"/>
      </w:pPr>
      <w:r>
        <w:t>for an RSE licensee, promote</w:t>
      </w:r>
      <w:r w:rsidR="000D4AA8">
        <w:t>s</w:t>
      </w:r>
      <w:r w:rsidR="005747FB">
        <w:t xml:space="preserve"> </w:t>
      </w:r>
      <w:r w:rsidR="009A006C" w:rsidRPr="009A006C">
        <w:t>perform</w:t>
      </w:r>
      <w:r w:rsidR="005747FB">
        <w:t>ing</w:t>
      </w:r>
      <w:r w:rsidR="009A006C" w:rsidRPr="009A006C">
        <w:t xml:space="preserve"> its duties and exercis</w:t>
      </w:r>
      <w:r w:rsidR="005747FB">
        <w:t>ing</w:t>
      </w:r>
      <w:r w:rsidR="009A006C" w:rsidRPr="009A006C">
        <w:t xml:space="preserve"> its powers in the best financial interests of beneficiaries</w:t>
      </w:r>
      <w:r>
        <w:t>; and</w:t>
      </w:r>
    </w:p>
    <w:p w14:paraId="02D3F946" w14:textId="77777777" w:rsidR="00A14193" w:rsidRDefault="00A14193" w:rsidP="00D557BC">
      <w:pPr>
        <w:pStyle w:val="BodyText2"/>
        <w:jc w:val="both"/>
      </w:pPr>
      <w:r>
        <w:t>support</w:t>
      </w:r>
      <w:r w:rsidR="00DE399E">
        <w:t>s</w:t>
      </w:r>
      <w:r>
        <w:t xml:space="preserve"> the prevention and mitigation of conduct risk.</w:t>
      </w:r>
    </w:p>
    <w:p w14:paraId="190E9520" w14:textId="77777777" w:rsidR="00CC5495" w:rsidDel="004304BE" w:rsidRDefault="00071015" w:rsidP="00D557BC">
      <w:pPr>
        <w:pStyle w:val="BodyText1"/>
      </w:pPr>
      <w:bookmarkStart w:id="105" w:name="_Ref14377351"/>
      <w:r>
        <w:t>The remuneration framework must include</w:t>
      </w:r>
      <w:r w:rsidR="009D1D0C">
        <w:t xml:space="preserve"> </w:t>
      </w:r>
      <w:bookmarkStart w:id="106" w:name="_Ref6988950"/>
      <w:bookmarkStart w:id="107" w:name="_Ref14075307"/>
      <w:r w:rsidR="00CC5495">
        <w:t xml:space="preserve">a </w:t>
      </w:r>
      <w:r w:rsidR="00923B6F">
        <w:t xml:space="preserve">documented </w:t>
      </w:r>
      <w:r w:rsidR="00CC5495">
        <w:t xml:space="preserve">remuneration policy </w:t>
      </w:r>
      <w:r w:rsidR="00FA7B87">
        <w:t xml:space="preserve">which at minimum </w:t>
      </w:r>
      <w:r w:rsidR="000B2A74">
        <w:t>set</w:t>
      </w:r>
      <w:r w:rsidR="00FA7B87">
        <w:t>s</w:t>
      </w:r>
      <w:r w:rsidR="000B2A74">
        <w:t xml:space="preserve"> out</w:t>
      </w:r>
      <w:r w:rsidR="00CC5495" w:rsidDel="004304BE">
        <w:t>:</w:t>
      </w:r>
      <w:bookmarkEnd w:id="105"/>
      <w:bookmarkEnd w:id="106"/>
      <w:bookmarkEnd w:id="107"/>
    </w:p>
    <w:p w14:paraId="5F7BA3EC" w14:textId="1430C388" w:rsidR="00CC5495" w:rsidRDefault="004F4BB9" w:rsidP="00D557BC">
      <w:pPr>
        <w:pStyle w:val="BodyText2"/>
        <w:jc w:val="both"/>
      </w:pPr>
      <w:r>
        <w:t xml:space="preserve">how the remuneration framework addresses paragraph </w:t>
      </w:r>
      <w:r w:rsidR="000C749C">
        <w:fldChar w:fldCharType="begin"/>
      </w:r>
      <w:r w:rsidR="000C749C">
        <w:instrText xml:space="preserve"> REF _Ref5714864 \r \h </w:instrText>
      </w:r>
      <w:r w:rsidR="00D557BC">
        <w:instrText xml:space="preserve"> \* MERGEFORMAT </w:instrText>
      </w:r>
      <w:r w:rsidR="000C749C">
        <w:fldChar w:fldCharType="separate"/>
      </w:r>
      <w:r w:rsidR="00DE6765">
        <w:t>21</w:t>
      </w:r>
      <w:r w:rsidR="000C749C">
        <w:fldChar w:fldCharType="end"/>
      </w:r>
      <w:r w:rsidR="00AF6FA8">
        <w:t xml:space="preserve"> of this Prudential Standard</w:t>
      </w:r>
      <w:r w:rsidR="00CC5495">
        <w:t>;</w:t>
      </w:r>
      <w:r w:rsidR="00BA7CE7">
        <w:t xml:space="preserve"> </w:t>
      </w:r>
    </w:p>
    <w:p w14:paraId="254C8787" w14:textId="77777777" w:rsidR="00AB6F5E" w:rsidRDefault="004367D0" w:rsidP="00D557BC">
      <w:pPr>
        <w:pStyle w:val="BodyText2"/>
        <w:jc w:val="both"/>
      </w:pPr>
      <w:bookmarkStart w:id="108" w:name="_Ref14377353"/>
      <w:r>
        <w:lastRenderedPageBreak/>
        <w:t xml:space="preserve">at a high level, the </w:t>
      </w:r>
      <w:r w:rsidR="00CC5495" w:rsidRPr="00FE3210">
        <w:t xml:space="preserve">structure and terms of remuneration arrangements that </w:t>
      </w:r>
      <w:r w:rsidR="00962935" w:rsidRPr="00FE3210">
        <w:t xml:space="preserve">apply to </w:t>
      </w:r>
      <w:r w:rsidR="00890149">
        <w:t xml:space="preserve">a person </w:t>
      </w:r>
      <w:r w:rsidR="00DA25B5">
        <w:t>who is:</w:t>
      </w:r>
      <w:bookmarkEnd w:id="108"/>
    </w:p>
    <w:p w14:paraId="03F80403" w14:textId="77777777" w:rsidR="00DA25B5" w:rsidRDefault="00DA25B5" w:rsidP="00802E43">
      <w:pPr>
        <w:pStyle w:val="BodyText3"/>
      </w:pPr>
      <w:r w:rsidRPr="006562B8">
        <w:t xml:space="preserve">employed directly by the </w:t>
      </w:r>
      <w:r w:rsidR="006913C3">
        <w:t>APRA</w:t>
      </w:r>
      <w:r w:rsidR="00F97075">
        <w:t>-</w:t>
      </w:r>
      <w:r w:rsidR="006913C3">
        <w:t xml:space="preserve">regulated </w:t>
      </w:r>
      <w:r>
        <w:t>entity</w:t>
      </w:r>
      <w:r w:rsidRPr="006562B8">
        <w:t>;</w:t>
      </w:r>
    </w:p>
    <w:p w14:paraId="5CBEA2E2" w14:textId="77777777" w:rsidR="00DA25B5" w:rsidRDefault="00AA2EA9" w:rsidP="00802E43">
      <w:pPr>
        <w:pStyle w:val="BodyText3"/>
        <w:jc w:val="both"/>
      </w:pPr>
      <w:r>
        <w:t>r</w:t>
      </w:r>
      <w:r w:rsidR="00DA25B5" w:rsidRPr="006562B8">
        <w:t xml:space="preserve">etained directly by the </w:t>
      </w:r>
      <w:r w:rsidR="006913C3">
        <w:t>APRA</w:t>
      </w:r>
      <w:r w:rsidR="00F97075">
        <w:t>-</w:t>
      </w:r>
      <w:r w:rsidR="006913C3">
        <w:t xml:space="preserve">regulated </w:t>
      </w:r>
      <w:r w:rsidR="00DA25B5">
        <w:t>entity</w:t>
      </w:r>
      <w:r w:rsidR="00DA25B5" w:rsidRPr="006562B8">
        <w:t xml:space="preserve"> under contract;</w:t>
      </w:r>
      <w:r w:rsidR="00DA25B5">
        <w:t xml:space="preserve"> and</w:t>
      </w:r>
    </w:p>
    <w:p w14:paraId="187B8FFF" w14:textId="77777777" w:rsidR="00DA25B5" w:rsidRDefault="00DA25B5" w:rsidP="00802E43">
      <w:pPr>
        <w:pStyle w:val="BodyText3"/>
        <w:jc w:val="both"/>
      </w:pPr>
      <w:r w:rsidRPr="006562B8">
        <w:t xml:space="preserve">employed by, or </w:t>
      </w:r>
      <w:r w:rsidR="00F166D4">
        <w:t xml:space="preserve">is </w:t>
      </w:r>
      <w:r w:rsidRPr="006562B8">
        <w:t xml:space="preserve">a contractor of a body corporate (including a service company) that is a </w:t>
      </w:r>
      <w:r w:rsidRPr="00890149">
        <w:t>related body corporate</w:t>
      </w:r>
      <w:r w:rsidRPr="00DF2535">
        <w:t xml:space="preserve"> </w:t>
      </w:r>
      <w:r>
        <w:t xml:space="preserve">or connected entity, </w:t>
      </w:r>
      <w:r w:rsidRPr="00DF2535">
        <w:t xml:space="preserve">of the </w:t>
      </w:r>
      <w:r w:rsidR="006913C3">
        <w:t>APRA</w:t>
      </w:r>
      <w:r w:rsidR="00F97075">
        <w:t>-</w:t>
      </w:r>
      <w:r w:rsidR="006913C3">
        <w:t xml:space="preserve">regulated </w:t>
      </w:r>
      <w:r>
        <w:t>entity</w:t>
      </w:r>
      <w:r w:rsidR="00F166D4">
        <w:t>;</w:t>
      </w:r>
      <w:r>
        <w:t xml:space="preserve"> </w:t>
      </w:r>
    </w:p>
    <w:p w14:paraId="574FDF96" w14:textId="375C83E9" w:rsidR="004F4BB9" w:rsidRDefault="004F4BB9" w:rsidP="00802E43">
      <w:pPr>
        <w:pStyle w:val="BodyText2"/>
        <w:jc w:val="both"/>
      </w:pPr>
      <w:bookmarkStart w:id="109" w:name="_Hlk80200458"/>
      <w:bookmarkStart w:id="110" w:name="_Hlk80183642"/>
      <w:bookmarkStart w:id="111" w:name="_Hlk80183696"/>
      <w:r>
        <w:t xml:space="preserve">the </w:t>
      </w:r>
      <w:r w:rsidR="00396CF6">
        <w:t xml:space="preserve">approach </w:t>
      </w:r>
      <w:r>
        <w:t xml:space="preserve">to identify and </w:t>
      </w:r>
      <w:r w:rsidR="00460B7D">
        <w:t xml:space="preserve">mitigate material conflicts to the objectives of the remuneration framework, as </w:t>
      </w:r>
      <w:r w:rsidR="002E4AFB">
        <w:t>specified</w:t>
      </w:r>
      <w:r w:rsidR="00460B7D">
        <w:t xml:space="preserve"> in </w:t>
      </w:r>
      <w:r>
        <w:t xml:space="preserve">paragraph </w:t>
      </w:r>
      <w:r w:rsidR="000C749C">
        <w:fldChar w:fldCharType="begin"/>
      </w:r>
      <w:r w:rsidR="000C749C">
        <w:instrText xml:space="preserve"> REF _Ref5714864 \r \h </w:instrText>
      </w:r>
      <w:r w:rsidR="00D557BC">
        <w:instrText xml:space="preserve"> \* MERGEFORMAT </w:instrText>
      </w:r>
      <w:r w:rsidR="000C749C">
        <w:fldChar w:fldCharType="separate"/>
      </w:r>
      <w:r w:rsidR="00DE6765">
        <w:t>21</w:t>
      </w:r>
      <w:r w:rsidR="000C749C">
        <w:fldChar w:fldCharType="end"/>
      </w:r>
      <w:r>
        <w:t xml:space="preserve"> </w:t>
      </w:r>
      <w:r w:rsidRPr="004F4BB9">
        <w:t>of this Prudential Standard</w:t>
      </w:r>
      <w:r w:rsidR="00D80873">
        <w:t>,</w:t>
      </w:r>
      <w:r>
        <w:t xml:space="preserve"> that </w:t>
      </w:r>
      <w:r w:rsidR="0042358C">
        <w:t xml:space="preserve">may result from </w:t>
      </w:r>
      <w:bookmarkEnd w:id="109"/>
      <w:bookmarkEnd w:id="110"/>
      <w:r w:rsidR="00D1184D">
        <w:t>third-party service provider compensation arrangements</w:t>
      </w:r>
      <w:r w:rsidR="0042358C">
        <w:t xml:space="preserve">; </w:t>
      </w:r>
      <w:r w:rsidR="00E422A0">
        <w:t>and</w:t>
      </w:r>
    </w:p>
    <w:bookmarkEnd w:id="111"/>
    <w:p w14:paraId="2E414EF1" w14:textId="77777777" w:rsidR="006946E4" w:rsidRDefault="00CC5495" w:rsidP="00D557BC">
      <w:pPr>
        <w:pStyle w:val="BodyText2"/>
        <w:jc w:val="both"/>
      </w:pPr>
      <w:r w:rsidDel="00BE7270">
        <w:t xml:space="preserve">the </w:t>
      </w:r>
      <w:r>
        <w:t xml:space="preserve">systems </w:t>
      </w:r>
      <w:r w:rsidR="00294B0D">
        <w:t xml:space="preserve">and </w:t>
      </w:r>
      <w:r>
        <w:t xml:space="preserve">processes that </w:t>
      </w:r>
      <w:r w:rsidR="00BF0032">
        <w:t xml:space="preserve">support the </w:t>
      </w:r>
      <w:r w:rsidR="001B6BCB">
        <w:t>implement</w:t>
      </w:r>
      <w:r w:rsidR="00BF0032">
        <w:t>ation of</w:t>
      </w:r>
      <w:r>
        <w:t xml:space="preserve"> the entity’s remuneration arrangements</w:t>
      </w:r>
      <w:r w:rsidR="007F4518">
        <w:t>,</w:t>
      </w:r>
      <w:r>
        <w:t xml:space="preserve"> </w:t>
      </w:r>
      <w:r w:rsidR="00952FFF">
        <w:t>including those that cover t</w:t>
      </w:r>
      <w:r w:rsidR="00294B0D">
        <w:t>he assessment and management of performance, conduct and consequences</w:t>
      </w:r>
      <w:r w:rsidR="00252E32">
        <w:t>.</w:t>
      </w:r>
    </w:p>
    <w:p w14:paraId="1A7E380A" w14:textId="77777777" w:rsidR="00522558" w:rsidRDefault="00273610" w:rsidP="00D557BC">
      <w:pPr>
        <w:pStyle w:val="Heading1"/>
        <w:jc w:val="both"/>
      </w:pPr>
      <w:bookmarkStart w:id="112" w:name="_Toc6989015"/>
      <w:bookmarkStart w:id="113" w:name="_Toc8908714"/>
      <w:bookmarkStart w:id="114" w:name="_Toc9937050"/>
      <w:bookmarkStart w:id="115" w:name="_Toc10021881"/>
      <w:bookmarkStart w:id="116" w:name="_Toc10106379"/>
      <w:bookmarkStart w:id="117" w:name="_Toc10729971"/>
      <w:bookmarkStart w:id="118" w:name="_Toc11164793"/>
      <w:bookmarkStart w:id="119" w:name="_Toc14420651"/>
      <w:bookmarkStart w:id="120" w:name="_Toc55570116"/>
      <w:bookmarkStart w:id="121" w:name="_Toc102482620"/>
      <w:bookmarkEnd w:id="112"/>
      <w:bookmarkEnd w:id="113"/>
      <w:bookmarkEnd w:id="114"/>
      <w:r>
        <w:t xml:space="preserve">Role of the </w:t>
      </w:r>
      <w:r w:rsidR="00522558">
        <w:t>Board</w:t>
      </w:r>
      <w:bookmarkEnd w:id="115"/>
      <w:bookmarkEnd w:id="116"/>
      <w:bookmarkEnd w:id="117"/>
      <w:bookmarkEnd w:id="118"/>
      <w:bookmarkEnd w:id="119"/>
      <w:bookmarkEnd w:id="120"/>
      <w:bookmarkEnd w:id="121"/>
    </w:p>
    <w:p w14:paraId="77388BDB" w14:textId="77777777" w:rsidR="001B508F" w:rsidRDefault="00522558" w:rsidP="00D557BC">
      <w:pPr>
        <w:pStyle w:val="BodyText1"/>
      </w:pPr>
      <w:bookmarkStart w:id="122" w:name="_Ref245700613"/>
      <w:r>
        <w:t>The Board</w:t>
      </w:r>
      <w:r w:rsidR="00123A6F">
        <w:t>,</w:t>
      </w:r>
      <w:r>
        <w:t xml:space="preserve"> </w:t>
      </w:r>
      <w:r w:rsidR="003436D5">
        <w:t>or relevant oversight function</w:t>
      </w:r>
      <w:r w:rsidR="00123A6F">
        <w:t>,</w:t>
      </w:r>
      <w:r w:rsidR="003436D5">
        <w:t xml:space="preserve"> </w:t>
      </w:r>
      <w:r w:rsidR="00763FA7">
        <w:t xml:space="preserve">of an </w:t>
      </w:r>
      <w:r w:rsidR="001B0FA3">
        <w:t xml:space="preserve">APRA-regulated </w:t>
      </w:r>
      <w:r w:rsidR="00763FA7">
        <w:t xml:space="preserve">entity </w:t>
      </w:r>
      <w:r w:rsidR="00A549F8">
        <w:t xml:space="preserve">is </w:t>
      </w:r>
      <w:r w:rsidR="00123A6F">
        <w:t xml:space="preserve">ultimately </w:t>
      </w:r>
      <w:r w:rsidR="00A549F8">
        <w:t xml:space="preserve">responsible for the entity’s remuneration framework </w:t>
      </w:r>
      <w:r w:rsidR="00877D67" w:rsidRPr="00877D67">
        <w:t>and its effective application</w:t>
      </w:r>
      <w:r w:rsidR="00877D67">
        <w:t xml:space="preserve">. </w:t>
      </w:r>
    </w:p>
    <w:p w14:paraId="4F5A418D" w14:textId="4028E4A5" w:rsidR="00522558" w:rsidRDefault="001B508F" w:rsidP="00D557BC">
      <w:pPr>
        <w:pStyle w:val="BodyText1"/>
      </w:pPr>
      <w:r>
        <w:t>The Board</w:t>
      </w:r>
      <w:r w:rsidR="00AE0322">
        <w:t>,</w:t>
      </w:r>
      <w:r>
        <w:t xml:space="preserve"> </w:t>
      </w:r>
      <w:r w:rsidR="005E64FC">
        <w:t>or relevant oversight function</w:t>
      </w:r>
      <w:r w:rsidR="00AE0322">
        <w:t>,</w:t>
      </w:r>
      <w:r w:rsidR="005E64FC">
        <w:t xml:space="preserve"> </w:t>
      </w:r>
      <w:r w:rsidRPr="00893463">
        <w:t xml:space="preserve">must </w:t>
      </w:r>
      <w:r>
        <w:t xml:space="preserve">approve the remuneration policy required under paragraph </w:t>
      </w:r>
      <w:r>
        <w:fldChar w:fldCharType="begin"/>
      </w:r>
      <w:r>
        <w:instrText xml:space="preserve"> REF _Ref6988950 \r \h </w:instrText>
      </w:r>
      <w:r w:rsidR="0083622E">
        <w:instrText xml:space="preserve"> \* MERGEFORMAT </w:instrText>
      </w:r>
      <w:r>
        <w:fldChar w:fldCharType="separate"/>
      </w:r>
      <w:r w:rsidR="00DE6765">
        <w:t>22</w:t>
      </w:r>
      <w:r>
        <w:fldChar w:fldCharType="end"/>
      </w:r>
      <w:r>
        <w:t xml:space="preserve"> of this Prudential Standard.</w:t>
      </w:r>
    </w:p>
    <w:p w14:paraId="549194C4" w14:textId="77777777" w:rsidR="00522558" w:rsidRDefault="00CF21DD" w:rsidP="00D557BC">
      <w:pPr>
        <w:pStyle w:val="BodyText1"/>
      </w:pPr>
      <w:bookmarkStart w:id="123" w:name="_Ref13546605"/>
      <w:r>
        <w:t>T</w:t>
      </w:r>
      <w:r w:rsidR="00522558" w:rsidRPr="00436507">
        <w:t>he Board must</w:t>
      </w:r>
      <w:r w:rsidR="00522558">
        <w:t xml:space="preserve"> establish </w:t>
      </w:r>
      <w:r w:rsidR="00522558" w:rsidRPr="006A7AE7">
        <w:t>a Board Remuneration Committee</w:t>
      </w:r>
      <w:r w:rsidR="00B95AF7">
        <w:t xml:space="preserve"> </w:t>
      </w:r>
      <w:r w:rsidR="00522558" w:rsidRPr="006A7AE7">
        <w:t>that</w:t>
      </w:r>
      <w:r w:rsidR="00522558">
        <w:t>:</w:t>
      </w:r>
      <w:bookmarkEnd w:id="123"/>
    </w:p>
    <w:p w14:paraId="7004F52C" w14:textId="77777777" w:rsidR="00522558" w:rsidRDefault="00522558" w:rsidP="00D557BC">
      <w:pPr>
        <w:pStyle w:val="BodyText2"/>
        <w:jc w:val="both"/>
      </w:pPr>
      <w:bookmarkStart w:id="124" w:name="_Ref13546606"/>
      <w:r>
        <w:t xml:space="preserve">oversees the design, operation and monitoring of the remuneration framework; </w:t>
      </w:r>
      <w:bookmarkEnd w:id="124"/>
    </w:p>
    <w:p w14:paraId="093E8E40" w14:textId="208B1826" w:rsidR="00716E41" w:rsidRDefault="00123A6F" w:rsidP="00D557BC">
      <w:pPr>
        <w:pStyle w:val="BodyText2"/>
        <w:jc w:val="both"/>
      </w:pPr>
      <w:r>
        <w:t>is appropriately composed to</w:t>
      </w:r>
      <w:r w:rsidR="00716E41">
        <w:t xml:space="preserve"> enable it to exercise competent and independent judgment when </w:t>
      </w:r>
      <w:r w:rsidR="00D160D8">
        <w:t>fulfilling</w:t>
      </w:r>
      <w:r w:rsidR="00716E41">
        <w:t xml:space="preserve"> </w:t>
      </w:r>
      <w:r w:rsidR="00D160D8">
        <w:t xml:space="preserve">requirements under </w:t>
      </w:r>
      <w:r w:rsidR="00716E41">
        <w:t xml:space="preserve">paragraph </w:t>
      </w:r>
      <w:r w:rsidR="00D160D8">
        <w:fldChar w:fldCharType="begin"/>
      </w:r>
      <w:r w:rsidR="00D160D8">
        <w:instrText xml:space="preserve"> REF _Ref13546605 \r \h </w:instrText>
      </w:r>
      <w:r w:rsidR="00744968">
        <w:instrText xml:space="preserve"> \* MERGEFORMAT </w:instrText>
      </w:r>
      <w:r w:rsidR="00D160D8">
        <w:fldChar w:fldCharType="separate"/>
      </w:r>
      <w:r w:rsidR="00DE6765">
        <w:t>25</w:t>
      </w:r>
      <w:r w:rsidR="00D160D8">
        <w:fldChar w:fldCharType="end"/>
      </w:r>
      <w:r w:rsidR="00D160D8">
        <w:fldChar w:fldCharType="begin"/>
      </w:r>
      <w:r w:rsidR="00D160D8">
        <w:instrText xml:space="preserve"> REF _Ref13546606 \r \h </w:instrText>
      </w:r>
      <w:r w:rsidR="00744968">
        <w:instrText xml:space="preserve"> \* MERGEFORMAT </w:instrText>
      </w:r>
      <w:r w:rsidR="00D160D8">
        <w:fldChar w:fldCharType="separate"/>
      </w:r>
      <w:r w:rsidR="00DE6765">
        <w:t>(a)</w:t>
      </w:r>
      <w:r w:rsidR="00D160D8">
        <w:fldChar w:fldCharType="end"/>
      </w:r>
      <w:r w:rsidR="00716E41">
        <w:t xml:space="preserve"> </w:t>
      </w:r>
      <w:r w:rsidR="00D160D8">
        <w:t>above</w:t>
      </w:r>
      <w:r w:rsidR="00716E41">
        <w:t>;</w:t>
      </w:r>
      <w:r w:rsidR="00D160D8">
        <w:t xml:space="preserve"> and</w:t>
      </w:r>
    </w:p>
    <w:p w14:paraId="3FE3EB11" w14:textId="77777777" w:rsidR="00522558" w:rsidRDefault="00522558" w:rsidP="00D557BC">
      <w:pPr>
        <w:pStyle w:val="BodyText2"/>
        <w:jc w:val="both"/>
      </w:pPr>
      <w:r>
        <w:t>has the powers necessary to perform its functions.</w:t>
      </w:r>
    </w:p>
    <w:p w14:paraId="25BDBF66" w14:textId="77777777" w:rsidR="00F42411" w:rsidRPr="001658BA" w:rsidRDefault="00F42411" w:rsidP="00D557BC">
      <w:pPr>
        <w:pStyle w:val="Heading1"/>
        <w:jc w:val="both"/>
      </w:pPr>
      <w:bookmarkStart w:id="125" w:name="_Toc6989018"/>
      <w:bookmarkStart w:id="126" w:name="_Toc8908717"/>
      <w:bookmarkStart w:id="127" w:name="_Toc10021882"/>
      <w:bookmarkStart w:id="128" w:name="_Toc9937053"/>
      <w:bookmarkStart w:id="129" w:name="_Toc10106380"/>
      <w:bookmarkStart w:id="130" w:name="_Toc10729972"/>
      <w:bookmarkStart w:id="131" w:name="_Toc11164794"/>
      <w:bookmarkStart w:id="132" w:name="_Toc14420652"/>
      <w:bookmarkStart w:id="133" w:name="_Toc55570117"/>
      <w:bookmarkStart w:id="134" w:name="_Toc102482621"/>
      <w:bookmarkEnd w:id="122"/>
      <w:r w:rsidRPr="00E546C7">
        <w:t>Board Remuneration Committee</w:t>
      </w:r>
      <w:bookmarkEnd w:id="125"/>
      <w:bookmarkEnd w:id="126"/>
      <w:bookmarkEnd w:id="127"/>
      <w:bookmarkEnd w:id="128"/>
      <w:bookmarkEnd w:id="129"/>
      <w:bookmarkEnd w:id="130"/>
      <w:bookmarkEnd w:id="131"/>
      <w:bookmarkEnd w:id="132"/>
      <w:bookmarkEnd w:id="133"/>
      <w:bookmarkEnd w:id="134"/>
    </w:p>
    <w:p w14:paraId="7B6465D2" w14:textId="77777777" w:rsidR="00BD0C43" w:rsidRPr="00861939" w:rsidRDefault="00F42411" w:rsidP="00D557BC">
      <w:pPr>
        <w:pStyle w:val="BodyText1"/>
        <w:rPr>
          <w:sz w:val="20"/>
        </w:rPr>
      </w:pPr>
      <w:bookmarkStart w:id="135" w:name="_Ref337028237"/>
      <w:bookmarkStart w:id="136" w:name="_Ref336519521"/>
      <w:r>
        <w:t>T</w:t>
      </w:r>
      <w:r w:rsidRPr="006A7AE7">
        <w:t xml:space="preserve">he Board Remuneration Committee must have at least three members </w:t>
      </w:r>
      <w:r w:rsidR="0035175E">
        <w:t>and a</w:t>
      </w:r>
      <w:r w:rsidRPr="006A7AE7">
        <w:t xml:space="preserve">ll members must be non-executive directors of the </w:t>
      </w:r>
      <w:r>
        <w:t>entity</w:t>
      </w:r>
      <w:r w:rsidR="00EF0D4D">
        <w:t>.</w:t>
      </w:r>
      <w:r w:rsidR="0035175E">
        <w:t xml:space="preserve"> </w:t>
      </w:r>
    </w:p>
    <w:p w14:paraId="55A32B37" w14:textId="77777777" w:rsidR="00026341" w:rsidRPr="00026341" w:rsidRDefault="00BD0C43" w:rsidP="00D557BC">
      <w:pPr>
        <w:pStyle w:val="BodyText1"/>
        <w:rPr>
          <w:sz w:val="20"/>
        </w:rPr>
      </w:pPr>
      <w:r>
        <w:t>For</w:t>
      </w:r>
      <w:r w:rsidR="007F582A">
        <w:t xml:space="preserve"> an entity that is not an RSE licensee,</w:t>
      </w:r>
      <w:r>
        <w:t xml:space="preserve"> </w:t>
      </w:r>
      <w:r w:rsidR="007F582A">
        <w:t>a</w:t>
      </w:r>
      <w:r w:rsidR="00F42411" w:rsidRPr="006A7AE7">
        <w:t xml:space="preserve"> majority of members of the Committee must be independent </w:t>
      </w:r>
      <w:r w:rsidR="00EF0D4D">
        <w:t>and t</w:t>
      </w:r>
      <w:r w:rsidR="00F42411" w:rsidRPr="006A7AE7">
        <w:t xml:space="preserve">he chairperson of the Committee must be an independent director of the </w:t>
      </w:r>
      <w:r w:rsidR="00F42411">
        <w:t>entity</w:t>
      </w:r>
      <w:r w:rsidR="00F42411" w:rsidRPr="006A7AE7">
        <w:t>.</w:t>
      </w:r>
      <w:bookmarkEnd w:id="135"/>
      <w:bookmarkEnd w:id="136"/>
      <w:r w:rsidR="005529AA">
        <w:t xml:space="preserve"> </w:t>
      </w:r>
    </w:p>
    <w:p w14:paraId="6FBDB59E" w14:textId="77777777" w:rsidR="005529AA" w:rsidRDefault="005529AA" w:rsidP="00D557BC">
      <w:pPr>
        <w:pStyle w:val="BodyText1"/>
      </w:pPr>
      <w:r>
        <w:t>For a</w:t>
      </w:r>
      <w:r w:rsidR="00B46A00">
        <w:t>n</w:t>
      </w:r>
      <w:r>
        <w:t xml:space="preserve"> RSE licensee, t</w:t>
      </w:r>
      <w:r w:rsidRPr="007729A9">
        <w:t>he chairperson of the Board may sit on the Board Remuneration Committee, but may not chair the Committee except where the chairperson of the Board is the only independent director on the Board</w:t>
      </w:r>
      <w:r>
        <w:t>.</w:t>
      </w:r>
    </w:p>
    <w:p w14:paraId="5BED6A07" w14:textId="77777777" w:rsidR="00F42411" w:rsidRDefault="00F42411" w:rsidP="00D557BC">
      <w:pPr>
        <w:pStyle w:val="BodyText1"/>
      </w:pPr>
      <w:r w:rsidRPr="004C78A2">
        <w:lastRenderedPageBreak/>
        <w:t xml:space="preserve">The Board Remuneration Committee must have a written charter that </w:t>
      </w:r>
      <w:r w:rsidR="003F78D4">
        <w:t>sets out</w:t>
      </w:r>
      <w:r w:rsidR="003F78D4" w:rsidRPr="004C78A2">
        <w:t xml:space="preserve"> </w:t>
      </w:r>
      <w:r w:rsidR="00123A6F">
        <w:t>it</w:t>
      </w:r>
      <w:r w:rsidRPr="004C78A2">
        <w:t xml:space="preserve">s roles, responsibilities and terms of operation. </w:t>
      </w:r>
    </w:p>
    <w:p w14:paraId="3E0983A8" w14:textId="77777777" w:rsidR="00967527" w:rsidRPr="00AA43F6" w:rsidRDefault="00967527" w:rsidP="00D557BC">
      <w:pPr>
        <w:pStyle w:val="BodyText1"/>
      </w:pPr>
      <w:r w:rsidRPr="00AA43F6">
        <w:t>The Board Remuneration Committee</w:t>
      </w:r>
      <w:r w:rsidR="00AE0322">
        <w:t>, or relevant oversight function,</w:t>
      </w:r>
      <w:r w:rsidRPr="00AA43F6">
        <w:t xml:space="preserve"> </w:t>
      </w:r>
      <w:r>
        <w:t>must</w:t>
      </w:r>
      <w:r w:rsidR="007C5B13">
        <w:t xml:space="preserve"> </w:t>
      </w:r>
      <w:r w:rsidRPr="00AA43F6">
        <w:t>consult the Board Risk Committee</w:t>
      </w:r>
      <w:r>
        <w:rPr>
          <w:rStyle w:val="FootnoteReference"/>
        </w:rPr>
        <w:footnoteReference w:id="12"/>
      </w:r>
      <w:r w:rsidRPr="00AA43F6">
        <w:t xml:space="preserve"> and Chief Risk Officer</w:t>
      </w:r>
      <w:r w:rsidRPr="00E922E5">
        <w:rPr>
          <w:rStyle w:val="CommentReference"/>
          <w:rFonts w:eastAsia="Calibri"/>
          <w:sz w:val="24"/>
          <w:szCs w:val="24"/>
        </w:rPr>
        <w:t xml:space="preserve"> or person in a similar role, </w:t>
      </w:r>
      <w:r>
        <w:t>to enable</w:t>
      </w:r>
      <w:r w:rsidRPr="00AA43F6">
        <w:t xml:space="preserve"> risk outcomes </w:t>
      </w:r>
      <w:r>
        <w:t xml:space="preserve">to </w:t>
      </w:r>
      <w:r w:rsidRPr="00AA43F6">
        <w:t xml:space="preserve">be </w:t>
      </w:r>
      <w:r>
        <w:t xml:space="preserve">appropriately </w:t>
      </w:r>
      <w:r w:rsidRPr="00AA43F6">
        <w:t>reflected in remuneration outcomes for persons in speci</w:t>
      </w:r>
      <w:r>
        <w:t>fied</w:t>
      </w:r>
      <w:r w:rsidRPr="00AA43F6">
        <w:t xml:space="preserve"> role</w:t>
      </w:r>
      <w:r>
        <w:t>s</w:t>
      </w:r>
      <w:r w:rsidRPr="00AA43F6">
        <w:t>.</w:t>
      </w:r>
      <w:r w:rsidR="00CD0CFC">
        <w:t xml:space="preserve"> Th</w:t>
      </w:r>
      <w:r w:rsidR="00A21AC0">
        <w:t>is</w:t>
      </w:r>
      <w:r w:rsidR="00CD0CFC">
        <w:t xml:space="preserve"> </w:t>
      </w:r>
      <w:r w:rsidR="007C5B13">
        <w:t>consult</w:t>
      </w:r>
      <w:r w:rsidR="00A21AC0">
        <w:t>ation</w:t>
      </w:r>
      <w:r w:rsidR="007C5B13">
        <w:t xml:space="preserve"> must follow a documented process. </w:t>
      </w:r>
    </w:p>
    <w:p w14:paraId="0E0C9A34" w14:textId="0C1C6E09" w:rsidR="00F42411" w:rsidRDefault="00F42411" w:rsidP="00D557BC">
      <w:pPr>
        <w:pStyle w:val="BodyText1"/>
      </w:pPr>
      <w:r>
        <w:t>The Board Remuneration Committee</w:t>
      </w:r>
      <w:r w:rsidR="00123A6F">
        <w:t>,</w:t>
      </w:r>
      <w:r>
        <w:t xml:space="preserve"> </w:t>
      </w:r>
      <w:r w:rsidR="00AC4D58">
        <w:t>or relevant oversight function</w:t>
      </w:r>
      <w:r w:rsidR="00123A6F">
        <w:t>,</w:t>
      </w:r>
      <w:r w:rsidR="00AC4D58">
        <w:t xml:space="preserve"> </w:t>
      </w:r>
      <w:r>
        <w:t xml:space="preserve">must </w:t>
      </w:r>
      <w:r w:rsidR="00FC0AFA">
        <w:t>obtain</w:t>
      </w:r>
      <w:r>
        <w:t xml:space="preserve"> comprehensive reporting </w:t>
      </w:r>
      <w:r w:rsidR="00D34463">
        <w:t xml:space="preserve">that will allow </w:t>
      </w:r>
      <w:r w:rsidR="00E35B86">
        <w:t xml:space="preserve">it </w:t>
      </w:r>
      <w:r w:rsidR="00D34463">
        <w:t>to</w:t>
      </w:r>
      <w:r>
        <w:t xml:space="preserve"> </w:t>
      </w:r>
      <w:r w:rsidR="00907672">
        <w:t xml:space="preserve">determine </w:t>
      </w:r>
      <w:r>
        <w:t xml:space="preserve">whether remuneration outcomes </w:t>
      </w:r>
      <w:r w:rsidR="004825BC">
        <w:t xml:space="preserve">of all remuneration arrangements </w:t>
      </w:r>
      <w:r>
        <w:t xml:space="preserve">align with </w:t>
      </w:r>
      <w:r w:rsidR="004F4BB9" w:rsidRPr="005A21D1">
        <w:t xml:space="preserve">paragraph </w:t>
      </w:r>
      <w:r w:rsidR="00AA7BC6">
        <w:fldChar w:fldCharType="begin"/>
      </w:r>
      <w:r w:rsidR="00AA7BC6">
        <w:instrText xml:space="preserve"> REF _Ref40329811 \r \h </w:instrText>
      </w:r>
      <w:r w:rsidR="00D557BC">
        <w:instrText xml:space="preserve"> \* MERGEFORMAT </w:instrText>
      </w:r>
      <w:r w:rsidR="00AA7BC6">
        <w:fldChar w:fldCharType="separate"/>
      </w:r>
      <w:r w:rsidR="00DE6765">
        <w:t>21</w:t>
      </w:r>
      <w:r w:rsidR="00AA7BC6">
        <w:fldChar w:fldCharType="end"/>
      </w:r>
      <w:r w:rsidR="00062257">
        <w:t xml:space="preserve"> </w:t>
      </w:r>
      <w:r w:rsidR="004F4BB9" w:rsidRPr="005A21D1">
        <w:t>of this Prudential Standard</w:t>
      </w:r>
      <w:r w:rsidR="00C9052E">
        <w:t>.</w:t>
      </w:r>
    </w:p>
    <w:p w14:paraId="14846C06" w14:textId="77777777" w:rsidR="006F0618" w:rsidRPr="00893463" w:rsidRDefault="001B6BCB" w:rsidP="00D557BC">
      <w:pPr>
        <w:pStyle w:val="BodyText1"/>
      </w:pPr>
      <w:r>
        <w:t xml:space="preserve">The </w:t>
      </w:r>
      <w:r w:rsidR="006F0618" w:rsidRPr="00893463">
        <w:t>Board Remuneration Committee</w:t>
      </w:r>
      <w:r w:rsidR="00AE0322">
        <w:t>,</w:t>
      </w:r>
      <w:r w:rsidR="00E9739E">
        <w:t xml:space="preserve"> or relevant oversight function</w:t>
      </w:r>
      <w:r w:rsidR="00AE0322">
        <w:t>,</w:t>
      </w:r>
      <w:r w:rsidR="006F0618" w:rsidRPr="00893463">
        <w:t xml:space="preserve"> </w:t>
      </w:r>
      <w:r w:rsidR="00911106" w:rsidRPr="00893463">
        <w:t xml:space="preserve">in carrying out </w:t>
      </w:r>
      <w:r w:rsidR="00911106">
        <w:t>its</w:t>
      </w:r>
      <w:r w:rsidR="00911106" w:rsidRPr="00893463">
        <w:t xml:space="preserve"> </w:t>
      </w:r>
      <w:r w:rsidR="00911106">
        <w:t>duties</w:t>
      </w:r>
      <w:r w:rsidR="00AE0322">
        <w:t xml:space="preserve"> must</w:t>
      </w:r>
      <w:r w:rsidR="006F0618" w:rsidRPr="00893463">
        <w:t>:</w:t>
      </w:r>
    </w:p>
    <w:p w14:paraId="3730DF52" w14:textId="77777777" w:rsidR="006F0618" w:rsidRPr="00C2438E" w:rsidRDefault="006F0618" w:rsidP="00D557BC">
      <w:pPr>
        <w:pStyle w:val="BodyText2"/>
        <w:jc w:val="both"/>
      </w:pPr>
      <w:r w:rsidRPr="00C2438E">
        <w:t xml:space="preserve">have </w:t>
      </w:r>
      <w:r w:rsidR="00911106" w:rsidRPr="00C2438E">
        <w:t xml:space="preserve">free and </w:t>
      </w:r>
      <w:r w:rsidRPr="00C2438E">
        <w:t xml:space="preserve">unfettered access to other Board </w:t>
      </w:r>
      <w:r w:rsidR="007F582A">
        <w:t>c</w:t>
      </w:r>
      <w:r w:rsidRPr="00C2438E">
        <w:t>ommittees;</w:t>
      </w:r>
    </w:p>
    <w:p w14:paraId="68F42F05" w14:textId="77777777" w:rsidR="006F0618" w:rsidRPr="00C2438E" w:rsidRDefault="006F0618" w:rsidP="00D557BC">
      <w:pPr>
        <w:pStyle w:val="BodyText2"/>
        <w:jc w:val="both"/>
      </w:pPr>
      <w:r w:rsidRPr="00C2438E">
        <w:t xml:space="preserve">have </w:t>
      </w:r>
      <w:r w:rsidR="00911106" w:rsidRPr="00C2438E">
        <w:t xml:space="preserve">free and </w:t>
      </w:r>
      <w:r w:rsidRPr="00C2438E">
        <w:t xml:space="preserve">unfettered access to risk and financial control personnel and other </w:t>
      </w:r>
      <w:r w:rsidR="008C3FC9">
        <w:t xml:space="preserve">relevant </w:t>
      </w:r>
      <w:r w:rsidRPr="00C2438E">
        <w:t xml:space="preserve">parties (internal and </w:t>
      </w:r>
      <w:r w:rsidR="00302EFE">
        <w:t>external</w:t>
      </w:r>
      <w:r w:rsidRPr="00C2438E">
        <w:t>); and</w:t>
      </w:r>
    </w:p>
    <w:p w14:paraId="7ABCB1AC" w14:textId="77777777" w:rsidR="006F0618" w:rsidRPr="00C2438E" w:rsidRDefault="006F0618" w:rsidP="00D557BC">
      <w:pPr>
        <w:pStyle w:val="BodyText2"/>
        <w:jc w:val="both"/>
      </w:pPr>
      <w:r w:rsidRPr="00C2438E">
        <w:t>if choosing to engage third-party experts, have the power to do so in a manner that ensures that the engagement, including any advice received, is independent.</w:t>
      </w:r>
    </w:p>
    <w:p w14:paraId="33F9120A" w14:textId="77777777" w:rsidR="00823EBF" w:rsidRPr="00E546C7" w:rsidRDefault="00823EBF" w:rsidP="00D557BC">
      <w:pPr>
        <w:pStyle w:val="Heading1"/>
        <w:jc w:val="both"/>
      </w:pPr>
      <w:bookmarkStart w:id="137" w:name="_Toc55550737"/>
      <w:bookmarkStart w:id="138" w:name="_Toc55569341"/>
      <w:bookmarkStart w:id="139" w:name="_Toc55570118"/>
      <w:bookmarkStart w:id="140" w:name="_Toc55571995"/>
      <w:bookmarkStart w:id="141" w:name="_Toc6989019"/>
      <w:bookmarkStart w:id="142" w:name="_Toc10729974"/>
      <w:bookmarkStart w:id="143" w:name="_Toc11164796"/>
      <w:bookmarkStart w:id="144" w:name="_Toc14420654"/>
      <w:bookmarkStart w:id="145" w:name="_Toc55570121"/>
      <w:bookmarkStart w:id="146" w:name="_Toc102482622"/>
      <w:bookmarkStart w:id="147" w:name="_Toc10021885"/>
      <w:bookmarkStart w:id="148" w:name="_Toc10106382"/>
      <w:bookmarkStart w:id="149" w:name="_Toc6989023"/>
      <w:bookmarkStart w:id="150" w:name="_Toc8908722"/>
      <w:bookmarkStart w:id="151" w:name="_Toc9937056"/>
      <w:bookmarkStart w:id="152" w:name="_Hlk5121382"/>
      <w:bookmarkStart w:id="153" w:name="_Ref454389904"/>
      <w:bookmarkEnd w:id="137"/>
      <w:bookmarkEnd w:id="138"/>
      <w:bookmarkEnd w:id="139"/>
      <w:bookmarkEnd w:id="140"/>
      <w:bookmarkEnd w:id="141"/>
      <w:r w:rsidRPr="00783C89">
        <w:t>Remuneration</w:t>
      </w:r>
      <w:r>
        <w:t xml:space="preserve"> design</w:t>
      </w:r>
      <w:bookmarkEnd w:id="142"/>
      <w:bookmarkEnd w:id="143"/>
      <w:bookmarkEnd w:id="144"/>
      <w:bookmarkEnd w:id="145"/>
      <w:bookmarkEnd w:id="146"/>
    </w:p>
    <w:p w14:paraId="7535DB87" w14:textId="188574B0" w:rsidR="00DD27F3" w:rsidRPr="00607F92" w:rsidRDefault="008E2308" w:rsidP="00D557BC">
      <w:pPr>
        <w:pStyle w:val="BodyText1"/>
      </w:pPr>
      <w:bookmarkStart w:id="154" w:name="_Ref14155832"/>
      <w:bookmarkStart w:id="155" w:name="_Ref14378741"/>
      <w:bookmarkStart w:id="156" w:name="_Ref44071967"/>
      <w:bookmarkStart w:id="157" w:name="_Ref6994100"/>
      <w:r>
        <w:t xml:space="preserve">An </w:t>
      </w:r>
      <w:r w:rsidR="00F3006F">
        <w:t xml:space="preserve">APRA-regulated </w:t>
      </w:r>
      <w:r>
        <w:t>entity must design a</w:t>
      </w:r>
      <w:r w:rsidR="00DD27F3">
        <w:t>ll variable remuneration arrangements to align with</w:t>
      </w:r>
      <w:r w:rsidR="004F4BB9" w:rsidRPr="004F4BB9">
        <w:t xml:space="preserve"> </w:t>
      </w:r>
      <w:r w:rsidR="004F4BB9">
        <w:t xml:space="preserve">paragraph </w:t>
      </w:r>
      <w:r w:rsidR="0008628A">
        <w:fldChar w:fldCharType="begin"/>
      </w:r>
      <w:r w:rsidR="0008628A">
        <w:instrText xml:space="preserve"> REF _Ref40329811 \r \h </w:instrText>
      </w:r>
      <w:r w:rsidR="00D557BC">
        <w:instrText xml:space="preserve"> \* MERGEFORMAT </w:instrText>
      </w:r>
      <w:r w:rsidR="0008628A">
        <w:fldChar w:fldCharType="separate"/>
      </w:r>
      <w:r w:rsidR="00DE6765">
        <w:t>21</w:t>
      </w:r>
      <w:r w:rsidR="0008628A">
        <w:fldChar w:fldCharType="end"/>
      </w:r>
      <w:r w:rsidR="004F4BB9">
        <w:t xml:space="preserve"> of this Prudential Standard</w:t>
      </w:r>
      <w:r w:rsidR="00DD27F3">
        <w:t xml:space="preserve"> </w:t>
      </w:r>
      <w:r w:rsidR="00FC1777">
        <w:t xml:space="preserve">and </w:t>
      </w:r>
      <w:r w:rsidR="0039328A">
        <w:t xml:space="preserve">must </w:t>
      </w:r>
      <w:r w:rsidR="00CC511D">
        <w:t>incorporate</w:t>
      </w:r>
      <w:r w:rsidR="0039328A">
        <w:t xml:space="preserve"> in its variable remuneration arrangements</w:t>
      </w:r>
      <w:r w:rsidR="00DD27F3" w:rsidRPr="00607F92">
        <w:t>:</w:t>
      </w:r>
      <w:bookmarkEnd w:id="154"/>
      <w:bookmarkEnd w:id="155"/>
      <w:bookmarkEnd w:id="156"/>
    </w:p>
    <w:bookmarkEnd w:id="157"/>
    <w:p w14:paraId="2E33B857" w14:textId="77777777" w:rsidR="00BE651A" w:rsidRPr="00607F92" w:rsidRDefault="00BE651A" w:rsidP="00D557BC">
      <w:pPr>
        <w:pStyle w:val="BodyText2"/>
        <w:jc w:val="both"/>
      </w:pPr>
      <w:r>
        <w:t>financial and non-</w:t>
      </w:r>
      <w:r w:rsidRPr="00D35CC6">
        <w:t xml:space="preserve">financial risks that could materially impact the entity’s risk profile, </w:t>
      </w:r>
      <w:r w:rsidR="00417E9A" w:rsidRPr="00D35CC6">
        <w:t xml:space="preserve">sustainable </w:t>
      </w:r>
      <w:r w:rsidRPr="00D35CC6">
        <w:t xml:space="preserve">performance, long-term soundness, and in addition for an RSE licensee, </w:t>
      </w:r>
      <w:r w:rsidR="00551CA4">
        <w:t xml:space="preserve">those risks that could </w:t>
      </w:r>
      <w:r w:rsidRPr="00D35CC6">
        <w:t xml:space="preserve">materially impact on </w:t>
      </w:r>
      <w:r w:rsidR="009A006C" w:rsidRPr="009A006C">
        <w:t>perform</w:t>
      </w:r>
      <w:r w:rsidR="009A006C">
        <w:t>ing</w:t>
      </w:r>
      <w:r w:rsidR="009A006C" w:rsidRPr="009A006C">
        <w:t xml:space="preserve"> its duties and exercis</w:t>
      </w:r>
      <w:r w:rsidR="00551CA4">
        <w:t>ing</w:t>
      </w:r>
      <w:r w:rsidR="009A006C" w:rsidRPr="009A006C">
        <w:t xml:space="preserve"> its powers in the best financial interests of beneficiaries</w:t>
      </w:r>
      <w:r w:rsidRPr="00607F92">
        <w:t>;</w:t>
      </w:r>
      <w:r w:rsidR="00CB6781">
        <w:t xml:space="preserve"> </w:t>
      </w:r>
    </w:p>
    <w:p w14:paraId="1133A378" w14:textId="77777777" w:rsidR="00C90C86" w:rsidRDefault="00BE651A" w:rsidP="00D557BC">
      <w:pPr>
        <w:pStyle w:val="BodyText2"/>
        <w:tabs>
          <w:tab w:val="num" w:pos="1418"/>
        </w:tabs>
        <w:ind w:left="1135"/>
        <w:jc w:val="both"/>
      </w:pPr>
      <w:r>
        <w:t xml:space="preserve">payout and vesting schedules </w:t>
      </w:r>
      <w:r w:rsidR="00FC1777">
        <w:t xml:space="preserve">that are </w:t>
      </w:r>
      <w:r>
        <w:t>commensurate with the possible range of risk and performance outcomes</w:t>
      </w:r>
      <w:r w:rsidR="00FC1777">
        <w:t xml:space="preserve"> and </w:t>
      </w:r>
      <w:r w:rsidR="00B76793">
        <w:t xml:space="preserve">that are </w:t>
      </w:r>
      <w:r w:rsidR="00FC1777">
        <w:t>sensitive to the time horizon of risk</w:t>
      </w:r>
      <w:r>
        <w:t>; and</w:t>
      </w:r>
      <w:bookmarkStart w:id="158" w:name="_Ref14155836"/>
    </w:p>
    <w:p w14:paraId="0512FF79" w14:textId="77777777" w:rsidR="00AA619B" w:rsidRPr="0095358A" w:rsidRDefault="00C90C86" w:rsidP="00D557BC">
      <w:pPr>
        <w:pStyle w:val="BodyText2"/>
        <w:tabs>
          <w:tab w:val="num" w:pos="1418"/>
        </w:tabs>
        <w:ind w:left="1135"/>
        <w:jc w:val="both"/>
        <w:rPr>
          <w:rFonts w:asciiTheme="minorHAnsi" w:hAnsiTheme="minorHAnsi" w:cstheme="minorHAnsi"/>
        </w:rPr>
      </w:pPr>
      <w:bookmarkStart w:id="159" w:name="_Ref44071969"/>
      <w:bookmarkStart w:id="160" w:name="_Ref129607858"/>
      <w:r w:rsidRPr="00B42809">
        <w:rPr>
          <w:rFonts w:asciiTheme="minorHAnsi" w:hAnsiTheme="minorHAnsi" w:cstheme="minorHAnsi"/>
          <w:iCs/>
        </w:rPr>
        <w:t xml:space="preserve">appropriate </w:t>
      </w:r>
      <w:r w:rsidR="00460B7D" w:rsidRPr="00EF0AC7">
        <w:rPr>
          <w:rFonts w:asciiTheme="minorHAnsi" w:hAnsiTheme="minorHAnsi" w:cstheme="minorHAnsi"/>
          <w:iCs/>
        </w:rPr>
        <w:t>variable</w:t>
      </w:r>
      <w:r w:rsidR="00460B7D">
        <w:rPr>
          <w:rFonts w:asciiTheme="minorHAnsi" w:hAnsiTheme="minorHAnsi" w:cstheme="minorHAnsi"/>
          <w:iCs/>
        </w:rPr>
        <w:t xml:space="preserve"> </w:t>
      </w:r>
      <w:r w:rsidRPr="00B42809">
        <w:rPr>
          <w:rFonts w:asciiTheme="minorHAnsi" w:hAnsiTheme="minorHAnsi" w:cstheme="minorHAnsi"/>
          <w:iCs/>
        </w:rPr>
        <w:t xml:space="preserve">remuneration adjustment tools, </w:t>
      </w:r>
      <w:r>
        <w:t xml:space="preserve">that include but are not limited to overriding board discretion at each decision point, in-period adjustments, </w:t>
      </w:r>
      <w:r w:rsidRPr="00B76793">
        <w:t>malus and</w:t>
      </w:r>
      <w:r w:rsidR="002E6D1C">
        <w:t>,</w:t>
      </w:r>
      <w:r w:rsidRPr="00B76793">
        <w:t xml:space="preserve"> </w:t>
      </w:r>
      <w:r w:rsidRPr="00FE5599">
        <w:t>where appropriate</w:t>
      </w:r>
      <w:r w:rsidR="002E6D1C">
        <w:t>,</w:t>
      </w:r>
      <w:r w:rsidRPr="00FE5599">
        <w:t xml:space="preserve"> </w:t>
      </w:r>
      <w:r w:rsidRPr="00B76793">
        <w:t>clawback</w:t>
      </w:r>
      <w:bookmarkEnd w:id="159"/>
      <w:r w:rsidR="00AA619B" w:rsidRPr="00B76793">
        <w:t>,</w:t>
      </w:r>
      <w:r w:rsidR="00AA619B">
        <w:t xml:space="preserve"> which are supported by a downward-adjustments process:</w:t>
      </w:r>
      <w:bookmarkEnd w:id="160"/>
    </w:p>
    <w:p w14:paraId="44DF865F" w14:textId="77777777" w:rsidR="00AA619B" w:rsidRPr="0095358A" w:rsidRDefault="00AA619B" w:rsidP="00802E43">
      <w:pPr>
        <w:pStyle w:val="BodyText3"/>
        <w:jc w:val="both"/>
        <w:rPr>
          <w:rFonts w:asciiTheme="minorHAnsi" w:hAnsiTheme="minorHAnsi" w:cstheme="minorHAnsi"/>
        </w:rPr>
      </w:pPr>
      <w:r>
        <w:t>with clearly identified triggers to make a downward-adjustment;</w:t>
      </w:r>
    </w:p>
    <w:p w14:paraId="4E32B3F1" w14:textId="77777777" w:rsidR="00AA619B" w:rsidRPr="0028372E" w:rsidRDefault="00AA619B" w:rsidP="00802E43">
      <w:pPr>
        <w:pStyle w:val="BodyText3"/>
        <w:jc w:val="both"/>
        <w:rPr>
          <w:rFonts w:asciiTheme="minorHAnsi" w:hAnsiTheme="minorHAnsi" w:cstheme="minorHAnsi"/>
        </w:rPr>
      </w:pPr>
      <w:r>
        <w:lastRenderedPageBreak/>
        <w:t xml:space="preserve">that determines the appropriate adjustment tools to use; and </w:t>
      </w:r>
    </w:p>
    <w:p w14:paraId="0A2DFEB1" w14:textId="77777777" w:rsidR="00C90C86" w:rsidRPr="00AA619B" w:rsidRDefault="00AA619B" w:rsidP="00802E43">
      <w:pPr>
        <w:pStyle w:val="BodyText3"/>
        <w:jc w:val="both"/>
      </w:pPr>
      <w:r w:rsidRPr="00AA619B">
        <w:t>that determines the amount of downward-adjustment,</w:t>
      </w:r>
      <w:r w:rsidR="00460B7D">
        <w:t xml:space="preserve"> </w:t>
      </w:r>
      <w:r w:rsidR="00460B7D" w:rsidRPr="00AA619B">
        <w:t>proportionate to the</w:t>
      </w:r>
      <w:r w:rsidR="00460B7D">
        <w:t xml:space="preserve"> severity of risk and conduct outcomes</w:t>
      </w:r>
      <w:r>
        <w:t>,</w:t>
      </w:r>
      <w:r w:rsidRPr="006A7AE7">
        <w:t xml:space="preserve"> to </w:t>
      </w:r>
      <w:r>
        <w:t>nil</w:t>
      </w:r>
      <w:r w:rsidRPr="006A7AE7">
        <w:t xml:space="preserve"> if </w:t>
      </w:r>
      <w:r>
        <w:t>appropriate</w:t>
      </w:r>
      <w:r w:rsidR="00405708">
        <w:t>.</w:t>
      </w:r>
    </w:p>
    <w:p w14:paraId="2190937C" w14:textId="77777777" w:rsidR="00213E6F" w:rsidRPr="007D6AB5" w:rsidRDefault="00213E6F" w:rsidP="00D557BC">
      <w:pPr>
        <w:pStyle w:val="BodyText1"/>
        <w:tabs>
          <w:tab w:val="num" w:pos="1276"/>
        </w:tabs>
      </w:pPr>
      <w:bookmarkStart w:id="161" w:name="_Ref13475075"/>
      <w:bookmarkStart w:id="162" w:name="_Ref5626117"/>
      <w:bookmarkEnd w:id="158"/>
      <w:r w:rsidRPr="007D6AB5">
        <w:t>The determination of each component of a person’s variable remuneration must:</w:t>
      </w:r>
    </w:p>
    <w:p w14:paraId="4276C4F4" w14:textId="77777777" w:rsidR="00213E6F" w:rsidRDefault="00213E6F" w:rsidP="00D557BC">
      <w:pPr>
        <w:pStyle w:val="BodyText2"/>
        <w:jc w:val="both"/>
      </w:pPr>
      <w:r w:rsidRPr="007D6AB5">
        <w:t>give material weight to non-</w:t>
      </w:r>
      <w:r w:rsidRPr="00E37463">
        <w:t>financial measures</w:t>
      </w:r>
      <w:r w:rsidR="00EF0AC7" w:rsidRPr="00E37463">
        <w:rPr>
          <w:rStyle w:val="FootnoteReference"/>
        </w:rPr>
        <w:footnoteReference w:id="13"/>
      </w:r>
      <w:r w:rsidRPr="00E37463">
        <w:t xml:space="preserve"> where the remuneration</w:t>
      </w:r>
      <w:r w:rsidRPr="007D6AB5">
        <w:t xml:space="preserve"> is performance related;</w:t>
      </w:r>
      <w:r w:rsidR="00167FC8" w:rsidRPr="00167FC8">
        <w:rPr>
          <w:rStyle w:val="FootnoteReference"/>
        </w:rPr>
        <w:t xml:space="preserve"> </w:t>
      </w:r>
      <w:r>
        <w:t xml:space="preserve">and </w:t>
      </w:r>
    </w:p>
    <w:p w14:paraId="616E945D" w14:textId="1ADFB469" w:rsidR="00213E6F" w:rsidRDefault="00213E6F" w:rsidP="00D557BC">
      <w:pPr>
        <w:pStyle w:val="BodyText2"/>
        <w:jc w:val="both"/>
      </w:pPr>
      <w:r w:rsidRPr="007D6AB5">
        <w:t xml:space="preserve">be </w:t>
      </w:r>
      <w:r w:rsidRPr="00064FC7">
        <w:t>adjusted</w:t>
      </w:r>
      <w:r w:rsidR="00167FC8">
        <w:t xml:space="preserve"> downwards</w:t>
      </w:r>
      <w:r w:rsidRPr="007D6AB5">
        <w:t>, potentially to nil</w:t>
      </w:r>
      <w:r>
        <w:t>,</w:t>
      </w:r>
      <w:r w:rsidRPr="007D6AB5">
        <w:t xml:space="preserve"> </w:t>
      </w:r>
      <w:r>
        <w:t>for</w:t>
      </w:r>
      <w:r w:rsidRPr="007D6AB5">
        <w:t xml:space="preserve"> adverse risk </w:t>
      </w:r>
      <w:r>
        <w:t xml:space="preserve">and conduct </w:t>
      </w:r>
      <w:r w:rsidRPr="007D6AB5">
        <w:t>outcomes</w:t>
      </w:r>
      <w:r>
        <w:t xml:space="preserve">, </w:t>
      </w:r>
      <w:r w:rsidRPr="007D6AB5">
        <w:t xml:space="preserve">based on clearly defined </w:t>
      </w:r>
      <w:r>
        <w:t xml:space="preserve">risk </w:t>
      </w:r>
      <w:r w:rsidRPr="007D6AB5">
        <w:t>criteria</w:t>
      </w:r>
      <w:r w:rsidR="00460B7D">
        <w:t xml:space="preserve">, as </w:t>
      </w:r>
      <w:r w:rsidR="00167FC8">
        <w:t>specified</w:t>
      </w:r>
      <w:r w:rsidR="00460B7D">
        <w:t xml:space="preserve"> in paragrap</w:t>
      </w:r>
      <w:r w:rsidR="00A86C63">
        <w:t>h</w:t>
      </w:r>
      <w:r w:rsidR="00CB502A">
        <w:t> </w:t>
      </w:r>
      <w:r w:rsidR="008B53F7">
        <w:fldChar w:fldCharType="begin"/>
      </w:r>
      <w:r w:rsidR="008B53F7">
        <w:instrText xml:space="preserve"> REF _Ref129607792 \r \h </w:instrText>
      </w:r>
      <w:r w:rsidR="008B53F7">
        <w:fldChar w:fldCharType="separate"/>
      </w:r>
      <w:r w:rsidR="00DE6765">
        <w:t>37</w:t>
      </w:r>
      <w:r w:rsidR="008B53F7">
        <w:fldChar w:fldCharType="end"/>
      </w:r>
      <w:r w:rsidR="00A86C63">
        <w:t xml:space="preserve"> b</w:t>
      </w:r>
      <w:r w:rsidR="00460B7D">
        <w:t>elow</w:t>
      </w:r>
      <w:r w:rsidRPr="007D6AB5">
        <w:t>.</w:t>
      </w:r>
    </w:p>
    <w:p w14:paraId="6A3E97D0" w14:textId="77777777" w:rsidR="00582036" w:rsidRDefault="00582036" w:rsidP="00D557BC">
      <w:pPr>
        <w:pStyle w:val="BodyText1"/>
      </w:pPr>
      <w:bookmarkStart w:id="163" w:name="_Ref73360364"/>
      <w:r>
        <w:t>An APRA-regulated entity must subject a person’s variable remuneration</w:t>
      </w:r>
      <w:r w:rsidR="00167FC8">
        <w:t xml:space="preserve"> </w:t>
      </w:r>
      <w:r w:rsidR="00167FC8" w:rsidRPr="00891B93">
        <w:t>arrangement</w:t>
      </w:r>
      <w:r>
        <w:t xml:space="preserve"> to malus. </w:t>
      </w:r>
    </w:p>
    <w:p w14:paraId="7E52F334" w14:textId="77777777" w:rsidR="00AA619B" w:rsidRDefault="00582036" w:rsidP="00D557BC">
      <w:pPr>
        <w:pStyle w:val="BodyText1"/>
      </w:pPr>
      <w:r>
        <w:t xml:space="preserve">An APRA-regulated entity must also subject the variable remuneration </w:t>
      </w:r>
      <w:r w:rsidR="00167FC8">
        <w:t xml:space="preserve">arrangement </w:t>
      </w:r>
      <w:r>
        <w:t xml:space="preserve">of </w:t>
      </w:r>
      <w:r w:rsidR="00AA619B">
        <w:t>a senior manager,</w:t>
      </w:r>
      <w:r w:rsidR="00AA619B" w:rsidRPr="00293907">
        <w:t xml:space="preserve"> </w:t>
      </w:r>
      <w:r w:rsidR="00AA619B">
        <w:t>executive director or a highly-paid material risk-taker to clawback</w:t>
      </w:r>
      <w:r w:rsidR="00AA619B" w:rsidRPr="002500A9">
        <w:t>. Clawback arrangements must include the following features</w:t>
      </w:r>
      <w:r w:rsidR="00AA619B">
        <w:t>:</w:t>
      </w:r>
      <w:r w:rsidR="00AA619B" w:rsidRPr="009C7C52">
        <w:rPr>
          <w:rStyle w:val="FootnoteReference"/>
        </w:rPr>
        <w:t xml:space="preserve"> </w:t>
      </w:r>
    </w:p>
    <w:p w14:paraId="4F4920A1" w14:textId="77777777" w:rsidR="00AA619B" w:rsidRDefault="00AA619B" w:rsidP="00D557BC">
      <w:pPr>
        <w:pStyle w:val="BodyText2"/>
        <w:jc w:val="both"/>
      </w:pPr>
      <w:r>
        <w:t>a period of at least two years from the date of payment or vesting of variable remuneration within which clawback may apply; and</w:t>
      </w:r>
    </w:p>
    <w:p w14:paraId="43759B60" w14:textId="77777777" w:rsidR="00AA619B" w:rsidRDefault="00AA619B" w:rsidP="00802E43">
      <w:pPr>
        <w:pStyle w:val="BodyText2"/>
        <w:jc w:val="both"/>
      </w:pPr>
      <w:r>
        <w:t xml:space="preserve">the application of clawback </w:t>
      </w:r>
      <w:r w:rsidRPr="00810696">
        <w:t xml:space="preserve">whether or not the employment or engagement of the </w:t>
      </w:r>
      <w:r>
        <w:t xml:space="preserve">person has ceased. </w:t>
      </w:r>
    </w:p>
    <w:p w14:paraId="11D69861" w14:textId="77777777" w:rsidR="00AA619B" w:rsidRPr="00E13F78" w:rsidRDefault="00AA619B" w:rsidP="00D557BC">
      <w:pPr>
        <w:pStyle w:val="BodyText1"/>
      </w:pPr>
      <w:bookmarkStart w:id="164" w:name="_Ref129607792"/>
      <w:r w:rsidRPr="00C26B87">
        <w:t xml:space="preserve">An </w:t>
      </w:r>
      <w:r>
        <w:t xml:space="preserve">APRA-regulated </w:t>
      </w:r>
      <w:r w:rsidRPr="00C26B87">
        <w:t>entity must set specific criteria for the application of</w:t>
      </w:r>
      <w:r w:rsidR="00582036">
        <w:t xml:space="preserve"> </w:t>
      </w:r>
      <w:r w:rsidRPr="00C26B87">
        <w:t>variable remuneration</w:t>
      </w:r>
      <w:r w:rsidR="00D1184D">
        <w:t xml:space="preserve"> adjustment tools</w:t>
      </w:r>
      <w:r w:rsidRPr="00E13F78">
        <w:t>, including</w:t>
      </w:r>
      <w:r>
        <w:t xml:space="preserve"> at least the following</w:t>
      </w:r>
      <w:r w:rsidRPr="00E13F78">
        <w:t>:</w:t>
      </w:r>
      <w:bookmarkEnd w:id="164"/>
    </w:p>
    <w:p w14:paraId="70A0874B" w14:textId="77777777" w:rsidR="00AA619B" w:rsidRPr="00E13F78" w:rsidRDefault="00AA619B" w:rsidP="00D557BC">
      <w:pPr>
        <w:pStyle w:val="BodyText2"/>
        <w:jc w:val="both"/>
      </w:pPr>
      <w:r>
        <w:t>misconduct leading to significant adverse outcomes</w:t>
      </w:r>
      <w:r w:rsidRPr="00E13F78">
        <w:t>;</w:t>
      </w:r>
    </w:p>
    <w:p w14:paraId="59734214" w14:textId="77777777" w:rsidR="00AA619B" w:rsidRPr="00E13F78" w:rsidRDefault="00AA619B" w:rsidP="00D557BC">
      <w:pPr>
        <w:pStyle w:val="BodyText2"/>
        <w:jc w:val="both"/>
      </w:pPr>
      <w:r w:rsidRPr="00E13F78">
        <w:t>a significant failure of financial or non-financial risk management;</w:t>
      </w:r>
    </w:p>
    <w:p w14:paraId="35BAE098" w14:textId="77777777" w:rsidR="00AA619B" w:rsidRDefault="00AA619B" w:rsidP="00D557BC">
      <w:pPr>
        <w:pStyle w:val="BodyText2"/>
        <w:jc w:val="both"/>
      </w:pPr>
      <w:r w:rsidRPr="00E13F78">
        <w:t>a</w:t>
      </w:r>
      <w:r w:rsidRPr="00415F38">
        <w:t xml:space="preserve"> significant failure </w:t>
      </w:r>
      <w:r>
        <w:t xml:space="preserve">or breach of accountability, </w:t>
      </w:r>
      <w:r w:rsidRPr="00415F38">
        <w:t xml:space="preserve">fitness and propriety, </w:t>
      </w:r>
      <w:r>
        <w:t xml:space="preserve">or </w:t>
      </w:r>
      <w:r w:rsidRPr="00415F38">
        <w:t>compliance obligations</w:t>
      </w:r>
      <w:r w:rsidRPr="00E13F78">
        <w:t xml:space="preserve">; </w:t>
      </w:r>
    </w:p>
    <w:p w14:paraId="5D46ED33" w14:textId="77777777" w:rsidR="00AA619B" w:rsidRPr="00415F38" w:rsidRDefault="00AA619B" w:rsidP="00D557BC">
      <w:pPr>
        <w:pStyle w:val="BodyText2"/>
        <w:jc w:val="both"/>
      </w:pPr>
      <w:r>
        <w:t xml:space="preserve">a significant error or a </w:t>
      </w:r>
      <w:r w:rsidRPr="00415F38">
        <w:t>significant misstatement of criteria on which the variable remuneration determination was based</w:t>
      </w:r>
      <w:r>
        <w:t xml:space="preserve">; </w:t>
      </w:r>
      <w:r w:rsidRPr="00E13F78">
        <w:t>and</w:t>
      </w:r>
    </w:p>
    <w:p w14:paraId="0506B065" w14:textId="77777777" w:rsidR="00AA619B" w:rsidRDefault="00AA619B" w:rsidP="00D557BC">
      <w:pPr>
        <w:pStyle w:val="BodyText2"/>
        <w:jc w:val="both"/>
      </w:pPr>
      <w:r w:rsidRPr="00E13F78">
        <w:t>significant adverse outcomes for customers, beneficiaries or counterparties</w:t>
      </w:r>
      <w:r>
        <w:t>.</w:t>
      </w:r>
    </w:p>
    <w:p w14:paraId="6CA9D79F" w14:textId="3ECDFAA5" w:rsidR="00AA619B" w:rsidRDefault="00AA619B" w:rsidP="00D557BC">
      <w:pPr>
        <w:pStyle w:val="BodyText1"/>
      </w:pPr>
      <w:r>
        <w:t xml:space="preserve">An APRA-regulated entity must take reasonable steps to appropriately </w:t>
      </w:r>
      <w:r w:rsidR="00C85A25">
        <w:t xml:space="preserve">adjust </w:t>
      </w:r>
      <w:r>
        <w:t xml:space="preserve">variable remuneration </w:t>
      </w:r>
      <w:r w:rsidR="00D1184D">
        <w:t xml:space="preserve">downwards </w:t>
      </w:r>
      <w:r>
        <w:t>when, as a minimum, any of the criteria specified in paragraph</w:t>
      </w:r>
      <w:r w:rsidR="00A86C63">
        <w:t xml:space="preserve"> </w:t>
      </w:r>
      <w:r w:rsidR="008B53F7">
        <w:fldChar w:fldCharType="begin"/>
      </w:r>
      <w:r w:rsidR="008B53F7">
        <w:instrText xml:space="preserve"> REF _Ref129607792 \r \h </w:instrText>
      </w:r>
      <w:r w:rsidR="008B53F7">
        <w:fldChar w:fldCharType="separate"/>
      </w:r>
      <w:r w:rsidR="00DE6765">
        <w:t>37</w:t>
      </w:r>
      <w:r w:rsidR="008B53F7">
        <w:fldChar w:fldCharType="end"/>
      </w:r>
      <w:r w:rsidR="00A86C63">
        <w:t xml:space="preserve"> </w:t>
      </w:r>
      <w:r>
        <w:t xml:space="preserve">are satisfied. The </w:t>
      </w:r>
      <w:r w:rsidR="00927970">
        <w:t xml:space="preserve">total </w:t>
      </w:r>
      <w:r>
        <w:t xml:space="preserve">downward-adjustment </w:t>
      </w:r>
      <w:r w:rsidR="00582036">
        <w:t xml:space="preserve">to variable remuneration </w:t>
      </w:r>
      <w:r>
        <w:t>must be proportionate to the severity of the risk and conduct outcome.</w:t>
      </w:r>
      <w:r w:rsidR="0060390D">
        <w:t xml:space="preserve"> </w:t>
      </w:r>
    </w:p>
    <w:p w14:paraId="4AC1F329" w14:textId="70CF33C5" w:rsidR="00AA619B" w:rsidRPr="00E13F78" w:rsidRDefault="00AA619B" w:rsidP="00D557BC">
      <w:pPr>
        <w:pStyle w:val="BodyText1"/>
      </w:pPr>
      <w:r>
        <w:lastRenderedPageBreak/>
        <w:t>In circumstances involving a person under investigation for criteria specified in paragrap</w:t>
      </w:r>
      <w:r w:rsidR="00A86C63">
        <w:t xml:space="preserve">h </w:t>
      </w:r>
      <w:r w:rsidR="008B53F7">
        <w:fldChar w:fldCharType="begin"/>
      </w:r>
      <w:r w:rsidR="008B53F7">
        <w:instrText xml:space="preserve"> REF _Ref129607792 \r \h </w:instrText>
      </w:r>
      <w:r w:rsidR="008B53F7">
        <w:fldChar w:fldCharType="separate"/>
      </w:r>
      <w:r w:rsidR="00DE6765">
        <w:t>37</w:t>
      </w:r>
      <w:r w:rsidR="008B53F7">
        <w:fldChar w:fldCharType="end"/>
      </w:r>
      <w:r w:rsidR="00A86C63">
        <w:t>,</w:t>
      </w:r>
      <w:r>
        <w:t xml:space="preserve"> variable remuneration must not vest until the investigation is closed. </w:t>
      </w:r>
    </w:p>
    <w:p w14:paraId="0D9A443D" w14:textId="77777777" w:rsidR="00F33E42" w:rsidRDefault="00AA619B" w:rsidP="00D557BC">
      <w:pPr>
        <w:pStyle w:val="BodyText1"/>
      </w:pPr>
      <w:r>
        <w:t xml:space="preserve">An APRA-regulated entity must take appropriate steps to assess and mitigate conflicts of interest in the design of its remuneration arrangements, including </w:t>
      </w:r>
      <w:r w:rsidR="00C30936">
        <w:t xml:space="preserve">conflicts that may arise from </w:t>
      </w:r>
      <w:r>
        <w:t xml:space="preserve">service contracts. </w:t>
      </w:r>
      <w:bookmarkStart w:id="165" w:name="_Toc10729975"/>
      <w:bookmarkStart w:id="166" w:name="_Toc11164797"/>
      <w:bookmarkStart w:id="167" w:name="_Toc14420655"/>
      <w:bookmarkStart w:id="168" w:name="_Toc55570122"/>
      <w:bookmarkEnd w:id="161"/>
      <w:bookmarkEnd w:id="162"/>
      <w:bookmarkEnd w:id="163"/>
      <w:r w:rsidR="00F33E42">
        <w:t xml:space="preserve"> </w:t>
      </w:r>
    </w:p>
    <w:p w14:paraId="7238918D" w14:textId="77777777" w:rsidR="00A355A7" w:rsidRDefault="00A355A7" w:rsidP="00D557BC">
      <w:pPr>
        <w:pStyle w:val="Heading1"/>
        <w:jc w:val="both"/>
      </w:pPr>
      <w:bookmarkStart w:id="169" w:name="_Toc102482623"/>
      <w:bookmarkStart w:id="170" w:name="_Toc55570124"/>
      <w:bookmarkStart w:id="171" w:name="_Toc72485828"/>
      <w:bookmarkStart w:id="172" w:name="_Toc72753277"/>
      <w:bookmarkStart w:id="173" w:name="_Toc10106383"/>
      <w:bookmarkStart w:id="174" w:name="_Toc10729977"/>
      <w:bookmarkStart w:id="175" w:name="_Toc11164799"/>
      <w:bookmarkStart w:id="176" w:name="_Toc14420657"/>
      <w:r>
        <w:t>Deferral</w:t>
      </w:r>
      <w:bookmarkEnd w:id="169"/>
      <w:r>
        <w:t xml:space="preserve"> </w:t>
      </w:r>
      <w:bookmarkEnd w:id="170"/>
      <w:bookmarkEnd w:id="171"/>
      <w:bookmarkEnd w:id="172"/>
      <w:bookmarkEnd w:id="173"/>
      <w:bookmarkEnd w:id="174"/>
      <w:bookmarkEnd w:id="175"/>
      <w:bookmarkEnd w:id="176"/>
    </w:p>
    <w:p w14:paraId="7F34D3AB" w14:textId="77777777" w:rsidR="00A355A7" w:rsidRDefault="00A355A7" w:rsidP="00D557BC">
      <w:pPr>
        <w:pStyle w:val="BodyText1"/>
      </w:pPr>
      <w:bookmarkStart w:id="177" w:name="_Ref51181199"/>
      <w:bookmarkStart w:id="178" w:name="_Ref14248967"/>
      <w:bookmarkStart w:id="179" w:name="_Ref13466603"/>
      <w:bookmarkStart w:id="180" w:name="_Ref9486983"/>
      <w:bookmarkStart w:id="181" w:name="_Ref9516560"/>
      <w:bookmarkStart w:id="182" w:name="_Ref10022103"/>
      <w:bookmarkStart w:id="183" w:name="_Ref10105469"/>
      <w:bookmarkStart w:id="184" w:name="_Ref5626157"/>
      <w:bookmarkStart w:id="185" w:name="_Ref6990611"/>
      <w:r>
        <w:t>An APRA-regulated entity must defer variable remuneration as follows</w:t>
      </w:r>
      <w:bookmarkEnd w:id="177"/>
      <w:r>
        <w:t>:</w:t>
      </w:r>
    </w:p>
    <w:p w14:paraId="28A9344B" w14:textId="77777777" w:rsidR="00A355A7" w:rsidRDefault="00A355A7" w:rsidP="00D557BC">
      <w:pPr>
        <w:pStyle w:val="BodyText2"/>
        <w:jc w:val="both"/>
      </w:pPr>
      <w:bookmarkStart w:id="186" w:name="_Ref130896598"/>
      <w:r>
        <w:t xml:space="preserve">for a Chief Executive Officer (CEO), at least 60 per cent of the CEO’s total variable remuneration must be deferred over a minimum deferral period of six years, vesting no faster than on a pro-rata basis </w:t>
      </w:r>
      <w:r w:rsidR="004E0B7B">
        <w:t xml:space="preserve">and </w:t>
      </w:r>
      <w:r>
        <w:t>only after four years;</w:t>
      </w:r>
      <w:bookmarkEnd w:id="186"/>
      <w:r>
        <w:t xml:space="preserve"> </w:t>
      </w:r>
    </w:p>
    <w:p w14:paraId="7E47EDBF" w14:textId="77777777" w:rsidR="00A355A7" w:rsidRDefault="00A355A7" w:rsidP="00D557BC">
      <w:pPr>
        <w:pStyle w:val="BodyText2"/>
        <w:jc w:val="both"/>
      </w:pPr>
      <w:r>
        <w:t xml:space="preserve">for a senior manager and executive director other than a CEO, at least 40 per cent of that person’s total variable remuneration must be deferred over a minimum deferral period of five years, vesting no faster than on a pro-rata basis </w:t>
      </w:r>
      <w:r w:rsidR="004E0B7B">
        <w:t xml:space="preserve">and </w:t>
      </w:r>
      <w:r>
        <w:t>only after four years; and</w:t>
      </w:r>
    </w:p>
    <w:p w14:paraId="2878A3B0" w14:textId="77777777" w:rsidR="00A355A7" w:rsidRDefault="00A355A7" w:rsidP="00D557BC">
      <w:pPr>
        <w:pStyle w:val="BodyText2"/>
        <w:jc w:val="both"/>
      </w:pPr>
      <w:bookmarkStart w:id="187" w:name="_Ref134688204"/>
      <w:r>
        <w:t xml:space="preserve">for a highly-paid material risk-taker who is not a senior manager, at least 40 per cent of that person’s total variable remuneration must be deferred over a minimum deferral period of four years, vesting no faster than on a pro-rata basis </w:t>
      </w:r>
      <w:r w:rsidR="004E0B7B">
        <w:t xml:space="preserve">and </w:t>
      </w:r>
      <w:r>
        <w:t>only after two years.</w:t>
      </w:r>
      <w:bookmarkEnd w:id="187"/>
    </w:p>
    <w:p w14:paraId="372C4E9C" w14:textId="77777777" w:rsidR="00A355A7" w:rsidRDefault="00A355A7" w:rsidP="00D557BC">
      <w:pPr>
        <w:pStyle w:val="BodyText1"/>
      </w:pPr>
      <w:bookmarkStart w:id="188" w:name="_Hlk79594005"/>
      <w:bookmarkStart w:id="189" w:name="_Ref130896609"/>
      <w:r>
        <w:t xml:space="preserve">The deferral period must include the period over which performance is assessed. </w:t>
      </w:r>
      <w:bookmarkEnd w:id="188"/>
      <w:r>
        <w:t>The deferral period must also include any required service, retention and holding periods.</w:t>
      </w:r>
      <w:bookmarkEnd w:id="189"/>
    </w:p>
    <w:p w14:paraId="39D08EF0" w14:textId="5DA02221" w:rsidR="00A355A7" w:rsidRDefault="00A355A7" w:rsidP="00D557BC">
      <w:pPr>
        <w:pStyle w:val="BodyText1"/>
      </w:pPr>
      <w:bookmarkStart w:id="190" w:name="_Ref130896623"/>
      <w:r>
        <w:t xml:space="preserve">Paragraph </w:t>
      </w:r>
      <w:r>
        <w:fldChar w:fldCharType="begin"/>
      </w:r>
      <w:r>
        <w:instrText xml:space="preserve"> REF _Ref51181199 \r \h  \* MERGEFORMAT </w:instrText>
      </w:r>
      <w:r>
        <w:fldChar w:fldCharType="separate"/>
      </w:r>
      <w:r w:rsidR="00DE6765">
        <w:t>41</w:t>
      </w:r>
      <w:r>
        <w:fldChar w:fldCharType="end"/>
      </w:r>
      <w:r>
        <w:t xml:space="preserve"> does not apply in respect of any person with deferred variable remuneration of less than AUD $50,000 in a financial year of the APRA-regulated entity.</w:t>
      </w:r>
      <w:bookmarkEnd w:id="178"/>
      <w:bookmarkEnd w:id="190"/>
      <w:r w:rsidR="00B13CA2" w:rsidRPr="00B13CA2">
        <w:rPr>
          <w:rStyle w:val="FootnoteReference"/>
        </w:rPr>
        <w:t xml:space="preserve"> </w:t>
      </w:r>
    </w:p>
    <w:p w14:paraId="110865FB" w14:textId="77777777" w:rsidR="003025BA" w:rsidRDefault="003025BA" w:rsidP="00D557BC">
      <w:pPr>
        <w:pStyle w:val="Heading1"/>
        <w:jc w:val="both"/>
      </w:pPr>
      <w:bookmarkStart w:id="191" w:name="_Toc102482624"/>
      <w:bookmarkEnd w:id="179"/>
      <w:bookmarkEnd w:id="180"/>
      <w:bookmarkEnd w:id="181"/>
      <w:bookmarkEnd w:id="182"/>
      <w:bookmarkEnd w:id="183"/>
      <w:bookmarkEnd w:id="184"/>
      <w:bookmarkEnd w:id="185"/>
      <w:r>
        <w:t>Remuneration outcomes</w:t>
      </w:r>
      <w:bookmarkEnd w:id="165"/>
      <w:bookmarkEnd w:id="166"/>
      <w:bookmarkEnd w:id="167"/>
      <w:bookmarkEnd w:id="168"/>
      <w:bookmarkEnd w:id="191"/>
    </w:p>
    <w:p w14:paraId="0A3D0B07" w14:textId="77777777" w:rsidR="000F723F" w:rsidRPr="00FB7E11" w:rsidRDefault="00A214BB" w:rsidP="00D557BC">
      <w:pPr>
        <w:pStyle w:val="BodyText1"/>
      </w:pPr>
      <w:bookmarkStart w:id="192" w:name="_Ref10642226"/>
      <w:r>
        <w:t xml:space="preserve">An </w:t>
      </w:r>
      <w:r w:rsidR="00F3006F">
        <w:t xml:space="preserve">APRA-regulated </w:t>
      </w:r>
      <w:r w:rsidR="000F723F">
        <w:t xml:space="preserve">entity </w:t>
      </w:r>
      <w:r w:rsidR="000F723F" w:rsidRPr="00FB7E11">
        <w:t>must:</w:t>
      </w:r>
      <w:bookmarkEnd w:id="192"/>
    </w:p>
    <w:p w14:paraId="62DCD1E6" w14:textId="77777777" w:rsidR="000F723F" w:rsidRPr="00FB7E11" w:rsidRDefault="00EC7974" w:rsidP="00D557BC">
      <w:pPr>
        <w:pStyle w:val="BodyText2"/>
        <w:jc w:val="both"/>
      </w:pPr>
      <w:r>
        <w:t xml:space="preserve">align variable remuneration outcomes </w:t>
      </w:r>
      <w:r w:rsidR="000F723F" w:rsidRPr="00FB7E11">
        <w:t>with performance and risk outcomes</w:t>
      </w:r>
      <w:r w:rsidR="00337540">
        <w:t>; and</w:t>
      </w:r>
      <w:r w:rsidR="000F723F" w:rsidRPr="00FB7E11">
        <w:t xml:space="preserve"> </w:t>
      </w:r>
    </w:p>
    <w:p w14:paraId="4C6D53E6" w14:textId="2EED63F0" w:rsidR="00380FA4" w:rsidRPr="006A7AE7" w:rsidRDefault="008E292B" w:rsidP="00D557BC">
      <w:pPr>
        <w:pStyle w:val="BodyText2"/>
        <w:jc w:val="both"/>
      </w:pPr>
      <w:r>
        <w:t xml:space="preserve">reflect </w:t>
      </w:r>
      <w:r w:rsidR="00EC7974">
        <w:t xml:space="preserve">the </w:t>
      </w:r>
      <w:r>
        <w:t>appropriate application of</w:t>
      </w:r>
      <w:r w:rsidR="00C31B97">
        <w:t xml:space="preserve"> </w:t>
      </w:r>
      <w:r w:rsidR="00562A0A">
        <w:t xml:space="preserve">variable </w:t>
      </w:r>
      <w:r w:rsidR="00C31B97" w:rsidRPr="004D41A4">
        <w:rPr>
          <w:rFonts w:asciiTheme="minorHAnsi" w:hAnsiTheme="minorHAnsi" w:cstheme="minorHAnsi"/>
          <w:iCs/>
        </w:rPr>
        <w:t xml:space="preserve">remuneration </w:t>
      </w:r>
      <w:r w:rsidR="00C31B97">
        <w:rPr>
          <w:rFonts w:asciiTheme="minorHAnsi" w:hAnsiTheme="minorHAnsi" w:cstheme="minorHAnsi"/>
          <w:iCs/>
        </w:rPr>
        <w:t>adjustment</w:t>
      </w:r>
      <w:r w:rsidR="00C31B97" w:rsidRPr="004D41A4">
        <w:rPr>
          <w:rFonts w:asciiTheme="minorHAnsi" w:hAnsiTheme="minorHAnsi" w:cstheme="minorHAnsi"/>
          <w:iCs/>
        </w:rPr>
        <w:t xml:space="preserve"> tools</w:t>
      </w:r>
      <w:r w:rsidR="006C4DDE" w:rsidRPr="006C4DDE">
        <w:rPr>
          <w:rFonts w:asciiTheme="minorHAnsi" w:hAnsiTheme="minorHAnsi" w:cstheme="minorHAnsi"/>
          <w:iCs/>
        </w:rPr>
        <w:t xml:space="preserve"> </w:t>
      </w:r>
      <w:r w:rsidR="00EC7974">
        <w:rPr>
          <w:rFonts w:asciiTheme="minorHAnsi" w:hAnsiTheme="minorHAnsi" w:cstheme="minorHAnsi"/>
          <w:iCs/>
        </w:rPr>
        <w:t xml:space="preserve">in variable remuneration outcomes, </w:t>
      </w:r>
      <w:r w:rsidR="006C4DDE">
        <w:rPr>
          <w:rFonts w:asciiTheme="minorHAnsi" w:hAnsiTheme="minorHAnsi" w:cstheme="minorHAnsi"/>
          <w:iCs/>
        </w:rPr>
        <w:t>as specified in paragraph</w:t>
      </w:r>
      <w:r w:rsidR="00A86C63">
        <w:rPr>
          <w:rFonts w:asciiTheme="minorHAnsi" w:hAnsiTheme="minorHAnsi" w:cstheme="minorHAnsi"/>
          <w:iCs/>
        </w:rPr>
        <w:t xml:space="preserve"> </w:t>
      </w:r>
      <w:r w:rsidR="008B53F7">
        <w:rPr>
          <w:rFonts w:asciiTheme="minorHAnsi" w:hAnsiTheme="minorHAnsi" w:cstheme="minorHAnsi"/>
          <w:iCs/>
        </w:rPr>
        <w:fldChar w:fldCharType="begin"/>
      </w:r>
      <w:r w:rsidR="008B53F7">
        <w:rPr>
          <w:rFonts w:asciiTheme="minorHAnsi" w:hAnsiTheme="minorHAnsi" w:cstheme="minorHAnsi"/>
          <w:iCs/>
        </w:rPr>
        <w:instrText xml:space="preserve"> REF _Ref129607858 \r \h </w:instrText>
      </w:r>
      <w:r w:rsidR="008B53F7">
        <w:rPr>
          <w:rFonts w:asciiTheme="minorHAnsi" w:hAnsiTheme="minorHAnsi" w:cstheme="minorHAnsi"/>
          <w:iCs/>
        </w:rPr>
      </w:r>
      <w:r w:rsidR="008B53F7">
        <w:rPr>
          <w:rFonts w:asciiTheme="minorHAnsi" w:hAnsiTheme="minorHAnsi" w:cstheme="minorHAnsi"/>
          <w:iCs/>
        </w:rPr>
        <w:fldChar w:fldCharType="separate"/>
      </w:r>
      <w:r w:rsidR="00DE6765">
        <w:rPr>
          <w:rFonts w:asciiTheme="minorHAnsi" w:hAnsiTheme="minorHAnsi" w:cstheme="minorHAnsi"/>
          <w:iCs/>
        </w:rPr>
        <w:t>33(c)</w:t>
      </w:r>
      <w:r w:rsidR="008B53F7">
        <w:rPr>
          <w:rFonts w:asciiTheme="minorHAnsi" w:hAnsiTheme="minorHAnsi" w:cstheme="minorHAnsi"/>
          <w:iCs/>
        </w:rPr>
        <w:fldChar w:fldCharType="end"/>
      </w:r>
      <w:r w:rsidR="00A86C63">
        <w:rPr>
          <w:rFonts w:asciiTheme="minorHAnsi" w:hAnsiTheme="minorHAnsi" w:cstheme="minorHAnsi"/>
          <w:iCs/>
        </w:rPr>
        <w:t xml:space="preserve"> </w:t>
      </w:r>
      <w:r w:rsidR="001B28E9">
        <w:rPr>
          <w:rFonts w:asciiTheme="minorHAnsi" w:hAnsiTheme="minorHAnsi" w:cstheme="minorHAnsi"/>
          <w:iCs/>
        </w:rPr>
        <w:t>o</w:t>
      </w:r>
      <w:r w:rsidR="006C4DDE">
        <w:rPr>
          <w:rFonts w:asciiTheme="minorHAnsi" w:hAnsiTheme="minorHAnsi" w:cstheme="minorHAnsi"/>
          <w:iCs/>
        </w:rPr>
        <w:t>f this Prudential Standard</w:t>
      </w:r>
      <w:r w:rsidR="00C31B97">
        <w:t>.</w:t>
      </w:r>
    </w:p>
    <w:p w14:paraId="19387540" w14:textId="77777777" w:rsidR="00337540" w:rsidRPr="00FB7E11" w:rsidRDefault="00AF2B10" w:rsidP="00D557BC">
      <w:pPr>
        <w:pStyle w:val="BodyText1"/>
      </w:pPr>
      <w:bookmarkStart w:id="193" w:name="_Ref9493229"/>
      <w:bookmarkStart w:id="194" w:name="_Ref10642252"/>
      <w:r>
        <w:t xml:space="preserve">An </w:t>
      </w:r>
      <w:r w:rsidR="00F3006F">
        <w:t xml:space="preserve">APRA-regulated </w:t>
      </w:r>
      <w:r>
        <w:t xml:space="preserve">entity </w:t>
      </w:r>
      <w:r w:rsidR="002A0C06">
        <w:t>may only pay or vest variable remuneration to a person</w:t>
      </w:r>
      <w:r w:rsidR="00387EB6">
        <w:t xml:space="preserve"> if payment or vesting</w:t>
      </w:r>
      <w:r w:rsidR="00337540" w:rsidRPr="00FB7E11">
        <w:t>:</w:t>
      </w:r>
    </w:p>
    <w:p w14:paraId="25F6D1CC" w14:textId="318EAE9F" w:rsidR="00843783" w:rsidRDefault="00843783" w:rsidP="00D557BC">
      <w:pPr>
        <w:pStyle w:val="BodyText2"/>
        <w:jc w:val="both"/>
      </w:pPr>
      <w:r>
        <w:t xml:space="preserve">supports the entity’s </w:t>
      </w:r>
      <w:r w:rsidR="00387EB6">
        <w:t>compliance with</w:t>
      </w:r>
      <w:r>
        <w:t xml:space="preserve"> paragraph </w:t>
      </w:r>
      <w:r w:rsidR="00AA7BC6">
        <w:fldChar w:fldCharType="begin"/>
      </w:r>
      <w:r w:rsidR="00AA7BC6">
        <w:instrText xml:space="preserve"> REF _Ref40329811 \r \h </w:instrText>
      </w:r>
      <w:r w:rsidR="00D557BC">
        <w:instrText xml:space="preserve"> \* MERGEFORMAT </w:instrText>
      </w:r>
      <w:r w:rsidR="00AA7BC6">
        <w:fldChar w:fldCharType="separate"/>
      </w:r>
      <w:r w:rsidR="00DE6765">
        <w:t>21</w:t>
      </w:r>
      <w:r w:rsidR="00AA7BC6">
        <w:fldChar w:fldCharType="end"/>
      </w:r>
      <w:r w:rsidR="00AA7BC6">
        <w:t xml:space="preserve"> </w:t>
      </w:r>
      <w:r>
        <w:t xml:space="preserve">of this Prudential Standard; </w:t>
      </w:r>
    </w:p>
    <w:p w14:paraId="08DB45C5" w14:textId="77777777" w:rsidR="00337540" w:rsidRDefault="00337540" w:rsidP="00D557BC">
      <w:pPr>
        <w:pStyle w:val="BodyText2"/>
        <w:jc w:val="both"/>
      </w:pPr>
      <w:r w:rsidRPr="00FB7E11">
        <w:lastRenderedPageBreak/>
        <w:t>is justified on the basis of the effective</w:t>
      </w:r>
      <w:r w:rsidR="00CD4E42">
        <w:t>ness of</w:t>
      </w:r>
      <w:r>
        <w:t xml:space="preserve"> </w:t>
      </w:r>
      <w:r w:rsidR="008A314A">
        <w:t xml:space="preserve">risk </w:t>
      </w:r>
      <w:r>
        <w:t xml:space="preserve">management </w:t>
      </w:r>
      <w:r w:rsidRPr="00FB7E11">
        <w:t>of the entity</w:t>
      </w:r>
      <w:r w:rsidR="00F75E6A">
        <w:t xml:space="preserve"> and</w:t>
      </w:r>
      <w:r w:rsidRPr="00FB7E11">
        <w:t xml:space="preserve"> the relevant business unit; and</w:t>
      </w:r>
    </w:p>
    <w:p w14:paraId="5F10550E" w14:textId="77777777" w:rsidR="00A1391C" w:rsidRDefault="00CD4E42" w:rsidP="00D557BC">
      <w:pPr>
        <w:pStyle w:val="BodyText2"/>
        <w:jc w:val="both"/>
      </w:pPr>
      <w:r w:rsidRPr="00FB7E11">
        <w:t xml:space="preserve">is justified on the basis of the performance </w:t>
      </w:r>
      <w:r>
        <w:t xml:space="preserve">of </w:t>
      </w:r>
      <w:r w:rsidRPr="00FB7E11">
        <w:t xml:space="preserve">the </w:t>
      </w:r>
      <w:r>
        <w:t xml:space="preserve">person, the </w:t>
      </w:r>
      <w:r w:rsidRPr="00FB7E11">
        <w:t>relevant business unit</w:t>
      </w:r>
      <w:r>
        <w:t xml:space="preserve"> and the entity.</w:t>
      </w:r>
    </w:p>
    <w:p w14:paraId="109BE6A9" w14:textId="77777777" w:rsidR="003C0565" w:rsidRDefault="003C0565" w:rsidP="00D557BC">
      <w:pPr>
        <w:pStyle w:val="BodyText1"/>
      </w:pPr>
      <w:r>
        <w:t xml:space="preserve">An </w:t>
      </w:r>
      <w:r w:rsidR="00F3006F">
        <w:t xml:space="preserve">APRA-regulated </w:t>
      </w:r>
      <w:r>
        <w:t>entity</w:t>
      </w:r>
      <w:r w:rsidR="00D54203">
        <w:t>’s</w:t>
      </w:r>
      <w:r>
        <w:t xml:space="preserve"> variable remuneration outcomes </w:t>
      </w:r>
      <w:r w:rsidR="00D54203">
        <w:t xml:space="preserve">must </w:t>
      </w:r>
      <w:r>
        <w:t xml:space="preserve">link to and </w:t>
      </w:r>
      <w:r w:rsidR="00D54203">
        <w:t xml:space="preserve">be </w:t>
      </w:r>
      <w:r>
        <w:t>supported by the entity’s performance management system, code of conduct and consequence management processes.</w:t>
      </w:r>
      <w:r w:rsidR="000367B1">
        <w:t xml:space="preserve"> </w:t>
      </w:r>
    </w:p>
    <w:p w14:paraId="47EC9C70" w14:textId="4034CCD4" w:rsidR="00727F79" w:rsidRDefault="00727F79" w:rsidP="00D557BC">
      <w:pPr>
        <w:pStyle w:val="BodyText1"/>
      </w:pPr>
      <w:bookmarkStart w:id="195" w:name="_Ref73362104"/>
      <w:r>
        <w:t xml:space="preserve">An APRA-regulated entity must not </w:t>
      </w:r>
      <w:r w:rsidRPr="00B5734B">
        <w:t xml:space="preserve">accelerate </w:t>
      </w:r>
      <w:r>
        <w:t xml:space="preserve">the </w:t>
      </w:r>
      <w:r w:rsidRPr="00B5734B">
        <w:t xml:space="preserve">vesting of unvested variable remuneration for </w:t>
      </w:r>
      <w:r>
        <w:t>a person in a specified role no longer employed or engaged by the entity, unless specific exceptions</w:t>
      </w:r>
      <w:r>
        <w:rPr>
          <w:rStyle w:val="FootnoteReference"/>
        </w:rPr>
        <w:footnoteReference w:id="14"/>
      </w:r>
      <w:r>
        <w:t xml:space="preserve"> have been included in the remuneration policy</w:t>
      </w:r>
      <w:r w:rsidRPr="00B5734B">
        <w:t>.</w:t>
      </w:r>
      <w:r>
        <w:t xml:space="preserve"> </w:t>
      </w:r>
      <w:r w:rsidRPr="00B5734B">
        <w:t xml:space="preserve">If </w:t>
      </w:r>
      <w:r>
        <w:t>that person</w:t>
      </w:r>
      <w:r w:rsidRPr="00B5734B">
        <w:t xml:space="preserve"> is eligible</w:t>
      </w:r>
      <w:r>
        <w:t xml:space="preserve"> for</w:t>
      </w:r>
      <w:r w:rsidRPr="00B5734B">
        <w:t xml:space="preserve"> any unvested variable remuneration</w:t>
      </w:r>
      <w:r>
        <w:t>, it</w:t>
      </w:r>
      <w:r w:rsidRPr="00B5734B">
        <w:t xml:space="preserve"> must be subject to the same vesting conditions as </w:t>
      </w:r>
      <w:r>
        <w:t xml:space="preserve">those </w:t>
      </w:r>
      <w:r w:rsidRPr="00B5734B">
        <w:t xml:space="preserve">for </w:t>
      </w:r>
      <w:r>
        <w:t>a person employed or engaged by the entity.</w:t>
      </w:r>
      <w:bookmarkEnd w:id="195"/>
      <w:r>
        <w:t xml:space="preserve"> </w:t>
      </w:r>
    </w:p>
    <w:p w14:paraId="5B3A539F" w14:textId="77777777" w:rsidR="004E1F04" w:rsidRPr="00E546C7" w:rsidRDefault="004E1F04" w:rsidP="00D557BC">
      <w:pPr>
        <w:pStyle w:val="Heading1"/>
        <w:jc w:val="both"/>
      </w:pPr>
      <w:bookmarkStart w:id="197" w:name="_Toc55570123"/>
      <w:bookmarkStart w:id="198" w:name="_Toc10729976"/>
      <w:bookmarkStart w:id="199" w:name="_Toc11164798"/>
      <w:bookmarkStart w:id="200" w:name="_Toc14420656"/>
      <w:bookmarkStart w:id="201" w:name="_Toc102482625"/>
      <w:bookmarkEnd w:id="193"/>
      <w:bookmarkEnd w:id="194"/>
      <w:r w:rsidRPr="00E546C7">
        <w:t>Speci</w:t>
      </w:r>
      <w:r w:rsidR="00F505DE">
        <w:t>fied</w:t>
      </w:r>
      <w:r w:rsidRPr="00E546C7">
        <w:t xml:space="preserve"> role</w:t>
      </w:r>
      <w:r w:rsidR="00F505DE">
        <w:t>s</w:t>
      </w:r>
      <w:bookmarkEnd w:id="147"/>
      <w:bookmarkEnd w:id="148"/>
      <w:bookmarkEnd w:id="197"/>
      <w:bookmarkEnd w:id="198"/>
      <w:bookmarkEnd w:id="199"/>
      <w:bookmarkEnd w:id="200"/>
      <w:bookmarkEnd w:id="201"/>
    </w:p>
    <w:p w14:paraId="67A6D9EB" w14:textId="77777777" w:rsidR="004E1F04" w:rsidRDefault="004E1F04" w:rsidP="00D557BC">
      <w:pPr>
        <w:pStyle w:val="BodyText1"/>
      </w:pPr>
      <w:bookmarkStart w:id="202" w:name="_Ref13597497"/>
      <w:bookmarkStart w:id="203" w:name="_Ref10035528"/>
      <w:r>
        <w:t xml:space="preserve">An </w:t>
      </w:r>
      <w:r w:rsidR="00F3006F">
        <w:t xml:space="preserve">APRA-regulated </w:t>
      </w:r>
      <w:r>
        <w:t xml:space="preserve">entity must prudently manage the </w:t>
      </w:r>
      <w:r w:rsidR="00C71D9A">
        <w:t xml:space="preserve">variable </w:t>
      </w:r>
      <w:r>
        <w:t xml:space="preserve">remuneration arrangements of </w:t>
      </w:r>
      <w:r w:rsidR="005678B5">
        <w:t xml:space="preserve">all </w:t>
      </w:r>
      <w:r>
        <w:t>persons</w:t>
      </w:r>
      <w:r w:rsidR="005678B5" w:rsidRPr="005678B5">
        <w:t xml:space="preserve"> </w:t>
      </w:r>
      <w:r w:rsidR="005678B5">
        <w:t>in speci</w:t>
      </w:r>
      <w:r w:rsidR="00F505DE">
        <w:t>fied</w:t>
      </w:r>
      <w:r w:rsidR="005678B5">
        <w:t xml:space="preserve"> role</w:t>
      </w:r>
      <w:r w:rsidR="00F505DE">
        <w:t>s</w:t>
      </w:r>
      <w:r>
        <w:t>.</w:t>
      </w:r>
      <w:bookmarkEnd w:id="202"/>
      <w:r>
        <w:t xml:space="preserve"> </w:t>
      </w:r>
      <w:bookmarkEnd w:id="203"/>
    </w:p>
    <w:p w14:paraId="07030070" w14:textId="77777777" w:rsidR="003E0530" w:rsidRDefault="003E0530" w:rsidP="00D557BC">
      <w:pPr>
        <w:pStyle w:val="BodyText1"/>
      </w:pPr>
      <w:bookmarkStart w:id="204" w:name="_Ref10642080"/>
      <w:r>
        <w:t>The Board Remuneration Committee</w:t>
      </w:r>
      <w:r w:rsidR="00AE0322">
        <w:t>,</w:t>
      </w:r>
      <w:r>
        <w:t xml:space="preserve"> or relevant oversight function</w:t>
      </w:r>
      <w:r w:rsidR="00AE0322">
        <w:t>,</w:t>
      </w:r>
      <w:r>
        <w:t xml:space="preserve"> must provide clear guidance to senior management on </w:t>
      </w:r>
      <w:r w:rsidR="00923B6F">
        <w:t>its</w:t>
      </w:r>
      <w:r>
        <w:t xml:space="preserve"> expectations in determining the appropriate level and timing of risk adjustment to the </w:t>
      </w:r>
      <w:r w:rsidR="00B34F9F">
        <w:t xml:space="preserve">variable </w:t>
      </w:r>
      <w:r>
        <w:t>remuneration outcomes for persons in speci</w:t>
      </w:r>
      <w:r w:rsidR="00F505DE">
        <w:t>fied</w:t>
      </w:r>
      <w:r>
        <w:t xml:space="preserve"> role</w:t>
      </w:r>
      <w:r w:rsidR="00F505DE">
        <w:t>s</w:t>
      </w:r>
      <w:r>
        <w:t>.</w:t>
      </w:r>
    </w:p>
    <w:p w14:paraId="19348A07" w14:textId="77777777" w:rsidR="004E1F04" w:rsidRDefault="00D725A2" w:rsidP="00D557BC">
      <w:pPr>
        <w:pStyle w:val="BodyText1"/>
      </w:pPr>
      <w:bookmarkStart w:id="205" w:name="_Ref14372412"/>
      <w:bookmarkStart w:id="206" w:name="_Ref14379172"/>
      <w:r>
        <w:t>The Board Remuneration Committee must make recommendations to the Board</w:t>
      </w:r>
      <w:r w:rsidR="00A4025E">
        <w:t xml:space="preserve"> </w:t>
      </w:r>
      <w:r w:rsidR="00CA7372">
        <w:t xml:space="preserve">annually </w:t>
      </w:r>
      <w:r>
        <w:t xml:space="preserve">on the remuneration </w:t>
      </w:r>
      <w:r w:rsidR="00CA7372">
        <w:t xml:space="preserve">arrangements and </w:t>
      </w:r>
      <w:r w:rsidR="00C00D2A">
        <w:t xml:space="preserve">variable remuneration </w:t>
      </w:r>
      <w:r>
        <w:t>outcomes for persons in speci</w:t>
      </w:r>
      <w:r w:rsidR="00F505DE">
        <w:t>fied</w:t>
      </w:r>
      <w:r>
        <w:t xml:space="preserve"> role</w:t>
      </w:r>
      <w:r w:rsidR="00F505DE">
        <w:t>s</w:t>
      </w:r>
      <w:r w:rsidR="004E1F04">
        <w:t xml:space="preserve"> as follows:</w:t>
      </w:r>
      <w:bookmarkEnd w:id="204"/>
      <w:bookmarkEnd w:id="205"/>
      <w:bookmarkEnd w:id="206"/>
    </w:p>
    <w:p w14:paraId="0F9FF102" w14:textId="7FA182A9" w:rsidR="00D55AB2" w:rsidRDefault="00774203" w:rsidP="00D557BC">
      <w:pPr>
        <w:pStyle w:val="BodyText2"/>
        <w:jc w:val="both"/>
      </w:pPr>
      <w:bookmarkStart w:id="207" w:name="_Ref134784029"/>
      <w:bookmarkStart w:id="208" w:name="_Ref14372413"/>
      <w:bookmarkStart w:id="209" w:name="_Ref10120306"/>
      <w:r>
        <w:t>individually for</w:t>
      </w:r>
      <w:r w:rsidR="004E1F04" w:rsidRPr="00893463">
        <w:t xml:space="preserve"> </w:t>
      </w:r>
      <w:r w:rsidR="004E1F04">
        <w:t>senior managers</w:t>
      </w:r>
      <w:r w:rsidR="004450A8">
        <w:t xml:space="preserve"> and</w:t>
      </w:r>
      <w:r w:rsidR="0071230E">
        <w:t xml:space="preserve"> </w:t>
      </w:r>
      <w:r w:rsidR="00293907">
        <w:t>executive directors</w:t>
      </w:r>
      <w:r w:rsidR="00AB14AA">
        <w:t>;</w:t>
      </w:r>
      <w:r w:rsidR="00F16844">
        <w:rPr>
          <w:rStyle w:val="FootnoteReference"/>
        </w:rPr>
        <w:footnoteReference w:id="15"/>
      </w:r>
      <w:r w:rsidR="00AB14AA">
        <w:t xml:space="preserve"> and</w:t>
      </w:r>
      <w:bookmarkEnd w:id="207"/>
      <w:r w:rsidR="004E1F04">
        <w:t xml:space="preserve"> </w:t>
      </w:r>
    </w:p>
    <w:p w14:paraId="05ED91A0" w14:textId="77777777" w:rsidR="004E1F04" w:rsidRDefault="00702274" w:rsidP="00D557BC">
      <w:pPr>
        <w:pStyle w:val="BodyText2"/>
        <w:jc w:val="both"/>
      </w:pPr>
      <w:bookmarkStart w:id="210" w:name="_Ref20723293"/>
      <w:r>
        <w:t>on a cohort basis</w:t>
      </w:r>
      <w:r w:rsidR="00D55AB2">
        <w:t xml:space="preserve"> for</w:t>
      </w:r>
      <w:r w:rsidR="004E1F04">
        <w:t xml:space="preserve"> highly</w:t>
      </w:r>
      <w:r w:rsidR="00D94169">
        <w:t>-</w:t>
      </w:r>
      <w:r w:rsidR="004E1F04">
        <w:t>paid material risk</w:t>
      </w:r>
      <w:r w:rsidR="00D94169">
        <w:t>-</w:t>
      </w:r>
      <w:r w:rsidR="004E1F04">
        <w:t>takers</w:t>
      </w:r>
      <w:bookmarkEnd w:id="208"/>
      <w:bookmarkEnd w:id="210"/>
      <w:r w:rsidR="00AB14AA">
        <w:t>,</w:t>
      </w:r>
      <w:r w:rsidR="004E1F04">
        <w:t xml:space="preserve"> </w:t>
      </w:r>
      <w:bookmarkEnd w:id="209"/>
      <w:r w:rsidR="00AB14AA">
        <w:t xml:space="preserve">other </w:t>
      </w:r>
      <w:r w:rsidR="004E1F04" w:rsidRPr="00893463">
        <w:t>material risk</w:t>
      </w:r>
      <w:r w:rsidR="00D94169">
        <w:t>-</w:t>
      </w:r>
      <w:r w:rsidR="004E1F04" w:rsidRPr="00893463">
        <w:t>takers</w:t>
      </w:r>
      <w:r w:rsidR="00BF3804">
        <w:t xml:space="preserve"> and</w:t>
      </w:r>
      <w:r w:rsidR="00AB14AA">
        <w:t xml:space="preserve"> </w:t>
      </w:r>
      <w:r w:rsidR="004E1F04" w:rsidRPr="00893463">
        <w:t xml:space="preserve">risk </w:t>
      </w:r>
      <w:r w:rsidR="004E1F04">
        <w:t>and financial control personnel</w:t>
      </w:r>
      <w:r w:rsidR="004E1F04" w:rsidRPr="00893463">
        <w:t>.</w:t>
      </w:r>
    </w:p>
    <w:p w14:paraId="05F86DF0" w14:textId="7A763E8E" w:rsidR="008B44EB" w:rsidRDefault="00907672" w:rsidP="00D557BC">
      <w:pPr>
        <w:pStyle w:val="BodyText1"/>
      </w:pPr>
      <w:r>
        <w:t xml:space="preserve">When forming its recommendations </w:t>
      </w:r>
      <w:r w:rsidR="00B5313C">
        <w:t xml:space="preserve">under paragraph </w:t>
      </w:r>
      <w:r w:rsidR="00073E51">
        <w:fldChar w:fldCharType="begin"/>
      </w:r>
      <w:r w:rsidR="00073E51">
        <w:instrText xml:space="preserve"> REF _Ref14372412 \r \h </w:instrText>
      </w:r>
      <w:r w:rsidR="00D557BC">
        <w:instrText xml:space="preserve"> \* MERGEFORMAT </w:instrText>
      </w:r>
      <w:r w:rsidR="00073E51">
        <w:fldChar w:fldCharType="separate"/>
      </w:r>
      <w:r w:rsidR="00DE6765">
        <w:t>50</w:t>
      </w:r>
      <w:r w:rsidR="00073E51">
        <w:fldChar w:fldCharType="end"/>
      </w:r>
      <w:r w:rsidR="00073E51">
        <w:t xml:space="preserve"> </w:t>
      </w:r>
      <w:r w:rsidR="00B5313C">
        <w:t>of this Prudential Standard</w:t>
      </w:r>
      <w:r w:rsidR="004E1F04">
        <w:t>, the Board Remuneration Committee</w:t>
      </w:r>
      <w:r w:rsidR="00A4025E">
        <w:t xml:space="preserve"> </w:t>
      </w:r>
      <w:r w:rsidR="004E1F04">
        <w:t>must</w:t>
      </w:r>
      <w:r w:rsidR="008B44EB">
        <w:t>:</w:t>
      </w:r>
      <w:r w:rsidR="004E1F04">
        <w:t xml:space="preserve"> </w:t>
      </w:r>
    </w:p>
    <w:p w14:paraId="269E3641" w14:textId="77777777" w:rsidR="008B44EB" w:rsidRDefault="00AD5DEF" w:rsidP="00802E43">
      <w:pPr>
        <w:pStyle w:val="BodyText2"/>
        <w:jc w:val="both"/>
      </w:pPr>
      <w:r>
        <w:t>obtain</w:t>
      </w:r>
      <w:r w:rsidRPr="00AA5064">
        <w:t xml:space="preserve"> </w:t>
      </w:r>
      <w:r w:rsidR="004E1F04" w:rsidRPr="00893463">
        <w:t>sufficient information</w:t>
      </w:r>
      <w:r w:rsidR="00D45111">
        <w:t xml:space="preserve"> </w:t>
      </w:r>
      <w:r w:rsidR="00B55282" w:rsidRPr="00B55282">
        <w:t>to enable remuneration outcomes to be commensurate with performance and risk outcomes</w:t>
      </w:r>
      <w:r w:rsidR="008B44EB">
        <w:t>; and</w:t>
      </w:r>
    </w:p>
    <w:p w14:paraId="1E941995" w14:textId="635CD458" w:rsidR="008B44EB" w:rsidRDefault="004E1F04" w:rsidP="00802E43">
      <w:pPr>
        <w:pStyle w:val="BodyText2"/>
        <w:jc w:val="both"/>
      </w:pPr>
      <w:r w:rsidRPr="00893463">
        <w:t xml:space="preserve">determine </w:t>
      </w:r>
      <w:r>
        <w:t xml:space="preserve">whether </w:t>
      </w:r>
      <w:r w:rsidRPr="00893463">
        <w:t xml:space="preserve">the </w:t>
      </w:r>
      <w:r w:rsidR="00E27FCE">
        <w:t xml:space="preserve">variable </w:t>
      </w:r>
      <w:r w:rsidRPr="00893463">
        <w:t>remuneration arrangement</w:t>
      </w:r>
      <w:r w:rsidR="00392F59">
        <w:t>, individually and on a cohort basis</w:t>
      </w:r>
      <w:r w:rsidR="005925D6">
        <w:t>:</w:t>
      </w:r>
      <w:r w:rsidR="00212A96">
        <w:t xml:space="preserve"> </w:t>
      </w:r>
    </w:p>
    <w:p w14:paraId="32A624EC" w14:textId="77777777" w:rsidR="008B44EB" w:rsidRDefault="004E1F04" w:rsidP="00802E43">
      <w:pPr>
        <w:pStyle w:val="BodyText3"/>
        <w:jc w:val="both"/>
      </w:pPr>
      <w:r w:rsidRPr="00373990">
        <w:t xml:space="preserve">is appropriate to meet its intended purpose and expected </w:t>
      </w:r>
      <w:r w:rsidR="002818E6">
        <w:t xml:space="preserve">remuneration </w:t>
      </w:r>
      <w:r w:rsidRPr="00373990">
        <w:t>outcomes</w:t>
      </w:r>
      <w:r w:rsidR="008B44EB">
        <w:t>;</w:t>
      </w:r>
      <w:r w:rsidRPr="00373990">
        <w:t xml:space="preserve"> and</w:t>
      </w:r>
    </w:p>
    <w:p w14:paraId="2AE349A0" w14:textId="3F784AB7" w:rsidR="004E1F04" w:rsidRPr="00373990" w:rsidRDefault="002818E6" w:rsidP="00802E43">
      <w:pPr>
        <w:pStyle w:val="BodyText3"/>
        <w:jc w:val="both"/>
      </w:pPr>
      <w:r>
        <w:lastRenderedPageBreak/>
        <w:t xml:space="preserve">supports the entity’s </w:t>
      </w:r>
      <w:r w:rsidR="00D54203">
        <w:t>compliance with</w:t>
      </w:r>
      <w:r>
        <w:t xml:space="preserve"> paragraph </w:t>
      </w:r>
      <w:r w:rsidR="00073E51">
        <w:fldChar w:fldCharType="begin"/>
      </w:r>
      <w:r w:rsidR="00073E51">
        <w:instrText xml:space="preserve"> REF _Ref40329811 \r \h </w:instrText>
      </w:r>
      <w:r w:rsidR="00D557BC">
        <w:instrText xml:space="preserve"> \* MERGEFORMAT </w:instrText>
      </w:r>
      <w:r w:rsidR="00073E51">
        <w:fldChar w:fldCharType="separate"/>
      </w:r>
      <w:r w:rsidR="00DE6765">
        <w:t>21</w:t>
      </w:r>
      <w:r w:rsidR="00073E51">
        <w:fldChar w:fldCharType="end"/>
      </w:r>
      <w:r w:rsidR="00073E51">
        <w:t xml:space="preserve"> </w:t>
      </w:r>
      <w:r>
        <w:t>of this Prudential Standard</w:t>
      </w:r>
      <w:r w:rsidR="004E1F04" w:rsidRPr="00373990">
        <w:t>.</w:t>
      </w:r>
    </w:p>
    <w:p w14:paraId="6C8C5B6F" w14:textId="77777777" w:rsidR="00D04B0F" w:rsidRDefault="00462779" w:rsidP="00D557BC">
      <w:pPr>
        <w:pStyle w:val="BodyText1"/>
      </w:pPr>
      <w:bookmarkStart w:id="211" w:name="_Ref13546154"/>
      <w:bookmarkStart w:id="212" w:name="_Ref13597859"/>
      <w:bookmarkStart w:id="213" w:name="_Ref10464499"/>
      <w:bookmarkStart w:id="214" w:name="_Ref10641306"/>
      <w:r>
        <w:t>T</w:t>
      </w:r>
      <w:r w:rsidR="00AD5DEF">
        <w:t>he Board</w:t>
      </w:r>
      <w:r w:rsidR="00AE0322">
        <w:t>,</w:t>
      </w:r>
      <w:r w:rsidR="00AD5DEF">
        <w:t xml:space="preserve"> </w:t>
      </w:r>
      <w:r w:rsidR="005678B5">
        <w:t>or relevant oversight function</w:t>
      </w:r>
      <w:r w:rsidR="00AE0322">
        <w:t>,</w:t>
      </w:r>
      <w:r w:rsidR="005678B5">
        <w:t xml:space="preserve"> </w:t>
      </w:r>
      <w:r w:rsidR="00AD5DEF">
        <w:t xml:space="preserve">must approve the </w:t>
      </w:r>
      <w:r w:rsidR="00C00D2A">
        <w:t xml:space="preserve">variable </w:t>
      </w:r>
      <w:r w:rsidR="00AD5DEF">
        <w:t xml:space="preserve">remuneration </w:t>
      </w:r>
      <w:r w:rsidR="0027031A">
        <w:t>outcomes</w:t>
      </w:r>
      <w:r w:rsidR="00AD5DEF">
        <w:t xml:space="preserve"> for persons in speci</w:t>
      </w:r>
      <w:r w:rsidR="00F505DE">
        <w:t>fied</w:t>
      </w:r>
      <w:r w:rsidR="00AD5DEF">
        <w:t xml:space="preserve"> role</w:t>
      </w:r>
      <w:r w:rsidR="00F505DE">
        <w:t>s</w:t>
      </w:r>
      <w:r w:rsidR="000902E6">
        <w:t xml:space="preserve"> </w:t>
      </w:r>
      <w:bookmarkEnd w:id="211"/>
      <w:bookmarkEnd w:id="212"/>
      <w:r w:rsidR="00D04B0F">
        <w:t>as follows:</w:t>
      </w:r>
    </w:p>
    <w:p w14:paraId="5F9CA922" w14:textId="77777777" w:rsidR="00085436" w:rsidRDefault="00D04B0F" w:rsidP="00D557BC">
      <w:pPr>
        <w:pStyle w:val="BodyText2"/>
        <w:jc w:val="both"/>
      </w:pPr>
      <w:bookmarkStart w:id="215" w:name="_Ref130896310"/>
      <w:r w:rsidRPr="006F6CDA">
        <w:t>individually for senior managers</w:t>
      </w:r>
      <w:r w:rsidR="004450A8">
        <w:t xml:space="preserve"> and</w:t>
      </w:r>
      <w:r w:rsidR="00293907" w:rsidRPr="00293907">
        <w:t xml:space="preserve"> </w:t>
      </w:r>
      <w:r w:rsidR="00293907">
        <w:t>executive directors</w:t>
      </w:r>
      <w:r w:rsidRPr="006F6CDA">
        <w:t>;</w:t>
      </w:r>
      <w:r w:rsidR="00A33B77">
        <w:rPr>
          <w:rStyle w:val="FootnoteReference"/>
        </w:rPr>
        <w:footnoteReference w:id="16"/>
      </w:r>
      <w:r w:rsidR="0028459A">
        <w:t xml:space="preserve"> </w:t>
      </w:r>
      <w:r w:rsidRPr="006F6CDA">
        <w:t>and</w:t>
      </w:r>
      <w:bookmarkEnd w:id="215"/>
      <w:r w:rsidRPr="006F6CDA">
        <w:t xml:space="preserve"> </w:t>
      </w:r>
    </w:p>
    <w:p w14:paraId="18116847" w14:textId="77777777" w:rsidR="00D04B0F" w:rsidRDefault="003F1C59" w:rsidP="00D557BC">
      <w:pPr>
        <w:pStyle w:val="BodyText2"/>
        <w:jc w:val="both"/>
      </w:pPr>
      <w:r>
        <w:t xml:space="preserve">on a cohort basis </w:t>
      </w:r>
      <w:r w:rsidR="00D04B0F" w:rsidRPr="006F6CDA">
        <w:t>for highly-paid material risk-takers, other material risk-takers and risk and financial control personnel.</w:t>
      </w:r>
    </w:p>
    <w:bookmarkEnd w:id="213"/>
    <w:bookmarkEnd w:id="214"/>
    <w:p w14:paraId="6EDA26FC" w14:textId="77777777" w:rsidR="004E1F04" w:rsidRPr="006B1014" w:rsidRDefault="00CF748D" w:rsidP="00D557BC">
      <w:pPr>
        <w:pStyle w:val="BodyText1"/>
      </w:pPr>
      <w:r>
        <w:rPr>
          <w:rFonts w:ascii="&amp;quot" w:hAnsi="&amp;quot"/>
          <w:color w:val="000000"/>
        </w:rPr>
        <w:t>T</w:t>
      </w:r>
      <w:r w:rsidR="004E1F04" w:rsidRPr="006B1014">
        <w:t xml:space="preserve">he </w:t>
      </w:r>
      <w:r w:rsidR="00E27FCE" w:rsidRPr="006B1014">
        <w:t xml:space="preserve">variable </w:t>
      </w:r>
      <w:r w:rsidR="004E1F04" w:rsidRPr="006B1014">
        <w:t>remuneration arrangements for risk and financial control personnel</w:t>
      </w:r>
      <w:r>
        <w:t xml:space="preserve"> must</w:t>
      </w:r>
      <w:r w:rsidR="004E1F04" w:rsidRPr="006B1014">
        <w:t>:</w:t>
      </w:r>
    </w:p>
    <w:p w14:paraId="42167E6B" w14:textId="77777777" w:rsidR="004E1F04" w:rsidRPr="006B1014" w:rsidRDefault="004E1F04" w:rsidP="00D557BC">
      <w:pPr>
        <w:pStyle w:val="BodyText2"/>
        <w:jc w:val="both"/>
      </w:pPr>
      <w:r w:rsidRPr="006B1014">
        <w:t>reflect the independence and authority o</w:t>
      </w:r>
      <w:r w:rsidRPr="006B1014">
        <w:rPr>
          <w:rFonts w:ascii="&amp;quot" w:hAnsi="&amp;quot"/>
          <w:color w:val="000000"/>
        </w:rPr>
        <w:t>f th</w:t>
      </w:r>
      <w:r w:rsidR="00936774">
        <w:rPr>
          <w:rFonts w:ascii="&amp;quot" w:hAnsi="&amp;quot"/>
          <w:color w:val="000000"/>
        </w:rPr>
        <w:t>o</w:t>
      </w:r>
      <w:r w:rsidRPr="006B1014">
        <w:rPr>
          <w:rFonts w:ascii="&amp;quot" w:hAnsi="&amp;quot"/>
          <w:color w:val="000000"/>
        </w:rPr>
        <w:t>se personnel in carrying out their functions</w:t>
      </w:r>
      <w:r w:rsidRPr="006B1014">
        <w:t xml:space="preserve">; </w:t>
      </w:r>
    </w:p>
    <w:p w14:paraId="73FCA5DC" w14:textId="77777777" w:rsidR="004E1F04" w:rsidRPr="006B1014" w:rsidRDefault="002818E6" w:rsidP="00D557BC">
      <w:pPr>
        <w:pStyle w:val="BodyText2"/>
        <w:jc w:val="both"/>
      </w:pPr>
      <w:r>
        <w:t xml:space="preserve">reflect </w:t>
      </w:r>
      <w:r w:rsidR="004E1F04" w:rsidRPr="006B1014">
        <w:t xml:space="preserve">the </w:t>
      </w:r>
      <w:r>
        <w:t>purpose</w:t>
      </w:r>
      <w:r w:rsidRPr="006B1014">
        <w:t xml:space="preserve"> </w:t>
      </w:r>
      <w:r w:rsidR="004E1F04" w:rsidRPr="006B1014">
        <w:t>of their functions; and</w:t>
      </w:r>
    </w:p>
    <w:p w14:paraId="3E73E4B4" w14:textId="77777777" w:rsidR="004E1F04" w:rsidRDefault="004E1F04" w:rsidP="00D557BC">
      <w:pPr>
        <w:pStyle w:val="BodyText2"/>
        <w:jc w:val="both"/>
      </w:pPr>
      <w:r w:rsidRPr="006B1014">
        <w:t xml:space="preserve">not </w:t>
      </w:r>
      <w:r w:rsidR="00CF748D">
        <w:t xml:space="preserve">be </w:t>
      </w:r>
      <w:r w:rsidR="00F2497B">
        <w:t xml:space="preserve">unduly </w:t>
      </w:r>
      <w:r w:rsidR="006C648A" w:rsidRPr="006B1014">
        <w:t>influenced</w:t>
      </w:r>
      <w:r w:rsidRPr="006B1014">
        <w:t xml:space="preserve"> by the performance of the business activities they control.</w:t>
      </w:r>
    </w:p>
    <w:p w14:paraId="7F19A9EC" w14:textId="77777777" w:rsidR="009A4DAE" w:rsidRPr="00E546C7" w:rsidRDefault="009A4DAE" w:rsidP="00D557BC">
      <w:pPr>
        <w:pStyle w:val="Heading1"/>
        <w:jc w:val="both"/>
      </w:pPr>
      <w:bookmarkStart w:id="216" w:name="_Toc6989020"/>
      <w:bookmarkStart w:id="217" w:name="_Toc8908719"/>
      <w:bookmarkStart w:id="218" w:name="_Toc9937054"/>
      <w:bookmarkStart w:id="219" w:name="_Toc10021883"/>
      <w:bookmarkStart w:id="220" w:name="_Toc10106381"/>
      <w:bookmarkStart w:id="221" w:name="_Toc10729973"/>
      <w:bookmarkStart w:id="222" w:name="_Toc11164795"/>
      <w:bookmarkStart w:id="223" w:name="_Toc14420653"/>
      <w:bookmarkStart w:id="224" w:name="_Toc55570120"/>
      <w:bookmarkStart w:id="225" w:name="_Toc102482626"/>
      <w:bookmarkStart w:id="226" w:name="_Toc6989031"/>
      <w:bookmarkStart w:id="227" w:name="_Toc8908729"/>
      <w:bookmarkStart w:id="228" w:name="_Toc10021889"/>
      <w:bookmarkStart w:id="229" w:name="_Toc10106384"/>
      <w:bookmarkStart w:id="230" w:name="_Toc10729978"/>
      <w:bookmarkStart w:id="231" w:name="_Toc11164800"/>
      <w:bookmarkStart w:id="232" w:name="_Toc14420658"/>
      <w:bookmarkStart w:id="233" w:name="_Toc55570125"/>
      <w:bookmarkEnd w:id="149"/>
      <w:bookmarkEnd w:id="150"/>
      <w:bookmarkEnd w:id="151"/>
      <w:bookmarkEnd w:id="152"/>
      <w:r w:rsidRPr="00E546C7">
        <w:t>Review of the remuneration framework</w:t>
      </w:r>
      <w:bookmarkEnd w:id="216"/>
      <w:bookmarkEnd w:id="217"/>
      <w:bookmarkEnd w:id="218"/>
      <w:bookmarkEnd w:id="219"/>
      <w:bookmarkEnd w:id="220"/>
      <w:bookmarkEnd w:id="221"/>
      <w:bookmarkEnd w:id="222"/>
      <w:bookmarkEnd w:id="223"/>
      <w:bookmarkEnd w:id="224"/>
      <w:bookmarkEnd w:id="225"/>
    </w:p>
    <w:p w14:paraId="1698CF74" w14:textId="77777777" w:rsidR="009A4DAE" w:rsidRPr="009578F3" w:rsidRDefault="009A4DAE" w:rsidP="00D557BC">
      <w:pPr>
        <w:pStyle w:val="BodyText1"/>
      </w:pPr>
      <w:bookmarkStart w:id="234" w:name="_Ref9859369"/>
      <w:bookmarkStart w:id="235" w:name="_Ref9952433"/>
      <w:bookmarkStart w:id="236" w:name="_Ref9496252"/>
      <w:bookmarkStart w:id="237" w:name="_Ref9507019"/>
      <w:r w:rsidRPr="009578F3">
        <w:t xml:space="preserve">An </w:t>
      </w:r>
      <w:r>
        <w:t>APRA-regulated entity</w:t>
      </w:r>
      <w:r w:rsidRPr="009578F3">
        <w:t xml:space="preserve"> must </w:t>
      </w:r>
      <w:r>
        <w:t>review</w:t>
      </w:r>
      <w:r w:rsidRPr="009578F3">
        <w:t xml:space="preserve"> </w:t>
      </w:r>
      <w:r>
        <w:t>compliance of the remuneration framework against the requirements of this Prudential Standard at least annually</w:t>
      </w:r>
      <w:r w:rsidRPr="009578F3">
        <w:t>.</w:t>
      </w:r>
      <w:bookmarkEnd w:id="234"/>
      <w:bookmarkEnd w:id="235"/>
    </w:p>
    <w:p w14:paraId="7F5B4D69" w14:textId="77777777" w:rsidR="009A4DAE" w:rsidRDefault="009A4DAE" w:rsidP="00D557BC">
      <w:pPr>
        <w:pStyle w:val="BodyText1"/>
      </w:pPr>
      <w:bookmarkStart w:id="238" w:name="_Ref348103724"/>
      <w:bookmarkStart w:id="239" w:name="_bookmark8"/>
      <w:bookmarkStart w:id="240" w:name="_Ref9859431"/>
      <w:bookmarkStart w:id="241" w:name="_Ref9935769"/>
      <w:bookmarkStart w:id="242" w:name="_Ref10730607"/>
      <w:bookmarkStart w:id="243" w:name="_Ref11156139"/>
      <w:bookmarkEnd w:id="238"/>
      <w:bookmarkEnd w:id="239"/>
      <w:r>
        <w:t xml:space="preserve">In addition to the annual review of compliance, </w:t>
      </w:r>
      <w:r w:rsidRPr="009578F3">
        <w:t xml:space="preserve">the effectiveness of the </w:t>
      </w:r>
      <w:r>
        <w:t>remuneration</w:t>
      </w:r>
      <w:r w:rsidRPr="009578F3">
        <w:t xml:space="preserve"> framework </w:t>
      </w:r>
      <w:r>
        <w:t>must be</w:t>
      </w:r>
      <w:r w:rsidRPr="009578F3">
        <w:t xml:space="preserve"> subject to a comprehensive review by operationally independent, appropriately </w:t>
      </w:r>
      <w:r>
        <w:t xml:space="preserve">experienced </w:t>
      </w:r>
      <w:r w:rsidRPr="009578F3">
        <w:t>and competent persons at least every three years.</w:t>
      </w:r>
      <w:bookmarkEnd w:id="240"/>
      <w:bookmarkEnd w:id="241"/>
      <w:bookmarkEnd w:id="242"/>
      <w:bookmarkEnd w:id="243"/>
    </w:p>
    <w:p w14:paraId="6CB59ECB" w14:textId="0F66EBEF" w:rsidR="009A4DAE" w:rsidRDefault="009A4DAE" w:rsidP="00D557BC">
      <w:pPr>
        <w:pStyle w:val="BodyText1"/>
      </w:pPr>
      <w:bookmarkStart w:id="244" w:name="_Ref9859963"/>
      <w:r w:rsidRPr="009578F3">
        <w:t xml:space="preserve">An </w:t>
      </w:r>
      <w:r>
        <w:t>APRA-regulated entity</w:t>
      </w:r>
      <w:r w:rsidRPr="009578F3">
        <w:t xml:space="preserve"> must </w:t>
      </w:r>
      <w:r>
        <w:t xml:space="preserve">document </w:t>
      </w:r>
      <w:r w:rsidRPr="000D0601">
        <w:t xml:space="preserve">and report </w:t>
      </w:r>
      <w:r>
        <w:t>t</w:t>
      </w:r>
      <w:r w:rsidRPr="000D0601">
        <w:t xml:space="preserve">he </w:t>
      </w:r>
      <w:r>
        <w:t xml:space="preserve">results of the </w:t>
      </w:r>
      <w:r w:rsidRPr="000D0601">
        <w:t>review</w:t>
      </w:r>
      <w:r>
        <w:t xml:space="preserve">s required under paragraphs </w:t>
      </w:r>
      <w:r>
        <w:fldChar w:fldCharType="begin"/>
      </w:r>
      <w:r>
        <w:instrText xml:space="preserve"> REF _Ref9859369 \r \h  \* MERGEFORMAT </w:instrText>
      </w:r>
      <w:r>
        <w:fldChar w:fldCharType="separate"/>
      </w:r>
      <w:r w:rsidR="00DE6765">
        <w:t>54</w:t>
      </w:r>
      <w:r>
        <w:fldChar w:fldCharType="end"/>
      </w:r>
      <w:r>
        <w:t xml:space="preserve"> and </w:t>
      </w:r>
      <w:r>
        <w:fldChar w:fldCharType="begin"/>
      </w:r>
      <w:r>
        <w:instrText xml:space="preserve"> REF _Ref11156139 \r \h  \* MERGEFORMAT </w:instrText>
      </w:r>
      <w:r>
        <w:fldChar w:fldCharType="separate"/>
      </w:r>
      <w:r w:rsidR="00DE6765">
        <w:t>55</w:t>
      </w:r>
      <w:r>
        <w:fldChar w:fldCharType="end"/>
      </w:r>
      <w:r>
        <w:t xml:space="preserve"> of this Prudential Standard </w:t>
      </w:r>
      <w:r w:rsidRPr="000D0601">
        <w:t>to the Board Remuneration Committee</w:t>
      </w:r>
      <w:r>
        <w:t>, or relevant oversight function, in a timely manner</w:t>
      </w:r>
      <w:r w:rsidRPr="000D0601">
        <w:t>.</w:t>
      </w:r>
      <w:r>
        <w:t xml:space="preserve"> The Board Remuneration Committee,</w:t>
      </w:r>
      <w:r w:rsidRPr="00176686">
        <w:t xml:space="preserve"> </w:t>
      </w:r>
      <w:r>
        <w:t xml:space="preserve">or relevant oversight function, </w:t>
      </w:r>
      <w:r w:rsidRPr="00C402F0">
        <w:t xml:space="preserve">must take </w:t>
      </w:r>
      <w:r>
        <w:t>appropriate and timely</w:t>
      </w:r>
      <w:r w:rsidRPr="00C402F0">
        <w:t xml:space="preserve"> </w:t>
      </w:r>
      <w:r>
        <w:t xml:space="preserve">action </w:t>
      </w:r>
      <w:r w:rsidRPr="00C402F0">
        <w:t xml:space="preserve">to ensure </w:t>
      </w:r>
      <w:r>
        <w:t xml:space="preserve">the </w:t>
      </w:r>
      <w:r w:rsidRPr="00C402F0">
        <w:t>findings of the</w:t>
      </w:r>
      <w:r>
        <w:t>se</w:t>
      </w:r>
      <w:r w:rsidRPr="00C402F0">
        <w:t xml:space="preserve"> re</w:t>
      </w:r>
      <w:r>
        <w:t>views</w:t>
      </w:r>
      <w:r w:rsidRPr="00C402F0">
        <w:t xml:space="preserve"> are </w:t>
      </w:r>
      <w:r>
        <w:t xml:space="preserve">adequately considered and </w:t>
      </w:r>
      <w:r w:rsidRPr="00C402F0">
        <w:t>addressed</w:t>
      </w:r>
      <w:r>
        <w:t>.</w:t>
      </w:r>
    </w:p>
    <w:p w14:paraId="0E99B016" w14:textId="18334BEC" w:rsidR="009A4DAE" w:rsidRDefault="009A4DAE" w:rsidP="00D557BC">
      <w:pPr>
        <w:pStyle w:val="BodyText1"/>
      </w:pPr>
      <w:r>
        <w:t>An APRA-regulated entity’s</w:t>
      </w:r>
      <w:r w:rsidRPr="009578F3">
        <w:t xml:space="preserve"> </w:t>
      </w:r>
      <w:r w:rsidRPr="008D0AC1">
        <w:t xml:space="preserve">effectiveness </w:t>
      </w:r>
      <w:r w:rsidRPr="008D0AC1">
        <w:rPr>
          <w:color w:val="000000"/>
        </w:rPr>
        <w:t xml:space="preserve">review required under paragraph </w:t>
      </w:r>
      <w:r w:rsidRPr="008D0AC1">
        <w:rPr>
          <w:color w:val="000000"/>
        </w:rPr>
        <w:fldChar w:fldCharType="begin"/>
      </w:r>
      <w:r w:rsidRPr="008D0AC1">
        <w:rPr>
          <w:color w:val="000000"/>
        </w:rPr>
        <w:instrText xml:space="preserve"> REF _Ref11156139 \r \h  \* MERGEFORMAT </w:instrText>
      </w:r>
      <w:r w:rsidRPr="008D0AC1">
        <w:rPr>
          <w:color w:val="000000"/>
        </w:rPr>
      </w:r>
      <w:r w:rsidRPr="008D0AC1">
        <w:rPr>
          <w:color w:val="000000"/>
        </w:rPr>
        <w:fldChar w:fldCharType="separate"/>
      </w:r>
      <w:r w:rsidR="00DE6765">
        <w:rPr>
          <w:color w:val="000000"/>
        </w:rPr>
        <w:t>55</w:t>
      </w:r>
      <w:r w:rsidRPr="008D0AC1">
        <w:rPr>
          <w:color w:val="000000"/>
        </w:rPr>
        <w:fldChar w:fldCharType="end"/>
      </w:r>
      <w:r w:rsidRPr="008D0AC1">
        <w:rPr>
          <w:color w:val="000000"/>
        </w:rPr>
        <w:t xml:space="preserve"> of this Prudential Standard must assess:</w:t>
      </w:r>
      <w:bookmarkEnd w:id="244"/>
    </w:p>
    <w:p w14:paraId="3904E37B" w14:textId="740BDE63" w:rsidR="009A4DAE" w:rsidRPr="00E12809" w:rsidRDefault="009A4DAE" w:rsidP="00D557BC">
      <w:pPr>
        <w:pStyle w:val="BodyText2"/>
        <w:jc w:val="both"/>
      </w:pPr>
      <w:r>
        <w:t xml:space="preserve">compliance of the remuneration framework with paragraph </w:t>
      </w:r>
      <w:r>
        <w:fldChar w:fldCharType="begin"/>
      </w:r>
      <w:r>
        <w:instrText xml:space="preserve"> REF _Ref5714864 \r \h </w:instrText>
      </w:r>
      <w:r w:rsidR="00A355A7">
        <w:instrText xml:space="preserve"> \* MERGEFORMAT </w:instrText>
      </w:r>
      <w:r>
        <w:fldChar w:fldCharType="separate"/>
      </w:r>
      <w:r w:rsidR="00DE6765">
        <w:t>21</w:t>
      </w:r>
      <w:r>
        <w:fldChar w:fldCharType="end"/>
      </w:r>
      <w:r>
        <w:t xml:space="preserve"> of this Prudential Standard;</w:t>
      </w:r>
    </w:p>
    <w:p w14:paraId="0B97B4F6" w14:textId="77777777" w:rsidR="009A4DAE" w:rsidRDefault="009A4DAE" w:rsidP="00D557BC">
      <w:pPr>
        <w:pStyle w:val="BodyText2"/>
        <w:jc w:val="both"/>
      </w:pPr>
      <w:r>
        <w:t>whether the remuneration framework and its elements are operating as intended;</w:t>
      </w:r>
    </w:p>
    <w:p w14:paraId="5605FB96" w14:textId="77777777" w:rsidR="009A4DAE" w:rsidRPr="00051C86" w:rsidRDefault="009A4DAE" w:rsidP="00D557BC">
      <w:pPr>
        <w:pStyle w:val="BodyText2"/>
        <w:jc w:val="both"/>
      </w:pPr>
      <w:r>
        <w:lastRenderedPageBreak/>
        <w:t xml:space="preserve">whether </w:t>
      </w:r>
      <w:r w:rsidR="00D153C3">
        <w:t xml:space="preserve">the </w:t>
      </w:r>
      <w:r>
        <w:t xml:space="preserve">design </w:t>
      </w:r>
      <w:r w:rsidR="00D153C3">
        <w:t xml:space="preserve">of the remuneration framework </w:t>
      </w:r>
      <w:r>
        <w:t>is appropriate and fit for purpose</w:t>
      </w:r>
      <w:r w:rsidRPr="00051C86">
        <w:t>;</w:t>
      </w:r>
      <w:r>
        <w:t xml:space="preserve"> and</w:t>
      </w:r>
    </w:p>
    <w:p w14:paraId="3E918880" w14:textId="77777777" w:rsidR="009A4DAE" w:rsidRDefault="009A4DAE" w:rsidP="00802E43">
      <w:pPr>
        <w:pStyle w:val="BodyText2"/>
        <w:jc w:val="both"/>
      </w:pPr>
      <w:r>
        <w:t xml:space="preserve">the alignment of remuneration outcomes </w:t>
      </w:r>
      <w:r w:rsidRPr="00BB009A">
        <w:t>with the performance and risk outcomes achieved</w:t>
      </w:r>
      <w:r>
        <w:t>.</w:t>
      </w:r>
      <w:bookmarkStart w:id="245" w:name="_Ref347306875"/>
      <w:bookmarkEnd w:id="236"/>
      <w:bookmarkEnd w:id="237"/>
    </w:p>
    <w:p w14:paraId="702E7CA0" w14:textId="16203DD6" w:rsidR="009A4DAE" w:rsidRDefault="009A4DAE" w:rsidP="00D557BC">
      <w:pPr>
        <w:pStyle w:val="BodyText1"/>
      </w:pPr>
      <w:r>
        <w:rPr>
          <w:rFonts w:ascii="&amp;quot" w:hAnsi="&amp;quot"/>
          <w:color w:val="000000"/>
        </w:rPr>
        <w:t xml:space="preserve">Where </w:t>
      </w:r>
      <w:r w:rsidR="00D153C3">
        <w:rPr>
          <w:rFonts w:ascii="&amp;quot" w:hAnsi="&amp;quot"/>
          <w:color w:val="000000"/>
        </w:rPr>
        <w:t xml:space="preserve">an APRA-regulated entity identifies </w:t>
      </w:r>
      <w:r>
        <w:rPr>
          <w:rFonts w:ascii="&amp;quot" w:hAnsi="&amp;quot"/>
          <w:color w:val="000000"/>
        </w:rPr>
        <w:t>a material change to the size, business mix and complexity of the operations outside the review required in paragraph</w:t>
      </w:r>
      <w:r w:rsidR="00321707">
        <w:rPr>
          <w:rFonts w:ascii="&amp;quot" w:hAnsi="&amp;quot" w:hint="eastAsia"/>
          <w:color w:val="000000"/>
        </w:rPr>
        <w:t> </w:t>
      </w:r>
      <w:bookmarkEnd w:id="245"/>
      <w:r>
        <w:rPr>
          <w:rFonts w:ascii="&amp;quot" w:hAnsi="&amp;quot"/>
          <w:color w:val="000000"/>
        </w:rPr>
        <w:fldChar w:fldCharType="begin"/>
      </w:r>
      <w:r>
        <w:rPr>
          <w:rFonts w:ascii="&amp;quot" w:hAnsi="&amp;quot"/>
          <w:color w:val="000000"/>
        </w:rPr>
        <w:instrText xml:space="preserve"> REF _Ref9859431 \r \h </w:instrText>
      </w:r>
      <w:r w:rsidR="00A355A7">
        <w:rPr>
          <w:rFonts w:ascii="&amp;quot" w:hAnsi="&amp;quot"/>
          <w:color w:val="000000"/>
        </w:rPr>
        <w:instrText xml:space="preserve"> \* MERGEFORMAT </w:instrText>
      </w:r>
      <w:r>
        <w:rPr>
          <w:rFonts w:ascii="&amp;quot" w:hAnsi="&amp;quot"/>
          <w:color w:val="000000"/>
        </w:rPr>
      </w:r>
      <w:r>
        <w:rPr>
          <w:rFonts w:ascii="&amp;quot" w:hAnsi="&amp;quot"/>
          <w:color w:val="000000"/>
        </w:rPr>
        <w:fldChar w:fldCharType="separate"/>
      </w:r>
      <w:r w:rsidR="00DE6765">
        <w:rPr>
          <w:rFonts w:ascii="&amp;quot" w:hAnsi="&amp;quot"/>
          <w:color w:val="000000"/>
        </w:rPr>
        <w:t>55</w:t>
      </w:r>
      <w:r>
        <w:rPr>
          <w:rFonts w:ascii="&amp;quot" w:hAnsi="&amp;quot"/>
          <w:color w:val="000000"/>
        </w:rPr>
        <w:fldChar w:fldCharType="end"/>
      </w:r>
      <w:r>
        <w:rPr>
          <w:rFonts w:ascii="&amp;quot" w:hAnsi="&amp;quot"/>
          <w:color w:val="000000"/>
        </w:rPr>
        <w:t xml:space="preserve">, </w:t>
      </w:r>
      <w:r w:rsidR="00D153C3">
        <w:rPr>
          <w:rFonts w:ascii="&amp;quot" w:hAnsi="&amp;quot"/>
          <w:color w:val="000000"/>
        </w:rPr>
        <w:t>it</w:t>
      </w:r>
      <w:r>
        <w:rPr>
          <w:rFonts w:ascii="&amp;quot" w:hAnsi="&amp;quot"/>
          <w:color w:val="000000"/>
        </w:rPr>
        <w:t xml:space="preserve"> must consider and address the need to amend or review the remuneration framework to take account of these developments at that time.</w:t>
      </w:r>
    </w:p>
    <w:p w14:paraId="426FF611" w14:textId="77777777" w:rsidR="00B5757D" w:rsidRPr="00E546C7" w:rsidRDefault="00B5757D" w:rsidP="00D557BC">
      <w:pPr>
        <w:pStyle w:val="Heading1"/>
        <w:jc w:val="both"/>
      </w:pPr>
      <w:bookmarkStart w:id="246" w:name="_Toc102482627"/>
      <w:r w:rsidRPr="00E546C7">
        <w:t xml:space="preserve">Other </w:t>
      </w:r>
      <w:r w:rsidRPr="00B01B58">
        <w:t>requirements</w:t>
      </w:r>
      <w:bookmarkEnd w:id="226"/>
      <w:bookmarkEnd w:id="227"/>
      <w:bookmarkEnd w:id="228"/>
      <w:bookmarkEnd w:id="229"/>
      <w:bookmarkEnd w:id="230"/>
      <w:bookmarkEnd w:id="231"/>
      <w:bookmarkEnd w:id="232"/>
      <w:bookmarkEnd w:id="233"/>
      <w:bookmarkEnd w:id="246"/>
    </w:p>
    <w:p w14:paraId="5C3FD266" w14:textId="77777777" w:rsidR="00561054" w:rsidRDefault="00582C61" w:rsidP="00D557BC">
      <w:pPr>
        <w:pStyle w:val="BodyText1"/>
      </w:pPr>
      <w:bookmarkStart w:id="247" w:name="_Ref43094316"/>
      <w:r w:rsidRPr="00D2300C">
        <w:t>In relation to the requirements for a Board Remuneration Committee and remuneration policy, where</w:t>
      </w:r>
      <w:r w:rsidR="00561054">
        <w:t xml:space="preserve"> an APRA-regulated entity is part of a group</w:t>
      </w:r>
      <w:r w:rsidR="00931FB3">
        <w:t>,</w:t>
      </w:r>
      <w:r w:rsidR="00856B1D">
        <w:t xml:space="preserve"> or corporate group in the case of a </w:t>
      </w:r>
      <w:r w:rsidR="00AA115F">
        <w:t>private health insurer</w:t>
      </w:r>
      <w:r w:rsidR="00561054">
        <w:t>, the Board of the APRA-regulated entity may:</w:t>
      </w:r>
      <w:bookmarkEnd w:id="247"/>
      <w:r w:rsidR="00561054">
        <w:t xml:space="preserve"> </w:t>
      </w:r>
    </w:p>
    <w:p w14:paraId="1777864C" w14:textId="77777777" w:rsidR="00561054" w:rsidRDefault="00561054" w:rsidP="00D557BC">
      <w:pPr>
        <w:pStyle w:val="BodyText2"/>
        <w:jc w:val="both"/>
      </w:pPr>
      <w:r>
        <w:t>use a group Board Remuneration Committee as the Board Remuneration Committee for the APRA-regulated entity, provided that:</w:t>
      </w:r>
    </w:p>
    <w:p w14:paraId="5F67D305" w14:textId="77777777" w:rsidR="00561054" w:rsidRDefault="00561054" w:rsidP="00802E43">
      <w:pPr>
        <w:pStyle w:val="BodyText3"/>
        <w:jc w:val="both"/>
      </w:pPr>
      <w:r>
        <w:t>the requirements set out in this Prudential Standard are met;</w:t>
      </w:r>
    </w:p>
    <w:p w14:paraId="2D17569C" w14:textId="77777777" w:rsidR="00561054" w:rsidRDefault="00561054" w:rsidP="00802E43">
      <w:pPr>
        <w:pStyle w:val="BodyText3"/>
        <w:jc w:val="both"/>
      </w:pPr>
      <w:r>
        <w:t>all members of the group Board Remuneration Committee are non-executive directors of the Head of the group in the context of an ADI, general insurer or life company;</w:t>
      </w:r>
      <w:r w:rsidR="00AA115F">
        <w:rPr>
          <w:rStyle w:val="FootnoteReference"/>
        </w:rPr>
        <w:footnoteReference w:id="17"/>
      </w:r>
      <w:r>
        <w:t xml:space="preserve"> and </w:t>
      </w:r>
    </w:p>
    <w:p w14:paraId="736278CF" w14:textId="77777777" w:rsidR="00561054" w:rsidRDefault="00561054" w:rsidP="00802E43">
      <w:pPr>
        <w:pStyle w:val="BodyText3"/>
        <w:jc w:val="both"/>
      </w:pPr>
      <w:r>
        <w:t>the Board of the entity has free and unfettered access to the group Board Remuneration Committee</w:t>
      </w:r>
      <w:r w:rsidR="00AA115F">
        <w:t>; and</w:t>
      </w:r>
    </w:p>
    <w:p w14:paraId="23C18ABF" w14:textId="77777777" w:rsidR="00B5757D" w:rsidRDefault="00B5757D" w:rsidP="00D557BC">
      <w:pPr>
        <w:pStyle w:val="BodyText2"/>
        <w:jc w:val="both"/>
      </w:pPr>
      <w:r w:rsidRPr="00893463">
        <w:t>adopt and appl</w:t>
      </w:r>
      <w:r>
        <w:t>y a group remuneration policy</w:t>
      </w:r>
      <w:r w:rsidRPr="00893463">
        <w:t xml:space="preserve"> that is also used by a related body corporate </w:t>
      </w:r>
      <w:r w:rsidR="006A5F5B">
        <w:t xml:space="preserve">or a connected entity </w:t>
      </w:r>
      <w:r w:rsidRPr="00893463">
        <w:t xml:space="preserve">provided that the </w:t>
      </w:r>
      <w:r w:rsidR="00561054">
        <w:t xml:space="preserve">group </w:t>
      </w:r>
      <w:r>
        <w:t>remuneration policy:</w:t>
      </w:r>
    </w:p>
    <w:p w14:paraId="52F48A71" w14:textId="77777777" w:rsidR="00B5757D" w:rsidRDefault="00757DD8" w:rsidP="00802E43">
      <w:pPr>
        <w:pStyle w:val="BodyText3"/>
        <w:jc w:val="both"/>
      </w:pPr>
      <w:r>
        <w:t>m</w:t>
      </w:r>
      <w:r w:rsidR="00B5757D">
        <w:t>eets the requirements of this Prudential Standard;</w:t>
      </w:r>
    </w:p>
    <w:p w14:paraId="0A6FEEB7" w14:textId="77777777" w:rsidR="00B5757D" w:rsidRDefault="00B5757D" w:rsidP="00802E43">
      <w:pPr>
        <w:pStyle w:val="BodyText3"/>
        <w:jc w:val="both"/>
      </w:pPr>
      <w:r w:rsidRPr="00893463">
        <w:t>has been approved by the Board</w:t>
      </w:r>
      <w:r w:rsidR="00E9739E">
        <w:t xml:space="preserve"> or relevant oversight function</w:t>
      </w:r>
      <w:r>
        <w:t xml:space="preserve">; and </w:t>
      </w:r>
    </w:p>
    <w:p w14:paraId="032597E9" w14:textId="77777777" w:rsidR="00B5757D" w:rsidRDefault="00B5757D" w:rsidP="00802E43">
      <w:pPr>
        <w:pStyle w:val="BodyText3"/>
        <w:jc w:val="both"/>
      </w:pPr>
      <w:r>
        <w:t>gives appropriate regard to the entity’s business activities, its specific requirements and its remuneration framework.</w:t>
      </w:r>
    </w:p>
    <w:p w14:paraId="54416650" w14:textId="77777777" w:rsidR="00E51659" w:rsidRDefault="00E51659" w:rsidP="00D557BC">
      <w:pPr>
        <w:pStyle w:val="BodyText1"/>
      </w:pPr>
      <w:bookmarkStart w:id="248" w:name="_Ref14247831"/>
      <w:r>
        <w:t xml:space="preserve">An APRA-regulated entity </w:t>
      </w:r>
      <w:r>
        <w:rPr>
          <w:color w:val="000000"/>
          <w:shd w:val="clear" w:color="auto" w:fill="FFFFFF"/>
        </w:rPr>
        <w:t xml:space="preserve">may apply to APRA for approval </w:t>
      </w:r>
      <w:r w:rsidR="00425740">
        <w:rPr>
          <w:color w:val="000000"/>
          <w:shd w:val="clear" w:color="auto" w:fill="FFFFFF"/>
        </w:rPr>
        <w:t xml:space="preserve">of </w:t>
      </w:r>
      <w:r>
        <w:rPr>
          <w:color w:val="000000"/>
          <w:shd w:val="clear" w:color="auto" w:fill="FFFFFF"/>
        </w:rPr>
        <w:t xml:space="preserve">alternative Board </w:t>
      </w:r>
      <w:r w:rsidRPr="006A7AE7">
        <w:t>Remuneration Committee</w:t>
      </w:r>
      <w:r>
        <w:rPr>
          <w:color w:val="000000"/>
          <w:shd w:val="clear" w:color="auto" w:fill="FFFFFF"/>
        </w:rPr>
        <w:t xml:space="preserve"> arrangements that meet the objectives of this Prudential Standard. APRA may approve alternative arrangements for the entity if satisfied that those arrangements will, in APRA’s opinion, achieve the objectives of this Prudential Standard.</w:t>
      </w:r>
    </w:p>
    <w:p w14:paraId="6BFEEC65" w14:textId="77777777" w:rsidR="002818E6" w:rsidRDefault="0010421F" w:rsidP="00D557BC">
      <w:pPr>
        <w:pStyle w:val="BodyText1"/>
      </w:pPr>
      <w:bookmarkStart w:id="249" w:name="_Ref44079047"/>
      <w:r>
        <w:t>Except in circumstances permitted by law, a</w:t>
      </w:r>
      <w:r w:rsidR="00273A32">
        <w:t xml:space="preserve">n </w:t>
      </w:r>
      <w:r w:rsidR="00F3006F">
        <w:t xml:space="preserve">APRA-regulated </w:t>
      </w:r>
      <w:r w:rsidR="00273A32">
        <w:t xml:space="preserve">entity must </w:t>
      </w:r>
      <w:r>
        <w:t xml:space="preserve">not pay any </w:t>
      </w:r>
      <w:r w:rsidR="00273A32">
        <w:t>remuneration (whether directly or indirectly)</w:t>
      </w:r>
      <w:r w:rsidR="00EF6E81" w:rsidRPr="00EF6E81">
        <w:t xml:space="preserve"> to, or for the benefit of, </w:t>
      </w:r>
      <w:r w:rsidR="00425740">
        <w:t>a</w:t>
      </w:r>
      <w:r w:rsidR="00EF6E81" w:rsidRPr="00EF6E81">
        <w:t xml:space="preserve"> </w:t>
      </w:r>
      <w:r w:rsidR="00EF6E81" w:rsidRPr="00EF6E81">
        <w:lastRenderedPageBreak/>
        <w:t>person</w:t>
      </w:r>
      <w:r w:rsidR="00273A32">
        <w:t xml:space="preserve"> through vehicles or methods that undermine the effect </w:t>
      </w:r>
      <w:r w:rsidR="00EF6E81">
        <w:t xml:space="preserve">or intent </w:t>
      </w:r>
      <w:r w:rsidR="00273A32">
        <w:t>of the requirements of this Prudential Standard</w:t>
      </w:r>
      <w:r w:rsidR="004D1C49">
        <w:t>.</w:t>
      </w:r>
      <w:r w:rsidR="004D1C49" w:rsidRPr="004D1C49">
        <w:t xml:space="preserve"> </w:t>
      </w:r>
      <w:r w:rsidR="004D1C49">
        <w:t>An APRA-regulated entity must at min</w:t>
      </w:r>
      <w:r w:rsidR="00A2735E">
        <w:t>i</w:t>
      </w:r>
      <w:r w:rsidR="004D1C49">
        <w:t xml:space="preserve">mum </w:t>
      </w:r>
      <w:r w:rsidR="00A2735E">
        <w:t>prevent</w:t>
      </w:r>
      <w:r w:rsidR="004D1C49">
        <w:t xml:space="preserve"> the following</w:t>
      </w:r>
      <w:r w:rsidR="002818E6">
        <w:t>:</w:t>
      </w:r>
      <w:bookmarkEnd w:id="249"/>
      <w:r w:rsidR="00273A32">
        <w:t xml:space="preserve"> </w:t>
      </w:r>
    </w:p>
    <w:p w14:paraId="2DBFCDA9" w14:textId="77777777" w:rsidR="00273A32" w:rsidRDefault="00EF6E81" w:rsidP="00802E43">
      <w:pPr>
        <w:pStyle w:val="BodyText2"/>
        <w:jc w:val="both"/>
      </w:pPr>
      <w:r>
        <w:t>the entity</w:t>
      </w:r>
      <w:r w:rsidRPr="00EF6E81">
        <w:t xml:space="preserve"> </w:t>
      </w:r>
      <w:r w:rsidR="00273A32">
        <w:t xml:space="preserve">indemnifying or insuring </w:t>
      </w:r>
      <w:r w:rsidR="00D153C3" w:rsidRPr="005E23C8">
        <w:t>(whether directly or through arrangements with another person)</w:t>
      </w:r>
      <w:r w:rsidR="00D153C3">
        <w:t xml:space="preserve"> </w:t>
      </w:r>
      <w:r>
        <w:t>the relevant</w:t>
      </w:r>
      <w:r w:rsidR="00273A32">
        <w:t xml:space="preserve"> person against the consequences of:</w:t>
      </w:r>
    </w:p>
    <w:p w14:paraId="3241A6AF" w14:textId="77777777" w:rsidR="00273A32" w:rsidRDefault="00273A32" w:rsidP="00802E43">
      <w:pPr>
        <w:pStyle w:val="BodyText3"/>
        <w:jc w:val="both"/>
      </w:pPr>
      <w:r>
        <w:t>breaching an obligation under this Prudential Standard; or</w:t>
      </w:r>
    </w:p>
    <w:p w14:paraId="1BA45CB2" w14:textId="77777777" w:rsidR="00273A32" w:rsidRDefault="00273A32" w:rsidP="00802E43">
      <w:pPr>
        <w:pStyle w:val="BodyText3"/>
        <w:jc w:val="both"/>
      </w:pPr>
      <w:r>
        <w:t>applying in-period adjustment, malus or clawback under this Prudential Standard</w:t>
      </w:r>
      <w:r w:rsidR="002818E6">
        <w:t>; and</w:t>
      </w:r>
    </w:p>
    <w:bookmarkEnd w:id="248"/>
    <w:p w14:paraId="0B84D955" w14:textId="77777777" w:rsidR="006C69AB" w:rsidRPr="006B1014" w:rsidRDefault="006C69AB" w:rsidP="00802E43">
      <w:pPr>
        <w:pStyle w:val="BodyText2"/>
        <w:jc w:val="both"/>
      </w:pPr>
      <w:r>
        <w:t>h</w:t>
      </w:r>
      <w:r w:rsidR="00A2735E" w:rsidRPr="0062069D">
        <w:t xml:space="preserve">edging by </w:t>
      </w:r>
      <w:r w:rsidR="002818E6" w:rsidRPr="0062069D">
        <w:t>any person in a specified role who receives equity or equity-linked deferred variable remuneration</w:t>
      </w:r>
      <w:r w:rsidR="00A2735E" w:rsidRPr="0062069D">
        <w:t>,</w:t>
      </w:r>
      <w:r w:rsidR="002818E6" w:rsidRPr="0062069D">
        <w:t xml:space="preserve"> </w:t>
      </w:r>
      <w:r w:rsidR="00A2735E" w:rsidRPr="0062069D">
        <w:t xml:space="preserve">of </w:t>
      </w:r>
      <w:r w:rsidR="002818E6" w:rsidRPr="0062069D">
        <w:t xml:space="preserve">their economic exposure to the resultant equity price risk before the equity-linked remuneration is fully vested and able to be sold for cash </w:t>
      </w:r>
      <w:r w:rsidR="002818E6" w:rsidRPr="0062069D" w:rsidDel="00912B01">
        <w:t xml:space="preserve">by </w:t>
      </w:r>
      <w:r w:rsidR="002818E6" w:rsidRPr="0062069D">
        <w:t xml:space="preserve">the recipient. The entity must </w:t>
      </w:r>
      <w:r w:rsidR="001F447D" w:rsidRPr="0062069D">
        <w:t xml:space="preserve">have </w:t>
      </w:r>
      <w:r w:rsidR="00A2735E" w:rsidRPr="0062069D">
        <w:t xml:space="preserve">a prohibition for </w:t>
      </w:r>
      <w:r w:rsidR="00172E83">
        <w:t>such hedging, whether in its remuneration policy, contractual or other documentation</w:t>
      </w:r>
      <w:r w:rsidR="00A2735E" w:rsidRPr="0062069D">
        <w:t xml:space="preserve">, and, </w:t>
      </w:r>
      <w:r w:rsidR="002818E6" w:rsidRPr="0062069D">
        <w:t xml:space="preserve">define and document the process and actions to be taken where any person in a specified role is in breach of </w:t>
      </w:r>
      <w:r w:rsidR="00CD4B90">
        <w:t>the prohibition</w:t>
      </w:r>
      <w:r w:rsidR="002818E6" w:rsidRPr="0062069D">
        <w:t>.</w:t>
      </w:r>
      <w:r w:rsidR="002818E6" w:rsidRPr="006B1014">
        <w:t xml:space="preserve"> </w:t>
      </w:r>
    </w:p>
    <w:p w14:paraId="02923BFE" w14:textId="50AD37F8" w:rsidR="006135D5" w:rsidRDefault="00012BC3" w:rsidP="00D557BC">
      <w:pPr>
        <w:pStyle w:val="BodyText1"/>
      </w:pPr>
      <w:r>
        <w:t xml:space="preserve">Paragraph </w:t>
      </w:r>
      <w:r w:rsidR="00CD4B90">
        <w:fldChar w:fldCharType="begin"/>
      </w:r>
      <w:r w:rsidR="00CD4B90">
        <w:instrText xml:space="preserve"> REF _Ref44079047 \r \h </w:instrText>
      </w:r>
      <w:r w:rsidR="00D557BC">
        <w:instrText xml:space="preserve"> \* MERGEFORMAT </w:instrText>
      </w:r>
      <w:r w:rsidR="00CD4B90">
        <w:fldChar w:fldCharType="separate"/>
      </w:r>
      <w:r w:rsidR="00DE6765">
        <w:t>61</w:t>
      </w:r>
      <w:r w:rsidR="00CD4B90">
        <w:fldChar w:fldCharType="end"/>
      </w:r>
      <w:r>
        <w:t xml:space="preserve"> do</w:t>
      </w:r>
      <w:r w:rsidR="00431404">
        <w:t>es</w:t>
      </w:r>
      <w:r>
        <w:t xml:space="preserve"> not apply </w:t>
      </w:r>
      <w:r w:rsidR="00EF6E81">
        <w:t xml:space="preserve">in respect of </w:t>
      </w:r>
      <w:r>
        <w:t>a liability for legal costs.</w:t>
      </w:r>
    </w:p>
    <w:p w14:paraId="6A7D808B" w14:textId="1F6E32B3" w:rsidR="00B01B58" w:rsidRDefault="00B01B58" w:rsidP="00802E43">
      <w:pPr>
        <w:pStyle w:val="Heading1"/>
        <w:jc w:val="both"/>
      </w:pPr>
      <w:bookmarkStart w:id="250" w:name="_Toc102482628"/>
      <w:r w:rsidRPr="00424575">
        <w:t>Disclosures</w:t>
      </w:r>
      <w:bookmarkEnd w:id="250"/>
    </w:p>
    <w:p w14:paraId="11A23217" w14:textId="7207A24D" w:rsidR="002D39DD" w:rsidRPr="00424575" w:rsidRDefault="007C3E0D" w:rsidP="007C3E0D">
      <w:pPr>
        <w:pStyle w:val="BodyText1"/>
      </w:pPr>
      <w:bookmarkStart w:id="251" w:name="_Ref130896764"/>
      <w:r w:rsidRPr="00424575">
        <w:t xml:space="preserve">An APRA-regulated entity </w:t>
      </w:r>
      <w:r w:rsidR="007417FF" w:rsidRPr="00424575">
        <w:rPr>
          <w:rFonts w:eastAsiaTheme="minorEastAsia"/>
        </w:rPr>
        <w:t xml:space="preserve">must make </w:t>
      </w:r>
      <w:r w:rsidR="007417FF" w:rsidRPr="00424575">
        <w:t>clear, comprehensive, meaningful</w:t>
      </w:r>
      <w:r w:rsidR="008F77EE">
        <w:t>,</w:t>
      </w:r>
      <w:r w:rsidR="00316ACD">
        <w:t xml:space="preserve"> </w:t>
      </w:r>
      <w:r w:rsidR="007417FF" w:rsidRPr="00424575">
        <w:t>consistent</w:t>
      </w:r>
      <w:r w:rsidR="006F500C">
        <w:t xml:space="preserve"> and comparable</w:t>
      </w:r>
      <w:r w:rsidR="007417FF" w:rsidRPr="00424575">
        <w:t xml:space="preserve"> public disclosure</w:t>
      </w:r>
      <w:r w:rsidR="00B61876" w:rsidRPr="00424575">
        <w:t xml:space="preserve"> of</w:t>
      </w:r>
      <w:r w:rsidR="00096688" w:rsidRPr="00424575">
        <w:t xml:space="preserve"> </w:t>
      </w:r>
      <w:r w:rsidRPr="00424575">
        <w:t xml:space="preserve">information on its remuneration </w:t>
      </w:r>
      <w:r w:rsidR="00B61876" w:rsidRPr="00424575">
        <w:t xml:space="preserve">framework and </w:t>
      </w:r>
      <w:r w:rsidRPr="00424575">
        <w:t>practices</w:t>
      </w:r>
      <w:r w:rsidR="004900C0" w:rsidRPr="00424575">
        <w:t>,</w:t>
      </w:r>
      <w:r w:rsidR="00710F3E" w:rsidRPr="00424575">
        <w:t xml:space="preserve"> as set out in this Prudential Standard</w:t>
      </w:r>
      <w:r w:rsidRPr="00424575">
        <w:t>.</w:t>
      </w:r>
      <w:bookmarkEnd w:id="251"/>
      <w:r w:rsidR="00841FDA" w:rsidRPr="00841FDA">
        <w:rPr>
          <w:highlight w:val="yellow"/>
        </w:rPr>
        <w:t xml:space="preserve"> </w:t>
      </w:r>
    </w:p>
    <w:p w14:paraId="21C7EC31" w14:textId="66C7E8DA" w:rsidR="002D39DD" w:rsidRDefault="002D39DD" w:rsidP="00D347DB">
      <w:pPr>
        <w:pStyle w:val="BodyText1"/>
      </w:pPr>
      <w:bookmarkStart w:id="252" w:name="_Hlk107868777"/>
      <w:r>
        <w:t>An APRA-regulated entity must publish the disclosures required under this Prudential Standard in a standalone document on its website or</w:t>
      </w:r>
      <w:r w:rsidR="00321707">
        <w:t>, provided the information is clearly identified as disclosures made for the purpose of complying with the requirements of this Prudential Standard,</w:t>
      </w:r>
      <w:r>
        <w:t xml:space="preserve"> as part of other disclosures made by the entity that are available on its website.</w:t>
      </w:r>
      <w:r w:rsidR="00252C4F">
        <w:t xml:space="preserve"> </w:t>
      </w:r>
      <w:bookmarkEnd w:id="252"/>
      <w:r>
        <w:t>Tables 2, 3 and 4</w:t>
      </w:r>
      <w:r w:rsidR="00815527">
        <w:t>,</w:t>
      </w:r>
      <w:r>
        <w:t xml:space="preserve"> must be </w:t>
      </w:r>
      <w:r w:rsidR="00AF3C71">
        <w:t>disclosed</w:t>
      </w:r>
      <w:r>
        <w:t xml:space="preserve"> in a machine-readable format to facilitate the use of the data, such as in the form of a </w:t>
      </w:r>
      <w:r w:rsidR="00F85DB9">
        <w:t>c</w:t>
      </w:r>
      <w:r>
        <w:t>omma-separated values (CSV) file.</w:t>
      </w:r>
    </w:p>
    <w:p w14:paraId="6F8815F7" w14:textId="2A6D4AD1" w:rsidR="007C3E0D" w:rsidRDefault="001000B1" w:rsidP="007C3E0D">
      <w:pPr>
        <w:pStyle w:val="BodyText1"/>
      </w:pPr>
      <w:bookmarkStart w:id="253" w:name="_Hlk129946838"/>
      <w:bookmarkStart w:id="254" w:name="_Hlk107511350"/>
      <w:r>
        <w:t>An APRA-regulated entity must make d</w:t>
      </w:r>
      <w:r w:rsidR="007C3E0D">
        <w:t>isclosures on a financial year basis</w:t>
      </w:r>
      <w:r w:rsidR="002D6409">
        <w:t xml:space="preserve"> for each</w:t>
      </w:r>
      <w:r w:rsidR="001C342A">
        <w:t xml:space="preserve"> full financial year of the APRA-regulated entity</w:t>
      </w:r>
      <w:r>
        <w:t>.</w:t>
      </w:r>
      <w:r w:rsidR="00065511">
        <w:t xml:space="preserve"> </w:t>
      </w:r>
      <w:r w:rsidR="00096688" w:rsidRPr="00424575">
        <w:t>For the purposes of d</w:t>
      </w:r>
      <w:r w:rsidR="00AD7919" w:rsidRPr="00424575">
        <w:t>isclosures</w:t>
      </w:r>
      <w:r w:rsidR="00096688" w:rsidRPr="00424575">
        <w:t xml:space="preserve">, relevant employees must be counted on </w:t>
      </w:r>
      <w:r w:rsidR="00AD7919" w:rsidRPr="00424575">
        <w:t>a full-time equivalent basis</w:t>
      </w:r>
      <w:r w:rsidR="00424575">
        <w:t>.</w:t>
      </w:r>
      <w:bookmarkEnd w:id="253"/>
    </w:p>
    <w:p w14:paraId="56FE5A2D" w14:textId="23703344" w:rsidR="00B25A72" w:rsidRDefault="00204D4D" w:rsidP="007C3E0D">
      <w:pPr>
        <w:pStyle w:val="BodyText1"/>
      </w:pPr>
      <w:bookmarkStart w:id="255" w:name="_Hlk107869508"/>
      <w:bookmarkStart w:id="256" w:name="_Ref129086257"/>
      <w:bookmarkEnd w:id="254"/>
      <w:r>
        <w:t xml:space="preserve">An APRA-regulated entity must </w:t>
      </w:r>
      <w:r w:rsidR="00DD0886">
        <w:t>make</w:t>
      </w:r>
      <w:r w:rsidR="00231D2B">
        <w:t xml:space="preserve"> </w:t>
      </w:r>
      <w:r w:rsidR="00DD0886">
        <w:t>the d</w:t>
      </w:r>
      <w:r w:rsidR="007C3E0D" w:rsidRPr="00096688">
        <w:t xml:space="preserve">isclosures </w:t>
      </w:r>
      <w:r w:rsidR="00DD0886">
        <w:t xml:space="preserve">under this </w:t>
      </w:r>
      <w:r w:rsidR="00672B9E">
        <w:t>Prudential Standard</w:t>
      </w:r>
      <w:r w:rsidR="006D06C9">
        <w:t xml:space="preserve"> </w:t>
      </w:r>
      <w:r w:rsidR="00FF27E6">
        <w:t>as</w:t>
      </w:r>
      <w:r w:rsidR="004F0542">
        <w:t xml:space="preserve"> soon as possible after </w:t>
      </w:r>
      <w:r w:rsidR="00672B9E">
        <w:t>it</w:t>
      </w:r>
      <w:r w:rsidR="004F0542">
        <w:t xml:space="preserve"> lodges its annual financial statements</w:t>
      </w:r>
      <w:r w:rsidR="007C3E0D" w:rsidRPr="0009770E">
        <w:t xml:space="preserve"> </w:t>
      </w:r>
      <w:r w:rsidR="008F5506">
        <w:t xml:space="preserve">with </w:t>
      </w:r>
      <w:r w:rsidR="00664CD1">
        <w:t>the Australian Securities and Investments Commissions (</w:t>
      </w:r>
      <w:r w:rsidR="008F5506">
        <w:t>ASIC</w:t>
      </w:r>
      <w:r w:rsidR="00664CD1">
        <w:t>)</w:t>
      </w:r>
      <w:r w:rsidR="00DF32F6">
        <w:t xml:space="preserve">, </w:t>
      </w:r>
      <w:r w:rsidR="004F0542">
        <w:t xml:space="preserve">and not more than six months </w:t>
      </w:r>
      <w:r w:rsidR="007C3E0D" w:rsidRPr="00FF27E6">
        <w:t>after</w:t>
      </w:r>
      <w:r w:rsidR="007C3E0D" w:rsidRPr="00A62AA9">
        <w:t xml:space="preserve"> the end of </w:t>
      </w:r>
      <w:r w:rsidR="004F0542">
        <w:t>the</w:t>
      </w:r>
      <w:r w:rsidR="00F04B57">
        <w:t xml:space="preserve"> </w:t>
      </w:r>
      <w:r w:rsidR="007C3E0D" w:rsidRPr="00A62AA9">
        <w:t>financial year</w:t>
      </w:r>
      <w:r w:rsidR="004F0542">
        <w:t xml:space="preserve"> to which the disclosure</w:t>
      </w:r>
      <w:r w:rsidR="00D3161D">
        <w:t>s</w:t>
      </w:r>
      <w:r w:rsidR="004F0542">
        <w:t xml:space="preserve"> relate</w:t>
      </w:r>
      <w:bookmarkEnd w:id="255"/>
      <w:r w:rsidR="007C3E0D" w:rsidRPr="00096688">
        <w:t>.</w:t>
      </w:r>
      <w:bookmarkEnd w:id="256"/>
      <w:r w:rsidR="00CB06AE">
        <w:t xml:space="preserve"> </w:t>
      </w:r>
      <w:r w:rsidR="00DF32F6">
        <w:t xml:space="preserve">If an entity is not required to lodge financial statements with ASIC, it must </w:t>
      </w:r>
      <w:r w:rsidR="00053992">
        <w:t>make</w:t>
      </w:r>
      <w:r w:rsidR="002D5FCF">
        <w:t xml:space="preserve"> </w:t>
      </w:r>
      <w:r w:rsidR="00D55A56">
        <w:t xml:space="preserve">the </w:t>
      </w:r>
      <w:r w:rsidR="00186636">
        <w:t>required disclosures</w:t>
      </w:r>
      <w:r w:rsidR="00BF77E5">
        <w:t xml:space="preserve"> not more than six months after the end of the financial year to which the disclosures relate</w:t>
      </w:r>
      <w:r w:rsidR="00186636">
        <w:t>.</w:t>
      </w:r>
    </w:p>
    <w:p w14:paraId="6B6D3905" w14:textId="541B3990" w:rsidR="00C91F17" w:rsidRDefault="007F75F6" w:rsidP="003322B5">
      <w:pPr>
        <w:pStyle w:val="BodyText1"/>
      </w:pPr>
      <w:r>
        <w:t>For the purposes of disclosing Tables 2, 3 and 4</w:t>
      </w:r>
      <w:r w:rsidR="00C91F17">
        <w:t>:</w:t>
      </w:r>
    </w:p>
    <w:p w14:paraId="19A93EB8" w14:textId="3110431E" w:rsidR="007C3E0D" w:rsidRDefault="0017024E" w:rsidP="00482025">
      <w:pPr>
        <w:pStyle w:val="BodyText2"/>
      </w:pPr>
      <w:bookmarkStart w:id="257" w:name="_Hlk107485653"/>
      <w:r w:rsidRPr="00A62AA9">
        <w:lastRenderedPageBreak/>
        <w:t>where a person in a specified role is a material risk-taker</w:t>
      </w:r>
      <w:r w:rsidR="007C593A" w:rsidRPr="00A62AA9">
        <w:t xml:space="preserve"> </w:t>
      </w:r>
      <w:r w:rsidR="00185CD7">
        <w:t xml:space="preserve">and </w:t>
      </w:r>
      <w:r w:rsidR="00433707">
        <w:t xml:space="preserve">a </w:t>
      </w:r>
      <w:r w:rsidR="007C593A" w:rsidRPr="00A62AA9">
        <w:t>senior manager or executive director</w:t>
      </w:r>
      <w:r w:rsidRPr="00A62AA9">
        <w:t>, they must be disclosed as part of the senior manager cohort;</w:t>
      </w:r>
      <w:r w:rsidR="00E71BDA" w:rsidDel="00E71BDA">
        <w:rPr>
          <w:rStyle w:val="FootnoteReference"/>
        </w:rPr>
        <w:t xml:space="preserve"> </w:t>
      </w:r>
      <w:bookmarkStart w:id="258" w:name="_Hlk107486538"/>
      <w:bookmarkEnd w:id="257"/>
    </w:p>
    <w:bookmarkEnd w:id="258"/>
    <w:p w14:paraId="25CCB50C" w14:textId="57EB92D1" w:rsidR="00D56541" w:rsidRDefault="007C3E0D" w:rsidP="00802E43">
      <w:pPr>
        <w:pStyle w:val="BodyText2"/>
        <w:jc w:val="both"/>
      </w:pPr>
      <w:r>
        <w:t>where a particular cohort of specified roles</w:t>
      </w:r>
      <w:r w:rsidR="006763FB">
        <w:t xml:space="preserve">, with the exception of the CEO, </w:t>
      </w:r>
      <w:r w:rsidR="00E23525">
        <w:t>comprises</w:t>
      </w:r>
      <w:r>
        <w:t xml:space="preserve"> less than five individuals, an APRA-regulated entity </w:t>
      </w:r>
      <w:r w:rsidR="00136641">
        <w:t>is not required to</w:t>
      </w:r>
      <w:r>
        <w:t xml:space="preserve"> disclose information for that particular cohort.</w:t>
      </w:r>
    </w:p>
    <w:p w14:paraId="0647B451" w14:textId="3F6CB5AF" w:rsidR="00A95B90" w:rsidRDefault="00A95B90" w:rsidP="007733CD">
      <w:pPr>
        <w:pStyle w:val="Heading3"/>
      </w:pPr>
      <w:bookmarkStart w:id="259" w:name="_Toc102482629"/>
      <w:r>
        <w:t xml:space="preserve">Remuneration </w:t>
      </w:r>
      <w:r w:rsidR="006763FB">
        <w:t>framework</w:t>
      </w:r>
      <w:bookmarkEnd w:id="259"/>
    </w:p>
    <w:p w14:paraId="0C15E142" w14:textId="77958816" w:rsidR="00BB382E" w:rsidRDefault="00BB382E" w:rsidP="00233B34">
      <w:pPr>
        <w:pStyle w:val="BodyText1"/>
      </w:pPr>
      <w:r>
        <w:t>An APRA-regulated entity must disclose information on its remuneration framework as set out in Table 1.</w:t>
      </w:r>
    </w:p>
    <w:p w14:paraId="1A31F587" w14:textId="1BB1BD4D" w:rsidR="00A95B90" w:rsidRDefault="00A95B90" w:rsidP="00802E43">
      <w:pPr>
        <w:pStyle w:val="TableHeadNumber"/>
        <w:ind w:left="357" w:hanging="357"/>
        <w:jc w:val="both"/>
      </w:pPr>
      <w:r w:rsidRPr="00A95B90">
        <w:t>Table 1</w:t>
      </w:r>
      <w:r w:rsidRPr="00A95B90">
        <w:tab/>
        <w:t>Remuneration framework</w:t>
      </w:r>
    </w:p>
    <w:tbl>
      <w:tblPr>
        <w:tblStyle w:val="TableGrid"/>
        <w:tblW w:w="0" w:type="auto"/>
        <w:tblLayout w:type="fixed"/>
        <w:tblCellMar>
          <w:left w:w="57" w:type="dxa"/>
          <w:right w:w="57" w:type="dxa"/>
        </w:tblCellMar>
        <w:tblLook w:val="04A0" w:firstRow="1" w:lastRow="0" w:firstColumn="1" w:lastColumn="0" w:noHBand="0" w:noVBand="1"/>
      </w:tblPr>
      <w:tblGrid>
        <w:gridCol w:w="561"/>
        <w:gridCol w:w="7741"/>
      </w:tblGrid>
      <w:tr w:rsidR="00A95B90" w14:paraId="501C9F1E" w14:textId="77777777" w:rsidTr="00802E43">
        <w:tc>
          <w:tcPr>
            <w:tcW w:w="561" w:type="dxa"/>
          </w:tcPr>
          <w:p w14:paraId="1AE5BCDE" w14:textId="67A07CCA" w:rsidR="00A95B90" w:rsidRDefault="00A95B90" w:rsidP="00802E43">
            <w:pPr>
              <w:pStyle w:val="Table"/>
              <w:jc w:val="both"/>
            </w:pPr>
          </w:p>
        </w:tc>
        <w:tc>
          <w:tcPr>
            <w:tcW w:w="7741" w:type="dxa"/>
          </w:tcPr>
          <w:p w14:paraId="7A8B6131" w14:textId="188CBE69" w:rsidR="00A95B90" w:rsidRPr="009A6373" w:rsidRDefault="00A95B90" w:rsidP="00802E43">
            <w:pPr>
              <w:pStyle w:val="Table"/>
              <w:rPr>
                <w:b/>
              </w:rPr>
            </w:pPr>
            <w:r w:rsidRPr="009A6373">
              <w:rPr>
                <w:b/>
              </w:rPr>
              <w:t>Governance</w:t>
            </w:r>
            <w:r w:rsidR="006763FB">
              <w:rPr>
                <w:b/>
              </w:rPr>
              <w:t xml:space="preserve"> of the remuneration framework</w:t>
            </w:r>
          </w:p>
        </w:tc>
      </w:tr>
      <w:tr w:rsidR="00A95B90" w14:paraId="30C30BED" w14:textId="77777777" w:rsidTr="00802E43">
        <w:tc>
          <w:tcPr>
            <w:tcW w:w="561" w:type="dxa"/>
          </w:tcPr>
          <w:p w14:paraId="751127B9" w14:textId="77777777" w:rsidR="00A95B90" w:rsidRDefault="00A95B90" w:rsidP="00802E43">
            <w:pPr>
              <w:pStyle w:val="Table"/>
              <w:jc w:val="both"/>
            </w:pPr>
            <w:r>
              <w:t>1</w:t>
            </w:r>
          </w:p>
        </w:tc>
        <w:tc>
          <w:tcPr>
            <w:tcW w:w="7741" w:type="dxa"/>
          </w:tcPr>
          <w:p w14:paraId="2E2DDEA4" w14:textId="77777777" w:rsidR="00A95B90" w:rsidRPr="009A6373" w:rsidRDefault="00A95B90" w:rsidP="00802E43">
            <w:pPr>
              <w:pStyle w:val="Table"/>
            </w:pPr>
            <w:r w:rsidRPr="009A6373">
              <w:t>Name, composition and mandate of the main bodies overseeing remuneration.</w:t>
            </w:r>
          </w:p>
        </w:tc>
      </w:tr>
      <w:tr w:rsidR="00A95B90" w14:paraId="6C89E069" w14:textId="77777777" w:rsidTr="00802E43">
        <w:tc>
          <w:tcPr>
            <w:tcW w:w="561" w:type="dxa"/>
          </w:tcPr>
          <w:p w14:paraId="45AD4E7A" w14:textId="77777777" w:rsidR="00A95B90" w:rsidRDefault="00A95B90" w:rsidP="00802E43">
            <w:pPr>
              <w:pStyle w:val="Table"/>
              <w:jc w:val="both"/>
            </w:pPr>
            <w:r>
              <w:t>2</w:t>
            </w:r>
          </w:p>
        </w:tc>
        <w:tc>
          <w:tcPr>
            <w:tcW w:w="7741" w:type="dxa"/>
          </w:tcPr>
          <w:p w14:paraId="24A86DD2" w14:textId="457624FF" w:rsidR="00A95B90" w:rsidRPr="009A6373" w:rsidRDefault="00A95B90" w:rsidP="00802E43">
            <w:pPr>
              <w:pStyle w:val="Table"/>
            </w:pPr>
            <w:r w:rsidRPr="00BE2A60">
              <w:t xml:space="preserve">Number of meetings held by the main </w:t>
            </w:r>
            <w:r w:rsidR="006763FB">
              <w:t>bodies</w:t>
            </w:r>
            <w:r w:rsidRPr="00BE2A60">
              <w:t xml:space="preserve"> overseeing remuneration during the financial year.</w:t>
            </w:r>
          </w:p>
        </w:tc>
      </w:tr>
      <w:tr w:rsidR="00A95B90" w14:paraId="3525AE1F" w14:textId="77777777" w:rsidTr="00802E43">
        <w:tc>
          <w:tcPr>
            <w:tcW w:w="561" w:type="dxa"/>
          </w:tcPr>
          <w:p w14:paraId="00731528" w14:textId="77777777" w:rsidR="00A95B90" w:rsidRDefault="00A95B90" w:rsidP="00802E43">
            <w:pPr>
              <w:pStyle w:val="Table"/>
              <w:jc w:val="both"/>
            </w:pPr>
            <w:r>
              <w:t>3</w:t>
            </w:r>
          </w:p>
        </w:tc>
        <w:tc>
          <w:tcPr>
            <w:tcW w:w="7741" w:type="dxa"/>
          </w:tcPr>
          <w:p w14:paraId="59FF607E" w14:textId="7562A5D7" w:rsidR="00A95B90" w:rsidRPr="009A6373" w:rsidRDefault="00873F66" w:rsidP="00802E43">
            <w:pPr>
              <w:pStyle w:val="Table"/>
            </w:pPr>
            <w:r w:rsidRPr="00873F66">
              <w:t xml:space="preserve">An overview of reviews </w:t>
            </w:r>
            <w:r w:rsidR="007416A2" w:rsidRPr="00873F66">
              <w:t xml:space="preserve">of the remuneration framework </w:t>
            </w:r>
            <w:r w:rsidRPr="00873F66">
              <w:t>performed during the financial year,</w:t>
            </w:r>
            <w:r>
              <w:t xml:space="preserve"> </w:t>
            </w:r>
            <w:r w:rsidR="00A95B90" w:rsidRPr="009A6373">
              <w:t xml:space="preserve">including any consequential changes, the reasons for those changes and the </w:t>
            </w:r>
            <w:r w:rsidR="006B2987">
              <w:t xml:space="preserve">intended </w:t>
            </w:r>
            <w:r w:rsidR="00A95B90" w:rsidRPr="009A6373">
              <w:t>impact on remuneration</w:t>
            </w:r>
            <w:r w:rsidR="00A95B90">
              <w:t xml:space="preserve"> outcomes</w:t>
            </w:r>
            <w:r w:rsidR="00A95B90" w:rsidRPr="009A6373">
              <w:t>.</w:t>
            </w:r>
            <w:r w:rsidR="007416A2" w:rsidRPr="00873F66">
              <w:t xml:space="preserve"> </w:t>
            </w:r>
          </w:p>
        </w:tc>
      </w:tr>
      <w:tr w:rsidR="00A95B90" w14:paraId="76999905" w14:textId="77777777" w:rsidTr="00802E43">
        <w:tc>
          <w:tcPr>
            <w:tcW w:w="561" w:type="dxa"/>
          </w:tcPr>
          <w:p w14:paraId="0195B33B" w14:textId="74BCC67E" w:rsidR="00A95B90" w:rsidRDefault="0050460C" w:rsidP="00802E43">
            <w:pPr>
              <w:pStyle w:val="Table"/>
              <w:jc w:val="both"/>
            </w:pPr>
            <w:r>
              <w:t>4</w:t>
            </w:r>
          </w:p>
        </w:tc>
        <w:tc>
          <w:tcPr>
            <w:tcW w:w="7741" w:type="dxa"/>
          </w:tcPr>
          <w:p w14:paraId="2876371B" w14:textId="77777777" w:rsidR="002E0775" w:rsidRDefault="00A95B90" w:rsidP="00802E43">
            <w:pPr>
              <w:pStyle w:val="Table"/>
            </w:pPr>
            <w:r w:rsidRPr="009A6373">
              <w:t xml:space="preserve">A description </w:t>
            </w:r>
            <w:r w:rsidR="002807FE">
              <w:t xml:space="preserve">of </w:t>
            </w:r>
            <w:r w:rsidR="002807FE" w:rsidRPr="009A6373">
              <w:t>how the Board</w:t>
            </w:r>
            <w:r w:rsidR="002E0775">
              <w:t>:</w:t>
            </w:r>
          </w:p>
          <w:p w14:paraId="216D8DC8" w14:textId="20ABC86E" w:rsidR="00986B79" w:rsidRDefault="006167E4" w:rsidP="00FE38EF">
            <w:pPr>
              <w:pStyle w:val="BodyText2"/>
              <w:numPr>
                <w:ilvl w:val="0"/>
                <w:numId w:val="29"/>
              </w:numPr>
              <w:spacing w:after="60"/>
              <w:ind w:left="714" w:hanging="357"/>
            </w:pPr>
            <w:r>
              <w:t>overs</w:t>
            </w:r>
            <w:r w:rsidR="00E23525">
              <w:t>ee</w:t>
            </w:r>
            <w:r>
              <w:t xml:space="preserve">s </w:t>
            </w:r>
            <w:r w:rsidR="00A95B90">
              <w:t>remuneration</w:t>
            </w:r>
            <w:r w:rsidR="00A95B90" w:rsidRPr="0043122A">
              <w:t xml:space="preserve"> policies</w:t>
            </w:r>
            <w:r w:rsidR="00983229">
              <w:t>;</w:t>
            </w:r>
          </w:p>
          <w:p w14:paraId="478751AE" w14:textId="3D78D8E7" w:rsidR="00A0702D" w:rsidRDefault="00986B79" w:rsidP="00D12010">
            <w:pPr>
              <w:pStyle w:val="BodyText3"/>
              <w:numPr>
                <w:ilvl w:val="0"/>
                <w:numId w:val="29"/>
              </w:numPr>
              <w:spacing w:after="0"/>
              <w:ind w:left="714" w:hanging="357"/>
            </w:pPr>
            <w:r>
              <w:t xml:space="preserve">oversees </w:t>
            </w:r>
            <w:r w:rsidR="006167E4">
              <w:t xml:space="preserve">the input </w:t>
            </w:r>
            <w:r w:rsidR="00A95B90" w:rsidRPr="009A6373">
              <w:t>provided by</w:t>
            </w:r>
            <w:r w:rsidR="00A0702D">
              <w:t>:</w:t>
            </w:r>
          </w:p>
          <w:p w14:paraId="47A21382" w14:textId="3BCEB5DB" w:rsidR="00A0702D" w:rsidRPr="0034673A" w:rsidRDefault="00132C73" w:rsidP="00132C73">
            <w:pPr>
              <w:pStyle w:val="BULLET1"/>
              <w:numPr>
                <w:ilvl w:val="0"/>
                <w:numId w:val="0"/>
              </w:numPr>
              <w:spacing w:after="0"/>
              <w:ind w:left="714"/>
              <w:rPr>
                <w:rFonts w:asciiTheme="minorHAnsi" w:hAnsiTheme="minorHAnsi" w:cstheme="minorHAnsi"/>
              </w:rPr>
            </w:pPr>
            <w:r>
              <w:rPr>
                <w:rFonts w:asciiTheme="minorHAnsi" w:hAnsiTheme="minorHAnsi" w:cstheme="minorHAnsi"/>
                <w:sz w:val="24"/>
                <w:szCs w:val="24"/>
              </w:rPr>
              <w:t xml:space="preserve">- </w:t>
            </w:r>
            <w:r w:rsidR="00A95B90" w:rsidRPr="0034673A">
              <w:rPr>
                <w:rFonts w:asciiTheme="minorHAnsi" w:hAnsiTheme="minorHAnsi" w:cstheme="minorHAnsi"/>
                <w:sz w:val="24"/>
                <w:szCs w:val="24"/>
              </w:rPr>
              <w:t>the Board Risk Committee</w:t>
            </w:r>
            <w:r w:rsidR="00A0702D" w:rsidRPr="0034673A">
              <w:rPr>
                <w:rFonts w:asciiTheme="minorHAnsi" w:hAnsiTheme="minorHAnsi" w:cstheme="minorHAnsi"/>
                <w:sz w:val="24"/>
                <w:szCs w:val="24"/>
              </w:rPr>
              <w:t xml:space="preserve"> or</w:t>
            </w:r>
            <w:r w:rsidR="00A95B90" w:rsidRPr="0034673A">
              <w:rPr>
                <w:rFonts w:asciiTheme="minorHAnsi" w:hAnsiTheme="minorHAnsi" w:cstheme="minorHAnsi"/>
                <w:sz w:val="24"/>
                <w:szCs w:val="24"/>
              </w:rPr>
              <w:t xml:space="preserve"> other Board committees</w:t>
            </w:r>
            <w:r w:rsidR="00A0702D" w:rsidRPr="0034673A">
              <w:rPr>
                <w:rFonts w:asciiTheme="minorHAnsi" w:hAnsiTheme="minorHAnsi" w:cstheme="minorHAnsi"/>
                <w:sz w:val="24"/>
                <w:szCs w:val="24"/>
              </w:rPr>
              <w:t>;</w:t>
            </w:r>
            <w:r w:rsidR="002807FE" w:rsidRPr="0034673A">
              <w:rPr>
                <w:rFonts w:asciiTheme="minorHAnsi" w:hAnsiTheme="minorHAnsi" w:cstheme="minorHAnsi"/>
                <w:sz w:val="24"/>
                <w:szCs w:val="24"/>
              </w:rPr>
              <w:t xml:space="preserve"> and</w:t>
            </w:r>
          </w:p>
          <w:p w14:paraId="3E6ACEBE" w14:textId="1ECE845F" w:rsidR="00A95B90" w:rsidRDefault="00132C73" w:rsidP="00132C73">
            <w:pPr>
              <w:pStyle w:val="BULLET1"/>
              <w:numPr>
                <w:ilvl w:val="0"/>
                <w:numId w:val="0"/>
              </w:numPr>
              <w:spacing w:after="0"/>
              <w:ind w:left="714"/>
              <w:rPr>
                <w:rFonts w:asciiTheme="minorHAnsi" w:hAnsiTheme="minorHAnsi" w:cstheme="minorHAnsi"/>
                <w:sz w:val="24"/>
                <w:szCs w:val="24"/>
              </w:rPr>
            </w:pPr>
            <w:r>
              <w:rPr>
                <w:rFonts w:asciiTheme="minorHAnsi" w:hAnsiTheme="minorHAnsi" w:cstheme="minorHAnsi"/>
                <w:sz w:val="24"/>
                <w:szCs w:val="24"/>
              </w:rPr>
              <w:t xml:space="preserve">- </w:t>
            </w:r>
            <w:r w:rsidR="00A95B90" w:rsidRPr="0034673A">
              <w:rPr>
                <w:rFonts w:asciiTheme="minorHAnsi" w:hAnsiTheme="minorHAnsi" w:cstheme="minorHAnsi"/>
                <w:sz w:val="24"/>
                <w:szCs w:val="24"/>
              </w:rPr>
              <w:t xml:space="preserve">the risk function, </w:t>
            </w:r>
            <w:r w:rsidR="00A0702D" w:rsidRPr="0034673A">
              <w:rPr>
                <w:rFonts w:asciiTheme="minorHAnsi" w:hAnsiTheme="minorHAnsi" w:cstheme="minorHAnsi"/>
                <w:sz w:val="24"/>
                <w:szCs w:val="24"/>
              </w:rPr>
              <w:t>including the Chief Risk Officer</w:t>
            </w:r>
            <w:r w:rsidR="00986B79" w:rsidRPr="0034673A">
              <w:rPr>
                <w:rFonts w:asciiTheme="minorHAnsi" w:hAnsiTheme="minorHAnsi" w:cstheme="minorHAnsi"/>
                <w:sz w:val="24"/>
                <w:szCs w:val="24"/>
              </w:rPr>
              <w:t>;</w:t>
            </w:r>
            <w:r w:rsidR="00F8544F">
              <w:rPr>
                <w:rFonts w:asciiTheme="minorHAnsi" w:hAnsiTheme="minorHAnsi" w:cstheme="minorHAnsi"/>
                <w:sz w:val="24"/>
                <w:szCs w:val="24"/>
              </w:rPr>
              <w:t xml:space="preserve"> and</w:t>
            </w:r>
          </w:p>
          <w:p w14:paraId="67099B59" w14:textId="03387ECA" w:rsidR="00986B79" w:rsidRPr="009A6373" w:rsidRDefault="00986B79" w:rsidP="00D662CD">
            <w:pPr>
              <w:pStyle w:val="BodyText3"/>
              <w:numPr>
                <w:ilvl w:val="0"/>
                <w:numId w:val="29"/>
              </w:numPr>
              <w:spacing w:after="0"/>
              <w:ind w:left="714" w:hanging="357"/>
            </w:pPr>
            <w:r>
              <w:t>exercises its discretion in determining remuneration outcomes</w:t>
            </w:r>
            <w:r w:rsidR="00EE2FA5">
              <w:t>, including remuneration outcomes for variable remuneration awarded in prior financial years</w:t>
            </w:r>
            <w:r>
              <w:t>.</w:t>
            </w:r>
          </w:p>
        </w:tc>
      </w:tr>
      <w:tr w:rsidR="00A95B90" w14:paraId="4DB876C3" w14:textId="77777777" w:rsidTr="00802E43">
        <w:tc>
          <w:tcPr>
            <w:tcW w:w="561" w:type="dxa"/>
          </w:tcPr>
          <w:p w14:paraId="7D904B80" w14:textId="541EFFAC" w:rsidR="00A95B90" w:rsidRDefault="0050460C" w:rsidP="00802E43">
            <w:pPr>
              <w:pStyle w:val="Table"/>
              <w:jc w:val="both"/>
            </w:pPr>
            <w:r>
              <w:t>5</w:t>
            </w:r>
          </w:p>
        </w:tc>
        <w:tc>
          <w:tcPr>
            <w:tcW w:w="7741" w:type="dxa"/>
          </w:tcPr>
          <w:p w14:paraId="23AD62EA" w14:textId="6AB7381A" w:rsidR="00A95B90" w:rsidRPr="009A6373" w:rsidRDefault="002807FE" w:rsidP="00802E43">
            <w:pPr>
              <w:pStyle w:val="Table"/>
            </w:pPr>
            <w:r>
              <w:t>A description of e</w:t>
            </w:r>
            <w:r w:rsidR="00A95B90" w:rsidRPr="00A35A1A">
              <w:t>xternal consultants whose advice has been sought</w:t>
            </w:r>
            <w:r>
              <w:t xml:space="preserve"> on remuneration</w:t>
            </w:r>
            <w:r w:rsidR="00A95B90" w:rsidRPr="00A35A1A">
              <w:t xml:space="preserve">, the body by which they were commissioned and in what areas of the remuneration </w:t>
            </w:r>
            <w:r w:rsidR="000D2AB2">
              <w:t>framework</w:t>
            </w:r>
            <w:r w:rsidR="00A95B90">
              <w:t>.</w:t>
            </w:r>
          </w:p>
        </w:tc>
      </w:tr>
      <w:tr w:rsidR="00A95B90" w14:paraId="416175B8" w14:textId="77777777" w:rsidTr="00802E43">
        <w:tc>
          <w:tcPr>
            <w:tcW w:w="561" w:type="dxa"/>
          </w:tcPr>
          <w:p w14:paraId="38B0E2D1" w14:textId="77777777" w:rsidR="00A95B90" w:rsidRDefault="00A95B90" w:rsidP="00802E43">
            <w:pPr>
              <w:pStyle w:val="Table"/>
              <w:keepNext/>
              <w:jc w:val="both"/>
            </w:pPr>
          </w:p>
        </w:tc>
        <w:tc>
          <w:tcPr>
            <w:tcW w:w="7741" w:type="dxa"/>
          </w:tcPr>
          <w:p w14:paraId="74FA4CCE" w14:textId="56A80DF6" w:rsidR="00A95B90" w:rsidRPr="00F32F01" w:rsidRDefault="00316ACD" w:rsidP="00802E43">
            <w:pPr>
              <w:pStyle w:val="Table"/>
              <w:keepNext/>
              <w:rPr>
                <w:b/>
              </w:rPr>
            </w:pPr>
            <w:r>
              <w:rPr>
                <w:b/>
              </w:rPr>
              <w:t>R</w:t>
            </w:r>
            <w:r w:rsidR="00A0702D">
              <w:rPr>
                <w:b/>
              </w:rPr>
              <w:t xml:space="preserve">emuneration </w:t>
            </w:r>
            <w:r>
              <w:rPr>
                <w:b/>
              </w:rPr>
              <w:t>F</w:t>
            </w:r>
            <w:r w:rsidR="00A0702D">
              <w:rPr>
                <w:b/>
              </w:rPr>
              <w:t>ramework</w:t>
            </w:r>
          </w:p>
        </w:tc>
      </w:tr>
      <w:tr w:rsidR="00A95B90" w14:paraId="3C483466" w14:textId="772BAE98" w:rsidTr="00802E43">
        <w:tc>
          <w:tcPr>
            <w:tcW w:w="561" w:type="dxa"/>
          </w:tcPr>
          <w:p w14:paraId="52EDE97C" w14:textId="11F01A96" w:rsidR="00A95B90" w:rsidRDefault="0050460C" w:rsidP="00802E43">
            <w:pPr>
              <w:pStyle w:val="Table"/>
              <w:jc w:val="both"/>
            </w:pPr>
            <w:r>
              <w:t>6</w:t>
            </w:r>
          </w:p>
        </w:tc>
        <w:tc>
          <w:tcPr>
            <w:tcW w:w="7741" w:type="dxa"/>
          </w:tcPr>
          <w:p w14:paraId="17F4B922" w14:textId="22EBC0B1" w:rsidR="006D7D2E" w:rsidRDefault="00A95B90" w:rsidP="00802E43">
            <w:pPr>
              <w:pStyle w:val="Table"/>
            </w:pPr>
            <w:r>
              <w:t>An overview of the key features and objectives of the remuneration framework, including</w:t>
            </w:r>
            <w:r w:rsidR="007958DA">
              <w:t xml:space="preserve"> how it</w:t>
            </w:r>
            <w:r w:rsidR="006D7D2E">
              <w:t>:</w:t>
            </w:r>
          </w:p>
          <w:p w14:paraId="73746168" w14:textId="59C9C02B" w:rsidR="00A95B90" w:rsidRDefault="00A95B90" w:rsidP="00FE38EF">
            <w:pPr>
              <w:pStyle w:val="Table"/>
              <w:numPr>
                <w:ilvl w:val="0"/>
                <w:numId w:val="19"/>
              </w:numPr>
              <w:ind w:left="624" w:hanging="255"/>
            </w:pPr>
            <w:r>
              <w:t>aligns to the APRA-regulated entity’s business plan, strategic objectives and risk management framework</w:t>
            </w:r>
            <w:r w:rsidR="006D7D2E">
              <w:t>;</w:t>
            </w:r>
          </w:p>
          <w:p w14:paraId="3FF23760" w14:textId="00311922" w:rsidR="006D7D2E" w:rsidRDefault="006D7D2E" w:rsidP="00AA14A9">
            <w:pPr>
              <w:pStyle w:val="Table"/>
              <w:numPr>
                <w:ilvl w:val="0"/>
                <w:numId w:val="19"/>
              </w:numPr>
              <w:ind w:left="624" w:hanging="255"/>
            </w:pPr>
            <w:r>
              <w:t>promotes effective management of both financial and non-financial risks, sustainable performance and long-term soundness;</w:t>
            </w:r>
          </w:p>
          <w:p w14:paraId="4A433BAF" w14:textId="70EB8D5D" w:rsidR="006D7D2E" w:rsidRDefault="006D7D2E" w:rsidP="00AA14A9">
            <w:pPr>
              <w:pStyle w:val="Table"/>
              <w:numPr>
                <w:ilvl w:val="0"/>
                <w:numId w:val="19"/>
              </w:numPr>
              <w:ind w:left="624" w:hanging="255"/>
            </w:pPr>
            <w:r>
              <w:t>supports the prevention and mitigation of conduct risk; and</w:t>
            </w:r>
          </w:p>
          <w:p w14:paraId="0C232B7E" w14:textId="55A323EB" w:rsidR="006D7D2E" w:rsidRDefault="006D7D2E" w:rsidP="00AA14A9">
            <w:pPr>
              <w:pStyle w:val="Table"/>
              <w:numPr>
                <w:ilvl w:val="0"/>
                <w:numId w:val="19"/>
              </w:numPr>
              <w:ind w:left="624" w:hanging="255"/>
            </w:pPr>
            <w:r>
              <w:t xml:space="preserve">for an RSE licensee, </w:t>
            </w:r>
            <w:r w:rsidR="007958DA">
              <w:t xml:space="preserve">promotes </w:t>
            </w:r>
            <w:r w:rsidR="00BA171F">
              <w:t xml:space="preserve">the RSE licensee </w:t>
            </w:r>
            <w:r>
              <w:t xml:space="preserve">performing </w:t>
            </w:r>
            <w:r w:rsidR="00BA171F">
              <w:t xml:space="preserve">its </w:t>
            </w:r>
            <w:r>
              <w:t xml:space="preserve">duties and exercising powers in the best financial interests of beneficiaries. </w:t>
            </w:r>
          </w:p>
        </w:tc>
      </w:tr>
      <w:tr w:rsidR="00A95B90" w14:paraId="72DD70E0" w14:textId="77777777" w:rsidTr="00802E43">
        <w:tc>
          <w:tcPr>
            <w:tcW w:w="561" w:type="dxa"/>
          </w:tcPr>
          <w:p w14:paraId="0A1B9081" w14:textId="43389780" w:rsidR="00A95B90" w:rsidRDefault="00B33B9B" w:rsidP="00802E43">
            <w:pPr>
              <w:pStyle w:val="Table"/>
              <w:jc w:val="both"/>
            </w:pPr>
            <w:r>
              <w:t>7</w:t>
            </w:r>
          </w:p>
        </w:tc>
        <w:tc>
          <w:tcPr>
            <w:tcW w:w="7741" w:type="dxa"/>
          </w:tcPr>
          <w:p w14:paraId="5E836C45" w14:textId="6D7070AA" w:rsidR="00A95B90" w:rsidRDefault="00A95B90" w:rsidP="00802E43">
            <w:pPr>
              <w:pStyle w:val="Table"/>
            </w:pPr>
            <w:r>
              <w:t xml:space="preserve">A description of the scope of the </w:t>
            </w:r>
            <w:r w:rsidR="00D74FEC">
              <w:t xml:space="preserve">APRA-regulated </w:t>
            </w:r>
            <w:r>
              <w:t>entity’s remuneration policy (</w:t>
            </w:r>
            <w:r w:rsidR="002807FE">
              <w:t>such as</w:t>
            </w:r>
            <w:r>
              <w:t xml:space="preserve"> by regions</w:t>
            </w:r>
            <w:r w:rsidR="002807FE">
              <w:t xml:space="preserve"> or</w:t>
            </w:r>
            <w:r>
              <w:t xml:space="preserve"> business lines), including the extent to which it is applied to foreign subsidiaries and branches </w:t>
            </w:r>
            <w:r w:rsidR="002807FE">
              <w:t>(</w:t>
            </w:r>
            <w:r>
              <w:t>if applicable</w:t>
            </w:r>
            <w:r w:rsidR="002807FE">
              <w:t>)</w:t>
            </w:r>
            <w:r>
              <w:t>.</w:t>
            </w:r>
          </w:p>
        </w:tc>
      </w:tr>
      <w:tr w:rsidR="00A95B90" w14:paraId="4263CA75" w14:textId="77777777" w:rsidTr="00802E43">
        <w:tc>
          <w:tcPr>
            <w:tcW w:w="561" w:type="dxa"/>
          </w:tcPr>
          <w:p w14:paraId="1C7E908E" w14:textId="6BB1850A" w:rsidR="00A95B90" w:rsidRDefault="00B33B9B" w:rsidP="00802E43">
            <w:pPr>
              <w:pStyle w:val="Table"/>
              <w:jc w:val="both"/>
            </w:pPr>
            <w:r>
              <w:lastRenderedPageBreak/>
              <w:t>8</w:t>
            </w:r>
          </w:p>
        </w:tc>
        <w:tc>
          <w:tcPr>
            <w:tcW w:w="7741" w:type="dxa"/>
          </w:tcPr>
          <w:p w14:paraId="3E7C5208" w14:textId="66882280" w:rsidR="00A95B90" w:rsidRDefault="00A95B90" w:rsidP="00802E43">
            <w:pPr>
              <w:pStyle w:val="Table"/>
            </w:pPr>
            <w:r>
              <w:t xml:space="preserve">A description of the types of </w:t>
            </w:r>
            <w:r w:rsidR="00473675">
              <w:t xml:space="preserve">positions included </w:t>
            </w:r>
            <w:r>
              <w:t xml:space="preserve">in specified roles as defined in paragraph </w:t>
            </w:r>
            <w:r w:rsidR="00EE7FD9">
              <w:fldChar w:fldCharType="begin"/>
            </w:r>
            <w:r w:rsidR="00EE7FD9">
              <w:instrText xml:space="preserve"> REF _Ref134175720 \r \h </w:instrText>
            </w:r>
            <w:r w:rsidR="00EE7FD9">
              <w:fldChar w:fldCharType="separate"/>
            </w:r>
            <w:r w:rsidR="00DE6765">
              <w:t>20(v)</w:t>
            </w:r>
            <w:r w:rsidR="00EE7FD9">
              <w:fldChar w:fldCharType="end"/>
            </w:r>
            <w:r w:rsidR="007B21DE">
              <w:fldChar w:fldCharType="begin"/>
            </w:r>
            <w:r w:rsidR="007B21DE">
              <w:instrText xml:space="preserve"> REF _Ref129608016 \r \h </w:instrText>
            </w:r>
            <w:r w:rsidR="007B21DE">
              <w:fldChar w:fldCharType="separate"/>
            </w:r>
            <w:r w:rsidR="00DE6765">
              <w:t>20(u)</w:t>
            </w:r>
            <w:r w:rsidR="007B21DE">
              <w:fldChar w:fldCharType="end"/>
            </w:r>
            <w:r>
              <w:t xml:space="preserve"> of this Prudential Standard.</w:t>
            </w:r>
          </w:p>
        </w:tc>
      </w:tr>
      <w:tr w:rsidR="00A95B90" w14:paraId="1D3613E8" w14:textId="77777777" w:rsidTr="00802E43">
        <w:tc>
          <w:tcPr>
            <w:tcW w:w="561" w:type="dxa"/>
          </w:tcPr>
          <w:p w14:paraId="5F93811D" w14:textId="33AE707F" w:rsidR="00A95B90" w:rsidRDefault="000723BB" w:rsidP="00802E43">
            <w:pPr>
              <w:pStyle w:val="Table"/>
              <w:jc w:val="both"/>
            </w:pPr>
            <w:r>
              <w:t>9</w:t>
            </w:r>
          </w:p>
        </w:tc>
        <w:tc>
          <w:tcPr>
            <w:tcW w:w="7741" w:type="dxa"/>
          </w:tcPr>
          <w:p w14:paraId="38CD2B40" w14:textId="4DE3F8BF" w:rsidR="00A95B90" w:rsidRPr="0050460C" w:rsidRDefault="00A95B90" w:rsidP="00802E43">
            <w:pPr>
              <w:pStyle w:val="Table"/>
            </w:pPr>
            <w:r w:rsidRPr="0050460C">
              <w:t xml:space="preserve">A description of how the APRA-regulated entity aligns </w:t>
            </w:r>
            <w:r w:rsidR="00B86E56" w:rsidRPr="0050460C">
              <w:t xml:space="preserve">remuneration outcomes with </w:t>
            </w:r>
            <w:r w:rsidRPr="0050460C">
              <w:t>performance. This must include:</w:t>
            </w:r>
          </w:p>
          <w:p w14:paraId="3200F770" w14:textId="461E79A0" w:rsidR="00A95B90" w:rsidRPr="0050460C" w:rsidRDefault="00A95B90" w:rsidP="00AA14A9">
            <w:pPr>
              <w:pStyle w:val="Table"/>
              <w:numPr>
                <w:ilvl w:val="0"/>
                <w:numId w:val="18"/>
              </w:numPr>
              <w:ind w:left="624" w:hanging="255"/>
            </w:pPr>
            <w:r w:rsidRPr="0050460C">
              <w:t xml:space="preserve">an overview of the main </w:t>
            </w:r>
            <w:r w:rsidR="00FF105D" w:rsidRPr="0050460C">
              <w:t xml:space="preserve">financial and non-financial </w:t>
            </w:r>
            <w:r w:rsidRPr="0050460C">
              <w:t>performance measures for the entity</w:t>
            </w:r>
            <w:r w:rsidR="00FF105D" w:rsidRPr="0050460C">
              <w:t>,</w:t>
            </w:r>
            <w:r w:rsidRPr="0050460C">
              <w:t xml:space="preserve"> </w:t>
            </w:r>
            <w:r w:rsidR="00635F54" w:rsidRPr="0050460C">
              <w:t>key</w:t>
            </w:r>
            <w:r w:rsidRPr="0050460C">
              <w:t xml:space="preserve"> business lines</w:t>
            </w:r>
            <w:r w:rsidR="00F874DF" w:rsidRPr="0050460C">
              <w:t xml:space="preserve">, the CEO and other </w:t>
            </w:r>
            <w:r w:rsidRPr="0050460C">
              <w:t>specified roles on a cohort basis;</w:t>
            </w:r>
          </w:p>
          <w:p w14:paraId="1761173E" w14:textId="41756879" w:rsidR="008E318A" w:rsidRDefault="008E318A" w:rsidP="00AA14A9">
            <w:pPr>
              <w:pStyle w:val="Table"/>
              <w:numPr>
                <w:ilvl w:val="0"/>
                <w:numId w:val="18"/>
              </w:numPr>
              <w:ind w:left="624" w:hanging="255"/>
            </w:pPr>
            <w:r>
              <w:t>a</w:t>
            </w:r>
            <w:r w:rsidRPr="000242EC">
              <w:t xml:space="preserve"> description of how material weight is applied to non-financial measures in the determination of performance related variable remuneration, including the proportion (level or range) of variable remuneration that would be impacted by non-financial measures, where this is possible to define</w:t>
            </w:r>
            <w:r w:rsidR="00216F53">
              <w:t>; and</w:t>
            </w:r>
          </w:p>
          <w:p w14:paraId="6A215E93" w14:textId="1A2CBF87" w:rsidR="00634366" w:rsidRDefault="00A95B90" w:rsidP="008E318A">
            <w:pPr>
              <w:pStyle w:val="Table"/>
              <w:numPr>
                <w:ilvl w:val="0"/>
                <w:numId w:val="18"/>
              </w:numPr>
              <w:ind w:left="624" w:hanging="255"/>
            </w:pPr>
            <w:r w:rsidRPr="0050460C">
              <w:t xml:space="preserve">a discussion of how </w:t>
            </w:r>
            <w:r w:rsidR="00A658C6" w:rsidRPr="0050460C">
              <w:t>a person’s</w:t>
            </w:r>
            <w:r w:rsidRPr="0050460C">
              <w:t xml:space="preserve"> remuneration </w:t>
            </w:r>
            <w:r w:rsidR="006B2987">
              <w:t>is</w:t>
            </w:r>
            <w:r w:rsidR="006B2987" w:rsidRPr="0050460C">
              <w:t xml:space="preserve"> </w:t>
            </w:r>
            <w:r w:rsidRPr="0050460C">
              <w:t>linked to entity-wide and individual performance.</w:t>
            </w:r>
          </w:p>
        </w:tc>
      </w:tr>
      <w:tr w:rsidR="00A95B90" w14:paraId="2B5EC215" w14:textId="77777777" w:rsidTr="00802E43">
        <w:tc>
          <w:tcPr>
            <w:tcW w:w="561" w:type="dxa"/>
          </w:tcPr>
          <w:p w14:paraId="3EA67157" w14:textId="41BC4DB3" w:rsidR="00A95B90" w:rsidRDefault="00A95B90" w:rsidP="00802E43">
            <w:pPr>
              <w:pStyle w:val="Table"/>
              <w:jc w:val="both"/>
            </w:pPr>
            <w:r>
              <w:t>1</w:t>
            </w:r>
            <w:r w:rsidR="000723BB">
              <w:t>0</w:t>
            </w:r>
          </w:p>
        </w:tc>
        <w:tc>
          <w:tcPr>
            <w:tcW w:w="7741" w:type="dxa"/>
          </w:tcPr>
          <w:p w14:paraId="1256EA14" w14:textId="43D5B2AB" w:rsidR="00A95B90" w:rsidRDefault="00A95B90" w:rsidP="00802E43">
            <w:pPr>
              <w:pStyle w:val="Table"/>
            </w:pPr>
            <w:r>
              <w:t>Where no variable remuneration is offered (</w:t>
            </w:r>
            <w:r w:rsidR="00221F39">
              <w:t>excluding</w:t>
            </w:r>
            <w:r>
              <w:t xml:space="preserve"> one-off payments)</w:t>
            </w:r>
            <w:r w:rsidR="00221F39">
              <w:t>,</w:t>
            </w:r>
            <w:r>
              <w:t xml:space="preserve"> </w:t>
            </w:r>
            <w:r w:rsidR="00635F54">
              <w:t>a description of</w:t>
            </w:r>
            <w:r>
              <w:t xml:space="preserve"> the method used to ensure risk management outcomes are assessed and consequence management applied in the event of a material breach or misconduct.</w:t>
            </w:r>
          </w:p>
        </w:tc>
      </w:tr>
      <w:tr w:rsidR="004F00A5" w14:paraId="14283445" w14:textId="77777777" w:rsidTr="00802E43">
        <w:tc>
          <w:tcPr>
            <w:tcW w:w="561" w:type="dxa"/>
          </w:tcPr>
          <w:p w14:paraId="1B816C71" w14:textId="27BE2813" w:rsidR="004F00A5" w:rsidRDefault="004F00A5" w:rsidP="00802E43">
            <w:pPr>
              <w:pStyle w:val="Table"/>
              <w:jc w:val="both"/>
            </w:pPr>
            <w:r>
              <w:t>11</w:t>
            </w:r>
          </w:p>
        </w:tc>
        <w:tc>
          <w:tcPr>
            <w:tcW w:w="7741" w:type="dxa"/>
          </w:tcPr>
          <w:p w14:paraId="1BBF9E30" w14:textId="6E13A6E0" w:rsidR="004F00A5" w:rsidRDefault="00FA63D3" w:rsidP="00802E43">
            <w:pPr>
              <w:pStyle w:val="Table"/>
            </w:pPr>
            <w:r>
              <w:t>A description of</w:t>
            </w:r>
            <w:r w:rsidR="004F00A5" w:rsidRPr="004F00A5">
              <w:t xml:space="preserve"> variable remuneration of risk and financial control personnel for the financial year </w:t>
            </w:r>
            <w:r w:rsidR="00076748">
              <w:t>cover</w:t>
            </w:r>
            <w:r w:rsidR="00771119">
              <w:t>ing</w:t>
            </w:r>
            <w:r w:rsidR="004F00A5" w:rsidRPr="004F00A5">
              <w:t>:</w:t>
            </w:r>
            <w:r w:rsidR="004F00A5">
              <w:rPr>
                <w:rStyle w:val="FootnoteReference"/>
              </w:rPr>
              <w:t xml:space="preserve"> </w:t>
            </w:r>
            <w:r w:rsidR="004F00A5">
              <w:rPr>
                <w:rStyle w:val="FootnoteReference"/>
              </w:rPr>
              <w:footnoteReference w:id="18"/>
            </w:r>
          </w:p>
          <w:p w14:paraId="20F0DA5E" w14:textId="28FA3747" w:rsidR="004F00A5" w:rsidRDefault="004F00A5" w:rsidP="001F2BAC">
            <w:pPr>
              <w:pStyle w:val="Table"/>
              <w:numPr>
                <w:ilvl w:val="0"/>
                <w:numId w:val="43"/>
              </w:numPr>
              <w:ind w:left="624" w:hanging="255"/>
            </w:pPr>
            <w:r w:rsidRPr="004F00A5">
              <w:t xml:space="preserve">remuneration </w:t>
            </w:r>
            <w:r w:rsidR="000A2EA5">
              <w:t>arrangements</w:t>
            </w:r>
            <w:r w:rsidRPr="004F00A5">
              <w:t>, including how variable remuneration arrangements reflect their independence, authority and the purpose of their functions, and are not unduly influenced by the performance of the business activities they control;</w:t>
            </w:r>
          </w:p>
          <w:p w14:paraId="312CE668" w14:textId="53B7B97C" w:rsidR="007D6634" w:rsidRDefault="007D6634" w:rsidP="001F2BAC">
            <w:pPr>
              <w:pStyle w:val="Table"/>
              <w:numPr>
                <w:ilvl w:val="0"/>
                <w:numId w:val="43"/>
              </w:numPr>
              <w:ind w:left="624" w:hanging="255"/>
            </w:pPr>
            <w:r w:rsidRPr="007D6634">
              <w:t>the remuneration outcomes, including variable remuneration outcomes as a proportion (level or range) of fixed remuneration and the nature and proportion of any adjustments made to reflect risk performance; and</w:t>
            </w:r>
          </w:p>
          <w:p w14:paraId="4F29DDA0" w14:textId="6853D68B" w:rsidR="007D6634" w:rsidRDefault="007D6634" w:rsidP="001F2BAC">
            <w:pPr>
              <w:pStyle w:val="Table"/>
              <w:numPr>
                <w:ilvl w:val="0"/>
                <w:numId w:val="43"/>
              </w:numPr>
              <w:ind w:left="624" w:hanging="255"/>
            </w:pPr>
            <w:r>
              <w:t>any special payments made.</w:t>
            </w:r>
            <w:r w:rsidRPr="001F2BAC">
              <w:rPr>
                <w:vertAlign w:val="superscript"/>
              </w:rPr>
              <w:footnoteReference w:id="19"/>
            </w:r>
          </w:p>
        </w:tc>
      </w:tr>
      <w:tr w:rsidR="00672D15" w14:paraId="62CBE1AC" w14:textId="77777777" w:rsidTr="003322B5">
        <w:tc>
          <w:tcPr>
            <w:tcW w:w="561" w:type="dxa"/>
          </w:tcPr>
          <w:p w14:paraId="6B9FA694" w14:textId="77777777" w:rsidR="00672D15" w:rsidRDefault="00672D15" w:rsidP="003322B5">
            <w:pPr>
              <w:pStyle w:val="Table"/>
              <w:keepNext/>
              <w:jc w:val="both"/>
            </w:pPr>
          </w:p>
        </w:tc>
        <w:tc>
          <w:tcPr>
            <w:tcW w:w="7741" w:type="dxa"/>
          </w:tcPr>
          <w:p w14:paraId="66C65C32" w14:textId="5F48E7A7" w:rsidR="00672D15" w:rsidRPr="00552F3D" w:rsidRDefault="0047519C" w:rsidP="003322B5">
            <w:pPr>
              <w:pStyle w:val="Table"/>
              <w:keepNext/>
              <w:rPr>
                <w:b/>
              </w:rPr>
            </w:pPr>
            <w:r>
              <w:rPr>
                <w:b/>
              </w:rPr>
              <w:t xml:space="preserve">Design of </w:t>
            </w:r>
            <w:r w:rsidR="00DD2A4E">
              <w:rPr>
                <w:b/>
              </w:rPr>
              <w:t>v</w:t>
            </w:r>
            <w:r w:rsidR="00672D15">
              <w:rPr>
                <w:b/>
              </w:rPr>
              <w:t xml:space="preserve">ariable </w:t>
            </w:r>
            <w:r w:rsidR="00DD2A4E">
              <w:rPr>
                <w:b/>
              </w:rPr>
              <w:t>r</w:t>
            </w:r>
            <w:r w:rsidR="00672D15" w:rsidRPr="00552F3D">
              <w:rPr>
                <w:b/>
              </w:rPr>
              <w:t>emuneration plans</w:t>
            </w:r>
          </w:p>
        </w:tc>
      </w:tr>
      <w:tr w:rsidR="00672D15" w14:paraId="064CAB74" w14:textId="77777777" w:rsidTr="003322B5">
        <w:tc>
          <w:tcPr>
            <w:tcW w:w="561" w:type="dxa"/>
          </w:tcPr>
          <w:p w14:paraId="429D78D2" w14:textId="673A4FD5" w:rsidR="00672D15" w:rsidRDefault="00672D15" w:rsidP="003322B5">
            <w:pPr>
              <w:pStyle w:val="Table"/>
              <w:jc w:val="both"/>
            </w:pPr>
            <w:r>
              <w:t>1</w:t>
            </w:r>
            <w:r w:rsidR="004F00A5">
              <w:t>2</w:t>
            </w:r>
          </w:p>
        </w:tc>
        <w:tc>
          <w:tcPr>
            <w:tcW w:w="7741" w:type="dxa"/>
          </w:tcPr>
          <w:p w14:paraId="2E30FB5D" w14:textId="77777777" w:rsidR="00672D15" w:rsidRDefault="00672D15" w:rsidP="003322B5">
            <w:pPr>
              <w:pStyle w:val="Table"/>
            </w:pPr>
            <w:bookmarkStart w:id="260" w:name="_Hlk130360315"/>
            <w:r>
              <w:t>For the variable remuneration plans applicable to specified roles, a description of the plan design, including:</w:t>
            </w:r>
            <w:r>
              <w:rPr>
                <w:rStyle w:val="FootnoteReference"/>
              </w:rPr>
              <w:footnoteReference w:id="20"/>
            </w:r>
          </w:p>
          <w:p w14:paraId="2827E7EB" w14:textId="77777777" w:rsidR="00672D15" w:rsidRDefault="00672D15" w:rsidP="003322B5">
            <w:pPr>
              <w:pStyle w:val="Table"/>
              <w:numPr>
                <w:ilvl w:val="0"/>
                <w:numId w:val="17"/>
              </w:numPr>
              <w:ind w:left="624" w:hanging="255"/>
            </w:pPr>
            <w:r>
              <w:t>forms of remuneration offered;</w:t>
            </w:r>
          </w:p>
          <w:p w14:paraId="1DF8E0A4" w14:textId="12A9BFB5" w:rsidR="00672D15" w:rsidRDefault="00672D15" w:rsidP="003322B5">
            <w:pPr>
              <w:pStyle w:val="Table"/>
              <w:numPr>
                <w:ilvl w:val="0"/>
                <w:numId w:val="17"/>
              </w:numPr>
              <w:ind w:left="624" w:hanging="255"/>
            </w:pPr>
            <w:r>
              <w:t>t</w:t>
            </w:r>
            <w:r w:rsidRPr="00221F39">
              <w:t xml:space="preserve">he persons eligible </w:t>
            </w:r>
            <w:r>
              <w:t xml:space="preserve">to participate in </w:t>
            </w:r>
            <w:r w:rsidRPr="00221F39">
              <w:t>the plan, as a percentage of their respective cohort of specified role</w:t>
            </w:r>
            <w:r>
              <w:t>;</w:t>
            </w:r>
          </w:p>
          <w:bookmarkEnd w:id="260"/>
          <w:p w14:paraId="6FCEA4E1" w14:textId="77777777" w:rsidR="00672D15" w:rsidRDefault="00672D15" w:rsidP="003322B5">
            <w:pPr>
              <w:pStyle w:val="Table"/>
              <w:numPr>
                <w:ilvl w:val="0"/>
                <w:numId w:val="17"/>
              </w:numPr>
              <w:ind w:left="624" w:hanging="255"/>
            </w:pPr>
            <w:r>
              <w:t>how it is aligned with the business strategy and effective risk management;</w:t>
            </w:r>
          </w:p>
          <w:p w14:paraId="65983982" w14:textId="00F19CAE" w:rsidR="00672D15" w:rsidRDefault="00672D15" w:rsidP="003322B5">
            <w:pPr>
              <w:pStyle w:val="Table"/>
              <w:numPr>
                <w:ilvl w:val="0"/>
                <w:numId w:val="17"/>
              </w:numPr>
              <w:ind w:left="624" w:hanging="255"/>
            </w:pPr>
            <w:r>
              <w:t>how cohort and individual outcomes are determined, including how material weight is given to non-financial measures;</w:t>
            </w:r>
          </w:p>
          <w:p w14:paraId="1BE30E1D" w14:textId="5BFE400C" w:rsidR="00672D15" w:rsidRDefault="00672D15" w:rsidP="003322B5">
            <w:pPr>
              <w:pStyle w:val="Table"/>
              <w:numPr>
                <w:ilvl w:val="0"/>
                <w:numId w:val="17"/>
              </w:numPr>
              <w:ind w:left="624" w:hanging="255"/>
            </w:pPr>
            <w:r>
              <w:lastRenderedPageBreak/>
              <w:t>if the mix of variable remuneration differs across persons within a specified role cohort, a description of the factors that determine the mix and their relative importance;</w:t>
            </w:r>
          </w:p>
          <w:p w14:paraId="70A138DD" w14:textId="77777777" w:rsidR="00672D15" w:rsidRDefault="00672D15" w:rsidP="003322B5">
            <w:pPr>
              <w:pStyle w:val="Table"/>
              <w:numPr>
                <w:ilvl w:val="0"/>
                <w:numId w:val="17"/>
              </w:numPr>
              <w:ind w:left="624" w:hanging="255"/>
            </w:pPr>
            <w:r>
              <w:t xml:space="preserve">how the variable remuneration pool (if any) is determined, including performance and risk measures used; </w:t>
            </w:r>
          </w:p>
          <w:p w14:paraId="740F5750" w14:textId="6DD14617" w:rsidR="00672D15" w:rsidRDefault="00672D15" w:rsidP="003322B5">
            <w:pPr>
              <w:pStyle w:val="Table"/>
              <w:numPr>
                <w:ilvl w:val="0"/>
                <w:numId w:val="17"/>
              </w:numPr>
              <w:ind w:left="624" w:hanging="255"/>
            </w:pPr>
            <w:r>
              <w:t>deferral periods and vesting schedules;</w:t>
            </w:r>
            <w:r w:rsidR="00F35CC4">
              <w:t xml:space="preserve"> and</w:t>
            </w:r>
          </w:p>
          <w:p w14:paraId="0B95A0F6" w14:textId="3A470E2C" w:rsidR="00672D15" w:rsidRDefault="003634DA" w:rsidP="003322B5">
            <w:pPr>
              <w:pStyle w:val="Table"/>
              <w:numPr>
                <w:ilvl w:val="0"/>
                <w:numId w:val="17"/>
              </w:numPr>
              <w:ind w:left="624" w:hanging="255"/>
            </w:pPr>
            <w:r>
              <w:t>a</w:t>
            </w:r>
            <w:r w:rsidR="00672D15">
              <w:t>ny adjustment measures that may differ from Table 1</w:t>
            </w:r>
            <w:r w:rsidR="00B52A88">
              <w:t>,</w:t>
            </w:r>
            <w:r w:rsidR="00672D15">
              <w:t xml:space="preserve"> row </w:t>
            </w:r>
            <w:r w:rsidR="00326ABF">
              <w:t>13</w:t>
            </w:r>
            <w:r w:rsidR="00672D15">
              <w:t>.</w:t>
            </w:r>
          </w:p>
        </w:tc>
      </w:tr>
      <w:tr w:rsidR="00A95B90" w14:paraId="57E4F77A" w14:textId="77777777" w:rsidTr="00802E43">
        <w:tc>
          <w:tcPr>
            <w:tcW w:w="561" w:type="dxa"/>
          </w:tcPr>
          <w:p w14:paraId="6D4857AC" w14:textId="77777777" w:rsidR="00A95B90" w:rsidRDefault="00A95B90" w:rsidP="00802E43">
            <w:pPr>
              <w:pStyle w:val="Table"/>
              <w:keepNext/>
              <w:jc w:val="both"/>
            </w:pPr>
          </w:p>
        </w:tc>
        <w:tc>
          <w:tcPr>
            <w:tcW w:w="7741" w:type="dxa"/>
          </w:tcPr>
          <w:p w14:paraId="0B585C98" w14:textId="1DCD6556" w:rsidR="00A95B90" w:rsidRPr="00552F3D" w:rsidRDefault="0047519C" w:rsidP="00802E43">
            <w:pPr>
              <w:pStyle w:val="Table"/>
              <w:keepNext/>
              <w:rPr>
                <w:b/>
              </w:rPr>
            </w:pPr>
            <w:r>
              <w:rPr>
                <w:b/>
              </w:rPr>
              <w:t>Deferrals and adjustments</w:t>
            </w:r>
            <w:r w:rsidR="00986B79">
              <w:rPr>
                <w:b/>
              </w:rPr>
              <w:t xml:space="preserve"> </w:t>
            </w:r>
          </w:p>
        </w:tc>
      </w:tr>
      <w:tr w:rsidR="00A95B90" w14:paraId="2E26CAD6" w14:textId="77777777" w:rsidTr="00802E43">
        <w:tc>
          <w:tcPr>
            <w:tcW w:w="561" w:type="dxa"/>
          </w:tcPr>
          <w:p w14:paraId="05F6EF5F" w14:textId="6739D330" w:rsidR="00A95B90" w:rsidRDefault="00A95B90" w:rsidP="00802E43">
            <w:pPr>
              <w:pStyle w:val="Table"/>
              <w:jc w:val="both"/>
            </w:pPr>
            <w:r>
              <w:t>1</w:t>
            </w:r>
            <w:r w:rsidR="004F00A5">
              <w:t>3</w:t>
            </w:r>
          </w:p>
        </w:tc>
        <w:tc>
          <w:tcPr>
            <w:tcW w:w="7741" w:type="dxa"/>
          </w:tcPr>
          <w:p w14:paraId="6D49C023" w14:textId="07C5BCE6" w:rsidR="00A95B90" w:rsidRDefault="00221F39" w:rsidP="00802E43">
            <w:pPr>
              <w:pStyle w:val="Table"/>
            </w:pPr>
            <w:r>
              <w:t>A d</w:t>
            </w:r>
            <w:r w:rsidR="00A95B90">
              <w:t>escription of the ways in which the APRA-regulated entity defer</w:t>
            </w:r>
            <w:r w:rsidR="00CD1C6D">
              <w:t>s</w:t>
            </w:r>
            <w:r w:rsidR="00A95B90">
              <w:t xml:space="preserve"> and adjust</w:t>
            </w:r>
            <w:r w:rsidR="00CD1C6D">
              <w:t>s</w:t>
            </w:r>
            <w:r w:rsidR="00A95B90">
              <w:t xml:space="preserve"> </w:t>
            </w:r>
            <w:r>
              <w:t xml:space="preserve">variable </w:t>
            </w:r>
            <w:r w:rsidR="00A95B90">
              <w:t>remuneration to take account of longer-term performance, including risk performance. This must include:</w:t>
            </w:r>
          </w:p>
          <w:p w14:paraId="415CFA7F" w14:textId="0057679E" w:rsidR="00A95B90" w:rsidRDefault="00A95B90" w:rsidP="00E5415E">
            <w:pPr>
              <w:pStyle w:val="Table"/>
              <w:numPr>
                <w:ilvl w:val="0"/>
                <w:numId w:val="16"/>
              </w:numPr>
              <w:ind w:left="624" w:hanging="251"/>
            </w:pPr>
            <w:r>
              <w:t>an overview of the processes and tools for adjusting variable remuneration, including criteria and triggers for each tool</w:t>
            </w:r>
            <w:r w:rsidR="00C439F4">
              <w:t>; and</w:t>
            </w:r>
          </w:p>
          <w:p w14:paraId="2702B6AD" w14:textId="6CBB96AF" w:rsidR="00A95B90" w:rsidRDefault="00A95B90" w:rsidP="00AA14A9">
            <w:pPr>
              <w:pStyle w:val="Table"/>
              <w:numPr>
                <w:ilvl w:val="0"/>
                <w:numId w:val="16"/>
              </w:numPr>
              <w:ind w:left="624" w:hanging="255"/>
            </w:pPr>
            <w:r>
              <w:t>an overview of the</w:t>
            </w:r>
            <w:r w:rsidR="00221F39">
              <w:t xml:space="preserve"> policy for</w:t>
            </w:r>
            <w:r>
              <w:t xml:space="preserve"> deferral and vesting of variable remuneration</w:t>
            </w:r>
            <w:r w:rsidR="00C439F4">
              <w:t>.</w:t>
            </w:r>
          </w:p>
        </w:tc>
      </w:tr>
    </w:tbl>
    <w:p w14:paraId="0C29DABD" w14:textId="21C9DD0F" w:rsidR="00A95B90" w:rsidRDefault="00A95B90" w:rsidP="00A95B90"/>
    <w:p w14:paraId="5832400B" w14:textId="67A07CCA" w:rsidR="00A95B90" w:rsidRDefault="00A95B90" w:rsidP="007733CD">
      <w:pPr>
        <w:pStyle w:val="Heading3"/>
      </w:pPr>
      <w:bookmarkStart w:id="261" w:name="_Toc102482630"/>
      <w:r w:rsidRPr="00A95B90">
        <w:t>Remuneration outcomes</w:t>
      </w:r>
      <w:bookmarkEnd w:id="261"/>
    </w:p>
    <w:p w14:paraId="1D0F26E7" w14:textId="77F35454" w:rsidR="00A95B90" w:rsidRDefault="002B26ED" w:rsidP="00A95B90">
      <w:pPr>
        <w:pStyle w:val="BodyText1"/>
      </w:pPr>
      <w:bookmarkStart w:id="262" w:name="_Hlk107511365"/>
      <w:r>
        <w:t xml:space="preserve">An APRA-regulated entity must disclose remuneration outcomes for the financial year as set out in Table 2. </w:t>
      </w:r>
      <w:r w:rsidR="00095C5D">
        <w:t xml:space="preserve">Disclosure </w:t>
      </w:r>
      <w:r w:rsidR="004B72A0">
        <w:t xml:space="preserve">for the purposes </w:t>
      </w:r>
      <w:r w:rsidR="00095C5D">
        <w:t>of Table 2 must be on the basis of:</w:t>
      </w:r>
    </w:p>
    <w:p w14:paraId="5C9109A6" w14:textId="7E2B8B4D" w:rsidR="00095C5D" w:rsidRDefault="00B76F03" w:rsidP="002131B2">
      <w:pPr>
        <w:pStyle w:val="BodyText2"/>
      </w:pPr>
      <w:r>
        <w:t xml:space="preserve">current </w:t>
      </w:r>
      <w:r w:rsidR="00C94AF5">
        <w:t xml:space="preserve">financial </w:t>
      </w:r>
      <w:r>
        <w:t>year awards that are no</w:t>
      </w:r>
      <w:r w:rsidR="00CB70D1">
        <w:t>t</w:t>
      </w:r>
      <w:r>
        <w:t xml:space="preserve"> subject to conditions</w:t>
      </w:r>
      <w:r w:rsidR="006F4DA6">
        <w:t>, and</w:t>
      </w:r>
      <w:r w:rsidR="002329EC">
        <w:t xml:space="preserve"> </w:t>
      </w:r>
      <w:r>
        <w:t xml:space="preserve">includes payments for the current </w:t>
      </w:r>
      <w:r w:rsidR="009F74C4">
        <w:t xml:space="preserve">financial </w:t>
      </w:r>
      <w:r>
        <w:t>year made following the end of the financial year; and</w:t>
      </w:r>
    </w:p>
    <w:p w14:paraId="5135581D" w14:textId="0D7D919F" w:rsidR="00B76F03" w:rsidRPr="00A95B90" w:rsidRDefault="00B76F03" w:rsidP="008A1FE7">
      <w:pPr>
        <w:pStyle w:val="BodyText2"/>
      </w:pPr>
      <w:r>
        <w:t>prior financial year awards that satisfied all conditions during the financial year.</w:t>
      </w:r>
    </w:p>
    <w:p w14:paraId="0268F02D" w14:textId="1A262D3E" w:rsidR="00A95B90" w:rsidRPr="000C0268" w:rsidRDefault="000C0268" w:rsidP="000C0268">
      <w:pPr>
        <w:pStyle w:val="TableHeadNumber"/>
      </w:pPr>
      <w:bookmarkStart w:id="263" w:name="_Hlk128044680"/>
      <w:bookmarkEnd w:id="262"/>
      <w:r w:rsidRPr="000C0268">
        <w:t>Table 2</w:t>
      </w:r>
      <w:r w:rsidRPr="000C0268">
        <w:tab/>
        <w:t>Remuneration outcomes for the financial year</w:t>
      </w:r>
    </w:p>
    <w:tbl>
      <w:tblPr>
        <w:tblStyle w:val="TableGrid"/>
        <w:tblW w:w="0" w:type="auto"/>
        <w:tblLayout w:type="fixed"/>
        <w:tblCellMar>
          <w:left w:w="57" w:type="dxa"/>
          <w:right w:w="57" w:type="dxa"/>
        </w:tblCellMar>
        <w:tblLook w:val="04A0" w:firstRow="1" w:lastRow="0" w:firstColumn="1" w:lastColumn="0" w:noHBand="0" w:noVBand="1"/>
      </w:tblPr>
      <w:tblGrid>
        <w:gridCol w:w="395"/>
        <w:gridCol w:w="2680"/>
        <w:gridCol w:w="1307"/>
        <w:gridCol w:w="1307"/>
        <w:gridCol w:w="1307"/>
        <w:gridCol w:w="1307"/>
      </w:tblGrid>
      <w:tr w:rsidR="00DC29ED" w14:paraId="3E4D0BFA" w14:textId="77777777" w:rsidTr="007F59D5">
        <w:trPr>
          <w:tblHeader/>
        </w:trPr>
        <w:tc>
          <w:tcPr>
            <w:tcW w:w="395" w:type="dxa"/>
          </w:tcPr>
          <w:p w14:paraId="2298E458" w14:textId="77777777" w:rsidR="00DC29ED" w:rsidRPr="00AB0232" w:rsidRDefault="00DC29ED" w:rsidP="003B063D">
            <w:pPr>
              <w:pStyle w:val="Table"/>
              <w:rPr>
                <w:b/>
              </w:rPr>
            </w:pPr>
          </w:p>
        </w:tc>
        <w:tc>
          <w:tcPr>
            <w:tcW w:w="2680" w:type="dxa"/>
            <w:vAlign w:val="bottom"/>
          </w:tcPr>
          <w:p w14:paraId="5E7CCB86" w14:textId="1A166EE0" w:rsidR="00DC29ED" w:rsidRPr="00AB0232" w:rsidRDefault="00DC29ED" w:rsidP="003B063D">
            <w:pPr>
              <w:pStyle w:val="Table"/>
              <w:rPr>
                <w:b/>
              </w:rPr>
            </w:pPr>
            <w:r w:rsidRPr="00AB0232">
              <w:rPr>
                <w:b/>
              </w:rPr>
              <w:t>A$m</w:t>
            </w:r>
          </w:p>
        </w:tc>
        <w:tc>
          <w:tcPr>
            <w:tcW w:w="1307" w:type="dxa"/>
            <w:vAlign w:val="bottom"/>
          </w:tcPr>
          <w:p w14:paraId="7498BF6C" w14:textId="77777777" w:rsidR="00DC29ED" w:rsidRPr="00AB0232" w:rsidRDefault="00DC29ED" w:rsidP="003B063D">
            <w:pPr>
              <w:pStyle w:val="Table"/>
              <w:jc w:val="center"/>
              <w:rPr>
                <w:b/>
              </w:rPr>
            </w:pPr>
            <w:r>
              <w:rPr>
                <w:b/>
              </w:rPr>
              <w:t>CEO</w:t>
            </w:r>
          </w:p>
        </w:tc>
        <w:tc>
          <w:tcPr>
            <w:tcW w:w="1307" w:type="dxa"/>
            <w:vAlign w:val="bottom"/>
          </w:tcPr>
          <w:p w14:paraId="22F49A15" w14:textId="77777777" w:rsidR="00DC29ED" w:rsidRPr="00AB0232" w:rsidRDefault="00DC29ED" w:rsidP="003B063D">
            <w:pPr>
              <w:pStyle w:val="Table"/>
              <w:jc w:val="center"/>
              <w:rPr>
                <w:b/>
              </w:rPr>
            </w:pPr>
            <w:r>
              <w:rPr>
                <w:b/>
              </w:rPr>
              <w:t>Other senior managers</w:t>
            </w:r>
          </w:p>
        </w:tc>
        <w:tc>
          <w:tcPr>
            <w:tcW w:w="1307" w:type="dxa"/>
            <w:vAlign w:val="bottom"/>
          </w:tcPr>
          <w:p w14:paraId="1CC7D73F" w14:textId="77777777" w:rsidR="00DC29ED" w:rsidRPr="00AB0232" w:rsidRDefault="00DC29ED" w:rsidP="003B063D">
            <w:pPr>
              <w:pStyle w:val="Table"/>
              <w:jc w:val="center"/>
              <w:rPr>
                <w:b/>
              </w:rPr>
            </w:pPr>
            <w:r w:rsidRPr="00AB0232">
              <w:rPr>
                <w:b/>
              </w:rPr>
              <w:t>Highly paid material risk-takers</w:t>
            </w:r>
          </w:p>
        </w:tc>
        <w:tc>
          <w:tcPr>
            <w:tcW w:w="1307" w:type="dxa"/>
            <w:vAlign w:val="bottom"/>
          </w:tcPr>
          <w:p w14:paraId="39994788" w14:textId="0757C7C2" w:rsidR="00DC29ED" w:rsidRPr="00AB0232" w:rsidRDefault="00DC29ED" w:rsidP="003B063D">
            <w:pPr>
              <w:pStyle w:val="Table"/>
              <w:jc w:val="center"/>
              <w:rPr>
                <w:b/>
              </w:rPr>
            </w:pPr>
            <w:r>
              <w:rPr>
                <w:b/>
              </w:rPr>
              <w:t>Other m</w:t>
            </w:r>
            <w:r w:rsidRPr="00AB0232">
              <w:rPr>
                <w:b/>
              </w:rPr>
              <w:t>aterial risk-takers</w:t>
            </w:r>
          </w:p>
        </w:tc>
      </w:tr>
      <w:tr w:rsidR="005C38F6" w14:paraId="3FA83E25" w14:textId="77777777" w:rsidTr="007F59D5">
        <w:tc>
          <w:tcPr>
            <w:tcW w:w="1307" w:type="dxa"/>
            <w:gridSpan w:val="6"/>
          </w:tcPr>
          <w:p w14:paraId="375E81D9" w14:textId="7808BE1D" w:rsidR="005C38F6" w:rsidRPr="002C3987" w:rsidRDefault="002C3987" w:rsidP="00A31CBB">
            <w:pPr>
              <w:pStyle w:val="Table"/>
              <w:rPr>
                <w:b/>
              </w:rPr>
            </w:pPr>
            <w:r>
              <w:rPr>
                <w:b/>
              </w:rPr>
              <w:t>Fixed remuneration</w:t>
            </w:r>
          </w:p>
        </w:tc>
      </w:tr>
      <w:tr w:rsidR="00DC29ED" w14:paraId="07F6E05A" w14:textId="77777777" w:rsidTr="007F59D5">
        <w:tc>
          <w:tcPr>
            <w:tcW w:w="395" w:type="dxa"/>
          </w:tcPr>
          <w:p w14:paraId="3C8466E8" w14:textId="77777777" w:rsidR="00DC29ED" w:rsidRDefault="00DC29ED" w:rsidP="003B063D">
            <w:pPr>
              <w:pStyle w:val="Table"/>
            </w:pPr>
            <w:r>
              <w:t>1</w:t>
            </w:r>
          </w:p>
        </w:tc>
        <w:tc>
          <w:tcPr>
            <w:tcW w:w="2680" w:type="dxa"/>
          </w:tcPr>
          <w:p w14:paraId="3E6C993D" w14:textId="0AA942D4" w:rsidR="00DC29ED" w:rsidRPr="009A6373" w:rsidRDefault="00DC29ED" w:rsidP="003B063D">
            <w:pPr>
              <w:pStyle w:val="Table"/>
            </w:pPr>
            <w:r>
              <w:t xml:space="preserve">Number of employees paid fixed remuneration </w:t>
            </w:r>
          </w:p>
        </w:tc>
        <w:tc>
          <w:tcPr>
            <w:tcW w:w="1307" w:type="dxa"/>
          </w:tcPr>
          <w:p w14:paraId="673F9386" w14:textId="5317B764" w:rsidR="00DC29ED" w:rsidRPr="009A6373" w:rsidRDefault="00DC29ED" w:rsidP="003B063D">
            <w:pPr>
              <w:pStyle w:val="Table"/>
              <w:jc w:val="center"/>
            </w:pPr>
            <w:r>
              <w:t>-</w:t>
            </w:r>
          </w:p>
        </w:tc>
        <w:tc>
          <w:tcPr>
            <w:tcW w:w="1307" w:type="dxa"/>
          </w:tcPr>
          <w:p w14:paraId="0D0B57C5" w14:textId="77777777" w:rsidR="00DC29ED" w:rsidRPr="009A6373" w:rsidRDefault="00DC29ED" w:rsidP="003B063D">
            <w:pPr>
              <w:pStyle w:val="Table"/>
              <w:jc w:val="center"/>
            </w:pPr>
          </w:p>
        </w:tc>
        <w:tc>
          <w:tcPr>
            <w:tcW w:w="991" w:type="dxa"/>
          </w:tcPr>
          <w:p w14:paraId="0732DD1D" w14:textId="77777777" w:rsidR="00DC29ED" w:rsidRPr="009A6373" w:rsidRDefault="00DC29ED" w:rsidP="003B063D">
            <w:pPr>
              <w:pStyle w:val="Table"/>
              <w:jc w:val="center"/>
            </w:pPr>
          </w:p>
        </w:tc>
        <w:tc>
          <w:tcPr>
            <w:tcW w:w="1134" w:type="dxa"/>
          </w:tcPr>
          <w:p w14:paraId="45594C05" w14:textId="77777777" w:rsidR="00DC29ED" w:rsidRPr="009A6373" w:rsidRDefault="00DC29ED" w:rsidP="003B063D">
            <w:pPr>
              <w:pStyle w:val="Table"/>
              <w:jc w:val="center"/>
            </w:pPr>
          </w:p>
        </w:tc>
      </w:tr>
      <w:tr w:rsidR="00DC29ED" w14:paraId="65F0F811" w14:textId="77777777" w:rsidTr="007F59D5">
        <w:tc>
          <w:tcPr>
            <w:tcW w:w="395" w:type="dxa"/>
          </w:tcPr>
          <w:p w14:paraId="2509A454" w14:textId="77777777" w:rsidR="00DC29ED" w:rsidRDefault="00DC29ED" w:rsidP="003B063D">
            <w:pPr>
              <w:pStyle w:val="Table"/>
            </w:pPr>
            <w:r>
              <w:t>2</w:t>
            </w:r>
          </w:p>
        </w:tc>
        <w:tc>
          <w:tcPr>
            <w:tcW w:w="2680" w:type="dxa"/>
          </w:tcPr>
          <w:p w14:paraId="7DF1F6DD" w14:textId="77777777" w:rsidR="00DC29ED" w:rsidRPr="009A6373" w:rsidRDefault="00DC29ED" w:rsidP="003B063D">
            <w:pPr>
              <w:pStyle w:val="Table"/>
            </w:pPr>
            <w:r w:rsidRPr="009B07D7">
              <w:rPr>
                <w:b/>
              </w:rPr>
              <w:t>Total fixed remuneration</w:t>
            </w:r>
            <w:r>
              <w:t xml:space="preserve"> </w:t>
            </w:r>
          </w:p>
        </w:tc>
        <w:tc>
          <w:tcPr>
            <w:tcW w:w="1307" w:type="dxa"/>
          </w:tcPr>
          <w:p w14:paraId="46988002" w14:textId="77777777" w:rsidR="00DC29ED" w:rsidRPr="009A6373" w:rsidRDefault="00DC29ED" w:rsidP="003B063D">
            <w:pPr>
              <w:pStyle w:val="Table"/>
              <w:jc w:val="center"/>
            </w:pPr>
          </w:p>
        </w:tc>
        <w:tc>
          <w:tcPr>
            <w:tcW w:w="1307" w:type="dxa"/>
          </w:tcPr>
          <w:p w14:paraId="6373B327" w14:textId="77777777" w:rsidR="00DC29ED" w:rsidRPr="009A6373" w:rsidRDefault="00DC29ED" w:rsidP="003B063D">
            <w:pPr>
              <w:pStyle w:val="Table"/>
              <w:jc w:val="center"/>
            </w:pPr>
          </w:p>
        </w:tc>
        <w:tc>
          <w:tcPr>
            <w:tcW w:w="991" w:type="dxa"/>
          </w:tcPr>
          <w:p w14:paraId="68ACC49E" w14:textId="77777777" w:rsidR="00DC29ED" w:rsidRPr="009A6373" w:rsidRDefault="00DC29ED" w:rsidP="003B063D">
            <w:pPr>
              <w:pStyle w:val="Table"/>
              <w:jc w:val="center"/>
            </w:pPr>
          </w:p>
        </w:tc>
        <w:tc>
          <w:tcPr>
            <w:tcW w:w="1134" w:type="dxa"/>
          </w:tcPr>
          <w:p w14:paraId="46FFDF5A" w14:textId="77777777" w:rsidR="00DC29ED" w:rsidRPr="009A6373" w:rsidRDefault="00DC29ED" w:rsidP="003B063D">
            <w:pPr>
              <w:pStyle w:val="Table"/>
              <w:jc w:val="center"/>
            </w:pPr>
          </w:p>
        </w:tc>
      </w:tr>
      <w:tr w:rsidR="00DC29ED" w14:paraId="56E65B51" w14:textId="77777777" w:rsidTr="007F59D5">
        <w:tc>
          <w:tcPr>
            <w:tcW w:w="395" w:type="dxa"/>
          </w:tcPr>
          <w:p w14:paraId="68698D86" w14:textId="77777777" w:rsidR="00DC29ED" w:rsidRDefault="00DC29ED" w:rsidP="003B063D">
            <w:pPr>
              <w:pStyle w:val="Table"/>
            </w:pPr>
            <w:r>
              <w:t>3</w:t>
            </w:r>
          </w:p>
        </w:tc>
        <w:tc>
          <w:tcPr>
            <w:tcW w:w="2680" w:type="dxa"/>
          </w:tcPr>
          <w:p w14:paraId="3467365B" w14:textId="77777777" w:rsidR="00DC29ED" w:rsidRPr="009A6373" w:rsidRDefault="00DC29ED" w:rsidP="003B063D">
            <w:pPr>
              <w:pStyle w:val="Table"/>
              <w:ind w:left="142"/>
            </w:pPr>
            <w:r>
              <w:t>of which: cash-based</w:t>
            </w:r>
          </w:p>
        </w:tc>
        <w:tc>
          <w:tcPr>
            <w:tcW w:w="1307" w:type="dxa"/>
          </w:tcPr>
          <w:p w14:paraId="769D1161" w14:textId="77777777" w:rsidR="00DC29ED" w:rsidRPr="009A6373" w:rsidRDefault="00DC29ED" w:rsidP="003B063D">
            <w:pPr>
              <w:pStyle w:val="Table"/>
              <w:jc w:val="center"/>
            </w:pPr>
          </w:p>
        </w:tc>
        <w:tc>
          <w:tcPr>
            <w:tcW w:w="1307" w:type="dxa"/>
          </w:tcPr>
          <w:p w14:paraId="02B0ABA8" w14:textId="77777777" w:rsidR="00DC29ED" w:rsidRPr="009A6373" w:rsidRDefault="00DC29ED" w:rsidP="003B063D">
            <w:pPr>
              <w:pStyle w:val="Table"/>
              <w:jc w:val="center"/>
            </w:pPr>
          </w:p>
        </w:tc>
        <w:tc>
          <w:tcPr>
            <w:tcW w:w="991" w:type="dxa"/>
          </w:tcPr>
          <w:p w14:paraId="4EB5F16B" w14:textId="77777777" w:rsidR="00DC29ED" w:rsidRPr="009A6373" w:rsidRDefault="00DC29ED" w:rsidP="003B063D">
            <w:pPr>
              <w:pStyle w:val="Table"/>
              <w:jc w:val="center"/>
            </w:pPr>
          </w:p>
        </w:tc>
        <w:tc>
          <w:tcPr>
            <w:tcW w:w="1134" w:type="dxa"/>
          </w:tcPr>
          <w:p w14:paraId="34FB8837" w14:textId="77777777" w:rsidR="00DC29ED" w:rsidRPr="009A6373" w:rsidRDefault="00DC29ED" w:rsidP="003B063D">
            <w:pPr>
              <w:pStyle w:val="Table"/>
              <w:jc w:val="center"/>
            </w:pPr>
          </w:p>
        </w:tc>
      </w:tr>
      <w:tr w:rsidR="00DC29ED" w14:paraId="440AC572" w14:textId="77777777" w:rsidTr="007F59D5">
        <w:tc>
          <w:tcPr>
            <w:tcW w:w="395" w:type="dxa"/>
          </w:tcPr>
          <w:p w14:paraId="5E4A08E4" w14:textId="77777777" w:rsidR="00DC29ED" w:rsidRDefault="00DC29ED" w:rsidP="003B063D">
            <w:pPr>
              <w:pStyle w:val="Table"/>
            </w:pPr>
            <w:r>
              <w:lastRenderedPageBreak/>
              <w:t>4</w:t>
            </w:r>
          </w:p>
        </w:tc>
        <w:tc>
          <w:tcPr>
            <w:tcW w:w="2680" w:type="dxa"/>
          </w:tcPr>
          <w:p w14:paraId="59440432" w14:textId="4F05AE7C" w:rsidR="00DC29ED" w:rsidRPr="00F9386A" w:rsidRDefault="00DC29ED" w:rsidP="003B063D">
            <w:pPr>
              <w:pStyle w:val="Table"/>
              <w:ind w:left="142"/>
            </w:pPr>
            <w:r>
              <w:t>o</w:t>
            </w:r>
            <w:r w:rsidRPr="00F9386A">
              <w:t>f which</w:t>
            </w:r>
            <w:r>
              <w:t>: share-based awards</w:t>
            </w:r>
            <w:r>
              <w:rPr>
                <w:rStyle w:val="FootnoteReference"/>
              </w:rPr>
              <w:footnoteReference w:id="21"/>
            </w:r>
          </w:p>
        </w:tc>
        <w:tc>
          <w:tcPr>
            <w:tcW w:w="1307" w:type="dxa"/>
          </w:tcPr>
          <w:p w14:paraId="2161C530" w14:textId="77777777" w:rsidR="00DC29ED" w:rsidRPr="00F9386A" w:rsidRDefault="00DC29ED" w:rsidP="003B063D">
            <w:pPr>
              <w:pStyle w:val="Table"/>
              <w:jc w:val="center"/>
            </w:pPr>
          </w:p>
        </w:tc>
        <w:tc>
          <w:tcPr>
            <w:tcW w:w="1307" w:type="dxa"/>
          </w:tcPr>
          <w:p w14:paraId="3ED67FCE" w14:textId="77777777" w:rsidR="00DC29ED" w:rsidRPr="00F9386A" w:rsidRDefault="00DC29ED" w:rsidP="003B063D">
            <w:pPr>
              <w:pStyle w:val="Table"/>
              <w:jc w:val="center"/>
            </w:pPr>
          </w:p>
        </w:tc>
        <w:tc>
          <w:tcPr>
            <w:tcW w:w="991" w:type="dxa"/>
          </w:tcPr>
          <w:p w14:paraId="45F1D29C" w14:textId="77777777" w:rsidR="00DC29ED" w:rsidRPr="00F9386A" w:rsidRDefault="00DC29ED" w:rsidP="003B063D">
            <w:pPr>
              <w:pStyle w:val="Table"/>
              <w:jc w:val="center"/>
            </w:pPr>
          </w:p>
        </w:tc>
        <w:tc>
          <w:tcPr>
            <w:tcW w:w="1134" w:type="dxa"/>
          </w:tcPr>
          <w:p w14:paraId="69297D2A" w14:textId="77777777" w:rsidR="00DC29ED" w:rsidRPr="00F9386A" w:rsidRDefault="00DC29ED" w:rsidP="003B063D">
            <w:pPr>
              <w:pStyle w:val="Table"/>
              <w:jc w:val="center"/>
            </w:pPr>
          </w:p>
        </w:tc>
      </w:tr>
      <w:tr w:rsidR="00DC29ED" w14:paraId="146F1DB5" w14:textId="77777777" w:rsidTr="007F59D5">
        <w:tc>
          <w:tcPr>
            <w:tcW w:w="395" w:type="dxa"/>
          </w:tcPr>
          <w:p w14:paraId="6C45765C" w14:textId="067334D7" w:rsidR="00DC29ED" w:rsidRDefault="00DC29ED" w:rsidP="003B063D">
            <w:pPr>
              <w:pStyle w:val="Table"/>
            </w:pPr>
            <w:r>
              <w:t>5</w:t>
            </w:r>
          </w:p>
        </w:tc>
        <w:tc>
          <w:tcPr>
            <w:tcW w:w="2680" w:type="dxa"/>
          </w:tcPr>
          <w:p w14:paraId="3FDAA05B" w14:textId="2803AB7C" w:rsidR="00DC29ED" w:rsidRDefault="00DC29ED" w:rsidP="003B063D">
            <w:pPr>
              <w:pStyle w:val="Table"/>
              <w:ind w:left="142"/>
            </w:pPr>
            <w:r>
              <w:t xml:space="preserve">of which: other </w:t>
            </w:r>
          </w:p>
        </w:tc>
        <w:tc>
          <w:tcPr>
            <w:tcW w:w="1307" w:type="dxa"/>
          </w:tcPr>
          <w:p w14:paraId="4146A37E" w14:textId="77777777" w:rsidR="00DC29ED" w:rsidRDefault="00DC29ED" w:rsidP="003B063D">
            <w:pPr>
              <w:pStyle w:val="Table"/>
              <w:jc w:val="center"/>
            </w:pPr>
          </w:p>
        </w:tc>
        <w:tc>
          <w:tcPr>
            <w:tcW w:w="1307" w:type="dxa"/>
          </w:tcPr>
          <w:p w14:paraId="4DFAE9D8" w14:textId="77777777" w:rsidR="00DC29ED" w:rsidRDefault="00DC29ED" w:rsidP="003B063D">
            <w:pPr>
              <w:pStyle w:val="Table"/>
              <w:jc w:val="center"/>
            </w:pPr>
          </w:p>
        </w:tc>
        <w:tc>
          <w:tcPr>
            <w:tcW w:w="991" w:type="dxa"/>
          </w:tcPr>
          <w:p w14:paraId="2DE9F1D7" w14:textId="77777777" w:rsidR="00DC29ED" w:rsidRDefault="00DC29ED" w:rsidP="003B063D">
            <w:pPr>
              <w:pStyle w:val="Table"/>
              <w:jc w:val="center"/>
            </w:pPr>
          </w:p>
        </w:tc>
        <w:tc>
          <w:tcPr>
            <w:tcW w:w="1134" w:type="dxa"/>
          </w:tcPr>
          <w:p w14:paraId="02EF8DF1" w14:textId="77777777" w:rsidR="00DC29ED" w:rsidRDefault="00DC29ED" w:rsidP="003B063D">
            <w:pPr>
              <w:pStyle w:val="Table"/>
              <w:jc w:val="center"/>
            </w:pPr>
          </w:p>
        </w:tc>
      </w:tr>
      <w:tr w:rsidR="00DC29ED" w14:paraId="23BFA518" w14:textId="77777777" w:rsidTr="007F59D5">
        <w:tc>
          <w:tcPr>
            <w:tcW w:w="395" w:type="dxa"/>
          </w:tcPr>
          <w:p w14:paraId="05D35F4E" w14:textId="6C3DE573" w:rsidR="00DC29ED" w:rsidRDefault="00DC29ED" w:rsidP="003B063D">
            <w:pPr>
              <w:pStyle w:val="Table"/>
            </w:pPr>
            <w:r>
              <w:t>6</w:t>
            </w:r>
          </w:p>
        </w:tc>
        <w:tc>
          <w:tcPr>
            <w:tcW w:w="2680" w:type="dxa"/>
          </w:tcPr>
          <w:p w14:paraId="18FBEFCE" w14:textId="3E515B95" w:rsidR="00DC29ED" w:rsidRDefault="00DC29ED" w:rsidP="003B063D">
            <w:pPr>
              <w:pStyle w:val="Table"/>
            </w:pPr>
            <w:r>
              <w:t>Average percentage increase in total fixed remuneration (row 2) on previous financial year</w:t>
            </w:r>
          </w:p>
        </w:tc>
        <w:tc>
          <w:tcPr>
            <w:tcW w:w="1307" w:type="dxa"/>
          </w:tcPr>
          <w:p w14:paraId="142B7BB8" w14:textId="77777777" w:rsidR="00DC29ED" w:rsidRDefault="00DC29ED" w:rsidP="003B063D">
            <w:pPr>
              <w:pStyle w:val="Table"/>
              <w:jc w:val="center"/>
            </w:pPr>
          </w:p>
        </w:tc>
        <w:tc>
          <w:tcPr>
            <w:tcW w:w="1307" w:type="dxa"/>
          </w:tcPr>
          <w:p w14:paraId="6335F910" w14:textId="77777777" w:rsidR="00DC29ED" w:rsidRDefault="00DC29ED" w:rsidP="003B063D">
            <w:pPr>
              <w:pStyle w:val="Table"/>
              <w:jc w:val="center"/>
            </w:pPr>
          </w:p>
        </w:tc>
        <w:tc>
          <w:tcPr>
            <w:tcW w:w="991" w:type="dxa"/>
          </w:tcPr>
          <w:p w14:paraId="28A0D5FF" w14:textId="77777777" w:rsidR="00DC29ED" w:rsidRDefault="00DC29ED" w:rsidP="003B063D">
            <w:pPr>
              <w:pStyle w:val="Table"/>
              <w:jc w:val="center"/>
            </w:pPr>
          </w:p>
        </w:tc>
        <w:tc>
          <w:tcPr>
            <w:tcW w:w="1134" w:type="dxa"/>
          </w:tcPr>
          <w:p w14:paraId="3D3E62CA" w14:textId="77777777" w:rsidR="00DC29ED" w:rsidRDefault="00DC29ED" w:rsidP="003B063D">
            <w:pPr>
              <w:pStyle w:val="Table"/>
              <w:jc w:val="center"/>
            </w:pPr>
          </w:p>
        </w:tc>
      </w:tr>
      <w:tr w:rsidR="005C38F6" w14:paraId="049CCBF6" w14:textId="77777777" w:rsidTr="007F59D5">
        <w:tc>
          <w:tcPr>
            <w:tcW w:w="1307" w:type="dxa"/>
            <w:gridSpan w:val="6"/>
          </w:tcPr>
          <w:p w14:paraId="5FA629C1" w14:textId="10F98CBA" w:rsidR="005C38F6" w:rsidRPr="002C3987" w:rsidRDefault="002C3987" w:rsidP="002C3987">
            <w:pPr>
              <w:pStyle w:val="Table"/>
              <w:rPr>
                <w:b/>
              </w:rPr>
            </w:pPr>
            <w:r>
              <w:rPr>
                <w:b/>
              </w:rPr>
              <w:t>Variable remuneration</w:t>
            </w:r>
          </w:p>
        </w:tc>
      </w:tr>
      <w:tr w:rsidR="00DC29ED" w14:paraId="59C880EE" w14:textId="77777777" w:rsidTr="007F59D5">
        <w:tc>
          <w:tcPr>
            <w:tcW w:w="395" w:type="dxa"/>
          </w:tcPr>
          <w:p w14:paraId="1821614A" w14:textId="2560D172" w:rsidR="00DC29ED" w:rsidRDefault="00DC29ED" w:rsidP="003B063D">
            <w:pPr>
              <w:pStyle w:val="Table"/>
            </w:pPr>
            <w:r>
              <w:t>7</w:t>
            </w:r>
          </w:p>
        </w:tc>
        <w:tc>
          <w:tcPr>
            <w:tcW w:w="2680" w:type="dxa"/>
          </w:tcPr>
          <w:p w14:paraId="539E1EE3" w14:textId="66DD2BB0" w:rsidR="00DC29ED" w:rsidRDefault="00DC29ED" w:rsidP="003B063D">
            <w:pPr>
              <w:pStyle w:val="Table"/>
            </w:pPr>
            <w:r>
              <w:t>Number of employees eligible for variable remuneration</w:t>
            </w:r>
          </w:p>
        </w:tc>
        <w:tc>
          <w:tcPr>
            <w:tcW w:w="1307" w:type="dxa"/>
          </w:tcPr>
          <w:p w14:paraId="7413BD7C" w14:textId="1A938691" w:rsidR="00DC29ED" w:rsidRDefault="00DC29ED" w:rsidP="003B063D">
            <w:pPr>
              <w:pStyle w:val="Table"/>
              <w:jc w:val="center"/>
            </w:pPr>
            <w:r>
              <w:t>-</w:t>
            </w:r>
          </w:p>
        </w:tc>
        <w:tc>
          <w:tcPr>
            <w:tcW w:w="1307" w:type="dxa"/>
          </w:tcPr>
          <w:p w14:paraId="345921C7" w14:textId="77777777" w:rsidR="00DC29ED" w:rsidRDefault="00DC29ED" w:rsidP="003B063D">
            <w:pPr>
              <w:pStyle w:val="Table"/>
              <w:jc w:val="center"/>
            </w:pPr>
          </w:p>
        </w:tc>
        <w:tc>
          <w:tcPr>
            <w:tcW w:w="991" w:type="dxa"/>
          </w:tcPr>
          <w:p w14:paraId="5A71A024" w14:textId="77777777" w:rsidR="00DC29ED" w:rsidRDefault="00DC29ED" w:rsidP="003B063D">
            <w:pPr>
              <w:pStyle w:val="Table"/>
              <w:jc w:val="center"/>
            </w:pPr>
          </w:p>
        </w:tc>
        <w:tc>
          <w:tcPr>
            <w:tcW w:w="1134" w:type="dxa"/>
          </w:tcPr>
          <w:p w14:paraId="54195E8B" w14:textId="77777777" w:rsidR="00DC29ED" w:rsidRDefault="00DC29ED" w:rsidP="003B063D">
            <w:pPr>
              <w:pStyle w:val="Table"/>
              <w:jc w:val="center"/>
            </w:pPr>
          </w:p>
        </w:tc>
      </w:tr>
      <w:tr w:rsidR="00DC29ED" w14:paraId="15781302" w14:textId="77777777" w:rsidTr="007F59D5">
        <w:tc>
          <w:tcPr>
            <w:tcW w:w="395" w:type="dxa"/>
          </w:tcPr>
          <w:p w14:paraId="7C071D2C" w14:textId="1900E5B0" w:rsidR="00DC29ED" w:rsidRDefault="00DC29ED" w:rsidP="003B063D">
            <w:pPr>
              <w:pStyle w:val="Table"/>
            </w:pPr>
            <w:r>
              <w:t>8</w:t>
            </w:r>
          </w:p>
        </w:tc>
        <w:tc>
          <w:tcPr>
            <w:tcW w:w="2680" w:type="dxa"/>
          </w:tcPr>
          <w:p w14:paraId="37F724B6" w14:textId="42BCC41E" w:rsidR="00DC29ED" w:rsidRDefault="00DC29ED" w:rsidP="003B063D">
            <w:pPr>
              <w:pStyle w:val="Table"/>
            </w:pPr>
            <w:r>
              <w:t>Number of employees that received variable remuneration</w:t>
            </w:r>
          </w:p>
        </w:tc>
        <w:tc>
          <w:tcPr>
            <w:tcW w:w="1307" w:type="dxa"/>
          </w:tcPr>
          <w:p w14:paraId="1F481A2F" w14:textId="77777777" w:rsidR="00DC29ED" w:rsidRDefault="00DC29ED" w:rsidP="003B063D">
            <w:pPr>
              <w:pStyle w:val="Table"/>
              <w:jc w:val="center"/>
            </w:pPr>
          </w:p>
        </w:tc>
        <w:tc>
          <w:tcPr>
            <w:tcW w:w="1307" w:type="dxa"/>
          </w:tcPr>
          <w:p w14:paraId="2C213C2A" w14:textId="77777777" w:rsidR="00DC29ED" w:rsidRDefault="00DC29ED" w:rsidP="003B063D">
            <w:pPr>
              <w:pStyle w:val="Table"/>
              <w:jc w:val="center"/>
            </w:pPr>
          </w:p>
        </w:tc>
        <w:tc>
          <w:tcPr>
            <w:tcW w:w="991" w:type="dxa"/>
          </w:tcPr>
          <w:p w14:paraId="120DEEDA" w14:textId="77777777" w:rsidR="00DC29ED" w:rsidRDefault="00DC29ED" w:rsidP="003B063D">
            <w:pPr>
              <w:pStyle w:val="Table"/>
              <w:jc w:val="center"/>
            </w:pPr>
          </w:p>
        </w:tc>
        <w:tc>
          <w:tcPr>
            <w:tcW w:w="1134" w:type="dxa"/>
          </w:tcPr>
          <w:p w14:paraId="3B90E1A2" w14:textId="77777777" w:rsidR="00DC29ED" w:rsidRDefault="00DC29ED" w:rsidP="003B063D">
            <w:pPr>
              <w:pStyle w:val="Table"/>
              <w:jc w:val="center"/>
            </w:pPr>
          </w:p>
        </w:tc>
      </w:tr>
      <w:tr w:rsidR="00DC29ED" w14:paraId="7CBCEF71" w14:textId="77777777" w:rsidTr="007F59D5">
        <w:tc>
          <w:tcPr>
            <w:tcW w:w="395" w:type="dxa"/>
          </w:tcPr>
          <w:p w14:paraId="3A7DF60A" w14:textId="665D6D79" w:rsidR="00DC29ED" w:rsidRDefault="00DC29ED" w:rsidP="003B063D">
            <w:pPr>
              <w:pStyle w:val="Table"/>
            </w:pPr>
            <w:r>
              <w:t>9</w:t>
            </w:r>
          </w:p>
        </w:tc>
        <w:tc>
          <w:tcPr>
            <w:tcW w:w="2680" w:type="dxa"/>
          </w:tcPr>
          <w:p w14:paraId="0D54ADF6" w14:textId="77777777" w:rsidR="00DC29ED" w:rsidRDefault="00DC29ED" w:rsidP="003B063D">
            <w:pPr>
              <w:pStyle w:val="Table"/>
            </w:pPr>
            <w:r w:rsidRPr="009B07D7">
              <w:rPr>
                <w:b/>
              </w:rPr>
              <w:t>Total variable remuneration</w:t>
            </w:r>
            <w:r>
              <w:t xml:space="preserve"> </w:t>
            </w:r>
          </w:p>
        </w:tc>
        <w:tc>
          <w:tcPr>
            <w:tcW w:w="1307" w:type="dxa"/>
          </w:tcPr>
          <w:p w14:paraId="04A25F0F" w14:textId="77777777" w:rsidR="00DC29ED" w:rsidRDefault="00DC29ED" w:rsidP="003B063D">
            <w:pPr>
              <w:pStyle w:val="Table"/>
              <w:jc w:val="center"/>
            </w:pPr>
          </w:p>
        </w:tc>
        <w:tc>
          <w:tcPr>
            <w:tcW w:w="1307" w:type="dxa"/>
          </w:tcPr>
          <w:p w14:paraId="642567C3" w14:textId="77777777" w:rsidR="00DC29ED" w:rsidRDefault="00DC29ED" w:rsidP="003B063D">
            <w:pPr>
              <w:pStyle w:val="Table"/>
              <w:jc w:val="center"/>
            </w:pPr>
          </w:p>
        </w:tc>
        <w:tc>
          <w:tcPr>
            <w:tcW w:w="991" w:type="dxa"/>
          </w:tcPr>
          <w:p w14:paraId="0A0A8F37" w14:textId="77777777" w:rsidR="00DC29ED" w:rsidRDefault="00DC29ED" w:rsidP="003B063D">
            <w:pPr>
              <w:pStyle w:val="Table"/>
              <w:jc w:val="center"/>
            </w:pPr>
          </w:p>
        </w:tc>
        <w:tc>
          <w:tcPr>
            <w:tcW w:w="1134" w:type="dxa"/>
          </w:tcPr>
          <w:p w14:paraId="5224EF9F" w14:textId="77777777" w:rsidR="00DC29ED" w:rsidRDefault="00DC29ED" w:rsidP="003B063D">
            <w:pPr>
              <w:pStyle w:val="Table"/>
              <w:jc w:val="center"/>
            </w:pPr>
          </w:p>
        </w:tc>
      </w:tr>
      <w:tr w:rsidR="00DC29ED" w14:paraId="0C2DD90E" w14:textId="77777777" w:rsidTr="007F59D5">
        <w:tc>
          <w:tcPr>
            <w:tcW w:w="395" w:type="dxa"/>
          </w:tcPr>
          <w:p w14:paraId="773AC83F" w14:textId="74954502" w:rsidR="00DC29ED" w:rsidRDefault="00DC29ED" w:rsidP="003B063D">
            <w:pPr>
              <w:pStyle w:val="Table"/>
            </w:pPr>
            <w:r>
              <w:t>10</w:t>
            </w:r>
          </w:p>
        </w:tc>
        <w:tc>
          <w:tcPr>
            <w:tcW w:w="2680" w:type="dxa"/>
          </w:tcPr>
          <w:p w14:paraId="2520FF04" w14:textId="77777777" w:rsidR="00DC29ED" w:rsidRPr="009A6373" w:rsidRDefault="00DC29ED" w:rsidP="003B063D">
            <w:pPr>
              <w:pStyle w:val="Table"/>
              <w:ind w:left="142"/>
            </w:pPr>
            <w:r>
              <w:t>of which: cash-based</w:t>
            </w:r>
          </w:p>
        </w:tc>
        <w:tc>
          <w:tcPr>
            <w:tcW w:w="1307" w:type="dxa"/>
          </w:tcPr>
          <w:p w14:paraId="7DE4061B" w14:textId="77777777" w:rsidR="00DC29ED" w:rsidRDefault="00DC29ED" w:rsidP="003B063D">
            <w:pPr>
              <w:pStyle w:val="Table"/>
              <w:jc w:val="center"/>
            </w:pPr>
          </w:p>
        </w:tc>
        <w:tc>
          <w:tcPr>
            <w:tcW w:w="1307" w:type="dxa"/>
          </w:tcPr>
          <w:p w14:paraId="2FCB28DB" w14:textId="77777777" w:rsidR="00DC29ED" w:rsidRDefault="00DC29ED" w:rsidP="003B063D">
            <w:pPr>
              <w:pStyle w:val="Table"/>
              <w:jc w:val="center"/>
            </w:pPr>
          </w:p>
        </w:tc>
        <w:tc>
          <w:tcPr>
            <w:tcW w:w="991" w:type="dxa"/>
          </w:tcPr>
          <w:p w14:paraId="1FEB1488" w14:textId="77777777" w:rsidR="00DC29ED" w:rsidRDefault="00DC29ED" w:rsidP="003B063D">
            <w:pPr>
              <w:pStyle w:val="Table"/>
              <w:jc w:val="center"/>
            </w:pPr>
          </w:p>
        </w:tc>
        <w:tc>
          <w:tcPr>
            <w:tcW w:w="1134" w:type="dxa"/>
          </w:tcPr>
          <w:p w14:paraId="187F5703" w14:textId="77777777" w:rsidR="00DC29ED" w:rsidRDefault="00DC29ED" w:rsidP="003B063D">
            <w:pPr>
              <w:pStyle w:val="Table"/>
              <w:jc w:val="center"/>
            </w:pPr>
          </w:p>
        </w:tc>
      </w:tr>
      <w:tr w:rsidR="00DC29ED" w14:paraId="510D4B9E" w14:textId="77777777" w:rsidTr="007F59D5">
        <w:tc>
          <w:tcPr>
            <w:tcW w:w="395" w:type="dxa"/>
          </w:tcPr>
          <w:p w14:paraId="55ECB2F2" w14:textId="2BF35E42" w:rsidR="00DC29ED" w:rsidRDefault="00DC29ED" w:rsidP="003B063D">
            <w:pPr>
              <w:pStyle w:val="Table"/>
            </w:pPr>
            <w:r>
              <w:t>11</w:t>
            </w:r>
          </w:p>
        </w:tc>
        <w:tc>
          <w:tcPr>
            <w:tcW w:w="2680" w:type="dxa"/>
          </w:tcPr>
          <w:p w14:paraId="7499C4FA" w14:textId="5547E3A6" w:rsidR="00DC29ED" w:rsidRPr="009A6373" w:rsidRDefault="00DC29ED" w:rsidP="00AF60D1">
            <w:pPr>
              <w:pStyle w:val="Table"/>
              <w:ind w:left="142"/>
            </w:pPr>
            <w:r>
              <w:t>o</w:t>
            </w:r>
            <w:r w:rsidRPr="00F9386A">
              <w:t>f which</w:t>
            </w:r>
            <w:r>
              <w:t>: share-based awards</w:t>
            </w:r>
          </w:p>
        </w:tc>
        <w:tc>
          <w:tcPr>
            <w:tcW w:w="1307" w:type="dxa"/>
          </w:tcPr>
          <w:p w14:paraId="4A26AD92" w14:textId="77777777" w:rsidR="00DC29ED" w:rsidRDefault="00DC29ED" w:rsidP="003B063D">
            <w:pPr>
              <w:pStyle w:val="Table"/>
              <w:jc w:val="center"/>
            </w:pPr>
          </w:p>
        </w:tc>
        <w:tc>
          <w:tcPr>
            <w:tcW w:w="1307" w:type="dxa"/>
          </w:tcPr>
          <w:p w14:paraId="48DD9287" w14:textId="77777777" w:rsidR="00DC29ED" w:rsidRDefault="00DC29ED" w:rsidP="003B063D">
            <w:pPr>
              <w:pStyle w:val="Table"/>
              <w:jc w:val="center"/>
            </w:pPr>
          </w:p>
        </w:tc>
        <w:tc>
          <w:tcPr>
            <w:tcW w:w="991" w:type="dxa"/>
          </w:tcPr>
          <w:p w14:paraId="774B32BC" w14:textId="77777777" w:rsidR="00DC29ED" w:rsidRDefault="00DC29ED" w:rsidP="003B063D">
            <w:pPr>
              <w:pStyle w:val="Table"/>
              <w:jc w:val="center"/>
            </w:pPr>
          </w:p>
        </w:tc>
        <w:tc>
          <w:tcPr>
            <w:tcW w:w="1134" w:type="dxa"/>
          </w:tcPr>
          <w:p w14:paraId="1AE65381" w14:textId="77777777" w:rsidR="00DC29ED" w:rsidRDefault="00DC29ED" w:rsidP="003B063D">
            <w:pPr>
              <w:pStyle w:val="Table"/>
              <w:jc w:val="center"/>
            </w:pPr>
          </w:p>
        </w:tc>
      </w:tr>
      <w:tr w:rsidR="00DC29ED" w14:paraId="5DED33DC" w14:textId="77777777" w:rsidTr="007F59D5">
        <w:tc>
          <w:tcPr>
            <w:tcW w:w="395" w:type="dxa"/>
          </w:tcPr>
          <w:p w14:paraId="061ACDE2" w14:textId="77A20C0A" w:rsidR="00DC29ED" w:rsidRDefault="00DC29ED" w:rsidP="003B063D">
            <w:pPr>
              <w:pStyle w:val="Table"/>
            </w:pPr>
            <w:r>
              <w:t>12</w:t>
            </w:r>
          </w:p>
        </w:tc>
        <w:tc>
          <w:tcPr>
            <w:tcW w:w="2680" w:type="dxa"/>
          </w:tcPr>
          <w:p w14:paraId="4D5916A4" w14:textId="41F53F01" w:rsidR="00DC29ED" w:rsidRPr="00F9386A" w:rsidRDefault="00DC29ED" w:rsidP="00AF60D1">
            <w:pPr>
              <w:pStyle w:val="Table"/>
              <w:ind w:left="142"/>
            </w:pPr>
            <w:r>
              <w:t xml:space="preserve">of which: other </w:t>
            </w:r>
          </w:p>
        </w:tc>
        <w:tc>
          <w:tcPr>
            <w:tcW w:w="1307" w:type="dxa"/>
          </w:tcPr>
          <w:p w14:paraId="6DC66C9D" w14:textId="77777777" w:rsidR="00DC29ED" w:rsidRDefault="00DC29ED" w:rsidP="003B063D">
            <w:pPr>
              <w:pStyle w:val="Table"/>
              <w:jc w:val="center"/>
            </w:pPr>
          </w:p>
        </w:tc>
        <w:tc>
          <w:tcPr>
            <w:tcW w:w="1307" w:type="dxa"/>
          </w:tcPr>
          <w:p w14:paraId="7041B779" w14:textId="77777777" w:rsidR="00DC29ED" w:rsidRDefault="00DC29ED" w:rsidP="003B063D">
            <w:pPr>
              <w:pStyle w:val="Table"/>
              <w:jc w:val="center"/>
            </w:pPr>
          </w:p>
        </w:tc>
        <w:tc>
          <w:tcPr>
            <w:tcW w:w="991" w:type="dxa"/>
          </w:tcPr>
          <w:p w14:paraId="2428814A" w14:textId="77777777" w:rsidR="00DC29ED" w:rsidRDefault="00DC29ED" w:rsidP="003B063D">
            <w:pPr>
              <w:pStyle w:val="Table"/>
              <w:jc w:val="center"/>
            </w:pPr>
          </w:p>
        </w:tc>
        <w:tc>
          <w:tcPr>
            <w:tcW w:w="1134" w:type="dxa"/>
          </w:tcPr>
          <w:p w14:paraId="40F4AFC0" w14:textId="77777777" w:rsidR="00DC29ED" w:rsidRDefault="00DC29ED" w:rsidP="003B063D">
            <w:pPr>
              <w:pStyle w:val="Table"/>
              <w:jc w:val="center"/>
            </w:pPr>
          </w:p>
        </w:tc>
      </w:tr>
      <w:tr w:rsidR="00DC29ED" w14:paraId="53EE1792" w14:textId="77777777" w:rsidTr="007F59D5">
        <w:tc>
          <w:tcPr>
            <w:tcW w:w="395" w:type="dxa"/>
          </w:tcPr>
          <w:p w14:paraId="6FEB771B" w14:textId="751677E2" w:rsidR="00DC29ED" w:rsidRDefault="00DC29ED" w:rsidP="003B063D">
            <w:pPr>
              <w:pStyle w:val="Table"/>
            </w:pPr>
            <w:r>
              <w:t>13</w:t>
            </w:r>
          </w:p>
        </w:tc>
        <w:tc>
          <w:tcPr>
            <w:tcW w:w="2680" w:type="dxa"/>
          </w:tcPr>
          <w:p w14:paraId="37452E23" w14:textId="74D9A712" w:rsidR="00DC29ED" w:rsidRPr="00AF60D1" w:rsidRDefault="00DC29ED" w:rsidP="00AF60D1">
            <w:pPr>
              <w:pStyle w:val="Table"/>
              <w:rPr>
                <w:b/>
              </w:rPr>
            </w:pPr>
            <w:r w:rsidRPr="00AF60D1">
              <w:rPr>
                <w:b/>
              </w:rPr>
              <w:t xml:space="preserve">Total variable remuneration </w:t>
            </w:r>
            <w:r>
              <w:rPr>
                <w:b/>
              </w:rPr>
              <w:t xml:space="preserve">(row 9) </w:t>
            </w:r>
            <w:r w:rsidRPr="00AF60D1">
              <w:rPr>
                <w:b/>
              </w:rPr>
              <w:t>that has been deferred</w:t>
            </w:r>
          </w:p>
        </w:tc>
        <w:tc>
          <w:tcPr>
            <w:tcW w:w="1307" w:type="dxa"/>
          </w:tcPr>
          <w:p w14:paraId="7407BAC5" w14:textId="77777777" w:rsidR="00DC29ED" w:rsidRDefault="00DC29ED" w:rsidP="003B063D">
            <w:pPr>
              <w:pStyle w:val="Table"/>
              <w:jc w:val="center"/>
            </w:pPr>
          </w:p>
        </w:tc>
        <w:tc>
          <w:tcPr>
            <w:tcW w:w="1307" w:type="dxa"/>
          </w:tcPr>
          <w:p w14:paraId="67951166" w14:textId="77777777" w:rsidR="00DC29ED" w:rsidRDefault="00DC29ED" w:rsidP="003B063D">
            <w:pPr>
              <w:pStyle w:val="Table"/>
              <w:jc w:val="center"/>
            </w:pPr>
          </w:p>
        </w:tc>
        <w:tc>
          <w:tcPr>
            <w:tcW w:w="991" w:type="dxa"/>
          </w:tcPr>
          <w:p w14:paraId="5CC95D61" w14:textId="77777777" w:rsidR="00DC29ED" w:rsidRDefault="00DC29ED" w:rsidP="003B063D">
            <w:pPr>
              <w:pStyle w:val="Table"/>
              <w:jc w:val="center"/>
            </w:pPr>
          </w:p>
        </w:tc>
        <w:tc>
          <w:tcPr>
            <w:tcW w:w="1134" w:type="dxa"/>
          </w:tcPr>
          <w:p w14:paraId="34103E96" w14:textId="77777777" w:rsidR="00DC29ED" w:rsidRDefault="00DC29ED" w:rsidP="003B063D">
            <w:pPr>
              <w:pStyle w:val="Table"/>
              <w:jc w:val="center"/>
            </w:pPr>
          </w:p>
        </w:tc>
      </w:tr>
      <w:tr w:rsidR="00DC29ED" w14:paraId="4F816C85" w14:textId="77777777" w:rsidTr="007F59D5">
        <w:tc>
          <w:tcPr>
            <w:tcW w:w="395" w:type="dxa"/>
          </w:tcPr>
          <w:p w14:paraId="700B1A12" w14:textId="787EF22F" w:rsidR="00DC29ED" w:rsidRDefault="00DC29ED" w:rsidP="003B063D">
            <w:pPr>
              <w:pStyle w:val="Table"/>
              <w:keepNext/>
            </w:pPr>
            <w:r>
              <w:t>14</w:t>
            </w:r>
          </w:p>
        </w:tc>
        <w:tc>
          <w:tcPr>
            <w:tcW w:w="2680" w:type="dxa"/>
          </w:tcPr>
          <w:p w14:paraId="74F4232A" w14:textId="1F2E46B3" w:rsidR="00DC29ED" w:rsidRDefault="00DC29ED" w:rsidP="003B063D">
            <w:pPr>
              <w:pStyle w:val="Table"/>
              <w:keepNext/>
              <w:ind w:left="142"/>
            </w:pPr>
            <w:r>
              <w:t xml:space="preserve">of which: cash-based </w:t>
            </w:r>
          </w:p>
        </w:tc>
        <w:tc>
          <w:tcPr>
            <w:tcW w:w="1307" w:type="dxa"/>
          </w:tcPr>
          <w:p w14:paraId="54F6018F" w14:textId="77777777" w:rsidR="00DC29ED" w:rsidRDefault="00DC29ED" w:rsidP="003B063D">
            <w:pPr>
              <w:pStyle w:val="Table"/>
              <w:keepNext/>
              <w:jc w:val="center"/>
            </w:pPr>
          </w:p>
        </w:tc>
        <w:tc>
          <w:tcPr>
            <w:tcW w:w="1307" w:type="dxa"/>
          </w:tcPr>
          <w:p w14:paraId="7CA6BC2A" w14:textId="77777777" w:rsidR="00DC29ED" w:rsidRDefault="00DC29ED" w:rsidP="003B063D">
            <w:pPr>
              <w:pStyle w:val="Table"/>
              <w:keepNext/>
              <w:jc w:val="center"/>
            </w:pPr>
          </w:p>
        </w:tc>
        <w:tc>
          <w:tcPr>
            <w:tcW w:w="991" w:type="dxa"/>
          </w:tcPr>
          <w:p w14:paraId="238D82B5" w14:textId="77777777" w:rsidR="00DC29ED" w:rsidRDefault="00DC29ED" w:rsidP="003B063D">
            <w:pPr>
              <w:pStyle w:val="Table"/>
              <w:keepNext/>
              <w:jc w:val="center"/>
            </w:pPr>
          </w:p>
        </w:tc>
        <w:tc>
          <w:tcPr>
            <w:tcW w:w="1134" w:type="dxa"/>
          </w:tcPr>
          <w:p w14:paraId="06DC1F84" w14:textId="77777777" w:rsidR="00DC29ED" w:rsidRDefault="00DC29ED" w:rsidP="003B063D">
            <w:pPr>
              <w:pStyle w:val="Table"/>
              <w:keepNext/>
              <w:jc w:val="center"/>
            </w:pPr>
          </w:p>
        </w:tc>
      </w:tr>
      <w:tr w:rsidR="00DC29ED" w14:paraId="726F6E67" w14:textId="77777777" w:rsidTr="007F59D5">
        <w:tc>
          <w:tcPr>
            <w:tcW w:w="395" w:type="dxa"/>
          </w:tcPr>
          <w:p w14:paraId="332D073B" w14:textId="0BF7A510" w:rsidR="00DC29ED" w:rsidRDefault="00DC29ED" w:rsidP="003B063D">
            <w:pPr>
              <w:pStyle w:val="Table"/>
            </w:pPr>
            <w:r>
              <w:t>15</w:t>
            </w:r>
          </w:p>
        </w:tc>
        <w:tc>
          <w:tcPr>
            <w:tcW w:w="2680" w:type="dxa"/>
          </w:tcPr>
          <w:p w14:paraId="617B1EE6" w14:textId="19A8B3EA" w:rsidR="00DC29ED" w:rsidRDefault="00DC29ED" w:rsidP="00D5110A">
            <w:pPr>
              <w:pStyle w:val="Table"/>
              <w:ind w:left="142"/>
            </w:pPr>
            <w:r>
              <w:t>of which: share-based awards</w:t>
            </w:r>
          </w:p>
        </w:tc>
        <w:tc>
          <w:tcPr>
            <w:tcW w:w="1307" w:type="dxa"/>
          </w:tcPr>
          <w:p w14:paraId="4B5D4DCC" w14:textId="77777777" w:rsidR="00DC29ED" w:rsidRDefault="00DC29ED" w:rsidP="003B063D">
            <w:pPr>
              <w:pStyle w:val="Table"/>
              <w:jc w:val="center"/>
            </w:pPr>
          </w:p>
        </w:tc>
        <w:tc>
          <w:tcPr>
            <w:tcW w:w="1307" w:type="dxa"/>
          </w:tcPr>
          <w:p w14:paraId="557E68B2" w14:textId="77777777" w:rsidR="00DC29ED" w:rsidRDefault="00DC29ED" w:rsidP="003B063D">
            <w:pPr>
              <w:pStyle w:val="Table"/>
              <w:jc w:val="center"/>
            </w:pPr>
          </w:p>
        </w:tc>
        <w:tc>
          <w:tcPr>
            <w:tcW w:w="991" w:type="dxa"/>
          </w:tcPr>
          <w:p w14:paraId="6D83497B" w14:textId="77777777" w:rsidR="00DC29ED" w:rsidRDefault="00DC29ED" w:rsidP="003B063D">
            <w:pPr>
              <w:pStyle w:val="Table"/>
              <w:jc w:val="center"/>
            </w:pPr>
          </w:p>
        </w:tc>
        <w:tc>
          <w:tcPr>
            <w:tcW w:w="1134" w:type="dxa"/>
          </w:tcPr>
          <w:p w14:paraId="60A6E533" w14:textId="77777777" w:rsidR="00DC29ED" w:rsidRDefault="00DC29ED" w:rsidP="003B063D">
            <w:pPr>
              <w:pStyle w:val="Table"/>
              <w:jc w:val="center"/>
            </w:pPr>
          </w:p>
        </w:tc>
      </w:tr>
      <w:tr w:rsidR="00DC29ED" w14:paraId="40258D37" w14:textId="77777777" w:rsidTr="007F59D5">
        <w:tc>
          <w:tcPr>
            <w:tcW w:w="395" w:type="dxa"/>
          </w:tcPr>
          <w:p w14:paraId="37EB5955" w14:textId="33B7CD23" w:rsidR="00DC29ED" w:rsidRDefault="00DC29ED" w:rsidP="003B063D">
            <w:pPr>
              <w:pStyle w:val="Table"/>
            </w:pPr>
            <w:r>
              <w:t>16</w:t>
            </w:r>
          </w:p>
        </w:tc>
        <w:tc>
          <w:tcPr>
            <w:tcW w:w="2680" w:type="dxa"/>
          </w:tcPr>
          <w:p w14:paraId="5ACEEBB7" w14:textId="780ACDBA" w:rsidR="00DC29ED" w:rsidRPr="00522C94" w:rsidRDefault="00DC29ED" w:rsidP="003B063D">
            <w:pPr>
              <w:pStyle w:val="Table"/>
              <w:ind w:left="142"/>
            </w:pPr>
            <w:r>
              <w:t xml:space="preserve">of which: other </w:t>
            </w:r>
          </w:p>
        </w:tc>
        <w:tc>
          <w:tcPr>
            <w:tcW w:w="1307" w:type="dxa"/>
          </w:tcPr>
          <w:p w14:paraId="4F35C384" w14:textId="77777777" w:rsidR="00DC29ED" w:rsidRDefault="00DC29ED" w:rsidP="003B063D">
            <w:pPr>
              <w:pStyle w:val="Table"/>
              <w:jc w:val="center"/>
            </w:pPr>
          </w:p>
        </w:tc>
        <w:tc>
          <w:tcPr>
            <w:tcW w:w="1307" w:type="dxa"/>
          </w:tcPr>
          <w:p w14:paraId="5C9A7857" w14:textId="77777777" w:rsidR="00DC29ED" w:rsidRDefault="00DC29ED" w:rsidP="003B063D">
            <w:pPr>
              <w:pStyle w:val="Table"/>
              <w:jc w:val="center"/>
            </w:pPr>
          </w:p>
        </w:tc>
        <w:tc>
          <w:tcPr>
            <w:tcW w:w="991" w:type="dxa"/>
          </w:tcPr>
          <w:p w14:paraId="2D079632" w14:textId="77777777" w:rsidR="00DC29ED" w:rsidRDefault="00DC29ED" w:rsidP="003B063D">
            <w:pPr>
              <w:pStyle w:val="Table"/>
              <w:jc w:val="center"/>
            </w:pPr>
          </w:p>
        </w:tc>
        <w:tc>
          <w:tcPr>
            <w:tcW w:w="1134" w:type="dxa"/>
          </w:tcPr>
          <w:p w14:paraId="1719C7EB" w14:textId="77777777" w:rsidR="00DC29ED" w:rsidRDefault="00DC29ED" w:rsidP="003B063D">
            <w:pPr>
              <w:pStyle w:val="Table"/>
              <w:jc w:val="center"/>
            </w:pPr>
          </w:p>
        </w:tc>
      </w:tr>
      <w:tr w:rsidR="00DC29ED" w14:paraId="261A624C" w14:textId="77777777" w:rsidTr="007F59D5">
        <w:tc>
          <w:tcPr>
            <w:tcW w:w="395" w:type="dxa"/>
          </w:tcPr>
          <w:p w14:paraId="7BA74B7F" w14:textId="53EF2CAE" w:rsidR="00DC29ED" w:rsidRDefault="00DC29ED" w:rsidP="003B063D">
            <w:pPr>
              <w:pStyle w:val="Table"/>
            </w:pPr>
            <w:r>
              <w:t>17</w:t>
            </w:r>
          </w:p>
        </w:tc>
        <w:tc>
          <w:tcPr>
            <w:tcW w:w="2680" w:type="dxa"/>
          </w:tcPr>
          <w:p w14:paraId="5C084324" w14:textId="585F423B" w:rsidR="00DC29ED" w:rsidRDefault="00DC29ED" w:rsidP="003B063D">
            <w:pPr>
              <w:pStyle w:val="Table"/>
            </w:pPr>
            <w:r w:rsidRPr="00522C94">
              <w:t xml:space="preserve">Average percentage increase </w:t>
            </w:r>
            <w:r>
              <w:t xml:space="preserve">in total variable remuneration (row 9) </w:t>
            </w:r>
            <w:r w:rsidRPr="00522C94">
              <w:t>on previous financial year</w:t>
            </w:r>
          </w:p>
        </w:tc>
        <w:tc>
          <w:tcPr>
            <w:tcW w:w="1307" w:type="dxa"/>
          </w:tcPr>
          <w:p w14:paraId="4404AD98" w14:textId="77777777" w:rsidR="00DC29ED" w:rsidRDefault="00DC29ED" w:rsidP="003B063D">
            <w:pPr>
              <w:pStyle w:val="Table"/>
              <w:jc w:val="center"/>
            </w:pPr>
          </w:p>
        </w:tc>
        <w:tc>
          <w:tcPr>
            <w:tcW w:w="1307" w:type="dxa"/>
          </w:tcPr>
          <w:p w14:paraId="0284812E" w14:textId="77777777" w:rsidR="00DC29ED" w:rsidRDefault="00DC29ED" w:rsidP="003B063D">
            <w:pPr>
              <w:pStyle w:val="Table"/>
              <w:jc w:val="center"/>
            </w:pPr>
          </w:p>
        </w:tc>
        <w:tc>
          <w:tcPr>
            <w:tcW w:w="991" w:type="dxa"/>
          </w:tcPr>
          <w:p w14:paraId="305C76D6" w14:textId="77777777" w:rsidR="00DC29ED" w:rsidRDefault="00DC29ED" w:rsidP="003B063D">
            <w:pPr>
              <w:pStyle w:val="Table"/>
              <w:jc w:val="center"/>
            </w:pPr>
          </w:p>
        </w:tc>
        <w:tc>
          <w:tcPr>
            <w:tcW w:w="1134" w:type="dxa"/>
          </w:tcPr>
          <w:p w14:paraId="6647C144" w14:textId="77777777" w:rsidR="00DC29ED" w:rsidRDefault="00DC29ED" w:rsidP="003B063D">
            <w:pPr>
              <w:pStyle w:val="Table"/>
              <w:jc w:val="center"/>
            </w:pPr>
          </w:p>
        </w:tc>
      </w:tr>
      <w:tr w:rsidR="00DC29ED" w14:paraId="29380639" w14:textId="77777777" w:rsidTr="007F59D5">
        <w:tc>
          <w:tcPr>
            <w:tcW w:w="395" w:type="dxa"/>
          </w:tcPr>
          <w:p w14:paraId="5D39C96F" w14:textId="6B00FD36" w:rsidR="00DC29ED" w:rsidRDefault="00DC29ED" w:rsidP="003B063D">
            <w:pPr>
              <w:pStyle w:val="Table"/>
            </w:pPr>
            <w:r>
              <w:t>18</w:t>
            </w:r>
          </w:p>
        </w:tc>
        <w:tc>
          <w:tcPr>
            <w:tcW w:w="2680" w:type="dxa"/>
          </w:tcPr>
          <w:p w14:paraId="0CF1A0A3" w14:textId="518361D7" w:rsidR="00DC29ED" w:rsidRPr="00522C94" w:rsidRDefault="00DC29ED" w:rsidP="003B063D">
            <w:pPr>
              <w:pStyle w:val="Table"/>
            </w:pPr>
            <w:r w:rsidRPr="00522C94">
              <w:rPr>
                <w:b/>
              </w:rPr>
              <w:t xml:space="preserve">Total </w:t>
            </w:r>
            <w:r>
              <w:rPr>
                <w:b/>
              </w:rPr>
              <w:t>r</w:t>
            </w:r>
            <w:r w:rsidRPr="00522C94">
              <w:rPr>
                <w:b/>
              </w:rPr>
              <w:t>emuneration</w:t>
            </w:r>
            <w:r>
              <w:br/>
              <w:t>(sum of rows 2 + 9)</w:t>
            </w:r>
          </w:p>
        </w:tc>
        <w:tc>
          <w:tcPr>
            <w:tcW w:w="1307" w:type="dxa"/>
          </w:tcPr>
          <w:p w14:paraId="2CAC439D" w14:textId="77777777" w:rsidR="00DC29ED" w:rsidRDefault="00DC29ED" w:rsidP="003B063D">
            <w:pPr>
              <w:pStyle w:val="Table"/>
              <w:jc w:val="center"/>
            </w:pPr>
          </w:p>
        </w:tc>
        <w:tc>
          <w:tcPr>
            <w:tcW w:w="1307" w:type="dxa"/>
          </w:tcPr>
          <w:p w14:paraId="67AAB2ED" w14:textId="77777777" w:rsidR="00DC29ED" w:rsidRDefault="00DC29ED" w:rsidP="003B063D">
            <w:pPr>
              <w:pStyle w:val="Table"/>
              <w:jc w:val="center"/>
            </w:pPr>
          </w:p>
        </w:tc>
        <w:tc>
          <w:tcPr>
            <w:tcW w:w="991" w:type="dxa"/>
          </w:tcPr>
          <w:p w14:paraId="1A9F2696" w14:textId="77777777" w:rsidR="00DC29ED" w:rsidRDefault="00DC29ED" w:rsidP="003B063D">
            <w:pPr>
              <w:pStyle w:val="Table"/>
              <w:jc w:val="center"/>
            </w:pPr>
          </w:p>
        </w:tc>
        <w:tc>
          <w:tcPr>
            <w:tcW w:w="1134" w:type="dxa"/>
          </w:tcPr>
          <w:p w14:paraId="6697FEF7" w14:textId="77777777" w:rsidR="00DC29ED" w:rsidRDefault="00DC29ED" w:rsidP="003B063D">
            <w:pPr>
              <w:pStyle w:val="Table"/>
              <w:jc w:val="center"/>
            </w:pPr>
          </w:p>
        </w:tc>
      </w:tr>
      <w:bookmarkEnd w:id="263"/>
    </w:tbl>
    <w:p w14:paraId="2A80CCE7" w14:textId="00889F73" w:rsidR="00A95B90" w:rsidRDefault="00A95B90" w:rsidP="00A95B90"/>
    <w:p w14:paraId="1459B866" w14:textId="32323A99" w:rsidR="000C0268" w:rsidRPr="000C0268" w:rsidRDefault="000C0268" w:rsidP="007733CD">
      <w:pPr>
        <w:pStyle w:val="Heading3"/>
      </w:pPr>
      <w:bookmarkStart w:id="265" w:name="_Toc102482631"/>
      <w:r w:rsidRPr="000C0268">
        <w:lastRenderedPageBreak/>
        <w:t>Special payments</w:t>
      </w:r>
      <w:bookmarkEnd w:id="265"/>
    </w:p>
    <w:p w14:paraId="498BFE66" w14:textId="0071CFD5" w:rsidR="004B72A0" w:rsidRDefault="000C0268" w:rsidP="00CD17C1">
      <w:pPr>
        <w:pStyle w:val="BodyText1"/>
        <w:tabs>
          <w:tab w:val="clear" w:pos="567"/>
          <w:tab w:val="num" w:pos="4961"/>
        </w:tabs>
      </w:pPr>
      <w:bookmarkStart w:id="266" w:name="_Hlk130360656"/>
      <w:r w:rsidRPr="000C0268">
        <w:t>An APRA-regulated entity must disclose any special payments made in the financial year as set out in Table 3.</w:t>
      </w:r>
      <w:r w:rsidR="00A332B5">
        <w:rPr>
          <w:rStyle w:val="FootnoteReference"/>
        </w:rPr>
        <w:footnoteReference w:id="22"/>
      </w:r>
    </w:p>
    <w:p w14:paraId="23B190A9" w14:textId="05088447" w:rsidR="00DF2967" w:rsidRDefault="008B79DE" w:rsidP="00CD17C1">
      <w:pPr>
        <w:pStyle w:val="BodyText1"/>
        <w:tabs>
          <w:tab w:val="clear" w:pos="567"/>
          <w:tab w:val="num" w:pos="4961"/>
        </w:tabs>
      </w:pPr>
      <w:bookmarkStart w:id="267" w:name="_Ref130896119"/>
      <w:r>
        <w:t>A</w:t>
      </w:r>
      <w:r w:rsidR="009944C7">
        <w:t xml:space="preserve"> s</w:t>
      </w:r>
      <w:r w:rsidR="00DF2967">
        <w:t xml:space="preserve">pecial payment </w:t>
      </w:r>
      <w:r>
        <w:t>is a</w:t>
      </w:r>
      <w:r w:rsidR="00DF2967">
        <w:t xml:space="preserve"> </w:t>
      </w:r>
      <w:r w:rsidR="00CD17C1">
        <w:t>one-off</w:t>
      </w:r>
      <w:r w:rsidR="00C44179">
        <w:t xml:space="preserve"> </w:t>
      </w:r>
      <w:r w:rsidR="00A332B5">
        <w:t>:</w:t>
      </w:r>
      <w:bookmarkEnd w:id="267"/>
      <w:r w:rsidR="00DF2967">
        <w:t xml:space="preserve"> </w:t>
      </w:r>
    </w:p>
    <w:p w14:paraId="46D45D96" w14:textId="472B61CE" w:rsidR="00DF2967" w:rsidRDefault="00A332B5" w:rsidP="0069770F">
      <w:pPr>
        <w:pStyle w:val="BodyText2"/>
      </w:pPr>
      <w:r>
        <w:t>guaranteed bonus</w:t>
      </w:r>
      <w:r w:rsidR="001451EB">
        <w:t>;</w:t>
      </w:r>
    </w:p>
    <w:p w14:paraId="33243771" w14:textId="7500DDA5" w:rsidR="00DF2967" w:rsidRDefault="00A332B5" w:rsidP="0069770F">
      <w:pPr>
        <w:pStyle w:val="BodyText2"/>
      </w:pPr>
      <w:r>
        <w:t>sign-on</w:t>
      </w:r>
      <w:r w:rsidR="003005CC">
        <w:t xml:space="preserve"> </w:t>
      </w:r>
      <w:r>
        <w:t>award</w:t>
      </w:r>
      <w:r w:rsidR="001451EB">
        <w:t xml:space="preserve"> to a newly appointed employee upon recruitment; or</w:t>
      </w:r>
      <w:r>
        <w:t xml:space="preserve"> </w:t>
      </w:r>
    </w:p>
    <w:p w14:paraId="10926292" w14:textId="13FFB91E" w:rsidR="00DF2967" w:rsidRDefault="00A332B5" w:rsidP="0069770F">
      <w:pPr>
        <w:pStyle w:val="BodyText2"/>
      </w:pPr>
      <w:r>
        <w:t xml:space="preserve">severance </w:t>
      </w:r>
      <w:r w:rsidR="002C1189">
        <w:t>award</w:t>
      </w:r>
      <w:r w:rsidR="001451EB">
        <w:t xml:space="preserve"> </w:t>
      </w:r>
      <w:r w:rsidR="00615C39">
        <w:t xml:space="preserve">made </w:t>
      </w:r>
      <w:r w:rsidR="001451EB">
        <w:t>to an employee ceasing employment</w:t>
      </w:r>
      <w:r w:rsidR="0097333B">
        <w:t>,</w:t>
      </w:r>
      <w:r w:rsidR="001451EB">
        <w:t xml:space="preserve"> </w:t>
      </w:r>
      <w:r w:rsidR="00615C39">
        <w:t>e</w:t>
      </w:r>
      <w:r w:rsidR="001451EB">
        <w:t>xclud</w:t>
      </w:r>
      <w:r w:rsidR="00615C39">
        <w:t>ing</w:t>
      </w:r>
      <w:r w:rsidR="001451EB">
        <w:t xml:space="preserve"> any statutory entitlements.</w:t>
      </w:r>
    </w:p>
    <w:bookmarkEnd w:id="266"/>
    <w:p w14:paraId="4A814903" w14:textId="23E8897F" w:rsidR="000C0268" w:rsidRPr="00706A0E" w:rsidRDefault="00706A0E" w:rsidP="00706A0E">
      <w:pPr>
        <w:pStyle w:val="TableHeadNumber"/>
      </w:pPr>
      <w:r w:rsidRPr="00706A0E">
        <w:t>Table 3</w:t>
      </w:r>
      <w:r w:rsidRPr="00706A0E">
        <w:tab/>
        <w:t>Special payments</w:t>
      </w:r>
    </w:p>
    <w:tbl>
      <w:tblPr>
        <w:tblStyle w:val="TableGrid"/>
        <w:tblW w:w="8065" w:type="dxa"/>
        <w:tblLayout w:type="fixed"/>
        <w:tblCellMar>
          <w:left w:w="57" w:type="dxa"/>
          <w:right w:w="57" w:type="dxa"/>
        </w:tblCellMar>
        <w:tblLook w:val="04A0" w:firstRow="1" w:lastRow="0" w:firstColumn="1" w:lastColumn="0" w:noHBand="0" w:noVBand="1"/>
      </w:tblPr>
      <w:tblGrid>
        <w:gridCol w:w="331"/>
        <w:gridCol w:w="2450"/>
        <w:gridCol w:w="1321"/>
        <w:gridCol w:w="1321"/>
        <w:gridCol w:w="1321"/>
        <w:gridCol w:w="1321"/>
      </w:tblGrid>
      <w:tr w:rsidR="007F4F07" w14:paraId="4872B138" w14:textId="77777777" w:rsidTr="0069770F">
        <w:trPr>
          <w:tblHeader/>
        </w:trPr>
        <w:tc>
          <w:tcPr>
            <w:tcW w:w="331" w:type="dxa"/>
          </w:tcPr>
          <w:p w14:paraId="05D78B6B" w14:textId="77777777" w:rsidR="00576542" w:rsidRPr="00AB0232" w:rsidRDefault="00576542" w:rsidP="003B063D">
            <w:pPr>
              <w:pStyle w:val="Table"/>
              <w:rPr>
                <w:b/>
              </w:rPr>
            </w:pPr>
          </w:p>
        </w:tc>
        <w:tc>
          <w:tcPr>
            <w:tcW w:w="2450" w:type="dxa"/>
            <w:vAlign w:val="bottom"/>
          </w:tcPr>
          <w:p w14:paraId="390C41CB" w14:textId="67746B74" w:rsidR="00576542" w:rsidRPr="00AB0232" w:rsidRDefault="00576542" w:rsidP="003B063D">
            <w:pPr>
              <w:pStyle w:val="Table"/>
              <w:rPr>
                <w:b/>
              </w:rPr>
            </w:pPr>
            <w:r w:rsidRPr="00AB0232">
              <w:rPr>
                <w:b/>
              </w:rPr>
              <w:t>A$m</w:t>
            </w:r>
          </w:p>
        </w:tc>
        <w:tc>
          <w:tcPr>
            <w:tcW w:w="1321" w:type="dxa"/>
            <w:vAlign w:val="bottom"/>
          </w:tcPr>
          <w:p w14:paraId="2644CBE2" w14:textId="77777777" w:rsidR="00576542" w:rsidRPr="00AB0232" w:rsidRDefault="00576542" w:rsidP="003B063D">
            <w:pPr>
              <w:pStyle w:val="Table"/>
              <w:jc w:val="center"/>
              <w:rPr>
                <w:b/>
              </w:rPr>
            </w:pPr>
            <w:r>
              <w:rPr>
                <w:b/>
              </w:rPr>
              <w:t>CEO</w:t>
            </w:r>
          </w:p>
        </w:tc>
        <w:tc>
          <w:tcPr>
            <w:tcW w:w="1321" w:type="dxa"/>
            <w:vAlign w:val="bottom"/>
          </w:tcPr>
          <w:p w14:paraId="384E6D5A" w14:textId="77777777" w:rsidR="00576542" w:rsidRPr="00AB0232" w:rsidRDefault="00576542" w:rsidP="003B063D">
            <w:pPr>
              <w:pStyle w:val="Table"/>
              <w:jc w:val="center"/>
              <w:rPr>
                <w:b/>
              </w:rPr>
            </w:pPr>
            <w:r>
              <w:rPr>
                <w:b/>
              </w:rPr>
              <w:t>Other senior managers</w:t>
            </w:r>
          </w:p>
        </w:tc>
        <w:tc>
          <w:tcPr>
            <w:tcW w:w="1321" w:type="dxa"/>
            <w:vAlign w:val="bottom"/>
          </w:tcPr>
          <w:p w14:paraId="33C5DDC7" w14:textId="77777777" w:rsidR="00576542" w:rsidRPr="00AB0232" w:rsidRDefault="00576542" w:rsidP="003B063D">
            <w:pPr>
              <w:pStyle w:val="Table"/>
              <w:jc w:val="center"/>
              <w:rPr>
                <w:b/>
              </w:rPr>
            </w:pPr>
            <w:r w:rsidRPr="00AB0232">
              <w:rPr>
                <w:b/>
              </w:rPr>
              <w:t>Highly paid material risk-takers</w:t>
            </w:r>
          </w:p>
        </w:tc>
        <w:tc>
          <w:tcPr>
            <w:tcW w:w="1321" w:type="dxa"/>
            <w:vAlign w:val="bottom"/>
          </w:tcPr>
          <w:p w14:paraId="48D9EB17" w14:textId="29FE6A8C" w:rsidR="00576542" w:rsidRPr="00AB0232" w:rsidRDefault="00576542" w:rsidP="003B063D">
            <w:pPr>
              <w:pStyle w:val="Table"/>
              <w:jc w:val="center"/>
              <w:rPr>
                <w:b/>
              </w:rPr>
            </w:pPr>
            <w:r>
              <w:rPr>
                <w:b/>
              </w:rPr>
              <w:t xml:space="preserve">Other </w:t>
            </w:r>
            <w:r w:rsidRPr="00EC1573">
              <w:rPr>
                <w:b/>
              </w:rPr>
              <w:t>material</w:t>
            </w:r>
            <w:r w:rsidRPr="00AB0232">
              <w:rPr>
                <w:b/>
              </w:rPr>
              <w:t xml:space="preserve"> risk-takers</w:t>
            </w:r>
          </w:p>
        </w:tc>
      </w:tr>
      <w:tr w:rsidR="007F4F07" w14:paraId="65023AC1" w14:textId="77777777" w:rsidTr="0069770F">
        <w:tc>
          <w:tcPr>
            <w:tcW w:w="331" w:type="dxa"/>
          </w:tcPr>
          <w:p w14:paraId="050AFCDD" w14:textId="77777777" w:rsidR="00576542" w:rsidRDefault="00576542" w:rsidP="003B063D">
            <w:pPr>
              <w:pStyle w:val="Table"/>
            </w:pPr>
            <w:r>
              <w:t>1</w:t>
            </w:r>
          </w:p>
        </w:tc>
        <w:tc>
          <w:tcPr>
            <w:tcW w:w="2450" w:type="dxa"/>
          </w:tcPr>
          <w:p w14:paraId="11934B8E" w14:textId="7969823B" w:rsidR="00576542" w:rsidRPr="009A6373" w:rsidRDefault="00576542" w:rsidP="003B063D">
            <w:pPr>
              <w:pStyle w:val="Table"/>
            </w:pPr>
            <w:r>
              <w:t>Number of employees paid a guaranteed bonus</w:t>
            </w:r>
          </w:p>
        </w:tc>
        <w:tc>
          <w:tcPr>
            <w:tcW w:w="1321" w:type="dxa"/>
          </w:tcPr>
          <w:p w14:paraId="5AC652F0" w14:textId="450E56C8" w:rsidR="00576542" w:rsidRPr="009A6373" w:rsidRDefault="00576542" w:rsidP="003B063D">
            <w:pPr>
              <w:pStyle w:val="Table"/>
              <w:jc w:val="center"/>
            </w:pPr>
            <w:r>
              <w:t>-</w:t>
            </w:r>
          </w:p>
        </w:tc>
        <w:tc>
          <w:tcPr>
            <w:tcW w:w="1321" w:type="dxa"/>
          </w:tcPr>
          <w:p w14:paraId="05689E8D" w14:textId="77777777" w:rsidR="00576542" w:rsidRPr="009A6373" w:rsidRDefault="00576542" w:rsidP="003B063D">
            <w:pPr>
              <w:pStyle w:val="Table"/>
              <w:jc w:val="center"/>
            </w:pPr>
          </w:p>
        </w:tc>
        <w:tc>
          <w:tcPr>
            <w:tcW w:w="1321" w:type="dxa"/>
          </w:tcPr>
          <w:p w14:paraId="19974724" w14:textId="77777777" w:rsidR="00576542" w:rsidRPr="009A6373" w:rsidRDefault="00576542" w:rsidP="003B063D">
            <w:pPr>
              <w:pStyle w:val="Table"/>
              <w:jc w:val="center"/>
            </w:pPr>
          </w:p>
        </w:tc>
        <w:tc>
          <w:tcPr>
            <w:tcW w:w="1321" w:type="dxa"/>
          </w:tcPr>
          <w:p w14:paraId="5B90E13B" w14:textId="77777777" w:rsidR="00576542" w:rsidRPr="009A6373" w:rsidRDefault="00576542" w:rsidP="003B063D">
            <w:pPr>
              <w:pStyle w:val="Table"/>
              <w:jc w:val="center"/>
            </w:pPr>
          </w:p>
        </w:tc>
      </w:tr>
      <w:tr w:rsidR="007F4F07" w14:paraId="58C14ECB" w14:textId="77777777" w:rsidTr="0069770F">
        <w:tc>
          <w:tcPr>
            <w:tcW w:w="331" w:type="dxa"/>
          </w:tcPr>
          <w:p w14:paraId="2194E717" w14:textId="77777777" w:rsidR="00576542" w:rsidRDefault="00576542" w:rsidP="003B063D">
            <w:pPr>
              <w:pStyle w:val="Table"/>
            </w:pPr>
            <w:r>
              <w:t>2</w:t>
            </w:r>
          </w:p>
        </w:tc>
        <w:tc>
          <w:tcPr>
            <w:tcW w:w="2450" w:type="dxa"/>
          </w:tcPr>
          <w:p w14:paraId="68722330" w14:textId="0823962E" w:rsidR="00576542" w:rsidRPr="00BC72DA" w:rsidRDefault="00576542" w:rsidP="003B063D">
            <w:pPr>
              <w:pStyle w:val="Table"/>
              <w:rPr>
                <w:b/>
              </w:rPr>
            </w:pPr>
            <w:r w:rsidRPr="00BC72DA">
              <w:rPr>
                <w:b/>
              </w:rPr>
              <w:t>Total guaranteed bonuses</w:t>
            </w:r>
          </w:p>
        </w:tc>
        <w:tc>
          <w:tcPr>
            <w:tcW w:w="1321" w:type="dxa"/>
          </w:tcPr>
          <w:p w14:paraId="7DBCCD5D" w14:textId="77777777" w:rsidR="00576542" w:rsidRPr="009A6373" w:rsidRDefault="00576542" w:rsidP="003B063D">
            <w:pPr>
              <w:pStyle w:val="Table"/>
              <w:jc w:val="center"/>
            </w:pPr>
          </w:p>
        </w:tc>
        <w:tc>
          <w:tcPr>
            <w:tcW w:w="1321" w:type="dxa"/>
          </w:tcPr>
          <w:p w14:paraId="4F1F5C53" w14:textId="77777777" w:rsidR="00576542" w:rsidRPr="009A6373" w:rsidRDefault="00576542" w:rsidP="003B063D">
            <w:pPr>
              <w:pStyle w:val="Table"/>
              <w:jc w:val="center"/>
            </w:pPr>
          </w:p>
        </w:tc>
        <w:tc>
          <w:tcPr>
            <w:tcW w:w="1321" w:type="dxa"/>
          </w:tcPr>
          <w:p w14:paraId="0125B998" w14:textId="77777777" w:rsidR="00576542" w:rsidRPr="009A6373" w:rsidRDefault="00576542" w:rsidP="003B063D">
            <w:pPr>
              <w:pStyle w:val="Table"/>
              <w:jc w:val="center"/>
            </w:pPr>
          </w:p>
        </w:tc>
        <w:tc>
          <w:tcPr>
            <w:tcW w:w="1321" w:type="dxa"/>
          </w:tcPr>
          <w:p w14:paraId="1F4D9CBD" w14:textId="77777777" w:rsidR="00576542" w:rsidRPr="009A6373" w:rsidRDefault="00576542" w:rsidP="003B063D">
            <w:pPr>
              <w:pStyle w:val="Table"/>
              <w:jc w:val="center"/>
            </w:pPr>
          </w:p>
        </w:tc>
      </w:tr>
      <w:tr w:rsidR="007F4F07" w14:paraId="5B15949A" w14:textId="77777777" w:rsidTr="0069770F">
        <w:tc>
          <w:tcPr>
            <w:tcW w:w="331" w:type="dxa"/>
          </w:tcPr>
          <w:p w14:paraId="6B31EEDA" w14:textId="77777777" w:rsidR="00576542" w:rsidRDefault="00576542" w:rsidP="003B063D">
            <w:pPr>
              <w:pStyle w:val="Table"/>
            </w:pPr>
            <w:r>
              <w:t>3</w:t>
            </w:r>
          </w:p>
        </w:tc>
        <w:tc>
          <w:tcPr>
            <w:tcW w:w="2450" w:type="dxa"/>
          </w:tcPr>
          <w:p w14:paraId="75A51DB9" w14:textId="4B8EBF05" w:rsidR="00576542" w:rsidRPr="009A6373" w:rsidRDefault="00576542" w:rsidP="003B063D">
            <w:pPr>
              <w:pStyle w:val="Table"/>
            </w:pPr>
            <w:r>
              <w:t>Number of employees paid a sign-on award</w:t>
            </w:r>
          </w:p>
        </w:tc>
        <w:tc>
          <w:tcPr>
            <w:tcW w:w="1321" w:type="dxa"/>
          </w:tcPr>
          <w:p w14:paraId="5A723E36" w14:textId="171941A7" w:rsidR="00576542" w:rsidRPr="009A6373" w:rsidRDefault="00576542" w:rsidP="003B063D">
            <w:pPr>
              <w:pStyle w:val="Table"/>
              <w:jc w:val="center"/>
            </w:pPr>
            <w:r>
              <w:t>-</w:t>
            </w:r>
          </w:p>
        </w:tc>
        <w:tc>
          <w:tcPr>
            <w:tcW w:w="1321" w:type="dxa"/>
          </w:tcPr>
          <w:p w14:paraId="6BC98F22" w14:textId="77777777" w:rsidR="00576542" w:rsidRPr="009A6373" w:rsidRDefault="00576542" w:rsidP="003B063D">
            <w:pPr>
              <w:pStyle w:val="Table"/>
              <w:jc w:val="center"/>
            </w:pPr>
          </w:p>
        </w:tc>
        <w:tc>
          <w:tcPr>
            <w:tcW w:w="1321" w:type="dxa"/>
          </w:tcPr>
          <w:p w14:paraId="2E84EC4F" w14:textId="77777777" w:rsidR="00576542" w:rsidRPr="009A6373" w:rsidRDefault="00576542" w:rsidP="003B063D">
            <w:pPr>
              <w:pStyle w:val="Table"/>
              <w:jc w:val="center"/>
            </w:pPr>
          </w:p>
        </w:tc>
        <w:tc>
          <w:tcPr>
            <w:tcW w:w="1321" w:type="dxa"/>
          </w:tcPr>
          <w:p w14:paraId="3C6A6E56" w14:textId="77777777" w:rsidR="00576542" w:rsidRPr="009A6373" w:rsidRDefault="00576542" w:rsidP="003B063D">
            <w:pPr>
              <w:pStyle w:val="Table"/>
              <w:jc w:val="center"/>
            </w:pPr>
          </w:p>
        </w:tc>
      </w:tr>
      <w:tr w:rsidR="007F4F07" w14:paraId="6E1125BC" w14:textId="77777777" w:rsidTr="0069770F">
        <w:tc>
          <w:tcPr>
            <w:tcW w:w="331" w:type="dxa"/>
          </w:tcPr>
          <w:p w14:paraId="65F2AF29" w14:textId="77777777" w:rsidR="00576542" w:rsidRDefault="00576542" w:rsidP="003B063D">
            <w:pPr>
              <w:pStyle w:val="Table"/>
            </w:pPr>
            <w:r>
              <w:t>4</w:t>
            </w:r>
          </w:p>
        </w:tc>
        <w:tc>
          <w:tcPr>
            <w:tcW w:w="2450" w:type="dxa"/>
          </w:tcPr>
          <w:p w14:paraId="2A36A238" w14:textId="1EE94343" w:rsidR="00576542" w:rsidRPr="00BC72DA" w:rsidRDefault="00576542" w:rsidP="003B063D">
            <w:pPr>
              <w:pStyle w:val="Table"/>
              <w:rPr>
                <w:b/>
              </w:rPr>
            </w:pPr>
            <w:r w:rsidRPr="00BC72DA">
              <w:rPr>
                <w:b/>
              </w:rPr>
              <w:t xml:space="preserve">Total sign-on awards </w:t>
            </w:r>
          </w:p>
        </w:tc>
        <w:tc>
          <w:tcPr>
            <w:tcW w:w="1321" w:type="dxa"/>
          </w:tcPr>
          <w:p w14:paraId="0CFA0E85" w14:textId="77777777" w:rsidR="00576542" w:rsidRPr="00F9386A" w:rsidRDefault="00576542" w:rsidP="003B063D">
            <w:pPr>
              <w:pStyle w:val="Table"/>
              <w:jc w:val="center"/>
            </w:pPr>
          </w:p>
        </w:tc>
        <w:tc>
          <w:tcPr>
            <w:tcW w:w="1321" w:type="dxa"/>
          </w:tcPr>
          <w:p w14:paraId="700BC56D" w14:textId="77777777" w:rsidR="00576542" w:rsidRPr="00F9386A" w:rsidRDefault="00576542" w:rsidP="003B063D">
            <w:pPr>
              <w:pStyle w:val="Table"/>
              <w:jc w:val="center"/>
            </w:pPr>
          </w:p>
        </w:tc>
        <w:tc>
          <w:tcPr>
            <w:tcW w:w="1321" w:type="dxa"/>
          </w:tcPr>
          <w:p w14:paraId="0EA1E0E2" w14:textId="77777777" w:rsidR="00576542" w:rsidRPr="00F9386A" w:rsidRDefault="00576542" w:rsidP="003B063D">
            <w:pPr>
              <w:pStyle w:val="Table"/>
              <w:jc w:val="center"/>
            </w:pPr>
          </w:p>
        </w:tc>
        <w:tc>
          <w:tcPr>
            <w:tcW w:w="1321" w:type="dxa"/>
          </w:tcPr>
          <w:p w14:paraId="733D025C" w14:textId="77777777" w:rsidR="00576542" w:rsidRPr="00F9386A" w:rsidRDefault="00576542" w:rsidP="003B063D">
            <w:pPr>
              <w:pStyle w:val="Table"/>
              <w:jc w:val="center"/>
            </w:pPr>
          </w:p>
        </w:tc>
      </w:tr>
      <w:tr w:rsidR="007F4F07" w14:paraId="00223009" w14:textId="77777777" w:rsidTr="0069770F">
        <w:tc>
          <w:tcPr>
            <w:tcW w:w="331" w:type="dxa"/>
          </w:tcPr>
          <w:p w14:paraId="78A9BB2D" w14:textId="77777777" w:rsidR="00576542" w:rsidRDefault="00576542" w:rsidP="003B063D">
            <w:pPr>
              <w:pStyle w:val="Table"/>
            </w:pPr>
            <w:r>
              <w:t>5</w:t>
            </w:r>
          </w:p>
        </w:tc>
        <w:tc>
          <w:tcPr>
            <w:tcW w:w="2450" w:type="dxa"/>
          </w:tcPr>
          <w:p w14:paraId="227E9F04" w14:textId="2411D1E7" w:rsidR="00576542" w:rsidRPr="009A6373" w:rsidRDefault="00576542" w:rsidP="003B063D">
            <w:pPr>
              <w:pStyle w:val="Table"/>
            </w:pPr>
            <w:r>
              <w:t>Number of employees paid a severance payment</w:t>
            </w:r>
          </w:p>
        </w:tc>
        <w:tc>
          <w:tcPr>
            <w:tcW w:w="1321" w:type="dxa"/>
          </w:tcPr>
          <w:p w14:paraId="6EA7250E" w14:textId="3B0183F8" w:rsidR="00576542" w:rsidRDefault="00576542" w:rsidP="003B063D">
            <w:pPr>
              <w:pStyle w:val="Table"/>
              <w:jc w:val="center"/>
            </w:pPr>
            <w:r>
              <w:t>-</w:t>
            </w:r>
          </w:p>
        </w:tc>
        <w:tc>
          <w:tcPr>
            <w:tcW w:w="1321" w:type="dxa"/>
          </w:tcPr>
          <w:p w14:paraId="1D458AAA" w14:textId="77777777" w:rsidR="00576542" w:rsidRDefault="00576542" w:rsidP="003B063D">
            <w:pPr>
              <w:pStyle w:val="Table"/>
              <w:jc w:val="center"/>
            </w:pPr>
          </w:p>
        </w:tc>
        <w:tc>
          <w:tcPr>
            <w:tcW w:w="1321" w:type="dxa"/>
          </w:tcPr>
          <w:p w14:paraId="0FE569E9" w14:textId="77777777" w:rsidR="00576542" w:rsidRDefault="00576542" w:rsidP="003B063D">
            <w:pPr>
              <w:pStyle w:val="Table"/>
              <w:jc w:val="center"/>
            </w:pPr>
          </w:p>
        </w:tc>
        <w:tc>
          <w:tcPr>
            <w:tcW w:w="1321" w:type="dxa"/>
          </w:tcPr>
          <w:p w14:paraId="6F1CD46D" w14:textId="77777777" w:rsidR="00576542" w:rsidRDefault="00576542" w:rsidP="003B063D">
            <w:pPr>
              <w:pStyle w:val="Table"/>
              <w:jc w:val="center"/>
            </w:pPr>
          </w:p>
        </w:tc>
      </w:tr>
      <w:tr w:rsidR="007F4F07" w14:paraId="047223CF" w14:textId="77777777" w:rsidTr="0069770F">
        <w:tc>
          <w:tcPr>
            <w:tcW w:w="331" w:type="dxa"/>
          </w:tcPr>
          <w:p w14:paraId="3A9981EA" w14:textId="77777777" w:rsidR="00576542" w:rsidRDefault="00576542" w:rsidP="003B063D">
            <w:pPr>
              <w:pStyle w:val="Table"/>
            </w:pPr>
            <w:r>
              <w:t>6</w:t>
            </w:r>
          </w:p>
        </w:tc>
        <w:tc>
          <w:tcPr>
            <w:tcW w:w="2450" w:type="dxa"/>
          </w:tcPr>
          <w:p w14:paraId="2E19D423" w14:textId="583EA109" w:rsidR="00576542" w:rsidRPr="00BC72DA" w:rsidRDefault="00576542" w:rsidP="003B063D">
            <w:pPr>
              <w:pStyle w:val="Table"/>
              <w:rPr>
                <w:b/>
              </w:rPr>
            </w:pPr>
            <w:r w:rsidRPr="00BC72DA">
              <w:rPr>
                <w:b/>
              </w:rPr>
              <w:t xml:space="preserve">Total severance payments </w:t>
            </w:r>
          </w:p>
        </w:tc>
        <w:tc>
          <w:tcPr>
            <w:tcW w:w="1321" w:type="dxa"/>
          </w:tcPr>
          <w:p w14:paraId="2FEC1AAF" w14:textId="77777777" w:rsidR="00576542" w:rsidRDefault="00576542" w:rsidP="003B063D">
            <w:pPr>
              <w:pStyle w:val="Table"/>
              <w:jc w:val="center"/>
            </w:pPr>
          </w:p>
        </w:tc>
        <w:tc>
          <w:tcPr>
            <w:tcW w:w="1321" w:type="dxa"/>
          </w:tcPr>
          <w:p w14:paraId="0FC8687F" w14:textId="77777777" w:rsidR="00576542" w:rsidRDefault="00576542" w:rsidP="003B063D">
            <w:pPr>
              <w:pStyle w:val="Table"/>
              <w:jc w:val="center"/>
            </w:pPr>
          </w:p>
        </w:tc>
        <w:tc>
          <w:tcPr>
            <w:tcW w:w="1321" w:type="dxa"/>
          </w:tcPr>
          <w:p w14:paraId="165D771A" w14:textId="77777777" w:rsidR="00576542" w:rsidRDefault="00576542" w:rsidP="003B063D">
            <w:pPr>
              <w:pStyle w:val="Table"/>
              <w:jc w:val="center"/>
            </w:pPr>
          </w:p>
        </w:tc>
        <w:tc>
          <w:tcPr>
            <w:tcW w:w="1321" w:type="dxa"/>
          </w:tcPr>
          <w:p w14:paraId="1AAEE54F" w14:textId="77777777" w:rsidR="00576542" w:rsidRDefault="00576542" w:rsidP="003B063D">
            <w:pPr>
              <w:pStyle w:val="Table"/>
              <w:jc w:val="center"/>
            </w:pPr>
          </w:p>
        </w:tc>
      </w:tr>
    </w:tbl>
    <w:p w14:paraId="3F54C9DC" w14:textId="2B327763" w:rsidR="000C0268" w:rsidRDefault="000C0268" w:rsidP="00A95B90"/>
    <w:p w14:paraId="4A1AE39C" w14:textId="690CC2AE" w:rsidR="000C0268" w:rsidRPr="00706A0E" w:rsidRDefault="00706A0E" w:rsidP="007733CD">
      <w:pPr>
        <w:pStyle w:val="Heading3"/>
      </w:pPr>
      <w:bookmarkStart w:id="268" w:name="_Toc102482632"/>
      <w:r w:rsidRPr="00222953">
        <w:t>Deferred</w:t>
      </w:r>
      <w:r w:rsidRPr="00706A0E">
        <w:t xml:space="preserve"> </w:t>
      </w:r>
      <w:r w:rsidR="00D6243A">
        <w:t xml:space="preserve">and adjusted </w:t>
      </w:r>
      <w:r w:rsidR="0082775A">
        <w:t xml:space="preserve">variable </w:t>
      </w:r>
      <w:r w:rsidRPr="00706A0E">
        <w:t>remuneration</w:t>
      </w:r>
      <w:bookmarkEnd w:id="268"/>
    </w:p>
    <w:p w14:paraId="366B1AB3" w14:textId="7183B4F7" w:rsidR="00706A0E" w:rsidRDefault="00706A0E" w:rsidP="00706A0E">
      <w:pPr>
        <w:pStyle w:val="BodyText1"/>
      </w:pPr>
      <w:bookmarkStart w:id="269" w:name="_Hlk107496178"/>
      <w:r>
        <w:t xml:space="preserve">An APRA-regulated entity must disclose </w:t>
      </w:r>
      <w:r w:rsidR="00341C8C">
        <w:t>deferred and adjusted variable remuneration in</w:t>
      </w:r>
      <w:r>
        <w:t xml:space="preserve"> Table 4.</w:t>
      </w:r>
      <w:r w:rsidR="00341C8C">
        <w:t xml:space="preserve"> Disclosures for the purposes of Table 4 must include:</w:t>
      </w:r>
    </w:p>
    <w:p w14:paraId="3B26DC13" w14:textId="64C25E31" w:rsidR="00341C8C" w:rsidRDefault="00341C8C" w:rsidP="00341C8C">
      <w:pPr>
        <w:pStyle w:val="BodyText2"/>
      </w:pPr>
      <w:bookmarkStart w:id="270" w:name="_Ref130891388"/>
      <w:r>
        <w:t xml:space="preserve">for column A: </w:t>
      </w:r>
      <w:r w:rsidR="002C2421">
        <w:t>total</w:t>
      </w:r>
      <w:r w:rsidR="00D61170">
        <w:t xml:space="preserve"> </w:t>
      </w:r>
      <w:r>
        <w:t xml:space="preserve">deferred variable remuneration net of downward-adjustments </w:t>
      </w:r>
      <w:r w:rsidR="00CB2527">
        <w:t xml:space="preserve">as at the end of the financial year. This must reflect current financial year </w:t>
      </w:r>
      <w:r w:rsidR="00927050">
        <w:t xml:space="preserve">awards </w:t>
      </w:r>
      <w:r w:rsidR="00CB2527">
        <w:t>and prior financial years’ awards that have not yet satisfied all conditions; and</w:t>
      </w:r>
      <w:bookmarkEnd w:id="270"/>
    </w:p>
    <w:p w14:paraId="6C7CF60E" w14:textId="2FC5B49D" w:rsidR="00450CF5" w:rsidRDefault="00CB2527" w:rsidP="0048304D">
      <w:pPr>
        <w:pStyle w:val="BodyText2"/>
      </w:pPr>
      <w:bookmarkStart w:id="271" w:name="_Ref130891391"/>
      <w:r>
        <w:t xml:space="preserve">for column B: </w:t>
      </w:r>
      <w:r w:rsidR="00F77F6A">
        <w:t>total</w:t>
      </w:r>
      <w:r>
        <w:t xml:space="preserve"> paid and vested variable remuneration outcomes (i.e. not deferred) net of downward adjustments during the financial year. This must reflect</w:t>
      </w:r>
      <w:bookmarkEnd w:id="271"/>
      <w:r w:rsidR="00454130">
        <w:t xml:space="preserve"> </w:t>
      </w:r>
      <w:r w:rsidR="00450CF5">
        <w:t xml:space="preserve">current </w:t>
      </w:r>
      <w:r w:rsidR="008E638E">
        <w:t xml:space="preserve">financial </w:t>
      </w:r>
      <w:r w:rsidR="00450CF5">
        <w:t xml:space="preserve">year payments and awards that are no longer </w:t>
      </w:r>
      <w:r w:rsidR="00450CF5">
        <w:lastRenderedPageBreak/>
        <w:t xml:space="preserve">subject to conditions </w:t>
      </w:r>
      <w:r w:rsidR="00454130">
        <w:t>(</w:t>
      </w:r>
      <w:r w:rsidR="00450CF5">
        <w:t xml:space="preserve">this includes </w:t>
      </w:r>
      <w:r w:rsidR="00CF2067">
        <w:t xml:space="preserve">payments and </w:t>
      </w:r>
      <w:r w:rsidR="00450CF5">
        <w:t xml:space="preserve">awards for the current </w:t>
      </w:r>
      <w:r w:rsidR="00F9380A">
        <w:t xml:space="preserve">financial </w:t>
      </w:r>
      <w:r w:rsidR="00450CF5">
        <w:t>year made following the end of the financial year</w:t>
      </w:r>
      <w:r w:rsidR="00454130">
        <w:t>)</w:t>
      </w:r>
      <w:r w:rsidR="00450CF5">
        <w:t>; and</w:t>
      </w:r>
      <w:r w:rsidR="00454130">
        <w:t xml:space="preserve"> </w:t>
      </w:r>
      <w:r w:rsidR="00450CF5">
        <w:t>prior financial years’ awards that satisfied all conditions during the financial year</w:t>
      </w:r>
      <w:r w:rsidR="00454130">
        <w:t xml:space="preserve">. This excludes </w:t>
      </w:r>
      <w:r w:rsidR="00450CF5">
        <w:t>deferred amounts</w:t>
      </w:r>
      <w:r w:rsidR="00222A38">
        <w:t>; and</w:t>
      </w:r>
    </w:p>
    <w:p w14:paraId="1AD0B4D7" w14:textId="4EAEAACC" w:rsidR="00222A38" w:rsidRDefault="00222A38" w:rsidP="0048304D">
      <w:pPr>
        <w:pStyle w:val="BodyText2"/>
      </w:pPr>
      <w:r>
        <w:t xml:space="preserve">for column C: </w:t>
      </w:r>
      <w:r w:rsidR="00F77F6A">
        <w:t xml:space="preserve">total </w:t>
      </w:r>
      <w:r>
        <w:t>downward adjustments applied to variable remuneration that ha</w:t>
      </w:r>
      <w:r w:rsidR="00EA5F0A">
        <w:t>ve</w:t>
      </w:r>
      <w:r>
        <w:t xml:space="preserve"> been included </w:t>
      </w:r>
      <w:r w:rsidR="00500C11">
        <w:t xml:space="preserve">under </w:t>
      </w:r>
      <w:r w:rsidR="003204EA">
        <w:t>c</w:t>
      </w:r>
      <w:r w:rsidR="00500C11">
        <w:t>olumns A and B</w:t>
      </w:r>
      <w:r>
        <w:t xml:space="preserve"> during the financial year.</w:t>
      </w:r>
    </w:p>
    <w:p w14:paraId="45EC1580" w14:textId="3F1A9E54" w:rsidR="00706A0E" w:rsidRDefault="00706A0E" w:rsidP="00706A0E">
      <w:pPr>
        <w:pStyle w:val="BodyText1"/>
      </w:pPr>
      <w:bookmarkStart w:id="272" w:name="_Ref129607372"/>
      <w:bookmarkEnd w:id="269"/>
      <w:r>
        <w:t>For each of the cohort of specified roles in Table 4, an APRA-regulated entity must</w:t>
      </w:r>
      <w:r w:rsidR="00405479">
        <w:t xml:space="preserve"> </w:t>
      </w:r>
      <w:r>
        <w:t xml:space="preserve">provide a description of the main triggers leading to </w:t>
      </w:r>
      <w:r w:rsidR="00F54255">
        <w:t>downward-</w:t>
      </w:r>
      <w:r>
        <w:t xml:space="preserve">adjustments to </w:t>
      </w:r>
      <w:r w:rsidR="00F54255">
        <w:t xml:space="preserve">variable </w:t>
      </w:r>
      <w:r>
        <w:t>remuneration as a result of consequence management.</w:t>
      </w:r>
      <w:bookmarkEnd w:id="272"/>
    </w:p>
    <w:p w14:paraId="7AA80B16" w14:textId="5D56381C" w:rsidR="00706A0E" w:rsidRPr="00706A0E" w:rsidRDefault="00706A0E" w:rsidP="00706A0E">
      <w:pPr>
        <w:pStyle w:val="TableHeadNumber"/>
      </w:pPr>
      <w:r w:rsidRPr="00706A0E">
        <w:t>Table 4</w:t>
      </w:r>
      <w:r w:rsidRPr="00706A0E">
        <w:tab/>
        <w:t>Deferred</w:t>
      </w:r>
      <w:r w:rsidR="00D6243A">
        <w:t xml:space="preserve"> and adjusted</w:t>
      </w:r>
      <w:r w:rsidRPr="00706A0E">
        <w:t xml:space="preserve"> </w:t>
      </w:r>
      <w:r w:rsidR="0082775A">
        <w:t>variable</w:t>
      </w:r>
      <w:r w:rsidRPr="00706A0E">
        <w:t xml:space="preserve"> remuneration</w:t>
      </w:r>
    </w:p>
    <w:tbl>
      <w:tblPr>
        <w:tblStyle w:val="TableGrid"/>
        <w:tblW w:w="0" w:type="auto"/>
        <w:tblLayout w:type="fixed"/>
        <w:tblCellMar>
          <w:left w:w="57" w:type="dxa"/>
          <w:right w:w="57" w:type="dxa"/>
        </w:tblCellMar>
        <w:tblLook w:val="04A0" w:firstRow="1" w:lastRow="0" w:firstColumn="1" w:lastColumn="0" w:noHBand="0" w:noVBand="1"/>
      </w:tblPr>
      <w:tblGrid>
        <w:gridCol w:w="429"/>
        <w:gridCol w:w="2543"/>
        <w:gridCol w:w="1871"/>
        <w:gridCol w:w="1729"/>
        <w:gridCol w:w="1730"/>
      </w:tblGrid>
      <w:tr w:rsidR="00706A0E" w14:paraId="0B6A98FE" w14:textId="77777777" w:rsidTr="00405479">
        <w:trPr>
          <w:tblHeader/>
        </w:trPr>
        <w:tc>
          <w:tcPr>
            <w:tcW w:w="429" w:type="dxa"/>
          </w:tcPr>
          <w:p w14:paraId="7E6CA9A0" w14:textId="77777777" w:rsidR="00706A0E" w:rsidRPr="00AB0232" w:rsidRDefault="00706A0E" w:rsidP="003B063D">
            <w:pPr>
              <w:pStyle w:val="Table"/>
              <w:rPr>
                <w:b/>
              </w:rPr>
            </w:pPr>
          </w:p>
        </w:tc>
        <w:tc>
          <w:tcPr>
            <w:tcW w:w="2543" w:type="dxa"/>
            <w:vAlign w:val="bottom"/>
          </w:tcPr>
          <w:p w14:paraId="29B45BE2" w14:textId="77777777" w:rsidR="00706A0E" w:rsidRPr="00AB0232" w:rsidRDefault="00706A0E" w:rsidP="003B063D">
            <w:pPr>
              <w:pStyle w:val="Table"/>
              <w:rPr>
                <w:b/>
              </w:rPr>
            </w:pPr>
            <w:r w:rsidRPr="00AB0232">
              <w:rPr>
                <w:b/>
              </w:rPr>
              <w:t>A$m</w:t>
            </w:r>
          </w:p>
        </w:tc>
        <w:tc>
          <w:tcPr>
            <w:tcW w:w="1871" w:type="dxa"/>
            <w:vAlign w:val="bottom"/>
          </w:tcPr>
          <w:p w14:paraId="0735B137" w14:textId="1DDB440E" w:rsidR="00706A0E" w:rsidRPr="0068490E" w:rsidRDefault="003204EA" w:rsidP="003B063D">
            <w:pPr>
              <w:pStyle w:val="Table"/>
              <w:jc w:val="center"/>
              <w:rPr>
                <w:b/>
              </w:rPr>
            </w:pPr>
            <w:r>
              <w:rPr>
                <w:b/>
              </w:rPr>
              <w:t>A</w:t>
            </w:r>
          </w:p>
          <w:p w14:paraId="31DC42BA" w14:textId="67012D56" w:rsidR="00706A0E" w:rsidRPr="00AB0232" w:rsidRDefault="00E77EF5" w:rsidP="003B063D">
            <w:pPr>
              <w:pStyle w:val="Table"/>
              <w:jc w:val="center"/>
              <w:rPr>
                <w:b/>
              </w:rPr>
            </w:pPr>
            <w:r>
              <w:rPr>
                <w:b/>
              </w:rPr>
              <w:t xml:space="preserve"> </w:t>
            </w:r>
            <w:r w:rsidR="00706A0E">
              <w:rPr>
                <w:b/>
              </w:rPr>
              <w:t xml:space="preserve">Total amount of outstanding deferred </w:t>
            </w:r>
            <w:r w:rsidR="00405479">
              <w:rPr>
                <w:b/>
              </w:rPr>
              <w:t xml:space="preserve">variable </w:t>
            </w:r>
            <w:r w:rsidR="00706A0E">
              <w:rPr>
                <w:b/>
              </w:rPr>
              <w:t>remuneration post adjustments</w:t>
            </w:r>
          </w:p>
        </w:tc>
        <w:tc>
          <w:tcPr>
            <w:tcW w:w="1729" w:type="dxa"/>
            <w:vAlign w:val="bottom"/>
          </w:tcPr>
          <w:p w14:paraId="69F8B8CD" w14:textId="7FCE8ECB" w:rsidR="00706A0E" w:rsidRDefault="003204EA" w:rsidP="003B063D">
            <w:pPr>
              <w:pStyle w:val="Table"/>
              <w:jc w:val="center"/>
              <w:rPr>
                <w:b/>
              </w:rPr>
            </w:pPr>
            <w:r>
              <w:rPr>
                <w:b/>
              </w:rPr>
              <w:t>B</w:t>
            </w:r>
          </w:p>
          <w:p w14:paraId="05D68B82" w14:textId="1712A5CB" w:rsidR="00706A0E" w:rsidRPr="00AB0232" w:rsidRDefault="00706A0E" w:rsidP="003B063D">
            <w:pPr>
              <w:pStyle w:val="Table"/>
              <w:jc w:val="center"/>
              <w:rPr>
                <w:b/>
              </w:rPr>
            </w:pPr>
            <w:r>
              <w:rPr>
                <w:b/>
              </w:rPr>
              <w:t>Total amount of variable remuneration not deferred post adjustments</w:t>
            </w:r>
          </w:p>
        </w:tc>
        <w:tc>
          <w:tcPr>
            <w:tcW w:w="1730" w:type="dxa"/>
            <w:vAlign w:val="bottom"/>
          </w:tcPr>
          <w:p w14:paraId="12B2B772" w14:textId="32490D6A" w:rsidR="00706A0E" w:rsidRDefault="003204EA" w:rsidP="003B063D">
            <w:pPr>
              <w:pStyle w:val="Table"/>
              <w:jc w:val="center"/>
              <w:rPr>
                <w:b/>
              </w:rPr>
            </w:pPr>
            <w:r>
              <w:rPr>
                <w:b/>
              </w:rPr>
              <w:t>C</w:t>
            </w:r>
          </w:p>
          <w:p w14:paraId="6D34533F" w14:textId="52F9C4F0" w:rsidR="00706A0E" w:rsidRPr="00AB0232" w:rsidRDefault="00706A0E" w:rsidP="003B063D">
            <w:pPr>
              <w:pStyle w:val="Table"/>
              <w:jc w:val="center"/>
              <w:rPr>
                <w:b/>
              </w:rPr>
            </w:pPr>
            <w:r>
              <w:rPr>
                <w:b/>
              </w:rPr>
              <w:t xml:space="preserve">Total amount of downward </w:t>
            </w:r>
            <w:r w:rsidRPr="00811BE3">
              <w:rPr>
                <w:b/>
              </w:rPr>
              <w:t>adjustments</w:t>
            </w:r>
            <w:r w:rsidDel="0060543A">
              <w:rPr>
                <w:b/>
              </w:rPr>
              <w:t xml:space="preserve"> </w:t>
            </w:r>
            <w:r w:rsidR="00456DBF">
              <w:rPr>
                <w:b/>
              </w:rPr>
              <w:t>to variable remuneration</w:t>
            </w:r>
            <w:r w:rsidR="00E77EF5">
              <w:rPr>
                <w:b/>
              </w:rPr>
              <w:t xml:space="preserve"> reported in columns </w:t>
            </w:r>
            <w:r w:rsidR="00411A36">
              <w:rPr>
                <w:b/>
              </w:rPr>
              <w:t>A</w:t>
            </w:r>
            <w:r w:rsidR="00E77EF5">
              <w:rPr>
                <w:b/>
              </w:rPr>
              <w:t xml:space="preserve"> and </w:t>
            </w:r>
            <w:r w:rsidR="00411A36">
              <w:rPr>
                <w:b/>
              </w:rPr>
              <w:t>B</w:t>
            </w:r>
            <w:r w:rsidR="00E77EF5">
              <w:rPr>
                <w:b/>
              </w:rPr>
              <w:t xml:space="preserve"> </w:t>
            </w:r>
          </w:p>
        </w:tc>
      </w:tr>
      <w:tr w:rsidR="00405479" w14:paraId="0E3176AD" w14:textId="77777777" w:rsidTr="00D45904">
        <w:tc>
          <w:tcPr>
            <w:tcW w:w="8302" w:type="dxa"/>
            <w:gridSpan w:val="5"/>
          </w:tcPr>
          <w:p w14:paraId="662AACBB" w14:textId="18F1CCFD" w:rsidR="00405479" w:rsidRPr="00405479" w:rsidRDefault="00405479" w:rsidP="003B063D">
            <w:pPr>
              <w:pStyle w:val="Table"/>
              <w:rPr>
                <w:b/>
              </w:rPr>
            </w:pPr>
            <w:r w:rsidRPr="00405479">
              <w:rPr>
                <w:b/>
              </w:rPr>
              <w:t>CEO</w:t>
            </w:r>
          </w:p>
        </w:tc>
      </w:tr>
      <w:tr w:rsidR="00706A0E" w14:paraId="4A20D740" w14:textId="77777777" w:rsidTr="00405479">
        <w:tc>
          <w:tcPr>
            <w:tcW w:w="429" w:type="dxa"/>
          </w:tcPr>
          <w:p w14:paraId="137BFA8E" w14:textId="77777777" w:rsidR="00706A0E" w:rsidRDefault="00706A0E" w:rsidP="003B063D">
            <w:pPr>
              <w:pStyle w:val="Table"/>
            </w:pPr>
            <w:r>
              <w:t>1</w:t>
            </w:r>
          </w:p>
        </w:tc>
        <w:tc>
          <w:tcPr>
            <w:tcW w:w="2543" w:type="dxa"/>
          </w:tcPr>
          <w:p w14:paraId="1647C87E" w14:textId="7E0F070D" w:rsidR="00706A0E" w:rsidRDefault="00405479" w:rsidP="003B063D">
            <w:pPr>
              <w:pStyle w:val="Table"/>
            </w:pPr>
            <w:r>
              <w:rPr>
                <w:b/>
              </w:rPr>
              <w:t xml:space="preserve">Total </w:t>
            </w:r>
            <w:r w:rsidR="00706A0E">
              <w:rPr>
                <w:b/>
              </w:rPr>
              <w:t xml:space="preserve">CEO </w:t>
            </w:r>
          </w:p>
        </w:tc>
        <w:tc>
          <w:tcPr>
            <w:tcW w:w="1871" w:type="dxa"/>
          </w:tcPr>
          <w:p w14:paraId="5AE3585F" w14:textId="77777777" w:rsidR="00706A0E" w:rsidRPr="009A6373" w:rsidRDefault="00706A0E" w:rsidP="003B063D">
            <w:pPr>
              <w:pStyle w:val="Table"/>
            </w:pPr>
          </w:p>
        </w:tc>
        <w:tc>
          <w:tcPr>
            <w:tcW w:w="1729" w:type="dxa"/>
          </w:tcPr>
          <w:p w14:paraId="5EC2231B" w14:textId="77777777" w:rsidR="00706A0E" w:rsidRPr="009A6373" w:rsidRDefault="00706A0E" w:rsidP="003B063D">
            <w:pPr>
              <w:pStyle w:val="Table"/>
            </w:pPr>
          </w:p>
        </w:tc>
        <w:tc>
          <w:tcPr>
            <w:tcW w:w="1730" w:type="dxa"/>
          </w:tcPr>
          <w:p w14:paraId="58C9A08B" w14:textId="77777777" w:rsidR="00706A0E" w:rsidRPr="009A6373" w:rsidRDefault="00706A0E" w:rsidP="003B063D">
            <w:pPr>
              <w:pStyle w:val="Table"/>
            </w:pPr>
          </w:p>
        </w:tc>
      </w:tr>
      <w:tr w:rsidR="00706A0E" w14:paraId="0200611A" w14:textId="77777777" w:rsidTr="00405479">
        <w:tc>
          <w:tcPr>
            <w:tcW w:w="429" w:type="dxa"/>
          </w:tcPr>
          <w:p w14:paraId="68EE9B86" w14:textId="77777777" w:rsidR="00706A0E" w:rsidRDefault="00706A0E" w:rsidP="003B063D">
            <w:pPr>
              <w:pStyle w:val="Table"/>
            </w:pPr>
            <w:r>
              <w:t>2</w:t>
            </w:r>
          </w:p>
        </w:tc>
        <w:tc>
          <w:tcPr>
            <w:tcW w:w="2543" w:type="dxa"/>
          </w:tcPr>
          <w:p w14:paraId="24D14563" w14:textId="77777777" w:rsidR="00706A0E" w:rsidRPr="009A6373" w:rsidRDefault="00706A0E" w:rsidP="003B063D">
            <w:pPr>
              <w:pStyle w:val="Table"/>
              <w:ind w:left="142"/>
            </w:pPr>
            <w:r>
              <w:t>of which: cash</w:t>
            </w:r>
          </w:p>
        </w:tc>
        <w:tc>
          <w:tcPr>
            <w:tcW w:w="1871" w:type="dxa"/>
          </w:tcPr>
          <w:p w14:paraId="0B5FBB6A" w14:textId="77777777" w:rsidR="00706A0E" w:rsidRPr="009A6373" w:rsidRDefault="00706A0E" w:rsidP="003B063D">
            <w:pPr>
              <w:pStyle w:val="Table"/>
            </w:pPr>
          </w:p>
        </w:tc>
        <w:tc>
          <w:tcPr>
            <w:tcW w:w="1729" w:type="dxa"/>
          </w:tcPr>
          <w:p w14:paraId="72A579D1" w14:textId="77777777" w:rsidR="00706A0E" w:rsidRPr="009A6373" w:rsidRDefault="00706A0E" w:rsidP="003B063D">
            <w:pPr>
              <w:pStyle w:val="Table"/>
            </w:pPr>
          </w:p>
        </w:tc>
        <w:tc>
          <w:tcPr>
            <w:tcW w:w="1730" w:type="dxa"/>
          </w:tcPr>
          <w:p w14:paraId="513F3C7D" w14:textId="77777777" w:rsidR="00706A0E" w:rsidRPr="009A6373" w:rsidRDefault="00706A0E" w:rsidP="003B063D">
            <w:pPr>
              <w:pStyle w:val="Table"/>
            </w:pPr>
          </w:p>
        </w:tc>
      </w:tr>
      <w:tr w:rsidR="00706A0E" w14:paraId="317B3570" w14:textId="77777777" w:rsidTr="00405479">
        <w:tc>
          <w:tcPr>
            <w:tcW w:w="429" w:type="dxa"/>
          </w:tcPr>
          <w:p w14:paraId="6399E62E" w14:textId="77777777" w:rsidR="00706A0E" w:rsidRDefault="00706A0E" w:rsidP="003B063D">
            <w:pPr>
              <w:pStyle w:val="Table"/>
            </w:pPr>
            <w:r>
              <w:t>3</w:t>
            </w:r>
          </w:p>
        </w:tc>
        <w:tc>
          <w:tcPr>
            <w:tcW w:w="2543" w:type="dxa"/>
          </w:tcPr>
          <w:p w14:paraId="22205459" w14:textId="7099FBC5" w:rsidR="00706A0E" w:rsidRPr="000761DC" w:rsidRDefault="00706A0E" w:rsidP="003B063D">
            <w:pPr>
              <w:pStyle w:val="Table"/>
              <w:ind w:left="142"/>
            </w:pPr>
            <w:r>
              <w:t>of which: share-based awards</w:t>
            </w:r>
          </w:p>
        </w:tc>
        <w:tc>
          <w:tcPr>
            <w:tcW w:w="1871" w:type="dxa"/>
          </w:tcPr>
          <w:p w14:paraId="4D509872" w14:textId="77777777" w:rsidR="00706A0E" w:rsidRPr="009A6373" w:rsidRDefault="00706A0E" w:rsidP="003B063D">
            <w:pPr>
              <w:pStyle w:val="Table"/>
            </w:pPr>
          </w:p>
        </w:tc>
        <w:tc>
          <w:tcPr>
            <w:tcW w:w="1729" w:type="dxa"/>
          </w:tcPr>
          <w:p w14:paraId="27F53D82" w14:textId="77777777" w:rsidR="00706A0E" w:rsidRPr="009A6373" w:rsidRDefault="00706A0E" w:rsidP="003B063D">
            <w:pPr>
              <w:pStyle w:val="Table"/>
            </w:pPr>
          </w:p>
        </w:tc>
        <w:tc>
          <w:tcPr>
            <w:tcW w:w="1730" w:type="dxa"/>
          </w:tcPr>
          <w:p w14:paraId="064573E1" w14:textId="77777777" w:rsidR="00706A0E" w:rsidRPr="009A6373" w:rsidRDefault="00706A0E" w:rsidP="003B063D">
            <w:pPr>
              <w:pStyle w:val="Table"/>
            </w:pPr>
          </w:p>
        </w:tc>
      </w:tr>
      <w:tr w:rsidR="00706A0E" w14:paraId="34C2FBE9" w14:textId="77777777" w:rsidTr="00405479">
        <w:tc>
          <w:tcPr>
            <w:tcW w:w="429" w:type="dxa"/>
          </w:tcPr>
          <w:p w14:paraId="73AC509C" w14:textId="00EE38ED" w:rsidR="00706A0E" w:rsidRDefault="00537ECD" w:rsidP="003B063D">
            <w:pPr>
              <w:pStyle w:val="Table"/>
            </w:pPr>
            <w:r>
              <w:t>4</w:t>
            </w:r>
          </w:p>
        </w:tc>
        <w:tc>
          <w:tcPr>
            <w:tcW w:w="2543" w:type="dxa"/>
          </w:tcPr>
          <w:p w14:paraId="349D5A52" w14:textId="77777777" w:rsidR="00706A0E" w:rsidRDefault="00706A0E" w:rsidP="003B063D">
            <w:pPr>
              <w:pStyle w:val="Table"/>
              <w:ind w:left="142"/>
            </w:pPr>
            <w:r>
              <w:t>of which: other</w:t>
            </w:r>
          </w:p>
        </w:tc>
        <w:tc>
          <w:tcPr>
            <w:tcW w:w="1871" w:type="dxa"/>
          </w:tcPr>
          <w:p w14:paraId="139EDA20" w14:textId="77777777" w:rsidR="00706A0E" w:rsidRPr="009A6373" w:rsidRDefault="00706A0E" w:rsidP="003B063D">
            <w:pPr>
              <w:pStyle w:val="Table"/>
            </w:pPr>
          </w:p>
        </w:tc>
        <w:tc>
          <w:tcPr>
            <w:tcW w:w="1729" w:type="dxa"/>
          </w:tcPr>
          <w:p w14:paraId="5022CB66" w14:textId="77777777" w:rsidR="00706A0E" w:rsidRPr="009A6373" w:rsidRDefault="00706A0E" w:rsidP="003B063D">
            <w:pPr>
              <w:pStyle w:val="Table"/>
            </w:pPr>
          </w:p>
        </w:tc>
        <w:tc>
          <w:tcPr>
            <w:tcW w:w="1730" w:type="dxa"/>
          </w:tcPr>
          <w:p w14:paraId="61E1F6B9" w14:textId="77777777" w:rsidR="00706A0E" w:rsidRPr="009A6373" w:rsidRDefault="00706A0E" w:rsidP="003B063D">
            <w:pPr>
              <w:pStyle w:val="Table"/>
            </w:pPr>
          </w:p>
        </w:tc>
      </w:tr>
      <w:tr w:rsidR="00405479" w14:paraId="4546DE2E" w14:textId="77777777" w:rsidTr="00D45904">
        <w:tc>
          <w:tcPr>
            <w:tcW w:w="8302" w:type="dxa"/>
            <w:gridSpan w:val="5"/>
          </w:tcPr>
          <w:p w14:paraId="2BC87BEC" w14:textId="2587CBA5" w:rsidR="00405479" w:rsidRPr="00405479" w:rsidRDefault="00405479" w:rsidP="003B063D">
            <w:pPr>
              <w:pStyle w:val="Table"/>
              <w:rPr>
                <w:b/>
              </w:rPr>
            </w:pPr>
            <w:r w:rsidRPr="00405479">
              <w:rPr>
                <w:b/>
              </w:rPr>
              <w:t>Other senior managers</w:t>
            </w:r>
          </w:p>
        </w:tc>
      </w:tr>
      <w:tr w:rsidR="00706A0E" w14:paraId="38B328D1" w14:textId="77777777" w:rsidTr="00405479">
        <w:tc>
          <w:tcPr>
            <w:tcW w:w="429" w:type="dxa"/>
          </w:tcPr>
          <w:p w14:paraId="3746F848" w14:textId="1333481A" w:rsidR="00706A0E" w:rsidRDefault="00537ECD" w:rsidP="003B063D">
            <w:pPr>
              <w:pStyle w:val="Table"/>
            </w:pPr>
            <w:r>
              <w:t>5</w:t>
            </w:r>
          </w:p>
        </w:tc>
        <w:tc>
          <w:tcPr>
            <w:tcW w:w="2543" w:type="dxa"/>
          </w:tcPr>
          <w:p w14:paraId="38AFA571" w14:textId="65D7B3BC" w:rsidR="00706A0E" w:rsidRDefault="00405479" w:rsidP="003B063D">
            <w:pPr>
              <w:pStyle w:val="Table"/>
              <w:rPr>
                <w:b/>
              </w:rPr>
            </w:pPr>
            <w:r>
              <w:rPr>
                <w:b/>
              </w:rPr>
              <w:t>Total other senior managers</w:t>
            </w:r>
          </w:p>
        </w:tc>
        <w:tc>
          <w:tcPr>
            <w:tcW w:w="1871" w:type="dxa"/>
          </w:tcPr>
          <w:p w14:paraId="456ABE3C" w14:textId="77777777" w:rsidR="00706A0E" w:rsidRPr="009A6373" w:rsidRDefault="00706A0E" w:rsidP="003B063D">
            <w:pPr>
              <w:pStyle w:val="Table"/>
            </w:pPr>
          </w:p>
        </w:tc>
        <w:tc>
          <w:tcPr>
            <w:tcW w:w="1729" w:type="dxa"/>
          </w:tcPr>
          <w:p w14:paraId="2B10EA00" w14:textId="77777777" w:rsidR="00706A0E" w:rsidRPr="009A6373" w:rsidRDefault="00706A0E" w:rsidP="003B063D">
            <w:pPr>
              <w:pStyle w:val="Table"/>
            </w:pPr>
          </w:p>
        </w:tc>
        <w:tc>
          <w:tcPr>
            <w:tcW w:w="1730" w:type="dxa"/>
          </w:tcPr>
          <w:p w14:paraId="42EDD28C" w14:textId="77777777" w:rsidR="00706A0E" w:rsidRPr="009A6373" w:rsidRDefault="00706A0E" w:rsidP="003B063D">
            <w:pPr>
              <w:pStyle w:val="Table"/>
            </w:pPr>
          </w:p>
        </w:tc>
      </w:tr>
      <w:tr w:rsidR="00706A0E" w14:paraId="3D32CCA7" w14:textId="77777777" w:rsidTr="00405479">
        <w:tc>
          <w:tcPr>
            <w:tcW w:w="429" w:type="dxa"/>
          </w:tcPr>
          <w:p w14:paraId="4C31993D" w14:textId="4F177372" w:rsidR="00706A0E" w:rsidRDefault="00537ECD" w:rsidP="003B063D">
            <w:pPr>
              <w:pStyle w:val="Table"/>
            </w:pPr>
            <w:r>
              <w:t>6</w:t>
            </w:r>
          </w:p>
        </w:tc>
        <w:tc>
          <w:tcPr>
            <w:tcW w:w="2543" w:type="dxa"/>
          </w:tcPr>
          <w:p w14:paraId="25D0A5A9" w14:textId="77777777" w:rsidR="00706A0E" w:rsidRDefault="00706A0E" w:rsidP="003B063D">
            <w:pPr>
              <w:pStyle w:val="Table"/>
              <w:ind w:left="142"/>
              <w:rPr>
                <w:b/>
              </w:rPr>
            </w:pPr>
            <w:r>
              <w:t>of which: cash</w:t>
            </w:r>
          </w:p>
        </w:tc>
        <w:tc>
          <w:tcPr>
            <w:tcW w:w="1871" w:type="dxa"/>
          </w:tcPr>
          <w:p w14:paraId="506FF878" w14:textId="77777777" w:rsidR="00706A0E" w:rsidRPr="009A6373" w:rsidRDefault="00706A0E" w:rsidP="003B063D">
            <w:pPr>
              <w:pStyle w:val="Table"/>
            </w:pPr>
          </w:p>
        </w:tc>
        <w:tc>
          <w:tcPr>
            <w:tcW w:w="1729" w:type="dxa"/>
          </w:tcPr>
          <w:p w14:paraId="729BF6A5" w14:textId="77777777" w:rsidR="00706A0E" w:rsidRPr="009A6373" w:rsidRDefault="00706A0E" w:rsidP="003B063D">
            <w:pPr>
              <w:pStyle w:val="Table"/>
            </w:pPr>
          </w:p>
        </w:tc>
        <w:tc>
          <w:tcPr>
            <w:tcW w:w="1730" w:type="dxa"/>
          </w:tcPr>
          <w:p w14:paraId="64521D16" w14:textId="77777777" w:rsidR="00706A0E" w:rsidRPr="009A6373" w:rsidRDefault="00706A0E" w:rsidP="003B063D">
            <w:pPr>
              <w:pStyle w:val="Table"/>
            </w:pPr>
          </w:p>
        </w:tc>
      </w:tr>
      <w:tr w:rsidR="00706A0E" w14:paraId="3EBEE885" w14:textId="77777777" w:rsidTr="00405479">
        <w:tc>
          <w:tcPr>
            <w:tcW w:w="429" w:type="dxa"/>
          </w:tcPr>
          <w:p w14:paraId="60E1FF94" w14:textId="72E3C85A" w:rsidR="00706A0E" w:rsidRDefault="00537ECD" w:rsidP="003B063D">
            <w:pPr>
              <w:pStyle w:val="Table"/>
            </w:pPr>
            <w:r>
              <w:t>7</w:t>
            </w:r>
          </w:p>
        </w:tc>
        <w:tc>
          <w:tcPr>
            <w:tcW w:w="2543" w:type="dxa"/>
          </w:tcPr>
          <w:p w14:paraId="5916B398" w14:textId="77777777" w:rsidR="00706A0E" w:rsidRDefault="00706A0E" w:rsidP="003B063D">
            <w:pPr>
              <w:pStyle w:val="Table"/>
              <w:ind w:left="142"/>
              <w:rPr>
                <w:b/>
              </w:rPr>
            </w:pPr>
            <w:r>
              <w:t>of which: share-based awards</w:t>
            </w:r>
          </w:p>
        </w:tc>
        <w:tc>
          <w:tcPr>
            <w:tcW w:w="1871" w:type="dxa"/>
          </w:tcPr>
          <w:p w14:paraId="56F4BE76" w14:textId="77777777" w:rsidR="00706A0E" w:rsidRPr="009A6373" w:rsidRDefault="00706A0E" w:rsidP="003B063D">
            <w:pPr>
              <w:pStyle w:val="Table"/>
            </w:pPr>
          </w:p>
        </w:tc>
        <w:tc>
          <w:tcPr>
            <w:tcW w:w="1729" w:type="dxa"/>
          </w:tcPr>
          <w:p w14:paraId="063B9275" w14:textId="77777777" w:rsidR="00706A0E" w:rsidRPr="009A6373" w:rsidRDefault="00706A0E" w:rsidP="003B063D">
            <w:pPr>
              <w:pStyle w:val="Table"/>
            </w:pPr>
          </w:p>
        </w:tc>
        <w:tc>
          <w:tcPr>
            <w:tcW w:w="1730" w:type="dxa"/>
          </w:tcPr>
          <w:p w14:paraId="366E40F6" w14:textId="77777777" w:rsidR="00706A0E" w:rsidRPr="009A6373" w:rsidRDefault="00706A0E" w:rsidP="003B063D">
            <w:pPr>
              <w:pStyle w:val="Table"/>
            </w:pPr>
          </w:p>
        </w:tc>
      </w:tr>
      <w:tr w:rsidR="00706A0E" w14:paraId="7BBD3B31" w14:textId="77777777" w:rsidTr="00405479">
        <w:tc>
          <w:tcPr>
            <w:tcW w:w="429" w:type="dxa"/>
          </w:tcPr>
          <w:p w14:paraId="7BA9D4B6" w14:textId="73C51899" w:rsidR="00706A0E" w:rsidRDefault="00537ECD" w:rsidP="003B063D">
            <w:pPr>
              <w:pStyle w:val="Table"/>
            </w:pPr>
            <w:r>
              <w:t>8</w:t>
            </w:r>
          </w:p>
        </w:tc>
        <w:tc>
          <w:tcPr>
            <w:tcW w:w="2543" w:type="dxa"/>
          </w:tcPr>
          <w:p w14:paraId="3D525496" w14:textId="77777777" w:rsidR="00706A0E" w:rsidRDefault="00706A0E" w:rsidP="003B063D">
            <w:pPr>
              <w:pStyle w:val="Table"/>
              <w:ind w:left="142"/>
              <w:rPr>
                <w:b/>
              </w:rPr>
            </w:pPr>
            <w:r>
              <w:t>of which: other</w:t>
            </w:r>
          </w:p>
        </w:tc>
        <w:tc>
          <w:tcPr>
            <w:tcW w:w="1871" w:type="dxa"/>
          </w:tcPr>
          <w:p w14:paraId="1A83CBBF" w14:textId="77777777" w:rsidR="00706A0E" w:rsidRPr="009A6373" w:rsidRDefault="00706A0E" w:rsidP="003B063D">
            <w:pPr>
              <w:pStyle w:val="Table"/>
            </w:pPr>
          </w:p>
        </w:tc>
        <w:tc>
          <w:tcPr>
            <w:tcW w:w="1729" w:type="dxa"/>
          </w:tcPr>
          <w:p w14:paraId="4D2C1C47" w14:textId="77777777" w:rsidR="00706A0E" w:rsidRPr="009A6373" w:rsidRDefault="00706A0E" w:rsidP="003B063D">
            <w:pPr>
              <w:pStyle w:val="Table"/>
            </w:pPr>
          </w:p>
        </w:tc>
        <w:tc>
          <w:tcPr>
            <w:tcW w:w="1730" w:type="dxa"/>
          </w:tcPr>
          <w:p w14:paraId="3045AAFB" w14:textId="77777777" w:rsidR="00706A0E" w:rsidRPr="009A6373" w:rsidRDefault="00706A0E" w:rsidP="003B063D">
            <w:pPr>
              <w:pStyle w:val="Table"/>
            </w:pPr>
          </w:p>
        </w:tc>
      </w:tr>
      <w:tr w:rsidR="00405479" w14:paraId="3B4BE29A" w14:textId="77777777" w:rsidTr="00D45904">
        <w:tc>
          <w:tcPr>
            <w:tcW w:w="8302" w:type="dxa"/>
            <w:gridSpan w:val="5"/>
          </w:tcPr>
          <w:p w14:paraId="1884D77F" w14:textId="64668C2E" w:rsidR="00405479" w:rsidRPr="00405479" w:rsidRDefault="00405479" w:rsidP="00405479">
            <w:pPr>
              <w:pStyle w:val="Table"/>
              <w:rPr>
                <w:b/>
              </w:rPr>
            </w:pPr>
            <w:r w:rsidRPr="00405479">
              <w:rPr>
                <w:b/>
              </w:rPr>
              <w:t>Highly paid material-risk takers</w:t>
            </w:r>
          </w:p>
        </w:tc>
      </w:tr>
      <w:tr w:rsidR="00706A0E" w14:paraId="5FBB15AE" w14:textId="77777777" w:rsidTr="00405479">
        <w:tc>
          <w:tcPr>
            <w:tcW w:w="429" w:type="dxa"/>
          </w:tcPr>
          <w:p w14:paraId="2594C91A" w14:textId="514B1E16" w:rsidR="00706A0E" w:rsidRDefault="00537ECD" w:rsidP="003B063D">
            <w:pPr>
              <w:pStyle w:val="Table"/>
            </w:pPr>
            <w:r>
              <w:t>9</w:t>
            </w:r>
          </w:p>
        </w:tc>
        <w:tc>
          <w:tcPr>
            <w:tcW w:w="2543" w:type="dxa"/>
          </w:tcPr>
          <w:p w14:paraId="57F3BF7D" w14:textId="2F09E007" w:rsidR="00706A0E" w:rsidRDefault="00405479" w:rsidP="003B063D">
            <w:pPr>
              <w:pStyle w:val="Table"/>
            </w:pPr>
            <w:r>
              <w:rPr>
                <w:b/>
              </w:rPr>
              <w:t>Total h</w:t>
            </w:r>
            <w:r w:rsidR="00706A0E">
              <w:rPr>
                <w:b/>
              </w:rPr>
              <w:t>ighly paid material risk-takers</w:t>
            </w:r>
          </w:p>
        </w:tc>
        <w:tc>
          <w:tcPr>
            <w:tcW w:w="1871" w:type="dxa"/>
          </w:tcPr>
          <w:p w14:paraId="3D05FE78" w14:textId="77777777" w:rsidR="00706A0E" w:rsidRPr="009A6373" w:rsidRDefault="00706A0E" w:rsidP="003B063D">
            <w:pPr>
              <w:pStyle w:val="Table"/>
            </w:pPr>
          </w:p>
        </w:tc>
        <w:tc>
          <w:tcPr>
            <w:tcW w:w="1729" w:type="dxa"/>
          </w:tcPr>
          <w:p w14:paraId="2A001631" w14:textId="77777777" w:rsidR="00706A0E" w:rsidRPr="009A6373" w:rsidRDefault="00706A0E" w:rsidP="003B063D">
            <w:pPr>
              <w:pStyle w:val="Table"/>
            </w:pPr>
          </w:p>
        </w:tc>
        <w:tc>
          <w:tcPr>
            <w:tcW w:w="1730" w:type="dxa"/>
          </w:tcPr>
          <w:p w14:paraId="60600C0C" w14:textId="77777777" w:rsidR="00706A0E" w:rsidRPr="009A6373" w:rsidRDefault="00706A0E" w:rsidP="003B063D">
            <w:pPr>
              <w:pStyle w:val="Table"/>
            </w:pPr>
          </w:p>
        </w:tc>
      </w:tr>
      <w:tr w:rsidR="00706A0E" w14:paraId="4071D763" w14:textId="77777777" w:rsidTr="00405479">
        <w:tc>
          <w:tcPr>
            <w:tcW w:w="429" w:type="dxa"/>
          </w:tcPr>
          <w:p w14:paraId="273B8E94" w14:textId="5AB80EA4" w:rsidR="00706A0E" w:rsidRDefault="00706A0E" w:rsidP="003B063D">
            <w:pPr>
              <w:pStyle w:val="Table"/>
            </w:pPr>
            <w:r>
              <w:t>1</w:t>
            </w:r>
            <w:r w:rsidR="00537ECD">
              <w:t>0</w:t>
            </w:r>
          </w:p>
        </w:tc>
        <w:tc>
          <w:tcPr>
            <w:tcW w:w="2543" w:type="dxa"/>
          </w:tcPr>
          <w:p w14:paraId="32D9797E" w14:textId="77777777" w:rsidR="00706A0E" w:rsidRPr="009A6373" w:rsidRDefault="00706A0E" w:rsidP="003B063D">
            <w:pPr>
              <w:pStyle w:val="Table"/>
              <w:ind w:left="142"/>
            </w:pPr>
            <w:r>
              <w:t>of which: cash</w:t>
            </w:r>
          </w:p>
        </w:tc>
        <w:tc>
          <w:tcPr>
            <w:tcW w:w="1871" w:type="dxa"/>
          </w:tcPr>
          <w:p w14:paraId="5C169350" w14:textId="77777777" w:rsidR="00706A0E" w:rsidRPr="009A6373" w:rsidRDefault="00706A0E" w:rsidP="003B063D">
            <w:pPr>
              <w:pStyle w:val="Table"/>
            </w:pPr>
          </w:p>
        </w:tc>
        <w:tc>
          <w:tcPr>
            <w:tcW w:w="1729" w:type="dxa"/>
          </w:tcPr>
          <w:p w14:paraId="691E5B45" w14:textId="77777777" w:rsidR="00706A0E" w:rsidRPr="009A6373" w:rsidRDefault="00706A0E" w:rsidP="003B063D">
            <w:pPr>
              <w:pStyle w:val="Table"/>
            </w:pPr>
          </w:p>
        </w:tc>
        <w:tc>
          <w:tcPr>
            <w:tcW w:w="1730" w:type="dxa"/>
          </w:tcPr>
          <w:p w14:paraId="4CA065E5" w14:textId="77777777" w:rsidR="00706A0E" w:rsidRPr="009A6373" w:rsidRDefault="00706A0E" w:rsidP="003B063D">
            <w:pPr>
              <w:pStyle w:val="Table"/>
            </w:pPr>
          </w:p>
        </w:tc>
      </w:tr>
      <w:tr w:rsidR="00706A0E" w14:paraId="5ADC5B52" w14:textId="77777777" w:rsidTr="00405479">
        <w:tc>
          <w:tcPr>
            <w:tcW w:w="429" w:type="dxa"/>
          </w:tcPr>
          <w:p w14:paraId="6A60B898" w14:textId="57DF8B24" w:rsidR="00706A0E" w:rsidRDefault="00706A0E" w:rsidP="003B063D">
            <w:pPr>
              <w:pStyle w:val="Table"/>
            </w:pPr>
            <w:r>
              <w:t>1</w:t>
            </w:r>
            <w:r w:rsidR="00537ECD">
              <w:t>1</w:t>
            </w:r>
          </w:p>
        </w:tc>
        <w:tc>
          <w:tcPr>
            <w:tcW w:w="2543" w:type="dxa"/>
          </w:tcPr>
          <w:p w14:paraId="1B9691F0" w14:textId="77777777" w:rsidR="00706A0E" w:rsidRPr="000761DC" w:rsidRDefault="00706A0E" w:rsidP="003B063D">
            <w:pPr>
              <w:pStyle w:val="Table"/>
              <w:ind w:left="142"/>
            </w:pPr>
            <w:r>
              <w:t>of which: share-based awards</w:t>
            </w:r>
          </w:p>
        </w:tc>
        <w:tc>
          <w:tcPr>
            <w:tcW w:w="1871" w:type="dxa"/>
          </w:tcPr>
          <w:p w14:paraId="7A695B2E" w14:textId="77777777" w:rsidR="00706A0E" w:rsidRPr="009A6373" w:rsidRDefault="00706A0E" w:rsidP="003B063D">
            <w:pPr>
              <w:pStyle w:val="Table"/>
            </w:pPr>
          </w:p>
        </w:tc>
        <w:tc>
          <w:tcPr>
            <w:tcW w:w="1729" w:type="dxa"/>
          </w:tcPr>
          <w:p w14:paraId="36DC005A" w14:textId="77777777" w:rsidR="00706A0E" w:rsidRPr="009A6373" w:rsidRDefault="00706A0E" w:rsidP="003B063D">
            <w:pPr>
              <w:pStyle w:val="Table"/>
            </w:pPr>
          </w:p>
        </w:tc>
        <w:tc>
          <w:tcPr>
            <w:tcW w:w="1730" w:type="dxa"/>
          </w:tcPr>
          <w:p w14:paraId="3106544A" w14:textId="77777777" w:rsidR="00706A0E" w:rsidRPr="009A6373" w:rsidRDefault="00706A0E" w:rsidP="003B063D">
            <w:pPr>
              <w:pStyle w:val="Table"/>
            </w:pPr>
          </w:p>
        </w:tc>
      </w:tr>
      <w:tr w:rsidR="00706A0E" w14:paraId="71CD55E2" w14:textId="77777777" w:rsidTr="00405479">
        <w:tc>
          <w:tcPr>
            <w:tcW w:w="429" w:type="dxa"/>
          </w:tcPr>
          <w:p w14:paraId="6DC8DAA6" w14:textId="25A6D67D" w:rsidR="00706A0E" w:rsidRDefault="00706A0E" w:rsidP="003B063D">
            <w:pPr>
              <w:pStyle w:val="Table"/>
            </w:pPr>
            <w:r>
              <w:lastRenderedPageBreak/>
              <w:t>1</w:t>
            </w:r>
            <w:r w:rsidR="00537ECD">
              <w:t>2</w:t>
            </w:r>
          </w:p>
        </w:tc>
        <w:tc>
          <w:tcPr>
            <w:tcW w:w="2543" w:type="dxa"/>
          </w:tcPr>
          <w:p w14:paraId="4D78F74F" w14:textId="77777777" w:rsidR="00706A0E" w:rsidRDefault="00706A0E" w:rsidP="003B063D">
            <w:pPr>
              <w:pStyle w:val="Table"/>
              <w:ind w:left="142"/>
            </w:pPr>
            <w:r>
              <w:t>of which: other</w:t>
            </w:r>
          </w:p>
        </w:tc>
        <w:tc>
          <w:tcPr>
            <w:tcW w:w="1871" w:type="dxa"/>
          </w:tcPr>
          <w:p w14:paraId="34B465D8" w14:textId="77777777" w:rsidR="00706A0E" w:rsidRPr="009A6373" w:rsidRDefault="00706A0E" w:rsidP="003B063D">
            <w:pPr>
              <w:pStyle w:val="Table"/>
            </w:pPr>
          </w:p>
        </w:tc>
        <w:tc>
          <w:tcPr>
            <w:tcW w:w="1729" w:type="dxa"/>
          </w:tcPr>
          <w:p w14:paraId="07B3E8A3" w14:textId="77777777" w:rsidR="00706A0E" w:rsidRPr="009A6373" w:rsidRDefault="00706A0E" w:rsidP="003B063D">
            <w:pPr>
              <w:pStyle w:val="Table"/>
            </w:pPr>
          </w:p>
        </w:tc>
        <w:tc>
          <w:tcPr>
            <w:tcW w:w="1730" w:type="dxa"/>
          </w:tcPr>
          <w:p w14:paraId="1BF06E8A" w14:textId="77777777" w:rsidR="00706A0E" w:rsidRPr="009A6373" w:rsidRDefault="00706A0E" w:rsidP="003B063D">
            <w:pPr>
              <w:pStyle w:val="Table"/>
            </w:pPr>
          </w:p>
        </w:tc>
      </w:tr>
      <w:tr w:rsidR="007F75F6" w14:paraId="61A87F3A" w14:textId="77777777" w:rsidTr="00D45904">
        <w:tc>
          <w:tcPr>
            <w:tcW w:w="8302" w:type="dxa"/>
            <w:gridSpan w:val="5"/>
          </w:tcPr>
          <w:p w14:paraId="4AE58191" w14:textId="4CC81ED6" w:rsidR="007F75F6" w:rsidRPr="007F75F6" w:rsidRDefault="007F75F6" w:rsidP="003B063D">
            <w:pPr>
              <w:pStyle w:val="Table"/>
              <w:rPr>
                <w:b/>
              </w:rPr>
            </w:pPr>
            <w:r w:rsidRPr="007F75F6">
              <w:rPr>
                <w:b/>
              </w:rPr>
              <w:t>Other material risk-takers</w:t>
            </w:r>
          </w:p>
        </w:tc>
      </w:tr>
      <w:tr w:rsidR="00706A0E" w14:paraId="6F2B3A7F" w14:textId="77777777" w:rsidTr="00405479">
        <w:tc>
          <w:tcPr>
            <w:tcW w:w="429" w:type="dxa"/>
          </w:tcPr>
          <w:p w14:paraId="6D64B051" w14:textId="770A8576" w:rsidR="00706A0E" w:rsidRDefault="00706A0E" w:rsidP="003B063D">
            <w:pPr>
              <w:pStyle w:val="Table"/>
              <w:keepNext/>
            </w:pPr>
            <w:r>
              <w:t>1</w:t>
            </w:r>
            <w:r w:rsidR="00537ECD">
              <w:t>3</w:t>
            </w:r>
          </w:p>
        </w:tc>
        <w:tc>
          <w:tcPr>
            <w:tcW w:w="2543" w:type="dxa"/>
          </w:tcPr>
          <w:p w14:paraId="4ACCFEF3" w14:textId="2D29FCCD" w:rsidR="00706A0E" w:rsidRPr="000761DC" w:rsidRDefault="007F75F6" w:rsidP="003B063D">
            <w:pPr>
              <w:pStyle w:val="Table"/>
              <w:rPr>
                <w:b/>
              </w:rPr>
            </w:pPr>
            <w:r>
              <w:rPr>
                <w:b/>
              </w:rPr>
              <w:t>Total other m</w:t>
            </w:r>
            <w:r w:rsidR="00706A0E">
              <w:rPr>
                <w:b/>
              </w:rPr>
              <w:t>aterial risk-takers</w:t>
            </w:r>
          </w:p>
        </w:tc>
        <w:tc>
          <w:tcPr>
            <w:tcW w:w="1871" w:type="dxa"/>
          </w:tcPr>
          <w:p w14:paraId="355D7CEE" w14:textId="77777777" w:rsidR="00706A0E" w:rsidRPr="009A6373" w:rsidRDefault="00706A0E" w:rsidP="003B063D">
            <w:pPr>
              <w:pStyle w:val="Table"/>
            </w:pPr>
          </w:p>
        </w:tc>
        <w:tc>
          <w:tcPr>
            <w:tcW w:w="1729" w:type="dxa"/>
          </w:tcPr>
          <w:p w14:paraId="5E8E8955" w14:textId="77777777" w:rsidR="00706A0E" w:rsidRPr="009A6373" w:rsidRDefault="00706A0E" w:rsidP="003B063D">
            <w:pPr>
              <w:pStyle w:val="Table"/>
            </w:pPr>
          </w:p>
        </w:tc>
        <w:tc>
          <w:tcPr>
            <w:tcW w:w="1730" w:type="dxa"/>
          </w:tcPr>
          <w:p w14:paraId="1D3757AD" w14:textId="77777777" w:rsidR="00706A0E" w:rsidRPr="009A6373" w:rsidRDefault="00706A0E" w:rsidP="003B063D">
            <w:pPr>
              <w:pStyle w:val="Table"/>
            </w:pPr>
          </w:p>
        </w:tc>
      </w:tr>
      <w:tr w:rsidR="00706A0E" w14:paraId="5A1DB8E4" w14:textId="77777777" w:rsidTr="00405479">
        <w:tc>
          <w:tcPr>
            <w:tcW w:w="429" w:type="dxa"/>
          </w:tcPr>
          <w:p w14:paraId="6870123F" w14:textId="5145C885" w:rsidR="00706A0E" w:rsidRDefault="00706A0E" w:rsidP="003B063D">
            <w:pPr>
              <w:pStyle w:val="Table"/>
            </w:pPr>
            <w:r>
              <w:t>1</w:t>
            </w:r>
            <w:r w:rsidR="0031393F">
              <w:t>4</w:t>
            </w:r>
          </w:p>
        </w:tc>
        <w:tc>
          <w:tcPr>
            <w:tcW w:w="2543" w:type="dxa"/>
          </w:tcPr>
          <w:p w14:paraId="2E78DB52" w14:textId="77777777" w:rsidR="00706A0E" w:rsidRPr="009A6373" w:rsidRDefault="00706A0E" w:rsidP="003B063D">
            <w:pPr>
              <w:pStyle w:val="Table"/>
              <w:ind w:left="142"/>
            </w:pPr>
            <w:r>
              <w:t>of which: cash</w:t>
            </w:r>
          </w:p>
        </w:tc>
        <w:tc>
          <w:tcPr>
            <w:tcW w:w="1871" w:type="dxa"/>
          </w:tcPr>
          <w:p w14:paraId="6D82A9DC" w14:textId="77777777" w:rsidR="00706A0E" w:rsidRPr="009A6373" w:rsidRDefault="00706A0E" w:rsidP="003B063D">
            <w:pPr>
              <w:pStyle w:val="Table"/>
            </w:pPr>
          </w:p>
        </w:tc>
        <w:tc>
          <w:tcPr>
            <w:tcW w:w="1729" w:type="dxa"/>
          </w:tcPr>
          <w:p w14:paraId="48BB4B4B" w14:textId="77777777" w:rsidR="00706A0E" w:rsidRPr="009A6373" w:rsidRDefault="00706A0E" w:rsidP="003B063D">
            <w:pPr>
              <w:pStyle w:val="Table"/>
            </w:pPr>
          </w:p>
        </w:tc>
        <w:tc>
          <w:tcPr>
            <w:tcW w:w="1730" w:type="dxa"/>
          </w:tcPr>
          <w:p w14:paraId="54444527" w14:textId="77777777" w:rsidR="00706A0E" w:rsidRPr="009A6373" w:rsidRDefault="00706A0E" w:rsidP="003B063D">
            <w:pPr>
              <w:pStyle w:val="Table"/>
            </w:pPr>
          </w:p>
        </w:tc>
      </w:tr>
      <w:tr w:rsidR="00706A0E" w14:paraId="158EA85A" w14:textId="77777777" w:rsidTr="00405479">
        <w:tc>
          <w:tcPr>
            <w:tcW w:w="429" w:type="dxa"/>
          </w:tcPr>
          <w:p w14:paraId="414AE6DC" w14:textId="536E61BA" w:rsidR="00706A0E" w:rsidRDefault="00706A0E" w:rsidP="003B063D">
            <w:pPr>
              <w:pStyle w:val="Table"/>
            </w:pPr>
            <w:r>
              <w:t>1</w:t>
            </w:r>
            <w:r w:rsidR="0031393F">
              <w:t>5</w:t>
            </w:r>
          </w:p>
        </w:tc>
        <w:tc>
          <w:tcPr>
            <w:tcW w:w="2543" w:type="dxa"/>
          </w:tcPr>
          <w:p w14:paraId="71874C34" w14:textId="77777777" w:rsidR="00706A0E" w:rsidRPr="000761DC" w:rsidRDefault="00706A0E" w:rsidP="003B063D">
            <w:pPr>
              <w:pStyle w:val="Table"/>
              <w:ind w:left="142"/>
            </w:pPr>
            <w:r>
              <w:t>of which: share-based awards</w:t>
            </w:r>
          </w:p>
        </w:tc>
        <w:tc>
          <w:tcPr>
            <w:tcW w:w="1871" w:type="dxa"/>
          </w:tcPr>
          <w:p w14:paraId="6E834F43" w14:textId="77777777" w:rsidR="00706A0E" w:rsidRPr="00F9386A" w:rsidRDefault="00706A0E" w:rsidP="003B063D">
            <w:pPr>
              <w:pStyle w:val="Table"/>
            </w:pPr>
          </w:p>
        </w:tc>
        <w:tc>
          <w:tcPr>
            <w:tcW w:w="1729" w:type="dxa"/>
          </w:tcPr>
          <w:p w14:paraId="3E84BE97" w14:textId="77777777" w:rsidR="00706A0E" w:rsidRPr="00F9386A" w:rsidRDefault="00706A0E" w:rsidP="003B063D">
            <w:pPr>
              <w:pStyle w:val="Table"/>
            </w:pPr>
          </w:p>
        </w:tc>
        <w:tc>
          <w:tcPr>
            <w:tcW w:w="1730" w:type="dxa"/>
          </w:tcPr>
          <w:p w14:paraId="05908D70" w14:textId="77777777" w:rsidR="00706A0E" w:rsidRPr="00F9386A" w:rsidRDefault="00706A0E" w:rsidP="003B063D">
            <w:pPr>
              <w:pStyle w:val="Table"/>
            </w:pPr>
          </w:p>
        </w:tc>
      </w:tr>
      <w:tr w:rsidR="00706A0E" w14:paraId="64088588" w14:textId="77777777" w:rsidTr="00405479">
        <w:tc>
          <w:tcPr>
            <w:tcW w:w="429" w:type="dxa"/>
          </w:tcPr>
          <w:p w14:paraId="5760CE34" w14:textId="7D347BBF" w:rsidR="00706A0E" w:rsidRDefault="0031393F" w:rsidP="003B063D">
            <w:pPr>
              <w:pStyle w:val="Table"/>
            </w:pPr>
            <w:r>
              <w:t>1</w:t>
            </w:r>
            <w:r w:rsidR="0090329C">
              <w:t>6</w:t>
            </w:r>
          </w:p>
        </w:tc>
        <w:tc>
          <w:tcPr>
            <w:tcW w:w="2543" w:type="dxa"/>
          </w:tcPr>
          <w:p w14:paraId="37D37BC8" w14:textId="77777777" w:rsidR="00706A0E" w:rsidRDefault="00706A0E" w:rsidP="003B063D">
            <w:pPr>
              <w:pStyle w:val="Table"/>
              <w:ind w:left="142"/>
            </w:pPr>
            <w:r>
              <w:t>of which: other</w:t>
            </w:r>
          </w:p>
        </w:tc>
        <w:tc>
          <w:tcPr>
            <w:tcW w:w="1871" w:type="dxa"/>
          </w:tcPr>
          <w:p w14:paraId="474067CB" w14:textId="77777777" w:rsidR="00706A0E" w:rsidRDefault="00706A0E" w:rsidP="003B063D">
            <w:pPr>
              <w:pStyle w:val="Table"/>
            </w:pPr>
          </w:p>
        </w:tc>
        <w:tc>
          <w:tcPr>
            <w:tcW w:w="1729" w:type="dxa"/>
          </w:tcPr>
          <w:p w14:paraId="0CDAC32C" w14:textId="77777777" w:rsidR="00706A0E" w:rsidRDefault="00706A0E" w:rsidP="003B063D">
            <w:pPr>
              <w:pStyle w:val="Table"/>
            </w:pPr>
          </w:p>
        </w:tc>
        <w:tc>
          <w:tcPr>
            <w:tcW w:w="1730" w:type="dxa"/>
          </w:tcPr>
          <w:p w14:paraId="3F7E1C17" w14:textId="77777777" w:rsidR="00706A0E" w:rsidRDefault="00706A0E" w:rsidP="003B063D">
            <w:pPr>
              <w:pStyle w:val="Table"/>
            </w:pPr>
          </w:p>
        </w:tc>
      </w:tr>
      <w:tr w:rsidR="00706A0E" w14:paraId="163A4F97" w14:textId="77777777" w:rsidTr="00405479">
        <w:tc>
          <w:tcPr>
            <w:tcW w:w="429" w:type="dxa"/>
          </w:tcPr>
          <w:p w14:paraId="34D13EA7" w14:textId="60650AA0" w:rsidR="00706A0E" w:rsidRDefault="0090329C" w:rsidP="003B063D">
            <w:pPr>
              <w:pStyle w:val="Table"/>
            </w:pPr>
            <w:r>
              <w:t>17</w:t>
            </w:r>
          </w:p>
        </w:tc>
        <w:tc>
          <w:tcPr>
            <w:tcW w:w="2543" w:type="dxa"/>
          </w:tcPr>
          <w:p w14:paraId="5A5D4D7B" w14:textId="46229F26" w:rsidR="00706A0E" w:rsidRPr="005F6626" w:rsidRDefault="00706A0E" w:rsidP="003B063D">
            <w:pPr>
              <w:pStyle w:val="Table"/>
              <w:ind w:left="142"/>
            </w:pPr>
            <w:r w:rsidRPr="005F6626">
              <w:rPr>
                <w:b/>
              </w:rPr>
              <w:t xml:space="preserve">Total </w:t>
            </w:r>
            <w:r>
              <w:br/>
              <w:t>(</w:t>
            </w:r>
            <w:r w:rsidR="00264665">
              <w:t xml:space="preserve">sum of </w:t>
            </w:r>
            <w:r>
              <w:t xml:space="preserve">rows 1 + </w:t>
            </w:r>
            <w:r w:rsidR="0031393F">
              <w:t>5</w:t>
            </w:r>
            <w:r>
              <w:t xml:space="preserve"> + </w:t>
            </w:r>
            <w:r w:rsidR="0031393F">
              <w:t>9</w:t>
            </w:r>
            <w:r>
              <w:t xml:space="preserve"> + 1</w:t>
            </w:r>
            <w:r w:rsidR="0031393F">
              <w:t>3</w:t>
            </w:r>
            <w:r>
              <w:t>)</w:t>
            </w:r>
          </w:p>
        </w:tc>
        <w:tc>
          <w:tcPr>
            <w:tcW w:w="1871" w:type="dxa"/>
          </w:tcPr>
          <w:p w14:paraId="48724618" w14:textId="77777777" w:rsidR="00706A0E" w:rsidRDefault="00706A0E" w:rsidP="003B063D">
            <w:pPr>
              <w:pStyle w:val="Table"/>
            </w:pPr>
          </w:p>
        </w:tc>
        <w:tc>
          <w:tcPr>
            <w:tcW w:w="1729" w:type="dxa"/>
          </w:tcPr>
          <w:p w14:paraId="62F7DB76" w14:textId="77777777" w:rsidR="00706A0E" w:rsidRDefault="00706A0E" w:rsidP="003B063D">
            <w:pPr>
              <w:pStyle w:val="Table"/>
            </w:pPr>
          </w:p>
        </w:tc>
        <w:tc>
          <w:tcPr>
            <w:tcW w:w="1730" w:type="dxa"/>
          </w:tcPr>
          <w:p w14:paraId="59AB286A" w14:textId="77777777" w:rsidR="00706A0E" w:rsidRDefault="00706A0E" w:rsidP="003B063D">
            <w:pPr>
              <w:pStyle w:val="Table"/>
            </w:pPr>
          </w:p>
        </w:tc>
      </w:tr>
    </w:tbl>
    <w:p w14:paraId="0E661180" w14:textId="77777777" w:rsidR="00706A0E" w:rsidRPr="00A95B90" w:rsidRDefault="00706A0E" w:rsidP="00A95B90"/>
    <w:p w14:paraId="3F1435E6" w14:textId="3C87B932" w:rsidR="00012BC3" w:rsidRDefault="00C745FF" w:rsidP="00B01B58">
      <w:pPr>
        <w:pStyle w:val="Heading1"/>
        <w:pageBreakBefore/>
        <w:jc w:val="both"/>
      </w:pPr>
      <w:bookmarkStart w:id="273" w:name="_Toc55570126"/>
      <w:bookmarkStart w:id="274" w:name="_Toc102482633"/>
      <w:r>
        <w:lastRenderedPageBreak/>
        <w:t>B</w:t>
      </w:r>
      <w:r w:rsidR="00AA2EB6">
        <w:t>.</w:t>
      </w:r>
      <w:r w:rsidR="0017746A">
        <w:t xml:space="preserve"> </w:t>
      </w:r>
      <w:r w:rsidR="00311AB2" w:rsidRPr="008744BA">
        <w:t>Requirements</w:t>
      </w:r>
      <w:r w:rsidR="00311AB2">
        <w:t xml:space="preserve"> for Non-SFIs</w:t>
      </w:r>
      <w:bookmarkEnd w:id="273"/>
      <w:bookmarkEnd w:id="274"/>
      <w:r w:rsidR="00311AB2">
        <w:rPr>
          <w:rStyle w:val="CommentReference"/>
          <w:rFonts w:ascii="Times New Roman" w:hAnsi="Times New Roman"/>
          <w:b w:val="0"/>
        </w:rPr>
        <w:t xml:space="preserve"> </w:t>
      </w:r>
    </w:p>
    <w:p w14:paraId="05647BFF" w14:textId="77777777" w:rsidR="00311AB2" w:rsidRDefault="00311AB2" w:rsidP="00D557BC">
      <w:pPr>
        <w:pStyle w:val="Heading1"/>
        <w:jc w:val="both"/>
      </w:pPr>
      <w:bookmarkStart w:id="275" w:name="_Toc55570127"/>
      <w:bookmarkStart w:id="276" w:name="_Toc102482634"/>
      <w:r>
        <w:t>Remuneration framework</w:t>
      </w:r>
      <w:bookmarkEnd w:id="275"/>
      <w:bookmarkEnd w:id="276"/>
    </w:p>
    <w:p w14:paraId="7AF59C08" w14:textId="0C177860" w:rsidR="00311AB2" w:rsidRPr="00360714" w:rsidRDefault="00311AB2" w:rsidP="00360714">
      <w:pPr>
        <w:pStyle w:val="BodyText1"/>
        <w:tabs>
          <w:tab w:val="left" w:pos="851"/>
        </w:tabs>
      </w:pPr>
      <w:bookmarkStart w:id="277" w:name="_Ref52354650"/>
      <w:r w:rsidRPr="00360714">
        <w:t>An APRA-regulated entity must maintain a remuneration framework that:</w:t>
      </w:r>
      <w:bookmarkEnd w:id="277"/>
    </w:p>
    <w:p w14:paraId="3B6FDA2A" w14:textId="77777777" w:rsidR="00311AB2" w:rsidRPr="00DF776C" w:rsidRDefault="00311AB2" w:rsidP="005C23D3">
      <w:pPr>
        <w:pStyle w:val="BodyText2"/>
        <w:keepNext/>
        <w:jc w:val="both"/>
      </w:pPr>
      <w:r w:rsidRPr="00DF776C">
        <w:t>align</w:t>
      </w:r>
      <w:r>
        <w:t>s</w:t>
      </w:r>
      <w:r w:rsidRPr="00DF776C">
        <w:t xml:space="preserve"> with the entity’s business </w:t>
      </w:r>
      <w:r>
        <w:t>plan</w:t>
      </w:r>
      <w:r w:rsidRPr="00DF776C">
        <w:t>,</w:t>
      </w:r>
      <w:r w:rsidR="00D131F6">
        <w:t xml:space="preserve"> </w:t>
      </w:r>
      <w:r>
        <w:t>strategic objectives</w:t>
      </w:r>
      <w:r w:rsidR="0089546C">
        <w:t xml:space="preserve"> </w:t>
      </w:r>
      <w:r>
        <w:t>and risk management framework</w:t>
      </w:r>
      <w:r w:rsidRPr="00DF776C">
        <w:t>;</w:t>
      </w:r>
      <w:r>
        <w:rPr>
          <w:rStyle w:val="FootnoteReference"/>
        </w:rPr>
        <w:footnoteReference w:id="23"/>
      </w:r>
    </w:p>
    <w:p w14:paraId="4D114F74" w14:textId="77777777" w:rsidR="00311AB2" w:rsidRDefault="00311AB2" w:rsidP="00D557BC">
      <w:pPr>
        <w:pStyle w:val="BodyText2"/>
        <w:jc w:val="both"/>
      </w:pPr>
      <w:r>
        <w:t xml:space="preserve">promotes effective management of both financial and non-financial risks, </w:t>
      </w:r>
      <w:r>
        <w:rPr>
          <w:rFonts w:asciiTheme="minorHAnsi" w:eastAsiaTheme="minorEastAsia" w:hAnsiTheme="minorHAnsi" w:cstheme="minorHAnsi"/>
          <w:kern w:val="24"/>
        </w:rPr>
        <w:t>sustainable performance</w:t>
      </w:r>
      <w:r>
        <w:t xml:space="preserve"> and</w:t>
      </w:r>
      <w:r w:rsidRPr="00046419">
        <w:t xml:space="preserve"> the entity’s long-term soundness</w:t>
      </w:r>
      <w:r>
        <w:t xml:space="preserve">; </w:t>
      </w:r>
    </w:p>
    <w:p w14:paraId="2C21F8F2" w14:textId="77777777" w:rsidR="00311AB2" w:rsidRPr="00046419" w:rsidRDefault="00311AB2" w:rsidP="00D557BC">
      <w:pPr>
        <w:pStyle w:val="BodyText2"/>
        <w:jc w:val="both"/>
      </w:pPr>
      <w:r>
        <w:t xml:space="preserve">for an RSE licensee, </w:t>
      </w:r>
      <w:r w:rsidR="009F4EE6">
        <w:t xml:space="preserve">promotes </w:t>
      </w:r>
      <w:r w:rsidR="009A006C" w:rsidRPr="009A006C">
        <w:t>perform</w:t>
      </w:r>
      <w:r w:rsidR="009F4EE6">
        <w:t>ing</w:t>
      </w:r>
      <w:r w:rsidR="009A006C" w:rsidRPr="009A006C">
        <w:t xml:space="preserve"> its duties and exercis</w:t>
      </w:r>
      <w:r w:rsidR="009F4EE6">
        <w:t>ing</w:t>
      </w:r>
      <w:r w:rsidR="009A006C" w:rsidRPr="009A006C">
        <w:t xml:space="preserve"> its powers in the best financial interests of beneficiaries</w:t>
      </w:r>
      <w:r>
        <w:t xml:space="preserve">; </w:t>
      </w:r>
      <w:r w:rsidR="004F3FE4">
        <w:t>and</w:t>
      </w:r>
    </w:p>
    <w:p w14:paraId="2E5833A8" w14:textId="77777777" w:rsidR="00311AB2" w:rsidRDefault="00311AB2" w:rsidP="00D557BC">
      <w:pPr>
        <w:pStyle w:val="BodyText2"/>
        <w:jc w:val="both"/>
      </w:pPr>
      <w:r>
        <w:t>supports the prevention and mitigation of conduct risk.</w:t>
      </w:r>
    </w:p>
    <w:p w14:paraId="08C28269" w14:textId="31302583" w:rsidR="00311AB2" w:rsidDel="004304BE" w:rsidRDefault="00311AB2" w:rsidP="00360714">
      <w:pPr>
        <w:pStyle w:val="BodyText1"/>
        <w:tabs>
          <w:tab w:val="num" w:pos="851"/>
        </w:tabs>
      </w:pPr>
      <w:bookmarkStart w:id="278" w:name="_Ref52354695"/>
      <w:r>
        <w:t>The remuneration framework must include a documented remuneration policy which at minimum sets out</w:t>
      </w:r>
      <w:r w:rsidDel="004304BE">
        <w:t>:</w:t>
      </w:r>
      <w:bookmarkEnd w:id="278"/>
    </w:p>
    <w:p w14:paraId="2911A979" w14:textId="1930FB07" w:rsidR="00311AB2" w:rsidRDefault="00311AB2" w:rsidP="00D557BC">
      <w:pPr>
        <w:pStyle w:val="BodyText2"/>
        <w:jc w:val="both"/>
      </w:pPr>
      <w:r>
        <w:t>how the remuneration framework addresses paragraph</w:t>
      </w:r>
      <w:r w:rsidR="00DE1559">
        <w:t xml:space="preserve"> </w:t>
      </w:r>
      <w:r w:rsidR="00DE1559">
        <w:fldChar w:fldCharType="begin"/>
      </w:r>
      <w:r w:rsidR="00DE1559">
        <w:instrText xml:space="preserve"> REF _Ref52354650 \r \h </w:instrText>
      </w:r>
      <w:r w:rsidR="00D557BC">
        <w:instrText xml:space="preserve"> \* MERGEFORMAT </w:instrText>
      </w:r>
      <w:r w:rsidR="00DE1559">
        <w:fldChar w:fldCharType="separate"/>
      </w:r>
      <w:r w:rsidR="00DE6765">
        <w:t>74</w:t>
      </w:r>
      <w:r w:rsidR="00DE1559">
        <w:fldChar w:fldCharType="end"/>
      </w:r>
      <w:r w:rsidR="00AF6FA8" w:rsidRPr="00AF6FA8">
        <w:t xml:space="preserve"> </w:t>
      </w:r>
      <w:r w:rsidR="00AF6FA8">
        <w:t>of this Prudential Standard</w:t>
      </w:r>
      <w:r>
        <w:t xml:space="preserve">; </w:t>
      </w:r>
    </w:p>
    <w:p w14:paraId="259F4AB2" w14:textId="77777777" w:rsidR="00311AB2" w:rsidRDefault="00311AB2" w:rsidP="00802E43">
      <w:pPr>
        <w:pStyle w:val="BodyText2"/>
        <w:jc w:val="both"/>
      </w:pPr>
      <w:r>
        <w:t xml:space="preserve">at a high level, the </w:t>
      </w:r>
      <w:r w:rsidRPr="00FE3210">
        <w:t xml:space="preserve">structure and terms of remuneration arrangements that apply to </w:t>
      </w:r>
      <w:r>
        <w:t>a person who is:</w:t>
      </w:r>
    </w:p>
    <w:p w14:paraId="6B0149EE" w14:textId="77777777" w:rsidR="00311AB2" w:rsidRDefault="00311AB2" w:rsidP="00802E43">
      <w:pPr>
        <w:pStyle w:val="BodyText3"/>
        <w:jc w:val="both"/>
      </w:pPr>
      <w:r w:rsidRPr="006562B8">
        <w:t xml:space="preserve">employed directly by the </w:t>
      </w:r>
      <w:r>
        <w:t>APRA-regulated entity</w:t>
      </w:r>
      <w:r w:rsidRPr="006562B8">
        <w:t>;</w:t>
      </w:r>
    </w:p>
    <w:p w14:paraId="2B7E234D" w14:textId="77777777" w:rsidR="00311AB2" w:rsidRDefault="00311AB2" w:rsidP="00802E43">
      <w:pPr>
        <w:pStyle w:val="BodyText3"/>
        <w:jc w:val="both"/>
      </w:pPr>
      <w:r>
        <w:t>r</w:t>
      </w:r>
      <w:r w:rsidRPr="006562B8">
        <w:t xml:space="preserve">etained directly by the </w:t>
      </w:r>
      <w:r>
        <w:t>APRA-regulated entity</w:t>
      </w:r>
      <w:r w:rsidRPr="006562B8">
        <w:t xml:space="preserve"> under contract;</w:t>
      </w:r>
      <w:r>
        <w:t xml:space="preserve"> and</w:t>
      </w:r>
    </w:p>
    <w:p w14:paraId="211D13EC" w14:textId="77777777" w:rsidR="00311AB2" w:rsidRDefault="00311AB2" w:rsidP="00802E43">
      <w:pPr>
        <w:pStyle w:val="BodyText3"/>
        <w:jc w:val="both"/>
      </w:pPr>
      <w:r w:rsidRPr="006562B8">
        <w:t xml:space="preserve">employed by, or </w:t>
      </w:r>
      <w:r w:rsidR="00264EC1">
        <w:t xml:space="preserve">is </w:t>
      </w:r>
      <w:r w:rsidRPr="006562B8">
        <w:t xml:space="preserve">a contractor of a body corporate (including a service company) that is a </w:t>
      </w:r>
      <w:r w:rsidRPr="00890149">
        <w:t>related body corporate</w:t>
      </w:r>
      <w:r w:rsidRPr="00DF2535">
        <w:t xml:space="preserve"> </w:t>
      </w:r>
      <w:r>
        <w:t xml:space="preserve">or connected entity, </w:t>
      </w:r>
      <w:r w:rsidRPr="00DF2535">
        <w:t xml:space="preserve">of the </w:t>
      </w:r>
      <w:r>
        <w:t>APRA-regulated entity</w:t>
      </w:r>
      <w:r w:rsidR="00934B40">
        <w:t>;</w:t>
      </w:r>
      <w:r>
        <w:t xml:space="preserve"> </w:t>
      </w:r>
    </w:p>
    <w:p w14:paraId="7391FB21" w14:textId="305BB876" w:rsidR="00311AB2" w:rsidRDefault="008D1CA2" w:rsidP="00802E43">
      <w:pPr>
        <w:pStyle w:val="BodyText2"/>
        <w:jc w:val="both"/>
      </w:pPr>
      <w:r>
        <w:t xml:space="preserve">the approach to identify and </w:t>
      </w:r>
      <w:r w:rsidR="00D80873">
        <w:t xml:space="preserve">mitigate material conflicts to the objectives of the remuneration framework, as </w:t>
      </w:r>
      <w:r w:rsidR="00256C9A">
        <w:t>specified</w:t>
      </w:r>
      <w:r w:rsidR="00D80873">
        <w:t xml:space="preserve"> in </w:t>
      </w:r>
      <w:r>
        <w:t xml:space="preserve">paragraph </w:t>
      </w:r>
      <w:r w:rsidR="007B21DE">
        <w:fldChar w:fldCharType="begin"/>
      </w:r>
      <w:r w:rsidR="007B21DE">
        <w:instrText xml:space="preserve"> REF _Ref52354650 \r \h </w:instrText>
      </w:r>
      <w:r w:rsidR="007B21DE">
        <w:fldChar w:fldCharType="separate"/>
      </w:r>
      <w:r w:rsidR="00DE6765">
        <w:t>74</w:t>
      </w:r>
      <w:r w:rsidR="007B21DE">
        <w:fldChar w:fldCharType="end"/>
      </w:r>
      <w:r>
        <w:t xml:space="preserve"> </w:t>
      </w:r>
      <w:r w:rsidRPr="004F4BB9">
        <w:t>of this Prudential Standard</w:t>
      </w:r>
      <w:r w:rsidR="00D80873">
        <w:t>,</w:t>
      </w:r>
      <w:r>
        <w:t xml:space="preserve"> that may result from </w:t>
      </w:r>
      <w:r w:rsidR="00CE55AB">
        <w:t>third-party service provider compensation arrangements</w:t>
      </w:r>
      <w:r w:rsidR="00311AB2">
        <w:t>; and</w:t>
      </w:r>
    </w:p>
    <w:p w14:paraId="425C1C3F" w14:textId="77777777" w:rsidR="00311AB2" w:rsidRDefault="00311AB2" w:rsidP="00D557BC">
      <w:pPr>
        <w:pStyle w:val="BodyText2"/>
        <w:jc w:val="both"/>
      </w:pPr>
      <w:r w:rsidDel="00BE7270">
        <w:t xml:space="preserve">the </w:t>
      </w:r>
      <w:r>
        <w:t>systems and processes that support the implementation of the entity’s remuneration arrangements, including those that cover the assessment and management of performance, conduct and consequences.</w:t>
      </w:r>
    </w:p>
    <w:p w14:paraId="62B46F15" w14:textId="3D2A5D97" w:rsidR="00311AB2" w:rsidRDefault="00311AB2" w:rsidP="00D557BC">
      <w:pPr>
        <w:pStyle w:val="Heading1"/>
        <w:jc w:val="both"/>
      </w:pPr>
      <w:bookmarkStart w:id="279" w:name="_Toc55570128"/>
      <w:bookmarkStart w:id="280" w:name="_Toc102482635"/>
      <w:r>
        <w:t>Role of the Board</w:t>
      </w:r>
      <w:bookmarkEnd w:id="279"/>
      <w:bookmarkEnd w:id="280"/>
    </w:p>
    <w:p w14:paraId="3F165C6F" w14:textId="77777777" w:rsidR="00311AB2" w:rsidRDefault="00311AB2" w:rsidP="00360714">
      <w:pPr>
        <w:pStyle w:val="BodyText1"/>
        <w:tabs>
          <w:tab w:val="num" w:pos="851"/>
        </w:tabs>
      </w:pPr>
      <w:r>
        <w:t xml:space="preserve">The Board, or relevant oversight function, of an APRA-regulated entity is ultimately responsible for the entity’s remuneration framework </w:t>
      </w:r>
      <w:r w:rsidRPr="00877D67">
        <w:t>and its effective application</w:t>
      </w:r>
      <w:r>
        <w:t xml:space="preserve">. </w:t>
      </w:r>
    </w:p>
    <w:p w14:paraId="57E4E610" w14:textId="7447F18D" w:rsidR="00311AB2" w:rsidRDefault="00311AB2" w:rsidP="00360714">
      <w:pPr>
        <w:pStyle w:val="BodyText1"/>
        <w:tabs>
          <w:tab w:val="num" w:pos="851"/>
        </w:tabs>
      </w:pPr>
      <w:r>
        <w:lastRenderedPageBreak/>
        <w:t xml:space="preserve">The Board, or relevant oversight function, </w:t>
      </w:r>
      <w:r w:rsidRPr="00893463">
        <w:t xml:space="preserve">must </w:t>
      </w:r>
      <w:r>
        <w:t xml:space="preserve">approve the remuneration policy required under paragraph </w:t>
      </w:r>
      <w:r w:rsidR="00DE1559">
        <w:fldChar w:fldCharType="begin"/>
      </w:r>
      <w:r w:rsidR="00DE1559">
        <w:instrText xml:space="preserve"> REF _Ref52354695 \r \h </w:instrText>
      </w:r>
      <w:r w:rsidR="00D557BC">
        <w:instrText xml:space="preserve"> \* MERGEFORMAT </w:instrText>
      </w:r>
      <w:r w:rsidR="00DE1559">
        <w:fldChar w:fldCharType="separate"/>
      </w:r>
      <w:r w:rsidR="00DE6765">
        <w:t>75</w:t>
      </w:r>
      <w:r w:rsidR="00DE1559">
        <w:fldChar w:fldCharType="end"/>
      </w:r>
      <w:r>
        <w:t xml:space="preserve"> of this Prudential Standard.</w:t>
      </w:r>
    </w:p>
    <w:p w14:paraId="035AE88E" w14:textId="622509F1" w:rsidR="00311AB2" w:rsidRPr="00E546C7" w:rsidRDefault="00311AB2" w:rsidP="00D557BC">
      <w:pPr>
        <w:pStyle w:val="Heading1"/>
        <w:jc w:val="both"/>
      </w:pPr>
      <w:bookmarkStart w:id="281" w:name="_Toc55570129"/>
      <w:bookmarkStart w:id="282" w:name="_Toc102482636"/>
      <w:r>
        <w:t>Remuneration design</w:t>
      </w:r>
      <w:bookmarkEnd w:id="281"/>
      <w:bookmarkEnd w:id="282"/>
    </w:p>
    <w:p w14:paraId="519842E9" w14:textId="405F36EF" w:rsidR="001A1B54" w:rsidRPr="00607F92" w:rsidRDefault="001A1B54" w:rsidP="00360714">
      <w:pPr>
        <w:pStyle w:val="BodyText1"/>
        <w:tabs>
          <w:tab w:val="num" w:pos="851"/>
        </w:tabs>
      </w:pPr>
      <w:bookmarkStart w:id="283" w:name="_Ref51669297"/>
      <w:r>
        <w:t>An APRA-regulated entity must design all variable remuneration arrangements to align with</w:t>
      </w:r>
      <w:r w:rsidRPr="004F4BB9">
        <w:t xml:space="preserve"> </w:t>
      </w:r>
      <w:r>
        <w:t xml:space="preserve">paragraph </w:t>
      </w:r>
      <w:r>
        <w:fldChar w:fldCharType="begin"/>
      </w:r>
      <w:r>
        <w:instrText xml:space="preserve"> REF _Ref52354650 \r \h </w:instrText>
      </w:r>
      <w:r w:rsidR="00D557BC">
        <w:instrText xml:space="preserve"> \* MERGEFORMAT </w:instrText>
      </w:r>
      <w:r>
        <w:fldChar w:fldCharType="separate"/>
      </w:r>
      <w:r w:rsidR="00DE6765">
        <w:t>74</w:t>
      </w:r>
      <w:r>
        <w:fldChar w:fldCharType="end"/>
      </w:r>
      <w:r>
        <w:t xml:space="preserve"> of this Prudential Standard and must incorporate in its variable remuneration arrangements</w:t>
      </w:r>
      <w:r w:rsidRPr="00607F92">
        <w:t>:</w:t>
      </w:r>
    </w:p>
    <w:p w14:paraId="594BCEBE" w14:textId="77777777" w:rsidR="001A1B54" w:rsidRPr="00607F92" w:rsidRDefault="001A1B54" w:rsidP="00D557BC">
      <w:pPr>
        <w:pStyle w:val="BodyText2"/>
        <w:jc w:val="both"/>
      </w:pPr>
      <w:r>
        <w:t>financial and non-</w:t>
      </w:r>
      <w:r w:rsidRPr="00D35CC6">
        <w:t xml:space="preserve">financial risks that could materially impact the entity’s risk profile, sustainable performance, long-term soundness, and in addition for an RSE licensee, </w:t>
      </w:r>
      <w:r>
        <w:t xml:space="preserve">those risks that could </w:t>
      </w:r>
      <w:r w:rsidRPr="00D35CC6">
        <w:t xml:space="preserve">materially impact on </w:t>
      </w:r>
      <w:r w:rsidRPr="009A006C">
        <w:t>perform</w:t>
      </w:r>
      <w:r>
        <w:t>ing</w:t>
      </w:r>
      <w:r w:rsidRPr="009A006C">
        <w:t xml:space="preserve"> its duties and exercis</w:t>
      </w:r>
      <w:r>
        <w:t>ing</w:t>
      </w:r>
      <w:r w:rsidRPr="009A006C">
        <w:t xml:space="preserve"> its powers in the best financial interests of beneficiaries</w:t>
      </w:r>
      <w:r w:rsidRPr="00607F92">
        <w:t>;</w:t>
      </w:r>
      <w:r>
        <w:t xml:space="preserve"> </w:t>
      </w:r>
    </w:p>
    <w:p w14:paraId="4C4730A8" w14:textId="77777777" w:rsidR="001A1B54" w:rsidRDefault="001A1B54" w:rsidP="00D557BC">
      <w:pPr>
        <w:pStyle w:val="BodyText2"/>
        <w:tabs>
          <w:tab w:val="num" w:pos="1418"/>
        </w:tabs>
        <w:ind w:left="1135"/>
        <w:jc w:val="both"/>
      </w:pPr>
      <w:r>
        <w:t>payout and vesting schedules that are commensurate with the possible range of risk and performance outcomes and that are sensitive to the time horizon of risk; and</w:t>
      </w:r>
    </w:p>
    <w:p w14:paraId="62226A81" w14:textId="77777777" w:rsidR="008D1CA2" w:rsidRPr="0095358A" w:rsidRDefault="008D1CA2" w:rsidP="00D557BC">
      <w:pPr>
        <w:pStyle w:val="BodyText2"/>
        <w:tabs>
          <w:tab w:val="num" w:pos="1418"/>
        </w:tabs>
        <w:ind w:left="1135"/>
        <w:jc w:val="both"/>
        <w:rPr>
          <w:rFonts w:asciiTheme="minorHAnsi" w:hAnsiTheme="minorHAnsi" w:cstheme="minorHAnsi"/>
        </w:rPr>
      </w:pPr>
      <w:bookmarkStart w:id="284" w:name="_Ref51669300"/>
      <w:bookmarkStart w:id="285" w:name="_Toc55570130"/>
      <w:bookmarkEnd w:id="283"/>
      <w:r w:rsidRPr="004D41A4">
        <w:rPr>
          <w:rFonts w:asciiTheme="minorHAnsi" w:hAnsiTheme="minorHAnsi" w:cstheme="minorHAnsi"/>
          <w:iCs/>
        </w:rPr>
        <w:t xml:space="preserve">appropriate </w:t>
      </w:r>
      <w:r w:rsidR="00D80873">
        <w:rPr>
          <w:rFonts w:asciiTheme="minorHAnsi" w:hAnsiTheme="minorHAnsi" w:cstheme="minorHAnsi"/>
          <w:iCs/>
        </w:rPr>
        <w:t xml:space="preserve">variable </w:t>
      </w:r>
      <w:r w:rsidRPr="004D41A4">
        <w:rPr>
          <w:rFonts w:asciiTheme="minorHAnsi" w:hAnsiTheme="minorHAnsi" w:cstheme="minorHAnsi"/>
          <w:iCs/>
        </w:rPr>
        <w:t xml:space="preserve">remuneration </w:t>
      </w:r>
      <w:r>
        <w:rPr>
          <w:rFonts w:asciiTheme="minorHAnsi" w:hAnsiTheme="minorHAnsi" w:cstheme="minorHAnsi"/>
          <w:iCs/>
        </w:rPr>
        <w:t>adjustment</w:t>
      </w:r>
      <w:r w:rsidRPr="004D41A4">
        <w:rPr>
          <w:rFonts w:asciiTheme="minorHAnsi" w:hAnsiTheme="minorHAnsi" w:cstheme="minorHAnsi"/>
          <w:iCs/>
        </w:rPr>
        <w:t xml:space="preserve"> tools</w:t>
      </w:r>
      <w:r>
        <w:rPr>
          <w:rFonts w:asciiTheme="minorHAnsi" w:hAnsiTheme="minorHAnsi" w:cstheme="minorHAnsi"/>
          <w:iCs/>
        </w:rPr>
        <w:t>,</w:t>
      </w:r>
      <w:r w:rsidRPr="004D41A4">
        <w:rPr>
          <w:rFonts w:asciiTheme="minorHAnsi" w:hAnsiTheme="minorHAnsi" w:cstheme="minorHAnsi"/>
          <w:iCs/>
        </w:rPr>
        <w:t xml:space="preserve"> </w:t>
      </w:r>
      <w:r>
        <w:t xml:space="preserve">that include but are not limited to overriding board discretion at each decision point, in-period adjustments, </w:t>
      </w:r>
      <w:r w:rsidRPr="00B76793">
        <w:t>malus and</w:t>
      </w:r>
      <w:r w:rsidR="0089546C">
        <w:t>,</w:t>
      </w:r>
      <w:r w:rsidRPr="00B76793">
        <w:t xml:space="preserve"> </w:t>
      </w:r>
      <w:r w:rsidRPr="004B4FC8">
        <w:t>where appropriate</w:t>
      </w:r>
      <w:r w:rsidR="0089546C">
        <w:t>,</w:t>
      </w:r>
      <w:r w:rsidRPr="004B4FC8">
        <w:t xml:space="preserve"> </w:t>
      </w:r>
      <w:r w:rsidRPr="00B76793">
        <w:t>clawback,</w:t>
      </w:r>
      <w:r>
        <w:t xml:space="preserve"> which are supported by a downward-adjustments process:</w:t>
      </w:r>
      <w:bookmarkEnd w:id="284"/>
    </w:p>
    <w:p w14:paraId="5D5CD005" w14:textId="77777777" w:rsidR="008D1CA2" w:rsidRPr="0095358A" w:rsidRDefault="008D1CA2" w:rsidP="00802E43">
      <w:pPr>
        <w:pStyle w:val="BodyText3"/>
        <w:jc w:val="both"/>
        <w:rPr>
          <w:rFonts w:asciiTheme="minorHAnsi" w:hAnsiTheme="minorHAnsi" w:cstheme="minorHAnsi"/>
        </w:rPr>
      </w:pPr>
      <w:r>
        <w:t>with clearly identified triggers to make a downward-adjustment;</w:t>
      </w:r>
    </w:p>
    <w:p w14:paraId="4CA54501" w14:textId="77777777" w:rsidR="008D1CA2" w:rsidRPr="0028372E" w:rsidRDefault="008D1CA2" w:rsidP="00802E43">
      <w:pPr>
        <w:pStyle w:val="BodyText3"/>
        <w:jc w:val="both"/>
        <w:rPr>
          <w:rFonts w:asciiTheme="minorHAnsi" w:hAnsiTheme="minorHAnsi" w:cstheme="minorHAnsi"/>
        </w:rPr>
      </w:pPr>
      <w:r>
        <w:t xml:space="preserve">that determines the appropriate adjustment tools to use; and </w:t>
      </w:r>
    </w:p>
    <w:p w14:paraId="7B55147F" w14:textId="77777777" w:rsidR="008D1CA2" w:rsidRPr="0095358A" w:rsidRDefault="008D1CA2" w:rsidP="00802E43">
      <w:pPr>
        <w:pStyle w:val="BodyText3"/>
        <w:jc w:val="both"/>
        <w:rPr>
          <w:rFonts w:asciiTheme="minorHAnsi" w:hAnsiTheme="minorHAnsi" w:cstheme="minorHAnsi"/>
        </w:rPr>
      </w:pPr>
      <w:r>
        <w:t>that determines the amount of downward-adjustment,</w:t>
      </w:r>
      <w:r w:rsidRPr="001A2E3F">
        <w:t xml:space="preserve"> </w:t>
      </w:r>
      <w:r>
        <w:t>proportionate to the severity of risk and conduct outcomes,</w:t>
      </w:r>
      <w:r w:rsidRPr="006A7AE7">
        <w:t xml:space="preserve"> to </w:t>
      </w:r>
      <w:r>
        <w:t>nil</w:t>
      </w:r>
      <w:r w:rsidRPr="006A7AE7">
        <w:t xml:space="preserve"> if </w:t>
      </w:r>
      <w:r>
        <w:t>appropriate.</w:t>
      </w:r>
    </w:p>
    <w:p w14:paraId="0A0043E0" w14:textId="77777777" w:rsidR="008D1CA2" w:rsidRPr="00B42E61" w:rsidRDefault="008D1CA2" w:rsidP="00360714">
      <w:pPr>
        <w:pStyle w:val="BodyText1"/>
        <w:tabs>
          <w:tab w:val="num" w:pos="851"/>
        </w:tabs>
      </w:pPr>
      <w:bookmarkStart w:id="286" w:name="_Ref51669222"/>
      <w:r>
        <w:t>An APRA-regulated entity must subject</w:t>
      </w:r>
      <w:r w:rsidRPr="00E702AB">
        <w:t xml:space="preserve"> </w:t>
      </w:r>
      <w:r>
        <w:t xml:space="preserve">a person’s variable remuneration </w:t>
      </w:r>
      <w:r w:rsidR="009B6444">
        <w:t xml:space="preserve">arrangement </w:t>
      </w:r>
      <w:r w:rsidRPr="00B42E61">
        <w:t>to malus.</w:t>
      </w:r>
    </w:p>
    <w:p w14:paraId="4738A60A" w14:textId="77777777" w:rsidR="004E0A89" w:rsidRPr="00E13F78" w:rsidRDefault="004E0A89" w:rsidP="00360714">
      <w:pPr>
        <w:pStyle w:val="BodyText1"/>
        <w:tabs>
          <w:tab w:val="num" w:pos="851"/>
        </w:tabs>
      </w:pPr>
      <w:bookmarkStart w:id="287" w:name="_Ref76380967"/>
      <w:bookmarkEnd w:id="286"/>
      <w:r w:rsidRPr="00C26B87">
        <w:t xml:space="preserve">An </w:t>
      </w:r>
      <w:r>
        <w:t xml:space="preserve">APRA-regulated </w:t>
      </w:r>
      <w:r w:rsidRPr="00C26B87">
        <w:t xml:space="preserve">entity must set specific criteria for the application of </w:t>
      </w:r>
      <w:r w:rsidR="00927970">
        <w:t xml:space="preserve">variable remuneration </w:t>
      </w:r>
      <w:r w:rsidR="00CE55AB">
        <w:t>adjustment tools</w:t>
      </w:r>
      <w:r w:rsidRPr="00E13F78">
        <w:t xml:space="preserve">, </w:t>
      </w:r>
      <w:r w:rsidR="009B6444">
        <w:t xml:space="preserve">including </w:t>
      </w:r>
      <w:r>
        <w:t>at least the following</w:t>
      </w:r>
      <w:r w:rsidRPr="00E13F78">
        <w:t>:</w:t>
      </w:r>
      <w:bookmarkEnd w:id="287"/>
    </w:p>
    <w:p w14:paraId="6346BA47" w14:textId="77777777" w:rsidR="004E0A89" w:rsidRPr="00E13F78" w:rsidRDefault="004E0A89" w:rsidP="00D557BC">
      <w:pPr>
        <w:pStyle w:val="BodyText2"/>
        <w:jc w:val="both"/>
      </w:pPr>
      <w:r>
        <w:t>misconduct leading to significant adverse outcomes</w:t>
      </w:r>
      <w:r w:rsidRPr="00E13F78">
        <w:t>;</w:t>
      </w:r>
    </w:p>
    <w:p w14:paraId="2B651E2B" w14:textId="77777777" w:rsidR="004E0A89" w:rsidRPr="00E13F78" w:rsidRDefault="004E0A89" w:rsidP="00D557BC">
      <w:pPr>
        <w:pStyle w:val="BodyText2"/>
        <w:jc w:val="both"/>
      </w:pPr>
      <w:r w:rsidRPr="00E13F78">
        <w:t>a significant failure of financial or non-financial risk management;</w:t>
      </w:r>
    </w:p>
    <w:p w14:paraId="6143326F" w14:textId="77777777" w:rsidR="004E0A89" w:rsidRDefault="004E0A89" w:rsidP="00D557BC">
      <w:pPr>
        <w:pStyle w:val="BodyText2"/>
        <w:jc w:val="both"/>
      </w:pPr>
      <w:r w:rsidRPr="00E13F78">
        <w:t>a</w:t>
      </w:r>
      <w:r w:rsidRPr="00415F38">
        <w:t xml:space="preserve"> significant failure </w:t>
      </w:r>
      <w:r>
        <w:t xml:space="preserve">or breach of accountability, </w:t>
      </w:r>
      <w:r w:rsidRPr="00415F38">
        <w:t xml:space="preserve">fitness and propriety, </w:t>
      </w:r>
      <w:r>
        <w:t xml:space="preserve">or </w:t>
      </w:r>
      <w:r w:rsidRPr="00415F38">
        <w:t>compliance obligations</w:t>
      </w:r>
      <w:r w:rsidRPr="00E13F78">
        <w:t xml:space="preserve">; </w:t>
      </w:r>
    </w:p>
    <w:p w14:paraId="69F2ABDB" w14:textId="77777777" w:rsidR="004E0A89" w:rsidRPr="00415F38" w:rsidRDefault="004E0A89" w:rsidP="00D557BC">
      <w:pPr>
        <w:pStyle w:val="BodyText2"/>
        <w:jc w:val="both"/>
      </w:pPr>
      <w:r>
        <w:t xml:space="preserve">a significant error or a </w:t>
      </w:r>
      <w:r w:rsidRPr="00415F38">
        <w:t>significant misstatement of criteria on which the variable remuneration determination was based</w:t>
      </w:r>
      <w:r>
        <w:t xml:space="preserve">; </w:t>
      </w:r>
      <w:r w:rsidRPr="00E13F78">
        <w:t>and</w:t>
      </w:r>
    </w:p>
    <w:p w14:paraId="1DB7E11A" w14:textId="77777777" w:rsidR="004E0A89" w:rsidRDefault="004E0A89" w:rsidP="00D557BC">
      <w:pPr>
        <w:pStyle w:val="BodyText2"/>
        <w:jc w:val="both"/>
      </w:pPr>
      <w:r w:rsidRPr="00E13F78">
        <w:t>significant adverse outcomes for customers, beneficiaries or counterparties</w:t>
      </w:r>
      <w:r>
        <w:t>.</w:t>
      </w:r>
    </w:p>
    <w:p w14:paraId="3243758B" w14:textId="531A25AA" w:rsidR="008D1CA2" w:rsidRDefault="004E0A89" w:rsidP="00360714">
      <w:pPr>
        <w:pStyle w:val="BodyText1"/>
      </w:pPr>
      <w:r>
        <w:t xml:space="preserve">An APRA-regulated entity must take reasonable steps to appropriately </w:t>
      </w:r>
      <w:r w:rsidR="00D247BC">
        <w:t>adjust</w:t>
      </w:r>
      <w:r>
        <w:t xml:space="preserve"> variable remuneration</w:t>
      </w:r>
      <w:r w:rsidR="00FE319E">
        <w:t xml:space="preserve"> downwards</w:t>
      </w:r>
      <w:r>
        <w:t xml:space="preserve"> when, as a minimum, any of the criteria specified in paragraph </w:t>
      </w:r>
      <w:r w:rsidR="00441F81">
        <w:fldChar w:fldCharType="begin"/>
      </w:r>
      <w:r w:rsidR="00441F81">
        <w:instrText xml:space="preserve"> REF _Ref76380967 \r \h </w:instrText>
      </w:r>
      <w:r w:rsidR="00D557BC">
        <w:instrText xml:space="preserve"> \* MERGEFORMAT </w:instrText>
      </w:r>
      <w:r w:rsidR="00441F81">
        <w:fldChar w:fldCharType="separate"/>
      </w:r>
      <w:r w:rsidR="00DE6765">
        <w:t>80</w:t>
      </w:r>
      <w:r w:rsidR="00441F81">
        <w:fldChar w:fldCharType="end"/>
      </w:r>
      <w:r>
        <w:t xml:space="preserve"> are satisfied. </w:t>
      </w:r>
      <w:r w:rsidR="00927970">
        <w:t xml:space="preserve">The total downward-adjustment to </w:t>
      </w:r>
      <w:r w:rsidR="00927970">
        <w:lastRenderedPageBreak/>
        <w:t>variable remuneration must be proportionate to the severity of the risk and conduct outcome.</w:t>
      </w:r>
    </w:p>
    <w:p w14:paraId="610119D4" w14:textId="51004A54" w:rsidR="008D1CA2" w:rsidRDefault="008D1CA2" w:rsidP="00360714">
      <w:pPr>
        <w:pStyle w:val="BodyText1"/>
        <w:tabs>
          <w:tab w:val="num" w:pos="851"/>
        </w:tabs>
      </w:pPr>
      <w:r>
        <w:t xml:space="preserve">In circumstances involving a person under investigation for criteria specified in paragraph </w:t>
      </w:r>
      <w:r w:rsidR="00AC57D2">
        <w:fldChar w:fldCharType="begin"/>
      </w:r>
      <w:r w:rsidR="00AC57D2">
        <w:instrText xml:space="preserve"> REF _Ref76380967 \r \h </w:instrText>
      </w:r>
      <w:r w:rsidR="00D557BC">
        <w:instrText xml:space="preserve"> \* MERGEFORMAT </w:instrText>
      </w:r>
      <w:r w:rsidR="00AC57D2">
        <w:fldChar w:fldCharType="separate"/>
      </w:r>
      <w:r w:rsidR="00DE6765">
        <w:t>80</w:t>
      </w:r>
      <w:r w:rsidR="00AC57D2">
        <w:fldChar w:fldCharType="end"/>
      </w:r>
      <w:r>
        <w:t xml:space="preserve">, variable remuneration must not vest until the investigation is closed. </w:t>
      </w:r>
    </w:p>
    <w:p w14:paraId="0248CD09" w14:textId="77777777" w:rsidR="00FA630B" w:rsidRDefault="008D1CA2" w:rsidP="00360714">
      <w:pPr>
        <w:pStyle w:val="BodyText1"/>
        <w:tabs>
          <w:tab w:val="num" w:pos="851"/>
        </w:tabs>
      </w:pPr>
      <w:r>
        <w:t xml:space="preserve">An APRA-regulated entity must take appropriate steps to assess and mitigate conflicts of interest in the design of its remuneration arrangements, including </w:t>
      </w:r>
      <w:r w:rsidR="00C30936">
        <w:t xml:space="preserve">conflicts that may arise from </w:t>
      </w:r>
      <w:r>
        <w:t>service contracts.</w:t>
      </w:r>
    </w:p>
    <w:p w14:paraId="3DEE7EC7" w14:textId="15E14830" w:rsidR="00FA630B" w:rsidRDefault="007B7EC6" w:rsidP="00360714">
      <w:pPr>
        <w:pStyle w:val="BodyText1"/>
        <w:tabs>
          <w:tab w:val="num" w:pos="851"/>
        </w:tabs>
      </w:pPr>
      <w:r>
        <w:t xml:space="preserve">Despite paragraph </w:t>
      </w:r>
      <w:r w:rsidR="00B7300E">
        <w:fldChar w:fldCharType="begin"/>
      </w:r>
      <w:r w:rsidR="00B7300E">
        <w:instrText xml:space="preserve"> REF _Ref55369863 \r \h </w:instrText>
      </w:r>
      <w:r w:rsidR="00B7300E">
        <w:fldChar w:fldCharType="separate"/>
      </w:r>
      <w:r w:rsidR="00DE6765">
        <w:t>4</w:t>
      </w:r>
      <w:r w:rsidR="00B7300E">
        <w:fldChar w:fldCharType="end"/>
      </w:r>
      <w:r>
        <w:t>, a</w:t>
      </w:r>
      <w:r w:rsidR="00FB2E6E">
        <w:t xml:space="preserve"> foreign ADI, Category C insurer or EFLIC </w:t>
      </w:r>
      <w:r w:rsidR="00FB2E6E" w:rsidRPr="00FA630B">
        <w:t>with total assets in excess of the threshold</w:t>
      </w:r>
      <w:r w:rsidR="00FB2E6E">
        <w:t xml:space="preserve"> set out in </w:t>
      </w:r>
      <w:r>
        <w:t>the definition of SFI under APS 001, GPS 001 or LPS 001 respectively</w:t>
      </w:r>
      <w:r w:rsidR="00FB2E6E">
        <w:t xml:space="preserve"> must defer variable remuneration of</w:t>
      </w:r>
      <w:r w:rsidR="00FB2E6E" w:rsidRPr="00FA630B">
        <w:t xml:space="preserve"> highly</w:t>
      </w:r>
      <w:r w:rsidR="00FB2E6E">
        <w:t>-</w:t>
      </w:r>
      <w:r w:rsidR="00FB2E6E" w:rsidRPr="00FA630B">
        <w:t>paid material risk-takers in</w:t>
      </w:r>
      <w:r w:rsidR="00FB2E6E">
        <w:t xml:space="preserve"> accordance with</w:t>
      </w:r>
      <w:r w:rsidR="00FB2E6E" w:rsidRPr="00FA630B">
        <w:t xml:space="preserve"> paragraph</w:t>
      </w:r>
      <w:r w:rsidR="00E45DFA">
        <w:t>s</w:t>
      </w:r>
      <w:r w:rsidR="00FB2E6E" w:rsidRPr="00FA630B">
        <w:t xml:space="preserve"> </w:t>
      </w:r>
      <w:r w:rsidR="002652BD">
        <w:fldChar w:fldCharType="begin"/>
      </w:r>
      <w:r w:rsidR="002652BD">
        <w:instrText xml:space="preserve"> REF _Ref134688204 \r \h </w:instrText>
      </w:r>
      <w:r w:rsidR="002652BD">
        <w:fldChar w:fldCharType="separate"/>
      </w:r>
      <w:r w:rsidR="00DE6765">
        <w:t>41(c)</w:t>
      </w:r>
      <w:r w:rsidR="002652BD">
        <w:fldChar w:fldCharType="end"/>
      </w:r>
      <w:r w:rsidR="00882E43">
        <w:t xml:space="preserve">, </w:t>
      </w:r>
      <w:r w:rsidR="00B7300E">
        <w:fldChar w:fldCharType="begin"/>
      </w:r>
      <w:r w:rsidR="00B7300E">
        <w:instrText xml:space="preserve"> REF _Ref130896609 \r \h </w:instrText>
      </w:r>
      <w:r w:rsidR="00B7300E">
        <w:fldChar w:fldCharType="separate"/>
      </w:r>
      <w:r w:rsidR="00DE6765">
        <w:t>42</w:t>
      </w:r>
      <w:r w:rsidR="00B7300E">
        <w:fldChar w:fldCharType="end"/>
      </w:r>
      <w:r w:rsidR="00FB2E6E">
        <w:t xml:space="preserve"> and </w:t>
      </w:r>
      <w:r w:rsidR="00B7300E">
        <w:fldChar w:fldCharType="begin"/>
      </w:r>
      <w:r w:rsidR="00B7300E">
        <w:instrText xml:space="preserve"> REF _Ref130896623 \r \h </w:instrText>
      </w:r>
      <w:r w:rsidR="00B7300E">
        <w:fldChar w:fldCharType="separate"/>
      </w:r>
      <w:r w:rsidR="00DE6765">
        <w:t>43</w:t>
      </w:r>
      <w:r w:rsidR="00B7300E">
        <w:fldChar w:fldCharType="end"/>
      </w:r>
      <w:r w:rsidR="00FB2E6E" w:rsidRPr="007001E2">
        <w:t xml:space="preserve"> </w:t>
      </w:r>
      <w:r w:rsidR="00FB2E6E">
        <w:t xml:space="preserve">of this </w:t>
      </w:r>
      <w:r w:rsidR="004F2F84">
        <w:t>Prudential Standard</w:t>
      </w:r>
      <w:r w:rsidR="00FB2E6E" w:rsidRPr="00FA630B">
        <w:t>.</w:t>
      </w:r>
      <w:r w:rsidR="00FB2E6E">
        <w:t xml:space="preserve"> </w:t>
      </w:r>
    </w:p>
    <w:p w14:paraId="01826E18" w14:textId="5F217EA3" w:rsidR="00311AB2" w:rsidRDefault="00311AB2" w:rsidP="00D557BC">
      <w:pPr>
        <w:pStyle w:val="Heading1"/>
        <w:jc w:val="both"/>
      </w:pPr>
      <w:bookmarkStart w:id="288" w:name="_Toc102482637"/>
      <w:r>
        <w:t>Remuneration outcomes</w:t>
      </w:r>
      <w:bookmarkEnd w:id="285"/>
      <w:bookmarkEnd w:id="288"/>
    </w:p>
    <w:p w14:paraId="03C63204" w14:textId="77777777" w:rsidR="00311AB2" w:rsidRPr="00FB7E11" w:rsidRDefault="00311AB2" w:rsidP="00360714">
      <w:pPr>
        <w:pStyle w:val="BodyText1"/>
        <w:tabs>
          <w:tab w:val="num" w:pos="851"/>
        </w:tabs>
      </w:pPr>
      <w:r>
        <w:t>An APRA-regulated entity must</w:t>
      </w:r>
      <w:r w:rsidRPr="00FB7E11">
        <w:t>:</w:t>
      </w:r>
    </w:p>
    <w:p w14:paraId="657965C5" w14:textId="77777777" w:rsidR="00311AB2" w:rsidRPr="00FB7E11" w:rsidRDefault="00311AB2" w:rsidP="00D557BC">
      <w:pPr>
        <w:pStyle w:val="BodyText2"/>
        <w:jc w:val="both"/>
      </w:pPr>
      <w:r>
        <w:t xml:space="preserve">align variable remuneration outcomes </w:t>
      </w:r>
      <w:r w:rsidRPr="00FB7E11">
        <w:t>with performance and risk outcomes</w:t>
      </w:r>
      <w:r>
        <w:t>; and</w:t>
      </w:r>
      <w:r w:rsidRPr="00FB7E11">
        <w:t xml:space="preserve"> </w:t>
      </w:r>
    </w:p>
    <w:p w14:paraId="7D42233E" w14:textId="2111133A" w:rsidR="00311AB2" w:rsidRDefault="00311AB2" w:rsidP="00D557BC">
      <w:pPr>
        <w:pStyle w:val="BodyText2"/>
        <w:jc w:val="both"/>
      </w:pPr>
      <w:r>
        <w:t xml:space="preserve">reflect the appropriate application of </w:t>
      </w:r>
      <w:r w:rsidR="00562A0A">
        <w:t xml:space="preserve">variable </w:t>
      </w:r>
      <w:r w:rsidRPr="004D41A4">
        <w:rPr>
          <w:rFonts w:asciiTheme="minorHAnsi" w:hAnsiTheme="minorHAnsi" w:cstheme="minorHAnsi"/>
          <w:iCs/>
        </w:rPr>
        <w:t xml:space="preserve">remuneration </w:t>
      </w:r>
      <w:r>
        <w:rPr>
          <w:rFonts w:asciiTheme="minorHAnsi" w:hAnsiTheme="minorHAnsi" w:cstheme="minorHAnsi"/>
          <w:iCs/>
        </w:rPr>
        <w:t>adjustment</w:t>
      </w:r>
      <w:r w:rsidRPr="004D41A4">
        <w:rPr>
          <w:rFonts w:asciiTheme="minorHAnsi" w:hAnsiTheme="minorHAnsi" w:cstheme="minorHAnsi"/>
          <w:iCs/>
        </w:rPr>
        <w:t xml:space="preserve"> tools</w:t>
      </w:r>
      <w:r w:rsidRPr="006C4DDE">
        <w:rPr>
          <w:rFonts w:asciiTheme="minorHAnsi" w:hAnsiTheme="minorHAnsi" w:cstheme="minorHAnsi"/>
          <w:iCs/>
        </w:rPr>
        <w:t xml:space="preserve"> </w:t>
      </w:r>
      <w:r>
        <w:rPr>
          <w:rFonts w:asciiTheme="minorHAnsi" w:hAnsiTheme="minorHAnsi" w:cstheme="minorHAnsi"/>
          <w:iCs/>
        </w:rPr>
        <w:t xml:space="preserve">in variable remuneration outcomes, as specified in paragraph </w:t>
      </w:r>
      <w:r w:rsidR="009C0530">
        <w:rPr>
          <w:rFonts w:asciiTheme="minorHAnsi" w:hAnsiTheme="minorHAnsi" w:cstheme="minorHAnsi"/>
          <w:iCs/>
        </w:rPr>
        <w:fldChar w:fldCharType="begin"/>
      </w:r>
      <w:r w:rsidR="009C0530">
        <w:rPr>
          <w:rFonts w:asciiTheme="minorHAnsi" w:hAnsiTheme="minorHAnsi" w:cstheme="minorHAnsi"/>
          <w:iCs/>
        </w:rPr>
        <w:instrText xml:space="preserve"> REF _Ref51669300 \r \h </w:instrText>
      </w:r>
      <w:r w:rsidR="00D557BC">
        <w:rPr>
          <w:rFonts w:asciiTheme="minorHAnsi" w:hAnsiTheme="minorHAnsi" w:cstheme="minorHAnsi"/>
          <w:iCs/>
        </w:rPr>
        <w:instrText xml:space="preserve"> \* MERGEFORMAT </w:instrText>
      </w:r>
      <w:r w:rsidR="009C0530">
        <w:rPr>
          <w:rFonts w:asciiTheme="minorHAnsi" w:hAnsiTheme="minorHAnsi" w:cstheme="minorHAnsi"/>
          <w:iCs/>
        </w:rPr>
      </w:r>
      <w:r w:rsidR="009C0530">
        <w:rPr>
          <w:rFonts w:asciiTheme="minorHAnsi" w:hAnsiTheme="minorHAnsi" w:cstheme="minorHAnsi"/>
          <w:iCs/>
        </w:rPr>
        <w:fldChar w:fldCharType="separate"/>
      </w:r>
      <w:r w:rsidR="00DE6765">
        <w:rPr>
          <w:rFonts w:asciiTheme="minorHAnsi" w:hAnsiTheme="minorHAnsi" w:cstheme="minorHAnsi"/>
          <w:iCs/>
        </w:rPr>
        <w:t>78(c)</w:t>
      </w:r>
      <w:r w:rsidR="009C0530">
        <w:rPr>
          <w:rFonts w:asciiTheme="minorHAnsi" w:hAnsiTheme="minorHAnsi" w:cstheme="minorHAnsi"/>
          <w:iCs/>
        </w:rPr>
        <w:fldChar w:fldCharType="end"/>
      </w:r>
      <w:r w:rsidR="002E4BE7">
        <w:rPr>
          <w:rFonts w:asciiTheme="minorHAnsi" w:hAnsiTheme="minorHAnsi" w:cstheme="minorHAnsi"/>
          <w:iCs/>
        </w:rPr>
        <w:t xml:space="preserve"> </w:t>
      </w:r>
      <w:r>
        <w:rPr>
          <w:rFonts w:asciiTheme="minorHAnsi" w:hAnsiTheme="minorHAnsi" w:cstheme="minorHAnsi"/>
          <w:iCs/>
        </w:rPr>
        <w:t>of this Prudential Standard</w:t>
      </w:r>
      <w:r>
        <w:t>.</w:t>
      </w:r>
    </w:p>
    <w:p w14:paraId="6D4EF8F5" w14:textId="77777777" w:rsidR="009D252C" w:rsidRDefault="009D252C" w:rsidP="00360714">
      <w:pPr>
        <w:pStyle w:val="BodyText1"/>
        <w:tabs>
          <w:tab w:val="num" w:pos="851"/>
        </w:tabs>
      </w:pPr>
      <w:bookmarkStart w:id="289" w:name="_Ref55551402"/>
      <w:bookmarkStart w:id="290" w:name="_Toc55570131"/>
      <w:r>
        <w:t xml:space="preserve">An APRA-regulated entity must not </w:t>
      </w:r>
      <w:r w:rsidRPr="00B5734B">
        <w:t xml:space="preserve">accelerate </w:t>
      </w:r>
      <w:r>
        <w:t xml:space="preserve">the </w:t>
      </w:r>
      <w:r w:rsidRPr="00B5734B">
        <w:t xml:space="preserve">vesting of unvested variable remuneration for </w:t>
      </w:r>
      <w:r>
        <w:t>a person in a specified role no longer employed or engaged by the entity, unless specific exceptions</w:t>
      </w:r>
      <w:r>
        <w:rPr>
          <w:rStyle w:val="FootnoteReference"/>
        </w:rPr>
        <w:footnoteReference w:id="24"/>
      </w:r>
      <w:r>
        <w:t xml:space="preserve"> have been included in the remuneration policy</w:t>
      </w:r>
      <w:r w:rsidRPr="00B5734B">
        <w:t>.</w:t>
      </w:r>
      <w:r>
        <w:t xml:space="preserve"> </w:t>
      </w:r>
      <w:r w:rsidRPr="00B5734B">
        <w:t xml:space="preserve">If </w:t>
      </w:r>
      <w:r>
        <w:t>that person</w:t>
      </w:r>
      <w:r w:rsidRPr="00B5734B">
        <w:t xml:space="preserve"> is eligible</w:t>
      </w:r>
      <w:r>
        <w:t xml:space="preserve"> for</w:t>
      </w:r>
      <w:r w:rsidRPr="00B5734B">
        <w:t xml:space="preserve"> any unvested variable remuneration</w:t>
      </w:r>
      <w:r>
        <w:t>, it</w:t>
      </w:r>
      <w:r w:rsidRPr="00B5734B">
        <w:t xml:space="preserve"> must be subject to the same vesting conditions as </w:t>
      </w:r>
      <w:r>
        <w:t xml:space="preserve">those </w:t>
      </w:r>
      <w:r w:rsidRPr="00B5734B">
        <w:t xml:space="preserve">for </w:t>
      </w:r>
      <w:r>
        <w:t>a person employed or engaged by the entity.</w:t>
      </w:r>
      <w:bookmarkEnd w:id="289"/>
      <w:r>
        <w:t xml:space="preserve"> </w:t>
      </w:r>
    </w:p>
    <w:p w14:paraId="09B1BD87" w14:textId="48DA3651" w:rsidR="00311AB2" w:rsidRPr="00E546C7" w:rsidRDefault="00311AB2" w:rsidP="00D557BC">
      <w:pPr>
        <w:pStyle w:val="Heading1"/>
        <w:jc w:val="both"/>
      </w:pPr>
      <w:bookmarkStart w:id="291" w:name="_Toc102482638"/>
      <w:r w:rsidRPr="00E546C7">
        <w:t>Speci</w:t>
      </w:r>
      <w:r>
        <w:t>fied</w:t>
      </w:r>
      <w:r w:rsidRPr="00E546C7">
        <w:t xml:space="preserve"> role</w:t>
      </w:r>
      <w:r>
        <w:t>s</w:t>
      </w:r>
      <w:bookmarkEnd w:id="290"/>
      <w:bookmarkEnd w:id="291"/>
    </w:p>
    <w:p w14:paraId="02C09487" w14:textId="77777777" w:rsidR="00311AB2" w:rsidRDefault="00311AB2" w:rsidP="00360714">
      <w:pPr>
        <w:pStyle w:val="BodyText1"/>
        <w:tabs>
          <w:tab w:val="num" w:pos="851"/>
        </w:tabs>
      </w:pPr>
      <w:bookmarkStart w:id="292" w:name="_Ref55551425"/>
      <w:r>
        <w:t>The Board, or relevant oversight function, must approve the variable remuneration outcomes for persons in specified roles as follows:</w:t>
      </w:r>
      <w:bookmarkEnd w:id="292"/>
    </w:p>
    <w:p w14:paraId="310EA02A" w14:textId="64AE5ABE" w:rsidR="00311AB2" w:rsidRDefault="00311AB2" w:rsidP="00D557BC">
      <w:pPr>
        <w:pStyle w:val="BodyText2"/>
        <w:jc w:val="both"/>
      </w:pPr>
      <w:bookmarkStart w:id="293" w:name="_Ref138233222"/>
      <w:r w:rsidRPr="006F6CDA">
        <w:t>individually for senior managers</w:t>
      </w:r>
      <w:r>
        <w:t xml:space="preserve"> and</w:t>
      </w:r>
      <w:r w:rsidRPr="00293907">
        <w:t xml:space="preserve"> </w:t>
      </w:r>
      <w:r>
        <w:t>executive directors</w:t>
      </w:r>
      <w:r w:rsidRPr="006F6CDA">
        <w:t>;</w:t>
      </w:r>
      <w:r>
        <w:rPr>
          <w:rStyle w:val="FootnoteReference"/>
        </w:rPr>
        <w:footnoteReference w:id="25"/>
      </w:r>
      <w:r>
        <w:t xml:space="preserve"> </w:t>
      </w:r>
      <w:r w:rsidRPr="006F6CDA">
        <w:t>and</w:t>
      </w:r>
      <w:bookmarkEnd w:id="293"/>
      <w:r w:rsidRPr="006F6CDA">
        <w:t xml:space="preserve"> </w:t>
      </w:r>
    </w:p>
    <w:p w14:paraId="192329AE" w14:textId="77777777" w:rsidR="00311AB2" w:rsidRDefault="00311AB2" w:rsidP="00D557BC">
      <w:pPr>
        <w:pStyle w:val="BodyText2"/>
        <w:jc w:val="both"/>
      </w:pPr>
      <w:r>
        <w:t xml:space="preserve">on a cohort basis </w:t>
      </w:r>
      <w:r w:rsidRPr="006F6CDA">
        <w:t>for highly-paid material risk-takers, other material risk-takers and risk and financial control personnel.</w:t>
      </w:r>
    </w:p>
    <w:p w14:paraId="7502A816" w14:textId="59E92F24" w:rsidR="00311AB2" w:rsidRPr="00E546C7" w:rsidRDefault="00311AB2" w:rsidP="00D557BC">
      <w:pPr>
        <w:pStyle w:val="Heading1"/>
        <w:jc w:val="both"/>
      </w:pPr>
      <w:bookmarkStart w:id="294" w:name="_Toc55570132"/>
      <w:bookmarkStart w:id="295" w:name="_Toc102482639"/>
      <w:r w:rsidRPr="00E546C7">
        <w:lastRenderedPageBreak/>
        <w:t>Other requirements</w:t>
      </w:r>
      <w:bookmarkEnd w:id="294"/>
      <w:bookmarkEnd w:id="295"/>
    </w:p>
    <w:p w14:paraId="01F756D2" w14:textId="77777777" w:rsidR="00311AB2" w:rsidRDefault="00582C61" w:rsidP="00360714">
      <w:pPr>
        <w:pStyle w:val="BodyText1"/>
        <w:tabs>
          <w:tab w:val="num" w:pos="851"/>
        </w:tabs>
      </w:pPr>
      <w:r w:rsidRPr="00D2300C">
        <w:t xml:space="preserve">In relation to the requirements for a remuneration policy, </w:t>
      </w:r>
      <w:r>
        <w:t>w</w:t>
      </w:r>
      <w:r w:rsidR="00311AB2">
        <w:t>here an APRA-regulated entity is part of a group</w:t>
      </w:r>
      <w:r w:rsidR="00931FB3">
        <w:t>,</w:t>
      </w:r>
      <w:r w:rsidR="00856B1D">
        <w:t xml:space="preserve"> or corporate group in the case of a </w:t>
      </w:r>
      <w:r w:rsidR="00931FB3">
        <w:t>private health insurer</w:t>
      </w:r>
      <w:r w:rsidR="00311AB2">
        <w:t>, the Board of the APRA-regulated entity may</w:t>
      </w:r>
      <w:r w:rsidR="002A5C2A">
        <w:t xml:space="preserve"> </w:t>
      </w:r>
      <w:r w:rsidR="00311AB2" w:rsidRPr="00893463">
        <w:t>adopt and appl</w:t>
      </w:r>
      <w:r w:rsidR="00311AB2">
        <w:t>y a group remuneration policy</w:t>
      </w:r>
      <w:r w:rsidR="00311AB2" w:rsidRPr="00893463">
        <w:t xml:space="preserve"> that is also used by a related body corporate </w:t>
      </w:r>
      <w:r w:rsidR="00311AB2">
        <w:t xml:space="preserve">or a connected entity </w:t>
      </w:r>
      <w:r w:rsidR="00311AB2" w:rsidRPr="00893463">
        <w:t xml:space="preserve">provided that the </w:t>
      </w:r>
      <w:r w:rsidR="00311AB2">
        <w:t>group remuneration policy:</w:t>
      </w:r>
    </w:p>
    <w:p w14:paraId="08CA6F77" w14:textId="77777777" w:rsidR="00311AB2" w:rsidRDefault="00311AB2" w:rsidP="00D557BC">
      <w:pPr>
        <w:pStyle w:val="BodyText2"/>
        <w:jc w:val="both"/>
      </w:pPr>
      <w:r>
        <w:t>meets the requirements of this Prudential Standard;</w:t>
      </w:r>
    </w:p>
    <w:p w14:paraId="5922CC0C" w14:textId="77777777" w:rsidR="00311AB2" w:rsidRDefault="00311AB2" w:rsidP="00D557BC">
      <w:pPr>
        <w:pStyle w:val="BodyText2"/>
        <w:jc w:val="both"/>
      </w:pPr>
      <w:r w:rsidRPr="00893463">
        <w:t>has been approved by the Board</w:t>
      </w:r>
      <w:r>
        <w:t xml:space="preserve"> or relevant oversight function; and </w:t>
      </w:r>
    </w:p>
    <w:p w14:paraId="26FAD273" w14:textId="77777777" w:rsidR="00311AB2" w:rsidRDefault="00311AB2" w:rsidP="00D557BC">
      <w:pPr>
        <w:pStyle w:val="BodyText2"/>
        <w:jc w:val="both"/>
      </w:pPr>
      <w:r>
        <w:t>gives appropriate regard to the entity’s business activities, its specific requirements and its remuneration framework.</w:t>
      </w:r>
    </w:p>
    <w:p w14:paraId="7F68581F" w14:textId="1BC9518B" w:rsidR="00311AB2" w:rsidRDefault="00311AB2" w:rsidP="00360714">
      <w:pPr>
        <w:pStyle w:val="BodyText1"/>
        <w:tabs>
          <w:tab w:val="num" w:pos="851"/>
        </w:tabs>
      </w:pPr>
      <w:bookmarkStart w:id="296" w:name="_Ref51669500"/>
      <w:r>
        <w:t>Except in circumstances permitted by law, an APRA-regulated entity must not pay any remuneration (whether directly or indirectly)</w:t>
      </w:r>
      <w:r w:rsidRPr="00EF6E81">
        <w:t xml:space="preserve"> to, or for the benefit of, </w:t>
      </w:r>
      <w:r w:rsidR="00B91A60">
        <w:t>a</w:t>
      </w:r>
      <w:r w:rsidRPr="00EF6E81">
        <w:t xml:space="preserve"> person</w:t>
      </w:r>
      <w:r>
        <w:t xml:space="preserve"> through vehicles or methods that undermine the effect or intent of the requirements of this Prudential Standard.</w:t>
      </w:r>
      <w:r w:rsidRPr="004D1C49">
        <w:t xml:space="preserve"> </w:t>
      </w:r>
      <w:r>
        <w:t>An APRA-regulated entity must at minimum prevent the following:</w:t>
      </w:r>
      <w:bookmarkEnd w:id="296"/>
      <w:r>
        <w:t xml:space="preserve"> </w:t>
      </w:r>
    </w:p>
    <w:p w14:paraId="61098F00" w14:textId="77777777" w:rsidR="00311AB2" w:rsidRDefault="00311AB2" w:rsidP="00802E43">
      <w:pPr>
        <w:pStyle w:val="BodyText2"/>
        <w:jc w:val="both"/>
      </w:pPr>
      <w:r>
        <w:t>the entity</w:t>
      </w:r>
      <w:r w:rsidRPr="00EF6E81">
        <w:t xml:space="preserve"> </w:t>
      </w:r>
      <w:r>
        <w:t xml:space="preserve">indemnifying or insuring </w:t>
      </w:r>
      <w:r w:rsidR="007A4CEF" w:rsidRPr="005E23C8">
        <w:t>(whether directly or through arrangements with another person)</w:t>
      </w:r>
      <w:r w:rsidR="004D4670">
        <w:t xml:space="preserve"> </w:t>
      </w:r>
      <w:r>
        <w:t>the relevant person against the consequences of:</w:t>
      </w:r>
    </w:p>
    <w:p w14:paraId="46BFE903" w14:textId="77777777" w:rsidR="00311AB2" w:rsidRDefault="00311AB2" w:rsidP="00802E43">
      <w:pPr>
        <w:pStyle w:val="BodyText3"/>
        <w:jc w:val="both"/>
      </w:pPr>
      <w:r>
        <w:t>breaching an obligation under this Prudential Standard; or</w:t>
      </w:r>
    </w:p>
    <w:p w14:paraId="4B5AF527" w14:textId="77777777" w:rsidR="00311AB2" w:rsidRDefault="00311AB2" w:rsidP="00802E43">
      <w:pPr>
        <w:pStyle w:val="BodyText3"/>
        <w:jc w:val="both"/>
      </w:pPr>
      <w:r>
        <w:t>applying in-period adjustment, malus or clawback under this Prudential Standard; and</w:t>
      </w:r>
    </w:p>
    <w:p w14:paraId="7B7BA392" w14:textId="77777777" w:rsidR="00311AB2" w:rsidRPr="006B1014" w:rsidRDefault="00311AB2" w:rsidP="00802E43">
      <w:pPr>
        <w:pStyle w:val="BodyText2"/>
        <w:jc w:val="both"/>
      </w:pPr>
      <w:r>
        <w:t>h</w:t>
      </w:r>
      <w:r w:rsidRPr="0062069D">
        <w:t xml:space="preserve">edging by any person in a specified role who receives equity or equity-linked deferred variable remuneration, of their economic exposure to the resultant equity price risk before the equity-linked remuneration is fully vested and able to be sold for cash </w:t>
      </w:r>
      <w:r w:rsidRPr="0062069D" w:rsidDel="00912B01">
        <w:t xml:space="preserve">by </w:t>
      </w:r>
      <w:r w:rsidRPr="0062069D">
        <w:t xml:space="preserve">the recipient. The entity must have a prohibition for </w:t>
      </w:r>
      <w:r>
        <w:t>such hedging, whether in its remuneration policy, contractual or other documentation</w:t>
      </w:r>
      <w:r w:rsidRPr="0062069D">
        <w:t xml:space="preserve">, and, define and document the process and actions to be taken where any person in a specified role is in breach of </w:t>
      </w:r>
      <w:r>
        <w:t>the prohibition</w:t>
      </w:r>
      <w:r w:rsidRPr="0062069D">
        <w:t>.</w:t>
      </w:r>
      <w:r w:rsidRPr="006B1014">
        <w:t xml:space="preserve"> </w:t>
      </w:r>
    </w:p>
    <w:p w14:paraId="513F000A" w14:textId="6258500A" w:rsidR="00311AB2" w:rsidRDefault="00311AB2" w:rsidP="00360714">
      <w:pPr>
        <w:pStyle w:val="BodyText1"/>
        <w:tabs>
          <w:tab w:val="num" w:pos="851"/>
        </w:tabs>
      </w:pPr>
      <w:r>
        <w:t xml:space="preserve">Paragraph </w:t>
      </w:r>
      <w:r w:rsidR="00DE1559">
        <w:fldChar w:fldCharType="begin"/>
      </w:r>
      <w:r w:rsidR="00DE1559">
        <w:instrText xml:space="preserve"> REF _Ref51669500 \r \h </w:instrText>
      </w:r>
      <w:r w:rsidR="00D557BC">
        <w:instrText xml:space="preserve"> \* MERGEFORMAT </w:instrText>
      </w:r>
      <w:r w:rsidR="00DE1559">
        <w:fldChar w:fldCharType="separate"/>
      </w:r>
      <w:r w:rsidR="00DE6765">
        <w:t>89</w:t>
      </w:r>
      <w:r w:rsidR="00DE1559">
        <w:fldChar w:fldCharType="end"/>
      </w:r>
      <w:r w:rsidR="00DE1559">
        <w:t xml:space="preserve"> </w:t>
      </w:r>
      <w:r>
        <w:t>does not apply in respect of a liability for legal costs.</w:t>
      </w:r>
    </w:p>
    <w:p w14:paraId="78F15DF7" w14:textId="2FA63BAE" w:rsidR="001F6B8D" w:rsidRDefault="00873666" w:rsidP="00873666">
      <w:pPr>
        <w:pStyle w:val="Heading1"/>
      </w:pPr>
      <w:bookmarkStart w:id="297" w:name="_Toc102482640"/>
      <w:bookmarkEnd w:id="153"/>
      <w:r>
        <w:t>Disclosures</w:t>
      </w:r>
      <w:bookmarkEnd w:id="297"/>
    </w:p>
    <w:p w14:paraId="1884A866" w14:textId="7CFE0DDF" w:rsidR="000A22D0" w:rsidRDefault="000A22D0" w:rsidP="000A22D0">
      <w:pPr>
        <w:pStyle w:val="BodyText1"/>
      </w:pPr>
      <w:bookmarkStart w:id="298" w:name="_Ref133917496"/>
      <w:r>
        <w:t xml:space="preserve">An APRA-regulated entity </w:t>
      </w:r>
      <w:r>
        <w:rPr>
          <w:rFonts w:eastAsiaTheme="minorEastAsia"/>
        </w:rPr>
        <w:t xml:space="preserve">must make </w:t>
      </w:r>
      <w:r>
        <w:t>clear, comprehensive, meaningful, consistent and comparable public disclosure of information on its remuneration framework and practices, as set out in this Prudential Standard.</w:t>
      </w:r>
      <w:bookmarkEnd w:id="298"/>
    </w:p>
    <w:p w14:paraId="343D0462" w14:textId="5ED66368" w:rsidR="000A22D0" w:rsidRDefault="000A22D0" w:rsidP="000A22D0">
      <w:pPr>
        <w:pStyle w:val="BodyText1"/>
      </w:pPr>
      <w:r>
        <w:t>An APRA-regulated entity must publish the disclosures required under this Prudential Standard in a standalone document on its website or</w:t>
      </w:r>
      <w:r w:rsidR="0061339D">
        <w:t>, provided the information is clearly identified as disclosures made for the purpose of complying with the requirements of this Prudential Standard,</w:t>
      </w:r>
      <w:r>
        <w:t xml:space="preserve"> as part of other disclosures made by the entity that are available on its website. </w:t>
      </w:r>
    </w:p>
    <w:p w14:paraId="1300AFE0" w14:textId="7DC5E99E" w:rsidR="000A22D0" w:rsidRPr="003657F9" w:rsidRDefault="00F7120E" w:rsidP="000A22D0">
      <w:pPr>
        <w:pStyle w:val="BodyText1"/>
      </w:pPr>
      <w:bookmarkStart w:id="299" w:name="_Hlk107511375"/>
      <w:r>
        <w:lastRenderedPageBreak/>
        <w:t>An APRA-regulated entity must make d</w:t>
      </w:r>
      <w:r w:rsidR="000A22D0" w:rsidRPr="003657F9">
        <w:t xml:space="preserve">isclosures </w:t>
      </w:r>
      <w:r w:rsidR="00D05751">
        <w:t>on a financial year basis</w:t>
      </w:r>
      <w:r w:rsidR="000A22D0" w:rsidRPr="003657F9">
        <w:t xml:space="preserve"> </w:t>
      </w:r>
      <w:r w:rsidR="00A74444">
        <w:t>for each full</w:t>
      </w:r>
      <w:r w:rsidR="000A22D0" w:rsidRPr="003657F9">
        <w:t xml:space="preserve"> financial year </w:t>
      </w:r>
      <w:r w:rsidR="00A74444">
        <w:t>of the APRA-regulated entity</w:t>
      </w:r>
      <w:r w:rsidR="000A22D0" w:rsidRPr="003657F9">
        <w:t>.</w:t>
      </w:r>
    </w:p>
    <w:p w14:paraId="159F9C8D" w14:textId="01E16B55" w:rsidR="00DF3712" w:rsidRDefault="00202106" w:rsidP="00DF3712">
      <w:pPr>
        <w:pStyle w:val="BodyText1"/>
      </w:pPr>
      <w:bookmarkStart w:id="300" w:name="_Hlk107870513"/>
      <w:bookmarkStart w:id="301" w:name="_Ref129606942"/>
      <w:bookmarkEnd w:id="299"/>
      <w:r>
        <w:t>An APRA-regulated entity must make the d</w:t>
      </w:r>
      <w:r w:rsidR="004F0542" w:rsidRPr="00096688">
        <w:t xml:space="preserve">isclosures </w:t>
      </w:r>
      <w:r>
        <w:t xml:space="preserve">under this Prudential Standard </w:t>
      </w:r>
      <w:r w:rsidR="00953988">
        <w:t xml:space="preserve">as soon as </w:t>
      </w:r>
      <w:r w:rsidR="004F0542">
        <w:t xml:space="preserve">possible after </w:t>
      </w:r>
      <w:r w:rsidR="0050324B" w:rsidRPr="0050324B">
        <w:t>it</w:t>
      </w:r>
      <w:r w:rsidR="004F0542">
        <w:t xml:space="preserve"> lodges its annual financial statements</w:t>
      </w:r>
      <w:r w:rsidR="004F0542" w:rsidRPr="00034A3C">
        <w:t xml:space="preserve"> </w:t>
      </w:r>
      <w:r w:rsidR="00A6166E">
        <w:t xml:space="preserve">with ASIC </w:t>
      </w:r>
      <w:r w:rsidR="004F0542">
        <w:t xml:space="preserve">and </w:t>
      </w:r>
      <w:r w:rsidR="00DF64D7">
        <w:t>not more than</w:t>
      </w:r>
      <w:r w:rsidR="004F0542">
        <w:t xml:space="preserve"> six months </w:t>
      </w:r>
      <w:r w:rsidR="004F0542" w:rsidRPr="00FF27E6">
        <w:t>after</w:t>
      </w:r>
      <w:r w:rsidR="004F0542" w:rsidRPr="00A62AA9">
        <w:t xml:space="preserve"> the end of </w:t>
      </w:r>
      <w:r w:rsidR="004F0542">
        <w:t xml:space="preserve">the </w:t>
      </w:r>
      <w:r w:rsidR="004F0542" w:rsidRPr="00A62AA9">
        <w:t>financial year</w:t>
      </w:r>
      <w:r w:rsidR="004F0542">
        <w:t xml:space="preserve"> to which the disclosure</w:t>
      </w:r>
      <w:r w:rsidR="00DD1698">
        <w:t>s</w:t>
      </w:r>
      <w:r w:rsidR="004F0542">
        <w:t xml:space="preserve"> relate</w:t>
      </w:r>
      <w:r w:rsidR="004F0542" w:rsidRPr="00096688">
        <w:t>.</w:t>
      </w:r>
      <w:r w:rsidR="001C640E">
        <w:t xml:space="preserve"> </w:t>
      </w:r>
      <w:bookmarkEnd w:id="300"/>
      <w:bookmarkEnd w:id="301"/>
      <w:r w:rsidR="003657F9" w:rsidRPr="003657F9">
        <w:t xml:space="preserve">If an entity is not required to lodge financial statements with ASIC, it must make the required disclosures </w:t>
      </w:r>
      <w:r w:rsidR="0050324B">
        <w:t>not more than</w:t>
      </w:r>
      <w:r w:rsidR="003657F9" w:rsidRPr="003657F9">
        <w:t xml:space="preserve"> six months after the end of the financial year to which the disclosures relate.</w:t>
      </w:r>
    </w:p>
    <w:p w14:paraId="1FD26F43" w14:textId="5F6A940C" w:rsidR="00D75DA4" w:rsidRDefault="00D75DA4" w:rsidP="003322B5">
      <w:pPr>
        <w:pStyle w:val="BodyText1"/>
      </w:pPr>
      <w:r>
        <w:t>APRA may</w:t>
      </w:r>
      <w:r w:rsidR="00CE496E">
        <w:t xml:space="preserve"> determine</w:t>
      </w:r>
      <w:r>
        <w:t xml:space="preserve"> that a non-SFI </w:t>
      </w:r>
      <w:r w:rsidR="00CE496E">
        <w:t>comply with</w:t>
      </w:r>
      <w:r>
        <w:t xml:space="preserve"> the quantitative disclosure requirements set out in paragraphs </w:t>
      </w:r>
      <w:r w:rsidR="00B7300E">
        <w:fldChar w:fldCharType="begin"/>
      </w:r>
      <w:r w:rsidR="00B7300E">
        <w:instrText xml:space="preserve"> REF _Ref130896764 \r \h </w:instrText>
      </w:r>
      <w:r w:rsidR="00B7300E">
        <w:fldChar w:fldCharType="separate"/>
      </w:r>
      <w:r w:rsidR="00DE6765">
        <w:t>63</w:t>
      </w:r>
      <w:r w:rsidR="00B7300E">
        <w:fldChar w:fldCharType="end"/>
      </w:r>
      <w:r w:rsidR="00B7300E">
        <w:t xml:space="preserve"> to </w:t>
      </w:r>
      <w:r w:rsidR="00B7300E">
        <w:fldChar w:fldCharType="begin"/>
      </w:r>
      <w:r w:rsidR="00B7300E">
        <w:instrText xml:space="preserve"> REF _Ref129607372 \r \h </w:instrText>
      </w:r>
      <w:r w:rsidR="00B7300E">
        <w:fldChar w:fldCharType="separate"/>
      </w:r>
      <w:r w:rsidR="00DE6765">
        <w:t>73</w:t>
      </w:r>
      <w:r w:rsidR="00B7300E">
        <w:fldChar w:fldCharType="end"/>
      </w:r>
      <w:r>
        <w:t xml:space="preserve"> of this Prudential Standard</w:t>
      </w:r>
      <w:r w:rsidR="00811F63">
        <w:t>.</w:t>
      </w:r>
      <w:r w:rsidR="00225CE3">
        <w:rPr>
          <w:rStyle w:val="FootnoteReference"/>
        </w:rPr>
        <w:footnoteReference w:id="26"/>
      </w:r>
    </w:p>
    <w:p w14:paraId="718446B2" w14:textId="341BFE89" w:rsidR="00D75DA4" w:rsidRPr="009714C0" w:rsidRDefault="009714C0" w:rsidP="007733CD">
      <w:pPr>
        <w:pStyle w:val="Heading3"/>
      </w:pPr>
      <w:bookmarkStart w:id="302" w:name="_Toc102482641"/>
      <w:r w:rsidRPr="009714C0">
        <w:t xml:space="preserve">Qualitative </w:t>
      </w:r>
      <w:r w:rsidRPr="007733CD">
        <w:t>disclosures</w:t>
      </w:r>
      <w:bookmarkEnd w:id="302"/>
    </w:p>
    <w:p w14:paraId="61E384DD" w14:textId="54700E7F" w:rsidR="009714C0" w:rsidRDefault="009714C0" w:rsidP="009714C0">
      <w:pPr>
        <w:pStyle w:val="BodyText1"/>
      </w:pPr>
      <w:r>
        <w:t xml:space="preserve">An APRA-regulated entity must disclose information on the governance of </w:t>
      </w:r>
      <w:r w:rsidR="00811F63">
        <w:t xml:space="preserve">the </w:t>
      </w:r>
      <w:r>
        <w:t>remuneration</w:t>
      </w:r>
      <w:r w:rsidR="00811F63">
        <w:t xml:space="preserve"> framework</w:t>
      </w:r>
      <w:r>
        <w:t>. This must include:</w:t>
      </w:r>
    </w:p>
    <w:p w14:paraId="706CEB86" w14:textId="76ABE37F" w:rsidR="009714C0" w:rsidRDefault="009714C0" w:rsidP="00802E43">
      <w:pPr>
        <w:pStyle w:val="BodyText2"/>
        <w:jc w:val="both"/>
      </w:pPr>
      <w:r>
        <w:t>information on the main bod</w:t>
      </w:r>
      <w:r w:rsidR="00811F63">
        <w:t>ies</w:t>
      </w:r>
      <w:r>
        <w:t xml:space="preserve"> that oversee remuneration</w:t>
      </w:r>
      <w:r w:rsidR="00811F63">
        <w:t xml:space="preserve"> and</w:t>
      </w:r>
      <w:r>
        <w:t xml:space="preserve"> the number of meetings held by th</w:t>
      </w:r>
      <w:r w:rsidR="00811F63">
        <w:t>ose bodies during the financial year</w:t>
      </w:r>
      <w:r>
        <w:t xml:space="preserve">; </w:t>
      </w:r>
    </w:p>
    <w:p w14:paraId="3D53A4C8" w14:textId="026CE35D" w:rsidR="000A22D0" w:rsidRDefault="000A22D0" w:rsidP="000A22D0">
      <w:pPr>
        <w:pStyle w:val="BodyText2"/>
        <w:jc w:val="both"/>
      </w:pPr>
      <w:r>
        <w:t>information on how the Board exercises its discretion in determining remuneration outcomes; and</w:t>
      </w:r>
    </w:p>
    <w:p w14:paraId="1D945A55" w14:textId="2F46E1AB" w:rsidR="009714C0" w:rsidRDefault="009714C0" w:rsidP="00802E43">
      <w:pPr>
        <w:pStyle w:val="BodyText2"/>
        <w:jc w:val="both"/>
      </w:pPr>
      <w:r>
        <w:t xml:space="preserve">a description of </w:t>
      </w:r>
      <w:r w:rsidR="00A46965">
        <w:t>how the Board overs</w:t>
      </w:r>
      <w:r w:rsidR="00CE496E">
        <w:t>ee</w:t>
      </w:r>
      <w:r w:rsidR="00A46965">
        <w:t xml:space="preserve">s remuneration policies and the </w:t>
      </w:r>
      <w:r>
        <w:t>input provided by the Board Risk Committee, other Board committees, or the risk function</w:t>
      </w:r>
      <w:r w:rsidR="000A22D0">
        <w:t>,</w:t>
      </w:r>
      <w:r w:rsidR="00811F63">
        <w:t xml:space="preserve"> including the Chief Risk Officer</w:t>
      </w:r>
      <w:r w:rsidR="000A22D0">
        <w:t>.</w:t>
      </w:r>
    </w:p>
    <w:p w14:paraId="4726E014" w14:textId="6C70B686" w:rsidR="009714C0" w:rsidRPr="009714C0" w:rsidRDefault="009714C0" w:rsidP="009714C0">
      <w:pPr>
        <w:pStyle w:val="BodyText1"/>
      </w:pPr>
      <w:r w:rsidRPr="009714C0">
        <w:t>An APRA-regulated entity must disclose information on the design and structure of its remuneration framework. This must include a description of how</w:t>
      </w:r>
      <w:r w:rsidR="00BA171F">
        <w:t xml:space="preserve"> it</w:t>
      </w:r>
      <w:r w:rsidR="00090149">
        <w:t>:</w:t>
      </w:r>
      <w:r w:rsidR="00303FE7">
        <w:t xml:space="preserve"> </w:t>
      </w:r>
      <w:r w:rsidRPr="009714C0">
        <w:t xml:space="preserve"> </w:t>
      </w:r>
    </w:p>
    <w:p w14:paraId="2801BD15" w14:textId="5BBB9932" w:rsidR="009714C0" w:rsidRDefault="009714C0" w:rsidP="00802E43">
      <w:pPr>
        <w:pStyle w:val="BodyText2"/>
        <w:jc w:val="both"/>
      </w:pPr>
      <w:r>
        <w:t>aligns to the entity’s business plan, strategic objectives and risk management framework;</w:t>
      </w:r>
    </w:p>
    <w:p w14:paraId="65BF985B" w14:textId="26985051" w:rsidR="009714C0" w:rsidRDefault="009714C0" w:rsidP="00802E43">
      <w:pPr>
        <w:pStyle w:val="BodyText2"/>
        <w:jc w:val="both"/>
      </w:pPr>
      <w:r>
        <w:t>promotes the effective management of both financial and non-financial risks, sustainable performance and long-term soundness;</w:t>
      </w:r>
    </w:p>
    <w:p w14:paraId="0244D113" w14:textId="3FF60BDF" w:rsidR="009714C0" w:rsidRDefault="009714C0" w:rsidP="00802E43">
      <w:pPr>
        <w:pStyle w:val="BodyText2"/>
        <w:jc w:val="both"/>
      </w:pPr>
      <w:r>
        <w:t xml:space="preserve">supports the prevention and mitigation of conduct risk; </w:t>
      </w:r>
      <w:r w:rsidR="00686E24">
        <w:t>and</w:t>
      </w:r>
    </w:p>
    <w:p w14:paraId="25157C9A" w14:textId="7F6AB580" w:rsidR="009714C0" w:rsidRDefault="009714C0" w:rsidP="00D410A6">
      <w:pPr>
        <w:pStyle w:val="BodyText2"/>
        <w:jc w:val="both"/>
      </w:pPr>
      <w:r>
        <w:t>for an RSE licensee, promotes the RSE licensee performing its duties and exercising powers in the best financial interests of beneficiaries</w:t>
      </w:r>
      <w:r w:rsidR="00686E24">
        <w:t>.</w:t>
      </w:r>
    </w:p>
    <w:p w14:paraId="39A6EBEC" w14:textId="77777777" w:rsidR="009714C0" w:rsidRPr="009714C0" w:rsidRDefault="009714C0" w:rsidP="009714C0">
      <w:pPr>
        <w:pStyle w:val="BodyText1"/>
      </w:pPr>
      <w:bookmarkStart w:id="303" w:name="_Ref129607401"/>
      <w:r w:rsidRPr="009714C0">
        <w:t>An APRA-regulated entity must disclose information on its remuneration policy, including:</w:t>
      </w:r>
      <w:bookmarkEnd w:id="303"/>
      <w:r w:rsidRPr="009714C0">
        <w:t xml:space="preserve"> </w:t>
      </w:r>
    </w:p>
    <w:p w14:paraId="078F23F4" w14:textId="52E90730" w:rsidR="00686E24" w:rsidRDefault="00686E24" w:rsidP="00686E24">
      <w:pPr>
        <w:pStyle w:val="BodyText2"/>
        <w:jc w:val="both"/>
      </w:pPr>
      <w:r>
        <w:t xml:space="preserve">how the entity aligns variable remuneration outcomes with performance, where relevant; </w:t>
      </w:r>
    </w:p>
    <w:p w14:paraId="1962F56D" w14:textId="2649E6AB" w:rsidR="00686E24" w:rsidRDefault="00686E24" w:rsidP="00686E24">
      <w:pPr>
        <w:pStyle w:val="BodyText2"/>
        <w:jc w:val="both"/>
      </w:pPr>
      <w:r>
        <w:lastRenderedPageBreak/>
        <w:t xml:space="preserve">a description of the types of positions included in specified roles, as defined in paragraph </w:t>
      </w:r>
      <w:r w:rsidR="008A0722">
        <w:fldChar w:fldCharType="begin"/>
      </w:r>
      <w:r w:rsidR="008A0722">
        <w:instrText xml:space="preserve"> REF _Ref134175720 \r \h </w:instrText>
      </w:r>
      <w:r w:rsidR="008A0722">
        <w:fldChar w:fldCharType="separate"/>
      </w:r>
      <w:r w:rsidR="00DE6765">
        <w:t>20(v)</w:t>
      </w:r>
      <w:r w:rsidR="008A0722">
        <w:fldChar w:fldCharType="end"/>
      </w:r>
      <w:r>
        <w:t xml:space="preserve"> of this Prudential Standard</w:t>
      </w:r>
      <w:r w:rsidR="00675C08">
        <w:t>;</w:t>
      </w:r>
    </w:p>
    <w:p w14:paraId="5005D19C" w14:textId="691AE889" w:rsidR="009714C0" w:rsidRDefault="009714C0" w:rsidP="00802E43">
      <w:pPr>
        <w:pStyle w:val="BodyText2"/>
        <w:jc w:val="both"/>
      </w:pPr>
      <w:r>
        <w:t>how consequence management is applied in the event of a material breach or misconduct;</w:t>
      </w:r>
    </w:p>
    <w:p w14:paraId="0A471C80" w14:textId="769C7E91" w:rsidR="009714C0" w:rsidRDefault="009714C0" w:rsidP="00802E43">
      <w:pPr>
        <w:pStyle w:val="BodyText2"/>
        <w:jc w:val="both"/>
      </w:pPr>
      <w:r>
        <w:t xml:space="preserve">a description of the different forms of variable remuneration offered </w:t>
      </w:r>
      <w:r w:rsidR="00675C08">
        <w:t xml:space="preserve">to employees in specified roles </w:t>
      </w:r>
      <w:r>
        <w:t>and the rationale for using these different forms</w:t>
      </w:r>
      <w:r w:rsidR="00675C08">
        <w:t xml:space="preserve"> (if offered)</w:t>
      </w:r>
      <w:r>
        <w:t>;</w:t>
      </w:r>
    </w:p>
    <w:p w14:paraId="651D1145" w14:textId="1DF1A3E5" w:rsidR="009714C0" w:rsidRDefault="009714C0" w:rsidP="00802E43">
      <w:pPr>
        <w:pStyle w:val="BodyText2"/>
        <w:jc w:val="both"/>
      </w:pPr>
      <w:r>
        <w:t>where no variable remuneration is offered (</w:t>
      </w:r>
      <w:r w:rsidR="00473675">
        <w:t xml:space="preserve">excluding </w:t>
      </w:r>
      <w:r>
        <w:t xml:space="preserve">one-off payments), </w:t>
      </w:r>
      <w:r w:rsidR="00686E24">
        <w:t xml:space="preserve">a </w:t>
      </w:r>
      <w:r>
        <w:t>descri</w:t>
      </w:r>
      <w:r w:rsidR="00686E24">
        <w:t>ption of</w:t>
      </w:r>
      <w:r>
        <w:t xml:space="preserve"> the method used to ensure risk management outcomes are assessed</w:t>
      </w:r>
      <w:r w:rsidR="00906C1F">
        <w:t xml:space="preserve"> and consequence management applied in the event of a material breach or misconduct</w:t>
      </w:r>
      <w:r>
        <w:t>; and</w:t>
      </w:r>
    </w:p>
    <w:p w14:paraId="272C7BCE" w14:textId="31F5221B" w:rsidR="009714C0" w:rsidRDefault="009714C0" w:rsidP="00802E43">
      <w:pPr>
        <w:pStyle w:val="BodyText2"/>
        <w:jc w:val="both"/>
      </w:pPr>
      <w:r>
        <w:t>a description of the ways in which the APRA-regulated entity defer</w:t>
      </w:r>
      <w:r w:rsidR="00686E24">
        <w:t>s</w:t>
      </w:r>
      <w:r>
        <w:t xml:space="preserve"> and adjust</w:t>
      </w:r>
      <w:r w:rsidR="00686E24">
        <w:t>s</w:t>
      </w:r>
      <w:r>
        <w:t xml:space="preserve"> </w:t>
      </w:r>
      <w:r w:rsidR="00473675">
        <w:t xml:space="preserve">variable </w:t>
      </w:r>
      <w:r>
        <w:t>remuneration to take account of longer-term performance, including risk performance.</w:t>
      </w:r>
    </w:p>
    <w:p w14:paraId="523A1F4A" w14:textId="25F099CA" w:rsidR="00D75DA4" w:rsidRDefault="00D75DA4" w:rsidP="009714C0"/>
    <w:p w14:paraId="1D94A897" w14:textId="0F9B1FD2" w:rsidR="009714C0" w:rsidRDefault="009714C0" w:rsidP="00D75DA4"/>
    <w:p w14:paraId="594E9A4F" w14:textId="07EE1338" w:rsidR="006A5ED9" w:rsidRPr="00D75DA4" w:rsidRDefault="006A5ED9" w:rsidP="00D75DA4"/>
    <w:sectPr w:rsidR="006A5ED9" w:rsidRPr="00D75DA4" w:rsidSect="000D63A8">
      <w:footerReference w:type="default" r:id="rId17"/>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65BB7" w14:textId="77777777" w:rsidR="00D30352" w:rsidRDefault="00D30352" w:rsidP="006A6A52">
      <w:pPr>
        <w:spacing w:after="0"/>
      </w:pPr>
      <w:r>
        <w:separator/>
      </w:r>
    </w:p>
  </w:endnote>
  <w:endnote w:type="continuationSeparator" w:id="0">
    <w:p w14:paraId="32EAE181" w14:textId="77777777" w:rsidR="00D30352" w:rsidRDefault="00D30352" w:rsidP="006A6A52">
      <w:pPr>
        <w:spacing w:after="0"/>
      </w:pPr>
      <w:r>
        <w:continuationSeparator/>
      </w:r>
    </w:p>
  </w:endnote>
  <w:endnote w:type="continuationNotice" w:id="1">
    <w:p w14:paraId="7F39BE4A" w14:textId="77777777" w:rsidR="00D30352" w:rsidRDefault="00D3035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IN OT">
    <w:panose1 w:val="020B0504020201010104"/>
    <w:charset w:val="00"/>
    <w:family w:val="swiss"/>
    <w:pitch w:val="variable"/>
    <w:sig w:usb0="800000EF" w:usb1="4000A47B" w:usb2="00000000" w:usb3="00000000" w:csb0="00000001" w:csb1="00000000"/>
  </w:font>
  <w:font w:name="DIN OT Light">
    <w:panose1 w:val="020B0504020201010104"/>
    <w:charset w:val="00"/>
    <w:family w:val="swiss"/>
    <w:pitch w:val="variable"/>
    <w:sig w:usb0="800000EF" w:usb1="4000A47B" w:usb2="00000000" w:usb3="00000000" w:csb0="00000001" w:csb1="00000000"/>
  </w:font>
  <w:font w:name="DIN OT Medium">
    <w:panose1 w:val="020B0604020201010104"/>
    <w:charset w:val="00"/>
    <w:family w:val="swiss"/>
    <w:pitch w:val="variable"/>
    <w:sig w:usb0="800000EF" w:usb1="4000A47B" w:usb2="00000000" w:usb3="00000000" w:csb0="00000001" w:csb1="00000000"/>
  </w:font>
  <w:font w:name="DIN Offc">
    <w:altName w:val="Segoe Script"/>
    <w:charset w:val="00"/>
    <w:family w:val="swiss"/>
    <w:pitch w:val="variable"/>
    <w:sig w:usb0="00000003" w:usb1="4000A47B" w:usb2="00000000" w:usb3="00000000" w:csb0="00000001" w:csb1="00000000"/>
  </w:font>
  <w:font w:name="MS PMincho">
    <w:altName w:val="ＭＳ Ｐ明朝"/>
    <w:panose1 w:val="00000000000000000000"/>
    <w:charset w:val="80"/>
    <w:family w:val="roman"/>
    <w:notTrueType/>
    <w:pitch w:val="default"/>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81D4" w14:textId="0761008F" w:rsidR="000B639D" w:rsidRPr="00842FBD" w:rsidRDefault="000B639D" w:rsidP="00842FBD">
    <w:pPr>
      <w:pStyle w:val="Footer"/>
    </w:pPr>
    <w:r>
      <w:rPr>
        <w:noProof/>
      </w:rPr>
      <w:fldChar w:fldCharType="begin"/>
    </w:r>
    <w:r>
      <w:rPr>
        <w:noProof/>
      </w:rPr>
      <w:instrText xml:space="preserve"> STYLEREF  "PS No. field text"  \* MERGEFORMAT </w:instrText>
    </w:r>
    <w:r>
      <w:rPr>
        <w:noProof/>
      </w:rPr>
      <w:fldChar w:fldCharType="separate"/>
    </w:r>
    <w:r w:rsidR="00492178">
      <w:rPr>
        <w:noProof/>
      </w:rPr>
      <w:t>CPS 511</w:t>
    </w:r>
    <w:r>
      <w:rPr>
        <w:noProof/>
      </w:rPr>
      <w:fldChar w:fldCharType="end"/>
    </w:r>
    <w:r>
      <w:t xml:space="preserve"> - </w:t>
    </w:r>
    <w:r w:rsidRPr="00842FBD">
      <w:fldChar w:fldCharType="begin"/>
    </w:r>
    <w:r w:rsidRPr="00842FBD">
      <w:instrText xml:space="preserve"> PAGE </w:instrText>
    </w:r>
    <w:r w:rsidRPr="00842FBD">
      <w:fldChar w:fldCharType="separate"/>
    </w:r>
    <w:r>
      <w:rPr>
        <w:noProof/>
      </w:rPr>
      <w:t>2</w:t>
    </w:r>
    <w:r w:rsidRPr="00842FB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B786C" w14:textId="726B7DD2" w:rsidR="00535B8A" w:rsidRPr="00842FBD" w:rsidRDefault="00535B8A" w:rsidP="00842FBD">
    <w:pPr>
      <w:pStyle w:val="Footer"/>
    </w:pPr>
    <w:r>
      <w:rPr>
        <w:noProof/>
      </w:rPr>
      <w:fldChar w:fldCharType="begin"/>
    </w:r>
    <w:r>
      <w:rPr>
        <w:noProof/>
      </w:rPr>
      <w:instrText xml:space="preserve"> STYLEREF  "PS No. field text"  \* MERGEFORMAT </w:instrText>
    </w:r>
    <w:r>
      <w:rPr>
        <w:noProof/>
      </w:rPr>
      <w:fldChar w:fldCharType="separate"/>
    </w:r>
    <w:r w:rsidR="00492178">
      <w:rPr>
        <w:noProof/>
      </w:rPr>
      <w:t>CPS 511</w:t>
    </w:r>
    <w:r>
      <w:rPr>
        <w:noProof/>
      </w:rPr>
      <w:fldChar w:fldCharType="end"/>
    </w:r>
    <w:r>
      <w:rPr>
        <w:noProof/>
      </w:rPr>
      <w:t xml:space="preserve"> </w:t>
    </w:r>
    <w:r>
      <w:t xml:space="preserve">- </w:t>
    </w:r>
    <w:r w:rsidRPr="00842FBD">
      <w:fldChar w:fldCharType="begin"/>
    </w:r>
    <w:r w:rsidRPr="00842FBD">
      <w:instrText xml:space="preserve"> PAGE </w:instrText>
    </w:r>
    <w:r w:rsidRPr="00842FBD">
      <w:fldChar w:fldCharType="separate"/>
    </w:r>
    <w:r>
      <w:rPr>
        <w:noProof/>
      </w:rPr>
      <w:t>21</w:t>
    </w:r>
    <w:r w:rsidRPr="00842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85863" w14:textId="77777777" w:rsidR="00D30352" w:rsidRDefault="00D30352" w:rsidP="006A6A52">
      <w:pPr>
        <w:spacing w:after="0"/>
      </w:pPr>
      <w:r>
        <w:separator/>
      </w:r>
    </w:p>
  </w:footnote>
  <w:footnote w:type="continuationSeparator" w:id="0">
    <w:p w14:paraId="6318B3EA" w14:textId="77777777" w:rsidR="00D30352" w:rsidRDefault="00D30352" w:rsidP="006A6A52">
      <w:pPr>
        <w:spacing w:after="0"/>
      </w:pPr>
      <w:r>
        <w:continuationSeparator/>
      </w:r>
    </w:p>
  </w:footnote>
  <w:footnote w:type="continuationNotice" w:id="1">
    <w:p w14:paraId="343B1132" w14:textId="77777777" w:rsidR="00D30352" w:rsidRDefault="00D30352">
      <w:pPr>
        <w:spacing w:after="0"/>
      </w:pPr>
    </w:p>
  </w:footnote>
  <w:footnote w:id="2">
    <w:p w14:paraId="169BB80A" w14:textId="7B05171D" w:rsidR="00535B8A" w:rsidRPr="009747C7" w:rsidRDefault="00535B8A" w:rsidP="009747C7">
      <w:pPr>
        <w:pStyle w:val="FootnoteText"/>
        <w:spacing w:after="240"/>
        <w:rPr>
          <w:rFonts w:asciiTheme="minorHAnsi" w:hAnsiTheme="minorHAnsi" w:cstheme="minorHAnsi"/>
          <w:szCs w:val="20"/>
        </w:rPr>
      </w:pPr>
      <w:r w:rsidRPr="009747C7">
        <w:rPr>
          <w:rStyle w:val="FootnoteReference"/>
          <w:rFonts w:asciiTheme="minorHAnsi" w:hAnsiTheme="minorHAnsi" w:cstheme="minorHAnsi"/>
          <w:szCs w:val="20"/>
        </w:rPr>
        <w:footnoteRef/>
      </w:r>
      <w:r w:rsidRPr="009747C7">
        <w:rPr>
          <w:rFonts w:asciiTheme="minorHAnsi" w:hAnsiTheme="minorHAnsi" w:cstheme="minorHAnsi"/>
          <w:szCs w:val="20"/>
        </w:rPr>
        <w:t xml:space="preserve"> </w:t>
      </w:r>
      <w:r w:rsidRPr="009747C7">
        <w:rPr>
          <w:rFonts w:asciiTheme="minorHAnsi" w:hAnsiTheme="minorHAnsi" w:cstheme="minorHAnsi"/>
          <w:szCs w:val="20"/>
        </w:rPr>
        <w:tab/>
        <w:t xml:space="preserve">For the purposes of this Prudential Standard, an ‘RSE licensee’ has the meaning given in </w:t>
      </w:r>
      <w:r w:rsidR="00632CA8">
        <w:rPr>
          <w:rFonts w:asciiTheme="minorHAnsi" w:hAnsiTheme="minorHAnsi" w:cstheme="minorHAnsi"/>
          <w:szCs w:val="20"/>
        </w:rPr>
        <w:t>sub</w:t>
      </w:r>
      <w:r w:rsidRPr="009747C7">
        <w:rPr>
          <w:rFonts w:asciiTheme="minorHAnsi" w:hAnsiTheme="minorHAnsi" w:cstheme="minorHAnsi"/>
          <w:szCs w:val="20"/>
        </w:rPr>
        <w:t>section 10(1) of the SIS Act. An ‘RSE licensee’s business operations’ includes all activities of an RSE licensee (including the activities of each RSE of which it is the licensee), and all other activities of the RSE licensee to the extent that they are relevant to, or may impact on, its activities as an RSE licensee.</w:t>
      </w:r>
    </w:p>
  </w:footnote>
  <w:footnote w:id="3">
    <w:p w14:paraId="763E60A1" w14:textId="66122441" w:rsidR="0065040F" w:rsidRDefault="0065040F" w:rsidP="0065040F">
      <w:pPr>
        <w:pStyle w:val="FootnoteText"/>
      </w:pPr>
      <w:r>
        <w:rPr>
          <w:rStyle w:val="FootnoteReference"/>
        </w:rPr>
        <w:footnoteRef/>
      </w:r>
      <w:r>
        <w:t xml:space="preserve"> </w:t>
      </w:r>
      <w:r>
        <w:tab/>
        <w:t xml:space="preserve">This power is to be exercised under paragraph </w:t>
      </w:r>
      <w:r>
        <w:fldChar w:fldCharType="begin"/>
      </w:r>
      <w:r>
        <w:instrText xml:space="preserve"> REF _Ref43094248 \r \h </w:instrText>
      </w:r>
      <w:r>
        <w:fldChar w:fldCharType="separate"/>
      </w:r>
      <w:r w:rsidR="00DE6765">
        <w:t>18</w:t>
      </w:r>
      <w:r>
        <w:fldChar w:fldCharType="end"/>
      </w:r>
      <w:r>
        <w:t>.</w:t>
      </w:r>
    </w:p>
  </w:footnote>
  <w:footnote w:id="4">
    <w:p w14:paraId="6EF02255" w14:textId="77777777" w:rsidR="00535B8A" w:rsidRPr="006A7AE7" w:rsidRDefault="00535B8A" w:rsidP="002E6D1C">
      <w:pPr>
        <w:pStyle w:val="FootnoteText"/>
        <w:spacing w:after="240"/>
      </w:pPr>
      <w:r w:rsidRPr="00D45FB9">
        <w:rPr>
          <w:rStyle w:val="FootnoteReference"/>
        </w:rPr>
        <w:footnoteRef/>
      </w:r>
      <w:r>
        <w:t xml:space="preserve"> </w:t>
      </w:r>
      <w:r>
        <w:tab/>
      </w:r>
      <w:r w:rsidRPr="006A7AE7">
        <w:t>Where</w:t>
      </w:r>
      <w:r w:rsidRPr="00364866">
        <w:t xml:space="preserve"> </w:t>
      </w:r>
      <w:r w:rsidRPr="006A7AE7">
        <w:t>a</w:t>
      </w:r>
      <w:r w:rsidRPr="00364866">
        <w:t xml:space="preserve"> Level </w:t>
      </w:r>
      <w:r w:rsidRPr="006A7AE7">
        <w:t>2</w:t>
      </w:r>
      <w:r w:rsidRPr="00364866">
        <w:t xml:space="preserve"> group </w:t>
      </w:r>
      <w:r w:rsidRPr="006A7AE7">
        <w:t>operates</w:t>
      </w:r>
      <w:r w:rsidRPr="00364866">
        <w:t xml:space="preserve"> within </w:t>
      </w:r>
      <w:r w:rsidRPr="006A7AE7">
        <w:t>a</w:t>
      </w:r>
      <w:r w:rsidRPr="00364866">
        <w:t xml:space="preserve"> Level </w:t>
      </w:r>
      <w:r w:rsidRPr="006A7AE7">
        <w:t>3</w:t>
      </w:r>
      <w:r w:rsidRPr="00364866">
        <w:t xml:space="preserve"> group, </w:t>
      </w:r>
      <w:r w:rsidRPr="006A7AE7">
        <w:t>a</w:t>
      </w:r>
      <w:r w:rsidRPr="00364866">
        <w:t xml:space="preserve"> requirement expressed </w:t>
      </w:r>
      <w:r w:rsidRPr="006A7AE7">
        <w:t>as</w:t>
      </w:r>
      <w:r w:rsidRPr="00364866">
        <w:t xml:space="preserve"> </w:t>
      </w:r>
      <w:r w:rsidRPr="006A7AE7">
        <w:t>applying</w:t>
      </w:r>
      <w:r w:rsidRPr="00364866">
        <w:t xml:space="preserve"> </w:t>
      </w:r>
      <w:r w:rsidRPr="006A7AE7">
        <w:t>to</w:t>
      </w:r>
      <w:r w:rsidRPr="00364866">
        <w:t xml:space="preserve"> </w:t>
      </w:r>
      <w:r w:rsidRPr="006A7AE7">
        <w:t>a</w:t>
      </w:r>
      <w:r w:rsidRPr="00364866">
        <w:t xml:space="preserve"> </w:t>
      </w:r>
      <w:r w:rsidRPr="006A7AE7">
        <w:t>Head</w:t>
      </w:r>
      <w:r w:rsidRPr="00364866">
        <w:t xml:space="preserve"> </w:t>
      </w:r>
      <w:r w:rsidRPr="006A7AE7">
        <w:t>of</w:t>
      </w:r>
      <w:r w:rsidRPr="00364866">
        <w:t xml:space="preserve"> </w:t>
      </w:r>
      <w:r w:rsidRPr="006A7AE7">
        <w:t>a</w:t>
      </w:r>
      <w:r w:rsidRPr="00364866">
        <w:t xml:space="preserve"> group </w:t>
      </w:r>
      <w:r w:rsidRPr="006A7AE7">
        <w:t>is</w:t>
      </w:r>
      <w:r w:rsidRPr="00364866">
        <w:t xml:space="preserve"> </w:t>
      </w:r>
      <w:r w:rsidRPr="006A7AE7">
        <w:t>to</w:t>
      </w:r>
      <w:r w:rsidRPr="00364866">
        <w:t xml:space="preserve"> </w:t>
      </w:r>
      <w:r w:rsidRPr="006A7AE7">
        <w:t>be</w:t>
      </w:r>
      <w:r w:rsidRPr="00364866">
        <w:t xml:space="preserve"> </w:t>
      </w:r>
      <w:r w:rsidRPr="006A7AE7">
        <w:t>read</w:t>
      </w:r>
      <w:r w:rsidRPr="00364866">
        <w:t xml:space="preserve"> </w:t>
      </w:r>
      <w:r w:rsidRPr="006A7AE7">
        <w:t>as</w:t>
      </w:r>
      <w:r w:rsidRPr="00364866">
        <w:t xml:space="preserve"> </w:t>
      </w:r>
      <w:r w:rsidRPr="006A7AE7">
        <w:t>applying</w:t>
      </w:r>
      <w:r w:rsidRPr="00364866">
        <w:t xml:space="preserve"> </w:t>
      </w:r>
      <w:r w:rsidRPr="006A7AE7">
        <w:t>to</w:t>
      </w:r>
      <w:r w:rsidRPr="00364866">
        <w:t xml:space="preserve"> the Level </w:t>
      </w:r>
      <w:r w:rsidRPr="006A7AE7">
        <w:t>3</w:t>
      </w:r>
      <w:r w:rsidRPr="00364866">
        <w:t xml:space="preserve"> </w:t>
      </w:r>
      <w:r w:rsidRPr="006A7AE7">
        <w:t>Head.</w:t>
      </w:r>
      <w:r>
        <w:t xml:space="preserve"> For the avoidance of doubt, the reference to ‘Head of a group’ does not apply to an RSE licensee.</w:t>
      </w:r>
    </w:p>
  </w:footnote>
  <w:footnote w:id="5">
    <w:p w14:paraId="0D621AC2" w14:textId="77777777" w:rsidR="00535B8A" w:rsidRDefault="00535B8A" w:rsidP="00537539">
      <w:pPr>
        <w:pStyle w:val="FootnoteText"/>
      </w:pPr>
      <w:r>
        <w:rPr>
          <w:rStyle w:val="FootnoteReference"/>
        </w:rPr>
        <w:footnoteRef/>
      </w:r>
      <w:r>
        <w:t xml:space="preserve"> </w:t>
      </w:r>
      <w:r>
        <w:tab/>
        <w:t xml:space="preserve">Given </w:t>
      </w:r>
      <w:r w:rsidRPr="007650F1">
        <w:t>this paragraph prevents this Prudential Standard from giving rise to such an acquisition of property in relation to variable remuneration payable under such a contract, compensation will not be payable under</w:t>
      </w:r>
      <w:r>
        <w:t xml:space="preserve"> </w:t>
      </w:r>
      <w:r w:rsidRPr="0083752B">
        <w:t xml:space="preserve">section 69E of the Banking Act, section 127A of the Insurance Act, section 251 of the Life Insurance Act </w:t>
      </w:r>
      <w:r>
        <w:t xml:space="preserve">or </w:t>
      </w:r>
      <w:r w:rsidRPr="0083752B">
        <w:t xml:space="preserve">section 8 of the </w:t>
      </w:r>
      <w:r>
        <w:t>PHIPS</w:t>
      </w:r>
      <w:r w:rsidRPr="0083752B">
        <w:t xml:space="preserve"> Act</w:t>
      </w:r>
      <w:r>
        <w:t>.</w:t>
      </w:r>
      <w:r w:rsidRPr="0083752B">
        <w:t xml:space="preserve"> </w:t>
      </w:r>
      <w:r w:rsidRPr="00E2656D">
        <w:t xml:space="preserve">Equally, compensation would not be payable in respect of the superannuation sector noting </w:t>
      </w:r>
      <w:r w:rsidRPr="0083752B">
        <w:t xml:space="preserve">section 349B of the </w:t>
      </w:r>
      <w:r>
        <w:t>SIS</w:t>
      </w:r>
      <w:r w:rsidRPr="0083752B">
        <w:t xml:space="preserve"> Act.</w:t>
      </w:r>
    </w:p>
  </w:footnote>
  <w:footnote w:id="6">
    <w:p w14:paraId="07A92BF8" w14:textId="76EE79CD" w:rsidR="00535B8A" w:rsidRDefault="00535B8A" w:rsidP="00332EE4">
      <w:pPr>
        <w:pStyle w:val="FootnoteText"/>
      </w:pPr>
      <w:r>
        <w:rPr>
          <w:rStyle w:val="FootnoteReference"/>
        </w:rPr>
        <w:footnoteRef/>
      </w:r>
      <w:r>
        <w:t xml:space="preserve"> </w:t>
      </w:r>
      <w:r>
        <w:tab/>
      </w:r>
      <w:r>
        <w:rPr>
          <w:color w:val="000000"/>
          <w:szCs w:val="20"/>
          <w:shd w:val="clear" w:color="auto" w:fill="FFFFFF"/>
        </w:rPr>
        <w:t xml:space="preserve">A reference to a ‘connected entity’ has the meaning given in </w:t>
      </w:r>
      <w:r w:rsidR="00632CA8">
        <w:rPr>
          <w:color w:val="000000"/>
          <w:szCs w:val="20"/>
          <w:shd w:val="clear" w:color="auto" w:fill="FFFFFF"/>
        </w:rPr>
        <w:t>sub</w:t>
      </w:r>
      <w:r>
        <w:rPr>
          <w:color w:val="000000"/>
          <w:szCs w:val="20"/>
          <w:shd w:val="clear" w:color="auto" w:fill="FFFFFF"/>
        </w:rPr>
        <w:t>section 10(1) of the SIS Act.</w:t>
      </w:r>
    </w:p>
  </w:footnote>
  <w:footnote w:id="7">
    <w:p w14:paraId="00087202" w14:textId="77777777" w:rsidR="00535B8A" w:rsidRDefault="00535B8A" w:rsidP="001B1BBB">
      <w:pPr>
        <w:pStyle w:val="FootnoteText"/>
      </w:pPr>
      <w:r>
        <w:rPr>
          <w:rStyle w:val="FootnoteReference"/>
        </w:rPr>
        <w:footnoteRef/>
      </w:r>
      <w:r>
        <w:t xml:space="preserve"> </w:t>
      </w:r>
      <w:r>
        <w:tab/>
      </w:r>
      <w:r>
        <w:rPr>
          <w:color w:val="000000"/>
          <w:szCs w:val="20"/>
          <w:shd w:val="clear" w:color="auto" w:fill="FFFFFF"/>
        </w:rPr>
        <w:t xml:space="preserve">A reference to a </w:t>
      </w:r>
      <w:r w:rsidRPr="00AF69C4">
        <w:t>‘</w:t>
      </w:r>
      <w:r>
        <w:t>r</w:t>
      </w:r>
      <w:r w:rsidRPr="00AF69C4">
        <w:t xml:space="preserve">elated body corporate’ has the meaning given in section 50 of the </w:t>
      </w:r>
      <w:r w:rsidRPr="00AF69C4">
        <w:rPr>
          <w:i/>
        </w:rPr>
        <w:t>Corporations Act 2001</w:t>
      </w:r>
      <w:r w:rsidRPr="00AF69C4">
        <w:t xml:space="preserve"> (Corporations Act)</w:t>
      </w:r>
      <w:r>
        <w:t xml:space="preserve">. </w:t>
      </w:r>
    </w:p>
  </w:footnote>
  <w:footnote w:id="8">
    <w:p w14:paraId="5F0A70F2" w14:textId="77777777" w:rsidR="00535B8A" w:rsidRDefault="00535B8A" w:rsidP="00332EE4">
      <w:pPr>
        <w:pStyle w:val="FootnoteText"/>
        <w:spacing w:after="240"/>
      </w:pPr>
      <w:r>
        <w:rPr>
          <w:rStyle w:val="FootnoteReference"/>
        </w:rPr>
        <w:footnoteRef/>
      </w:r>
      <w:r>
        <w:t xml:space="preserve"> </w:t>
      </w:r>
      <w:r>
        <w:tab/>
        <w:t xml:space="preserve">For the avoidance of doubt, a reference to ‘group’ also includes a group as defined in </w:t>
      </w:r>
      <w:r w:rsidRPr="00C7347C">
        <w:t>APS 001;</w:t>
      </w:r>
      <w:r>
        <w:t xml:space="preserve"> For an RSE licensee, ‘group’ includes where an RSE licensee is part of a corporate</w:t>
      </w:r>
      <w:r w:rsidRPr="001A316A">
        <w:t xml:space="preserve"> </w:t>
      </w:r>
      <w:r>
        <w:t>group.</w:t>
      </w:r>
    </w:p>
  </w:footnote>
  <w:footnote w:id="9">
    <w:p w14:paraId="2E9BD2ED" w14:textId="7360087D" w:rsidR="00535B8A" w:rsidRDefault="00535B8A">
      <w:pPr>
        <w:pStyle w:val="FootnoteText"/>
      </w:pPr>
      <w:r>
        <w:rPr>
          <w:rStyle w:val="FootnoteReference"/>
        </w:rPr>
        <w:footnoteRef/>
      </w:r>
      <w:r>
        <w:t xml:space="preserve"> </w:t>
      </w:r>
      <w:r>
        <w:tab/>
      </w:r>
      <w:r w:rsidRPr="002C2B07">
        <w:t>APS 001, GPS 001, LPS 001 and HPS 001 define this term in relation to other APRA-regulated entities</w:t>
      </w:r>
      <w:r>
        <w:t>.</w:t>
      </w:r>
    </w:p>
  </w:footnote>
  <w:footnote w:id="10">
    <w:p w14:paraId="71FC5FFE" w14:textId="0F0212D0" w:rsidR="00535B8A" w:rsidRDefault="00535B8A">
      <w:pPr>
        <w:pStyle w:val="FootnoteText"/>
      </w:pPr>
      <w:r>
        <w:rPr>
          <w:rStyle w:val="FootnoteReference"/>
        </w:rPr>
        <w:footnoteRef/>
      </w:r>
      <w:r>
        <w:t xml:space="preserve"> </w:t>
      </w:r>
      <w:r>
        <w:tab/>
        <w:t>APS 001, GPS 001, LPS 001 and HPS 001 define this term in relation to other APRA-regulated entities.</w:t>
      </w:r>
    </w:p>
  </w:footnote>
  <w:footnote w:id="11">
    <w:p w14:paraId="78154953" w14:textId="77777777" w:rsidR="00535B8A" w:rsidRPr="00704E9B" w:rsidDel="0002402E" w:rsidRDefault="00535B8A">
      <w:pPr>
        <w:pStyle w:val="FootnoteText"/>
      </w:pPr>
      <w:r>
        <w:rPr>
          <w:rStyle w:val="FootnoteReference"/>
        </w:rPr>
        <w:footnoteRef/>
      </w:r>
      <w:r>
        <w:t xml:space="preserve"> </w:t>
      </w:r>
      <w:r>
        <w:tab/>
        <w:t xml:space="preserve">As required under </w:t>
      </w:r>
      <w:r w:rsidRPr="005537F5">
        <w:rPr>
          <w:i/>
          <w:szCs w:val="20"/>
        </w:rPr>
        <w:t xml:space="preserve">Prudential </w:t>
      </w:r>
      <w:r w:rsidRPr="00425740">
        <w:rPr>
          <w:i/>
          <w:szCs w:val="20"/>
        </w:rPr>
        <w:t xml:space="preserve">Standard </w:t>
      </w:r>
      <w:r w:rsidRPr="00425740">
        <w:rPr>
          <w:i/>
        </w:rPr>
        <w:t xml:space="preserve">CPS 220 Risk Management </w:t>
      </w:r>
      <w:r w:rsidRPr="000C437F">
        <w:t xml:space="preserve">and </w:t>
      </w:r>
      <w:r>
        <w:t>for an RSE l</w:t>
      </w:r>
      <w:r w:rsidRPr="000C437F">
        <w:t>icensee</w:t>
      </w:r>
      <w:r w:rsidRPr="00425740">
        <w:rPr>
          <w:i/>
        </w:rPr>
        <w:t xml:space="preserve"> </w:t>
      </w:r>
      <w:r w:rsidRPr="00425740">
        <w:rPr>
          <w:i/>
          <w:szCs w:val="20"/>
        </w:rPr>
        <w:t xml:space="preserve">Prudential Standard </w:t>
      </w:r>
      <w:r w:rsidRPr="00425740">
        <w:rPr>
          <w:i/>
        </w:rPr>
        <w:t>SPS 220 Ris</w:t>
      </w:r>
      <w:r w:rsidRPr="003A6E1D">
        <w:rPr>
          <w:i/>
        </w:rPr>
        <w:t>k Management</w:t>
      </w:r>
      <w:r>
        <w:rPr>
          <w:i/>
        </w:rPr>
        <w:t>.</w:t>
      </w:r>
    </w:p>
  </w:footnote>
  <w:footnote w:id="12">
    <w:p w14:paraId="63AAEE76" w14:textId="77777777" w:rsidR="00535B8A" w:rsidRDefault="00535B8A" w:rsidP="00967527">
      <w:pPr>
        <w:pStyle w:val="FootnoteText"/>
      </w:pPr>
      <w:r>
        <w:rPr>
          <w:rStyle w:val="FootnoteReference"/>
        </w:rPr>
        <w:footnoteRef/>
      </w:r>
      <w:r>
        <w:t xml:space="preserve"> </w:t>
      </w:r>
      <w:r>
        <w:tab/>
        <w:t xml:space="preserve">For an RSE licensee, as set out in SPS 510, another Board Committee may carry out this function with respect to risk management. Consultation with a Board Risk Committee does not apply to a foreign ADI or Category C insurer. </w:t>
      </w:r>
    </w:p>
  </w:footnote>
  <w:footnote w:id="13">
    <w:p w14:paraId="2F8B01B4" w14:textId="77777777" w:rsidR="00535B8A" w:rsidRDefault="00535B8A" w:rsidP="00EF0AC7">
      <w:pPr>
        <w:pStyle w:val="FootnoteText"/>
      </w:pPr>
      <w:r>
        <w:rPr>
          <w:rStyle w:val="FootnoteReference"/>
        </w:rPr>
        <w:footnoteRef/>
      </w:r>
      <w:r>
        <w:t xml:space="preserve"> </w:t>
      </w:r>
      <w:r>
        <w:tab/>
        <w:t>No</w:t>
      </w:r>
      <w:r w:rsidRPr="00A445EF">
        <w:t xml:space="preserve"> component of variable remuneration </w:t>
      </w:r>
      <w:r>
        <w:t>may be</w:t>
      </w:r>
      <w:r w:rsidRPr="00A445EF">
        <w:t xml:space="preserve"> entirely dependent on share price performance or profitability.</w:t>
      </w:r>
    </w:p>
  </w:footnote>
  <w:footnote w:id="14">
    <w:p w14:paraId="02CD3242" w14:textId="344CB342" w:rsidR="00535B8A" w:rsidRDefault="00535B8A" w:rsidP="00727F79">
      <w:pPr>
        <w:pStyle w:val="FootnoteText"/>
      </w:pPr>
      <w:r>
        <w:rPr>
          <w:rStyle w:val="FootnoteReference"/>
        </w:rPr>
        <w:footnoteRef/>
      </w:r>
      <w:r>
        <w:t xml:space="preserve"> </w:t>
      </w:r>
      <w:r>
        <w:tab/>
      </w:r>
      <w:bookmarkStart w:id="196" w:name="_Hlk127956928"/>
      <w:r w:rsidRPr="00B62AD4">
        <w:rPr>
          <w:szCs w:val="20"/>
        </w:rPr>
        <w:t>For the</w:t>
      </w:r>
      <w:r w:rsidRPr="003C3FCD">
        <w:rPr>
          <w:szCs w:val="20"/>
        </w:rPr>
        <w:t xml:space="preserve"> pur</w:t>
      </w:r>
      <w:r w:rsidRPr="00397136">
        <w:rPr>
          <w:szCs w:val="20"/>
        </w:rPr>
        <w:t xml:space="preserve">poses of paragraph </w:t>
      </w:r>
      <w:r w:rsidR="00964A4C">
        <w:rPr>
          <w:szCs w:val="20"/>
        </w:rPr>
        <w:fldChar w:fldCharType="begin"/>
      </w:r>
      <w:r w:rsidR="00964A4C">
        <w:rPr>
          <w:szCs w:val="20"/>
        </w:rPr>
        <w:instrText xml:space="preserve"> REF _Ref73362104 \r \h </w:instrText>
      </w:r>
      <w:r w:rsidR="00964A4C">
        <w:rPr>
          <w:szCs w:val="20"/>
        </w:rPr>
      </w:r>
      <w:r w:rsidR="00964A4C">
        <w:rPr>
          <w:szCs w:val="20"/>
        </w:rPr>
        <w:fldChar w:fldCharType="separate"/>
      </w:r>
      <w:r w:rsidR="00DE6765">
        <w:rPr>
          <w:szCs w:val="20"/>
        </w:rPr>
        <w:t>47</w:t>
      </w:r>
      <w:r w:rsidR="00964A4C">
        <w:rPr>
          <w:szCs w:val="20"/>
        </w:rPr>
        <w:fldChar w:fldCharType="end"/>
      </w:r>
      <w:r>
        <w:rPr>
          <w:szCs w:val="20"/>
        </w:rPr>
        <w:t xml:space="preserve"> </w:t>
      </w:r>
      <w:r w:rsidRPr="00397136">
        <w:rPr>
          <w:szCs w:val="20"/>
        </w:rPr>
        <w:t xml:space="preserve">of this Prudential </w:t>
      </w:r>
      <w:r>
        <w:rPr>
          <w:szCs w:val="20"/>
        </w:rPr>
        <w:t>Standard</w:t>
      </w:r>
      <w:r w:rsidRPr="00397136">
        <w:rPr>
          <w:szCs w:val="20"/>
        </w:rPr>
        <w:t>, a reference to ‘spe</w:t>
      </w:r>
      <w:r>
        <w:rPr>
          <w:szCs w:val="20"/>
        </w:rPr>
        <w:t>cific exceptions’</w:t>
      </w:r>
      <w:r w:rsidRPr="00201D5C">
        <w:rPr>
          <w:szCs w:val="20"/>
        </w:rPr>
        <w:t xml:space="preserve"> </w:t>
      </w:r>
      <w:r>
        <w:rPr>
          <w:szCs w:val="20"/>
        </w:rPr>
        <w:t>is limited to</w:t>
      </w:r>
      <w:r w:rsidRPr="00201D5C">
        <w:rPr>
          <w:szCs w:val="20"/>
        </w:rPr>
        <w:t xml:space="preserve"> </w:t>
      </w:r>
      <w:r w:rsidRPr="00B62AD4">
        <w:rPr>
          <w:color w:val="000000"/>
          <w:szCs w:val="20"/>
          <w:shd w:val="clear" w:color="auto" w:fill="FFFFFF"/>
        </w:rPr>
        <w:t>death, serious incapacity, serious disability</w:t>
      </w:r>
      <w:r w:rsidR="0063767D">
        <w:rPr>
          <w:color w:val="000000"/>
          <w:szCs w:val="20"/>
          <w:shd w:val="clear" w:color="auto" w:fill="FFFFFF"/>
        </w:rPr>
        <w:t xml:space="preserve"> and</w:t>
      </w:r>
      <w:r w:rsidRPr="00B62AD4">
        <w:rPr>
          <w:color w:val="000000"/>
          <w:szCs w:val="20"/>
          <w:shd w:val="clear" w:color="auto" w:fill="FFFFFF"/>
        </w:rPr>
        <w:t xml:space="preserve"> serious illness.</w:t>
      </w:r>
      <w:bookmarkEnd w:id="196"/>
    </w:p>
  </w:footnote>
  <w:footnote w:id="15">
    <w:p w14:paraId="150DB59E" w14:textId="0E94A658" w:rsidR="00535B8A" w:rsidRDefault="00535B8A" w:rsidP="00F16844">
      <w:pPr>
        <w:pStyle w:val="FootnoteText"/>
      </w:pPr>
      <w:r>
        <w:rPr>
          <w:rStyle w:val="FootnoteReference"/>
        </w:rPr>
        <w:footnoteRef/>
      </w:r>
      <w:r>
        <w:t xml:space="preserve"> </w:t>
      </w:r>
      <w:r>
        <w:tab/>
        <w:t xml:space="preserve">For the avoidance of doubt, paragraph </w:t>
      </w:r>
      <w:r w:rsidR="005B4F9D">
        <w:fldChar w:fldCharType="begin"/>
      </w:r>
      <w:r w:rsidR="005B4F9D">
        <w:instrText xml:space="preserve"> REF _Ref134784029 \r \h </w:instrText>
      </w:r>
      <w:r w:rsidR="005B4F9D">
        <w:fldChar w:fldCharType="separate"/>
      </w:r>
      <w:r w:rsidR="00DE6765">
        <w:t>50(a)</w:t>
      </w:r>
      <w:r w:rsidR="005B4F9D">
        <w:fldChar w:fldCharType="end"/>
      </w:r>
      <w:r>
        <w:t xml:space="preserve"> of this Prudential Standard applies to a senior manager who is a senior officer outside Australia of a foreign ADI or of a Category C insurer. </w:t>
      </w:r>
    </w:p>
  </w:footnote>
  <w:footnote w:id="16">
    <w:p w14:paraId="49FD253F" w14:textId="57D4A491" w:rsidR="00535B8A" w:rsidRDefault="00535B8A" w:rsidP="00A33B77">
      <w:pPr>
        <w:pStyle w:val="FootnoteText"/>
      </w:pPr>
      <w:r>
        <w:rPr>
          <w:rStyle w:val="FootnoteReference"/>
        </w:rPr>
        <w:footnoteRef/>
      </w:r>
      <w:r>
        <w:t xml:space="preserve"> </w:t>
      </w:r>
      <w:r>
        <w:tab/>
        <w:t xml:space="preserve">Paragraph </w:t>
      </w:r>
      <w:r w:rsidR="008A1FE7">
        <w:fldChar w:fldCharType="begin"/>
      </w:r>
      <w:r w:rsidR="008A1FE7">
        <w:instrText xml:space="preserve"> REF _Ref130896310 \r \h </w:instrText>
      </w:r>
      <w:r w:rsidR="008A1FE7">
        <w:fldChar w:fldCharType="separate"/>
      </w:r>
      <w:r w:rsidR="00DE6765">
        <w:t>52(a)</w:t>
      </w:r>
      <w:r w:rsidR="008A1FE7">
        <w:fldChar w:fldCharType="end"/>
      </w:r>
      <w:r>
        <w:t xml:space="preserve"> of this Prudential Standard does not apply to a senior manager who is a senior officer outside Australia of a foreign ADI or of a Category C insurer.</w:t>
      </w:r>
    </w:p>
  </w:footnote>
  <w:footnote w:id="17">
    <w:p w14:paraId="0F8AD13C" w14:textId="77777777" w:rsidR="00535B8A" w:rsidRDefault="00535B8A">
      <w:pPr>
        <w:pStyle w:val="FootnoteText"/>
      </w:pPr>
      <w:r>
        <w:rPr>
          <w:rStyle w:val="FootnoteReference"/>
        </w:rPr>
        <w:footnoteRef/>
      </w:r>
      <w:r>
        <w:t xml:space="preserve"> </w:t>
      </w:r>
      <w:r>
        <w:tab/>
        <w:t>In the case of a private health insurer, all members of the group Board Remuneration Committee must also be non-executive directors of the Head of the corporate group.</w:t>
      </w:r>
    </w:p>
  </w:footnote>
  <w:footnote w:id="18">
    <w:p w14:paraId="7694F8AD" w14:textId="7E4FC718" w:rsidR="004F00A5" w:rsidRDefault="004F00A5" w:rsidP="004F00A5">
      <w:pPr>
        <w:pStyle w:val="FootnoteText"/>
      </w:pPr>
      <w:r>
        <w:rPr>
          <w:rStyle w:val="FootnoteReference"/>
        </w:rPr>
        <w:footnoteRef/>
      </w:r>
      <w:r>
        <w:t xml:space="preserve"> </w:t>
      </w:r>
      <w:r>
        <w:tab/>
      </w:r>
      <w:r w:rsidRPr="007D00DA">
        <w:t>For the purposes of this paragraph, an APRA</w:t>
      </w:r>
      <w:r>
        <w:t>-</w:t>
      </w:r>
      <w:r w:rsidRPr="007D00DA">
        <w:t xml:space="preserve">regulated entity </w:t>
      </w:r>
      <w:r w:rsidR="00BA1AAC">
        <w:t xml:space="preserve">is required only to </w:t>
      </w:r>
      <w:r w:rsidRPr="007D00DA">
        <w:t>disclose information relating to those risk and financial control personnel that report directly to senior managers, rather than information on the entire cohort of risk and financial control personnel.</w:t>
      </w:r>
    </w:p>
  </w:footnote>
  <w:footnote w:id="19">
    <w:p w14:paraId="4B931292" w14:textId="68469AE6" w:rsidR="007D6634" w:rsidRDefault="007D6634" w:rsidP="007D6634">
      <w:pPr>
        <w:pStyle w:val="FootnoteText"/>
      </w:pPr>
      <w:r>
        <w:rPr>
          <w:rStyle w:val="FootnoteReference"/>
        </w:rPr>
        <w:footnoteRef/>
      </w:r>
      <w:r>
        <w:t xml:space="preserve"> </w:t>
      </w:r>
      <w:r>
        <w:tab/>
        <w:t xml:space="preserve">Special payments are defined in paragraph </w:t>
      </w:r>
      <w:r w:rsidR="00CA5200">
        <w:fldChar w:fldCharType="begin"/>
      </w:r>
      <w:r w:rsidR="00CA5200">
        <w:instrText xml:space="preserve"> REF _Ref130896119 \r \h </w:instrText>
      </w:r>
      <w:r w:rsidR="00CA5200">
        <w:fldChar w:fldCharType="separate"/>
      </w:r>
      <w:r w:rsidR="00DE6765">
        <w:t>71</w:t>
      </w:r>
      <w:r w:rsidR="00CA5200">
        <w:fldChar w:fldCharType="end"/>
      </w:r>
      <w:r>
        <w:t xml:space="preserve"> of this Prudential Standard.</w:t>
      </w:r>
    </w:p>
  </w:footnote>
  <w:footnote w:id="20">
    <w:p w14:paraId="465A2974" w14:textId="77777777" w:rsidR="00672D15" w:rsidRDefault="00672D15" w:rsidP="00672D15">
      <w:pPr>
        <w:pStyle w:val="FootnoteText"/>
      </w:pPr>
      <w:r>
        <w:rPr>
          <w:rStyle w:val="FootnoteReference"/>
        </w:rPr>
        <w:footnoteRef/>
      </w:r>
      <w:r>
        <w:t xml:space="preserve"> </w:t>
      </w:r>
      <w:r>
        <w:tab/>
        <w:t xml:space="preserve">Where there may be minor variations in variable remuneration plans across specified roles, an APRA-regulated entity may disclose the plan once and note the minor variations. </w:t>
      </w:r>
    </w:p>
  </w:footnote>
  <w:footnote w:id="21">
    <w:p w14:paraId="2656CAA7" w14:textId="5595EF76" w:rsidR="00DC29ED" w:rsidRDefault="00DC29ED">
      <w:pPr>
        <w:pStyle w:val="FootnoteText"/>
      </w:pPr>
      <w:r>
        <w:rPr>
          <w:rStyle w:val="FootnoteReference"/>
        </w:rPr>
        <w:footnoteRef/>
      </w:r>
      <w:r>
        <w:t xml:space="preserve"> </w:t>
      </w:r>
      <w:r>
        <w:tab/>
      </w:r>
      <w:bookmarkStart w:id="264" w:name="_Hlk127956388"/>
      <w:r>
        <w:t>S</w:t>
      </w:r>
      <w:r w:rsidRPr="008352D1">
        <w:t xml:space="preserve">hare-based awards that are </w:t>
      </w:r>
      <w:r>
        <w:t xml:space="preserve">conditional on objectives, which include </w:t>
      </w:r>
      <w:r w:rsidRPr="008352D1">
        <w:t>performance</w:t>
      </w:r>
      <w:r>
        <w:t xml:space="preserve"> criteria, service requirements or the passage of time must </w:t>
      </w:r>
      <w:r w:rsidRPr="008352D1">
        <w:t>be disclosed as variable remuneration</w:t>
      </w:r>
      <w:r>
        <w:t>.</w:t>
      </w:r>
      <w:bookmarkEnd w:id="264"/>
    </w:p>
  </w:footnote>
  <w:footnote w:id="22">
    <w:p w14:paraId="187C4E24" w14:textId="68C370B8" w:rsidR="00A332B5" w:rsidRDefault="00A332B5">
      <w:pPr>
        <w:pStyle w:val="FootnoteText"/>
      </w:pPr>
      <w:r>
        <w:rPr>
          <w:rStyle w:val="FootnoteReference"/>
        </w:rPr>
        <w:footnoteRef/>
      </w:r>
      <w:r>
        <w:t xml:space="preserve"> </w:t>
      </w:r>
      <w:r w:rsidR="007107AB">
        <w:tab/>
      </w:r>
      <w:r>
        <w:t xml:space="preserve">Exclude specific </w:t>
      </w:r>
      <w:r w:rsidR="00432ED7">
        <w:t>exceptions</w:t>
      </w:r>
      <w:r>
        <w:t xml:space="preserve"> under paragraph </w:t>
      </w:r>
      <w:r w:rsidR="00600CA1">
        <w:fldChar w:fldCharType="begin"/>
      </w:r>
      <w:r w:rsidR="00600CA1">
        <w:instrText xml:space="preserve"> REF _Ref73362104 \r \h </w:instrText>
      </w:r>
      <w:r w:rsidR="00600CA1">
        <w:fldChar w:fldCharType="separate"/>
      </w:r>
      <w:r w:rsidR="00DE6765">
        <w:t>47</w:t>
      </w:r>
      <w:r w:rsidR="00600CA1">
        <w:fldChar w:fldCharType="end"/>
      </w:r>
      <w:r>
        <w:t xml:space="preserve"> of this Prudential standard.</w:t>
      </w:r>
    </w:p>
  </w:footnote>
  <w:footnote w:id="23">
    <w:p w14:paraId="5B899B20" w14:textId="77777777" w:rsidR="00535B8A" w:rsidRPr="003A6E1D" w:rsidRDefault="00535B8A" w:rsidP="00311AB2">
      <w:pPr>
        <w:pStyle w:val="FootnoteText"/>
        <w:rPr>
          <w:i/>
        </w:rPr>
      </w:pPr>
      <w:r>
        <w:rPr>
          <w:rStyle w:val="FootnoteReference"/>
        </w:rPr>
        <w:footnoteRef/>
      </w:r>
      <w:r>
        <w:t xml:space="preserve"> </w:t>
      </w:r>
      <w:r>
        <w:tab/>
        <w:t xml:space="preserve">As required under </w:t>
      </w:r>
      <w:r w:rsidRPr="005537F5">
        <w:rPr>
          <w:i/>
          <w:szCs w:val="20"/>
        </w:rPr>
        <w:t>Pru</w:t>
      </w:r>
      <w:r w:rsidRPr="00425740">
        <w:rPr>
          <w:i/>
          <w:szCs w:val="20"/>
        </w:rPr>
        <w:t xml:space="preserve">dential Standard </w:t>
      </w:r>
      <w:r w:rsidRPr="00425740">
        <w:rPr>
          <w:i/>
        </w:rPr>
        <w:t xml:space="preserve">CPS 220 Risk Management </w:t>
      </w:r>
      <w:r>
        <w:t>and for an RSE l</w:t>
      </w:r>
      <w:r w:rsidRPr="000C437F">
        <w:t>icensee</w:t>
      </w:r>
      <w:r w:rsidRPr="00425740">
        <w:rPr>
          <w:i/>
        </w:rPr>
        <w:t xml:space="preserve"> </w:t>
      </w:r>
      <w:r w:rsidRPr="00425740">
        <w:rPr>
          <w:i/>
          <w:szCs w:val="20"/>
        </w:rPr>
        <w:t xml:space="preserve">Prudential Standard </w:t>
      </w:r>
      <w:r w:rsidRPr="00425740">
        <w:rPr>
          <w:i/>
        </w:rPr>
        <w:t>SPS 220 Risk Management.</w:t>
      </w:r>
    </w:p>
  </w:footnote>
  <w:footnote w:id="24">
    <w:p w14:paraId="4910FA88" w14:textId="18F1FE58" w:rsidR="00535B8A" w:rsidRDefault="00535B8A" w:rsidP="009D252C">
      <w:pPr>
        <w:pStyle w:val="FootnoteText"/>
      </w:pPr>
      <w:r>
        <w:rPr>
          <w:rStyle w:val="FootnoteReference"/>
        </w:rPr>
        <w:footnoteRef/>
      </w:r>
      <w:r>
        <w:t xml:space="preserve"> </w:t>
      </w:r>
      <w:r>
        <w:tab/>
      </w:r>
      <w:r w:rsidRPr="00B62AD4">
        <w:rPr>
          <w:szCs w:val="20"/>
        </w:rPr>
        <w:t>For the</w:t>
      </w:r>
      <w:r w:rsidRPr="003C3FCD">
        <w:rPr>
          <w:szCs w:val="20"/>
        </w:rPr>
        <w:t xml:space="preserve"> pur</w:t>
      </w:r>
      <w:r w:rsidRPr="00397136">
        <w:rPr>
          <w:szCs w:val="20"/>
        </w:rPr>
        <w:t xml:space="preserve">poses </w:t>
      </w:r>
      <w:r w:rsidRPr="008C27D3">
        <w:rPr>
          <w:szCs w:val="20"/>
        </w:rPr>
        <w:t xml:space="preserve">of </w:t>
      </w:r>
      <w:r w:rsidRPr="00766D1D">
        <w:rPr>
          <w:szCs w:val="20"/>
        </w:rPr>
        <w:t xml:space="preserve">paragraph </w:t>
      </w:r>
      <w:r w:rsidR="0095731E" w:rsidRPr="00766D1D">
        <w:rPr>
          <w:szCs w:val="20"/>
        </w:rPr>
        <w:fldChar w:fldCharType="begin"/>
      </w:r>
      <w:r w:rsidR="0095731E" w:rsidRPr="00766D1D">
        <w:rPr>
          <w:szCs w:val="20"/>
        </w:rPr>
        <w:instrText xml:space="preserve"> REF _Ref55551402 \r \h </w:instrText>
      </w:r>
      <w:r w:rsidR="008C27D3">
        <w:rPr>
          <w:szCs w:val="20"/>
        </w:rPr>
        <w:instrText xml:space="preserve"> \* MERGEFORMAT </w:instrText>
      </w:r>
      <w:r w:rsidR="0095731E" w:rsidRPr="00766D1D">
        <w:rPr>
          <w:szCs w:val="20"/>
        </w:rPr>
      </w:r>
      <w:r w:rsidR="0095731E" w:rsidRPr="00766D1D">
        <w:rPr>
          <w:szCs w:val="20"/>
        </w:rPr>
        <w:fldChar w:fldCharType="separate"/>
      </w:r>
      <w:r w:rsidR="00DE6765">
        <w:rPr>
          <w:szCs w:val="20"/>
        </w:rPr>
        <w:t>86</w:t>
      </w:r>
      <w:r w:rsidR="0095731E" w:rsidRPr="00766D1D">
        <w:rPr>
          <w:szCs w:val="20"/>
        </w:rPr>
        <w:fldChar w:fldCharType="end"/>
      </w:r>
      <w:r w:rsidR="004F3A13">
        <w:rPr>
          <w:szCs w:val="20"/>
        </w:rPr>
        <w:t xml:space="preserve"> </w:t>
      </w:r>
      <w:r w:rsidRPr="00397136">
        <w:rPr>
          <w:szCs w:val="20"/>
        </w:rPr>
        <w:t xml:space="preserve">of this Prudential </w:t>
      </w:r>
      <w:r>
        <w:rPr>
          <w:szCs w:val="20"/>
        </w:rPr>
        <w:t>Standard</w:t>
      </w:r>
      <w:r w:rsidRPr="00397136">
        <w:rPr>
          <w:szCs w:val="20"/>
        </w:rPr>
        <w:t>, a reference to ‘spe</w:t>
      </w:r>
      <w:r>
        <w:rPr>
          <w:szCs w:val="20"/>
        </w:rPr>
        <w:t>cific exceptions’</w:t>
      </w:r>
      <w:r w:rsidRPr="00201D5C">
        <w:rPr>
          <w:szCs w:val="20"/>
        </w:rPr>
        <w:t xml:space="preserve"> </w:t>
      </w:r>
      <w:r>
        <w:rPr>
          <w:szCs w:val="20"/>
        </w:rPr>
        <w:t>is limited to</w:t>
      </w:r>
      <w:r w:rsidRPr="00201D5C">
        <w:rPr>
          <w:szCs w:val="20"/>
        </w:rPr>
        <w:t xml:space="preserve"> </w:t>
      </w:r>
      <w:r w:rsidRPr="00B62AD4">
        <w:rPr>
          <w:color w:val="000000"/>
          <w:szCs w:val="20"/>
          <w:shd w:val="clear" w:color="auto" w:fill="FFFFFF"/>
        </w:rPr>
        <w:t>death, serious</w:t>
      </w:r>
      <w:r>
        <w:rPr>
          <w:color w:val="000000"/>
          <w:szCs w:val="20"/>
          <w:shd w:val="clear" w:color="auto" w:fill="FFFFFF"/>
        </w:rPr>
        <w:t xml:space="preserve"> incapacity, serious disability</w:t>
      </w:r>
      <w:r w:rsidR="00F61104">
        <w:rPr>
          <w:color w:val="000000"/>
          <w:szCs w:val="20"/>
          <w:shd w:val="clear" w:color="auto" w:fill="FFFFFF"/>
        </w:rPr>
        <w:t xml:space="preserve"> </w:t>
      </w:r>
      <w:r w:rsidR="00FA0469">
        <w:rPr>
          <w:color w:val="000000"/>
          <w:szCs w:val="20"/>
          <w:shd w:val="clear" w:color="auto" w:fill="FFFFFF"/>
        </w:rPr>
        <w:t>and</w:t>
      </w:r>
      <w:r>
        <w:rPr>
          <w:color w:val="000000"/>
          <w:szCs w:val="20"/>
          <w:shd w:val="clear" w:color="auto" w:fill="FFFFFF"/>
        </w:rPr>
        <w:t xml:space="preserve"> </w:t>
      </w:r>
      <w:r w:rsidRPr="00B62AD4">
        <w:rPr>
          <w:color w:val="000000"/>
          <w:szCs w:val="20"/>
          <w:shd w:val="clear" w:color="auto" w:fill="FFFFFF"/>
        </w:rPr>
        <w:t>serious illness.</w:t>
      </w:r>
    </w:p>
  </w:footnote>
  <w:footnote w:id="25">
    <w:p w14:paraId="2B68206E" w14:textId="0FE55C3D" w:rsidR="00535B8A" w:rsidRDefault="00535B8A" w:rsidP="00311AB2">
      <w:pPr>
        <w:pStyle w:val="FootnoteText"/>
      </w:pPr>
      <w:r>
        <w:rPr>
          <w:rStyle w:val="FootnoteReference"/>
        </w:rPr>
        <w:footnoteRef/>
      </w:r>
      <w:r>
        <w:t xml:space="preserve"> </w:t>
      </w:r>
      <w:r>
        <w:tab/>
      </w:r>
      <w:r w:rsidRPr="00766D1D">
        <w:t xml:space="preserve">Paragraph </w:t>
      </w:r>
      <w:r w:rsidR="008C27D3" w:rsidRPr="00766D1D">
        <w:fldChar w:fldCharType="begin"/>
      </w:r>
      <w:r w:rsidR="008C27D3" w:rsidRPr="00766D1D">
        <w:instrText xml:space="preserve"> REF _Ref138233222 \r \h </w:instrText>
      </w:r>
      <w:r w:rsidR="00766D1D">
        <w:instrText xml:space="preserve"> \* MERGEFORMAT </w:instrText>
      </w:r>
      <w:r w:rsidR="008C27D3" w:rsidRPr="00766D1D">
        <w:fldChar w:fldCharType="separate"/>
      </w:r>
      <w:r w:rsidR="00DE6765">
        <w:t>87(a)</w:t>
      </w:r>
      <w:r w:rsidR="008C27D3" w:rsidRPr="00766D1D">
        <w:fldChar w:fldCharType="end"/>
      </w:r>
      <w:r>
        <w:t xml:space="preserve"> of this Prudential Standard does not apply to a senior manager </w:t>
      </w:r>
      <w:r w:rsidR="00766D1D">
        <w:t xml:space="preserve">who </w:t>
      </w:r>
      <w:r>
        <w:t>is a senior officer outside Australia of a foreign ADI or Category C insurer.</w:t>
      </w:r>
    </w:p>
  </w:footnote>
  <w:footnote w:id="26">
    <w:p w14:paraId="215EFADE" w14:textId="256405DA" w:rsidR="00225CE3" w:rsidRDefault="00225CE3">
      <w:pPr>
        <w:pStyle w:val="FootnoteText"/>
      </w:pPr>
      <w:r>
        <w:rPr>
          <w:rStyle w:val="FootnoteReference"/>
        </w:rPr>
        <w:footnoteRef/>
      </w:r>
      <w:r>
        <w:t xml:space="preserve"> </w:t>
      </w:r>
      <w:r>
        <w:tab/>
        <w:t xml:space="preserve">Refer to paragraph </w:t>
      </w:r>
      <w:r w:rsidR="00C74167">
        <w:fldChar w:fldCharType="begin"/>
      </w:r>
      <w:r w:rsidR="00C74167">
        <w:instrText xml:space="preserve"> REF _Ref55369863 \r \h </w:instrText>
      </w:r>
      <w:r w:rsidR="00C74167">
        <w:fldChar w:fldCharType="separate"/>
      </w:r>
      <w:r w:rsidR="00DE6765">
        <w:t>4</w:t>
      </w:r>
      <w:r w:rsidR="00C74167">
        <w:fldChar w:fldCharType="end"/>
      </w:r>
      <w:r>
        <w:t xml:space="preserve"> of this Prudential Standard.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1AF94" w14:textId="77777777" w:rsidR="005D7A0D" w:rsidRDefault="00D92A38">
    <w:pPr>
      <w:pStyle w:val="Header"/>
      <w:rPr>
        <w:noProof/>
      </w:rPr>
    </w:pPr>
    <w:r>
      <w:rPr>
        <w:noProof/>
      </w:rPr>
      <mc:AlternateContent>
        <mc:Choice Requires="wps">
          <w:drawing>
            <wp:anchor distT="0" distB="0" distL="114300" distR="114300" simplePos="0" relativeHeight="251658241" behindDoc="0" locked="1" layoutInCell="0" allowOverlap="1" wp14:anchorId="68DDD926" wp14:editId="251E06B9">
              <wp:simplePos x="0" y="0"/>
              <wp:positionH relativeFrom="margin">
                <wp:align>center</wp:align>
              </wp:positionH>
              <wp:positionV relativeFrom="topMargin">
                <wp:align>center</wp:align>
              </wp:positionV>
              <wp:extent cx="1654175"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FE82E3" w14:textId="3BDEDDB1" w:rsidR="00D92A38" w:rsidRPr="00D92A38" w:rsidRDefault="00D92A38" w:rsidP="00D92A38">
                          <w:pPr>
                            <w:spacing w:after="0"/>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PM_ProtectiveMarkingValue_Header \* MERGEFORMAT </w:instrText>
                          </w:r>
                          <w:r>
                            <w:rPr>
                              <w:rFonts w:ascii="Arial" w:hAnsi="Arial" w:cs="Arial"/>
                              <w:b/>
                              <w:color w:val="FF0000"/>
                            </w:rPr>
                            <w:fldChar w:fldCharType="separate"/>
                          </w:r>
                          <w:r w:rsidR="00DE6765">
                            <w:rPr>
                              <w:rFonts w:ascii="Arial" w:hAnsi="Arial" w:cs="Arial"/>
                              <w:b/>
                              <w:color w:val="FF0000"/>
                            </w:rPr>
                            <w:t>Personal</w:t>
                          </w:r>
                          <w:r>
                            <w:rPr>
                              <w:rFonts w:ascii="Arial" w:hAnsi="Arial" w:cs="Arial"/>
                              <w:b/>
                              <w:color w:val="FF0000"/>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8DDD926" id="_x0000_t202" coordsize="21600,21600" o:spt="202" path="m,l,21600r21600,l21600,xe">
              <v:stroke joinstyle="miter"/>
              <v:path gradientshapeok="t" o:connecttype="rect"/>
            </v:shapetype>
            <v:shape id="Text Box 5" o:spid="_x0000_s1026" type="#_x0000_t202" style="position:absolute;left:0;text-align:left;margin-left:0;margin-top:0;width:130.25pt;height:21.5pt;z-index:251658241;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sbEwIAACoEAAAOAAAAZHJzL2Uyb0RvYy54bWysU8uO2yAU3VfqPyD2jZNMHq0VZ5TOKFWl&#10;aGakTDVrgiG2BFwEJHb69b1g59FpV1U3+OL7PuewuG+1IkfhfA2moKPBkBJhOJS12Rf0x+v602dK&#10;fGCmZAqMKOhJeHq//Phh0dhcjKECVQpHsIjxeWMLWoVg8yzzvBKa+QFYYdApwWkW8Or2WelYg9W1&#10;ysbD4SxrwJXWARfe49/HzkmXqb6UgodnKb0IRBUUZwvpdOncxTNbLli+d8xWNe/HYP8whWa1waaX&#10;Uo8sMHJw9R+ldM0deJBhwEFnIGXNRdoBtxkN322zrZgVaRcEx9sLTP7/leVPx619cSS0X6FFAiMg&#10;jfW5x59xn1Y6Hb84KUE/Qni6wCbaQHhMmk0no/mUEo6+8fxuOE24Ztds63z4JkCTaBTUIS0JLXbc&#10;+IAdMfQcEpsZWNdKJWqUIU1BZ3dY8jcPZiiDiddZoxXaXdsvsIPyhHs56Cj3lq9rbL5hPrwwhxzj&#10;Kqjb8IyHVIBNoLcoqcD9/Nv/GI/Qo5eSBjVTUIOipkR9N0jJl9FkEiWWLpPpfIwXd+vZ3XrMQT8A&#10;inKE78PyZMb4oM6mdKDfUNyr2BNdzHDsXNBwNh9Cp2N8HFysVikIRWVZ2Jit5bF0hCwC+9q+MWd7&#10;9APy9gRnbbH8HQldbMz0dnUISEViKMLbYdqjjoJMxPWPJyr+9p6irk98+QsAAP//AwBQSwMEFAAG&#10;AAgAAAAhADmt4bvbAAAABAEAAA8AAABkcnMvZG93bnJldi54bWxMj8FOwzAQRO9I/QdrkbhRmxYq&#10;FOJUVSV6qThQEFw38TaJEq+t2E1Tvh7DBS4rjWY08zZfT7YXIw2hdazhbq5AEFfOtFxreH97vn0E&#10;ESKywd4xabhQgHUxu8oxM+7MrzQeYi1SCYcMNTQx+kzKUDVkMcydJ07e0Q0WY5JDLc2A51Rue7lQ&#10;aiUttpwWGvS0bajqDier4QU/dnGcumrX+aP5tL7cLr/2Wt9cT5snEJGm+BeGH/yEDkViKt2JTRC9&#10;hvRI/L3JW6zUA4hSw/1SgSxy+R+++AYAAP//AwBQSwECLQAUAAYACAAAACEAtoM4kv4AAADhAQAA&#10;EwAAAAAAAAAAAAAAAAAAAAAAW0NvbnRlbnRfVHlwZXNdLnhtbFBLAQItABQABgAIAAAAIQA4/SH/&#10;1gAAAJQBAAALAAAAAAAAAAAAAAAAAC8BAABfcmVscy8ucmVsc1BLAQItABQABgAIAAAAIQDOVBsb&#10;EwIAACoEAAAOAAAAAAAAAAAAAAAAAC4CAABkcnMvZTJvRG9jLnhtbFBLAQItABQABgAIAAAAIQA5&#10;reG72wAAAAQBAAAPAAAAAAAAAAAAAAAAAG0EAABkcnMvZG93bnJldi54bWxQSwUGAAAAAAQABADz&#10;AAAAdQUAAAAA&#10;" o:allowincell="f" filled="f" stroked="f" strokeweight=".5pt">
              <v:textbox style="mso-fit-shape-to-text:t">
                <w:txbxContent>
                  <w:p w14:paraId="49FE82E3" w14:textId="3BDEDDB1" w:rsidR="00D92A38" w:rsidRPr="00D92A38" w:rsidRDefault="00D92A38" w:rsidP="00D92A38">
                    <w:pPr>
                      <w:spacing w:after="0"/>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PM_ProtectiveMarkingValue_Header \* MERGEFORMAT </w:instrText>
                    </w:r>
                    <w:r>
                      <w:rPr>
                        <w:rFonts w:ascii="Arial" w:hAnsi="Arial" w:cs="Arial"/>
                        <w:b/>
                        <w:color w:val="FF0000"/>
                      </w:rPr>
                      <w:fldChar w:fldCharType="separate"/>
                    </w:r>
                    <w:r w:rsidR="00DE6765">
                      <w:rPr>
                        <w:rFonts w:ascii="Arial" w:hAnsi="Arial" w:cs="Arial"/>
                        <w:b/>
                        <w:color w:val="FF0000"/>
                      </w:rPr>
                      <w:t>Personal</w:t>
                    </w:r>
                    <w:r>
                      <w:rPr>
                        <w:rFonts w:ascii="Arial" w:hAnsi="Arial" w:cs="Arial"/>
                        <w:b/>
                        <w:color w:val="FF0000"/>
                      </w:rPr>
                      <w:fldChar w:fldCharType="end"/>
                    </w:r>
                  </w:p>
                </w:txbxContent>
              </v:textbox>
              <w10:wrap anchorx="margin" anchory="margin"/>
              <w10:anchorlock/>
            </v:shape>
          </w:pict>
        </mc:Fallback>
      </mc:AlternateContent>
    </w:r>
  </w:p>
  <w:p w14:paraId="0E2DC804" w14:textId="1494C762" w:rsidR="00BD2A0E" w:rsidRDefault="00BD2A0E">
    <w:pPr>
      <w:pStyle w:val="Header"/>
    </w:pPr>
    <w:r>
      <w:rPr>
        <w:noProof/>
      </w:rPr>
      <mc:AlternateContent>
        <mc:Choice Requires="wps">
          <w:drawing>
            <wp:anchor distT="0" distB="0" distL="114300" distR="114300" simplePos="0" relativeHeight="251658243" behindDoc="0" locked="1" layoutInCell="0" allowOverlap="1" wp14:anchorId="4FDEB202" wp14:editId="0FF6C249">
              <wp:simplePos x="0" y="0"/>
              <wp:positionH relativeFrom="margin">
                <wp:align>center</wp:align>
              </wp:positionH>
              <wp:positionV relativeFrom="topMargin">
                <wp:align>center</wp:align>
              </wp:positionV>
              <wp:extent cx="1654175" cy="273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224224" w14:textId="3D184F05" w:rsidR="00BD2A0E" w:rsidRPr="00BD2A0E" w:rsidRDefault="00BD2A0E" w:rsidP="00BD2A0E">
                          <w:pPr>
                            <w:spacing w:after="0"/>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PM_ProtectiveMarkingValue_Header \* MERGEFORMAT </w:instrText>
                          </w:r>
                          <w:r>
                            <w:rPr>
                              <w:rFonts w:ascii="Arial" w:hAnsi="Arial" w:cs="Arial"/>
                              <w:b/>
                              <w:color w:val="FF0000"/>
                            </w:rPr>
                            <w:fldChar w:fldCharType="separate"/>
                          </w:r>
                          <w:r w:rsidR="00DE6765">
                            <w:rPr>
                              <w:rFonts w:ascii="Arial" w:hAnsi="Arial" w:cs="Arial"/>
                              <w:b/>
                              <w:color w:val="FF0000"/>
                            </w:rPr>
                            <w:t>Personal</w:t>
                          </w:r>
                          <w:r>
                            <w:rPr>
                              <w:rFonts w:ascii="Arial" w:hAnsi="Arial" w:cs="Arial"/>
                              <w:b/>
                              <w:color w:val="FF0000"/>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DEB202" id="Text Box 4" o:spid="_x0000_s1027" type="#_x0000_t202" style="position:absolute;left:0;text-align:left;margin-left:0;margin-top:0;width:130.25pt;height:21.5pt;z-index:251658243;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e6FQIAADEEAAAOAAAAZHJzL2Uyb0RvYy54bWysU8lu2zAQvRfoPxC817IdL61gOXATuChg&#10;JAGcImeaoiwBJIcgx5bcr++QXpv2VPRCDTX7e4+z+85otlc+NGALPuj1OVNWQtnYbcF/vC4/feYs&#10;oLCl0GBVwQ8q8Pv5xw+z1uVqCDXoUnlGRWzIW1fwGtHlWRZkrYwIPXDKkrMCbwTS1W+z0ouWqhud&#10;Dfv9SdaCL50HqUKgv49HJ5+n+lWlJD5XVVDIdMFpNkynT+cmntl8JvKtF65u5GkM8Q9TGNFYanop&#10;9ShQsJ1v/ihlGukhQIU9CSaDqmqkSjvQNoP+u23WtXAq7ULgBHeBKfy/svJpv3YvnmH3FToiMALS&#10;upAH+hn36Spv4pcmZeQnCA8X2FSHTMakyXg0mI45k+QbTu/644Rrds12PuA3BYZFo+CeaEloif0q&#10;IHWk0HNIbGZh2WidqNGWtQWf3FHJ3zyUoS0lXmeNFnabjjXlzR4bKA+0nocj88HJZUMzrETAF+GJ&#10;atqI5IvPdFQaqBecLM5q8D//9j/GEwPk5awl6RTckrY5098tMfNlMBpFpaXLaDwd0sXfeja3Hrsz&#10;D0DaHNAzcTKZMR712aw8mDfS+CL2JJewkjoXHM/mAx7lTG9EqsUiBZG2nMCVXTsZS0fkIr6v3Zvw&#10;7kQCEn1PcJaYyN9xcYyNmcEtdkiMJKIiykdMT+CTLhN/pzcUhX97T1HXlz7/BQAA//8DAFBLAwQU&#10;AAYACAAAACEAOa3hu9sAAAAEAQAADwAAAGRycy9kb3ducmV2LnhtbEyPwU7DMBBE70j9B2uRuFGb&#10;FioU4lRVJXqpOFAQXDfxNokSr63YTVO+HsMFLiuNZjTzNl9PthcjDaF1rOFurkAQV860XGt4f3u+&#10;fQQRIrLB3jFpuFCAdTG7yjEz7syvNB5iLVIJhww1NDH6TMpQNWQxzJ0nTt7RDRZjkkMtzYDnVG57&#10;uVBqJS22nBYa9LRtqOoOJ6vhBT92cZy6atf5o/m0vtwuv/Za31xPmycQkab4F4Yf/IQORWIq3YlN&#10;EL2G9Ej8vclbrNQDiFLD/VKBLHL5H774BgAA//8DAFBLAQItABQABgAIAAAAIQC2gziS/gAAAOEB&#10;AAATAAAAAAAAAAAAAAAAAAAAAABbQ29udGVudF9UeXBlc10ueG1sUEsBAi0AFAAGAAgAAAAhADj9&#10;If/WAAAAlAEAAAsAAAAAAAAAAAAAAAAALwEAAF9yZWxzLy5yZWxzUEsBAi0AFAAGAAgAAAAhAJ2x&#10;57oVAgAAMQQAAA4AAAAAAAAAAAAAAAAALgIAAGRycy9lMm9Eb2MueG1sUEsBAi0AFAAGAAgAAAAh&#10;ADmt4bvbAAAABAEAAA8AAAAAAAAAAAAAAAAAbwQAAGRycy9kb3ducmV2LnhtbFBLBQYAAAAABAAE&#10;APMAAAB3BQAAAAA=&#10;" o:allowincell="f" filled="f" stroked="f" strokeweight=".5pt">
              <v:textbox style="mso-fit-shape-to-text:t">
                <w:txbxContent>
                  <w:p w14:paraId="65224224" w14:textId="3D184F05" w:rsidR="00BD2A0E" w:rsidRPr="00BD2A0E" w:rsidRDefault="00BD2A0E" w:rsidP="00BD2A0E">
                    <w:pPr>
                      <w:spacing w:after="0"/>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PM_ProtectiveMarkingValue_Header \* MERGEFORMAT </w:instrText>
                    </w:r>
                    <w:r>
                      <w:rPr>
                        <w:rFonts w:ascii="Arial" w:hAnsi="Arial" w:cs="Arial"/>
                        <w:b/>
                        <w:color w:val="FF0000"/>
                      </w:rPr>
                      <w:fldChar w:fldCharType="separate"/>
                    </w:r>
                    <w:r w:rsidR="00DE6765">
                      <w:rPr>
                        <w:rFonts w:ascii="Arial" w:hAnsi="Arial" w:cs="Arial"/>
                        <w:b/>
                        <w:color w:val="FF0000"/>
                      </w:rPr>
                      <w:t>Personal</w:t>
                    </w:r>
                    <w:r>
                      <w:rPr>
                        <w:rFonts w:ascii="Arial" w:hAnsi="Arial" w:cs="Arial"/>
                        <w:b/>
                        <w:color w:val="FF0000"/>
                      </w:rPr>
                      <w:fldChar w:fldCharType="end"/>
                    </w:r>
                  </w:p>
                </w:txbxContent>
              </v:textbox>
              <w10:wrap anchorx="margin" anchory="margi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4463" w14:textId="77777777" w:rsidR="005D7A0D" w:rsidRDefault="00D92A38">
    <w:pPr>
      <w:pStyle w:val="Header"/>
      <w:rPr>
        <w:noProof/>
      </w:rPr>
    </w:pPr>
    <w:r>
      <w:rPr>
        <w:noProof/>
      </w:rPr>
      <mc:AlternateContent>
        <mc:Choice Requires="wps">
          <w:drawing>
            <wp:anchor distT="0" distB="0" distL="114300" distR="114300" simplePos="0" relativeHeight="251658240" behindDoc="0" locked="1" layoutInCell="0" allowOverlap="1" wp14:anchorId="0B0D4F74" wp14:editId="7E612DB3">
              <wp:simplePos x="0" y="0"/>
              <wp:positionH relativeFrom="margin">
                <wp:align>center</wp:align>
              </wp:positionH>
              <wp:positionV relativeFrom="topMargin">
                <wp:align>center</wp:align>
              </wp:positionV>
              <wp:extent cx="1654175" cy="273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07DE6B" w14:textId="4F2FDAF6" w:rsidR="00D92A38" w:rsidRPr="00D92A38" w:rsidRDefault="00D92A38" w:rsidP="00D92A38">
                          <w:pPr>
                            <w:spacing w:after="0"/>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PM_ProtectiveMarkingValue_Header \* MERGEFORMAT </w:instrText>
                          </w:r>
                          <w:r>
                            <w:rPr>
                              <w:rFonts w:ascii="Arial" w:hAnsi="Arial" w:cs="Arial"/>
                              <w:b/>
                              <w:color w:val="FF0000"/>
                            </w:rPr>
                            <w:fldChar w:fldCharType="separate"/>
                          </w:r>
                          <w:r w:rsidR="00DE6765">
                            <w:rPr>
                              <w:rFonts w:ascii="Arial" w:hAnsi="Arial" w:cs="Arial"/>
                              <w:b/>
                              <w:color w:val="FF0000"/>
                            </w:rPr>
                            <w:t>Personal</w:t>
                          </w:r>
                          <w:r>
                            <w:rPr>
                              <w:rFonts w:ascii="Arial" w:hAnsi="Arial" w:cs="Arial"/>
                              <w:b/>
                              <w:color w:val="FF0000"/>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B0D4F74" id="_x0000_t202" coordsize="21600,21600" o:spt="202" path="m,l,21600r21600,l21600,xe">
              <v:stroke joinstyle="miter"/>
              <v:path gradientshapeok="t" o:connecttype="rect"/>
            </v:shapetype>
            <v:shape id="Text Box 7" o:spid="_x0000_s1028" type="#_x0000_t202" style="position:absolute;left:0;text-align:left;margin-left:0;margin-top:0;width:130.25pt;height:21.5pt;z-index:251658240;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7EFwIAADEEAAAOAAAAZHJzL2Uyb0RvYy54bWysU8lu2zAQvRfoPxC817IdL61gOXATuChg&#10;JAGcImeaIi0BFIcgx5bcr++QXpv2VPRCDTX7e4+z+64xbK98qMEWfNDrc6ashLK224L/eF1++sxZ&#10;QGFLYcCqgh9U4Pfzjx9mrcvVECowpfKMitiQt67gFaLLsyzISjUi9MApS04NvhFIV7/NSi9aqt6Y&#10;bNjvT7IWfOk8SBUC/X08Ovk81ddaSXzWOihkpuA0G6bTp3MTz2w+E/nWC1fV8jSG+IcpGlFbanop&#10;9ShQsJ2v/yjV1NJDAI09CU0GWtdSpR1om0H/3TbrSjiVdiFwgrvAFP5fWfm0X7sXz7D7Ch0RGAFp&#10;XcgD/Yz7dNo38UuTMvIThIcLbKpDJmPSZDwaTMecSfINp3f9ccI1u2Y7H/CbgoZFo+CeaEloif0q&#10;IHWk0HNIbGZhWRuTqDGWtQWf3FHJ3zyUYSwlXmeNFnabjtUlTXHeYwPlgdbzcGQ+OLmsaYaVCPgi&#10;PFFNG5F88ZkObYB6wcnirAL/82//YzwxQF7OWpJOwS1pmzPz3RIzXwajUVRauozG0yFd/K1nc+ux&#10;u+YBSJsDeiZOJjPGozmb2kPzRhpfxJ7kElZS54Lj2XzAo5zpjUi1WKQg0pYTuLJrJ2PpiFzE97V7&#10;E96dSECi7wnOEhP5Oy6OsTEzuMUOiZFEVET5iOkJfNJl4u/0hqLwb+8p6vrS578AAAD//wMAUEsD&#10;BBQABgAIAAAAIQA5reG72wAAAAQBAAAPAAAAZHJzL2Rvd25yZXYueG1sTI/BTsMwEETvSP0Ha5G4&#10;UZsWKhTiVFUleqk4UBBcN/E2iRKvrdhNU74ewwUuK41mNPM2X0+2FyMNoXWs4W6uQBBXzrRca3h/&#10;e759BBEissHeMWm4UIB1MbvKMTPuzK80HmItUgmHDDU0MfpMylA1ZDHMnSdO3tENFmOSQy3NgOdU&#10;bnu5UGolLbacFhr0tG2o6g4nq+EFP3ZxnLpq1/mj+bS+3C6/9lrfXE+bJxCRpvgXhh/8hA5FYird&#10;iU0QvYb0SPy9yVus1AOIUsP9UoEscvkfvvgGAAD//wMAUEsBAi0AFAAGAAgAAAAhALaDOJL+AAAA&#10;4QEAABMAAAAAAAAAAAAAAAAAAAAAAFtDb250ZW50X1R5cGVzXS54bWxQSwECLQAUAAYACAAAACEA&#10;OP0h/9YAAACUAQAACwAAAAAAAAAAAAAAAAAvAQAAX3JlbHMvLnJlbHNQSwECLQAUAAYACAAAACEA&#10;mFi+xBcCAAAxBAAADgAAAAAAAAAAAAAAAAAuAgAAZHJzL2Uyb0RvYy54bWxQSwECLQAUAAYACAAA&#10;ACEAOa3hu9sAAAAEAQAADwAAAAAAAAAAAAAAAABxBAAAZHJzL2Rvd25yZXYueG1sUEsFBgAAAAAE&#10;AAQA8wAAAHkFAAAAAA==&#10;" o:allowincell="f" filled="f" stroked="f" strokeweight=".5pt">
              <v:textbox style="mso-fit-shape-to-text:t">
                <w:txbxContent>
                  <w:p w14:paraId="1D07DE6B" w14:textId="4F2FDAF6" w:rsidR="00D92A38" w:rsidRPr="00D92A38" w:rsidRDefault="00D92A38" w:rsidP="00D92A38">
                    <w:pPr>
                      <w:spacing w:after="0"/>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PM_ProtectiveMarkingValue_Header \* MERGEFORMAT </w:instrText>
                    </w:r>
                    <w:r>
                      <w:rPr>
                        <w:rFonts w:ascii="Arial" w:hAnsi="Arial" w:cs="Arial"/>
                        <w:b/>
                        <w:color w:val="FF0000"/>
                      </w:rPr>
                      <w:fldChar w:fldCharType="separate"/>
                    </w:r>
                    <w:r w:rsidR="00DE6765">
                      <w:rPr>
                        <w:rFonts w:ascii="Arial" w:hAnsi="Arial" w:cs="Arial"/>
                        <w:b/>
                        <w:color w:val="FF0000"/>
                      </w:rPr>
                      <w:t>Personal</w:t>
                    </w:r>
                    <w:r>
                      <w:rPr>
                        <w:rFonts w:ascii="Arial" w:hAnsi="Arial" w:cs="Arial"/>
                        <w:b/>
                        <w:color w:val="FF0000"/>
                      </w:rPr>
                      <w:fldChar w:fldCharType="end"/>
                    </w:r>
                  </w:p>
                </w:txbxContent>
              </v:textbox>
              <w10:wrap anchorx="margin" anchory="margin"/>
              <w10:anchorlock/>
            </v:shape>
          </w:pict>
        </mc:Fallback>
      </mc:AlternateContent>
    </w:r>
  </w:p>
  <w:p w14:paraId="453B5B29" w14:textId="7DA98459" w:rsidR="00BD2A0E" w:rsidRDefault="00BD2A0E">
    <w:pPr>
      <w:pStyle w:val="Header"/>
    </w:pPr>
    <w:r>
      <w:rPr>
        <w:noProof/>
      </w:rPr>
      <mc:AlternateContent>
        <mc:Choice Requires="wps">
          <w:drawing>
            <wp:anchor distT="0" distB="0" distL="114300" distR="114300" simplePos="0" relativeHeight="251658242" behindDoc="0" locked="1" layoutInCell="0" allowOverlap="1" wp14:anchorId="141C3F8E" wp14:editId="600046E2">
              <wp:simplePos x="0" y="0"/>
              <wp:positionH relativeFrom="margin">
                <wp:align>center</wp:align>
              </wp:positionH>
              <wp:positionV relativeFrom="topMargin">
                <wp:align>center</wp:align>
              </wp:positionV>
              <wp:extent cx="1654175" cy="273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B7713E" w14:textId="04FD5A7B" w:rsidR="00BD2A0E" w:rsidRPr="00BD2A0E" w:rsidRDefault="00BD2A0E" w:rsidP="00BD2A0E">
                          <w:pPr>
                            <w:spacing w:after="0"/>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PM_ProtectiveMarkingValue_Header \* MERGEFORMAT </w:instrText>
                          </w:r>
                          <w:r>
                            <w:rPr>
                              <w:rFonts w:ascii="Arial" w:hAnsi="Arial" w:cs="Arial"/>
                              <w:b/>
                              <w:color w:val="FF0000"/>
                            </w:rPr>
                            <w:fldChar w:fldCharType="separate"/>
                          </w:r>
                          <w:r w:rsidR="00DE6765">
                            <w:rPr>
                              <w:rFonts w:ascii="Arial" w:hAnsi="Arial" w:cs="Arial"/>
                              <w:b/>
                              <w:color w:val="FF0000"/>
                            </w:rPr>
                            <w:t>Personal</w:t>
                          </w:r>
                          <w:r>
                            <w:rPr>
                              <w:rFonts w:ascii="Arial" w:hAnsi="Arial" w:cs="Arial"/>
                              <w:b/>
                              <w:color w:val="FF0000"/>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1C3F8E" id="Text Box 3" o:spid="_x0000_s1029" type="#_x0000_t202" style="position:absolute;left:0;text-align:left;margin-left:0;margin-top:0;width:130.25pt;height:21.5pt;z-index:251658242;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YFgIAADEEAAAOAAAAZHJzL2Uyb0RvYy54bWysU8lu2zAQvRfoPxC81/LuVrAcuAlcFAiS&#10;AE6RM02RlgCKQ5BjS+7Xd0ivTXsqeqGGmv29x/ld1xi2Vz7UYAs+6PU5U1ZCWdttwX+8rj595iyg&#10;sKUwYFXBDyrwu8XHD/PW5WoIFZhSeUZFbMhbV/AK0eVZFmSlGhF64JQlpwbfCKSr32alFy1Vb0w2&#10;7PenWQu+dB6kCoH+PhydfJHqa60kPmsdFDJTcJoN0+nTuYlntpiLfOuFq2p5GkP8wxSNqC01vZR6&#10;ECjYztd/lGpq6SGAxp6EJgOta6nSDrTNoP9um3UlnEq7EDjBXWAK/6+sfNqv3Ytn2H2FjgiMgLQu&#10;5IF+xn067Zv4pUkZ+QnCwwU21SGTMWk6GQ9mE84k+YazUX+ScM2u2c4H/KagYdEouCdaElpi/xiQ&#10;OlLoOSQ2s7CqjUnUGMvagk9HVPI3D2UYS4nXWaOF3aZjdVnw0XmPDZQHWs/Dkfng5KqmGR5FwBfh&#10;iWraiOSLz3RoA9QLThZnFfiff/sf44kB8nLWknQKbknbnJnvlpj5MhiPo9LSZTyZDenibz2bW4/d&#10;NfdA2hzQM3EymTEezdnUHpo30vgy9iSXsJI6FxzP5j0e5UxvRKrlMgWRtpzAR7t2MpaOyEV8X7s3&#10;4d2JBCT6nuAsMZG/4+IYGzODW+6QGElERZSPmJ7AJ10m/k5vKAr/9p6iri998QsAAP//AwBQSwME&#10;FAAGAAgAAAAhADmt4bvbAAAABAEAAA8AAABkcnMvZG93bnJldi54bWxMj8FOwzAQRO9I/QdrkbhR&#10;mxYqFOJUVSV6qThQEFw38TaJEq+t2E1Tvh7DBS4rjWY08zZfT7YXIw2hdazhbq5AEFfOtFxreH97&#10;vn0EESKywd4xabhQgHUxu8oxM+7MrzQeYi1SCYcMNTQx+kzKUDVkMcydJ07e0Q0WY5JDLc2A51Ru&#10;e7lQaiUttpwWGvS0bajqDier4QU/dnGcumrX+aP5tL7cLr/2Wt9cT5snEJGm+BeGH/yEDkViKt2J&#10;TRC9hvRI/L3JW6zUA4hSw/1SgSxy+R+++AYAAP//AwBQSwECLQAUAAYACAAAACEAtoM4kv4AAADh&#10;AQAAEwAAAAAAAAAAAAAAAAAAAAAAW0NvbnRlbnRfVHlwZXNdLnhtbFBLAQItABQABgAIAAAAIQA4&#10;/SH/1gAAAJQBAAALAAAAAAAAAAAAAAAAAC8BAABfcmVscy8ucmVsc1BLAQItABQABgAIAAAAIQCk&#10;/VlYFgIAADEEAAAOAAAAAAAAAAAAAAAAAC4CAABkcnMvZTJvRG9jLnhtbFBLAQItABQABgAIAAAA&#10;IQA5reG72wAAAAQBAAAPAAAAAAAAAAAAAAAAAHAEAABkcnMvZG93bnJldi54bWxQSwUGAAAAAAQA&#10;BADzAAAAeAUAAAAA&#10;" o:allowincell="f" filled="f" stroked="f" strokeweight=".5pt">
              <v:textbox style="mso-fit-shape-to-text:t">
                <w:txbxContent>
                  <w:p w14:paraId="4EB7713E" w14:textId="04FD5A7B" w:rsidR="00BD2A0E" w:rsidRPr="00BD2A0E" w:rsidRDefault="00BD2A0E" w:rsidP="00BD2A0E">
                    <w:pPr>
                      <w:spacing w:after="0"/>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PM_ProtectiveMarkingValue_Header \* MERGEFORMAT </w:instrText>
                    </w:r>
                    <w:r>
                      <w:rPr>
                        <w:rFonts w:ascii="Arial" w:hAnsi="Arial" w:cs="Arial"/>
                        <w:b/>
                        <w:color w:val="FF0000"/>
                      </w:rPr>
                      <w:fldChar w:fldCharType="separate"/>
                    </w:r>
                    <w:r w:rsidR="00DE6765">
                      <w:rPr>
                        <w:rFonts w:ascii="Arial" w:hAnsi="Arial" w:cs="Arial"/>
                        <w:b/>
                        <w:color w:val="FF0000"/>
                      </w:rPr>
                      <w:t>Personal</w:t>
                    </w:r>
                    <w:r>
                      <w:rPr>
                        <w:rFonts w:ascii="Arial" w:hAnsi="Arial" w:cs="Arial"/>
                        <w:b/>
                        <w:color w:val="FF0000"/>
                      </w:rPr>
                      <w:fldChar w:fldCharType="end"/>
                    </w:r>
                  </w:p>
                </w:txbxContent>
              </v:textbox>
              <w10:wrap anchorx="margin" anchory="margin"/>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DCAD" w14:textId="77777777" w:rsidR="000B639D" w:rsidRPr="002421E5" w:rsidRDefault="000B639D">
    <w:pPr>
      <w:pStyle w:val="Header"/>
    </w:pPr>
    <w:r>
      <w:rPr>
        <w:noProof/>
      </w:rPr>
      <mc:AlternateContent>
        <mc:Choice Requires="wps">
          <w:drawing>
            <wp:anchor distT="0" distB="0" distL="114300" distR="114300" simplePos="0" relativeHeight="251658245" behindDoc="0" locked="1" layoutInCell="0" allowOverlap="1" wp14:anchorId="6E7D9D7B" wp14:editId="640F6035">
              <wp:simplePos x="0" y="0"/>
              <wp:positionH relativeFrom="margin">
                <wp:align>center</wp:align>
              </wp:positionH>
              <wp:positionV relativeFrom="topMargin">
                <wp:align>center</wp:align>
              </wp:positionV>
              <wp:extent cx="1654175"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BC836E" w14:textId="77777777" w:rsidR="000B639D" w:rsidRPr="00BD2A0E" w:rsidRDefault="000B639D" w:rsidP="00BD2A0E">
                          <w:pPr>
                            <w:spacing w:after="0"/>
                            <w:jc w:val="center"/>
                            <w:rPr>
                              <w:rFonts w:ascii="Arial" w:hAnsi="Arial" w:cs="Arial"/>
                              <w:b/>
                              <w:color w:val="FF000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E7D9D7B" id="_x0000_t202" coordsize="21600,21600" o:spt="202" path="m,l,21600r21600,l21600,xe">
              <v:stroke joinstyle="miter"/>
              <v:path gradientshapeok="t" o:connecttype="rect"/>
            </v:shapetype>
            <v:shape id="Text Box 8" o:spid="_x0000_s1030" type="#_x0000_t202" style="position:absolute;left:0;text-align:left;margin-left:0;margin-top:0;width:130.25pt;height:21.5pt;z-index:251658245;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04FwIAADEEAAAOAAAAZHJzL2Uyb0RvYy54bWysU8lu2zAQvRfoPxC817IdL61gOXATuChg&#10;JAGcImeaoiwBJIcgx5bcr++QXpv2VPRCDTX7e4+z+85otlc+NGALPuj1OVNWQtnYbcF/vC4/feYs&#10;oLCl0GBVwQ8q8Pv5xw+z1uVqCDXoUnlGRWzIW1fwGtHlWRZkrYwIPXDKkrMCbwTS1W+z0ouWqhud&#10;Dfv9SdaCL50HqUKgv49HJ5+n+lWlJD5XVVDIdMFpNkynT+cmntl8JvKtF65u5GkM8Q9TGNFYanop&#10;9ShQsJ1v/ihlGukhQIU9CSaDqmqkSjvQNoP+u23WtXAq7ULgBHeBKfy/svJpv3YvnmH3FToiMALS&#10;upAH+hn36Spv4pcmZeQnCA8X2FSHTMakyXg0mI45k+QbTu/644Rrds12PuA3BYZFo+CeaEloif0q&#10;IHWk0HNIbGZh2WidqNGWtQWf3FHJ3zyUoS0lXmeNFnabjjVlwUfnPTZQHmg9D0fmg5PLhmZYiYAv&#10;whPVtBHJF5/pqDRQLzhZnNXgf/7tf4wnBsjLWUvSKbglbXOmv1ti5stgNIpKS5fReDqki7/1bG49&#10;dmcegLQ5oGfiZDJjPOqzWXkwb6TxRexJLmEldS44ns0HPMqZ3ohUi0UKIm05gSu7djKWjshFfF+7&#10;N+HdiQQk+p7gLDGRv+PiGBszg1vskBhJREWUj5iewCddJv5ObygK//aeoq4vff4LAAD//wMAUEsD&#10;BBQABgAIAAAAIQA5reG72wAAAAQBAAAPAAAAZHJzL2Rvd25yZXYueG1sTI/BTsMwEETvSP0Ha5G4&#10;UZsWKhTiVFUleqk4UBBcN/E2iRKvrdhNU74ewwUuK41mNPM2X0+2FyMNoXWs4W6uQBBXzrRca3h/&#10;e759BBEissHeMWm4UIB1MbvKMTPuzK80HmItUgmHDDU0MfpMylA1ZDHMnSdO3tENFmOSQy3NgOdU&#10;bnu5UGolLbacFhr0tG2o6g4nq+EFP3ZxnLpq1/mj+bS+3C6/9lrfXE+bJxCRpvgXhh/8hA5FYird&#10;iU0QvYb0SPy9yVus1AOIUsP9UoEscvkfvvgGAAD//wMAUEsBAi0AFAAGAAgAAAAhALaDOJL+AAAA&#10;4QEAABMAAAAAAAAAAAAAAAAAAAAAAFtDb250ZW50X1R5cGVzXS54bWxQSwECLQAUAAYACAAAACEA&#10;OP0h/9YAAACUAQAACwAAAAAAAAAAAAAAAAAvAQAAX3JlbHMvLnJlbHNQSwECLQAUAAYACAAAACEA&#10;kooNOBcCAAAxBAAADgAAAAAAAAAAAAAAAAAuAgAAZHJzL2Uyb0RvYy54bWxQSwECLQAUAAYACAAA&#10;ACEAOa3hu9sAAAAEAQAADwAAAAAAAAAAAAAAAABxBAAAZHJzL2Rvd25yZXYueG1sUEsFBgAAAAAE&#10;AAQA8wAAAHkFAAAAAA==&#10;" o:allowincell="f" filled="f" stroked="f" strokeweight=".5pt">
              <v:textbox style="mso-fit-shape-to-text:t">
                <w:txbxContent>
                  <w:p w14:paraId="14BC836E" w14:textId="77777777" w:rsidR="000B639D" w:rsidRPr="00BD2A0E" w:rsidRDefault="000B639D" w:rsidP="00BD2A0E">
                    <w:pPr>
                      <w:spacing w:after="0"/>
                      <w:jc w:val="center"/>
                      <w:rPr>
                        <w:rFonts w:ascii="Arial" w:hAnsi="Arial" w:cs="Arial"/>
                        <w:b/>
                        <w:color w:val="FF0000"/>
                      </w:rPr>
                    </w:pPr>
                  </w:p>
                </w:txbxContent>
              </v:textbox>
              <w10:wrap anchorx="margin" anchory="margin"/>
              <w10:anchorlock/>
            </v:shape>
          </w:pict>
        </mc:Fallback>
      </mc:AlternateContent>
    </w:r>
    <w:r>
      <w:rPr>
        <w:noProof/>
      </w:rPr>
      <mc:AlternateContent>
        <mc:Choice Requires="wps">
          <w:drawing>
            <wp:anchor distT="0" distB="0" distL="114300" distR="114300" simplePos="0" relativeHeight="251658244" behindDoc="0" locked="1" layoutInCell="0" allowOverlap="1" wp14:anchorId="3CEABA14" wp14:editId="13F16F87">
              <wp:simplePos x="0" y="0"/>
              <wp:positionH relativeFrom="margin">
                <wp:align>center</wp:align>
              </wp:positionH>
              <wp:positionV relativeFrom="topMargin">
                <wp:align>center</wp:align>
              </wp:positionV>
              <wp:extent cx="1654175" cy="2730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6541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7707D7" w14:textId="77777777" w:rsidR="000B639D" w:rsidRPr="00D92A38" w:rsidRDefault="000B639D" w:rsidP="00D92A38">
                          <w:pPr>
                            <w:spacing w:after="0"/>
                            <w:jc w:val="center"/>
                            <w:rPr>
                              <w:rFonts w:ascii="Arial" w:hAnsi="Arial" w:cs="Arial"/>
                              <w:b/>
                              <w:color w:val="FF000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EABA14" id="Text Box 9" o:spid="_x0000_s1031" type="#_x0000_t202" style="position:absolute;left:0;text-align:left;margin-left:0;margin-top:0;width:130.25pt;height:21.5pt;z-index:251658244;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kFwIAADEEAAAOAAAAZHJzL2Uyb0RvYy54bWysU8lu2zAQvRfoPxC817IdL61gOXATuChg&#10;JAGcImeaoiwBJIcgx5bcr++QXpv2VPRCDTX7e4+z+85otlc+NGALPuj1OVNWQtnYbcF/vC4/feYs&#10;oLCl0GBVwQ8q8Pv5xw+z1uVqCDXoUnlGRWzIW1fwGtHlWRZkrYwIPXDKkrMCbwTS1W+z0ouWqhud&#10;Dfv9SdaCL50HqUKgv49HJ5+n+lWlJD5XVVDIdMFpNkynT+cmntl8JvKtF65u5GkM8Q9TGNFYanop&#10;9ShQsJ1v/ihlGukhQIU9CSaDqmqkSjvQNoP+u23WtXAq7ULgBHeBKfy/svJpv3YvnmH3FToiMALS&#10;upAH+hn36Spv4pcmZeQnCA8X2FSHTMakyXg0mI45k+QbTu/644Rrds12PuA3BYZFo+CeaEloif0q&#10;IHWk0HNIbGZh2WidqNGWtQWf3FHJ3zyUoS0lXmeNFnabjjVlwcfnPTZQHmg9D0fmg5PLhmZYiYAv&#10;whPVtBHJF5/pqDRQLzhZnNXgf/7tf4wnBsjLWUvSKbglbXOmv1ti5stgNIpKS5fReDqki7/1bG49&#10;dmcegLQ5oGfiZDJjPOqzWXkwb6TxRexJLmEldS44ns0HPMqZ3ohUi0UKIm05gSu7djKWjshFfF+7&#10;N+HdiQQk+p7gLDGRv+PiGBszg1vskBhJREWUj5iewCddJv5ObygK//aeoq4vff4LAAD//wMAUEsD&#10;BBQABgAIAAAAIQA5reG72wAAAAQBAAAPAAAAZHJzL2Rvd25yZXYueG1sTI/BTsMwEETvSP0Ha5G4&#10;UZsWKhTiVFUleqk4UBBcN/E2iRKvrdhNU74ewwUuK41mNPM2X0+2FyMNoXWs4W6uQBBXzrRca3h/&#10;e759BBEissHeMWm4UIB1MbvKMTPuzK80HmItUgmHDDU0MfpMylA1ZDHMnSdO3tENFmOSQy3NgOdU&#10;bnu5UGolLbacFhr0tG2o6g4nq+EFP3ZxnLpq1/mj+bS+3C6/9lrfXE+bJxCRpvgXhh/8hA5FYird&#10;iU0QvYb0SPy9yVus1AOIUsP9UoEscvkfvvgGAAD//wMAUEsBAi0AFAAGAAgAAAAhALaDOJL+AAAA&#10;4QEAABMAAAAAAAAAAAAAAAAAAAAAAFtDb250ZW50X1R5cGVzXS54bWxQSwECLQAUAAYACAAAACEA&#10;OP0h/9YAAACUAQAACwAAAAAAAAAAAAAAAAAvAQAAX3JlbHMvLnJlbHNQSwECLQAUAAYACAAAACEA&#10;ri/qpBcCAAAxBAAADgAAAAAAAAAAAAAAAAAuAgAAZHJzL2Uyb0RvYy54bWxQSwECLQAUAAYACAAA&#10;ACEAOa3hu9sAAAAEAQAADwAAAAAAAAAAAAAAAABxBAAAZHJzL2Rvd25yZXYueG1sUEsFBgAAAAAE&#10;AAQA8wAAAHkFAAAAAA==&#10;" o:allowincell="f" filled="f" stroked="f" strokeweight=".5pt">
              <v:textbox style="mso-fit-shape-to-text:t">
                <w:txbxContent>
                  <w:p w14:paraId="7B7707D7" w14:textId="77777777" w:rsidR="000B639D" w:rsidRPr="00D92A38" w:rsidRDefault="000B639D" w:rsidP="00D92A38">
                    <w:pPr>
                      <w:spacing w:after="0"/>
                      <w:jc w:val="center"/>
                      <w:rPr>
                        <w:rFonts w:ascii="Arial" w:hAnsi="Arial" w:cs="Arial"/>
                        <w:b/>
                        <w:color w:val="FF0000"/>
                      </w:rPr>
                    </w:pPr>
                  </w:p>
                </w:txbxContent>
              </v:textbox>
              <w10:wrap anchorx="margin" anchory="margin"/>
              <w10:anchorlock/>
            </v:shape>
          </w:pict>
        </mc:Fallback>
      </mc:AlternateContent>
    </w:r>
    <w:r>
      <w:t>January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335CDAA6"/>
    <w:lvl w:ilvl="0">
      <w:start w:val="1"/>
      <w:numFmt w:val="decimal"/>
      <w:pStyle w:val="ListNumber3"/>
      <w:lvlText w:val="%1.1.1"/>
      <w:lvlJc w:val="left"/>
      <w:pPr>
        <w:ind w:left="926" w:hanging="360"/>
      </w:pPr>
      <w:rPr>
        <w:rFonts w:ascii="Trebuchet MS" w:hAnsi="Trebuchet MS" w:hint="default"/>
      </w:rPr>
    </w:lvl>
  </w:abstractNum>
  <w:abstractNum w:abstractNumId="1"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921CAC"/>
    <w:multiLevelType w:val="hybridMultilevel"/>
    <w:tmpl w:val="40FED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823FB1"/>
    <w:multiLevelType w:val="hybridMultilevel"/>
    <w:tmpl w:val="0B1A1E1C"/>
    <w:lvl w:ilvl="0" w:tplc="4C90855C">
      <w:start w:val="1"/>
      <w:numFmt w:val="lowerRoman"/>
      <w:lvlText w:val="(%1)"/>
      <w:lvlJc w:val="right"/>
      <w:pPr>
        <w:ind w:left="570" w:hanging="57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AE825BB"/>
    <w:multiLevelType w:val="hybridMultilevel"/>
    <w:tmpl w:val="3E580E38"/>
    <w:lvl w:ilvl="0" w:tplc="4C90855C">
      <w:start w:val="1"/>
      <w:numFmt w:val="lowerRoman"/>
      <w:lvlText w:val="(%1)"/>
      <w:lvlJc w:val="right"/>
      <w:pPr>
        <w:ind w:left="570" w:hanging="57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D5237E0"/>
    <w:multiLevelType w:val="hybridMultilevel"/>
    <w:tmpl w:val="9B20AA28"/>
    <w:lvl w:ilvl="0" w:tplc="0C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2A91CE9"/>
    <w:multiLevelType w:val="hybridMultilevel"/>
    <w:tmpl w:val="F034AD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463545"/>
    <w:multiLevelType w:val="multilevel"/>
    <w:tmpl w:val="B8B46BB0"/>
    <w:lvl w:ilvl="0">
      <w:start w:val="1"/>
      <w:numFmt w:val="decimal"/>
      <w:pStyle w:val="BodyText1"/>
      <w:lvlText w:val="%1."/>
      <w:lvlJc w:val="left"/>
      <w:pPr>
        <w:tabs>
          <w:tab w:val="num" w:pos="567"/>
        </w:tabs>
        <w:ind w:left="567" w:hanging="567"/>
      </w:pPr>
      <w:rPr>
        <w:rFonts w:hint="default"/>
        <w:sz w:val="24"/>
        <w:szCs w:val="24"/>
      </w:rPr>
    </w:lvl>
    <w:lvl w:ilvl="1">
      <w:start w:val="1"/>
      <w:numFmt w:val="lowerLetter"/>
      <w:pStyle w:val="BodyText2"/>
      <w:lvlText w:val="(%2)"/>
      <w:lvlJc w:val="left"/>
      <w:pPr>
        <w:tabs>
          <w:tab w:val="num" w:pos="1276"/>
        </w:tabs>
        <w:ind w:left="1276" w:hanging="567"/>
      </w:pPr>
      <w:rPr>
        <w:rFonts w:hint="default"/>
        <w:sz w:val="24"/>
        <w:szCs w:val="24"/>
      </w:rPr>
    </w:lvl>
    <w:lvl w:ilvl="2">
      <w:start w:val="1"/>
      <w:numFmt w:val="lowerRoman"/>
      <w:pStyle w:val="BodyText3"/>
      <w:lvlText w:val="(%3)"/>
      <w:lvlJc w:val="left"/>
      <w:pPr>
        <w:tabs>
          <w:tab w:val="num" w:pos="1701"/>
        </w:tabs>
        <w:ind w:left="1701" w:hanging="567"/>
      </w:pPr>
      <w:rPr>
        <w:rFonts w:hint="default"/>
        <w:sz w:val="24"/>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B2B7C38"/>
    <w:multiLevelType w:val="hybridMultilevel"/>
    <w:tmpl w:val="1AD4ADD8"/>
    <w:lvl w:ilvl="0" w:tplc="A1A00BB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365F2F"/>
    <w:multiLevelType w:val="hybridMultilevel"/>
    <w:tmpl w:val="99225084"/>
    <w:lvl w:ilvl="0" w:tplc="4C90855C">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44B0CAC"/>
    <w:multiLevelType w:val="hybridMultilevel"/>
    <w:tmpl w:val="0B1A1E1C"/>
    <w:lvl w:ilvl="0" w:tplc="4C90855C">
      <w:start w:val="1"/>
      <w:numFmt w:val="lowerRoman"/>
      <w:lvlText w:val="(%1)"/>
      <w:lvlJc w:val="right"/>
      <w:pPr>
        <w:ind w:left="570" w:hanging="57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C6E2E20"/>
    <w:multiLevelType w:val="hybridMultilevel"/>
    <w:tmpl w:val="53A2E68C"/>
    <w:lvl w:ilvl="0" w:tplc="1C60E128">
      <w:start w:val="1"/>
      <w:numFmt w:val="bullet"/>
      <w:pStyle w:val="BULLET1"/>
      <w:lvlText w:val=""/>
      <w:lvlJc w:val="left"/>
      <w:pPr>
        <w:ind w:left="1269" w:hanging="360"/>
      </w:pPr>
      <w:rPr>
        <w:rFonts w:ascii="Symbol" w:hAnsi="Symbol" w:hint="default"/>
      </w:rPr>
    </w:lvl>
    <w:lvl w:ilvl="1" w:tplc="0C090003">
      <w:start w:val="1"/>
      <w:numFmt w:val="bullet"/>
      <w:lvlText w:val="o"/>
      <w:lvlJc w:val="left"/>
      <w:pPr>
        <w:ind w:left="2349" w:hanging="360"/>
      </w:pPr>
      <w:rPr>
        <w:rFonts w:ascii="Courier New" w:hAnsi="Courier New" w:cs="Courier New" w:hint="default"/>
      </w:rPr>
    </w:lvl>
    <w:lvl w:ilvl="2" w:tplc="0C090005" w:tentative="1">
      <w:start w:val="1"/>
      <w:numFmt w:val="bullet"/>
      <w:lvlText w:val=""/>
      <w:lvlJc w:val="left"/>
      <w:pPr>
        <w:ind w:left="3069" w:hanging="360"/>
      </w:pPr>
      <w:rPr>
        <w:rFonts w:ascii="Wingdings" w:hAnsi="Wingdings" w:hint="default"/>
      </w:rPr>
    </w:lvl>
    <w:lvl w:ilvl="3" w:tplc="0C090001" w:tentative="1">
      <w:start w:val="1"/>
      <w:numFmt w:val="bullet"/>
      <w:lvlText w:val=""/>
      <w:lvlJc w:val="left"/>
      <w:pPr>
        <w:ind w:left="3789" w:hanging="360"/>
      </w:pPr>
      <w:rPr>
        <w:rFonts w:ascii="Symbol" w:hAnsi="Symbol" w:hint="default"/>
      </w:rPr>
    </w:lvl>
    <w:lvl w:ilvl="4" w:tplc="0C090003" w:tentative="1">
      <w:start w:val="1"/>
      <w:numFmt w:val="bullet"/>
      <w:lvlText w:val="o"/>
      <w:lvlJc w:val="left"/>
      <w:pPr>
        <w:ind w:left="4509" w:hanging="360"/>
      </w:pPr>
      <w:rPr>
        <w:rFonts w:ascii="Courier New" w:hAnsi="Courier New" w:cs="Courier New" w:hint="default"/>
      </w:rPr>
    </w:lvl>
    <w:lvl w:ilvl="5" w:tplc="0C090005" w:tentative="1">
      <w:start w:val="1"/>
      <w:numFmt w:val="bullet"/>
      <w:lvlText w:val=""/>
      <w:lvlJc w:val="left"/>
      <w:pPr>
        <w:ind w:left="5229" w:hanging="360"/>
      </w:pPr>
      <w:rPr>
        <w:rFonts w:ascii="Wingdings" w:hAnsi="Wingdings" w:hint="default"/>
      </w:rPr>
    </w:lvl>
    <w:lvl w:ilvl="6" w:tplc="0C090001" w:tentative="1">
      <w:start w:val="1"/>
      <w:numFmt w:val="bullet"/>
      <w:lvlText w:val=""/>
      <w:lvlJc w:val="left"/>
      <w:pPr>
        <w:ind w:left="5949" w:hanging="360"/>
      </w:pPr>
      <w:rPr>
        <w:rFonts w:ascii="Symbol" w:hAnsi="Symbol" w:hint="default"/>
      </w:rPr>
    </w:lvl>
    <w:lvl w:ilvl="7" w:tplc="0C090003" w:tentative="1">
      <w:start w:val="1"/>
      <w:numFmt w:val="bullet"/>
      <w:lvlText w:val="o"/>
      <w:lvlJc w:val="left"/>
      <w:pPr>
        <w:ind w:left="6669" w:hanging="360"/>
      </w:pPr>
      <w:rPr>
        <w:rFonts w:ascii="Courier New" w:hAnsi="Courier New" w:cs="Courier New" w:hint="default"/>
      </w:rPr>
    </w:lvl>
    <w:lvl w:ilvl="8" w:tplc="0C090005" w:tentative="1">
      <w:start w:val="1"/>
      <w:numFmt w:val="bullet"/>
      <w:lvlText w:val=""/>
      <w:lvlJc w:val="left"/>
      <w:pPr>
        <w:ind w:left="7389" w:hanging="360"/>
      </w:pPr>
      <w:rPr>
        <w:rFonts w:ascii="Wingdings" w:hAnsi="Wingdings" w:hint="default"/>
      </w:rPr>
    </w:lvl>
  </w:abstractNum>
  <w:abstractNum w:abstractNumId="12" w15:restartNumberingAfterBreak="0">
    <w:nsid w:val="3AD70A55"/>
    <w:multiLevelType w:val="hybridMultilevel"/>
    <w:tmpl w:val="0B1A1E1C"/>
    <w:lvl w:ilvl="0" w:tplc="FFFFFFFF">
      <w:start w:val="1"/>
      <w:numFmt w:val="lowerRoman"/>
      <w:lvlText w:val="(%1)"/>
      <w:lvlJc w:val="right"/>
      <w:pPr>
        <w:ind w:left="570" w:hanging="57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ADB34ED"/>
    <w:multiLevelType w:val="hybridMultilevel"/>
    <w:tmpl w:val="73DEB12A"/>
    <w:lvl w:ilvl="0" w:tplc="549444D0">
      <w:start w:val="2"/>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C304D0B"/>
    <w:multiLevelType w:val="hybridMultilevel"/>
    <w:tmpl w:val="E274FC36"/>
    <w:lvl w:ilvl="0" w:tplc="4AE23F72">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FF26B92"/>
    <w:multiLevelType w:val="hybridMultilevel"/>
    <w:tmpl w:val="8A22B4B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4284745B"/>
    <w:multiLevelType w:val="hybridMultilevel"/>
    <w:tmpl w:val="FCE0BD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8BE6DA4"/>
    <w:multiLevelType w:val="multilevel"/>
    <w:tmpl w:val="0D5A8BB4"/>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15:restartNumberingAfterBreak="0">
    <w:nsid w:val="4C4C4D25"/>
    <w:multiLevelType w:val="hybridMultilevel"/>
    <w:tmpl w:val="0B1A1E1C"/>
    <w:lvl w:ilvl="0" w:tplc="FFFFFFFF">
      <w:start w:val="1"/>
      <w:numFmt w:val="lowerRoman"/>
      <w:lvlText w:val="(%1)"/>
      <w:lvlJc w:val="right"/>
      <w:pPr>
        <w:ind w:left="570" w:hanging="57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C842602"/>
    <w:multiLevelType w:val="hybridMultilevel"/>
    <w:tmpl w:val="0B1A1E1C"/>
    <w:lvl w:ilvl="0" w:tplc="4C90855C">
      <w:start w:val="1"/>
      <w:numFmt w:val="lowerRoman"/>
      <w:lvlText w:val="(%1)"/>
      <w:lvlJc w:val="right"/>
      <w:pPr>
        <w:ind w:left="570" w:hanging="57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E20637E"/>
    <w:multiLevelType w:val="hybridMultilevel"/>
    <w:tmpl w:val="AB6CD7B2"/>
    <w:lvl w:ilvl="0" w:tplc="8A5C7460">
      <w:start w:val="1"/>
      <w:numFmt w:val="lowerLetter"/>
      <w:pStyle w:val="Style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61474FE"/>
    <w:multiLevelType w:val="multilevel"/>
    <w:tmpl w:val="F6607BC8"/>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sz w:val="24"/>
        <w:szCs w:val="24"/>
      </w:rPr>
    </w:lvl>
    <w:lvl w:ilvl="2">
      <w:start w:val="1"/>
      <w:numFmt w:val="lowerRoman"/>
      <w:lvlText w:val="(%3)"/>
      <w:lvlJc w:val="left"/>
      <w:pPr>
        <w:tabs>
          <w:tab w:val="num" w:pos="1701"/>
        </w:tabs>
        <w:ind w:left="1701" w:hanging="567"/>
      </w:pPr>
      <w:rPr>
        <w:rFonts w:hint="default"/>
        <w:sz w:val="24"/>
      </w:rPr>
    </w:lvl>
    <w:lvl w:ilvl="3">
      <w:start w:val="1"/>
      <w:numFmt w:val="upperLetter"/>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69F62EC"/>
    <w:multiLevelType w:val="hybridMultilevel"/>
    <w:tmpl w:val="0B1A1E1C"/>
    <w:lvl w:ilvl="0" w:tplc="FFFFFFFF">
      <w:start w:val="1"/>
      <w:numFmt w:val="lowerRoman"/>
      <w:lvlText w:val="(%1)"/>
      <w:lvlJc w:val="right"/>
      <w:pPr>
        <w:ind w:left="570" w:hanging="57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8131C2A"/>
    <w:multiLevelType w:val="hybridMultilevel"/>
    <w:tmpl w:val="2DD4884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69B17A3F"/>
    <w:multiLevelType w:val="multilevel"/>
    <w:tmpl w:val="8EA00C60"/>
    <w:styleLink w:val="1ai"/>
    <w:lvl w:ilvl="0">
      <w:start w:val="1"/>
      <w:numFmt w:val="none"/>
      <w:suff w:val="nothing"/>
      <w:lvlText w:val=""/>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lowerLetter"/>
      <w:lvlText w:val="%3."/>
      <w:lvlJc w:val="left"/>
      <w:pPr>
        <w:tabs>
          <w:tab w:val="num" w:pos="851"/>
        </w:tabs>
        <w:ind w:left="851" w:hanging="426"/>
      </w:pPr>
      <w:rPr>
        <w:rFonts w:hint="default"/>
      </w:rPr>
    </w:lvl>
    <w:lvl w:ilvl="3">
      <w:start w:val="1"/>
      <w:numFmt w:val="lowerRoman"/>
      <w:lvlText w:val="%4."/>
      <w:lvlJc w:val="left"/>
      <w:pPr>
        <w:tabs>
          <w:tab w:val="num" w:pos="1276"/>
        </w:tabs>
        <w:ind w:left="1276" w:hanging="425"/>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6D87160C"/>
    <w:multiLevelType w:val="hybridMultilevel"/>
    <w:tmpl w:val="F5F2D110"/>
    <w:lvl w:ilvl="0" w:tplc="093C846E">
      <w:start w:val="7"/>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6741C36"/>
    <w:multiLevelType w:val="hybridMultilevel"/>
    <w:tmpl w:val="6C6275B6"/>
    <w:lvl w:ilvl="0" w:tplc="23B06968">
      <w:start w:val="1"/>
      <w:numFmt w:val="lowerLetter"/>
      <w:lvlText w:val="(%1)"/>
      <w:lvlJc w:val="right"/>
      <w:pPr>
        <w:ind w:left="1137" w:hanging="570"/>
      </w:pPr>
      <w:rPr>
        <w:rFonts w:ascii="Times New Roman" w:eastAsia="Calibri" w:hAnsi="Times New Roman" w:cs="Times New Roman"/>
      </w:rPr>
    </w:lvl>
    <w:lvl w:ilvl="1" w:tplc="0C090003">
      <w:start w:val="1"/>
      <w:numFmt w:val="bullet"/>
      <w:lvlText w:val="o"/>
      <w:lvlJc w:val="left"/>
      <w:pPr>
        <w:ind w:left="1647" w:hanging="360"/>
      </w:pPr>
      <w:rPr>
        <w:rFonts w:ascii="Courier New" w:hAnsi="Courier New" w:cs="Courier New" w:hint="default"/>
      </w:rPr>
    </w:lvl>
    <w:lvl w:ilvl="2" w:tplc="0C090005">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16cid:durableId="1230848191">
    <w:abstractNumId w:val="1"/>
  </w:num>
  <w:num w:numId="2" w16cid:durableId="31654636">
    <w:abstractNumId w:val="17"/>
  </w:num>
  <w:num w:numId="3" w16cid:durableId="971709341">
    <w:abstractNumId w:val="7"/>
  </w:num>
  <w:num w:numId="4" w16cid:durableId="19265723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6941190">
    <w:abstractNumId w:val="16"/>
  </w:num>
  <w:num w:numId="6" w16cid:durableId="6624660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3363970">
    <w:abstractNumId w:val="2"/>
  </w:num>
  <w:num w:numId="8" w16cid:durableId="130234617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5831582">
    <w:abstractNumId w:val="14"/>
  </w:num>
  <w:num w:numId="10" w16cid:durableId="2098211460">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25985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13355705">
    <w:abstractNumId w:val="0"/>
  </w:num>
  <w:num w:numId="13" w16cid:durableId="7355933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28055445">
    <w:abstractNumId w:val="11"/>
  </w:num>
  <w:num w:numId="15" w16cid:durableId="1072775838">
    <w:abstractNumId w:val="26"/>
  </w:num>
  <w:num w:numId="16" w16cid:durableId="577986268">
    <w:abstractNumId w:val="10"/>
  </w:num>
  <w:num w:numId="17" w16cid:durableId="550962087">
    <w:abstractNumId w:val="4"/>
  </w:num>
  <w:num w:numId="18" w16cid:durableId="982082313">
    <w:abstractNumId w:val="19"/>
  </w:num>
  <w:num w:numId="19" w16cid:durableId="1311516058">
    <w:abstractNumId w:val="3"/>
  </w:num>
  <w:num w:numId="20" w16cid:durableId="1849443633">
    <w:abstractNumId w:val="13"/>
  </w:num>
  <w:num w:numId="21" w16cid:durableId="832648177">
    <w:abstractNumId w:val="7"/>
  </w:num>
  <w:num w:numId="22" w16cid:durableId="2093312283">
    <w:abstractNumId w:val="7"/>
    <w:lvlOverride w:ilvl="0">
      <w:startOverride w:val="1"/>
    </w:lvlOverride>
    <w:lvlOverride w:ilvl="1">
      <w:startOverride w:val="2"/>
    </w:lvlOverride>
  </w:num>
  <w:num w:numId="23" w16cid:durableId="1010065723">
    <w:abstractNumId w:val="7"/>
    <w:lvlOverride w:ilvl="0">
      <w:startOverride w:val="1"/>
    </w:lvlOverride>
    <w:lvlOverride w:ilvl="1">
      <w:startOverride w:val="1"/>
    </w:lvlOverride>
    <w:lvlOverride w:ilvl="2">
      <w:startOverride w:val="2"/>
    </w:lvlOverride>
  </w:num>
  <w:num w:numId="24" w16cid:durableId="688409802">
    <w:abstractNumId w:val="7"/>
    <w:lvlOverride w:ilvl="0">
      <w:startOverride w:val="1"/>
    </w:lvlOverride>
    <w:lvlOverride w:ilvl="1">
      <w:startOverride w:val="1"/>
    </w:lvlOverride>
    <w:lvlOverride w:ilvl="2">
      <w:startOverride w:val="2"/>
    </w:lvlOverride>
  </w:num>
  <w:num w:numId="25" w16cid:durableId="1228303061">
    <w:abstractNumId w:val="5"/>
  </w:num>
  <w:num w:numId="26" w16cid:durableId="158279541">
    <w:abstractNumId w:val="21"/>
  </w:num>
  <w:num w:numId="27" w16cid:durableId="20786501">
    <w:abstractNumId w:val="24"/>
  </w:num>
  <w:num w:numId="28" w16cid:durableId="1624918490">
    <w:abstractNumId w:val="8"/>
  </w:num>
  <w:num w:numId="29" w16cid:durableId="114716166">
    <w:abstractNumId w:val="9"/>
  </w:num>
  <w:num w:numId="30" w16cid:durableId="64962488">
    <w:abstractNumId w:val="7"/>
  </w:num>
  <w:num w:numId="31" w16cid:durableId="1431662002">
    <w:abstractNumId w:val="23"/>
  </w:num>
  <w:num w:numId="32" w16cid:durableId="1749031887">
    <w:abstractNumId w:val="6"/>
  </w:num>
  <w:num w:numId="33" w16cid:durableId="3035128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45936573">
    <w:abstractNumId w:val="7"/>
  </w:num>
  <w:num w:numId="35" w16cid:durableId="1677532706">
    <w:abstractNumId w:val="7"/>
  </w:num>
  <w:num w:numId="36" w16cid:durableId="754740253">
    <w:abstractNumId w:val="7"/>
  </w:num>
  <w:num w:numId="37" w16cid:durableId="843908049">
    <w:abstractNumId w:val="7"/>
  </w:num>
  <w:num w:numId="38" w16cid:durableId="256670751">
    <w:abstractNumId w:val="7"/>
  </w:num>
  <w:num w:numId="39" w16cid:durableId="71242897">
    <w:abstractNumId w:val="18"/>
  </w:num>
  <w:num w:numId="40" w16cid:durableId="1166094919">
    <w:abstractNumId w:val="12"/>
  </w:num>
  <w:num w:numId="41" w16cid:durableId="623121834">
    <w:abstractNumId w:val="11"/>
  </w:num>
  <w:num w:numId="42" w16cid:durableId="1232040985">
    <w:abstractNumId w:val="25"/>
  </w:num>
  <w:num w:numId="43" w16cid:durableId="1085341807">
    <w:abstractNumId w:val="22"/>
  </w:num>
  <w:num w:numId="44" w16cid:durableId="1814980649">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B9"/>
    <w:rsid w:val="0000087E"/>
    <w:rsid w:val="000011F8"/>
    <w:rsid w:val="000014F4"/>
    <w:rsid w:val="0000183A"/>
    <w:rsid w:val="00001885"/>
    <w:rsid w:val="00001A28"/>
    <w:rsid w:val="00001B41"/>
    <w:rsid w:val="00001D14"/>
    <w:rsid w:val="00001D43"/>
    <w:rsid w:val="000020C9"/>
    <w:rsid w:val="00002126"/>
    <w:rsid w:val="00002373"/>
    <w:rsid w:val="000028BF"/>
    <w:rsid w:val="00002E6E"/>
    <w:rsid w:val="00004B47"/>
    <w:rsid w:val="00004D8F"/>
    <w:rsid w:val="000050E4"/>
    <w:rsid w:val="00005221"/>
    <w:rsid w:val="00005243"/>
    <w:rsid w:val="000058FA"/>
    <w:rsid w:val="000059B3"/>
    <w:rsid w:val="00006254"/>
    <w:rsid w:val="000066D3"/>
    <w:rsid w:val="00006DB5"/>
    <w:rsid w:val="00006F9F"/>
    <w:rsid w:val="00007F22"/>
    <w:rsid w:val="000108DB"/>
    <w:rsid w:val="000120F7"/>
    <w:rsid w:val="0001249C"/>
    <w:rsid w:val="00012862"/>
    <w:rsid w:val="00012B76"/>
    <w:rsid w:val="00012BB6"/>
    <w:rsid w:val="00012BC3"/>
    <w:rsid w:val="0001323D"/>
    <w:rsid w:val="000138F3"/>
    <w:rsid w:val="00013D4D"/>
    <w:rsid w:val="000145F8"/>
    <w:rsid w:val="000146D1"/>
    <w:rsid w:val="00015F63"/>
    <w:rsid w:val="000162CC"/>
    <w:rsid w:val="000168F7"/>
    <w:rsid w:val="00017976"/>
    <w:rsid w:val="000200FC"/>
    <w:rsid w:val="000203D1"/>
    <w:rsid w:val="000205C3"/>
    <w:rsid w:val="0002270D"/>
    <w:rsid w:val="000234D1"/>
    <w:rsid w:val="000235B3"/>
    <w:rsid w:val="0002402E"/>
    <w:rsid w:val="000240A4"/>
    <w:rsid w:val="000240BD"/>
    <w:rsid w:val="000242EC"/>
    <w:rsid w:val="000248DF"/>
    <w:rsid w:val="00024C19"/>
    <w:rsid w:val="000253D3"/>
    <w:rsid w:val="00025677"/>
    <w:rsid w:val="00025A66"/>
    <w:rsid w:val="00025AAC"/>
    <w:rsid w:val="00026341"/>
    <w:rsid w:val="00026AB1"/>
    <w:rsid w:val="00027D15"/>
    <w:rsid w:val="0003131D"/>
    <w:rsid w:val="000334F5"/>
    <w:rsid w:val="0003461D"/>
    <w:rsid w:val="00034786"/>
    <w:rsid w:val="000349AD"/>
    <w:rsid w:val="0003569E"/>
    <w:rsid w:val="00035862"/>
    <w:rsid w:val="00035CB2"/>
    <w:rsid w:val="00035FDF"/>
    <w:rsid w:val="000360A0"/>
    <w:rsid w:val="000362A2"/>
    <w:rsid w:val="000367B1"/>
    <w:rsid w:val="00037030"/>
    <w:rsid w:val="0003737B"/>
    <w:rsid w:val="00037CEA"/>
    <w:rsid w:val="00040DC5"/>
    <w:rsid w:val="00040F76"/>
    <w:rsid w:val="000419AA"/>
    <w:rsid w:val="00041DB1"/>
    <w:rsid w:val="00041F81"/>
    <w:rsid w:val="0004248A"/>
    <w:rsid w:val="00042A9A"/>
    <w:rsid w:val="00043046"/>
    <w:rsid w:val="000430DD"/>
    <w:rsid w:val="00043514"/>
    <w:rsid w:val="00044AF4"/>
    <w:rsid w:val="00044E64"/>
    <w:rsid w:val="000456DA"/>
    <w:rsid w:val="000463F7"/>
    <w:rsid w:val="00046419"/>
    <w:rsid w:val="0004644A"/>
    <w:rsid w:val="000465FC"/>
    <w:rsid w:val="00046BF7"/>
    <w:rsid w:val="00046CBC"/>
    <w:rsid w:val="00047140"/>
    <w:rsid w:val="00047955"/>
    <w:rsid w:val="00050176"/>
    <w:rsid w:val="00051506"/>
    <w:rsid w:val="0005167D"/>
    <w:rsid w:val="000518B9"/>
    <w:rsid w:val="000522CE"/>
    <w:rsid w:val="00052F5E"/>
    <w:rsid w:val="00053259"/>
    <w:rsid w:val="00053992"/>
    <w:rsid w:val="00053E07"/>
    <w:rsid w:val="00054378"/>
    <w:rsid w:val="0005463E"/>
    <w:rsid w:val="00054917"/>
    <w:rsid w:val="00054D2D"/>
    <w:rsid w:val="00054D68"/>
    <w:rsid w:val="00054F5B"/>
    <w:rsid w:val="00055310"/>
    <w:rsid w:val="000554CB"/>
    <w:rsid w:val="0005596F"/>
    <w:rsid w:val="00055E82"/>
    <w:rsid w:val="000561DA"/>
    <w:rsid w:val="0005628B"/>
    <w:rsid w:val="00057207"/>
    <w:rsid w:val="00057B3D"/>
    <w:rsid w:val="0006029E"/>
    <w:rsid w:val="0006040C"/>
    <w:rsid w:val="0006079C"/>
    <w:rsid w:val="00060DD9"/>
    <w:rsid w:val="00061023"/>
    <w:rsid w:val="00061521"/>
    <w:rsid w:val="00062244"/>
    <w:rsid w:val="00062257"/>
    <w:rsid w:val="000622D8"/>
    <w:rsid w:val="000626CF"/>
    <w:rsid w:val="0006283D"/>
    <w:rsid w:val="000629E1"/>
    <w:rsid w:val="00063193"/>
    <w:rsid w:val="0006337F"/>
    <w:rsid w:val="0006382A"/>
    <w:rsid w:val="00064361"/>
    <w:rsid w:val="0006471C"/>
    <w:rsid w:val="00064FC7"/>
    <w:rsid w:val="00065511"/>
    <w:rsid w:val="00065868"/>
    <w:rsid w:val="00065EBF"/>
    <w:rsid w:val="00067ECC"/>
    <w:rsid w:val="00070189"/>
    <w:rsid w:val="00070235"/>
    <w:rsid w:val="00071015"/>
    <w:rsid w:val="00071A25"/>
    <w:rsid w:val="00071AC9"/>
    <w:rsid w:val="00071C46"/>
    <w:rsid w:val="00071D1C"/>
    <w:rsid w:val="000723BB"/>
    <w:rsid w:val="0007287C"/>
    <w:rsid w:val="00073442"/>
    <w:rsid w:val="00073E51"/>
    <w:rsid w:val="000741D8"/>
    <w:rsid w:val="000746AC"/>
    <w:rsid w:val="0007511C"/>
    <w:rsid w:val="000758D9"/>
    <w:rsid w:val="00076748"/>
    <w:rsid w:val="00076DE2"/>
    <w:rsid w:val="00076DE4"/>
    <w:rsid w:val="00077C37"/>
    <w:rsid w:val="0008049F"/>
    <w:rsid w:val="000808B6"/>
    <w:rsid w:val="000809BB"/>
    <w:rsid w:val="00081A77"/>
    <w:rsid w:val="00081F36"/>
    <w:rsid w:val="00082730"/>
    <w:rsid w:val="00082836"/>
    <w:rsid w:val="0008303E"/>
    <w:rsid w:val="00083151"/>
    <w:rsid w:val="0008505D"/>
    <w:rsid w:val="00085436"/>
    <w:rsid w:val="00085AB3"/>
    <w:rsid w:val="00085D12"/>
    <w:rsid w:val="00085ED8"/>
    <w:rsid w:val="0008628A"/>
    <w:rsid w:val="00086571"/>
    <w:rsid w:val="00087D3E"/>
    <w:rsid w:val="00087ED9"/>
    <w:rsid w:val="00090149"/>
    <w:rsid w:val="000902E6"/>
    <w:rsid w:val="000910C9"/>
    <w:rsid w:val="0009190D"/>
    <w:rsid w:val="000921F4"/>
    <w:rsid w:val="0009308F"/>
    <w:rsid w:val="00094D21"/>
    <w:rsid w:val="00094F9C"/>
    <w:rsid w:val="00095C5D"/>
    <w:rsid w:val="00095DC2"/>
    <w:rsid w:val="00095E5E"/>
    <w:rsid w:val="000960F0"/>
    <w:rsid w:val="000963D6"/>
    <w:rsid w:val="00096688"/>
    <w:rsid w:val="0009684F"/>
    <w:rsid w:val="00096987"/>
    <w:rsid w:val="00097199"/>
    <w:rsid w:val="000972A6"/>
    <w:rsid w:val="0009770E"/>
    <w:rsid w:val="000A0487"/>
    <w:rsid w:val="000A16B7"/>
    <w:rsid w:val="000A1B46"/>
    <w:rsid w:val="000A22D0"/>
    <w:rsid w:val="000A2485"/>
    <w:rsid w:val="000A2BEC"/>
    <w:rsid w:val="000A2EA5"/>
    <w:rsid w:val="000A3657"/>
    <w:rsid w:val="000A471B"/>
    <w:rsid w:val="000A4ABC"/>
    <w:rsid w:val="000A4C87"/>
    <w:rsid w:val="000A6A7F"/>
    <w:rsid w:val="000A7647"/>
    <w:rsid w:val="000A7782"/>
    <w:rsid w:val="000A797E"/>
    <w:rsid w:val="000B01B1"/>
    <w:rsid w:val="000B046C"/>
    <w:rsid w:val="000B051F"/>
    <w:rsid w:val="000B18FE"/>
    <w:rsid w:val="000B20EA"/>
    <w:rsid w:val="000B2112"/>
    <w:rsid w:val="000B2338"/>
    <w:rsid w:val="000B2A74"/>
    <w:rsid w:val="000B2E83"/>
    <w:rsid w:val="000B2E9F"/>
    <w:rsid w:val="000B336A"/>
    <w:rsid w:val="000B3DDE"/>
    <w:rsid w:val="000B447F"/>
    <w:rsid w:val="000B4739"/>
    <w:rsid w:val="000B4D5E"/>
    <w:rsid w:val="000B4F76"/>
    <w:rsid w:val="000B55FC"/>
    <w:rsid w:val="000B5673"/>
    <w:rsid w:val="000B5BEA"/>
    <w:rsid w:val="000B639D"/>
    <w:rsid w:val="000B7C6D"/>
    <w:rsid w:val="000C0268"/>
    <w:rsid w:val="000C04EE"/>
    <w:rsid w:val="000C1275"/>
    <w:rsid w:val="000C19B7"/>
    <w:rsid w:val="000C2171"/>
    <w:rsid w:val="000C2A41"/>
    <w:rsid w:val="000C3080"/>
    <w:rsid w:val="000C33BD"/>
    <w:rsid w:val="000C3A54"/>
    <w:rsid w:val="000C3C53"/>
    <w:rsid w:val="000C3D7E"/>
    <w:rsid w:val="000C437F"/>
    <w:rsid w:val="000C444E"/>
    <w:rsid w:val="000C5A11"/>
    <w:rsid w:val="000C60C5"/>
    <w:rsid w:val="000C702F"/>
    <w:rsid w:val="000C7251"/>
    <w:rsid w:val="000C749C"/>
    <w:rsid w:val="000D0000"/>
    <w:rsid w:val="000D0601"/>
    <w:rsid w:val="000D08BA"/>
    <w:rsid w:val="000D08FE"/>
    <w:rsid w:val="000D1769"/>
    <w:rsid w:val="000D1800"/>
    <w:rsid w:val="000D183D"/>
    <w:rsid w:val="000D2AB2"/>
    <w:rsid w:val="000D3849"/>
    <w:rsid w:val="000D486E"/>
    <w:rsid w:val="000D4923"/>
    <w:rsid w:val="000D4AA8"/>
    <w:rsid w:val="000D4F63"/>
    <w:rsid w:val="000D53D6"/>
    <w:rsid w:val="000D549E"/>
    <w:rsid w:val="000D603D"/>
    <w:rsid w:val="000D63A8"/>
    <w:rsid w:val="000D6DA1"/>
    <w:rsid w:val="000D7248"/>
    <w:rsid w:val="000D7271"/>
    <w:rsid w:val="000D79A4"/>
    <w:rsid w:val="000D7A6A"/>
    <w:rsid w:val="000D7A9C"/>
    <w:rsid w:val="000D7E26"/>
    <w:rsid w:val="000E0375"/>
    <w:rsid w:val="000E1039"/>
    <w:rsid w:val="000E1C84"/>
    <w:rsid w:val="000E2AD8"/>
    <w:rsid w:val="000E2FF3"/>
    <w:rsid w:val="000E39A1"/>
    <w:rsid w:val="000E452B"/>
    <w:rsid w:val="000E4670"/>
    <w:rsid w:val="000E4F78"/>
    <w:rsid w:val="000E50B3"/>
    <w:rsid w:val="000E55A6"/>
    <w:rsid w:val="000E5ACE"/>
    <w:rsid w:val="000E63CB"/>
    <w:rsid w:val="000E785C"/>
    <w:rsid w:val="000F0A27"/>
    <w:rsid w:val="000F0AF6"/>
    <w:rsid w:val="000F0EB2"/>
    <w:rsid w:val="000F0FE9"/>
    <w:rsid w:val="000F10D4"/>
    <w:rsid w:val="000F1957"/>
    <w:rsid w:val="000F38B6"/>
    <w:rsid w:val="000F3D61"/>
    <w:rsid w:val="000F3EC1"/>
    <w:rsid w:val="000F4825"/>
    <w:rsid w:val="000F6495"/>
    <w:rsid w:val="000F6D3B"/>
    <w:rsid w:val="000F70F9"/>
    <w:rsid w:val="000F71D4"/>
    <w:rsid w:val="000F723F"/>
    <w:rsid w:val="000F7704"/>
    <w:rsid w:val="000F7EA5"/>
    <w:rsid w:val="000F7EDB"/>
    <w:rsid w:val="001000B1"/>
    <w:rsid w:val="00100348"/>
    <w:rsid w:val="001025C7"/>
    <w:rsid w:val="0010292A"/>
    <w:rsid w:val="001033AD"/>
    <w:rsid w:val="00103C08"/>
    <w:rsid w:val="00103ED2"/>
    <w:rsid w:val="00103EFC"/>
    <w:rsid w:val="0010421F"/>
    <w:rsid w:val="00104C57"/>
    <w:rsid w:val="00104E80"/>
    <w:rsid w:val="001052F8"/>
    <w:rsid w:val="00105638"/>
    <w:rsid w:val="00106A37"/>
    <w:rsid w:val="00106D89"/>
    <w:rsid w:val="001071DB"/>
    <w:rsid w:val="00107DFD"/>
    <w:rsid w:val="00107FD2"/>
    <w:rsid w:val="0011076C"/>
    <w:rsid w:val="00110917"/>
    <w:rsid w:val="00110A0F"/>
    <w:rsid w:val="00110BCE"/>
    <w:rsid w:val="0011287D"/>
    <w:rsid w:val="00112DBD"/>
    <w:rsid w:val="00113068"/>
    <w:rsid w:val="001135F8"/>
    <w:rsid w:val="001140CB"/>
    <w:rsid w:val="00114684"/>
    <w:rsid w:val="00114ADA"/>
    <w:rsid w:val="00115357"/>
    <w:rsid w:val="00115F08"/>
    <w:rsid w:val="0011699C"/>
    <w:rsid w:val="00116B20"/>
    <w:rsid w:val="0011759E"/>
    <w:rsid w:val="001175B3"/>
    <w:rsid w:val="00117724"/>
    <w:rsid w:val="00117EAD"/>
    <w:rsid w:val="00117EEC"/>
    <w:rsid w:val="001202B9"/>
    <w:rsid w:val="00120585"/>
    <w:rsid w:val="001206D1"/>
    <w:rsid w:val="001207EB"/>
    <w:rsid w:val="00121A9C"/>
    <w:rsid w:val="00121DA2"/>
    <w:rsid w:val="00121F9A"/>
    <w:rsid w:val="001221EC"/>
    <w:rsid w:val="001226BB"/>
    <w:rsid w:val="001229F4"/>
    <w:rsid w:val="001237E7"/>
    <w:rsid w:val="00123949"/>
    <w:rsid w:val="00123A6F"/>
    <w:rsid w:val="00125057"/>
    <w:rsid w:val="00125189"/>
    <w:rsid w:val="00125989"/>
    <w:rsid w:val="00126A7C"/>
    <w:rsid w:val="00127A64"/>
    <w:rsid w:val="00127EA2"/>
    <w:rsid w:val="00130B0D"/>
    <w:rsid w:val="00131896"/>
    <w:rsid w:val="00131B1F"/>
    <w:rsid w:val="00131B79"/>
    <w:rsid w:val="00131EBC"/>
    <w:rsid w:val="00132165"/>
    <w:rsid w:val="0013237B"/>
    <w:rsid w:val="001329EA"/>
    <w:rsid w:val="00132C73"/>
    <w:rsid w:val="00132DCE"/>
    <w:rsid w:val="00133793"/>
    <w:rsid w:val="001343BA"/>
    <w:rsid w:val="001345CA"/>
    <w:rsid w:val="001346D4"/>
    <w:rsid w:val="0013599B"/>
    <w:rsid w:val="00135B8F"/>
    <w:rsid w:val="00136641"/>
    <w:rsid w:val="00136733"/>
    <w:rsid w:val="00136E9D"/>
    <w:rsid w:val="001374D3"/>
    <w:rsid w:val="00137536"/>
    <w:rsid w:val="00137799"/>
    <w:rsid w:val="00140701"/>
    <w:rsid w:val="00141CA6"/>
    <w:rsid w:val="00141D27"/>
    <w:rsid w:val="00143010"/>
    <w:rsid w:val="00143263"/>
    <w:rsid w:val="00143ADF"/>
    <w:rsid w:val="00143FFE"/>
    <w:rsid w:val="00144508"/>
    <w:rsid w:val="00144FA6"/>
    <w:rsid w:val="001451EB"/>
    <w:rsid w:val="001453D2"/>
    <w:rsid w:val="00145B17"/>
    <w:rsid w:val="001463E6"/>
    <w:rsid w:val="0014648C"/>
    <w:rsid w:val="00146BDD"/>
    <w:rsid w:val="001470AE"/>
    <w:rsid w:val="0014713D"/>
    <w:rsid w:val="001475F6"/>
    <w:rsid w:val="00147EE0"/>
    <w:rsid w:val="001506D7"/>
    <w:rsid w:val="00150F1C"/>
    <w:rsid w:val="0015158E"/>
    <w:rsid w:val="00151948"/>
    <w:rsid w:val="00151D6E"/>
    <w:rsid w:val="00151DE2"/>
    <w:rsid w:val="00151ED1"/>
    <w:rsid w:val="0015226D"/>
    <w:rsid w:val="00152350"/>
    <w:rsid w:val="001524C0"/>
    <w:rsid w:val="00152CA9"/>
    <w:rsid w:val="00152D78"/>
    <w:rsid w:val="00153902"/>
    <w:rsid w:val="00153AB1"/>
    <w:rsid w:val="00154027"/>
    <w:rsid w:val="00155479"/>
    <w:rsid w:val="00155A82"/>
    <w:rsid w:val="00155D84"/>
    <w:rsid w:val="001560E1"/>
    <w:rsid w:val="00156122"/>
    <w:rsid w:val="00157668"/>
    <w:rsid w:val="001578C1"/>
    <w:rsid w:val="0016174C"/>
    <w:rsid w:val="0016192B"/>
    <w:rsid w:val="00161F92"/>
    <w:rsid w:val="001620C4"/>
    <w:rsid w:val="001636F1"/>
    <w:rsid w:val="00163EDC"/>
    <w:rsid w:val="0016408A"/>
    <w:rsid w:val="00164C7A"/>
    <w:rsid w:val="001656BC"/>
    <w:rsid w:val="00165BA6"/>
    <w:rsid w:val="00166069"/>
    <w:rsid w:val="00166763"/>
    <w:rsid w:val="00166D05"/>
    <w:rsid w:val="00167BEE"/>
    <w:rsid w:val="00167FC8"/>
    <w:rsid w:val="0017024E"/>
    <w:rsid w:val="001702A7"/>
    <w:rsid w:val="00170DD8"/>
    <w:rsid w:val="00170DE8"/>
    <w:rsid w:val="0017134D"/>
    <w:rsid w:val="00171560"/>
    <w:rsid w:val="00171C92"/>
    <w:rsid w:val="00172739"/>
    <w:rsid w:val="00172E83"/>
    <w:rsid w:val="00172EE7"/>
    <w:rsid w:val="001737D8"/>
    <w:rsid w:val="00173A04"/>
    <w:rsid w:val="00173A59"/>
    <w:rsid w:val="00173C74"/>
    <w:rsid w:val="001742FA"/>
    <w:rsid w:val="00174742"/>
    <w:rsid w:val="00174FB8"/>
    <w:rsid w:val="00175577"/>
    <w:rsid w:val="00175861"/>
    <w:rsid w:val="00175B3F"/>
    <w:rsid w:val="0017615F"/>
    <w:rsid w:val="001761F4"/>
    <w:rsid w:val="0017634C"/>
    <w:rsid w:val="0017657C"/>
    <w:rsid w:val="00176686"/>
    <w:rsid w:val="0017680B"/>
    <w:rsid w:val="001773C7"/>
    <w:rsid w:val="0017746A"/>
    <w:rsid w:val="001774D8"/>
    <w:rsid w:val="001779B0"/>
    <w:rsid w:val="00177E08"/>
    <w:rsid w:val="00177F03"/>
    <w:rsid w:val="00180192"/>
    <w:rsid w:val="00180324"/>
    <w:rsid w:val="00180945"/>
    <w:rsid w:val="00180DE6"/>
    <w:rsid w:val="00180FFF"/>
    <w:rsid w:val="001814E4"/>
    <w:rsid w:val="0018157D"/>
    <w:rsid w:val="00181717"/>
    <w:rsid w:val="00181885"/>
    <w:rsid w:val="0018194C"/>
    <w:rsid w:val="00182FA1"/>
    <w:rsid w:val="00183132"/>
    <w:rsid w:val="001833EE"/>
    <w:rsid w:val="00183C45"/>
    <w:rsid w:val="00183DA2"/>
    <w:rsid w:val="00185CD7"/>
    <w:rsid w:val="0018626A"/>
    <w:rsid w:val="00186468"/>
    <w:rsid w:val="00186636"/>
    <w:rsid w:val="00186B8E"/>
    <w:rsid w:val="00186BA8"/>
    <w:rsid w:val="001870E6"/>
    <w:rsid w:val="0018778C"/>
    <w:rsid w:val="00190ED5"/>
    <w:rsid w:val="0019108C"/>
    <w:rsid w:val="00192580"/>
    <w:rsid w:val="001925DE"/>
    <w:rsid w:val="00192C54"/>
    <w:rsid w:val="00195B98"/>
    <w:rsid w:val="0019657C"/>
    <w:rsid w:val="001966B2"/>
    <w:rsid w:val="0019707C"/>
    <w:rsid w:val="001979A4"/>
    <w:rsid w:val="00197F13"/>
    <w:rsid w:val="00197F3F"/>
    <w:rsid w:val="00197FB7"/>
    <w:rsid w:val="001A1B54"/>
    <w:rsid w:val="001A1F18"/>
    <w:rsid w:val="001A20DB"/>
    <w:rsid w:val="001A2E3F"/>
    <w:rsid w:val="001A333D"/>
    <w:rsid w:val="001A4192"/>
    <w:rsid w:val="001A5921"/>
    <w:rsid w:val="001A5D6C"/>
    <w:rsid w:val="001A6045"/>
    <w:rsid w:val="001A644C"/>
    <w:rsid w:val="001A66EC"/>
    <w:rsid w:val="001A752E"/>
    <w:rsid w:val="001A784C"/>
    <w:rsid w:val="001B056F"/>
    <w:rsid w:val="001B0A77"/>
    <w:rsid w:val="001B0FA3"/>
    <w:rsid w:val="001B1359"/>
    <w:rsid w:val="001B1BBB"/>
    <w:rsid w:val="001B2781"/>
    <w:rsid w:val="001B28E9"/>
    <w:rsid w:val="001B2A70"/>
    <w:rsid w:val="001B34EA"/>
    <w:rsid w:val="001B39EC"/>
    <w:rsid w:val="001B45C6"/>
    <w:rsid w:val="001B4D25"/>
    <w:rsid w:val="001B508F"/>
    <w:rsid w:val="001B50D4"/>
    <w:rsid w:val="001B5C81"/>
    <w:rsid w:val="001B63CB"/>
    <w:rsid w:val="001B694C"/>
    <w:rsid w:val="001B6BA3"/>
    <w:rsid w:val="001B6BCB"/>
    <w:rsid w:val="001B72A5"/>
    <w:rsid w:val="001B740A"/>
    <w:rsid w:val="001B7552"/>
    <w:rsid w:val="001C07F3"/>
    <w:rsid w:val="001C085F"/>
    <w:rsid w:val="001C100B"/>
    <w:rsid w:val="001C2165"/>
    <w:rsid w:val="001C2173"/>
    <w:rsid w:val="001C297B"/>
    <w:rsid w:val="001C342A"/>
    <w:rsid w:val="001C343F"/>
    <w:rsid w:val="001C3D5C"/>
    <w:rsid w:val="001C57E8"/>
    <w:rsid w:val="001C5D08"/>
    <w:rsid w:val="001C5FBE"/>
    <w:rsid w:val="001C6153"/>
    <w:rsid w:val="001C640E"/>
    <w:rsid w:val="001C755C"/>
    <w:rsid w:val="001C7B59"/>
    <w:rsid w:val="001D048F"/>
    <w:rsid w:val="001D07F2"/>
    <w:rsid w:val="001D0EC5"/>
    <w:rsid w:val="001D0EFE"/>
    <w:rsid w:val="001D0FB8"/>
    <w:rsid w:val="001D17CF"/>
    <w:rsid w:val="001D1FD9"/>
    <w:rsid w:val="001D2BAD"/>
    <w:rsid w:val="001D2E84"/>
    <w:rsid w:val="001D2F1A"/>
    <w:rsid w:val="001D2FBE"/>
    <w:rsid w:val="001D439C"/>
    <w:rsid w:val="001D4B6A"/>
    <w:rsid w:val="001D537D"/>
    <w:rsid w:val="001D56D6"/>
    <w:rsid w:val="001D7005"/>
    <w:rsid w:val="001D7D10"/>
    <w:rsid w:val="001E02C9"/>
    <w:rsid w:val="001E0768"/>
    <w:rsid w:val="001E0D11"/>
    <w:rsid w:val="001E1822"/>
    <w:rsid w:val="001E315C"/>
    <w:rsid w:val="001E34A4"/>
    <w:rsid w:val="001E46D8"/>
    <w:rsid w:val="001E47E2"/>
    <w:rsid w:val="001E4ADF"/>
    <w:rsid w:val="001E4DBF"/>
    <w:rsid w:val="001E4E9F"/>
    <w:rsid w:val="001E5361"/>
    <w:rsid w:val="001E56B1"/>
    <w:rsid w:val="001E59C4"/>
    <w:rsid w:val="001E5DFA"/>
    <w:rsid w:val="001E6369"/>
    <w:rsid w:val="001E63F6"/>
    <w:rsid w:val="001E6580"/>
    <w:rsid w:val="001E6AC0"/>
    <w:rsid w:val="001E78B8"/>
    <w:rsid w:val="001E79CF"/>
    <w:rsid w:val="001E7EA9"/>
    <w:rsid w:val="001F0448"/>
    <w:rsid w:val="001F049C"/>
    <w:rsid w:val="001F0E21"/>
    <w:rsid w:val="001F0FB5"/>
    <w:rsid w:val="001F16B3"/>
    <w:rsid w:val="001F1C2C"/>
    <w:rsid w:val="001F2BAC"/>
    <w:rsid w:val="001F2D5D"/>
    <w:rsid w:val="001F3926"/>
    <w:rsid w:val="001F3D03"/>
    <w:rsid w:val="001F4128"/>
    <w:rsid w:val="001F4325"/>
    <w:rsid w:val="001F447D"/>
    <w:rsid w:val="001F4882"/>
    <w:rsid w:val="001F4C89"/>
    <w:rsid w:val="001F4D3A"/>
    <w:rsid w:val="001F5527"/>
    <w:rsid w:val="001F5D8F"/>
    <w:rsid w:val="001F6189"/>
    <w:rsid w:val="001F626F"/>
    <w:rsid w:val="001F69B2"/>
    <w:rsid w:val="001F6B8D"/>
    <w:rsid w:val="001F6BC8"/>
    <w:rsid w:val="001F781E"/>
    <w:rsid w:val="00200CE7"/>
    <w:rsid w:val="0020169B"/>
    <w:rsid w:val="00201D5C"/>
    <w:rsid w:val="00202106"/>
    <w:rsid w:val="00202577"/>
    <w:rsid w:val="00202876"/>
    <w:rsid w:val="00202F2B"/>
    <w:rsid w:val="00203498"/>
    <w:rsid w:val="00204AFF"/>
    <w:rsid w:val="00204B8B"/>
    <w:rsid w:val="00204C32"/>
    <w:rsid w:val="00204D4D"/>
    <w:rsid w:val="002051B1"/>
    <w:rsid w:val="002055EF"/>
    <w:rsid w:val="002057B5"/>
    <w:rsid w:val="00205844"/>
    <w:rsid w:val="002065E6"/>
    <w:rsid w:val="00206B2C"/>
    <w:rsid w:val="00206F15"/>
    <w:rsid w:val="002072E3"/>
    <w:rsid w:val="00207546"/>
    <w:rsid w:val="00210C56"/>
    <w:rsid w:val="002110ED"/>
    <w:rsid w:val="002112BE"/>
    <w:rsid w:val="00212A96"/>
    <w:rsid w:val="002130AD"/>
    <w:rsid w:val="0021311A"/>
    <w:rsid w:val="002131B2"/>
    <w:rsid w:val="00213537"/>
    <w:rsid w:val="002135AE"/>
    <w:rsid w:val="00213E40"/>
    <w:rsid w:val="00213E6F"/>
    <w:rsid w:val="002145DF"/>
    <w:rsid w:val="00214F35"/>
    <w:rsid w:val="00215B8D"/>
    <w:rsid w:val="00215D20"/>
    <w:rsid w:val="0021699F"/>
    <w:rsid w:val="00216BB4"/>
    <w:rsid w:val="00216C67"/>
    <w:rsid w:val="00216F53"/>
    <w:rsid w:val="002170EB"/>
    <w:rsid w:val="0021759F"/>
    <w:rsid w:val="00217DCF"/>
    <w:rsid w:val="00220236"/>
    <w:rsid w:val="002203BA"/>
    <w:rsid w:val="00220C8E"/>
    <w:rsid w:val="00221820"/>
    <w:rsid w:val="00221B17"/>
    <w:rsid w:val="00221F39"/>
    <w:rsid w:val="002224EA"/>
    <w:rsid w:val="00222953"/>
    <w:rsid w:val="0022299A"/>
    <w:rsid w:val="00222A38"/>
    <w:rsid w:val="00222A3F"/>
    <w:rsid w:val="00222A57"/>
    <w:rsid w:val="002230C3"/>
    <w:rsid w:val="002233A7"/>
    <w:rsid w:val="00223CD6"/>
    <w:rsid w:val="00223E8B"/>
    <w:rsid w:val="00224A87"/>
    <w:rsid w:val="00224E39"/>
    <w:rsid w:val="00225CE3"/>
    <w:rsid w:val="00225DA9"/>
    <w:rsid w:val="0022627A"/>
    <w:rsid w:val="0022657E"/>
    <w:rsid w:val="002265C9"/>
    <w:rsid w:val="002267E2"/>
    <w:rsid w:val="00226D30"/>
    <w:rsid w:val="002272B2"/>
    <w:rsid w:val="00230122"/>
    <w:rsid w:val="00230783"/>
    <w:rsid w:val="00230C90"/>
    <w:rsid w:val="00231240"/>
    <w:rsid w:val="00231D2B"/>
    <w:rsid w:val="00231D47"/>
    <w:rsid w:val="0023261E"/>
    <w:rsid w:val="002329EC"/>
    <w:rsid w:val="0023312C"/>
    <w:rsid w:val="002332FE"/>
    <w:rsid w:val="0023365D"/>
    <w:rsid w:val="00233B34"/>
    <w:rsid w:val="00233C52"/>
    <w:rsid w:val="0023456A"/>
    <w:rsid w:val="00234B38"/>
    <w:rsid w:val="00234DE6"/>
    <w:rsid w:val="002353FB"/>
    <w:rsid w:val="00235725"/>
    <w:rsid w:val="002368D0"/>
    <w:rsid w:val="00236993"/>
    <w:rsid w:val="00237663"/>
    <w:rsid w:val="0023766F"/>
    <w:rsid w:val="002376F7"/>
    <w:rsid w:val="002377C0"/>
    <w:rsid w:val="002407E2"/>
    <w:rsid w:val="00241318"/>
    <w:rsid w:val="00241A18"/>
    <w:rsid w:val="002421E5"/>
    <w:rsid w:val="002423CA"/>
    <w:rsid w:val="0024290C"/>
    <w:rsid w:val="00244AF7"/>
    <w:rsid w:val="00244FF8"/>
    <w:rsid w:val="00245056"/>
    <w:rsid w:val="002453D6"/>
    <w:rsid w:val="00245A24"/>
    <w:rsid w:val="00245C47"/>
    <w:rsid w:val="00245FAC"/>
    <w:rsid w:val="00246B9E"/>
    <w:rsid w:val="00246E06"/>
    <w:rsid w:val="00247431"/>
    <w:rsid w:val="0024745D"/>
    <w:rsid w:val="002474B7"/>
    <w:rsid w:val="002500A9"/>
    <w:rsid w:val="002500F9"/>
    <w:rsid w:val="002505D0"/>
    <w:rsid w:val="002509A5"/>
    <w:rsid w:val="0025148E"/>
    <w:rsid w:val="00251C43"/>
    <w:rsid w:val="00251ED7"/>
    <w:rsid w:val="002524F9"/>
    <w:rsid w:val="00252735"/>
    <w:rsid w:val="00252C4F"/>
    <w:rsid w:val="00252E32"/>
    <w:rsid w:val="00253AF5"/>
    <w:rsid w:val="00254E1A"/>
    <w:rsid w:val="00254FE9"/>
    <w:rsid w:val="0025541A"/>
    <w:rsid w:val="00255D1A"/>
    <w:rsid w:val="00256C68"/>
    <w:rsid w:val="00256C9A"/>
    <w:rsid w:val="002579D7"/>
    <w:rsid w:val="00257E24"/>
    <w:rsid w:val="002604C2"/>
    <w:rsid w:val="0026113C"/>
    <w:rsid w:val="00262865"/>
    <w:rsid w:val="00262CB8"/>
    <w:rsid w:val="00263156"/>
    <w:rsid w:val="002638AF"/>
    <w:rsid w:val="00264363"/>
    <w:rsid w:val="00264665"/>
    <w:rsid w:val="00264EC1"/>
    <w:rsid w:val="002652BD"/>
    <w:rsid w:val="0026572D"/>
    <w:rsid w:val="00266BBB"/>
    <w:rsid w:val="00267158"/>
    <w:rsid w:val="002671AA"/>
    <w:rsid w:val="00267617"/>
    <w:rsid w:val="00267C30"/>
    <w:rsid w:val="0027031A"/>
    <w:rsid w:val="00270672"/>
    <w:rsid w:val="002714AA"/>
    <w:rsid w:val="00271620"/>
    <w:rsid w:val="00271825"/>
    <w:rsid w:val="00271D6F"/>
    <w:rsid w:val="002722F3"/>
    <w:rsid w:val="00272798"/>
    <w:rsid w:val="00272879"/>
    <w:rsid w:val="00273533"/>
    <w:rsid w:val="00273610"/>
    <w:rsid w:val="00273A32"/>
    <w:rsid w:val="00275827"/>
    <w:rsid w:val="00275FBA"/>
    <w:rsid w:val="00276971"/>
    <w:rsid w:val="00276B46"/>
    <w:rsid w:val="00277E41"/>
    <w:rsid w:val="00280335"/>
    <w:rsid w:val="002807FE"/>
    <w:rsid w:val="00280B72"/>
    <w:rsid w:val="002818E6"/>
    <w:rsid w:val="00281AC2"/>
    <w:rsid w:val="00282BAF"/>
    <w:rsid w:val="002830CF"/>
    <w:rsid w:val="0028314A"/>
    <w:rsid w:val="0028372E"/>
    <w:rsid w:val="00283A1F"/>
    <w:rsid w:val="00283C20"/>
    <w:rsid w:val="0028459A"/>
    <w:rsid w:val="00285665"/>
    <w:rsid w:val="00285989"/>
    <w:rsid w:val="00285A33"/>
    <w:rsid w:val="00286046"/>
    <w:rsid w:val="002864C6"/>
    <w:rsid w:val="00286F3D"/>
    <w:rsid w:val="00287918"/>
    <w:rsid w:val="002904A0"/>
    <w:rsid w:val="0029059D"/>
    <w:rsid w:val="0029126F"/>
    <w:rsid w:val="002913CF"/>
    <w:rsid w:val="0029169C"/>
    <w:rsid w:val="00291A35"/>
    <w:rsid w:val="00291B8D"/>
    <w:rsid w:val="002925B8"/>
    <w:rsid w:val="00292A3C"/>
    <w:rsid w:val="00293907"/>
    <w:rsid w:val="00293DA5"/>
    <w:rsid w:val="0029455F"/>
    <w:rsid w:val="002948DF"/>
    <w:rsid w:val="00294B0D"/>
    <w:rsid w:val="00295294"/>
    <w:rsid w:val="00295396"/>
    <w:rsid w:val="002963E9"/>
    <w:rsid w:val="00296A0D"/>
    <w:rsid w:val="002972A7"/>
    <w:rsid w:val="002973BD"/>
    <w:rsid w:val="002A07F8"/>
    <w:rsid w:val="002A08FB"/>
    <w:rsid w:val="002A0930"/>
    <w:rsid w:val="002A0C06"/>
    <w:rsid w:val="002A131E"/>
    <w:rsid w:val="002A1388"/>
    <w:rsid w:val="002A1A83"/>
    <w:rsid w:val="002A1E02"/>
    <w:rsid w:val="002A1E58"/>
    <w:rsid w:val="002A260A"/>
    <w:rsid w:val="002A315A"/>
    <w:rsid w:val="002A3192"/>
    <w:rsid w:val="002A36C3"/>
    <w:rsid w:val="002A398B"/>
    <w:rsid w:val="002A3DA1"/>
    <w:rsid w:val="002A42FA"/>
    <w:rsid w:val="002A4851"/>
    <w:rsid w:val="002A4C59"/>
    <w:rsid w:val="002A517D"/>
    <w:rsid w:val="002A5375"/>
    <w:rsid w:val="002A544D"/>
    <w:rsid w:val="002A5C2A"/>
    <w:rsid w:val="002A6B00"/>
    <w:rsid w:val="002A7C82"/>
    <w:rsid w:val="002A7D9B"/>
    <w:rsid w:val="002B08B9"/>
    <w:rsid w:val="002B0B3A"/>
    <w:rsid w:val="002B210A"/>
    <w:rsid w:val="002B26ED"/>
    <w:rsid w:val="002B3704"/>
    <w:rsid w:val="002B387D"/>
    <w:rsid w:val="002B3ED1"/>
    <w:rsid w:val="002B3FDC"/>
    <w:rsid w:val="002B43D8"/>
    <w:rsid w:val="002B4B93"/>
    <w:rsid w:val="002B5177"/>
    <w:rsid w:val="002B52BC"/>
    <w:rsid w:val="002B5400"/>
    <w:rsid w:val="002B7E14"/>
    <w:rsid w:val="002B7FA3"/>
    <w:rsid w:val="002C016E"/>
    <w:rsid w:val="002C026D"/>
    <w:rsid w:val="002C037A"/>
    <w:rsid w:val="002C09EA"/>
    <w:rsid w:val="002C0C6A"/>
    <w:rsid w:val="002C1189"/>
    <w:rsid w:val="002C16CF"/>
    <w:rsid w:val="002C1D00"/>
    <w:rsid w:val="002C2421"/>
    <w:rsid w:val="002C2672"/>
    <w:rsid w:val="002C2CF9"/>
    <w:rsid w:val="002C2DA7"/>
    <w:rsid w:val="002C306C"/>
    <w:rsid w:val="002C3489"/>
    <w:rsid w:val="002C395B"/>
    <w:rsid w:val="002C3987"/>
    <w:rsid w:val="002C3FD1"/>
    <w:rsid w:val="002C418E"/>
    <w:rsid w:val="002C44F0"/>
    <w:rsid w:val="002C505B"/>
    <w:rsid w:val="002C52F3"/>
    <w:rsid w:val="002C5590"/>
    <w:rsid w:val="002C5819"/>
    <w:rsid w:val="002C6306"/>
    <w:rsid w:val="002C78A2"/>
    <w:rsid w:val="002C7FD5"/>
    <w:rsid w:val="002D01F8"/>
    <w:rsid w:val="002D0EE3"/>
    <w:rsid w:val="002D0FEC"/>
    <w:rsid w:val="002D16F3"/>
    <w:rsid w:val="002D21F1"/>
    <w:rsid w:val="002D25CD"/>
    <w:rsid w:val="002D2B68"/>
    <w:rsid w:val="002D340B"/>
    <w:rsid w:val="002D39DD"/>
    <w:rsid w:val="002D39EC"/>
    <w:rsid w:val="002D3BB5"/>
    <w:rsid w:val="002D506D"/>
    <w:rsid w:val="002D5FCF"/>
    <w:rsid w:val="002D601F"/>
    <w:rsid w:val="002D620D"/>
    <w:rsid w:val="002D6285"/>
    <w:rsid w:val="002D6409"/>
    <w:rsid w:val="002D6EFF"/>
    <w:rsid w:val="002D70C4"/>
    <w:rsid w:val="002D77FB"/>
    <w:rsid w:val="002D79F2"/>
    <w:rsid w:val="002D7E11"/>
    <w:rsid w:val="002D7E42"/>
    <w:rsid w:val="002E0198"/>
    <w:rsid w:val="002E0775"/>
    <w:rsid w:val="002E07B1"/>
    <w:rsid w:val="002E1679"/>
    <w:rsid w:val="002E1C12"/>
    <w:rsid w:val="002E1C7C"/>
    <w:rsid w:val="002E2311"/>
    <w:rsid w:val="002E25E5"/>
    <w:rsid w:val="002E2D6C"/>
    <w:rsid w:val="002E3BAC"/>
    <w:rsid w:val="002E42C7"/>
    <w:rsid w:val="002E4AFB"/>
    <w:rsid w:val="002E4BE7"/>
    <w:rsid w:val="002E545A"/>
    <w:rsid w:val="002E5568"/>
    <w:rsid w:val="002E568A"/>
    <w:rsid w:val="002E5773"/>
    <w:rsid w:val="002E6C31"/>
    <w:rsid w:val="002E6D1C"/>
    <w:rsid w:val="002E7E3A"/>
    <w:rsid w:val="002E7F2C"/>
    <w:rsid w:val="002F029D"/>
    <w:rsid w:val="002F0A5F"/>
    <w:rsid w:val="002F15DF"/>
    <w:rsid w:val="002F18B3"/>
    <w:rsid w:val="002F1941"/>
    <w:rsid w:val="002F1F19"/>
    <w:rsid w:val="002F2705"/>
    <w:rsid w:val="002F27BE"/>
    <w:rsid w:val="002F27D9"/>
    <w:rsid w:val="002F3215"/>
    <w:rsid w:val="002F3D01"/>
    <w:rsid w:val="002F4307"/>
    <w:rsid w:val="002F5535"/>
    <w:rsid w:val="002F554E"/>
    <w:rsid w:val="002F5F69"/>
    <w:rsid w:val="002F695C"/>
    <w:rsid w:val="002F6F7B"/>
    <w:rsid w:val="002F7312"/>
    <w:rsid w:val="002F773A"/>
    <w:rsid w:val="00300487"/>
    <w:rsid w:val="003004C6"/>
    <w:rsid w:val="003005CC"/>
    <w:rsid w:val="003016C0"/>
    <w:rsid w:val="00301F99"/>
    <w:rsid w:val="00302326"/>
    <w:rsid w:val="00302517"/>
    <w:rsid w:val="003025BA"/>
    <w:rsid w:val="00302707"/>
    <w:rsid w:val="00302852"/>
    <w:rsid w:val="00302C3C"/>
    <w:rsid w:val="00302EFE"/>
    <w:rsid w:val="00303FE7"/>
    <w:rsid w:val="00304397"/>
    <w:rsid w:val="0030457E"/>
    <w:rsid w:val="003046D1"/>
    <w:rsid w:val="003049BC"/>
    <w:rsid w:val="00304F50"/>
    <w:rsid w:val="0030581E"/>
    <w:rsid w:val="00305F4F"/>
    <w:rsid w:val="00307A9F"/>
    <w:rsid w:val="00307B4E"/>
    <w:rsid w:val="0031035C"/>
    <w:rsid w:val="00311AB2"/>
    <w:rsid w:val="003120DF"/>
    <w:rsid w:val="00312283"/>
    <w:rsid w:val="00312F0F"/>
    <w:rsid w:val="00313541"/>
    <w:rsid w:val="0031393F"/>
    <w:rsid w:val="003140DB"/>
    <w:rsid w:val="00314CDE"/>
    <w:rsid w:val="00315008"/>
    <w:rsid w:val="00315704"/>
    <w:rsid w:val="0031597D"/>
    <w:rsid w:val="00315998"/>
    <w:rsid w:val="0031628B"/>
    <w:rsid w:val="003166ED"/>
    <w:rsid w:val="003166FF"/>
    <w:rsid w:val="00316ACD"/>
    <w:rsid w:val="00316CF7"/>
    <w:rsid w:val="0031715C"/>
    <w:rsid w:val="00317B54"/>
    <w:rsid w:val="00320135"/>
    <w:rsid w:val="003203D4"/>
    <w:rsid w:val="003204EA"/>
    <w:rsid w:val="00320DF2"/>
    <w:rsid w:val="00320FBB"/>
    <w:rsid w:val="00321707"/>
    <w:rsid w:val="00321736"/>
    <w:rsid w:val="00321894"/>
    <w:rsid w:val="0032273F"/>
    <w:rsid w:val="00322866"/>
    <w:rsid w:val="003232A5"/>
    <w:rsid w:val="003236F2"/>
    <w:rsid w:val="0032378F"/>
    <w:rsid w:val="00323F38"/>
    <w:rsid w:val="00324131"/>
    <w:rsid w:val="003243A2"/>
    <w:rsid w:val="003244EB"/>
    <w:rsid w:val="00325602"/>
    <w:rsid w:val="00325749"/>
    <w:rsid w:val="003257F2"/>
    <w:rsid w:val="00325DED"/>
    <w:rsid w:val="00326026"/>
    <w:rsid w:val="00326183"/>
    <w:rsid w:val="00326620"/>
    <w:rsid w:val="0032679F"/>
    <w:rsid w:val="00326ABF"/>
    <w:rsid w:val="00327226"/>
    <w:rsid w:val="00327ACD"/>
    <w:rsid w:val="003301C8"/>
    <w:rsid w:val="0033090C"/>
    <w:rsid w:val="003312CE"/>
    <w:rsid w:val="00331457"/>
    <w:rsid w:val="00331BD6"/>
    <w:rsid w:val="003322B5"/>
    <w:rsid w:val="00332EE4"/>
    <w:rsid w:val="00332EF5"/>
    <w:rsid w:val="003335F9"/>
    <w:rsid w:val="00333B6A"/>
    <w:rsid w:val="00333CA0"/>
    <w:rsid w:val="00333E8E"/>
    <w:rsid w:val="003344AD"/>
    <w:rsid w:val="00334BE6"/>
    <w:rsid w:val="00334C98"/>
    <w:rsid w:val="00335BF8"/>
    <w:rsid w:val="00336A4F"/>
    <w:rsid w:val="00336C32"/>
    <w:rsid w:val="00337540"/>
    <w:rsid w:val="003403EA"/>
    <w:rsid w:val="0034106C"/>
    <w:rsid w:val="0034117F"/>
    <w:rsid w:val="003414A0"/>
    <w:rsid w:val="00341C3A"/>
    <w:rsid w:val="00341C8C"/>
    <w:rsid w:val="0034202D"/>
    <w:rsid w:val="0034257F"/>
    <w:rsid w:val="003436D5"/>
    <w:rsid w:val="003440F9"/>
    <w:rsid w:val="003442E5"/>
    <w:rsid w:val="003443D7"/>
    <w:rsid w:val="003449F2"/>
    <w:rsid w:val="00344A9A"/>
    <w:rsid w:val="00344BC5"/>
    <w:rsid w:val="00344CE4"/>
    <w:rsid w:val="003450C3"/>
    <w:rsid w:val="003453C2"/>
    <w:rsid w:val="00345429"/>
    <w:rsid w:val="00345BB8"/>
    <w:rsid w:val="0034673A"/>
    <w:rsid w:val="00346B32"/>
    <w:rsid w:val="00346C26"/>
    <w:rsid w:val="0034703F"/>
    <w:rsid w:val="00347444"/>
    <w:rsid w:val="00347B11"/>
    <w:rsid w:val="00347DFA"/>
    <w:rsid w:val="00350D92"/>
    <w:rsid w:val="00351398"/>
    <w:rsid w:val="0035175E"/>
    <w:rsid w:val="0035286E"/>
    <w:rsid w:val="003528D8"/>
    <w:rsid w:val="00353584"/>
    <w:rsid w:val="00353A36"/>
    <w:rsid w:val="003541A1"/>
    <w:rsid w:val="003544FD"/>
    <w:rsid w:val="0035467C"/>
    <w:rsid w:val="00355772"/>
    <w:rsid w:val="00355B41"/>
    <w:rsid w:val="0035662A"/>
    <w:rsid w:val="003567C9"/>
    <w:rsid w:val="00357245"/>
    <w:rsid w:val="00357436"/>
    <w:rsid w:val="00360714"/>
    <w:rsid w:val="00362046"/>
    <w:rsid w:val="003621D2"/>
    <w:rsid w:val="00362984"/>
    <w:rsid w:val="003631B2"/>
    <w:rsid w:val="003631B5"/>
    <w:rsid w:val="003634DA"/>
    <w:rsid w:val="00363D44"/>
    <w:rsid w:val="003657F9"/>
    <w:rsid w:val="00365DD2"/>
    <w:rsid w:val="00365E18"/>
    <w:rsid w:val="00366B39"/>
    <w:rsid w:val="00366BC7"/>
    <w:rsid w:val="00366C6F"/>
    <w:rsid w:val="00367F2D"/>
    <w:rsid w:val="0037076C"/>
    <w:rsid w:val="00370868"/>
    <w:rsid w:val="00370991"/>
    <w:rsid w:val="0037107F"/>
    <w:rsid w:val="00371249"/>
    <w:rsid w:val="00371A54"/>
    <w:rsid w:val="00372BCD"/>
    <w:rsid w:val="00373057"/>
    <w:rsid w:val="0037343B"/>
    <w:rsid w:val="00373990"/>
    <w:rsid w:val="00373D3C"/>
    <w:rsid w:val="00373F9A"/>
    <w:rsid w:val="003742FA"/>
    <w:rsid w:val="003744AB"/>
    <w:rsid w:val="003749D4"/>
    <w:rsid w:val="00374D8C"/>
    <w:rsid w:val="00375336"/>
    <w:rsid w:val="003760BC"/>
    <w:rsid w:val="0037626D"/>
    <w:rsid w:val="003762BF"/>
    <w:rsid w:val="0037687F"/>
    <w:rsid w:val="0037714A"/>
    <w:rsid w:val="003772B0"/>
    <w:rsid w:val="00377733"/>
    <w:rsid w:val="00377CC7"/>
    <w:rsid w:val="00380C99"/>
    <w:rsid w:val="00380FA4"/>
    <w:rsid w:val="00381ABF"/>
    <w:rsid w:val="003821C5"/>
    <w:rsid w:val="003824BA"/>
    <w:rsid w:val="00382B07"/>
    <w:rsid w:val="00382C90"/>
    <w:rsid w:val="00382EF6"/>
    <w:rsid w:val="00383BD9"/>
    <w:rsid w:val="00383EF0"/>
    <w:rsid w:val="0038413F"/>
    <w:rsid w:val="00385A2F"/>
    <w:rsid w:val="003866B4"/>
    <w:rsid w:val="003871CC"/>
    <w:rsid w:val="00387628"/>
    <w:rsid w:val="0038782D"/>
    <w:rsid w:val="003879AB"/>
    <w:rsid w:val="00387CAC"/>
    <w:rsid w:val="00387EB6"/>
    <w:rsid w:val="00391209"/>
    <w:rsid w:val="00391AD7"/>
    <w:rsid w:val="00391FD8"/>
    <w:rsid w:val="00392145"/>
    <w:rsid w:val="003921BB"/>
    <w:rsid w:val="003929C4"/>
    <w:rsid w:val="00392F59"/>
    <w:rsid w:val="0039328A"/>
    <w:rsid w:val="003933E3"/>
    <w:rsid w:val="00393635"/>
    <w:rsid w:val="003936EA"/>
    <w:rsid w:val="00393ACF"/>
    <w:rsid w:val="00394981"/>
    <w:rsid w:val="00395E94"/>
    <w:rsid w:val="0039614B"/>
    <w:rsid w:val="003962DA"/>
    <w:rsid w:val="0039664F"/>
    <w:rsid w:val="003966A8"/>
    <w:rsid w:val="003966BE"/>
    <w:rsid w:val="003966C2"/>
    <w:rsid w:val="003966D2"/>
    <w:rsid w:val="00396CF6"/>
    <w:rsid w:val="00397136"/>
    <w:rsid w:val="0039717A"/>
    <w:rsid w:val="00397623"/>
    <w:rsid w:val="003979B3"/>
    <w:rsid w:val="00397D86"/>
    <w:rsid w:val="00397DC2"/>
    <w:rsid w:val="003A0517"/>
    <w:rsid w:val="003A1ADD"/>
    <w:rsid w:val="003A2AD2"/>
    <w:rsid w:val="003A3036"/>
    <w:rsid w:val="003A327F"/>
    <w:rsid w:val="003A3AC8"/>
    <w:rsid w:val="003A479D"/>
    <w:rsid w:val="003A59E9"/>
    <w:rsid w:val="003A61B2"/>
    <w:rsid w:val="003A6207"/>
    <w:rsid w:val="003A6D25"/>
    <w:rsid w:val="003A6E1D"/>
    <w:rsid w:val="003A7023"/>
    <w:rsid w:val="003A79BD"/>
    <w:rsid w:val="003A7E8D"/>
    <w:rsid w:val="003B02EC"/>
    <w:rsid w:val="003B063D"/>
    <w:rsid w:val="003B0E1E"/>
    <w:rsid w:val="003B19E9"/>
    <w:rsid w:val="003B20CF"/>
    <w:rsid w:val="003B3EAC"/>
    <w:rsid w:val="003B41B2"/>
    <w:rsid w:val="003B45A9"/>
    <w:rsid w:val="003B5191"/>
    <w:rsid w:val="003B52EB"/>
    <w:rsid w:val="003B597D"/>
    <w:rsid w:val="003B61A9"/>
    <w:rsid w:val="003B6423"/>
    <w:rsid w:val="003B66FD"/>
    <w:rsid w:val="003B7DB2"/>
    <w:rsid w:val="003C0565"/>
    <w:rsid w:val="003C07D1"/>
    <w:rsid w:val="003C0CBD"/>
    <w:rsid w:val="003C10F7"/>
    <w:rsid w:val="003C126C"/>
    <w:rsid w:val="003C175D"/>
    <w:rsid w:val="003C189F"/>
    <w:rsid w:val="003C206F"/>
    <w:rsid w:val="003C2457"/>
    <w:rsid w:val="003C36DC"/>
    <w:rsid w:val="003C3A6D"/>
    <w:rsid w:val="003C3F50"/>
    <w:rsid w:val="003C3FCD"/>
    <w:rsid w:val="003C444E"/>
    <w:rsid w:val="003C46D7"/>
    <w:rsid w:val="003C4A80"/>
    <w:rsid w:val="003C527B"/>
    <w:rsid w:val="003C54AE"/>
    <w:rsid w:val="003C5BAD"/>
    <w:rsid w:val="003C6933"/>
    <w:rsid w:val="003C6D9A"/>
    <w:rsid w:val="003C7021"/>
    <w:rsid w:val="003C703E"/>
    <w:rsid w:val="003C753D"/>
    <w:rsid w:val="003C7A4B"/>
    <w:rsid w:val="003C7B7D"/>
    <w:rsid w:val="003D0F13"/>
    <w:rsid w:val="003D176D"/>
    <w:rsid w:val="003D1E5A"/>
    <w:rsid w:val="003D224D"/>
    <w:rsid w:val="003D25E7"/>
    <w:rsid w:val="003D36FA"/>
    <w:rsid w:val="003D3DBB"/>
    <w:rsid w:val="003D3F3F"/>
    <w:rsid w:val="003D488B"/>
    <w:rsid w:val="003D4B27"/>
    <w:rsid w:val="003D5032"/>
    <w:rsid w:val="003D51A7"/>
    <w:rsid w:val="003D5486"/>
    <w:rsid w:val="003D5543"/>
    <w:rsid w:val="003D56E0"/>
    <w:rsid w:val="003D6327"/>
    <w:rsid w:val="003D63EA"/>
    <w:rsid w:val="003D70A9"/>
    <w:rsid w:val="003D71A0"/>
    <w:rsid w:val="003D7625"/>
    <w:rsid w:val="003D76CA"/>
    <w:rsid w:val="003D7DB3"/>
    <w:rsid w:val="003E006A"/>
    <w:rsid w:val="003E0530"/>
    <w:rsid w:val="003E0B0F"/>
    <w:rsid w:val="003E0BDE"/>
    <w:rsid w:val="003E312E"/>
    <w:rsid w:val="003E32DF"/>
    <w:rsid w:val="003E332E"/>
    <w:rsid w:val="003E3472"/>
    <w:rsid w:val="003E41B3"/>
    <w:rsid w:val="003E478D"/>
    <w:rsid w:val="003E4863"/>
    <w:rsid w:val="003E4ABA"/>
    <w:rsid w:val="003E4ABD"/>
    <w:rsid w:val="003E4D0F"/>
    <w:rsid w:val="003E51D1"/>
    <w:rsid w:val="003E5EB4"/>
    <w:rsid w:val="003E7480"/>
    <w:rsid w:val="003E7E59"/>
    <w:rsid w:val="003F0313"/>
    <w:rsid w:val="003F082C"/>
    <w:rsid w:val="003F0B5B"/>
    <w:rsid w:val="003F1A8C"/>
    <w:rsid w:val="003F1C59"/>
    <w:rsid w:val="003F25D5"/>
    <w:rsid w:val="003F309C"/>
    <w:rsid w:val="003F33AE"/>
    <w:rsid w:val="003F38DA"/>
    <w:rsid w:val="003F41C2"/>
    <w:rsid w:val="003F4433"/>
    <w:rsid w:val="003F5A29"/>
    <w:rsid w:val="003F5F59"/>
    <w:rsid w:val="003F66E7"/>
    <w:rsid w:val="003F67F9"/>
    <w:rsid w:val="003F70D7"/>
    <w:rsid w:val="003F745D"/>
    <w:rsid w:val="003F7764"/>
    <w:rsid w:val="003F78D4"/>
    <w:rsid w:val="003F7989"/>
    <w:rsid w:val="003F7B2C"/>
    <w:rsid w:val="004000DE"/>
    <w:rsid w:val="00400A2F"/>
    <w:rsid w:val="00400E39"/>
    <w:rsid w:val="0040116B"/>
    <w:rsid w:val="00401324"/>
    <w:rsid w:val="00401460"/>
    <w:rsid w:val="00401692"/>
    <w:rsid w:val="00402008"/>
    <w:rsid w:val="00402134"/>
    <w:rsid w:val="004021D9"/>
    <w:rsid w:val="00402A29"/>
    <w:rsid w:val="00403206"/>
    <w:rsid w:val="00403DEB"/>
    <w:rsid w:val="00403F96"/>
    <w:rsid w:val="0040466F"/>
    <w:rsid w:val="0040546B"/>
    <w:rsid w:val="00405479"/>
    <w:rsid w:val="00405708"/>
    <w:rsid w:val="00405D7E"/>
    <w:rsid w:val="0040646F"/>
    <w:rsid w:val="00406A4B"/>
    <w:rsid w:val="0040704F"/>
    <w:rsid w:val="0041000A"/>
    <w:rsid w:val="004104CE"/>
    <w:rsid w:val="00410D3C"/>
    <w:rsid w:val="004110FF"/>
    <w:rsid w:val="004111B8"/>
    <w:rsid w:val="0041131E"/>
    <w:rsid w:val="00411A36"/>
    <w:rsid w:val="00411D2F"/>
    <w:rsid w:val="004128A6"/>
    <w:rsid w:val="00412968"/>
    <w:rsid w:val="00413C83"/>
    <w:rsid w:val="00414005"/>
    <w:rsid w:val="00414089"/>
    <w:rsid w:val="004140FE"/>
    <w:rsid w:val="00414241"/>
    <w:rsid w:val="00414746"/>
    <w:rsid w:val="0041502C"/>
    <w:rsid w:val="004150E5"/>
    <w:rsid w:val="00415F38"/>
    <w:rsid w:val="004162C5"/>
    <w:rsid w:val="00416758"/>
    <w:rsid w:val="004169EA"/>
    <w:rsid w:val="00417018"/>
    <w:rsid w:val="00417190"/>
    <w:rsid w:val="00417E9A"/>
    <w:rsid w:val="004203ED"/>
    <w:rsid w:val="00420F85"/>
    <w:rsid w:val="00421399"/>
    <w:rsid w:val="0042148A"/>
    <w:rsid w:val="004218A0"/>
    <w:rsid w:val="00421F6F"/>
    <w:rsid w:val="00421FDC"/>
    <w:rsid w:val="0042236D"/>
    <w:rsid w:val="0042312A"/>
    <w:rsid w:val="004231CE"/>
    <w:rsid w:val="00423205"/>
    <w:rsid w:val="0042358C"/>
    <w:rsid w:val="00423D41"/>
    <w:rsid w:val="0042446C"/>
    <w:rsid w:val="00424539"/>
    <w:rsid w:val="00424575"/>
    <w:rsid w:val="00424948"/>
    <w:rsid w:val="00425625"/>
    <w:rsid w:val="00425740"/>
    <w:rsid w:val="00425781"/>
    <w:rsid w:val="004262C8"/>
    <w:rsid w:val="00427FA2"/>
    <w:rsid w:val="00430EAA"/>
    <w:rsid w:val="00431404"/>
    <w:rsid w:val="0043155E"/>
    <w:rsid w:val="004323FD"/>
    <w:rsid w:val="00432881"/>
    <w:rsid w:val="00432ED7"/>
    <w:rsid w:val="00433707"/>
    <w:rsid w:val="00433E09"/>
    <w:rsid w:val="00433F0A"/>
    <w:rsid w:val="00433FFE"/>
    <w:rsid w:val="0043569A"/>
    <w:rsid w:val="004356EC"/>
    <w:rsid w:val="0043598D"/>
    <w:rsid w:val="004367D0"/>
    <w:rsid w:val="00437063"/>
    <w:rsid w:val="0044033F"/>
    <w:rsid w:val="0044126E"/>
    <w:rsid w:val="00441D9E"/>
    <w:rsid w:val="00441F81"/>
    <w:rsid w:val="004422F6"/>
    <w:rsid w:val="00443291"/>
    <w:rsid w:val="00443729"/>
    <w:rsid w:val="00443EAA"/>
    <w:rsid w:val="00444059"/>
    <w:rsid w:val="00444944"/>
    <w:rsid w:val="004449D6"/>
    <w:rsid w:val="00444A92"/>
    <w:rsid w:val="00444D60"/>
    <w:rsid w:val="004450A8"/>
    <w:rsid w:val="00445C4D"/>
    <w:rsid w:val="00445CE8"/>
    <w:rsid w:val="00446562"/>
    <w:rsid w:val="00447308"/>
    <w:rsid w:val="0044737F"/>
    <w:rsid w:val="00447A1D"/>
    <w:rsid w:val="00450CA3"/>
    <w:rsid w:val="00450CF5"/>
    <w:rsid w:val="00451B77"/>
    <w:rsid w:val="00452746"/>
    <w:rsid w:val="004527DF"/>
    <w:rsid w:val="00452B82"/>
    <w:rsid w:val="00452DA1"/>
    <w:rsid w:val="00452FE0"/>
    <w:rsid w:val="0045312A"/>
    <w:rsid w:val="004537F6"/>
    <w:rsid w:val="00453BFE"/>
    <w:rsid w:val="00453E3A"/>
    <w:rsid w:val="00453EED"/>
    <w:rsid w:val="00454130"/>
    <w:rsid w:val="00454D70"/>
    <w:rsid w:val="004560E3"/>
    <w:rsid w:val="00456712"/>
    <w:rsid w:val="0045690F"/>
    <w:rsid w:val="00456BDC"/>
    <w:rsid w:val="00456DBF"/>
    <w:rsid w:val="004600A3"/>
    <w:rsid w:val="004601C6"/>
    <w:rsid w:val="00460B7D"/>
    <w:rsid w:val="004617ED"/>
    <w:rsid w:val="00462119"/>
    <w:rsid w:val="00462314"/>
    <w:rsid w:val="00462779"/>
    <w:rsid w:val="00462879"/>
    <w:rsid w:val="00462A7D"/>
    <w:rsid w:val="004630A4"/>
    <w:rsid w:val="004634CB"/>
    <w:rsid w:val="004638CE"/>
    <w:rsid w:val="00464722"/>
    <w:rsid w:val="00464AA0"/>
    <w:rsid w:val="00465ED4"/>
    <w:rsid w:val="00466870"/>
    <w:rsid w:val="00466AAD"/>
    <w:rsid w:val="00466E24"/>
    <w:rsid w:val="0046768C"/>
    <w:rsid w:val="004676E1"/>
    <w:rsid w:val="00467789"/>
    <w:rsid w:val="00467894"/>
    <w:rsid w:val="00467E6C"/>
    <w:rsid w:val="00470155"/>
    <w:rsid w:val="00470478"/>
    <w:rsid w:val="004709DD"/>
    <w:rsid w:val="004712FD"/>
    <w:rsid w:val="00472264"/>
    <w:rsid w:val="0047286A"/>
    <w:rsid w:val="00472D62"/>
    <w:rsid w:val="00473675"/>
    <w:rsid w:val="004739D2"/>
    <w:rsid w:val="00473C67"/>
    <w:rsid w:val="00473FE9"/>
    <w:rsid w:val="0047435E"/>
    <w:rsid w:val="00474F7B"/>
    <w:rsid w:val="0047519C"/>
    <w:rsid w:val="0047557D"/>
    <w:rsid w:val="004756C0"/>
    <w:rsid w:val="004757D5"/>
    <w:rsid w:val="0047583F"/>
    <w:rsid w:val="00475E06"/>
    <w:rsid w:val="00475F67"/>
    <w:rsid w:val="004762A7"/>
    <w:rsid w:val="0047671A"/>
    <w:rsid w:val="00476F2B"/>
    <w:rsid w:val="004776D4"/>
    <w:rsid w:val="00480732"/>
    <w:rsid w:val="00480B33"/>
    <w:rsid w:val="00480B39"/>
    <w:rsid w:val="004811DA"/>
    <w:rsid w:val="00482025"/>
    <w:rsid w:val="004825BC"/>
    <w:rsid w:val="00482F72"/>
    <w:rsid w:val="0048304D"/>
    <w:rsid w:val="0048462C"/>
    <w:rsid w:val="00484C24"/>
    <w:rsid w:val="00484F7C"/>
    <w:rsid w:val="0048511B"/>
    <w:rsid w:val="0048530E"/>
    <w:rsid w:val="004853BB"/>
    <w:rsid w:val="004854B0"/>
    <w:rsid w:val="004854D7"/>
    <w:rsid w:val="004855AA"/>
    <w:rsid w:val="00485CD0"/>
    <w:rsid w:val="0048679F"/>
    <w:rsid w:val="00486CD8"/>
    <w:rsid w:val="00486CE1"/>
    <w:rsid w:val="00486DAB"/>
    <w:rsid w:val="00487090"/>
    <w:rsid w:val="0048798E"/>
    <w:rsid w:val="004900C0"/>
    <w:rsid w:val="004902FF"/>
    <w:rsid w:val="00490B5E"/>
    <w:rsid w:val="0049134C"/>
    <w:rsid w:val="004920AA"/>
    <w:rsid w:val="00492178"/>
    <w:rsid w:val="00492B65"/>
    <w:rsid w:val="00492FEE"/>
    <w:rsid w:val="0049362A"/>
    <w:rsid w:val="00493CD3"/>
    <w:rsid w:val="00494926"/>
    <w:rsid w:val="00494C2C"/>
    <w:rsid w:val="00494CA7"/>
    <w:rsid w:val="0049572A"/>
    <w:rsid w:val="0049573D"/>
    <w:rsid w:val="004959EC"/>
    <w:rsid w:val="00495CC6"/>
    <w:rsid w:val="004961EB"/>
    <w:rsid w:val="00496594"/>
    <w:rsid w:val="004973CA"/>
    <w:rsid w:val="00497BCF"/>
    <w:rsid w:val="004A006E"/>
    <w:rsid w:val="004A147A"/>
    <w:rsid w:val="004A1507"/>
    <w:rsid w:val="004A1EEB"/>
    <w:rsid w:val="004A23E6"/>
    <w:rsid w:val="004A26D1"/>
    <w:rsid w:val="004A3B8A"/>
    <w:rsid w:val="004A3FDB"/>
    <w:rsid w:val="004A40C2"/>
    <w:rsid w:val="004A48B2"/>
    <w:rsid w:val="004A593E"/>
    <w:rsid w:val="004A64E8"/>
    <w:rsid w:val="004A74E5"/>
    <w:rsid w:val="004A777A"/>
    <w:rsid w:val="004A7D05"/>
    <w:rsid w:val="004B0AFA"/>
    <w:rsid w:val="004B0D27"/>
    <w:rsid w:val="004B121B"/>
    <w:rsid w:val="004B247B"/>
    <w:rsid w:val="004B2632"/>
    <w:rsid w:val="004B2C1E"/>
    <w:rsid w:val="004B3258"/>
    <w:rsid w:val="004B34ED"/>
    <w:rsid w:val="004B35D1"/>
    <w:rsid w:val="004B42DB"/>
    <w:rsid w:val="004B459E"/>
    <w:rsid w:val="004B4623"/>
    <w:rsid w:val="004B4F88"/>
    <w:rsid w:val="004B5647"/>
    <w:rsid w:val="004B5D9E"/>
    <w:rsid w:val="004B672E"/>
    <w:rsid w:val="004B72A0"/>
    <w:rsid w:val="004B74AB"/>
    <w:rsid w:val="004B76F6"/>
    <w:rsid w:val="004C080F"/>
    <w:rsid w:val="004C0B8B"/>
    <w:rsid w:val="004C10F2"/>
    <w:rsid w:val="004C21DF"/>
    <w:rsid w:val="004C3D07"/>
    <w:rsid w:val="004C3F2C"/>
    <w:rsid w:val="004C5EBD"/>
    <w:rsid w:val="004C65C1"/>
    <w:rsid w:val="004C6F72"/>
    <w:rsid w:val="004C71C4"/>
    <w:rsid w:val="004C789B"/>
    <w:rsid w:val="004C79E4"/>
    <w:rsid w:val="004D0472"/>
    <w:rsid w:val="004D051A"/>
    <w:rsid w:val="004D079A"/>
    <w:rsid w:val="004D087E"/>
    <w:rsid w:val="004D1072"/>
    <w:rsid w:val="004D1C49"/>
    <w:rsid w:val="004D20EE"/>
    <w:rsid w:val="004D2CB2"/>
    <w:rsid w:val="004D35D3"/>
    <w:rsid w:val="004D3AA9"/>
    <w:rsid w:val="004D3F95"/>
    <w:rsid w:val="004D41A4"/>
    <w:rsid w:val="004D4612"/>
    <w:rsid w:val="004D4670"/>
    <w:rsid w:val="004D47E8"/>
    <w:rsid w:val="004D4CDC"/>
    <w:rsid w:val="004D5696"/>
    <w:rsid w:val="004D5A4C"/>
    <w:rsid w:val="004D62BE"/>
    <w:rsid w:val="004D66BF"/>
    <w:rsid w:val="004D7C40"/>
    <w:rsid w:val="004D7FB7"/>
    <w:rsid w:val="004E0A89"/>
    <w:rsid w:val="004E0B7B"/>
    <w:rsid w:val="004E1294"/>
    <w:rsid w:val="004E1F04"/>
    <w:rsid w:val="004E2054"/>
    <w:rsid w:val="004E2337"/>
    <w:rsid w:val="004E2974"/>
    <w:rsid w:val="004E3405"/>
    <w:rsid w:val="004E3BAC"/>
    <w:rsid w:val="004E4074"/>
    <w:rsid w:val="004E461E"/>
    <w:rsid w:val="004E612F"/>
    <w:rsid w:val="004E6599"/>
    <w:rsid w:val="004E6995"/>
    <w:rsid w:val="004E6F41"/>
    <w:rsid w:val="004E700E"/>
    <w:rsid w:val="004E721B"/>
    <w:rsid w:val="004E7883"/>
    <w:rsid w:val="004E7FB1"/>
    <w:rsid w:val="004F00A5"/>
    <w:rsid w:val="004F0201"/>
    <w:rsid w:val="004F0252"/>
    <w:rsid w:val="004F027E"/>
    <w:rsid w:val="004F0439"/>
    <w:rsid w:val="004F0542"/>
    <w:rsid w:val="004F0E71"/>
    <w:rsid w:val="004F0FAA"/>
    <w:rsid w:val="004F196F"/>
    <w:rsid w:val="004F2AC1"/>
    <w:rsid w:val="004F2E03"/>
    <w:rsid w:val="004F2F4A"/>
    <w:rsid w:val="004F2F84"/>
    <w:rsid w:val="004F3A13"/>
    <w:rsid w:val="004F3AF7"/>
    <w:rsid w:val="004F3F05"/>
    <w:rsid w:val="004F3FE4"/>
    <w:rsid w:val="004F4BB9"/>
    <w:rsid w:val="004F5303"/>
    <w:rsid w:val="004F5501"/>
    <w:rsid w:val="004F55A5"/>
    <w:rsid w:val="004F5903"/>
    <w:rsid w:val="004F6CC2"/>
    <w:rsid w:val="004F71BA"/>
    <w:rsid w:val="004F744E"/>
    <w:rsid w:val="00500799"/>
    <w:rsid w:val="00500C11"/>
    <w:rsid w:val="00501555"/>
    <w:rsid w:val="00501676"/>
    <w:rsid w:val="00501A28"/>
    <w:rsid w:val="00502869"/>
    <w:rsid w:val="0050324B"/>
    <w:rsid w:val="0050460C"/>
    <w:rsid w:val="00504B33"/>
    <w:rsid w:val="005050E8"/>
    <w:rsid w:val="00505230"/>
    <w:rsid w:val="005054B1"/>
    <w:rsid w:val="005054E7"/>
    <w:rsid w:val="00506079"/>
    <w:rsid w:val="00506194"/>
    <w:rsid w:val="00506457"/>
    <w:rsid w:val="005069BE"/>
    <w:rsid w:val="00506A4B"/>
    <w:rsid w:val="00507E70"/>
    <w:rsid w:val="0051040B"/>
    <w:rsid w:val="00510711"/>
    <w:rsid w:val="00511197"/>
    <w:rsid w:val="00511434"/>
    <w:rsid w:val="00511703"/>
    <w:rsid w:val="00511D62"/>
    <w:rsid w:val="00511E03"/>
    <w:rsid w:val="00512054"/>
    <w:rsid w:val="005126C1"/>
    <w:rsid w:val="00513FB1"/>
    <w:rsid w:val="005145FE"/>
    <w:rsid w:val="00514717"/>
    <w:rsid w:val="00514AF7"/>
    <w:rsid w:val="00514C2B"/>
    <w:rsid w:val="00514F54"/>
    <w:rsid w:val="005153CD"/>
    <w:rsid w:val="00515A74"/>
    <w:rsid w:val="00517281"/>
    <w:rsid w:val="005204C2"/>
    <w:rsid w:val="0052062C"/>
    <w:rsid w:val="00520644"/>
    <w:rsid w:val="005209B7"/>
    <w:rsid w:val="00521673"/>
    <w:rsid w:val="00522558"/>
    <w:rsid w:val="005237A3"/>
    <w:rsid w:val="005244BC"/>
    <w:rsid w:val="00524774"/>
    <w:rsid w:val="005255ED"/>
    <w:rsid w:val="0052586F"/>
    <w:rsid w:val="00525946"/>
    <w:rsid w:val="00525A91"/>
    <w:rsid w:val="0052604D"/>
    <w:rsid w:val="00526173"/>
    <w:rsid w:val="00526437"/>
    <w:rsid w:val="005265C0"/>
    <w:rsid w:val="00526A85"/>
    <w:rsid w:val="0052726C"/>
    <w:rsid w:val="00527665"/>
    <w:rsid w:val="00527BCE"/>
    <w:rsid w:val="0053064C"/>
    <w:rsid w:val="00531B5F"/>
    <w:rsid w:val="0053241E"/>
    <w:rsid w:val="00533C53"/>
    <w:rsid w:val="005341F4"/>
    <w:rsid w:val="0053451D"/>
    <w:rsid w:val="00534CB0"/>
    <w:rsid w:val="00534FFE"/>
    <w:rsid w:val="005350DA"/>
    <w:rsid w:val="00535B8A"/>
    <w:rsid w:val="00535DEA"/>
    <w:rsid w:val="00535E88"/>
    <w:rsid w:val="00535FDD"/>
    <w:rsid w:val="005362A2"/>
    <w:rsid w:val="00536A1D"/>
    <w:rsid w:val="005371B7"/>
    <w:rsid w:val="00537539"/>
    <w:rsid w:val="005378F6"/>
    <w:rsid w:val="00537992"/>
    <w:rsid w:val="00537ECD"/>
    <w:rsid w:val="00537F1E"/>
    <w:rsid w:val="00540B06"/>
    <w:rsid w:val="00540C22"/>
    <w:rsid w:val="00541AC5"/>
    <w:rsid w:val="0054275F"/>
    <w:rsid w:val="00543168"/>
    <w:rsid w:val="00543BE3"/>
    <w:rsid w:val="00543F2D"/>
    <w:rsid w:val="00544072"/>
    <w:rsid w:val="005442C4"/>
    <w:rsid w:val="00544CC8"/>
    <w:rsid w:val="00546A97"/>
    <w:rsid w:val="005471AC"/>
    <w:rsid w:val="00547838"/>
    <w:rsid w:val="00550701"/>
    <w:rsid w:val="0055082B"/>
    <w:rsid w:val="005515BA"/>
    <w:rsid w:val="00551BCB"/>
    <w:rsid w:val="00551BF5"/>
    <w:rsid w:val="00551C22"/>
    <w:rsid w:val="00551CA4"/>
    <w:rsid w:val="00552422"/>
    <w:rsid w:val="005529AA"/>
    <w:rsid w:val="00552B14"/>
    <w:rsid w:val="00552E62"/>
    <w:rsid w:val="005536F6"/>
    <w:rsid w:val="005537F5"/>
    <w:rsid w:val="005539DE"/>
    <w:rsid w:val="005542F4"/>
    <w:rsid w:val="005549F5"/>
    <w:rsid w:val="00554DB3"/>
    <w:rsid w:val="00554E6E"/>
    <w:rsid w:val="00555597"/>
    <w:rsid w:val="00555655"/>
    <w:rsid w:val="00555AD1"/>
    <w:rsid w:val="0055640A"/>
    <w:rsid w:val="00556D29"/>
    <w:rsid w:val="005572C7"/>
    <w:rsid w:val="00557435"/>
    <w:rsid w:val="0055760A"/>
    <w:rsid w:val="005577EF"/>
    <w:rsid w:val="005577F8"/>
    <w:rsid w:val="005578CA"/>
    <w:rsid w:val="00557DE6"/>
    <w:rsid w:val="005604C8"/>
    <w:rsid w:val="00560B7B"/>
    <w:rsid w:val="00560F79"/>
    <w:rsid w:val="00561054"/>
    <w:rsid w:val="00561636"/>
    <w:rsid w:val="00561653"/>
    <w:rsid w:val="0056187D"/>
    <w:rsid w:val="00562A0A"/>
    <w:rsid w:val="00562E45"/>
    <w:rsid w:val="00562F48"/>
    <w:rsid w:val="00563B6C"/>
    <w:rsid w:val="00563DBF"/>
    <w:rsid w:val="00563F16"/>
    <w:rsid w:val="00564636"/>
    <w:rsid w:val="00564824"/>
    <w:rsid w:val="005649A7"/>
    <w:rsid w:val="00564BB1"/>
    <w:rsid w:val="0056568C"/>
    <w:rsid w:val="005663EA"/>
    <w:rsid w:val="00566538"/>
    <w:rsid w:val="00566F42"/>
    <w:rsid w:val="005676EB"/>
    <w:rsid w:val="005678B5"/>
    <w:rsid w:val="00570338"/>
    <w:rsid w:val="00570670"/>
    <w:rsid w:val="0057118B"/>
    <w:rsid w:val="00571DC8"/>
    <w:rsid w:val="00571E33"/>
    <w:rsid w:val="0057207C"/>
    <w:rsid w:val="005724A9"/>
    <w:rsid w:val="0057262D"/>
    <w:rsid w:val="0057309A"/>
    <w:rsid w:val="005730E5"/>
    <w:rsid w:val="00573127"/>
    <w:rsid w:val="005738CE"/>
    <w:rsid w:val="00573F35"/>
    <w:rsid w:val="00574094"/>
    <w:rsid w:val="005744AF"/>
    <w:rsid w:val="005747FB"/>
    <w:rsid w:val="00574BDF"/>
    <w:rsid w:val="00575301"/>
    <w:rsid w:val="005760AB"/>
    <w:rsid w:val="00576542"/>
    <w:rsid w:val="00576882"/>
    <w:rsid w:val="005768F3"/>
    <w:rsid w:val="00576BA3"/>
    <w:rsid w:val="005772F8"/>
    <w:rsid w:val="00580C80"/>
    <w:rsid w:val="00580F52"/>
    <w:rsid w:val="00582036"/>
    <w:rsid w:val="00582953"/>
    <w:rsid w:val="00582C61"/>
    <w:rsid w:val="00582D8F"/>
    <w:rsid w:val="00583657"/>
    <w:rsid w:val="00583909"/>
    <w:rsid w:val="00583ACB"/>
    <w:rsid w:val="00583D62"/>
    <w:rsid w:val="00583DF3"/>
    <w:rsid w:val="0058409F"/>
    <w:rsid w:val="00584E5B"/>
    <w:rsid w:val="005851EB"/>
    <w:rsid w:val="00585642"/>
    <w:rsid w:val="005857FA"/>
    <w:rsid w:val="00585AA0"/>
    <w:rsid w:val="00585C79"/>
    <w:rsid w:val="00586B8A"/>
    <w:rsid w:val="00586E0D"/>
    <w:rsid w:val="005900A5"/>
    <w:rsid w:val="005901B6"/>
    <w:rsid w:val="005906BF"/>
    <w:rsid w:val="005908FC"/>
    <w:rsid w:val="00590AE6"/>
    <w:rsid w:val="00590B56"/>
    <w:rsid w:val="00590C61"/>
    <w:rsid w:val="00590D9F"/>
    <w:rsid w:val="00591262"/>
    <w:rsid w:val="005916E9"/>
    <w:rsid w:val="005925D6"/>
    <w:rsid w:val="0059276D"/>
    <w:rsid w:val="005935C8"/>
    <w:rsid w:val="00593949"/>
    <w:rsid w:val="00593A31"/>
    <w:rsid w:val="00594A94"/>
    <w:rsid w:val="00594AFF"/>
    <w:rsid w:val="005950B4"/>
    <w:rsid w:val="0059650E"/>
    <w:rsid w:val="00596941"/>
    <w:rsid w:val="00596A2D"/>
    <w:rsid w:val="00597407"/>
    <w:rsid w:val="0059781D"/>
    <w:rsid w:val="005A0166"/>
    <w:rsid w:val="005A0275"/>
    <w:rsid w:val="005A042B"/>
    <w:rsid w:val="005A0C9F"/>
    <w:rsid w:val="005A135C"/>
    <w:rsid w:val="005A1502"/>
    <w:rsid w:val="005A1747"/>
    <w:rsid w:val="005A28A4"/>
    <w:rsid w:val="005A2954"/>
    <w:rsid w:val="005A3815"/>
    <w:rsid w:val="005A396D"/>
    <w:rsid w:val="005A4A3B"/>
    <w:rsid w:val="005A4AAD"/>
    <w:rsid w:val="005A54A1"/>
    <w:rsid w:val="005A6089"/>
    <w:rsid w:val="005A6827"/>
    <w:rsid w:val="005A6A63"/>
    <w:rsid w:val="005A74BD"/>
    <w:rsid w:val="005A75C6"/>
    <w:rsid w:val="005A76F8"/>
    <w:rsid w:val="005B18B0"/>
    <w:rsid w:val="005B1D86"/>
    <w:rsid w:val="005B209C"/>
    <w:rsid w:val="005B2504"/>
    <w:rsid w:val="005B2848"/>
    <w:rsid w:val="005B2D58"/>
    <w:rsid w:val="005B3FD3"/>
    <w:rsid w:val="005B423E"/>
    <w:rsid w:val="005B4444"/>
    <w:rsid w:val="005B4F9D"/>
    <w:rsid w:val="005B5B86"/>
    <w:rsid w:val="005B653C"/>
    <w:rsid w:val="005B6DC2"/>
    <w:rsid w:val="005B6F0D"/>
    <w:rsid w:val="005B749D"/>
    <w:rsid w:val="005B7A62"/>
    <w:rsid w:val="005B7C71"/>
    <w:rsid w:val="005C0820"/>
    <w:rsid w:val="005C1154"/>
    <w:rsid w:val="005C126A"/>
    <w:rsid w:val="005C1B1D"/>
    <w:rsid w:val="005C1FBC"/>
    <w:rsid w:val="005C23D3"/>
    <w:rsid w:val="005C3408"/>
    <w:rsid w:val="005C34EC"/>
    <w:rsid w:val="005C38F6"/>
    <w:rsid w:val="005C3BC4"/>
    <w:rsid w:val="005C4ECF"/>
    <w:rsid w:val="005C530B"/>
    <w:rsid w:val="005C5E1D"/>
    <w:rsid w:val="005C5EEA"/>
    <w:rsid w:val="005C7708"/>
    <w:rsid w:val="005C793B"/>
    <w:rsid w:val="005C7A45"/>
    <w:rsid w:val="005D006D"/>
    <w:rsid w:val="005D0203"/>
    <w:rsid w:val="005D03EA"/>
    <w:rsid w:val="005D0D77"/>
    <w:rsid w:val="005D0F02"/>
    <w:rsid w:val="005D1BE6"/>
    <w:rsid w:val="005D20D5"/>
    <w:rsid w:val="005D23F0"/>
    <w:rsid w:val="005D37BC"/>
    <w:rsid w:val="005D408D"/>
    <w:rsid w:val="005D4956"/>
    <w:rsid w:val="005D504C"/>
    <w:rsid w:val="005D57B3"/>
    <w:rsid w:val="005D5B54"/>
    <w:rsid w:val="005D6BFA"/>
    <w:rsid w:val="005D6FA3"/>
    <w:rsid w:val="005D73FE"/>
    <w:rsid w:val="005D7A0D"/>
    <w:rsid w:val="005D7C64"/>
    <w:rsid w:val="005D7EEA"/>
    <w:rsid w:val="005E0317"/>
    <w:rsid w:val="005E0667"/>
    <w:rsid w:val="005E1335"/>
    <w:rsid w:val="005E1451"/>
    <w:rsid w:val="005E19B7"/>
    <w:rsid w:val="005E1E75"/>
    <w:rsid w:val="005E2D4A"/>
    <w:rsid w:val="005E2ED4"/>
    <w:rsid w:val="005E2F85"/>
    <w:rsid w:val="005E318A"/>
    <w:rsid w:val="005E3C24"/>
    <w:rsid w:val="005E3C52"/>
    <w:rsid w:val="005E40F1"/>
    <w:rsid w:val="005E50E0"/>
    <w:rsid w:val="005E5663"/>
    <w:rsid w:val="005E5910"/>
    <w:rsid w:val="005E5C43"/>
    <w:rsid w:val="005E64FC"/>
    <w:rsid w:val="005E6833"/>
    <w:rsid w:val="005E70EF"/>
    <w:rsid w:val="005E7793"/>
    <w:rsid w:val="005E7DDA"/>
    <w:rsid w:val="005F01AF"/>
    <w:rsid w:val="005F032D"/>
    <w:rsid w:val="005F0372"/>
    <w:rsid w:val="005F0EAA"/>
    <w:rsid w:val="005F1CB2"/>
    <w:rsid w:val="005F2836"/>
    <w:rsid w:val="005F28A3"/>
    <w:rsid w:val="005F33C4"/>
    <w:rsid w:val="005F3EA4"/>
    <w:rsid w:val="005F57E9"/>
    <w:rsid w:val="005F5DDA"/>
    <w:rsid w:val="005F5E16"/>
    <w:rsid w:val="005F650F"/>
    <w:rsid w:val="005F6599"/>
    <w:rsid w:val="005F6C6B"/>
    <w:rsid w:val="005F6DE0"/>
    <w:rsid w:val="005F6F74"/>
    <w:rsid w:val="005F7D1E"/>
    <w:rsid w:val="005F7FF4"/>
    <w:rsid w:val="006001E6"/>
    <w:rsid w:val="006009A9"/>
    <w:rsid w:val="00600AA2"/>
    <w:rsid w:val="00600CA1"/>
    <w:rsid w:val="00601239"/>
    <w:rsid w:val="00601E8B"/>
    <w:rsid w:val="00601F49"/>
    <w:rsid w:val="006028D1"/>
    <w:rsid w:val="00603655"/>
    <w:rsid w:val="0060390D"/>
    <w:rsid w:val="006051F9"/>
    <w:rsid w:val="0060573D"/>
    <w:rsid w:val="00605A81"/>
    <w:rsid w:val="00605B89"/>
    <w:rsid w:val="00607004"/>
    <w:rsid w:val="006070A7"/>
    <w:rsid w:val="00607239"/>
    <w:rsid w:val="006072E0"/>
    <w:rsid w:val="0060753E"/>
    <w:rsid w:val="00607F92"/>
    <w:rsid w:val="00610060"/>
    <w:rsid w:val="006101E3"/>
    <w:rsid w:val="00611493"/>
    <w:rsid w:val="00611678"/>
    <w:rsid w:val="00611F23"/>
    <w:rsid w:val="00612B54"/>
    <w:rsid w:val="006131B6"/>
    <w:rsid w:val="0061339D"/>
    <w:rsid w:val="0061339F"/>
    <w:rsid w:val="006134CD"/>
    <w:rsid w:val="006135D5"/>
    <w:rsid w:val="00614306"/>
    <w:rsid w:val="006147F2"/>
    <w:rsid w:val="00614C4E"/>
    <w:rsid w:val="0061585D"/>
    <w:rsid w:val="00615926"/>
    <w:rsid w:val="00615BC7"/>
    <w:rsid w:val="00615C39"/>
    <w:rsid w:val="006166EA"/>
    <w:rsid w:val="006167E4"/>
    <w:rsid w:val="00616A6A"/>
    <w:rsid w:val="00616D9F"/>
    <w:rsid w:val="00616FCC"/>
    <w:rsid w:val="006179A7"/>
    <w:rsid w:val="006179B1"/>
    <w:rsid w:val="0062049E"/>
    <w:rsid w:val="0062069D"/>
    <w:rsid w:val="00620C5F"/>
    <w:rsid w:val="00621124"/>
    <w:rsid w:val="006213F4"/>
    <w:rsid w:val="006217C0"/>
    <w:rsid w:val="006218F8"/>
    <w:rsid w:val="00622480"/>
    <w:rsid w:val="006233F5"/>
    <w:rsid w:val="0062409B"/>
    <w:rsid w:val="00625176"/>
    <w:rsid w:val="00625D39"/>
    <w:rsid w:val="0062668E"/>
    <w:rsid w:val="006274B7"/>
    <w:rsid w:val="006279DC"/>
    <w:rsid w:val="00630500"/>
    <w:rsid w:val="00631146"/>
    <w:rsid w:val="006314D4"/>
    <w:rsid w:val="00631706"/>
    <w:rsid w:val="00631716"/>
    <w:rsid w:val="006318F9"/>
    <w:rsid w:val="006319F1"/>
    <w:rsid w:val="006323E9"/>
    <w:rsid w:val="00632CA8"/>
    <w:rsid w:val="00634366"/>
    <w:rsid w:val="00634B14"/>
    <w:rsid w:val="00635158"/>
    <w:rsid w:val="00635A73"/>
    <w:rsid w:val="00635F54"/>
    <w:rsid w:val="00636024"/>
    <w:rsid w:val="00636DDA"/>
    <w:rsid w:val="00637170"/>
    <w:rsid w:val="0063727D"/>
    <w:rsid w:val="006373E5"/>
    <w:rsid w:val="0063767D"/>
    <w:rsid w:val="0064179F"/>
    <w:rsid w:val="00641964"/>
    <w:rsid w:val="00641AA4"/>
    <w:rsid w:val="00642089"/>
    <w:rsid w:val="0064296A"/>
    <w:rsid w:val="006430C4"/>
    <w:rsid w:val="006435AE"/>
    <w:rsid w:val="00643936"/>
    <w:rsid w:val="00643E6F"/>
    <w:rsid w:val="00644041"/>
    <w:rsid w:val="006440D1"/>
    <w:rsid w:val="006451D0"/>
    <w:rsid w:val="006454B7"/>
    <w:rsid w:val="00645BAD"/>
    <w:rsid w:val="00646068"/>
    <w:rsid w:val="00646246"/>
    <w:rsid w:val="00646C45"/>
    <w:rsid w:val="00647309"/>
    <w:rsid w:val="00647D58"/>
    <w:rsid w:val="0065040F"/>
    <w:rsid w:val="006510CA"/>
    <w:rsid w:val="006510FC"/>
    <w:rsid w:val="00651380"/>
    <w:rsid w:val="006514C7"/>
    <w:rsid w:val="00651800"/>
    <w:rsid w:val="0065194B"/>
    <w:rsid w:val="00651C76"/>
    <w:rsid w:val="00651D99"/>
    <w:rsid w:val="0065247E"/>
    <w:rsid w:val="006526AB"/>
    <w:rsid w:val="00653683"/>
    <w:rsid w:val="00653739"/>
    <w:rsid w:val="006542A2"/>
    <w:rsid w:val="00654407"/>
    <w:rsid w:val="006545A5"/>
    <w:rsid w:val="00654A1C"/>
    <w:rsid w:val="006552D1"/>
    <w:rsid w:val="006552FF"/>
    <w:rsid w:val="0065594E"/>
    <w:rsid w:val="00655A2A"/>
    <w:rsid w:val="006560AE"/>
    <w:rsid w:val="006562AE"/>
    <w:rsid w:val="00656D42"/>
    <w:rsid w:val="0066080D"/>
    <w:rsid w:val="00660E4A"/>
    <w:rsid w:val="00660E95"/>
    <w:rsid w:val="006612AD"/>
    <w:rsid w:val="00661902"/>
    <w:rsid w:val="00661A4A"/>
    <w:rsid w:val="006620A6"/>
    <w:rsid w:val="00663104"/>
    <w:rsid w:val="0066312A"/>
    <w:rsid w:val="006632BA"/>
    <w:rsid w:val="00663939"/>
    <w:rsid w:val="0066403F"/>
    <w:rsid w:val="0066423F"/>
    <w:rsid w:val="006648D0"/>
    <w:rsid w:val="006649D7"/>
    <w:rsid w:val="00664CD1"/>
    <w:rsid w:val="00665287"/>
    <w:rsid w:val="006656C6"/>
    <w:rsid w:val="006656E6"/>
    <w:rsid w:val="00666850"/>
    <w:rsid w:val="00666B83"/>
    <w:rsid w:val="00666F92"/>
    <w:rsid w:val="00667009"/>
    <w:rsid w:val="00667750"/>
    <w:rsid w:val="00667AA9"/>
    <w:rsid w:val="00670120"/>
    <w:rsid w:val="0067014E"/>
    <w:rsid w:val="00670AEE"/>
    <w:rsid w:val="006721BD"/>
    <w:rsid w:val="00672B9E"/>
    <w:rsid w:val="00672BC9"/>
    <w:rsid w:val="00672D15"/>
    <w:rsid w:val="006732BB"/>
    <w:rsid w:val="00673B4A"/>
    <w:rsid w:val="00674021"/>
    <w:rsid w:val="00675C08"/>
    <w:rsid w:val="00676064"/>
    <w:rsid w:val="006763FB"/>
    <w:rsid w:val="0067667D"/>
    <w:rsid w:val="006774FB"/>
    <w:rsid w:val="006776D9"/>
    <w:rsid w:val="00680E1C"/>
    <w:rsid w:val="00680E5E"/>
    <w:rsid w:val="00680FBA"/>
    <w:rsid w:val="00681B99"/>
    <w:rsid w:val="0068209B"/>
    <w:rsid w:val="00682850"/>
    <w:rsid w:val="00682A89"/>
    <w:rsid w:val="00683785"/>
    <w:rsid w:val="00683BC9"/>
    <w:rsid w:val="00683D8B"/>
    <w:rsid w:val="00684368"/>
    <w:rsid w:val="00684556"/>
    <w:rsid w:val="0068490E"/>
    <w:rsid w:val="00684F73"/>
    <w:rsid w:val="00684F87"/>
    <w:rsid w:val="00685591"/>
    <w:rsid w:val="00686E24"/>
    <w:rsid w:val="0069116D"/>
    <w:rsid w:val="006913C3"/>
    <w:rsid w:val="00691993"/>
    <w:rsid w:val="0069341D"/>
    <w:rsid w:val="00694299"/>
    <w:rsid w:val="00694662"/>
    <w:rsid w:val="006946E4"/>
    <w:rsid w:val="006948E9"/>
    <w:rsid w:val="006959C3"/>
    <w:rsid w:val="00695B75"/>
    <w:rsid w:val="00696670"/>
    <w:rsid w:val="006966F6"/>
    <w:rsid w:val="00696AD9"/>
    <w:rsid w:val="00696E43"/>
    <w:rsid w:val="006971DE"/>
    <w:rsid w:val="006972D1"/>
    <w:rsid w:val="0069770F"/>
    <w:rsid w:val="00697ECB"/>
    <w:rsid w:val="006A10DA"/>
    <w:rsid w:val="006A12E2"/>
    <w:rsid w:val="006A19C5"/>
    <w:rsid w:val="006A310A"/>
    <w:rsid w:val="006A3123"/>
    <w:rsid w:val="006A356C"/>
    <w:rsid w:val="006A3E65"/>
    <w:rsid w:val="006A4D73"/>
    <w:rsid w:val="006A4DF4"/>
    <w:rsid w:val="006A4F0D"/>
    <w:rsid w:val="006A5150"/>
    <w:rsid w:val="006A5440"/>
    <w:rsid w:val="006A57A3"/>
    <w:rsid w:val="006A5ED9"/>
    <w:rsid w:val="006A5F5B"/>
    <w:rsid w:val="006A6780"/>
    <w:rsid w:val="006A6A52"/>
    <w:rsid w:val="006A6A76"/>
    <w:rsid w:val="006A703F"/>
    <w:rsid w:val="006A796E"/>
    <w:rsid w:val="006B05BD"/>
    <w:rsid w:val="006B0F27"/>
    <w:rsid w:val="006B1014"/>
    <w:rsid w:val="006B160C"/>
    <w:rsid w:val="006B26E4"/>
    <w:rsid w:val="006B2987"/>
    <w:rsid w:val="006B2A91"/>
    <w:rsid w:val="006B340A"/>
    <w:rsid w:val="006B38CF"/>
    <w:rsid w:val="006B3B4A"/>
    <w:rsid w:val="006B3CE0"/>
    <w:rsid w:val="006B4C94"/>
    <w:rsid w:val="006B4D6D"/>
    <w:rsid w:val="006B6A88"/>
    <w:rsid w:val="006B7CAF"/>
    <w:rsid w:val="006B7CD0"/>
    <w:rsid w:val="006B7DDC"/>
    <w:rsid w:val="006C052E"/>
    <w:rsid w:val="006C0599"/>
    <w:rsid w:val="006C06E6"/>
    <w:rsid w:val="006C081E"/>
    <w:rsid w:val="006C26CA"/>
    <w:rsid w:val="006C2852"/>
    <w:rsid w:val="006C2BA3"/>
    <w:rsid w:val="006C3F1E"/>
    <w:rsid w:val="006C49A6"/>
    <w:rsid w:val="006C4DDE"/>
    <w:rsid w:val="006C5E87"/>
    <w:rsid w:val="006C6331"/>
    <w:rsid w:val="006C648A"/>
    <w:rsid w:val="006C69AB"/>
    <w:rsid w:val="006C6B52"/>
    <w:rsid w:val="006C7086"/>
    <w:rsid w:val="006C78E0"/>
    <w:rsid w:val="006C7B84"/>
    <w:rsid w:val="006D0110"/>
    <w:rsid w:val="006D06C9"/>
    <w:rsid w:val="006D0D64"/>
    <w:rsid w:val="006D0EC1"/>
    <w:rsid w:val="006D194F"/>
    <w:rsid w:val="006D1B16"/>
    <w:rsid w:val="006D210C"/>
    <w:rsid w:val="006D2523"/>
    <w:rsid w:val="006D287A"/>
    <w:rsid w:val="006D4BBB"/>
    <w:rsid w:val="006D57A5"/>
    <w:rsid w:val="006D5A93"/>
    <w:rsid w:val="006D5B2C"/>
    <w:rsid w:val="006D5CBC"/>
    <w:rsid w:val="006D5DB4"/>
    <w:rsid w:val="006D61F9"/>
    <w:rsid w:val="006D7534"/>
    <w:rsid w:val="006D76FE"/>
    <w:rsid w:val="006D7962"/>
    <w:rsid w:val="006D7A0C"/>
    <w:rsid w:val="006D7D2E"/>
    <w:rsid w:val="006E06F5"/>
    <w:rsid w:val="006E07C9"/>
    <w:rsid w:val="006E0F7F"/>
    <w:rsid w:val="006E1436"/>
    <w:rsid w:val="006E17FD"/>
    <w:rsid w:val="006E18DB"/>
    <w:rsid w:val="006E1D3B"/>
    <w:rsid w:val="006E2046"/>
    <w:rsid w:val="006E25D3"/>
    <w:rsid w:val="006E2CF3"/>
    <w:rsid w:val="006E2EC0"/>
    <w:rsid w:val="006E3223"/>
    <w:rsid w:val="006E3A08"/>
    <w:rsid w:val="006E3F35"/>
    <w:rsid w:val="006E46D5"/>
    <w:rsid w:val="006E4BD6"/>
    <w:rsid w:val="006E50FF"/>
    <w:rsid w:val="006E58CC"/>
    <w:rsid w:val="006E5A3B"/>
    <w:rsid w:val="006E5DD8"/>
    <w:rsid w:val="006E5F64"/>
    <w:rsid w:val="006E6EEF"/>
    <w:rsid w:val="006E6FBC"/>
    <w:rsid w:val="006F001A"/>
    <w:rsid w:val="006F0618"/>
    <w:rsid w:val="006F071C"/>
    <w:rsid w:val="006F4A56"/>
    <w:rsid w:val="006F4DA6"/>
    <w:rsid w:val="006F500C"/>
    <w:rsid w:val="006F5BDD"/>
    <w:rsid w:val="006F65A9"/>
    <w:rsid w:val="006F6A03"/>
    <w:rsid w:val="006F6EEF"/>
    <w:rsid w:val="006F7638"/>
    <w:rsid w:val="006F7898"/>
    <w:rsid w:val="007000CF"/>
    <w:rsid w:val="007001E2"/>
    <w:rsid w:val="007008DB"/>
    <w:rsid w:val="00700B14"/>
    <w:rsid w:val="00700C17"/>
    <w:rsid w:val="0070194D"/>
    <w:rsid w:val="00702274"/>
    <w:rsid w:val="00702761"/>
    <w:rsid w:val="007031F4"/>
    <w:rsid w:val="00703C85"/>
    <w:rsid w:val="00704576"/>
    <w:rsid w:val="00704A31"/>
    <w:rsid w:val="00704E9B"/>
    <w:rsid w:val="00706008"/>
    <w:rsid w:val="007061FF"/>
    <w:rsid w:val="007067F9"/>
    <w:rsid w:val="00706A0E"/>
    <w:rsid w:val="00706BCE"/>
    <w:rsid w:val="007107AB"/>
    <w:rsid w:val="00710D25"/>
    <w:rsid w:val="00710F3E"/>
    <w:rsid w:val="00711F34"/>
    <w:rsid w:val="0071230E"/>
    <w:rsid w:val="00712419"/>
    <w:rsid w:val="00712513"/>
    <w:rsid w:val="00712557"/>
    <w:rsid w:val="00712706"/>
    <w:rsid w:val="007128FA"/>
    <w:rsid w:val="00712EB9"/>
    <w:rsid w:val="00712EBA"/>
    <w:rsid w:val="0071334C"/>
    <w:rsid w:val="00713472"/>
    <w:rsid w:val="00713552"/>
    <w:rsid w:val="0071381C"/>
    <w:rsid w:val="00713FDC"/>
    <w:rsid w:val="00714F28"/>
    <w:rsid w:val="007161E2"/>
    <w:rsid w:val="00716664"/>
    <w:rsid w:val="00716E41"/>
    <w:rsid w:val="0071702F"/>
    <w:rsid w:val="007171B2"/>
    <w:rsid w:val="00717482"/>
    <w:rsid w:val="00717D13"/>
    <w:rsid w:val="0072012E"/>
    <w:rsid w:val="0072036D"/>
    <w:rsid w:val="00720C98"/>
    <w:rsid w:val="00721319"/>
    <w:rsid w:val="007213D6"/>
    <w:rsid w:val="00721989"/>
    <w:rsid w:val="00722B2E"/>
    <w:rsid w:val="007231AC"/>
    <w:rsid w:val="00723989"/>
    <w:rsid w:val="00723B86"/>
    <w:rsid w:val="00724321"/>
    <w:rsid w:val="007254B1"/>
    <w:rsid w:val="00725755"/>
    <w:rsid w:val="00725AA6"/>
    <w:rsid w:val="00725F06"/>
    <w:rsid w:val="007261BB"/>
    <w:rsid w:val="00726327"/>
    <w:rsid w:val="007265CB"/>
    <w:rsid w:val="00726F54"/>
    <w:rsid w:val="00727804"/>
    <w:rsid w:val="0072788D"/>
    <w:rsid w:val="00727F79"/>
    <w:rsid w:val="00730C84"/>
    <w:rsid w:val="00731784"/>
    <w:rsid w:val="00731AF7"/>
    <w:rsid w:val="00731B7E"/>
    <w:rsid w:val="0073207C"/>
    <w:rsid w:val="007323DA"/>
    <w:rsid w:val="00732C62"/>
    <w:rsid w:val="007348E0"/>
    <w:rsid w:val="00734D97"/>
    <w:rsid w:val="00735AE3"/>
    <w:rsid w:val="00736335"/>
    <w:rsid w:val="007366A5"/>
    <w:rsid w:val="00736B0C"/>
    <w:rsid w:val="00737290"/>
    <w:rsid w:val="00737BE6"/>
    <w:rsid w:val="007400B0"/>
    <w:rsid w:val="00740160"/>
    <w:rsid w:val="0074144E"/>
    <w:rsid w:val="007416A2"/>
    <w:rsid w:val="007417FF"/>
    <w:rsid w:val="00741C36"/>
    <w:rsid w:val="0074266C"/>
    <w:rsid w:val="007435B5"/>
    <w:rsid w:val="007436FD"/>
    <w:rsid w:val="00743C47"/>
    <w:rsid w:val="007447E6"/>
    <w:rsid w:val="00744968"/>
    <w:rsid w:val="007455B2"/>
    <w:rsid w:val="00745B81"/>
    <w:rsid w:val="0074608F"/>
    <w:rsid w:val="0075148E"/>
    <w:rsid w:val="00751717"/>
    <w:rsid w:val="00751941"/>
    <w:rsid w:val="0075201F"/>
    <w:rsid w:val="00752BCC"/>
    <w:rsid w:val="007539B2"/>
    <w:rsid w:val="00753DE7"/>
    <w:rsid w:val="00754D5E"/>
    <w:rsid w:val="00756409"/>
    <w:rsid w:val="00756706"/>
    <w:rsid w:val="00757A93"/>
    <w:rsid w:val="00757DD8"/>
    <w:rsid w:val="00760A7C"/>
    <w:rsid w:val="00760D39"/>
    <w:rsid w:val="00760DB2"/>
    <w:rsid w:val="00760E32"/>
    <w:rsid w:val="00761E21"/>
    <w:rsid w:val="00761F16"/>
    <w:rsid w:val="007622D6"/>
    <w:rsid w:val="00762548"/>
    <w:rsid w:val="007626BC"/>
    <w:rsid w:val="00762ABE"/>
    <w:rsid w:val="0076301C"/>
    <w:rsid w:val="00763318"/>
    <w:rsid w:val="00763DA1"/>
    <w:rsid w:val="00763DC3"/>
    <w:rsid w:val="00763F54"/>
    <w:rsid w:val="00763FA7"/>
    <w:rsid w:val="00764520"/>
    <w:rsid w:val="00764F0F"/>
    <w:rsid w:val="007650F1"/>
    <w:rsid w:val="00765527"/>
    <w:rsid w:val="00765CD7"/>
    <w:rsid w:val="00765FF8"/>
    <w:rsid w:val="00766187"/>
    <w:rsid w:val="00766624"/>
    <w:rsid w:val="00766D1D"/>
    <w:rsid w:val="00767FC5"/>
    <w:rsid w:val="007703CC"/>
    <w:rsid w:val="00770A4B"/>
    <w:rsid w:val="00770A71"/>
    <w:rsid w:val="00770FA7"/>
    <w:rsid w:val="00771119"/>
    <w:rsid w:val="007720C2"/>
    <w:rsid w:val="0077211C"/>
    <w:rsid w:val="007725DC"/>
    <w:rsid w:val="00772841"/>
    <w:rsid w:val="007729A9"/>
    <w:rsid w:val="007729D4"/>
    <w:rsid w:val="00773002"/>
    <w:rsid w:val="0077332C"/>
    <w:rsid w:val="007733CD"/>
    <w:rsid w:val="00774203"/>
    <w:rsid w:val="00774540"/>
    <w:rsid w:val="007754CE"/>
    <w:rsid w:val="00775EDD"/>
    <w:rsid w:val="00775F19"/>
    <w:rsid w:val="00776118"/>
    <w:rsid w:val="00776246"/>
    <w:rsid w:val="00776882"/>
    <w:rsid w:val="00776A44"/>
    <w:rsid w:val="00776D66"/>
    <w:rsid w:val="00777174"/>
    <w:rsid w:val="00777ACD"/>
    <w:rsid w:val="007805D8"/>
    <w:rsid w:val="00780CBA"/>
    <w:rsid w:val="00781828"/>
    <w:rsid w:val="00781CD3"/>
    <w:rsid w:val="007821C0"/>
    <w:rsid w:val="00782461"/>
    <w:rsid w:val="007829B2"/>
    <w:rsid w:val="00783224"/>
    <w:rsid w:val="00783C89"/>
    <w:rsid w:val="00785324"/>
    <w:rsid w:val="007853A4"/>
    <w:rsid w:val="0078543A"/>
    <w:rsid w:val="007854B7"/>
    <w:rsid w:val="007857D9"/>
    <w:rsid w:val="00786954"/>
    <w:rsid w:val="00786CEC"/>
    <w:rsid w:val="0078741A"/>
    <w:rsid w:val="0078772A"/>
    <w:rsid w:val="00787DEC"/>
    <w:rsid w:val="00787FA9"/>
    <w:rsid w:val="00790852"/>
    <w:rsid w:val="00791A23"/>
    <w:rsid w:val="00792141"/>
    <w:rsid w:val="007922CF"/>
    <w:rsid w:val="00792AC3"/>
    <w:rsid w:val="00792BDD"/>
    <w:rsid w:val="00792E0E"/>
    <w:rsid w:val="0079386F"/>
    <w:rsid w:val="00793E9E"/>
    <w:rsid w:val="0079423D"/>
    <w:rsid w:val="007945A6"/>
    <w:rsid w:val="00794681"/>
    <w:rsid w:val="007948F7"/>
    <w:rsid w:val="0079512D"/>
    <w:rsid w:val="0079526A"/>
    <w:rsid w:val="00795614"/>
    <w:rsid w:val="0079569C"/>
    <w:rsid w:val="007958DA"/>
    <w:rsid w:val="00795A82"/>
    <w:rsid w:val="00795EA8"/>
    <w:rsid w:val="0079759E"/>
    <w:rsid w:val="007977C7"/>
    <w:rsid w:val="007A0C15"/>
    <w:rsid w:val="007A1074"/>
    <w:rsid w:val="007A1262"/>
    <w:rsid w:val="007A161B"/>
    <w:rsid w:val="007A1AE3"/>
    <w:rsid w:val="007A220B"/>
    <w:rsid w:val="007A24C0"/>
    <w:rsid w:val="007A2B5C"/>
    <w:rsid w:val="007A2D5D"/>
    <w:rsid w:val="007A2D68"/>
    <w:rsid w:val="007A2FFC"/>
    <w:rsid w:val="007A3035"/>
    <w:rsid w:val="007A33E6"/>
    <w:rsid w:val="007A4CEF"/>
    <w:rsid w:val="007A53AC"/>
    <w:rsid w:val="007A58F8"/>
    <w:rsid w:val="007A5FD7"/>
    <w:rsid w:val="007A662E"/>
    <w:rsid w:val="007A67E2"/>
    <w:rsid w:val="007A67F0"/>
    <w:rsid w:val="007A698F"/>
    <w:rsid w:val="007A6C8B"/>
    <w:rsid w:val="007A6EE8"/>
    <w:rsid w:val="007A6EE9"/>
    <w:rsid w:val="007A76BB"/>
    <w:rsid w:val="007B0532"/>
    <w:rsid w:val="007B06CC"/>
    <w:rsid w:val="007B07BB"/>
    <w:rsid w:val="007B0A5F"/>
    <w:rsid w:val="007B0FA4"/>
    <w:rsid w:val="007B1527"/>
    <w:rsid w:val="007B1B7E"/>
    <w:rsid w:val="007B21DE"/>
    <w:rsid w:val="007B2FFA"/>
    <w:rsid w:val="007B3A05"/>
    <w:rsid w:val="007B458B"/>
    <w:rsid w:val="007B4A48"/>
    <w:rsid w:val="007B53C7"/>
    <w:rsid w:val="007B5415"/>
    <w:rsid w:val="007B560C"/>
    <w:rsid w:val="007B5775"/>
    <w:rsid w:val="007B5913"/>
    <w:rsid w:val="007B6924"/>
    <w:rsid w:val="007B6F4A"/>
    <w:rsid w:val="007B7526"/>
    <w:rsid w:val="007B7864"/>
    <w:rsid w:val="007B7968"/>
    <w:rsid w:val="007B7C3D"/>
    <w:rsid w:val="007B7EC6"/>
    <w:rsid w:val="007C1673"/>
    <w:rsid w:val="007C17B4"/>
    <w:rsid w:val="007C1835"/>
    <w:rsid w:val="007C1F33"/>
    <w:rsid w:val="007C292B"/>
    <w:rsid w:val="007C3E0D"/>
    <w:rsid w:val="007C4C55"/>
    <w:rsid w:val="007C4EBE"/>
    <w:rsid w:val="007C4ECB"/>
    <w:rsid w:val="007C5399"/>
    <w:rsid w:val="007C5620"/>
    <w:rsid w:val="007C5889"/>
    <w:rsid w:val="007C593A"/>
    <w:rsid w:val="007C5B13"/>
    <w:rsid w:val="007C5D02"/>
    <w:rsid w:val="007C61E4"/>
    <w:rsid w:val="007C64C2"/>
    <w:rsid w:val="007C681D"/>
    <w:rsid w:val="007C6D95"/>
    <w:rsid w:val="007C76B7"/>
    <w:rsid w:val="007C7A5B"/>
    <w:rsid w:val="007C7C7C"/>
    <w:rsid w:val="007D00DA"/>
    <w:rsid w:val="007D022D"/>
    <w:rsid w:val="007D099B"/>
    <w:rsid w:val="007D0A0B"/>
    <w:rsid w:val="007D0A99"/>
    <w:rsid w:val="007D1330"/>
    <w:rsid w:val="007D20C8"/>
    <w:rsid w:val="007D21AE"/>
    <w:rsid w:val="007D2D7F"/>
    <w:rsid w:val="007D3E16"/>
    <w:rsid w:val="007D4D6C"/>
    <w:rsid w:val="007D54F4"/>
    <w:rsid w:val="007D5766"/>
    <w:rsid w:val="007D6634"/>
    <w:rsid w:val="007D760F"/>
    <w:rsid w:val="007D7CAD"/>
    <w:rsid w:val="007E0AFC"/>
    <w:rsid w:val="007E0BD1"/>
    <w:rsid w:val="007E1ED2"/>
    <w:rsid w:val="007E286F"/>
    <w:rsid w:val="007E2E02"/>
    <w:rsid w:val="007E3204"/>
    <w:rsid w:val="007E3B05"/>
    <w:rsid w:val="007E3E69"/>
    <w:rsid w:val="007E3FF3"/>
    <w:rsid w:val="007E4032"/>
    <w:rsid w:val="007E436F"/>
    <w:rsid w:val="007E4B62"/>
    <w:rsid w:val="007E5082"/>
    <w:rsid w:val="007E53C0"/>
    <w:rsid w:val="007E5F55"/>
    <w:rsid w:val="007E6335"/>
    <w:rsid w:val="007E7DD3"/>
    <w:rsid w:val="007F0242"/>
    <w:rsid w:val="007F04FE"/>
    <w:rsid w:val="007F0FA2"/>
    <w:rsid w:val="007F136C"/>
    <w:rsid w:val="007F1382"/>
    <w:rsid w:val="007F17A9"/>
    <w:rsid w:val="007F2057"/>
    <w:rsid w:val="007F29E4"/>
    <w:rsid w:val="007F2BAA"/>
    <w:rsid w:val="007F2C48"/>
    <w:rsid w:val="007F2F3B"/>
    <w:rsid w:val="007F426A"/>
    <w:rsid w:val="007F4432"/>
    <w:rsid w:val="007F4518"/>
    <w:rsid w:val="007F4F07"/>
    <w:rsid w:val="007F582A"/>
    <w:rsid w:val="007F59D5"/>
    <w:rsid w:val="007F6013"/>
    <w:rsid w:val="007F648D"/>
    <w:rsid w:val="007F6851"/>
    <w:rsid w:val="007F70F6"/>
    <w:rsid w:val="007F75F6"/>
    <w:rsid w:val="007F7B63"/>
    <w:rsid w:val="0080014B"/>
    <w:rsid w:val="008005A2"/>
    <w:rsid w:val="00800E54"/>
    <w:rsid w:val="008010FC"/>
    <w:rsid w:val="00801DB8"/>
    <w:rsid w:val="00802573"/>
    <w:rsid w:val="0080288E"/>
    <w:rsid w:val="00802CCC"/>
    <w:rsid w:val="00802D11"/>
    <w:rsid w:val="00802E43"/>
    <w:rsid w:val="00803F5E"/>
    <w:rsid w:val="0080415E"/>
    <w:rsid w:val="008045B5"/>
    <w:rsid w:val="00804910"/>
    <w:rsid w:val="008052DC"/>
    <w:rsid w:val="0080588B"/>
    <w:rsid w:val="00805C9D"/>
    <w:rsid w:val="008060B2"/>
    <w:rsid w:val="0080742A"/>
    <w:rsid w:val="00807C15"/>
    <w:rsid w:val="00807EAD"/>
    <w:rsid w:val="00810103"/>
    <w:rsid w:val="00810696"/>
    <w:rsid w:val="00811548"/>
    <w:rsid w:val="0081178D"/>
    <w:rsid w:val="00811888"/>
    <w:rsid w:val="00811F63"/>
    <w:rsid w:val="00812EFD"/>
    <w:rsid w:val="00813F1B"/>
    <w:rsid w:val="00814066"/>
    <w:rsid w:val="008141A6"/>
    <w:rsid w:val="00814734"/>
    <w:rsid w:val="008148F0"/>
    <w:rsid w:val="00814B12"/>
    <w:rsid w:val="00814DE6"/>
    <w:rsid w:val="00815527"/>
    <w:rsid w:val="008155C8"/>
    <w:rsid w:val="00815C5B"/>
    <w:rsid w:val="00816372"/>
    <w:rsid w:val="00816ACC"/>
    <w:rsid w:val="00816E26"/>
    <w:rsid w:val="00817EFD"/>
    <w:rsid w:val="008219FF"/>
    <w:rsid w:val="00822F03"/>
    <w:rsid w:val="008232A2"/>
    <w:rsid w:val="00823EBE"/>
    <w:rsid w:val="00823EBF"/>
    <w:rsid w:val="0082493C"/>
    <w:rsid w:val="00824C27"/>
    <w:rsid w:val="008250AB"/>
    <w:rsid w:val="00825E62"/>
    <w:rsid w:val="008262AB"/>
    <w:rsid w:val="00826C10"/>
    <w:rsid w:val="00826E06"/>
    <w:rsid w:val="00827268"/>
    <w:rsid w:val="0082775A"/>
    <w:rsid w:val="00827B45"/>
    <w:rsid w:val="0083061A"/>
    <w:rsid w:val="00830A97"/>
    <w:rsid w:val="00830F98"/>
    <w:rsid w:val="00830FA0"/>
    <w:rsid w:val="008310AF"/>
    <w:rsid w:val="00831BCA"/>
    <w:rsid w:val="008326E7"/>
    <w:rsid w:val="008333A7"/>
    <w:rsid w:val="0083365B"/>
    <w:rsid w:val="00833661"/>
    <w:rsid w:val="0083457E"/>
    <w:rsid w:val="00834FC4"/>
    <w:rsid w:val="008352D1"/>
    <w:rsid w:val="0083544B"/>
    <w:rsid w:val="00835DE5"/>
    <w:rsid w:val="00836052"/>
    <w:rsid w:val="0083622E"/>
    <w:rsid w:val="0083631F"/>
    <w:rsid w:val="00836BEB"/>
    <w:rsid w:val="00837058"/>
    <w:rsid w:val="008373BB"/>
    <w:rsid w:val="0083747F"/>
    <w:rsid w:val="0083752B"/>
    <w:rsid w:val="00837D57"/>
    <w:rsid w:val="00840019"/>
    <w:rsid w:val="008404DD"/>
    <w:rsid w:val="008419BD"/>
    <w:rsid w:val="00841D18"/>
    <w:rsid w:val="00841FDA"/>
    <w:rsid w:val="00842CA5"/>
    <w:rsid w:val="00842FBD"/>
    <w:rsid w:val="00843783"/>
    <w:rsid w:val="00843F5C"/>
    <w:rsid w:val="0084428C"/>
    <w:rsid w:val="008447F0"/>
    <w:rsid w:val="00844A42"/>
    <w:rsid w:val="00844EDA"/>
    <w:rsid w:val="008459F9"/>
    <w:rsid w:val="00846081"/>
    <w:rsid w:val="00846308"/>
    <w:rsid w:val="00846A6F"/>
    <w:rsid w:val="00846B16"/>
    <w:rsid w:val="00846B52"/>
    <w:rsid w:val="00847949"/>
    <w:rsid w:val="00847CFD"/>
    <w:rsid w:val="008507A8"/>
    <w:rsid w:val="00851374"/>
    <w:rsid w:val="00851638"/>
    <w:rsid w:val="0085168C"/>
    <w:rsid w:val="00851AFC"/>
    <w:rsid w:val="00851F6F"/>
    <w:rsid w:val="00852245"/>
    <w:rsid w:val="00852583"/>
    <w:rsid w:val="00852C4D"/>
    <w:rsid w:val="00852F72"/>
    <w:rsid w:val="008531EC"/>
    <w:rsid w:val="00853203"/>
    <w:rsid w:val="00853389"/>
    <w:rsid w:val="00853C93"/>
    <w:rsid w:val="008546C9"/>
    <w:rsid w:val="00854E58"/>
    <w:rsid w:val="0085577E"/>
    <w:rsid w:val="00855996"/>
    <w:rsid w:val="00855BB0"/>
    <w:rsid w:val="00856355"/>
    <w:rsid w:val="0085699B"/>
    <w:rsid w:val="00856B1D"/>
    <w:rsid w:val="00856EDA"/>
    <w:rsid w:val="0085731F"/>
    <w:rsid w:val="00857570"/>
    <w:rsid w:val="00857C8F"/>
    <w:rsid w:val="00857CD3"/>
    <w:rsid w:val="0086035B"/>
    <w:rsid w:val="0086053E"/>
    <w:rsid w:val="00860BC9"/>
    <w:rsid w:val="00861733"/>
    <w:rsid w:val="008618ED"/>
    <w:rsid w:val="00861939"/>
    <w:rsid w:val="0086194F"/>
    <w:rsid w:val="0086242F"/>
    <w:rsid w:val="008628EB"/>
    <w:rsid w:val="00862E19"/>
    <w:rsid w:val="008631BB"/>
    <w:rsid w:val="00863A9A"/>
    <w:rsid w:val="00863BC4"/>
    <w:rsid w:val="008640C9"/>
    <w:rsid w:val="008642CF"/>
    <w:rsid w:val="00865EC5"/>
    <w:rsid w:val="008661D3"/>
    <w:rsid w:val="0086655C"/>
    <w:rsid w:val="00867092"/>
    <w:rsid w:val="008671DF"/>
    <w:rsid w:val="00867EB2"/>
    <w:rsid w:val="0087017B"/>
    <w:rsid w:val="008704C3"/>
    <w:rsid w:val="00870F82"/>
    <w:rsid w:val="0087119F"/>
    <w:rsid w:val="008728C2"/>
    <w:rsid w:val="008733DB"/>
    <w:rsid w:val="00873666"/>
    <w:rsid w:val="00873F66"/>
    <w:rsid w:val="008744BA"/>
    <w:rsid w:val="00874BAA"/>
    <w:rsid w:val="00875725"/>
    <w:rsid w:val="0087577E"/>
    <w:rsid w:val="00875B0F"/>
    <w:rsid w:val="00875EF5"/>
    <w:rsid w:val="008761A0"/>
    <w:rsid w:val="00877409"/>
    <w:rsid w:val="008777C3"/>
    <w:rsid w:val="00877D67"/>
    <w:rsid w:val="00881752"/>
    <w:rsid w:val="00881807"/>
    <w:rsid w:val="008819F3"/>
    <w:rsid w:val="00881CA9"/>
    <w:rsid w:val="00881D20"/>
    <w:rsid w:val="00882A69"/>
    <w:rsid w:val="00882E43"/>
    <w:rsid w:val="0088358F"/>
    <w:rsid w:val="008835FE"/>
    <w:rsid w:val="00883A12"/>
    <w:rsid w:val="00883F05"/>
    <w:rsid w:val="00884608"/>
    <w:rsid w:val="00884697"/>
    <w:rsid w:val="00884824"/>
    <w:rsid w:val="0088502F"/>
    <w:rsid w:val="00885278"/>
    <w:rsid w:val="00885AA3"/>
    <w:rsid w:val="00886DF8"/>
    <w:rsid w:val="00886E21"/>
    <w:rsid w:val="00887222"/>
    <w:rsid w:val="00887FDB"/>
    <w:rsid w:val="00890149"/>
    <w:rsid w:val="00890360"/>
    <w:rsid w:val="0089037D"/>
    <w:rsid w:val="008904FD"/>
    <w:rsid w:val="00891A30"/>
    <w:rsid w:val="00891A97"/>
    <w:rsid w:val="00891B93"/>
    <w:rsid w:val="00891F7C"/>
    <w:rsid w:val="00892416"/>
    <w:rsid w:val="008926C1"/>
    <w:rsid w:val="00893A51"/>
    <w:rsid w:val="00894245"/>
    <w:rsid w:val="00894301"/>
    <w:rsid w:val="008947B9"/>
    <w:rsid w:val="00894808"/>
    <w:rsid w:val="0089546C"/>
    <w:rsid w:val="008954B0"/>
    <w:rsid w:val="00895AE0"/>
    <w:rsid w:val="00896321"/>
    <w:rsid w:val="008964E9"/>
    <w:rsid w:val="00896585"/>
    <w:rsid w:val="008968C5"/>
    <w:rsid w:val="00896B3D"/>
    <w:rsid w:val="008A0722"/>
    <w:rsid w:val="008A085F"/>
    <w:rsid w:val="008A1176"/>
    <w:rsid w:val="008A1883"/>
    <w:rsid w:val="008A1C28"/>
    <w:rsid w:val="008A1FE7"/>
    <w:rsid w:val="008A2460"/>
    <w:rsid w:val="008A2701"/>
    <w:rsid w:val="008A2C16"/>
    <w:rsid w:val="008A2CA4"/>
    <w:rsid w:val="008A314A"/>
    <w:rsid w:val="008A33A8"/>
    <w:rsid w:val="008A377F"/>
    <w:rsid w:val="008A44EB"/>
    <w:rsid w:val="008A499E"/>
    <w:rsid w:val="008A4DFF"/>
    <w:rsid w:val="008A5C6B"/>
    <w:rsid w:val="008B0818"/>
    <w:rsid w:val="008B0FB4"/>
    <w:rsid w:val="008B10D2"/>
    <w:rsid w:val="008B13CF"/>
    <w:rsid w:val="008B2CC9"/>
    <w:rsid w:val="008B315E"/>
    <w:rsid w:val="008B3FE1"/>
    <w:rsid w:val="008B438C"/>
    <w:rsid w:val="008B44EB"/>
    <w:rsid w:val="008B4AB2"/>
    <w:rsid w:val="008B4E02"/>
    <w:rsid w:val="008B53F7"/>
    <w:rsid w:val="008B56B4"/>
    <w:rsid w:val="008B5D2E"/>
    <w:rsid w:val="008B61B4"/>
    <w:rsid w:val="008B637F"/>
    <w:rsid w:val="008B6C00"/>
    <w:rsid w:val="008B6F53"/>
    <w:rsid w:val="008B7068"/>
    <w:rsid w:val="008B79AD"/>
    <w:rsid w:val="008B79DE"/>
    <w:rsid w:val="008C0011"/>
    <w:rsid w:val="008C046D"/>
    <w:rsid w:val="008C05CD"/>
    <w:rsid w:val="008C0C55"/>
    <w:rsid w:val="008C0EED"/>
    <w:rsid w:val="008C151A"/>
    <w:rsid w:val="008C27D3"/>
    <w:rsid w:val="008C2E9A"/>
    <w:rsid w:val="008C300D"/>
    <w:rsid w:val="008C3D9F"/>
    <w:rsid w:val="008C3F96"/>
    <w:rsid w:val="008C3FC9"/>
    <w:rsid w:val="008C4834"/>
    <w:rsid w:val="008C5D80"/>
    <w:rsid w:val="008C5FEF"/>
    <w:rsid w:val="008C6024"/>
    <w:rsid w:val="008C604B"/>
    <w:rsid w:val="008C69AC"/>
    <w:rsid w:val="008C6C9B"/>
    <w:rsid w:val="008D0155"/>
    <w:rsid w:val="008D0871"/>
    <w:rsid w:val="008D0AC1"/>
    <w:rsid w:val="008D0CCF"/>
    <w:rsid w:val="008D1297"/>
    <w:rsid w:val="008D1530"/>
    <w:rsid w:val="008D1CA2"/>
    <w:rsid w:val="008D2C58"/>
    <w:rsid w:val="008D2FDE"/>
    <w:rsid w:val="008D2FE6"/>
    <w:rsid w:val="008D3235"/>
    <w:rsid w:val="008D32B7"/>
    <w:rsid w:val="008D43B5"/>
    <w:rsid w:val="008D46F8"/>
    <w:rsid w:val="008D4DF1"/>
    <w:rsid w:val="008D5BBE"/>
    <w:rsid w:val="008D5C09"/>
    <w:rsid w:val="008D60B0"/>
    <w:rsid w:val="008D6A93"/>
    <w:rsid w:val="008D7075"/>
    <w:rsid w:val="008D7186"/>
    <w:rsid w:val="008D7193"/>
    <w:rsid w:val="008D7280"/>
    <w:rsid w:val="008D76C5"/>
    <w:rsid w:val="008D7CBF"/>
    <w:rsid w:val="008E0C34"/>
    <w:rsid w:val="008E15EA"/>
    <w:rsid w:val="008E19E7"/>
    <w:rsid w:val="008E1AAF"/>
    <w:rsid w:val="008E2070"/>
    <w:rsid w:val="008E2308"/>
    <w:rsid w:val="008E267F"/>
    <w:rsid w:val="008E274F"/>
    <w:rsid w:val="008E292B"/>
    <w:rsid w:val="008E2D20"/>
    <w:rsid w:val="008E318A"/>
    <w:rsid w:val="008E3A1B"/>
    <w:rsid w:val="008E3FF1"/>
    <w:rsid w:val="008E48EA"/>
    <w:rsid w:val="008E4CA2"/>
    <w:rsid w:val="008E4CDF"/>
    <w:rsid w:val="008E5187"/>
    <w:rsid w:val="008E524B"/>
    <w:rsid w:val="008E6049"/>
    <w:rsid w:val="008E638E"/>
    <w:rsid w:val="008E65A8"/>
    <w:rsid w:val="008E68E9"/>
    <w:rsid w:val="008E6BD6"/>
    <w:rsid w:val="008E72C2"/>
    <w:rsid w:val="008E7E3C"/>
    <w:rsid w:val="008E7FE5"/>
    <w:rsid w:val="008F04D1"/>
    <w:rsid w:val="008F1430"/>
    <w:rsid w:val="008F1D6B"/>
    <w:rsid w:val="008F2933"/>
    <w:rsid w:val="008F2E2F"/>
    <w:rsid w:val="008F2E4C"/>
    <w:rsid w:val="008F3180"/>
    <w:rsid w:val="008F35EB"/>
    <w:rsid w:val="008F3649"/>
    <w:rsid w:val="008F3CC1"/>
    <w:rsid w:val="008F3EB9"/>
    <w:rsid w:val="008F48B2"/>
    <w:rsid w:val="008F5263"/>
    <w:rsid w:val="008F5379"/>
    <w:rsid w:val="008F5506"/>
    <w:rsid w:val="008F575F"/>
    <w:rsid w:val="008F5974"/>
    <w:rsid w:val="008F5DF0"/>
    <w:rsid w:val="008F6E5F"/>
    <w:rsid w:val="008F7154"/>
    <w:rsid w:val="008F77EE"/>
    <w:rsid w:val="00900F5F"/>
    <w:rsid w:val="009023FB"/>
    <w:rsid w:val="00902A16"/>
    <w:rsid w:val="00902A8A"/>
    <w:rsid w:val="00902EEE"/>
    <w:rsid w:val="00902F26"/>
    <w:rsid w:val="0090329C"/>
    <w:rsid w:val="00903A77"/>
    <w:rsid w:val="00903FD4"/>
    <w:rsid w:val="00904A50"/>
    <w:rsid w:val="00905B32"/>
    <w:rsid w:val="00905BD0"/>
    <w:rsid w:val="009065C8"/>
    <w:rsid w:val="00906A7E"/>
    <w:rsid w:val="00906B6E"/>
    <w:rsid w:val="00906C1F"/>
    <w:rsid w:val="00907672"/>
    <w:rsid w:val="00907D03"/>
    <w:rsid w:val="009101E1"/>
    <w:rsid w:val="00911106"/>
    <w:rsid w:val="00911A2C"/>
    <w:rsid w:val="00912BB4"/>
    <w:rsid w:val="00912F8C"/>
    <w:rsid w:val="00914744"/>
    <w:rsid w:val="00914FF6"/>
    <w:rsid w:val="00914FFE"/>
    <w:rsid w:val="009156AE"/>
    <w:rsid w:val="009157E1"/>
    <w:rsid w:val="00915DD0"/>
    <w:rsid w:val="00916206"/>
    <w:rsid w:val="00917659"/>
    <w:rsid w:val="00917AA9"/>
    <w:rsid w:val="00917AE8"/>
    <w:rsid w:val="0092005B"/>
    <w:rsid w:val="00920BC3"/>
    <w:rsid w:val="00921CFF"/>
    <w:rsid w:val="00921F23"/>
    <w:rsid w:val="00922284"/>
    <w:rsid w:val="00922392"/>
    <w:rsid w:val="009236C3"/>
    <w:rsid w:val="00923B22"/>
    <w:rsid w:val="00923B6F"/>
    <w:rsid w:val="00923BC0"/>
    <w:rsid w:val="0092451D"/>
    <w:rsid w:val="00924818"/>
    <w:rsid w:val="00925549"/>
    <w:rsid w:val="009262BB"/>
    <w:rsid w:val="00926C5B"/>
    <w:rsid w:val="00926C9B"/>
    <w:rsid w:val="00927050"/>
    <w:rsid w:val="00927465"/>
    <w:rsid w:val="00927970"/>
    <w:rsid w:val="0092798B"/>
    <w:rsid w:val="00927C85"/>
    <w:rsid w:val="00930159"/>
    <w:rsid w:val="00930AC6"/>
    <w:rsid w:val="00930FCC"/>
    <w:rsid w:val="00931FB3"/>
    <w:rsid w:val="0093294A"/>
    <w:rsid w:val="00932D2F"/>
    <w:rsid w:val="009331BD"/>
    <w:rsid w:val="009332B4"/>
    <w:rsid w:val="00933601"/>
    <w:rsid w:val="009336BE"/>
    <w:rsid w:val="00933920"/>
    <w:rsid w:val="00933A49"/>
    <w:rsid w:val="00933E48"/>
    <w:rsid w:val="0093430F"/>
    <w:rsid w:val="00934B40"/>
    <w:rsid w:val="00934B42"/>
    <w:rsid w:val="00935026"/>
    <w:rsid w:val="00935115"/>
    <w:rsid w:val="00936667"/>
    <w:rsid w:val="00936774"/>
    <w:rsid w:val="00936B25"/>
    <w:rsid w:val="00936CDD"/>
    <w:rsid w:val="00936E97"/>
    <w:rsid w:val="00937381"/>
    <w:rsid w:val="00937494"/>
    <w:rsid w:val="009375CE"/>
    <w:rsid w:val="0093761C"/>
    <w:rsid w:val="00940B8A"/>
    <w:rsid w:val="009414F3"/>
    <w:rsid w:val="009423CD"/>
    <w:rsid w:val="00942705"/>
    <w:rsid w:val="00943522"/>
    <w:rsid w:val="00943721"/>
    <w:rsid w:val="00943DB7"/>
    <w:rsid w:val="00943F03"/>
    <w:rsid w:val="00943FDE"/>
    <w:rsid w:val="009443BD"/>
    <w:rsid w:val="009450A6"/>
    <w:rsid w:val="00945825"/>
    <w:rsid w:val="00945ED1"/>
    <w:rsid w:val="009464DA"/>
    <w:rsid w:val="00946644"/>
    <w:rsid w:val="00946EE5"/>
    <w:rsid w:val="009476BD"/>
    <w:rsid w:val="00947A9D"/>
    <w:rsid w:val="00950825"/>
    <w:rsid w:val="00950B8E"/>
    <w:rsid w:val="0095101F"/>
    <w:rsid w:val="00951564"/>
    <w:rsid w:val="009516A6"/>
    <w:rsid w:val="00952E00"/>
    <w:rsid w:val="00952FFF"/>
    <w:rsid w:val="0095358A"/>
    <w:rsid w:val="00953988"/>
    <w:rsid w:val="0095399B"/>
    <w:rsid w:val="00953C53"/>
    <w:rsid w:val="0095430F"/>
    <w:rsid w:val="00954D19"/>
    <w:rsid w:val="009555C0"/>
    <w:rsid w:val="00955C0B"/>
    <w:rsid w:val="009565D6"/>
    <w:rsid w:val="0095731E"/>
    <w:rsid w:val="009577D2"/>
    <w:rsid w:val="00957B11"/>
    <w:rsid w:val="00957C3C"/>
    <w:rsid w:val="0096066F"/>
    <w:rsid w:val="00960745"/>
    <w:rsid w:val="00961C66"/>
    <w:rsid w:val="00961D78"/>
    <w:rsid w:val="009625AE"/>
    <w:rsid w:val="0096263A"/>
    <w:rsid w:val="00962653"/>
    <w:rsid w:val="00962935"/>
    <w:rsid w:val="009630A2"/>
    <w:rsid w:val="009642C7"/>
    <w:rsid w:val="009645D8"/>
    <w:rsid w:val="00964A08"/>
    <w:rsid w:val="00964A4C"/>
    <w:rsid w:val="00964B91"/>
    <w:rsid w:val="00964FEB"/>
    <w:rsid w:val="00965135"/>
    <w:rsid w:val="00965728"/>
    <w:rsid w:val="009669B1"/>
    <w:rsid w:val="00966C09"/>
    <w:rsid w:val="00967039"/>
    <w:rsid w:val="00967527"/>
    <w:rsid w:val="00967C89"/>
    <w:rsid w:val="00967EFD"/>
    <w:rsid w:val="00967F23"/>
    <w:rsid w:val="009702C4"/>
    <w:rsid w:val="00970B1B"/>
    <w:rsid w:val="009710A6"/>
    <w:rsid w:val="00971180"/>
    <w:rsid w:val="009714C0"/>
    <w:rsid w:val="00971E6B"/>
    <w:rsid w:val="009727F9"/>
    <w:rsid w:val="00972FBF"/>
    <w:rsid w:val="00973091"/>
    <w:rsid w:val="0097333B"/>
    <w:rsid w:val="0097386B"/>
    <w:rsid w:val="00973EE7"/>
    <w:rsid w:val="009747C7"/>
    <w:rsid w:val="009750AB"/>
    <w:rsid w:val="00976661"/>
    <w:rsid w:val="00976846"/>
    <w:rsid w:val="00976863"/>
    <w:rsid w:val="0097765E"/>
    <w:rsid w:val="00977C5D"/>
    <w:rsid w:val="0098097B"/>
    <w:rsid w:val="00980AE9"/>
    <w:rsid w:val="009818E4"/>
    <w:rsid w:val="009820C0"/>
    <w:rsid w:val="009824B9"/>
    <w:rsid w:val="009824DF"/>
    <w:rsid w:val="00983229"/>
    <w:rsid w:val="0098362B"/>
    <w:rsid w:val="009836B1"/>
    <w:rsid w:val="00983AA6"/>
    <w:rsid w:val="0098448F"/>
    <w:rsid w:val="00985430"/>
    <w:rsid w:val="00985DE7"/>
    <w:rsid w:val="009863F5"/>
    <w:rsid w:val="009867E1"/>
    <w:rsid w:val="009868B1"/>
    <w:rsid w:val="00986ADB"/>
    <w:rsid w:val="00986B79"/>
    <w:rsid w:val="009871FB"/>
    <w:rsid w:val="0098783F"/>
    <w:rsid w:val="00987C13"/>
    <w:rsid w:val="0099013D"/>
    <w:rsid w:val="00990A01"/>
    <w:rsid w:val="00991799"/>
    <w:rsid w:val="00991AA3"/>
    <w:rsid w:val="0099233B"/>
    <w:rsid w:val="00992902"/>
    <w:rsid w:val="00992DB7"/>
    <w:rsid w:val="00993D9B"/>
    <w:rsid w:val="009944C7"/>
    <w:rsid w:val="009952E7"/>
    <w:rsid w:val="0099577A"/>
    <w:rsid w:val="009969B5"/>
    <w:rsid w:val="00997792"/>
    <w:rsid w:val="009A006C"/>
    <w:rsid w:val="009A04DC"/>
    <w:rsid w:val="009A19FC"/>
    <w:rsid w:val="009A1EB9"/>
    <w:rsid w:val="009A2462"/>
    <w:rsid w:val="009A3B1C"/>
    <w:rsid w:val="009A3BE5"/>
    <w:rsid w:val="009A3DEB"/>
    <w:rsid w:val="009A4087"/>
    <w:rsid w:val="009A413A"/>
    <w:rsid w:val="009A48C5"/>
    <w:rsid w:val="009A49D7"/>
    <w:rsid w:val="009A4DA5"/>
    <w:rsid w:val="009A4DAE"/>
    <w:rsid w:val="009A4EE4"/>
    <w:rsid w:val="009A5840"/>
    <w:rsid w:val="009A59E0"/>
    <w:rsid w:val="009A6411"/>
    <w:rsid w:val="009A6EC8"/>
    <w:rsid w:val="009A737E"/>
    <w:rsid w:val="009A75E2"/>
    <w:rsid w:val="009B09D2"/>
    <w:rsid w:val="009B0A33"/>
    <w:rsid w:val="009B0B02"/>
    <w:rsid w:val="009B0C25"/>
    <w:rsid w:val="009B12CF"/>
    <w:rsid w:val="009B1B07"/>
    <w:rsid w:val="009B1E98"/>
    <w:rsid w:val="009B28A5"/>
    <w:rsid w:val="009B3F70"/>
    <w:rsid w:val="009B406F"/>
    <w:rsid w:val="009B4641"/>
    <w:rsid w:val="009B5EF9"/>
    <w:rsid w:val="009B6212"/>
    <w:rsid w:val="009B6444"/>
    <w:rsid w:val="009B6B6F"/>
    <w:rsid w:val="009B6BA7"/>
    <w:rsid w:val="009B6ED5"/>
    <w:rsid w:val="009B7C3E"/>
    <w:rsid w:val="009B7C43"/>
    <w:rsid w:val="009C0530"/>
    <w:rsid w:val="009C0880"/>
    <w:rsid w:val="009C0994"/>
    <w:rsid w:val="009C10FE"/>
    <w:rsid w:val="009C18C8"/>
    <w:rsid w:val="009C1AED"/>
    <w:rsid w:val="009C1F4B"/>
    <w:rsid w:val="009C25FF"/>
    <w:rsid w:val="009C2BCC"/>
    <w:rsid w:val="009C2E04"/>
    <w:rsid w:val="009C3386"/>
    <w:rsid w:val="009C5368"/>
    <w:rsid w:val="009C53D5"/>
    <w:rsid w:val="009C61D6"/>
    <w:rsid w:val="009C62A9"/>
    <w:rsid w:val="009C63AF"/>
    <w:rsid w:val="009C65C6"/>
    <w:rsid w:val="009C6812"/>
    <w:rsid w:val="009C683B"/>
    <w:rsid w:val="009C7568"/>
    <w:rsid w:val="009C77A0"/>
    <w:rsid w:val="009C7C52"/>
    <w:rsid w:val="009C7CCA"/>
    <w:rsid w:val="009D0266"/>
    <w:rsid w:val="009D068C"/>
    <w:rsid w:val="009D0A53"/>
    <w:rsid w:val="009D0A67"/>
    <w:rsid w:val="009D1D0C"/>
    <w:rsid w:val="009D252C"/>
    <w:rsid w:val="009D30BD"/>
    <w:rsid w:val="009D30D5"/>
    <w:rsid w:val="009D4143"/>
    <w:rsid w:val="009D44D9"/>
    <w:rsid w:val="009D451C"/>
    <w:rsid w:val="009D467A"/>
    <w:rsid w:val="009D490C"/>
    <w:rsid w:val="009D512B"/>
    <w:rsid w:val="009D539B"/>
    <w:rsid w:val="009D5CF5"/>
    <w:rsid w:val="009D6C8B"/>
    <w:rsid w:val="009D7BF4"/>
    <w:rsid w:val="009E0263"/>
    <w:rsid w:val="009E0426"/>
    <w:rsid w:val="009E052C"/>
    <w:rsid w:val="009E090F"/>
    <w:rsid w:val="009E0917"/>
    <w:rsid w:val="009E0A78"/>
    <w:rsid w:val="009E117D"/>
    <w:rsid w:val="009E1E82"/>
    <w:rsid w:val="009E227E"/>
    <w:rsid w:val="009E4082"/>
    <w:rsid w:val="009E423A"/>
    <w:rsid w:val="009E4504"/>
    <w:rsid w:val="009E4615"/>
    <w:rsid w:val="009E4BA2"/>
    <w:rsid w:val="009E4D47"/>
    <w:rsid w:val="009E513F"/>
    <w:rsid w:val="009E5502"/>
    <w:rsid w:val="009E5B52"/>
    <w:rsid w:val="009E5C61"/>
    <w:rsid w:val="009E5D6B"/>
    <w:rsid w:val="009E63A7"/>
    <w:rsid w:val="009E649D"/>
    <w:rsid w:val="009E6861"/>
    <w:rsid w:val="009E75A8"/>
    <w:rsid w:val="009E76B1"/>
    <w:rsid w:val="009E791B"/>
    <w:rsid w:val="009F0A7B"/>
    <w:rsid w:val="009F0CDD"/>
    <w:rsid w:val="009F0F2B"/>
    <w:rsid w:val="009F11DA"/>
    <w:rsid w:val="009F1A57"/>
    <w:rsid w:val="009F2298"/>
    <w:rsid w:val="009F2340"/>
    <w:rsid w:val="009F2EDB"/>
    <w:rsid w:val="009F330E"/>
    <w:rsid w:val="009F3463"/>
    <w:rsid w:val="009F3E33"/>
    <w:rsid w:val="009F40DC"/>
    <w:rsid w:val="009F4578"/>
    <w:rsid w:val="009F49A9"/>
    <w:rsid w:val="009F4AE3"/>
    <w:rsid w:val="009F4EE6"/>
    <w:rsid w:val="009F6319"/>
    <w:rsid w:val="009F6784"/>
    <w:rsid w:val="009F6984"/>
    <w:rsid w:val="009F6CC2"/>
    <w:rsid w:val="009F6CF3"/>
    <w:rsid w:val="009F74C4"/>
    <w:rsid w:val="009F7699"/>
    <w:rsid w:val="009F7A86"/>
    <w:rsid w:val="009F7AA4"/>
    <w:rsid w:val="00A00443"/>
    <w:rsid w:val="00A008B9"/>
    <w:rsid w:val="00A00A9D"/>
    <w:rsid w:val="00A00B9F"/>
    <w:rsid w:val="00A00C71"/>
    <w:rsid w:val="00A01285"/>
    <w:rsid w:val="00A013F7"/>
    <w:rsid w:val="00A015F2"/>
    <w:rsid w:val="00A0175E"/>
    <w:rsid w:val="00A02822"/>
    <w:rsid w:val="00A028AA"/>
    <w:rsid w:val="00A02C9C"/>
    <w:rsid w:val="00A03A40"/>
    <w:rsid w:val="00A03D78"/>
    <w:rsid w:val="00A03E84"/>
    <w:rsid w:val="00A04049"/>
    <w:rsid w:val="00A0455D"/>
    <w:rsid w:val="00A04653"/>
    <w:rsid w:val="00A04740"/>
    <w:rsid w:val="00A047B2"/>
    <w:rsid w:val="00A04831"/>
    <w:rsid w:val="00A04975"/>
    <w:rsid w:val="00A04A49"/>
    <w:rsid w:val="00A0697A"/>
    <w:rsid w:val="00A0702D"/>
    <w:rsid w:val="00A07479"/>
    <w:rsid w:val="00A079DB"/>
    <w:rsid w:val="00A10947"/>
    <w:rsid w:val="00A11B94"/>
    <w:rsid w:val="00A11C06"/>
    <w:rsid w:val="00A12BC5"/>
    <w:rsid w:val="00A12D03"/>
    <w:rsid w:val="00A1365D"/>
    <w:rsid w:val="00A1391C"/>
    <w:rsid w:val="00A139D5"/>
    <w:rsid w:val="00A13F0C"/>
    <w:rsid w:val="00A14193"/>
    <w:rsid w:val="00A144DB"/>
    <w:rsid w:val="00A155D7"/>
    <w:rsid w:val="00A15D14"/>
    <w:rsid w:val="00A168A5"/>
    <w:rsid w:val="00A16A6A"/>
    <w:rsid w:val="00A16A7E"/>
    <w:rsid w:val="00A17ED5"/>
    <w:rsid w:val="00A204E7"/>
    <w:rsid w:val="00A2060E"/>
    <w:rsid w:val="00A207E6"/>
    <w:rsid w:val="00A20A74"/>
    <w:rsid w:val="00A20AB0"/>
    <w:rsid w:val="00A20D06"/>
    <w:rsid w:val="00A20E13"/>
    <w:rsid w:val="00A2130D"/>
    <w:rsid w:val="00A214BB"/>
    <w:rsid w:val="00A21790"/>
    <w:rsid w:val="00A21AC0"/>
    <w:rsid w:val="00A21CB6"/>
    <w:rsid w:val="00A22653"/>
    <w:rsid w:val="00A22A52"/>
    <w:rsid w:val="00A22F73"/>
    <w:rsid w:val="00A2329C"/>
    <w:rsid w:val="00A2345D"/>
    <w:rsid w:val="00A2430F"/>
    <w:rsid w:val="00A24536"/>
    <w:rsid w:val="00A25358"/>
    <w:rsid w:val="00A256EF"/>
    <w:rsid w:val="00A25991"/>
    <w:rsid w:val="00A26581"/>
    <w:rsid w:val="00A26E8D"/>
    <w:rsid w:val="00A2735E"/>
    <w:rsid w:val="00A30215"/>
    <w:rsid w:val="00A307D8"/>
    <w:rsid w:val="00A30A75"/>
    <w:rsid w:val="00A31504"/>
    <w:rsid w:val="00A31868"/>
    <w:rsid w:val="00A31ABD"/>
    <w:rsid w:val="00A31CBB"/>
    <w:rsid w:val="00A31DE5"/>
    <w:rsid w:val="00A323BE"/>
    <w:rsid w:val="00A32574"/>
    <w:rsid w:val="00A32719"/>
    <w:rsid w:val="00A32AEC"/>
    <w:rsid w:val="00A32FB8"/>
    <w:rsid w:val="00A33257"/>
    <w:rsid w:val="00A332B5"/>
    <w:rsid w:val="00A333DE"/>
    <w:rsid w:val="00A334E6"/>
    <w:rsid w:val="00A33726"/>
    <w:rsid w:val="00A33ADB"/>
    <w:rsid w:val="00A33B77"/>
    <w:rsid w:val="00A34264"/>
    <w:rsid w:val="00A344DE"/>
    <w:rsid w:val="00A345AC"/>
    <w:rsid w:val="00A35241"/>
    <w:rsid w:val="00A355A7"/>
    <w:rsid w:val="00A35AA7"/>
    <w:rsid w:val="00A36911"/>
    <w:rsid w:val="00A369E6"/>
    <w:rsid w:val="00A36E31"/>
    <w:rsid w:val="00A4025E"/>
    <w:rsid w:val="00A40284"/>
    <w:rsid w:val="00A40339"/>
    <w:rsid w:val="00A416CC"/>
    <w:rsid w:val="00A41AE3"/>
    <w:rsid w:val="00A41DB5"/>
    <w:rsid w:val="00A429F8"/>
    <w:rsid w:val="00A42B44"/>
    <w:rsid w:val="00A43359"/>
    <w:rsid w:val="00A43553"/>
    <w:rsid w:val="00A43F12"/>
    <w:rsid w:val="00A4458E"/>
    <w:rsid w:val="00A445EF"/>
    <w:rsid w:val="00A44FCF"/>
    <w:rsid w:val="00A451DF"/>
    <w:rsid w:val="00A45772"/>
    <w:rsid w:val="00A45CE3"/>
    <w:rsid w:val="00A45FB7"/>
    <w:rsid w:val="00A4605B"/>
    <w:rsid w:val="00A4642B"/>
    <w:rsid w:val="00A46780"/>
    <w:rsid w:val="00A46965"/>
    <w:rsid w:val="00A47746"/>
    <w:rsid w:val="00A477FA"/>
    <w:rsid w:val="00A47CEF"/>
    <w:rsid w:val="00A47E66"/>
    <w:rsid w:val="00A501A0"/>
    <w:rsid w:val="00A502B5"/>
    <w:rsid w:val="00A50372"/>
    <w:rsid w:val="00A50595"/>
    <w:rsid w:val="00A50775"/>
    <w:rsid w:val="00A50928"/>
    <w:rsid w:val="00A511E1"/>
    <w:rsid w:val="00A5159D"/>
    <w:rsid w:val="00A51B49"/>
    <w:rsid w:val="00A51DB2"/>
    <w:rsid w:val="00A526B3"/>
    <w:rsid w:val="00A52D2F"/>
    <w:rsid w:val="00A536A8"/>
    <w:rsid w:val="00A54058"/>
    <w:rsid w:val="00A5407E"/>
    <w:rsid w:val="00A549F8"/>
    <w:rsid w:val="00A54AEF"/>
    <w:rsid w:val="00A5501D"/>
    <w:rsid w:val="00A55CB9"/>
    <w:rsid w:val="00A5640D"/>
    <w:rsid w:val="00A57605"/>
    <w:rsid w:val="00A57DCA"/>
    <w:rsid w:val="00A60EC9"/>
    <w:rsid w:val="00A612AE"/>
    <w:rsid w:val="00A6166E"/>
    <w:rsid w:val="00A62215"/>
    <w:rsid w:val="00A62217"/>
    <w:rsid w:val="00A62278"/>
    <w:rsid w:val="00A625B2"/>
    <w:rsid w:val="00A626C6"/>
    <w:rsid w:val="00A62AA9"/>
    <w:rsid w:val="00A62E73"/>
    <w:rsid w:val="00A631FA"/>
    <w:rsid w:val="00A6372D"/>
    <w:rsid w:val="00A6389A"/>
    <w:rsid w:val="00A63A2B"/>
    <w:rsid w:val="00A64046"/>
    <w:rsid w:val="00A643A4"/>
    <w:rsid w:val="00A6467B"/>
    <w:rsid w:val="00A64D9A"/>
    <w:rsid w:val="00A64F45"/>
    <w:rsid w:val="00A655E6"/>
    <w:rsid w:val="00A658C6"/>
    <w:rsid w:val="00A65AC9"/>
    <w:rsid w:val="00A6625C"/>
    <w:rsid w:val="00A66942"/>
    <w:rsid w:val="00A673D7"/>
    <w:rsid w:val="00A67751"/>
    <w:rsid w:val="00A70C4B"/>
    <w:rsid w:val="00A71602"/>
    <w:rsid w:val="00A721A3"/>
    <w:rsid w:val="00A72662"/>
    <w:rsid w:val="00A72C53"/>
    <w:rsid w:val="00A72CD7"/>
    <w:rsid w:val="00A732FA"/>
    <w:rsid w:val="00A74444"/>
    <w:rsid w:val="00A74698"/>
    <w:rsid w:val="00A74C2A"/>
    <w:rsid w:val="00A753EB"/>
    <w:rsid w:val="00A757C8"/>
    <w:rsid w:val="00A75940"/>
    <w:rsid w:val="00A75B1D"/>
    <w:rsid w:val="00A76388"/>
    <w:rsid w:val="00A76BDA"/>
    <w:rsid w:val="00A76BFC"/>
    <w:rsid w:val="00A76C04"/>
    <w:rsid w:val="00A76EEC"/>
    <w:rsid w:val="00A77842"/>
    <w:rsid w:val="00A77907"/>
    <w:rsid w:val="00A77AA9"/>
    <w:rsid w:val="00A80CB0"/>
    <w:rsid w:val="00A815AC"/>
    <w:rsid w:val="00A81AE7"/>
    <w:rsid w:val="00A81FA0"/>
    <w:rsid w:val="00A828C6"/>
    <w:rsid w:val="00A831C8"/>
    <w:rsid w:val="00A83358"/>
    <w:rsid w:val="00A8433E"/>
    <w:rsid w:val="00A84655"/>
    <w:rsid w:val="00A84682"/>
    <w:rsid w:val="00A84D6D"/>
    <w:rsid w:val="00A8545B"/>
    <w:rsid w:val="00A856D9"/>
    <w:rsid w:val="00A8656E"/>
    <w:rsid w:val="00A86C63"/>
    <w:rsid w:val="00A87560"/>
    <w:rsid w:val="00A87E07"/>
    <w:rsid w:val="00A90209"/>
    <w:rsid w:val="00A90236"/>
    <w:rsid w:val="00A90325"/>
    <w:rsid w:val="00A91ABE"/>
    <w:rsid w:val="00A929D8"/>
    <w:rsid w:val="00A92B53"/>
    <w:rsid w:val="00A931FB"/>
    <w:rsid w:val="00A9388A"/>
    <w:rsid w:val="00A9493C"/>
    <w:rsid w:val="00A949E7"/>
    <w:rsid w:val="00A94B80"/>
    <w:rsid w:val="00A9561B"/>
    <w:rsid w:val="00A95B90"/>
    <w:rsid w:val="00A9603C"/>
    <w:rsid w:val="00A9637D"/>
    <w:rsid w:val="00A966C2"/>
    <w:rsid w:val="00A96DC9"/>
    <w:rsid w:val="00A96F0B"/>
    <w:rsid w:val="00A96F16"/>
    <w:rsid w:val="00A9740E"/>
    <w:rsid w:val="00A97802"/>
    <w:rsid w:val="00A97890"/>
    <w:rsid w:val="00A97B15"/>
    <w:rsid w:val="00A97DBE"/>
    <w:rsid w:val="00A97EC2"/>
    <w:rsid w:val="00AA0528"/>
    <w:rsid w:val="00AA08BA"/>
    <w:rsid w:val="00AA115F"/>
    <w:rsid w:val="00AA14A9"/>
    <w:rsid w:val="00AA1656"/>
    <w:rsid w:val="00AA247C"/>
    <w:rsid w:val="00AA2E36"/>
    <w:rsid w:val="00AA2EA9"/>
    <w:rsid w:val="00AA2EB6"/>
    <w:rsid w:val="00AA34C7"/>
    <w:rsid w:val="00AA3902"/>
    <w:rsid w:val="00AA391B"/>
    <w:rsid w:val="00AA43F1"/>
    <w:rsid w:val="00AA43F6"/>
    <w:rsid w:val="00AA47F1"/>
    <w:rsid w:val="00AA5EA4"/>
    <w:rsid w:val="00AA619B"/>
    <w:rsid w:val="00AA7194"/>
    <w:rsid w:val="00AA7B49"/>
    <w:rsid w:val="00AA7BC6"/>
    <w:rsid w:val="00AA7C77"/>
    <w:rsid w:val="00AA7C82"/>
    <w:rsid w:val="00AA7CB9"/>
    <w:rsid w:val="00AB14AA"/>
    <w:rsid w:val="00AB1DA3"/>
    <w:rsid w:val="00AB2195"/>
    <w:rsid w:val="00AB23B9"/>
    <w:rsid w:val="00AB2499"/>
    <w:rsid w:val="00AB2722"/>
    <w:rsid w:val="00AB3CCF"/>
    <w:rsid w:val="00AB4FEE"/>
    <w:rsid w:val="00AB5442"/>
    <w:rsid w:val="00AB5722"/>
    <w:rsid w:val="00AB6599"/>
    <w:rsid w:val="00AB66D0"/>
    <w:rsid w:val="00AB6E33"/>
    <w:rsid w:val="00AB6F5E"/>
    <w:rsid w:val="00AB70B2"/>
    <w:rsid w:val="00AB775D"/>
    <w:rsid w:val="00AB794F"/>
    <w:rsid w:val="00AB7BEA"/>
    <w:rsid w:val="00AC0D85"/>
    <w:rsid w:val="00AC120B"/>
    <w:rsid w:val="00AC13A9"/>
    <w:rsid w:val="00AC1589"/>
    <w:rsid w:val="00AC15E6"/>
    <w:rsid w:val="00AC1D30"/>
    <w:rsid w:val="00AC1F40"/>
    <w:rsid w:val="00AC219F"/>
    <w:rsid w:val="00AC2517"/>
    <w:rsid w:val="00AC2E13"/>
    <w:rsid w:val="00AC3062"/>
    <w:rsid w:val="00AC34B4"/>
    <w:rsid w:val="00AC34E1"/>
    <w:rsid w:val="00AC3B8E"/>
    <w:rsid w:val="00AC3C83"/>
    <w:rsid w:val="00AC4095"/>
    <w:rsid w:val="00AC42F3"/>
    <w:rsid w:val="00AC44B8"/>
    <w:rsid w:val="00AC4930"/>
    <w:rsid w:val="00AC4D58"/>
    <w:rsid w:val="00AC57D2"/>
    <w:rsid w:val="00AC6F16"/>
    <w:rsid w:val="00AC6F1B"/>
    <w:rsid w:val="00AC705E"/>
    <w:rsid w:val="00AD043C"/>
    <w:rsid w:val="00AD08EA"/>
    <w:rsid w:val="00AD0B10"/>
    <w:rsid w:val="00AD10D3"/>
    <w:rsid w:val="00AD1B1A"/>
    <w:rsid w:val="00AD1F33"/>
    <w:rsid w:val="00AD20EB"/>
    <w:rsid w:val="00AD2349"/>
    <w:rsid w:val="00AD26F2"/>
    <w:rsid w:val="00AD27E6"/>
    <w:rsid w:val="00AD2A0A"/>
    <w:rsid w:val="00AD2F7A"/>
    <w:rsid w:val="00AD3041"/>
    <w:rsid w:val="00AD3935"/>
    <w:rsid w:val="00AD3F91"/>
    <w:rsid w:val="00AD4575"/>
    <w:rsid w:val="00AD4FFA"/>
    <w:rsid w:val="00AD52F3"/>
    <w:rsid w:val="00AD5331"/>
    <w:rsid w:val="00AD5DEF"/>
    <w:rsid w:val="00AD5F73"/>
    <w:rsid w:val="00AD7211"/>
    <w:rsid w:val="00AD7919"/>
    <w:rsid w:val="00AD7E77"/>
    <w:rsid w:val="00AE0322"/>
    <w:rsid w:val="00AE09F4"/>
    <w:rsid w:val="00AE1579"/>
    <w:rsid w:val="00AE1650"/>
    <w:rsid w:val="00AE1F29"/>
    <w:rsid w:val="00AE24BE"/>
    <w:rsid w:val="00AE259A"/>
    <w:rsid w:val="00AE2CFF"/>
    <w:rsid w:val="00AE3161"/>
    <w:rsid w:val="00AE329C"/>
    <w:rsid w:val="00AE32AE"/>
    <w:rsid w:val="00AE390B"/>
    <w:rsid w:val="00AE3B0D"/>
    <w:rsid w:val="00AE40AF"/>
    <w:rsid w:val="00AE50AE"/>
    <w:rsid w:val="00AE5C43"/>
    <w:rsid w:val="00AE65F8"/>
    <w:rsid w:val="00AE6994"/>
    <w:rsid w:val="00AE6CD9"/>
    <w:rsid w:val="00AE6F9F"/>
    <w:rsid w:val="00AE7066"/>
    <w:rsid w:val="00AE707B"/>
    <w:rsid w:val="00AE7169"/>
    <w:rsid w:val="00AE72C4"/>
    <w:rsid w:val="00AE7C91"/>
    <w:rsid w:val="00AF0266"/>
    <w:rsid w:val="00AF0540"/>
    <w:rsid w:val="00AF0613"/>
    <w:rsid w:val="00AF0A84"/>
    <w:rsid w:val="00AF0C2B"/>
    <w:rsid w:val="00AF0CA0"/>
    <w:rsid w:val="00AF1133"/>
    <w:rsid w:val="00AF1265"/>
    <w:rsid w:val="00AF166C"/>
    <w:rsid w:val="00AF217F"/>
    <w:rsid w:val="00AF2463"/>
    <w:rsid w:val="00AF25BF"/>
    <w:rsid w:val="00AF2627"/>
    <w:rsid w:val="00AF2B10"/>
    <w:rsid w:val="00AF324C"/>
    <w:rsid w:val="00AF3C71"/>
    <w:rsid w:val="00AF3F61"/>
    <w:rsid w:val="00AF4563"/>
    <w:rsid w:val="00AF4603"/>
    <w:rsid w:val="00AF46C8"/>
    <w:rsid w:val="00AF4811"/>
    <w:rsid w:val="00AF55EA"/>
    <w:rsid w:val="00AF561F"/>
    <w:rsid w:val="00AF60D1"/>
    <w:rsid w:val="00AF6FA8"/>
    <w:rsid w:val="00AF7E1A"/>
    <w:rsid w:val="00B0033F"/>
    <w:rsid w:val="00B003E1"/>
    <w:rsid w:val="00B01B58"/>
    <w:rsid w:val="00B025CB"/>
    <w:rsid w:val="00B02ABB"/>
    <w:rsid w:val="00B02D06"/>
    <w:rsid w:val="00B02EE0"/>
    <w:rsid w:val="00B030EA"/>
    <w:rsid w:val="00B0329F"/>
    <w:rsid w:val="00B04B20"/>
    <w:rsid w:val="00B04DEA"/>
    <w:rsid w:val="00B04EB7"/>
    <w:rsid w:val="00B04F2D"/>
    <w:rsid w:val="00B04FF2"/>
    <w:rsid w:val="00B052F4"/>
    <w:rsid w:val="00B05A5F"/>
    <w:rsid w:val="00B063ED"/>
    <w:rsid w:val="00B06B0C"/>
    <w:rsid w:val="00B06F29"/>
    <w:rsid w:val="00B073EB"/>
    <w:rsid w:val="00B11149"/>
    <w:rsid w:val="00B11423"/>
    <w:rsid w:val="00B117CB"/>
    <w:rsid w:val="00B11D16"/>
    <w:rsid w:val="00B11ECA"/>
    <w:rsid w:val="00B12541"/>
    <w:rsid w:val="00B12A1D"/>
    <w:rsid w:val="00B12A6E"/>
    <w:rsid w:val="00B136D1"/>
    <w:rsid w:val="00B13CA2"/>
    <w:rsid w:val="00B141DA"/>
    <w:rsid w:val="00B14D4D"/>
    <w:rsid w:val="00B15162"/>
    <w:rsid w:val="00B152C4"/>
    <w:rsid w:val="00B1538A"/>
    <w:rsid w:val="00B153BD"/>
    <w:rsid w:val="00B15605"/>
    <w:rsid w:val="00B158A6"/>
    <w:rsid w:val="00B158F1"/>
    <w:rsid w:val="00B15C12"/>
    <w:rsid w:val="00B15DCF"/>
    <w:rsid w:val="00B16461"/>
    <w:rsid w:val="00B16579"/>
    <w:rsid w:val="00B166A8"/>
    <w:rsid w:val="00B177C3"/>
    <w:rsid w:val="00B17AB2"/>
    <w:rsid w:val="00B17C67"/>
    <w:rsid w:val="00B17CEA"/>
    <w:rsid w:val="00B17D67"/>
    <w:rsid w:val="00B17FFC"/>
    <w:rsid w:val="00B2002D"/>
    <w:rsid w:val="00B20195"/>
    <w:rsid w:val="00B20248"/>
    <w:rsid w:val="00B20EAA"/>
    <w:rsid w:val="00B21737"/>
    <w:rsid w:val="00B21745"/>
    <w:rsid w:val="00B2183D"/>
    <w:rsid w:val="00B22760"/>
    <w:rsid w:val="00B227F8"/>
    <w:rsid w:val="00B241F4"/>
    <w:rsid w:val="00B2453F"/>
    <w:rsid w:val="00B24973"/>
    <w:rsid w:val="00B24B62"/>
    <w:rsid w:val="00B25A72"/>
    <w:rsid w:val="00B25D28"/>
    <w:rsid w:val="00B25E56"/>
    <w:rsid w:val="00B27213"/>
    <w:rsid w:val="00B27E28"/>
    <w:rsid w:val="00B3026D"/>
    <w:rsid w:val="00B3050C"/>
    <w:rsid w:val="00B305F3"/>
    <w:rsid w:val="00B308BC"/>
    <w:rsid w:val="00B30FC6"/>
    <w:rsid w:val="00B320BC"/>
    <w:rsid w:val="00B32137"/>
    <w:rsid w:val="00B32580"/>
    <w:rsid w:val="00B32B16"/>
    <w:rsid w:val="00B32D70"/>
    <w:rsid w:val="00B32E61"/>
    <w:rsid w:val="00B33B9B"/>
    <w:rsid w:val="00B33D32"/>
    <w:rsid w:val="00B34346"/>
    <w:rsid w:val="00B34668"/>
    <w:rsid w:val="00B34F9F"/>
    <w:rsid w:val="00B35419"/>
    <w:rsid w:val="00B35F4F"/>
    <w:rsid w:val="00B362A6"/>
    <w:rsid w:val="00B3715F"/>
    <w:rsid w:val="00B40502"/>
    <w:rsid w:val="00B40784"/>
    <w:rsid w:val="00B40A55"/>
    <w:rsid w:val="00B4157C"/>
    <w:rsid w:val="00B41E4A"/>
    <w:rsid w:val="00B42260"/>
    <w:rsid w:val="00B426EB"/>
    <w:rsid w:val="00B42809"/>
    <w:rsid w:val="00B42B41"/>
    <w:rsid w:val="00B42E61"/>
    <w:rsid w:val="00B4347F"/>
    <w:rsid w:val="00B434DC"/>
    <w:rsid w:val="00B43E8E"/>
    <w:rsid w:val="00B442B2"/>
    <w:rsid w:val="00B44568"/>
    <w:rsid w:val="00B44E7C"/>
    <w:rsid w:val="00B4504F"/>
    <w:rsid w:val="00B45601"/>
    <w:rsid w:val="00B45873"/>
    <w:rsid w:val="00B45D22"/>
    <w:rsid w:val="00B46A00"/>
    <w:rsid w:val="00B470B9"/>
    <w:rsid w:val="00B47ACD"/>
    <w:rsid w:val="00B47BD7"/>
    <w:rsid w:val="00B50013"/>
    <w:rsid w:val="00B50192"/>
    <w:rsid w:val="00B5062B"/>
    <w:rsid w:val="00B5145E"/>
    <w:rsid w:val="00B51F90"/>
    <w:rsid w:val="00B525B7"/>
    <w:rsid w:val="00B526B7"/>
    <w:rsid w:val="00B52A88"/>
    <w:rsid w:val="00B5313C"/>
    <w:rsid w:val="00B537C2"/>
    <w:rsid w:val="00B53983"/>
    <w:rsid w:val="00B53AC1"/>
    <w:rsid w:val="00B5446E"/>
    <w:rsid w:val="00B544E1"/>
    <w:rsid w:val="00B545C8"/>
    <w:rsid w:val="00B55282"/>
    <w:rsid w:val="00B55567"/>
    <w:rsid w:val="00B55B4A"/>
    <w:rsid w:val="00B56024"/>
    <w:rsid w:val="00B56A00"/>
    <w:rsid w:val="00B56EA0"/>
    <w:rsid w:val="00B572AC"/>
    <w:rsid w:val="00B5734B"/>
    <w:rsid w:val="00B5757D"/>
    <w:rsid w:val="00B57CB6"/>
    <w:rsid w:val="00B57CDB"/>
    <w:rsid w:val="00B57F24"/>
    <w:rsid w:val="00B6068B"/>
    <w:rsid w:val="00B61077"/>
    <w:rsid w:val="00B61798"/>
    <w:rsid w:val="00B61876"/>
    <w:rsid w:val="00B6264C"/>
    <w:rsid w:val="00B62AD4"/>
    <w:rsid w:val="00B63FAC"/>
    <w:rsid w:val="00B64395"/>
    <w:rsid w:val="00B64479"/>
    <w:rsid w:val="00B64BF0"/>
    <w:rsid w:val="00B650EF"/>
    <w:rsid w:val="00B65901"/>
    <w:rsid w:val="00B661E2"/>
    <w:rsid w:val="00B66321"/>
    <w:rsid w:val="00B665D8"/>
    <w:rsid w:val="00B6688A"/>
    <w:rsid w:val="00B66A12"/>
    <w:rsid w:val="00B66E62"/>
    <w:rsid w:val="00B6735C"/>
    <w:rsid w:val="00B711E9"/>
    <w:rsid w:val="00B71CBB"/>
    <w:rsid w:val="00B71F64"/>
    <w:rsid w:val="00B72B74"/>
    <w:rsid w:val="00B72EB3"/>
    <w:rsid w:val="00B7300E"/>
    <w:rsid w:val="00B7304C"/>
    <w:rsid w:val="00B73181"/>
    <w:rsid w:val="00B73579"/>
    <w:rsid w:val="00B736EC"/>
    <w:rsid w:val="00B742B3"/>
    <w:rsid w:val="00B7514C"/>
    <w:rsid w:val="00B756B6"/>
    <w:rsid w:val="00B75D2B"/>
    <w:rsid w:val="00B7639A"/>
    <w:rsid w:val="00B766FA"/>
    <w:rsid w:val="00B76793"/>
    <w:rsid w:val="00B76F03"/>
    <w:rsid w:val="00B77E80"/>
    <w:rsid w:val="00B77EC9"/>
    <w:rsid w:val="00B77F75"/>
    <w:rsid w:val="00B81175"/>
    <w:rsid w:val="00B8148A"/>
    <w:rsid w:val="00B81CDA"/>
    <w:rsid w:val="00B81E55"/>
    <w:rsid w:val="00B8215B"/>
    <w:rsid w:val="00B8246E"/>
    <w:rsid w:val="00B82A60"/>
    <w:rsid w:val="00B83622"/>
    <w:rsid w:val="00B848AA"/>
    <w:rsid w:val="00B84D0F"/>
    <w:rsid w:val="00B84ECE"/>
    <w:rsid w:val="00B84EFC"/>
    <w:rsid w:val="00B85D92"/>
    <w:rsid w:val="00B865F6"/>
    <w:rsid w:val="00B8668A"/>
    <w:rsid w:val="00B86E56"/>
    <w:rsid w:val="00B872F5"/>
    <w:rsid w:val="00B9003D"/>
    <w:rsid w:val="00B918F4"/>
    <w:rsid w:val="00B91970"/>
    <w:rsid w:val="00B91A60"/>
    <w:rsid w:val="00B9249D"/>
    <w:rsid w:val="00B9260A"/>
    <w:rsid w:val="00B92F79"/>
    <w:rsid w:val="00B94426"/>
    <w:rsid w:val="00B9459E"/>
    <w:rsid w:val="00B94B24"/>
    <w:rsid w:val="00B94CB1"/>
    <w:rsid w:val="00B94E66"/>
    <w:rsid w:val="00B95035"/>
    <w:rsid w:val="00B95AF7"/>
    <w:rsid w:val="00B95BA0"/>
    <w:rsid w:val="00B9644F"/>
    <w:rsid w:val="00BA038A"/>
    <w:rsid w:val="00BA0CF3"/>
    <w:rsid w:val="00BA0EFC"/>
    <w:rsid w:val="00BA171F"/>
    <w:rsid w:val="00BA191D"/>
    <w:rsid w:val="00BA1AAC"/>
    <w:rsid w:val="00BA1C3B"/>
    <w:rsid w:val="00BA1E60"/>
    <w:rsid w:val="00BA2227"/>
    <w:rsid w:val="00BA294A"/>
    <w:rsid w:val="00BA2A14"/>
    <w:rsid w:val="00BA2E61"/>
    <w:rsid w:val="00BA32B8"/>
    <w:rsid w:val="00BA4379"/>
    <w:rsid w:val="00BA43B3"/>
    <w:rsid w:val="00BA4C45"/>
    <w:rsid w:val="00BA51C1"/>
    <w:rsid w:val="00BA6D10"/>
    <w:rsid w:val="00BA7CB7"/>
    <w:rsid w:val="00BA7CE7"/>
    <w:rsid w:val="00BB0067"/>
    <w:rsid w:val="00BB009A"/>
    <w:rsid w:val="00BB101F"/>
    <w:rsid w:val="00BB152B"/>
    <w:rsid w:val="00BB230B"/>
    <w:rsid w:val="00BB243B"/>
    <w:rsid w:val="00BB2556"/>
    <w:rsid w:val="00BB29BB"/>
    <w:rsid w:val="00BB382E"/>
    <w:rsid w:val="00BB3E31"/>
    <w:rsid w:val="00BB465D"/>
    <w:rsid w:val="00BB4F79"/>
    <w:rsid w:val="00BB5D50"/>
    <w:rsid w:val="00BB660D"/>
    <w:rsid w:val="00BB6C1F"/>
    <w:rsid w:val="00BB7090"/>
    <w:rsid w:val="00BC0888"/>
    <w:rsid w:val="00BC0B89"/>
    <w:rsid w:val="00BC14A1"/>
    <w:rsid w:val="00BC18A1"/>
    <w:rsid w:val="00BC1B53"/>
    <w:rsid w:val="00BC1F43"/>
    <w:rsid w:val="00BC22EB"/>
    <w:rsid w:val="00BC2D08"/>
    <w:rsid w:val="00BC3688"/>
    <w:rsid w:val="00BC3E17"/>
    <w:rsid w:val="00BC3F81"/>
    <w:rsid w:val="00BC45B0"/>
    <w:rsid w:val="00BC4B5A"/>
    <w:rsid w:val="00BC4C22"/>
    <w:rsid w:val="00BC4D26"/>
    <w:rsid w:val="00BC4FAB"/>
    <w:rsid w:val="00BC51FD"/>
    <w:rsid w:val="00BC53AD"/>
    <w:rsid w:val="00BC55D9"/>
    <w:rsid w:val="00BC6958"/>
    <w:rsid w:val="00BC7012"/>
    <w:rsid w:val="00BC7275"/>
    <w:rsid w:val="00BC72DA"/>
    <w:rsid w:val="00BD038D"/>
    <w:rsid w:val="00BD043B"/>
    <w:rsid w:val="00BD06B4"/>
    <w:rsid w:val="00BD0754"/>
    <w:rsid w:val="00BD0C43"/>
    <w:rsid w:val="00BD13FB"/>
    <w:rsid w:val="00BD1471"/>
    <w:rsid w:val="00BD1885"/>
    <w:rsid w:val="00BD1D9E"/>
    <w:rsid w:val="00BD22B3"/>
    <w:rsid w:val="00BD241B"/>
    <w:rsid w:val="00BD2A0E"/>
    <w:rsid w:val="00BD2E37"/>
    <w:rsid w:val="00BD3462"/>
    <w:rsid w:val="00BD3B4A"/>
    <w:rsid w:val="00BD3EE2"/>
    <w:rsid w:val="00BD4981"/>
    <w:rsid w:val="00BD4BF2"/>
    <w:rsid w:val="00BD52D8"/>
    <w:rsid w:val="00BD572E"/>
    <w:rsid w:val="00BD5AC2"/>
    <w:rsid w:val="00BD5B02"/>
    <w:rsid w:val="00BD66EF"/>
    <w:rsid w:val="00BD6F35"/>
    <w:rsid w:val="00BD711E"/>
    <w:rsid w:val="00BD768A"/>
    <w:rsid w:val="00BD7839"/>
    <w:rsid w:val="00BE06B5"/>
    <w:rsid w:val="00BE0D4F"/>
    <w:rsid w:val="00BE1B8D"/>
    <w:rsid w:val="00BE2629"/>
    <w:rsid w:val="00BE303B"/>
    <w:rsid w:val="00BE339D"/>
    <w:rsid w:val="00BE42E0"/>
    <w:rsid w:val="00BE4CCC"/>
    <w:rsid w:val="00BE4D58"/>
    <w:rsid w:val="00BE5232"/>
    <w:rsid w:val="00BE5485"/>
    <w:rsid w:val="00BE59F9"/>
    <w:rsid w:val="00BE5C59"/>
    <w:rsid w:val="00BE5CA2"/>
    <w:rsid w:val="00BE651A"/>
    <w:rsid w:val="00BE68D9"/>
    <w:rsid w:val="00BE6ACB"/>
    <w:rsid w:val="00BE6C7B"/>
    <w:rsid w:val="00BE72DA"/>
    <w:rsid w:val="00BE7B12"/>
    <w:rsid w:val="00BE7EF9"/>
    <w:rsid w:val="00BF0032"/>
    <w:rsid w:val="00BF0666"/>
    <w:rsid w:val="00BF1AED"/>
    <w:rsid w:val="00BF1B73"/>
    <w:rsid w:val="00BF1CB3"/>
    <w:rsid w:val="00BF2570"/>
    <w:rsid w:val="00BF2F4D"/>
    <w:rsid w:val="00BF355B"/>
    <w:rsid w:val="00BF3804"/>
    <w:rsid w:val="00BF3EFE"/>
    <w:rsid w:val="00BF401B"/>
    <w:rsid w:val="00BF4029"/>
    <w:rsid w:val="00BF48F2"/>
    <w:rsid w:val="00BF4A65"/>
    <w:rsid w:val="00BF4D92"/>
    <w:rsid w:val="00BF4E53"/>
    <w:rsid w:val="00BF4E82"/>
    <w:rsid w:val="00BF4ED7"/>
    <w:rsid w:val="00BF5DCA"/>
    <w:rsid w:val="00BF62BD"/>
    <w:rsid w:val="00BF658D"/>
    <w:rsid w:val="00BF673D"/>
    <w:rsid w:val="00BF69D1"/>
    <w:rsid w:val="00BF6CDF"/>
    <w:rsid w:val="00BF6FAC"/>
    <w:rsid w:val="00BF73A8"/>
    <w:rsid w:val="00BF77E5"/>
    <w:rsid w:val="00C00AE2"/>
    <w:rsid w:val="00C00D2A"/>
    <w:rsid w:val="00C00E08"/>
    <w:rsid w:val="00C01026"/>
    <w:rsid w:val="00C0120F"/>
    <w:rsid w:val="00C01E59"/>
    <w:rsid w:val="00C0241E"/>
    <w:rsid w:val="00C025AA"/>
    <w:rsid w:val="00C033A6"/>
    <w:rsid w:val="00C03A9E"/>
    <w:rsid w:val="00C049B6"/>
    <w:rsid w:val="00C04A2B"/>
    <w:rsid w:val="00C053EC"/>
    <w:rsid w:val="00C05449"/>
    <w:rsid w:val="00C0562F"/>
    <w:rsid w:val="00C0588B"/>
    <w:rsid w:val="00C05B52"/>
    <w:rsid w:val="00C05D6F"/>
    <w:rsid w:val="00C0621F"/>
    <w:rsid w:val="00C066C1"/>
    <w:rsid w:val="00C06D7E"/>
    <w:rsid w:val="00C07B36"/>
    <w:rsid w:val="00C07EEB"/>
    <w:rsid w:val="00C112A4"/>
    <w:rsid w:val="00C1178B"/>
    <w:rsid w:val="00C11DC0"/>
    <w:rsid w:val="00C11DD3"/>
    <w:rsid w:val="00C12375"/>
    <w:rsid w:val="00C12CF4"/>
    <w:rsid w:val="00C12EC6"/>
    <w:rsid w:val="00C1310C"/>
    <w:rsid w:val="00C136BF"/>
    <w:rsid w:val="00C13A66"/>
    <w:rsid w:val="00C13D68"/>
    <w:rsid w:val="00C14367"/>
    <w:rsid w:val="00C1488F"/>
    <w:rsid w:val="00C14956"/>
    <w:rsid w:val="00C15C60"/>
    <w:rsid w:val="00C15D94"/>
    <w:rsid w:val="00C1646F"/>
    <w:rsid w:val="00C1649D"/>
    <w:rsid w:val="00C17807"/>
    <w:rsid w:val="00C17F1B"/>
    <w:rsid w:val="00C17F4C"/>
    <w:rsid w:val="00C20CD2"/>
    <w:rsid w:val="00C20D94"/>
    <w:rsid w:val="00C214D7"/>
    <w:rsid w:val="00C214DC"/>
    <w:rsid w:val="00C2195E"/>
    <w:rsid w:val="00C21A2A"/>
    <w:rsid w:val="00C21F7A"/>
    <w:rsid w:val="00C21FCD"/>
    <w:rsid w:val="00C22827"/>
    <w:rsid w:val="00C22D5A"/>
    <w:rsid w:val="00C2352A"/>
    <w:rsid w:val="00C24087"/>
    <w:rsid w:val="00C2438E"/>
    <w:rsid w:val="00C24E40"/>
    <w:rsid w:val="00C256FD"/>
    <w:rsid w:val="00C26B87"/>
    <w:rsid w:val="00C26FA8"/>
    <w:rsid w:val="00C2705D"/>
    <w:rsid w:val="00C27E3A"/>
    <w:rsid w:val="00C27FEB"/>
    <w:rsid w:val="00C302FA"/>
    <w:rsid w:val="00C30397"/>
    <w:rsid w:val="00C308EE"/>
    <w:rsid w:val="00C30936"/>
    <w:rsid w:val="00C30CED"/>
    <w:rsid w:val="00C313B4"/>
    <w:rsid w:val="00C314EF"/>
    <w:rsid w:val="00C318EB"/>
    <w:rsid w:val="00C31B97"/>
    <w:rsid w:val="00C3201F"/>
    <w:rsid w:val="00C32AFC"/>
    <w:rsid w:val="00C32B1A"/>
    <w:rsid w:val="00C34665"/>
    <w:rsid w:val="00C347C5"/>
    <w:rsid w:val="00C34C4E"/>
    <w:rsid w:val="00C35663"/>
    <w:rsid w:val="00C3578C"/>
    <w:rsid w:val="00C358C5"/>
    <w:rsid w:val="00C3667C"/>
    <w:rsid w:val="00C36AB1"/>
    <w:rsid w:val="00C36ED4"/>
    <w:rsid w:val="00C375C2"/>
    <w:rsid w:val="00C37A35"/>
    <w:rsid w:val="00C37AB4"/>
    <w:rsid w:val="00C402F0"/>
    <w:rsid w:val="00C40C11"/>
    <w:rsid w:val="00C40EE1"/>
    <w:rsid w:val="00C4140C"/>
    <w:rsid w:val="00C4241B"/>
    <w:rsid w:val="00C42880"/>
    <w:rsid w:val="00C42BAF"/>
    <w:rsid w:val="00C42D0D"/>
    <w:rsid w:val="00C439F4"/>
    <w:rsid w:val="00C44179"/>
    <w:rsid w:val="00C4491A"/>
    <w:rsid w:val="00C45531"/>
    <w:rsid w:val="00C45C96"/>
    <w:rsid w:val="00C4630B"/>
    <w:rsid w:val="00C46531"/>
    <w:rsid w:val="00C466E1"/>
    <w:rsid w:val="00C46930"/>
    <w:rsid w:val="00C46D77"/>
    <w:rsid w:val="00C47449"/>
    <w:rsid w:val="00C47F5B"/>
    <w:rsid w:val="00C50AF1"/>
    <w:rsid w:val="00C50B4F"/>
    <w:rsid w:val="00C52374"/>
    <w:rsid w:val="00C523A4"/>
    <w:rsid w:val="00C525C8"/>
    <w:rsid w:val="00C544CC"/>
    <w:rsid w:val="00C54E39"/>
    <w:rsid w:val="00C5541C"/>
    <w:rsid w:val="00C56571"/>
    <w:rsid w:val="00C5670B"/>
    <w:rsid w:val="00C5682A"/>
    <w:rsid w:val="00C5686C"/>
    <w:rsid w:val="00C56ABC"/>
    <w:rsid w:val="00C5793A"/>
    <w:rsid w:val="00C57963"/>
    <w:rsid w:val="00C60AE7"/>
    <w:rsid w:val="00C61057"/>
    <w:rsid w:val="00C613B2"/>
    <w:rsid w:val="00C61D72"/>
    <w:rsid w:val="00C62C0C"/>
    <w:rsid w:val="00C6324F"/>
    <w:rsid w:val="00C632CA"/>
    <w:rsid w:val="00C63497"/>
    <w:rsid w:val="00C636BB"/>
    <w:rsid w:val="00C63B77"/>
    <w:rsid w:val="00C63C4F"/>
    <w:rsid w:val="00C64A02"/>
    <w:rsid w:val="00C65EA8"/>
    <w:rsid w:val="00C667D0"/>
    <w:rsid w:val="00C6788C"/>
    <w:rsid w:val="00C67A76"/>
    <w:rsid w:val="00C67AAF"/>
    <w:rsid w:val="00C67C61"/>
    <w:rsid w:val="00C67ED9"/>
    <w:rsid w:val="00C7014B"/>
    <w:rsid w:val="00C70595"/>
    <w:rsid w:val="00C7069C"/>
    <w:rsid w:val="00C70AE1"/>
    <w:rsid w:val="00C70DA4"/>
    <w:rsid w:val="00C70F53"/>
    <w:rsid w:val="00C7128B"/>
    <w:rsid w:val="00C71585"/>
    <w:rsid w:val="00C71D9A"/>
    <w:rsid w:val="00C71DC4"/>
    <w:rsid w:val="00C7347C"/>
    <w:rsid w:val="00C73659"/>
    <w:rsid w:val="00C737D3"/>
    <w:rsid w:val="00C73EF2"/>
    <w:rsid w:val="00C74167"/>
    <w:rsid w:val="00C745FF"/>
    <w:rsid w:val="00C746F0"/>
    <w:rsid w:val="00C747A9"/>
    <w:rsid w:val="00C74819"/>
    <w:rsid w:val="00C75A2B"/>
    <w:rsid w:val="00C75AE2"/>
    <w:rsid w:val="00C75E37"/>
    <w:rsid w:val="00C7608A"/>
    <w:rsid w:val="00C76161"/>
    <w:rsid w:val="00C76229"/>
    <w:rsid w:val="00C763C1"/>
    <w:rsid w:val="00C77A3B"/>
    <w:rsid w:val="00C77CF9"/>
    <w:rsid w:val="00C80120"/>
    <w:rsid w:val="00C808B8"/>
    <w:rsid w:val="00C80ADA"/>
    <w:rsid w:val="00C81CDA"/>
    <w:rsid w:val="00C82F29"/>
    <w:rsid w:val="00C8347E"/>
    <w:rsid w:val="00C83614"/>
    <w:rsid w:val="00C83A03"/>
    <w:rsid w:val="00C83F62"/>
    <w:rsid w:val="00C840DA"/>
    <w:rsid w:val="00C85121"/>
    <w:rsid w:val="00C85A25"/>
    <w:rsid w:val="00C86748"/>
    <w:rsid w:val="00C86B56"/>
    <w:rsid w:val="00C87192"/>
    <w:rsid w:val="00C871D8"/>
    <w:rsid w:val="00C87BF9"/>
    <w:rsid w:val="00C87F6D"/>
    <w:rsid w:val="00C902FD"/>
    <w:rsid w:val="00C9052E"/>
    <w:rsid w:val="00C9088D"/>
    <w:rsid w:val="00C90B90"/>
    <w:rsid w:val="00C90C86"/>
    <w:rsid w:val="00C9182B"/>
    <w:rsid w:val="00C91F17"/>
    <w:rsid w:val="00C9208E"/>
    <w:rsid w:val="00C930F7"/>
    <w:rsid w:val="00C93207"/>
    <w:rsid w:val="00C93C0D"/>
    <w:rsid w:val="00C94342"/>
    <w:rsid w:val="00C944EC"/>
    <w:rsid w:val="00C94969"/>
    <w:rsid w:val="00C94AF5"/>
    <w:rsid w:val="00C9653D"/>
    <w:rsid w:val="00C96556"/>
    <w:rsid w:val="00C96EAB"/>
    <w:rsid w:val="00C9741F"/>
    <w:rsid w:val="00C9754F"/>
    <w:rsid w:val="00C97B81"/>
    <w:rsid w:val="00C97D2B"/>
    <w:rsid w:val="00C97DD7"/>
    <w:rsid w:val="00CA00D9"/>
    <w:rsid w:val="00CA02DA"/>
    <w:rsid w:val="00CA1957"/>
    <w:rsid w:val="00CA2634"/>
    <w:rsid w:val="00CA2B2B"/>
    <w:rsid w:val="00CA3DE6"/>
    <w:rsid w:val="00CA3FD9"/>
    <w:rsid w:val="00CA483D"/>
    <w:rsid w:val="00CA5200"/>
    <w:rsid w:val="00CA5FFB"/>
    <w:rsid w:val="00CA6032"/>
    <w:rsid w:val="00CA630C"/>
    <w:rsid w:val="00CA6BE3"/>
    <w:rsid w:val="00CA6CB3"/>
    <w:rsid w:val="00CA703E"/>
    <w:rsid w:val="00CA7372"/>
    <w:rsid w:val="00CA7635"/>
    <w:rsid w:val="00CA785F"/>
    <w:rsid w:val="00CA7C88"/>
    <w:rsid w:val="00CB06AE"/>
    <w:rsid w:val="00CB0BA1"/>
    <w:rsid w:val="00CB0EB1"/>
    <w:rsid w:val="00CB18A0"/>
    <w:rsid w:val="00CB1B55"/>
    <w:rsid w:val="00CB1B9D"/>
    <w:rsid w:val="00CB1E4A"/>
    <w:rsid w:val="00CB1ED9"/>
    <w:rsid w:val="00CB2527"/>
    <w:rsid w:val="00CB2531"/>
    <w:rsid w:val="00CB2783"/>
    <w:rsid w:val="00CB2A96"/>
    <w:rsid w:val="00CB2B36"/>
    <w:rsid w:val="00CB367D"/>
    <w:rsid w:val="00CB3BD4"/>
    <w:rsid w:val="00CB42E1"/>
    <w:rsid w:val="00CB492D"/>
    <w:rsid w:val="00CB4B24"/>
    <w:rsid w:val="00CB4FC6"/>
    <w:rsid w:val="00CB502A"/>
    <w:rsid w:val="00CB5E46"/>
    <w:rsid w:val="00CB6781"/>
    <w:rsid w:val="00CB6BA1"/>
    <w:rsid w:val="00CB70D1"/>
    <w:rsid w:val="00CB7122"/>
    <w:rsid w:val="00CB713D"/>
    <w:rsid w:val="00CB7762"/>
    <w:rsid w:val="00CB7C01"/>
    <w:rsid w:val="00CC15F7"/>
    <w:rsid w:val="00CC1946"/>
    <w:rsid w:val="00CC2528"/>
    <w:rsid w:val="00CC2BB8"/>
    <w:rsid w:val="00CC3582"/>
    <w:rsid w:val="00CC3990"/>
    <w:rsid w:val="00CC3E24"/>
    <w:rsid w:val="00CC460C"/>
    <w:rsid w:val="00CC4DF6"/>
    <w:rsid w:val="00CC4F31"/>
    <w:rsid w:val="00CC4FE0"/>
    <w:rsid w:val="00CC511D"/>
    <w:rsid w:val="00CC5495"/>
    <w:rsid w:val="00CC597C"/>
    <w:rsid w:val="00CC5E62"/>
    <w:rsid w:val="00CC65FA"/>
    <w:rsid w:val="00CC6BEA"/>
    <w:rsid w:val="00CC73FF"/>
    <w:rsid w:val="00CC772E"/>
    <w:rsid w:val="00CC7EC9"/>
    <w:rsid w:val="00CD03FD"/>
    <w:rsid w:val="00CD0BA6"/>
    <w:rsid w:val="00CD0CFC"/>
    <w:rsid w:val="00CD15F6"/>
    <w:rsid w:val="00CD17C1"/>
    <w:rsid w:val="00CD1B7E"/>
    <w:rsid w:val="00CD1C6D"/>
    <w:rsid w:val="00CD203D"/>
    <w:rsid w:val="00CD205B"/>
    <w:rsid w:val="00CD2650"/>
    <w:rsid w:val="00CD3CD4"/>
    <w:rsid w:val="00CD3FDC"/>
    <w:rsid w:val="00CD402A"/>
    <w:rsid w:val="00CD4484"/>
    <w:rsid w:val="00CD4B90"/>
    <w:rsid w:val="00CD4E42"/>
    <w:rsid w:val="00CD5858"/>
    <w:rsid w:val="00CD5BFA"/>
    <w:rsid w:val="00CD5F54"/>
    <w:rsid w:val="00CD60BD"/>
    <w:rsid w:val="00CD617F"/>
    <w:rsid w:val="00CD65B5"/>
    <w:rsid w:val="00CD6881"/>
    <w:rsid w:val="00CD6B21"/>
    <w:rsid w:val="00CD6F40"/>
    <w:rsid w:val="00CD78AF"/>
    <w:rsid w:val="00CE02E1"/>
    <w:rsid w:val="00CE035A"/>
    <w:rsid w:val="00CE08BD"/>
    <w:rsid w:val="00CE1443"/>
    <w:rsid w:val="00CE1D06"/>
    <w:rsid w:val="00CE1EBA"/>
    <w:rsid w:val="00CE1F81"/>
    <w:rsid w:val="00CE2550"/>
    <w:rsid w:val="00CE2C1C"/>
    <w:rsid w:val="00CE2FEC"/>
    <w:rsid w:val="00CE3B03"/>
    <w:rsid w:val="00CE3D37"/>
    <w:rsid w:val="00CE496E"/>
    <w:rsid w:val="00CE5019"/>
    <w:rsid w:val="00CE524E"/>
    <w:rsid w:val="00CE525D"/>
    <w:rsid w:val="00CE55AB"/>
    <w:rsid w:val="00CE58FE"/>
    <w:rsid w:val="00CE59CE"/>
    <w:rsid w:val="00CE5B0D"/>
    <w:rsid w:val="00CE63A6"/>
    <w:rsid w:val="00CE6482"/>
    <w:rsid w:val="00CE6B29"/>
    <w:rsid w:val="00CE75C1"/>
    <w:rsid w:val="00CE7E84"/>
    <w:rsid w:val="00CE7FEA"/>
    <w:rsid w:val="00CF0DDF"/>
    <w:rsid w:val="00CF1BD0"/>
    <w:rsid w:val="00CF2067"/>
    <w:rsid w:val="00CF208C"/>
    <w:rsid w:val="00CF21DD"/>
    <w:rsid w:val="00CF223E"/>
    <w:rsid w:val="00CF2330"/>
    <w:rsid w:val="00CF2BDD"/>
    <w:rsid w:val="00CF2EA4"/>
    <w:rsid w:val="00CF2F07"/>
    <w:rsid w:val="00CF2FB3"/>
    <w:rsid w:val="00CF3039"/>
    <w:rsid w:val="00CF3457"/>
    <w:rsid w:val="00CF4443"/>
    <w:rsid w:val="00CF53CD"/>
    <w:rsid w:val="00CF5FB3"/>
    <w:rsid w:val="00CF703B"/>
    <w:rsid w:val="00CF748D"/>
    <w:rsid w:val="00D00D5E"/>
    <w:rsid w:val="00D00EED"/>
    <w:rsid w:val="00D01427"/>
    <w:rsid w:val="00D03228"/>
    <w:rsid w:val="00D03E00"/>
    <w:rsid w:val="00D041CD"/>
    <w:rsid w:val="00D04667"/>
    <w:rsid w:val="00D049B6"/>
    <w:rsid w:val="00D04B0F"/>
    <w:rsid w:val="00D04DA7"/>
    <w:rsid w:val="00D05751"/>
    <w:rsid w:val="00D066C3"/>
    <w:rsid w:val="00D0796B"/>
    <w:rsid w:val="00D07B08"/>
    <w:rsid w:val="00D07EC5"/>
    <w:rsid w:val="00D07FDC"/>
    <w:rsid w:val="00D10B99"/>
    <w:rsid w:val="00D115B4"/>
    <w:rsid w:val="00D1184D"/>
    <w:rsid w:val="00D11FD6"/>
    <w:rsid w:val="00D12010"/>
    <w:rsid w:val="00D124EA"/>
    <w:rsid w:val="00D12ACC"/>
    <w:rsid w:val="00D12DFC"/>
    <w:rsid w:val="00D12EB7"/>
    <w:rsid w:val="00D131F6"/>
    <w:rsid w:val="00D13878"/>
    <w:rsid w:val="00D13CB0"/>
    <w:rsid w:val="00D13FEC"/>
    <w:rsid w:val="00D14881"/>
    <w:rsid w:val="00D14A51"/>
    <w:rsid w:val="00D153C3"/>
    <w:rsid w:val="00D1540D"/>
    <w:rsid w:val="00D15483"/>
    <w:rsid w:val="00D159AD"/>
    <w:rsid w:val="00D15DEB"/>
    <w:rsid w:val="00D16061"/>
    <w:rsid w:val="00D160D8"/>
    <w:rsid w:val="00D16AD0"/>
    <w:rsid w:val="00D16C70"/>
    <w:rsid w:val="00D17179"/>
    <w:rsid w:val="00D1761B"/>
    <w:rsid w:val="00D20354"/>
    <w:rsid w:val="00D20AFF"/>
    <w:rsid w:val="00D2139A"/>
    <w:rsid w:val="00D214FE"/>
    <w:rsid w:val="00D2151E"/>
    <w:rsid w:val="00D2186F"/>
    <w:rsid w:val="00D21D86"/>
    <w:rsid w:val="00D22147"/>
    <w:rsid w:val="00D22523"/>
    <w:rsid w:val="00D22729"/>
    <w:rsid w:val="00D228CD"/>
    <w:rsid w:val="00D2351E"/>
    <w:rsid w:val="00D23FAB"/>
    <w:rsid w:val="00D247BC"/>
    <w:rsid w:val="00D247D5"/>
    <w:rsid w:val="00D24816"/>
    <w:rsid w:val="00D24E5B"/>
    <w:rsid w:val="00D25F89"/>
    <w:rsid w:val="00D262DE"/>
    <w:rsid w:val="00D26619"/>
    <w:rsid w:val="00D27AF7"/>
    <w:rsid w:val="00D27CD5"/>
    <w:rsid w:val="00D30070"/>
    <w:rsid w:val="00D30194"/>
    <w:rsid w:val="00D30352"/>
    <w:rsid w:val="00D30C55"/>
    <w:rsid w:val="00D30E55"/>
    <w:rsid w:val="00D3161D"/>
    <w:rsid w:val="00D31804"/>
    <w:rsid w:val="00D31812"/>
    <w:rsid w:val="00D31E7C"/>
    <w:rsid w:val="00D31E86"/>
    <w:rsid w:val="00D325C4"/>
    <w:rsid w:val="00D3278A"/>
    <w:rsid w:val="00D32B3F"/>
    <w:rsid w:val="00D32C68"/>
    <w:rsid w:val="00D34268"/>
    <w:rsid w:val="00D34463"/>
    <w:rsid w:val="00D347DB"/>
    <w:rsid w:val="00D3489C"/>
    <w:rsid w:val="00D357F4"/>
    <w:rsid w:val="00D35B2C"/>
    <w:rsid w:val="00D35CC6"/>
    <w:rsid w:val="00D35FD5"/>
    <w:rsid w:val="00D360EB"/>
    <w:rsid w:val="00D36159"/>
    <w:rsid w:val="00D3673A"/>
    <w:rsid w:val="00D36D35"/>
    <w:rsid w:val="00D36DB1"/>
    <w:rsid w:val="00D37008"/>
    <w:rsid w:val="00D3780E"/>
    <w:rsid w:val="00D37C1E"/>
    <w:rsid w:val="00D37D28"/>
    <w:rsid w:val="00D37EFE"/>
    <w:rsid w:val="00D410A6"/>
    <w:rsid w:val="00D412C0"/>
    <w:rsid w:val="00D41814"/>
    <w:rsid w:val="00D41C23"/>
    <w:rsid w:val="00D41C2B"/>
    <w:rsid w:val="00D41C40"/>
    <w:rsid w:val="00D41D54"/>
    <w:rsid w:val="00D41EA3"/>
    <w:rsid w:val="00D42527"/>
    <w:rsid w:val="00D42704"/>
    <w:rsid w:val="00D429A9"/>
    <w:rsid w:val="00D42A9A"/>
    <w:rsid w:val="00D42B72"/>
    <w:rsid w:val="00D42B83"/>
    <w:rsid w:val="00D4322A"/>
    <w:rsid w:val="00D43481"/>
    <w:rsid w:val="00D43AE8"/>
    <w:rsid w:val="00D442FC"/>
    <w:rsid w:val="00D44385"/>
    <w:rsid w:val="00D45111"/>
    <w:rsid w:val="00D45565"/>
    <w:rsid w:val="00D45819"/>
    <w:rsid w:val="00D45904"/>
    <w:rsid w:val="00D46746"/>
    <w:rsid w:val="00D46935"/>
    <w:rsid w:val="00D47051"/>
    <w:rsid w:val="00D474E2"/>
    <w:rsid w:val="00D47D21"/>
    <w:rsid w:val="00D5044C"/>
    <w:rsid w:val="00D5110A"/>
    <w:rsid w:val="00D5167B"/>
    <w:rsid w:val="00D520C5"/>
    <w:rsid w:val="00D52140"/>
    <w:rsid w:val="00D5227B"/>
    <w:rsid w:val="00D52331"/>
    <w:rsid w:val="00D5285B"/>
    <w:rsid w:val="00D52882"/>
    <w:rsid w:val="00D52B54"/>
    <w:rsid w:val="00D52C51"/>
    <w:rsid w:val="00D52F71"/>
    <w:rsid w:val="00D532CB"/>
    <w:rsid w:val="00D534E3"/>
    <w:rsid w:val="00D54203"/>
    <w:rsid w:val="00D5490E"/>
    <w:rsid w:val="00D54F22"/>
    <w:rsid w:val="00D5539C"/>
    <w:rsid w:val="00D55443"/>
    <w:rsid w:val="00D557BC"/>
    <w:rsid w:val="00D55A14"/>
    <w:rsid w:val="00D55A56"/>
    <w:rsid w:val="00D55AB2"/>
    <w:rsid w:val="00D56541"/>
    <w:rsid w:val="00D566C3"/>
    <w:rsid w:val="00D56851"/>
    <w:rsid w:val="00D56E13"/>
    <w:rsid w:val="00D604DC"/>
    <w:rsid w:val="00D60A5A"/>
    <w:rsid w:val="00D61170"/>
    <w:rsid w:val="00D61DAE"/>
    <w:rsid w:val="00D6243A"/>
    <w:rsid w:val="00D62EFA"/>
    <w:rsid w:val="00D63B9A"/>
    <w:rsid w:val="00D63E4B"/>
    <w:rsid w:val="00D6418C"/>
    <w:rsid w:val="00D64906"/>
    <w:rsid w:val="00D65CFE"/>
    <w:rsid w:val="00D65F04"/>
    <w:rsid w:val="00D66102"/>
    <w:rsid w:val="00D662CD"/>
    <w:rsid w:val="00D67D23"/>
    <w:rsid w:val="00D71FAB"/>
    <w:rsid w:val="00D72214"/>
    <w:rsid w:val="00D7241F"/>
    <w:rsid w:val="00D725A2"/>
    <w:rsid w:val="00D72C20"/>
    <w:rsid w:val="00D73E20"/>
    <w:rsid w:val="00D73EF7"/>
    <w:rsid w:val="00D74894"/>
    <w:rsid w:val="00D74FEC"/>
    <w:rsid w:val="00D75598"/>
    <w:rsid w:val="00D759B2"/>
    <w:rsid w:val="00D75A53"/>
    <w:rsid w:val="00D75B61"/>
    <w:rsid w:val="00D75DA4"/>
    <w:rsid w:val="00D7753E"/>
    <w:rsid w:val="00D8009B"/>
    <w:rsid w:val="00D80873"/>
    <w:rsid w:val="00D80BEA"/>
    <w:rsid w:val="00D8150B"/>
    <w:rsid w:val="00D8162B"/>
    <w:rsid w:val="00D81BA1"/>
    <w:rsid w:val="00D81BBC"/>
    <w:rsid w:val="00D81FDD"/>
    <w:rsid w:val="00D82212"/>
    <w:rsid w:val="00D822CF"/>
    <w:rsid w:val="00D82B7F"/>
    <w:rsid w:val="00D82F9D"/>
    <w:rsid w:val="00D83A54"/>
    <w:rsid w:val="00D856F4"/>
    <w:rsid w:val="00D857C7"/>
    <w:rsid w:val="00D85973"/>
    <w:rsid w:val="00D859B0"/>
    <w:rsid w:val="00D859C6"/>
    <w:rsid w:val="00D8622F"/>
    <w:rsid w:val="00D86261"/>
    <w:rsid w:val="00D866BA"/>
    <w:rsid w:val="00D868E7"/>
    <w:rsid w:val="00D86A56"/>
    <w:rsid w:val="00D87154"/>
    <w:rsid w:val="00D873F7"/>
    <w:rsid w:val="00D875FF"/>
    <w:rsid w:val="00D8781E"/>
    <w:rsid w:val="00D87A32"/>
    <w:rsid w:val="00D903F0"/>
    <w:rsid w:val="00D90499"/>
    <w:rsid w:val="00D9271E"/>
    <w:rsid w:val="00D92A38"/>
    <w:rsid w:val="00D930B4"/>
    <w:rsid w:val="00D93435"/>
    <w:rsid w:val="00D934D6"/>
    <w:rsid w:val="00D93F59"/>
    <w:rsid w:val="00D94169"/>
    <w:rsid w:val="00D942C6"/>
    <w:rsid w:val="00D94AC0"/>
    <w:rsid w:val="00D94BAD"/>
    <w:rsid w:val="00D95AD9"/>
    <w:rsid w:val="00D96ADF"/>
    <w:rsid w:val="00D979E5"/>
    <w:rsid w:val="00D97B17"/>
    <w:rsid w:val="00DA025D"/>
    <w:rsid w:val="00DA09DB"/>
    <w:rsid w:val="00DA0FB8"/>
    <w:rsid w:val="00DA1CAB"/>
    <w:rsid w:val="00DA25B5"/>
    <w:rsid w:val="00DA25C9"/>
    <w:rsid w:val="00DA2D2B"/>
    <w:rsid w:val="00DA2E27"/>
    <w:rsid w:val="00DA3651"/>
    <w:rsid w:val="00DA375F"/>
    <w:rsid w:val="00DA4B45"/>
    <w:rsid w:val="00DA5916"/>
    <w:rsid w:val="00DA5DE6"/>
    <w:rsid w:val="00DA6505"/>
    <w:rsid w:val="00DA6843"/>
    <w:rsid w:val="00DA7E8C"/>
    <w:rsid w:val="00DB1350"/>
    <w:rsid w:val="00DB28A4"/>
    <w:rsid w:val="00DB2968"/>
    <w:rsid w:val="00DB2B2B"/>
    <w:rsid w:val="00DB32BB"/>
    <w:rsid w:val="00DB3EA1"/>
    <w:rsid w:val="00DB420B"/>
    <w:rsid w:val="00DB42FD"/>
    <w:rsid w:val="00DB46F3"/>
    <w:rsid w:val="00DB47D2"/>
    <w:rsid w:val="00DB5149"/>
    <w:rsid w:val="00DB56C4"/>
    <w:rsid w:val="00DB56FE"/>
    <w:rsid w:val="00DB5A18"/>
    <w:rsid w:val="00DB5D24"/>
    <w:rsid w:val="00DB6361"/>
    <w:rsid w:val="00DB65F8"/>
    <w:rsid w:val="00DB6737"/>
    <w:rsid w:val="00DB69B5"/>
    <w:rsid w:val="00DB72B4"/>
    <w:rsid w:val="00DB746A"/>
    <w:rsid w:val="00DB7BD0"/>
    <w:rsid w:val="00DC0889"/>
    <w:rsid w:val="00DC098A"/>
    <w:rsid w:val="00DC1405"/>
    <w:rsid w:val="00DC14AD"/>
    <w:rsid w:val="00DC254A"/>
    <w:rsid w:val="00DC29ED"/>
    <w:rsid w:val="00DC2FFE"/>
    <w:rsid w:val="00DC3705"/>
    <w:rsid w:val="00DC3D93"/>
    <w:rsid w:val="00DC4141"/>
    <w:rsid w:val="00DC4AA4"/>
    <w:rsid w:val="00DC509F"/>
    <w:rsid w:val="00DC51C4"/>
    <w:rsid w:val="00DC52E3"/>
    <w:rsid w:val="00DC58F5"/>
    <w:rsid w:val="00DC5CF6"/>
    <w:rsid w:val="00DC5E4F"/>
    <w:rsid w:val="00DC6664"/>
    <w:rsid w:val="00DC67E3"/>
    <w:rsid w:val="00DC695F"/>
    <w:rsid w:val="00DC6AFE"/>
    <w:rsid w:val="00DC7445"/>
    <w:rsid w:val="00DC747F"/>
    <w:rsid w:val="00DC7707"/>
    <w:rsid w:val="00DC79A8"/>
    <w:rsid w:val="00DD0886"/>
    <w:rsid w:val="00DD0A57"/>
    <w:rsid w:val="00DD1698"/>
    <w:rsid w:val="00DD1BB1"/>
    <w:rsid w:val="00DD1D93"/>
    <w:rsid w:val="00DD2657"/>
    <w:rsid w:val="00DD27F3"/>
    <w:rsid w:val="00DD2A4E"/>
    <w:rsid w:val="00DD2EF6"/>
    <w:rsid w:val="00DD392F"/>
    <w:rsid w:val="00DD3D3C"/>
    <w:rsid w:val="00DD5760"/>
    <w:rsid w:val="00DD57C3"/>
    <w:rsid w:val="00DD5D20"/>
    <w:rsid w:val="00DD5E4B"/>
    <w:rsid w:val="00DD5F40"/>
    <w:rsid w:val="00DD68B9"/>
    <w:rsid w:val="00DD6A33"/>
    <w:rsid w:val="00DD70F6"/>
    <w:rsid w:val="00DD784E"/>
    <w:rsid w:val="00DE11CC"/>
    <w:rsid w:val="00DE1559"/>
    <w:rsid w:val="00DE18E5"/>
    <w:rsid w:val="00DE2C3F"/>
    <w:rsid w:val="00DE2DC9"/>
    <w:rsid w:val="00DE3174"/>
    <w:rsid w:val="00DE321A"/>
    <w:rsid w:val="00DE35A1"/>
    <w:rsid w:val="00DE399E"/>
    <w:rsid w:val="00DE4C68"/>
    <w:rsid w:val="00DE4D95"/>
    <w:rsid w:val="00DE51C9"/>
    <w:rsid w:val="00DE52A0"/>
    <w:rsid w:val="00DE550D"/>
    <w:rsid w:val="00DE5812"/>
    <w:rsid w:val="00DE5A84"/>
    <w:rsid w:val="00DE66C1"/>
    <w:rsid w:val="00DE6765"/>
    <w:rsid w:val="00DE67CC"/>
    <w:rsid w:val="00DE67DD"/>
    <w:rsid w:val="00DE6B64"/>
    <w:rsid w:val="00DE7732"/>
    <w:rsid w:val="00DE7D40"/>
    <w:rsid w:val="00DF0970"/>
    <w:rsid w:val="00DF12C4"/>
    <w:rsid w:val="00DF15C6"/>
    <w:rsid w:val="00DF18E6"/>
    <w:rsid w:val="00DF21B2"/>
    <w:rsid w:val="00DF28EC"/>
    <w:rsid w:val="00DF2967"/>
    <w:rsid w:val="00DF2A6D"/>
    <w:rsid w:val="00DF2C3C"/>
    <w:rsid w:val="00DF32F6"/>
    <w:rsid w:val="00DF3712"/>
    <w:rsid w:val="00DF3D54"/>
    <w:rsid w:val="00DF40C2"/>
    <w:rsid w:val="00DF456A"/>
    <w:rsid w:val="00DF475A"/>
    <w:rsid w:val="00DF4C20"/>
    <w:rsid w:val="00DF52C5"/>
    <w:rsid w:val="00DF539C"/>
    <w:rsid w:val="00DF64D7"/>
    <w:rsid w:val="00DF6580"/>
    <w:rsid w:val="00DF6FEB"/>
    <w:rsid w:val="00DF776C"/>
    <w:rsid w:val="00E0029E"/>
    <w:rsid w:val="00E00984"/>
    <w:rsid w:val="00E014E8"/>
    <w:rsid w:val="00E01E96"/>
    <w:rsid w:val="00E02035"/>
    <w:rsid w:val="00E02505"/>
    <w:rsid w:val="00E02711"/>
    <w:rsid w:val="00E02A0F"/>
    <w:rsid w:val="00E02AE0"/>
    <w:rsid w:val="00E040FB"/>
    <w:rsid w:val="00E0497A"/>
    <w:rsid w:val="00E04D29"/>
    <w:rsid w:val="00E0575F"/>
    <w:rsid w:val="00E05BC3"/>
    <w:rsid w:val="00E06C2D"/>
    <w:rsid w:val="00E07DD0"/>
    <w:rsid w:val="00E07F40"/>
    <w:rsid w:val="00E10A33"/>
    <w:rsid w:val="00E1146A"/>
    <w:rsid w:val="00E11B74"/>
    <w:rsid w:val="00E12703"/>
    <w:rsid w:val="00E12C80"/>
    <w:rsid w:val="00E13017"/>
    <w:rsid w:val="00E13F78"/>
    <w:rsid w:val="00E15497"/>
    <w:rsid w:val="00E15681"/>
    <w:rsid w:val="00E16A70"/>
    <w:rsid w:val="00E16C80"/>
    <w:rsid w:val="00E16DD9"/>
    <w:rsid w:val="00E16FF7"/>
    <w:rsid w:val="00E17AC7"/>
    <w:rsid w:val="00E20123"/>
    <w:rsid w:val="00E201A8"/>
    <w:rsid w:val="00E2072F"/>
    <w:rsid w:val="00E208B0"/>
    <w:rsid w:val="00E20C9D"/>
    <w:rsid w:val="00E20D4B"/>
    <w:rsid w:val="00E216D5"/>
    <w:rsid w:val="00E21888"/>
    <w:rsid w:val="00E22B01"/>
    <w:rsid w:val="00E22C3F"/>
    <w:rsid w:val="00E22D47"/>
    <w:rsid w:val="00E2335F"/>
    <w:rsid w:val="00E23525"/>
    <w:rsid w:val="00E2438E"/>
    <w:rsid w:val="00E25A90"/>
    <w:rsid w:val="00E25E78"/>
    <w:rsid w:val="00E262A3"/>
    <w:rsid w:val="00E26628"/>
    <w:rsid w:val="00E26A76"/>
    <w:rsid w:val="00E27A92"/>
    <w:rsid w:val="00E27EF0"/>
    <w:rsid w:val="00E27FCE"/>
    <w:rsid w:val="00E301FE"/>
    <w:rsid w:val="00E311D9"/>
    <w:rsid w:val="00E312E8"/>
    <w:rsid w:val="00E31F29"/>
    <w:rsid w:val="00E31FC8"/>
    <w:rsid w:val="00E3252F"/>
    <w:rsid w:val="00E32E0D"/>
    <w:rsid w:val="00E33A16"/>
    <w:rsid w:val="00E34102"/>
    <w:rsid w:val="00E3464A"/>
    <w:rsid w:val="00E3481A"/>
    <w:rsid w:val="00E34D39"/>
    <w:rsid w:val="00E35224"/>
    <w:rsid w:val="00E35525"/>
    <w:rsid w:val="00E35AD3"/>
    <w:rsid w:val="00E35B86"/>
    <w:rsid w:val="00E35D34"/>
    <w:rsid w:val="00E366F5"/>
    <w:rsid w:val="00E36A90"/>
    <w:rsid w:val="00E36D7D"/>
    <w:rsid w:val="00E36ED5"/>
    <w:rsid w:val="00E37463"/>
    <w:rsid w:val="00E37602"/>
    <w:rsid w:val="00E377EA"/>
    <w:rsid w:val="00E37AF0"/>
    <w:rsid w:val="00E40018"/>
    <w:rsid w:val="00E40496"/>
    <w:rsid w:val="00E40A24"/>
    <w:rsid w:val="00E41554"/>
    <w:rsid w:val="00E4163D"/>
    <w:rsid w:val="00E417C4"/>
    <w:rsid w:val="00E41CDC"/>
    <w:rsid w:val="00E422A0"/>
    <w:rsid w:val="00E424C5"/>
    <w:rsid w:val="00E43155"/>
    <w:rsid w:val="00E433F6"/>
    <w:rsid w:val="00E4372C"/>
    <w:rsid w:val="00E43C25"/>
    <w:rsid w:val="00E43D1B"/>
    <w:rsid w:val="00E43DD3"/>
    <w:rsid w:val="00E43ED3"/>
    <w:rsid w:val="00E447AE"/>
    <w:rsid w:val="00E45DFA"/>
    <w:rsid w:val="00E460DB"/>
    <w:rsid w:val="00E470C9"/>
    <w:rsid w:val="00E477BA"/>
    <w:rsid w:val="00E50BF2"/>
    <w:rsid w:val="00E50CC7"/>
    <w:rsid w:val="00E50FAB"/>
    <w:rsid w:val="00E510BA"/>
    <w:rsid w:val="00E51145"/>
    <w:rsid w:val="00E51659"/>
    <w:rsid w:val="00E522F2"/>
    <w:rsid w:val="00E5249C"/>
    <w:rsid w:val="00E5312D"/>
    <w:rsid w:val="00E5382C"/>
    <w:rsid w:val="00E53D69"/>
    <w:rsid w:val="00E53EB5"/>
    <w:rsid w:val="00E5415E"/>
    <w:rsid w:val="00E546C7"/>
    <w:rsid w:val="00E548D6"/>
    <w:rsid w:val="00E55612"/>
    <w:rsid w:val="00E557F8"/>
    <w:rsid w:val="00E56173"/>
    <w:rsid w:val="00E57079"/>
    <w:rsid w:val="00E57122"/>
    <w:rsid w:val="00E5738A"/>
    <w:rsid w:val="00E57A60"/>
    <w:rsid w:val="00E57CA0"/>
    <w:rsid w:val="00E57E34"/>
    <w:rsid w:val="00E6012F"/>
    <w:rsid w:val="00E60389"/>
    <w:rsid w:val="00E61129"/>
    <w:rsid w:val="00E6121A"/>
    <w:rsid w:val="00E615A3"/>
    <w:rsid w:val="00E61C72"/>
    <w:rsid w:val="00E61CF5"/>
    <w:rsid w:val="00E61D15"/>
    <w:rsid w:val="00E621E4"/>
    <w:rsid w:val="00E64C72"/>
    <w:rsid w:val="00E6545C"/>
    <w:rsid w:val="00E65FDC"/>
    <w:rsid w:val="00E66071"/>
    <w:rsid w:val="00E6655F"/>
    <w:rsid w:val="00E665D9"/>
    <w:rsid w:val="00E6680E"/>
    <w:rsid w:val="00E66BF3"/>
    <w:rsid w:val="00E66E5E"/>
    <w:rsid w:val="00E67716"/>
    <w:rsid w:val="00E7007F"/>
    <w:rsid w:val="00E702AB"/>
    <w:rsid w:val="00E70479"/>
    <w:rsid w:val="00E708A1"/>
    <w:rsid w:val="00E70EEF"/>
    <w:rsid w:val="00E71331"/>
    <w:rsid w:val="00E713B6"/>
    <w:rsid w:val="00E713D4"/>
    <w:rsid w:val="00E71BDA"/>
    <w:rsid w:val="00E7225C"/>
    <w:rsid w:val="00E729C8"/>
    <w:rsid w:val="00E73213"/>
    <w:rsid w:val="00E73301"/>
    <w:rsid w:val="00E7372C"/>
    <w:rsid w:val="00E74B38"/>
    <w:rsid w:val="00E7542B"/>
    <w:rsid w:val="00E76436"/>
    <w:rsid w:val="00E76BDB"/>
    <w:rsid w:val="00E76D07"/>
    <w:rsid w:val="00E76D23"/>
    <w:rsid w:val="00E76DEE"/>
    <w:rsid w:val="00E77001"/>
    <w:rsid w:val="00E77CA3"/>
    <w:rsid w:val="00E77EF5"/>
    <w:rsid w:val="00E808BE"/>
    <w:rsid w:val="00E80DC8"/>
    <w:rsid w:val="00E8101D"/>
    <w:rsid w:val="00E81359"/>
    <w:rsid w:val="00E81D76"/>
    <w:rsid w:val="00E81DCF"/>
    <w:rsid w:val="00E826C2"/>
    <w:rsid w:val="00E834A2"/>
    <w:rsid w:val="00E83735"/>
    <w:rsid w:val="00E83A76"/>
    <w:rsid w:val="00E84245"/>
    <w:rsid w:val="00E84760"/>
    <w:rsid w:val="00E84A45"/>
    <w:rsid w:val="00E85494"/>
    <w:rsid w:val="00E85610"/>
    <w:rsid w:val="00E860B7"/>
    <w:rsid w:val="00E87897"/>
    <w:rsid w:val="00E90478"/>
    <w:rsid w:val="00E9052B"/>
    <w:rsid w:val="00E908D6"/>
    <w:rsid w:val="00E90C89"/>
    <w:rsid w:val="00E914EE"/>
    <w:rsid w:val="00E91775"/>
    <w:rsid w:val="00E91951"/>
    <w:rsid w:val="00E91970"/>
    <w:rsid w:val="00E91AD6"/>
    <w:rsid w:val="00E91FAB"/>
    <w:rsid w:val="00E922E5"/>
    <w:rsid w:val="00E92445"/>
    <w:rsid w:val="00E92A82"/>
    <w:rsid w:val="00E92BBD"/>
    <w:rsid w:val="00E93482"/>
    <w:rsid w:val="00E93CBD"/>
    <w:rsid w:val="00E94799"/>
    <w:rsid w:val="00E94A7F"/>
    <w:rsid w:val="00E94C2B"/>
    <w:rsid w:val="00E94D6F"/>
    <w:rsid w:val="00E95564"/>
    <w:rsid w:val="00E963D2"/>
    <w:rsid w:val="00E96B6D"/>
    <w:rsid w:val="00E96FDB"/>
    <w:rsid w:val="00E971F9"/>
    <w:rsid w:val="00E9739E"/>
    <w:rsid w:val="00E9763C"/>
    <w:rsid w:val="00E97B46"/>
    <w:rsid w:val="00EA0894"/>
    <w:rsid w:val="00EA09A8"/>
    <w:rsid w:val="00EA0A4C"/>
    <w:rsid w:val="00EA0AE7"/>
    <w:rsid w:val="00EA184C"/>
    <w:rsid w:val="00EA24C1"/>
    <w:rsid w:val="00EA327A"/>
    <w:rsid w:val="00EA33F3"/>
    <w:rsid w:val="00EA37F3"/>
    <w:rsid w:val="00EA3AA2"/>
    <w:rsid w:val="00EA4251"/>
    <w:rsid w:val="00EA47E3"/>
    <w:rsid w:val="00EA4B15"/>
    <w:rsid w:val="00EA54DA"/>
    <w:rsid w:val="00EA54FA"/>
    <w:rsid w:val="00EA56E4"/>
    <w:rsid w:val="00EA598E"/>
    <w:rsid w:val="00EA5C5A"/>
    <w:rsid w:val="00EA5F0A"/>
    <w:rsid w:val="00EA5F62"/>
    <w:rsid w:val="00EA6801"/>
    <w:rsid w:val="00EA73C2"/>
    <w:rsid w:val="00EA75D9"/>
    <w:rsid w:val="00EB02DB"/>
    <w:rsid w:val="00EB0923"/>
    <w:rsid w:val="00EB18BC"/>
    <w:rsid w:val="00EB1AB3"/>
    <w:rsid w:val="00EB27CE"/>
    <w:rsid w:val="00EB3F0B"/>
    <w:rsid w:val="00EB449C"/>
    <w:rsid w:val="00EB48C2"/>
    <w:rsid w:val="00EB56EA"/>
    <w:rsid w:val="00EB5896"/>
    <w:rsid w:val="00EB59B1"/>
    <w:rsid w:val="00EB692F"/>
    <w:rsid w:val="00EB696A"/>
    <w:rsid w:val="00EB7419"/>
    <w:rsid w:val="00EB795D"/>
    <w:rsid w:val="00EC0230"/>
    <w:rsid w:val="00EC0274"/>
    <w:rsid w:val="00EC079C"/>
    <w:rsid w:val="00EC0917"/>
    <w:rsid w:val="00EC1056"/>
    <w:rsid w:val="00EC1421"/>
    <w:rsid w:val="00EC1573"/>
    <w:rsid w:val="00EC2286"/>
    <w:rsid w:val="00EC2664"/>
    <w:rsid w:val="00EC3A70"/>
    <w:rsid w:val="00EC4353"/>
    <w:rsid w:val="00EC52E7"/>
    <w:rsid w:val="00EC5653"/>
    <w:rsid w:val="00EC59AC"/>
    <w:rsid w:val="00EC65C7"/>
    <w:rsid w:val="00EC6F8D"/>
    <w:rsid w:val="00EC7974"/>
    <w:rsid w:val="00EC7F4A"/>
    <w:rsid w:val="00ED0861"/>
    <w:rsid w:val="00ED09F9"/>
    <w:rsid w:val="00ED0A40"/>
    <w:rsid w:val="00ED0D9D"/>
    <w:rsid w:val="00ED145E"/>
    <w:rsid w:val="00ED193D"/>
    <w:rsid w:val="00ED1B94"/>
    <w:rsid w:val="00ED1E42"/>
    <w:rsid w:val="00ED23D8"/>
    <w:rsid w:val="00ED241C"/>
    <w:rsid w:val="00ED32F9"/>
    <w:rsid w:val="00ED3BC7"/>
    <w:rsid w:val="00ED40F6"/>
    <w:rsid w:val="00ED4914"/>
    <w:rsid w:val="00ED4C2B"/>
    <w:rsid w:val="00ED5301"/>
    <w:rsid w:val="00ED5F7D"/>
    <w:rsid w:val="00ED630E"/>
    <w:rsid w:val="00ED639C"/>
    <w:rsid w:val="00ED6C84"/>
    <w:rsid w:val="00ED7514"/>
    <w:rsid w:val="00ED7944"/>
    <w:rsid w:val="00EE0008"/>
    <w:rsid w:val="00EE0F85"/>
    <w:rsid w:val="00EE10BD"/>
    <w:rsid w:val="00EE282D"/>
    <w:rsid w:val="00EE2FA5"/>
    <w:rsid w:val="00EE301B"/>
    <w:rsid w:val="00EE31F2"/>
    <w:rsid w:val="00EE3D28"/>
    <w:rsid w:val="00EE41B6"/>
    <w:rsid w:val="00EE67ED"/>
    <w:rsid w:val="00EE6A05"/>
    <w:rsid w:val="00EE6ADF"/>
    <w:rsid w:val="00EE7FD9"/>
    <w:rsid w:val="00EF01F7"/>
    <w:rsid w:val="00EF0490"/>
    <w:rsid w:val="00EF0576"/>
    <w:rsid w:val="00EF06CC"/>
    <w:rsid w:val="00EF0AC7"/>
    <w:rsid w:val="00EF0D4D"/>
    <w:rsid w:val="00EF1C8F"/>
    <w:rsid w:val="00EF2080"/>
    <w:rsid w:val="00EF239A"/>
    <w:rsid w:val="00EF26CC"/>
    <w:rsid w:val="00EF28B3"/>
    <w:rsid w:val="00EF3F47"/>
    <w:rsid w:val="00EF4021"/>
    <w:rsid w:val="00EF4721"/>
    <w:rsid w:val="00EF4880"/>
    <w:rsid w:val="00EF5438"/>
    <w:rsid w:val="00EF5760"/>
    <w:rsid w:val="00EF5864"/>
    <w:rsid w:val="00EF5F92"/>
    <w:rsid w:val="00EF6977"/>
    <w:rsid w:val="00EF6A80"/>
    <w:rsid w:val="00EF6E81"/>
    <w:rsid w:val="00EF6E96"/>
    <w:rsid w:val="00F00F7F"/>
    <w:rsid w:val="00F01990"/>
    <w:rsid w:val="00F019E2"/>
    <w:rsid w:val="00F01BCB"/>
    <w:rsid w:val="00F02022"/>
    <w:rsid w:val="00F02195"/>
    <w:rsid w:val="00F028E9"/>
    <w:rsid w:val="00F02BE0"/>
    <w:rsid w:val="00F02D0B"/>
    <w:rsid w:val="00F033EE"/>
    <w:rsid w:val="00F0480D"/>
    <w:rsid w:val="00F04AA8"/>
    <w:rsid w:val="00F04B57"/>
    <w:rsid w:val="00F04F72"/>
    <w:rsid w:val="00F05231"/>
    <w:rsid w:val="00F05733"/>
    <w:rsid w:val="00F05C8A"/>
    <w:rsid w:val="00F05ECF"/>
    <w:rsid w:val="00F0637B"/>
    <w:rsid w:val="00F066AA"/>
    <w:rsid w:val="00F06FA4"/>
    <w:rsid w:val="00F0733B"/>
    <w:rsid w:val="00F07AC9"/>
    <w:rsid w:val="00F07B06"/>
    <w:rsid w:val="00F10351"/>
    <w:rsid w:val="00F10B89"/>
    <w:rsid w:val="00F10CBB"/>
    <w:rsid w:val="00F116A8"/>
    <w:rsid w:val="00F11837"/>
    <w:rsid w:val="00F118E8"/>
    <w:rsid w:val="00F11CA3"/>
    <w:rsid w:val="00F129A0"/>
    <w:rsid w:val="00F12B8E"/>
    <w:rsid w:val="00F134FA"/>
    <w:rsid w:val="00F1374F"/>
    <w:rsid w:val="00F14006"/>
    <w:rsid w:val="00F141F8"/>
    <w:rsid w:val="00F14B24"/>
    <w:rsid w:val="00F1566E"/>
    <w:rsid w:val="00F15BFC"/>
    <w:rsid w:val="00F15D22"/>
    <w:rsid w:val="00F165F0"/>
    <w:rsid w:val="00F166D4"/>
    <w:rsid w:val="00F16844"/>
    <w:rsid w:val="00F16D46"/>
    <w:rsid w:val="00F1756C"/>
    <w:rsid w:val="00F17E9A"/>
    <w:rsid w:val="00F20361"/>
    <w:rsid w:val="00F2058A"/>
    <w:rsid w:val="00F20967"/>
    <w:rsid w:val="00F20AA8"/>
    <w:rsid w:val="00F2119A"/>
    <w:rsid w:val="00F2176F"/>
    <w:rsid w:val="00F227A3"/>
    <w:rsid w:val="00F228B5"/>
    <w:rsid w:val="00F22E38"/>
    <w:rsid w:val="00F23A90"/>
    <w:rsid w:val="00F240AB"/>
    <w:rsid w:val="00F243D7"/>
    <w:rsid w:val="00F24448"/>
    <w:rsid w:val="00F248F7"/>
    <w:rsid w:val="00F2497B"/>
    <w:rsid w:val="00F25109"/>
    <w:rsid w:val="00F26478"/>
    <w:rsid w:val="00F26838"/>
    <w:rsid w:val="00F27720"/>
    <w:rsid w:val="00F27832"/>
    <w:rsid w:val="00F27CB5"/>
    <w:rsid w:val="00F27F87"/>
    <w:rsid w:val="00F3006F"/>
    <w:rsid w:val="00F30B17"/>
    <w:rsid w:val="00F3141C"/>
    <w:rsid w:val="00F3178D"/>
    <w:rsid w:val="00F31801"/>
    <w:rsid w:val="00F32B7C"/>
    <w:rsid w:val="00F33B22"/>
    <w:rsid w:val="00F33E0A"/>
    <w:rsid w:val="00F33E42"/>
    <w:rsid w:val="00F34044"/>
    <w:rsid w:val="00F340D4"/>
    <w:rsid w:val="00F3458C"/>
    <w:rsid w:val="00F35333"/>
    <w:rsid w:val="00F35529"/>
    <w:rsid w:val="00F35AC3"/>
    <w:rsid w:val="00F35B17"/>
    <w:rsid w:val="00F35CC4"/>
    <w:rsid w:val="00F36221"/>
    <w:rsid w:val="00F36A37"/>
    <w:rsid w:val="00F36DC7"/>
    <w:rsid w:val="00F3710D"/>
    <w:rsid w:val="00F375D7"/>
    <w:rsid w:val="00F3765A"/>
    <w:rsid w:val="00F4011F"/>
    <w:rsid w:val="00F4037E"/>
    <w:rsid w:val="00F40AD0"/>
    <w:rsid w:val="00F41060"/>
    <w:rsid w:val="00F4126B"/>
    <w:rsid w:val="00F417C3"/>
    <w:rsid w:val="00F41803"/>
    <w:rsid w:val="00F418F0"/>
    <w:rsid w:val="00F41DC4"/>
    <w:rsid w:val="00F42411"/>
    <w:rsid w:val="00F42423"/>
    <w:rsid w:val="00F42716"/>
    <w:rsid w:val="00F427F9"/>
    <w:rsid w:val="00F42F48"/>
    <w:rsid w:val="00F42F8F"/>
    <w:rsid w:val="00F43610"/>
    <w:rsid w:val="00F44C83"/>
    <w:rsid w:val="00F45D4C"/>
    <w:rsid w:val="00F461B6"/>
    <w:rsid w:val="00F46952"/>
    <w:rsid w:val="00F46C71"/>
    <w:rsid w:val="00F47916"/>
    <w:rsid w:val="00F47970"/>
    <w:rsid w:val="00F47CC1"/>
    <w:rsid w:val="00F505DE"/>
    <w:rsid w:val="00F50A2D"/>
    <w:rsid w:val="00F51440"/>
    <w:rsid w:val="00F51BEA"/>
    <w:rsid w:val="00F53191"/>
    <w:rsid w:val="00F5333F"/>
    <w:rsid w:val="00F53553"/>
    <w:rsid w:val="00F53A98"/>
    <w:rsid w:val="00F54255"/>
    <w:rsid w:val="00F5489B"/>
    <w:rsid w:val="00F5498E"/>
    <w:rsid w:val="00F54AAE"/>
    <w:rsid w:val="00F54D0F"/>
    <w:rsid w:val="00F5563E"/>
    <w:rsid w:val="00F55CD4"/>
    <w:rsid w:val="00F55FAA"/>
    <w:rsid w:val="00F560D4"/>
    <w:rsid w:val="00F56139"/>
    <w:rsid w:val="00F563E3"/>
    <w:rsid w:val="00F56DFA"/>
    <w:rsid w:val="00F56F73"/>
    <w:rsid w:val="00F5706B"/>
    <w:rsid w:val="00F57737"/>
    <w:rsid w:val="00F57984"/>
    <w:rsid w:val="00F57A80"/>
    <w:rsid w:val="00F57B8D"/>
    <w:rsid w:val="00F57D8F"/>
    <w:rsid w:val="00F57EEF"/>
    <w:rsid w:val="00F6021A"/>
    <w:rsid w:val="00F61104"/>
    <w:rsid w:val="00F6141B"/>
    <w:rsid w:val="00F61497"/>
    <w:rsid w:val="00F62534"/>
    <w:rsid w:val="00F62F43"/>
    <w:rsid w:val="00F631C0"/>
    <w:rsid w:val="00F63767"/>
    <w:rsid w:val="00F64113"/>
    <w:rsid w:val="00F6431E"/>
    <w:rsid w:val="00F6533A"/>
    <w:rsid w:val="00F654F9"/>
    <w:rsid w:val="00F65608"/>
    <w:rsid w:val="00F66588"/>
    <w:rsid w:val="00F66D88"/>
    <w:rsid w:val="00F67DCA"/>
    <w:rsid w:val="00F67F8E"/>
    <w:rsid w:val="00F70352"/>
    <w:rsid w:val="00F70531"/>
    <w:rsid w:val="00F70FD7"/>
    <w:rsid w:val="00F7120E"/>
    <w:rsid w:val="00F713A5"/>
    <w:rsid w:val="00F71553"/>
    <w:rsid w:val="00F7175B"/>
    <w:rsid w:val="00F71CC4"/>
    <w:rsid w:val="00F722E6"/>
    <w:rsid w:val="00F72854"/>
    <w:rsid w:val="00F7367A"/>
    <w:rsid w:val="00F73888"/>
    <w:rsid w:val="00F73F2A"/>
    <w:rsid w:val="00F7568F"/>
    <w:rsid w:val="00F75E6A"/>
    <w:rsid w:val="00F76B16"/>
    <w:rsid w:val="00F7706D"/>
    <w:rsid w:val="00F77D2F"/>
    <w:rsid w:val="00F77F6A"/>
    <w:rsid w:val="00F80797"/>
    <w:rsid w:val="00F8095D"/>
    <w:rsid w:val="00F80B23"/>
    <w:rsid w:val="00F81133"/>
    <w:rsid w:val="00F81236"/>
    <w:rsid w:val="00F813D3"/>
    <w:rsid w:val="00F815BE"/>
    <w:rsid w:val="00F8199A"/>
    <w:rsid w:val="00F81DDA"/>
    <w:rsid w:val="00F82261"/>
    <w:rsid w:val="00F82835"/>
    <w:rsid w:val="00F831D3"/>
    <w:rsid w:val="00F847BF"/>
    <w:rsid w:val="00F84837"/>
    <w:rsid w:val="00F84C3D"/>
    <w:rsid w:val="00F84C6F"/>
    <w:rsid w:val="00F8504E"/>
    <w:rsid w:val="00F8542E"/>
    <w:rsid w:val="00F8544F"/>
    <w:rsid w:val="00F856DD"/>
    <w:rsid w:val="00F85DB9"/>
    <w:rsid w:val="00F86281"/>
    <w:rsid w:val="00F86917"/>
    <w:rsid w:val="00F86A44"/>
    <w:rsid w:val="00F86CFF"/>
    <w:rsid w:val="00F874DF"/>
    <w:rsid w:val="00F878B7"/>
    <w:rsid w:val="00F87B4F"/>
    <w:rsid w:val="00F87D01"/>
    <w:rsid w:val="00F91E8D"/>
    <w:rsid w:val="00F91F1C"/>
    <w:rsid w:val="00F92162"/>
    <w:rsid w:val="00F9218B"/>
    <w:rsid w:val="00F92482"/>
    <w:rsid w:val="00F93446"/>
    <w:rsid w:val="00F9380A"/>
    <w:rsid w:val="00F938FD"/>
    <w:rsid w:val="00F93F00"/>
    <w:rsid w:val="00F949D3"/>
    <w:rsid w:val="00F94F33"/>
    <w:rsid w:val="00F95433"/>
    <w:rsid w:val="00F954CD"/>
    <w:rsid w:val="00F95CD1"/>
    <w:rsid w:val="00F95EF9"/>
    <w:rsid w:val="00F95FDA"/>
    <w:rsid w:val="00F96C7E"/>
    <w:rsid w:val="00F96D02"/>
    <w:rsid w:val="00F96DC8"/>
    <w:rsid w:val="00F97075"/>
    <w:rsid w:val="00F9723C"/>
    <w:rsid w:val="00F975C9"/>
    <w:rsid w:val="00F97840"/>
    <w:rsid w:val="00FA0469"/>
    <w:rsid w:val="00FA0DED"/>
    <w:rsid w:val="00FA12D6"/>
    <w:rsid w:val="00FA1961"/>
    <w:rsid w:val="00FA2221"/>
    <w:rsid w:val="00FA230D"/>
    <w:rsid w:val="00FA2497"/>
    <w:rsid w:val="00FA276A"/>
    <w:rsid w:val="00FA2986"/>
    <w:rsid w:val="00FA2DB7"/>
    <w:rsid w:val="00FA301D"/>
    <w:rsid w:val="00FA313C"/>
    <w:rsid w:val="00FA313F"/>
    <w:rsid w:val="00FA35BD"/>
    <w:rsid w:val="00FA454B"/>
    <w:rsid w:val="00FA45B6"/>
    <w:rsid w:val="00FA4BA6"/>
    <w:rsid w:val="00FA4C09"/>
    <w:rsid w:val="00FA5345"/>
    <w:rsid w:val="00FA55F6"/>
    <w:rsid w:val="00FA5BEA"/>
    <w:rsid w:val="00FA6229"/>
    <w:rsid w:val="00FA630B"/>
    <w:rsid w:val="00FA63D3"/>
    <w:rsid w:val="00FA72A9"/>
    <w:rsid w:val="00FA7B87"/>
    <w:rsid w:val="00FB0062"/>
    <w:rsid w:val="00FB02AD"/>
    <w:rsid w:val="00FB0359"/>
    <w:rsid w:val="00FB042E"/>
    <w:rsid w:val="00FB0F7A"/>
    <w:rsid w:val="00FB0FC4"/>
    <w:rsid w:val="00FB13FF"/>
    <w:rsid w:val="00FB1B13"/>
    <w:rsid w:val="00FB1CA6"/>
    <w:rsid w:val="00FB25A8"/>
    <w:rsid w:val="00FB2819"/>
    <w:rsid w:val="00FB2E6E"/>
    <w:rsid w:val="00FB3123"/>
    <w:rsid w:val="00FB373C"/>
    <w:rsid w:val="00FB37DA"/>
    <w:rsid w:val="00FB3BA6"/>
    <w:rsid w:val="00FB4971"/>
    <w:rsid w:val="00FB49B5"/>
    <w:rsid w:val="00FB57B4"/>
    <w:rsid w:val="00FB5885"/>
    <w:rsid w:val="00FB5949"/>
    <w:rsid w:val="00FB5BD0"/>
    <w:rsid w:val="00FB791B"/>
    <w:rsid w:val="00FB7E11"/>
    <w:rsid w:val="00FC06EC"/>
    <w:rsid w:val="00FC0AFA"/>
    <w:rsid w:val="00FC1081"/>
    <w:rsid w:val="00FC1777"/>
    <w:rsid w:val="00FC1F82"/>
    <w:rsid w:val="00FC29FB"/>
    <w:rsid w:val="00FC3089"/>
    <w:rsid w:val="00FC3622"/>
    <w:rsid w:val="00FC37C0"/>
    <w:rsid w:val="00FC3B47"/>
    <w:rsid w:val="00FC3DC8"/>
    <w:rsid w:val="00FC4237"/>
    <w:rsid w:val="00FC4B73"/>
    <w:rsid w:val="00FC4B7C"/>
    <w:rsid w:val="00FC4D12"/>
    <w:rsid w:val="00FC54F0"/>
    <w:rsid w:val="00FC5BE6"/>
    <w:rsid w:val="00FC61AA"/>
    <w:rsid w:val="00FC61F0"/>
    <w:rsid w:val="00FC6620"/>
    <w:rsid w:val="00FC68F9"/>
    <w:rsid w:val="00FC7438"/>
    <w:rsid w:val="00FD010C"/>
    <w:rsid w:val="00FD02F4"/>
    <w:rsid w:val="00FD0585"/>
    <w:rsid w:val="00FD15A1"/>
    <w:rsid w:val="00FD2A62"/>
    <w:rsid w:val="00FD2CF7"/>
    <w:rsid w:val="00FD310A"/>
    <w:rsid w:val="00FD3116"/>
    <w:rsid w:val="00FD35B7"/>
    <w:rsid w:val="00FD375D"/>
    <w:rsid w:val="00FD4846"/>
    <w:rsid w:val="00FD50D1"/>
    <w:rsid w:val="00FD5A51"/>
    <w:rsid w:val="00FD63F6"/>
    <w:rsid w:val="00FD70D4"/>
    <w:rsid w:val="00FD7456"/>
    <w:rsid w:val="00FD75AB"/>
    <w:rsid w:val="00FD780A"/>
    <w:rsid w:val="00FE07FB"/>
    <w:rsid w:val="00FE1101"/>
    <w:rsid w:val="00FE197F"/>
    <w:rsid w:val="00FE2316"/>
    <w:rsid w:val="00FE234F"/>
    <w:rsid w:val="00FE2899"/>
    <w:rsid w:val="00FE28A0"/>
    <w:rsid w:val="00FE319E"/>
    <w:rsid w:val="00FE3210"/>
    <w:rsid w:val="00FE3663"/>
    <w:rsid w:val="00FE38CC"/>
    <w:rsid w:val="00FE38EF"/>
    <w:rsid w:val="00FE4AC5"/>
    <w:rsid w:val="00FE4D88"/>
    <w:rsid w:val="00FE50AC"/>
    <w:rsid w:val="00FE5348"/>
    <w:rsid w:val="00FE5599"/>
    <w:rsid w:val="00FE57DE"/>
    <w:rsid w:val="00FE5848"/>
    <w:rsid w:val="00FE638E"/>
    <w:rsid w:val="00FE6866"/>
    <w:rsid w:val="00FE748E"/>
    <w:rsid w:val="00FE7826"/>
    <w:rsid w:val="00FE7903"/>
    <w:rsid w:val="00FF02F4"/>
    <w:rsid w:val="00FF0508"/>
    <w:rsid w:val="00FF07CD"/>
    <w:rsid w:val="00FF0AD5"/>
    <w:rsid w:val="00FF0F1C"/>
    <w:rsid w:val="00FF105D"/>
    <w:rsid w:val="00FF1BF9"/>
    <w:rsid w:val="00FF2490"/>
    <w:rsid w:val="00FF26BE"/>
    <w:rsid w:val="00FF27E6"/>
    <w:rsid w:val="00FF2920"/>
    <w:rsid w:val="00FF2D6E"/>
    <w:rsid w:val="00FF2E52"/>
    <w:rsid w:val="00FF2E60"/>
    <w:rsid w:val="00FF2E91"/>
    <w:rsid w:val="00FF2ED6"/>
    <w:rsid w:val="00FF513E"/>
    <w:rsid w:val="00FF5A04"/>
    <w:rsid w:val="00FF65DE"/>
    <w:rsid w:val="00FF7E1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24CBE9BE"/>
  <w15:docId w15:val="{95D58FF7-71A7-4C34-9B46-B9EB6E74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49" w:unhideWhenUsed="1"/>
    <w:lsdException w:name="header" w:semiHidden="1" w:uiPriority="0" w:unhideWhenUsed="1"/>
    <w:lsdException w:name="footer" w:semiHidden="1" w:uiPriority="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iPriority="17" w:unhideWhenUsed="1" w:qFormat="1"/>
    <w:lsdException w:name="List Bullet" w:semiHidden="1" w:uiPriority="38" w:unhideWhenUsed="1"/>
    <w:lsdException w:name="List Number" w:semiHidden="1" w:unhideWhenUsed="1"/>
    <w:lsdException w:name="List 2" w:semiHidden="1" w:uiPriority="17" w:unhideWhenUsed="1" w:qFormat="1"/>
    <w:lsdException w:name="List 3" w:semiHidden="1" w:uiPriority="17" w:unhideWhenUsed="1" w:qFormat="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49"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Emphasis" w:uiPriority="20" w:qFormat="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A76"/>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7733CD"/>
    <w:pPr>
      <w:keepNext/>
      <w:outlineLvl w:val="2"/>
    </w:pPr>
    <w:rPr>
      <w:rFonts w:ascii="Arial" w:eastAsia="Times New Roman" w:hAnsi="Arial" w:cs="Arial"/>
      <w:bCs/>
      <w:i/>
    </w:rPr>
  </w:style>
  <w:style w:type="paragraph" w:styleId="Heading4">
    <w:name w:val="heading 4"/>
    <w:basedOn w:val="Normal"/>
    <w:next w:val="BodyText1"/>
    <w:link w:val="Heading4Char"/>
    <w:uiPriority w:val="9"/>
    <w:qFormat/>
    <w:rsid w:val="00E83A76"/>
    <w:pPr>
      <w:keepNext/>
      <w:outlineLvl w:val="3"/>
    </w:pPr>
    <w:rPr>
      <w:rFonts w:ascii="Arial" w:hAnsi="Arial"/>
      <w:b/>
      <w:sz w:val="22"/>
    </w:rPr>
  </w:style>
  <w:style w:type="paragraph" w:styleId="Heading5">
    <w:name w:val="heading 5"/>
    <w:basedOn w:val="Normal"/>
    <w:next w:val="Normal"/>
    <w:link w:val="Heading5Char"/>
    <w:uiPriority w:val="9"/>
    <w:qFormat/>
    <w:rsid w:val="00DC52E3"/>
    <w:pPr>
      <w:outlineLvl w:val="4"/>
    </w:pPr>
    <w:rPr>
      <w:rFonts w:ascii="Trebuchet MS" w:hAnsi="Trebuchet MS"/>
      <w:b/>
      <w:sz w:val="32"/>
    </w:rPr>
  </w:style>
  <w:style w:type="paragraph" w:styleId="Heading6">
    <w:name w:val="heading 6"/>
    <w:basedOn w:val="Normal"/>
    <w:next w:val="Normal"/>
    <w:link w:val="Heading6Char"/>
    <w:uiPriority w:val="9"/>
    <w:qFormat/>
    <w:rsid w:val="00DC52E3"/>
    <w:pPr>
      <w:keepNext/>
      <w:keepLines/>
      <w:spacing w:before="200"/>
      <w:outlineLvl w:val="5"/>
    </w:pPr>
    <w:rPr>
      <w:rFonts w:ascii="Trebuchet MS" w:eastAsia="Times New Roman" w:hAnsi="Trebuchet MS"/>
      <w:iCs/>
      <w:color w:val="0C2577"/>
      <w:sz w:val="90"/>
    </w:rPr>
  </w:style>
  <w:style w:type="paragraph" w:styleId="Heading7">
    <w:name w:val="heading 7"/>
    <w:basedOn w:val="Heading6"/>
    <w:next w:val="Normal"/>
    <w:link w:val="Heading7Char"/>
    <w:uiPriority w:val="9"/>
    <w:unhideWhenUsed/>
    <w:rsid w:val="003528D8"/>
    <w:pPr>
      <w:keepLines w:val="0"/>
      <w:spacing w:after="120" w:line="288" w:lineRule="auto"/>
      <w:jc w:val="both"/>
      <w:outlineLvl w:val="6"/>
    </w:pPr>
    <w:rPr>
      <w:rFonts w:ascii="Arial" w:hAnsi="Arial" w:cs="Arial"/>
      <w:b/>
      <w:color w:val="40404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7733CD"/>
    <w:rPr>
      <w:rFonts w:ascii="Arial" w:eastAsia="Times New Roman" w:hAnsi="Arial" w:cs="Arial"/>
      <w:bCs/>
      <w:i/>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E5415E"/>
    <w:pPr>
      <w:numPr>
        <w:ilvl w:val="1"/>
        <w:numId w:val="3"/>
      </w:numPr>
      <w:ind w:left="1134"/>
    </w:pPr>
  </w:style>
  <w:style w:type="character" w:customStyle="1" w:styleId="BodyText2Char">
    <w:name w:val="Body Text 2 Char"/>
    <w:basedOn w:val="DefaultParagraphFont"/>
    <w:link w:val="BodyText2"/>
    <w:rsid w:val="00E5415E"/>
  </w:style>
  <w:style w:type="paragraph" w:styleId="ListBullet">
    <w:name w:val="List Bullet"/>
    <w:basedOn w:val="Normal"/>
    <w:uiPriority w:val="38"/>
    <w:semiHidden/>
    <w:unhideWhenUsed/>
    <w:rsid w:val="005050E8"/>
    <w:pPr>
      <w:numPr>
        <w:numId w:val="1"/>
      </w:numPr>
      <w:ind w:left="357" w:hanging="357"/>
      <w:contextualSpacing/>
    </w:pPr>
  </w:style>
  <w:style w:type="paragraph" w:styleId="Header">
    <w:name w:val="header"/>
    <w:basedOn w:val="Normal"/>
    <w:next w:val="Normal"/>
    <w:link w:val="HeaderChar"/>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rsid w:val="00E83A76"/>
    <w:rPr>
      <w:b/>
    </w:rPr>
  </w:style>
  <w:style w:type="paragraph" w:styleId="Footer">
    <w:name w:val="footer"/>
    <w:basedOn w:val="Normal"/>
    <w:link w:val="FooterChar"/>
    <w:uiPriority w:val="1"/>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1"/>
    <w:rsid w:val="00E83A76"/>
    <w:rPr>
      <w:b/>
    </w:rPr>
  </w:style>
  <w:style w:type="paragraph" w:styleId="FootnoteText">
    <w:name w:val="footnote text"/>
    <w:basedOn w:val="Normal"/>
    <w:link w:val="FootnoteTextChar"/>
    <w:uiPriority w:val="99"/>
    <w:qFormat/>
    <w:rsid w:val="00E83A76"/>
    <w:pPr>
      <w:spacing w:after="0"/>
      <w:ind w:left="567" w:hanging="567"/>
      <w:jc w:val="both"/>
    </w:pPr>
    <w:rPr>
      <w:sz w:val="20"/>
    </w:rPr>
  </w:style>
  <w:style w:type="character" w:customStyle="1" w:styleId="FootnoteTextChar">
    <w:name w:val="Footnote Text Char"/>
    <w:basedOn w:val="DefaultParagraphFont"/>
    <w:link w:val="FootnoteText"/>
    <w:uiPriority w:val="99"/>
    <w:rsid w:val="00E83A76"/>
    <w:rPr>
      <w:sz w:val="20"/>
    </w:rPr>
  </w:style>
  <w:style w:type="character" w:styleId="FootnoteReference">
    <w:name w:val="footnote reference"/>
    <w:basedOn w:val="DefaultParagraphFont"/>
    <w:uiPriority w:val="99"/>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360714"/>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2"/>
      </w:numPr>
    </w:pPr>
    <w:rPr>
      <w:rFonts w:eastAsia="Times New Roman"/>
      <w:szCs w:val="26"/>
    </w:rPr>
  </w:style>
  <w:style w:type="paragraph" w:customStyle="1" w:styleId="BodyText1">
    <w:name w:val="Body Text 1"/>
    <w:basedOn w:val="Normal"/>
    <w:link w:val="BodyText1Char"/>
    <w:qFormat/>
    <w:rsid w:val="00360714"/>
    <w:pPr>
      <w:numPr>
        <w:numId w:val="3"/>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3"/>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qFormat/>
    <w:rsid w:val="00C67A76"/>
    <w:pPr>
      <w:spacing w:before="120"/>
    </w:pPr>
    <w:rPr>
      <w:rFonts w:asciiTheme="majorHAnsi" w:hAnsiTheme="majorHAnsi"/>
      <w:b/>
      <w:sz w:val="40"/>
    </w:rPr>
  </w:style>
  <w:style w:type="character" w:customStyle="1" w:styleId="TitleChar">
    <w:name w:val="Title Char"/>
    <w:basedOn w:val="DefaultParagraphFont"/>
    <w:link w:val="Title"/>
    <w:uiPriority w:val="10"/>
    <w:rsid w:val="00C67A76"/>
    <w:rPr>
      <w:rFonts w:asciiTheme="majorHAnsi" w:hAnsiTheme="majorHAnsi"/>
      <w:b/>
      <w:sz w:val="40"/>
    </w:rPr>
  </w:style>
  <w:style w:type="paragraph" w:styleId="TOC1">
    <w:name w:val="toc 1"/>
    <w:basedOn w:val="Normal"/>
    <w:next w:val="Normal"/>
    <w:autoRedefine/>
    <w:uiPriority w:val="39"/>
    <w:rsid w:val="007C4EBE"/>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3"/>
      </w:numPr>
    </w:pPr>
  </w:style>
  <w:style w:type="character" w:styleId="CommentReference">
    <w:name w:val="annotation reference"/>
    <w:basedOn w:val="DefaultParagraphFont"/>
    <w:uiPriority w:val="49"/>
    <w:semiHidden/>
    <w:unhideWhenUsed/>
    <w:rsid w:val="00721319"/>
    <w:rPr>
      <w:sz w:val="16"/>
      <w:szCs w:val="16"/>
    </w:rPr>
  </w:style>
  <w:style w:type="paragraph" w:styleId="CommentText">
    <w:name w:val="annotation text"/>
    <w:basedOn w:val="Normal"/>
    <w:link w:val="CommentTextChar"/>
    <w:uiPriority w:val="49"/>
    <w:unhideWhenUsed/>
    <w:rsid w:val="00721319"/>
    <w:pPr>
      <w:jc w:val="both"/>
    </w:pPr>
    <w:rPr>
      <w:sz w:val="20"/>
      <w:szCs w:val="20"/>
    </w:rPr>
  </w:style>
  <w:style w:type="character" w:customStyle="1" w:styleId="CommentTextChar">
    <w:name w:val="Comment Text Char"/>
    <w:basedOn w:val="DefaultParagraphFont"/>
    <w:link w:val="CommentText"/>
    <w:uiPriority w:val="49"/>
    <w:rsid w:val="00721319"/>
    <w:rPr>
      <w:sz w:val="20"/>
      <w:szCs w:val="20"/>
    </w:rPr>
  </w:style>
  <w:style w:type="paragraph" w:styleId="ListParagraph">
    <w:name w:val="List Paragraph"/>
    <w:basedOn w:val="Normal"/>
    <w:uiPriority w:val="17"/>
    <w:qFormat/>
    <w:rsid w:val="00721319"/>
    <w:pPr>
      <w:spacing w:after="0"/>
      <w:ind w:left="720"/>
      <w:contextualSpacing/>
    </w:pPr>
    <w:rPr>
      <w:rFonts w:eastAsia="Times New Roman"/>
    </w:rPr>
  </w:style>
  <w:style w:type="paragraph" w:styleId="CommentSubject">
    <w:name w:val="annotation subject"/>
    <w:basedOn w:val="CommentText"/>
    <w:next w:val="CommentText"/>
    <w:link w:val="CommentSubjectChar"/>
    <w:uiPriority w:val="49"/>
    <w:semiHidden/>
    <w:unhideWhenUsed/>
    <w:rsid w:val="00F42411"/>
    <w:pPr>
      <w:jc w:val="left"/>
    </w:pPr>
    <w:rPr>
      <w:b/>
      <w:bCs/>
    </w:rPr>
  </w:style>
  <w:style w:type="character" w:customStyle="1" w:styleId="CommentSubjectChar">
    <w:name w:val="Comment Subject Char"/>
    <w:basedOn w:val="CommentTextChar"/>
    <w:link w:val="CommentSubject"/>
    <w:uiPriority w:val="49"/>
    <w:semiHidden/>
    <w:rsid w:val="00F42411"/>
    <w:rPr>
      <w:b/>
      <w:bCs/>
      <w:sz w:val="20"/>
      <w:szCs w:val="20"/>
    </w:rPr>
  </w:style>
  <w:style w:type="paragraph" w:styleId="Revision">
    <w:name w:val="Revision"/>
    <w:hidden/>
    <w:uiPriority w:val="99"/>
    <w:semiHidden/>
    <w:rsid w:val="00FC0AFA"/>
    <w:pPr>
      <w:spacing w:after="0"/>
    </w:pPr>
  </w:style>
  <w:style w:type="paragraph" w:customStyle="1" w:styleId="acthead5">
    <w:name w:val="acthead5"/>
    <w:basedOn w:val="Normal"/>
    <w:rsid w:val="00BA2227"/>
    <w:pPr>
      <w:spacing w:before="100" w:beforeAutospacing="1" w:after="100" w:afterAutospacing="1"/>
    </w:pPr>
    <w:rPr>
      <w:rFonts w:eastAsia="Times New Roman"/>
    </w:rPr>
  </w:style>
  <w:style w:type="character" w:customStyle="1" w:styleId="charsectno">
    <w:name w:val="charsectno"/>
    <w:basedOn w:val="DefaultParagraphFont"/>
    <w:rsid w:val="00BA2227"/>
  </w:style>
  <w:style w:type="paragraph" w:customStyle="1" w:styleId="subsection">
    <w:name w:val="subsection"/>
    <w:basedOn w:val="Normal"/>
    <w:rsid w:val="00BA2227"/>
    <w:pPr>
      <w:spacing w:before="100" w:beforeAutospacing="1" w:after="100" w:afterAutospacing="1"/>
    </w:pPr>
    <w:rPr>
      <w:rFonts w:eastAsia="Times New Roman"/>
    </w:rPr>
  </w:style>
  <w:style w:type="paragraph" w:customStyle="1" w:styleId="paragraph">
    <w:name w:val="paragraph"/>
    <w:basedOn w:val="Normal"/>
    <w:rsid w:val="00BA2227"/>
    <w:pPr>
      <w:spacing w:before="100" w:beforeAutospacing="1" w:after="100" w:afterAutospacing="1"/>
    </w:pPr>
    <w:rPr>
      <w:rFonts w:eastAsia="Times New Roman"/>
    </w:rPr>
  </w:style>
  <w:style w:type="paragraph" w:styleId="List">
    <w:name w:val="List"/>
    <w:basedOn w:val="Normal"/>
    <w:uiPriority w:val="17"/>
    <w:qFormat/>
    <w:rsid w:val="00DE52A0"/>
    <w:pPr>
      <w:tabs>
        <w:tab w:val="num" w:pos="425"/>
      </w:tabs>
      <w:ind w:left="425" w:hanging="425"/>
    </w:pPr>
    <w:rPr>
      <w:rFonts w:ascii="DIN OT" w:eastAsiaTheme="minorHAnsi" w:hAnsi="DIN OT" w:cstheme="minorBidi"/>
      <w:color w:val="000000"/>
      <w:sz w:val="22"/>
      <w:szCs w:val="22"/>
      <w:lang w:eastAsia="en-US"/>
    </w:rPr>
  </w:style>
  <w:style w:type="paragraph" w:styleId="List2">
    <w:name w:val="List 2"/>
    <w:basedOn w:val="Normal"/>
    <w:uiPriority w:val="17"/>
    <w:qFormat/>
    <w:rsid w:val="00DE52A0"/>
    <w:pPr>
      <w:tabs>
        <w:tab w:val="num" w:pos="851"/>
      </w:tabs>
      <w:ind w:left="851" w:hanging="426"/>
    </w:pPr>
    <w:rPr>
      <w:rFonts w:ascii="DIN OT" w:eastAsiaTheme="minorHAnsi" w:hAnsi="DIN OT" w:cstheme="minorBidi"/>
      <w:color w:val="000000"/>
      <w:sz w:val="22"/>
      <w:szCs w:val="22"/>
      <w:lang w:eastAsia="en-US"/>
    </w:rPr>
  </w:style>
  <w:style w:type="paragraph" w:styleId="List3">
    <w:name w:val="List 3"/>
    <w:basedOn w:val="Normal"/>
    <w:uiPriority w:val="17"/>
    <w:qFormat/>
    <w:rsid w:val="00DE52A0"/>
    <w:pPr>
      <w:tabs>
        <w:tab w:val="num" w:pos="1276"/>
      </w:tabs>
      <w:ind w:left="1276" w:hanging="425"/>
    </w:pPr>
    <w:rPr>
      <w:rFonts w:ascii="DIN OT" w:eastAsiaTheme="minorHAnsi" w:hAnsi="DIN OT" w:cstheme="minorBidi"/>
      <w:color w:val="000000"/>
      <w:sz w:val="22"/>
      <w:szCs w:val="22"/>
      <w:lang w:eastAsia="en-US"/>
    </w:rPr>
  </w:style>
  <w:style w:type="paragraph" w:customStyle="1" w:styleId="bodytext10">
    <w:name w:val="bodytext1"/>
    <w:basedOn w:val="Normal"/>
    <w:rsid w:val="00F00F7F"/>
    <w:pPr>
      <w:spacing w:before="100" w:beforeAutospacing="1" w:after="100" w:afterAutospacing="1"/>
    </w:pPr>
    <w:rPr>
      <w:rFonts w:eastAsia="Times New Roman"/>
    </w:rPr>
  </w:style>
  <w:style w:type="paragraph" w:customStyle="1" w:styleId="paragraphsub">
    <w:name w:val="paragraphsub"/>
    <w:basedOn w:val="Normal"/>
    <w:rsid w:val="00A612AE"/>
    <w:pPr>
      <w:spacing w:before="100" w:beforeAutospacing="1" w:after="100" w:afterAutospacing="1"/>
    </w:pPr>
    <w:rPr>
      <w:rFonts w:eastAsia="Times New Roman"/>
    </w:rPr>
  </w:style>
  <w:style w:type="paragraph" w:styleId="ListNumber3">
    <w:name w:val="List Number 3"/>
    <w:basedOn w:val="Normal"/>
    <w:uiPriority w:val="99"/>
    <w:unhideWhenUsed/>
    <w:rsid w:val="006135D5"/>
    <w:pPr>
      <w:numPr>
        <w:numId w:val="12"/>
      </w:numPr>
      <w:contextualSpacing/>
    </w:pPr>
    <w:rPr>
      <w:rFonts w:ascii="Trebuchet MS" w:eastAsiaTheme="minorHAnsi" w:hAnsi="Trebuchet MS"/>
      <w:sz w:val="22"/>
      <w:szCs w:val="22"/>
      <w:lang w:eastAsia="en-US"/>
    </w:rPr>
  </w:style>
  <w:style w:type="paragraph" w:customStyle="1" w:styleId="APRANORMAL">
    <w:name w:val="APRA NORMAL"/>
    <w:basedOn w:val="Normal"/>
    <w:link w:val="APRANORMALChar"/>
    <w:qFormat/>
    <w:rsid w:val="006135D5"/>
    <w:rPr>
      <w:rFonts w:ascii="DIN OT Light" w:eastAsiaTheme="minorHAnsi" w:hAnsi="DIN OT Light"/>
      <w:color w:val="000000" w:themeColor="text1"/>
      <w:sz w:val="22"/>
      <w:szCs w:val="22"/>
      <w:lang w:val="en-GB" w:eastAsia="en-US"/>
    </w:rPr>
  </w:style>
  <w:style w:type="character" w:customStyle="1" w:styleId="APRANORMALChar">
    <w:name w:val="APRA NORMAL Char"/>
    <w:basedOn w:val="DefaultParagraphFont"/>
    <w:link w:val="APRANORMAL"/>
    <w:rsid w:val="006135D5"/>
    <w:rPr>
      <w:rFonts w:ascii="DIN OT Light" w:eastAsiaTheme="minorHAnsi" w:hAnsi="DIN OT Light"/>
      <w:color w:val="000000" w:themeColor="text1"/>
      <w:sz w:val="22"/>
      <w:szCs w:val="22"/>
      <w:lang w:val="en-GB" w:eastAsia="en-US"/>
    </w:rPr>
  </w:style>
  <w:style w:type="paragraph" w:customStyle="1" w:styleId="APRAHEADING5">
    <w:name w:val="APRA HEADING 5"/>
    <w:basedOn w:val="Normal"/>
    <w:link w:val="APRAHEADING5Char"/>
    <w:qFormat/>
    <w:rsid w:val="006135D5"/>
    <w:pPr>
      <w:suppressAutoHyphens/>
      <w:autoSpaceDE w:val="0"/>
      <w:autoSpaceDN w:val="0"/>
      <w:adjustRightInd w:val="0"/>
      <w:spacing w:before="240" w:after="60" w:line="288" w:lineRule="auto"/>
      <w:textAlignment w:val="center"/>
    </w:pPr>
    <w:rPr>
      <w:rFonts w:ascii="DIN OT Medium" w:eastAsiaTheme="minorHAnsi" w:hAnsi="DIN OT Medium" w:cs="DIN Offc"/>
      <w:bCs/>
      <w:i/>
      <w:sz w:val="22"/>
      <w:szCs w:val="22"/>
      <w:lang w:val="en-GB" w:eastAsia="en-US"/>
    </w:rPr>
  </w:style>
  <w:style w:type="character" w:customStyle="1" w:styleId="APRAHEADING5Char">
    <w:name w:val="APRA HEADING 5 Char"/>
    <w:basedOn w:val="DefaultParagraphFont"/>
    <w:link w:val="APRAHEADING5"/>
    <w:rsid w:val="006135D5"/>
    <w:rPr>
      <w:rFonts w:ascii="DIN OT Medium" w:eastAsiaTheme="minorHAnsi" w:hAnsi="DIN OT Medium" w:cs="DIN Offc"/>
      <w:bCs/>
      <w:i/>
      <w:sz w:val="22"/>
      <w:szCs w:val="22"/>
      <w:lang w:val="en-GB" w:eastAsia="en-US"/>
    </w:rPr>
  </w:style>
  <w:style w:type="character" w:styleId="Emphasis">
    <w:name w:val="Emphasis"/>
    <w:uiPriority w:val="20"/>
    <w:qFormat/>
    <w:rsid w:val="00CC7EC9"/>
    <w:rPr>
      <w:rFonts w:ascii="Arial" w:hAnsi="Arial"/>
      <w:i/>
      <w:iCs/>
      <w:sz w:val="22"/>
    </w:rPr>
  </w:style>
  <w:style w:type="paragraph" w:customStyle="1" w:styleId="IntroTo">
    <w:name w:val="IntroTo:"/>
    <w:basedOn w:val="Normal"/>
    <w:rsid w:val="00C20D94"/>
    <w:pPr>
      <w:spacing w:after="0"/>
      <w:ind w:left="720" w:hanging="720"/>
    </w:pPr>
    <w:rPr>
      <w:rFonts w:eastAsia="Times New Roman"/>
      <w:szCs w:val="20"/>
      <w:lang w:eastAsia="en-US"/>
    </w:rPr>
  </w:style>
  <w:style w:type="paragraph" w:customStyle="1" w:styleId="IH">
    <w:name w:val="IH"/>
    <w:aliases w:val="Interpretation heading"/>
    <w:basedOn w:val="Normal"/>
    <w:next w:val="Normal"/>
    <w:rsid w:val="00C20D94"/>
    <w:pPr>
      <w:keepNext/>
      <w:spacing w:before="480" w:after="0"/>
      <w:ind w:left="964" w:hanging="964"/>
    </w:pPr>
    <w:rPr>
      <w:rFonts w:ascii="Arial" w:eastAsia="Times New Roman" w:hAnsi="Arial"/>
      <w:b/>
      <w:lang w:eastAsia="en-US"/>
    </w:rPr>
  </w:style>
  <w:style w:type="paragraph" w:customStyle="1" w:styleId="IP">
    <w:name w:val="IP"/>
    <w:aliases w:val="Interpretation paragraph"/>
    <w:basedOn w:val="Normal"/>
    <w:next w:val="Normal"/>
    <w:rsid w:val="00C20D94"/>
    <w:pPr>
      <w:keepNext/>
      <w:tabs>
        <w:tab w:val="right" w:pos="794"/>
      </w:tabs>
      <w:spacing w:before="120" w:after="0" w:line="260" w:lineRule="exact"/>
      <w:ind w:left="964" w:hanging="964"/>
      <w:jc w:val="both"/>
    </w:pPr>
    <w:rPr>
      <w:rFonts w:eastAsia="Times New Roman"/>
      <w:lang w:eastAsia="en-US"/>
    </w:rPr>
  </w:style>
  <w:style w:type="paragraph" w:customStyle="1" w:styleId="AS">
    <w:name w:val="AS"/>
    <w:aliases w:val="Schedule title Amendment"/>
    <w:basedOn w:val="Normal"/>
    <w:next w:val="ASref"/>
    <w:rsid w:val="00C20D94"/>
    <w:pPr>
      <w:keepNext/>
      <w:autoSpaceDE w:val="0"/>
      <w:autoSpaceDN w:val="0"/>
      <w:spacing w:before="480" w:after="0"/>
      <w:ind w:left="2410" w:hanging="2410"/>
    </w:pPr>
    <w:rPr>
      <w:rFonts w:ascii="Arial" w:eastAsia="Times New Roman" w:hAnsi="Arial" w:cs="Arial"/>
      <w:b/>
      <w:bCs/>
      <w:sz w:val="32"/>
      <w:szCs w:val="32"/>
    </w:rPr>
  </w:style>
  <w:style w:type="paragraph" w:customStyle="1" w:styleId="ASref">
    <w:name w:val="AS ref"/>
    <w:basedOn w:val="Normal"/>
    <w:next w:val="Normal"/>
    <w:rsid w:val="00C20D94"/>
    <w:pPr>
      <w:keepNext/>
      <w:autoSpaceDE w:val="0"/>
      <w:autoSpaceDN w:val="0"/>
      <w:spacing w:before="60" w:after="0" w:line="200" w:lineRule="exact"/>
      <w:ind w:left="2410"/>
    </w:pPr>
    <w:rPr>
      <w:rFonts w:ascii="Arial" w:eastAsia="Times New Roman" w:hAnsi="Arial" w:cs="Arial"/>
      <w:sz w:val="18"/>
      <w:szCs w:val="18"/>
    </w:rPr>
  </w:style>
  <w:style w:type="character" w:customStyle="1" w:styleId="CharSchNo">
    <w:name w:val="CharSchNo"/>
    <w:basedOn w:val="DefaultParagraphFont"/>
    <w:rsid w:val="00C20D94"/>
  </w:style>
  <w:style w:type="character" w:customStyle="1" w:styleId="CharSchText">
    <w:name w:val="CharSchText"/>
    <w:basedOn w:val="DefaultParagraphFont"/>
    <w:rsid w:val="00C20D94"/>
  </w:style>
  <w:style w:type="character" w:customStyle="1" w:styleId="Heading7Char">
    <w:name w:val="Heading 7 Char"/>
    <w:basedOn w:val="DefaultParagraphFont"/>
    <w:link w:val="Heading7"/>
    <w:uiPriority w:val="9"/>
    <w:rsid w:val="003528D8"/>
    <w:rPr>
      <w:rFonts w:ascii="Arial" w:eastAsia="Times New Roman" w:hAnsi="Arial" w:cs="Arial"/>
      <w:b/>
      <w:iCs/>
      <w:color w:val="404040"/>
      <w:sz w:val="22"/>
      <w:szCs w:val="22"/>
    </w:rPr>
  </w:style>
  <w:style w:type="paragraph" w:customStyle="1" w:styleId="BULLET1">
    <w:name w:val="BULLET 1"/>
    <w:basedOn w:val="Normal"/>
    <w:link w:val="BULLET1Char"/>
    <w:qFormat/>
    <w:rsid w:val="003528D8"/>
    <w:pPr>
      <w:numPr>
        <w:numId w:val="14"/>
      </w:numPr>
      <w:jc w:val="both"/>
    </w:pPr>
    <w:rPr>
      <w:rFonts w:ascii="Arial" w:eastAsiaTheme="minorEastAsia" w:hAnsi="Arial" w:cstheme="minorBidi"/>
      <w:sz w:val="22"/>
      <w:szCs w:val="22"/>
    </w:rPr>
  </w:style>
  <w:style w:type="character" w:customStyle="1" w:styleId="BULLET1Char">
    <w:name w:val="BULLET 1 Char"/>
    <w:basedOn w:val="DefaultParagraphFont"/>
    <w:link w:val="BULLET1"/>
    <w:rsid w:val="003528D8"/>
    <w:rPr>
      <w:rFonts w:ascii="Arial" w:eastAsiaTheme="minorEastAsia" w:hAnsi="Arial" w:cstheme="minorBidi"/>
      <w:sz w:val="22"/>
      <w:szCs w:val="22"/>
    </w:rPr>
  </w:style>
  <w:style w:type="paragraph" w:styleId="Subtitle">
    <w:name w:val="Subtitle"/>
    <w:basedOn w:val="Normal"/>
    <w:next w:val="Normal"/>
    <w:link w:val="SubtitleChar"/>
    <w:uiPriority w:val="11"/>
    <w:rsid w:val="003528D8"/>
    <w:pPr>
      <w:tabs>
        <w:tab w:val="num" w:pos="425"/>
      </w:tabs>
      <w:ind w:left="425" w:hanging="425"/>
      <w:jc w:val="both"/>
    </w:pPr>
    <w:rPr>
      <w:rFonts w:ascii="Arial" w:eastAsiaTheme="majorEastAsia" w:hAnsi="Arial" w:cstheme="majorBidi"/>
      <w:i/>
      <w:iCs/>
      <w:spacing w:val="15"/>
      <w:sz w:val="22"/>
    </w:rPr>
  </w:style>
  <w:style w:type="character" w:customStyle="1" w:styleId="SubtitleChar">
    <w:name w:val="Subtitle Char"/>
    <w:basedOn w:val="DefaultParagraphFont"/>
    <w:link w:val="Subtitle"/>
    <w:uiPriority w:val="11"/>
    <w:rsid w:val="003528D8"/>
    <w:rPr>
      <w:rFonts w:ascii="Arial" w:eastAsiaTheme="majorEastAsia" w:hAnsi="Arial" w:cstheme="majorBidi"/>
      <w:i/>
      <w:iCs/>
      <w:spacing w:val="15"/>
      <w:sz w:val="22"/>
    </w:rPr>
  </w:style>
  <w:style w:type="paragraph" w:customStyle="1" w:styleId="TableHeadNumber">
    <w:name w:val="Table Head Number"/>
    <w:basedOn w:val="Normal"/>
    <w:next w:val="Normal"/>
    <w:qFormat/>
    <w:rsid w:val="00A95B90"/>
    <w:pPr>
      <w:keepNext/>
      <w:tabs>
        <w:tab w:val="left" w:pos="1134"/>
      </w:tabs>
      <w:spacing w:before="240" w:after="120"/>
      <w:ind w:left="1134" w:hanging="1134"/>
      <w:outlineLvl w:val="4"/>
    </w:pPr>
    <w:rPr>
      <w:rFonts w:asciiTheme="minorHAnsi" w:eastAsiaTheme="minorHAnsi" w:hAnsiTheme="minorHAnsi" w:cstheme="minorBidi"/>
      <w:b/>
      <w:color w:val="000000"/>
      <w:szCs w:val="22"/>
      <w:lang w:eastAsia="en-US"/>
    </w:rPr>
  </w:style>
  <w:style w:type="paragraph" w:customStyle="1" w:styleId="Table">
    <w:name w:val="_Table"/>
    <w:qFormat/>
    <w:rsid w:val="00A95B90"/>
    <w:pPr>
      <w:spacing w:before="60" w:after="60"/>
    </w:pPr>
  </w:style>
  <w:style w:type="paragraph" w:styleId="BodyText">
    <w:name w:val="Body Text"/>
    <w:basedOn w:val="Normal"/>
    <w:link w:val="BodyTextChar"/>
    <w:uiPriority w:val="1"/>
    <w:unhideWhenUsed/>
    <w:qFormat/>
    <w:rsid w:val="00FE1101"/>
    <w:pPr>
      <w:spacing w:after="120"/>
    </w:pPr>
  </w:style>
  <w:style w:type="character" w:customStyle="1" w:styleId="BodyTextChar">
    <w:name w:val="Body Text Char"/>
    <w:basedOn w:val="DefaultParagraphFont"/>
    <w:link w:val="BodyText"/>
    <w:uiPriority w:val="1"/>
    <w:rsid w:val="00FE1101"/>
  </w:style>
  <w:style w:type="paragraph" w:styleId="EndnoteText">
    <w:name w:val="endnote text"/>
    <w:basedOn w:val="Normal"/>
    <w:link w:val="EndnoteTextChar"/>
    <w:uiPriority w:val="49"/>
    <w:semiHidden/>
    <w:unhideWhenUsed/>
    <w:rsid w:val="00811F63"/>
    <w:pPr>
      <w:spacing w:after="0"/>
    </w:pPr>
    <w:rPr>
      <w:sz w:val="20"/>
      <w:szCs w:val="20"/>
    </w:rPr>
  </w:style>
  <w:style w:type="character" w:customStyle="1" w:styleId="EndnoteTextChar">
    <w:name w:val="Endnote Text Char"/>
    <w:basedOn w:val="DefaultParagraphFont"/>
    <w:link w:val="EndnoteText"/>
    <w:uiPriority w:val="49"/>
    <w:semiHidden/>
    <w:rsid w:val="00811F63"/>
    <w:rPr>
      <w:sz w:val="20"/>
      <w:szCs w:val="20"/>
    </w:rPr>
  </w:style>
  <w:style w:type="character" w:styleId="EndnoteReference">
    <w:name w:val="endnote reference"/>
    <w:basedOn w:val="DefaultParagraphFont"/>
    <w:uiPriority w:val="49"/>
    <w:semiHidden/>
    <w:unhideWhenUsed/>
    <w:rsid w:val="00811F63"/>
    <w:rPr>
      <w:vertAlign w:val="superscript"/>
    </w:rPr>
  </w:style>
  <w:style w:type="numbering" w:styleId="1ai">
    <w:name w:val="Outline List 1"/>
    <w:basedOn w:val="NoList"/>
    <w:uiPriority w:val="99"/>
    <w:semiHidden/>
    <w:unhideWhenUsed/>
    <w:rsid w:val="00216BB4"/>
    <w:pPr>
      <w:numPr>
        <w:numId w:val="27"/>
      </w:numPr>
    </w:pPr>
  </w:style>
  <w:style w:type="character" w:customStyle="1" w:styleId="ui-provider">
    <w:name w:val="ui-provider"/>
    <w:basedOn w:val="DefaultParagraphFont"/>
    <w:rsid w:val="00216BB4"/>
  </w:style>
  <w:style w:type="paragraph" w:customStyle="1" w:styleId="ActTitle">
    <w:name w:val="Act Title"/>
    <w:basedOn w:val="Normal"/>
    <w:next w:val="Normal"/>
    <w:rsid w:val="001E6369"/>
    <w:pPr>
      <w:pBdr>
        <w:bottom w:val="single" w:sz="4" w:space="3" w:color="auto"/>
      </w:pBdr>
      <w:spacing w:before="480"/>
    </w:pPr>
    <w:rPr>
      <w:rFonts w:ascii="Arial" w:eastAsia="Times New Roman" w:hAnsi="Arial"/>
      <w:i/>
      <w:iCs/>
      <w:sz w:val="28"/>
      <w:szCs w:val="20"/>
    </w:rPr>
  </w:style>
  <w:style w:type="paragraph" w:customStyle="1" w:styleId="introto0">
    <w:name w:val="introto"/>
    <w:basedOn w:val="Normal"/>
    <w:rsid w:val="001E6369"/>
    <w:pPr>
      <w:spacing w:before="100" w:beforeAutospacing="1" w:after="100" w:afterAutospacing="1"/>
    </w:pPr>
    <w:rPr>
      <w:rFonts w:eastAsia="Times New Roman"/>
    </w:rPr>
  </w:style>
  <w:style w:type="paragraph" w:customStyle="1" w:styleId="Style1">
    <w:name w:val="Style1"/>
    <w:basedOn w:val="ListParagraph"/>
    <w:link w:val="Style1Char"/>
    <w:qFormat/>
    <w:rsid w:val="001E6369"/>
    <w:pPr>
      <w:numPr>
        <w:numId w:val="44"/>
      </w:numPr>
      <w:shd w:val="clear" w:color="auto" w:fill="FFFFFF"/>
      <w:spacing w:before="220" w:after="100"/>
      <w:ind w:left="567" w:hanging="567"/>
      <w:contextualSpacing w:val="0"/>
      <w:jc w:val="both"/>
    </w:pPr>
    <w:rPr>
      <w:rFonts w:asciiTheme="majorHAnsi" w:eastAsia="Calibri" w:hAnsiTheme="majorHAnsi" w:cstheme="majorHAnsi"/>
    </w:rPr>
  </w:style>
  <w:style w:type="character" w:customStyle="1" w:styleId="Style1Char">
    <w:name w:val="Style1 Char"/>
    <w:basedOn w:val="DefaultParagraphFont"/>
    <w:link w:val="Style1"/>
    <w:rsid w:val="001E6369"/>
    <w:rPr>
      <w:rFonts w:asciiTheme="majorHAnsi" w:hAnsiTheme="majorHAnsi" w:cstheme="majorHAnsi"/>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122">
      <w:bodyDiv w:val="1"/>
      <w:marLeft w:val="0"/>
      <w:marRight w:val="0"/>
      <w:marTop w:val="0"/>
      <w:marBottom w:val="0"/>
      <w:divBdr>
        <w:top w:val="none" w:sz="0" w:space="0" w:color="auto"/>
        <w:left w:val="none" w:sz="0" w:space="0" w:color="auto"/>
        <w:bottom w:val="none" w:sz="0" w:space="0" w:color="auto"/>
        <w:right w:val="none" w:sz="0" w:space="0" w:color="auto"/>
      </w:divBdr>
    </w:div>
    <w:div w:id="40518866">
      <w:bodyDiv w:val="1"/>
      <w:marLeft w:val="0"/>
      <w:marRight w:val="0"/>
      <w:marTop w:val="0"/>
      <w:marBottom w:val="0"/>
      <w:divBdr>
        <w:top w:val="none" w:sz="0" w:space="0" w:color="auto"/>
        <w:left w:val="none" w:sz="0" w:space="0" w:color="auto"/>
        <w:bottom w:val="none" w:sz="0" w:space="0" w:color="auto"/>
        <w:right w:val="none" w:sz="0" w:space="0" w:color="auto"/>
      </w:divBdr>
    </w:div>
    <w:div w:id="77555297">
      <w:bodyDiv w:val="1"/>
      <w:marLeft w:val="0"/>
      <w:marRight w:val="0"/>
      <w:marTop w:val="0"/>
      <w:marBottom w:val="0"/>
      <w:divBdr>
        <w:top w:val="none" w:sz="0" w:space="0" w:color="auto"/>
        <w:left w:val="none" w:sz="0" w:space="0" w:color="auto"/>
        <w:bottom w:val="none" w:sz="0" w:space="0" w:color="auto"/>
        <w:right w:val="none" w:sz="0" w:space="0" w:color="auto"/>
      </w:divBdr>
    </w:div>
    <w:div w:id="98067528">
      <w:bodyDiv w:val="1"/>
      <w:marLeft w:val="0"/>
      <w:marRight w:val="0"/>
      <w:marTop w:val="0"/>
      <w:marBottom w:val="0"/>
      <w:divBdr>
        <w:top w:val="none" w:sz="0" w:space="0" w:color="auto"/>
        <w:left w:val="none" w:sz="0" w:space="0" w:color="auto"/>
        <w:bottom w:val="none" w:sz="0" w:space="0" w:color="auto"/>
        <w:right w:val="none" w:sz="0" w:space="0" w:color="auto"/>
      </w:divBdr>
    </w:div>
    <w:div w:id="103768064">
      <w:bodyDiv w:val="1"/>
      <w:marLeft w:val="0"/>
      <w:marRight w:val="0"/>
      <w:marTop w:val="0"/>
      <w:marBottom w:val="0"/>
      <w:divBdr>
        <w:top w:val="none" w:sz="0" w:space="0" w:color="auto"/>
        <w:left w:val="none" w:sz="0" w:space="0" w:color="auto"/>
        <w:bottom w:val="none" w:sz="0" w:space="0" w:color="auto"/>
        <w:right w:val="none" w:sz="0" w:space="0" w:color="auto"/>
      </w:divBdr>
    </w:div>
    <w:div w:id="115611168">
      <w:bodyDiv w:val="1"/>
      <w:marLeft w:val="0"/>
      <w:marRight w:val="0"/>
      <w:marTop w:val="0"/>
      <w:marBottom w:val="0"/>
      <w:divBdr>
        <w:top w:val="none" w:sz="0" w:space="0" w:color="auto"/>
        <w:left w:val="none" w:sz="0" w:space="0" w:color="auto"/>
        <w:bottom w:val="none" w:sz="0" w:space="0" w:color="auto"/>
        <w:right w:val="none" w:sz="0" w:space="0" w:color="auto"/>
      </w:divBdr>
    </w:div>
    <w:div w:id="255674013">
      <w:bodyDiv w:val="1"/>
      <w:marLeft w:val="0"/>
      <w:marRight w:val="0"/>
      <w:marTop w:val="0"/>
      <w:marBottom w:val="0"/>
      <w:divBdr>
        <w:top w:val="none" w:sz="0" w:space="0" w:color="auto"/>
        <w:left w:val="none" w:sz="0" w:space="0" w:color="auto"/>
        <w:bottom w:val="none" w:sz="0" w:space="0" w:color="auto"/>
        <w:right w:val="none" w:sz="0" w:space="0" w:color="auto"/>
      </w:divBdr>
    </w:div>
    <w:div w:id="289290077">
      <w:bodyDiv w:val="1"/>
      <w:marLeft w:val="0"/>
      <w:marRight w:val="0"/>
      <w:marTop w:val="0"/>
      <w:marBottom w:val="0"/>
      <w:divBdr>
        <w:top w:val="none" w:sz="0" w:space="0" w:color="auto"/>
        <w:left w:val="none" w:sz="0" w:space="0" w:color="auto"/>
        <w:bottom w:val="none" w:sz="0" w:space="0" w:color="auto"/>
        <w:right w:val="none" w:sz="0" w:space="0" w:color="auto"/>
      </w:divBdr>
    </w:div>
    <w:div w:id="308485858">
      <w:bodyDiv w:val="1"/>
      <w:marLeft w:val="0"/>
      <w:marRight w:val="0"/>
      <w:marTop w:val="0"/>
      <w:marBottom w:val="0"/>
      <w:divBdr>
        <w:top w:val="none" w:sz="0" w:space="0" w:color="auto"/>
        <w:left w:val="none" w:sz="0" w:space="0" w:color="auto"/>
        <w:bottom w:val="none" w:sz="0" w:space="0" w:color="auto"/>
        <w:right w:val="none" w:sz="0" w:space="0" w:color="auto"/>
      </w:divBdr>
    </w:div>
    <w:div w:id="467284382">
      <w:bodyDiv w:val="1"/>
      <w:marLeft w:val="0"/>
      <w:marRight w:val="0"/>
      <w:marTop w:val="0"/>
      <w:marBottom w:val="0"/>
      <w:divBdr>
        <w:top w:val="none" w:sz="0" w:space="0" w:color="auto"/>
        <w:left w:val="none" w:sz="0" w:space="0" w:color="auto"/>
        <w:bottom w:val="none" w:sz="0" w:space="0" w:color="auto"/>
        <w:right w:val="none" w:sz="0" w:space="0" w:color="auto"/>
      </w:divBdr>
    </w:div>
    <w:div w:id="802428950">
      <w:bodyDiv w:val="1"/>
      <w:marLeft w:val="0"/>
      <w:marRight w:val="0"/>
      <w:marTop w:val="0"/>
      <w:marBottom w:val="0"/>
      <w:divBdr>
        <w:top w:val="none" w:sz="0" w:space="0" w:color="auto"/>
        <w:left w:val="none" w:sz="0" w:space="0" w:color="auto"/>
        <w:bottom w:val="none" w:sz="0" w:space="0" w:color="auto"/>
        <w:right w:val="none" w:sz="0" w:space="0" w:color="auto"/>
      </w:divBdr>
    </w:div>
    <w:div w:id="826900280">
      <w:bodyDiv w:val="1"/>
      <w:marLeft w:val="0"/>
      <w:marRight w:val="0"/>
      <w:marTop w:val="0"/>
      <w:marBottom w:val="0"/>
      <w:divBdr>
        <w:top w:val="none" w:sz="0" w:space="0" w:color="auto"/>
        <w:left w:val="none" w:sz="0" w:space="0" w:color="auto"/>
        <w:bottom w:val="none" w:sz="0" w:space="0" w:color="auto"/>
        <w:right w:val="none" w:sz="0" w:space="0" w:color="auto"/>
      </w:divBdr>
    </w:div>
    <w:div w:id="869414424">
      <w:bodyDiv w:val="1"/>
      <w:marLeft w:val="0"/>
      <w:marRight w:val="0"/>
      <w:marTop w:val="0"/>
      <w:marBottom w:val="0"/>
      <w:divBdr>
        <w:top w:val="none" w:sz="0" w:space="0" w:color="auto"/>
        <w:left w:val="none" w:sz="0" w:space="0" w:color="auto"/>
        <w:bottom w:val="none" w:sz="0" w:space="0" w:color="auto"/>
        <w:right w:val="none" w:sz="0" w:space="0" w:color="auto"/>
      </w:divBdr>
    </w:div>
    <w:div w:id="913245258">
      <w:bodyDiv w:val="1"/>
      <w:marLeft w:val="0"/>
      <w:marRight w:val="0"/>
      <w:marTop w:val="0"/>
      <w:marBottom w:val="0"/>
      <w:divBdr>
        <w:top w:val="none" w:sz="0" w:space="0" w:color="auto"/>
        <w:left w:val="none" w:sz="0" w:space="0" w:color="auto"/>
        <w:bottom w:val="none" w:sz="0" w:space="0" w:color="auto"/>
        <w:right w:val="none" w:sz="0" w:space="0" w:color="auto"/>
      </w:divBdr>
    </w:div>
    <w:div w:id="925309590">
      <w:bodyDiv w:val="1"/>
      <w:marLeft w:val="0"/>
      <w:marRight w:val="0"/>
      <w:marTop w:val="0"/>
      <w:marBottom w:val="0"/>
      <w:divBdr>
        <w:top w:val="none" w:sz="0" w:space="0" w:color="auto"/>
        <w:left w:val="none" w:sz="0" w:space="0" w:color="auto"/>
        <w:bottom w:val="none" w:sz="0" w:space="0" w:color="auto"/>
        <w:right w:val="none" w:sz="0" w:space="0" w:color="auto"/>
      </w:divBdr>
    </w:div>
    <w:div w:id="1157305988">
      <w:bodyDiv w:val="1"/>
      <w:marLeft w:val="0"/>
      <w:marRight w:val="0"/>
      <w:marTop w:val="0"/>
      <w:marBottom w:val="0"/>
      <w:divBdr>
        <w:top w:val="none" w:sz="0" w:space="0" w:color="auto"/>
        <w:left w:val="none" w:sz="0" w:space="0" w:color="auto"/>
        <w:bottom w:val="none" w:sz="0" w:space="0" w:color="auto"/>
        <w:right w:val="none" w:sz="0" w:space="0" w:color="auto"/>
      </w:divBdr>
    </w:div>
    <w:div w:id="1220045887">
      <w:bodyDiv w:val="1"/>
      <w:marLeft w:val="0"/>
      <w:marRight w:val="0"/>
      <w:marTop w:val="0"/>
      <w:marBottom w:val="0"/>
      <w:divBdr>
        <w:top w:val="none" w:sz="0" w:space="0" w:color="auto"/>
        <w:left w:val="none" w:sz="0" w:space="0" w:color="auto"/>
        <w:bottom w:val="none" w:sz="0" w:space="0" w:color="auto"/>
        <w:right w:val="none" w:sz="0" w:space="0" w:color="auto"/>
      </w:divBdr>
    </w:div>
    <w:div w:id="1274287217">
      <w:bodyDiv w:val="1"/>
      <w:marLeft w:val="0"/>
      <w:marRight w:val="0"/>
      <w:marTop w:val="0"/>
      <w:marBottom w:val="0"/>
      <w:divBdr>
        <w:top w:val="none" w:sz="0" w:space="0" w:color="auto"/>
        <w:left w:val="none" w:sz="0" w:space="0" w:color="auto"/>
        <w:bottom w:val="none" w:sz="0" w:space="0" w:color="auto"/>
        <w:right w:val="none" w:sz="0" w:space="0" w:color="auto"/>
      </w:divBdr>
    </w:div>
    <w:div w:id="1379236105">
      <w:bodyDiv w:val="1"/>
      <w:marLeft w:val="0"/>
      <w:marRight w:val="0"/>
      <w:marTop w:val="0"/>
      <w:marBottom w:val="0"/>
      <w:divBdr>
        <w:top w:val="none" w:sz="0" w:space="0" w:color="auto"/>
        <w:left w:val="none" w:sz="0" w:space="0" w:color="auto"/>
        <w:bottom w:val="none" w:sz="0" w:space="0" w:color="auto"/>
        <w:right w:val="none" w:sz="0" w:space="0" w:color="auto"/>
      </w:divBdr>
    </w:div>
    <w:div w:id="1576624649">
      <w:bodyDiv w:val="1"/>
      <w:marLeft w:val="0"/>
      <w:marRight w:val="0"/>
      <w:marTop w:val="0"/>
      <w:marBottom w:val="0"/>
      <w:divBdr>
        <w:top w:val="none" w:sz="0" w:space="0" w:color="auto"/>
        <w:left w:val="none" w:sz="0" w:space="0" w:color="auto"/>
        <w:bottom w:val="none" w:sz="0" w:space="0" w:color="auto"/>
        <w:right w:val="none" w:sz="0" w:space="0" w:color="auto"/>
      </w:divBdr>
    </w:div>
    <w:div w:id="1635938937">
      <w:bodyDiv w:val="1"/>
      <w:marLeft w:val="0"/>
      <w:marRight w:val="0"/>
      <w:marTop w:val="0"/>
      <w:marBottom w:val="0"/>
      <w:divBdr>
        <w:top w:val="none" w:sz="0" w:space="0" w:color="auto"/>
        <w:left w:val="none" w:sz="0" w:space="0" w:color="auto"/>
        <w:bottom w:val="none" w:sz="0" w:space="0" w:color="auto"/>
        <w:right w:val="none" w:sz="0" w:space="0" w:color="auto"/>
      </w:divBdr>
    </w:div>
    <w:div w:id="1693996338">
      <w:bodyDiv w:val="1"/>
      <w:marLeft w:val="0"/>
      <w:marRight w:val="0"/>
      <w:marTop w:val="0"/>
      <w:marBottom w:val="0"/>
      <w:divBdr>
        <w:top w:val="none" w:sz="0" w:space="0" w:color="auto"/>
        <w:left w:val="none" w:sz="0" w:space="0" w:color="auto"/>
        <w:bottom w:val="none" w:sz="0" w:space="0" w:color="auto"/>
        <w:right w:val="none" w:sz="0" w:space="0" w:color="auto"/>
      </w:divBdr>
    </w:div>
    <w:div w:id="1694378135">
      <w:bodyDiv w:val="1"/>
      <w:marLeft w:val="0"/>
      <w:marRight w:val="0"/>
      <w:marTop w:val="0"/>
      <w:marBottom w:val="0"/>
      <w:divBdr>
        <w:top w:val="none" w:sz="0" w:space="0" w:color="auto"/>
        <w:left w:val="none" w:sz="0" w:space="0" w:color="auto"/>
        <w:bottom w:val="none" w:sz="0" w:space="0" w:color="auto"/>
        <w:right w:val="none" w:sz="0" w:space="0" w:color="auto"/>
      </w:divBdr>
    </w:div>
    <w:div w:id="20811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26D3E651B6472FB454FE8AFAFED8E2"/>
        <w:category>
          <w:name w:val="General"/>
          <w:gallery w:val="placeholder"/>
        </w:category>
        <w:types>
          <w:type w:val="bbPlcHdr"/>
        </w:types>
        <w:behaviors>
          <w:behavior w:val="content"/>
        </w:behaviors>
        <w:guid w:val="{B28203F9-5E56-4537-BA11-CBE2B7DC5C18}"/>
      </w:docPartPr>
      <w:docPartBody>
        <w:p w:rsidR="00C467D7" w:rsidRDefault="0032505F" w:rsidP="0032505F">
          <w:pPr>
            <w:pStyle w:val="4E26D3E651B6472FB454FE8AFAFED8E2"/>
          </w:pPr>
          <w:r w:rsidRPr="00E74BEE">
            <w:rPr>
              <w:rStyle w:val="PlaceholderText"/>
            </w:rPr>
            <w:t>[Approval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IN OT">
    <w:panose1 w:val="020B0504020201010104"/>
    <w:charset w:val="00"/>
    <w:family w:val="swiss"/>
    <w:pitch w:val="variable"/>
    <w:sig w:usb0="800000EF" w:usb1="4000A47B" w:usb2="00000000" w:usb3="00000000" w:csb0="00000001" w:csb1="00000000"/>
  </w:font>
  <w:font w:name="DIN OT Light">
    <w:panose1 w:val="020B0504020201010104"/>
    <w:charset w:val="00"/>
    <w:family w:val="swiss"/>
    <w:pitch w:val="variable"/>
    <w:sig w:usb0="800000EF" w:usb1="4000A47B" w:usb2="00000000" w:usb3="00000000" w:csb0="00000001" w:csb1="00000000"/>
  </w:font>
  <w:font w:name="DIN OT Medium">
    <w:panose1 w:val="020B0604020201010104"/>
    <w:charset w:val="00"/>
    <w:family w:val="swiss"/>
    <w:pitch w:val="variable"/>
    <w:sig w:usb0="800000EF" w:usb1="4000A47B" w:usb2="00000000" w:usb3="00000000" w:csb0="00000001" w:csb1="00000000"/>
  </w:font>
  <w:font w:name="DIN Offc">
    <w:altName w:val="Segoe Script"/>
    <w:charset w:val="00"/>
    <w:family w:val="swiss"/>
    <w:pitch w:val="variable"/>
    <w:sig w:usb0="00000003" w:usb1="4000A47B" w:usb2="00000000" w:usb3="00000000" w:csb0="00000001" w:csb1="00000000"/>
  </w:font>
  <w:font w:name="MS PMincho">
    <w:altName w:val="ＭＳ Ｐ明朝"/>
    <w:panose1 w:val="00000000000000000000"/>
    <w:charset w:val="80"/>
    <w:family w:val="roman"/>
    <w:notTrueType/>
    <w:pitch w:val="default"/>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5F"/>
    <w:rsid w:val="00025FD8"/>
    <w:rsid w:val="00087176"/>
    <w:rsid w:val="001E46F1"/>
    <w:rsid w:val="0032505F"/>
    <w:rsid w:val="003376AE"/>
    <w:rsid w:val="00487E57"/>
    <w:rsid w:val="004D79D2"/>
    <w:rsid w:val="005307B9"/>
    <w:rsid w:val="00747904"/>
    <w:rsid w:val="00824666"/>
    <w:rsid w:val="00C467D7"/>
    <w:rsid w:val="00CB4A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505F"/>
    <w:rPr>
      <w:noProof w:val="0"/>
      <w:color w:val="000000" w:themeColor="text1"/>
      <w:sz w:val="22"/>
      <w:lang w:val="en-AU"/>
    </w:rPr>
  </w:style>
  <w:style w:type="paragraph" w:customStyle="1" w:styleId="4E26D3E651B6472FB454FE8AFAFED8E2">
    <w:name w:val="4E26D3E651B6472FB454FE8AFAFED8E2"/>
    <w:rsid w:val="003250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E831F15EEA47429C4A0837D916ED91" ma:contentTypeVersion="6" ma:contentTypeDescription="Create a new document." ma:contentTypeScope="" ma:versionID="b459cff694b6e48f43ce596885955411">
  <xsd:schema xmlns:xsd="http://www.w3.org/2001/XMLSchema" xmlns:xs="http://www.w3.org/2001/XMLSchema" xmlns:p="http://schemas.microsoft.com/office/2006/metadata/properties" xmlns:ns2="5664482d-1961-4d38-bfc2-b109b3418834" xmlns:ns3="79530295-9eea-494d-b82a-9ff74409eafc" targetNamespace="http://schemas.microsoft.com/office/2006/metadata/properties" ma:root="true" ma:fieldsID="af7d1e1e0ae66791b8b46845a97f5ff9" ns2:_="" ns3:_="">
    <xsd:import namespace="5664482d-1961-4d38-bfc2-b109b3418834"/>
    <xsd:import namespace="79530295-9eea-494d-b82a-9ff74409eaf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64482d-1961-4d38-bfc2-b109b3418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530295-9eea-494d-b82a-9ff74409ea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79530295-9eea-494d-b82a-9ff74409eafc">
      <UserInfo>
        <DisplayName>Nicky Tran</DisplayName>
        <AccountId>184</AccountId>
        <AccountType/>
      </UserInfo>
      <UserInfo>
        <DisplayName>Thi Bui</DisplayName>
        <AccountId>178</AccountId>
        <AccountType/>
      </UserInfo>
      <UserInfo>
        <DisplayName>Janet Morgan</DisplayName>
        <AccountId>137</AccountId>
        <AccountType/>
      </UserInfo>
      <UserInfo>
        <DisplayName>Nicole Dobson</DisplayName>
        <AccountId>145</AccountId>
        <AccountType/>
      </UserInfo>
      <UserInfo>
        <DisplayName>Stuart Bingham</DisplayName>
        <AccountId>69</AccountId>
        <AccountType/>
      </UserInfo>
      <UserInfo>
        <DisplayName>John Lonsdale</DisplayName>
        <AccountId>44</AccountId>
        <AccountType/>
      </UserInfo>
      <UserInfo>
        <DisplayName>Meredith Swain</DisplayName>
        <AccountId>437</AccountId>
        <AccountType/>
      </UserInfo>
      <UserInfo>
        <DisplayName>Gideon Holland</DisplayName>
        <AccountId>23</AccountId>
        <AccountType/>
      </UserInfo>
      <UserInfo>
        <DisplayName>Clare Gibney</DisplayName>
        <AccountId>266</AccountId>
        <AccountType/>
      </UserInfo>
      <UserInfo>
        <DisplayName>Denis Gorey</DisplayName>
        <AccountId>22</AccountId>
        <AccountType/>
      </UserInfo>
      <UserInfo>
        <DisplayName>Katie Melville</DisplayName>
        <AccountId>233</AccountId>
        <AccountType/>
      </UserInfo>
      <UserInfo>
        <DisplayName>Shoma Banerjee</DisplayName>
        <AccountId>24</AccountId>
        <AccountType/>
      </UserInfo>
      <UserInfo>
        <DisplayName>Ranmeet Kaur</DisplayName>
        <AccountId>175</AccountId>
        <AccountType/>
      </UserInfo>
      <UserInfo>
        <DisplayName>James Douglas</DisplayName>
        <AccountId>43</AccountId>
        <AccountType/>
      </UserInfo>
      <UserInfo>
        <DisplayName>Gavin Maunder</DisplayName>
        <AccountId>20</AccountId>
        <AccountType/>
      </UserInfo>
      <UserInfo>
        <DisplayName>Jared Rapaport</DisplayName>
        <AccountId>164</AccountId>
        <AccountType/>
      </UserInfo>
      <UserInfo>
        <DisplayName>Eisha Farrukh</DisplayName>
        <AccountId>144</AccountId>
        <AccountType/>
      </UserInfo>
    </SharedWithUsers>
  </documentManagement>
</p:properties>
</file>

<file path=customXml/itemProps1.xml><?xml version="1.0" encoding="utf-8"?>
<ds:datastoreItem xmlns:ds="http://schemas.openxmlformats.org/officeDocument/2006/customXml" ds:itemID="{B40D2B26-C671-41E9-828E-A4259B9D5F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64482d-1961-4d38-bfc2-b109b3418834"/>
    <ds:schemaRef ds:uri="79530295-9eea-494d-b82a-9ff74409ea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F73BAC-15D7-4536-A77C-B457C3A684D9}">
  <ds:schemaRefs>
    <ds:schemaRef ds:uri="http://schemas.microsoft.com/sharepoint/v3/contenttype/forms"/>
  </ds:schemaRefs>
</ds:datastoreItem>
</file>

<file path=customXml/itemProps3.xml><?xml version="1.0" encoding="utf-8"?>
<ds:datastoreItem xmlns:ds="http://schemas.openxmlformats.org/officeDocument/2006/customXml" ds:itemID="{EE6FC094-D5EE-4352-A667-C8737E4CC165}">
  <ds:schemaRefs>
    <ds:schemaRef ds:uri="http://schemas.openxmlformats.org/officeDocument/2006/bibliography"/>
  </ds:schemaRefs>
</ds:datastoreItem>
</file>

<file path=customXml/itemProps4.xml><?xml version="1.0" encoding="utf-8"?>
<ds:datastoreItem xmlns:ds="http://schemas.openxmlformats.org/officeDocument/2006/customXml" ds:itemID="{A0364C51-7E2B-4AE5-8500-E78A73597AA9}">
  <ds:schemaRefs>
    <ds:schemaRef ds:uri="79530295-9eea-494d-b82a-9ff74409eafc"/>
    <ds:schemaRef ds:uri="http://purl.org/dc/elements/1.1/"/>
    <ds:schemaRef ds:uri="http://purl.org/dc/terms/"/>
    <ds:schemaRef ds:uri="http://purl.org/dc/dcmitype/"/>
    <ds:schemaRef ds:uri="http://schemas.microsoft.com/office/2006/documentManagement/types"/>
    <ds:schemaRef ds:uri="5664482d-1961-4d38-bfc2-b109b3418834"/>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8950</Words>
  <Characters>50213</Characters>
  <Application>Microsoft Office Word</Application>
  <DocSecurity>0</DocSecurity>
  <Lines>1357</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58476</CharactersWithSpaces>
  <SharedDoc>false</SharedDoc>
  <HLinks>
    <vt:vector size="150" baseType="variant">
      <vt:variant>
        <vt:i4>1376317</vt:i4>
      </vt:variant>
      <vt:variant>
        <vt:i4>146</vt:i4>
      </vt:variant>
      <vt:variant>
        <vt:i4>0</vt:i4>
      </vt:variant>
      <vt:variant>
        <vt:i4>5</vt:i4>
      </vt:variant>
      <vt:variant>
        <vt:lpwstr/>
      </vt:variant>
      <vt:variant>
        <vt:lpwstr>_Toc102482640</vt:lpwstr>
      </vt:variant>
      <vt:variant>
        <vt:i4>1179709</vt:i4>
      </vt:variant>
      <vt:variant>
        <vt:i4>140</vt:i4>
      </vt:variant>
      <vt:variant>
        <vt:i4>0</vt:i4>
      </vt:variant>
      <vt:variant>
        <vt:i4>5</vt:i4>
      </vt:variant>
      <vt:variant>
        <vt:lpwstr/>
      </vt:variant>
      <vt:variant>
        <vt:lpwstr>_Toc102482639</vt:lpwstr>
      </vt:variant>
      <vt:variant>
        <vt:i4>1179709</vt:i4>
      </vt:variant>
      <vt:variant>
        <vt:i4>134</vt:i4>
      </vt:variant>
      <vt:variant>
        <vt:i4>0</vt:i4>
      </vt:variant>
      <vt:variant>
        <vt:i4>5</vt:i4>
      </vt:variant>
      <vt:variant>
        <vt:lpwstr/>
      </vt:variant>
      <vt:variant>
        <vt:lpwstr>_Toc102482638</vt:lpwstr>
      </vt:variant>
      <vt:variant>
        <vt:i4>1179709</vt:i4>
      </vt:variant>
      <vt:variant>
        <vt:i4>128</vt:i4>
      </vt:variant>
      <vt:variant>
        <vt:i4>0</vt:i4>
      </vt:variant>
      <vt:variant>
        <vt:i4>5</vt:i4>
      </vt:variant>
      <vt:variant>
        <vt:lpwstr/>
      </vt:variant>
      <vt:variant>
        <vt:lpwstr>_Toc102482637</vt:lpwstr>
      </vt:variant>
      <vt:variant>
        <vt:i4>1179709</vt:i4>
      </vt:variant>
      <vt:variant>
        <vt:i4>122</vt:i4>
      </vt:variant>
      <vt:variant>
        <vt:i4>0</vt:i4>
      </vt:variant>
      <vt:variant>
        <vt:i4>5</vt:i4>
      </vt:variant>
      <vt:variant>
        <vt:lpwstr/>
      </vt:variant>
      <vt:variant>
        <vt:lpwstr>_Toc102482636</vt:lpwstr>
      </vt:variant>
      <vt:variant>
        <vt:i4>1179709</vt:i4>
      </vt:variant>
      <vt:variant>
        <vt:i4>116</vt:i4>
      </vt:variant>
      <vt:variant>
        <vt:i4>0</vt:i4>
      </vt:variant>
      <vt:variant>
        <vt:i4>5</vt:i4>
      </vt:variant>
      <vt:variant>
        <vt:lpwstr/>
      </vt:variant>
      <vt:variant>
        <vt:lpwstr>_Toc102482635</vt:lpwstr>
      </vt:variant>
      <vt:variant>
        <vt:i4>1179709</vt:i4>
      </vt:variant>
      <vt:variant>
        <vt:i4>110</vt:i4>
      </vt:variant>
      <vt:variant>
        <vt:i4>0</vt:i4>
      </vt:variant>
      <vt:variant>
        <vt:i4>5</vt:i4>
      </vt:variant>
      <vt:variant>
        <vt:lpwstr/>
      </vt:variant>
      <vt:variant>
        <vt:lpwstr>_Toc102482634</vt:lpwstr>
      </vt:variant>
      <vt:variant>
        <vt:i4>1179709</vt:i4>
      </vt:variant>
      <vt:variant>
        <vt:i4>104</vt:i4>
      </vt:variant>
      <vt:variant>
        <vt:i4>0</vt:i4>
      </vt:variant>
      <vt:variant>
        <vt:i4>5</vt:i4>
      </vt:variant>
      <vt:variant>
        <vt:lpwstr/>
      </vt:variant>
      <vt:variant>
        <vt:lpwstr>_Toc102482633</vt:lpwstr>
      </vt:variant>
      <vt:variant>
        <vt:i4>1245245</vt:i4>
      </vt:variant>
      <vt:variant>
        <vt:i4>98</vt:i4>
      </vt:variant>
      <vt:variant>
        <vt:i4>0</vt:i4>
      </vt:variant>
      <vt:variant>
        <vt:i4>5</vt:i4>
      </vt:variant>
      <vt:variant>
        <vt:lpwstr/>
      </vt:variant>
      <vt:variant>
        <vt:lpwstr>_Toc102482628</vt:lpwstr>
      </vt:variant>
      <vt:variant>
        <vt:i4>1245245</vt:i4>
      </vt:variant>
      <vt:variant>
        <vt:i4>92</vt:i4>
      </vt:variant>
      <vt:variant>
        <vt:i4>0</vt:i4>
      </vt:variant>
      <vt:variant>
        <vt:i4>5</vt:i4>
      </vt:variant>
      <vt:variant>
        <vt:lpwstr/>
      </vt:variant>
      <vt:variant>
        <vt:lpwstr>_Toc102482627</vt:lpwstr>
      </vt:variant>
      <vt:variant>
        <vt:i4>1245245</vt:i4>
      </vt:variant>
      <vt:variant>
        <vt:i4>86</vt:i4>
      </vt:variant>
      <vt:variant>
        <vt:i4>0</vt:i4>
      </vt:variant>
      <vt:variant>
        <vt:i4>5</vt:i4>
      </vt:variant>
      <vt:variant>
        <vt:lpwstr/>
      </vt:variant>
      <vt:variant>
        <vt:lpwstr>_Toc102482626</vt:lpwstr>
      </vt:variant>
      <vt:variant>
        <vt:i4>1245245</vt:i4>
      </vt:variant>
      <vt:variant>
        <vt:i4>80</vt:i4>
      </vt:variant>
      <vt:variant>
        <vt:i4>0</vt:i4>
      </vt:variant>
      <vt:variant>
        <vt:i4>5</vt:i4>
      </vt:variant>
      <vt:variant>
        <vt:lpwstr/>
      </vt:variant>
      <vt:variant>
        <vt:lpwstr>_Toc102482625</vt:lpwstr>
      </vt:variant>
      <vt:variant>
        <vt:i4>1245245</vt:i4>
      </vt:variant>
      <vt:variant>
        <vt:i4>74</vt:i4>
      </vt:variant>
      <vt:variant>
        <vt:i4>0</vt:i4>
      </vt:variant>
      <vt:variant>
        <vt:i4>5</vt:i4>
      </vt:variant>
      <vt:variant>
        <vt:lpwstr/>
      </vt:variant>
      <vt:variant>
        <vt:lpwstr>_Toc102482624</vt:lpwstr>
      </vt:variant>
      <vt:variant>
        <vt:i4>1245245</vt:i4>
      </vt:variant>
      <vt:variant>
        <vt:i4>68</vt:i4>
      </vt:variant>
      <vt:variant>
        <vt:i4>0</vt:i4>
      </vt:variant>
      <vt:variant>
        <vt:i4>5</vt:i4>
      </vt:variant>
      <vt:variant>
        <vt:lpwstr/>
      </vt:variant>
      <vt:variant>
        <vt:lpwstr>_Toc102482623</vt:lpwstr>
      </vt:variant>
      <vt:variant>
        <vt:i4>1245245</vt:i4>
      </vt:variant>
      <vt:variant>
        <vt:i4>62</vt:i4>
      </vt:variant>
      <vt:variant>
        <vt:i4>0</vt:i4>
      </vt:variant>
      <vt:variant>
        <vt:i4>5</vt:i4>
      </vt:variant>
      <vt:variant>
        <vt:lpwstr/>
      </vt:variant>
      <vt:variant>
        <vt:lpwstr>_Toc102482622</vt:lpwstr>
      </vt:variant>
      <vt:variant>
        <vt:i4>1245245</vt:i4>
      </vt:variant>
      <vt:variant>
        <vt:i4>56</vt:i4>
      </vt:variant>
      <vt:variant>
        <vt:i4>0</vt:i4>
      </vt:variant>
      <vt:variant>
        <vt:i4>5</vt:i4>
      </vt:variant>
      <vt:variant>
        <vt:lpwstr/>
      </vt:variant>
      <vt:variant>
        <vt:lpwstr>_Toc102482621</vt:lpwstr>
      </vt:variant>
      <vt:variant>
        <vt:i4>1245245</vt:i4>
      </vt:variant>
      <vt:variant>
        <vt:i4>50</vt:i4>
      </vt:variant>
      <vt:variant>
        <vt:i4>0</vt:i4>
      </vt:variant>
      <vt:variant>
        <vt:i4>5</vt:i4>
      </vt:variant>
      <vt:variant>
        <vt:lpwstr/>
      </vt:variant>
      <vt:variant>
        <vt:lpwstr>_Toc102482620</vt:lpwstr>
      </vt:variant>
      <vt:variant>
        <vt:i4>1048637</vt:i4>
      </vt:variant>
      <vt:variant>
        <vt:i4>44</vt:i4>
      </vt:variant>
      <vt:variant>
        <vt:i4>0</vt:i4>
      </vt:variant>
      <vt:variant>
        <vt:i4>5</vt:i4>
      </vt:variant>
      <vt:variant>
        <vt:lpwstr/>
      </vt:variant>
      <vt:variant>
        <vt:lpwstr>_Toc102482619</vt:lpwstr>
      </vt:variant>
      <vt:variant>
        <vt:i4>1048637</vt:i4>
      </vt:variant>
      <vt:variant>
        <vt:i4>38</vt:i4>
      </vt:variant>
      <vt:variant>
        <vt:i4>0</vt:i4>
      </vt:variant>
      <vt:variant>
        <vt:i4>5</vt:i4>
      </vt:variant>
      <vt:variant>
        <vt:lpwstr/>
      </vt:variant>
      <vt:variant>
        <vt:lpwstr>_Toc102482618</vt:lpwstr>
      </vt:variant>
      <vt:variant>
        <vt:i4>1048637</vt:i4>
      </vt:variant>
      <vt:variant>
        <vt:i4>32</vt:i4>
      </vt:variant>
      <vt:variant>
        <vt:i4>0</vt:i4>
      </vt:variant>
      <vt:variant>
        <vt:i4>5</vt:i4>
      </vt:variant>
      <vt:variant>
        <vt:lpwstr/>
      </vt:variant>
      <vt:variant>
        <vt:lpwstr>_Toc102482617</vt:lpwstr>
      </vt:variant>
      <vt:variant>
        <vt:i4>1048637</vt:i4>
      </vt:variant>
      <vt:variant>
        <vt:i4>26</vt:i4>
      </vt:variant>
      <vt:variant>
        <vt:i4>0</vt:i4>
      </vt:variant>
      <vt:variant>
        <vt:i4>5</vt:i4>
      </vt:variant>
      <vt:variant>
        <vt:lpwstr/>
      </vt:variant>
      <vt:variant>
        <vt:lpwstr>_Toc102482616</vt:lpwstr>
      </vt:variant>
      <vt:variant>
        <vt:i4>1048637</vt:i4>
      </vt:variant>
      <vt:variant>
        <vt:i4>20</vt:i4>
      </vt:variant>
      <vt:variant>
        <vt:i4>0</vt:i4>
      </vt:variant>
      <vt:variant>
        <vt:i4>5</vt:i4>
      </vt:variant>
      <vt:variant>
        <vt:lpwstr/>
      </vt:variant>
      <vt:variant>
        <vt:lpwstr>_Toc102482615</vt:lpwstr>
      </vt:variant>
      <vt:variant>
        <vt:i4>1048637</vt:i4>
      </vt:variant>
      <vt:variant>
        <vt:i4>14</vt:i4>
      </vt:variant>
      <vt:variant>
        <vt:i4>0</vt:i4>
      </vt:variant>
      <vt:variant>
        <vt:i4>5</vt:i4>
      </vt:variant>
      <vt:variant>
        <vt:lpwstr/>
      </vt:variant>
      <vt:variant>
        <vt:lpwstr>_Toc102482614</vt:lpwstr>
      </vt:variant>
      <vt:variant>
        <vt:i4>1048637</vt:i4>
      </vt:variant>
      <vt:variant>
        <vt:i4>8</vt:i4>
      </vt:variant>
      <vt:variant>
        <vt:i4>0</vt:i4>
      </vt:variant>
      <vt:variant>
        <vt:i4>5</vt:i4>
      </vt:variant>
      <vt:variant>
        <vt:lpwstr/>
      </vt:variant>
      <vt:variant>
        <vt:lpwstr>_Toc102482613</vt:lpwstr>
      </vt:variant>
      <vt:variant>
        <vt:i4>1048637</vt:i4>
      </vt:variant>
      <vt:variant>
        <vt:i4>2</vt:i4>
      </vt:variant>
      <vt:variant>
        <vt:i4>0</vt:i4>
      </vt:variant>
      <vt:variant>
        <vt:i4>5</vt:i4>
      </vt:variant>
      <vt:variant>
        <vt:lpwstr/>
      </vt:variant>
      <vt:variant>
        <vt:lpwstr>_Toc102482612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Michalis</dc:creator>
  <cp:keywords>[SEC=UNOFFICIAL]</cp:keywords>
  <dc:description/>
  <cp:lastModifiedBy>Toni Michalis</cp:lastModifiedBy>
  <cp:revision>2</cp:revision>
  <cp:lastPrinted>2023-09-26T03:11:00Z</cp:lastPrinted>
  <dcterms:created xsi:type="dcterms:W3CDTF">2023-09-28T01:10:00Z</dcterms:created>
  <dcterms:modified xsi:type="dcterms:W3CDTF">2023-09-28T01:10:00Z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0x010100E5E831F15EEA47429C4A0837D916ED91</vt:lpwstr>
  </property>
  <property fmtid="{D5CDD505-2E9C-101B-9397-08002B2CF9AE}" pid="3" name="MSIP_Label_979e419e-e8b2-4040-9aa9-4bb9c70090d7_Enabled">
    <vt:lpwstr>True</vt:lpwstr>
  </property>
  <property fmtid="{D5CDD505-2E9C-101B-9397-08002B2CF9AE}" pid="4" name="MSIP_Label_979e419e-e8b2-4040-9aa9-4bb9c70090d7_SiteId">
    <vt:lpwstr>c05e3ffd-b491-4431-9809-e61d4dc78816</vt:lpwstr>
  </property>
  <property fmtid="{D5CDD505-2E9C-101B-9397-08002B2CF9AE}" pid="5" name="MSIP_Label_979e419e-e8b2-4040-9aa9-4bb9c70090d7_SetDate">
    <vt:lpwstr>2023-05-17T04:13:30Z</vt:lpwstr>
  </property>
  <property fmtid="{D5CDD505-2E9C-101B-9397-08002B2CF9AE}" pid="6" name="MSIP_Label_979e419e-e8b2-4040-9aa9-4bb9c70090d7_Name">
    <vt:lpwstr>OFFICIAL - Sensitive</vt:lpwstr>
  </property>
  <property fmtid="{D5CDD505-2E9C-101B-9397-08002B2CF9AE}" pid="7" name="MSIP_Label_979e419e-e8b2-4040-9aa9-4bb9c70090d7_ActionId">
    <vt:lpwstr>ab2cc327-a3bb-4f6f-b882-f228ce1296bc</vt:lpwstr>
  </property>
  <property fmtid="{D5CDD505-2E9C-101B-9397-08002B2CF9AE}" pid="8" name="MSIP_Label_979e419e-e8b2-4040-9aa9-4bb9c70090d7_Extended_MSFT_Method">
    <vt:lpwstr>Standard</vt:lpwstr>
  </property>
  <property fmtid="{D5CDD505-2E9C-101B-9397-08002B2CF9AE}" pid="9" name="Sensitivity">
    <vt:lpwstr>OFFICIAL - Sensitive \ OFFICIAL - Sensitive OFFICIAL - Sensitive</vt:lpwstr>
  </property>
  <property fmtid="{D5CDD505-2E9C-101B-9397-08002B2CF9AE}" pid="10" name="PM_InsertionValue">
    <vt:lpwstr>Personal</vt:lpwstr>
  </property>
  <property fmtid="{D5CDD505-2E9C-101B-9397-08002B2CF9AE}" pid="11" name="PM_ProtectiveMarkingValue_Footer">
    <vt:lpwstr>Personal</vt:lpwstr>
  </property>
  <property fmtid="{D5CDD505-2E9C-101B-9397-08002B2CF9AE}" pid="12" name="PM_DisplayValueSecClassificationWithQualifier">
    <vt:lpwstr>Personal</vt:lpwstr>
  </property>
  <property fmtid="{D5CDD505-2E9C-101B-9397-08002B2CF9AE}" pid="13" name="PM_ProtectiveMarkingValue_Header">
    <vt:lpwstr>Personal</vt:lpwstr>
  </property>
  <property fmtid="{D5CDD505-2E9C-101B-9397-08002B2CF9AE}" pid="14" name="PM_Display">
    <vt:lpwstr>Personal</vt:lpwstr>
  </property>
  <property fmtid="{D5CDD505-2E9C-101B-9397-08002B2CF9AE}" pid="15" name="PM_Qualifier_Prev">
    <vt:lpwstr/>
  </property>
  <property fmtid="{D5CDD505-2E9C-101B-9397-08002B2CF9AE}" pid="16" name="PM_OriginatorUserAccountName_SHA256">
    <vt:lpwstr>6E3018F28A186D2E5FF5207C041E7A82E907C3008E071057026A53705873B72E</vt:lpwstr>
  </property>
  <property fmtid="{D5CDD505-2E9C-101B-9397-08002B2CF9AE}" pid="17" name="PM_Originating_FileId">
    <vt:lpwstr>8D92ABA618F34137A698E58496988D56</vt:lpwstr>
  </property>
  <property fmtid="{D5CDD505-2E9C-101B-9397-08002B2CF9AE}" pid="18" name="PM_OriginationTimeStamp">
    <vt:lpwstr>2023-07-19T05:58:07Z</vt:lpwstr>
  </property>
  <property fmtid="{D5CDD505-2E9C-101B-9397-08002B2CF9AE}" pid="19" name="PM_Caveats_Count">
    <vt:lpwstr>0</vt:lpwstr>
  </property>
  <property fmtid="{D5CDD505-2E9C-101B-9397-08002B2CF9AE}" pid="20" name="PM_Namespace">
    <vt:lpwstr>gov.au</vt:lpwstr>
  </property>
  <property fmtid="{D5CDD505-2E9C-101B-9397-08002B2CF9AE}" pid="21" name="PM_Version">
    <vt:lpwstr>2018.4</vt:lpwstr>
  </property>
  <property fmtid="{D5CDD505-2E9C-101B-9397-08002B2CF9AE}" pid="22" name="PM_SecurityClassification">
    <vt:lpwstr>UNOFFICIAL</vt:lpwstr>
  </property>
  <property fmtid="{D5CDD505-2E9C-101B-9397-08002B2CF9AE}" pid="23" name="PMHMAC">
    <vt:lpwstr>v=2022.1;a=SHA256;h=045DB35196FFC0E121D32F3DEBF16B061776539728F942F93C88340C38CF0345</vt:lpwstr>
  </property>
  <property fmtid="{D5CDD505-2E9C-101B-9397-08002B2CF9AE}" pid="24" name="PM_Qualifier">
    <vt:lpwstr/>
  </property>
  <property fmtid="{D5CDD505-2E9C-101B-9397-08002B2CF9AE}" pid="25" name="PM_Note">
    <vt:lpwstr/>
  </property>
  <property fmtid="{D5CDD505-2E9C-101B-9397-08002B2CF9AE}" pid="26" name="PM_Markers">
    <vt:lpwstr/>
  </property>
  <property fmtid="{D5CDD505-2E9C-101B-9397-08002B2CF9AE}" pid="27" name="PM_SecurityClassification_Prev">
    <vt:lpwstr>UNOFFICIAL</vt:lpwstr>
  </property>
  <property fmtid="{D5CDD505-2E9C-101B-9397-08002B2CF9AE}" pid="28" name="PM_Originator_Hash_SHA1">
    <vt:lpwstr>C3AD57350F36D8E1BD75F8F67CB06D435C9C43CA</vt:lpwstr>
  </property>
  <property fmtid="{D5CDD505-2E9C-101B-9397-08002B2CF9AE}" pid="29" name="PM_ProtectiveMarkingImage_Header">
    <vt:lpwstr>C:\Program Files\Common Files\janusNET Shared\janusSEAL\Images\DocumentSlashBlue.png</vt:lpwstr>
  </property>
  <property fmtid="{D5CDD505-2E9C-101B-9397-08002B2CF9AE}" pid="30" name="PM_ProtectiveMarkingImage_Footer">
    <vt:lpwstr>C:\Program Files\Common Files\janusNET Shared\janusSEAL\Images\DocumentSlashBlue.png</vt:lpwstr>
  </property>
  <property fmtid="{D5CDD505-2E9C-101B-9397-08002B2CF9AE}" pid="31" name="PM_OriginatorDomainName_SHA256">
    <vt:lpwstr>ECBDE2B44A971754412B3FB70606937A119CC0D4B6C1B658A40FBD41C30BE3EC</vt:lpwstr>
  </property>
  <property fmtid="{D5CDD505-2E9C-101B-9397-08002B2CF9AE}" pid="32" name="PMUuid">
    <vt:lpwstr>v=2022.2;d=gov.au;g=65417EFE-F3B9-5E66-BD91-1E689FEC2EA6</vt:lpwstr>
  </property>
  <property fmtid="{D5CDD505-2E9C-101B-9397-08002B2CF9AE}" pid="33" name="PM_Hash_Version">
    <vt:lpwstr>2022.1</vt:lpwstr>
  </property>
  <property fmtid="{D5CDD505-2E9C-101B-9397-08002B2CF9AE}" pid="34" name="PM_Hash_Salt_Prev">
    <vt:lpwstr>63387BD62DCD7FF89782D66973D0C63F</vt:lpwstr>
  </property>
  <property fmtid="{D5CDD505-2E9C-101B-9397-08002B2CF9AE}" pid="35" name="PM_Hash_Salt">
    <vt:lpwstr>502CDC8C1D69856D0717BCDA677DF26C</vt:lpwstr>
  </property>
  <property fmtid="{D5CDD505-2E9C-101B-9397-08002B2CF9AE}" pid="36" name="PM_Hash_SHA1">
    <vt:lpwstr>A2CF1DBFFC26947E13629F49F140882240F6624B</vt:lpwstr>
  </property>
  <property fmtid="{D5CDD505-2E9C-101B-9397-08002B2CF9AE}" pid="37" name="MSIP_Label_bfd5df59-fc4a-42eb-ac4e-d9fda266b5d9_ActionId">
    <vt:lpwstr>e0e588cb67244180aa489fad3ac46c21</vt:lpwstr>
  </property>
  <property fmtid="{D5CDD505-2E9C-101B-9397-08002B2CF9AE}" pid="38" name="MSIP_Label_bfd5df59-fc4a-42eb-ac4e-d9fda266b5d9_ContentBits">
    <vt:lpwstr>0</vt:lpwstr>
  </property>
  <property fmtid="{D5CDD505-2E9C-101B-9397-08002B2CF9AE}" pid="39" name="MSIP_Label_bfd5df59-fc4a-42eb-ac4e-d9fda266b5d9_Enabled">
    <vt:lpwstr>true</vt:lpwstr>
  </property>
  <property fmtid="{D5CDD505-2E9C-101B-9397-08002B2CF9AE}" pid="40" name="MSIP_Label_bfd5df59-fc4a-42eb-ac4e-d9fda266b5d9_SetDate">
    <vt:lpwstr>2023-07-19T05:58:07Z</vt:lpwstr>
  </property>
  <property fmtid="{D5CDD505-2E9C-101B-9397-08002B2CF9AE}" pid="41" name="MSIP_Label_bfd5df59-fc4a-42eb-ac4e-d9fda266b5d9_Name">
    <vt:lpwstr>UNOFFICIAL</vt:lpwstr>
  </property>
  <property fmtid="{D5CDD505-2E9C-101B-9397-08002B2CF9AE}" pid="42" name="MSIP_Label_bfd5df59-fc4a-42eb-ac4e-d9fda266b5d9_SiteId">
    <vt:lpwstr>c05e3ffd-b491-4431-9809-e61d4dc78816</vt:lpwstr>
  </property>
  <property fmtid="{D5CDD505-2E9C-101B-9397-08002B2CF9AE}" pid="43" name="MSIP_Label_bfd5df59-fc4a-42eb-ac4e-d9fda266b5d9_Method">
    <vt:lpwstr>Privileged</vt:lpwstr>
  </property>
</Properties>
</file>