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F5692" w14:textId="77777777" w:rsidR="007365DD" w:rsidRDefault="007365DD" w:rsidP="00376B76">
      <w:bookmarkStart w:id="0" w:name="_Hlk81912166"/>
      <w:r>
        <w:rPr>
          <w:noProof/>
        </w:rPr>
        <w:drawing>
          <wp:inline distT="0" distB="0" distL="0" distR="0" wp14:anchorId="70C29452" wp14:editId="45AE51F2">
            <wp:extent cx="1419225" cy="1104900"/>
            <wp:effectExtent l="0" t="0" r="9525" b="0"/>
            <wp:docPr id="2" name="Picture 2"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monwealth Coat of Ar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2D49119B" w14:textId="77777777" w:rsidR="007365DD" w:rsidRPr="007432F5" w:rsidRDefault="007365DD" w:rsidP="00376B76">
      <w:pPr>
        <w:spacing w:before="480" w:after="120"/>
        <w:rPr>
          <w:rFonts w:ascii="Arial" w:hAnsi="Arial" w:cs="Arial"/>
          <w:b/>
          <w:sz w:val="40"/>
          <w:szCs w:val="40"/>
        </w:rPr>
      </w:pPr>
      <w:r w:rsidRPr="007432F5">
        <w:rPr>
          <w:rFonts w:ascii="Arial" w:hAnsi="Arial" w:cs="Arial"/>
          <w:b/>
          <w:sz w:val="40"/>
          <w:szCs w:val="40"/>
        </w:rPr>
        <w:t>Banking, Insurance, Life Insurance, Health Insurance and Superannuation (prudential standard) determination No. 1 of 2023</w:t>
      </w:r>
      <w:r w:rsidRPr="007432F5">
        <w:rPr>
          <w:rFonts w:ascii="Arial" w:hAnsi="Arial" w:cs="Arial"/>
          <w:b/>
        </w:rPr>
        <w:t xml:space="preserve"> </w:t>
      </w:r>
    </w:p>
    <w:p w14:paraId="673536BB" w14:textId="77777777" w:rsidR="007365DD" w:rsidRPr="002F1BDE" w:rsidRDefault="007365DD" w:rsidP="00376B76">
      <w:pPr>
        <w:pStyle w:val="ActTitle"/>
        <w:spacing w:before="240" w:after="0"/>
        <w:rPr>
          <w:b/>
          <w:i w:val="0"/>
        </w:rPr>
      </w:pPr>
      <w:r w:rsidRPr="002F1BDE">
        <w:rPr>
          <w:b/>
          <w:i w:val="0"/>
        </w:rPr>
        <w:t>Prudential Standard CPS 190 Recovery and Exit Planning</w:t>
      </w:r>
    </w:p>
    <w:p w14:paraId="7F819273" w14:textId="77777777" w:rsidR="007365DD" w:rsidRDefault="007365DD" w:rsidP="00376B76">
      <w:pPr>
        <w:pStyle w:val="ActTitle"/>
        <w:spacing w:before="120" w:after="0" w:line="120" w:lineRule="auto"/>
      </w:pPr>
    </w:p>
    <w:p w14:paraId="28DC42E9" w14:textId="77777777" w:rsidR="007365DD" w:rsidRPr="00874654" w:rsidRDefault="007365DD" w:rsidP="00376B76">
      <w:pPr>
        <w:pStyle w:val="ActTitle"/>
        <w:spacing w:before="0" w:after="0"/>
        <w:rPr>
          <w:i w:val="0"/>
        </w:rPr>
      </w:pPr>
      <w:r w:rsidRPr="00874654">
        <w:t>Banking Act 1959</w:t>
      </w:r>
    </w:p>
    <w:p w14:paraId="24FFA54F" w14:textId="77777777" w:rsidR="007365DD" w:rsidRPr="00874654" w:rsidRDefault="007365DD" w:rsidP="00376B76">
      <w:pPr>
        <w:pStyle w:val="ActTitle"/>
        <w:spacing w:before="0" w:after="0"/>
      </w:pPr>
      <w:r w:rsidRPr="00874654">
        <w:t>Insurance Act 1973</w:t>
      </w:r>
    </w:p>
    <w:p w14:paraId="7E75982B" w14:textId="77777777" w:rsidR="007365DD" w:rsidRPr="00874654" w:rsidRDefault="007365DD" w:rsidP="00376B76">
      <w:pPr>
        <w:pStyle w:val="ActTitle"/>
        <w:spacing w:before="0" w:after="0"/>
      </w:pPr>
      <w:r w:rsidRPr="00874654">
        <w:t>Life Insurance Act 1995</w:t>
      </w:r>
    </w:p>
    <w:p w14:paraId="005BACF9" w14:textId="77777777" w:rsidR="007365DD" w:rsidRPr="00874654" w:rsidRDefault="007365DD" w:rsidP="00376B76">
      <w:pPr>
        <w:pStyle w:val="ActTitle"/>
        <w:spacing w:before="0" w:after="0"/>
      </w:pPr>
      <w:r w:rsidRPr="00874654">
        <w:t>Private Health Insurance (Prudential Supervision) Act 2015</w:t>
      </w:r>
    </w:p>
    <w:p w14:paraId="58078FF7" w14:textId="77777777" w:rsidR="007365DD" w:rsidRPr="00874654" w:rsidRDefault="007365DD" w:rsidP="00376B76">
      <w:pPr>
        <w:pStyle w:val="ActTitle"/>
        <w:spacing w:before="0"/>
      </w:pPr>
      <w:r w:rsidRPr="00874654">
        <w:t>Superannuation Industry (Supervision) Act 1993</w:t>
      </w:r>
    </w:p>
    <w:p w14:paraId="352AE9D3" w14:textId="77777777" w:rsidR="007365DD" w:rsidRPr="0091378D" w:rsidRDefault="007365DD" w:rsidP="00376B76">
      <w:pPr>
        <w:pStyle w:val="introto0"/>
        <w:shd w:val="clear" w:color="auto" w:fill="FFFFFF"/>
        <w:spacing w:before="240" w:beforeAutospacing="0" w:after="120" w:afterAutospacing="0"/>
        <w:jc w:val="both"/>
        <w:rPr>
          <w:rFonts w:ascii="Arial" w:hAnsi="Arial" w:cs="Arial"/>
          <w:color w:val="000000"/>
          <w:sz w:val="22"/>
          <w:szCs w:val="22"/>
        </w:rPr>
      </w:pPr>
      <w:r w:rsidRPr="0091378D">
        <w:rPr>
          <w:rFonts w:ascii="Arial" w:hAnsi="Arial" w:cs="Arial"/>
          <w:sz w:val="22"/>
          <w:szCs w:val="22"/>
        </w:rPr>
        <w:t>I, Clare Gibney, a delegate of APRA:</w:t>
      </w:r>
    </w:p>
    <w:p w14:paraId="4A590584" w14:textId="77777777" w:rsidR="007365DD" w:rsidRPr="0091378D" w:rsidRDefault="007365DD" w:rsidP="00491960">
      <w:pPr>
        <w:pStyle w:val="Style1"/>
        <w:rPr>
          <w:rFonts w:ascii="Arial" w:hAnsi="Arial" w:cs="Arial"/>
          <w:sz w:val="22"/>
          <w:szCs w:val="22"/>
        </w:rPr>
      </w:pPr>
      <w:r w:rsidRPr="0091378D">
        <w:rPr>
          <w:rFonts w:ascii="Arial" w:hAnsi="Arial" w:cs="Arial"/>
          <w:sz w:val="22"/>
          <w:szCs w:val="22"/>
        </w:rPr>
        <w:t>under subsection 11</w:t>
      </w:r>
      <w:proofErr w:type="gramStart"/>
      <w:r w:rsidRPr="0091378D">
        <w:rPr>
          <w:rFonts w:ascii="Arial" w:hAnsi="Arial" w:cs="Arial"/>
          <w:sz w:val="22"/>
          <w:szCs w:val="22"/>
        </w:rPr>
        <w:t>AF(</w:t>
      </w:r>
      <w:proofErr w:type="gramEnd"/>
      <w:r w:rsidRPr="0091378D">
        <w:rPr>
          <w:rFonts w:ascii="Arial" w:hAnsi="Arial" w:cs="Arial"/>
          <w:sz w:val="22"/>
          <w:szCs w:val="22"/>
        </w:rPr>
        <w:t xml:space="preserve">1) of the </w:t>
      </w:r>
      <w:r w:rsidRPr="0091378D">
        <w:rPr>
          <w:rFonts w:ascii="Arial" w:hAnsi="Arial" w:cs="Arial"/>
          <w:i/>
          <w:sz w:val="22"/>
          <w:szCs w:val="22"/>
        </w:rPr>
        <w:t>Banking Act 1959</w:t>
      </w:r>
      <w:r w:rsidRPr="0091378D">
        <w:rPr>
          <w:rFonts w:ascii="Arial" w:hAnsi="Arial" w:cs="Arial"/>
          <w:sz w:val="22"/>
          <w:szCs w:val="22"/>
        </w:rPr>
        <w:t xml:space="preserve"> DETERMINE the prudential standard, </w:t>
      </w:r>
      <w:bookmarkStart w:id="1" w:name="_Hlk86315380"/>
      <w:r w:rsidRPr="0091378D">
        <w:rPr>
          <w:rFonts w:ascii="Arial" w:hAnsi="Arial" w:cs="Arial"/>
          <w:sz w:val="22"/>
          <w:szCs w:val="22"/>
        </w:rPr>
        <w:t>which applies to all ADIs, excluding ADIs referred to in paragraph 2 and 3 of the prudential standard, and authorised banking NOHCs</w:t>
      </w:r>
      <w:bookmarkEnd w:id="1"/>
      <w:r w:rsidRPr="0091378D">
        <w:rPr>
          <w:rFonts w:ascii="Arial" w:hAnsi="Arial" w:cs="Arial"/>
          <w:sz w:val="22"/>
          <w:szCs w:val="22"/>
        </w:rPr>
        <w:t>;</w:t>
      </w:r>
    </w:p>
    <w:p w14:paraId="543565D4" w14:textId="33A656AF" w:rsidR="007365DD" w:rsidRPr="0091378D" w:rsidRDefault="007365DD" w:rsidP="00491960">
      <w:pPr>
        <w:pStyle w:val="Style1"/>
        <w:rPr>
          <w:rFonts w:ascii="Arial" w:hAnsi="Arial" w:cs="Arial"/>
          <w:sz w:val="22"/>
          <w:szCs w:val="22"/>
        </w:rPr>
      </w:pPr>
      <w:r w:rsidRPr="0091378D">
        <w:rPr>
          <w:rFonts w:ascii="Arial" w:hAnsi="Arial" w:cs="Arial"/>
          <w:sz w:val="22"/>
          <w:szCs w:val="22"/>
        </w:rPr>
        <w:t xml:space="preserve">under subsection 32(1) of the </w:t>
      </w:r>
      <w:r w:rsidRPr="0091378D">
        <w:rPr>
          <w:rFonts w:ascii="Arial" w:hAnsi="Arial" w:cs="Arial"/>
          <w:i/>
          <w:sz w:val="22"/>
          <w:szCs w:val="22"/>
        </w:rPr>
        <w:t>Insurance Act 1973</w:t>
      </w:r>
      <w:r w:rsidRPr="0091378D">
        <w:rPr>
          <w:rFonts w:ascii="Arial" w:hAnsi="Arial" w:cs="Arial"/>
          <w:sz w:val="22"/>
          <w:szCs w:val="22"/>
        </w:rPr>
        <w:t xml:space="preserve"> DETERMINE the prudential standard, which applies to </w:t>
      </w:r>
      <w:bookmarkStart w:id="2" w:name="_Hlk86315495"/>
      <w:r w:rsidRPr="0091378D">
        <w:rPr>
          <w:rFonts w:ascii="Arial" w:hAnsi="Arial" w:cs="Arial"/>
          <w:sz w:val="22"/>
          <w:szCs w:val="22"/>
        </w:rPr>
        <w:t xml:space="preserve">all general insurers and authorised insurance NOHCs, and subsidiaries of general insurers </w:t>
      </w:r>
      <w:r w:rsidR="00F6220C">
        <w:rPr>
          <w:rFonts w:ascii="Arial" w:hAnsi="Arial" w:cs="Arial"/>
          <w:sz w:val="22"/>
          <w:szCs w:val="22"/>
        </w:rPr>
        <w:t>or</w:t>
      </w:r>
      <w:r w:rsidR="00F6220C" w:rsidRPr="0091378D">
        <w:rPr>
          <w:rFonts w:ascii="Arial" w:hAnsi="Arial" w:cs="Arial"/>
          <w:sz w:val="22"/>
          <w:szCs w:val="22"/>
        </w:rPr>
        <w:t xml:space="preserve"> </w:t>
      </w:r>
      <w:r w:rsidRPr="0091378D">
        <w:rPr>
          <w:rFonts w:ascii="Arial" w:hAnsi="Arial" w:cs="Arial"/>
          <w:sz w:val="22"/>
          <w:szCs w:val="22"/>
        </w:rPr>
        <w:t>authorised insurance NOHCs</w:t>
      </w:r>
      <w:bookmarkEnd w:id="2"/>
      <w:r w:rsidR="00887E51" w:rsidRPr="00887E51">
        <w:t xml:space="preserve"> </w:t>
      </w:r>
      <w:r w:rsidR="00887E51" w:rsidRPr="00887E51">
        <w:rPr>
          <w:rFonts w:ascii="Arial" w:hAnsi="Arial" w:cs="Arial"/>
          <w:sz w:val="22"/>
          <w:szCs w:val="22"/>
        </w:rPr>
        <w:t xml:space="preserve">where those subsidiaries are parent entities of Level 2 insurance </w:t>
      </w:r>
      <w:proofErr w:type="gramStart"/>
      <w:r w:rsidR="00887E51" w:rsidRPr="00887E51">
        <w:rPr>
          <w:rFonts w:ascii="Arial" w:hAnsi="Arial" w:cs="Arial"/>
          <w:sz w:val="22"/>
          <w:szCs w:val="22"/>
        </w:rPr>
        <w:t>groups</w:t>
      </w:r>
      <w:r w:rsidRPr="0091378D">
        <w:rPr>
          <w:rFonts w:ascii="Arial" w:hAnsi="Arial" w:cs="Arial"/>
          <w:sz w:val="22"/>
          <w:szCs w:val="22"/>
        </w:rPr>
        <w:t>;</w:t>
      </w:r>
      <w:proofErr w:type="gramEnd"/>
    </w:p>
    <w:p w14:paraId="1F905DCB" w14:textId="77777777" w:rsidR="007365DD" w:rsidRPr="0091378D" w:rsidRDefault="007365DD" w:rsidP="00491960">
      <w:pPr>
        <w:pStyle w:val="Style1"/>
        <w:rPr>
          <w:rFonts w:ascii="Arial" w:hAnsi="Arial" w:cs="Arial"/>
          <w:sz w:val="22"/>
          <w:szCs w:val="22"/>
        </w:rPr>
      </w:pPr>
      <w:r w:rsidRPr="0091378D">
        <w:rPr>
          <w:rFonts w:ascii="Arial" w:hAnsi="Arial" w:cs="Arial"/>
          <w:sz w:val="22"/>
          <w:szCs w:val="22"/>
        </w:rPr>
        <w:t>under subsection 230</w:t>
      </w:r>
      <w:proofErr w:type="gramStart"/>
      <w:r w:rsidRPr="0091378D">
        <w:rPr>
          <w:rFonts w:ascii="Arial" w:hAnsi="Arial" w:cs="Arial"/>
          <w:sz w:val="22"/>
          <w:szCs w:val="22"/>
        </w:rPr>
        <w:t>A(</w:t>
      </w:r>
      <w:proofErr w:type="gramEnd"/>
      <w:r w:rsidRPr="0091378D">
        <w:rPr>
          <w:rFonts w:ascii="Arial" w:hAnsi="Arial" w:cs="Arial"/>
          <w:sz w:val="22"/>
          <w:szCs w:val="22"/>
        </w:rPr>
        <w:t xml:space="preserve">1) of the </w:t>
      </w:r>
      <w:r w:rsidRPr="0091378D">
        <w:rPr>
          <w:rFonts w:ascii="Arial" w:hAnsi="Arial" w:cs="Arial"/>
          <w:i/>
          <w:sz w:val="22"/>
          <w:szCs w:val="22"/>
        </w:rPr>
        <w:t>Life Insurance Act 1995</w:t>
      </w:r>
      <w:r w:rsidRPr="0091378D">
        <w:rPr>
          <w:rFonts w:ascii="Arial" w:hAnsi="Arial" w:cs="Arial"/>
          <w:sz w:val="22"/>
          <w:szCs w:val="22"/>
        </w:rPr>
        <w:t xml:space="preserve"> DETERMINE the </w:t>
      </w:r>
      <w:r w:rsidRPr="0091378D">
        <w:rPr>
          <w:rFonts w:ascii="Arial" w:hAnsi="Arial" w:cs="Arial"/>
          <w:iCs/>
          <w:sz w:val="22"/>
          <w:szCs w:val="22"/>
        </w:rPr>
        <w:t>prudential standard,</w:t>
      </w:r>
      <w:r w:rsidRPr="0091378D">
        <w:rPr>
          <w:rFonts w:ascii="Arial" w:hAnsi="Arial" w:cs="Arial"/>
          <w:sz w:val="22"/>
          <w:szCs w:val="22"/>
        </w:rPr>
        <w:t xml:space="preserve"> which applies to </w:t>
      </w:r>
      <w:bookmarkStart w:id="3" w:name="_Hlk86315670"/>
      <w:r w:rsidRPr="0091378D">
        <w:rPr>
          <w:rFonts w:ascii="Arial" w:hAnsi="Arial" w:cs="Arial"/>
          <w:sz w:val="22"/>
          <w:szCs w:val="22"/>
        </w:rPr>
        <w:t>all life companies, including friendly societies, and registered life NOHCs</w:t>
      </w:r>
      <w:bookmarkEnd w:id="3"/>
      <w:r w:rsidRPr="0091378D">
        <w:rPr>
          <w:rFonts w:ascii="Arial" w:hAnsi="Arial" w:cs="Arial"/>
          <w:sz w:val="22"/>
          <w:szCs w:val="22"/>
        </w:rPr>
        <w:t>;</w:t>
      </w:r>
    </w:p>
    <w:p w14:paraId="006AFE2E" w14:textId="77777777" w:rsidR="007365DD" w:rsidRPr="0091378D" w:rsidRDefault="007365DD" w:rsidP="00491960">
      <w:pPr>
        <w:pStyle w:val="Style1"/>
        <w:rPr>
          <w:rFonts w:ascii="Arial" w:hAnsi="Arial" w:cs="Arial"/>
          <w:sz w:val="22"/>
          <w:szCs w:val="22"/>
        </w:rPr>
      </w:pPr>
      <w:r w:rsidRPr="0091378D">
        <w:rPr>
          <w:rFonts w:ascii="Arial" w:hAnsi="Arial" w:cs="Arial"/>
          <w:sz w:val="22"/>
          <w:szCs w:val="22"/>
          <w:shd w:val="clear" w:color="auto" w:fill="FFFFFF"/>
        </w:rPr>
        <w:t xml:space="preserve">under subsection 92(1) of the </w:t>
      </w:r>
      <w:r w:rsidRPr="0091378D">
        <w:rPr>
          <w:rFonts w:ascii="Arial" w:hAnsi="Arial" w:cs="Arial"/>
          <w:i/>
          <w:sz w:val="22"/>
          <w:szCs w:val="22"/>
          <w:shd w:val="clear" w:color="auto" w:fill="FFFFFF"/>
        </w:rPr>
        <w:t>Private Health Insurance (Prudential Supervision) Act 2015</w:t>
      </w:r>
      <w:r w:rsidRPr="0091378D">
        <w:rPr>
          <w:rFonts w:ascii="Arial" w:hAnsi="Arial" w:cs="Arial"/>
          <w:i/>
          <w:iCs/>
          <w:sz w:val="22"/>
          <w:szCs w:val="22"/>
          <w:shd w:val="clear" w:color="auto" w:fill="FFFFFF"/>
        </w:rPr>
        <w:t xml:space="preserve"> </w:t>
      </w:r>
      <w:r w:rsidRPr="0091378D">
        <w:rPr>
          <w:rFonts w:ascii="Arial" w:hAnsi="Arial" w:cs="Arial"/>
          <w:sz w:val="22"/>
          <w:szCs w:val="22"/>
          <w:shd w:val="clear" w:color="auto" w:fill="FFFFFF"/>
        </w:rPr>
        <w:t>DETERMINE the p</w:t>
      </w:r>
      <w:r w:rsidRPr="0091378D">
        <w:rPr>
          <w:rFonts w:ascii="Arial" w:hAnsi="Arial" w:cs="Arial"/>
          <w:sz w:val="22"/>
          <w:szCs w:val="22"/>
        </w:rPr>
        <w:t xml:space="preserve">rudential </w:t>
      </w:r>
      <w:r w:rsidRPr="0091378D">
        <w:rPr>
          <w:rFonts w:ascii="Arial" w:hAnsi="Arial" w:cs="Arial"/>
          <w:iCs/>
          <w:sz w:val="22"/>
          <w:szCs w:val="22"/>
        </w:rPr>
        <w:t>s</w:t>
      </w:r>
      <w:r w:rsidRPr="0091378D">
        <w:rPr>
          <w:rFonts w:ascii="Arial" w:hAnsi="Arial" w:cs="Arial"/>
          <w:sz w:val="22"/>
          <w:szCs w:val="22"/>
        </w:rPr>
        <w:t>tandard</w:t>
      </w:r>
      <w:r w:rsidRPr="0091378D">
        <w:rPr>
          <w:rFonts w:ascii="Arial" w:hAnsi="Arial" w:cs="Arial"/>
          <w:sz w:val="22"/>
          <w:szCs w:val="22"/>
          <w:shd w:val="clear" w:color="auto" w:fill="FFFFFF"/>
        </w:rPr>
        <w:t xml:space="preserve">, </w:t>
      </w:r>
      <w:r w:rsidRPr="0091378D">
        <w:rPr>
          <w:rFonts w:ascii="Arial" w:hAnsi="Arial" w:cs="Arial"/>
          <w:sz w:val="22"/>
          <w:szCs w:val="22"/>
        </w:rPr>
        <w:t xml:space="preserve">which </w:t>
      </w:r>
      <w:r w:rsidRPr="0091378D">
        <w:rPr>
          <w:rFonts w:ascii="Arial" w:hAnsi="Arial" w:cs="Arial"/>
          <w:sz w:val="22"/>
          <w:szCs w:val="22"/>
          <w:shd w:val="clear" w:color="auto" w:fill="FFFFFF"/>
        </w:rPr>
        <w:t>applies to all private health insurers</w:t>
      </w:r>
      <w:r w:rsidRPr="0091378D">
        <w:rPr>
          <w:rFonts w:ascii="Arial" w:hAnsi="Arial" w:cs="Arial"/>
          <w:sz w:val="22"/>
          <w:szCs w:val="22"/>
        </w:rPr>
        <w:t>; and</w:t>
      </w:r>
    </w:p>
    <w:p w14:paraId="23A5DE7D" w14:textId="77777777" w:rsidR="007365DD" w:rsidRPr="0091378D" w:rsidRDefault="007365DD" w:rsidP="00491960">
      <w:pPr>
        <w:pStyle w:val="Style1"/>
        <w:rPr>
          <w:rFonts w:ascii="Arial" w:hAnsi="Arial" w:cs="Arial"/>
          <w:sz w:val="22"/>
          <w:szCs w:val="22"/>
        </w:rPr>
      </w:pPr>
      <w:r w:rsidRPr="0091378D">
        <w:rPr>
          <w:rFonts w:ascii="Arial" w:hAnsi="Arial" w:cs="Arial"/>
          <w:sz w:val="22"/>
          <w:szCs w:val="22"/>
        </w:rPr>
        <w:t>under subsection 34</w:t>
      </w:r>
      <w:proofErr w:type="gramStart"/>
      <w:r w:rsidRPr="0091378D">
        <w:rPr>
          <w:rFonts w:ascii="Arial" w:hAnsi="Arial" w:cs="Arial"/>
          <w:sz w:val="22"/>
          <w:szCs w:val="22"/>
        </w:rPr>
        <w:t>C(</w:t>
      </w:r>
      <w:proofErr w:type="gramEnd"/>
      <w:r w:rsidRPr="0091378D">
        <w:rPr>
          <w:rFonts w:ascii="Arial" w:hAnsi="Arial" w:cs="Arial"/>
          <w:sz w:val="22"/>
          <w:szCs w:val="22"/>
        </w:rPr>
        <w:t xml:space="preserve">1) of the </w:t>
      </w:r>
      <w:r w:rsidRPr="0091378D">
        <w:rPr>
          <w:rFonts w:ascii="Arial" w:hAnsi="Arial" w:cs="Arial"/>
          <w:i/>
          <w:sz w:val="22"/>
          <w:szCs w:val="22"/>
        </w:rPr>
        <w:t>Superannuation Industry (Supervision) Act 1993</w:t>
      </w:r>
      <w:r w:rsidRPr="0091378D">
        <w:rPr>
          <w:rFonts w:ascii="Arial" w:hAnsi="Arial" w:cs="Arial"/>
          <w:sz w:val="22"/>
          <w:szCs w:val="22"/>
        </w:rPr>
        <w:t xml:space="preserve"> DETERMINE the prudential </w:t>
      </w:r>
      <w:r w:rsidRPr="0091378D">
        <w:rPr>
          <w:rFonts w:ascii="Arial" w:hAnsi="Arial" w:cs="Arial"/>
          <w:iCs/>
          <w:sz w:val="22"/>
          <w:szCs w:val="22"/>
        </w:rPr>
        <w:t>s</w:t>
      </w:r>
      <w:r w:rsidRPr="0091378D">
        <w:rPr>
          <w:rFonts w:ascii="Arial" w:hAnsi="Arial" w:cs="Arial"/>
          <w:sz w:val="22"/>
          <w:szCs w:val="22"/>
        </w:rPr>
        <w:t>tandard, which applies to all RSE licensees.</w:t>
      </w:r>
    </w:p>
    <w:p w14:paraId="2D552898" w14:textId="77777777" w:rsidR="007365DD" w:rsidRPr="0091378D" w:rsidRDefault="007365DD" w:rsidP="00376B76">
      <w:pPr>
        <w:pStyle w:val="IntroTo"/>
        <w:spacing w:before="240" w:after="120"/>
        <w:ind w:left="0" w:firstLine="0"/>
        <w:jc w:val="both"/>
        <w:rPr>
          <w:rFonts w:ascii="Arial" w:hAnsi="Arial" w:cs="Arial"/>
          <w:sz w:val="22"/>
          <w:szCs w:val="22"/>
        </w:rPr>
      </w:pPr>
      <w:r w:rsidRPr="0091378D">
        <w:rPr>
          <w:rFonts w:ascii="Arial" w:hAnsi="Arial" w:cs="Arial"/>
          <w:sz w:val="22"/>
          <w:szCs w:val="22"/>
        </w:rPr>
        <w:t>This instrument commences on 1 January 2024.</w:t>
      </w:r>
    </w:p>
    <w:p w14:paraId="370323A0" w14:textId="77777777" w:rsidR="007365DD" w:rsidRPr="0091378D" w:rsidRDefault="007365DD" w:rsidP="00376B76">
      <w:pPr>
        <w:pStyle w:val="IntroTo"/>
        <w:ind w:left="0" w:firstLine="0"/>
        <w:jc w:val="both"/>
        <w:rPr>
          <w:rFonts w:ascii="Arial" w:hAnsi="Arial" w:cs="Arial"/>
          <w:sz w:val="22"/>
          <w:szCs w:val="22"/>
        </w:rPr>
      </w:pPr>
    </w:p>
    <w:p w14:paraId="0E7A8F80" w14:textId="1114D0E3" w:rsidR="007365DD" w:rsidRPr="0091378D" w:rsidRDefault="007365DD" w:rsidP="00376B76">
      <w:pPr>
        <w:pStyle w:val="IntroTo"/>
        <w:jc w:val="both"/>
        <w:rPr>
          <w:rFonts w:ascii="Arial" w:hAnsi="Arial" w:cs="Arial"/>
          <w:sz w:val="22"/>
          <w:szCs w:val="22"/>
        </w:rPr>
      </w:pPr>
      <w:r w:rsidRPr="0091378D">
        <w:rPr>
          <w:rFonts w:ascii="Arial" w:hAnsi="Arial" w:cs="Arial"/>
          <w:sz w:val="22"/>
          <w:szCs w:val="22"/>
        </w:rPr>
        <w:t xml:space="preserve">Dated: </w:t>
      </w:r>
      <w:r w:rsidR="00851E14">
        <w:rPr>
          <w:rFonts w:ascii="Arial" w:hAnsi="Arial" w:cs="Arial"/>
          <w:sz w:val="22"/>
          <w:szCs w:val="22"/>
        </w:rPr>
        <w:t>1</w:t>
      </w:r>
      <w:r w:rsidR="006038A9">
        <w:rPr>
          <w:rFonts w:ascii="Arial" w:hAnsi="Arial" w:cs="Arial"/>
          <w:sz w:val="22"/>
          <w:szCs w:val="22"/>
        </w:rPr>
        <w:t>0</w:t>
      </w:r>
      <w:r w:rsidR="00851E14">
        <w:rPr>
          <w:rFonts w:ascii="Arial" w:hAnsi="Arial" w:cs="Arial"/>
          <w:sz w:val="22"/>
          <w:szCs w:val="22"/>
        </w:rPr>
        <w:t xml:space="preserve"> October 2023</w:t>
      </w:r>
    </w:p>
    <w:p w14:paraId="3D8F9A42" w14:textId="77777777" w:rsidR="007365DD" w:rsidRPr="0091378D" w:rsidRDefault="007365DD" w:rsidP="00376B76">
      <w:pPr>
        <w:pStyle w:val="IntroTo"/>
        <w:rPr>
          <w:rFonts w:ascii="Arial" w:hAnsi="Arial" w:cs="Arial"/>
          <w:sz w:val="22"/>
          <w:szCs w:val="22"/>
        </w:rPr>
      </w:pPr>
    </w:p>
    <w:p w14:paraId="491DA9BF" w14:textId="42643455" w:rsidR="007365DD" w:rsidRPr="0091378D" w:rsidRDefault="007365DD" w:rsidP="00376B76">
      <w:pPr>
        <w:pStyle w:val="IntroTo"/>
        <w:rPr>
          <w:rFonts w:ascii="Arial" w:hAnsi="Arial" w:cs="Arial"/>
          <w:sz w:val="22"/>
          <w:szCs w:val="22"/>
        </w:rPr>
      </w:pPr>
    </w:p>
    <w:p w14:paraId="1205E113" w14:textId="77777777" w:rsidR="007365DD" w:rsidRPr="0091378D" w:rsidRDefault="007365DD" w:rsidP="007365DD">
      <w:pPr>
        <w:spacing w:after="0"/>
        <w:jc w:val="both"/>
        <w:rPr>
          <w:rFonts w:ascii="Arial" w:hAnsi="Arial" w:cs="Arial"/>
          <w:sz w:val="22"/>
          <w:szCs w:val="22"/>
        </w:rPr>
      </w:pPr>
      <w:r w:rsidRPr="0091378D">
        <w:rPr>
          <w:rFonts w:ascii="Arial" w:hAnsi="Arial" w:cs="Arial"/>
          <w:sz w:val="22"/>
          <w:szCs w:val="22"/>
        </w:rPr>
        <w:t xml:space="preserve">Clare Gibney </w:t>
      </w:r>
    </w:p>
    <w:p w14:paraId="069863D5" w14:textId="7BBC1335" w:rsidR="007365DD" w:rsidRPr="0091378D" w:rsidRDefault="007365DD" w:rsidP="007365DD">
      <w:pPr>
        <w:spacing w:after="0"/>
        <w:jc w:val="both"/>
        <w:rPr>
          <w:rFonts w:ascii="Arial" w:hAnsi="Arial" w:cs="Arial"/>
          <w:sz w:val="22"/>
          <w:szCs w:val="22"/>
        </w:rPr>
      </w:pPr>
      <w:r w:rsidRPr="0091378D">
        <w:rPr>
          <w:rFonts w:ascii="Arial" w:hAnsi="Arial" w:cs="Arial"/>
          <w:sz w:val="22"/>
          <w:szCs w:val="22"/>
        </w:rPr>
        <w:t xml:space="preserve">Executive Director, </w:t>
      </w:r>
      <w:proofErr w:type="gramStart"/>
      <w:r w:rsidRPr="0091378D">
        <w:rPr>
          <w:rFonts w:ascii="Arial" w:hAnsi="Arial" w:cs="Arial"/>
          <w:sz w:val="22"/>
          <w:szCs w:val="22"/>
        </w:rPr>
        <w:t>Policy</w:t>
      </w:r>
      <w:proofErr w:type="gramEnd"/>
      <w:r w:rsidRPr="0091378D">
        <w:rPr>
          <w:rFonts w:ascii="Arial" w:hAnsi="Arial" w:cs="Arial"/>
          <w:sz w:val="22"/>
          <w:szCs w:val="22"/>
        </w:rPr>
        <w:t xml:space="preserve"> </w:t>
      </w:r>
      <w:r w:rsidR="008944DA">
        <w:rPr>
          <w:rFonts w:ascii="Arial" w:hAnsi="Arial" w:cs="Arial"/>
          <w:sz w:val="22"/>
          <w:szCs w:val="22"/>
        </w:rPr>
        <w:t>and</w:t>
      </w:r>
      <w:r w:rsidRPr="0091378D">
        <w:rPr>
          <w:rFonts w:ascii="Arial" w:hAnsi="Arial" w:cs="Arial"/>
          <w:sz w:val="22"/>
          <w:szCs w:val="22"/>
        </w:rPr>
        <w:t xml:space="preserve"> Advice Division</w:t>
      </w:r>
    </w:p>
    <w:p w14:paraId="1F3A9243" w14:textId="77777777" w:rsidR="007365DD" w:rsidRPr="0091378D" w:rsidRDefault="007365DD" w:rsidP="007365DD">
      <w:pPr>
        <w:spacing w:after="0"/>
        <w:jc w:val="both"/>
        <w:rPr>
          <w:rFonts w:ascii="Arial" w:hAnsi="Arial" w:cs="Arial"/>
          <w:sz w:val="22"/>
          <w:szCs w:val="22"/>
        </w:rPr>
      </w:pPr>
      <w:r w:rsidRPr="0091378D">
        <w:rPr>
          <w:rFonts w:ascii="Arial" w:hAnsi="Arial" w:cs="Arial"/>
          <w:sz w:val="22"/>
          <w:szCs w:val="22"/>
        </w:rPr>
        <w:t>APRA</w:t>
      </w:r>
    </w:p>
    <w:p w14:paraId="2509CA71" w14:textId="77777777" w:rsidR="007365DD" w:rsidRPr="001C4557" w:rsidRDefault="007365DD" w:rsidP="007365DD">
      <w:pPr>
        <w:spacing w:before="480" w:after="0"/>
        <w:jc w:val="both"/>
        <w:rPr>
          <w:rFonts w:ascii="Arial" w:hAnsi="Arial" w:cs="Arial"/>
          <w:b/>
          <w:sz w:val="22"/>
          <w:szCs w:val="22"/>
        </w:rPr>
      </w:pPr>
      <w:r w:rsidRPr="001C4557">
        <w:rPr>
          <w:rFonts w:ascii="Arial" w:hAnsi="Arial" w:cs="Arial"/>
          <w:b/>
          <w:sz w:val="22"/>
          <w:szCs w:val="22"/>
        </w:rPr>
        <w:lastRenderedPageBreak/>
        <w:t>Interpretation</w:t>
      </w:r>
    </w:p>
    <w:p w14:paraId="03A80A13" w14:textId="77777777" w:rsidR="007365DD" w:rsidRPr="00AD6E04" w:rsidRDefault="007365DD" w:rsidP="007365DD">
      <w:pPr>
        <w:spacing w:before="120" w:after="0"/>
        <w:jc w:val="both"/>
        <w:rPr>
          <w:rFonts w:ascii="Arial" w:hAnsi="Arial" w:cs="Arial"/>
          <w:sz w:val="22"/>
          <w:szCs w:val="22"/>
        </w:rPr>
      </w:pPr>
      <w:r w:rsidRPr="00AD6E04">
        <w:rPr>
          <w:rFonts w:ascii="Arial" w:hAnsi="Arial" w:cs="Arial"/>
          <w:sz w:val="22"/>
          <w:szCs w:val="22"/>
        </w:rPr>
        <w:t>In this Determination:</w:t>
      </w:r>
    </w:p>
    <w:p w14:paraId="60973725" w14:textId="77777777" w:rsidR="007365DD" w:rsidRPr="00AD6E04" w:rsidRDefault="007365DD" w:rsidP="003B0DE0">
      <w:pPr>
        <w:pStyle w:val="introto0"/>
        <w:shd w:val="clear" w:color="auto" w:fill="FFFFFF"/>
        <w:spacing w:before="120" w:beforeAutospacing="0" w:after="120" w:afterAutospacing="0"/>
        <w:jc w:val="both"/>
        <w:rPr>
          <w:rFonts w:ascii="Arial" w:hAnsi="Arial" w:cs="Arial"/>
          <w:color w:val="000000"/>
          <w:sz w:val="22"/>
          <w:szCs w:val="22"/>
        </w:rPr>
      </w:pPr>
      <w:r w:rsidRPr="00AD6E04">
        <w:rPr>
          <w:rFonts w:ascii="Arial" w:hAnsi="Arial" w:cs="Arial"/>
          <w:b/>
          <w:i/>
          <w:color w:val="000000"/>
          <w:sz w:val="22"/>
          <w:szCs w:val="22"/>
        </w:rPr>
        <w:t>ADI</w:t>
      </w:r>
      <w:r w:rsidRPr="00AD6E04">
        <w:rPr>
          <w:rFonts w:ascii="Arial" w:hAnsi="Arial" w:cs="Arial"/>
          <w:b/>
          <w:bCs/>
          <w:i/>
          <w:iCs/>
          <w:color w:val="000000"/>
          <w:sz w:val="22"/>
          <w:szCs w:val="22"/>
        </w:rPr>
        <w:t xml:space="preserve"> </w:t>
      </w:r>
      <w:r w:rsidRPr="00AD6E04">
        <w:rPr>
          <w:rFonts w:ascii="Arial" w:hAnsi="Arial" w:cs="Arial"/>
          <w:color w:val="000000"/>
          <w:sz w:val="22"/>
          <w:szCs w:val="22"/>
        </w:rPr>
        <w:t xml:space="preserve">has the meaning given in section 5 of the </w:t>
      </w:r>
      <w:r w:rsidRPr="00AD6E04">
        <w:rPr>
          <w:rFonts w:ascii="Arial" w:hAnsi="Arial" w:cs="Arial"/>
          <w:i/>
          <w:color w:val="000000"/>
          <w:sz w:val="22"/>
          <w:szCs w:val="22"/>
        </w:rPr>
        <w:t>Banking Act 1959</w:t>
      </w:r>
      <w:r w:rsidRPr="00AD6E04">
        <w:rPr>
          <w:rFonts w:ascii="Arial" w:hAnsi="Arial" w:cs="Arial"/>
          <w:color w:val="000000"/>
          <w:sz w:val="22"/>
          <w:szCs w:val="22"/>
        </w:rPr>
        <w:t>.</w:t>
      </w:r>
    </w:p>
    <w:p w14:paraId="242B61C8" w14:textId="77777777" w:rsidR="007365DD" w:rsidRPr="00AD6E04" w:rsidRDefault="007365DD" w:rsidP="003B0DE0">
      <w:pPr>
        <w:pStyle w:val="introto0"/>
        <w:shd w:val="clear" w:color="auto" w:fill="FFFFFF"/>
        <w:spacing w:before="120" w:beforeAutospacing="0" w:after="120" w:afterAutospacing="0"/>
        <w:jc w:val="both"/>
        <w:rPr>
          <w:rFonts w:ascii="Arial" w:hAnsi="Arial" w:cs="Arial"/>
          <w:color w:val="000000"/>
          <w:sz w:val="22"/>
          <w:szCs w:val="22"/>
        </w:rPr>
      </w:pPr>
      <w:r w:rsidRPr="00AD6E04">
        <w:rPr>
          <w:rFonts w:ascii="Arial" w:hAnsi="Arial" w:cs="Arial"/>
          <w:b/>
          <w:i/>
          <w:color w:val="000000"/>
          <w:sz w:val="22"/>
          <w:szCs w:val="22"/>
        </w:rPr>
        <w:t>APRA</w:t>
      </w:r>
      <w:r w:rsidRPr="00AD6E04">
        <w:rPr>
          <w:rFonts w:ascii="Arial" w:hAnsi="Arial" w:cs="Arial"/>
          <w:color w:val="000000"/>
          <w:sz w:val="22"/>
          <w:szCs w:val="22"/>
        </w:rPr>
        <w:t xml:space="preserve"> means the Australian Prudential Regulation Authority.</w:t>
      </w:r>
    </w:p>
    <w:p w14:paraId="2F52F93E" w14:textId="77777777" w:rsidR="007365DD" w:rsidRPr="00AD6E04" w:rsidRDefault="007365DD" w:rsidP="003B0DE0">
      <w:pPr>
        <w:shd w:val="clear" w:color="auto" w:fill="FFFFFF"/>
        <w:spacing w:before="120" w:after="120"/>
        <w:jc w:val="both"/>
        <w:rPr>
          <w:rFonts w:ascii="Arial" w:hAnsi="Arial" w:cs="Arial"/>
          <w:sz w:val="22"/>
          <w:szCs w:val="22"/>
        </w:rPr>
      </w:pPr>
      <w:r w:rsidRPr="00AD6E04">
        <w:rPr>
          <w:rFonts w:ascii="Arial" w:hAnsi="Arial" w:cs="Arial"/>
          <w:b/>
          <w:i/>
          <w:sz w:val="22"/>
          <w:szCs w:val="22"/>
        </w:rPr>
        <w:t>authorised banking NOHC</w:t>
      </w:r>
      <w:r w:rsidRPr="00AD6E04">
        <w:rPr>
          <w:rFonts w:ascii="Arial" w:hAnsi="Arial" w:cs="Arial"/>
          <w:sz w:val="22"/>
          <w:szCs w:val="22"/>
        </w:rPr>
        <w:t xml:space="preserve"> has the meaning given to the expression </w:t>
      </w:r>
      <w:r w:rsidRPr="00AD6E04">
        <w:rPr>
          <w:rFonts w:ascii="Arial" w:hAnsi="Arial" w:cs="Arial"/>
          <w:i/>
          <w:sz w:val="22"/>
          <w:szCs w:val="22"/>
        </w:rPr>
        <w:t>authorised NOHC</w:t>
      </w:r>
      <w:r w:rsidRPr="00AD6E04">
        <w:rPr>
          <w:rFonts w:ascii="Arial" w:hAnsi="Arial" w:cs="Arial"/>
          <w:sz w:val="22"/>
          <w:szCs w:val="22"/>
        </w:rPr>
        <w:t xml:space="preserve"> in section 5 of the </w:t>
      </w:r>
      <w:r w:rsidRPr="00AD6E04">
        <w:rPr>
          <w:rFonts w:ascii="Arial" w:hAnsi="Arial" w:cs="Arial"/>
          <w:i/>
          <w:sz w:val="22"/>
          <w:szCs w:val="22"/>
        </w:rPr>
        <w:t>Banking Act</w:t>
      </w:r>
      <w:r w:rsidRPr="00AD6E04">
        <w:rPr>
          <w:rFonts w:ascii="Arial" w:hAnsi="Arial" w:cs="Arial"/>
          <w:sz w:val="22"/>
          <w:szCs w:val="22"/>
        </w:rPr>
        <w:t xml:space="preserve"> </w:t>
      </w:r>
      <w:r w:rsidRPr="00AD6E04">
        <w:rPr>
          <w:rFonts w:ascii="Arial" w:hAnsi="Arial" w:cs="Arial"/>
          <w:i/>
          <w:sz w:val="22"/>
          <w:szCs w:val="22"/>
        </w:rPr>
        <w:t>1959</w:t>
      </w:r>
      <w:r w:rsidRPr="00AD6E04">
        <w:rPr>
          <w:rFonts w:ascii="Arial" w:hAnsi="Arial" w:cs="Arial"/>
          <w:sz w:val="22"/>
          <w:szCs w:val="22"/>
        </w:rPr>
        <w:t>.</w:t>
      </w:r>
    </w:p>
    <w:p w14:paraId="1D309339" w14:textId="77777777" w:rsidR="007365DD" w:rsidRPr="00AD6E04" w:rsidRDefault="007365DD" w:rsidP="003B0DE0">
      <w:pPr>
        <w:shd w:val="clear" w:color="auto" w:fill="FFFFFF"/>
        <w:spacing w:before="120" w:after="120"/>
        <w:jc w:val="both"/>
        <w:rPr>
          <w:rFonts w:ascii="Arial" w:hAnsi="Arial" w:cs="Arial"/>
          <w:sz w:val="22"/>
          <w:szCs w:val="22"/>
        </w:rPr>
      </w:pPr>
      <w:r w:rsidRPr="00AD6E04">
        <w:rPr>
          <w:rFonts w:ascii="Arial" w:hAnsi="Arial" w:cs="Arial"/>
          <w:b/>
          <w:i/>
          <w:sz w:val="22"/>
          <w:szCs w:val="22"/>
        </w:rPr>
        <w:t xml:space="preserve">authorised insurance </w:t>
      </w:r>
      <w:r w:rsidRPr="00AD6E04">
        <w:rPr>
          <w:rFonts w:ascii="Arial" w:hAnsi="Arial" w:cs="Arial"/>
          <w:b/>
          <w:bCs/>
          <w:i/>
          <w:iCs/>
          <w:sz w:val="22"/>
          <w:szCs w:val="22"/>
        </w:rPr>
        <w:t>NOHC</w:t>
      </w:r>
      <w:r w:rsidRPr="00AD6E04">
        <w:rPr>
          <w:rFonts w:ascii="Arial" w:hAnsi="Arial" w:cs="Arial"/>
          <w:b/>
          <w:sz w:val="22"/>
          <w:szCs w:val="22"/>
        </w:rPr>
        <w:t> </w:t>
      </w:r>
      <w:r w:rsidRPr="00AD6E04">
        <w:rPr>
          <w:rFonts w:ascii="Arial" w:hAnsi="Arial" w:cs="Arial"/>
          <w:sz w:val="22"/>
          <w:szCs w:val="22"/>
        </w:rPr>
        <w:t xml:space="preserve">has the meaning given to the expression </w:t>
      </w:r>
      <w:r w:rsidRPr="00AD6E04">
        <w:rPr>
          <w:rFonts w:ascii="Arial" w:hAnsi="Arial" w:cs="Arial"/>
          <w:i/>
          <w:sz w:val="22"/>
          <w:szCs w:val="22"/>
        </w:rPr>
        <w:t>authorised NOHC</w:t>
      </w:r>
      <w:r w:rsidRPr="00AD6E04">
        <w:rPr>
          <w:rFonts w:ascii="Arial" w:hAnsi="Arial" w:cs="Arial"/>
          <w:sz w:val="22"/>
          <w:szCs w:val="22"/>
        </w:rPr>
        <w:t xml:space="preserve"> in subsection 3(1) of the </w:t>
      </w:r>
      <w:r w:rsidRPr="00AD6E04">
        <w:rPr>
          <w:rFonts w:ascii="Arial" w:hAnsi="Arial" w:cs="Arial"/>
          <w:i/>
          <w:sz w:val="22"/>
          <w:szCs w:val="22"/>
        </w:rPr>
        <w:t>Insurance Act</w:t>
      </w:r>
      <w:r w:rsidRPr="00AD6E04">
        <w:rPr>
          <w:rFonts w:ascii="Arial" w:hAnsi="Arial" w:cs="Arial"/>
          <w:sz w:val="22"/>
          <w:szCs w:val="22"/>
        </w:rPr>
        <w:t> </w:t>
      </w:r>
      <w:r w:rsidRPr="00AD6E04">
        <w:rPr>
          <w:rFonts w:ascii="Arial" w:hAnsi="Arial" w:cs="Arial"/>
          <w:i/>
          <w:sz w:val="22"/>
          <w:szCs w:val="22"/>
        </w:rPr>
        <w:t>1973</w:t>
      </w:r>
      <w:r w:rsidRPr="00AD6E04">
        <w:rPr>
          <w:rFonts w:ascii="Arial" w:hAnsi="Arial" w:cs="Arial"/>
          <w:sz w:val="22"/>
          <w:szCs w:val="22"/>
        </w:rPr>
        <w:t>.</w:t>
      </w:r>
    </w:p>
    <w:p w14:paraId="6B8CA10F" w14:textId="77777777" w:rsidR="007365DD" w:rsidRPr="00AD6E04" w:rsidRDefault="007365DD" w:rsidP="003B0DE0">
      <w:pPr>
        <w:shd w:val="clear" w:color="auto" w:fill="FFFFFF"/>
        <w:spacing w:before="120" w:after="120"/>
        <w:jc w:val="both"/>
        <w:rPr>
          <w:rFonts w:ascii="Arial" w:hAnsi="Arial" w:cs="Arial"/>
          <w:sz w:val="22"/>
          <w:szCs w:val="22"/>
        </w:rPr>
      </w:pPr>
      <w:r w:rsidRPr="00AD6E04">
        <w:rPr>
          <w:rFonts w:ascii="Arial" w:hAnsi="Arial" w:cs="Arial"/>
          <w:b/>
          <w:i/>
          <w:sz w:val="22"/>
          <w:szCs w:val="22"/>
        </w:rPr>
        <w:t>friendly society</w:t>
      </w:r>
      <w:r w:rsidRPr="00AD6E04">
        <w:rPr>
          <w:rFonts w:ascii="Arial" w:hAnsi="Arial" w:cs="Arial"/>
          <w:sz w:val="22"/>
          <w:szCs w:val="22"/>
        </w:rPr>
        <w:t xml:space="preserve"> has the meaning given in section 16C of the </w:t>
      </w:r>
      <w:r w:rsidRPr="00AD6E04">
        <w:rPr>
          <w:rFonts w:ascii="Arial" w:hAnsi="Arial" w:cs="Arial"/>
          <w:i/>
          <w:sz w:val="22"/>
          <w:szCs w:val="22"/>
        </w:rPr>
        <w:t>Life Insurance Act 1995</w:t>
      </w:r>
      <w:r w:rsidRPr="00AD6E04">
        <w:rPr>
          <w:rFonts w:ascii="Arial" w:hAnsi="Arial" w:cs="Arial"/>
          <w:sz w:val="22"/>
          <w:szCs w:val="22"/>
        </w:rPr>
        <w:t>.</w:t>
      </w:r>
    </w:p>
    <w:p w14:paraId="0D0BB4DD" w14:textId="77777777" w:rsidR="007365DD" w:rsidRPr="00AD6E04" w:rsidRDefault="007365DD" w:rsidP="003B0DE0">
      <w:pPr>
        <w:shd w:val="clear" w:color="auto" w:fill="FFFFFF"/>
        <w:spacing w:before="120" w:after="120"/>
        <w:jc w:val="both"/>
        <w:rPr>
          <w:rFonts w:ascii="Arial" w:hAnsi="Arial" w:cs="Arial"/>
          <w:sz w:val="22"/>
          <w:szCs w:val="22"/>
        </w:rPr>
      </w:pPr>
      <w:r w:rsidRPr="00AD6E04">
        <w:rPr>
          <w:rFonts w:ascii="Arial" w:hAnsi="Arial" w:cs="Arial"/>
          <w:b/>
          <w:i/>
          <w:sz w:val="22"/>
          <w:szCs w:val="22"/>
        </w:rPr>
        <w:t>general insurer</w:t>
      </w:r>
      <w:r w:rsidRPr="00AD6E04">
        <w:rPr>
          <w:rFonts w:ascii="Arial" w:hAnsi="Arial" w:cs="Arial"/>
          <w:b/>
          <w:bCs/>
          <w:sz w:val="22"/>
          <w:szCs w:val="22"/>
        </w:rPr>
        <w:t xml:space="preserve"> </w:t>
      </w:r>
      <w:r w:rsidRPr="00AD6E04">
        <w:rPr>
          <w:rFonts w:ascii="Arial" w:hAnsi="Arial" w:cs="Arial"/>
          <w:sz w:val="22"/>
          <w:szCs w:val="22"/>
        </w:rPr>
        <w:t xml:space="preserve">has the meaning given in section 11 of the </w:t>
      </w:r>
      <w:r w:rsidRPr="00AD6E04">
        <w:rPr>
          <w:rFonts w:ascii="Arial" w:hAnsi="Arial" w:cs="Arial"/>
          <w:i/>
          <w:sz w:val="22"/>
          <w:szCs w:val="22"/>
        </w:rPr>
        <w:t>Insurance Act 1973</w:t>
      </w:r>
      <w:r w:rsidRPr="00AD6E04">
        <w:rPr>
          <w:rFonts w:ascii="Arial" w:hAnsi="Arial" w:cs="Arial"/>
          <w:sz w:val="22"/>
          <w:szCs w:val="22"/>
        </w:rPr>
        <w:t>.</w:t>
      </w:r>
    </w:p>
    <w:p w14:paraId="3D0830E9" w14:textId="77777777" w:rsidR="003025E6" w:rsidRPr="00AD6E04" w:rsidRDefault="003025E6" w:rsidP="003B0DE0">
      <w:pPr>
        <w:shd w:val="clear" w:color="auto" w:fill="FFFFFF"/>
        <w:spacing w:before="120" w:after="120"/>
        <w:jc w:val="both"/>
        <w:rPr>
          <w:rFonts w:ascii="Arial" w:hAnsi="Arial" w:cs="Arial"/>
          <w:sz w:val="22"/>
          <w:szCs w:val="22"/>
        </w:rPr>
      </w:pPr>
      <w:r w:rsidRPr="00AD6E04">
        <w:rPr>
          <w:rFonts w:ascii="Arial" w:hAnsi="Arial" w:cs="Arial"/>
          <w:b/>
          <w:i/>
          <w:sz w:val="22"/>
          <w:szCs w:val="22"/>
        </w:rPr>
        <w:t>Level 2 insurance group</w:t>
      </w:r>
      <w:r w:rsidRPr="00AD6E04">
        <w:rPr>
          <w:rFonts w:ascii="Arial" w:hAnsi="Arial" w:cs="Arial"/>
          <w:i/>
          <w:sz w:val="22"/>
          <w:szCs w:val="22"/>
        </w:rPr>
        <w:t xml:space="preserve"> </w:t>
      </w:r>
      <w:r w:rsidRPr="00AD6E04">
        <w:rPr>
          <w:rFonts w:ascii="Arial" w:hAnsi="Arial" w:cs="Arial"/>
          <w:sz w:val="22"/>
          <w:szCs w:val="22"/>
        </w:rPr>
        <w:t xml:space="preserve">has the meaning given in </w:t>
      </w:r>
      <w:r w:rsidRPr="00AD6E04">
        <w:rPr>
          <w:rFonts w:ascii="Arial" w:hAnsi="Arial" w:cs="Arial"/>
          <w:i/>
          <w:sz w:val="22"/>
          <w:szCs w:val="22"/>
        </w:rPr>
        <w:t>Prudential Standard GPS 001 Definitions.</w:t>
      </w:r>
    </w:p>
    <w:p w14:paraId="152631DE" w14:textId="77777777" w:rsidR="007365DD" w:rsidRPr="00AD6E04" w:rsidRDefault="007365DD" w:rsidP="003B0DE0">
      <w:pPr>
        <w:shd w:val="clear" w:color="auto" w:fill="FFFFFF"/>
        <w:spacing w:before="120" w:after="120"/>
        <w:jc w:val="both"/>
        <w:rPr>
          <w:rFonts w:ascii="Arial" w:hAnsi="Arial" w:cs="Arial"/>
          <w:sz w:val="22"/>
          <w:szCs w:val="22"/>
        </w:rPr>
      </w:pPr>
      <w:r w:rsidRPr="00AD6E04">
        <w:rPr>
          <w:rFonts w:ascii="Arial" w:hAnsi="Arial" w:cs="Arial"/>
          <w:b/>
          <w:i/>
          <w:sz w:val="22"/>
          <w:szCs w:val="22"/>
        </w:rPr>
        <w:t>life company</w:t>
      </w:r>
      <w:r w:rsidRPr="00AD6E04">
        <w:rPr>
          <w:rFonts w:ascii="Arial" w:hAnsi="Arial" w:cs="Arial"/>
          <w:sz w:val="22"/>
          <w:szCs w:val="22"/>
        </w:rPr>
        <w:t xml:space="preserve"> has the meaning given in the Schedule to the </w:t>
      </w:r>
      <w:r w:rsidRPr="00AD6E04">
        <w:rPr>
          <w:rFonts w:ascii="Arial" w:hAnsi="Arial" w:cs="Arial"/>
          <w:i/>
          <w:sz w:val="22"/>
          <w:szCs w:val="22"/>
        </w:rPr>
        <w:t>Life Insurance Act 1995</w:t>
      </w:r>
      <w:r w:rsidRPr="00AD6E04">
        <w:rPr>
          <w:rFonts w:ascii="Arial" w:hAnsi="Arial" w:cs="Arial"/>
          <w:sz w:val="22"/>
          <w:szCs w:val="22"/>
        </w:rPr>
        <w:t>.</w:t>
      </w:r>
    </w:p>
    <w:p w14:paraId="61BC54AB" w14:textId="77777777" w:rsidR="00F406E7" w:rsidRPr="00AD6E04" w:rsidRDefault="00F406E7" w:rsidP="003B0DE0">
      <w:pPr>
        <w:shd w:val="clear" w:color="auto" w:fill="FFFFFF"/>
        <w:spacing w:before="120" w:after="120"/>
        <w:jc w:val="both"/>
        <w:rPr>
          <w:rFonts w:ascii="Arial" w:hAnsi="Arial" w:cs="Arial"/>
          <w:sz w:val="22"/>
          <w:szCs w:val="22"/>
        </w:rPr>
      </w:pPr>
      <w:r w:rsidRPr="00AD6E04">
        <w:rPr>
          <w:rFonts w:ascii="Arial" w:hAnsi="Arial" w:cs="Arial"/>
          <w:b/>
          <w:i/>
          <w:sz w:val="22"/>
          <w:szCs w:val="22"/>
        </w:rPr>
        <w:t xml:space="preserve">parent entity </w:t>
      </w:r>
      <w:r w:rsidRPr="00AD6E04">
        <w:rPr>
          <w:rFonts w:ascii="Arial" w:hAnsi="Arial" w:cs="Arial"/>
          <w:sz w:val="22"/>
          <w:szCs w:val="22"/>
        </w:rPr>
        <w:t xml:space="preserve">has the meaning given in </w:t>
      </w:r>
      <w:r w:rsidRPr="00AD6E04">
        <w:rPr>
          <w:rFonts w:ascii="Arial" w:hAnsi="Arial" w:cs="Arial"/>
          <w:i/>
          <w:sz w:val="22"/>
          <w:szCs w:val="22"/>
        </w:rPr>
        <w:t>Prudential Standard GPS 001 Definitions</w:t>
      </w:r>
      <w:r w:rsidRPr="00AD6E04">
        <w:rPr>
          <w:rFonts w:ascii="Arial" w:hAnsi="Arial" w:cs="Arial"/>
          <w:sz w:val="22"/>
          <w:szCs w:val="22"/>
        </w:rPr>
        <w:t>.</w:t>
      </w:r>
    </w:p>
    <w:p w14:paraId="7553D23C" w14:textId="17AF6EBC" w:rsidR="007365DD" w:rsidRPr="00AD6E04" w:rsidRDefault="007365DD" w:rsidP="003B0DE0">
      <w:pPr>
        <w:shd w:val="clear" w:color="auto" w:fill="FFFFFF"/>
        <w:spacing w:before="120" w:after="120"/>
        <w:jc w:val="both"/>
        <w:rPr>
          <w:rFonts w:ascii="Arial" w:hAnsi="Arial" w:cs="Arial"/>
          <w:sz w:val="22"/>
          <w:szCs w:val="22"/>
        </w:rPr>
      </w:pPr>
      <w:r w:rsidRPr="00AD6E04">
        <w:rPr>
          <w:rFonts w:ascii="Arial" w:hAnsi="Arial" w:cs="Arial"/>
          <w:b/>
          <w:i/>
          <w:sz w:val="22"/>
          <w:szCs w:val="22"/>
        </w:rPr>
        <w:t>private health insurer</w:t>
      </w:r>
      <w:r w:rsidRPr="00AD6E04">
        <w:rPr>
          <w:rFonts w:ascii="Arial" w:hAnsi="Arial" w:cs="Arial"/>
          <w:sz w:val="22"/>
          <w:szCs w:val="22"/>
        </w:rPr>
        <w:t xml:space="preserve"> has the meaning given in section 4 of</w:t>
      </w:r>
      <w:r w:rsidR="007C7E32">
        <w:rPr>
          <w:rFonts w:ascii="Arial" w:hAnsi="Arial" w:cs="Arial"/>
          <w:sz w:val="22"/>
          <w:szCs w:val="22"/>
        </w:rPr>
        <w:t xml:space="preserve"> the</w:t>
      </w:r>
      <w:r w:rsidRPr="00AD6E04">
        <w:rPr>
          <w:rFonts w:ascii="Arial" w:hAnsi="Arial" w:cs="Arial"/>
          <w:sz w:val="22"/>
          <w:szCs w:val="22"/>
        </w:rPr>
        <w:t xml:space="preserve"> </w:t>
      </w:r>
      <w:r w:rsidRPr="00AD6E04">
        <w:rPr>
          <w:rFonts w:ascii="Arial" w:hAnsi="Arial" w:cs="Arial"/>
          <w:i/>
          <w:sz w:val="22"/>
          <w:szCs w:val="22"/>
        </w:rPr>
        <w:t>Private Health Insurance (Prudential Supervision) Act 2015.</w:t>
      </w:r>
    </w:p>
    <w:p w14:paraId="2BB537AB" w14:textId="77777777" w:rsidR="007365DD" w:rsidRPr="00AD6E04" w:rsidRDefault="007365DD" w:rsidP="003B0DE0">
      <w:pPr>
        <w:shd w:val="clear" w:color="auto" w:fill="FFFFFF"/>
        <w:spacing w:before="120" w:after="120"/>
        <w:jc w:val="both"/>
        <w:rPr>
          <w:rFonts w:ascii="Arial" w:hAnsi="Arial" w:cs="Arial"/>
          <w:sz w:val="22"/>
          <w:szCs w:val="22"/>
        </w:rPr>
      </w:pPr>
      <w:r w:rsidRPr="00AD6E04">
        <w:rPr>
          <w:rFonts w:ascii="Arial" w:hAnsi="Arial" w:cs="Arial"/>
          <w:b/>
          <w:i/>
          <w:sz w:val="22"/>
          <w:szCs w:val="22"/>
        </w:rPr>
        <w:t>registered life NOHC</w:t>
      </w:r>
      <w:r w:rsidRPr="00AD6E04">
        <w:rPr>
          <w:rFonts w:ascii="Arial" w:hAnsi="Arial" w:cs="Arial"/>
          <w:sz w:val="22"/>
          <w:szCs w:val="22"/>
        </w:rPr>
        <w:t xml:space="preserve"> has the meaning given to the expression </w:t>
      </w:r>
      <w:r w:rsidRPr="00AD6E04">
        <w:rPr>
          <w:rFonts w:ascii="Arial" w:hAnsi="Arial" w:cs="Arial"/>
          <w:i/>
          <w:sz w:val="22"/>
          <w:szCs w:val="22"/>
        </w:rPr>
        <w:t>registered NOHC</w:t>
      </w:r>
      <w:r w:rsidRPr="00AD6E04">
        <w:rPr>
          <w:rFonts w:ascii="Arial" w:hAnsi="Arial" w:cs="Arial"/>
          <w:sz w:val="22"/>
          <w:szCs w:val="22"/>
        </w:rPr>
        <w:t xml:space="preserve"> in the Schedule to the </w:t>
      </w:r>
      <w:r w:rsidRPr="00AD6E04">
        <w:rPr>
          <w:rFonts w:ascii="Arial" w:hAnsi="Arial" w:cs="Arial"/>
          <w:i/>
          <w:sz w:val="22"/>
          <w:szCs w:val="22"/>
        </w:rPr>
        <w:t>Life Insurance Act 1995</w:t>
      </w:r>
      <w:r w:rsidRPr="00AD6E04">
        <w:rPr>
          <w:rFonts w:ascii="Arial" w:hAnsi="Arial" w:cs="Arial"/>
          <w:sz w:val="22"/>
          <w:szCs w:val="22"/>
        </w:rPr>
        <w:t>.</w:t>
      </w:r>
    </w:p>
    <w:p w14:paraId="622555F0" w14:textId="77777777" w:rsidR="007365DD" w:rsidRPr="00AD6E04" w:rsidRDefault="007365DD" w:rsidP="003B0DE0">
      <w:pPr>
        <w:shd w:val="clear" w:color="auto" w:fill="FFFFFF"/>
        <w:spacing w:before="120" w:after="120"/>
        <w:jc w:val="both"/>
        <w:rPr>
          <w:rFonts w:ascii="Arial" w:hAnsi="Arial" w:cs="Arial"/>
          <w:sz w:val="22"/>
          <w:szCs w:val="22"/>
          <w:shd w:val="clear" w:color="auto" w:fill="FFFFFF"/>
        </w:rPr>
      </w:pPr>
      <w:r w:rsidRPr="00AD6E04">
        <w:rPr>
          <w:rFonts w:ascii="Arial" w:hAnsi="Arial" w:cs="Arial"/>
          <w:b/>
          <w:i/>
          <w:sz w:val="22"/>
          <w:szCs w:val="22"/>
          <w:shd w:val="clear" w:color="auto" w:fill="FFFFFF"/>
        </w:rPr>
        <w:t>RSE licensee</w:t>
      </w:r>
      <w:r w:rsidRPr="00AD6E04">
        <w:rPr>
          <w:rFonts w:ascii="Arial" w:hAnsi="Arial" w:cs="Arial"/>
          <w:sz w:val="22"/>
          <w:szCs w:val="22"/>
          <w:shd w:val="clear" w:color="auto" w:fill="FFFFFF"/>
        </w:rPr>
        <w:t xml:space="preserve"> has the meaning given in section 10 of the </w:t>
      </w:r>
      <w:r w:rsidRPr="00AD6E04">
        <w:rPr>
          <w:rFonts w:ascii="Arial" w:hAnsi="Arial" w:cs="Arial"/>
          <w:i/>
          <w:sz w:val="22"/>
          <w:szCs w:val="22"/>
          <w:shd w:val="clear" w:color="auto" w:fill="FFFFFF"/>
        </w:rPr>
        <w:t>Superannuation Industry (Supervision) Act 1993</w:t>
      </w:r>
      <w:r w:rsidRPr="00AD6E04">
        <w:rPr>
          <w:rFonts w:ascii="Arial" w:hAnsi="Arial" w:cs="Arial"/>
          <w:sz w:val="22"/>
          <w:szCs w:val="22"/>
          <w:shd w:val="clear" w:color="auto" w:fill="FFFFFF"/>
        </w:rPr>
        <w:t>.</w:t>
      </w:r>
    </w:p>
    <w:p w14:paraId="5F093B6F" w14:textId="77777777" w:rsidR="000C059C" w:rsidRPr="00AD6E04" w:rsidRDefault="000C059C" w:rsidP="003B0DE0">
      <w:pPr>
        <w:shd w:val="clear" w:color="auto" w:fill="FFFFFF"/>
        <w:spacing w:before="120" w:after="120"/>
        <w:jc w:val="both"/>
        <w:rPr>
          <w:rFonts w:ascii="Arial" w:hAnsi="Arial" w:cs="Arial"/>
          <w:sz w:val="22"/>
          <w:szCs w:val="22"/>
          <w:shd w:val="clear" w:color="auto" w:fill="FFFFFF"/>
        </w:rPr>
      </w:pPr>
      <w:r w:rsidRPr="00AD6E04">
        <w:rPr>
          <w:rFonts w:ascii="Arial" w:hAnsi="Arial" w:cs="Arial"/>
          <w:b/>
          <w:i/>
          <w:sz w:val="22"/>
          <w:szCs w:val="22"/>
          <w:shd w:val="clear" w:color="auto" w:fill="FFFFFF"/>
        </w:rPr>
        <w:t>subsidiary</w:t>
      </w:r>
      <w:r w:rsidRPr="00AD6E04">
        <w:rPr>
          <w:rFonts w:ascii="Arial" w:hAnsi="Arial" w:cs="Arial"/>
          <w:sz w:val="22"/>
          <w:szCs w:val="22"/>
          <w:shd w:val="clear" w:color="auto" w:fill="FFFFFF"/>
        </w:rPr>
        <w:t xml:space="preserve"> has the meaning given in </w:t>
      </w:r>
      <w:r w:rsidRPr="00AD6E04">
        <w:rPr>
          <w:rFonts w:ascii="Arial" w:hAnsi="Arial" w:cs="Arial"/>
          <w:i/>
          <w:sz w:val="22"/>
          <w:szCs w:val="22"/>
          <w:shd w:val="clear" w:color="auto" w:fill="FFFFFF"/>
        </w:rPr>
        <w:t>Prudential Standard GPS 001 Definitions</w:t>
      </w:r>
      <w:r w:rsidRPr="00AD6E04">
        <w:rPr>
          <w:rFonts w:ascii="Arial" w:hAnsi="Arial" w:cs="Arial"/>
          <w:sz w:val="22"/>
          <w:szCs w:val="22"/>
          <w:shd w:val="clear" w:color="auto" w:fill="FFFFFF"/>
        </w:rPr>
        <w:t xml:space="preserve">. </w:t>
      </w:r>
    </w:p>
    <w:p w14:paraId="4D5EC894" w14:textId="07597326" w:rsidR="007365DD" w:rsidRPr="00AD6E04" w:rsidRDefault="007365DD" w:rsidP="003B0DE0">
      <w:pPr>
        <w:pStyle w:val="IntroTo"/>
        <w:spacing w:before="120"/>
        <w:ind w:left="0" w:firstLine="0"/>
        <w:jc w:val="both"/>
        <w:rPr>
          <w:rFonts w:ascii="Arial" w:hAnsi="Arial" w:cs="Arial"/>
          <w:sz w:val="22"/>
          <w:szCs w:val="22"/>
        </w:rPr>
      </w:pPr>
      <w:bookmarkStart w:id="4" w:name="_Hlk145581700"/>
      <w:r w:rsidRPr="00AD6E04">
        <w:rPr>
          <w:rFonts w:ascii="Arial" w:hAnsi="Arial" w:cs="Arial"/>
          <w:b/>
          <w:i/>
          <w:color w:val="000000"/>
          <w:sz w:val="22"/>
          <w:szCs w:val="22"/>
        </w:rPr>
        <w:t>the prudential standard</w:t>
      </w:r>
      <w:r w:rsidRPr="00AD6E04">
        <w:rPr>
          <w:rFonts w:ascii="Arial" w:hAnsi="Arial" w:cs="Arial"/>
          <w:color w:val="000000"/>
          <w:sz w:val="22"/>
          <w:szCs w:val="22"/>
        </w:rPr>
        <w:t xml:space="preserve"> means </w:t>
      </w:r>
      <w:r w:rsidRPr="00AD6E04">
        <w:rPr>
          <w:rFonts w:ascii="Arial" w:hAnsi="Arial" w:cs="Arial"/>
          <w:i/>
          <w:color w:val="000000"/>
          <w:sz w:val="22"/>
          <w:szCs w:val="22"/>
        </w:rPr>
        <w:t>Prudential Standard CPS 190 Recovery and Exit Planning</w:t>
      </w:r>
      <w:r w:rsidRPr="00AD6E04">
        <w:rPr>
          <w:rFonts w:ascii="Arial" w:hAnsi="Arial" w:cs="Arial"/>
          <w:color w:val="000000"/>
          <w:sz w:val="22"/>
          <w:szCs w:val="22"/>
        </w:rPr>
        <w:t>.</w:t>
      </w:r>
    </w:p>
    <w:bookmarkEnd w:id="4"/>
    <w:p w14:paraId="4841C14A" w14:textId="77777777" w:rsidR="007365DD" w:rsidRPr="00B2091D" w:rsidRDefault="007365DD" w:rsidP="00376B76">
      <w:pPr>
        <w:rPr>
          <w:rFonts w:asciiTheme="majorHAnsi" w:hAnsiTheme="majorHAnsi" w:cstheme="majorHAnsi"/>
        </w:rPr>
      </w:pPr>
    </w:p>
    <w:p w14:paraId="1DA10076" w14:textId="77777777" w:rsidR="007365DD" w:rsidRPr="00B2091D" w:rsidRDefault="007365DD" w:rsidP="007365DD">
      <w:pPr>
        <w:jc w:val="both"/>
        <w:rPr>
          <w:rFonts w:asciiTheme="majorHAnsi" w:eastAsia="Times New Roman" w:hAnsiTheme="majorHAnsi" w:cstheme="majorHAnsi"/>
          <w:sz w:val="32"/>
          <w:szCs w:val="32"/>
        </w:rPr>
      </w:pPr>
      <w:r w:rsidRPr="00B2091D">
        <w:rPr>
          <w:rFonts w:asciiTheme="majorHAnsi" w:hAnsiTheme="majorHAnsi" w:cstheme="majorHAnsi"/>
          <w:b/>
          <w:sz w:val="32"/>
          <w:szCs w:val="32"/>
        </w:rPr>
        <w:t xml:space="preserve">Schedule </w:t>
      </w:r>
    </w:p>
    <w:p w14:paraId="449B7AC5" w14:textId="77777777" w:rsidR="007365DD" w:rsidRPr="00AD6E04" w:rsidRDefault="007365DD" w:rsidP="007365DD">
      <w:pPr>
        <w:jc w:val="both"/>
        <w:rPr>
          <w:rFonts w:ascii="Arial" w:hAnsi="Arial" w:cs="Arial"/>
          <w:sz w:val="22"/>
          <w:szCs w:val="22"/>
        </w:rPr>
      </w:pPr>
      <w:r w:rsidRPr="00AD6E04">
        <w:rPr>
          <w:rFonts w:ascii="Arial" w:hAnsi="Arial" w:cs="Arial"/>
          <w:i/>
          <w:sz w:val="22"/>
          <w:szCs w:val="22"/>
          <w:shd w:val="clear" w:color="auto" w:fill="FFFFFF"/>
        </w:rPr>
        <w:t xml:space="preserve">Prudential Standard CPS 190 Recovery and Exit Planning </w:t>
      </w:r>
      <w:r w:rsidRPr="00AD6E04">
        <w:rPr>
          <w:rFonts w:ascii="Arial" w:hAnsi="Arial" w:cs="Arial"/>
          <w:sz w:val="22"/>
          <w:szCs w:val="22"/>
          <w:shd w:val="clear" w:color="auto" w:fill="FFFFFF"/>
        </w:rPr>
        <w:t>comprises the document commencing on the following page.</w:t>
      </w:r>
    </w:p>
    <w:p w14:paraId="1BC1B17C" w14:textId="77777777" w:rsidR="007365DD" w:rsidRPr="00B2091D" w:rsidRDefault="007365DD" w:rsidP="00376B76">
      <w:pPr>
        <w:rPr>
          <w:rFonts w:asciiTheme="majorHAnsi" w:hAnsiTheme="majorHAnsi" w:cstheme="majorHAnsi"/>
        </w:rPr>
      </w:pPr>
    </w:p>
    <w:p w14:paraId="414AF367" w14:textId="77777777" w:rsidR="00DB412F" w:rsidRDefault="00DB412F" w:rsidP="00946D11">
      <w:pPr>
        <w:numPr>
          <w:ilvl w:val="0"/>
          <w:numId w:val="23"/>
        </w:numPr>
        <w:shd w:val="clear" w:color="auto" w:fill="FFFFFF"/>
        <w:spacing w:before="480" w:after="0"/>
        <w:sectPr w:rsidR="00DB412F" w:rsidSect="00DB412F">
          <w:pgSz w:w="11906" w:h="16838" w:code="9"/>
          <w:pgMar w:top="1440" w:right="1797" w:bottom="1440" w:left="1797" w:header="709" w:footer="709" w:gutter="0"/>
          <w:cols w:space="708"/>
          <w:titlePg/>
          <w:docGrid w:linePitch="360"/>
        </w:sectPr>
      </w:pPr>
    </w:p>
    <w:p w14:paraId="5DA456BD" w14:textId="78DFABA5" w:rsidR="000649AC" w:rsidRPr="003B591C" w:rsidRDefault="000649AC" w:rsidP="00946D11">
      <w:pPr>
        <w:numPr>
          <w:ilvl w:val="0"/>
          <w:numId w:val="23"/>
        </w:numPr>
        <w:shd w:val="clear" w:color="auto" w:fill="FFFFFF"/>
        <w:spacing w:before="480" w:after="0"/>
      </w:pPr>
      <w:r w:rsidRPr="003B591C">
        <w:rPr>
          <w:noProof/>
          <w:lang w:val="en-US" w:eastAsia="en-US"/>
        </w:rPr>
        <w:lastRenderedPageBreak/>
        <w:drawing>
          <wp:inline distT="0" distB="0" distL="0" distR="0" wp14:anchorId="1C97BAF4" wp14:editId="602CAE8D">
            <wp:extent cx="1485900" cy="1095375"/>
            <wp:effectExtent l="0" t="0" r="0" b="9525"/>
            <wp:docPr id="3" name="Picture 3"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mmonwealth Coat of Ar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5900" cy="1095375"/>
                    </a:xfrm>
                    <a:prstGeom prst="rect">
                      <a:avLst/>
                    </a:prstGeom>
                    <a:noFill/>
                    <a:ln>
                      <a:noFill/>
                    </a:ln>
                  </pic:spPr>
                </pic:pic>
              </a:graphicData>
            </a:graphic>
          </wp:inline>
        </w:drawing>
      </w:r>
    </w:p>
    <w:p w14:paraId="04A06F13" w14:textId="51F99199" w:rsidR="000649AC" w:rsidRPr="003B591C" w:rsidRDefault="000649AC" w:rsidP="000649AC">
      <w:pPr>
        <w:pStyle w:val="Title"/>
      </w:pPr>
      <w:r w:rsidRPr="003B591C">
        <w:t>Prudential Standard</w:t>
      </w:r>
      <w:r w:rsidRPr="003B591C">
        <w:rPr>
          <w:rStyle w:val="PSNofieldtext"/>
        </w:rPr>
        <w:t xml:space="preserve"> </w:t>
      </w:r>
      <w:r w:rsidR="00003631">
        <w:rPr>
          <w:rStyle w:val="PSNofieldtext"/>
        </w:rPr>
        <w:t>CPS 190</w:t>
      </w:r>
      <w:r w:rsidRPr="003B591C">
        <w:t xml:space="preserve"> </w:t>
      </w:r>
    </w:p>
    <w:p w14:paraId="19D1DA49" w14:textId="5885CD29" w:rsidR="000649AC" w:rsidRPr="003B591C" w:rsidRDefault="0069775F" w:rsidP="000649AC">
      <w:pPr>
        <w:pStyle w:val="Title"/>
      </w:pPr>
      <w:r w:rsidRPr="003B591C">
        <w:rPr>
          <w:rStyle w:val="PSNamefieldtext"/>
        </w:rPr>
        <w:t>Recovery and Exit</w:t>
      </w:r>
      <w:r w:rsidR="00573481" w:rsidRPr="003B591C">
        <w:rPr>
          <w:rStyle w:val="PSNamefieldtext"/>
        </w:rPr>
        <w:t xml:space="preserve"> Plan</w:t>
      </w:r>
      <w:r w:rsidR="000649AC" w:rsidRPr="003B591C">
        <w:rPr>
          <w:rStyle w:val="PSNamefieldtext"/>
        </w:rPr>
        <w:t xml:space="preserve">ning </w:t>
      </w:r>
      <w:r w:rsidR="000649AC" w:rsidRPr="003B591C">
        <w:t xml:space="preserve">  </w:t>
      </w:r>
    </w:p>
    <w:tbl>
      <w:tblPr>
        <w:tblStyle w:val="TableGrid"/>
        <w:tblW w:w="0" w:type="auto"/>
        <w:shd w:val="clear" w:color="auto" w:fill="DDDDDD"/>
        <w:tblLook w:val="04A0" w:firstRow="1" w:lastRow="0" w:firstColumn="1" w:lastColumn="0" w:noHBand="0" w:noVBand="1"/>
      </w:tblPr>
      <w:tblGrid>
        <w:gridCol w:w="8302"/>
      </w:tblGrid>
      <w:tr w:rsidR="000649AC" w:rsidRPr="003B591C" w14:paraId="1AC2AEB7" w14:textId="77777777" w:rsidTr="00B9421F">
        <w:tc>
          <w:tcPr>
            <w:tcW w:w="8528" w:type="dxa"/>
            <w:shd w:val="clear" w:color="auto" w:fill="DDDDDD"/>
          </w:tcPr>
          <w:p w14:paraId="22AFE6B5" w14:textId="1F2EFA9E" w:rsidR="000649AC" w:rsidRPr="003B591C" w:rsidRDefault="000649AC" w:rsidP="003B7B48">
            <w:pPr>
              <w:pStyle w:val="BoxHeading"/>
              <w:jc w:val="both"/>
            </w:pPr>
            <w:r w:rsidRPr="003B591C">
              <w:t xml:space="preserve">Objectives and key requirements of this </w:t>
            </w:r>
            <w:r w:rsidRPr="004958AD">
              <w:t>Prudential</w:t>
            </w:r>
            <w:r w:rsidRPr="003B591C">
              <w:t xml:space="preserve"> Standard</w:t>
            </w:r>
          </w:p>
          <w:p w14:paraId="365C1443" w14:textId="201C7F27" w:rsidR="000649AC" w:rsidRPr="003B591C" w:rsidRDefault="000649AC" w:rsidP="003B7B48">
            <w:pPr>
              <w:jc w:val="both"/>
              <w:rPr>
                <w:rFonts w:eastAsia="Times New Roman"/>
              </w:rPr>
            </w:pPr>
            <w:r w:rsidRPr="003B591C">
              <w:rPr>
                <w:rFonts w:eastAsia="Times New Roman"/>
              </w:rPr>
              <w:t xml:space="preserve">The objective of this Prudential Standard is to ensure that all APRA-regulated entities are adequately prepared for scenarios that may </w:t>
            </w:r>
            <w:r w:rsidRPr="003B591C" w:rsidDel="00710A0F">
              <w:rPr>
                <w:rFonts w:eastAsia="Times New Roman"/>
              </w:rPr>
              <w:t>impact</w:t>
            </w:r>
            <w:r w:rsidR="00710A0F" w:rsidRPr="003B591C">
              <w:rPr>
                <w:rFonts w:eastAsia="Times New Roman"/>
              </w:rPr>
              <w:t xml:space="preserve"> </w:t>
            </w:r>
            <w:r w:rsidRPr="003B591C">
              <w:rPr>
                <w:rFonts w:eastAsia="Times New Roman"/>
              </w:rPr>
              <w:t xml:space="preserve">the </w:t>
            </w:r>
            <w:r w:rsidR="00CE1BE1" w:rsidRPr="003B591C">
              <w:rPr>
                <w:rFonts w:eastAsia="Times New Roman"/>
              </w:rPr>
              <w:t xml:space="preserve">financial </w:t>
            </w:r>
            <w:r w:rsidRPr="003B591C">
              <w:rPr>
                <w:rFonts w:eastAsia="Times New Roman"/>
              </w:rPr>
              <w:t>viability of their business</w:t>
            </w:r>
            <w:r w:rsidR="001C25C0" w:rsidRPr="003B591C">
              <w:rPr>
                <w:rFonts w:eastAsia="Times New Roman"/>
              </w:rPr>
              <w:t>,</w:t>
            </w:r>
            <w:r w:rsidR="003144A8" w:rsidRPr="003B591C">
              <w:rPr>
                <w:rFonts w:eastAsia="Times New Roman"/>
              </w:rPr>
              <w:t xml:space="preserve"> </w:t>
            </w:r>
            <w:r w:rsidR="001C25C0" w:rsidRPr="003B591C">
              <w:rPr>
                <w:rFonts w:eastAsia="Times New Roman"/>
              </w:rPr>
              <w:t>including,</w:t>
            </w:r>
            <w:r w:rsidR="003144A8" w:rsidRPr="003B591C">
              <w:rPr>
                <w:rFonts w:eastAsia="Times New Roman"/>
              </w:rPr>
              <w:t xml:space="preserve"> in</w:t>
            </w:r>
            <w:r w:rsidR="001C25C0" w:rsidRPr="003B591C">
              <w:rPr>
                <w:rFonts w:eastAsia="Times New Roman"/>
              </w:rPr>
              <w:t xml:space="preserve"> t</w:t>
            </w:r>
            <w:r w:rsidR="003144A8" w:rsidRPr="003B591C">
              <w:rPr>
                <w:rFonts w:eastAsia="Times New Roman"/>
              </w:rPr>
              <w:t>h</w:t>
            </w:r>
            <w:r w:rsidR="001C25C0" w:rsidRPr="003B591C">
              <w:rPr>
                <w:rFonts w:eastAsia="Times New Roman"/>
              </w:rPr>
              <w:t>e</w:t>
            </w:r>
            <w:r w:rsidR="003144A8" w:rsidRPr="003B591C">
              <w:rPr>
                <w:rFonts w:eastAsia="Times New Roman"/>
              </w:rPr>
              <w:t xml:space="preserve"> case of an RSE licensee</w:t>
            </w:r>
            <w:r w:rsidR="001C25C0" w:rsidRPr="003B591C">
              <w:rPr>
                <w:rFonts w:eastAsia="Times New Roman"/>
              </w:rPr>
              <w:t xml:space="preserve">, </w:t>
            </w:r>
            <w:r w:rsidR="00701C53" w:rsidRPr="003B591C">
              <w:rPr>
                <w:rFonts w:eastAsia="Times New Roman"/>
              </w:rPr>
              <w:t xml:space="preserve">its </w:t>
            </w:r>
            <w:r w:rsidR="00653EE6" w:rsidRPr="003B591C">
              <w:rPr>
                <w:rFonts w:eastAsia="Times New Roman"/>
              </w:rPr>
              <w:t xml:space="preserve">ability </w:t>
            </w:r>
            <w:r w:rsidR="001C25C0" w:rsidRPr="003B591C">
              <w:rPr>
                <w:rFonts w:eastAsia="Times New Roman"/>
              </w:rPr>
              <w:t>to act in the best financial interests of beneficiaries</w:t>
            </w:r>
            <w:r w:rsidR="00BC75D9" w:rsidRPr="003B591C">
              <w:rPr>
                <w:rFonts w:eastAsia="Times New Roman"/>
              </w:rPr>
              <w:t xml:space="preserve"> on an ongoing basis</w:t>
            </w:r>
            <w:r w:rsidRPr="003B591C">
              <w:rPr>
                <w:rFonts w:eastAsia="Times New Roman"/>
              </w:rPr>
              <w:t>.</w:t>
            </w:r>
          </w:p>
          <w:p w14:paraId="05822509" w14:textId="37134EA9" w:rsidR="000649AC" w:rsidRPr="003B591C" w:rsidRDefault="00282C94" w:rsidP="003B7B48">
            <w:pPr>
              <w:jc w:val="both"/>
              <w:rPr>
                <w:rFonts w:eastAsia="Times New Roman"/>
              </w:rPr>
            </w:pPr>
            <w:r w:rsidRPr="003B591C">
              <w:rPr>
                <w:rFonts w:eastAsia="Times New Roman"/>
              </w:rPr>
              <w:t>Th</w:t>
            </w:r>
            <w:r w:rsidR="001C6315" w:rsidRPr="003B591C">
              <w:rPr>
                <w:rFonts w:eastAsia="Times New Roman"/>
              </w:rPr>
              <w:t>is</w:t>
            </w:r>
            <w:r w:rsidRPr="003B591C">
              <w:rPr>
                <w:rFonts w:eastAsia="Times New Roman"/>
              </w:rPr>
              <w:t xml:space="preserve"> Prudential Standard requires </w:t>
            </w:r>
            <w:r w:rsidR="000649AC" w:rsidRPr="003B591C">
              <w:rPr>
                <w:rFonts w:eastAsia="Times New Roman"/>
              </w:rPr>
              <w:t xml:space="preserve">APRA-regulated entities </w:t>
            </w:r>
            <w:r w:rsidRPr="003B591C">
              <w:rPr>
                <w:rFonts w:eastAsia="Times New Roman"/>
              </w:rPr>
              <w:t xml:space="preserve">to </w:t>
            </w:r>
            <w:r w:rsidR="000649AC" w:rsidRPr="003B591C">
              <w:rPr>
                <w:rFonts w:eastAsia="Times New Roman"/>
              </w:rPr>
              <w:t xml:space="preserve">develop and maintain a </w:t>
            </w:r>
            <w:r w:rsidR="0069775F" w:rsidRPr="003B591C">
              <w:rPr>
                <w:rFonts w:eastAsia="Times New Roman"/>
              </w:rPr>
              <w:t>recovery and exit p</w:t>
            </w:r>
            <w:r w:rsidR="00573481" w:rsidRPr="003B591C">
              <w:rPr>
                <w:rFonts w:eastAsia="Times New Roman"/>
              </w:rPr>
              <w:t>lan</w:t>
            </w:r>
            <w:r w:rsidR="00196144" w:rsidRPr="003B591C">
              <w:rPr>
                <w:rFonts w:eastAsia="Times New Roman"/>
              </w:rPr>
              <w:t>,</w:t>
            </w:r>
            <w:r w:rsidR="000649AC" w:rsidRPr="003B591C">
              <w:rPr>
                <w:rFonts w:eastAsia="Times New Roman"/>
              </w:rPr>
              <w:t xml:space="preserve"> and capabilities to be able to anticipate, manage and respond to periods of stress. The plan must be appropriate to the size</w:t>
            </w:r>
            <w:bookmarkStart w:id="5" w:name="_Hlk111131844"/>
            <w:r w:rsidR="000649AC" w:rsidRPr="003B591C">
              <w:rPr>
                <w:rFonts w:eastAsia="Times New Roman"/>
              </w:rPr>
              <w:t xml:space="preserve">, business mix and complexity of the entity, and be approved by the Board. </w:t>
            </w:r>
            <w:bookmarkEnd w:id="5"/>
          </w:p>
          <w:p w14:paraId="6CD383D0" w14:textId="22C0E68F" w:rsidR="000649AC" w:rsidRPr="003B591C" w:rsidRDefault="000649AC" w:rsidP="005E64E5">
            <w:pPr>
              <w:jc w:val="both"/>
              <w:rPr>
                <w:rFonts w:eastAsia="Times New Roman"/>
              </w:rPr>
            </w:pPr>
            <w:r w:rsidRPr="003B591C">
              <w:rPr>
                <w:rFonts w:eastAsia="Times New Roman"/>
              </w:rPr>
              <w:t>The key requirements of this Prudential Standard are that an APRA-regulated entity must</w:t>
            </w:r>
            <w:r w:rsidR="00B575F1" w:rsidRPr="003B591C">
              <w:rPr>
                <w:rFonts w:eastAsia="Times New Roman"/>
              </w:rPr>
              <w:t xml:space="preserve"> maintain a credible plan that includes</w:t>
            </w:r>
            <w:r w:rsidRPr="003B591C">
              <w:rPr>
                <w:rFonts w:eastAsia="Times New Roman"/>
              </w:rPr>
              <w:t>:</w:t>
            </w:r>
          </w:p>
          <w:p w14:paraId="5EF556BD" w14:textId="7ABD7658" w:rsidR="00196144" w:rsidRPr="003B591C" w:rsidRDefault="00B575F1" w:rsidP="003B7B48">
            <w:pPr>
              <w:pStyle w:val="BoxBullet"/>
              <w:jc w:val="both"/>
            </w:pPr>
            <w:r w:rsidRPr="003B591C">
              <w:t>actions that could be taken</w:t>
            </w:r>
            <w:r w:rsidR="00196144" w:rsidRPr="003B591C">
              <w:t xml:space="preserve"> to restore the financial resilience of the entity during or following </w:t>
            </w:r>
            <w:proofErr w:type="gramStart"/>
            <w:r w:rsidR="00196144" w:rsidRPr="003B591C">
              <w:t>stress;</w:t>
            </w:r>
            <w:proofErr w:type="gramEnd"/>
            <w:r w:rsidR="00196144" w:rsidRPr="003B591C">
              <w:t xml:space="preserve"> </w:t>
            </w:r>
          </w:p>
          <w:p w14:paraId="6257F2C3" w14:textId="51720B19" w:rsidR="00196144" w:rsidRPr="003B591C" w:rsidRDefault="00B575F1" w:rsidP="00196144">
            <w:pPr>
              <w:pStyle w:val="BoxBullet"/>
              <w:jc w:val="both"/>
            </w:pPr>
            <w:r w:rsidRPr="003B591C">
              <w:t xml:space="preserve">actions that could </w:t>
            </w:r>
            <w:proofErr w:type="spellStart"/>
            <w:proofErr w:type="gramStart"/>
            <w:r w:rsidRPr="003B591C">
              <w:t>effect</w:t>
            </w:r>
            <w:proofErr w:type="spellEnd"/>
            <w:proofErr w:type="gramEnd"/>
            <w:r w:rsidRPr="003B591C">
              <w:t xml:space="preserve"> an</w:t>
            </w:r>
            <w:r w:rsidR="000649AC" w:rsidRPr="003B591C">
              <w:t xml:space="preserve"> orderly exit from the industry, if recovery actions are not effective</w:t>
            </w:r>
            <w:r w:rsidR="00196144" w:rsidRPr="003B591C">
              <w:t>; and</w:t>
            </w:r>
          </w:p>
          <w:p w14:paraId="2E8E0E2D" w14:textId="43F35B29" w:rsidR="000649AC" w:rsidRPr="003B591C" w:rsidRDefault="000649AC" w:rsidP="003B7B48">
            <w:pPr>
              <w:pStyle w:val="BoxBullet"/>
              <w:jc w:val="both"/>
            </w:pPr>
            <w:r w:rsidRPr="003B591C">
              <w:t xml:space="preserve">indicators of potential stress </w:t>
            </w:r>
            <w:r w:rsidR="00B575F1" w:rsidRPr="003B591C">
              <w:t>to achieve timely and effective execution of</w:t>
            </w:r>
            <w:r w:rsidR="00481062">
              <w:t xml:space="preserve"> </w:t>
            </w:r>
            <w:r w:rsidR="00896F0A" w:rsidRPr="003B591C">
              <w:t>recovery or exit</w:t>
            </w:r>
            <w:r w:rsidR="00896F0A">
              <w:t xml:space="preserve"> </w:t>
            </w:r>
            <w:r w:rsidR="004532FE" w:rsidRPr="003B591C">
              <w:t xml:space="preserve">actions </w:t>
            </w:r>
            <w:r w:rsidRPr="003B591C">
              <w:t>if needed</w:t>
            </w:r>
            <w:r w:rsidR="00550C2C" w:rsidRPr="003B591C">
              <w:t>.</w:t>
            </w:r>
          </w:p>
        </w:tc>
      </w:tr>
    </w:tbl>
    <w:p w14:paraId="39B55834" w14:textId="77777777" w:rsidR="000649AC" w:rsidRPr="003B591C" w:rsidRDefault="000649AC" w:rsidP="000649AC">
      <w:pPr>
        <w:spacing w:after="0"/>
      </w:pPr>
    </w:p>
    <w:p w14:paraId="7D05A5CB" w14:textId="77777777" w:rsidR="000649AC" w:rsidRPr="003B591C" w:rsidRDefault="000649AC" w:rsidP="000649AC"/>
    <w:p w14:paraId="5CB653F5" w14:textId="77777777" w:rsidR="000649AC" w:rsidRPr="003B591C" w:rsidRDefault="000649AC" w:rsidP="000649AC">
      <w:pPr>
        <w:rPr>
          <w:rFonts w:asciiTheme="majorHAnsi" w:eastAsiaTheme="majorEastAsia" w:hAnsiTheme="majorHAnsi" w:cstheme="majorBidi"/>
          <w:b/>
          <w:szCs w:val="28"/>
        </w:rPr>
      </w:pPr>
      <w:bookmarkStart w:id="6" w:name="_Toc326676936"/>
      <w:bookmarkStart w:id="7" w:name="_Toc326756341"/>
      <w:bookmarkStart w:id="8" w:name="_Toc256519850"/>
      <w:r w:rsidRPr="003B591C">
        <w:br w:type="page"/>
      </w:r>
    </w:p>
    <w:p w14:paraId="44DD4245" w14:textId="57A23559" w:rsidR="000649AC" w:rsidRPr="003B591C" w:rsidRDefault="000649AC" w:rsidP="003B7B48">
      <w:pPr>
        <w:pStyle w:val="Heading1"/>
        <w:jc w:val="both"/>
      </w:pPr>
      <w:bookmarkStart w:id="9" w:name="_Toc314733116"/>
      <w:bookmarkStart w:id="10" w:name="_Toc341686774"/>
      <w:bookmarkStart w:id="11" w:name="_Toc89270408"/>
      <w:bookmarkEnd w:id="6"/>
      <w:bookmarkEnd w:id="7"/>
      <w:bookmarkEnd w:id="8"/>
      <w:r w:rsidRPr="003B591C">
        <w:lastRenderedPageBreak/>
        <w:t>Authority</w:t>
      </w:r>
      <w:bookmarkEnd w:id="9"/>
      <w:bookmarkEnd w:id="10"/>
      <w:bookmarkEnd w:id="11"/>
    </w:p>
    <w:p w14:paraId="7744206A" w14:textId="77777777" w:rsidR="000649AC" w:rsidRPr="003B591C" w:rsidRDefault="000649AC" w:rsidP="000649AC">
      <w:pPr>
        <w:pStyle w:val="BodyText1"/>
        <w:spacing w:after="240"/>
      </w:pPr>
      <w:bookmarkStart w:id="12" w:name="_Ref83204185"/>
      <w:bookmarkStart w:id="13" w:name="_Toc314733118"/>
      <w:bookmarkStart w:id="14" w:name="_Toc341686775"/>
      <w:r w:rsidRPr="003B591C">
        <w:t>This Prudential Standard is made under:</w:t>
      </w:r>
      <w:bookmarkEnd w:id="12"/>
    </w:p>
    <w:p w14:paraId="0B9C6A10" w14:textId="77777777" w:rsidR="000649AC" w:rsidRPr="003B591C" w:rsidRDefault="000649AC" w:rsidP="003B7B48">
      <w:pPr>
        <w:pStyle w:val="BodyText2"/>
        <w:jc w:val="both"/>
      </w:pPr>
      <w:r w:rsidRPr="003B591C">
        <w:t xml:space="preserve">section 11AF of the </w:t>
      </w:r>
      <w:r w:rsidRPr="003B591C">
        <w:rPr>
          <w:i/>
        </w:rPr>
        <w:t>Banking Act 1959</w:t>
      </w:r>
      <w:r w:rsidRPr="003B591C">
        <w:t xml:space="preserve"> (</w:t>
      </w:r>
      <w:r w:rsidRPr="003B591C">
        <w:rPr>
          <w:b/>
        </w:rPr>
        <w:t>Banking Act</w:t>
      </w:r>
      <w:proofErr w:type="gramStart"/>
      <w:r w:rsidRPr="003B591C">
        <w:t>);</w:t>
      </w:r>
      <w:proofErr w:type="gramEnd"/>
    </w:p>
    <w:p w14:paraId="0A9D9C7E" w14:textId="43453232" w:rsidR="000649AC" w:rsidRPr="003B591C" w:rsidRDefault="000649AC" w:rsidP="003B7B48">
      <w:pPr>
        <w:pStyle w:val="BodyText2"/>
        <w:jc w:val="both"/>
      </w:pPr>
      <w:r w:rsidRPr="003B591C">
        <w:t xml:space="preserve">section 32 of the </w:t>
      </w:r>
      <w:r w:rsidRPr="003B591C">
        <w:rPr>
          <w:i/>
        </w:rPr>
        <w:t>Insurance Act 1973</w:t>
      </w:r>
      <w:r w:rsidRPr="003B591C">
        <w:t xml:space="preserve"> (Insurance Act</w:t>
      </w:r>
      <w:proofErr w:type="gramStart"/>
      <w:r w:rsidRPr="003B591C">
        <w:t>);</w:t>
      </w:r>
      <w:proofErr w:type="gramEnd"/>
    </w:p>
    <w:p w14:paraId="5B89357C" w14:textId="77777777" w:rsidR="000649AC" w:rsidRPr="003B591C" w:rsidRDefault="000649AC" w:rsidP="003B7B48">
      <w:pPr>
        <w:pStyle w:val="BodyText2"/>
        <w:jc w:val="both"/>
      </w:pPr>
      <w:r w:rsidRPr="003B591C">
        <w:t xml:space="preserve">section 230A of the </w:t>
      </w:r>
      <w:r w:rsidRPr="003B591C">
        <w:rPr>
          <w:i/>
        </w:rPr>
        <w:t>Life Insurance Act 1995</w:t>
      </w:r>
      <w:r w:rsidRPr="003B591C">
        <w:t xml:space="preserve"> (Life Insurance Act</w:t>
      </w:r>
      <w:proofErr w:type="gramStart"/>
      <w:r w:rsidRPr="003B591C">
        <w:t>);</w:t>
      </w:r>
      <w:proofErr w:type="gramEnd"/>
      <w:r w:rsidRPr="003B591C">
        <w:t xml:space="preserve"> </w:t>
      </w:r>
    </w:p>
    <w:p w14:paraId="39D5BA3A" w14:textId="77777777" w:rsidR="000649AC" w:rsidRPr="003B591C" w:rsidRDefault="000649AC" w:rsidP="003B7B48">
      <w:pPr>
        <w:pStyle w:val="BodyText2"/>
        <w:jc w:val="both"/>
      </w:pPr>
      <w:r w:rsidRPr="003B591C">
        <w:t xml:space="preserve">section 92 of the </w:t>
      </w:r>
      <w:r w:rsidRPr="003B591C">
        <w:rPr>
          <w:i/>
        </w:rPr>
        <w:t>Private Health Insurance (Prudential Supervision) Act 2015</w:t>
      </w:r>
      <w:r w:rsidRPr="003B591C">
        <w:t xml:space="preserve"> (PHIPS Act); and</w:t>
      </w:r>
    </w:p>
    <w:p w14:paraId="5756174A" w14:textId="2A919EEA" w:rsidR="000649AC" w:rsidRPr="003B591C" w:rsidRDefault="000649AC" w:rsidP="003B7B48">
      <w:pPr>
        <w:pStyle w:val="BodyText2"/>
        <w:jc w:val="both"/>
      </w:pPr>
      <w:r w:rsidRPr="003B591C">
        <w:t xml:space="preserve">section 34C of the </w:t>
      </w:r>
      <w:r w:rsidRPr="003B591C">
        <w:rPr>
          <w:i/>
        </w:rPr>
        <w:t xml:space="preserve">Superannuation Industry (Supervision) Act 1993 </w:t>
      </w:r>
      <w:r w:rsidRPr="003B591C">
        <w:t>(SIS</w:t>
      </w:r>
      <w:r w:rsidR="000229E1" w:rsidRPr="003B591C">
        <w:t> </w:t>
      </w:r>
      <w:r w:rsidRPr="003B591C">
        <w:t xml:space="preserve">Act). </w:t>
      </w:r>
    </w:p>
    <w:p w14:paraId="1CC85205" w14:textId="69FD1992" w:rsidR="000649AC" w:rsidRPr="003B591C" w:rsidRDefault="000649AC" w:rsidP="003B7B48">
      <w:pPr>
        <w:pStyle w:val="Heading1"/>
        <w:jc w:val="both"/>
      </w:pPr>
      <w:bookmarkStart w:id="15" w:name="_Toc70496700"/>
      <w:bookmarkStart w:id="16" w:name="_Toc89270409"/>
      <w:bookmarkEnd w:id="13"/>
      <w:bookmarkEnd w:id="14"/>
      <w:r w:rsidRPr="003B591C">
        <w:t>Application</w:t>
      </w:r>
      <w:bookmarkEnd w:id="15"/>
      <w:r w:rsidR="00AB05E4" w:rsidRPr="003B591C">
        <w:t>,</w:t>
      </w:r>
      <w:r w:rsidR="008B69DE" w:rsidRPr="003B591C">
        <w:t xml:space="preserve"> </w:t>
      </w:r>
      <w:proofErr w:type="gramStart"/>
      <w:r w:rsidR="008B69DE" w:rsidRPr="003B591C">
        <w:t>definitions</w:t>
      </w:r>
      <w:bookmarkEnd w:id="16"/>
      <w:proofErr w:type="gramEnd"/>
      <w:r w:rsidR="00AB05E4" w:rsidRPr="003B591C">
        <w:t xml:space="preserve"> and commencement</w:t>
      </w:r>
    </w:p>
    <w:p w14:paraId="4BFF3F04" w14:textId="24107B04" w:rsidR="000649AC" w:rsidRPr="003B591C" w:rsidRDefault="00B442D3" w:rsidP="000649AC">
      <w:pPr>
        <w:pStyle w:val="BodyText1"/>
        <w:spacing w:after="240"/>
      </w:pPr>
      <w:r w:rsidRPr="003B591C">
        <w:t xml:space="preserve">Subject to paragraphs </w:t>
      </w:r>
      <w:r w:rsidRPr="003B591C">
        <w:fldChar w:fldCharType="begin"/>
      </w:r>
      <w:r w:rsidRPr="003B591C">
        <w:instrText xml:space="preserve"> REF _Ref86849059 \r \h </w:instrText>
      </w:r>
      <w:r w:rsidR="00154B41" w:rsidRPr="003B591C">
        <w:instrText xml:space="preserve"> \* MERGEFORMAT </w:instrText>
      </w:r>
      <w:r w:rsidRPr="003B591C">
        <w:fldChar w:fldCharType="separate"/>
      </w:r>
      <w:r w:rsidRPr="003B591C">
        <w:t>3</w:t>
      </w:r>
      <w:r w:rsidRPr="003B591C">
        <w:fldChar w:fldCharType="end"/>
      </w:r>
      <w:r w:rsidRPr="003B591C">
        <w:t xml:space="preserve"> and </w:t>
      </w:r>
      <w:r w:rsidRPr="003B591C">
        <w:fldChar w:fldCharType="begin"/>
      </w:r>
      <w:r w:rsidRPr="003B591C">
        <w:instrText xml:space="preserve"> REF _Ref86849061 \r \h </w:instrText>
      </w:r>
      <w:r w:rsidR="00FC0131" w:rsidRPr="003B591C">
        <w:instrText xml:space="preserve"> \* MERGEFORMAT </w:instrText>
      </w:r>
      <w:r w:rsidRPr="003B591C">
        <w:fldChar w:fldCharType="separate"/>
      </w:r>
      <w:r w:rsidRPr="003B591C">
        <w:t>4</w:t>
      </w:r>
      <w:r w:rsidRPr="003B591C">
        <w:fldChar w:fldCharType="end"/>
      </w:r>
      <w:r w:rsidRPr="003B591C">
        <w:t xml:space="preserve">, this </w:t>
      </w:r>
      <w:r w:rsidR="000649AC" w:rsidRPr="003B591C">
        <w:t xml:space="preserve">Prudential Standard applies to all APRA-regulated </w:t>
      </w:r>
      <w:r w:rsidR="00B54519" w:rsidRPr="003B591C">
        <w:t>entities</w:t>
      </w:r>
      <w:r w:rsidR="00AD2563" w:rsidRPr="003B591C">
        <w:t>,</w:t>
      </w:r>
      <w:r w:rsidR="00B54519" w:rsidRPr="003B591C">
        <w:t xml:space="preserve"> </w:t>
      </w:r>
      <w:r w:rsidR="000649AC" w:rsidRPr="003B591C">
        <w:t>defined as:</w:t>
      </w:r>
    </w:p>
    <w:p w14:paraId="1A2154F2" w14:textId="06EBBAEF" w:rsidR="000649AC" w:rsidRPr="003B591C" w:rsidRDefault="000649AC" w:rsidP="003B7B48">
      <w:pPr>
        <w:pStyle w:val="BodyText2"/>
        <w:jc w:val="both"/>
      </w:pPr>
      <w:r w:rsidRPr="003B591C">
        <w:rPr>
          <w:b/>
        </w:rPr>
        <w:t>authorised deposit-taking institutions</w:t>
      </w:r>
      <w:r w:rsidRPr="003B591C">
        <w:t xml:space="preserve"> (</w:t>
      </w:r>
      <w:r w:rsidRPr="003B591C">
        <w:rPr>
          <w:b/>
        </w:rPr>
        <w:t>ADIs</w:t>
      </w:r>
      <w:r w:rsidRPr="003B591C">
        <w:t>)</w:t>
      </w:r>
      <w:r w:rsidR="00B54519" w:rsidRPr="003B591C">
        <w:t xml:space="preserve"> </w:t>
      </w:r>
      <w:r w:rsidRPr="003B591C">
        <w:t xml:space="preserve">and </w:t>
      </w:r>
      <w:r w:rsidRPr="003B591C">
        <w:rPr>
          <w:b/>
        </w:rPr>
        <w:t>non-operating holding companies</w:t>
      </w:r>
      <w:r w:rsidRPr="003B591C">
        <w:t xml:space="preserve"> authorised under the Banking Act (authorised banking NOHCs)</w:t>
      </w:r>
      <w:r w:rsidR="006E1203" w:rsidRPr="003B591C">
        <w:t>, but excluding</w:t>
      </w:r>
      <w:r w:rsidR="002E1B4B" w:rsidRPr="003B591C">
        <w:t xml:space="preserve"> </w:t>
      </w:r>
      <w:r w:rsidR="006E1203" w:rsidRPr="003B591C">
        <w:rPr>
          <w:b/>
        </w:rPr>
        <w:t xml:space="preserve">purchased payment facility </w:t>
      </w:r>
      <w:proofErr w:type="gramStart"/>
      <w:r w:rsidR="006E1203" w:rsidRPr="003B591C">
        <w:rPr>
          <w:b/>
        </w:rPr>
        <w:t>providers</w:t>
      </w:r>
      <w:r w:rsidRPr="003B591C">
        <w:t>;</w:t>
      </w:r>
      <w:proofErr w:type="gramEnd"/>
      <w:r w:rsidR="000D7F17" w:rsidRPr="003B591C">
        <w:t xml:space="preserve"> </w:t>
      </w:r>
    </w:p>
    <w:p w14:paraId="0BC48F40" w14:textId="4CD65C33" w:rsidR="000649AC" w:rsidRPr="003B591C" w:rsidRDefault="000649AC" w:rsidP="003B7B48">
      <w:pPr>
        <w:pStyle w:val="BodyText2"/>
        <w:jc w:val="both"/>
      </w:pPr>
      <w:r w:rsidRPr="003B591C">
        <w:rPr>
          <w:b/>
        </w:rPr>
        <w:t>general insurers</w:t>
      </w:r>
      <w:r w:rsidRPr="003B591C">
        <w:t xml:space="preserve">, including </w:t>
      </w:r>
      <w:r w:rsidRPr="003B591C">
        <w:rPr>
          <w:b/>
        </w:rPr>
        <w:t>Category C insurers</w:t>
      </w:r>
      <w:r w:rsidRPr="003B591C">
        <w:t>, non-operating holding companies authorised under the Insurance Act (authorised insurance NOHCs)</w:t>
      </w:r>
      <w:r w:rsidR="00C9513D" w:rsidRPr="003B591C">
        <w:t>,</w:t>
      </w:r>
      <w:r w:rsidRPr="003B591C">
        <w:t xml:space="preserve"> and </w:t>
      </w:r>
      <w:r w:rsidRPr="003B591C">
        <w:rPr>
          <w:b/>
        </w:rPr>
        <w:t>parent entities</w:t>
      </w:r>
      <w:r w:rsidRPr="003B591C">
        <w:t xml:space="preserve"> of </w:t>
      </w:r>
      <w:r w:rsidRPr="003B591C">
        <w:rPr>
          <w:b/>
        </w:rPr>
        <w:t xml:space="preserve">Level 2 insurance </w:t>
      </w:r>
      <w:proofErr w:type="gramStart"/>
      <w:r w:rsidRPr="003B591C">
        <w:rPr>
          <w:b/>
        </w:rPr>
        <w:t>groups</w:t>
      </w:r>
      <w:r w:rsidRPr="003B591C">
        <w:t>;</w:t>
      </w:r>
      <w:proofErr w:type="gramEnd"/>
      <w:r w:rsidRPr="003B591C">
        <w:t xml:space="preserve">  </w:t>
      </w:r>
    </w:p>
    <w:p w14:paraId="0EB83ABB" w14:textId="7ACFBD11" w:rsidR="000649AC" w:rsidRPr="003B591C" w:rsidRDefault="000649AC" w:rsidP="003B7B48">
      <w:pPr>
        <w:pStyle w:val="BodyText2"/>
        <w:jc w:val="both"/>
      </w:pPr>
      <w:r w:rsidRPr="003B591C">
        <w:rPr>
          <w:b/>
        </w:rPr>
        <w:t>life companies</w:t>
      </w:r>
      <w:r w:rsidRPr="003B591C">
        <w:t xml:space="preserve">, including </w:t>
      </w:r>
      <w:r w:rsidRPr="003B591C">
        <w:rPr>
          <w:b/>
        </w:rPr>
        <w:t>friendly societies</w:t>
      </w:r>
      <w:r w:rsidRPr="003B591C">
        <w:t xml:space="preserve"> and </w:t>
      </w:r>
      <w:r w:rsidRPr="003B591C">
        <w:rPr>
          <w:b/>
        </w:rPr>
        <w:t>eligible foreign life insurance companies</w:t>
      </w:r>
      <w:r w:rsidRPr="003B591C">
        <w:t xml:space="preserve"> (EFLICs), and </w:t>
      </w:r>
      <w:r w:rsidR="00FD1AAA" w:rsidRPr="001B07D9" w:rsidDel="008E6E2A">
        <w:rPr>
          <w:b/>
        </w:rPr>
        <w:t xml:space="preserve">registered </w:t>
      </w:r>
      <w:proofErr w:type="gramStart"/>
      <w:r w:rsidR="007D258E" w:rsidRPr="001B07D9">
        <w:rPr>
          <w:b/>
        </w:rPr>
        <w:t>NOHC</w:t>
      </w:r>
      <w:r w:rsidR="00530345" w:rsidRPr="001B07D9">
        <w:rPr>
          <w:b/>
        </w:rPr>
        <w:t>s</w:t>
      </w:r>
      <w:r w:rsidRPr="003B591C">
        <w:t>;</w:t>
      </w:r>
      <w:proofErr w:type="gramEnd"/>
    </w:p>
    <w:p w14:paraId="4CB1DF6A" w14:textId="678F018F" w:rsidR="000649AC" w:rsidRPr="003B591C" w:rsidRDefault="000649AC" w:rsidP="003B7B48">
      <w:pPr>
        <w:pStyle w:val="BodyText2"/>
        <w:jc w:val="both"/>
      </w:pPr>
      <w:r w:rsidRPr="003B591C">
        <w:rPr>
          <w:b/>
        </w:rPr>
        <w:t>private health insurers</w:t>
      </w:r>
      <w:r w:rsidRPr="003B591C">
        <w:t>; and</w:t>
      </w:r>
    </w:p>
    <w:p w14:paraId="5ED4CA49" w14:textId="402C2EDB" w:rsidR="000649AC" w:rsidRPr="003B591C" w:rsidRDefault="000649AC" w:rsidP="003B7B48">
      <w:pPr>
        <w:pStyle w:val="BodyText2"/>
        <w:jc w:val="both"/>
      </w:pPr>
      <w:r w:rsidRPr="003B591C" w:rsidDel="005C3AC5">
        <w:t xml:space="preserve">RSE </w:t>
      </w:r>
      <w:r w:rsidRPr="003B591C">
        <w:t>licensees under the SIS Act in respect of their business operations.</w:t>
      </w:r>
      <w:r w:rsidRPr="003B591C">
        <w:rPr>
          <w:rStyle w:val="FootnoteReference"/>
        </w:rPr>
        <w:footnoteReference w:id="2"/>
      </w:r>
    </w:p>
    <w:p w14:paraId="24613820" w14:textId="6BDCD479" w:rsidR="000649AC" w:rsidRPr="003B591C" w:rsidRDefault="000649AC" w:rsidP="000649AC">
      <w:pPr>
        <w:pStyle w:val="BodyText1"/>
        <w:spacing w:after="240"/>
      </w:pPr>
      <w:bookmarkStart w:id="17" w:name="_Ref86849059"/>
      <w:bookmarkStart w:id="18" w:name="_Hlk133844539"/>
      <w:r w:rsidRPr="003B591C">
        <w:t>The obligations imposed by this Prudential Standard on, or in relation to, a Category C insurer or an EFLIC apply only in relation to the Australian branch operations of that entity.</w:t>
      </w:r>
      <w:bookmarkEnd w:id="17"/>
      <w:r w:rsidR="005C6495" w:rsidRPr="003B591C">
        <w:t xml:space="preserve"> </w:t>
      </w:r>
      <w:bookmarkStart w:id="19" w:name="_Hlk119943409"/>
      <w:r w:rsidR="003E570F" w:rsidRPr="003B591C">
        <w:t xml:space="preserve">This Prudential Standard does not apply to a </w:t>
      </w:r>
      <w:r w:rsidR="003E570F" w:rsidRPr="00093098">
        <w:rPr>
          <w:b/>
        </w:rPr>
        <w:t>foreign ADI</w:t>
      </w:r>
      <w:r w:rsidR="003E570F" w:rsidRPr="003B591C">
        <w:t xml:space="preserve"> unless APRA determines that all or part of this Prudential Standard applies to the Australian branch operations of the foreign ADI.</w:t>
      </w:r>
      <w:bookmarkEnd w:id="19"/>
      <w:r w:rsidR="004428DA">
        <w:rPr>
          <w:rStyle w:val="FootnoteReference"/>
        </w:rPr>
        <w:footnoteReference w:id="3"/>
      </w:r>
    </w:p>
    <w:p w14:paraId="22E6853E" w14:textId="0A578228" w:rsidR="00A2783C" w:rsidRPr="00A2783C" w:rsidRDefault="00A1026D" w:rsidP="0044108F">
      <w:pPr>
        <w:pStyle w:val="BodyText1"/>
      </w:pPr>
      <w:bookmarkStart w:id="21" w:name="_Ref86849061"/>
      <w:bookmarkEnd w:id="18"/>
      <w:r w:rsidRPr="003B591C">
        <w:t>For the purposes of this Prudential Standard, an APRA-regulated entity</w:t>
      </w:r>
      <w:r w:rsidR="00EC1592" w:rsidRPr="003B591C">
        <w:t xml:space="preserve"> </w:t>
      </w:r>
      <w:r w:rsidRPr="003B591C">
        <w:t xml:space="preserve">is either a </w:t>
      </w:r>
      <w:r w:rsidRPr="00A2783C">
        <w:rPr>
          <w:b/>
        </w:rPr>
        <w:t>significant financial institution</w:t>
      </w:r>
      <w:r w:rsidRPr="003B591C">
        <w:t xml:space="preserve"> </w:t>
      </w:r>
      <w:r w:rsidR="00562748" w:rsidRPr="003B591C">
        <w:t xml:space="preserve">(SFI) </w:t>
      </w:r>
      <w:r w:rsidRPr="003B591C">
        <w:t xml:space="preserve">or a </w:t>
      </w:r>
      <w:r w:rsidRPr="00A2783C">
        <w:rPr>
          <w:b/>
        </w:rPr>
        <w:t>non-significant financial institution</w:t>
      </w:r>
      <w:r w:rsidRPr="003B591C">
        <w:t xml:space="preserve"> (non-SFI).</w:t>
      </w:r>
      <w:r w:rsidR="00DE48AA" w:rsidRPr="003B591C">
        <w:t xml:space="preserve"> </w:t>
      </w:r>
      <w:r w:rsidR="00AB05E4" w:rsidRPr="003B591C">
        <w:t>Unless APRA determines otherwise in a particular case,</w:t>
      </w:r>
      <w:r w:rsidR="000B05EB" w:rsidRPr="003B591C">
        <w:rPr>
          <w:rStyle w:val="FootnoteReference"/>
        </w:rPr>
        <w:footnoteReference w:id="4"/>
      </w:r>
      <w:r w:rsidR="00AB05E4" w:rsidRPr="003B591C">
        <w:t xml:space="preserve"> </w:t>
      </w:r>
      <w:r w:rsidR="00AB05E4" w:rsidRPr="003B591C">
        <w:lastRenderedPageBreak/>
        <w:t>t</w:t>
      </w:r>
      <w:r w:rsidR="00DE48AA" w:rsidRPr="003B591C">
        <w:t>he requirements of this Prudential Standard apply to</w:t>
      </w:r>
      <w:r w:rsidR="009C7E4F">
        <w:t xml:space="preserve"> </w:t>
      </w:r>
      <w:r w:rsidR="00DE48AA" w:rsidRPr="003B591C">
        <w:t>SFIs and non-SFIs</w:t>
      </w:r>
      <w:r w:rsidR="00AB05E4" w:rsidRPr="003B591C">
        <w:t xml:space="preserve"> as indicated</w:t>
      </w:r>
      <w:r w:rsidR="00DE48AA" w:rsidRPr="003B591C">
        <w:t>.</w:t>
      </w:r>
      <w:r w:rsidR="00A2783C">
        <w:t xml:space="preserve"> </w:t>
      </w:r>
    </w:p>
    <w:bookmarkEnd w:id="21"/>
    <w:p w14:paraId="42D8D223" w14:textId="2683D4F2" w:rsidR="007D1DB5" w:rsidRPr="003B591C" w:rsidRDefault="007D1DB5" w:rsidP="00301ECC">
      <w:pPr>
        <w:pStyle w:val="BodyText1"/>
        <w:spacing w:after="240"/>
      </w:pPr>
      <w:r w:rsidRPr="003B591C">
        <w:t xml:space="preserve">For the purposes of this </w:t>
      </w:r>
      <w:r w:rsidR="00CE5126" w:rsidRPr="003B591C">
        <w:t>P</w:t>
      </w:r>
      <w:r w:rsidRPr="003B591C">
        <w:t xml:space="preserve">rudential </w:t>
      </w:r>
      <w:r w:rsidR="00CE5126" w:rsidRPr="003B591C">
        <w:t>S</w:t>
      </w:r>
      <w:r w:rsidRPr="003B591C">
        <w:t>tandard, a</w:t>
      </w:r>
      <w:r w:rsidR="000133D6" w:rsidRPr="003B591C">
        <w:t>n</w:t>
      </w:r>
      <w:r w:rsidRPr="003B591C">
        <w:t xml:space="preserve"> SFI </w:t>
      </w:r>
      <w:r w:rsidR="006B78E2" w:rsidRPr="003B591C">
        <w:t>mean</w:t>
      </w:r>
      <w:r w:rsidR="00B821A3" w:rsidRPr="003B591C">
        <w:t>s</w:t>
      </w:r>
      <w:r w:rsidR="006B78E2" w:rsidRPr="003B591C">
        <w:t xml:space="preserve">, in relation to RSE licensees, </w:t>
      </w:r>
      <w:r w:rsidRPr="003B591C">
        <w:t xml:space="preserve">an </w:t>
      </w:r>
      <w:r w:rsidR="006B78E2" w:rsidRPr="003B591C">
        <w:t>RSE licensee</w:t>
      </w:r>
      <w:r w:rsidRPr="003B591C">
        <w:t xml:space="preserve"> that either: </w:t>
      </w:r>
    </w:p>
    <w:p w14:paraId="1302651B" w14:textId="12526C75" w:rsidR="007D1DB5" w:rsidRPr="003B591C" w:rsidRDefault="006B78E2" w:rsidP="00301ECC">
      <w:pPr>
        <w:pStyle w:val="BodyText2"/>
      </w:pPr>
      <w:r>
        <w:t xml:space="preserve">has total assets </w:t>
      </w:r>
      <w:proofErr w:type="gramStart"/>
      <w:r>
        <w:t>in excess of</w:t>
      </w:r>
      <w:proofErr w:type="gramEnd"/>
      <w:r>
        <w:t xml:space="preserve"> AUD $30 billion in the case of a single RSE operated by an RSE licensee, or if the RSE licensee operates more than one RSE</w:t>
      </w:r>
      <w:r w:rsidR="002A0315">
        <w:t>,</w:t>
      </w:r>
      <w:r>
        <w:t xml:space="preserve"> where the combined total assets of all RSEs exceed this amount; or</w:t>
      </w:r>
      <w:r w:rsidR="007D1DB5">
        <w:t xml:space="preserve"> </w:t>
      </w:r>
    </w:p>
    <w:p w14:paraId="55220BD1" w14:textId="6692748E" w:rsidR="004C0C6A" w:rsidRPr="003B591C" w:rsidRDefault="00B821A3" w:rsidP="00301ECC">
      <w:pPr>
        <w:pStyle w:val="BodyText2"/>
      </w:pPr>
      <w:r w:rsidRPr="003B591C">
        <w:t xml:space="preserve">is </w:t>
      </w:r>
      <w:r w:rsidR="00FC048A" w:rsidRPr="003B591C">
        <w:t>determined as such by APRA, having regard to matters such as complexity in its operations or its membership of a group</w:t>
      </w:r>
      <w:r w:rsidR="004C0C6A" w:rsidRPr="003B591C">
        <w:t>.</w:t>
      </w:r>
    </w:p>
    <w:p w14:paraId="58A5961F" w14:textId="4925DDF1" w:rsidR="00AB05E4" w:rsidRPr="003B591C" w:rsidRDefault="00AB05E4" w:rsidP="00AB05E4">
      <w:pPr>
        <w:pStyle w:val="BodyText2"/>
        <w:numPr>
          <w:ilvl w:val="0"/>
          <w:numId w:val="0"/>
        </w:numPr>
        <w:ind w:left="567"/>
      </w:pPr>
      <w:r w:rsidRPr="003B591C">
        <w:t>A non-SFI means</w:t>
      </w:r>
      <w:r w:rsidR="0036451F" w:rsidRPr="003B591C">
        <w:t>, in relation to RSE licensees,</w:t>
      </w:r>
      <w:r w:rsidRPr="003B591C">
        <w:t xml:space="preserve"> an </w:t>
      </w:r>
      <w:r w:rsidR="0036451F" w:rsidRPr="003B591C">
        <w:t xml:space="preserve">RSE licensee </w:t>
      </w:r>
      <w:r w:rsidRPr="003B591C">
        <w:t>that is not an SFI.</w:t>
      </w:r>
      <w:r w:rsidR="00303C06" w:rsidRPr="003B591C">
        <w:rPr>
          <w:rStyle w:val="FootnoteReference"/>
        </w:rPr>
        <w:footnoteReference w:id="5"/>
      </w:r>
    </w:p>
    <w:p w14:paraId="40B2E2CA" w14:textId="7A139E45" w:rsidR="000649AC" w:rsidRPr="003B591C" w:rsidRDefault="000649AC" w:rsidP="007D1DB5">
      <w:pPr>
        <w:pStyle w:val="BodyText1"/>
        <w:spacing w:after="240"/>
      </w:pPr>
      <w:r w:rsidRPr="003B591C">
        <w:t xml:space="preserve">Where an APRA-regulated </w:t>
      </w:r>
      <w:r w:rsidR="00354219" w:rsidRPr="003B591C">
        <w:t xml:space="preserve">entity </w:t>
      </w:r>
      <w:r w:rsidRPr="003B591C">
        <w:t>is the Head of a group</w:t>
      </w:r>
      <w:r w:rsidR="003E3C04">
        <w:t>,</w:t>
      </w:r>
      <w:r w:rsidR="007C1788" w:rsidRPr="003B591C">
        <w:rPr>
          <w:rStyle w:val="FootnoteReference"/>
        </w:rPr>
        <w:footnoteReference w:id="6"/>
      </w:r>
      <w:r w:rsidRPr="003B591C">
        <w:t xml:space="preserve"> it must comply with</w:t>
      </w:r>
      <w:r w:rsidR="008E3D2C" w:rsidRPr="003B591C">
        <w:t xml:space="preserve"> an applicable </w:t>
      </w:r>
      <w:r w:rsidRPr="003B591C">
        <w:t xml:space="preserve">requirement of this Prudential Standard: </w:t>
      </w:r>
    </w:p>
    <w:p w14:paraId="29B33DF2" w14:textId="5446C7A2" w:rsidR="000649AC" w:rsidRPr="003B591C" w:rsidRDefault="000649AC" w:rsidP="003B7B48">
      <w:pPr>
        <w:pStyle w:val="BodyText2"/>
        <w:jc w:val="both"/>
      </w:pPr>
      <w:r w:rsidRPr="003B591C">
        <w:t xml:space="preserve">in its capacity as an APRA-regulated </w:t>
      </w:r>
      <w:proofErr w:type="gramStart"/>
      <w:r w:rsidR="00354219" w:rsidRPr="003B591C">
        <w:t>entity</w:t>
      </w:r>
      <w:r w:rsidRPr="003B591C">
        <w:t>;</w:t>
      </w:r>
      <w:proofErr w:type="gramEnd"/>
    </w:p>
    <w:p w14:paraId="5C5C293B" w14:textId="6BDF2932" w:rsidR="000649AC" w:rsidRPr="003B591C" w:rsidRDefault="000649AC" w:rsidP="003B7B48">
      <w:pPr>
        <w:pStyle w:val="BodyText2"/>
        <w:jc w:val="both"/>
      </w:pPr>
      <w:r w:rsidRPr="003B591C">
        <w:t>by ensuring that the requirement is applied appropriately throughout the group,</w:t>
      </w:r>
      <w:r w:rsidR="00A94475" w:rsidRPr="003B591C">
        <w:rPr>
          <w:rStyle w:val="FootnoteReference"/>
        </w:rPr>
        <w:footnoteReference w:id="7"/>
      </w:r>
      <w:r w:rsidRPr="003B591C">
        <w:t xml:space="preserve"> including in relation to entities that are not APRA-regulated; and</w:t>
      </w:r>
    </w:p>
    <w:p w14:paraId="56A69EBD" w14:textId="4296C3CE" w:rsidR="000649AC" w:rsidRPr="003B591C" w:rsidRDefault="000649AC" w:rsidP="003B7B48">
      <w:pPr>
        <w:pStyle w:val="BodyText2"/>
        <w:jc w:val="both"/>
      </w:pPr>
      <w:r w:rsidRPr="003B591C">
        <w:t>on a group basis.</w:t>
      </w:r>
    </w:p>
    <w:p w14:paraId="24D9F798" w14:textId="77777777" w:rsidR="007D37F0" w:rsidRPr="003B591C" w:rsidRDefault="007D37F0" w:rsidP="007D37F0">
      <w:pPr>
        <w:pStyle w:val="BodyText1"/>
      </w:pPr>
      <w:r w:rsidRPr="003B591C">
        <w:t>In applying the requirements of this Prudential Standard on a group basis, references to an ‘APRA-regulated entity’ must be read as ‘Head of a group’ and references to ‘entity’ must be read as ‘group’.</w:t>
      </w:r>
    </w:p>
    <w:p w14:paraId="13AE46AF" w14:textId="349A9DE4" w:rsidR="00354219" w:rsidRPr="003B591C" w:rsidRDefault="000649AC" w:rsidP="000649AC">
      <w:pPr>
        <w:pStyle w:val="BodyText1"/>
        <w:spacing w:after="240"/>
      </w:pPr>
      <w:r w:rsidRPr="003B591C">
        <w:t xml:space="preserve">This Prudential Standard </w:t>
      </w:r>
      <w:r w:rsidR="00CC268F" w:rsidRPr="003B591C">
        <w:t>applies</w:t>
      </w:r>
      <w:r w:rsidR="00AB05E4" w:rsidRPr="003B591C">
        <w:t xml:space="preserve"> to</w:t>
      </w:r>
      <w:r w:rsidR="00354219" w:rsidRPr="003B591C">
        <w:t>:</w:t>
      </w:r>
      <w:r w:rsidRPr="003B591C">
        <w:t xml:space="preserve"> </w:t>
      </w:r>
    </w:p>
    <w:p w14:paraId="3C2E8370" w14:textId="545BDB22" w:rsidR="004D547F" w:rsidRPr="003B591C" w:rsidRDefault="004D547F" w:rsidP="003B7B48">
      <w:pPr>
        <w:pStyle w:val="BodyText2"/>
        <w:jc w:val="both"/>
      </w:pPr>
      <w:r w:rsidRPr="003B591C">
        <w:t>an APRA-regulated entity</w:t>
      </w:r>
      <w:r w:rsidR="00E6034E" w:rsidRPr="003B591C">
        <w:t>,</w:t>
      </w:r>
      <w:r w:rsidRPr="003B591C">
        <w:t xml:space="preserve"> </w:t>
      </w:r>
      <w:r w:rsidR="00AB05E4" w:rsidRPr="003B591C">
        <w:t>other than</w:t>
      </w:r>
      <w:r w:rsidRPr="003B591C">
        <w:t xml:space="preserve"> an RSE licensee</w:t>
      </w:r>
      <w:r w:rsidR="00E6034E" w:rsidRPr="003B591C">
        <w:t>,</w:t>
      </w:r>
      <w:r w:rsidRPr="003B591C">
        <w:t xml:space="preserve"> on 1 January 2024; and</w:t>
      </w:r>
    </w:p>
    <w:p w14:paraId="39359792" w14:textId="44034208" w:rsidR="004D547F" w:rsidRPr="003B591C" w:rsidRDefault="004D547F" w:rsidP="003B7B48">
      <w:pPr>
        <w:pStyle w:val="BodyText2"/>
        <w:jc w:val="both"/>
      </w:pPr>
      <w:r w:rsidRPr="003B591C">
        <w:lastRenderedPageBreak/>
        <w:t xml:space="preserve">an </w:t>
      </w:r>
      <w:bookmarkStart w:id="23" w:name="_Hlk111626769"/>
      <w:r w:rsidRPr="003B591C">
        <w:t>RSE licensee on 1 January 2025</w:t>
      </w:r>
      <w:bookmarkEnd w:id="23"/>
      <w:r w:rsidRPr="003B591C">
        <w:t>.</w:t>
      </w:r>
    </w:p>
    <w:p w14:paraId="4AA8043D" w14:textId="6C93D408" w:rsidR="000649AC" w:rsidRPr="003B591C" w:rsidRDefault="000649AC" w:rsidP="000649AC">
      <w:pPr>
        <w:pStyle w:val="Heading1"/>
      </w:pPr>
      <w:bookmarkStart w:id="24" w:name="_Toc70496701"/>
      <w:bookmarkStart w:id="25" w:name="_Toc89270410"/>
      <w:r w:rsidRPr="003B591C">
        <w:t>Interpretation</w:t>
      </w:r>
      <w:bookmarkEnd w:id="24"/>
      <w:bookmarkEnd w:id="25"/>
    </w:p>
    <w:p w14:paraId="2AB76689" w14:textId="45D5ECA2" w:rsidR="000649AC" w:rsidRPr="003B591C" w:rsidRDefault="000649AC" w:rsidP="000649AC">
      <w:pPr>
        <w:pStyle w:val="BodyText1"/>
        <w:spacing w:after="240"/>
      </w:pPr>
      <w:r w:rsidRPr="003B591C">
        <w:t xml:space="preserve">Terms that are defined in </w:t>
      </w:r>
      <w:r w:rsidRPr="003B591C">
        <w:rPr>
          <w:i/>
        </w:rPr>
        <w:t>Prudential Standard 3PS 001 Definitions</w:t>
      </w:r>
      <w:r w:rsidR="009232D5" w:rsidRPr="003B591C">
        <w:t xml:space="preserve"> (3PS 001)</w:t>
      </w:r>
      <w:r w:rsidRPr="003B591C">
        <w:rPr>
          <w:i/>
        </w:rPr>
        <w:t xml:space="preserve">, Prudential Standard </w:t>
      </w:r>
      <w:bookmarkStart w:id="26" w:name="_Hlk111675838"/>
      <w:r w:rsidRPr="003B591C">
        <w:rPr>
          <w:i/>
        </w:rPr>
        <w:t>APS 001 Definitions</w:t>
      </w:r>
      <w:r w:rsidRPr="003B591C">
        <w:t xml:space="preserve"> (APS</w:t>
      </w:r>
      <w:r w:rsidR="00F57164" w:rsidRPr="003B591C">
        <w:t> </w:t>
      </w:r>
      <w:r w:rsidRPr="003B591C">
        <w:t xml:space="preserve">001), </w:t>
      </w:r>
      <w:r w:rsidRPr="003B591C">
        <w:rPr>
          <w:i/>
        </w:rPr>
        <w:t>Prudential Standard GPS</w:t>
      </w:r>
      <w:r w:rsidR="000505E1" w:rsidRPr="003B591C">
        <w:rPr>
          <w:i/>
        </w:rPr>
        <w:t> </w:t>
      </w:r>
      <w:r w:rsidRPr="003B591C">
        <w:rPr>
          <w:i/>
        </w:rPr>
        <w:t>001 Definitions</w:t>
      </w:r>
      <w:r w:rsidRPr="003B591C">
        <w:t xml:space="preserve"> (GPS 001), </w:t>
      </w:r>
      <w:r w:rsidRPr="003B591C">
        <w:rPr>
          <w:i/>
        </w:rPr>
        <w:t>Prudential Standard LPS 001 Definitions</w:t>
      </w:r>
      <w:r w:rsidRPr="003B591C">
        <w:t xml:space="preserve"> (LPS</w:t>
      </w:r>
      <w:r w:rsidR="00F57164" w:rsidRPr="003B591C">
        <w:t> </w:t>
      </w:r>
      <w:r w:rsidRPr="003B591C">
        <w:t xml:space="preserve">001) or </w:t>
      </w:r>
      <w:r w:rsidRPr="003B591C">
        <w:rPr>
          <w:i/>
        </w:rPr>
        <w:t>Prudential Standard HPS 001 Definitions</w:t>
      </w:r>
      <w:r w:rsidRPr="003B591C">
        <w:t xml:space="preserve"> (HPS</w:t>
      </w:r>
      <w:r w:rsidR="00F57164" w:rsidRPr="003B591C">
        <w:t> </w:t>
      </w:r>
      <w:r w:rsidRPr="003B591C">
        <w:t xml:space="preserve">001) </w:t>
      </w:r>
      <w:bookmarkEnd w:id="26"/>
      <w:r w:rsidRPr="003B591C">
        <w:t>appear in bold the first time they are used in this Prudential Standard.</w:t>
      </w:r>
    </w:p>
    <w:p w14:paraId="74F1C599" w14:textId="73F91807" w:rsidR="000649AC" w:rsidRPr="003B591C" w:rsidRDefault="000649AC" w:rsidP="00C231D7">
      <w:pPr>
        <w:pStyle w:val="BodyText1"/>
        <w:rPr>
          <w:color w:val="000000"/>
          <w:sz w:val="14"/>
          <w:szCs w:val="14"/>
        </w:rPr>
      </w:pPr>
      <w:r w:rsidRPr="003B591C">
        <w:t>In this Prudential Standard, unless the contrary intention appears, a reference to an Act, Regulations or Prudential Standard is a reference to the Act, Regulations or Prudential Standard as in force from time to time.</w:t>
      </w:r>
      <w:bookmarkStart w:id="27" w:name="_Ref333998292"/>
    </w:p>
    <w:p w14:paraId="02CAAAF1" w14:textId="77777777" w:rsidR="00C10BE9" w:rsidRPr="003B591C" w:rsidRDefault="00C10BE9" w:rsidP="00C10BE9">
      <w:pPr>
        <w:pStyle w:val="BodyText1"/>
        <w:spacing w:after="240"/>
      </w:pPr>
      <w:r w:rsidRPr="003B591C">
        <w:t xml:space="preserve">Where this Prudential Standard provides for APRA to exercise a power or discretion, the power or discretion is to be exercised in writing. </w:t>
      </w:r>
    </w:p>
    <w:p w14:paraId="674D43F6" w14:textId="6B23FE58" w:rsidR="000649AC" w:rsidRPr="003B591C" w:rsidRDefault="000649AC" w:rsidP="000649AC">
      <w:pPr>
        <w:pStyle w:val="Heading1"/>
      </w:pPr>
      <w:bookmarkStart w:id="28" w:name="_Toc89270411"/>
      <w:bookmarkEnd w:id="27"/>
      <w:r w:rsidRPr="003B591C">
        <w:t>Adjustments and exclusions</w:t>
      </w:r>
      <w:bookmarkEnd w:id="28"/>
    </w:p>
    <w:p w14:paraId="7B401DE4" w14:textId="60A81C26" w:rsidR="00CD1505" w:rsidRPr="003B591C" w:rsidRDefault="000649AC" w:rsidP="00CD1505">
      <w:pPr>
        <w:pStyle w:val="BodyText1"/>
      </w:pPr>
      <w:bookmarkStart w:id="29" w:name="_Ref83204221"/>
      <w:r w:rsidRPr="003B591C">
        <w:t xml:space="preserve">APRA may adjust or exclude a specific requirement in this Prudential Standard in relation to an APRA-regulated </w:t>
      </w:r>
      <w:r w:rsidR="00772C52" w:rsidRPr="003B591C">
        <w:t>entity</w:t>
      </w:r>
      <w:r w:rsidRPr="003B591C">
        <w:t>.</w:t>
      </w:r>
      <w:bookmarkEnd w:id="29"/>
    </w:p>
    <w:p w14:paraId="7D981185" w14:textId="0C0DDB23" w:rsidR="00093F29" w:rsidRPr="003B591C" w:rsidRDefault="003B591C" w:rsidP="00CD1505">
      <w:pPr>
        <w:pStyle w:val="Heading1"/>
      </w:pPr>
      <w:bookmarkStart w:id="30" w:name="_Toc88077119"/>
      <w:bookmarkStart w:id="31" w:name="_Toc89270413"/>
      <w:bookmarkStart w:id="32" w:name="_Toc77964700"/>
      <w:r w:rsidRPr="003B591C">
        <w:t xml:space="preserve">Recovery and </w:t>
      </w:r>
      <w:r w:rsidR="00B43586">
        <w:t>e</w:t>
      </w:r>
      <w:r w:rsidRPr="003B591C">
        <w:t xml:space="preserve">xit </w:t>
      </w:r>
      <w:bookmarkEnd w:id="30"/>
      <w:bookmarkEnd w:id="31"/>
      <w:proofErr w:type="gramStart"/>
      <w:r w:rsidR="00C92C9D">
        <w:t>p</w:t>
      </w:r>
      <w:r w:rsidR="00C92C9D" w:rsidRPr="003B591C">
        <w:t>lanning</w:t>
      </w:r>
      <w:proofErr w:type="gramEnd"/>
    </w:p>
    <w:p w14:paraId="7482F4F6" w14:textId="6DCA9637" w:rsidR="00093F29" w:rsidRPr="003B591C" w:rsidRDefault="00093F29" w:rsidP="00093F29">
      <w:pPr>
        <w:pStyle w:val="BodyText1"/>
      </w:pPr>
      <w:bookmarkStart w:id="33" w:name="_Ref82593749"/>
      <w:bookmarkStart w:id="34" w:name="_Hlk83300515"/>
      <w:bookmarkStart w:id="35" w:name="_Ref77067239"/>
      <w:r w:rsidRPr="003B591C">
        <w:t xml:space="preserve">An APRA-regulated entity </w:t>
      </w:r>
      <w:bookmarkStart w:id="36" w:name="_Hlk113962275"/>
      <w:r w:rsidRPr="003B591C">
        <w:t>must develop and maintain a</w:t>
      </w:r>
      <w:r w:rsidR="006D262C" w:rsidRPr="003B591C">
        <w:t xml:space="preserve"> </w:t>
      </w:r>
      <w:r w:rsidR="0069775F" w:rsidRPr="003B591C">
        <w:t>recovery and exit</w:t>
      </w:r>
      <w:r w:rsidR="00573481" w:rsidRPr="003B591C">
        <w:t xml:space="preserve"> plan</w:t>
      </w:r>
      <w:bookmarkEnd w:id="36"/>
      <w:r w:rsidRPr="003B591C">
        <w:t xml:space="preserve"> that sets out how it would respond to a stress that threatens its viability. The </w:t>
      </w:r>
      <w:r w:rsidR="0069775F" w:rsidRPr="003B591C">
        <w:t>recovery and exit</w:t>
      </w:r>
      <w:r w:rsidR="00573481" w:rsidRPr="003B591C">
        <w:t xml:space="preserve"> plan</w:t>
      </w:r>
      <w:r w:rsidRPr="003B591C">
        <w:t xml:space="preserve"> must demonstrate how the </w:t>
      </w:r>
      <w:r w:rsidR="00451C15" w:rsidRPr="003B591C">
        <w:t xml:space="preserve">APRA-regulated </w:t>
      </w:r>
      <w:r w:rsidRPr="003B591C">
        <w:t>entity could:</w:t>
      </w:r>
      <w:bookmarkEnd w:id="33"/>
    </w:p>
    <w:p w14:paraId="5EFC74D5" w14:textId="77777777" w:rsidR="00093F29" w:rsidRPr="003B591C" w:rsidRDefault="00093F29" w:rsidP="00093F29">
      <w:pPr>
        <w:pStyle w:val="BodyText2"/>
      </w:pPr>
      <w:bookmarkStart w:id="37" w:name="_Ref77176870"/>
      <w:r w:rsidRPr="003B591C">
        <w:t xml:space="preserve">take actions to recover its financial resilience; </w:t>
      </w:r>
      <w:bookmarkEnd w:id="37"/>
      <w:r w:rsidRPr="003B591C">
        <w:t xml:space="preserve">and </w:t>
      </w:r>
    </w:p>
    <w:p w14:paraId="161AE5C6" w14:textId="56EB7EE5" w:rsidR="00093F29" w:rsidRPr="003B591C" w:rsidRDefault="00093F29" w:rsidP="00093F29">
      <w:pPr>
        <w:pStyle w:val="BodyText2"/>
      </w:pPr>
      <w:bookmarkStart w:id="38" w:name="_Ref77877871"/>
      <w:r w:rsidRPr="003B591C">
        <w:t xml:space="preserve">enable its orderly and solvent exit from regulated activity, </w:t>
      </w:r>
      <w:r w:rsidR="00942266" w:rsidRPr="003B591C">
        <w:t xml:space="preserve">if </w:t>
      </w:r>
      <w:r w:rsidRPr="003B591C">
        <w:t>actions to recover financial resilience are not effective</w:t>
      </w:r>
      <w:bookmarkEnd w:id="38"/>
      <w:r w:rsidRPr="003B591C">
        <w:t>.</w:t>
      </w:r>
    </w:p>
    <w:bookmarkEnd w:id="34"/>
    <w:p w14:paraId="20EDA0F8" w14:textId="5A97535F" w:rsidR="00093F29" w:rsidRPr="003B591C" w:rsidRDefault="00093F29" w:rsidP="00093F29">
      <w:pPr>
        <w:pStyle w:val="BodyText1"/>
      </w:pPr>
      <w:r w:rsidRPr="003B591C">
        <w:t xml:space="preserve">The </w:t>
      </w:r>
      <w:r w:rsidR="0069775F" w:rsidRPr="003B591C">
        <w:t>recovery and exit</w:t>
      </w:r>
      <w:r w:rsidR="00573481" w:rsidRPr="003B591C">
        <w:t xml:space="preserve"> plan</w:t>
      </w:r>
      <w:r w:rsidR="00CB6B16" w:rsidRPr="003B591C">
        <w:t xml:space="preserve"> </w:t>
      </w:r>
      <w:r w:rsidRPr="003B591C">
        <w:t>must be appropriate to the size, business mix and complexity of the</w:t>
      </w:r>
      <w:r w:rsidR="00805E5B" w:rsidRPr="003B591C">
        <w:t xml:space="preserve"> APRA-regulated</w:t>
      </w:r>
      <w:r w:rsidRPr="003B591C">
        <w:t xml:space="preserve"> entity</w:t>
      </w:r>
      <w:r w:rsidR="00D06307" w:rsidRPr="003B591C">
        <w:t xml:space="preserve"> </w:t>
      </w:r>
      <w:bookmarkStart w:id="39" w:name="_Hlk111666883"/>
      <w:r w:rsidR="00D06307" w:rsidRPr="003B591C">
        <w:t>and, for an RSE licensee, the RSE</w:t>
      </w:r>
      <w:r w:rsidR="004576A8" w:rsidRPr="003B591C">
        <w:t xml:space="preserve"> licensee</w:t>
      </w:r>
      <w:r w:rsidR="00D06307" w:rsidRPr="003B591C">
        <w:t>’s business operations</w:t>
      </w:r>
      <w:r w:rsidRPr="003B591C">
        <w:t xml:space="preserve">. </w:t>
      </w:r>
      <w:bookmarkEnd w:id="39"/>
    </w:p>
    <w:bookmarkEnd w:id="35"/>
    <w:p w14:paraId="478A7964" w14:textId="425A5431" w:rsidR="00D06307" w:rsidRPr="003B591C" w:rsidRDefault="00093F29" w:rsidP="00093F29">
      <w:pPr>
        <w:pStyle w:val="BodyText1"/>
      </w:pPr>
      <w:r w:rsidRPr="003B591C">
        <w:t xml:space="preserve">The </w:t>
      </w:r>
      <w:r w:rsidR="0069775F" w:rsidRPr="003B591C">
        <w:t>recovery and exit</w:t>
      </w:r>
      <w:r w:rsidR="00573481" w:rsidRPr="003B591C">
        <w:t xml:space="preserve"> plan</w:t>
      </w:r>
      <w:r w:rsidRPr="003B591C">
        <w:t xml:space="preserve"> must be integrated into</w:t>
      </w:r>
      <w:r w:rsidR="001B61FC" w:rsidRPr="003B591C">
        <w:t xml:space="preserve"> the APRA-regulated entity’s</w:t>
      </w:r>
      <w:r w:rsidR="00D06307" w:rsidRPr="003B591C">
        <w:t>:</w:t>
      </w:r>
    </w:p>
    <w:p w14:paraId="68965D84" w14:textId="602D4352" w:rsidR="00D06307" w:rsidRPr="003B591C" w:rsidRDefault="00093F29" w:rsidP="003B7B48">
      <w:pPr>
        <w:pStyle w:val="BodyText2"/>
        <w:jc w:val="both"/>
      </w:pPr>
      <w:r w:rsidRPr="003B591C">
        <w:t>risk management</w:t>
      </w:r>
      <w:r w:rsidR="00D06307" w:rsidRPr="003B591C">
        <w:t xml:space="preserve"> framework</w:t>
      </w:r>
      <w:r w:rsidR="00F3623F" w:rsidRPr="003B591C">
        <w:t>;</w:t>
      </w:r>
      <w:r w:rsidR="00D06307" w:rsidRPr="003B591C">
        <w:rPr>
          <w:rStyle w:val="FootnoteReference"/>
        </w:rPr>
        <w:footnoteReference w:id="8"/>
      </w:r>
      <w:r w:rsidR="00052FEF" w:rsidRPr="003B591C">
        <w:t xml:space="preserve"> </w:t>
      </w:r>
    </w:p>
    <w:p w14:paraId="1C5CD1F4" w14:textId="3F42F358" w:rsidR="00D06307" w:rsidRPr="003B591C" w:rsidRDefault="00093F29" w:rsidP="003B7B48">
      <w:pPr>
        <w:pStyle w:val="BodyText2"/>
        <w:jc w:val="both"/>
      </w:pPr>
      <w:r w:rsidRPr="003B591C">
        <w:t>capital management and liquidity management frameworks</w:t>
      </w:r>
      <w:r w:rsidR="00D06307" w:rsidRPr="003B591C">
        <w:t>, as relevant</w:t>
      </w:r>
      <w:r w:rsidR="001B61FC" w:rsidRPr="003B591C">
        <w:t xml:space="preserve"> for an APRA-regulated entity other than an RSE licensee</w:t>
      </w:r>
      <w:r w:rsidR="00D06307" w:rsidRPr="003B591C">
        <w:t>;</w:t>
      </w:r>
      <w:r w:rsidR="00434656" w:rsidRPr="003B591C">
        <w:t xml:space="preserve"> </w:t>
      </w:r>
      <w:r w:rsidR="00E960DD" w:rsidRPr="003B591C">
        <w:t>and</w:t>
      </w:r>
    </w:p>
    <w:p w14:paraId="5744FADF" w14:textId="37874005" w:rsidR="00093F29" w:rsidRPr="003B591C" w:rsidRDefault="00434656" w:rsidP="003B7B48">
      <w:pPr>
        <w:pStyle w:val="BodyText2"/>
        <w:jc w:val="both"/>
      </w:pPr>
      <w:r w:rsidRPr="003B591C">
        <w:t>business plan and business performance review</w:t>
      </w:r>
      <w:r w:rsidR="001B61FC" w:rsidRPr="003B591C">
        <w:t xml:space="preserve"> for an RSE licensee</w:t>
      </w:r>
      <w:r w:rsidRPr="003B591C">
        <w:t>.</w:t>
      </w:r>
      <w:r w:rsidR="00D74494" w:rsidRPr="003B591C">
        <w:rPr>
          <w:rStyle w:val="FootnoteReference"/>
        </w:rPr>
        <w:footnoteReference w:id="9"/>
      </w:r>
    </w:p>
    <w:p w14:paraId="74A5565D" w14:textId="2E57B7B9" w:rsidR="000C0B01" w:rsidRDefault="000C0B01" w:rsidP="00F95EFC">
      <w:pPr>
        <w:pStyle w:val="BodyText1"/>
      </w:pPr>
      <w:bookmarkStart w:id="40" w:name="_Hlk119338510"/>
      <w:r>
        <w:lastRenderedPageBreak/>
        <w:t>An APRA-regulated entity must not assume extraordinary public sector support in its recovery and exit planning.</w:t>
      </w:r>
    </w:p>
    <w:p w14:paraId="523B8A71" w14:textId="0485EB83" w:rsidR="00093F29" w:rsidRPr="003B591C" w:rsidRDefault="00093F29" w:rsidP="00093F29">
      <w:pPr>
        <w:pStyle w:val="Heading1"/>
      </w:pPr>
      <w:bookmarkStart w:id="41" w:name="_Toc88077120"/>
      <w:bookmarkStart w:id="42" w:name="_Toc89270414"/>
      <w:bookmarkEnd w:id="40"/>
      <w:r w:rsidRPr="003B591C">
        <w:t>Role of the Board</w:t>
      </w:r>
      <w:bookmarkEnd w:id="32"/>
      <w:bookmarkEnd w:id="41"/>
      <w:bookmarkEnd w:id="42"/>
    </w:p>
    <w:p w14:paraId="5E4EC79C" w14:textId="3CAB7FB4" w:rsidR="00093F29" w:rsidRPr="003B591C" w:rsidRDefault="00773C88" w:rsidP="002B2EA6">
      <w:pPr>
        <w:pStyle w:val="BodyText1"/>
      </w:pPr>
      <w:r w:rsidRPr="00773C88">
        <w:t>The Board</w:t>
      </w:r>
      <w:r w:rsidRPr="003B591C">
        <w:rPr>
          <w:rStyle w:val="FootnoteReference"/>
        </w:rPr>
        <w:footnoteReference w:id="10"/>
      </w:r>
      <w:r w:rsidRPr="00773C88">
        <w:t xml:space="preserve"> of an APRA-regulated entity is ultimately responsible for the oversight of </w:t>
      </w:r>
      <w:r>
        <w:t xml:space="preserve">the entity’s recovery and exit </w:t>
      </w:r>
      <w:r w:rsidRPr="00773C88">
        <w:t xml:space="preserve">planning. </w:t>
      </w:r>
      <w:r w:rsidR="00093F29" w:rsidRPr="003B591C">
        <w:t xml:space="preserve">The Board </w:t>
      </w:r>
      <w:r w:rsidR="001E12A7" w:rsidRPr="003B591C">
        <w:t xml:space="preserve">of an APRA-regulated entity </w:t>
      </w:r>
      <w:r w:rsidR="00093F29" w:rsidRPr="003B591C">
        <w:t>must:</w:t>
      </w:r>
    </w:p>
    <w:p w14:paraId="0F4C848A" w14:textId="18D5BF53" w:rsidR="00093F29" w:rsidRPr="003B591C" w:rsidRDefault="00093F29" w:rsidP="00093F29">
      <w:pPr>
        <w:pStyle w:val="BodyText2"/>
      </w:pPr>
      <w:r w:rsidRPr="003B591C">
        <w:t xml:space="preserve">approve the </w:t>
      </w:r>
      <w:r w:rsidR="0069775F" w:rsidRPr="003B591C">
        <w:t>recovery and exit</w:t>
      </w:r>
      <w:r w:rsidR="00573481" w:rsidRPr="003B591C">
        <w:t xml:space="preserve"> </w:t>
      </w:r>
      <w:proofErr w:type="gramStart"/>
      <w:r w:rsidR="00573481" w:rsidRPr="003B591C">
        <w:t>plan</w:t>
      </w:r>
      <w:r w:rsidRPr="003B591C">
        <w:t>;</w:t>
      </w:r>
      <w:proofErr w:type="gramEnd"/>
    </w:p>
    <w:p w14:paraId="38092776" w14:textId="01C3CCD2" w:rsidR="00434656" w:rsidRPr="003B591C" w:rsidRDefault="001A10D1" w:rsidP="00093F29">
      <w:pPr>
        <w:pStyle w:val="BodyText2"/>
      </w:pPr>
      <w:r w:rsidRPr="003B591C">
        <w:t>oversee review</w:t>
      </w:r>
      <w:r w:rsidR="00FB5ABC" w:rsidRPr="003B591C">
        <w:t>s</w:t>
      </w:r>
      <w:r w:rsidRPr="003B591C">
        <w:t xml:space="preserve"> of the </w:t>
      </w:r>
      <w:r w:rsidR="0069775F" w:rsidRPr="003B591C">
        <w:t>recovery and exit</w:t>
      </w:r>
      <w:r w:rsidR="00573481" w:rsidRPr="003B591C">
        <w:t xml:space="preserve"> plan</w:t>
      </w:r>
      <w:r w:rsidRPr="003B591C">
        <w:t xml:space="preserve"> and </w:t>
      </w:r>
      <w:r w:rsidR="00434656" w:rsidRPr="003B591C">
        <w:t xml:space="preserve">ensure </w:t>
      </w:r>
      <w:r w:rsidR="00A761A5" w:rsidRPr="003B591C">
        <w:t>any findings are addressed by management</w:t>
      </w:r>
      <w:r w:rsidR="00434656" w:rsidRPr="003B591C">
        <w:t>;</w:t>
      </w:r>
      <w:r w:rsidR="00A761A5" w:rsidRPr="003B591C">
        <w:t xml:space="preserve"> and</w:t>
      </w:r>
    </w:p>
    <w:p w14:paraId="69A4B726" w14:textId="6FDE323C" w:rsidR="00093F29" w:rsidRPr="003B591C" w:rsidRDefault="00093F29" w:rsidP="00BD448E">
      <w:pPr>
        <w:pStyle w:val="BodyText2"/>
      </w:pPr>
      <w:r w:rsidRPr="003B591C">
        <w:t xml:space="preserve">oversee the execution of any </w:t>
      </w:r>
      <w:r w:rsidR="0069775F" w:rsidRPr="003B591C">
        <w:t>recovery and exit</w:t>
      </w:r>
      <w:r w:rsidRPr="003B591C">
        <w:t xml:space="preserve"> actions</w:t>
      </w:r>
      <w:r w:rsidR="00A761A5" w:rsidRPr="003B591C">
        <w:t>.</w:t>
      </w:r>
      <w:r w:rsidR="00D842B9" w:rsidRPr="003B591C">
        <w:t xml:space="preserve"> </w:t>
      </w:r>
    </w:p>
    <w:p w14:paraId="041C6D2E" w14:textId="29F03686" w:rsidR="002D046E" w:rsidRPr="003B591C" w:rsidRDefault="000E11AC" w:rsidP="004B75D9">
      <w:pPr>
        <w:pStyle w:val="BodyText1"/>
      </w:pPr>
      <w:r w:rsidRPr="003B591C">
        <w:t xml:space="preserve">The Board of an SFI must also form a view on the sufficiency of recovery capacity to restore financial resilience in periods of stress. Where the Board views recovery capacity to be insufficient, the SFI must improve its </w:t>
      </w:r>
      <w:r w:rsidR="0069775F" w:rsidRPr="003B591C">
        <w:t>recovery and exit</w:t>
      </w:r>
      <w:r w:rsidR="00573481" w:rsidRPr="003B591C">
        <w:t xml:space="preserve"> plan</w:t>
      </w:r>
      <w:r w:rsidRPr="003B591C">
        <w:t xml:space="preserve"> or take other actions to improve its financial resilience.</w:t>
      </w:r>
    </w:p>
    <w:p w14:paraId="0E185DA7" w14:textId="01093095" w:rsidR="00093F29" w:rsidRPr="003B591C" w:rsidRDefault="003B591C">
      <w:pPr>
        <w:pStyle w:val="Heading1"/>
      </w:pPr>
      <w:bookmarkStart w:id="43" w:name="_Toc77964701"/>
      <w:bookmarkStart w:id="44" w:name="_Hlk83300552"/>
      <w:r w:rsidRPr="003B591C">
        <w:t xml:space="preserve">Recovery and </w:t>
      </w:r>
      <w:r w:rsidR="00B43586">
        <w:t>e</w:t>
      </w:r>
      <w:r w:rsidRPr="003B591C">
        <w:t xml:space="preserve">xit </w:t>
      </w:r>
      <w:proofErr w:type="gramStart"/>
      <w:r w:rsidR="00C92C9D">
        <w:t>p</w:t>
      </w:r>
      <w:r w:rsidR="00C92C9D" w:rsidRPr="003B591C">
        <w:t>lan</w:t>
      </w:r>
      <w:proofErr w:type="gramEnd"/>
    </w:p>
    <w:p w14:paraId="57CD7FC5" w14:textId="11497599" w:rsidR="00093F29" w:rsidRPr="003B591C" w:rsidRDefault="0074484C" w:rsidP="00093F29">
      <w:pPr>
        <w:pStyle w:val="BodyText1"/>
      </w:pPr>
      <w:bookmarkStart w:id="45" w:name="_Ref77964677"/>
      <w:bookmarkEnd w:id="43"/>
      <w:r w:rsidRPr="003B591C">
        <w:t>A</w:t>
      </w:r>
      <w:r w:rsidR="007823A2" w:rsidRPr="003B591C">
        <w:t>n</w:t>
      </w:r>
      <w:r w:rsidRPr="003B591C">
        <w:t xml:space="preserve"> </w:t>
      </w:r>
      <w:r w:rsidR="006A4A2F" w:rsidRPr="003B591C">
        <w:t xml:space="preserve">APRA-regulated entity’s </w:t>
      </w:r>
      <w:r w:rsidR="0069775F" w:rsidRPr="003B591C">
        <w:t>recovery and exit</w:t>
      </w:r>
      <w:r w:rsidR="00573481" w:rsidRPr="003B591C">
        <w:t xml:space="preserve"> </w:t>
      </w:r>
      <w:r w:rsidR="00605D2E" w:rsidRPr="003B591C">
        <w:t>p</w:t>
      </w:r>
      <w:r w:rsidR="00573481" w:rsidRPr="003B591C">
        <w:t>lan</w:t>
      </w:r>
      <w:r w:rsidR="00093F29" w:rsidRPr="003B591C">
        <w:t xml:space="preserve"> must </w:t>
      </w:r>
      <w:r w:rsidR="00093F29" w:rsidRPr="003B591C" w:rsidDel="0079732C">
        <w:t>include</w:t>
      </w:r>
      <w:r w:rsidR="00093F29" w:rsidRPr="003B591C">
        <w:t>:</w:t>
      </w:r>
      <w:r w:rsidR="00093F29" w:rsidRPr="003B591C" w:rsidDel="00B20B1B">
        <w:t xml:space="preserve"> </w:t>
      </w:r>
    </w:p>
    <w:p w14:paraId="01AB99F0" w14:textId="5C670EED" w:rsidR="00093F29" w:rsidRPr="003B591C" w:rsidRDefault="00093F29" w:rsidP="003B7B48">
      <w:pPr>
        <w:pStyle w:val="BodyText2"/>
        <w:jc w:val="both"/>
      </w:pPr>
      <w:bookmarkStart w:id="46" w:name="_Ref77234764"/>
      <w:r w:rsidRPr="003B591C">
        <w:t xml:space="preserve">a </w:t>
      </w:r>
      <w:r w:rsidR="00973FAC" w:rsidRPr="003B591C">
        <w:t>concise</w:t>
      </w:r>
      <w:r w:rsidRPr="003B591C">
        <w:t xml:space="preserve"> summary that provides a standalone guide to use the </w:t>
      </w:r>
      <w:r w:rsidR="0069775F" w:rsidRPr="003B591C">
        <w:t>recovery and exit</w:t>
      </w:r>
      <w:r w:rsidR="00573481" w:rsidRPr="003B591C">
        <w:t xml:space="preserve"> </w:t>
      </w:r>
      <w:proofErr w:type="gramStart"/>
      <w:r w:rsidR="00605D2E" w:rsidRPr="003B591C">
        <w:t>p</w:t>
      </w:r>
      <w:r w:rsidR="00573481" w:rsidRPr="003B591C">
        <w:t>lan</w:t>
      </w:r>
      <w:r w:rsidRPr="003B591C">
        <w:t>;</w:t>
      </w:r>
      <w:proofErr w:type="gramEnd"/>
      <w:r w:rsidRPr="003B591C">
        <w:t xml:space="preserve"> </w:t>
      </w:r>
    </w:p>
    <w:p w14:paraId="30D75D97" w14:textId="1956A168" w:rsidR="0074484C" w:rsidRPr="003B591C" w:rsidRDefault="00D74DF7" w:rsidP="003B7B48">
      <w:pPr>
        <w:pStyle w:val="BodyText2"/>
        <w:jc w:val="both"/>
      </w:pPr>
      <w:r w:rsidRPr="003B591C">
        <w:t xml:space="preserve">a </w:t>
      </w:r>
      <w:r w:rsidR="0074484C" w:rsidRPr="003B591C">
        <w:t xml:space="preserve">trigger </w:t>
      </w:r>
      <w:r w:rsidRPr="003B591C">
        <w:t xml:space="preserve">framework </w:t>
      </w:r>
      <w:r w:rsidR="0074484C" w:rsidRPr="003B591C">
        <w:t xml:space="preserve">for the early identification and monitoring of stress. </w:t>
      </w:r>
      <w:r w:rsidR="00A17182" w:rsidRPr="003B591C">
        <w:t>The t</w:t>
      </w:r>
      <w:r w:rsidR="0074484C" w:rsidRPr="003B591C">
        <w:t>rigger</w:t>
      </w:r>
      <w:r w:rsidRPr="003B591C">
        <w:t xml:space="preserve"> framework </w:t>
      </w:r>
      <w:r w:rsidR="0074484C" w:rsidRPr="003B591C">
        <w:t>must be relevant to the operating environment and risk profile of the APRA-regulated entity</w:t>
      </w:r>
      <w:r w:rsidR="007823A2" w:rsidRPr="003B591C">
        <w:t>,</w:t>
      </w:r>
      <w:r w:rsidR="00A17182" w:rsidRPr="003B591C">
        <w:t xml:space="preserve"> and</w:t>
      </w:r>
      <w:r w:rsidR="0074484C" w:rsidRPr="003B591C">
        <w:t xml:space="preserve"> include a range of early warning indicators to support the effective </w:t>
      </w:r>
      <w:r w:rsidR="007823A2" w:rsidRPr="003B591C">
        <w:t xml:space="preserve">activation and </w:t>
      </w:r>
      <w:r w:rsidR="0074484C" w:rsidRPr="003B591C">
        <w:t xml:space="preserve">implementation of the </w:t>
      </w:r>
      <w:r w:rsidR="0069775F" w:rsidRPr="003B591C">
        <w:t>recovery and exit</w:t>
      </w:r>
      <w:r w:rsidR="00573481" w:rsidRPr="003B591C">
        <w:t xml:space="preserve"> </w:t>
      </w:r>
      <w:r w:rsidR="00605D2E" w:rsidRPr="003B591C">
        <w:t>p</w:t>
      </w:r>
      <w:r w:rsidR="00573481" w:rsidRPr="003B591C">
        <w:t>lan</w:t>
      </w:r>
      <w:r w:rsidR="0063140A">
        <w:t>;</w:t>
      </w:r>
      <w:r w:rsidR="007823A2" w:rsidRPr="003B591C">
        <w:rPr>
          <w:rStyle w:val="FootnoteReference"/>
        </w:rPr>
        <w:footnoteReference w:id="11"/>
      </w:r>
      <w:r w:rsidR="0074484C" w:rsidRPr="003B591C">
        <w:rPr>
          <w:vertAlign w:val="superscript"/>
        </w:rPr>
        <w:t xml:space="preserve"> </w:t>
      </w:r>
    </w:p>
    <w:p w14:paraId="2F3D38D9" w14:textId="3E283A3D" w:rsidR="00093F29" w:rsidRPr="003B591C" w:rsidRDefault="00093F29" w:rsidP="003B7B48">
      <w:pPr>
        <w:pStyle w:val="BodyText2"/>
        <w:jc w:val="both"/>
      </w:pPr>
      <w:r w:rsidRPr="003B591C">
        <w:t xml:space="preserve">governance arrangements for the </w:t>
      </w:r>
      <w:r w:rsidR="007823A2" w:rsidRPr="003B591C">
        <w:t>monitoring of triggers</w:t>
      </w:r>
      <w:r w:rsidRPr="003B591C">
        <w:t xml:space="preserve"> and timely activation of the </w:t>
      </w:r>
      <w:r w:rsidR="0069775F" w:rsidRPr="003B591C">
        <w:t>recovery and exit</w:t>
      </w:r>
      <w:r w:rsidR="00573481" w:rsidRPr="003B591C">
        <w:t xml:space="preserve"> </w:t>
      </w:r>
      <w:r w:rsidR="00605D2E" w:rsidRPr="003B591C">
        <w:t>p</w:t>
      </w:r>
      <w:r w:rsidR="00573481" w:rsidRPr="003B591C">
        <w:t>lan</w:t>
      </w:r>
      <w:r w:rsidR="00187D9C" w:rsidRPr="003B591C">
        <w:t xml:space="preserve"> </w:t>
      </w:r>
      <w:r w:rsidR="00F274BD" w:rsidRPr="003B591C">
        <w:t>or specific actions within it</w:t>
      </w:r>
      <w:r w:rsidR="00AC2861" w:rsidRPr="003B591C">
        <w:t xml:space="preserve">. </w:t>
      </w:r>
      <w:r w:rsidR="003B591C" w:rsidRPr="003B591C">
        <w:t xml:space="preserve">Governance arrangements must include clear roles and responsibilities at a senior executive level for the preparation, maintenance and execution of the recovery and exit </w:t>
      </w:r>
      <w:proofErr w:type="gramStart"/>
      <w:r w:rsidR="003B591C" w:rsidRPr="003B591C">
        <w:t>plan;</w:t>
      </w:r>
      <w:proofErr w:type="gramEnd"/>
    </w:p>
    <w:p w14:paraId="43BA7E4E" w14:textId="3B2D2465" w:rsidR="00093F29" w:rsidRPr="003B591C" w:rsidRDefault="00093F29" w:rsidP="003B7B48">
      <w:pPr>
        <w:pStyle w:val="BodyText2"/>
        <w:jc w:val="both"/>
      </w:pPr>
      <w:bookmarkStart w:id="47" w:name="_Ref77231695"/>
      <w:bookmarkEnd w:id="46"/>
      <w:r w:rsidRPr="003B591C">
        <w:t xml:space="preserve">credible recovery actions that could be taken to stabilise and restore </w:t>
      </w:r>
      <w:bookmarkStart w:id="48" w:name="_Ref77244446"/>
      <w:r w:rsidRPr="003B591C">
        <w:t xml:space="preserve">financial </w:t>
      </w:r>
      <w:proofErr w:type="gramStart"/>
      <w:r w:rsidRPr="003B591C">
        <w:t>resilience;</w:t>
      </w:r>
      <w:bookmarkStart w:id="49" w:name="_Ref77244448"/>
      <w:bookmarkEnd w:id="48"/>
      <w:proofErr w:type="gramEnd"/>
    </w:p>
    <w:p w14:paraId="648C3FC4" w14:textId="44B598AC" w:rsidR="00093F29" w:rsidRPr="003B591C" w:rsidRDefault="00093F29" w:rsidP="003B7B48">
      <w:pPr>
        <w:pStyle w:val="BodyText2"/>
        <w:jc w:val="both"/>
      </w:pPr>
      <w:r w:rsidRPr="003B591C">
        <w:lastRenderedPageBreak/>
        <w:t>credible</w:t>
      </w:r>
      <w:r w:rsidRPr="003B591C" w:rsidDel="009E103C">
        <w:t xml:space="preserve"> </w:t>
      </w:r>
      <w:r w:rsidR="003646FD" w:rsidRPr="003B591C">
        <w:t xml:space="preserve">exit </w:t>
      </w:r>
      <w:r w:rsidRPr="003B591C">
        <w:t xml:space="preserve">actions that could be taken to </w:t>
      </w:r>
      <w:proofErr w:type="gramStart"/>
      <w:r w:rsidRPr="003B591C">
        <w:t>effect</w:t>
      </w:r>
      <w:proofErr w:type="gramEnd"/>
      <w:r w:rsidRPr="003B591C">
        <w:t xml:space="preserve"> an orderly and solvent exit</w:t>
      </w:r>
      <w:bookmarkEnd w:id="47"/>
      <w:bookmarkEnd w:id="49"/>
      <w:r w:rsidRPr="003B591C">
        <w:t xml:space="preserve"> from regulated activity; </w:t>
      </w:r>
      <w:r w:rsidR="005E6414" w:rsidRPr="003B591C">
        <w:t>and</w:t>
      </w:r>
      <w:r w:rsidRPr="003B591C">
        <w:t xml:space="preserve"> </w:t>
      </w:r>
    </w:p>
    <w:p w14:paraId="3B872327" w14:textId="5A092F7E" w:rsidR="00093F29" w:rsidRPr="003B591C" w:rsidRDefault="00093F29" w:rsidP="003B7B48">
      <w:pPr>
        <w:pStyle w:val="BodyText2"/>
        <w:jc w:val="both"/>
      </w:pPr>
      <w:r w:rsidRPr="003B591C">
        <w:t xml:space="preserve">a communication strategy to support the execution of </w:t>
      </w:r>
      <w:r w:rsidR="0069775F" w:rsidRPr="003B591C">
        <w:t>recovery and exit</w:t>
      </w:r>
      <w:r w:rsidRPr="003B591C">
        <w:t xml:space="preserve"> actions.</w:t>
      </w:r>
    </w:p>
    <w:p w14:paraId="2AFDB2FE" w14:textId="1303FF46" w:rsidR="00167B5A" w:rsidRDefault="00167B5A" w:rsidP="00C322EC">
      <w:pPr>
        <w:pStyle w:val="BodyText1"/>
      </w:pPr>
      <w:bookmarkStart w:id="50" w:name="_Toc88077122"/>
      <w:bookmarkStart w:id="51" w:name="_Toc89270416"/>
      <w:bookmarkStart w:id="52" w:name="_Ref77232048"/>
      <w:bookmarkEnd w:id="44"/>
      <w:r>
        <w:t>An SFI must also include in its recovery and exit plan:</w:t>
      </w:r>
    </w:p>
    <w:p w14:paraId="051832B2" w14:textId="1C6648DD" w:rsidR="00C503EF" w:rsidRPr="003B591C" w:rsidRDefault="00C503EF" w:rsidP="003B7B48">
      <w:pPr>
        <w:pStyle w:val="BodyText2"/>
        <w:jc w:val="both"/>
      </w:pPr>
      <w:r w:rsidRPr="003B591C">
        <w:t xml:space="preserve">scenario analysis that assesses the effectiveness of the trigger framework, shows how </w:t>
      </w:r>
      <w:proofErr w:type="gramStart"/>
      <w:r w:rsidR="0069775F" w:rsidRPr="003B591C">
        <w:t>recovery</w:t>
      </w:r>
      <w:proofErr w:type="gramEnd"/>
      <w:r w:rsidR="0069775F" w:rsidRPr="003B591C">
        <w:t xml:space="preserve"> and exit</w:t>
      </w:r>
      <w:r w:rsidRPr="003B591C">
        <w:t xml:space="preserve"> actions </w:t>
      </w:r>
      <w:r w:rsidR="003142C4" w:rsidRPr="003B591C">
        <w:t>c</w:t>
      </w:r>
      <w:r w:rsidR="00E57C4B" w:rsidRPr="003B591C">
        <w:t xml:space="preserve">ould be implemented, and measures the impact and effectiveness of those actions. </w:t>
      </w:r>
      <w:r w:rsidRPr="003B591C">
        <w:t xml:space="preserve">This analysis must include </w:t>
      </w:r>
      <w:r w:rsidRPr="003B591C" w:rsidDel="00C93EB1">
        <w:t>at least two</w:t>
      </w:r>
      <w:r w:rsidRPr="003B591C">
        <w:t xml:space="preserve"> scenarios that are severe enough to threaten the </w:t>
      </w:r>
      <w:r w:rsidR="002D70B8" w:rsidRPr="003B591C">
        <w:t>SFI’s</w:t>
      </w:r>
      <w:r w:rsidRPr="003B591C">
        <w:t xml:space="preserve"> viability, including a systemic and an idiosyncratic stress; and</w:t>
      </w:r>
    </w:p>
    <w:p w14:paraId="6AB733D9" w14:textId="0523790E" w:rsidR="00B51B45" w:rsidRPr="003B591C" w:rsidRDefault="00C503EF" w:rsidP="003B7B48">
      <w:pPr>
        <w:pStyle w:val="BodyText2"/>
        <w:jc w:val="both"/>
      </w:pPr>
      <w:r w:rsidRPr="003B591C">
        <w:t xml:space="preserve">an assessment of recovery capacity, which is the aggregate impact of plausible recovery actions </w:t>
      </w:r>
      <w:r w:rsidRPr="003B591C" w:rsidDel="001565F5">
        <w:t>under each scenario</w:t>
      </w:r>
      <w:r w:rsidRPr="003B591C">
        <w:t xml:space="preserve">. Recovery capacity must be measured in quantitative terms by calculating the amount of capital and liquidity </w:t>
      </w:r>
      <w:r w:rsidR="00E57C4B" w:rsidRPr="003B591C">
        <w:t xml:space="preserve">that can be rebuilt </w:t>
      </w:r>
      <w:r w:rsidR="00E57C4B" w:rsidRPr="003B591C" w:rsidDel="00B51B45">
        <w:t>during or</w:t>
      </w:r>
      <w:r w:rsidRPr="003B591C" w:rsidDel="00B51B45">
        <w:t xml:space="preserve"> following</w:t>
      </w:r>
      <w:r w:rsidR="000975AC" w:rsidRPr="003B591C">
        <w:t xml:space="preserve"> </w:t>
      </w:r>
      <w:r w:rsidRPr="003B591C">
        <w:t>stress</w:t>
      </w:r>
      <w:r w:rsidR="0033560C" w:rsidRPr="003B591C">
        <w:t>, where relevant</w:t>
      </w:r>
      <w:r w:rsidR="00661335" w:rsidRPr="003B591C">
        <w:t>.</w:t>
      </w:r>
    </w:p>
    <w:p w14:paraId="78E5D723" w14:textId="56826815" w:rsidR="00E57C4B" w:rsidRPr="003B591C" w:rsidRDefault="005611DA" w:rsidP="001452CF">
      <w:pPr>
        <w:pStyle w:val="BodyText1"/>
        <w:keepNext/>
      </w:pPr>
      <w:r w:rsidRPr="003B591C">
        <w:t>An SFI must include, f</w:t>
      </w:r>
      <w:r w:rsidR="00A7439A" w:rsidRPr="003B591C">
        <w:t>or each recovery and exit action in the</w:t>
      </w:r>
      <w:r w:rsidR="00573481" w:rsidRPr="003B591C">
        <w:t xml:space="preserve"> </w:t>
      </w:r>
      <w:r w:rsidR="00605D2E" w:rsidRPr="003B591C">
        <w:t>p</w:t>
      </w:r>
      <w:r w:rsidR="00573481" w:rsidRPr="003B591C">
        <w:t>lan</w:t>
      </w:r>
      <w:r w:rsidR="00A7439A" w:rsidRPr="003B591C">
        <w:t>:</w:t>
      </w:r>
    </w:p>
    <w:p w14:paraId="247B62D6" w14:textId="2315188C" w:rsidR="00C503EF" w:rsidRPr="003B591C" w:rsidRDefault="00C503EF" w:rsidP="003B7B48">
      <w:pPr>
        <w:pStyle w:val="BodyText2"/>
        <w:jc w:val="both"/>
      </w:pPr>
      <w:r w:rsidRPr="003B591C">
        <w:t xml:space="preserve">a timeline for the implementation of the </w:t>
      </w:r>
      <w:proofErr w:type="gramStart"/>
      <w:r w:rsidRPr="003B591C">
        <w:t>action</w:t>
      </w:r>
      <w:r w:rsidR="00AA4414" w:rsidRPr="003B591C">
        <w:t>;</w:t>
      </w:r>
      <w:proofErr w:type="gramEnd"/>
    </w:p>
    <w:p w14:paraId="2C8B6ECE" w14:textId="1E297A83" w:rsidR="00C503EF" w:rsidRPr="003B591C" w:rsidRDefault="00C503EF" w:rsidP="003B7B48">
      <w:pPr>
        <w:pStyle w:val="BodyText2"/>
        <w:jc w:val="both"/>
      </w:pPr>
      <w:r w:rsidRPr="003B591C">
        <w:t xml:space="preserve">analysis of any barriers to implementation, execution risks and key </w:t>
      </w:r>
      <w:proofErr w:type="gramStart"/>
      <w:r w:rsidRPr="003B591C">
        <w:t>dependencies</w:t>
      </w:r>
      <w:r w:rsidR="00AA4414" w:rsidRPr="003B591C">
        <w:t>;</w:t>
      </w:r>
      <w:proofErr w:type="gramEnd"/>
    </w:p>
    <w:p w14:paraId="7C269E1D" w14:textId="4295921A" w:rsidR="00C503EF" w:rsidRPr="003B591C" w:rsidRDefault="00C503EF" w:rsidP="003B7B48">
      <w:pPr>
        <w:pStyle w:val="BodyText2"/>
        <w:jc w:val="both"/>
      </w:pPr>
      <w:r w:rsidRPr="003B591C">
        <w:t>a summary of the preparatory measures needed to support the timely and effective execution of the action</w:t>
      </w:r>
      <w:r w:rsidR="00390FB2" w:rsidRPr="003B591C">
        <w:t>;</w:t>
      </w:r>
      <w:r w:rsidRPr="003B591C">
        <w:t xml:space="preserve"> and</w:t>
      </w:r>
    </w:p>
    <w:p w14:paraId="708CB119" w14:textId="400501D2" w:rsidR="00C503EF" w:rsidRPr="003B591C" w:rsidRDefault="00C503EF" w:rsidP="003B7B48">
      <w:pPr>
        <w:pStyle w:val="BodyText2"/>
        <w:jc w:val="both"/>
      </w:pPr>
      <w:r w:rsidRPr="003B591C">
        <w:t>where relevant, an estimate of the impact of the action on the</w:t>
      </w:r>
      <w:r w:rsidR="00824F00" w:rsidRPr="003B591C">
        <w:t xml:space="preserve"> </w:t>
      </w:r>
      <w:r w:rsidRPr="003B591C">
        <w:t>capital and liquidity position of the APRA-regulated entity, based on credible assumptions.</w:t>
      </w:r>
      <w:r w:rsidRPr="003B591C">
        <w:rPr>
          <w:rStyle w:val="FootnoteReference"/>
        </w:rPr>
        <w:footnoteReference w:id="12"/>
      </w:r>
    </w:p>
    <w:p w14:paraId="1E6AEC94" w14:textId="0B104AD3" w:rsidR="00C503EF" w:rsidRPr="003B591C" w:rsidRDefault="00C503EF" w:rsidP="004B75D9">
      <w:pPr>
        <w:pStyle w:val="BodyText1"/>
      </w:pPr>
      <w:bookmarkStart w:id="53" w:name="_Hlk120001795"/>
      <w:r w:rsidRPr="003B591C">
        <w:t>APRA may require</w:t>
      </w:r>
      <w:r w:rsidR="000B05EB" w:rsidRPr="003B591C">
        <w:t xml:space="preserve"> of an APRA-regulated entity</w:t>
      </w:r>
      <w:r w:rsidRPr="003B591C">
        <w:t xml:space="preserve">: </w:t>
      </w:r>
    </w:p>
    <w:p w14:paraId="557B0464" w14:textId="1BD44E2E" w:rsidR="00FE41C7" w:rsidRPr="003B591C" w:rsidRDefault="00FE41C7" w:rsidP="003B7B48">
      <w:pPr>
        <w:pStyle w:val="BodyText2"/>
        <w:jc w:val="both"/>
      </w:pPr>
      <w:r w:rsidRPr="003B591C">
        <w:t xml:space="preserve">the inclusion or exclusion of a particular recovery or exit action within the </w:t>
      </w:r>
      <w:r w:rsidR="0069775F" w:rsidRPr="003B591C">
        <w:t>recovery and exit</w:t>
      </w:r>
      <w:r w:rsidR="00573481" w:rsidRPr="003B591C">
        <w:t xml:space="preserve"> </w:t>
      </w:r>
      <w:proofErr w:type="gramStart"/>
      <w:r w:rsidR="00605D2E" w:rsidRPr="003B591C">
        <w:t>p</w:t>
      </w:r>
      <w:r w:rsidR="00573481" w:rsidRPr="003B591C">
        <w:t>lan</w:t>
      </w:r>
      <w:r w:rsidRPr="003B591C">
        <w:t>;</w:t>
      </w:r>
      <w:proofErr w:type="gramEnd"/>
    </w:p>
    <w:p w14:paraId="0702B6DF" w14:textId="268A50C3" w:rsidR="00C503EF" w:rsidRPr="003B591C" w:rsidRDefault="00C503EF" w:rsidP="003B7B48">
      <w:pPr>
        <w:pStyle w:val="BodyText2"/>
        <w:jc w:val="both"/>
      </w:pPr>
      <w:r w:rsidRPr="003B591C">
        <w:t xml:space="preserve">the inclusion of an APRA-determined scenario in the </w:t>
      </w:r>
      <w:r w:rsidR="0069775F" w:rsidRPr="003B591C">
        <w:t>recovery and exit</w:t>
      </w:r>
      <w:r w:rsidR="00573481" w:rsidRPr="003B591C">
        <w:t xml:space="preserve"> </w:t>
      </w:r>
      <w:r w:rsidR="00605D2E" w:rsidRPr="003B591C">
        <w:t>p</w:t>
      </w:r>
      <w:r w:rsidR="00573481" w:rsidRPr="003B591C">
        <w:t>lan</w:t>
      </w:r>
      <w:r w:rsidRPr="003B591C">
        <w:t>; or</w:t>
      </w:r>
    </w:p>
    <w:p w14:paraId="499A5F4D" w14:textId="4EA5D0DA" w:rsidR="00FE41C7" w:rsidRPr="003B591C" w:rsidRDefault="00C503EF" w:rsidP="003B7B48">
      <w:pPr>
        <w:pStyle w:val="BodyText2"/>
        <w:jc w:val="both"/>
      </w:pPr>
      <w:r w:rsidRPr="003B591C">
        <w:t xml:space="preserve">the use of </w:t>
      </w:r>
      <w:proofErr w:type="gramStart"/>
      <w:r w:rsidRPr="003B591C">
        <w:t>particular assumptions</w:t>
      </w:r>
      <w:proofErr w:type="gramEnd"/>
      <w:r w:rsidRPr="003B591C">
        <w:t xml:space="preserve"> when assessing recovery capacity. </w:t>
      </w:r>
    </w:p>
    <w:bookmarkEnd w:id="53"/>
    <w:p w14:paraId="0E2E38F8" w14:textId="21F255D1" w:rsidR="00C503EF" w:rsidRPr="003B591C" w:rsidRDefault="00FE41C7" w:rsidP="006363AE">
      <w:pPr>
        <w:pStyle w:val="BodyText1"/>
      </w:pPr>
      <w:r w:rsidRPr="003B591C">
        <w:t xml:space="preserve">For an APRA-regulated entity </w:t>
      </w:r>
      <w:r w:rsidR="000E5B45" w:rsidRPr="003B591C">
        <w:t>other than</w:t>
      </w:r>
      <w:r w:rsidRPr="003B591C">
        <w:t xml:space="preserve"> an RSE licensee, APRA may adjust prudential requirements for capital and liquidity where it assesses there to be material weaknesses in the </w:t>
      </w:r>
      <w:r w:rsidR="0069775F" w:rsidRPr="003B591C">
        <w:t>recovery and exit</w:t>
      </w:r>
      <w:r w:rsidR="00573481" w:rsidRPr="003B591C">
        <w:t xml:space="preserve"> </w:t>
      </w:r>
      <w:r w:rsidR="00605D2E" w:rsidRPr="003B591C">
        <w:t>p</w:t>
      </w:r>
      <w:r w:rsidR="00573481" w:rsidRPr="003B591C">
        <w:t>lan</w:t>
      </w:r>
      <w:r w:rsidRPr="003B591C">
        <w:t>.</w:t>
      </w:r>
    </w:p>
    <w:p w14:paraId="60007DC9" w14:textId="256D6A09" w:rsidR="00093F29" w:rsidRPr="003B591C" w:rsidRDefault="003C288C" w:rsidP="00093F29">
      <w:pPr>
        <w:pStyle w:val="Heading1"/>
      </w:pPr>
      <w:r w:rsidRPr="003B591C">
        <w:lastRenderedPageBreak/>
        <w:t>Capabilities, m</w:t>
      </w:r>
      <w:r w:rsidR="00BC74C7" w:rsidRPr="003B591C">
        <w:t xml:space="preserve">onitoring and </w:t>
      </w:r>
      <w:proofErr w:type="gramStart"/>
      <w:r w:rsidR="00BC74C7" w:rsidRPr="003B591C">
        <w:t>execution</w:t>
      </w:r>
      <w:bookmarkEnd w:id="50"/>
      <w:bookmarkEnd w:id="51"/>
      <w:proofErr w:type="gramEnd"/>
    </w:p>
    <w:bookmarkEnd w:id="45"/>
    <w:bookmarkEnd w:id="52"/>
    <w:p w14:paraId="0DE65EB7" w14:textId="0C5488C8" w:rsidR="00093F29" w:rsidRPr="003B591C" w:rsidRDefault="00093F29" w:rsidP="00093F29">
      <w:pPr>
        <w:pStyle w:val="BodyText1"/>
      </w:pPr>
      <w:r w:rsidRPr="003B591C">
        <w:t xml:space="preserve">An APRA-regulated entity must maintain </w:t>
      </w:r>
      <w:r w:rsidR="00C40B14" w:rsidRPr="003B591C">
        <w:t xml:space="preserve">the </w:t>
      </w:r>
      <w:r w:rsidRPr="003B591C">
        <w:t xml:space="preserve">capabilities </w:t>
      </w:r>
      <w:r w:rsidR="00AC0E79" w:rsidRPr="003B591C">
        <w:t>required</w:t>
      </w:r>
      <w:r w:rsidRPr="003B591C">
        <w:t xml:space="preserve"> to execute the </w:t>
      </w:r>
      <w:r w:rsidR="0069775F" w:rsidRPr="003B591C">
        <w:t>recovery and exit</w:t>
      </w:r>
      <w:r w:rsidR="00573481" w:rsidRPr="003B591C">
        <w:t xml:space="preserve"> </w:t>
      </w:r>
      <w:r w:rsidR="00605D2E" w:rsidRPr="003B591C">
        <w:t>p</w:t>
      </w:r>
      <w:r w:rsidR="00573481" w:rsidRPr="003B591C">
        <w:t>lan</w:t>
      </w:r>
      <w:r w:rsidRPr="003B591C">
        <w:t>.</w:t>
      </w:r>
      <w:r w:rsidR="00557FF3" w:rsidRPr="003B591C">
        <w:rPr>
          <w:rStyle w:val="FootnoteReference"/>
        </w:rPr>
        <w:footnoteReference w:id="13"/>
      </w:r>
    </w:p>
    <w:p w14:paraId="5519F6C2" w14:textId="5FE0D700" w:rsidR="00C4459B" w:rsidRPr="003B591C" w:rsidRDefault="00093F29" w:rsidP="00C4459B">
      <w:pPr>
        <w:pStyle w:val="BodyText1"/>
      </w:pPr>
      <w:r w:rsidRPr="003B591C">
        <w:t xml:space="preserve">An APRA-regulated entity must take reasonable preparatory steps </w:t>
      </w:r>
      <w:r w:rsidRPr="003B591C" w:rsidDel="0090549D">
        <w:t xml:space="preserve">to </w:t>
      </w:r>
      <w:r w:rsidR="00B44F66" w:rsidRPr="003B591C">
        <w:t xml:space="preserve">support the timely and effective implementation of the </w:t>
      </w:r>
      <w:r w:rsidR="003B591C" w:rsidRPr="003B591C">
        <w:t>recovery and exit p</w:t>
      </w:r>
      <w:r w:rsidR="00573481" w:rsidRPr="003B591C">
        <w:t>lan</w:t>
      </w:r>
      <w:r w:rsidR="00B44F66" w:rsidRPr="003B591C">
        <w:t>,</w:t>
      </w:r>
      <w:r w:rsidRPr="003B591C">
        <w:t xml:space="preserve"> in </w:t>
      </w:r>
      <w:r w:rsidR="00B44F66" w:rsidRPr="003B591C">
        <w:t xml:space="preserve">advance of </w:t>
      </w:r>
      <w:r w:rsidR="00D27D18" w:rsidRPr="003B591C">
        <w:t xml:space="preserve">recovery or exit </w:t>
      </w:r>
      <w:r w:rsidR="00B44F66" w:rsidRPr="003B591C">
        <w:t>actions being required</w:t>
      </w:r>
      <w:r w:rsidRPr="003B591C">
        <w:t xml:space="preserve">. This must take into consideration potential legal, financial, </w:t>
      </w:r>
      <w:proofErr w:type="gramStart"/>
      <w:r w:rsidRPr="003B591C">
        <w:t>operational</w:t>
      </w:r>
      <w:proofErr w:type="gramEnd"/>
      <w:r w:rsidRPr="003B591C">
        <w:t xml:space="preserve"> and structural requirements for executing </w:t>
      </w:r>
      <w:r w:rsidR="00D27D18" w:rsidRPr="003B591C">
        <w:t xml:space="preserve">recovery or exit </w:t>
      </w:r>
      <w:r w:rsidRPr="003B591C">
        <w:t>action</w:t>
      </w:r>
      <w:r w:rsidR="006F0021" w:rsidRPr="003B591C">
        <w:t>s</w:t>
      </w:r>
      <w:r w:rsidRPr="003B591C">
        <w:t xml:space="preserve">. </w:t>
      </w:r>
    </w:p>
    <w:p w14:paraId="4897D7B0" w14:textId="48A42C23" w:rsidR="00B04465" w:rsidRPr="003B591C" w:rsidRDefault="00B04465" w:rsidP="00B04465">
      <w:pPr>
        <w:pStyle w:val="BodyText1"/>
      </w:pPr>
      <w:r w:rsidRPr="003B591C">
        <w:t>An APRA-regulated entity must maintain access to sufficient financial resources to support the implementation of recovery</w:t>
      </w:r>
      <w:r w:rsidR="00854759" w:rsidRPr="003B591C">
        <w:t xml:space="preserve"> and exit</w:t>
      </w:r>
      <w:r w:rsidRPr="003B591C">
        <w:t xml:space="preserve"> actions </w:t>
      </w:r>
      <w:r w:rsidR="00274B23" w:rsidRPr="003B591C">
        <w:t xml:space="preserve">included </w:t>
      </w:r>
      <w:r w:rsidR="00D27D18" w:rsidRPr="003B591C">
        <w:t xml:space="preserve">in the </w:t>
      </w:r>
      <w:r w:rsidR="0069775F" w:rsidRPr="003B591C">
        <w:t>recovery and exit</w:t>
      </w:r>
      <w:r w:rsidR="00573481" w:rsidRPr="003B591C">
        <w:t xml:space="preserve"> </w:t>
      </w:r>
      <w:r w:rsidR="00605D2E" w:rsidRPr="003B591C">
        <w:t>p</w:t>
      </w:r>
      <w:r w:rsidR="00573481" w:rsidRPr="003B591C">
        <w:t>lan</w:t>
      </w:r>
      <w:r w:rsidRPr="003B591C">
        <w:t>.</w:t>
      </w:r>
    </w:p>
    <w:p w14:paraId="5A67605B" w14:textId="31D83B0F" w:rsidR="004000FF" w:rsidRPr="003B591C" w:rsidRDefault="004000FF" w:rsidP="004000FF">
      <w:pPr>
        <w:pStyle w:val="BodyText1"/>
      </w:pPr>
      <w:bookmarkStart w:id="54" w:name="_Ref78967156"/>
      <w:r w:rsidRPr="003B591C">
        <w:t xml:space="preserve">An APRA-regulated entity must regularly monitor the indicators of stress that would be used to trigger activation of the </w:t>
      </w:r>
      <w:r w:rsidR="0069775F" w:rsidRPr="003B591C">
        <w:t>recovery and exit</w:t>
      </w:r>
      <w:r w:rsidR="00573481" w:rsidRPr="003B591C">
        <w:t xml:space="preserve"> </w:t>
      </w:r>
      <w:r w:rsidR="00605D2E" w:rsidRPr="003B591C">
        <w:t>p</w:t>
      </w:r>
      <w:r w:rsidR="00573481" w:rsidRPr="003B591C">
        <w:t>lan</w:t>
      </w:r>
      <w:r w:rsidRPr="003B591C">
        <w:t xml:space="preserve"> or the specific actions within it.</w:t>
      </w:r>
      <w:bookmarkEnd w:id="54"/>
      <w:r w:rsidRPr="003B591C">
        <w:t xml:space="preserve"> </w:t>
      </w:r>
    </w:p>
    <w:p w14:paraId="05EFDC62" w14:textId="40DA31E1" w:rsidR="00093F29" w:rsidRPr="003B591C" w:rsidRDefault="00C503EF" w:rsidP="00093F29">
      <w:pPr>
        <w:pStyle w:val="Heading1"/>
      </w:pPr>
      <w:bookmarkStart w:id="55" w:name="_Toc88077123"/>
      <w:bookmarkStart w:id="56" w:name="_Toc89270417"/>
      <w:r w:rsidRPr="003B591C">
        <w:t xml:space="preserve">Testing and </w:t>
      </w:r>
      <w:bookmarkEnd w:id="55"/>
      <w:bookmarkEnd w:id="56"/>
      <w:r w:rsidR="00093F29" w:rsidRPr="003B591C">
        <w:t>review</w:t>
      </w:r>
    </w:p>
    <w:p w14:paraId="09C41574" w14:textId="0F607F4B" w:rsidR="00B7477C" w:rsidRDefault="00B7477C" w:rsidP="004B75D9">
      <w:pPr>
        <w:pStyle w:val="BodyText1"/>
      </w:pPr>
      <w:bookmarkStart w:id="57" w:name="_Hlk113530684"/>
      <w:bookmarkStart w:id="58" w:name="_Ref78899465"/>
      <w:bookmarkStart w:id="59" w:name="_Ref76544678"/>
      <w:bookmarkStart w:id="60" w:name="_Ref77233760"/>
      <w:bookmarkStart w:id="61" w:name="_Ref76543947"/>
      <w:r>
        <w:t>Unless APRA determines otherwise, a</w:t>
      </w:r>
      <w:r w:rsidR="00390F1D" w:rsidRPr="003B591C">
        <w:t>n</w:t>
      </w:r>
      <w:r w:rsidR="00461259" w:rsidRPr="003B591C">
        <w:t xml:space="preserve"> </w:t>
      </w:r>
      <w:r w:rsidR="004512D2" w:rsidRPr="003B591C">
        <w:t xml:space="preserve">APRA-regulated entity must review and update its </w:t>
      </w:r>
      <w:r>
        <w:t>recovery and exit</w:t>
      </w:r>
      <w:r w:rsidRPr="003B591C">
        <w:t xml:space="preserve"> </w:t>
      </w:r>
      <w:r w:rsidR="00605D2E" w:rsidRPr="003B591C">
        <w:t>p</w:t>
      </w:r>
      <w:r w:rsidR="00573481" w:rsidRPr="003B591C">
        <w:t>lan</w:t>
      </w:r>
      <w:r>
        <w:t>:</w:t>
      </w:r>
    </w:p>
    <w:p w14:paraId="213AD093" w14:textId="2B90F489" w:rsidR="00B7477C" w:rsidRDefault="00B7477C" w:rsidP="002F5811">
      <w:pPr>
        <w:pStyle w:val="BodyText2"/>
      </w:pPr>
      <w:r>
        <w:t>for an SFI, at least annually; and</w:t>
      </w:r>
    </w:p>
    <w:p w14:paraId="137BFA0A" w14:textId="702E7F90" w:rsidR="00B7477C" w:rsidRDefault="00B7477C" w:rsidP="002F5811">
      <w:pPr>
        <w:pStyle w:val="BodyText2"/>
      </w:pPr>
      <w:r>
        <w:t>for a non-SFI, at least every three years.</w:t>
      </w:r>
      <w:bookmarkStart w:id="62" w:name="_Toc77964706"/>
      <w:bookmarkStart w:id="63" w:name="_Toc88077124"/>
      <w:bookmarkStart w:id="64" w:name="_Toc89270418"/>
      <w:bookmarkEnd w:id="57"/>
      <w:bookmarkEnd w:id="58"/>
      <w:bookmarkEnd w:id="59"/>
      <w:bookmarkEnd w:id="60"/>
      <w:bookmarkEnd w:id="61"/>
    </w:p>
    <w:p w14:paraId="56FAFBD6" w14:textId="04FF6836" w:rsidR="00BD67BF" w:rsidRPr="003B591C" w:rsidRDefault="006B1867" w:rsidP="00B7477C">
      <w:pPr>
        <w:pStyle w:val="BodyText1"/>
      </w:pPr>
      <w:r>
        <w:t>An APRA-regulated entity must review and update its</w:t>
      </w:r>
      <w:r w:rsidR="00BD67BF" w:rsidRPr="003B591C">
        <w:t xml:space="preserve"> </w:t>
      </w:r>
      <w:r>
        <w:t>recovery and exit</w:t>
      </w:r>
      <w:r w:rsidRPr="003B591C">
        <w:t xml:space="preserve"> </w:t>
      </w:r>
      <w:r w:rsidR="00605D2E" w:rsidRPr="003B591C">
        <w:t>p</w:t>
      </w:r>
      <w:r w:rsidR="00573481" w:rsidRPr="003B591C">
        <w:t>lan</w:t>
      </w:r>
      <w:r w:rsidR="00BD67BF" w:rsidRPr="003B591C">
        <w:t xml:space="preserve"> to reflect any </w:t>
      </w:r>
      <w:r>
        <w:t xml:space="preserve">significant </w:t>
      </w:r>
      <w:r w:rsidR="00BD67BF" w:rsidRPr="003B591C">
        <w:t xml:space="preserve">changes in legal or organisational structure, business mix, </w:t>
      </w:r>
      <w:proofErr w:type="gramStart"/>
      <w:r w:rsidR="00BD67BF" w:rsidRPr="003B591C">
        <w:t>strategy</w:t>
      </w:r>
      <w:proofErr w:type="gramEnd"/>
      <w:r w:rsidR="00BD67BF" w:rsidRPr="003B591C">
        <w:t xml:space="preserve"> or risk profile.</w:t>
      </w:r>
    </w:p>
    <w:p w14:paraId="12873E47" w14:textId="2074579B" w:rsidR="00C503EF" w:rsidRPr="003B591C" w:rsidRDefault="00C503EF" w:rsidP="00B7477C">
      <w:pPr>
        <w:pStyle w:val="BodyText1"/>
      </w:pPr>
      <w:r w:rsidRPr="003B591C">
        <w:t>An</w:t>
      </w:r>
      <w:r w:rsidR="00B75023" w:rsidRPr="003B591C">
        <w:t xml:space="preserve"> </w:t>
      </w:r>
      <w:r w:rsidR="00BD67BF" w:rsidRPr="003B591C">
        <w:t xml:space="preserve">SFI </w:t>
      </w:r>
      <w:r w:rsidRPr="003B591C">
        <w:t xml:space="preserve">must undertake a comprehensive review at least every three years of the effectiveness of the </w:t>
      </w:r>
      <w:r w:rsidR="0069775F" w:rsidRPr="003B591C">
        <w:t>recovery and exit</w:t>
      </w:r>
      <w:r w:rsidR="00573481" w:rsidRPr="003B591C">
        <w:t xml:space="preserve"> </w:t>
      </w:r>
      <w:r w:rsidR="004E7020" w:rsidRPr="003B591C">
        <w:t>p</w:t>
      </w:r>
      <w:r w:rsidR="00573481" w:rsidRPr="003B591C">
        <w:t>lan</w:t>
      </w:r>
      <w:r w:rsidRPr="003B591C">
        <w:t xml:space="preserve"> and its readiness and capabilities to execute it. The comprehensive review must be conducted by operationally independent, </w:t>
      </w:r>
      <w:r w:rsidRPr="003B591C">
        <w:rPr>
          <w:shd w:val="clear" w:color="auto" w:fill="FFFFFF"/>
        </w:rPr>
        <w:t xml:space="preserve">appropriately </w:t>
      </w:r>
      <w:proofErr w:type="gramStart"/>
      <w:r w:rsidRPr="003B591C">
        <w:rPr>
          <w:shd w:val="clear" w:color="auto" w:fill="FFFFFF"/>
        </w:rPr>
        <w:t>experienced</w:t>
      </w:r>
      <w:proofErr w:type="gramEnd"/>
      <w:r w:rsidRPr="003B591C">
        <w:rPr>
          <w:shd w:val="clear" w:color="auto" w:fill="FFFFFF"/>
        </w:rPr>
        <w:t xml:space="preserve"> and competent persons</w:t>
      </w:r>
      <w:r w:rsidRPr="003B591C">
        <w:t>.</w:t>
      </w:r>
    </w:p>
    <w:p w14:paraId="5475F378" w14:textId="4F7C0BE5" w:rsidR="00C503EF" w:rsidRPr="003B591C" w:rsidRDefault="00C503EF" w:rsidP="00B7477C">
      <w:pPr>
        <w:pStyle w:val="BodyText1"/>
      </w:pPr>
      <w:r w:rsidRPr="003B591C">
        <w:t xml:space="preserve">As part of the comprehensive review, an SFI must conduct operational testing to simulate the use of the </w:t>
      </w:r>
      <w:r w:rsidR="0069775F" w:rsidRPr="003B591C">
        <w:t>recovery and exit</w:t>
      </w:r>
      <w:r w:rsidR="00573481" w:rsidRPr="003B591C">
        <w:t xml:space="preserve"> </w:t>
      </w:r>
      <w:r w:rsidR="004E7020" w:rsidRPr="003B591C">
        <w:t>p</w:t>
      </w:r>
      <w:r w:rsidR="00573481" w:rsidRPr="003B591C">
        <w:t>lan</w:t>
      </w:r>
      <w:r w:rsidRPr="003B591C">
        <w:t xml:space="preserve">. This must involve a test of the governance arrangements, communication plan, operational elements of key actions, and internal reporting. </w:t>
      </w:r>
    </w:p>
    <w:p w14:paraId="38BE3C47" w14:textId="12E39581" w:rsidR="00093F29" w:rsidRPr="003B591C" w:rsidRDefault="00093F29" w:rsidP="00093F29">
      <w:pPr>
        <w:pStyle w:val="Heading1"/>
      </w:pPr>
      <w:r w:rsidRPr="003B591C">
        <w:t>Notification</w:t>
      </w:r>
      <w:bookmarkEnd w:id="62"/>
      <w:bookmarkEnd w:id="63"/>
      <w:bookmarkEnd w:id="64"/>
    </w:p>
    <w:p w14:paraId="751B3134" w14:textId="0521CF54" w:rsidR="00093F29" w:rsidRPr="003B591C" w:rsidRDefault="00093F29" w:rsidP="00484D67">
      <w:pPr>
        <w:pStyle w:val="BodyText1"/>
      </w:pPr>
      <w:bookmarkStart w:id="65" w:name="_Hlk106646263"/>
      <w:r w:rsidRPr="003B591C">
        <w:t xml:space="preserve">An APRA-regulated entity must provide a copy of the </w:t>
      </w:r>
      <w:r w:rsidR="0069775F" w:rsidRPr="003B591C">
        <w:t>recovery and exit</w:t>
      </w:r>
      <w:r w:rsidR="00573481" w:rsidRPr="003B591C">
        <w:t xml:space="preserve"> </w:t>
      </w:r>
      <w:r w:rsidR="004E7020" w:rsidRPr="003B591C">
        <w:t>p</w:t>
      </w:r>
      <w:r w:rsidR="00573481" w:rsidRPr="003B591C">
        <w:t>lan</w:t>
      </w:r>
      <w:r w:rsidRPr="003B591C">
        <w:t xml:space="preserve"> to APRA</w:t>
      </w:r>
      <w:r w:rsidR="00D04E90" w:rsidRPr="003B591C">
        <w:t xml:space="preserve"> </w:t>
      </w:r>
      <w:r w:rsidR="00EB1912" w:rsidRPr="003B591C">
        <w:t>following each review</w:t>
      </w:r>
      <w:r w:rsidR="00D04E90" w:rsidRPr="003B591C">
        <w:t>,</w:t>
      </w:r>
      <w:r w:rsidRPr="003B591C">
        <w:t xml:space="preserve"> within three months of </w:t>
      </w:r>
      <w:r w:rsidR="00D04E90" w:rsidRPr="003B591C">
        <w:t xml:space="preserve">the </w:t>
      </w:r>
      <w:r w:rsidR="0069775F" w:rsidRPr="003B591C">
        <w:t>recovery and exit</w:t>
      </w:r>
      <w:r w:rsidR="00573481" w:rsidRPr="003B591C">
        <w:t xml:space="preserve"> </w:t>
      </w:r>
      <w:r w:rsidR="004E7020" w:rsidRPr="003B591C">
        <w:t>p</w:t>
      </w:r>
      <w:r w:rsidR="00573481" w:rsidRPr="003B591C">
        <w:t>lan</w:t>
      </w:r>
      <w:r w:rsidRPr="003B591C">
        <w:t xml:space="preserve"> being approved by the Board.</w:t>
      </w:r>
    </w:p>
    <w:p w14:paraId="7507DC1D" w14:textId="22E76A54" w:rsidR="001F6B8D" w:rsidRPr="003B591C" w:rsidRDefault="00093F29" w:rsidP="00484D67">
      <w:pPr>
        <w:pStyle w:val="BodyText1"/>
      </w:pPr>
      <w:bookmarkStart w:id="66" w:name="_Ref83204200"/>
      <w:bookmarkEnd w:id="65"/>
      <w:r w:rsidRPr="003B591C">
        <w:lastRenderedPageBreak/>
        <w:t>An APRA-regulated entity must notify APRA if it</w:t>
      </w:r>
      <w:r w:rsidR="00DE2FB3" w:rsidRPr="003B591C">
        <w:t xml:space="preserve"> </w:t>
      </w:r>
      <w:r w:rsidR="00CE0EA1" w:rsidRPr="003B591C">
        <w:t xml:space="preserve">has </w:t>
      </w:r>
      <w:r w:rsidRPr="003B591C">
        <w:t>activate</w:t>
      </w:r>
      <w:r w:rsidR="00CE0EA1" w:rsidRPr="003B591C">
        <w:t>d</w:t>
      </w:r>
      <w:r w:rsidRPr="003B591C">
        <w:t xml:space="preserve"> its </w:t>
      </w:r>
      <w:r w:rsidR="0069775F" w:rsidRPr="003B591C">
        <w:t>recovery and exit</w:t>
      </w:r>
      <w:r w:rsidR="00573481" w:rsidRPr="003B591C">
        <w:t xml:space="preserve"> </w:t>
      </w:r>
      <w:r w:rsidR="004E7020" w:rsidRPr="003B591C">
        <w:t>p</w:t>
      </w:r>
      <w:r w:rsidR="00573481" w:rsidRPr="003B591C">
        <w:t>lan</w:t>
      </w:r>
      <w:r w:rsidR="00B6741D" w:rsidRPr="003B591C">
        <w:t>.</w:t>
      </w:r>
      <w:bookmarkEnd w:id="66"/>
      <w:r w:rsidRPr="003B591C">
        <w:t xml:space="preserve"> </w:t>
      </w:r>
      <w:bookmarkEnd w:id="0"/>
    </w:p>
    <w:sectPr w:rsidR="001F6B8D" w:rsidRPr="003B591C" w:rsidSect="002746BD">
      <w:headerReference w:type="default" r:id="rId13"/>
      <w:footerReference w:type="default" r:id="rId14"/>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B0AD4" w14:textId="77777777" w:rsidR="00480FA4" w:rsidRDefault="00480FA4" w:rsidP="006A6A52">
      <w:pPr>
        <w:spacing w:after="0"/>
      </w:pPr>
      <w:r>
        <w:separator/>
      </w:r>
    </w:p>
  </w:endnote>
  <w:endnote w:type="continuationSeparator" w:id="0">
    <w:p w14:paraId="27CA5150" w14:textId="77777777" w:rsidR="00480FA4" w:rsidRDefault="00480FA4" w:rsidP="006A6A52">
      <w:pPr>
        <w:spacing w:after="0"/>
      </w:pPr>
      <w:r>
        <w:continuationSeparator/>
      </w:r>
    </w:p>
  </w:endnote>
  <w:endnote w:type="continuationNotice" w:id="1">
    <w:p w14:paraId="29D4324E" w14:textId="77777777" w:rsidR="00480FA4" w:rsidRDefault="00480FA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IN OT Light">
    <w:panose1 w:val="020B0504020201010104"/>
    <w:charset w:val="00"/>
    <w:family w:val="swiss"/>
    <w:pitch w:val="variable"/>
    <w:sig w:usb0="800000EF" w:usb1="4000A47B" w:usb2="00000000" w:usb3="00000000" w:csb0="00000001"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MS PMincho">
    <w:altName w:val="ＭＳ Ｐ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1E7D7" w14:textId="6A99F9E2" w:rsidR="00012A39" w:rsidRPr="00842FBD" w:rsidRDefault="00B457C4" w:rsidP="00842FBD">
    <w:pPr>
      <w:pStyle w:val="Footer"/>
    </w:pPr>
    <w:fldSimple w:instr="STYLEREF  &quot;PS No. field text&quot;  \* MERGEFORMAT">
      <w:r w:rsidR="0012723C">
        <w:rPr>
          <w:noProof/>
        </w:rPr>
        <w:t>CPS 190</w:t>
      </w:r>
    </w:fldSimple>
    <w:r w:rsidR="00012A39">
      <w:t xml:space="preserve"> – </w:t>
    </w:r>
    <w:r w:rsidR="00012A39" w:rsidRPr="00842FBD">
      <w:fldChar w:fldCharType="begin"/>
    </w:r>
    <w:r w:rsidR="00012A39" w:rsidRPr="00842FBD">
      <w:instrText xml:space="preserve"> PAGE </w:instrText>
    </w:r>
    <w:r w:rsidR="00012A39" w:rsidRPr="00842FBD">
      <w:fldChar w:fldCharType="separate"/>
    </w:r>
    <w:r w:rsidR="00012A39">
      <w:rPr>
        <w:noProof/>
      </w:rPr>
      <w:t>5</w:t>
    </w:r>
    <w:r w:rsidR="00012A39" w:rsidRPr="00842FB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B6431" w14:textId="77777777" w:rsidR="00480FA4" w:rsidRDefault="00480FA4" w:rsidP="006A6A52">
      <w:pPr>
        <w:spacing w:after="0"/>
      </w:pPr>
      <w:r>
        <w:separator/>
      </w:r>
    </w:p>
  </w:footnote>
  <w:footnote w:type="continuationSeparator" w:id="0">
    <w:p w14:paraId="4D841898" w14:textId="77777777" w:rsidR="00480FA4" w:rsidRDefault="00480FA4" w:rsidP="006A6A52">
      <w:pPr>
        <w:spacing w:after="0"/>
      </w:pPr>
      <w:r>
        <w:continuationSeparator/>
      </w:r>
    </w:p>
  </w:footnote>
  <w:footnote w:type="continuationNotice" w:id="1">
    <w:p w14:paraId="0BE23FCA" w14:textId="77777777" w:rsidR="00480FA4" w:rsidRDefault="00480FA4">
      <w:pPr>
        <w:spacing w:after="0"/>
      </w:pPr>
    </w:p>
  </w:footnote>
  <w:footnote w:id="2">
    <w:p w14:paraId="177CF7BA" w14:textId="1038146B" w:rsidR="00111EE4" w:rsidRDefault="00111EE4" w:rsidP="000649AC">
      <w:pPr>
        <w:pStyle w:val="FootnoteText"/>
      </w:pPr>
      <w:r>
        <w:rPr>
          <w:rStyle w:val="FootnoteReference"/>
        </w:rPr>
        <w:footnoteRef/>
      </w:r>
      <w:r>
        <w:t xml:space="preserve"> </w:t>
      </w:r>
      <w:r>
        <w:tab/>
        <w:t xml:space="preserve">For the purposes of this Prudential Standard, an RSE licensee has the meaning given in subsection 10(1) of the SIS Act. An RSE licensee’s business operations includes all activities of an RSE licensee (including the activities of each RSE of which it is the licensee), and all other activities of the RSE licensee to the extent that they are relevant to, or may impact on, its activities as an RSE licensee. </w:t>
      </w:r>
    </w:p>
  </w:footnote>
  <w:footnote w:id="3">
    <w:p w14:paraId="11D00AF7" w14:textId="00BF4E94" w:rsidR="004428DA" w:rsidRDefault="004428DA">
      <w:pPr>
        <w:pStyle w:val="FootnoteText"/>
      </w:pPr>
      <w:r>
        <w:rPr>
          <w:rStyle w:val="FootnoteReference"/>
        </w:rPr>
        <w:footnoteRef/>
      </w:r>
      <w:r>
        <w:t xml:space="preserve"> </w:t>
      </w:r>
      <w:r>
        <w:tab/>
      </w:r>
      <w:bookmarkStart w:id="20" w:name="_Hlk133848245"/>
      <w:r w:rsidRPr="004428DA">
        <w:t xml:space="preserve">This power is to be exercised under </w:t>
      </w:r>
      <w:r w:rsidR="00C112C1">
        <w:t>s</w:t>
      </w:r>
      <w:r w:rsidRPr="004428DA">
        <w:t>11AF</w:t>
      </w:r>
      <w:r w:rsidR="00C112C1">
        <w:t xml:space="preserve"> </w:t>
      </w:r>
      <w:r w:rsidRPr="004428DA">
        <w:t xml:space="preserve">(1)(d) </w:t>
      </w:r>
      <w:r w:rsidR="00C112C1">
        <w:t>or</w:t>
      </w:r>
      <w:r w:rsidRPr="004428DA">
        <w:t xml:space="preserve"> (e) of the Banking Act.</w:t>
      </w:r>
      <w:bookmarkEnd w:id="20"/>
    </w:p>
  </w:footnote>
  <w:footnote w:id="4">
    <w:p w14:paraId="7B1E9E54" w14:textId="1A2B8D0E" w:rsidR="000B05EB" w:rsidRDefault="000B05EB">
      <w:pPr>
        <w:pStyle w:val="FootnoteText"/>
      </w:pPr>
      <w:r>
        <w:rPr>
          <w:rStyle w:val="FootnoteReference"/>
        </w:rPr>
        <w:footnoteRef/>
      </w:r>
      <w:r>
        <w:t xml:space="preserve"> </w:t>
      </w:r>
      <w:r>
        <w:tab/>
      </w:r>
      <w:r w:rsidRPr="000B05EB">
        <w:t xml:space="preserve">This power is to be exercised under </w:t>
      </w:r>
      <w:r w:rsidRPr="00F07D64">
        <w:t>paragraph 12</w:t>
      </w:r>
      <w:r w:rsidR="00AB0651" w:rsidRPr="00F07D64">
        <w:t xml:space="preserve"> of this </w:t>
      </w:r>
      <w:r w:rsidR="000E4FFE" w:rsidRPr="00F07D64">
        <w:t>Prudential Standard</w:t>
      </w:r>
      <w:r w:rsidRPr="00F07D64">
        <w:t>.</w:t>
      </w:r>
    </w:p>
  </w:footnote>
  <w:footnote w:id="5">
    <w:p w14:paraId="0FC9C108" w14:textId="3B5E5A61" w:rsidR="00303C06" w:rsidRDefault="00303C06" w:rsidP="00303C06">
      <w:pPr>
        <w:pStyle w:val="FootnoteText"/>
      </w:pPr>
      <w:r>
        <w:rPr>
          <w:rStyle w:val="FootnoteReference"/>
        </w:rPr>
        <w:footnoteRef/>
      </w:r>
      <w:r>
        <w:tab/>
      </w:r>
      <w:r w:rsidR="00353FE5">
        <w:t>APS 001, GPS 001, LPS 001 and HPS 001 define the terms SFI and non-SFI in relation to other APRA-regulated entities.</w:t>
      </w:r>
    </w:p>
  </w:footnote>
  <w:footnote w:id="6">
    <w:p w14:paraId="6A3026EB" w14:textId="148D501E" w:rsidR="00111EE4" w:rsidRDefault="00111EE4" w:rsidP="005D619E">
      <w:pPr>
        <w:pStyle w:val="FootnoteText"/>
      </w:pPr>
      <w:r>
        <w:rPr>
          <w:rStyle w:val="FootnoteReference"/>
        </w:rPr>
        <w:footnoteRef/>
      </w:r>
      <w:r>
        <w:t xml:space="preserve"> </w:t>
      </w:r>
      <w:r>
        <w:tab/>
        <w:t xml:space="preserve">Head of a group means a </w:t>
      </w:r>
      <w:r w:rsidRPr="00F87765">
        <w:t>Level 2</w:t>
      </w:r>
      <w:r>
        <w:t xml:space="preserve"> Head or a </w:t>
      </w:r>
      <w:r w:rsidRPr="005D73C6">
        <w:rPr>
          <w:b/>
        </w:rPr>
        <w:t xml:space="preserve">Level 3 </w:t>
      </w:r>
      <w:r w:rsidRPr="00F87765">
        <w:rPr>
          <w:b/>
        </w:rPr>
        <w:t>Head</w:t>
      </w:r>
      <w:r>
        <w:t xml:space="preserve"> as relevant. Level 2 Head means: where an ADI that is a member of a Level 2 group is not a </w:t>
      </w:r>
      <w:r w:rsidRPr="005D73C6">
        <w:rPr>
          <w:b/>
        </w:rPr>
        <w:t>subsidiary</w:t>
      </w:r>
      <w:r>
        <w:t xml:space="preserve"> of an authorised banking NOHC or another ADI, that ADI; where an ADI that is a member of a Level 2 group is a subsidiary of an authorised banking NOHC, that authorised banking NOHC; or the parent entity of a </w:t>
      </w:r>
      <w:r w:rsidRPr="00E72FE9">
        <w:t>Level 2 insurance group</w:t>
      </w:r>
      <w:r>
        <w:t xml:space="preserve">. For life companies, Head of a group </w:t>
      </w:r>
      <w:proofErr w:type="gramStart"/>
      <w:r>
        <w:t>includes:</w:t>
      </w:r>
      <w:proofErr w:type="gramEnd"/>
      <w:r>
        <w:t xml:space="preserve"> where a relevant group of bodies corporate is headed by a </w:t>
      </w:r>
      <w:r w:rsidRPr="00E72FE9">
        <w:t>life company</w:t>
      </w:r>
      <w:r>
        <w:t xml:space="preserve"> that is not a subsidiary of a registered NOHC, that life company; or where a relevant group of bodies corporate is headed by a registered NOHC, that registered NOHC.</w:t>
      </w:r>
      <w:r w:rsidR="00701C53">
        <w:t xml:space="preserve"> Where a Level 2 group operates within a </w:t>
      </w:r>
      <w:r w:rsidR="00701C53" w:rsidRPr="00F87765">
        <w:rPr>
          <w:b/>
        </w:rPr>
        <w:t>Level 3 group</w:t>
      </w:r>
      <w:r w:rsidR="00701C53">
        <w:t xml:space="preserve">, a requirement expressed as applying to a Head of a group is to be read as applying to the </w:t>
      </w:r>
      <w:r w:rsidR="00701C53" w:rsidRPr="005D619E">
        <w:t>Level 3 Head</w:t>
      </w:r>
      <w:r w:rsidR="00701C53">
        <w:t>. For the avoidance of doubt, the reference to Head of a group does not apply to an RSE licensee or a private health insurer</w:t>
      </w:r>
      <w:r w:rsidR="00701C53" w:rsidRPr="00D41320">
        <w:t>.</w:t>
      </w:r>
    </w:p>
  </w:footnote>
  <w:footnote w:id="7">
    <w:p w14:paraId="24EF3315" w14:textId="1F41368D" w:rsidR="00111EE4" w:rsidRDefault="00111EE4" w:rsidP="00A94475">
      <w:pPr>
        <w:pStyle w:val="FootnoteText"/>
      </w:pPr>
      <w:r>
        <w:rPr>
          <w:rStyle w:val="FootnoteReference"/>
        </w:rPr>
        <w:footnoteRef/>
      </w:r>
      <w:r>
        <w:t xml:space="preserve"> </w:t>
      </w:r>
      <w:r>
        <w:tab/>
      </w:r>
      <w:bookmarkStart w:id="22" w:name="_Hlk119059223"/>
      <w:r w:rsidR="0038453E" w:rsidRPr="0038453E">
        <w:t xml:space="preserve">Group means a Level 2 group, </w:t>
      </w:r>
      <w:r w:rsidR="0038453E" w:rsidRPr="00362D3D">
        <w:t>Level 3 group</w:t>
      </w:r>
      <w:r w:rsidR="0038453E" w:rsidRPr="0038453E">
        <w:t xml:space="preserve"> or a group comprising the RSE licensee and all connected entities (as defined in subsection 10(1) of the SIS Act) and all related bodies corporate (with the meaning given in section 50 of the </w:t>
      </w:r>
      <w:r w:rsidR="0038453E" w:rsidRPr="005D73C6">
        <w:rPr>
          <w:i/>
        </w:rPr>
        <w:t>Corporations Act 2001</w:t>
      </w:r>
      <w:r w:rsidR="0038453E" w:rsidRPr="0038453E">
        <w:t xml:space="preserve">) of the RSE licensee, as relevant. Level 2 group means the entities that comprise </w:t>
      </w:r>
      <w:r w:rsidR="0038453E" w:rsidRPr="00F87765">
        <w:rPr>
          <w:b/>
        </w:rPr>
        <w:t>Level 2</w:t>
      </w:r>
      <w:r w:rsidR="0038453E" w:rsidRPr="0038453E">
        <w:t xml:space="preserve"> (for ADIs) or Level 2 insurance groups (for general insurers). For the avoidance of doubt, </w:t>
      </w:r>
      <w:r w:rsidR="0038453E" w:rsidRPr="00A20FA6">
        <w:t>group</w:t>
      </w:r>
      <w:r w:rsidR="0038453E" w:rsidRPr="0038453E">
        <w:t xml:space="preserve"> includes a group as defined in APS 001 and, for an RSE licensee, where the RSE licensee is part of a corporate group</w:t>
      </w:r>
      <w:r w:rsidR="0038453E">
        <w:t>.</w:t>
      </w:r>
      <w:bookmarkEnd w:id="22"/>
    </w:p>
  </w:footnote>
  <w:footnote w:id="8">
    <w:p w14:paraId="29394176" w14:textId="7CE7CDA1" w:rsidR="00111EE4" w:rsidRDefault="00111EE4">
      <w:pPr>
        <w:pStyle w:val="FootnoteText"/>
      </w:pPr>
      <w:r>
        <w:rPr>
          <w:rStyle w:val="FootnoteReference"/>
        </w:rPr>
        <w:footnoteRef/>
      </w:r>
      <w:r>
        <w:tab/>
        <w:t xml:space="preserve">Refer to </w:t>
      </w:r>
      <w:r w:rsidRPr="009D5ADF">
        <w:rPr>
          <w:i/>
        </w:rPr>
        <w:t>Prudential Standard CPS 220 Risk Management</w:t>
      </w:r>
      <w:r w:rsidRPr="009D5ADF">
        <w:t xml:space="preserve"> </w:t>
      </w:r>
      <w:r>
        <w:t xml:space="preserve">(CPS 220) or, in the case of an RSE licensee, </w:t>
      </w:r>
      <w:r w:rsidRPr="009D5ADF">
        <w:rPr>
          <w:i/>
        </w:rPr>
        <w:t>Prudential Standard SPS</w:t>
      </w:r>
      <w:r>
        <w:rPr>
          <w:i/>
        </w:rPr>
        <w:t> </w:t>
      </w:r>
      <w:r w:rsidRPr="009D5ADF">
        <w:rPr>
          <w:i/>
        </w:rPr>
        <w:t>220 Risk Management</w:t>
      </w:r>
      <w:r w:rsidRPr="00B160E1">
        <w:t xml:space="preserve"> (</w:t>
      </w:r>
      <w:r>
        <w:t>SPS 220)</w:t>
      </w:r>
      <w:r>
        <w:rPr>
          <w:i/>
        </w:rPr>
        <w:t>.</w:t>
      </w:r>
    </w:p>
  </w:footnote>
  <w:footnote w:id="9">
    <w:p w14:paraId="26AF6359" w14:textId="0BE10262" w:rsidR="00D74494" w:rsidRDefault="00D74494">
      <w:pPr>
        <w:pStyle w:val="FootnoteText"/>
      </w:pPr>
      <w:r>
        <w:rPr>
          <w:rStyle w:val="FootnoteReference"/>
        </w:rPr>
        <w:footnoteRef/>
      </w:r>
      <w:r>
        <w:t xml:space="preserve"> </w:t>
      </w:r>
      <w:r>
        <w:tab/>
      </w:r>
      <w:r w:rsidRPr="00D74494">
        <w:t xml:space="preserve">Refer to </w:t>
      </w:r>
      <w:r w:rsidRPr="00A20FA6">
        <w:rPr>
          <w:i/>
        </w:rPr>
        <w:t xml:space="preserve">Prudential Standard </w:t>
      </w:r>
      <w:r w:rsidRPr="00D74494">
        <w:rPr>
          <w:i/>
        </w:rPr>
        <w:t>SPS 515 Strategic Planning and Member Outcomes</w:t>
      </w:r>
      <w:r w:rsidRPr="00D74494">
        <w:t xml:space="preserve"> (SPS 515). Where an RSE licensee determines that changes to its business operations would likely improve outcomes for beneficiaries or the sound and prudent management of its business, the RSE licensee must reflect those changes in its business plan. This would include changes to its business operations arising from </w:t>
      </w:r>
      <w:r w:rsidR="0069775F" w:rsidRPr="00F77F9F">
        <w:t>recovery and exit</w:t>
      </w:r>
      <w:r w:rsidRPr="00D74494">
        <w:t xml:space="preserve"> planning as required by this Prudential Standard.</w:t>
      </w:r>
    </w:p>
  </w:footnote>
  <w:footnote w:id="10">
    <w:p w14:paraId="11EC8F0E" w14:textId="167680E0" w:rsidR="00773C88" w:rsidRDefault="00773C88" w:rsidP="00773C88">
      <w:pPr>
        <w:pStyle w:val="FootnoteText"/>
      </w:pPr>
      <w:r>
        <w:rPr>
          <w:rStyle w:val="FootnoteReference"/>
        </w:rPr>
        <w:footnoteRef/>
      </w:r>
      <w:r>
        <w:t xml:space="preserve"> </w:t>
      </w:r>
      <w:r>
        <w:tab/>
        <w:t>“</w:t>
      </w:r>
      <w:r w:rsidRPr="00F727CD">
        <w:t>Board</w:t>
      </w:r>
      <w:r>
        <w:t>”</w:t>
      </w:r>
      <w:r w:rsidRPr="00F727CD">
        <w:t xml:space="preserve"> refers, in the case of a foreign ADI, to the senior officer outside Australia as referred to in </w:t>
      </w:r>
      <w:r w:rsidRPr="00791E7C">
        <w:rPr>
          <w:i/>
        </w:rPr>
        <w:t>Prudential Standard CPS 510 Governance</w:t>
      </w:r>
      <w:r w:rsidRPr="00F727CD">
        <w:t xml:space="preserve"> (CPS 510) and as defined in APS 001. In the case of a Category C insurer or an EFLIC, </w:t>
      </w:r>
      <w:r>
        <w:t>“</w:t>
      </w:r>
      <w:r w:rsidRPr="00F727CD">
        <w:t>Board</w:t>
      </w:r>
      <w:r>
        <w:t>”</w:t>
      </w:r>
      <w:r w:rsidRPr="00F727CD">
        <w:t xml:space="preserve"> refers to the senior officer outside Australia or Compliance Committee (as applicable)</w:t>
      </w:r>
      <w:r w:rsidR="00604557">
        <w:t>,</w:t>
      </w:r>
      <w:r w:rsidRPr="00F727CD">
        <w:t xml:space="preserve"> as referred to in CPS 510 and as defined in GPS 001, LPS 001 and HPS 001.</w:t>
      </w:r>
    </w:p>
  </w:footnote>
  <w:footnote w:id="11">
    <w:p w14:paraId="54993F81" w14:textId="522512A9" w:rsidR="00111EE4" w:rsidRDefault="00111EE4" w:rsidP="007823A2">
      <w:pPr>
        <w:pStyle w:val="FootnoteText"/>
      </w:pPr>
      <w:r>
        <w:rPr>
          <w:rStyle w:val="FootnoteReference"/>
        </w:rPr>
        <w:footnoteRef/>
      </w:r>
      <w:r>
        <w:tab/>
        <w:t>For an RSE licensee, the triggers must be relevant to the RSE licensee’s business operations and may be informed by the key performance indicators used by the RSE licensee to monitor performance against the business plan (refer to SPS 515).</w:t>
      </w:r>
    </w:p>
  </w:footnote>
  <w:footnote w:id="12">
    <w:p w14:paraId="39E078E0" w14:textId="77777777" w:rsidR="00C503EF" w:rsidRDefault="00C503EF" w:rsidP="00C503EF">
      <w:pPr>
        <w:pStyle w:val="FootnoteText"/>
      </w:pPr>
      <w:r>
        <w:rPr>
          <w:rStyle w:val="FootnoteReference"/>
        </w:rPr>
        <w:footnoteRef/>
      </w:r>
      <w:r>
        <w:t xml:space="preserve"> </w:t>
      </w:r>
      <w:r>
        <w:tab/>
        <w:t>In the case of RSE licensees, f</w:t>
      </w:r>
      <w:r w:rsidRPr="003021CF">
        <w:t xml:space="preserve">or the avoidance of doubt, the reference to liquidity position does not refer to the liquidity and cash flow management requirements in </w:t>
      </w:r>
      <w:r w:rsidRPr="00612765">
        <w:rPr>
          <w:i/>
        </w:rPr>
        <w:t>Prudential Standard SPS 530 Investment Governance</w:t>
      </w:r>
      <w:r>
        <w:t>.</w:t>
      </w:r>
    </w:p>
  </w:footnote>
  <w:footnote w:id="13">
    <w:p w14:paraId="6A3B6F8C" w14:textId="6AFFB33E" w:rsidR="00111EE4" w:rsidRDefault="00111EE4">
      <w:pPr>
        <w:pStyle w:val="FootnoteText"/>
      </w:pPr>
      <w:r>
        <w:rPr>
          <w:rStyle w:val="FootnoteReference"/>
        </w:rPr>
        <w:footnoteRef/>
      </w:r>
      <w:r>
        <w:tab/>
        <w:t>These capabilities may be maintained within the APRA-regulated entity or via an appropriate agreement with an external party.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4143"/>
      <w:gridCol w:w="4169"/>
    </w:tblGrid>
    <w:tr w:rsidR="002746BD" w14:paraId="0E5B8AD8" w14:textId="77777777" w:rsidTr="00612765">
      <w:tc>
        <w:tcPr>
          <w:tcW w:w="4264" w:type="dxa"/>
          <w:tcBorders>
            <w:top w:val="nil"/>
            <w:left w:val="nil"/>
            <w:bottom w:val="nil"/>
            <w:right w:val="nil"/>
          </w:tcBorders>
        </w:tcPr>
        <w:p w14:paraId="17C99DE2" w14:textId="77777777" w:rsidR="002746BD" w:rsidRDefault="002746BD" w:rsidP="00187D9C">
          <w:pPr>
            <w:pStyle w:val="Header"/>
          </w:pPr>
        </w:p>
      </w:tc>
      <w:tc>
        <w:tcPr>
          <w:tcW w:w="4264" w:type="dxa"/>
          <w:tcBorders>
            <w:top w:val="nil"/>
            <w:left w:val="nil"/>
            <w:bottom w:val="nil"/>
            <w:right w:val="nil"/>
          </w:tcBorders>
        </w:tcPr>
        <w:p w14:paraId="2CBA9E66" w14:textId="77777777" w:rsidR="002746BD" w:rsidRDefault="002746BD" w:rsidP="00187D9C">
          <w:pPr>
            <w:pStyle w:val="Header"/>
          </w:pPr>
          <w:r>
            <w:t>January 2024</w:t>
          </w:r>
        </w:p>
      </w:tc>
    </w:tr>
  </w:tbl>
  <w:p w14:paraId="68EA4780" w14:textId="77777777" w:rsidR="002746BD" w:rsidRDefault="002746BD" w:rsidP="00187D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954EC24"/>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3C2CAEEC"/>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C4826C46"/>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6A048E4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34E786E"/>
    <w:multiLevelType w:val="multilevel"/>
    <w:tmpl w:val="EABA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F31B20"/>
    <w:multiLevelType w:val="hybridMultilevel"/>
    <w:tmpl w:val="BC7EBFF4"/>
    <w:lvl w:ilvl="0" w:tplc="301E3FFA">
      <w:start w:val="1"/>
      <w:numFmt w:val="decimal"/>
      <w:lvlText w:val="%1."/>
      <w:lvlJc w:val="left"/>
      <w:pPr>
        <w:tabs>
          <w:tab w:val="num" w:pos="567"/>
        </w:tabs>
        <w:ind w:left="567" w:hanging="567"/>
      </w:pPr>
      <w:rPr>
        <w:rFonts w:ascii="Times New Roman" w:hAnsi="Times New Roman" w:hint="default"/>
        <w:b w:val="0"/>
        <w:i w:val="0"/>
        <w:sz w:val="24"/>
        <w:szCs w:val="24"/>
        <w:vertAlign w:val="baseline"/>
      </w:rPr>
    </w:lvl>
    <w:lvl w:ilvl="1" w:tplc="1DFE0F2A">
      <w:start w:val="1"/>
      <w:numFmt w:val="lowerLetter"/>
      <w:lvlText w:val="(%2)"/>
      <w:lvlJc w:val="left"/>
      <w:pPr>
        <w:tabs>
          <w:tab w:val="num" w:pos="1134"/>
        </w:tabs>
        <w:ind w:left="1134" w:hanging="567"/>
      </w:pPr>
      <w:rPr>
        <w:rFonts w:ascii="Times New Roman" w:hAnsi="Times New Roman" w:hint="default"/>
        <w:b w:val="0"/>
        <w:i w:val="0"/>
        <w:sz w:val="24"/>
        <w:szCs w:val="24"/>
        <w:vertAlign w:val="baseline"/>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146512D5"/>
    <w:multiLevelType w:val="hybridMultilevel"/>
    <w:tmpl w:val="61545A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463545"/>
    <w:multiLevelType w:val="multilevel"/>
    <w:tmpl w:val="99EED59E"/>
    <w:lvl w:ilvl="0">
      <w:start w:val="1"/>
      <w:numFmt w:val="decimal"/>
      <w:pStyle w:val="BodyText1"/>
      <w:lvlText w:val="%1."/>
      <w:lvlJc w:val="left"/>
      <w:pPr>
        <w:tabs>
          <w:tab w:val="num" w:pos="709"/>
        </w:tabs>
        <w:ind w:left="709" w:hanging="567"/>
      </w:pPr>
      <w:rPr>
        <w:sz w:val="24"/>
        <w:szCs w:val="24"/>
      </w:rPr>
    </w:lvl>
    <w:lvl w:ilvl="1">
      <w:start w:val="1"/>
      <w:numFmt w:val="lowerLetter"/>
      <w:pStyle w:val="BodyText2"/>
      <w:lvlText w:val="(%2)"/>
      <w:lvlJc w:val="left"/>
      <w:pPr>
        <w:tabs>
          <w:tab w:val="num" w:pos="1560"/>
        </w:tabs>
        <w:ind w:left="1560" w:hanging="567"/>
      </w:pPr>
      <w:rPr>
        <w:rFonts w:hint="default"/>
      </w:rPr>
    </w:lvl>
    <w:lvl w:ilvl="2">
      <w:start w:val="1"/>
      <w:numFmt w:val="lowerRoman"/>
      <w:pStyle w:val="BodyText3"/>
      <w:lvlText w:val="(%3)"/>
      <w:lvlJc w:val="left"/>
      <w:pPr>
        <w:tabs>
          <w:tab w:val="num" w:pos="1701"/>
        </w:tabs>
        <w:ind w:left="1701" w:hanging="567"/>
      </w:pPr>
      <w:rPr>
        <w:rFonts w:hint="default"/>
      </w:rPr>
    </w:lvl>
    <w:lvl w:ilvl="3">
      <w:start w:val="1"/>
      <w:numFmt w:val="upperLetter"/>
      <w:pStyle w:val="BodyText4"/>
      <w:lvlText w:val="(%4)"/>
      <w:lvlJc w:val="left"/>
      <w:pPr>
        <w:tabs>
          <w:tab w:val="num" w:pos="2268"/>
        </w:tabs>
        <w:ind w:left="226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D701143"/>
    <w:multiLevelType w:val="hybridMultilevel"/>
    <w:tmpl w:val="E6D641D4"/>
    <w:lvl w:ilvl="0" w:tplc="2FA432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3384EE9"/>
    <w:multiLevelType w:val="hybridMultilevel"/>
    <w:tmpl w:val="4230BD5E"/>
    <w:lvl w:ilvl="0" w:tplc="FA52CEA4">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720"/>
        </w:tabs>
        <w:ind w:left="720" w:hanging="360"/>
      </w:pPr>
      <w:rPr>
        <w:rFonts w:ascii="Courier New" w:hAnsi="Courier New" w:cs="Courier New" w:hint="default"/>
      </w:rPr>
    </w:lvl>
    <w:lvl w:ilvl="2" w:tplc="0C090005" w:tentative="1">
      <w:start w:val="1"/>
      <w:numFmt w:val="bullet"/>
      <w:lvlText w:val=""/>
      <w:lvlJc w:val="left"/>
      <w:pPr>
        <w:tabs>
          <w:tab w:val="num" w:pos="1440"/>
        </w:tabs>
        <w:ind w:left="1440" w:hanging="360"/>
      </w:pPr>
      <w:rPr>
        <w:rFonts w:ascii="Wingdings" w:hAnsi="Wingdings" w:hint="default"/>
      </w:rPr>
    </w:lvl>
    <w:lvl w:ilvl="3" w:tplc="0C090001" w:tentative="1">
      <w:start w:val="1"/>
      <w:numFmt w:val="bullet"/>
      <w:lvlText w:val=""/>
      <w:lvlJc w:val="left"/>
      <w:pPr>
        <w:tabs>
          <w:tab w:val="num" w:pos="2160"/>
        </w:tabs>
        <w:ind w:left="2160" w:hanging="360"/>
      </w:pPr>
      <w:rPr>
        <w:rFonts w:ascii="Symbol" w:hAnsi="Symbol" w:hint="default"/>
      </w:rPr>
    </w:lvl>
    <w:lvl w:ilvl="4" w:tplc="0C090003" w:tentative="1">
      <w:start w:val="1"/>
      <w:numFmt w:val="bullet"/>
      <w:lvlText w:val="o"/>
      <w:lvlJc w:val="left"/>
      <w:pPr>
        <w:tabs>
          <w:tab w:val="num" w:pos="2880"/>
        </w:tabs>
        <w:ind w:left="2880" w:hanging="360"/>
      </w:pPr>
      <w:rPr>
        <w:rFonts w:ascii="Courier New" w:hAnsi="Courier New" w:cs="Courier New" w:hint="default"/>
      </w:rPr>
    </w:lvl>
    <w:lvl w:ilvl="5" w:tplc="0C090005" w:tentative="1">
      <w:start w:val="1"/>
      <w:numFmt w:val="bullet"/>
      <w:lvlText w:val=""/>
      <w:lvlJc w:val="left"/>
      <w:pPr>
        <w:tabs>
          <w:tab w:val="num" w:pos="3600"/>
        </w:tabs>
        <w:ind w:left="3600" w:hanging="360"/>
      </w:pPr>
      <w:rPr>
        <w:rFonts w:ascii="Wingdings" w:hAnsi="Wingdings" w:hint="default"/>
      </w:rPr>
    </w:lvl>
    <w:lvl w:ilvl="6" w:tplc="0C090001" w:tentative="1">
      <w:start w:val="1"/>
      <w:numFmt w:val="bullet"/>
      <w:lvlText w:val=""/>
      <w:lvlJc w:val="left"/>
      <w:pPr>
        <w:tabs>
          <w:tab w:val="num" w:pos="4320"/>
        </w:tabs>
        <w:ind w:left="4320" w:hanging="360"/>
      </w:pPr>
      <w:rPr>
        <w:rFonts w:ascii="Symbol" w:hAnsi="Symbol" w:hint="default"/>
      </w:rPr>
    </w:lvl>
    <w:lvl w:ilvl="7" w:tplc="0C090003" w:tentative="1">
      <w:start w:val="1"/>
      <w:numFmt w:val="bullet"/>
      <w:lvlText w:val="o"/>
      <w:lvlJc w:val="left"/>
      <w:pPr>
        <w:tabs>
          <w:tab w:val="num" w:pos="5040"/>
        </w:tabs>
        <w:ind w:left="5040" w:hanging="360"/>
      </w:pPr>
      <w:rPr>
        <w:rFonts w:ascii="Courier New" w:hAnsi="Courier New" w:cs="Courier New" w:hint="default"/>
      </w:rPr>
    </w:lvl>
    <w:lvl w:ilvl="8" w:tplc="0C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301F50AC"/>
    <w:multiLevelType w:val="multilevel"/>
    <w:tmpl w:val="AC5E151C"/>
    <w:styleLink w:val="BulletList"/>
    <w:lvl w:ilvl="0">
      <w:start w:val="1"/>
      <w:numFmt w:val="bullet"/>
      <w:lvlText w:val=""/>
      <w:lvlJc w:val="left"/>
      <w:pPr>
        <w:tabs>
          <w:tab w:val="num" w:pos="425"/>
        </w:tabs>
        <w:ind w:left="425" w:hanging="425"/>
      </w:pPr>
      <w:rPr>
        <w:rFonts w:ascii="Symbol" w:hAnsi="Symbol" w:hint="default"/>
        <w:color w:val="000000" w:themeColor="text1"/>
      </w:rPr>
    </w:lvl>
    <w:lvl w:ilvl="1">
      <w:start w:val="1"/>
      <w:numFmt w:val="bullet"/>
      <w:lvlText w:val="-"/>
      <w:lvlJc w:val="left"/>
      <w:pPr>
        <w:tabs>
          <w:tab w:val="num" w:pos="851"/>
        </w:tabs>
        <w:ind w:left="851" w:hanging="426"/>
      </w:pPr>
      <w:rPr>
        <w:rFonts w:ascii="Arial" w:hAnsi="Arial" w:hint="default"/>
        <w:color w:val="000000" w:themeColor="text1"/>
      </w:rPr>
    </w:lvl>
    <w:lvl w:ilvl="2">
      <w:start w:val="1"/>
      <w:numFmt w:val="bullet"/>
      <w:lvlText w:val="o"/>
      <w:lvlJc w:val="left"/>
      <w:pPr>
        <w:tabs>
          <w:tab w:val="num" w:pos="1276"/>
        </w:tabs>
        <w:ind w:left="1276" w:hanging="425"/>
      </w:pPr>
      <w:rPr>
        <w:rFonts w:ascii="Courier New" w:hAnsi="Courier New" w:hint="default"/>
        <w:color w:val="000000" w:themeColor="text1"/>
      </w:rPr>
    </w:lvl>
    <w:lvl w:ilvl="3">
      <w:start w:val="1"/>
      <w:numFmt w:val="none"/>
      <w:suff w:val="nothing"/>
      <w:lvlText w:val=""/>
      <w:lvlJc w:val="left"/>
      <w:pPr>
        <w:ind w:left="425" w:firstLine="0"/>
      </w:pPr>
      <w:rPr>
        <w:rFonts w:hint="default"/>
      </w:rPr>
    </w:lvl>
    <w:lvl w:ilvl="4">
      <w:start w:val="1"/>
      <w:numFmt w:val="none"/>
      <w:suff w:val="nothing"/>
      <w:lvlText w:val=""/>
      <w:lvlJc w:val="left"/>
      <w:pPr>
        <w:ind w:left="425" w:firstLine="0"/>
      </w:pPr>
      <w:rPr>
        <w:rFonts w:hint="default"/>
      </w:rPr>
    </w:lvl>
    <w:lvl w:ilvl="5">
      <w:start w:val="1"/>
      <w:numFmt w:val="none"/>
      <w:suff w:val="nothing"/>
      <w:lvlText w:val=""/>
      <w:lvlJc w:val="left"/>
      <w:pPr>
        <w:ind w:left="425" w:firstLine="0"/>
      </w:pPr>
      <w:rPr>
        <w:rFonts w:hint="default"/>
      </w:rPr>
    </w:lvl>
    <w:lvl w:ilvl="6">
      <w:start w:val="1"/>
      <w:numFmt w:val="none"/>
      <w:suff w:val="nothing"/>
      <w:lvlText w:val=""/>
      <w:lvlJc w:val="left"/>
      <w:pPr>
        <w:ind w:left="425" w:firstLine="0"/>
      </w:pPr>
      <w:rPr>
        <w:rFonts w:hint="default"/>
      </w:rPr>
    </w:lvl>
    <w:lvl w:ilvl="7">
      <w:start w:val="1"/>
      <w:numFmt w:val="none"/>
      <w:suff w:val="nothing"/>
      <w:lvlText w:val=""/>
      <w:lvlJc w:val="left"/>
      <w:pPr>
        <w:ind w:left="425" w:firstLine="0"/>
      </w:pPr>
      <w:rPr>
        <w:rFonts w:hint="default"/>
      </w:rPr>
    </w:lvl>
    <w:lvl w:ilvl="8">
      <w:start w:val="1"/>
      <w:numFmt w:val="none"/>
      <w:suff w:val="nothing"/>
      <w:lvlText w:val=""/>
      <w:lvlJc w:val="left"/>
      <w:pPr>
        <w:ind w:left="425" w:firstLine="0"/>
      </w:pPr>
      <w:rPr>
        <w:rFonts w:hint="default"/>
      </w:rPr>
    </w:lvl>
  </w:abstractNum>
  <w:abstractNum w:abstractNumId="11" w15:restartNumberingAfterBreak="0">
    <w:nsid w:val="3197394E"/>
    <w:multiLevelType w:val="hybridMultilevel"/>
    <w:tmpl w:val="782EF9A8"/>
    <w:lvl w:ilvl="0" w:tplc="0C09000F">
      <w:start w:val="14"/>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5261ECD"/>
    <w:multiLevelType w:val="hybridMultilevel"/>
    <w:tmpl w:val="7D2447B2"/>
    <w:lvl w:ilvl="0" w:tplc="A3DCC2E6">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36A80697"/>
    <w:multiLevelType w:val="hybridMultilevel"/>
    <w:tmpl w:val="23586BDE"/>
    <w:lvl w:ilvl="0" w:tplc="052A8992">
      <w:numFmt w:val="bullet"/>
      <w:lvlText w:val="-"/>
      <w:lvlJc w:val="left"/>
      <w:pPr>
        <w:ind w:left="720" w:hanging="360"/>
      </w:pPr>
      <w:rPr>
        <w:rFonts w:ascii="Times New Roman" w:eastAsia="Calibr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8A67A19"/>
    <w:multiLevelType w:val="hybridMultilevel"/>
    <w:tmpl w:val="C4DCAE3A"/>
    <w:lvl w:ilvl="0" w:tplc="E4FC2854">
      <w:start w:val="1"/>
      <w:numFmt w:val="lowerLetter"/>
      <w:lvlText w:val="(%1)"/>
      <w:lvlJc w:val="left"/>
      <w:pPr>
        <w:tabs>
          <w:tab w:val="num" w:pos="1134"/>
        </w:tabs>
        <w:ind w:left="1134" w:hanging="567"/>
      </w:pPr>
      <w:rPr>
        <w:rFonts w:hint="default"/>
        <w:b w:val="0"/>
        <w:i w:val="0"/>
      </w:rPr>
    </w:lvl>
    <w:lvl w:ilvl="1" w:tplc="4CF85F20">
      <w:start w:val="1"/>
      <w:numFmt w:val="lowerRoman"/>
      <w:lvlText w:val="(%2)"/>
      <w:lvlJc w:val="left"/>
      <w:pPr>
        <w:tabs>
          <w:tab w:val="num" w:pos="1701"/>
        </w:tabs>
        <w:ind w:left="1701" w:hanging="567"/>
      </w:pPr>
      <w:rPr>
        <w:rFonts w:hint="default"/>
        <w:b w:val="0"/>
        <w:i w:val="0"/>
        <w:sz w:val="24"/>
        <w:szCs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450F0215"/>
    <w:multiLevelType w:val="hybridMultilevel"/>
    <w:tmpl w:val="54908966"/>
    <w:lvl w:ilvl="0" w:tplc="482C3B10">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16" w15:restartNumberingAfterBreak="0">
    <w:nsid w:val="47136269"/>
    <w:multiLevelType w:val="hybridMultilevel"/>
    <w:tmpl w:val="34146656"/>
    <w:lvl w:ilvl="0" w:tplc="5800855A">
      <w:start w:val="1"/>
      <w:numFmt w:val="bullet"/>
      <w:lvlText w:val=""/>
      <w:lvlJc w:val="left"/>
      <w:pPr>
        <w:ind w:left="259" w:hanging="360"/>
      </w:pPr>
      <w:rPr>
        <w:rFonts w:ascii="Symbol" w:hAnsi="Symbol" w:hint="default"/>
        <w:sz w:val="24"/>
        <w:szCs w:val="24"/>
      </w:rPr>
    </w:lvl>
    <w:lvl w:ilvl="1" w:tplc="0C090003" w:tentative="1">
      <w:start w:val="1"/>
      <w:numFmt w:val="bullet"/>
      <w:lvlText w:val="o"/>
      <w:lvlJc w:val="left"/>
      <w:pPr>
        <w:ind w:left="979" w:hanging="360"/>
      </w:pPr>
      <w:rPr>
        <w:rFonts w:ascii="Courier New" w:hAnsi="Courier New" w:cs="Courier New" w:hint="default"/>
      </w:rPr>
    </w:lvl>
    <w:lvl w:ilvl="2" w:tplc="0C090005" w:tentative="1">
      <w:start w:val="1"/>
      <w:numFmt w:val="bullet"/>
      <w:lvlText w:val=""/>
      <w:lvlJc w:val="left"/>
      <w:pPr>
        <w:ind w:left="1699" w:hanging="360"/>
      </w:pPr>
      <w:rPr>
        <w:rFonts w:ascii="Wingdings" w:hAnsi="Wingdings" w:hint="default"/>
      </w:rPr>
    </w:lvl>
    <w:lvl w:ilvl="3" w:tplc="0C090001" w:tentative="1">
      <w:start w:val="1"/>
      <w:numFmt w:val="bullet"/>
      <w:lvlText w:val=""/>
      <w:lvlJc w:val="left"/>
      <w:pPr>
        <w:ind w:left="2419" w:hanging="360"/>
      </w:pPr>
      <w:rPr>
        <w:rFonts w:ascii="Symbol" w:hAnsi="Symbol" w:hint="default"/>
      </w:rPr>
    </w:lvl>
    <w:lvl w:ilvl="4" w:tplc="0C090003" w:tentative="1">
      <w:start w:val="1"/>
      <w:numFmt w:val="bullet"/>
      <w:lvlText w:val="o"/>
      <w:lvlJc w:val="left"/>
      <w:pPr>
        <w:ind w:left="3139" w:hanging="360"/>
      </w:pPr>
      <w:rPr>
        <w:rFonts w:ascii="Courier New" w:hAnsi="Courier New" w:cs="Courier New" w:hint="default"/>
      </w:rPr>
    </w:lvl>
    <w:lvl w:ilvl="5" w:tplc="0C090005" w:tentative="1">
      <w:start w:val="1"/>
      <w:numFmt w:val="bullet"/>
      <w:lvlText w:val=""/>
      <w:lvlJc w:val="left"/>
      <w:pPr>
        <w:ind w:left="3859" w:hanging="360"/>
      </w:pPr>
      <w:rPr>
        <w:rFonts w:ascii="Wingdings" w:hAnsi="Wingdings" w:hint="default"/>
      </w:rPr>
    </w:lvl>
    <w:lvl w:ilvl="6" w:tplc="0C090001" w:tentative="1">
      <w:start w:val="1"/>
      <w:numFmt w:val="bullet"/>
      <w:lvlText w:val=""/>
      <w:lvlJc w:val="left"/>
      <w:pPr>
        <w:ind w:left="4579" w:hanging="360"/>
      </w:pPr>
      <w:rPr>
        <w:rFonts w:ascii="Symbol" w:hAnsi="Symbol" w:hint="default"/>
      </w:rPr>
    </w:lvl>
    <w:lvl w:ilvl="7" w:tplc="0C090003" w:tentative="1">
      <w:start w:val="1"/>
      <w:numFmt w:val="bullet"/>
      <w:lvlText w:val="o"/>
      <w:lvlJc w:val="left"/>
      <w:pPr>
        <w:ind w:left="5299" w:hanging="360"/>
      </w:pPr>
      <w:rPr>
        <w:rFonts w:ascii="Courier New" w:hAnsi="Courier New" w:cs="Courier New" w:hint="default"/>
      </w:rPr>
    </w:lvl>
    <w:lvl w:ilvl="8" w:tplc="0C090005" w:tentative="1">
      <w:start w:val="1"/>
      <w:numFmt w:val="bullet"/>
      <w:lvlText w:val=""/>
      <w:lvlJc w:val="left"/>
      <w:pPr>
        <w:ind w:left="6019" w:hanging="360"/>
      </w:pPr>
      <w:rPr>
        <w:rFonts w:ascii="Wingdings" w:hAnsi="Wingdings" w:hint="default"/>
      </w:rPr>
    </w:lvl>
  </w:abstractNum>
  <w:abstractNum w:abstractNumId="17" w15:restartNumberingAfterBreak="0">
    <w:nsid w:val="48BE6DA4"/>
    <w:multiLevelType w:val="multilevel"/>
    <w:tmpl w:val="FAF04EA0"/>
    <w:lvl w:ilvl="0">
      <w:start w:val="1"/>
      <w:numFmt w:val="bullet"/>
      <w:pStyle w:val="BoxBullet"/>
      <w:lvlText w:val=""/>
      <w:lvlJc w:val="left"/>
      <w:pPr>
        <w:tabs>
          <w:tab w:val="num" w:pos="567"/>
        </w:tabs>
        <w:ind w:left="567" w:hanging="567"/>
      </w:pPr>
      <w:rPr>
        <w:rFonts w:ascii="Symbol" w:hAnsi="Symbol" w:cs="Symbol" w:hint="default"/>
        <w:b/>
        <w:bCs/>
        <w:i w:val="0"/>
        <w:iCs w:val="0"/>
        <w:sz w:val="24"/>
        <w:szCs w:val="24"/>
      </w:rPr>
    </w:lvl>
    <w:lvl w:ilvl="1">
      <w:start w:val="1"/>
      <w:numFmt w:val="decimal"/>
      <w:isLgl/>
      <w:lvlText w:val="%1.%2"/>
      <w:lvlJc w:val="left"/>
      <w:pPr>
        <w:tabs>
          <w:tab w:val="num" w:pos="936"/>
        </w:tabs>
        <w:ind w:left="936" w:hanging="576"/>
      </w:pPr>
      <w:rPr>
        <w:rFonts w:ascii="Trebuchet MS" w:hAnsi="Trebuchet MS" w:cs="Trebuchet MS" w:hint="default"/>
        <w:b/>
        <w:bCs/>
        <w:i w:val="0"/>
        <w:iCs w:val="0"/>
        <w:sz w:val="24"/>
        <w:szCs w:val="24"/>
      </w:rPr>
    </w:lvl>
    <w:lvl w:ilvl="2">
      <w:start w:val="1"/>
      <w:numFmt w:val="decimal"/>
      <w:lvlText w:val="1%1.%2.%3"/>
      <w:lvlJc w:val="left"/>
      <w:pPr>
        <w:tabs>
          <w:tab w:val="num" w:pos="1080"/>
        </w:tabs>
        <w:ind w:left="1080" w:hanging="720"/>
      </w:pPr>
      <w:rPr>
        <w:rFonts w:ascii="Trebuchet MS" w:hAnsi="Trebuchet MS" w:cs="Trebuchet MS" w:hint="default"/>
        <w:b/>
        <w:bCs/>
        <w:i w:val="0"/>
        <w:iCs w:val="0"/>
        <w:sz w:val="24"/>
        <w:szCs w:val="24"/>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b/>
        <w:bCs/>
        <w:i w:val="0"/>
        <w:iCs w:val="0"/>
        <w:sz w:val="24"/>
        <w:szCs w:val="24"/>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8" w15:restartNumberingAfterBreak="0">
    <w:nsid w:val="494F0D1E"/>
    <w:multiLevelType w:val="hybridMultilevel"/>
    <w:tmpl w:val="F740FA28"/>
    <w:lvl w:ilvl="0" w:tplc="482C3B10">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19" w15:restartNumberingAfterBreak="0">
    <w:nsid w:val="4D5E5CA2"/>
    <w:multiLevelType w:val="hybridMultilevel"/>
    <w:tmpl w:val="F774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20637E"/>
    <w:multiLevelType w:val="hybridMultilevel"/>
    <w:tmpl w:val="AB6CD7B2"/>
    <w:lvl w:ilvl="0" w:tplc="8A5C7460">
      <w:start w:val="1"/>
      <w:numFmt w:val="lowerLetter"/>
      <w:pStyle w:val="Style1"/>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F907A4D"/>
    <w:multiLevelType w:val="hybridMultilevel"/>
    <w:tmpl w:val="4CF6D6A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51236381"/>
    <w:multiLevelType w:val="hybridMultilevel"/>
    <w:tmpl w:val="C7EE98A8"/>
    <w:lvl w:ilvl="0" w:tplc="E62E1F8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99E46F1"/>
    <w:multiLevelType w:val="hybridMultilevel"/>
    <w:tmpl w:val="9E98CD8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B5B07DF"/>
    <w:multiLevelType w:val="hybridMultilevel"/>
    <w:tmpl w:val="3208DE5E"/>
    <w:lvl w:ilvl="0" w:tplc="FA52CEA4">
      <w:start w:val="1"/>
      <w:numFmt w:val="bullet"/>
      <w:lvlText w:val=""/>
      <w:lvlJc w:val="left"/>
      <w:pPr>
        <w:tabs>
          <w:tab w:val="num" w:pos="360"/>
        </w:tabs>
        <w:ind w:left="360" w:hanging="360"/>
      </w:pPr>
      <w:rPr>
        <w:rFonts w:ascii="Symbol" w:hAnsi="Symbol" w:hint="default"/>
        <w:color w:val="333399"/>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5" w15:restartNumberingAfterBreak="0">
    <w:nsid w:val="60684985"/>
    <w:multiLevelType w:val="multilevel"/>
    <w:tmpl w:val="877A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6F06B9"/>
    <w:multiLevelType w:val="hybridMultilevel"/>
    <w:tmpl w:val="5BDEB2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9B17A3F"/>
    <w:multiLevelType w:val="multilevel"/>
    <w:tmpl w:val="8EA00C60"/>
    <w:styleLink w:val="1ai"/>
    <w:lvl w:ilvl="0">
      <w:start w:val="1"/>
      <w:numFmt w:val="none"/>
      <w:suff w:val="nothing"/>
      <w:lvlText w:val=""/>
      <w:lvlJc w:val="left"/>
      <w:pPr>
        <w:ind w:left="0" w:firstLine="0"/>
      </w:pPr>
      <w:rPr>
        <w:rFonts w:hint="default"/>
      </w:rPr>
    </w:lvl>
    <w:lvl w:ilvl="1">
      <w:start w:val="1"/>
      <w:numFmt w:val="decimal"/>
      <w:lvlText w:val="%2."/>
      <w:lvlJc w:val="left"/>
      <w:pPr>
        <w:tabs>
          <w:tab w:val="num" w:pos="425"/>
        </w:tabs>
        <w:ind w:left="425" w:hanging="425"/>
      </w:pPr>
      <w:rPr>
        <w:rFonts w:hint="default"/>
      </w:rPr>
    </w:lvl>
    <w:lvl w:ilvl="2">
      <w:start w:val="1"/>
      <w:numFmt w:val="lowerLetter"/>
      <w:lvlText w:val="%3."/>
      <w:lvlJc w:val="left"/>
      <w:pPr>
        <w:tabs>
          <w:tab w:val="num" w:pos="851"/>
        </w:tabs>
        <w:ind w:left="851" w:hanging="426"/>
      </w:pPr>
      <w:rPr>
        <w:rFonts w:hint="default"/>
      </w:rPr>
    </w:lvl>
    <w:lvl w:ilvl="3">
      <w:start w:val="1"/>
      <w:numFmt w:val="lowerRoman"/>
      <w:lvlText w:val="%4."/>
      <w:lvlJc w:val="left"/>
      <w:pPr>
        <w:tabs>
          <w:tab w:val="num" w:pos="1276"/>
        </w:tabs>
        <w:ind w:left="1276" w:hanging="425"/>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6AD3715D"/>
    <w:multiLevelType w:val="hybridMultilevel"/>
    <w:tmpl w:val="0CD6D868"/>
    <w:lvl w:ilvl="0" w:tplc="90B60390">
      <w:start w:val="2"/>
      <w:numFmt w:val="bullet"/>
      <w:lvlText w:val="-"/>
      <w:lvlJc w:val="left"/>
      <w:pPr>
        <w:ind w:left="720" w:hanging="360"/>
      </w:pPr>
      <w:rPr>
        <w:rFonts w:ascii="Arial" w:eastAsia="Calibri"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9" w15:restartNumberingAfterBreak="0">
    <w:nsid w:val="6DF34285"/>
    <w:multiLevelType w:val="hybridMultilevel"/>
    <w:tmpl w:val="BCDCB964"/>
    <w:lvl w:ilvl="0" w:tplc="A6327D4E">
      <w:start w:val="1"/>
      <w:numFmt w:val="bullet"/>
      <w:lvlText w:val=""/>
      <w:lvlJc w:val="left"/>
      <w:pPr>
        <w:tabs>
          <w:tab w:val="num" w:pos="567"/>
        </w:tabs>
        <w:ind w:left="567" w:hanging="567"/>
      </w:pPr>
      <w:rPr>
        <w:rFonts w:ascii="Symbol" w:hAnsi="Symbol" w:hint="default"/>
        <w:color w:val="auto"/>
      </w:rPr>
    </w:lvl>
    <w:lvl w:ilvl="1" w:tplc="0C090003">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30" w15:restartNumberingAfterBreak="0">
    <w:nsid w:val="6FA42487"/>
    <w:multiLevelType w:val="multilevel"/>
    <w:tmpl w:val="F07A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10478C6"/>
    <w:multiLevelType w:val="hybridMultilevel"/>
    <w:tmpl w:val="39E8EFAC"/>
    <w:lvl w:ilvl="0" w:tplc="8A4CF756">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562030C"/>
    <w:multiLevelType w:val="hybridMultilevel"/>
    <w:tmpl w:val="053E9F84"/>
    <w:lvl w:ilvl="0" w:tplc="CFF46E8A">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5825625"/>
    <w:multiLevelType w:val="hybridMultilevel"/>
    <w:tmpl w:val="046C0C7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6740FF5"/>
    <w:multiLevelType w:val="hybridMultilevel"/>
    <w:tmpl w:val="3BA6D23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8F92A9A"/>
    <w:multiLevelType w:val="hybridMultilevel"/>
    <w:tmpl w:val="95464AA6"/>
    <w:lvl w:ilvl="0" w:tplc="0D3C2F4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E832A54"/>
    <w:multiLevelType w:val="hybridMultilevel"/>
    <w:tmpl w:val="1D3ABF7A"/>
    <w:lvl w:ilvl="0" w:tplc="6C7C485A">
      <w:start w:val="1"/>
      <w:numFmt w:val="lowerRoman"/>
      <w:lvlText w:val="(%1)"/>
      <w:lvlJc w:val="left"/>
      <w:pPr>
        <w:tabs>
          <w:tab w:val="num" w:pos="1701"/>
        </w:tabs>
        <w:ind w:left="1701" w:hanging="567"/>
      </w:pPr>
      <w:rPr>
        <w:rFonts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16cid:durableId="828251622">
    <w:abstractNumId w:val="15"/>
  </w:num>
  <w:num w:numId="2" w16cid:durableId="1879856909">
    <w:abstractNumId w:val="18"/>
  </w:num>
  <w:num w:numId="3" w16cid:durableId="1235165541">
    <w:abstractNumId w:val="5"/>
  </w:num>
  <w:num w:numId="4" w16cid:durableId="298463010">
    <w:abstractNumId w:val="14"/>
  </w:num>
  <w:num w:numId="5" w16cid:durableId="1908955723">
    <w:abstractNumId w:val="36"/>
  </w:num>
  <w:num w:numId="6" w16cid:durableId="833495848">
    <w:abstractNumId w:val="9"/>
  </w:num>
  <w:num w:numId="7" w16cid:durableId="1636327151">
    <w:abstractNumId w:val="31"/>
  </w:num>
  <w:num w:numId="8" w16cid:durableId="1390375111">
    <w:abstractNumId w:val="24"/>
  </w:num>
  <w:num w:numId="9" w16cid:durableId="774593610">
    <w:abstractNumId w:val="29"/>
  </w:num>
  <w:num w:numId="10" w16cid:durableId="408188066">
    <w:abstractNumId w:val="21"/>
  </w:num>
  <w:num w:numId="11" w16cid:durableId="213391847">
    <w:abstractNumId w:val="3"/>
  </w:num>
  <w:num w:numId="12" w16cid:durableId="1844398679">
    <w:abstractNumId w:val="0"/>
  </w:num>
  <w:num w:numId="13" w16cid:durableId="1632201042">
    <w:abstractNumId w:val="2"/>
  </w:num>
  <w:num w:numId="14" w16cid:durableId="818114837">
    <w:abstractNumId w:val="1"/>
  </w:num>
  <w:num w:numId="15" w16cid:durableId="72776736">
    <w:abstractNumId w:val="19"/>
  </w:num>
  <w:num w:numId="16" w16cid:durableId="750128448">
    <w:abstractNumId w:val="6"/>
  </w:num>
  <w:num w:numId="17" w16cid:durableId="1156382747">
    <w:abstractNumId w:val="17"/>
  </w:num>
  <w:num w:numId="18" w16cid:durableId="801070744">
    <w:abstractNumId w:val="16"/>
  </w:num>
  <w:num w:numId="19" w16cid:durableId="955866620">
    <w:abstractNumId w:val="7"/>
  </w:num>
  <w:num w:numId="20" w16cid:durableId="6923418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1650380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242926">
    <w:abstractNumId w:val="10"/>
  </w:num>
  <w:num w:numId="23" w16cid:durableId="1951472157">
    <w:abstractNumId w:val="27"/>
  </w:num>
  <w:num w:numId="24" w16cid:durableId="827867286">
    <w:abstractNumId w:val="30"/>
  </w:num>
  <w:num w:numId="25" w16cid:durableId="1203597342">
    <w:abstractNumId w:val="4"/>
  </w:num>
  <w:num w:numId="26" w16cid:durableId="654378881">
    <w:abstractNumId w:val="25"/>
  </w:num>
  <w:num w:numId="27" w16cid:durableId="1382947278">
    <w:abstractNumId w:val="13"/>
  </w:num>
  <w:num w:numId="28" w16cid:durableId="1024398861">
    <w:abstractNumId w:val="8"/>
  </w:num>
  <w:num w:numId="29" w16cid:durableId="1527212418">
    <w:abstractNumId w:val="23"/>
  </w:num>
  <w:num w:numId="30" w16cid:durableId="337540134">
    <w:abstractNumId w:val="12"/>
  </w:num>
  <w:num w:numId="31" w16cid:durableId="739981878">
    <w:abstractNumId w:val="11"/>
  </w:num>
  <w:num w:numId="32" w16cid:durableId="468937150">
    <w:abstractNumId w:val="35"/>
  </w:num>
  <w:num w:numId="33" w16cid:durableId="577982200">
    <w:abstractNumId w:val="7"/>
  </w:num>
  <w:num w:numId="34" w16cid:durableId="330177915">
    <w:abstractNumId w:val="7"/>
  </w:num>
  <w:num w:numId="35" w16cid:durableId="1173955782">
    <w:abstractNumId w:val="7"/>
  </w:num>
  <w:num w:numId="36" w16cid:durableId="541015940">
    <w:abstractNumId w:val="7"/>
  </w:num>
  <w:num w:numId="37" w16cid:durableId="990718588">
    <w:abstractNumId w:val="7"/>
  </w:num>
  <w:num w:numId="38" w16cid:durableId="1722710638">
    <w:abstractNumId w:val="22"/>
  </w:num>
  <w:num w:numId="39" w16cid:durableId="1933270873">
    <w:abstractNumId w:val="26"/>
  </w:num>
  <w:num w:numId="40" w16cid:durableId="1312834537">
    <w:abstractNumId w:val="28"/>
  </w:num>
  <w:num w:numId="41" w16cid:durableId="18809743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7964089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229576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776824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560946097">
    <w:abstractNumId w:val="33"/>
  </w:num>
  <w:num w:numId="46" w16cid:durableId="1149977431">
    <w:abstractNumId w:val="34"/>
  </w:num>
  <w:num w:numId="47" w16cid:durableId="1972174926">
    <w:abstractNumId w:val="27"/>
    <w:lvlOverride w:ilvl="0">
      <w:lvl w:ilvl="0">
        <w:start w:val="1"/>
        <w:numFmt w:val="decimal"/>
        <w:lvlText w:val="%1."/>
        <w:lvlJc w:val="left"/>
        <w:pPr>
          <w:tabs>
            <w:tab w:val="num" w:pos="567"/>
          </w:tabs>
          <w:ind w:left="567" w:hanging="567"/>
        </w:pPr>
        <w:rPr>
          <w:rFonts w:ascii="DIN OT Light" w:hAnsi="DIN OT Light" w:hint="default"/>
          <w:sz w:val="22"/>
        </w:rPr>
      </w:lvl>
    </w:lvlOverride>
    <w:lvlOverride w:ilvl="1">
      <w:lvl w:ilvl="1">
        <w:start w:val="1"/>
        <w:numFmt w:val="lowerLetter"/>
        <w:lvlText w:val="%2)"/>
        <w:lvlJc w:val="left"/>
        <w:pPr>
          <w:tabs>
            <w:tab w:val="num" w:pos="1134"/>
          </w:tabs>
          <w:ind w:left="1134" w:hanging="567"/>
        </w:pPr>
        <w:rPr>
          <w:rFonts w:ascii="DIN OT Light" w:hAnsi="DIN OT Light" w:hint="default"/>
          <w:sz w:val="22"/>
        </w:rPr>
      </w:lvl>
    </w:lvlOverride>
    <w:lvlOverride w:ilvl="2">
      <w:lvl w:ilvl="2">
        <w:start w:val="1"/>
        <w:numFmt w:val="lowerRoman"/>
        <w:lvlText w:val="%3)"/>
        <w:lvlJc w:val="left"/>
        <w:pPr>
          <w:tabs>
            <w:tab w:val="num" w:pos="1701"/>
          </w:tabs>
          <w:ind w:left="1701" w:hanging="567"/>
        </w:pPr>
        <w:rPr>
          <w:rFonts w:hint="default"/>
        </w:rPr>
      </w:lvl>
    </w:lvlOverride>
    <w:lvlOverride w:ilvl="3">
      <w:lvl w:ilvl="3">
        <w:start w:val="1"/>
        <w:numFmt w:val="lowerRoman"/>
        <w:lvlText w:val="%4)"/>
        <w:lvlJc w:val="left"/>
        <w:pPr>
          <w:tabs>
            <w:tab w:val="num" w:pos="1276"/>
          </w:tabs>
          <w:ind w:left="1276" w:hanging="425"/>
        </w:pPr>
        <w:rPr>
          <w:rFonts w:hint="default"/>
        </w:rPr>
      </w:lvl>
    </w:lvlOverride>
    <w:lvlOverride w:ilvl="4">
      <w:lvl w:ilvl="4">
        <w:start w:val="1"/>
        <w:numFmt w:val="none"/>
        <w:suff w:val="nothing"/>
        <w:lvlText w:val=""/>
        <w:lvlJc w:val="left"/>
        <w:pPr>
          <w:ind w:left="0" w:firstLine="0"/>
        </w:pPr>
        <w:rPr>
          <w:rFonts w:hint="default"/>
        </w:rPr>
      </w:lvl>
    </w:lvlOverride>
    <w:lvlOverride w:ilvl="5">
      <w:lvl w:ilvl="5">
        <w:start w:val="1"/>
        <w:numFmt w:val="none"/>
        <w:suff w:val="nothing"/>
        <w:lvlText w:val=""/>
        <w:lvlJc w:val="left"/>
        <w:pPr>
          <w:ind w:left="0" w:firstLine="0"/>
        </w:pPr>
        <w:rPr>
          <w:rFonts w:hint="default"/>
        </w:rPr>
      </w:lvl>
    </w:lvlOverride>
    <w:lvlOverride w:ilvl="6">
      <w:lvl w:ilvl="6">
        <w:start w:val="1"/>
        <w:numFmt w:val="none"/>
        <w:suff w:val="nothing"/>
        <w:lvlText w:val=""/>
        <w:lvlJc w:val="left"/>
        <w:pPr>
          <w:ind w:left="0" w:firstLine="0"/>
        </w:pPr>
        <w:rPr>
          <w:rFonts w:hint="default"/>
        </w:rPr>
      </w:lvl>
    </w:lvlOverride>
    <w:lvlOverride w:ilvl="7">
      <w:lvl w:ilvl="7">
        <w:start w:val="1"/>
        <w:numFmt w:val="none"/>
        <w:lvlText w:val=""/>
        <w:lvlJc w:val="left"/>
        <w:pPr>
          <w:ind w:left="0" w:firstLine="0"/>
        </w:pPr>
        <w:rPr>
          <w:rFonts w:hint="default"/>
        </w:rPr>
      </w:lvl>
    </w:lvlOverride>
    <w:lvlOverride w:ilvl="8">
      <w:lvl w:ilvl="8">
        <w:start w:val="1"/>
        <w:numFmt w:val="none"/>
        <w:suff w:val="nothing"/>
        <w:lvlText w:val=""/>
        <w:lvlJc w:val="left"/>
        <w:pPr>
          <w:ind w:left="0" w:firstLine="0"/>
        </w:pPr>
        <w:rPr>
          <w:rFonts w:hint="default"/>
        </w:rPr>
      </w:lvl>
    </w:lvlOverride>
  </w:num>
  <w:num w:numId="48" w16cid:durableId="538593110">
    <w:abstractNumId w:val="32"/>
  </w:num>
  <w:num w:numId="49" w16cid:durableId="18789326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66497039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4244683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620188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7797187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974144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7836467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10434725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5972061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773715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3933817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4643434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361741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763159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042316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7566312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20605863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17429507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72232886">
    <w:abstractNumId w:val="2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567"/>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740"/>
    <w:rsid w:val="0000183A"/>
    <w:rsid w:val="00001D43"/>
    <w:rsid w:val="000024F6"/>
    <w:rsid w:val="0000340B"/>
    <w:rsid w:val="00003631"/>
    <w:rsid w:val="0000393C"/>
    <w:rsid w:val="00003AB7"/>
    <w:rsid w:val="000050F6"/>
    <w:rsid w:val="000059EB"/>
    <w:rsid w:val="00006D56"/>
    <w:rsid w:val="00006F30"/>
    <w:rsid w:val="00010814"/>
    <w:rsid w:val="000113B0"/>
    <w:rsid w:val="00011CD3"/>
    <w:rsid w:val="00012A39"/>
    <w:rsid w:val="00012E06"/>
    <w:rsid w:val="0001319F"/>
    <w:rsid w:val="000133D6"/>
    <w:rsid w:val="000137CB"/>
    <w:rsid w:val="00013B35"/>
    <w:rsid w:val="000142A5"/>
    <w:rsid w:val="0001733A"/>
    <w:rsid w:val="000203E8"/>
    <w:rsid w:val="0002160B"/>
    <w:rsid w:val="00021928"/>
    <w:rsid w:val="00021E00"/>
    <w:rsid w:val="000229E1"/>
    <w:rsid w:val="000231CF"/>
    <w:rsid w:val="000247FD"/>
    <w:rsid w:val="0003154B"/>
    <w:rsid w:val="00032DAD"/>
    <w:rsid w:val="00033283"/>
    <w:rsid w:val="000346DF"/>
    <w:rsid w:val="00034924"/>
    <w:rsid w:val="0003550C"/>
    <w:rsid w:val="00035BB5"/>
    <w:rsid w:val="000364D4"/>
    <w:rsid w:val="00036EDE"/>
    <w:rsid w:val="000406C8"/>
    <w:rsid w:val="00041370"/>
    <w:rsid w:val="000433DD"/>
    <w:rsid w:val="000438D2"/>
    <w:rsid w:val="000439CF"/>
    <w:rsid w:val="00043AFD"/>
    <w:rsid w:val="000449EC"/>
    <w:rsid w:val="00045D1B"/>
    <w:rsid w:val="00047149"/>
    <w:rsid w:val="000505E1"/>
    <w:rsid w:val="00050D19"/>
    <w:rsid w:val="00050FEE"/>
    <w:rsid w:val="000518B9"/>
    <w:rsid w:val="00051B35"/>
    <w:rsid w:val="00052FEF"/>
    <w:rsid w:val="00054E2F"/>
    <w:rsid w:val="00056093"/>
    <w:rsid w:val="00056EFF"/>
    <w:rsid w:val="000601B0"/>
    <w:rsid w:val="00060AC0"/>
    <w:rsid w:val="00060DE5"/>
    <w:rsid w:val="00061141"/>
    <w:rsid w:val="0006337F"/>
    <w:rsid w:val="0006413E"/>
    <w:rsid w:val="000649AC"/>
    <w:rsid w:val="00064BC8"/>
    <w:rsid w:val="00066522"/>
    <w:rsid w:val="00067C22"/>
    <w:rsid w:val="00070691"/>
    <w:rsid w:val="00070C11"/>
    <w:rsid w:val="0007112F"/>
    <w:rsid w:val="0007150B"/>
    <w:rsid w:val="000718C9"/>
    <w:rsid w:val="00071C6E"/>
    <w:rsid w:val="00072496"/>
    <w:rsid w:val="00072896"/>
    <w:rsid w:val="00072F51"/>
    <w:rsid w:val="00072F7E"/>
    <w:rsid w:val="00073A3E"/>
    <w:rsid w:val="00074421"/>
    <w:rsid w:val="00074DB0"/>
    <w:rsid w:val="0007552A"/>
    <w:rsid w:val="00075A74"/>
    <w:rsid w:val="000773B9"/>
    <w:rsid w:val="0007754F"/>
    <w:rsid w:val="000779FE"/>
    <w:rsid w:val="00080B7B"/>
    <w:rsid w:val="00081105"/>
    <w:rsid w:val="000815F8"/>
    <w:rsid w:val="00081994"/>
    <w:rsid w:val="000837F4"/>
    <w:rsid w:val="00083867"/>
    <w:rsid w:val="00084FB5"/>
    <w:rsid w:val="0008677C"/>
    <w:rsid w:val="00087D3E"/>
    <w:rsid w:val="00087E52"/>
    <w:rsid w:val="00087E91"/>
    <w:rsid w:val="00090104"/>
    <w:rsid w:val="00093098"/>
    <w:rsid w:val="00093E99"/>
    <w:rsid w:val="00093F29"/>
    <w:rsid w:val="000950C2"/>
    <w:rsid w:val="000957CA"/>
    <w:rsid w:val="00095BC6"/>
    <w:rsid w:val="00096A0A"/>
    <w:rsid w:val="000975AC"/>
    <w:rsid w:val="000A0C80"/>
    <w:rsid w:val="000A11B0"/>
    <w:rsid w:val="000A1861"/>
    <w:rsid w:val="000A1E14"/>
    <w:rsid w:val="000A1F9C"/>
    <w:rsid w:val="000A2540"/>
    <w:rsid w:val="000A323B"/>
    <w:rsid w:val="000A441C"/>
    <w:rsid w:val="000A4AF1"/>
    <w:rsid w:val="000B05EB"/>
    <w:rsid w:val="000B0B16"/>
    <w:rsid w:val="000B252D"/>
    <w:rsid w:val="000B2C5A"/>
    <w:rsid w:val="000B3E52"/>
    <w:rsid w:val="000B4C2F"/>
    <w:rsid w:val="000B5FE6"/>
    <w:rsid w:val="000B6017"/>
    <w:rsid w:val="000B6D45"/>
    <w:rsid w:val="000B7F58"/>
    <w:rsid w:val="000C01AC"/>
    <w:rsid w:val="000C059C"/>
    <w:rsid w:val="000C07A0"/>
    <w:rsid w:val="000C0B01"/>
    <w:rsid w:val="000C441B"/>
    <w:rsid w:val="000C5207"/>
    <w:rsid w:val="000C5324"/>
    <w:rsid w:val="000C55D6"/>
    <w:rsid w:val="000C575C"/>
    <w:rsid w:val="000C76DC"/>
    <w:rsid w:val="000C779C"/>
    <w:rsid w:val="000C7C6F"/>
    <w:rsid w:val="000D3012"/>
    <w:rsid w:val="000D3411"/>
    <w:rsid w:val="000D492A"/>
    <w:rsid w:val="000D4F56"/>
    <w:rsid w:val="000D532D"/>
    <w:rsid w:val="000D598C"/>
    <w:rsid w:val="000D6392"/>
    <w:rsid w:val="000D63A8"/>
    <w:rsid w:val="000D6CBD"/>
    <w:rsid w:val="000D7A9C"/>
    <w:rsid w:val="000D7F17"/>
    <w:rsid w:val="000E11AC"/>
    <w:rsid w:val="000E173D"/>
    <w:rsid w:val="000E3108"/>
    <w:rsid w:val="000E3980"/>
    <w:rsid w:val="000E399E"/>
    <w:rsid w:val="000E4A2B"/>
    <w:rsid w:val="000E4FFE"/>
    <w:rsid w:val="000E53D3"/>
    <w:rsid w:val="000E56B8"/>
    <w:rsid w:val="000E5B45"/>
    <w:rsid w:val="000F0237"/>
    <w:rsid w:val="000F05C4"/>
    <w:rsid w:val="000F0625"/>
    <w:rsid w:val="000F09D9"/>
    <w:rsid w:val="000F15E4"/>
    <w:rsid w:val="000F5215"/>
    <w:rsid w:val="000F66C4"/>
    <w:rsid w:val="00102BDC"/>
    <w:rsid w:val="001035EB"/>
    <w:rsid w:val="001058E9"/>
    <w:rsid w:val="00106127"/>
    <w:rsid w:val="00106995"/>
    <w:rsid w:val="001072B3"/>
    <w:rsid w:val="00107740"/>
    <w:rsid w:val="00110917"/>
    <w:rsid w:val="00110A0F"/>
    <w:rsid w:val="00111990"/>
    <w:rsid w:val="00111EE4"/>
    <w:rsid w:val="00112A6E"/>
    <w:rsid w:val="00112DD3"/>
    <w:rsid w:val="00112F5C"/>
    <w:rsid w:val="0011394A"/>
    <w:rsid w:val="00113B08"/>
    <w:rsid w:val="00113C4C"/>
    <w:rsid w:val="00114BF4"/>
    <w:rsid w:val="0011588E"/>
    <w:rsid w:val="00116EF8"/>
    <w:rsid w:val="001178A8"/>
    <w:rsid w:val="00117BAE"/>
    <w:rsid w:val="00120E0A"/>
    <w:rsid w:val="0012196D"/>
    <w:rsid w:val="00122D89"/>
    <w:rsid w:val="00123319"/>
    <w:rsid w:val="001239FE"/>
    <w:rsid w:val="00124E56"/>
    <w:rsid w:val="0012723C"/>
    <w:rsid w:val="001273BB"/>
    <w:rsid w:val="0012744D"/>
    <w:rsid w:val="00131023"/>
    <w:rsid w:val="00132014"/>
    <w:rsid w:val="0013237B"/>
    <w:rsid w:val="0013301A"/>
    <w:rsid w:val="00133CC1"/>
    <w:rsid w:val="00133F43"/>
    <w:rsid w:val="00136B51"/>
    <w:rsid w:val="00137231"/>
    <w:rsid w:val="00137B9B"/>
    <w:rsid w:val="0014073F"/>
    <w:rsid w:val="001407E9"/>
    <w:rsid w:val="00140C19"/>
    <w:rsid w:val="00141CA6"/>
    <w:rsid w:val="00142782"/>
    <w:rsid w:val="001434F3"/>
    <w:rsid w:val="00143B60"/>
    <w:rsid w:val="001452CF"/>
    <w:rsid w:val="001459FE"/>
    <w:rsid w:val="001468C6"/>
    <w:rsid w:val="001471DB"/>
    <w:rsid w:val="001479CE"/>
    <w:rsid w:val="00147EAF"/>
    <w:rsid w:val="001502D6"/>
    <w:rsid w:val="00150B37"/>
    <w:rsid w:val="0015232F"/>
    <w:rsid w:val="00152FD6"/>
    <w:rsid w:val="00154B41"/>
    <w:rsid w:val="001565F5"/>
    <w:rsid w:val="0015728A"/>
    <w:rsid w:val="00157760"/>
    <w:rsid w:val="0015789F"/>
    <w:rsid w:val="00160376"/>
    <w:rsid w:val="0016080D"/>
    <w:rsid w:val="00163A13"/>
    <w:rsid w:val="00165271"/>
    <w:rsid w:val="001662AC"/>
    <w:rsid w:val="00166AA5"/>
    <w:rsid w:val="001677F6"/>
    <w:rsid w:val="00167B5A"/>
    <w:rsid w:val="00172B8D"/>
    <w:rsid w:val="001733EE"/>
    <w:rsid w:val="001735FB"/>
    <w:rsid w:val="00173A04"/>
    <w:rsid w:val="00176594"/>
    <w:rsid w:val="00177E60"/>
    <w:rsid w:val="00180C56"/>
    <w:rsid w:val="00181E5B"/>
    <w:rsid w:val="00182FA1"/>
    <w:rsid w:val="00183A7E"/>
    <w:rsid w:val="0018413C"/>
    <w:rsid w:val="00185746"/>
    <w:rsid w:val="00185D10"/>
    <w:rsid w:val="00186C37"/>
    <w:rsid w:val="0018741D"/>
    <w:rsid w:val="001879CB"/>
    <w:rsid w:val="00187D9C"/>
    <w:rsid w:val="00190140"/>
    <w:rsid w:val="00191C6B"/>
    <w:rsid w:val="00194476"/>
    <w:rsid w:val="0019464D"/>
    <w:rsid w:val="001954B4"/>
    <w:rsid w:val="00195AC9"/>
    <w:rsid w:val="00196144"/>
    <w:rsid w:val="00197373"/>
    <w:rsid w:val="001A03D5"/>
    <w:rsid w:val="001A093F"/>
    <w:rsid w:val="001A0BB6"/>
    <w:rsid w:val="001A0D1D"/>
    <w:rsid w:val="001A104B"/>
    <w:rsid w:val="001A10D1"/>
    <w:rsid w:val="001A13A9"/>
    <w:rsid w:val="001A174C"/>
    <w:rsid w:val="001A2BE1"/>
    <w:rsid w:val="001A3395"/>
    <w:rsid w:val="001A43B0"/>
    <w:rsid w:val="001B07D9"/>
    <w:rsid w:val="001B0C6C"/>
    <w:rsid w:val="001B1814"/>
    <w:rsid w:val="001B2A66"/>
    <w:rsid w:val="001B3E5C"/>
    <w:rsid w:val="001B61FC"/>
    <w:rsid w:val="001B7404"/>
    <w:rsid w:val="001B7CB8"/>
    <w:rsid w:val="001B7F03"/>
    <w:rsid w:val="001B7F26"/>
    <w:rsid w:val="001C2577"/>
    <w:rsid w:val="001C25C0"/>
    <w:rsid w:val="001C297B"/>
    <w:rsid w:val="001C32A9"/>
    <w:rsid w:val="001C416B"/>
    <w:rsid w:val="001C4557"/>
    <w:rsid w:val="001C5F16"/>
    <w:rsid w:val="001C6315"/>
    <w:rsid w:val="001C755C"/>
    <w:rsid w:val="001C78C7"/>
    <w:rsid w:val="001C7EA2"/>
    <w:rsid w:val="001D3539"/>
    <w:rsid w:val="001D411E"/>
    <w:rsid w:val="001D577E"/>
    <w:rsid w:val="001E12A7"/>
    <w:rsid w:val="001E1EE6"/>
    <w:rsid w:val="001E3010"/>
    <w:rsid w:val="001E3B5C"/>
    <w:rsid w:val="001E3C6E"/>
    <w:rsid w:val="001E5424"/>
    <w:rsid w:val="001E6E46"/>
    <w:rsid w:val="001E7EA9"/>
    <w:rsid w:val="001F0854"/>
    <w:rsid w:val="001F0DB7"/>
    <w:rsid w:val="001F16F6"/>
    <w:rsid w:val="001F2C3B"/>
    <w:rsid w:val="001F4669"/>
    <w:rsid w:val="001F69D2"/>
    <w:rsid w:val="001F6B8D"/>
    <w:rsid w:val="001F7521"/>
    <w:rsid w:val="00200A23"/>
    <w:rsid w:val="00201CB0"/>
    <w:rsid w:val="00203119"/>
    <w:rsid w:val="002059E9"/>
    <w:rsid w:val="00205B2F"/>
    <w:rsid w:val="00206B84"/>
    <w:rsid w:val="002070ED"/>
    <w:rsid w:val="00207C6D"/>
    <w:rsid w:val="002115E4"/>
    <w:rsid w:val="00212667"/>
    <w:rsid w:val="0021487C"/>
    <w:rsid w:val="00214A08"/>
    <w:rsid w:val="0021591D"/>
    <w:rsid w:val="002165A9"/>
    <w:rsid w:val="00217A18"/>
    <w:rsid w:val="00220EB7"/>
    <w:rsid w:val="002239AC"/>
    <w:rsid w:val="002249B5"/>
    <w:rsid w:val="0022530F"/>
    <w:rsid w:val="00225F34"/>
    <w:rsid w:val="00225F76"/>
    <w:rsid w:val="00227C7A"/>
    <w:rsid w:val="00232849"/>
    <w:rsid w:val="00233434"/>
    <w:rsid w:val="00234861"/>
    <w:rsid w:val="00236862"/>
    <w:rsid w:val="002375DD"/>
    <w:rsid w:val="00242C7B"/>
    <w:rsid w:val="00244C05"/>
    <w:rsid w:val="00245B10"/>
    <w:rsid w:val="00246F3F"/>
    <w:rsid w:val="002500F9"/>
    <w:rsid w:val="00250BC1"/>
    <w:rsid w:val="00252A36"/>
    <w:rsid w:val="00253B29"/>
    <w:rsid w:val="00253BFD"/>
    <w:rsid w:val="002551B1"/>
    <w:rsid w:val="00255889"/>
    <w:rsid w:val="00255E49"/>
    <w:rsid w:val="0025708A"/>
    <w:rsid w:val="002600F5"/>
    <w:rsid w:val="00260E5E"/>
    <w:rsid w:val="00261A14"/>
    <w:rsid w:val="0026229F"/>
    <w:rsid w:val="00263919"/>
    <w:rsid w:val="00263AF9"/>
    <w:rsid w:val="00271EDD"/>
    <w:rsid w:val="00273AEC"/>
    <w:rsid w:val="00273CDB"/>
    <w:rsid w:val="00274047"/>
    <w:rsid w:val="002746BD"/>
    <w:rsid w:val="00274B23"/>
    <w:rsid w:val="00274F36"/>
    <w:rsid w:val="00275F35"/>
    <w:rsid w:val="0027769C"/>
    <w:rsid w:val="00277EB7"/>
    <w:rsid w:val="00280BB8"/>
    <w:rsid w:val="00281A07"/>
    <w:rsid w:val="002823A8"/>
    <w:rsid w:val="00282A1F"/>
    <w:rsid w:val="00282C94"/>
    <w:rsid w:val="00284532"/>
    <w:rsid w:val="0028469A"/>
    <w:rsid w:val="00285118"/>
    <w:rsid w:val="002856B9"/>
    <w:rsid w:val="00285BB9"/>
    <w:rsid w:val="00286337"/>
    <w:rsid w:val="00286723"/>
    <w:rsid w:val="00286E74"/>
    <w:rsid w:val="00286F67"/>
    <w:rsid w:val="002917F5"/>
    <w:rsid w:val="00291FC8"/>
    <w:rsid w:val="002926B5"/>
    <w:rsid w:val="00292E7C"/>
    <w:rsid w:val="00293559"/>
    <w:rsid w:val="0029455F"/>
    <w:rsid w:val="0029459E"/>
    <w:rsid w:val="002958D5"/>
    <w:rsid w:val="002959F9"/>
    <w:rsid w:val="002A0269"/>
    <w:rsid w:val="002A0315"/>
    <w:rsid w:val="002A0710"/>
    <w:rsid w:val="002A07F8"/>
    <w:rsid w:val="002A21C7"/>
    <w:rsid w:val="002A2A9F"/>
    <w:rsid w:val="002A3AA6"/>
    <w:rsid w:val="002A3C7F"/>
    <w:rsid w:val="002A4899"/>
    <w:rsid w:val="002A4A59"/>
    <w:rsid w:val="002A6BE8"/>
    <w:rsid w:val="002A73BB"/>
    <w:rsid w:val="002B06B3"/>
    <w:rsid w:val="002B1064"/>
    <w:rsid w:val="002B1F64"/>
    <w:rsid w:val="002B2EA6"/>
    <w:rsid w:val="002B5174"/>
    <w:rsid w:val="002B70BB"/>
    <w:rsid w:val="002B7F7F"/>
    <w:rsid w:val="002B7FEC"/>
    <w:rsid w:val="002C0BB3"/>
    <w:rsid w:val="002C0C69"/>
    <w:rsid w:val="002C3D0A"/>
    <w:rsid w:val="002C4B10"/>
    <w:rsid w:val="002C52BA"/>
    <w:rsid w:val="002C6A91"/>
    <w:rsid w:val="002D0351"/>
    <w:rsid w:val="002D046E"/>
    <w:rsid w:val="002D0B54"/>
    <w:rsid w:val="002D23F3"/>
    <w:rsid w:val="002D2907"/>
    <w:rsid w:val="002D32E4"/>
    <w:rsid w:val="002D336D"/>
    <w:rsid w:val="002D48C7"/>
    <w:rsid w:val="002D50BF"/>
    <w:rsid w:val="002D5537"/>
    <w:rsid w:val="002D63C2"/>
    <w:rsid w:val="002D70B8"/>
    <w:rsid w:val="002D77CF"/>
    <w:rsid w:val="002E1B4B"/>
    <w:rsid w:val="002E312C"/>
    <w:rsid w:val="002E342A"/>
    <w:rsid w:val="002E3888"/>
    <w:rsid w:val="002E423B"/>
    <w:rsid w:val="002E5A88"/>
    <w:rsid w:val="002E63C6"/>
    <w:rsid w:val="002E7E60"/>
    <w:rsid w:val="002F1064"/>
    <w:rsid w:val="002F1704"/>
    <w:rsid w:val="002F2047"/>
    <w:rsid w:val="002F2C4D"/>
    <w:rsid w:val="002F3976"/>
    <w:rsid w:val="002F3B13"/>
    <w:rsid w:val="002F3D6E"/>
    <w:rsid w:val="002F5811"/>
    <w:rsid w:val="002F5C9A"/>
    <w:rsid w:val="002F6D28"/>
    <w:rsid w:val="002F6DD7"/>
    <w:rsid w:val="002F7BFF"/>
    <w:rsid w:val="002F7EDC"/>
    <w:rsid w:val="00300F5E"/>
    <w:rsid w:val="00301D48"/>
    <w:rsid w:val="00301ECC"/>
    <w:rsid w:val="003021CF"/>
    <w:rsid w:val="003025E6"/>
    <w:rsid w:val="00302951"/>
    <w:rsid w:val="00303C06"/>
    <w:rsid w:val="00304093"/>
    <w:rsid w:val="0030415E"/>
    <w:rsid w:val="0030488B"/>
    <w:rsid w:val="00311277"/>
    <w:rsid w:val="00311D9B"/>
    <w:rsid w:val="00312E30"/>
    <w:rsid w:val="003136DA"/>
    <w:rsid w:val="003142C4"/>
    <w:rsid w:val="003144A8"/>
    <w:rsid w:val="00314FC7"/>
    <w:rsid w:val="00316A06"/>
    <w:rsid w:val="00316AEC"/>
    <w:rsid w:val="003213D1"/>
    <w:rsid w:val="00321891"/>
    <w:rsid w:val="00322912"/>
    <w:rsid w:val="00323006"/>
    <w:rsid w:val="00323315"/>
    <w:rsid w:val="00325722"/>
    <w:rsid w:val="00325DF8"/>
    <w:rsid w:val="00327EB2"/>
    <w:rsid w:val="00330BF1"/>
    <w:rsid w:val="00333DE9"/>
    <w:rsid w:val="00334DDD"/>
    <w:rsid w:val="0033556A"/>
    <w:rsid w:val="0033560C"/>
    <w:rsid w:val="00336BEA"/>
    <w:rsid w:val="00336CE9"/>
    <w:rsid w:val="003375E7"/>
    <w:rsid w:val="00340612"/>
    <w:rsid w:val="00340C90"/>
    <w:rsid w:val="00342532"/>
    <w:rsid w:val="003456C8"/>
    <w:rsid w:val="00345A75"/>
    <w:rsid w:val="00346100"/>
    <w:rsid w:val="0034735D"/>
    <w:rsid w:val="00351A76"/>
    <w:rsid w:val="00353FE5"/>
    <w:rsid w:val="0035401E"/>
    <w:rsid w:val="00354219"/>
    <w:rsid w:val="003561D1"/>
    <w:rsid w:val="0036036F"/>
    <w:rsid w:val="00362D3D"/>
    <w:rsid w:val="00363122"/>
    <w:rsid w:val="0036420A"/>
    <w:rsid w:val="0036451F"/>
    <w:rsid w:val="003646FD"/>
    <w:rsid w:val="00364A92"/>
    <w:rsid w:val="00365EE2"/>
    <w:rsid w:val="00366585"/>
    <w:rsid w:val="00366C92"/>
    <w:rsid w:val="00367EA0"/>
    <w:rsid w:val="003732C4"/>
    <w:rsid w:val="0037343B"/>
    <w:rsid w:val="0037573B"/>
    <w:rsid w:val="00375862"/>
    <w:rsid w:val="0037647A"/>
    <w:rsid w:val="00376B76"/>
    <w:rsid w:val="00377B9B"/>
    <w:rsid w:val="00377CA4"/>
    <w:rsid w:val="0038008E"/>
    <w:rsid w:val="00382117"/>
    <w:rsid w:val="00382965"/>
    <w:rsid w:val="0038413F"/>
    <w:rsid w:val="003843A1"/>
    <w:rsid w:val="0038453E"/>
    <w:rsid w:val="00390494"/>
    <w:rsid w:val="00390F1D"/>
    <w:rsid w:val="00390FB2"/>
    <w:rsid w:val="00391091"/>
    <w:rsid w:val="00391AD7"/>
    <w:rsid w:val="00392813"/>
    <w:rsid w:val="00392911"/>
    <w:rsid w:val="003936EA"/>
    <w:rsid w:val="00393B86"/>
    <w:rsid w:val="00393BD9"/>
    <w:rsid w:val="003959EE"/>
    <w:rsid w:val="0039734A"/>
    <w:rsid w:val="0039745C"/>
    <w:rsid w:val="003A11BE"/>
    <w:rsid w:val="003A3112"/>
    <w:rsid w:val="003A5F04"/>
    <w:rsid w:val="003A6537"/>
    <w:rsid w:val="003A76E2"/>
    <w:rsid w:val="003A7CE0"/>
    <w:rsid w:val="003B02B5"/>
    <w:rsid w:val="003B0DE0"/>
    <w:rsid w:val="003B0F6F"/>
    <w:rsid w:val="003B12C7"/>
    <w:rsid w:val="003B1EB6"/>
    <w:rsid w:val="003B27B4"/>
    <w:rsid w:val="003B355D"/>
    <w:rsid w:val="003B52EB"/>
    <w:rsid w:val="003B591C"/>
    <w:rsid w:val="003B5B64"/>
    <w:rsid w:val="003B5E35"/>
    <w:rsid w:val="003B63A6"/>
    <w:rsid w:val="003B6E0D"/>
    <w:rsid w:val="003B7B48"/>
    <w:rsid w:val="003B7CB8"/>
    <w:rsid w:val="003C079B"/>
    <w:rsid w:val="003C11C2"/>
    <w:rsid w:val="003C16D3"/>
    <w:rsid w:val="003C1A39"/>
    <w:rsid w:val="003C236F"/>
    <w:rsid w:val="003C23BA"/>
    <w:rsid w:val="003C288C"/>
    <w:rsid w:val="003C2E09"/>
    <w:rsid w:val="003C3121"/>
    <w:rsid w:val="003C46D7"/>
    <w:rsid w:val="003C5411"/>
    <w:rsid w:val="003C5F99"/>
    <w:rsid w:val="003C667A"/>
    <w:rsid w:val="003C675D"/>
    <w:rsid w:val="003C6E88"/>
    <w:rsid w:val="003C72EE"/>
    <w:rsid w:val="003C78FF"/>
    <w:rsid w:val="003C7D46"/>
    <w:rsid w:val="003D0C22"/>
    <w:rsid w:val="003D4E35"/>
    <w:rsid w:val="003D5032"/>
    <w:rsid w:val="003D6118"/>
    <w:rsid w:val="003E1013"/>
    <w:rsid w:val="003E1A14"/>
    <w:rsid w:val="003E30A0"/>
    <w:rsid w:val="003E3A7A"/>
    <w:rsid w:val="003E3C04"/>
    <w:rsid w:val="003E570F"/>
    <w:rsid w:val="003E7D30"/>
    <w:rsid w:val="003F14FB"/>
    <w:rsid w:val="003F37C8"/>
    <w:rsid w:val="003F3FCE"/>
    <w:rsid w:val="003F49BE"/>
    <w:rsid w:val="003F4F48"/>
    <w:rsid w:val="003F5AED"/>
    <w:rsid w:val="003F62FA"/>
    <w:rsid w:val="003F64C2"/>
    <w:rsid w:val="003F704F"/>
    <w:rsid w:val="004000FF"/>
    <w:rsid w:val="00404D4B"/>
    <w:rsid w:val="004050A0"/>
    <w:rsid w:val="00406064"/>
    <w:rsid w:val="004068F5"/>
    <w:rsid w:val="004071D9"/>
    <w:rsid w:val="0041039E"/>
    <w:rsid w:val="004111B0"/>
    <w:rsid w:val="004117AD"/>
    <w:rsid w:val="00412D8C"/>
    <w:rsid w:val="00414A00"/>
    <w:rsid w:val="00415C8A"/>
    <w:rsid w:val="00415F55"/>
    <w:rsid w:val="00417140"/>
    <w:rsid w:val="0042023C"/>
    <w:rsid w:val="00420C6A"/>
    <w:rsid w:val="0042105A"/>
    <w:rsid w:val="00421D86"/>
    <w:rsid w:val="004221EB"/>
    <w:rsid w:val="004236D8"/>
    <w:rsid w:val="00426703"/>
    <w:rsid w:val="00426AA7"/>
    <w:rsid w:val="004277FA"/>
    <w:rsid w:val="004279B5"/>
    <w:rsid w:val="004308B3"/>
    <w:rsid w:val="004323FD"/>
    <w:rsid w:val="00434656"/>
    <w:rsid w:val="00434B42"/>
    <w:rsid w:val="004352CB"/>
    <w:rsid w:val="00435533"/>
    <w:rsid w:val="004355AA"/>
    <w:rsid w:val="00435918"/>
    <w:rsid w:val="00436856"/>
    <w:rsid w:val="0043694F"/>
    <w:rsid w:val="00440461"/>
    <w:rsid w:val="00440ABD"/>
    <w:rsid w:val="0044108F"/>
    <w:rsid w:val="0044114B"/>
    <w:rsid w:val="00441A48"/>
    <w:rsid w:val="004428DA"/>
    <w:rsid w:val="00442E84"/>
    <w:rsid w:val="00443706"/>
    <w:rsid w:val="004439DA"/>
    <w:rsid w:val="00443ACF"/>
    <w:rsid w:val="004448E9"/>
    <w:rsid w:val="0044614C"/>
    <w:rsid w:val="00447063"/>
    <w:rsid w:val="00447E17"/>
    <w:rsid w:val="00450584"/>
    <w:rsid w:val="00451202"/>
    <w:rsid w:val="004512D2"/>
    <w:rsid w:val="00451C15"/>
    <w:rsid w:val="00452E24"/>
    <w:rsid w:val="00452FA2"/>
    <w:rsid w:val="004532FE"/>
    <w:rsid w:val="00453E3A"/>
    <w:rsid w:val="00454D14"/>
    <w:rsid w:val="004558D6"/>
    <w:rsid w:val="004560E3"/>
    <w:rsid w:val="004565E6"/>
    <w:rsid w:val="00456BA2"/>
    <w:rsid w:val="004576A8"/>
    <w:rsid w:val="00460A49"/>
    <w:rsid w:val="00461259"/>
    <w:rsid w:val="004619D5"/>
    <w:rsid w:val="004623DD"/>
    <w:rsid w:val="00464075"/>
    <w:rsid w:val="004646CC"/>
    <w:rsid w:val="00466F04"/>
    <w:rsid w:val="004677B3"/>
    <w:rsid w:val="004716E8"/>
    <w:rsid w:val="0047464F"/>
    <w:rsid w:val="0047671C"/>
    <w:rsid w:val="00476F46"/>
    <w:rsid w:val="004776D4"/>
    <w:rsid w:val="0048003D"/>
    <w:rsid w:val="00480FA4"/>
    <w:rsid w:val="00481062"/>
    <w:rsid w:val="00482331"/>
    <w:rsid w:val="00482749"/>
    <w:rsid w:val="0048371F"/>
    <w:rsid w:val="004838FC"/>
    <w:rsid w:val="00484233"/>
    <w:rsid w:val="00484D67"/>
    <w:rsid w:val="0048511B"/>
    <w:rsid w:val="00485D97"/>
    <w:rsid w:val="0048662F"/>
    <w:rsid w:val="00487FE2"/>
    <w:rsid w:val="00490483"/>
    <w:rsid w:val="00490655"/>
    <w:rsid w:val="00491394"/>
    <w:rsid w:val="00491960"/>
    <w:rsid w:val="00494187"/>
    <w:rsid w:val="0049546A"/>
    <w:rsid w:val="004955E8"/>
    <w:rsid w:val="004958AD"/>
    <w:rsid w:val="00495C2B"/>
    <w:rsid w:val="00496090"/>
    <w:rsid w:val="00496121"/>
    <w:rsid w:val="004965FD"/>
    <w:rsid w:val="00496684"/>
    <w:rsid w:val="004A066E"/>
    <w:rsid w:val="004A12AE"/>
    <w:rsid w:val="004A35CB"/>
    <w:rsid w:val="004A593E"/>
    <w:rsid w:val="004A657E"/>
    <w:rsid w:val="004A68F4"/>
    <w:rsid w:val="004A6E42"/>
    <w:rsid w:val="004A778F"/>
    <w:rsid w:val="004B0AA9"/>
    <w:rsid w:val="004B1989"/>
    <w:rsid w:val="004B1C0C"/>
    <w:rsid w:val="004B2806"/>
    <w:rsid w:val="004B46D0"/>
    <w:rsid w:val="004B5A12"/>
    <w:rsid w:val="004B5AE8"/>
    <w:rsid w:val="004B70BE"/>
    <w:rsid w:val="004B75D9"/>
    <w:rsid w:val="004C0C6A"/>
    <w:rsid w:val="004C1FFE"/>
    <w:rsid w:val="004C2113"/>
    <w:rsid w:val="004C3A49"/>
    <w:rsid w:val="004C3D07"/>
    <w:rsid w:val="004C5D05"/>
    <w:rsid w:val="004C62CD"/>
    <w:rsid w:val="004C7178"/>
    <w:rsid w:val="004C792F"/>
    <w:rsid w:val="004C7AA0"/>
    <w:rsid w:val="004D1E79"/>
    <w:rsid w:val="004D233C"/>
    <w:rsid w:val="004D3E14"/>
    <w:rsid w:val="004D547F"/>
    <w:rsid w:val="004D5F29"/>
    <w:rsid w:val="004D6C79"/>
    <w:rsid w:val="004E11C7"/>
    <w:rsid w:val="004E17DC"/>
    <w:rsid w:val="004E21D4"/>
    <w:rsid w:val="004E387A"/>
    <w:rsid w:val="004E3C93"/>
    <w:rsid w:val="004E3E1A"/>
    <w:rsid w:val="004E534D"/>
    <w:rsid w:val="004E7020"/>
    <w:rsid w:val="004F14FD"/>
    <w:rsid w:val="004F1AD7"/>
    <w:rsid w:val="004F2AC1"/>
    <w:rsid w:val="004F2D3D"/>
    <w:rsid w:val="004F3EDD"/>
    <w:rsid w:val="004F4622"/>
    <w:rsid w:val="004F4975"/>
    <w:rsid w:val="004F5103"/>
    <w:rsid w:val="004F773D"/>
    <w:rsid w:val="004F7894"/>
    <w:rsid w:val="005027C3"/>
    <w:rsid w:val="00502929"/>
    <w:rsid w:val="00504782"/>
    <w:rsid w:val="005050E8"/>
    <w:rsid w:val="00506079"/>
    <w:rsid w:val="00506AB3"/>
    <w:rsid w:val="00511473"/>
    <w:rsid w:val="005120CE"/>
    <w:rsid w:val="0051384D"/>
    <w:rsid w:val="00513BEB"/>
    <w:rsid w:val="00515048"/>
    <w:rsid w:val="00515F69"/>
    <w:rsid w:val="0051604E"/>
    <w:rsid w:val="005179EF"/>
    <w:rsid w:val="00521673"/>
    <w:rsid w:val="0052378E"/>
    <w:rsid w:val="00524868"/>
    <w:rsid w:val="00526885"/>
    <w:rsid w:val="0052728B"/>
    <w:rsid w:val="0052746C"/>
    <w:rsid w:val="00527CFF"/>
    <w:rsid w:val="00530345"/>
    <w:rsid w:val="0053145A"/>
    <w:rsid w:val="00531DE4"/>
    <w:rsid w:val="00532BFE"/>
    <w:rsid w:val="00532F1B"/>
    <w:rsid w:val="00534D68"/>
    <w:rsid w:val="00534FFE"/>
    <w:rsid w:val="00535698"/>
    <w:rsid w:val="005360F5"/>
    <w:rsid w:val="005410AC"/>
    <w:rsid w:val="00541B06"/>
    <w:rsid w:val="00543C98"/>
    <w:rsid w:val="00544072"/>
    <w:rsid w:val="005442C8"/>
    <w:rsid w:val="00545751"/>
    <w:rsid w:val="00546B8E"/>
    <w:rsid w:val="00546D92"/>
    <w:rsid w:val="0055007B"/>
    <w:rsid w:val="00550C2C"/>
    <w:rsid w:val="00551C22"/>
    <w:rsid w:val="00552CEF"/>
    <w:rsid w:val="005542E9"/>
    <w:rsid w:val="00554E7F"/>
    <w:rsid w:val="00555065"/>
    <w:rsid w:val="00555E52"/>
    <w:rsid w:val="00556604"/>
    <w:rsid w:val="00557FF3"/>
    <w:rsid w:val="005611DA"/>
    <w:rsid w:val="00561A93"/>
    <w:rsid w:val="00561F7C"/>
    <w:rsid w:val="00562748"/>
    <w:rsid w:val="00562805"/>
    <w:rsid w:val="005633B8"/>
    <w:rsid w:val="00563B18"/>
    <w:rsid w:val="0056623A"/>
    <w:rsid w:val="005662BB"/>
    <w:rsid w:val="00566BA5"/>
    <w:rsid w:val="00566C8C"/>
    <w:rsid w:val="00570D2D"/>
    <w:rsid w:val="00571E9C"/>
    <w:rsid w:val="00572297"/>
    <w:rsid w:val="00573481"/>
    <w:rsid w:val="005744A5"/>
    <w:rsid w:val="005755DC"/>
    <w:rsid w:val="00575949"/>
    <w:rsid w:val="00576882"/>
    <w:rsid w:val="005800C5"/>
    <w:rsid w:val="005808CE"/>
    <w:rsid w:val="00581231"/>
    <w:rsid w:val="00581473"/>
    <w:rsid w:val="00583BD3"/>
    <w:rsid w:val="00584C98"/>
    <w:rsid w:val="00585214"/>
    <w:rsid w:val="005862FF"/>
    <w:rsid w:val="00586D4C"/>
    <w:rsid w:val="0058717C"/>
    <w:rsid w:val="005900EE"/>
    <w:rsid w:val="00590456"/>
    <w:rsid w:val="00590AA7"/>
    <w:rsid w:val="00590D20"/>
    <w:rsid w:val="00591072"/>
    <w:rsid w:val="005910DE"/>
    <w:rsid w:val="005919CA"/>
    <w:rsid w:val="00591FA0"/>
    <w:rsid w:val="0059380C"/>
    <w:rsid w:val="00593CE5"/>
    <w:rsid w:val="00594469"/>
    <w:rsid w:val="005948A2"/>
    <w:rsid w:val="005957C8"/>
    <w:rsid w:val="00595B92"/>
    <w:rsid w:val="0059691D"/>
    <w:rsid w:val="00597FC3"/>
    <w:rsid w:val="005A0DEE"/>
    <w:rsid w:val="005A1021"/>
    <w:rsid w:val="005A13FE"/>
    <w:rsid w:val="005A44A0"/>
    <w:rsid w:val="005A5787"/>
    <w:rsid w:val="005A59A1"/>
    <w:rsid w:val="005A66A1"/>
    <w:rsid w:val="005A6B2C"/>
    <w:rsid w:val="005A75C6"/>
    <w:rsid w:val="005A78AA"/>
    <w:rsid w:val="005B0BC4"/>
    <w:rsid w:val="005B1599"/>
    <w:rsid w:val="005B1980"/>
    <w:rsid w:val="005B444B"/>
    <w:rsid w:val="005B5F81"/>
    <w:rsid w:val="005B65FE"/>
    <w:rsid w:val="005B6DC2"/>
    <w:rsid w:val="005B6EF1"/>
    <w:rsid w:val="005C056B"/>
    <w:rsid w:val="005C083B"/>
    <w:rsid w:val="005C23C3"/>
    <w:rsid w:val="005C2A28"/>
    <w:rsid w:val="005C2A38"/>
    <w:rsid w:val="005C2E4D"/>
    <w:rsid w:val="005C3AC5"/>
    <w:rsid w:val="005C3D6A"/>
    <w:rsid w:val="005C54F1"/>
    <w:rsid w:val="005C6495"/>
    <w:rsid w:val="005C676C"/>
    <w:rsid w:val="005C73D1"/>
    <w:rsid w:val="005D0060"/>
    <w:rsid w:val="005D0128"/>
    <w:rsid w:val="005D20EF"/>
    <w:rsid w:val="005D23A4"/>
    <w:rsid w:val="005D2513"/>
    <w:rsid w:val="005D561B"/>
    <w:rsid w:val="005D619E"/>
    <w:rsid w:val="005D72E3"/>
    <w:rsid w:val="005D73C6"/>
    <w:rsid w:val="005E1E75"/>
    <w:rsid w:val="005E24B3"/>
    <w:rsid w:val="005E2F5A"/>
    <w:rsid w:val="005E5663"/>
    <w:rsid w:val="005E5910"/>
    <w:rsid w:val="005E6220"/>
    <w:rsid w:val="005E6414"/>
    <w:rsid w:val="005E64E5"/>
    <w:rsid w:val="005F0B92"/>
    <w:rsid w:val="005F1337"/>
    <w:rsid w:val="005F19A5"/>
    <w:rsid w:val="005F1BC1"/>
    <w:rsid w:val="005F322C"/>
    <w:rsid w:val="005F47D3"/>
    <w:rsid w:val="005F606A"/>
    <w:rsid w:val="005F6F74"/>
    <w:rsid w:val="005F73CF"/>
    <w:rsid w:val="005F7A72"/>
    <w:rsid w:val="005F7BB5"/>
    <w:rsid w:val="00601920"/>
    <w:rsid w:val="00601C4B"/>
    <w:rsid w:val="0060217A"/>
    <w:rsid w:val="00602A3F"/>
    <w:rsid w:val="00602B72"/>
    <w:rsid w:val="006038A9"/>
    <w:rsid w:val="00603ABA"/>
    <w:rsid w:val="00604557"/>
    <w:rsid w:val="006045DC"/>
    <w:rsid w:val="00605D2E"/>
    <w:rsid w:val="00610510"/>
    <w:rsid w:val="00611D64"/>
    <w:rsid w:val="00612765"/>
    <w:rsid w:val="00613105"/>
    <w:rsid w:val="00614F04"/>
    <w:rsid w:val="00616E4A"/>
    <w:rsid w:val="0062114D"/>
    <w:rsid w:val="00622480"/>
    <w:rsid w:val="00622CA6"/>
    <w:rsid w:val="00625C17"/>
    <w:rsid w:val="0062685F"/>
    <w:rsid w:val="00630CD2"/>
    <w:rsid w:val="0063100B"/>
    <w:rsid w:val="0063125A"/>
    <w:rsid w:val="0063140A"/>
    <w:rsid w:val="00634280"/>
    <w:rsid w:val="00635D0F"/>
    <w:rsid w:val="006363AE"/>
    <w:rsid w:val="006367F4"/>
    <w:rsid w:val="00637BD5"/>
    <w:rsid w:val="00641A67"/>
    <w:rsid w:val="00642FD3"/>
    <w:rsid w:val="00645167"/>
    <w:rsid w:val="006455C6"/>
    <w:rsid w:val="006457B3"/>
    <w:rsid w:val="00647D58"/>
    <w:rsid w:val="00647E06"/>
    <w:rsid w:val="00650E49"/>
    <w:rsid w:val="00650EE5"/>
    <w:rsid w:val="00651086"/>
    <w:rsid w:val="00652308"/>
    <w:rsid w:val="00653EE6"/>
    <w:rsid w:val="00654EFA"/>
    <w:rsid w:val="00656477"/>
    <w:rsid w:val="00656D42"/>
    <w:rsid w:val="00661335"/>
    <w:rsid w:val="0066149E"/>
    <w:rsid w:val="00662A1E"/>
    <w:rsid w:val="00662DC0"/>
    <w:rsid w:val="0066349F"/>
    <w:rsid w:val="00664BA0"/>
    <w:rsid w:val="00664C37"/>
    <w:rsid w:val="00665796"/>
    <w:rsid w:val="006666F1"/>
    <w:rsid w:val="0066675E"/>
    <w:rsid w:val="00666ABB"/>
    <w:rsid w:val="00670BB6"/>
    <w:rsid w:val="00671508"/>
    <w:rsid w:val="0067424C"/>
    <w:rsid w:val="00675B00"/>
    <w:rsid w:val="00681CA4"/>
    <w:rsid w:val="00682E11"/>
    <w:rsid w:val="00684F73"/>
    <w:rsid w:val="006868D5"/>
    <w:rsid w:val="00690541"/>
    <w:rsid w:val="00690915"/>
    <w:rsid w:val="00690961"/>
    <w:rsid w:val="00692195"/>
    <w:rsid w:val="006936A0"/>
    <w:rsid w:val="006950DB"/>
    <w:rsid w:val="00695618"/>
    <w:rsid w:val="00696E43"/>
    <w:rsid w:val="00696EE8"/>
    <w:rsid w:val="0069775F"/>
    <w:rsid w:val="00697A33"/>
    <w:rsid w:val="00697C6A"/>
    <w:rsid w:val="006A00B5"/>
    <w:rsid w:val="006A16B3"/>
    <w:rsid w:val="006A220A"/>
    <w:rsid w:val="006A3B6D"/>
    <w:rsid w:val="006A3F67"/>
    <w:rsid w:val="006A46C9"/>
    <w:rsid w:val="006A48D0"/>
    <w:rsid w:val="006A4A2F"/>
    <w:rsid w:val="006A4E26"/>
    <w:rsid w:val="006A6A52"/>
    <w:rsid w:val="006B1867"/>
    <w:rsid w:val="006B1BE7"/>
    <w:rsid w:val="006B2842"/>
    <w:rsid w:val="006B4C94"/>
    <w:rsid w:val="006B62BD"/>
    <w:rsid w:val="006B64D5"/>
    <w:rsid w:val="006B6F02"/>
    <w:rsid w:val="006B78E2"/>
    <w:rsid w:val="006C06E6"/>
    <w:rsid w:val="006C1D3F"/>
    <w:rsid w:val="006C49B1"/>
    <w:rsid w:val="006C5A78"/>
    <w:rsid w:val="006D0E56"/>
    <w:rsid w:val="006D1EBD"/>
    <w:rsid w:val="006D262C"/>
    <w:rsid w:val="006D3100"/>
    <w:rsid w:val="006D3A43"/>
    <w:rsid w:val="006D428C"/>
    <w:rsid w:val="006D49BC"/>
    <w:rsid w:val="006D688B"/>
    <w:rsid w:val="006E0D0B"/>
    <w:rsid w:val="006E1203"/>
    <w:rsid w:val="006E27CC"/>
    <w:rsid w:val="006E393F"/>
    <w:rsid w:val="006E3A76"/>
    <w:rsid w:val="006E542C"/>
    <w:rsid w:val="006E5DD8"/>
    <w:rsid w:val="006E6AA3"/>
    <w:rsid w:val="006E6D6A"/>
    <w:rsid w:val="006E74F5"/>
    <w:rsid w:val="006F0021"/>
    <w:rsid w:val="006F07D1"/>
    <w:rsid w:val="006F11AE"/>
    <w:rsid w:val="006F1237"/>
    <w:rsid w:val="006F1808"/>
    <w:rsid w:val="006F268A"/>
    <w:rsid w:val="006F304E"/>
    <w:rsid w:val="006F52E9"/>
    <w:rsid w:val="006F544B"/>
    <w:rsid w:val="006F6932"/>
    <w:rsid w:val="006F7B6A"/>
    <w:rsid w:val="007012B6"/>
    <w:rsid w:val="00701594"/>
    <w:rsid w:val="00701C53"/>
    <w:rsid w:val="00702DFD"/>
    <w:rsid w:val="00702E76"/>
    <w:rsid w:val="007031F4"/>
    <w:rsid w:val="00703CF2"/>
    <w:rsid w:val="00705055"/>
    <w:rsid w:val="00706DF5"/>
    <w:rsid w:val="00710A0F"/>
    <w:rsid w:val="007133A9"/>
    <w:rsid w:val="00713519"/>
    <w:rsid w:val="00715DB7"/>
    <w:rsid w:val="00717769"/>
    <w:rsid w:val="0072290C"/>
    <w:rsid w:val="007246A1"/>
    <w:rsid w:val="00724F01"/>
    <w:rsid w:val="00725AA6"/>
    <w:rsid w:val="0073010F"/>
    <w:rsid w:val="007318CF"/>
    <w:rsid w:val="0073321F"/>
    <w:rsid w:val="0073632A"/>
    <w:rsid w:val="007365DD"/>
    <w:rsid w:val="00737773"/>
    <w:rsid w:val="00737D7C"/>
    <w:rsid w:val="007417CA"/>
    <w:rsid w:val="00741A02"/>
    <w:rsid w:val="00741EDB"/>
    <w:rsid w:val="0074268D"/>
    <w:rsid w:val="007432BD"/>
    <w:rsid w:val="007432F5"/>
    <w:rsid w:val="007435D7"/>
    <w:rsid w:val="00744291"/>
    <w:rsid w:val="007445B4"/>
    <w:rsid w:val="0074484C"/>
    <w:rsid w:val="007458E5"/>
    <w:rsid w:val="00745B81"/>
    <w:rsid w:val="00746527"/>
    <w:rsid w:val="00746BFF"/>
    <w:rsid w:val="00750431"/>
    <w:rsid w:val="007507BD"/>
    <w:rsid w:val="00751F61"/>
    <w:rsid w:val="00752210"/>
    <w:rsid w:val="007535A7"/>
    <w:rsid w:val="00753E24"/>
    <w:rsid w:val="00754091"/>
    <w:rsid w:val="00756202"/>
    <w:rsid w:val="0075650F"/>
    <w:rsid w:val="0075717B"/>
    <w:rsid w:val="00757C36"/>
    <w:rsid w:val="007635BB"/>
    <w:rsid w:val="00764769"/>
    <w:rsid w:val="007653AD"/>
    <w:rsid w:val="00766683"/>
    <w:rsid w:val="00767E30"/>
    <w:rsid w:val="007707F8"/>
    <w:rsid w:val="00770839"/>
    <w:rsid w:val="00771270"/>
    <w:rsid w:val="00772C2F"/>
    <w:rsid w:val="00772C52"/>
    <w:rsid w:val="00773C0F"/>
    <w:rsid w:val="00773C88"/>
    <w:rsid w:val="007753EC"/>
    <w:rsid w:val="007756EA"/>
    <w:rsid w:val="00776D66"/>
    <w:rsid w:val="00777ACD"/>
    <w:rsid w:val="00780CF7"/>
    <w:rsid w:val="00781FBA"/>
    <w:rsid w:val="007823A2"/>
    <w:rsid w:val="00784433"/>
    <w:rsid w:val="007846FB"/>
    <w:rsid w:val="00785106"/>
    <w:rsid w:val="00785F56"/>
    <w:rsid w:val="00786D19"/>
    <w:rsid w:val="00787A28"/>
    <w:rsid w:val="00787FA9"/>
    <w:rsid w:val="00791E7C"/>
    <w:rsid w:val="00796633"/>
    <w:rsid w:val="007966A1"/>
    <w:rsid w:val="007A0657"/>
    <w:rsid w:val="007A0803"/>
    <w:rsid w:val="007A2896"/>
    <w:rsid w:val="007A2B5C"/>
    <w:rsid w:val="007A33E6"/>
    <w:rsid w:val="007A45C8"/>
    <w:rsid w:val="007A47D7"/>
    <w:rsid w:val="007A53AC"/>
    <w:rsid w:val="007A668D"/>
    <w:rsid w:val="007B11D3"/>
    <w:rsid w:val="007B1318"/>
    <w:rsid w:val="007B1D25"/>
    <w:rsid w:val="007B273E"/>
    <w:rsid w:val="007B76D0"/>
    <w:rsid w:val="007C1493"/>
    <w:rsid w:val="007C1788"/>
    <w:rsid w:val="007C1C5C"/>
    <w:rsid w:val="007C1D2F"/>
    <w:rsid w:val="007C5784"/>
    <w:rsid w:val="007C6B82"/>
    <w:rsid w:val="007C6FE9"/>
    <w:rsid w:val="007C7BC5"/>
    <w:rsid w:val="007C7E32"/>
    <w:rsid w:val="007C7F1A"/>
    <w:rsid w:val="007D0E56"/>
    <w:rsid w:val="007D1DB5"/>
    <w:rsid w:val="007D1E55"/>
    <w:rsid w:val="007D210A"/>
    <w:rsid w:val="007D258E"/>
    <w:rsid w:val="007D2CDE"/>
    <w:rsid w:val="007D2D7F"/>
    <w:rsid w:val="007D2EE6"/>
    <w:rsid w:val="007D37F0"/>
    <w:rsid w:val="007D40C2"/>
    <w:rsid w:val="007D4C26"/>
    <w:rsid w:val="007E26AD"/>
    <w:rsid w:val="007E34B2"/>
    <w:rsid w:val="007E42CC"/>
    <w:rsid w:val="007E53F2"/>
    <w:rsid w:val="007E5E0F"/>
    <w:rsid w:val="007E609F"/>
    <w:rsid w:val="007E6C1C"/>
    <w:rsid w:val="007E7BBB"/>
    <w:rsid w:val="007E7F24"/>
    <w:rsid w:val="007F0B3E"/>
    <w:rsid w:val="007F0C39"/>
    <w:rsid w:val="007F1585"/>
    <w:rsid w:val="007F1D24"/>
    <w:rsid w:val="007F200F"/>
    <w:rsid w:val="007F38F3"/>
    <w:rsid w:val="007F4167"/>
    <w:rsid w:val="007F4336"/>
    <w:rsid w:val="007F5F53"/>
    <w:rsid w:val="007F6330"/>
    <w:rsid w:val="007F6B6D"/>
    <w:rsid w:val="007F7699"/>
    <w:rsid w:val="007F78B7"/>
    <w:rsid w:val="007F7E2A"/>
    <w:rsid w:val="008002DF"/>
    <w:rsid w:val="00801695"/>
    <w:rsid w:val="008024BD"/>
    <w:rsid w:val="00805E5B"/>
    <w:rsid w:val="00807585"/>
    <w:rsid w:val="00810074"/>
    <w:rsid w:val="00811D67"/>
    <w:rsid w:val="008139A4"/>
    <w:rsid w:val="008157CC"/>
    <w:rsid w:val="00815FB8"/>
    <w:rsid w:val="00816BC3"/>
    <w:rsid w:val="00816F41"/>
    <w:rsid w:val="0082040E"/>
    <w:rsid w:val="0082057E"/>
    <w:rsid w:val="008210CD"/>
    <w:rsid w:val="00821A1C"/>
    <w:rsid w:val="0082235B"/>
    <w:rsid w:val="00823A73"/>
    <w:rsid w:val="00824091"/>
    <w:rsid w:val="00824F00"/>
    <w:rsid w:val="008262C8"/>
    <w:rsid w:val="00826666"/>
    <w:rsid w:val="00826F36"/>
    <w:rsid w:val="0082749D"/>
    <w:rsid w:val="00830346"/>
    <w:rsid w:val="0083481C"/>
    <w:rsid w:val="00835823"/>
    <w:rsid w:val="00836509"/>
    <w:rsid w:val="0084149D"/>
    <w:rsid w:val="00841658"/>
    <w:rsid w:val="008429A9"/>
    <w:rsid w:val="00842FBD"/>
    <w:rsid w:val="00842FC1"/>
    <w:rsid w:val="00843A9C"/>
    <w:rsid w:val="00844324"/>
    <w:rsid w:val="00847929"/>
    <w:rsid w:val="008479CC"/>
    <w:rsid w:val="00847C48"/>
    <w:rsid w:val="00847E2C"/>
    <w:rsid w:val="00847E2E"/>
    <w:rsid w:val="00851266"/>
    <w:rsid w:val="00851E14"/>
    <w:rsid w:val="00854338"/>
    <w:rsid w:val="00854759"/>
    <w:rsid w:val="008551F1"/>
    <w:rsid w:val="00855305"/>
    <w:rsid w:val="00856CE0"/>
    <w:rsid w:val="008606C5"/>
    <w:rsid w:val="00860D56"/>
    <w:rsid w:val="0086152E"/>
    <w:rsid w:val="0086194F"/>
    <w:rsid w:val="00861F81"/>
    <w:rsid w:val="00867092"/>
    <w:rsid w:val="008677C7"/>
    <w:rsid w:val="00871B30"/>
    <w:rsid w:val="00871F76"/>
    <w:rsid w:val="0087307B"/>
    <w:rsid w:val="00873C57"/>
    <w:rsid w:val="00874654"/>
    <w:rsid w:val="008773C2"/>
    <w:rsid w:val="00877489"/>
    <w:rsid w:val="00881B14"/>
    <w:rsid w:val="00881D1D"/>
    <w:rsid w:val="008823EB"/>
    <w:rsid w:val="0088269D"/>
    <w:rsid w:val="00882CB0"/>
    <w:rsid w:val="00883168"/>
    <w:rsid w:val="00884759"/>
    <w:rsid w:val="00884C41"/>
    <w:rsid w:val="00885A66"/>
    <w:rsid w:val="00887222"/>
    <w:rsid w:val="00887885"/>
    <w:rsid w:val="00887E51"/>
    <w:rsid w:val="008913BB"/>
    <w:rsid w:val="00892D71"/>
    <w:rsid w:val="008944DA"/>
    <w:rsid w:val="00896F0A"/>
    <w:rsid w:val="008A148C"/>
    <w:rsid w:val="008A1D95"/>
    <w:rsid w:val="008A251C"/>
    <w:rsid w:val="008A2673"/>
    <w:rsid w:val="008A2C11"/>
    <w:rsid w:val="008A3048"/>
    <w:rsid w:val="008A7AE8"/>
    <w:rsid w:val="008B4BED"/>
    <w:rsid w:val="008B4EA3"/>
    <w:rsid w:val="008B56BC"/>
    <w:rsid w:val="008B5D97"/>
    <w:rsid w:val="008B69DE"/>
    <w:rsid w:val="008C044F"/>
    <w:rsid w:val="008C3305"/>
    <w:rsid w:val="008C3D9F"/>
    <w:rsid w:val="008C5640"/>
    <w:rsid w:val="008C5BB5"/>
    <w:rsid w:val="008C6089"/>
    <w:rsid w:val="008C64D3"/>
    <w:rsid w:val="008D0B3D"/>
    <w:rsid w:val="008D1E16"/>
    <w:rsid w:val="008D33CC"/>
    <w:rsid w:val="008D3F26"/>
    <w:rsid w:val="008D5AE2"/>
    <w:rsid w:val="008D76C5"/>
    <w:rsid w:val="008E3A0D"/>
    <w:rsid w:val="008E3D2C"/>
    <w:rsid w:val="008E40F5"/>
    <w:rsid w:val="008E4AF2"/>
    <w:rsid w:val="008E56D9"/>
    <w:rsid w:val="008E6892"/>
    <w:rsid w:val="008E6E2A"/>
    <w:rsid w:val="008F1330"/>
    <w:rsid w:val="008F14A8"/>
    <w:rsid w:val="008F14B1"/>
    <w:rsid w:val="008F1624"/>
    <w:rsid w:val="008F1A30"/>
    <w:rsid w:val="008F23AC"/>
    <w:rsid w:val="008F32D6"/>
    <w:rsid w:val="00900068"/>
    <w:rsid w:val="0090214A"/>
    <w:rsid w:val="009024D5"/>
    <w:rsid w:val="00902DB1"/>
    <w:rsid w:val="00904C3D"/>
    <w:rsid w:val="00907EC4"/>
    <w:rsid w:val="009101E1"/>
    <w:rsid w:val="00911578"/>
    <w:rsid w:val="00911998"/>
    <w:rsid w:val="009129EF"/>
    <w:rsid w:val="00913776"/>
    <w:rsid w:val="0091378D"/>
    <w:rsid w:val="0091431B"/>
    <w:rsid w:val="00915306"/>
    <w:rsid w:val="00915593"/>
    <w:rsid w:val="0091657D"/>
    <w:rsid w:val="00916906"/>
    <w:rsid w:val="009169BB"/>
    <w:rsid w:val="009213E2"/>
    <w:rsid w:val="00921AB2"/>
    <w:rsid w:val="00921C31"/>
    <w:rsid w:val="009232D5"/>
    <w:rsid w:val="0092353E"/>
    <w:rsid w:val="00923686"/>
    <w:rsid w:val="0092474E"/>
    <w:rsid w:val="009249C8"/>
    <w:rsid w:val="00927FA9"/>
    <w:rsid w:val="0093026F"/>
    <w:rsid w:val="009328DE"/>
    <w:rsid w:val="00934094"/>
    <w:rsid w:val="00936EA2"/>
    <w:rsid w:val="00937077"/>
    <w:rsid w:val="00937281"/>
    <w:rsid w:val="00940C49"/>
    <w:rsid w:val="00941975"/>
    <w:rsid w:val="00942182"/>
    <w:rsid w:val="00942266"/>
    <w:rsid w:val="00944D8F"/>
    <w:rsid w:val="00944EAD"/>
    <w:rsid w:val="00946D11"/>
    <w:rsid w:val="0095017D"/>
    <w:rsid w:val="00950C35"/>
    <w:rsid w:val="00950F52"/>
    <w:rsid w:val="00951F8E"/>
    <w:rsid w:val="00952C52"/>
    <w:rsid w:val="009535EA"/>
    <w:rsid w:val="00954838"/>
    <w:rsid w:val="009565C0"/>
    <w:rsid w:val="00957B81"/>
    <w:rsid w:val="00960364"/>
    <w:rsid w:val="00960729"/>
    <w:rsid w:val="00960FD8"/>
    <w:rsid w:val="009621EE"/>
    <w:rsid w:val="00964E66"/>
    <w:rsid w:val="00964FAC"/>
    <w:rsid w:val="00966709"/>
    <w:rsid w:val="009668B3"/>
    <w:rsid w:val="009669AA"/>
    <w:rsid w:val="00966E9F"/>
    <w:rsid w:val="0097000E"/>
    <w:rsid w:val="00970127"/>
    <w:rsid w:val="00971180"/>
    <w:rsid w:val="009718E6"/>
    <w:rsid w:val="009720BE"/>
    <w:rsid w:val="0097228C"/>
    <w:rsid w:val="009727F9"/>
    <w:rsid w:val="0097331D"/>
    <w:rsid w:val="00973570"/>
    <w:rsid w:val="00973FAC"/>
    <w:rsid w:val="009745EF"/>
    <w:rsid w:val="009749A2"/>
    <w:rsid w:val="0097758C"/>
    <w:rsid w:val="00981F7B"/>
    <w:rsid w:val="0098289C"/>
    <w:rsid w:val="009837AC"/>
    <w:rsid w:val="009871FB"/>
    <w:rsid w:val="009875FC"/>
    <w:rsid w:val="0098765E"/>
    <w:rsid w:val="0099067F"/>
    <w:rsid w:val="00990B3C"/>
    <w:rsid w:val="009921EC"/>
    <w:rsid w:val="00992C69"/>
    <w:rsid w:val="00993027"/>
    <w:rsid w:val="00993467"/>
    <w:rsid w:val="00993620"/>
    <w:rsid w:val="00994C1E"/>
    <w:rsid w:val="00994FBA"/>
    <w:rsid w:val="00995334"/>
    <w:rsid w:val="0099643C"/>
    <w:rsid w:val="009972A0"/>
    <w:rsid w:val="009A1040"/>
    <w:rsid w:val="009A235B"/>
    <w:rsid w:val="009A2FAB"/>
    <w:rsid w:val="009A365A"/>
    <w:rsid w:val="009A37F1"/>
    <w:rsid w:val="009A3E55"/>
    <w:rsid w:val="009A49D6"/>
    <w:rsid w:val="009B0A33"/>
    <w:rsid w:val="009B0E76"/>
    <w:rsid w:val="009B1D7E"/>
    <w:rsid w:val="009B1E29"/>
    <w:rsid w:val="009B28A5"/>
    <w:rsid w:val="009B358C"/>
    <w:rsid w:val="009B3F64"/>
    <w:rsid w:val="009B44DA"/>
    <w:rsid w:val="009B515F"/>
    <w:rsid w:val="009B5F67"/>
    <w:rsid w:val="009B6212"/>
    <w:rsid w:val="009B69FA"/>
    <w:rsid w:val="009B6BC4"/>
    <w:rsid w:val="009B78C4"/>
    <w:rsid w:val="009C1642"/>
    <w:rsid w:val="009C18A4"/>
    <w:rsid w:val="009C2400"/>
    <w:rsid w:val="009C304F"/>
    <w:rsid w:val="009C36CB"/>
    <w:rsid w:val="009C3762"/>
    <w:rsid w:val="009C44C0"/>
    <w:rsid w:val="009C5368"/>
    <w:rsid w:val="009C53FE"/>
    <w:rsid w:val="009C5612"/>
    <w:rsid w:val="009C62A9"/>
    <w:rsid w:val="009C6BE4"/>
    <w:rsid w:val="009C77A0"/>
    <w:rsid w:val="009C7E4F"/>
    <w:rsid w:val="009D014D"/>
    <w:rsid w:val="009D0DA1"/>
    <w:rsid w:val="009D1CEA"/>
    <w:rsid w:val="009D22EC"/>
    <w:rsid w:val="009D2EB3"/>
    <w:rsid w:val="009D31B8"/>
    <w:rsid w:val="009D3239"/>
    <w:rsid w:val="009D467A"/>
    <w:rsid w:val="009D5ADF"/>
    <w:rsid w:val="009D5E4C"/>
    <w:rsid w:val="009E016B"/>
    <w:rsid w:val="009E1B5D"/>
    <w:rsid w:val="009E5473"/>
    <w:rsid w:val="009E692D"/>
    <w:rsid w:val="009E6ED4"/>
    <w:rsid w:val="009E76B1"/>
    <w:rsid w:val="009E7784"/>
    <w:rsid w:val="009E7999"/>
    <w:rsid w:val="009E7D6C"/>
    <w:rsid w:val="009F0B93"/>
    <w:rsid w:val="009F5CA5"/>
    <w:rsid w:val="009F7283"/>
    <w:rsid w:val="009F7699"/>
    <w:rsid w:val="00A00016"/>
    <w:rsid w:val="00A01968"/>
    <w:rsid w:val="00A03AF3"/>
    <w:rsid w:val="00A04587"/>
    <w:rsid w:val="00A04BB5"/>
    <w:rsid w:val="00A0645C"/>
    <w:rsid w:val="00A07191"/>
    <w:rsid w:val="00A10131"/>
    <w:rsid w:val="00A1026D"/>
    <w:rsid w:val="00A10B1F"/>
    <w:rsid w:val="00A11374"/>
    <w:rsid w:val="00A117D7"/>
    <w:rsid w:val="00A13948"/>
    <w:rsid w:val="00A15F0A"/>
    <w:rsid w:val="00A17182"/>
    <w:rsid w:val="00A17776"/>
    <w:rsid w:val="00A20FA6"/>
    <w:rsid w:val="00A24021"/>
    <w:rsid w:val="00A25A65"/>
    <w:rsid w:val="00A2783C"/>
    <w:rsid w:val="00A27AAA"/>
    <w:rsid w:val="00A30B13"/>
    <w:rsid w:val="00A31FCA"/>
    <w:rsid w:val="00A34D67"/>
    <w:rsid w:val="00A34E8D"/>
    <w:rsid w:val="00A34F88"/>
    <w:rsid w:val="00A36558"/>
    <w:rsid w:val="00A370EB"/>
    <w:rsid w:val="00A37545"/>
    <w:rsid w:val="00A37B3B"/>
    <w:rsid w:val="00A41130"/>
    <w:rsid w:val="00A41425"/>
    <w:rsid w:val="00A4181F"/>
    <w:rsid w:val="00A4226C"/>
    <w:rsid w:val="00A42CBD"/>
    <w:rsid w:val="00A4374C"/>
    <w:rsid w:val="00A44736"/>
    <w:rsid w:val="00A458F1"/>
    <w:rsid w:val="00A4729F"/>
    <w:rsid w:val="00A50372"/>
    <w:rsid w:val="00A5159D"/>
    <w:rsid w:val="00A5165D"/>
    <w:rsid w:val="00A52F7A"/>
    <w:rsid w:val="00A53C29"/>
    <w:rsid w:val="00A53F55"/>
    <w:rsid w:val="00A550F9"/>
    <w:rsid w:val="00A55642"/>
    <w:rsid w:val="00A5755E"/>
    <w:rsid w:val="00A57F4C"/>
    <w:rsid w:val="00A60DDE"/>
    <w:rsid w:val="00A63449"/>
    <w:rsid w:val="00A634CB"/>
    <w:rsid w:val="00A63A2B"/>
    <w:rsid w:val="00A65F1C"/>
    <w:rsid w:val="00A662AB"/>
    <w:rsid w:val="00A6674E"/>
    <w:rsid w:val="00A66B0F"/>
    <w:rsid w:val="00A676DF"/>
    <w:rsid w:val="00A67751"/>
    <w:rsid w:val="00A70FC7"/>
    <w:rsid w:val="00A71154"/>
    <w:rsid w:val="00A71E10"/>
    <w:rsid w:val="00A74016"/>
    <w:rsid w:val="00A7439A"/>
    <w:rsid w:val="00A7469D"/>
    <w:rsid w:val="00A74A2D"/>
    <w:rsid w:val="00A761A5"/>
    <w:rsid w:val="00A76D2E"/>
    <w:rsid w:val="00A77277"/>
    <w:rsid w:val="00A77A3B"/>
    <w:rsid w:val="00A80A90"/>
    <w:rsid w:val="00A81208"/>
    <w:rsid w:val="00A82303"/>
    <w:rsid w:val="00A84172"/>
    <w:rsid w:val="00A84C47"/>
    <w:rsid w:val="00A86C9E"/>
    <w:rsid w:val="00A874F0"/>
    <w:rsid w:val="00A91828"/>
    <w:rsid w:val="00A91B34"/>
    <w:rsid w:val="00A925BB"/>
    <w:rsid w:val="00A93105"/>
    <w:rsid w:val="00A93AB9"/>
    <w:rsid w:val="00A94475"/>
    <w:rsid w:val="00A97802"/>
    <w:rsid w:val="00AA15E7"/>
    <w:rsid w:val="00AA2825"/>
    <w:rsid w:val="00AA2ED5"/>
    <w:rsid w:val="00AA4414"/>
    <w:rsid w:val="00AA4513"/>
    <w:rsid w:val="00AA5251"/>
    <w:rsid w:val="00AA5AC4"/>
    <w:rsid w:val="00AA69B0"/>
    <w:rsid w:val="00AA6B36"/>
    <w:rsid w:val="00AB03CC"/>
    <w:rsid w:val="00AB056F"/>
    <w:rsid w:val="00AB05E4"/>
    <w:rsid w:val="00AB0651"/>
    <w:rsid w:val="00AB0A67"/>
    <w:rsid w:val="00AB11B4"/>
    <w:rsid w:val="00AB1E3C"/>
    <w:rsid w:val="00AB3371"/>
    <w:rsid w:val="00AB35E8"/>
    <w:rsid w:val="00AB3AA9"/>
    <w:rsid w:val="00AB47D1"/>
    <w:rsid w:val="00AB6061"/>
    <w:rsid w:val="00AB60DB"/>
    <w:rsid w:val="00AC00D8"/>
    <w:rsid w:val="00AC0E79"/>
    <w:rsid w:val="00AC17DC"/>
    <w:rsid w:val="00AC1D92"/>
    <w:rsid w:val="00AC1F18"/>
    <w:rsid w:val="00AC2517"/>
    <w:rsid w:val="00AC26AA"/>
    <w:rsid w:val="00AC2861"/>
    <w:rsid w:val="00AC3B8E"/>
    <w:rsid w:val="00AC4A99"/>
    <w:rsid w:val="00AC69EB"/>
    <w:rsid w:val="00AC746D"/>
    <w:rsid w:val="00AD04BF"/>
    <w:rsid w:val="00AD20AE"/>
    <w:rsid w:val="00AD2563"/>
    <w:rsid w:val="00AD2A64"/>
    <w:rsid w:val="00AD3145"/>
    <w:rsid w:val="00AD3A57"/>
    <w:rsid w:val="00AD447F"/>
    <w:rsid w:val="00AD45ED"/>
    <w:rsid w:val="00AD5872"/>
    <w:rsid w:val="00AD6732"/>
    <w:rsid w:val="00AD6E04"/>
    <w:rsid w:val="00AD7629"/>
    <w:rsid w:val="00AE1650"/>
    <w:rsid w:val="00AE3421"/>
    <w:rsid w:val="00AE4D2B"/>
    <w:rsid w:val="00AE4E06"/>
    <w:rsid w:val="00AE5271"/>
    <w:rsid w:val="00AE6A00"/>
    <w:rsid w:val="00AF051A"/>
    <w:rsid w:val="00AF1C9B"/>
    <w:rsid w:val="00AF1F46"/>
    <w:rsid w:val="00AF3CAA"/>
    <w:rsid w:val="00AF41F3"/>
    <w:rsid w:val="00AF45E7"/>
    <w:rsid w:val="00AF6AE6"/>
    <w:rsid w:val="00AF7680"/>
    <w:rsid w:val="00B009B2"/>
    <w:rsid w:val="00B01B30"/>
    <w:rsid w:val="00B02A50"/>
    <w:rsid w:val="00B04465"/>
    <w:rsid w:val="00B04B20"/>
    <w:rsid w:val="00B05D13"/>
    <w:rsid w:val="00B1052A"/>
    <w:rsid w:val="00B106AA"/>
    <w:rsid w:val="00B12B68"/>
    <w:rsid w:val="00B136EF"/>
    <w:rsid w:val="00B1405B"/>
    <w:rsid w:val="00B143AD"/>
    <w:rsid w:val="00B15E3E"/>
    <w:rsid w:val="00B160E1"/>
    <w:rsid w:val="00B167CF"/>
    <w:rsid w:val="00B16CDA"/>
    <w:rsid w:val="00B16D2B"/>
    <w:rsid w:val="00B17F11"/>
    <w:rsid w:val="00B20AB0"/>
    <w:rsid w:val="00B20B1B"/>
    <w:rsid w:val="00B20B9A"/>
    <w:rsid w:val="00B22201"/>
    <w:rsid w:val="00B237BA"/>
    <w:rsid w:val="00B24081"/>
    <w:rsid w:val="00B25406"/>
    <w:rsid w:val="00B275EC"/>
    <w:rsid w:val="00B278C3"/>
    <w:rsid w:val="00B27B06"/>
    <w:rsid w:val="00B33541"/>
    <w:rsid w:val="00B346C7"/>
    <w:rsid w:val="00B3546C"/>
    <w:rsid w:val="00B35556"/>
    <w:rsid w:val="00B37B3A"/>
    <w:rsid w:val="00B430A7"/>
    <w:rsid w:val="00B43586"/>
    <w:rsid w:val="00B442D3"/>
    <w:rsid w:val="00B44746"/>
    <w:rsid w:val="00B44F66"/>
    <w:rsid w:val="00B453D9"/>
    <w:rsid w:val="00B456CE"/>
    <w:rsid w:val="00B457C4"/>
    <w:rsid w:val="00B46DEA"/>
    <w:rsid w:val="00B46FE2"/>
    <w:rsid w:val="00B4706E"/>
    <w:rsid w:val="00B47BD7"/>
    <w:rsid w:val="00B507DB"/>
    <w:rsid w:val="00B51583"/>
    <w:rsid w:val="00B51B45"/>
    <w:rsid w:val="00B51F4B"/>
    <w:rsid w:val="00B528CC"/>
    <w:rsid w:val="00B54519"/>
    <w:rsid w:val="00B547D5"/>
    <w:rsid w:val="00B5534B"/>
    <w:rsid w:val="00B553D2"/>
    <w:rsid w:val="00B563C3"/>
    <w:rsid w:val="00B575F1"/>
    <w:rsid w:val="00B60342"/>
    <w:rsid w:val="00B604A9"/>
    <w:rsid w:val="00B6068B"/>
    <w:rsid w:val="00B60CBA"/>
    <w:rsid w:val="00B64555"/>
    <w:rsid w:val="00B65E57"/>
    <w:rsid w:val="00B6741D"/>
    <w:rsid w:val="00B678DB"/>
    <w:rsid w:val="00B70254"/>
    <w:rsid w:val="00B71325"/>
    <w:rsid w:val="00B7155E"/>
    <w:rsid w:val="00B71E6B"/>
    <w:rsid w:val="00B71FB2"/>
    <w:rsid w:val="00B73B8D"/>
    <w:rsid w:val="00B7457F"/>
    <w:rsid w:val="00B7477C"/>
    <w:rsid w:val="00B75023"/>
    <w:rsid w:val="00B766FA"/>
    <w:rsid w:val="00B77861"/>
    <w:rsid w:val="00B778E7"/>
    <w:rsid w:val="00B802C3"/>
    <w:rsid w:val="00B80508"/>
    <w:rsid w:val="00B8085D"/>
    <w:rsid w:val="00B809AD"/>
    <w:rsid w:val="00B821A3"/>
    <w:rsid w:val="00B8338D"/>
    <w:rsid w:val="00B83537"/>
    <w:rsid w:val="00B842A3"/>
    <w:rsid w:val="00B85EED"/>
    <w:rsid w:val="00B868DD"/>
    <w:rsid w:val="00B872F5"/>
    <w:rsid w:val="00B91ADE"/>
    <w:rsid w:val="00B92516"/>
    <w:rsid w:val="00B9410E"/>
    <w:rsid w:val="00B9421F"/>
    <w:rsid w:val="00B95CD9"/>
    <w:rsid w:val="00B9688B"/>
    <w:rsid w:val="00B97D0F"/>
    <w:rsid w:val="00BA051C"/>
    <w:rsid w:val="00BA239E"/>
    <w:rsid w:val="00BA30CB"/>
    <w:rsid w:val="00BA38B0"/>
    <w:rsid w:val="00BA3956"/>
    <w:rsid w:val="00BA4122"/>
    <w:rsid w:val="00BA4C45"/>
    <w:rsid w:val="00BA5045"/>
    <w:rsid w:val="00BA58B2"/>
    <w:rsid w:val="00BA5BEA"/>
    <w:rsid w:val="00BA6D10"/>
    <w:rsid w:val="00BB04D5"/>
    <w:rsid w:val="00BB0D12"/>
    <w:rsid w:val="00BB1A4E"/>
    <w:rsid w:val="00BB1E95"/>
    <w:rsid w:val="00BB2ED9"/>
    <w:rsid w:val="00BB3110"/>
    <w:rsid w:val="00BB3FC9"/>
    <w:rsid w:val="00BB5C6D"/>
    <w:rsid w:val="00BB6602"/>
    <w:rsid w:val="00BB6B5F"/>
    <w:rsid w:val="00BB75F9"/>
    <w:rsid w:val="00BC0353"/>
    <w:rsid w:val="00BC2377"/>
    <w:rsid w:val="00BC2B6B"/>
    <w:rsid w:val="00BC2D08"/>
    <w:rsid w:val="00BC5A11"/>
    <w:rsid w:val="00BC7147"/>
    <w:rsid w:val="00BC74C7"/>
    <w:rsid w:val="00BC75D9"/>
    <w:rsid w:val="00BD2B23"/>
    <w:rsid w:val="00BD43DC"/>
    <w:rsid w:val="00BD448E"/>
    <w:rsid w:val="00BD67BF"/>
    <w:rsid w:val="00BE0BE7"/>
    <w:rsid w:val="00BE4189"/>
    <w:rsid w:val="00BE5421"/>
    <w:rsid w:val="00BE574B"/>
    <w:rsid w:val="00BE59F9"/>
    <w:rsid w:val="00BE6830"/>
    <w:rsid w:val="00BE6A79"/>
    <w:rsid w:val="00BE6CEC"/>
    <w:rsid w:val="00BE6D25"/>
    <w:rsid w:val="00BE7F4D"/>
    <w:rsid w:val="00BF0357"/>
    <w:rsid w:val="00BF04A0"/>
    <w:rsid w:val="00BF1A9A"/>
    <w:rsid w:val="00BF1D6D"/>
    <w:rsid w:val="00BF2DB8"/>
    <w:rsid w:val="00BF4884"/>
    <w:rsid w:val="00BF683C"/>
    <w:rsid w:val="00BF6CDF"/>
    <w:rsid w:val="00BF7C0E"/>
    <w:rsid w:val="00C0120F"/>
    <w:rsid w:val="00C06353"/>
    <w:rsid w:val="00C06443"/>
    <w:rsid w:val="00C07AE3"/>
    <w:rsid w:val="00C07EFF"/>
    <w:rsid w:val="00C10BE9"/>
    <w:rsid w:val="00C10F61"/>
    <w:rsid w:val="00C112C1"/>
    <w:rsid w:val="00C1327A"/>
    <w:rsid w:val="00C14367"/>
    <w:rsid w:val="00C14C46"/>
    <w:rsid w:val="00C1509F"/>
    <w:rsid w:val="00C161BE"/>
    <w:rsid w:val="00C17C47"/>
    <w:rsid w:val="00C207F5"/>
    <w:rsid w:val="00C21A2A"/>
    <w:rsid w:val="00C22084"/>
    <w:rsid w:val="00C22213"/>
    <w:rsid w:val="00C231D7"/>
    <w:rsid w:val="00C27095"/>
    <w:rsid w:val="00C27D3D"/>
    <w:rsid w:val="00C302FA"/>
    <w:rsid w:val="00C319E7"/>
    <w:rsid w:val="00C322EC"/>
    <w:rsid w:val="00C33BCC"/>
    <w:rsid w:val="00C34469"/>
    <w:rsid w:val="00C35AD0"/>
    <w:rsid w:val="00C36B6D"/>
    <w:rsid w:val="00C378B0"/>
    <w:rsid w:val="00C37B9D"/>
    <w:rsid w:val="00C40B14"/>
    <w:rsid w:val="00C40F77"/>
    <w:rsid w:val="00C41292"/>
    <w:rsid w:val="00C4212B"/>
    <w:rsid w:val="00C422C1"/>
    <w:rsid w:val="00C4284B"/>
    <w:rsid w:val="00C433C0"/>
    <w:rsid w:val="00C4359F"/>
    <w:rsid w:val="00C4459B"/>
    <w:rsid w:val="00C45CA3"/>
    <w:rsid w:val="00C46C41"/>
    <w:rsid w:val="00C47081"/>
    <w:rsid w:val="00C503EF"/>
    <w:rsid w:val="00C5130D"/>
    <w:rsid w:val="00C517C2"/>
    <w:rsid w:val="00C52181"/>
    <w:rsid w:val="00C5476F"/>
    <w:rsid w:val="00C5537C"/>
    <w:rsid w:val="00C5686C"/>
    <w:rsid w:val="00C60C03"/>
    <w:rsid w:val="00C62011"/>
    <w:rsid w:val="00C625BE"/>
    <w:rsid w:val="00C6434A"/>
    <w:rsid w:val="00C65520"/>
    <w:rsid w:val="00C65956"/>
    <w:rsid w:val="00C65B59"/>
    <w:rsid w:val="00C66712"/>
    <w:rsid w:val="00C6759C"/>
    <w:rsid w:val="00C6788C"/>
    <w:rsid w:val="00C67A76"/>
    <w:rsid w:val="00C7013F"/>
    <w:rsid w:val="00C70536"/>
    <w:rsid w:val="00C719E0"/>
    <w:rsid w:val="00C72EB5"/>
    <w:rsid w:val="00C74819"/>
    <w:rsid w:val="00C75042"/>
    <w:rsid w:val="00C75546"/>
    <w:rsid w:val="00C773AD"/>
    <w:rsid w:val="00C776BC"/>
    <w:rsid w:val="00C77C02"/>
    <w:rsid w:val="00C808F3"/>
    <w:rsid w:val="00C8142D"/>
    <w:rsid w:val="00C81984"/>
    <w:rsid w:val="00C8221B"/>
    <w:rsid w:val="00C82E03"/>
    <w:rsid w:val="00C82F71"/>
    <w:rsid w:val="00C83103"/>
    <w:rsid w:val="00C84091"/>
    <w:rsid w:val="00C86748"/>
    <w:rsid w:val="00C90588"/>
    <w:rsid w:val="00C91438"/>
    <w:rsid w:val="00C92C9D"/>
    <w:rsid w:val="00C931EB"/>
    <w:rsid w:val="00C93EB1"/>
    <w:rsid w:val="00C94498"/>
    <w:rsid w:val="00C9513D"/>
    <w:rsid w:val="00C95BBD"/>
    <w:rsid w:val="00C962E2"/>
    <w:rsid w:val="00CA1211"/>
    <w:rsid w:val="00CA1F9B"/>
    <w:rsid w:val="00CA2621"/>
    <w:rsid w:val="00CA483D"/>
    <w:rsid w:val="00CA502D"/>
    <w:rsid w:val="00CA5218"/>
    <w:rsid w:val="00CA5F3D"/>
    <w:rsid w:val="00CA6032"/>
    <w:rsid w:val="00CA6547"/>
    <w:rsid w:val="00CA6CB3"/>
    <w:rsid w:val="00CB13E1"/>
    <w:rsid w:val="00CB14C5"/>
    <w:rsid w:val="00CB2FCB"/>
    <w:rsid w:val="00CB495C"/>
    <w:rsid w:val="00CB4E9D"/>
    <w:rsid w:val="00CB58F3"/>
    <w:rsid w:val="00CB6265"/>
    <w:rsid w:val="00CB62AE"/>
    <w:rsid w:val="00CB6575"/>
    <w:rsid w:val="00CB6B16"/>
    <w:rsid w:val="00CB7762"/>
    <w:rsid w:val="00CB7987"/>
    <w:rsid w:val="00CC2408"/>
    <w:rsid w:val="00CC268F"/>
    <w:rsid w:val="00CC62F9"/>
    <w:rsid w:val="00CD1505"/>
    <w:rsid w:val="00CD2F30"/>
    <w:rsid w:val="00CD4A87"/>
    <w:rsid w:val="00CD50DA"/>
    <w:rsid w:val="00CD6752"/>
    <w:rsid w:val="00CD676B"/>
    <w:rsid w:val="00CD7173"/>
    <w:rsid w:val="00CD7EA0"/>
    <w:rsid w:val="00CE0CF5"/>
    <w:rsid w:val="00CE0EA1"/>
    <w:rsid w:val="00CE13EF"/>
    <w:rsid w:val="00CE1BE1"/>
    <w:rsid w:val="00CE1CE1"/>
    <w:rsid w:val="00CE258C"/>
    <w:rsid w:val="00CE330C"/>
    <w:rsid w:val="00CE33D6"/>
    <w:rsid w:val="00CE4D7F"/>
    <w:rsid w:val="00CE5126"/>
    <w:rsid w:val="00CE5155"/>
    <w:rsid w:val="00CE6370"/>
    <w:rsid w:val="00CE7732"/>
    <w:rsid w:val="00CF0C23"/>
    <w:rsid w:val="00CF12EF"/>
    <w:rsid w:val="00CF249E"/>
    <w:rsid w:val="00CF4260"/>
    <w:rsid w:val="00CF5D1D"/>
    <w:rsid w:val="00D01427"/>
    <w:rsid w:val="00D01553"/>
    <w:rsid w:val="00D03D7B"/>
    <w:rsid w:val="00D04E90"/>
    <w:rsid w:val="00D05EF5"/>
    <w:rsid w:val="00D06307"/>
    <w:rsid w:val="00D07283"/>
    <w:rsid w:val="00D11908"/>
    <w:rsid w:val="00D11CFE"/>
    <w:rsid w:val="00D1209C"/>
    <w:rsid w:val="00D124EA"/>
    <w:rsid w:val="00D16218"/>
    <w:rsid w:val="00D16647"/>
    <w:rsid w:val="00D16FD7"/>
    <w:rsid w:val="00D171C8"/>
    <w:rsid w:val="00D20A1C"/>
    <w:rsid w:val="00D20A39"/>
    <w:rsid w:val="00D22147"/>
    <w:rsid w:val="00D2520A"/>
    <w:rsid w:val="00D26277"/>
    <w:rsid w:val="00D27449"/>
    <w:rsid w:val="00D27D18"/>
    <w:rsid w:val="00D31321"/>
    <w:rsid w:val="00D3278A"/>
    <w:rsid w:val="00D3447C"/>
    <w:rsid w:val="00D35A32"/>
    <w:rsid w:val="00D36772"/>
    <w:rsid w:val="00D40B51"/>
    <w:rsid w:val="00D40D06"/>
    <w:rsid w:val="00D41320"/>
    <w:rsid w:val="00D41B8A"/>
    <w:rsid w:val="00D438BD"/>
    <w:rsid w:val="00D441F4"/>
    <w:rsid w:val="00D44B55"/>
    <w:rsid w:val="00D44C83"/>
    <w:rsid w:val="00D46A36"/>
    <w:rsid w:val="00D46E28"/>
    <w:rsid w:val="00D47051"/>
    <w:rsid w:val="00D4749A"/>
    <w:rsid w:val="00D5272D"/>
    <w:rsid w:val="00D53B2C"/>
    <w:rsid w:val="00D546E9"/>
    <w:rsid w:val="00D555ED"/>
    <w:rsid w:val="00D55E7E"/>
    <w:rsid w:val="00D5717B"/>
    <w:rsid w:val="00D62EFA"/>
    <w:rsid w:val="00D63440"/>
    <w:rsid w:val="00D63DBC"/>
    <w:rsid w:val="00D64906"/>
    <w:rsid w:val="00D655E5"/>
    <w:rsid w:val="00D65A4B"/>
    <w:rsid w:val="00D66972"/>
    <w:rsid w:val="00D71514"/>
    <w:rsid w:val="00D71C48"/>
    <w:rsid w:val="00D7207F"/>
    <w:rsid w:val="00D7273D"/>
    <w:rsid w:val="00D72BC3"/>
    <w:rsid w:val="00D74494"/>
    <w:rsid w:val="00D74DF7"/>
    <w:rsid w:val="00D75088"/>
    <w:rsid w:val="00D75C1A"/>
    <w:rsid w:val="00D75F5E"/>
    <w:rsid w:val="00D76AB2"/>
    <w:rsid w:val="00D76C80"/>
    <w:rsid w:val="00D7752D"/>
    <w:rsid w:val="00D8005E"/>
    <w:rsid w:val="00D819A3"/>
    <w:rsid w:val="00D82C2E"/>
    <w:rsid w:val="00D83FF9"/>
    <w:rsid w:val="00D842B9"/>
    <w:rsid w:val="00D857C7"/>
    <w:rsid w:val="00D876DF"/>
    <w:rsid w:val="00D901D0"/>
    <w:rsid w:val="00D903FF"/>
    <w:rsid w:val="00D91232"/>
    <w:rsid w:val="00D922E8"/>
    <w:rsid w:val="00D974CD"/>
    <w:rsid w:val="00DA03C9"/>
    <w:rsid w:val="00DA22F9"/>
    <w:rsid w:val="00DA240B"/>
    <w:rsid w:val="00DA3651"/>
    <w:rsid w:val="00DA43ED"/>
    <w:rsid w:val="00DA46DF"/>
    <w:rsid w:val="00DB1BEA"/>
    <w:rsid w:val="00DB1CF2"/>
    <w:rsid w:val="00DB2D4C"/>
    <w:rsid w:val="00DB3B00"/>
    <w:rsid w:val="00DB412F"/>
    <w:rsid w:val="00DB71C1"/>
    <w:rsid w:val="00DB7F87"/>
    <w:rsid w:val="00DB7FEF"/>
    <w:rsid w:val="00DC0E6F"/>
    <w:rsid w:val="00DC13DA"/>
    <w:rsid w:val="00DC13F7"/>
    <w:rsid w:val="00DC2B5B"/>
    <w:rsid w:val="00DC2D9F"/>
    <w:rsid w:val="00DC46A4"/>
    <w:rsid w:val="00DC52E3"/>
    <w:rsid w:val="00DC5858"/>
    <w:rsid w:val="00DC7168"/>
    <w:rsid w:val="00DD0790"/>
    <w:rsid w:val="00DD08B3"/>
    <w:rsid w:val="00DD116D"/>
    <w:rsid w:val="00DD19D3"/>
    <w:rsid w:val="00DD1BB1"/>
    <w:rsid w:val="00DD2721"/>
    <w:rsid w:val="00DD3A84"/>
    <w:rsid w:val="00DD3B15"/>
    <w:rsid w:val="00DD63B8"/>
    <w:rsid w:val="00DD65D7"/>
    <w:rsid w:val="00DE0020"/>
    <w:rsid w:val="00DE0653"/>
    <w:rsid w:val="00DE2354"/>
    <w:rsid w:val="00DE26BC"/>
    <w:rsid w:val="00DE2A59"/>
    <w:rsid w:val="00DE2EA2"/>
    <w:rsid w:val="00DE2FB3"/>
    <w:rsid w:val="00DE3174"/>
    <w:rsid w:val="00DE47F2"/>
    <w:rsid w:val="00DE48AA"/>
    <w:rsid w:val="00DE5673"/>
    <w:rsid w:val="00DE598A"/>
    <w:rsid w:val="00DE6078"/>
    <w:rsid w:val="00DF1237"/>
    <w:rsid w:val="00DF2741"/>
    <w:rsid w:val="00DF2844"/>
    <w:rsid w:val="00DF539C"/>
    <w:rsid w:val="00DF683E"/>
    <w:rsid w:val="00DF6A39"/>
    <w:rsid w:val="00DF703B"/>
    <w:rsid w:val="00DF7733"/>
    <w:rsid w:val="00E020DC"/>
    <w:rsid w:val="00E02C5A"/>
    <w:rsid w:val="00E02CDC"/>
    <w:rsid w:val="00E02CF8"/>
    <w:rsid w:val="00E04857"/>
    <w:rsid w:val="00E0589F"/>
    <w:rsid w:val="00E05BC3"/>
    <w:rsid w:val="00E06039"/>
    <w:rsid w:val="00E06170"/>
    <w:rsid w:val="00E068C7"/>
    <w:rsid w:val="00E06B46"/>
    <w:rsid w:val="00E07B36"/>
    <w:rsid w:val="00E07F40"/>
    <w:rsid w:val="00E10DCE"/>
    <w:rsid w:val="00E114C0"/>
    <w:rsid w:val="00E12791"/>
    <w:rsid w:val="00E13490"/>
    <w:rsid w:val="00E13589"/>
    <w:rsid w:val="00E14A01"/>
    <w:rsid w:val="00E15497"/>
    <w:rsid w:val="00E15654"/>
    <w:rsid w:val="00E16375"/>
    <w:rsid w:val="00E1673A"/>
    <w:rsid w:val="00E1696F"/>
    <w:rsid w:val="00E16DC8"/>
    <w:rsid w:val="00E16DD9"/>
    <w:rsid w:val="00E17AA0"/>
    <w:rsid w:val="00E201A8"/>
    <w:rsid w:val="00E20E44"/>
    <w:rsid w:val="00E23EC5"/>
    <w:rsid w:val="00E25C72"/>
    <w:rsid w:val="00E263AB"/>
    <w:rsid w:val="00E30B37"/>
    <w:rsid w:val="00E313C7"/>
    <w:rsid w:val="00E33075"/>
    <w:rsid w:val="00E35028"/>
    <w:rsid w:val="00E379C4"/>
    <w:rsid w:val="00E42A2F"/>
    <w:rsid w:val="00E430A1"/>
    <w:rsid w:val="00E43156"/>
    <w:rsid w:val="00E45A04"/>
    <w:rsid w:val="00E469CF"/>
    <w:rsid w:val="00E46D85"/>
    <w:rsid w:val="00E50F97"/>
    <w:rsid w:val="00E524AD"/>
    <w:rsid w:val="00E52B8F"/>
    <w:rsid w:val="00E52C29"/>
    <w:rsid w:val="00E53CD5"/>
    <w:rsid w:val="00E53DC1"/>
    <w:rsid w:val="00E542D4"/>
    <w:rsid w:val="00E54B25"/>
    <w:rsid w:val="00E555B7"/>
    <w:rsid w:val="00E55D50"/>
    <w:rsid w:val="00E55F39"/>
    <w:rsid w:val="00E5725A"/>
    <w:rsid w:val="00E57C4B"/>
    <w:rsid w:val="00E6034E"/>
    <w:rsid w:val="00E60788"/>
    <w:rsid w:val="00E61114"/>
    <w:rsid w:val="00E6235C"/>
    <w:rsid w:val="00E6241A"/>
    <w:rsid w:val="00E63873"/>
    <w:rsid w:val="00E64B22"/>
    <w:rsid w:val="00E65561"/>
    <w:rsid w:val="00E6792A"/>
    <w:rsid w:val="00E67A22"/>
    <w:rsid w:val="00E72FE9"/>
    <w:rsid w:val="00E80B76"/>
    <w:rsid w:val="00E82FA2"/>
    <w:rsid w:val="00E83A76"/>
    <w:rsid w:val="00E841B0"/>
    <w:rsid w:val="00E86723"/>
    <w:rsid w:val="00E9082C"/>
    <w:rsid w:val="00E90983"/>
    <w:rsid w:val="00E90C89"/>
    <w:rsid w:val="00E917DA"/>
    <w:rsid w:val="00E91A34"/>
    <w:rsid w:val="00E91CF9"/>
    <w:rsid w:val="00E92010"/>
    <w:rsid w:val="00E9393A"/>
    <w:rsid w:val="00E960DD"/>
    <w:rsid w:val="00E96B6D"/>
    <w:rsid w:val="00E96D80"/>
    <w:rsid w:val="00E9769F"/>
    <w:rsid w:val="00E97F80"/>
    <w:rsid w:val="00EA2272"/>
    <w:rsid w:val="00EA32E6"/>
    <w:rsid w:val="00EA338F"/>
    <w:rsid w:val="00EA7C0D"/>
    <w:rsid w:val="00EA7F03"/>
    <w:rsid w:val="00EB1912"/>
    <w:rsid w:val="00EB3F0A"/>
    <w:rsid w:val="00EB4A2E"/>
    <w:rsid w:val="00EB643C"/>
    <w:rsid w:val="00EB7FF3"/>
    <w:rsid w:val="00EC0F4A"/>
    <w:rsid w:val="00EC11E3"/>
    <w:rsid w:val="00EC1592"/>
    <w:rsid w:val="00EC1948"/>
    <w:rsid w:val="00EC4485"/>
    <w:rsid w:val="00EC5653"/>
    <w:rsid w:val="00EC5A32"/>
    <w:rsid w:val="00EC6FF7"/>
    <w:rsid w:val="00EC71D8"/>
    <w:rsid w:val="00ED1653"/>
    <w:rsid w:val="00ED175D"/>
    <w:rsid w:val="00ED1FE8"/>
    <w:rsid w:val="00ED33C6"/>
    <w:rsid w:val="00ED4DA3"/>
    <w:rsid w:val="00ED5076"/>
    <w:rsid w:val="00ED54D4"/>
    <w:rsid w:val="00ED5AD7"/>
    <w:rsid w:val="00ED6CEC"/>
    <w:rsid w:val="00EE18BB"/>
    <w:rsid w:val="00EE3D2E"/>
    <w:rsid w:val="00EE4AFA"/>
    <w:rsid w:val="00EE777F"/>
    <w:rsid w:val="00EF1AA9"/>
    <w:rsid w:val="00EF291D"/>
    <w:rsid w:val="00EF3D72"/>
    <w:rsid w:val="00EF4E30"/>
    <w:rsid w:val="00EF5130"/>
    <w:rsid w:val="00EF54AC"/>
    <w:rsid w:val="00EF561A"/>
    <w:rsid w:val="00EF7B49"/>
    <w:rsid w:val="00EF7DCA"/>
    <w:rsid w:val="00F0181E"/>
    <w:rsid w:val="00F025ED"/>
    <w:rsid w:val="00F03D17"/>
    <w:rsid w:val="00F04E48"/>
    <w:rsid w:val="00F04FB0"/>
    <w:rsid w:val="00F050C8"/>
    <w:rsid w:val="00F053B3"/>
    <w:rsid w:val="00F054C6"/>
    <w:rsid w:val="00F058C1"/>
    <w:rsid w:val="00F061DD"/>
    <w:rsid w:val="00F06872"/>
    <w:rsid w:val="00F07721"/>
    <w:rsid w:val="00F0786E"/>
    <w:rsid w:val="00F07D64"/>
    <w:rsid w:val="00F16C66"/>
    <w:rsid w:val="00F16D46"/>
    <w:rsid w:val="00F21235"/>
    <w:rsid w:val="00F22BD1"/>
    <w:rsid w:val="00F22FE7"/>
    <w:rsid w:val="00F2398D"/>
    <w:rsid w:val="00F25AA4"/>
    <w:rsid w:val="00F26E32"/>
    <w:rsid w:val="00F274BD"/>
    <w:rsid w:val="00F27ADE"/>
    <w:rsid w:val="00F30552"/>
    <w:rsid w:val="00F30588"/>
    <w:rsid w:val="00F33AA8"/>
    <w:rsid w:val="00F33E52"/>
    <w:rsid w:val="00F35693"/>
    <w:rsid w:val="00F3623F"/>
    <w:rsid w:val="00F36BB9"/>
    <w:rsid w:val="00F406E7"/>
    <w:rsid w:val="00F420A5"/>
    <w:rsid w:val="00F43CB0"/>
    <w:rsid w:val="00F43DC5"/>
    <w:rsid w:val="00F44187"/>
    <w:rsid w:val="00F458CA"/>
    <w:rsid w:val="00F45F7F"/>
    <w:rsid w:val="00F46797"/>
    <w:rsid w:val="00F471C0"/>
    <w:rsid w:val="00F477C2"/>
    <w:rsid w:val="00F51F0D"/>
    <w:rsid w:val="00F5216E"/>
    <w:rsid w:val="00F544E4"/>
    <w:rsid w:val="00F54679"/>
    <w:rsid w:val="00F56948"/>
    <w:rsid w:val="00F57164"/>
    <w:rsid w:val="00F60413"/>
    <w:rsid w:val="00F6220C"/>
    <w:rsid w:val="00F62B71"/>
    <w:rsid w:val="00F63775"/>
    <w:rsid w:val="00F6431E"/>
    <w:rsid w:val="00F648F3"/>
    <w:rsid w:val="00F6607B"/>
    <w:rsid w:val="00F6730F"/>
    <w:rsid w:val="00F67C10"/>
    <w:rsid w:val="00F708C0"/>
    <w:rsid w:val="00F727CD"/>
    <w:rsid w:val="00F72B72"/>
    <w:rsid w:val="00F75C73"/>
    <w:rsid w:val="00F768F7"/>
    <w:rsid w:val="00F7706D"/>
    <w:rsid w:val="00F77F9F"/>
    <w:rsid w:val="00F809DD"/>
    <w:rsid w:val="00F81DDA"/>
    <w:rsid w:val="00F81FCE"/>
    <w:rsid w:val="00F828EB"/>
    <w:rsid w:val="00F82B65"/>
    <w:rsid w:val="00F848F3"/>
    <w:rsid w:val="00F8582E"/>
    <w:rsid w:val="00F86281"/>
    <w:rsid w:val="00F87568"/>
    <w:rsid w:val="00F87765"/>
    <w:rsid w:val="00F87926"/>
    <w:rsid w:val="00F90322"/>
    <w:rsid w:val="00F92099"/>
    <w:rsid w:val="00F93267"/>
    <w:rsid w:val="00F937D1"/>
    <w:rsid w:val="00F94532"/>
    <w:rsid w:val="00F94C5C"/>
    <w:rsid w:val="00F953B9"/>
    <w:rsid w:val="00F95969"/>
    <w:rsid w:val="00F95EFC"/>
    <w:rsid w:val="00FA02CF"/>
    <w:rsid w:val="00FA2092"/>
    <w:rsid w:val="00FA3339"/>
    <w:rsid w:val="00FA3893"/>
    <w:rsid w:val="00FA3F4F"/>
    <w:rsid w:val="00FA4803"/>
    <w:rsid w:val="00FA5345"/>
    <w:rsid w:val="00FA6822"/>
    <w:rsid w:val="00FA6839"/>
    <w:rsid w:val="00FA705B"/>
    <w:rsid w:val="00FB2A58"/>
    <w:rsid w:val="00FB3240"/>
    <w:rsid w:val="00FB48CB"/>
    <w:rsid w:val="00FB5ABC"/>
    <w:rsid w:val="00FC0131"/>
    <w:rsid w:val="00FC0260"/>
    <w:rsid w:val="00FC048A"/>
    <w:rsid w:val="00FC2633"/>
    <w:rsid w:val="00FC2635"/>
    <w:rsid w:val="00FD1AAA"/>
    <w:rsid w:val="00FD2822"/>
    <w:rsid w:val="00FD2851"/>
    <w:rsid w:val="00FD2913"/>
    <w:rsid w:val="00FD31DC"/>
    <w:rsid w:val="00FD3AFC"/>
    <w:rsid w:val="00FD47EB"/>
    <w:rsid w:val="00FD4C3F"/>
    <w:rsid w:val="00FD774C"/>
    <w:rsid w:val="00FE153E"/>
    <w:rsid w:val="00FE1FDA"/>
    <w:rsid w:val="00FE2C76"/>
    <w:rsid w:val="00FE2C87"/>
    <w:rsid w:val="00FE41B5"/>
    <w:rsid w:val="00FE41C7"/>
    <w:rsid w:val="00FE4EFE"/>
    <w:rsid w:val="00FE5530"/>
    <w:rsid w:val="00FE61CC"/>
    <w:rsid w:val="00FE6459"/>
    <w:rsid w:val="00FE7F7F"/>
    <w:rsid w:val="00FF0F1C"/>
    <w:rsid w:val="00FF1309"/>
    <w:rsid w:val="00FF18C9"/>
    <w:rsid w:val="00FF29EC"/>
    <w:rsid w:val="00FF43F6"/>
    <w:rsid w:val="00FF513E"/>
    <w:rsid w:val="00FF5903"/>
    <w:rsid w:val="00FF7CC9"/>
    <w:rsid w:val="406E6DB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C6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4"/>
        <w:lang w:val="en-AU" w:eastAsia="en-AU"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4" w:unhideWhenUsed="1" w:qFormat="1"/>
    <w:lsdException w:name="heading 6" w:semiHidden="1" w:uiPriority="5" w:unhideWhenUsed="1" w:qFormat="1"/>
    <w:lsdException w:name="heading 7" w:semiHidden="1" w:uiPriority="6" w:qFormat="1"/>
    <w:lsdException w:name="heading 8" w:semiHidden="1" w:uiPriority="7" w:qFormat="1"/>
    <w:lsdException w:name="heading 9" w:semiHidden="1" w:uiPriority="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49" w:unhideWhenUsed="1"/>
    <w:lsdException w:name="header" w:semiHidden="1" w:uiPriority="1" w:unhideWhenUsed="1"/>
    <w:lsdException w:name="footer" w:semiHidden="1" w:uiPriority="1" w:unhideWhenUsed="1"/>
    <w:lsdException w:name="index heading" w:semiHidden="1" w:unhideWhenUsed="1"/>
    <w:lsdException w:name="caption" w:semiHidden="1" w:unhideWhenUsed="1"/>
    <w:lsdException w:name="table of figures" w:semiHidden="1" w:unhideWhenUsed="1"/>
    <w:lsdException w:name="envelope address" w:semiHidden="1" w:uiPriority="49" w:unhideWhenUsed="1"/>
    <w:lsdException w:name="envelope return" w:semiHidden="1" w:uiPriority="49" w:unhideWhenUsed="1"/>
    <w:lsdException w:name="footnote reference" w:semiHidden="1" w:unhideWhenUsed="1"/>
    <w:lsdException w:name="annotation reference" w:semiHidden="1" w:uiPriority="49"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nhideWhenUsed="1"/>
    <w:lsdException w:name="macro" w:semiHidden="1" w:unhideWhenUsed="1"/>
    <w:lsdException w:name="toa heading" w:semiHidden="1" w:unhideWhenUsed="1"/>
    <w:lsdException w:name="List" w:semiHidden="1" w:uiPriority="17" w:unhideWhenUsed="1" w:qFormat="1"/>
    <w:lsdException w:name="List Bullet" w:semiHidden="1" w:uiPriority="13" w:unhideWhenUsed="1" w:qFormat="1"/>
    <w:lsdException w:name="List Number" w:semiHidden="1" w:unhideWhenUsed="1"/>
    <w:lsdException w:name="List 2" w:semiHidden="1" w:uiPriority="17" w:unhideWhenUsed="1" w:qFormat="1"/>
    <w:lsdException w:name="List 3" w:semiHidden="1" w:uiPriority="17" w:unhideWhenUsed="1" w:qFormat="1"/>
    <w:lsdException w:name="List 4" w:semiHidden="1" w:unhideWhenUsed="1"/>
    <w:lsdException w:name="List 5" w:semiHidden="1" w:unhideWhenUsed="1"/>
    <w:lsdException w:name="List Bullet 2" w:semiHidden="1" w:uiPriority="13" w:unhideWhenUsed="1" w:qFormat="1"/>
    <w:lsdException w:name="List Bullet 3" w:semiHidden="1" w:uiPriority="13"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iPriority="49" w:unhideWhenUsed="1"/>
    <w:lsdException w:name="Signature" w:semiHidden="1" w:unhideWhenUsed="1"/>
    <w:lsdException w:name="Default Paragraph Font" w:semiHidden="1" w:uiPriority="1" w:unhideWhenUsed="1"/>
    <w:lsdException w:name="Body Text" w:semiHidden="1" w:uiPriority="49" w:unhideWhenUsed="1"/>
    <w:lsdException w:name="Body Text Indent" w:semiHidden="1" w:uiPriority="4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iPriority="49" w:unhideWhenUsed="1"/>
    <w:lsdException w:name="Body Text First Indent" w:semiHidden="1" w:uiPriority="49" w:unhideWhenUsed="1"/>
    <w:lsdException w:name="Body Text First Indent 2" w:semiHidden="1" w:uiPriority="49" w:unhideWhenUsed="1"/>
    <w:lsdException w:name="Note Heading" w:semiHidden="1" w:unhideWhenUsed="1"/>
    <w:lsdException w:name="Body Text 2" w:semiHidden="1" w:uiPriority="0" w:unhideWhenUsed="1" w:qFormat="1"/>
    <w:lsdException w:name="Body Text 3" w:uiPriority="0" w:qFormat="1"/>
    <w:lsdException w:name="Body Text Indent 2" w:semiHidden="1" w:uiPriority="49" w:unhideWhenUsed="1"/>
    <w:lsdException w:name="Body Text Indent 3" w:semiHidden="1" w:uiPriority="49" w:unhideWhenUsed="1"/>
    <w:lsdException w:name="Block Text" w:semiHidden="1" w:unhideWhenUsed="1"/>
    <w:lsdException w:name="Hyperlink" w:semiHidden="1" w:unhideWhenUsed="1"/>
    <w:lsdException w:name="FollowedHyperlink" w:semiHidden="1" w:uiPriority="49" w:unhideWhenUsed="1"/>
    <w:lsdException w:name="Document Map" w:semiHidden="1" w:uiPriority="49" w:unhideWhenUsed="1"/>
    <w:lsdException w:name="Plain Text" w:semiHidden="1" w:unhideWhenUsed="1"/>
    <w:lsdException w:name="E-mail Signature" w:semiHidden="1" w:uiPriority="49" w:unhideWhenUsed="1"/>
    <w:lsdException w:name="HTML Top of Form" w:semiHidden="1" w:unhideWhenUsed="1"/>
    <w:lsdException w:name="HTML Bottom of Form" w:semiHidden="1" w:unhideWhenUsed="1"/>
    <w:lsdException w:name="Normal (Web)" w:semiHidden="1" w:unhideWhenUsed="1"/>
    <w:lsdException w:name="HTML Acronym" w:semiHidden="1" w:uiPriority="49" w:unhideWhenUsed="1"/>
    <w:lsdException w:name="HTML Address" w:semiHidden="1" w:uiPriority="49" w:unhideWhenUsed="1"/>
    <w:lsdException w:name="HTML Cite" w:semiHidden="1" w:uiPriority="49" w:unhideWhenUsed="1"/>
    <w:lsdException w:name="HTML Code" w:semiHidden="1" w:uiPriority="49" w:unhideWhenUsed="1"/>
    <w:lsdException w:name="HTML Definition" w:semiHidden="1" w:uiPriority="49" w:unhideWhenUsed="1"/>
    <w:lsdException w:name="HTML Keyboard" w:semiHidden="1" w:uiPriority="49" w:unhideWhenUsed="1"/>
    <w:lsdException w:name="HTML Preformatted" w:semiHidden="1" w:uiPriority="49" w:unhideWhenUsed="1"/>
    <w:lsdException w:name="HTML Sample" w:semiHidden="1" w:uiPriority="49" w:unhideWhenUsed="1"/>
    <w:lsdException w:name="HTML Typewriter" w:semiHidden="1" w:uiPriority="49" w:unhideWhenUsed="1"/>
    <w:lsdException w:name="HTML Variable" w:semiHidden="1" w:uiPriority="49" w:unhideWhenUsed="1"/>
    <w:lsdException w:name="Normal Table" w:semiHidden="1" w:unhideWhenUsed="1"/>
    <w:lsdException w:name="annotation subject" w:semiHidden="1" w:uiPriority="4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4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A76"/>
  </w:style>
  <w:style w:type="paragraph" w:styleId="Heading1">
    <w:name w:val="heading 1"/>
    <w:basedOn w:val="Normal"/>
    <w:next w:val="BodyText1"/>
    <w:link w:val="Heading1Char"/>
    <w:qFormat/>
    <w:rsid w:val="006C06E6"/>
    <w:pPr>
      <w:keepNext/>
      <w:outlineLvl w:val="0"/>
    </w:pPr>
    <w:rPr>
      <w:rFonts w:asciiTheme="majorHAnsi" w:hAnsiTheme="majorHAnsi"/>
      <w:b/>
    </w:rPr>
  </w:style>
  <w:style w:type="paragraph" w:styleId="Heading2">
    <w:name w:val="heading 2"/>
    <w:basedOn w:val="Normal"/>
    <w:next w:val="BodyText1"/>
    <w:link w:val="Heading2Char"/>
    <w:qFormat/>
    <w:rsid w:val="00C86748"/>
    <w:pPr>
      <w:keepNext/>
      <w:autoSpaceDE w:val="0"/>
      <w:autoSpaceDN w:val="0"/>
      <w:adjustRightInd w:val="0"/>
      <w:spacing w:before="120" w:after="360"/>
      <w:outlineLvl w:val="1"/>
    </w:pPr>
    <w:rPr>
      <w:rFonts w:asciiTheme="majorHAnsi" w:eastAsia="Times New Roman" w:hAnsiTheme="majorHAnsi" w:cs="Arial"/>
      <w:b/>
      <w:bCs/>
      <w:sz w:val="32"/>
    </w:rPr>
  </w:style>
  <w:style w:type="paragraph" w:styleId="Heading3">
    <w:name w:val="heading 3"/>
    <w:basedOn w:val="Normal"/>
    <w:next w:val="BodyText1"/>
    <w:link w:val="Heading3Char"/>
    <w:qFormat/>
    <w:rsid w:val="006C06E6"/>
    <w:pPr>
      <w:keepNext/>
      <w:outlineLvl w:val="2"/>
    </w:pPr>
    <w:rPr>
      <w:rFonts w:eastAsia="Times New Roman" w:cs="Arial"/>
      <w:bCs/>
      <w:i/>
      <w:sz w:val="26"/>
    </w:rPr>
  </w:style>
  <w:style w:type="paragraph" w:styleId="Heading4">
    <w:name w:val="heading 4"/>
    <w:basedOn w:val="Normal"/>
    <w:next w:val="BodyText1"/>
    <w:link w:val="Heading4Char"/>
    <w:qFormat/>
    <w:rsid w:val="00E83A76"/>
    <w:pPr>
      <w:keepNext/>
      <w:outlineLvl w:val="3"/>
    </w:pPr>
    <w:rPr>
      <w:rFonts w:ascii="Arial" w:hAnsi="Arial"/>
      <w:b/>
      <w:sz w:val="22"/>
    </w:rPr>
  </w:style>
  <w:style w:type="paragraph" w:styleId="Heading5">
    <w:name w:val="heading 5"/>
    <w:basedOn w:val="Normal"/>
    <w:next w:val="Normal"/>
    <w:link w:val="Heading5Char"/>
    <w:uiPriority w:val="4"/>
    <w:semiHidden/>
    <w:qFormat/>
    <w:rsid w:val="00DC52E3"/>
    <w:pPr>
      <w:outlineLvl w:val="4"/>
    </w:pPr>
    <w:rPr>
      <w:rFonts w:ascii="Trebuchet MS" w:hAnsi="Trebuchet MS"/>
      <w:b/>
      <w:sz w:val="32"/>
    </w:rPr>
  </w:style>
  <w:style w:type="paragraph" w:styleId="Heading6">
    <w:name w:val="heading 6"/>
    <w:basedOn w:val="Normal"/>
    <w:next w:val="Normal"/>
    <w:link w:val="Heading6Char"/>
    <w:uiPriority w:val="5"/>
    <w:semiHidden/>
    <w:qFormat/>
    <w:rsid w:val="00DC52E3"/>
    <w:pPr>
      <w:keepNext/>
      <w:keepLines/>
      <w:spacing w:before="200"/>
      <w:outlineLvl w:val="5"/>
    </w:pPr>
    <w:rPr>
      <w:rFonts w:ascii="Trebuchet MS" w:eastAsia="Times New Roman" w:hAnsi="Trebuchet MS"/>
      <w:iCs/>
      <w:color w:val="0C2577"/>
      <w:sz w:val="9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06E6"/>
    <w:rPr>
      <w:rFonts w:asciiTheme="majorHAnsi" w:hAnsiTheme="majorHAnsi"/>
      <w:b/>
    </w:rPr>
  </w:style>
  <w:style w:type="character" w:customStyle="1" w:styleId="Heading2Char">
    <w:name w:val="Heading 2 Char"/>
    <w:basedOn w:val="DefaultParagraphFont"/>
    <w:link w:val="Heading2"/>
    <w:rsid w:val="00C86748"/>
    <w:rPr>
      <w:rFonts w:asciiTheme="majorHAnsi" w:eastAsia="Times New Roman" w:hAnsiTheme="majorHAnsi" w:cs="Arial"/>
      <w:b/>
      <w:bCs/>
      <w:sz w:val="32"/>
    </w:rPr>
  </w:style>
  <w:style w:type="character" w:styleId="PlaceholderText">
    <w:name w:val="Placeholder Text"/>
    <w:basedOn w:val="DefaultParagraphFont"/>
    <w:uiPriority w:val="99"/>
    <w:semiHidden/>
    <w:rsid w:val="00B04B20"/>
    <w:rPr>
      <w:color w:val="808080"/>
    </w:rPr>
  </w:style>
  <w:style w:type="paragraph" w:styleId="BalloonText">
    <w:name w:val="Balloon Text"/>
    <w:basedOn w:val="Normal"/>
    <w:link w:val="BalloonTextChar"/>
    <w:uiPriority w:val="49"/>
    <w:semiHidden/>
    <w:unhideWhenUsed/>
    <w:rsid w:val="00B04B20"/>
    <w:rPr>
      <w:rFonts w:ascii="Tahoma" w:hAnsi="Tahoma" w:cs="Tahoma"/>
      <w:sz w:val="16"/>
      <w:szCs w:val="16"/>
    </w:rPr>
  </w:style>
  <w:style w:type="character" w:customStyle="1" w:styleId="BalloonTextChar">
    <w:name w:val="Balloon Text Char"/>
    <w:basedOn w:val="DefaultParagraphFont"/>
    <w:link w:val="BalloonText"/>
    <w:uiPriority w:val="49"/>
    <w:semiHidden/>
    <w:rsid w:val="001F6B8D"/>
    <w:rPr>
      <w:rFonts w:ascii="Tahoma" w:hAnsi="Tahoma" w:cs="Tahoma"/>
      <w:sz w:val="16"/>
      <w:szCs w:val="16"/>
    </w:rPr>
  </w:style>
  <w:style w:type="character" w:customStyle="1" w:styleId="Heading3Char">
    <w:name w:val="Heading 3 Char"/>
    <w:basedOn w:val="DefaultParagraphFont"/>
    <w:link w:val="Heading3"/>
    <w:rsid w:val="006C06E6"/>
    <w:rPr>
      <w:rFonts w:eastAsia="Times New Roman" w:cs="Arial"/>
      <w:bCs/>
      <w:i/>
      <w:sz w:val="26"/>
    </w:rPr>
  </w:style>
  <w:style w:type="character" w:customStyle="1" w:styleId="Heading4Char">
    <w:name w:val="Heading 4 Char"/>
    <w:basedOn w:val="DefaultParagraphFont"/>
    <w:link w:val="Heading4"/>
    <w:rsid w:val="00E83A76"/>
    <w:rPr>
      <w:rFonts w:ascii="Arial" w:hAnsi="Arial"/>
      <w:b/>
      <w:sz w:val="22"/>
    </w:rPr>
  </w:style>
  <w:style w:type="character" w:customStyle="1" w:styleId="Heading5Char">
    <w:name w:val="Heading 5 Char"/>
    <w:basedOn w:val="DefaultParagraphFont"/>
    <w:link w:val="Heading5"/>
    <w:uiPriority w:val="4"/>
    <w:semiHidden/>
    <w:rsid w:val="00842FBD"/>
    <w:rPr>
      <w:rFonts w:ascii="Trebuchet MS" w:hAnsi="Trebuchet MS"/>
      <w:b/>
      <w:sz w:val="32"/>
    </w:rPr>
  </w:style>
  <w:style w:type="character" w:customStyle="1" w:styleId="Heading6Char">
    <w:name w:val="Heading 6 Char"/>
    <w:basedOn w:val="DefaultParagraphFont"/>
    <w:link w:val="Heading6"/>
    <w:uiPriority w:val="5"/>
    <w:semiHidden/>
    <w:rsid w:val="00787FA9"/>
    <w:rPr>
      <w:rFonts w:ascii="Trebuchet MS" w:eastAsia="Times New Roman" w:hAnsi="Trebuchet MS"/>
      <w:iCs/>
      <w:color w:val="0C2577"/>
      <w:sz w:val="90"/>
    </w:rPr>
  </w:style>
  <w:style w:type="paragraph" w:styleId="EnvelopeAddress">
    <w:name w:val="envelope address"/>
    <w:basedOn w:val="Normal"/>
    <w:uiPriority w:val="49"/>
    <w:semiHidden/>
    <w:unhideWhenUsed/>
    <w:rsid w:val="007031F4"/>
    <w:pPr>
      <w:framePr w:w="7920" w:h="1980" w:hRule="exact" w:hSpace="180" w:wrap="auto" w:hAnchor="page" w:xAlign="center" w:yAlign="bottom"/>
      <w:ind w:left="2880"/>
    </w:pPr>
    <w:rPr>
      <w:rFonts w:eastAsia="Times New Roman"/>
    </w:rPr>
  </w:style>
  <w:style w:type="paragraph" w:styleId="EnvelopeReturn">
    <w:name w:val="envelope return"/>
    <w:basedOn w:val="Normal"/>
    <w:uiPriority w:val="49"/>
    <w:semiHidden/>
    <w:unhideWhenUsed/>
    <w:rsid w:val="007031F4"/>
    <w:rPr>
      <w:rFonts w:eastAsia="Times New Roman"/>
      <w:sz w:val="20"/>
      <w:szCs w:val="20"/>
    </w:rPr>
  </w:style>
  <w:style w:type="character" w:styleId="Hyperlink">
    <w:name w:val="Hyperlink"/>
    <w:basedOn w:val="DefaultParagraphFont"/>
    <w:uiPriority w:val="99"/>
    <w:rsid w:val="00BC2D08"/>
    <w:rPr>
      <w:color w:val="0000FF"/>
      <w:u w:val="single"/>
    </w:rPr>
  </w:style>
  <w:style w:type="paragraph" w:styleId="BodyText2">
    <w:name w:val="Body Text 2"/>
    <w:basedOn w:val="Normal"/>
    <w:link w:val="BodyText2Char"/>
    <w:qFormat/>
    <w:rsid w:val="006D0E56"/>
    <w:pPr>
      <w:numPr>
        <w:ilvl w:val="1"/>
        <w:numId w:val="20"/>
      </w:numPr>
      <w:ind w:left="1134"/>
    </w:pPr>
  </w:style>
  <w:style w:type="character" w:customStyle="1" w:styleId="BodyText2Char">
    <w:name w:val="Body Text 2 Char"/>
    <w:basedOn w:val="DefaultParagraphFont"/>
    <w:link w:val="BodyText2"/>
    <w:rsid w:val="006D0E56"/>
  </w:style>
  <w:style w:type="paragraph" w:styleId="ListBullet">
    <w:name w:val="List Bullet"/>
    <w:basedOn w:val="Normal"/>
    <w:uiPriority w:val="13"/>
    <w:unhideWhenUsed/>
    <w:qFormat/>
    <w:rsid w:val="005050E8"/>
    <w:pPr>
      <w:numPr>
        <w:numId w:val="11"/>
      </w:numPr>
      <w:ind w:left="357" w:hanging="357"/>
      <w:contextualSpacing/>
    </w:pPr>
  </w:style>
  <w:style w:type="paragraph" w:styleId="Header">
    <w:name w:val="header"/>
    <w:basedOn w:val="Normal"/>
    <w:next w:val="Normal"/>
    <w:link w:val="HeaderChar"/>
    <w:uiPriority w:val="1"/>
    <w:rsid w:val="00110917"/>
    <w:pPr>
      <w:tabs>
        <w:tab w:val="center" w:pos="4513"/>
        <w:tab w:val="right" w:pos="9026"/>
      </w:tabs>
      <w:spacing w:after="0"/>
      <w:contextualSpacing/>
      <w:jc w:val="right"/>
    </w:pPr>
    <w:rPr>
      <w:b/>
    </w:rPr>
  </w:style>
  <w:style w:type="character" w:customStyle="1" w:styleId="HeaderChar">
    <w:name w:val="Header Char"/>
    <w:basedOn w:val="DefaultParagraphFont"/>
    <w:link w:val="Header"/>
    <w:uiPriority w:val="1"/>
    <w:rsid w:val="00E83A76"/>
    <w:rPr>
      <w:b/>
    </w:rPr>
  </w:style>
  <w:style w:type="paragraph" w:styleId="Footer">
    <w:name w:val="footer"/>
    <w:basedOn w:val="Normal"/>
    <w:link w:val="FooterChar"/>
    <w:uiPriority w:val="1"/>
    <w:rsid w:val="00867092"/>
    <w:pPr>
      <w:tabs>
        <w:tab w:val="center" w:pos="4513"/>
        <w:tab w:val="right" w:pos="9026"/>
      </w:tabs>
      <w:spacing w:after="120"/>
      <w:jc w:val="right"/>
    </w:pPr>
    <w:rPr>
      <w:b/>
    </w:rPr>
  </w:style>
  <w:style w:type="character" w:customStyle="1" w:styleId="FooterChar">
    <w:name w:val="Footer Char"/>
    <w:basedOn w:val="DefaultParagraphFont"/>
    <w:link w:val="Footer"/>
    <w:uiPriority w:val="1"/>
    <w:rsid w:val="00E83A76"/>
    <w:rPr>
      <w:b/>
    </w:rPr>
  </w:style>
  <w:style w:type="paragraph" w:styleId="FootnoteText">
    <w:name w:val="footnote text"/>
    <w:basedOn w:val="Normal"/>
    <w:link w:val="FootnoteTextChar"/>
    <w:uiPriority w:val="99"/>
    <w:semiHidden/>
    <w:rsid w:val="00C70536"/>
    <w:pPr>
      <w:tabs>
        <w:tab w:val="left" w:pos="284"/>
      </w:tabs>
      <w:spacing w:after="0"/>
      <w:ind w:left="284" w:hanging="284"/>
      <w:jc w:val="both"/>
    </w:pPr>
    <w:rPr>
      <w:sz w:val="20"/>
    </w:rPr>
  </w:style>
  <w:style w:type="character" w:customStyle="1" w:styleId="FootnoteTextChar">
    <w:name w:val="Footnote Text Char"/>
    <w:basedOn w:val="DefaultParagraphFont"/>
    <w:link w:val="FootnoteText"/>
    <w:uiPriority w:val="99"/>
    <w:semiHidden/>
    <w:rsid w:val="00E83A76"/>
    <w:rPr>
      <w:sz w:val="20"/>
    </w:rPr>
  </w:style>
  <w:style w:type="character" w:styleId="FootnoteReference">
    <w:name w:val="footnote reference"/>
    <w:basedOn w:val="DefaultParagraphFont"/>
    <w:uiPriority w:val="99"/>
    <w:semiHidden/>
    <w:rsid w:val="00725AA6"/>
    <w:rPr>
      <w:vertAlign w:val="superscript"/>
    </w:rPr>
  </w:style>
  <w:style w:type="table" w:styleId="TableGrid">
    <w:name w:val="Table Grid"/>
    <w:basedOn w:val="TableNormal"/>
    <w:uiPriority w:val="59"/>
    <w:rsid w:val="00485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B47BD7"/>
    <w:pPr>
      <w:tabs>
        <w:tab w:val="right" w:leader="dot" w:pos="8302"/>
      </w:tabs>
      <w:spacing w:after="120"/>
      <w:ind w:right="567"/>
    </w:pPr>
    <w:rPr>
      <w:rFonts w:ascii="Arial" w:hAnsi="Arial"/>
      <w:noProof/>
    </w:rPr>
  </w:style>
  <w:style w:type="paragraph" w:styleId="TOC3">
    <w:name w:val="toc 3"/>
    <w:basedOn w:val="Normal"/>
    <w:next w:val="Normal"/>
    <w:autoRedefine/>
    <w:uiPriority w:val="39"/>
    <w:semiHidden/>
    <w:rsid w:val="0029455F"/>
    <w:pPr>
      <w:tabs>
        <w:tab w:val="right" w:leader="dot" w:pos="8302"/>
      </w:tabs>
      <w:spacing w:after="120"/>
      <w:ind w:left="567" w:right="567"/>
    </w:pPr>
    <w:rPr>
      <w:rFonts w:ascii="Arial" w:hAnsi="Arial"/>
    </w:rPr>
  </w:style>
  <w:style w:type="paragraph" w:styleId="TOCHeading">
    <w:name w:val="TOC Heading"/>
    <w:basedOn w:val="Heading1"/>
    <w:next w:val="Normal"/>
    <w:uiPriority w:val="1"/>
    <w:rsid w:val="00E96B6D"/>
    <w:pPr>
      <w:outlineLvl w:val="9"/>
    </w:pPr>
    <w:rPr>
      <w:rFonts w:eastAsiaTheme="majorEastAsia" w:cstheme="majorBidi"/>
      <w:szCs w:val="28"/>
    </w:rPr>
  </w:style>
  <w:style w:type="character" w:customStyle="1" w:styleId="BodyText1Char">
    <w:name w:val="Body Text 1 Char"/>
    <w:basedOn w:val="DefaultParagraphFont"/>
    <w:link w:val="BodyText1"/>
    <w:rsid w:val="00484D67"/>
    <w:rPr>
      <w:rFonts w:eastAsia="Times New Roman"/>
    </w:rPr>
  </w:style>
  <w:style w:type="paragraph" w:styleId="NoSpacing">
    <w:name w:val="No Spacing"/>
    <w:uiPriority w:val="1"/>
    <w:qFormat/>
    <w:rsid w:val="009D467A"/>
    <w:pPr>
      <w:spacing w:after="0"/>
    </w:pPr>
  </w:style>
  <w:style w:type="paragraph" w:customStyle="1" w:styleId="BoxHeading">
    <w:name w:val="Box Heading"/>
    <w:next w:val="Normal"/>
    <w:uiPriority w:val="1"/>
    <w:qFormat/>
    <w:rsid w:val="00656D42"/>
    <w:pPr>
      <w:spacing w:before="120" w:after="360"/>
    </w:pPr>
    <w:rPr>
      <w:rFonts w:ascii="Arial" w:eastAsia="Times New Roman" w:hAnsi="Arial" w:cs="Arial"/>
      <w:b/>
      <w:bCs/>
      <w:sz w:val="32"/>
      <w:szCs w:val="32"/>
    </w:rPr>
  </w:style>
  <w:style w:type="paragraph" w:customStyle="1" w:styleId="BoxBullet">
    <w:name w:val="Box Bullet"/>
    <w:basedOn w:val="Normal"/>
    <w:uiPriority w:val="1"/>
    <w:qFormat/>
    <w:rsid w:val="003936EA"/>
    <w:pPr>
      <w:numPr>
        <w:numId w:val="17"/>
      </w:numPr>
    </w:pPr>
    <w:rPr>
      <w:rFonts w:eastAsia="Times New Roman"/>
      <w:szCs w:val="26"/>
    </w:rPr>
  </w:style>
  <w:style w:type="paragraph" w:customStyle="1" w:styleId="BodyText1">
    <w:name w:val="Body Text 1"/>
    <w:basedOn w:val="Normal"/>
    <w:link w:val="BodyText1Char"/>
    <w:qFormat/>
    <w:rsid w:val="00484D67"/>
    <w:pPr>
      <w:numPr>
        <w:numId w:val="20"/>
      </w:numPr>
      <w:spacing w:after="230"/>
      <w:ind w:left="567"/>
      <w:jc w:val="both"/>
    </w:pPr>
    <w:rPr>
      <w:rFonts w:eastAsia="Times New Roman"/>
    </w:rPr>
  </w:style>
  <w:style w:type="character" w:customStyle="1" w:styleId="PSNamefieldtext">
    <w:name w:val="PS Name field text"/>
    <w:basedOn w:val="DefaultParagraphFont"/>
    <w:uiPriority w:val="2"/>
    <w:qFormat/>
    <w:rsid w:val="00E07F40"/>
    <w:rPr>
      <w:lang w:eastAsia="en-AU"/>
    </w:rPr>
  </w:style>
  <w:style w:type="character" w:customStyle="1" w:styleId="PSNofieldtext">
    <w:name w:val="PS No. field text"/>
    <w:basedOn w:val="DefaultParagraphFont"/>
    <w:uiPriority w:val="2"/>
    <w:qFormat/>
    <w:rsid w:val="00E07F40"/>
  </w:style>
  <w:style w:type="paragraph" w:styleId="BodyText3">
    <w:name w:val="Body Text 3"/>
    <w:basedOn w:val="Normal"/>
    <w:link w:val="BodyText3Char"/>
    <w:qFormat/>
    <w:rsid w:val="00656D42"/>
    <w:pPr>
      <w:numPr>
        <w:ilvl w:val="2"/>
        <w:numId w:val="20"/>
      </w:numPr>
    </w:pPr>
    <w:rPr>
      <w:szCs w:val="16"/>
    </w:rPr>
  </w:style>
  <w:style w:type="character" w:customStyle="1" w:styleId="BodyText3Char">
    <w:name w:val="Body Text 3 Char"/>
    <w:basedOn w:val="DefaultParagraphFont"/>
    <w:link w:val="BodyText3"/>
    <w:rsid w:val="00656D42"/>
    <w:rPr>
      <w:szCs w:val="16"/>
    </w:rPr>
  </w:style>
  <w:style w:type="character" w:customStyle="1" w:styleId="Attachmentfieldtext">
    <w:name w:val="Attachment field text"/>
    <w:basedOn w:val="DefaultParagraphFont"/>
    <w:uiPriority w:val="2"/>
    <w:qFormat/>
    <w:rsid w:val="00867092"/>
  </w:style>
  <w:style w:type="paragraph" w:styleId="Title">
    <w:name w:val="Title"/>
    <w:basedOn w:val="Normal"/>
    <w:next w:val="Normal"/>
    <w:link w:val="TitleChar"/>
    <w:uiPriority w:val="1"/>
    <w:rsid w:val="00C67A76"/>
    <w:pPr>
      <w:spacing w:before="120"/>
    </w:pPr>
    <w:rPr>
      <w:rFonts w:asciiTheme="majorHAnsi" w:hAnsiTheme="majorHAnsi"/>
      <w:b/>
      <w:sz w:val="40"/>
    </w:rPr>
  </w:style>
  <w:style w:type="character" w:customStyle="1" w:styleId="TitleChar">
    <w:name w:val="Title Char"/>
    <w:basedOn w:val="DefaultParagraphFont"/>
    <w:link w:val="Title"/>
    <w:uiPriority w:val="1"/>
    <w:rsid w:val="00C67A76"/>
    <w:rPr>
      <w:rFonts w:asciiTheme="majorHAnsi" w:hAnsiTheme="majorHAnsi"/>
      <w:b/>
      <w:sz w:val="40"/>
    </w:rPr>
  </w:style>
  <w:style w:type="paragraph" w:styleId="TOC1">
    <w:name w:val="toc 1"/>
    <w:basedOn w:val="Normal"/>
    <w:next w:val="Normal"/>
    <w:autoRedefine/>
    <w:uiPriority w:val="39"/>
    <w:rsid w:val="00AD5872"/>
    <w:pPr>
      <w:tabs>
        <w:tab w:val="right" w:leader="dot" w:pos="8302"/>
      </w:tabs>
      <w:spacing w:after="120"/>
      <w:ind w:right="567"/>
    </w:pPr>
    <w:rPr>
      <w:rFonts w:asciiTheme="majorHAnsi" w:hAnsiTheme="majorHAnsi" w:cstheme="majorHAnsi"/>
      <w:noProof/>
    </w:rPr>
  </w:style>
  <w:style w:type="paragraph" w:styleId="TOC4">
    <w:name w:val="toc 4"/>
    <w:basedOn w:val="Normal"/>
    <w:next w:val="Normal"/>
    <w:autoRedefine/>
    <w:uiPriority w:val="39"/>
    <w:semiHidden/>
    <w:rsid w:val="00E83A76"/>
    <w:pPr>
      <w:tabs>
        <w:tab w:val="right" w:leader="dot" w:pos="8302"/>
      </w:tabs>
      <w:spacing w:after="100"/>
      <w:ind w:left="1134" w:right="567"/>
    </w:pPr>
    <w:rPr>
      <w:rFonts w:asciiTheme="majorHAnsi" w:hAnsiTheme="majorHAnsi"/>
    </w:rPr>
  </w:style>
  <w:style w:type="paragraph" w:customStyle="1" w:styleId="BodyText4">
    <w:name w:val="Body Text 4"/>
    <w:basedOn w:val="Normal"/>
    <w:qFormat/>
    <w:rsid w:val="00BF6CDF"/>
    <w:pPr>
      <w:numPr>
        <w:ilvl w:val="3"/>
        <w:numId w:val="20"/>
      </w:numPr>
    </w:pPr>
  </w:style>
  <w:style w:type="paragraph" w:styleId="ListBullet2">
    <w:name w:val="List Bullet 2"/>
    <w:basedOn w:val="ListBullet"/>
    <w:uiPriority w:val="13"/>
    <w:qFormat/>
    <w:rsid w:val="00107740"/>
    <w:pPr>
      <w:numPr>
        <w:numId w:val="0"/>
      </w:numPr>
      <w:tabs>
        <w:tab w:val="num" w:pos="851"/>
      </w:tabs>
      <w:ind w:left="851" w:hanging="426"/>
      <w:contextualSpacing w:val="0"/>
      <w:jc w:val="both"/>
    </w:pPr>
    <w:rPr>
      <w:rFonts w:ascii="Arial" w:eastAsiaTheme="minorHAnsi" w:hAnsi="Arial" w:cstheme="minorBidi"/>
      <w:color w:val="000000"/>
      <w:sz w:val="22"/>
      <w:szCs w:val="22"/>
      <w:lang w:eastAsia="en-US"/>
    </w:rPr>
  </w:style>
  <w:style w:type="paragraph" w:styleId="ListBullet3">
    <w:name w:val="List Bullet 3"/>
    <w:basedOn w:val="Normal"/>
    <w:uiPriority w:val="13"/>
    <w:qFormat/>
    <w:rsid w:val="00107740"/>
    <w:pPr>
      <w:tabs>
        <w:tab w:val="num" w:pos="1276"/>
      </w:tabs>
      <w:ind w:left="1276" w:hanging="425"/>
      <w:jc w:val="both"/>
    </w:pPr>
    <w:rPr>
      <w:rFonts w:ascii="Arial" w:eastAsiaTheme="minorHAnsi" w:hAnsi="Arial" w:cstheme="minorBidi"/>
      <w:color w:val="000000"/>
      <w:sz w:val="22"/>
      <w:szCs w:val="22"/>
      <w:lang w:eastAsia="en-US"/>
    </w:rPr>
  </w:style>
  <w:style w:type="numbering" w:customStyle="1" w:styleId="BulletList">
    <w:name w:val="Bullet List"/>
    <w:uiPriority w:val="99"/>
    <w:rsid w:val="00107740"/>
    <w:pPr>
      <w:numPr>
        <w:numId w:val="22"/>
      </w:numPr>
    </w:pPr>
  </w:style>
  <w:style w:type="character" w:styleId="CommentReference">
    <w:name w:val="annotation reference"/>
    <w:basedOn w:val="DefaultParagraphFont"/>
    <w:uiPriority w:val="49"/>
    <w:semiHidden/>
    <w:unhideWhenUsed/>
    <w:rsid w:val="002600F5"/>
    <w:rPr>
      <w:sz w:val="16"/>
      <w:szCs w:val="16"/>
    </w:rPr>
  </w:style>
  <w:style w:type="paragraph" w:styleId="CommentText">
    <w:name w:val="annotation text"/>
    <w:basedOn w:val="Normal"/>
    <w:link w:val="CommentTextChar"/>
    <w:uiPriority w:val="49"/>
    <w:unhideWhenUsed/>
    <w:rsid w:val="002600F5"/>
    <w:rPr>
      <w:sz w:val="20"/>
      <w:szCs w:val="20"/>
    </w:rPr>
  </w:style>
  <w:style w:type="character" w:customStyle="1" w:styleId="CommentTextChar">
    <w:name w:val="Comment Text Char"/>
    <w:basedOn w:val="DefaultParagraphFont"/>
    <w:link w:val="CommentText"/>
    <w:uiPriority w:val="49"/>
    <w:rsid w:val="002600F5"/>
    <w:rPr>
      <w:sz w:val="20"/>
      <w:szCs w:val="20"/>
    </w:rPr>
  </w:style>
  <w:style w:type="paragraph" w:styleId="CommentSubject">
    <w:name w:val="annotation subject"/>
    <w:basedOn w:val="CommentText"/>
    <w:next w:val="CommentText"/>
    <w:link w:val="CommentSubjectChar"/>
    <w:uiPriority w:val="49"/>
    <w:semiHidden/>
    <w:unhideWhenUsed/>
    <w:rsid w:val="002600F5"/>
    <w:rPr>
      <w:b/>
      <w:bCs/>
    </w:rPr>
  </w:style>
  <w:style w:type="character" w:customStyle="1" w:styleId="CommentSubjectChar">
    <w:name w:val="Comment Subject Char"/>
    <w:basedOn w:val="CommentTextChar"/>
    <w:link w:val="CommentSubject"/>
    <w:uiPriority w:val="49"/>
    <w:semiHidden/>
    <w:rsid w:val="002600F5"/>
    <w:rPr>
      <w:b/>
      <w:bCs/>
      <w:sz w:val="20"/>
      <w:szCs w:val="20"/>
    </w:rPr>
  </w:style>
  <w:style w:type="paragraph" w:styleId="BlockText">
    <w:name w:val="Block Text"/>
    <w:basedOn w:val="Normal"/>
    <w:uiPriority w:val="99"/>
    <w:semiHidden/>
    <w:unhideWhenUsed/>
    <w:rsid w:val="002600F5"/>
    <w:pPr>
      <w:pBdr>
        <w:top w:val="single" w:sz="2" w:space="10" w:color="DDDDDD" w:themeColor="accent1"/>
        <w:left w:val="single" w:sz="2" w:space="10" w:color="DDDDDD" w:themeColor="accent1"/>
        <w:bottom w:val="single" w:sz="2" w:space="10" w:color="DDDDDD" w:themeColor="accent1"/>
        <w:right w:val="single" w:sz="2" w:space="10" w:color="DDDDDD" w:themeColor="accent1"/>
      </w:pBdr>
      <w:ind w:left="1152" w:right="1152"/>
      <w:jc w:val="both"/>
    </w:pPr>
    <w:rPr>
      <w:rFonts w:asciiTheme="minorHAnsi" w:eastAsiaTheme="minorEastAsia" w:hAnsiTheme="minorHAnsi" w:cstheme="minorBidi"/>
      <w:i/>
      <w:iCs/>
      <w:color w:val="DDDDDD" w:themeColor="accent1"/>
      <w:sz w:val="22"/>
      <w:szCs w:val="22"/>
      <w:lang w:eastAsia="en-US"/>
    </w:rPr>
  </w:style>
  <w:style w:type="paragraph" w:styleId="List">
    <w:name w:val="List"/>
    <w:basedOn w:val="Normal"/>
    <w:uiPriority w:val="17"/>
    <w:qFormat/>
    <w:rsid w:val="002600F5"/>
    <w:pPr>
      <w:tabs>
        <w:tab w:val="num" w:pos="425"/>
      </w:tabs>
      <w:ind w:left="425" w:hanging="425"/>
      <w:jc w:val="both"/>
    </w:pPr>
    <w:rPr>
      <w:rFonts w:ascii="Arial" w:eastAsiaTheme="minorHAnsi" w:hAnsi="Arial" w:cstheme="minorBidi"/>
      <w:color w:val="000000"/>
      <w:sz w:val="22"/>
      <w:szCs w:val="22"/>
      <w:lang w:eastAsia="en-US"/>
    </w:rPr>
  </w:style>
  <w:style w:type="paragraph" w:styleId="List2">
    <w:name w:val="List 2"/>
    <w:basedOn w:val="Normal"/>
    <w:uiPriority w:val="17"/>
    <w:qFormat/>
    <w:rsid w:val="002600F5"/>
    <w:pPr>
      <w:tabs>
        <w:tab w:val="num" w:pos="851"/>
      </w:tabs>
      <w:ind w:left="851" w:hanging="426"/>
      <w:jc w:val="both"/>
    </w:pPr>
    <w:rPr>
      <w:rFonts w:ascii="Arial" w:eastAsiaTheme="minorHAnsi" w:hAnsi="Arial" w:cstheme="minorBidi"/>
      <w:color w:val="000000"/>
      <w:sz w:val="22"/>
      <w:szCs w:val="22"/>
      <w:lang w:eastAsia="en-US"/>
    </w:rPr>
  </w:style>
  <w:style w:type="paragraph" w:styleId="List3">
    <w:name w:val="List 3"/>
    <w:basedOn w:val="Normal"/>
    <w:uiPriority w:val="17"/>
    <w:qFormat/>
    <w:rsid w:val="002600F5"/>
    <w:pPr>
      <w:tabs>
        <w:tab w:val="num" w:pos="1276"/>
      </w:tabs>
      <w:ind w:left="1276" w:hanging="425"/>
      <w:jc w:val="both"/>
    </w:pPr>
    <w:rPr>
      <w:rFonts w:ascii="Arial" w:eastAsiaTheme="minorHAnsi" w:hAnsi="Arial" w:cstheme="minorBidi"/>
      <w:color w:val="000000"/>
      <w:sz w:val="22"/>
      <w:szCs w:val="22"/>
      <w:lang w:eastAsia="en-US"/>
    </w:rPr>
  </w:style>
  <w:style w:type="numbering" w:styleId="1ai">
    <w:name w:val="Outline List 1"/>
    <w:basedOn w:val="NoList"/>
    <w:uiPriority w:val="99"/>
    <w:semiHidden/>
    <w:unhideWhenUsed/>
    <w:rsid w:val="002600F5"/>
    <w:pPr>
      <w:numPr>
        <w:numId w:val="23"/>
      </w:numPr>
    </w:pPr>
  </w:style>
  <w:style w:type="paragraph" w:styleId="NormalWeb">
    <w:name w:val="Normal (Web)"/>
    <w:basedOn w:val="Normal"/>
    <w:uiPriority w:val="99"/>
    <w:unhideWhenUsed/>
    <w:rsid w:val="00D71C48"/>
    <w:pPr>
      <w:spacing w:before="100" w:beforeAutospacing="1" w:after="100" w:afterAutospacing="1"/>
    </w:pPr>
    <w:rPr>
      <w:rFonts w:eastAsia="Times New Roman"/>
    </w:rPr>
  </w:style>
  <w:style w:type="paragraph" w:styleId="ListParagraph">
    <w:name w:val="List Paragraph"/>
    <w:basedOn w:val="Normal"/>
    <w:link w:val="ListParagraphChar"/>
    <w:uiPriority w:val="34"/>
    <w:qFormat/>
    <w:rsid w:val="002D0351"/>
    <w:pPr>
      <w:ind w:left="720"/>
      <w:contextualSpacing/>
    </w:pPr>
  </w:style>
  <w:style w:type="paragraph" w:customStyle="1" w:styleId="bodytext10">
    <w:name w:val="bodytext1"/>
    <w:basedOn w:val="Normal"/>
    <w:rsid w:val="00B27B06"/>
    <w:pPr>
      <w:spacing w:before="100" w:beforeAutospacing="1" w:after="100" w:afterAutospacing="1"/>
    </w:pPr>
    <w:rPr>
      <w:rFonts w:eastAsia="Times New Roman"/>
    </w:rPr>
  </w:style>
  <w:style w:type="character" w:styleId="UnresolvedMention">
    <w:name w:val="Unresolved Mention"/>
    <w:basedOn w:val="DefaultParagraphFont"/>
    <w:uiPriority w:val="99"/>
    <w:semiHidden/>
    <w:unhideWhenUsed/>
    <w:rsid w:val="004E17DC"/>
    <w:rPr>
      <w:color w:val="605E5C"/>
      <w:shd w:val="clear" w:color="auto" w:fill="E1DFDD"/>
    </w:rPr>
  </w:style>
  <w:style w:type="paragraph" w:styleId="Revision">
    <w:name w:val="Revision"/>
    <w:hidden/>
    <w:uiPriority w:val="99"/>
    <w:semiHidden/>
    <w:rsid w:val="0099067F"/>
    <w:pPr>
      <w:spacing w:after="0"/>
    </w:pPr>
  </w:style>
  <w:style w:type="paragraph" w:customStyle="1" w:styleId="ActTitle">
    <w:name w:val="Act Title"/>
    <w:basedOn w:val="Normal"/>
    <w:next w:val="Normal"/>
    <w:rsid w:val="007365DD"/>
    <w:pPr>
      <w:pBdr>
        <w:bottom w:val="single" w:sz="4" w:space="3" w:color="auto"/>
      </w:pBdr>
      <w:spacing w:before="480"/>
    </w:pPr>
    <w:rPr>
      <w:rFonts w:ascii="Arial" w:eastAsia="Times New Roman" w:hAnsi="Arial"/>
      <w:i/>
      <w:iCs/>
      <w:sz w:val="28"/>
      <w:szCs w:val="20"/>
    </w:rPr>
  </w:style>
  <w:style w:type="paragraph" w:customStyle="1" w:styleId="IntroTo">
    <w:name w:val="IntroTo:"/>
    <w:basedOn w:val="Normal"/>
    <w:rsid w:val="007365DD"/>
    <w:pPr>
      <w:spacing w:after="0"/>
      <w:ind w:left="720" w:hanging="720"/>
    </w:pPr>
    <w:rPr>
      <w:rFonts w:eastAsia="Times New Roman"/>
      <w:szCs w:val="20"/>
      <w:lang w:eastAsia="en-US"/>
    </w:rPr>
  </w:style>
  <w:style w:type="paragraph" w:customStyle="1" w:styleId="introto0">
    <w:name w:val="introto"/>
    <w:basedOn w:val="Normal"/>
    <w:rsid w:val="007365DD"/>
    <w:pPr>
      <w:spacing w:before="100" w:beforeAutospacing="1" w:after="100" w:afterAutospacing="1"/>
    </w:pPr>
    <w:rPr>
      <w:rFonts w:eastAsia="Times New Roman"/>
    </w:rPr>
  </w:style>
  <w:style w:type="paragraph" w:customStyle="1" w:styleId="Style1">
    <w:name w:val="Style1"/>
    <w:basedOn w:val="ListParagraph"/>
    <w:link w:val="Style1Char"/>
    <w:qFormat/>
    <w:rsid w:val="00491960"/>
    <w:pPr>
      <w:numPr>
        <w:numId w:val="67"/>
      </w:numPr>
      <w:shd w:val="clear" w:color="auto" w:fill="FFFFFF"/>
      <w:spacing w:before="220" w:after="100"/>
      <w:ind w:left="567" w:hanging="567"/>
      <w:contextualSpacing w:val="0"/>
      <w:jc w:val="both"/>
    </w:pPr>
    <w:rPr>
      <w:rFonts w:asciiTheme="majorHAnsi" w:hAnsiTheme="majorHAnsi" w:cstheme="majorHAnsi"/>
    </w:rPr>
  </w:style>
  <w:style w:type="character" w:customStyle="1" w:styleId="ListParagraphChar">
    <w:name w:val="List Paragraph Char"/>
    <w:basedOn w:val="DefaultParagraphFont"/>
    <w:link w:val="ListParagraph"/>
    <w:uiPriority w:val="34"/>
    <w:rsid w:val="00491960"/>
  </w:style>
  <w:style w:type="character" w:customStyle="1" w:styleId="Style1Char">
    <w:name w:val="Style1 Char"/>
    <w:basedOn w:val="ListParagraphChar"/>
    <w:link w:val="Style1"/>
    <w:rsid w:val="00491960"/>
    <w:rPr>
      <w:rFonts w:asciiTheme="majorHAnsi" w:hAnsiTheme="majorHAnsi" w:cstheme="majorHAnsi"/>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0195">
      <w:bodyDiv w:val="1"/>
      <w:marLeft w:val="0"/>
      <w:marRight w:val="0"/>
      <w:marTop w:val="0"/>
      <w:marBottom w:val="0"/>
      <w:divBdr>
        <w:top w:val="none" w:sz="0" w:space="0" w:color="auto"/>
        <w:left w:val="none" w:sz="0" w:space="0" w:color="auto"/>
        <w:bottom w:val="none" w:sz="0" w:space="0" w:color="auto"/>
        <w:right w:val="none" w:sz="0" w:space="0" w:color="auto"/>
      </w:divBdr>
    </w:div>
    <w:div w:id="50469366">
      <w:bodyDiv w:val="1"/>
      <w:marLeft w:val="0"/>
      <w:marRight w:val="0"/>
      <w:marTop w:val="0"/>
      <w:marBottom w:val="0"/>
      <w:divBdr>
        <w:top w:val="none" w:sz="0" w:space="0" w:color="auto"/>
        <w:left w:val="none" w:sz="0" w:space="0" w:color="auto"/>
        <w:bottom w:val="none" w:sz="0" w:space="0" w:color="auto"/>
        <w:right w:val="none" w:sz="0" w:space="0" w:color="auto"/>
      </w:divBdr>
    </w:div>
    <w:div w:id="193007036">
      <w:bodyDiv w:val="1"/>
      <w:marLeft w:val="0"/>
      <w:marRight w:val="0"/>
      <w:marTop w:val="0"/>
      <w:marBottom w:val="0"/>
      <w:divBdr>
        <w:top w:val="none" w:sz="0" w:space="0" w:color="auto"/>
        <w:left w:val="none" w:sz="0" w:space="0" w:color="auto"/>
        <w:bottom w:val="none" w:sz="0" w:space="0" w:color="auto"/>
        <w:right w:val="none" w:sz="0" w:space="0" w:color="auto"/>
      </w:divBdr>
    </w:div>
    <w:div w:id="349569187">
      <w:bodyDiv w:val="1"/>
      <w:marLeft w:val="0"/>
      <w:marRight w:val="0"/>
      <w:marTop w:val="0"/>
      <w:marBottom w:val="0"/>
      <w:divBdr>
        <w:top w:val="none" w:sz="0" w:space="0" w:color="auto"/>
        <w:left w:val="none" w:sz="0" w:space="0" w:color="auto"/>
        <w:bottom w:val="none" w:sz="0" w:space="0" w:color="auto"/>
        <w:right w:val="none" w:sz="0" w:space="0" w:color="auto"/>
      </w:divBdr>
    </w:div>
    <w:div w:id="405689401">
      <w:bodyDiv w:val="1"/>
      <w:marLeft w:val="0"/>
      <w:marRight w:val="0"/>
      <w:marTop w:val="0"/>
      <w:marBottom w:val="0"/>
      <w:divBdr>
        <w:top w:val="none" w:sz="0" w:space="0" w:color="auto"/>
        <w:left w:val="none" w:sz="0" w:space="0" w:color="auto"/>
        <w:bottom w:val="none" w:sz="0" w:space="0" w:color="auto"/>
        <w:right w:val="none" w:sz="0" w:space="0" w:color="auto"/>
      </w:divBdr>
    </w:div>
    <w:div w:id="486627573">
      <w:bodyDiv w:val="1"/>
      <w:marLeft w:val="0"/>
      <w:marRight w:val="0"/>
      <w:marTop w:val="0"/>
      <w:marBottom w:val="0"/>
      <w:divBdr>
        <w:top w:val="none" w:sz="0" w:space="0" w:color="auto"/>
        <w:left w:val="none" w:sz="0" w:space="0" w:color="auto"/>
        <w:bottom w:val="none" w:sz="0" w:space="0" w:color="auto"/>
        <w:right w:val="none" w:sz="0" w:space="0" w:color="auto"/>
      </w:divBdr>
    </w:div>
    <w:div w:id="514000204">
      <w:bodyDiv w:val="1"/>
      <w:marLeft w:val="0"/>
      <w:marRight w:val="0"/>
      <w:marTop w:val="0"/>
      <w:marBottom w:val="0"/>
      <w:divBdr>
        <w:top w:val="none" w:sz="0" w:space="0" w:color="auto"/>
        <w:left w:val="none" w:sz="0" w:space="0" w:color="auto"/>
        <w:bottom w:val="none" w:sz="0" w:space="0" w:color="auto"/>
        <w:right w:val="none" w:sz="0" w:space="0" w:color="auto"/>
      </w:divBdr>
    </w:div>
    <w:div w:id="575825373">
      <w:bodyDiv w:val="1"/>
      <w:marLeft w:val="0"/>
      <w:marRight w:val="0"/>
      <w:marTop w:val="0"/>
      <w:marBottom w:val="0"/>
      <w:divBdr>
        <w:top w:val="none" w:sz="0" w:space="0" w:color="auto"/>
        <w:left w:val="none" w:sz="0" w:space="0" w:color="auto"/>
        <w:bottom w:val="none" w:sz="0" w:space="0" w:color="auto"/>
        <w:right w:val="none" w:sz="0" w:space="0" w:color="auto"/>
      </w:divBdr>
    </w:div>
    <w:div w:id="598835186">
      <w:bodyDiv w:val="1"/>
      <w:marLeft w:val="0"/>
      <w:marRight w:val="0"/>
      <w:marTop w:val="0"/>
      <w:marBottom w:val="0"/>
      <w:divBdr>
        <w:top w:val="none" w:sz="0" w:space="0" w:color="auto"/>
        <w:left w:val="none" w:sz="0" w:space="0" w:color="auto"/>
        <w:bottom w:val="none" w:sz="0" w:space="0" w:color="auto"/>
        <w:right w:val="none" w:sz="0" w:space="0" w:color="auto"/>
      </w:divBdr>
    </w:div>
    <w:div w:id="858860830">
      <w:bodyDiv w:val="1"/>
      <w:marLeft w:val="0"/>
      <w:marRight w:val="0"/>
      <w:marTop w:val="0"/>
      <w:marBottom w:val="0"/>
      <w:divBdr>
        <w:top w:val="none" w:sz="0" w:space="0" w:color="auto"/>
        <w:left w:val="none" w:sz="0" w:space="0" w:color="auto"/>
        <w:bottom w:val="none" w:sz="0" w:space="0" w:color="auto"/>
        <w:right w:val="none" w:sz="0" w:space="0" w:color="auto"/>
      </w:divBdr>
    </w:div>
    <w:div w:id="1017851224">
      <w:bodyDiv w:val="1"/>
      <w:marLeft w:val="0"/>
      <w:marRight w:val="0"/>
      <w:marTop w:val="0"/>
      <w:marBottom w:val="0"/>
      <w:divBdr>
        <w:top w:val="none" w:sz="0" w:space="0" w:color="auto"/>
        <w:left w:val="none" w:sz="0" w:space="0" w:color="auto"/>
        <w:bottom w:val="none" w:sz="0" w:space="0" w:color="auto"/>
        <w:right w:val="none" w:sz="0" w:space="0" w:color="auto"/>
      </w:divBdr>
    </w:div>
    <w:div w:id="1082097286">
      <w:bodyDiv w:val="1"/>
      <w:marLeft w:val="0"/>
      <w:marRight w:val="0"/>
      <w:marTop w:val="0"/>
      <w:marBottom w:val="0"/>
      <w:divBdr>
        <w:top w:val="none" w:sz="0" w:space="0" w:color="auto"/>
        <w:left w:val="none" w:sz="0" w:space="0" w:color="auto"/>
        <w:bottom w:val="none" w:sz="0" w:space="0" w:color="auto"/>
        <w:right w:val="none" w:sz="0" w:space="0" w:color="auto"/>
      </w:divBdr>
    </w:div>
    <w:div w:id="1178037732">
      <w:bodyDiv w:val="1"/>
      <w:marLeft w:val="0"/>
      <w:marRight w:val="0"/>
      <w:marTop w:val="0"/>
      <w:marBottom w:val="0"/>
      <w:divBdr>
        <w:top w:val="none" w:sz="0" w:space="0" w:color="auto"/>
        <w:left w:val="none" w:sz="0" w:space="0" w:color="auto"/>
        <w:bottom w:val="none" w:sz="0" w:space="0" w:color="auto"/>
        <w:right w:val="none" w:sz="0" w:space="0" w:color="auto"/>
      </w:divBdr>
    </w:div>
    <w:div w:id="1357927594">
      <w:bodyDiv w:val="1"/>
      <w:marLeft w:val="0"/>
      <w:marRight w:val="0"/>
      <w:marTop w:val="0"/>
      <w:marBottom w:val="0"/>
      <w:divBdr>
        <w:top w:val="none" w:sz="0" w:space="0" w:color="auto"/>
        <w:left w:val="none" w:sz="0" w:space="0" w:color="auto"/>
        <w:bottom w:val="none" w:sz="0" w:space="0" w:color="auto"/>
        <w:right w:val="none" w:sz="0" w:space="0" w:color="auto"/>
      </w:divBdr>
    </w:div>
    <w:div w:id="1470318525">
      <w:bodyDiv w:val="1"/>
      <w:marLeft w:val="0"/>
      <w:marRight w:val="0"/>
      <w:marTop w:val="0"/>
      <w:marBottom w:val="0"/>
      <w:divBdr>
        <w:top w:val="none" w:sz="0" w:space="0" w:color="auto"/>
        <w:left w:val="none" w:sz="0" w:space="0" w:color="auto"/>
        <w:bottom w:val="none" w:sz="0" w:space="0" w:color="auto"/>
        <w:right w:val="none" w:sz="0" w:space="0" w:color="auto"/>
      </w:divBdr>
    </w:div>
    <w:div w:id="1490906801">
      <w:bodyDiv w:val="1"/>
      <w:marLeft w:val="0"/>
      <w:marRight w:val="0"/>
      <w:marTop w:val="0"/>
      <w:marBottom w:val="0"/>
      <w:divBdr>
        <w:top w:val="none" w:sz="0" w:space="0" w:color="auto"/>
        <w:left w:val="none" w:sz="0" w:space="0" w:color="auto"/>
        <w:bottom w:val="none" w:sz="0" w:space="0" w:color="auto"/>
        <w:right w:val="none" w:sz="0" w:space="0" w:color="auto"/>
      </w:divBdr>
    </w:div>
    <w:div w:id="1524244843">
      <w:bodyDiv w:val="1"/>
      <w:marLeft w:val="0"/>
      <w:marRight w:val="0"/>
      <w:marTop w:val="0"/>
      <w:marBottom w:val="0"/>
      <w:divBdr>
        <w:top w:val="none" w:sz="0" w:space="0" w:color="auto"/>
        <w:left w:val="none" w:sz="0" w:space="0" w:color="auto"/>
        <w:bottom w:val="none" w:sz="0" w:space="0" w:color="auto"/>
        <w:right w:val="none" w:sz="0" w:space="0" w:color="auto"/>
      </w:divBdr>
    </w:div>
    <w:div w:id="1657683333">
      <w:bodyDiv w:val="1"/>
      <w:marLeft w:val="0"/>
      <w:marRight w:val="0"/>
      <w:marTop w:val="0"/>
      <w:marBottom w:val="0"/>
      <w:divBdr>
        <w:top w:val="none" w:sz="0" w:space="0" w:color="auto"/>
        <w:left w:val="none" w:sz="0" w:space="0" w:color="auto"/>
        <w:bottom w:val="none" w:sz="0" w:space="0" w:color="auto"/>
        <w:right w:val="none" w:sz="0" w:space="0" w:color="auto"/>
      </w:divBdr>
    </w:div>
    <w:div w:id="1702168052">
      <w:bodyDiv w:val="1"/>
      <w:marLeft w:val="0"/>
      <w:marRight w:val="0"/>
      <w:marTop w:val="0"/>
      <w:marBottom w:val="0"/>
      <w:divBdr>
        <w:top w:val="none" w:sz="0" w:space="0" w:color="auto"/>
        <w:left w:val="none" w:sz="0" w:space="0" w:color="auto"/>
        <w:bottom w:val="none" w:sz="0" w:space="0" w:color="auto"/>
        <w:right w:val="none" w:sz="0" w:space="0" w:color="auto"/>
      </w:divBdr>
    </w:div>
    <w:div w:id="1718042576">
      <w:bodyDiv w:val="1"/>
      <w:marLeft w:val="0"/>
      <w:marRight w:val="0"/>
      <w:marTop w:val="0"/>
      <w:marBottom w:val="0"/>
      <w:divBdr>
        <w:top w:val="none" w:sz="0" w:space="0" w:color="auto"/>
        <w:left w:val="none" w:sz="0" w:space="0" w:color="auto"/>
        <w:bottom w:val="none" w:sz="0" w:space="0" w:color="auto"/>
        <w:right w:val="none" w:sz="0" w:space="0" w:color="auto"/>
      </w:divBdr>
    </w:div>
    <w:div w:id="1780832311">
      <w:bodyDiv w:val="1"/>
      <w:marLeft w:val="0"/>
      <w:marRight w:val="0"/>
      <w:marTop w:val="0"/>
      <w:marBottom w:val="0"/>
      <w:divBdr>
        <w:top w:val="none" w:sz="0" w:space="0" w:color="auto"/>
        <w:left w:val="none" w:sz="0" w:space="0" w:color="auto"/>
        <w:bottom w:val="none" w:sz="0" w:space="0" w:color="auto"/>
        <w:right w:val="none" w:sz="0" w:space="0" w:color="auto"/>
      </w:divBdr>
    </w:div>
    <w:div w:id="1795371551">
      <w:bodyDiv w:val="1"/>
      <w:marLeft w:val="0"/>
      <w:marRight w:val="0"/>
      <w:marTop w:val="0"/>
      <w:marBottom w:val="0"/>
      <w:divBdr>
        <w:top w:val="none" w:sz="0" w:space="0" w:color="auto"/>
        <w:left w:val="none" w:sz="0" w:space="0" w:color="auto"/>
        <w:bottom w:val="none" w:sz="0" w:space="0" w:color="auto"/>
        <w:right w:val="none" w:sz="0" w:space="0" w:color="auto"/>
      </w:divBdr>
    </w:div>
    <w:div w:id="1840385110">
      <w:bodyDiv w:val="1"/>
      <w:marLeft w:val="0"/>
      <w:marRight w:val="0"/>
      <w:marTop w:val="0"/>
      <w:marBottom w:val="0"/>
      <w:divBdr>
        <w:top w:val="none" w:sz="0" w:space="0" w:color="auto"/>
        <w:left w:val="none" w:sz="0" w:space="0" w:color="auto"/>
        <w:bottom w:val="none" w:sz="0" w:space="0" w:color="auto"/>
        <w:right w:val="none" w:sz="0" w:space="0" w:color="auto"/>
      </w:divBdr>
    </w:div>
    <w:div w:id="1871723760">
      <w:bodyDiv w:val="1"/>
      <w:marLeft w:val="0"/>
      <w:marRight w:val="0"/>
      <w:marTop w:val="0"/>
      <w:marBottom w:val="0"/>
      <w:divBdr>
        <w:top w:val="none" w:sz="0" w:space="0" w:color="auto"/>
        <w:left w:val="none" w:sz="0" w:space="0" w:color="auto"/>
        <w:bottom w:val="none" w:sz="0" w:space="0" w:color="auto"/>
        <w:right w:val="none" w:sz="0" w:space="0" w:color="auto"/>
      </w:divBdr>
    </w:div>
    <w:div w:id="190429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APRA">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2a8a7e8-49a1-4017-acf0-0edc7cce208b">
      <UserInfo>
        <DisplayName>Nicky Tran</DisplayName>
        <AccountId>184</AccountId>
        <AccountType/>
      </UserInfo>
      <UserInfo>
        <DisplayName>Clare Gibney</DisplayName>
        <AccountId>266</AccountId>
        <AccountType/>
      </UserInfo>
      <UserInfo>
        <DisplayName>Gideon Holland</DisplayName>
        <AccountId>23</AccountId>
        <AccountType/>
      </UserInfo>
      <UserInfo>
        <DisplayName>Ben Mowatt</DisplayName>
        <AccountId>40</AccountId>
        <AccountType/>
      </UserInfo>
      <UserInfo>
        <DisplayName>Tom Heagney</DisplayName>
        <AccountId>52</AccountId>
        <AccountType/>
      </UserInfo>
      <UserInfo>
        <DisplayName>Robert Armstrong</DisplayName>
        <AccountId>31</AccountId>
        <AccountType/>
      </UserInfo>
      <UserInfo>
        <DisplayName>Segolene Autret</DisplayName>
        <AccountId>113</AccountId>
        <AccountType/>
      </UserInfo>
      <UserInfo>
        <DisplayName>Jessica Chung</DisplayName>
        <AccountId>291</AccountId>
        <AccountType/>
      </UserInfo>
      <UserInfo>
        <DisplayName>Matt Deane</DisplayName>
        <AccountId>55</AccountId>
        <AccountType/>
      </UserInfo>
      <UserInfo>
        <DisplayName>Lucinda McCann</DisplayName>
        <AccountId>122</AccountId>
        <AccountType/>
      </UserInfo>
      <UserInfo>
        <DisplayName>Paul Tattersall</DisplayName>
        <AccountId>143</AccountId>
        <AccountType/>
      </UserInfo>
    </SharedWithUsers>
    <k4bcc0d734474fea9fb713d9c415b4b0 xmlns="92a8a7e8-49a1-4017-acf0-0edc7cce208b">
      <Terms xmlns="http://schemas.microsoft.com/office/infopath/2007/PartnerControls"/>
    </k4bcc0d734474fea9fb713d9c415b4b0>
    <APRASecurityClassification xmlns="92a8a7e8-49a1-4017-acf0-0edc7cce208b">OFFICIAL: Sensitive</APRASecurityClassification>
    <i05115a133414b4dabee2531e4b46b67 xmlns="92a8a7e8-49a1-4017-acf0-0edc7cce208b">
      <Terms xmlns="http://schemas.microsoft.com/office/infopath/2007/PartnerControls">
        <TermInfo xmlns="http://schemas.microsoft.com/office/infopath/2007/PartnerControls">
          <TermName xmlns="http://schemas.microsoft.com/office/infopath/2007/PartnerControls">Prudential policy development</TermName>
          <TermId xmlns="http://schemas.microsoft.com/office/infopath/2007/PartnerControls">4cf81ba0-32a2-4f8f-8216-9e632903331b</TermId>
        </TermInfo>
      </Terms>
    </i05115a133414b4dabee2531e4b46b67>
    <h67caa35a4114acd8e15fe89b3f29f9e xmlns="92a8a7e8-49a1-4017-acf0-0edc7cce208b">
      <Terms xmlns="http://schemas.microsoft.com/office/infopath/2007/PartnerControls">
        <TermInfo xmlns="http://schemas.microsoft.com/office/infopath/2007/PartnerControls">
          <TermName xmlns="http://schemas.microsoft.com/office/infopath/2007/PartnerControls">Prudential standard</TermName>
          <TermId xmlns="http://schemas.microsoft.com/office/infopath/2007/PartnerControls">6ce5a155-9ab2-41e3-9b2a-5baab4b7f1d1</TermId>
        </TermInfo>
      </Terms>
    </h67caa35a4114acd8e15fe89b3f29f9e>
    <l003ee8eff60461aa1bd0027aba92ea4 xmlns="92a8a7e8-49a1-4017-acf0-0edc7cce208b">
      <Terms xmlns="http://schemas.microsoft.com/office/infopath/2007/PartnerControls">
        <TermInfo xmlns="http://schemas.microsoft.com/office/infopath/2007/PartnerControls">
          <TermName xmlns="http://schemas.microsoft.com/office/infopath/2007/PartnerControls">Cross Industry</TermName>
          <TermId xmlns="http://schemas.microsoft.com/office/infopath/2007/PartnerControls">72fe5b41-a18b-4402-ad9b-cffc85b73640</TermId>
        </TermInfo>
      </Terms>
    </l003ee8eff60461aa1bd0027aba92ea4>
    <_ExtendedDescription xmlns="http://schemas.microsoft.com/sharepoint/v3" xsi:nil="true"/>
    <TaxCatchAll xmlns="92a8a7e8-49a1-4017-acf0-0edc7cce208b">
      <Value>136</Value>
      <Value>142</Value>
      <Value>1</Value>
      <Value>154</Value>
    </TaxCatchAll>
    <j163382b748246d3b6e7caae71dbeeb0 xmlns="92a8a7e8-49a1-4017-acf0-0edc7cce208b">
      <Terms xmlns="http://schemas.microsoft.com/office/infopath/2007/PartnerControls">
        <TermInfo xmlns="http://schemas.microsoft.com/office/infopath/2007/PartnerControls">
          <TermName xmlns="http://schemas.microsoft.com/office/infopath/2007/PartnerControls">Draft</TermName>
          <TermId xmlns="http://schemas.microsoft.com/office/infopath/2007/PartnerControls">0e1556d2-3fe8-443a-ada7-3620563b46b3</TermId>
        </TermInfo>
      </Terms>
    </j163382b748246d3b6e7caae71dbeeb0>
    <b37d8d7e823543f58f89056343a9035c xmlns="92a8a7e8-49a1-4017-acf0-0edc7cce208b">
      <Terms xmlns="http://schemas.microsoft.com/office/infopath/2007/PartnerControls"/>
    </b37d8d7e823543f58f89056343a9035c>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D163DB4DEE504FAB457909715FEC45" ma:contentTypeVersion="17" ma:contentTypeDescription="Create a new document." ma:contentTypeScope="" ma:versionID="2331766db4130645ec45f560b66a01a7">
  <xsd:schema xmlns:xsd="http://www.w3.org/2001/XMLSchema" xmlns:xs="http://www.w3.org/2001/XMLSchema" xmlns:p="http://schemas.microsoft.com/office/2006/metadata/properties" xmlns:ns1="http://schemas.microsoft.com/sharepoint/v3" xmlns:ns2="92a8a7e8-49a1-4017-acf0-0edc7cce208b" xmlns:ns3="f4148c6b-f494-43bd-afec-4c4bbfd3890b" targetNamespace="http://schemas.microsoft.com/office/2006/metadata/properties" ma:root="true" ma:fieldsID="c7b84690dd511863869f0c959d2cd8df" ns1:_="" ns2:_="" ns3:_="">
    <xsd:import namespace="http://schemas.microsoft.com/sharepoint/v3"/>
    <xsd:import namespace="92a8a7e8-49a1-4017-acf0-0edc7cce208b"/>
    <xsd:import namespace="f4148c6b-f494-43bd-afec-4c4bbfd3890b"/>
    <xsd:element name="properties">
      <xsd:complexType>
        <xsd:sequence>
          <xsd:element name="documentManagement">
            <xsd:complexType>
              <xsd:all>
                <xsd:element ref="ns2:i05115a133414b4dabee2531e4b46b67" minOccurs="0"/>
                <xsd:element ref="ns2:TaxCatchAll" minOccurs="0"/>
                <xsd:element ref="ns2:h67caa35a4114acd8e15fe89b3f29f9e" minOccurs="0"/>
                <xsd:element ref="ns2:k4bcc0d734474fea9fb713d9c415b4b0" minOccurs="0"/>
                <xsd:element ref="ns2:l003ee8eff60461aa1bd0027aba92ea4" minOccurs="0"/>
                <xsd:element ref="ns2:b37d8d7e823543f58f89056343a9035c" minOccurs="0"/>
                <xsd:element ref="ns2:j163382b748246d3b6e7caae71dbeeb0" minOccurs="0"/>
                <xsd:element ref="ns1:_ExtendedDescription" minOccurs="0"/>
                <xsd:element ref="ns2:APRASecurityClassification" minOccurs="0"/>
                <xsd:element ref="ns2:SharedWithUsers" minOccurs="0"/>
                <xsd:element ref="ns2:SharedWithDetails"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ExtendedDescription" ma:index="17" nillable="true" ma:displayName="Description" ma:internalName="_Extended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a8a7e8-49a1-4017-acf0-0edc7cce208b" elementFormDefault="qualified">
    <xsd:import namespace="http://schemas.microsoft.com/office/2006/documentManagement/types"/>
    <xsd:import namespace="http://schemas.microsoft.com/office/infopath/2007/PartnerControls"/>
    <xsd:element name="i05115a133414b4dabee2531e4b46b67" ma:index="8" nillable="true" ma:taxonomy="true" ma:internalName="i05115a133414b4dabee2531e4b46b67" ma:taxonomyFieldName="APRAActivity" ma:displayName="Activity" ma:readOnly="false" ma:fieldId="{205115a1-3341-4b4d-abee-2531e4b46b67}" ma:taxonomyMulti="true" ma:sspId="4ff776a0-f2ac-455d-9889-a581410000f1" ma:termSetId="0a2aee47-fbed-4b43-b934-0547b3421a87"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a70a7764-7edc-438b-b2cf-51576a8fe6f7}" ma:internalName="TaxCatchAll" ma:showField="CatchAllData" ma:web="92a8a7e8-49a1-4017-acf0-0edc7cce208b">
      <xsd:complexType>
        <xsd:complexContent>
          <xsd:extension base="dms:MultiChoiceLookup">
            <xsd:sequence>
              <xsd:element name="Value" type="dms:Lookup" maxOccurs="unbounded" minOccurs="0" nillable="true"/>
            </xsd:sequence>
          </xsd:extension>
        </xsd:complexContent>
      </xsd:complexType>
    </xsd:element>
    <xsd:element name="h67caa35a4114acd8e15fe89b3f29f9e" ma:index="10" nillable="true" ma:taxonomy="true" ma:internalName="h67caa35a4114acd8e15fe89b3f29f9e" ma:taxonomyFieldName="APRADocumentType" ma:displayName="Document type" ma:readOnly="false" ma:fieldId="{167caa35-a411-4acd-8e15-fe89b3f29f9e}" ma:taxonomyMulti="true" ma:sspId="4ff776a0-f2ac-455d-9889-a581410000f1" ma:termSetId="af1c35f7-5763-4cde-bc1a-b0c7e164f1eb" ma:anchorId="00000000-0000-0000-0000-000000000000" ma:open="false" ma:isKeyword="false">
      <xsd:complexType>
        <xsd:sequence>
          <xsd:element ref="pc:Terms" minOccurs="0" maxOccurs="1"/>
        </xsd:sequence>
      </xsd:complexType>
    </xsd:element>
    <xsd:element name="k4bcc0d734474fea9fb713d9c415b4b0" ma:index="11" nillable="true" ma:taxonomy="true" ma:internalName="k4bcc0d734474fea9fb713d9c415b4b0" ma:taxonomyFieldName="APRAEntityAdviceSupport" ma:displayName="Entity (advice/support)" ma:readOnly="false" ma:fieldId="{44bcc0d7-3447-4fea-9fb7-13d9c415b4b0}" ma:taxonomyMulti="true" ma:sspId="4ff776a0-f2ac-455d-9889-a581410000f1" ma:termSetId="65e4e273-0c24-4815-bb8d-38cd0e8111f8" ma:anchorId="00000000-0000-0000-0000-000000000000" ma:open="false" ma:isKeyword="false">
      <xsd:complexType>
        <xsd:sequence>
          <xsd:element ref="pc:Terms" minOccurs="0" maxOccurs="1"/>
        </xsd:sequence>
      </xsd:complexType>
    </xsd:element>
    <xsd:element name="l003ee8eff60461aa1bd0027aba92ea4" ma:index="12" nillable="true" ma:taxonomy="true" ma:internalName="l003ee8eff60461aa1bd0027aba92ea4" ma:taxonomyFieldName="APRAIndustry" ma:displayName="Industry/Sector" ma:readOnly="false" ma:fieldId="{5003ee8e-ff60-461a-a1bd-0027aba92ea4}" ma:taxonomyMulti="true" ma:sspId="4ff776a0-f2ac-455d-9889-a581410000f1"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13" nillable="true" ma:taxonomy="true" ma:internalName="b37d8d7e823543f58f89056343a9035c" ma:taxonomyFieldName="APRALegislation" ma:displayName="Legislation" ma:readOnly="false" ma:fieldId="{b37d8d7e-8235-43f5-8f89-056343a9035c}" ma:taxonomyMulti="true" ma:sspId="4ff776a0-f2ac-455d-9889-a581410000f1" ma:termSetId="67e0a470-b4af-4691-908a-b900ee38db35" ma:anchorId="00000000-0000-0000-0000-000000000000" ma:open="false" ma:isKeyword="false">
      <xsd:complexType>
        <xsd:sequence>
          <xsd:element ref="pc:Terms" minOccurs="0" maxOccurs="1"/>
        </xsd:sequence>
      </xsd:complexType>
    </xsd:element>
    <xsd:element name="j163382b748246d3b6e7caae71dbeeb0" ma:index="14" nillable="true" ma:taxonomy="true" ma:internalName="j163382b748246d3b6e7caae71dbeeb0" ma:taxonomyFieldName="APRAStatus" ma:displayName="Status" ma:readOnly="false" ma:default="-1;#Draft|0e1556d2-3fe8-443a-ada7-3620563b46b3" ma:fieldId="{3163382b-7482-46d3-b6e7-caae71dbeeb0}" ma:sspId="4ff776a0-f2ac-455d-9889-a581410000f1" ma:termSetId="7eb4e65e-417b-4c63-9676-ecbbffa46ffa" ma:anchorId="00000000-0000-0000-0000-000000000000" ma:open="false" ma:isKeyword="false">
      <xsd:complexType>
        <xsd:sequence>
          <xsd:element ref="pc:Terms" minOccurs="0" maxOccurs="1"/>
        </xsd:sequence>
      </xsd:complexType>
    </xsd:element>
    <xsd:element name="APRASecurityClassification" ma:index="21" nillable="true" ma:displayName="Security classification" ma:default="OFFICIAL: Sensitive" ma:format="Dropdown" ma:internalName="APRASecurityClassification" ma:readOnly="false">
      <xsd:simpleType>
        <xsd:restriction base="dms:Choice">
          <xsd:enumeration value="OFFICIAL"/>
          <xsd:enumeration value="OFFICIAL: Sensitive"/>
          <xsd:enumeration value="OFFICIAL: Sensitive (APRA Act s56)"/>
          <xsd:enumeration value="OFFICIAL: Sensitive (Personal privacy)"/>
          <xsd:enumeration value="OFFICIAL: Sensitive (Legal privilege)"/>
          <xsd:enumeration value="OFFICIAL: Sensitive: NATIONAL CABINET"/>
          <xsd:enumeration value="OFFICIAL: Sensitive: NATIONAL CABINET (APRA Act s56)"/>
          <xsd:enumeration value="OFFICIAL: Sensitive: NATIONAL CABINET (Personal privacy)"/>
          <xsd:enumeration value="OFFICIAL: Sensitive: NATIONAL CABINET (Legal privilege)"/>
          <xsd:enumeration value="PROTECTED"/>
          <xsd:enumeration value="PROTECTED (APRA Act s56)"/>
          <xsd:enumeration value="PROTECTED (Personal privacy)"/>
          <xsd:enumeration value="PROTECTED (Legal privilege)"/>
          <xsd:enumeration value="PROTECTED: CABINET"/>
          <xsd:enumeration value="PROTECTED: CABINET (APRA Act s56)"/>
          <xsd:enumeration value="PROTECTED: CABINET (Personal privacy)"/>
          <xsd:enumeration value="PROTECTED: CABINET (Legal privilege)"/>
          <xsd:enumeration value="PROTECTED: NATIONAL CABINET"/>
          <xsd:enumeration value="PROTECTED: NATIONAL CABINET (APRA Act s56)"/>
          <xsd:enumeration value="PROTECTED: NATIONAL CABINET (Personal privacy)"/>
          <xsd:enumeration value="PROTECTED: NATIONAL CABINET (Legal privilege)"/>
          <xsd:enumeration value="UNCLASSIFIED"/>
          <xsd:enumeration value="DLM: For Official Use Only"/>
          <xsd:enumeration value="DLM: Sensitive"/>
          <xsd:enumeration value="DLM: Sensitive: Legal"/>
          <xsd:enumeration value="DLM: Sensitive: Personal"/>
          <xsd:enumeration value="PROTECTED: Sensitive: Cabinet"/>
          <xsd:enumeration value="UNOFFICIAL"/>
        </xsd:restriction>
      </xsd:simple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148c6b-f494-43bd-afec-4c4bbfd3890b" elementFormDefault="qualified">
    <xsd:import namespace="http://schemas.microsoft.com/office/2006/documentManagement/types"/>
    <xsd:import namespace="http://schemas.microsoft.com/office/infopath/2007/PartnerControls"/>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667F00-C699-49E6-A353-C3FB510BF7D3}">
  <ds:schemaRefs>
    <ds:schemaRef ds:uri="http://schemas.microsoft.com/office/infopath/2007/PartnerControls"/>
    <ds:schemaRef ds:uri="79530295-9eea-494d-b82a-9ff74409eafc"/>
    <ds:schemaRef ds:uri="http://purl.org/dc/elements/1.1/"/>
    <ds:schemaRef ds:uri="http://www.w3.org/XML/1998/namespace"/>
    <ds:schemaRef ds:uri="http://purl.org/dc/terms/"/>
    <ds:schemaRef ds:uri="http://schemas.openxmlformats.org/package/2006/metadata/core-properties"/>
    <ds:schemaRef ds:uri="http://schemas.microsoft.com/office/2006/documentManagement/types"/>
    <ds:schemaRef ds:uri="5664482d-1961-4d38-bfc2-b109b3418834"/>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51AD1790-9301-412F-92F0-3322E22227C4}"/>
</file>

<file path=customXml/itemProps3.xml><?xml version="1.0" encoding="utf-8"?>
<ds:datastoreItem xmlns:ds="http://schemas.openxmlformats.org/officeDocument/2006/customXml" ds:itemID="{B16D9F60-0062-4A16-80E7-72BAB0AF1800}">
  <ds:schemaRefs>
    <ds:schemaRef ds:uri="http://schemas.openxmlformats.org/officeDocument/2006/bibliography"/>
  </ds:schemaRefs>
</ds:datastoreItem>
</file>

<file path=customXml/itemProps4.xml><?xml version="1.0" encoding="utf-8"?>
<ds:datastoreItem xmlns:ds="http://schemas.openxmlformats.org/officeDocument/2006/customXml" ds:itemID="{FD7824EF-63E8-4C28-BFC7-5AF9611E91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2311</Words>
  <Characters>12549</Characters>
  <Application>Microsoft Office Word</Application>
  <DocSecurity>0</DocSecurity>
  <Lines>267</Lines>
  <Paragraphs>153</Paragraphs>
  <ScaleCrop>false</ScaleCrop>
  <Company/>
  <LinksUpToDate>false</LinksUpToDate>
  <CharactersWithSpaces>14707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 190 - Finalised [Markup]</dc:title>
  <dc:subject/>
  <dc:creator/>
  <cp:keywords>[SEC=OFFICIAL]</cp:keywords>
  <cp:lastModifiedBy/>
  <cp:revision>1</cp:revision>
  <dcterms:created xsi:type="dcterms:W3CDTF">2023-10-13T07:15:00Z</dcterms:created>
  <dcterms:modified xsi:type="dcterms:W3CDTF">2023-10-13T07:15:00Z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Qualifier">
    <vt:lpwstr/>
  </property>
  <property fmtid="{D5CDD505-2E9C-101B-9397-08002B2CF9AE}" pid="3" name="PM_SecurityClassification">
    <vt:lpwstr>OFFICIAL</vt:lpwstr>
  </property>
  <property fmtid="{D5CDD505-2E9C-101B-9397-08002B2CF9AE}" pid="4" name="PM_Hash_Version">
    <vt:lpwstr>2022.1</vt:lpwstr>
  </property>
  <property fmtid="{D5CDD505-2E9C-101B-9397-08002B2CF9AE}" pid="5" name="PM_SecurityClassification_Prev">
    <vt:lpwstr>OFFICIAL</vt:lpwstr>
  </property>
  <property fmtid="{D5CDD505-2E9C-101B-9397-08002B2CF9AE}" pid="6" name="PM_Qualifier_Prev">
    <vt:lpwstr/>
  </property>
  <property fmtid="{D5CDD505-2E9C-101B-9397-08002B2CF9AE}" pid="7" name="PM_Caveats_Count">
    <vt:lpwstr>0</vt:lpwstr>
  </property>
  <property fmtid="{D5CDD505-2E9C-101B-9397-08002B2CF9AE}" pid="8" name="PM_ProtectiveMarkingImage_Header">
    <vt:lpwstr>C:\Program Files\Common Files\janusNET Shared\janusSEAL\Images\DocumentSlashBlue.png</vt:lpwstr>
  </property>
  <property fmtid="{D5CDD505-2E9C-101B-9397-08002B2CF9AE}" pid="9" name="PM_Namespace">
    <vt:lpwstr>gov.au</vt:lpwstr>
  </property>
  <property fmtid="{D5CDD505-2E9C-101B-9397-08002B2CF9AE}" pid="10" name="PM_ProtectiveMarkingImage_Footer">
    <vt:lpwstr>C:\Program Files\Common Files\janusNET Shared\janusSEAL\Images\DocumentSlashBlue.png</vt:lpwstr>
  </property>
  <property fmtid="{D5CDD505-2E9C-101B-9397-08002B2CF9AE}" pid="11" name="PM_Version">
    <vt:lpwstr>2018.3</vt:lpwstr>
  </property>
  <property fmtid="{D5CDD505-2E9C-101B-9397-08002B2CF9AE}" pid="12" name="PM_Originating_FileId">
    <vt:lpwstr>9CDD4A8A38FF4D3681F9F9DB8CFE362E</vt:lpwstr>
  </property>
  <property fmtid="{D5CDD505-2E9C-101B-9397-08002B2CF9AE}" pid="13" name="PM_ProtectiveMarkingValue_Footer">
    <vt:lpwstr>OFFICIAL</vt:lpwstr>
  </property>
  <property fmtid="{D5CDD505-2E9C-101B-9397-08002B2CF9AE}" pid="14" name="PM_Note">
    <vt:lpwstr/>
  </property>
  <property fmtid="{D5CDD505-2E9C-101B-9397-08002B2CF9AE}" pid="15" name="PM_Markers">
    <vt:lpwstr/>
  </property>
  <property fmtid="{D5CDD505-2E9C-101B-9397-08002B2CF9AE}" pid="16" name="PM_OriginatorDomainName_SHA256">
    <vt:lpwstr>ECBDE2B44A971754412B3FB70606937A119CC0D4B6C1B658A40FBD41C30BE3EC</vt:lpwstr>
  </property>
  <property fmtid="{D5CDD505-2E9C-101B-9397-08002B2CF9AE}" pid="17" name="PM_DisplayValueSecClassificationWithQualifier">
    <vt:lpwstr>OFFICIAL</vt:lpwstr>
  </property>
  <property fmtid="{D5CDD505-2E9C-101B-9397-08002B2CF9AE}" pid="18" name="PM_InsertionValue">
    <vt:lpwstr>OFFICIAL</vt:lpwstr>
  </property>
  <property fmtid="{D5CDD505-2E9C-101B-9397-08002B2CF9AE}" pid="19" name="PM_ProtectiveMarkingValue_Header">
    <vt:lpwstr>OFFICIAL</vt:lpwstr>
  </property>
  <property fmtid="{D5CDD505-2E9C-101B-9397-08002B2CF9AE}" pid="20" name="PM_Display">
    <vt:lpwstr>OFFICIAL</vt:lpwstr>
  </property>
  <property fmtid="{D5CDD505-2E9C-101B-9397-08002B2CF9AE}" pid="21" name="PMUuid">
    <vt:lpwstr>v=2022.2;d=gov.au;g=46DD6D7C-8107-577B-BC6E-F348953B2E44</vt:lpwstr>
  </property>
  <property fmtid="{D5CDD505-2E9C-101B-9397-08002B2CF9AE}" pid="22" name="MSIP_Label_c0129afb-6481-4f92-bc9f-5a4a6346364d_Name">
    <vt:lpwstr>OFFICIAL</vt:lpwstr>
  </property>
  <property fmtid="{D5CDD505-2E9C-101B-9397-08002B2CF9AE}" pid="23" name="MSIP_Label_c0129afb-6481-4f92-bc9f-5a4a6346364d_SiteId">
    <vt:lpwstr>c05e3ffd-b491-4431-9809-e61d4dc78816</vt:lpwstr>
  </property>
  <property fmtid="{D5CDD505-2E9C-101B-9397-08002B2CF9AE}" pid="24" name="MSIP_Label_c0129afb-6481-4f92-bc9f-5a4a6346364d_Enabled">
    <vt:lpwstr>true</vt:lpwstr>
  </property>
  <property fmtid="{D5CDD505-2E9C-101B-9397-08002B2CF9AE}" pid="25" name="IsLocked">
    <vt:lpwstr>Yes</vt:lpwstr>
  </property>
  <property fmtid="{D5CDD505-2E9C-101B-9397-08002B2CF9AE}" pid="26" name="RecordPoint_RecordNumberSubmitted">
    <vt:lpwstr/>
  </property>
  <property fmtid="{D5CDD505-2E9C-101B-9397-08002B2CF9AE}" pid="27" name="APRACostCentre">
    <vt:lpwstr/>
  </property>
  <property fmtid="{D5CDD505-2E9C-101B-9397-08002B2CF9AE}" pid="28" name="ContentTypeId">
    <vt:lpwstr>0x01010080D163DB4DEE504FAB457909715FEC45</vt:lpwstr>
  </property>
  <property fmtid="{D5CDD505-2E9C-101B-9397-08002B2CF9AE}" pid="29" name="RecordPoint_WorkflowType">
    <vt:lpwstr>ActiveSubmitStub</vt:lpwstr>
  </property>
  <property fmtid="{D5CDD505-2E9C-101B-9397-08002B2CF9AE}" pid="30" name="APRAPRSG">
    <vt:lpwstr/>
  </property>
  <property fmtid="{D5CDD505-2E9C-101B-9397-08002B2CF9AE}" pid="31" name="APRAStatus">
    <vt:lpwstr>1;#Draft|0e1556d2-3fe8-443a-ada7-3620563b46b3</vt:lpwstr>
  </property>
  <property fmtid="{D5CDD505-2E9C-101B-9397-08002B2CF9AE}" pid="32" name="APRADocumentType">
    <vt:lpwstr>142;#Prudential standard|6ce5a155-9ab2-41e3-9b2a-5baab4b7f1d1</vt:lpwstr>
  </property>
  <property fmtid="{D5CDD505-2E9C-101B-9397-08002B2CF9AE}" pid="33" name="RecordPoint_ActiveItemSiteId">
    <vt:lpwstr>{88691c01-5bbb-4215-adc0-66cb7065b0af}</vt:lpwstr>
  </property>
  <property fmtid="{D5CDD505-2E9C-101B-9397-08002B2CF9AE}" pid="34" name="APRAActivity">
    <vt:lpwstr>136;#Prudential policy development|4cf81ba0-32a2-4f8f-8216-9e632903331b</vt:lpwstr>
  </property>
  <property fmtid="{D5CDD505-2E9C-101B-9397-08002B2CF9AE}" pid="35" name="APRAEntityAdviceSupport">
    <vt:lpwstr/>
  </property>
  <property fmtid="{D5CDD505-2E9C-101B-9397-08002B2CF9AE}" pid="36" name="RecordPoint_ActiveItemListId">
    <vt:lpwstr>{8987d8f8-681a-4384-8d1b-abc41ebe4f5e}</vt:lpwstr>
  </property>
  <property fmtid="{D5CDD505-2E9C-101B-9397-08002B2CF9AE}" pid="37" name="APRAYear">
    <vt:lpwstr>1109;#2021/2022|3cc6ab47-352b-477e-89d3-52fe63c2c37f</vt:lpwstr>
  </property>
  <property fmtid="{D5CDD505-2E9C-101B-9397-08002B2CF9AE}" pid="38" name="APRAIndustry">
    <vt:lpwstr>154;#Cross Industry|72fe5b41-a18b-4402-ad9b-cffc85b73640</vt:lpwstr>
  </property>
  <property fmtid="{D5CDD505-2E9C-101B-9397-08002B2CF9AE}" pid="39" name="APRALegislation">
    <vt:lpwstr/>
  </property>
  <property fmtid="{D5CDD505-2E9C-101B-9397-08002B2CF9AE}" pid="40" name="RecordPoint_ActiveItemUniqueId">
    <vt:lpwstr>{8173e8a1-ae43-4c76-a26f-85accb36998f}</vt:lpwstr>
  </property>
  <property fmtid="{D5CDD505-2E9C-101B-9397-08002B2CF9AE}" pid="41" name="APRAExternalOrganisation">
    <vt:lpwstr/>
  </property>
  <property fmtid="{D5CDD505-2E9C-101B-9397-08002B2CF9AE}" pid="42" name="APRAIRTR">
    <vt:lpwstr/>
  </property>
  <property fmtid="{D5CDD505-2E9C-101B-9397-08002B2CF9AE}" pid="43" name="APRAPeriod">
    <vt:lpwstr/>
  </property>
  <property fmtid="{D5CDD505-2E9C-101B-9397-08002B2CF9AE}" pid="44" name="RecordPoint_ActiveItemWebId">
    <vt:lpwstr>{75a71c27-8d66-4282-ae60-1bfc22a83be1}</vt:lpwstr>
  </property>
  <property fmtid="{D5CDD505-2E9C-101B-9397-08002B2CF9AE}" pid="45" name="IT system type">
    <vt:lpwstr/>
  </property>
  <property fmtid="{D5CDD505-2E9C-101B-9397-08002B2CF9AE}" pid="46" name="_dlc_DocIdItemGuid">
    <vt:lpwstr>8173e8a1-ae43-4c76-a26f-85accb36998f</vt:lpwstr>
  </property>
  <property fmtid="{D5CDD505-2E9C-101B-9397-08002B2CF9AE}" pid="47" name="APRACategory">
    <vt:lpwstr/>
  </property>
  <property fmtid="{D5CDD505-2E9C-101B-9397-08002B2CF9AE}" pid="48" name="PM_OriginationTimeStamp">
    <vt:lpwstr>2022-11-29T03:41:56Z</vt:lpwstr>
  </property>
  <property fmtid="{D5CDD505-2E9C-101B-9397-08002B2CF9AE}" pid="49" name="MSIP_Label_c0129afb-6481-4f92-bc9f-5a4a6346364d_SetDate">
    <vt:lpwstr>2022-11-29T03:41:56Z</vt:lpwstr>
  </property>
  <property fmtid="{D5CDD505-2E9C-101B-9397-08002B2CF9AE}" pid="50" name="RecordPoint_SubmissionCompleted">
    <vt:lpwstr/>
  </property>
  <property fmtid="{D5CDD505-2E9C-101B-9397-08002B2CF9AE}" pid="51" name="RecordPoint_SubmissionDate">
    <vt:lpwstr/>
  </property>
  <property fmtid="{D5CDD505-2E9C-101B-9397-08002B2CF9AE}" pid="52" name="RecordPoint_ActiveItemMoved">
    <vt:lpwstr/>
  </property>
  <property fmtid="{D5CDD505-2E9C-101B-9397-08002B2CF9AE}" pid="53" name="RecordPoint_RecordFormat">
    <vt:lpwstr/>
  </property>
  <property fmtid="{D5CDD505-2E9C-101B-9397-08002B2CF9AE}" pid="54" name="MSIP_Label_c0129afb-6481-4f92-bc9f-5a4a6346364d_Method">
    <vt:lpwstr>Privileged</vt:lpwstr>
  </property>
  <property fmtid="{D5CDD505-2E9C-101B-9397-08002B2CF9AE}" pid="55" name="MSIP_Label_c0129afb-6481-4f92-bc9f-5a4a6346364d_ContentBits">
    <vt:lpwstr>0</vt:lpwstr>
  </property>
  <property fmtid="{D5CDD505-2E9C-101B-9397-08002B2CF9AE}" pid="56" name="PM_Originator_Hash_SHA1">
    <vt:lpwstr>C3AD57350F36D8E1BD75F8F67CB06D435C9C43CA</vt:lpwstr>
  </property>
  <property fmtid="{D5CDD505-2E9C-101B-9397-08002B2CF9AE}" pid="57" name="PM_OriginatorUserAccountName_SHA256">
    <vt:lpwstr>6E3018F28A186D2E5FF5207C041E7A82E907C3008E071057026A53705873B72E</vt:lpwstr>
  </property>
  <property fmtid="{D5CDD505-2E9C-101B-9397-08002B2CF9AE}" pid="58" name="PM_Hash_Salt">
    <vt:lpwstr>07C716E15E29414ED9661AC2B6A40E94</vt:lpwstr>
  </property>
  <property fmtid="{D5CDD505-2E9C-101B-9397-08002B2CF9AE}" pid="59" name="PM_Hash_SHA1">
    <vt:lpwstr>1F6ED4D03F2BEBC76EAF72DC0B26CA63F339452B</vt:lpwstr>
  </property>
  <property fmtid="{D5CDD505-2E9C-101B-9397-08002B2CF9AE}" pid="60" name="PM_Hash_Salt_Prev">
    <vt:lpwstr>263A7B549A3A9585333790AE0BB8DDE6</vt:lpwstr>
  </property>
  <property fmtid="{D5CDD505-2E9C-101B-9397-08002B2CF9AE}" pid="61" name="PMHMAC">
    <vt:lpwstr>v=2022.1;a=SHA256;h=DD540B13DEFA8CA3864FD9A378AAB2BC659101DAA1D0DB8DE726A8DE9EA0808C</vt:lpwstr>
  </property>
  <property fmtid="{D5CDD505-2E9C-101B-9397-08002B2CF9AE}" pid="62" name="MSIP_Label_c0129afb-6481-4f92-bc9f-5a4a6346364d_ActionId">
    <vt:lpwstr>6b63cabb66fd4a78b5b0f8e174cd60d2</vt:lpwstr>
  </property>
</Properties>
</file>