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A627" w14:textId="77777777" w:rsidR="003E35BE" w:rsidRPr="003E015E" w:rsidRDefault="003E35BE" w:rsidP="00056752">
      <w:pPr>
        <w:rPr>
          <w:rFonts w:cs="Arial"/>
        </w:rPr>
      </w:pPr>
      <w:r w:rsidRPr="003E015E">
        <w:rPr>
          <w:rFonts w:cs="Arial"/>
          <w:noProof/>
        </w:rPr>
        <w:drawing>
          <wp:inline distT="0" distB="0" distL="0" distR="0" wp14:anchorId="36EA4300" wp14:editId="6E9BC704">
            <wp:extent cx="1419225" cy="1104900"/>
            <wp:effectExtent l="0" t="0" r="9525" b="0"/>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3F41836" w14:textId="77777777" w:rsidR="003E35BE" w:rsidRPr="0040349C" w:rsidRDefault="003E35BE" w:rsidP="00056752">
      <w:pPr>
        <w:rPr>
          <w:rFonts w:ascii="Arial" w:hAnsi="Arial" w:cs="Arial"/>
          <w:b/>
          <w:sz w:val="40"/>
          <w:szCs w:val="40"/>
        </w:rPr>
      </w:pPr>
      <w:r w:rsidRPr="0040349C">
        <w:rPr>
          <w:rFonts w:ascii="Arial" w:hAnsi="Arial" w:cs="Arial"/>
          <w:b/>
          <w:sz w:val="40"/>
          <w:szCs w:val="40"/>
        </w:rPr>
        <w:t xml:space="preserve">Banking, Insurance, Life Insurance, Health Insurance and Superannuation (prudential standard) determination No. 4 of 2023 </w:t>
      </w:r>
    </w:p>
    <w:p w14:paraId="465194C7" w14:textId="77777777" w:rsidR="003E35BE" w:rsidRPr="0040349C" w:rsidRDefault="003E35BE" w:rsidP="00056752">
      <w:pPr>
        <w:rPr>
          <w:rFonts w:ascii="Arial" w:hAnsi="Arial" w:cs="Arial"/>
          <w:b/>
          <w:sz w:val="28"/>
          <w:szCs w:val="28"/>
        </w:rPr>
      </w:pPr>
      <w:r w:rsidRPr="0040349C">
        <w:rPr>
          <w:rFonts w:ascii="Arial" w:hAnsi="Arial" w:cs="Arial"/>
          <w:b/>
          <w:sz w:val="28"/>
          <w:szCs w:val="28"/>
        </w:rPr>
        <w:t>Prudential Standard CPS 900 Resolution Planning</w:t>
      </w:r>
    </w:p>
    <w:p w14:paraId="42C562DF" w14:textId="77777777" w:rsidR="003E35BE" w:rsidRPr="0040349C" w:rsidRDefault="003E35BE" w:rsidP="00056752">
      <w:pPr>
        <w:pStyle w:val="ActTitle"/>
        <w:spacing w:before="0" w:after="0"/>
        <w:rPr>
          <w:rFonts w:cs="Arial"/>
          <w:i w:val="0"/>
        </w:rPr>
      </w:pPr>
      <w:r w:rsidRPr="0040349C">
        <w:rPr>
          <w:rFonts w:cs="Arial"/>
        </w:rPr>
        <w:t>Banking Act 1959</w:t>
      </w:r>
    </w:p>
    <w:p w14:paraId="296ED0EA" w14:textId="77777777" w:rsidR="003E35BE" w:rsidRPr="0040349C" w:rsidRDefault="003E35BE" w:rsidP="00056752">
      <w:pPr>
        <w:pStyle w:val="ActTitle"/>
        <w:spacing w:before="0" w:after="0"/>
        <w:rPr>
          <w:rFonts w:cs="Arial"/>
        </w:rPr>
      </w:pPr>
      <w:r w:rsidRPr="0040349C">
        <w:rPr>
          <w:rFonts w:cs="Arial"/>
        </w:rPr>
        <w:t>Insurance Act 1973</w:t>
      </w:r>
    </w:p>
    <w:p w14:paraId="1B517AED" w14:textId="77777777" w:rsidR="003E35BE" w:rsidRPr="0040349C" w:rsidRDefault="003E35BE" w:rsidP="00056752">
      <w:pPr>
        <w:pStyle w:val="ActTitle"/>
        <w:spacing w:before="0" w:after="0"/>
        <w:rPr>
          <w:rFonts w:cs="Arial"/>
        </w:rPr>
      </w:pPr>
      <w:r w:rsidRPr="0040349C">
        <w:rPr>
          <w:rFonts w:cs="Arial"/>
        </w:rPr>
        <w:t>Life Insurance Act 1995</w:t>
      </w:r>
    </w:p>
    <w:p w14:paraId="1FE58860" w14:textId="77777777" w:rsidR="003E35BE" w:rsidRPr="0040349C" w:rsidRDefault="003E35BE" w:rsidP="00056752">
      <w:pPr>
        <w:pStyle w:val="ActTitle"/>
        <w:spacing w:before="0" w:after="0"/>
        <w:rPr>
          <w:rFonts w:cs="Arial"/>
        </w:rPr>
      </w:pPr>
      <w:r w:rsidRPr="0040349C">
        <w:rPr>
          <w:rFonts w:cs="Arial"/>
        </w:rPr>
        <w:t>Private Health Insurance (Prudential Supervision) Act 2015</w:t>
      </w:r>
      <w:r w:rsidRPr="0040349C">
        <w:rPr>
          <w:rFonts w:cs="Arial"/>
        </w:rPr>
        <w:br/>
        <w:t xml:space="preserve">Superannuation Industry (Supervision) Act </w:t>
      </w:r>
      <w:r w:rsidRPr="0040349C">
        <w:rPr>
          <w:rFonts w:cs="Arial"/>
          <w:i w:val="0"/>
        </w:rPr>
        <w:t>1993</w:t>
      </w:r>
    </w:p>
    <w:p w14:paraId="43ADA025" w14:textId="77777777" w:rsidR="003E35BE" w:rsidRPr="00650785" w:rsidRDefault="003E35BE" w:rsidP="00056752">
      <w:pPr>
        <w:pStyle w:val="introto0"/>
        <w:shd w:val="clear" w:color="auto" w:fill="FFFFFF"/>
        <w:spacing w:before="240" w:beforeAutospacing="0" w:after="120" w:afterAutospacing="0"/>
        <w:jc w:val="both"/>
        <w:rPr>
          <w:rFonts w:ascii="Arial" w:hAnsi="Arial" w:cs="Arial"/>
          <w:color w:val="000000"/>
          <w:sz w:val="22"/>
          <w:szCs w:val="22"/>
        </w:rPr>
      </w:pPr>
      <w:r w:rsidRPr="00650785">
        <w:rPr>
          <w:rFonts w:ascii="Arial" w:hAnsi="Arial" w:cs="Arial"/>
          <w:sz w:val="22"/>
          <w:szCs w:val="22"/>
        </w:rPr>
        <w:t>I, Clare Gibney, a delegate of APRA:</w:t>
      </w:r>
    </w:p>
    <w:p w14:paraId="76E57A0A" w14:textId="77777777" w:rsidR="003E35BE" w:rsidRPr="00650785" w:rsidRDefault="003E35BE" w:rsidP="003E35BE">
      <w:pPr>
        <w:pStyle w:val="ListParagraph"/>
        <w:numPr>
          <w:ilvl w:val="0"/>
          <w:numId w:val="70"/>
        </w:numPr>
        <w:shd w:val="clear" w:color="auto" w:fill="FFFFFF"/>
        <w:tabs>
          <w:tab w:val="clear" w:pos="425"/>
          <w:tab w:val="clear" w:pos="851"/>
        </w:tabs>
        <w:spacing w:before="220" w:after="100"/>
        <w:ind w:left="567" w:hanging="567"/>
        <w:contextualSpacing w:val="0"/>
        <w:rPr>
          <w:rFonts w:cs="Arial"/>
        </w:rPr>
      </w:pPr>
      <w:r w:rsidRPr="00650785">
        <w:rPr>
          <w:rFonts w:cs="Arial"/>
        </w:rPr>
        <w:t xml:space="preserve">under subsection 11AF(1) of the </w:t>
      </w:r>
      <w:r w:rsidRPr="00650785">
        <w:rPr>
          <w:rFonts w:cs="Arial"/>
          <w:i/>
        </w:rPr>
        <w:t>Banking Act 1959</w:t>
      </w:r>
      <w:r w:rsidRPr="00650785">
        <w:rPr>
          <w:rFonts w:cs="Arial"/>
        </w:rPr>
        <w:t xml:space="preserve"> DETERMINE the prudential standard, </w:t>
      </w:r>
      <w:bookmarkStart w:id="0" w:name="_Hlk86315380"/>
      <w:r w:rsidRPr="00650785">
        <w:rPr>
          <w:rFonts w:cs="Arial"/>
        </w:rPr>
        <w:t>which applies to all ADIs and authorised banking NOHCs</w:t>
      </w:r>
      <w:bookmarkEnd w:id="0"/>
      <w:r w:rsidRPr="00650785">
        <w:rPr>
          <w:rFonts w:cs="Arial"/>
        </w:rPr>
        <w:t>;</w:t>
      </w:r>
    </w:p>
    <w:p w14:paraId="5C87C03A" w14:textId="297A7566" w:rsidR="003E35BE" w:rsidRPr="00650785" w:rsidRDefault="003E35BE" w:rsidP="003E35BE">
      <w:pPr>
        <w:pStyle w:val="ListParagraph"/>
        <w:numPr>
          <w:ilvl w:val="0"/>
          <w:numId w:val="70"/>
        </w:numPr>
        <w:shd w:val="clear" w:color="auto" w:fill="FFFFFF" w:themeFill="background1"/>
        <w:tabs>
          <w:tab w:val="clear" w:pos="425"/>
          <w:tab w:val="clear" w:pos="851"/>
        </w:tabs>
        <w:spacing w:before="220" w:after="100"/>
        <w:ind w:left="567" w:hanging="567"/>
        <w:contextualSpacing w:val="0"/>
        <w:rPr>
          <w:rFonts w:cs="Arial"/>
        </w:rPr>
      </w:pPr>
      <w:r w:rsidRPr="00650785">
        <w:rPr>
          <w:rFonts w:cs="Arial"/>
        </w:rPr>
        <w:t xml:space="preserve">under subsection 32(1) of the </w:t>
      </w:r>
      <w:r w:rsidRPr="00650785">
        <w:rPr>
          <w:rFonts w:cs="Arial"/>
          <w:i/>
        </w:rPr>
        <w:t>Insurance Act 1973</w:t>
      </w:r>
      <w:r w:rsidRPr="00650785">
        <w:rPr>
          <w:rFonts w:cs="Arial"/>
        </w:rPr>
        <w:t xml:space="preserve"> DETERMINE the prudential standard, which applies to </w:t>
      </w:r>
      <w:bookmarkStart w:id="1" w:name="_Hlk86315495"/>
      <w:r w:rsidRPr="00650785">
        <w:rPr>
          <w:rFonts w:cs="Arial"/>
        </w:rPr>
        <w:t xml:space="preserve">all general insurers and authorised insurance NOHCs, and subsidiaries of general insurers </w:t>
      </w:r>
      <w:r w:rsidR="0025307E">
        <w:rPr>
          <w:rFonts w:cs="Arial"/>
        </w:rPr>
        <w:t>or</w:t>
      </w:r>
      <w:r w:rsidR="0025307E" w:rsidRPr="00650785">
        <w:rPr>
          <w:rFonts w:cs="Arial"/>
        </w:rPr>
        <w:t xml:space="preserve"> </w:t>
      </w:r>
      <w:r w:rsidRPr="00650785">
        <w:rPr>
          <w:rFonts w:cs="Arial"/>
        </w:rPr>
        <w:t>authorised insurance NOHCs</w:t>
      </w:r>
      <w:bookmarkEnd w:id="1"/>
      <w:r w:rsidR="008A16B1" w:rsidRPr="008A16B1">
        <w:rPr>
          <w:rFonts w:cs="Arial"/>
        </w:rPr>
        <w:t xml:space="preserve"> </w:t>
      </w:r>
      <w:r w:rsidR="008A16B1" w:rsidRPr="00887E51">
        <w:rPr>
          <w:rFonts w:cs="Arial"/>
        </w:rPr>
        <w:t>where those subsidiaries are parent entities of Level 2 insurance groups</w:t>
      </w:r>
      <w:r w:rsidRPr="00650785">
        <w:rPr>
          <w:rFonts w:cs="Arial"/>
        </w:rPr>
        <w:t>;</w:t>
      </w:r>
    </w:p>
    <w:p w14:paraId="5EE64ECE" w14:textId="77777777" w:rsidR="003E35BE" w:rsidRPr="00650785" w:rsidRDefault="003E35BE" w:rsidP="003E35BE">
      <w:pPr>
        <w:pStyle w:val="ListParagraph"/>
        <w:numPr>
          <w:ilvl w:val="0"/>
          <w:numId w:val="70"/>
        </w:numPr>
        <w:shd w:val="clear" w:color="auto" w:fill="FFFFFF"/>
        <w:tabs>
          <w:tab w:val="clear" w:pos="425"/>
          <w:tab w:val="clear" w:pos="851"/>
        </w:tabs>
        <w:spacing w:before="220" w:after="100"/>
        <w:ind w:left="567" w:hanging="567"/>
        <w:contextualSpacing w:val="0"/>
        <w:rPr>
          <w:rFonts w:cs="Arial"/>
        </w:rPr>
      </w:pPr>
      <w:r w:rsidRPr="00650785">
        <w:rPr>
          <w:rFonts w:cs="Arial"/>
        </w:rPr>
        <w:t xml:space="preserve">under subsection 230A(1) of the </w:t>
      </w:r>
      <w:r w:rsidRPr="00650785">
        <w:rPr>
          <w:rFonts w:cs="Arial"/>
          <w:i/>
        </w:rPr>
        <w:t>Life Insurance Act 1995</w:t>
      </w:r>
      <w:r w:rsidRPr="00650785">
        <w:rPr>
          <w:rFonts w:cs="Arial"/>
        </w:rPr>
        <w:t xml:space="preserve"> DETERMINE the </w:t>
      </w:r>
      <w:r w:rsidRPr="00650785">
        <w:rPr>
          <w:rFonts w:cs="Arial"/>
          <w:iCs/>
        </w:rPr>
        <w:t>prudential standard,</w:t>
      </w:r>
      <w:r w:rsidRPr="00650785">
        <w:rPr>
          <w:rFonts w:cs="Arial"/>
        </w:rPr>
        <w:t xml:space="preserve"> which applies to </w:t>
      </w:r>
      <w:bookmarkStart w:id="2" w:name="_Hlk86315670"/>
      <w:r w:rsidRPr="00650785">
        <w:rPr>
          <w:rFonts w:cs="Arial"/>
        </w:rPr>
        <w:t>all life companies, including friendly societies, and registered life NOHCs</w:t>
      </w:r>
      <w:bookmarkEnd w:id="2"/>
      <w:r w:rsidRPr="00650785">
        <w:rPr>
          <w:rFonts w:cs="Arial"/>
        </w:rPr>
        <w:t>;</w:t>
      </w:r>
    </w:p>
    <w:p w14:paraId="446A1797" w14:textId="77777777" w:rsidR="003E35BE" w:rsidRPr="00650785" w:rsidRDefault="003E35BE" w:rsidP="003E35BE">
      <w:pPr>
        <w:pStyle w:val="ListParagraph"/>
        <w:numPr>
          <w:ilvl w:val="0"/>
          <w:numId w:val="70"/>
        </w:numPr>
        <w:shd w:val="clear" w:color="auto" w:fill="FFFFFF"/>
        <w:tabs>
          <w:tab w:val="clear" w:pos="425"/>
          <w:tab w:val="clear" w:pos="851"/>
        </w:tabs>
        <w:spacing w:before="220" w:after="100"/>
        <w:ind w:left="567" w:hanging="567"/>
        <w:contextualSpacing w:val="0"/>
        <w:rPr>
          <w:rFonts w:cs="Arial"/>
        </w:rPr>
      </w:pPr>
      <w:r w:rsidRPr="00650785">
        <w:rPr>
          <w:rFonts w:cs="Arial"/>
          <w:shd w:val="clear" w:color="auto" w:fill="FFFFFF"/>
        </w:rPr>
        <w:t xml:space="preserve">under subsection 92(1) of the </w:t>
      </w:r>
      <w:r w:rsidRPr="00650785">
        <w:rPr>
          <w:rFonts w:cs="Arial"/>
          <w:i/>
          <w:shd w:val="clear" w:color="auto" w:fill="FFFFFF"/>
        </w:rPr>
        <w:t>Private Health Insurance (Prudential Supervision) Act 2015</w:t>
      </w:r>
      <w:r w:rsidRPr="00650785">
        <w:rPr>
          <w:rFonts w:cs="Arial"/>
          <w:i/>
          <w:iCs/>
          <w:shd w:val="clear" w:color="auto" w:fill="FFFFFF"/>
        </w:rPr>
        <w:t xml:space="preserve"> </w:t>
      </w:r>
      <w:r w:rsidRPr="00650785">
        <w:rPr>
          <w:rFonts w:cs="Arial"/>
          <w:shd w:val="clear" w:color="auto" w:fill="FFFFFF"/>
        </w:rPr>
        <w:t>DETERMINE the p</w:t>
      </w:r>
      <w:r w:rsidRPr="00650785">
        <w:rPr>
          <w:rFonts w:cs="Arial"/>
        </w:rPr>
        <w:t xml:space="preserve">rudential </w:t>
      </w:r>
      <w:r w:rsidRPr="00650785">
        <w:rPr>
          <w:rFonts w:cs="Arial"/>
          <w:iCs/>
        </w:rPr>
        <w:t>s</w:t>
      </w:r>
      <w:r w:rsidRPr="00650785">
        <w:rPr>
          <w:rFonts w:cs="Arial"/>
        </w:rPr>
        <w:t>tandard</w:t>
      </w:r>
      <w:r w:rsidRPr="00650785">
        <w:rPr>
          <w:rFonts w:cs="Arial"/>
          <w:shd w:val="clear" w:color="auto" w:fill="FFFFFF"/>
        </w:rPr>
        <w:t xml:space="preserve">, </w:t>
      </w:r>
      <w:r w:rsidRPr="00650785">
        <w:rPr>
          <w:rFonts w:cs="Arial"/>
        </w:rPr>
        <w:t xml:space="preserve">which </w:t>
      </w:r>
      <w:r w:rsidRPr="00650785">
        <w:rPr>
          <w:rFonts w:cs="Arial"/>
          <w:shd w:val="clear" w:color="auto" w:fill="FFFFFF"/>
        </w:rPr>
        <w:t>applies to all private health insurers</w:t>
      </w:r>
      <w:r w:rsidRPr="00650785">
        <w:rPr>
          <w:rFonts w:cs="Arial"/>
        </w:rPr>
        <w:t>; and</w:t>
      </w:r>
    </w:p>
    <w:p w14:paraId="3517E521" w14:textId="77777777" w:rsidR="003E35BE" w:rsidRPr="00650785" w:rsidRDefault="003E35BE" w:rsidP="003E35BE">
      <w:pPr>
        <w:pStyle w:val="ListParagraph"/>
        <w:numPr>
          <w:ilvl w:val="0"/>
          <w:numId w:val="70"/>
        </w:numPr>
        <w:shd w:val="clear" w:color="auto" w:fill="FFFFFF"/>
        <w:tabs>
          <w:tab w:val="clear" w:pos="425"/>
          <w:tab w:val="clear" w:pos="851"/>
        </w:tabs>
        <w:spacing w:before="220" w:after="100"/>
        <w:ind w:left="567" w:hanging="567"/>
        <w:contextualSpacing w:val="0"/>
        <w:rPr>
          <w:rFonts w:cs="Arial"/>
        </w:rPr>
      </w:pPr>
      <w:r w:rsidRPr="00650785">
        <w:rPr>
          <w:rFonts w:cs="Arial"/>
        </w:rPr>
        <w:t xml:space="preserve">under subsection 34C(1) of the </w:t>
      </w:r>
      <w:r w:rsidRPr="00650785">
        <w:rPr>
          <w:rFonts w:cs="Arial"/>
          <w:i/>
        </w:rPr>
        <w:t>Superannuation Industry (Supervision) Act 1993</w:t>
      </w:r>
      <w:r w:rsidRPr="00650785">
        <w:rPr>
          <w:rFonts w:cs="Arial"/>
        </w:rPr>
        <w:t xml:space="preserve"> DETERMINE the prudential </w:t>
      </w:r>
      <w:r w:rsidRPr="00650785">
        <w:rPr>
          <w:rFonts w:cs="Arial"/>
          <w:iCs/>
        </w:rPr>
        <w:t>s</w:t>
      </w:r>
      <w:r w:rsidRPr="00650785">
        <w:rPr>
          <w:rFonts w:cs="Arial"/>
        </w:rPr>
        <w:t>tandard, which applies to all RSE licensees.</w:t>
      </w:r>
    </w:p>
    <w:p w14:paraId="70BE04B1" w14:textId="77777777" w:rsidR="003E35BE" w:rsidRPr="00650785" w:rsidRDefault="003E35BE" w:rsidP="00056752">
      <w:pPr>
        <w:pStyle w:val="IntroTo"/>
        <w:spacing w:before="240" w:after="120"/>
        <w:ind w:left="0" w:firstLine="0"/>
        <w:jc w:val="both"/>
        <w:rPr>
          <w:rFonts w:ascii="Arial" w:hAnsi="Arial" w:cs="Arial"/>
          <w:sz w:val="22"/>
          <w:szCs w:val="22"/>
        </w:rPr>
      </w:pPr>
      <w:r w:rsidRPr="00650785">
        <w:rPr>
          <w:rFonts w:ascii="Arial" w:hAnsi="Arial" w:cs="Arial"/>
          <w:sz w:val="22"/>
          <w:szCs w:val="22"/>
        </w:rPr>
        <w:t>This instrument commences on 1 January 2024.</w:t>
      </w:r>
    </w:p>
    <w:p w14:paraId="44C6F51C" w14:textId="77777777" w:rsidR="003E35BE" w:rsidRPr="00EA333D" w:rsidRDefault="003E35BE" w:rsidP="00056752">
      <w:pPr>
        <w:pStyle w:val="IntroTo"/>
        <w:ind w:left="0" w:firstLine="0"/>
        <w:rPr>
          <w:rFonts w:ascii="Arial" w:hAnsi="Arial" w:cs="Arial"/>
          <w:sz w:val="22"/>
          <w:szCs w:val="22"/>
        </w:rPr>
      </w:pPr>
    </w:p>
    <w:p w14:paraId="1FB601EC" w14:textId="70A4BB36" w:rsidR="003E35BE" w:rsidRPr="00EC4B3B" w:rsidRDefault="003E35BE" w:rsidP="00056752">
      <w:pPr>
        <w:pStyle w:val="IntroTo"/>
        <w:ind w:left="0" w:firstLine="0"/>
        <w:rPr>
          <w:rFonts w:ascii="Arial" w:hAnsi="Arial" w:cs="Arial"/>
          <w:sz w:val="22"/>
          <w:szCs w:val="22"/>
        </w:rPr>
      </w:pPr>
      <w:r w:rsidRPr="0AAA2F47">
        <w:rPr>
          <w:rFonts w:ascii="Arial" w:hAnsi="Arial" w:cs="Arial"/>
          <w:sz w:val="22"/>
          <w:szCs w:val="22"/>
        </w:rPr>
        <w:t>Date</w:t>
      </w:r>
      <w:r w:rsidR="46F26313" w:rsidRPr="0AAA2F47">
        <w:rPr>
          <w:rFonts w:ascii="Arial" w:hAnsi="Arial" w:cs="Arial"/>
          <w:sz w:val="22"/>
          <w:szCs w:val="22"/>
        </w:rPr>
        <w:t>d</w:t>
      </w:r>
      <w:r w:rsidRPr="0AAA2F47">
        <w:rPr>
          <w:rFonts w:ascii="Arial" w:hAnsi="Arial" w:cs="Arial"/>
          <w:sz w:val="22"/>
          <w:szCs w:val="22"/>
        </w:rPr>
        <w:t xml:space="preserve">: </w:t>
      </w:r>
      <w:r w:rsidR="006856D1" w:rsidRPr="0AAA2F47">
        <w:rPr>
          <w:rFonts w:ascii="Arial" w:hAnsi="Arial" w:cs="Arial"/>
          <w:sz w:val="22"/>
          <w:szCs w:val="22"/>
        </w:rPr>
        <w:t>10 October 2023</w:t>
      </w:r>
      <w:r w:rsidRPr="0AAA2F47">
        <w:rPr>
          <w:rFonts w:ascii="Arial" w:hAnsi="Arial" w:cs="Arial"/>
          <w:sz w:val="22"/>
          <w:szCs w:val="22"/>
        </w:rPr>
        <w:t xml:space="preserve">  </w:t>
      </w:r>
    </w:p>
    <w:p w14:paraId="247490E7" w14:textId="77777777" w:rsidR="003E35BE" w:rsidRPr="00EC4B3B" w:rsidRDefault="003E35BE" w:rsidP="00056752">
      <w:pPr>
        <w:pStyle w:val="IntroTo"/>
        <w:ind w:left="0" w:firstLine="0"/>
        <w:rPr>
          <w:rFonts w:ascii="Arial" w:hAnsi="Arial" w:cs="Arial"/>
          <w:sz w:val="22"/>
          <w:szCs w:val="22"/>
        </w:rPr>
      </w:pPr>
    </w:p>
    <w:p w14:paraId="244076A7" w14:textId="349DB01A" w:rsidR="003E35BE" w:rsidRPr="00EC4B3B" w:rsidRDefault="003E35BE" w:rsidP="00056752">
      <w:pPr>
        <w:rPr>
          <w:rFonts w:ascii="Arial" w:hAnsi="Arial" w:cs="Arial"/>
          <w:sz w:val="22"/>
          <w:szCs w:val="22"/>
        </w:rPr>
      </w:pPr>
    </w:p>
    <w:p w14:paraId="5814A089" w14:textId="77777777" w:rsidR="003E35BE" w:rsidRPr="00EC4B3B" w:rsidRDefault="003E35BE" w:rsidP="003E35BE">
      <w:pPr>
        <w:spacing w:after="0"/>
        <w:jc w:val="both"/>
        <w:rPr>
          <w:rFonts w:ascii="Arial" w:hAnsi="Arial" w:cs="Arial"/>
          <w:sz w:val="22"/>
          <w:szCs w:val="22"/>
        </w:rPr>
      </w:pPr>
      <w:r w:rsidRPr="00EC4B3B">
        <w:rPr>
          <w:rFonts w:ascii="Arial" w:hAnsi="Arial" w:cs="Arial"/>
          <w:sz w:val="22"/>
          <w:szCs w:val="22"/>
        </w:rPr>
        <w:t xml:space="preserve">Clare Gibney </w:t>
      </w:r>
    </w:p>
    <w:p w14:paraId="2A5F86A1" w14:textId="77777777" w:rsidR="003E35BE" w:rsidRPr="00EC4B3B" w:rsidRDefault="003E35BE" w:rsidP="003E35BE">
      <w:pPr>
        <w:spacing w:after="0"/>
        <w:jc w:val="both"/>
        <w:rPr>
          <w:rFonts w:ascii="Arial" w:hAnsi="Arial" w:cs="Arial"/>
          <w:sz w:val="22"/>
          <w:szCs w:val="22"/>
        </w:rPr>
      </w:pPr>
      <w:r w:rsidRPr="00EC4B3B">
        <w:rPr>
          <w:rFonts w:ascii="Arial" w:hAnsi="Arial" w:cs="Arial"/>
          <w:sz w:val="22"/>
          <w:szCs w:val="22"/>
        </w:rPr>
        <w:t>Executive Director, Policy and Advice Division</w:t>
      </w:r>
    </w:p>
    <w:p w14:paraId="2DBCA6AE" w14:textId="77777777" w:rsidR="003E35BE" w:rsidRPr="00EC4B3B" w:rsidRDefault="003E35BE" w:rsidP="003E35BE">
      <w:pPr>
        <w:spacing w:after="0"/>
        <w:jc w:val="both"/>
        <w:rPr>
          <w:rFonts w:asciiTheme="majorHAnsi" w:hAnsiTheme="majorHAnsi" w:cstheme="majorHAnsi"/>
          <w:sz w:val="22"/>
          <w:szCs w:val="22"/>
        </w:rPr>
      </w:pPr>
      <w:r w:rsidRPr="00EC4B3B">
        <w:rPr>
          <w:rFonts w:asciiTheme="majorHAnsi" w:hAnsiTheme="majorHAnsi" w:cstheme="majorHAnsi"/>
          <w:sz w:val="22"/>
          <w:szCs w:val="22"/>
        </w:rPr>
        <w:t>APRA</w:t>
      </w:r>
    </w:p>
    <w:p w14:paraId="39533309" w14:textId="77777777" w:rsidR="003E35BE" w:rsidRPr="00B2091D" w:rsidRDefault="003E35BE" w:rsidP="003E35BE">
      <w:pPr>
        <w:spacing w:before="480" w:after="0"/>
        <w:jc w:val="both"/>
        <w:rPr>
          <w:rFonts w:asciiTheme="majorHAnsi" w:hAnsiTheme="majorHAnsi" w:cstheme="majorHAnsi"/>
          <w:b/>
        </w:rPr>
      </w:pPr>
      <w:r w:rsidRPr="00B2091D">
        <w:rPr>
          <w:rFonts w:asciiTheme="majorHAnsi" w:hAnsiTheme="majorHAnsi" w:cstheme="majorHAnsi"/>
          <w:b/>
        </w:rPr>
        <w:lastRenderedPageBreak/>
        <w:t>Interpretation</w:t>
      </w:r>
    </w:p>
    <w:p w14:paraId="47D9A13B" w14:textId="77777777" w:rsidR="003E35BE" w:rsidRPr="00550188" w:rsidRDefault="003E35BE" w:rsidP="003E35BE">
      <w:pPr>
        <w:spacing w:before="120" w:after="0"/>
        <w:jc w:val="both"/>
        <w:rPr>
          <w:rFonts w:asciiTheme="majorHAnsi" w:hAnsiTheme="majorHAnsi" w:cstheme="majorHAnsi"/>
          <w:sz w:val="22"/>
          <w:szCs w:val="22"/>
        </w:rPr>
      </w:pPr>
      <w:r w:rsidRPr="00550188">
        <w:rPr>
          <w:rFonts w:asciiTheme="majorHAnsi" w:hAnsiTheme="majorHAnsi" w:cstheme="majorHAnsi"/>
          <w:sz w:val="22"/>
          <w:szCs w:val="22"/>
        </w:rPr>
        <w:t>In this Determination:</w:t>
      </w:r>
    </w:p>
    <w:p w14:paraId="030B40C9" w14:textId="77777777" w:rsidR="003E35BE" w:rsidRPr="00550188" w:rsidRDefault="003E35BE" w:rsidP="002C3B8D">
      <w:pPr>
        <w:pStyle w:val="introto0"/>
        <w:shd w:val="clear" w:color="auto" w:fill="FFFFFF"/>
        <w:spacing w:before="120" w:beforeAutospacing="0" w:after="120" w:afterAutospacing="0"/>
        <w:jc w:val="both"/>
        <w:rPr>
          <w:rFonts w:asciiTheme="majorHAnsi" w:hAnsiTheme="majorHAnsi" w:cstheme="majorHAnsi"/>
          <w:color w:val="000000"/>
          <w:sz w:val="22"/>
          <w:szCs w:val="22"/>
        </w:rPr>
      </w:pPr>
      <w:r w:rsidRPr="00550188">
        <w:rPr>
          <w:rFonts w:asciiTheme="majorHAnsi" w:hAnsiTheme="majorHAnsi" w:cstheme="majorHAnsi"/>
          <w:b/>
          <w:i/>
          <w:color w:val="000000"/>
          <w:sz w:val="22"/>
          <w:szCs w:val="22"/>
        </w:rPr>
        <w:t>ADI</w:t>
      </w:r>
      <w:r w:rsidRPr="00550188">
        <w:rPr>
          <w:rFonts w:asciiTheme="majorHAnsi" w:hAnsiTheme="majorHAnsi" w:cstheme="majorHAnsi"/>
          <w:b/>
          <w:bCs/>
          <w:i/>
          <w:iCs/>
          <w:color w:val="000000"/>
          <w:sz w:val="22"/>
          <w:szCs w:val="22"/>
        </w:rPr>
        <w:t xml:space="preserve"> </w:t>
      </w:r>
      <w:r w:rsidRPr="00550188">
        <w:rPr>
          <w:rFonts w:asciiTheme="majorHAnsi" w:hAnsiTheme="majorHAnsi" w:cstheme="majorHAnsi"/>
          <w:color w:val="000000"/>
          <w:sz w:val="22"/>
          <w:szCs w:val="22"/>
        </w:rPr>
        <w:t xml:space="preserve">has the meaning given in section 5 of the </w:t>
      </w:r>
      <w:r w:rsidRPr="00550188">
        <w:rPr>
          <w:rFonts w:asciiTheme="majorHAnsi" w:hAnsiTheme="majorHAnsi" w:cstheme="majorHAnsi"/>
          <w:i/>
          <w:color w:val="000000"/>
          <w:sz w:val="22"/>
          <w:szCs w:val="22"/>
        </w:rPr>
        <w:t>Banking Act 1959</w:t>
      </w:r>
      <w:r w:rsidRPr="00550188">
        <w:rPr>
          <w:rFonts w:asciiTheme="majorHAnsi" w:hAnsiTheme="majorHAnsi" w:cstheme="majorHAnsi"/>
          <w:color w:val="000000"/>
          <w:sz w:val="22"/>
          <w:szCs w:val="22"/>
        </w:rPr>
        <w:t>.</w:t>
      </w:r>
    </w:p>
    <w:p w14:paraId="61C10528" w14:textId="77777777" w:rsidR="003E35BE" w:rsidRPr="00550188" w:rsidRDefault="003E35BE" w:rsidP="002C3B8D">
      <w:pPr>
        <w:pStyle w:val="introto0"/>
        <w:shd w:val="clear" w:color="auto" w:fill="FFFFFF"/>
        <w:spacing w:before="120" w:beforeAutospacing="0" w:after="120" w:afterAutospacing="0"/>
        <w:jc w:val="both"/>
        <w:rPr>
          <w:rFonts w:asciiTheme="majorHAnsi" w:hAnsiTheme="majorHAnsi" w:cstheme="majorHAnsi"/>
          <w:color w:val="000000"/>
          <w:sz w:val="22"/>
          <w:szCs w:val="22"/>
        </w:rPr>
      </w:pPr>
      <w:r w:rsidRPr="00550188">
        <w:rPr>
          <w:rFonts w:asciiTheme="majorHAnsi" w:hAnsiTheme="majorHAnsi" w:cstheme="majorHAnsi"/>
          <w:b/>
          <w:i/>
          <w:color w:val="000000"/>
          <w:sz w:val="22"/>
          <w:szCs w:val="22"/>
        </w:rPr>
        <w:t>APRA</w:t>
      </w:r>
      <w:r w:rsidRPr="00550188">
        <w:rPr>
          <w:rFonts w:asciiTheme="majorHAnsi" w:hAnsiTheme="majorHAnsi" w:cstheme="majorHAnsi"/>
          <w:color w:val="000000"/>
          <w:sz w:val="22"/>
          <w:szCs w:val="22"/>
        </w:rPr>
        <w:t xml:space="preserve"> means the Australian Prudential Regulation Authority.</w:t>
      </w:r>
    </w:p>
    <w:p w14:paraId="44EFBAD5" w14:textId="77777777"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authorised banking NOHC</w:t>
      </w:r>
      <w:r w:rsidRPr="00550188">
        <w:rPr>
          <w:rFonts w:asciiTheme="majorHAnsi" w:hAnsiTheme="majorHAnsi" w:cstheme="majorHAnsi"/>
          <w:sz w:val="22"/>
          <w:szCs w:val="22"/>
        </w:rPr>
        <w:t xml:space="preserve"> has the meaning given to the expression </w:t>
      </w:r>
      <w:r w:rsidRPr="00550188">
        <w:rPr>
          <w:rFonts w:asciiTheme="majorHAnsi" w:hAnsiTheme="majorHAnsi" w:cstheme="majorHAnsi"/>
          <w:i/>
          <w:sz w:val="22"/>
          <w:szCs w:val="22"/>
        </w:rPr>
        <w:t>authorised NOHC</w:t>
      </w:r>
      <w:r w:rsidRPr="00550188">
        <w:rPr>
          <w:rFonts w:asciiTheme="majorHAnsi" w:hAnsiTheme="majorHAnsi" w:cstheme="majorHAnsi"/>
          <w:sz w:val="22"/>
          <w:szCs w:val="22"/>
        </w:rPr>
        <w:t xml:space="preserve"> in section 5 of the </w:t>
      </w:r>
      <w:r w:rsidRPr="00550188">
        <w:rPr>
          <w:rFonts w:asciiTheme="majorHAnsi" w:hAnsiTheme="majorHAnsi" w:cstheme="majorHAnsi"/>
          <w:i/>
          <w:sz w:val="22"/>
          <w:szCs w:val="22"/>
        </w:rPr>
        <w:t>Banking Act</w:t>
      </w:r>
      <w:r w:rsidRPr="00550188">
        <w:rPr>
          <w:rFonts w:asciiTheme="majorHAnsi" w:hAnsiTheme="majorHAnsi" w:cstheme="majorHAnsi"/>
          <w:sz w:val="22"/>
          <w:szCs w:val="22"/>
        </w:rPr>
        <w:t xml:space="preserve"> </w:t>
      </w:r>
      <w:r w:rsidRPr="00550188">
        <w:rPr>
          <w:rFonts w:asciiTheme="majorHAnsi" w:hAnsiTheme="majorHAnsi" w:cstheme="majorHAnsi"/>
          <w:i/>
          <w:sz w:val="22"/>
          <w:szCs w:val="22"/>
        </w:rPr>
        <w:t>1959</w:t>
      </w:r>
      <w:r w:rsidRPr="00550188">
        <w:rPr>
          <w:rFonts w:asciiTheme="majorHAnsi" w:hAnsiTheme="majorHAnsi" w:cstheme="majorHAnsi"/>
          <w:sz w:val="22"/>
          <w:szCs w:val="22"/>
        </w:rPr>
        <w:t>.</w:t>
      </w:r>
    </w:p>
    <w:p w14:paraId="3BDF4C0E" w14:textId="77777777"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 xml:space="preserve">authorised insurance </w:t>
      </w:r>
      <w:r w:rsidRPr="00550188">
        <w:rPr>
          <w:rFonts w:asciiTheme="majorHAnsi" w:hAnsiTheme="majorHAnsi" w:cstheme="majorHAnsi"/>
          <w:b/>
          <w:bCs/>
          <w:i/>
          <w:iCs/>
          <w:sz w:val="22"/>
          <w:szCs w:val="22"/>
        </w:rPr>
        <w:t>NOHC</w:t>
      </w:r>
      <w:r w:rsidRPr="00550188">
        <w:rPr>
          <w:rFonts w:asciiTheme="majorHAnsi" w:hAnsiTheme="majorHAnsi" w:cstheme="majorHAnsi"/>
          <w:b/>
          <w:sz w:val="22"/>
          <w:szCs w:val="22"/>
        </w:rPr>
        <w:t> </w:t>
      </w:r>
      <w:r w:rsidRPr="00550188">
        <w:rPr>
          <w:rFonts w:asciiTheme="majorHAnsi" w:hAnsiTheme="majorHAnsi" w:cstheme="majorHAnsi"/>
          <w:sz w:val="22"/>
          <w:szCs w:val="22"/>
        </w:rPr>
        <w:t xml:space="preserve">has the meaning given to the expression </w:t>
      </w:r>
      <w:r w:rsidRPr="00550188">
        <w:rPr>
          <w:rFonts w:asciiTheme="majorHAnsi" w:hAnsiTheme="majorHAnsi" w:cstheme="majorHAnsi"/>
          <w:i/>
          <w:sz w:val="22"/>
          <w:szCs w:val="22"/>
        </w:rPr>
        <w:t>authorised NOHC</w:t>
      </w:r>
      <w:r w:rsidRPr="00550188">
        <w:rPr>
          <w:rFonts w:asciiTheme="majorHAnsi" w:hAnsiTheme="majorHAnsi" w:cstheme="majorHAnsi"/>
          <w:sz w:val="22"/>
          <w:szCs w:val="22"/>
        </w:rPr>
        <w:t xml:space="preserve"> in subsection 3(1) of the </w:t>
      </w:r>
      <w:r w:rsidRPr="00550188">
        <w:rPr>
          <w:rFonts w:asciiTheme="majorHAnsi" w:hAnsiTheme="majorHAnsi" w:cstheme="majorHAnsi"/>
          <w:i/>
          <w:sz w:val="22"/>
          <w:szCs w:val="22"/>
        </w:rPr>
        <w:t>Insurance Act</w:t>
      </w:r>
      <w:r w:rsidRPr="00550188">
        <w:rPr>
          <w:rFonts w:asciiTheme="majorHAnsi" w:hAnsiTheme="majorHAnsi" w:cstheme="majorHAnsi"/>
          <w:sz w:val="22"/>
          <w:szCs w:val="22"/>
        </w:rPr>
        <w:t> </w:t>
      </w:r>
      <w:r w:rsidRPr="00550188">
        <w:rPr>
          <w:rFonts w:asciiTheme="majorHAnsi" w:hAnsiTheme="majorHAnsi" w:cstheme="majorHAnsi"/>
          <w:i/>
          <w:sz w:val="22"/>
          <w:szCs w:val="22"/>
        </w:rPr>
        <w:t>1973</w:t>
      </w:r>
      <w:r w:rsidRPr="00550188">
        <w:rPr>
          <w:rFonts w:asciiTheme="majorHAnsi" w:hAnsiTheme="majorHAnsi" w:cstheme="majorHAnsi"/>
          <w:sz w:val="22"/>
          <w:szCs w:val="22"/>
        </w:rPr>
        <w:t>.</w:t>
      </w:r>
    </w:p>
    <w:p w14:paraId="0075844A" w14:textId="77777777"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friendly society</w:t>
      </w:r>
      <w:r w:rsidRPr="00550188">
        <w:rPr>
          <w:rFonts w:asciiTheme="majorHAnsi" w:hAnsiTheme="majorHAnsi" w:cstheme="majorHAnsi"/>
          <w:sz w:val="22"/>
          <w:szCs w:val="22"/>
        </w:rPr>
        <w:t xml:space="preserve"> has the meaning given in section 16C of the </w:t>
      </w:r>
      <w:r w:rsidRPr="00550188">
        <w:rPr>
          <w:rFonts w:asciiTheme="majorHAnsi" w:hAnsiTheme="majorHAnsi" w:cstheme="majorHAnsi"/>
          <w:i/>
          <w:sz w:val="22"/>
          <w:szCs w:val="22"/>
        </w:rPr>
        <w:t>Life Insurance Act 1995</w:t>
      </w:r>
      <w:r w:rsidRPr="00550188">
        <w:rPr>
          <w:rFonts w:asciiTheme="majorHAnsi" w:hAnsiTheme="majorHAnsi" w:cstheme="majorHAnsi"/>
          <w:sz w:val="22"/>
          <w:szCs w:val="22"/>
        </w:rPr>
        <w:t>.</w:t>
      </w:r>
    </w:p>
    <w:p w14:paraId="3760BE22" w14:textId="77777777"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general insurer</w:t>
      </w:r>
      <w:r w:rsidRPr="00550188">
        <w:rPr>
          <w:rFonts w:asciiTheme="majorHAnsi" w:hAnsiTheme="majorHAnsi" w:cstheme="majorHAnsi"/>
          <w:b/>
          <w:bCs/>
          <w:sz w:val="22"/>
          <w:szCs w:val="22"/>
        </w:rPr>
        <w:t xml:space="preserve"> </w:t>
      </w:r>
      <w:r w:rsidRPr="00550188">
        <w:rPr>
          <w:rFonts w:asciiTheme="majorHAnsi" w:hAnsiTheme="majorHAnsi" w:cstheme="majorHAnsi"/>
          <w:sz w:val="22"/>
          <w:szCs w:val="22"/>
        </w:rPr>
        <w:t xml:space="preserve">has the meaning given in section 11 of the </w:t>
      </w:r>
      <w:r w:rsidRPr="00550188">
        <w:rPr>
          <w:rFonts w:asciiTheme="majorHAnsi" w:hAnsiTheme="majorHAnsi" w:cstheme="majorHAnsi"/>
          <w:i/>
          <w:sz w:val="22"/>
          <w:szCs w:val="22"/>
        </w:rPr>
        <w:t>Insurance Act 1973</w:t>
      </w:r>
      <w:r w:rsidRPr="00550188">
        <w:rPr>
          <w:rFonts w:asciiTheme="majorHAnsi" w:hAnsiTheme="majorHAnsi" w:cstheme="majorHAnsi"/>
          <w:sz w:val="22"/>
          <w:szCs w:val="22"/>
        </w:rPr>
        <w:t>.</w:t>
      </w:r>
    </w:p>
    <w:p w14:paraId="431CDE58" w14:textId="77777777" w:rsidR="00025094" w:rsidRPr="00550188" w:rsidRDefault="00025094" w:rsidP="00025094">
      <w:pPr>
        <w:shd w:val="clear" w:color="auto" w:fill="FFFFFF"/>
        <w:spacing w:before="120" w:after="120"/>
        <w:jc w:val="both"/>
        <w:rPr>
          <w:rFonts w:ascii="Arial" w:hAnsi="Arial" w:cs="Arial"/>
          <w:sz w:val="22"/>
          <w:szCs w:val="22"/>
        </w:rPr>
      </w:pPr>
      <w:r w:rsidRPr="00550188">
        <w:rPr>
          <w:rFonts w:ascii="Arial" w:hAnsi="Arial" w:cs="Arial"/>
          <w:b/>
          <w:i/>
          <w:sz w:val="22"/>
          <w:szCs w:val="22"/>
        </w:rPr>
        <w:t>Level 2 insurance group</w:t>
      </w:r>
      <w:r w:rsidRPr="00550188">
        <w:rPr>
          <w:rFonts w:ascii="Arial" w:hAnsi="Arial" w:cs="Arial"/>
          <w:i/>
          <w:sz w:val="22"/>
          <w:szCs w:val="22"/>
        </w:rPr>
        <w:t xml:space="preserve"> </w:t>
      </w:r>
      <w:r w:rsidRPr="00550188">
        <w:rPr>
          <w:rFonts w:ascii="Arial" w:hAnsi="Arial" w:cs="Arial"/>
          <w:sz w:val="22"/>
          <w:szCs w:val="22"/>
        </w:rPr>
        <w:t xml:space="preserve">has the meaning given in </w:t>
      </w:r>
      <w:r w:rsidRPr="00550188">
        <w:rPr>
          <w:rFonts w:ascii="Arial" w:hAnsi="Arial" w:cs="Arial"/>
          <w:i/>
          <w:sz w:val="22"/>
          <w:szCs w:val="22"/>
        </w:rPr>
        <w:t>Prudential Standard GPS 001 Definitions.</w:t>
      </w:r>
    </w:p>
    <w:p w14:paraId="156B017C" w14:textId="77777777"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life company</w:t>
      </w:r>
      <w:r w:rsidRPr="00550188">
        <w:rPr>
          <w:rFonts w:asciiTheme="majorHAnsi" w:hAnsiTheme="majorHAnsi" w:cstheme="majorHAnsi"/>
          <w:sz w:val="22"/>
          <w:szCs w:val="22"/>
        </w:rPr>
        <w:t xml:space="preserve"> has the meaning given in the Schedule to the </w:t>
      </w:r>
      <w:r w:rsidRPr="00550188">
        <w:rPr>
          <w:rFonts w:asciiTheme="majorHAnsi" w:hAnsiTheme="majorHAnsi" w:cstheme="majorHAnsi"/>
          <w:i/>
          <w:sz w:val="22"/>
          <w:szCs w:val="22"/>
        </w:rPr>
        <w:t>Life Insurance Act 1995</w:t>
      </w:r>
      <w:r w:rsidRPr="00550188">
        <w:rPr>
          <w:rFonts w:asciiTheme="majorHAnsi" w:hAnsiTheme="majorHAnsi" w:cstheme="majorHAnsi"/>
          <w:sz w:val="22"/>
          <w:szCs w:val="22"/>
        </w:rPr>
        <w:t>.</w:t>
      </w:r>
    </w:p>
    <w:p w14:paraId="7D8133D8" w14:textId="77777777" w:rsidR="0077749E" w:rsidRPr="00550188" w:rsidRDefault="0077749E" w:rsidP="0077749E">
      <w:pPr>
        <w:shd w:val="clear" w:color="auto" w:fill="FFFFFF"/>
        <w:spacing w:before="120" w:after="120"/>
        <w:jc w:val="both"/>
        <w:rPr>
          <w:rFonts w:ascii="Arial" w:hAnsi="Arial" w:cs="Arial"/>
          <w:sz w:val="22"/>
          <w:szCs w:val="22"/>
        </w:rPr>
      </w:pPr>
      <w:r w:rsidRPr="00550188">
        <w:rPr>
          <w:rFonts w:ascii="Arial" w:hAnsi="Arial" w:cs="Arial"/>
          <w:b/>
          <w:i/>
          <w:sz w:val="22"/>
          <w:szCs w:val="22"/>
        </w:rPr>
        <w:t xml:space="preserve">parent entity </w:t>
      </w:r>
      <w:r w:rsidRPr="00550188">
        <w:rPr>
          <w:rFonts w:ascii="Arial" w:hAnsi="Arial" w:cs="Arial"/>
          <w:sz w:val="22"/>
          <w:szCs w:val="22"/>
        </w:rPr>
        <w:t xml:space="preserve">has the meaning given in </w:t>
      </w:r>
      <w:r w:rsidRPr="00550188">
        <w:rPr>
          <w:rFonts w:ascii="Arial" w:hAnsi="Arial" w:cs="Arial"/>
          <w:i/>
          <w:sz w:val="22"/>
          <w:szCs w:val="22"/>
        </w:rPr>
        <w:t>Prudential Standard GPS 001 Definitions</w:t>
      </w:r>
      <w:r w:rsidRPr="00550188">
        <w:rPr>
          <w:rFonts w:ascii="Arial" w:hAnsi="Arial" w:cs="Arial"/>
          <w:sz w:val="22"/>
          <w:szCs w:val="22"/>
        </w:rPr>
        <w:t>.</w:t>
      </w:r>
    </w:p>
    <w:p w14:paraId="4524BCE6" w14:textId="28F494D5"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private health insurer</w:t>
      </w:r>
      <w:r w:rsidRPr="00550188">
        <w:rPr>
          <w:rFonts w:asciiTheme="majorHAnsi" w:hAnsiTheme="majorHAnsi" w:cstheme="majorHAnsi"/>
          <w:sz w:val="22"/>
          <w:szCs w:val="22"/>
        </w:rPr>
        <w:t xml:space="preserve"> has the meaning given in section 4 of</w:t>
      </w:r>
      <w:r w:rsidR="00B725C6">
        <w:rPr>
          <w:rFonts w:asciiTheme="majorHAnsi" w:hAnsiTheme="majorHAnsi" w:cstheme="majorHAnsi"/>
          <w:sz w:val="22"/>
          <w:szCs w:val="22"/>
        </w:rPr>
        <w:t xml:space="preserve"> the</w:t>
      </w:r>
      <w:r w:rsidRPr="00550188">
        <w:rPr>
          <w:rFonts w:asciiTheme="majorHAnsi" w:hAnsiTheme="majorHAnsi" w:cstheme="majorHAnsi"/>
          <w:sz w:val="22"/>
          <w:szCs w:val="22"/>
        </w:rPr>
        <w:t xml:space="preserve"> </w:t>
      </w:r>
      <w:r w:rsidRPr="00550188">
        <w:rPr>
          <w:rFonts w:asciiTheme="majorHAnsi" w:hAnsiTheme="majorHAnsi" w:cstheme="majorHAnsi"/>
          <w:i/>
          <w:sz w:val="22"/>
          <w:szCs w:val="22"/>
        </w:rPr>
        <w:t>Private Health Insurance (Prudential Supervision) Act 2015.</w:t>
      </w:r>
    </w:p>
    <w:p w14:paraId="2D6FAF01" w14:textId="77777777" w:rsidR="003E35BE" w:rsidRPr="00550188" w:rsidRDefault="003E35BE" w:rsidP="002C3B8D">
      <w:pPr>
        <w:shd w:val="clear" w:color="auto" w:fill="FFFFFF"/>
        <w:spacing w:before="120" w:after="120"/>
        <w:jc w:val="both"/>
        <w:rPr>
          <w:rFonts w:asciiTheme="majorHAnsi" w:hAnsiTheme="majorHAnsi" w:cstheme="majorHAnsi"/>
          <w:sz w:val="22"/>
          <w:szCs w:val="22"/>
        </w:rPr>
      </w:pPr>
      <w:r w:rsidRPr="00550188">
        <w:rPr>
          <w:rFonts w:asciiTheme="majorHAnsi" w:hAnsiTheme="majorHAnsi" w:cstheme="majorHAnsi"/>
          <w:b/>
          <w:i/>
          <w:sz w:val="22"/>
          <w:szCs w:val="22"/>
        </w:rPr>
        <w:t>registered life NOHC</w:t>
      </w:r>
      <w:r w:rsidRPr="00550188">
        <w:rPr>
          <w:rFonts w:asciiTheme="majorHAnsi" w:hAnsiTheme="majorHAnsi" w:cstheme="majorHAnsi"/>
          <w:sz w:val="22"/>
          <w:szCs w:val="22"/>
        </w:rPr>
        <w:t xml:space="preserve"> has the meaning given to the expression </w:t>
      </w:r>
      <w:r w:rsidRPr="00550188">
        <w:rPr>
          <w:rFonts w:asciiTheme="majorHAnsi" w:hAnsiTheme="majorHAnsi" w:cstheme="majorHAnsi"/>
          <w:i/>
          <w:sz w:val="22"/>
          <w:szCs w:val="22"/>
        </w:rPr>
        <w:t>registered NOHC</w:t>
      </w:r>
      <w:r w:rsidRPr="00550188">
        <w:rPr>
          <w:rFonts w:asciiTheme="majorHAnsi" w:hAnsiTheme="majorHAnsi" w:cstheme="majorHAnsi"/>
          <w:sz w:val="22"/>
          <w:szCs w:val="22"/>
        </w:rPr>
        <w:t xml:space="preserve"> in the Schedule to the </w:t>
      </w:r>
      <w:r w:rsidRPr="00550188">
        <w:rPr>
          <w:rFonts w:asciiTheme="majorHAnsi" w:hAnsiTheme="majorHAnsi" w:cstheme="majorHAnsi"/>
          <w:i/>
          <w:sz w:val="22"/>
          <w:szCs w:val="22"/>
        </w:rPr>
        <w:t>Life Insurance Act 1995</w:t>
      </w:r>
      <w:r w:rsidRPr="00550188">
        <w:rPr>
          <w:rFonts w:asciiTheme="majorHAnsi" w:hAnsiTheme="majorHAnsi" w:cstheme="majorHAnsi"/>
          <w:sz w:val="22"/>
          <w:szCs w:val="22"/>
        </w:rPr>
        <w:t>.</w:t>
      </w:r>
    </w:p>
    <w:p w14:paraId="30997EF9" w14:textId="77777777" w:rsidR="003E35BE" w:rsidRPr="00550188" w:rsidRDefault="003E35BE" w:rsidP="002C3B8D">
      <w:pPr>
        <w:shd w:val="clear" w:color="auto" w:fill="FFFFFF"/>
        <w:spacing w:before="120" w:after="120"/>
        <w:jc w:val="both"/>
        <w:rPr>
          <w:rFonts w:asciiTheme="majorHAnsi" w:hAnsiTheme="majorHAnsi" w:cstheme="majorHAnsi"/>
          <w:sz w:val="22"/>
          <w:szCs w:val="22"/>
          <w:shd w:val="clear" w:color="auto" w:fill="FFFFFF"/>
        </w:rPr>
      </w:pPr>
      <w:r w:rsidRPr="00550188">
        <w:rPr>
          <w:rFonts w:asciiTheme="majorHAnsi" w:hAnsiTheme="majorHAnsi" w:cstheme="majorHAnsi"/>
          <w:b/>
          <w:i/>
          <w:sz w:val="22"/>
          <w:szCs w:val="22"/>
          <w:shd w:val="clear" w:color="auto" w:fill="FFFFFF"/>
        </w:rPr>
        <w:t>RSE licensee</w:t>
      </w:r>
      <w:r w:rsidRPr="00550188">
        <w:rPr>
          <w:rFonts w:asciiTheme="majorHAnsi" w:hAnsiTheme="majorHAnsi" w:cstheme="majorHAnsi"/>
          <w:sz w:val="22"/>
          <w:szCs w:val="22"/>
          <w:shd w:val="clear" w:color="auto" w:fill="FFFFFF"/>
        </w:rPr>
        <w:t xml:space="preserve"> has the meaning given in section 10 of the </w:t>
      </w:r>
      <w:r w:rsidRPr="00550188">
        <w:rPr>
          <w:rFonts w:asciiTheme="majorHAnsi" w:hAnsiTheme="majorHAnsi" w:cstheme="majorHAnsi"/>
          <w:i/>
          <w:sz w:val="22"/>
          <w:szCs w:val="22"/>
          <w:shd w:val="clear" w:color="auto" w:fill="FFFFFF"/>
        </w:rPr>
        <w:t>Superannuation Industry (Supervision) Act 1993</w:t>
      </w:r>
      <w:r w:rsidRPr="00550188">
        <w:rPr>
          <w:rFonts w:asciiTheme="majorHAnsi" w:hAnsiTheme="majorHAnsi" w:cstheme="majorHAnsi"/>
          <w:sz w:val="22"/>
          <w:szCs w:val="22"/>
          <w:shd w:val="clear" w:color="auto" w:fill="FFFFFF"/>
        </w:rPr>
        <w:t>.</w:t>
      </w:r>
    </w:p>
    <w:p w14:paraId="512CCEEC" w14:textId="77777777" w:rsidR="00A429D4" w:rsidRPr="00550188" w:rsidRDefault="00A429D4" w:rsidP="00A429D4">
      <w:pPr>
        <w:shd w:val="clear" w:color="auto" w:fill="FFFFFF"/>
        <w:spacing w:before="120" w:after="120"/>
        <w:jc w:val="both"/>
        <w:rPr>
          <w:rFonts w:ascii="Arial" w:hAnsi="Arial" w:cs="Arial"/>
          <w:sz w:val="22"/>
          <w:szCs w:val="22"/>
          <w:shd w:val="clear" w:color="auto" w:fill="FFFFFF"/>
        </w:rPr>
      </w:pPr>
      <w:r w:rsidRPr="00550188">
        <w:rPr>
          <w:rFonts w:ascii="Arial" w:hAnsi="Arial" w:cs="Arial"/>
          <w:b/>
          <w:i/>
          <w:sz w:val="22"/>
          <w:szCs w:val="22"/>
          <w:shd w:val="clear" w:color="auto" w:fill="FFFFFF"/>
        </w:rPr>
        <w:t>subsidiary</w:t>
      </w:r>
      <w:r w:rsidRPr="00550188">
        <w:rPr>
          <w:rFonts w:ascii="Arial" w:hAnsi="Arial" w:cs="Arial"/>
          <w:sz w:val="22"/>
          <w:szCs w:val="22"/>
          <w:shd w:val="clear" w:color="auto" w:fill="FFFFFF"/>
        </w:rPr>
        <w:t xml:space="preserve"> has the meaning given in </w:t>
      </w:r>
      <w:r w:rsidRPr="00550188">
        <w:rPr>
          <w:rFonts w:ascii="Arial" w:hAnsi="Arial" w:cs="Arial"/>
          <w:i/>
          <w:sz w:val="22"/>
          <w:szCs w:val="22"/>
          <w:shd w:val="clear" w:color="auto" w:fill="FFFFFF"/>
        </w:rPr>
        <w:t>Prudential Standard GPS 001 Definitions</w:t>
      </w:r>
      <w:r w:rsidRPr="00550188">
        <w:rPr>
          <w:rFonts w:ascii="Arial" w:hAnsi="Arial" w:cs="Arial"/>
          <w:sz w:val="22"/>
          <w:szCs w:val="22"/>
          <w:shd w:val="clear" w:color="auto" w:fill="FFFFFF"/>
        </w:rPr>
        <w:t xml:space="preserve">. </w:t>
      </w:r>
    </w:p>
    <w:p w14:paraId="0BA8E67C" w14:textId="663A0EA6" w:rsidR="003E35BE" w:rsidRPr="00550188" w:rsidRDefault="00003D47" w:rsidP="002C3B8D">
      <w:pPr>
        <w:pStyle w:val="IntroTo"/>
        <w:spacing w:before="120"/>
        <w:ind w:left="0" w:firstLine="0"/>
        <w:jc w:val="both"/>
        <w:rPr>
          <w:sz w:val="22"/>
          <w:szCs w:val="22"/>
        </w:rPr>
      </w:pPr>
      <w:r w:rsidRPr="00550188">
        <w:rPr>
          <w:rFonts w:asciiTheme="majorHAnsi" w:hAnsiTheme="majorHAnsi" w:cstheme="majorHAnsi"/>
          <w:b/>
          <w:i/>
          <w:color w:val="000000"/>
          <w:sz w:val="22"/>
          <w:szCs w:val="22"/>
        </w:rPr>
        <w:t xml:space="preserve">the </w:t>
      </w:r>
      <w:r w:rsidR="003E35BE" w:rsidRPr="00550188">
        <w:rPr>
          <w:rFonts w:asciiTheme="majorHAnsi" w:hAnsiTheme="majorHAnsi" w:cstheme="majorHAnsi"/>
          <w:b/>
          <w:i/>
          <w:color w:val="000000"/>
          <w:sz w:val="22"/>
          <w:szCs w:val="22"/>
        </w:rPr>
        <w:t>prudential standard</w:t>
      </w:r>
      <w:r w:rsidR="003E35BE" w:rsidRPr="00550188">
        <w:rPr>
          <w:rFonts w:asciiTheme="majorHAnsi" w:hAnsiTheme="majorHAnsi" w:cstheme="majorHAnsi"/>
          <w:color w:val="000000"/>
          <w:sz w:val="22"/>
          <w:szCs w:val="22"/>
        </w:rPr>
        <w:t xml:space="preserve"> means </w:t>
      </w:r>
      <w:r w:rsidR="003E35BE" w:rsidRPr="00550188">
        <w:rPr>
          <w:rFonts w:asciiTheme="majorHAnsi" w:hAnsiTheme="majorHAnsi" w:cstheme="majorHAnsi"/>
          <w:i/>
          <w:color w:val="000000"/>
          <w:sz w:val="22"/>
          <w:szCs w:val="22"/>
        </w:rPr>
        <w:t>Prudential Standard CPS 900 Resolution Planning</w:t>
      </w:r>
      <w:r w:rsidR="003E35BE" w:rsidRPr="00550188">
        <w:rPr>
          <w:rFonts w:asciiTheme="majorHAnsi" w:hAnsiTheme="majorHAnsi" w:cstheme="majorHAnsi"/>
          <w:color w:val="000000"/>
          <w:sz w:val="22"/>
          <w:szCs w:val="22"/>
        </w:rPr>
        <w:t>.</w:t>
      </w:r>
    </w:p>
    <w:p w14:paraId="699ED638" w14:textId="77777777" w:rsidR="003E35BE" w:rsidRPr="00B2091D" w:rsidRDefault="003E35BE" w:rsidP="00056752">
      <w:pPr>
        <w:rPr>
          <w:rFonts w:asciiTheme="majorHAnsi" w:hAnsiTheme="majorHAnsi" w:cstheme="majorHAnsi"/>
        </w:rPr>
      </w:pPr>
    </w:p>
    <w:p w14:paraId="0D8D24DF" w14:textId="77777777" w:rsidR="003E35BE" w:rsidRPr="00B2091D" w:rsidRDefault="003E35BE" w:rsidP="003E35BE">
      <w:pPr>
        <w:jc w:val="both"/>
        <w:rPr>
          <w:rFonts w:asciiTheme="majorHAnsi" w:eastAsia="Times New Roman" w:hAnsiTheme="majorHAnsi" w:cstheme="majorHAnsi"/>
          <w:sz w:val="32"/>
          <w:szCs w:val="32"/>
        </w:rPr>
      </w:pPr>
      <w:r w:rsidRPr="00B2091D">
        <w:rPr>
          <w:rFonts w:asciiTheme="majorHAnsi" w:hAnsiTheme="majorHAnsi" w:cstheme="majorHAnsi"/>
          <w:b/>
          <w:sz w:val="32"/>
          <w:szCs w:val="32"/>
        </w:rPr>
        <w:t xml:space="preserve">Schedule </w:t>
      </w:r>
    </w:p>
    <w:p w14:paraId="7ACC4285" w14:textId="77777777" w:rsidR="003E35BE" w:rsidRPr="00550188" w:rsidRDefault="003E35BE" w:rsidP="003E35BE">
      <w:pPr>
        <w:jc w:val="both"/>
        <w:rPr>
          <w:rFonts w:asciiTheme="majorHAnsi" w:hAnsiTheme="majorHAnsi" w:cstheme="majorHAnsi"/>
          <w:sz w:val="22"/>
          <w:szCs w:val="22"/>
        </w:rPr>
      </w:pPr>
      <w:r w:rsidRPr="00550188">
        <w:rPr>
          <w:rFonts w:asciiTheme="majorHAnsi" w:hAnsiTheme="majorHAnsi" w:cstheme="majorHAnsi"/>
          <w:i/>
          <w:sz w:val="22"/>
          <w:szCs w:val="22"/>
          <w:shd w:val="clear" w:color="auto" w:fill="FFFFFF"/>
        </w:rPr>
        <w:t xml:space="preserve">Prudential Standard CPS 900 Resolution Planning </w:t>
      </w:r>
      <w:r w:rsidRPr="00550188">
        <w:rPr>
          <w:rFonts w:asciiTheme="majorHAnsi" w:hAnsiTheme="majorHAnsi" w:cstheme="majorHAnsi"/>
          <w:sz w:val="22"/>
          <w:szCs w:val="22"/>
          <w:shd w:val="clear" w:color="auto" w:fill="FFFFFF"/>
        </w:rPr>
        <w:t>comprises the document commencing on the following page.</w:t>
      </w:r>
    </w:p>
    <w:p w14:paraId="3CD9227F" w14:textId="77777777" w:rsidR="00EC0CFD" w:rsidRDefault="00EC0CFD" w:rsidP="00056752">
      <w:pPr>
        <w:rPr>
          <w:rFonts w:cs="Arial"/>
          <w:b/>
          <w:sz w:val="28"/>
          <w:szCs w:val="28"/>
        </w:rPr>
        <w:sectPr w:rsidR="00EC0CFD">
          <w:headerReference w:type="default" r:id="rId12"/>
          <w:pgSz w:w="11906" w:h="16838"/>
          <w:pgMar w:top="1440" w:right="1797" w:bottom="1440" w:left="1797" w:header="709" w:footer="709" w:gutter="0"/>
          <w:cols w:space="720"/>
        </w:sectPr>
      </w:pPr>
    </w:p>
    <w:p w14:paraId="70DB5153" w14:textId="77777777" w:rsidR="003E35BE" w:rsidRPr="003E015E" w:rsidRDefault="003E35BE" w:rsidP="00056752">
      <w:pPr>
        <w:rPr>
          <w:rFonts w:cs="Arial"/>
          <w:b/>
          <w:sz w:val="28"/>
          <w:szCs w:val="28"/>
        </w:rPr>
      </w:pPr>
    </w:p>
    <w:p w14:paraId="1ACE1824" w14:textId="77777777" w:rsidR="00D91E8F" w:rsidRDefault="00F120DF" w:rsidP="00F120DF">
      <w:pPr>
        <w:spacing w:after="0"/>
      </w:pPr>
      <w:r w:rsidRPr="009E283F">
        <w:rPr>
          <w:noProof/>
          <w:lang w:val="en-US" w:eastAsia="en-US"/>
        </w:rPr>
        <w:drawing>
          <wp:anchor distT="0" distB="0" distL="114300" distR="114300" simplePos="0" relativeHeight="251658240" behindDoc="0" locked="0" layoutInCell="1" allowOverlap="1" wp14:anchorId="2DB27659" wp14:editId="40BA0A94">
            <wp:simplePos x="1143000" y="1266825"/>
            <wp:positionH relativeFrom="column">
              <wp:align>left</wp:align>
            </wp:positionH>
            <wp:positionV relativeFrom="paragraph">
              <wp:align>top</wp:align>
            </wp:positionV>
            <wp:extent cx="1485900" cy="1095375"/>
            <wp:effectExtent l="0" t="0" r="0" b="9525"/>
            <wp:wrapSquare wrapText="bothSides"/>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anchor>
        </w:drawing>
      </w:r>
    </w:p>
    <w:p w14:paraId="32526302" w14:textId="77777777" w:rsidR="00D91E8F" w:rsidRDefault="00D91E8F" w:rsidP="00F120DF">
      <w:pPr>
        <w:spacing w:after="0"/>
      </w:pPr>
    </w:p>
    <w:p w14:paraId="2B079208" w14:textId="77777777" w:rsidR="00D91E8F" w:rsidRDefault="00D91E8F" w:rsidP="00F120DF">
      <w:pPr>
        <w:spacing w:after="0"/>
      </w:pPr>
    </w:p>
    <w:p w14:paraId="26E2B3DE" w14:textId="77777777" w:rsidR="00D91E8F" w:rsidRDefault="00D91E8F" w:rsidP="00F120DF">
      <w:pPr>
        <w:spacing w:after="0"/>
      </w:pPr>
    </w:p>
    <w:p w14:paraId="446ADB7D" w14:textId="7F7AD8F9" w:rsidR="00F120DF" w:rsidRPr="009E283F" w:rsidRDefault="00D91E8F" w:rsidP="00D91E8F">
      <w:pPr>
        <w:spacing w:after="0"/>
        <w:jc w:val="right"/>
      </w:pPr>
      <w:r>
        <w:br w:type="textWrapping" w:clear="all"/>
      </w:r>
    </w:p>
    <w:p w14:paraId="52732BAB" w14:textId="77777777" w:rsidR="00F120DF" w:rsidRPr="009E283F" w:rsidRDefault="00F120DF" w:rsidP="00F120DF">
      <w:pPr>
        <w:pStyle w:val="Title"/>
      </w:pPr>
      <w:r w:rsidRPr="009E283F">
        <w:t>Prudential Standard</w:t>
      </w:r>
      <w:r w:rsidRPr="009E283F">
        <w:rPr>
          <w:rStyle w:val="PSNofieldtext"/>
        </w:rPr>
        <w:t xml:space="preserve"> CPS 900</w:t>
      </w:r>
      <w:r w:rsidRPr="009E283F">
        <w:t xml:space="preserve"> </w:t>
      </w:r>
    </w:p>
    <w:p w14:paraId="275F101F" w14:textId="77777777" w:rsidR="00F120DF" w:rsidRPr="009E283F" w:rsidRDefault="00F120DF" w:rsidP="00F120DF">
      <w:pPr>
        <w:pStyle w:val="Title"/>
      </w:pPr>
      <w:r w:rsidRPr="009E283F">
        <w:rPr>
          <w:rStyle w:val="PSNamefieldtext"/>
        </w:rPr>
        <w:t>Resolution Planning</w:t>
      </w:r>
      <w:r w:rsidRPr="009E283F">
        <w:t xml:space="preserve">  </w:t>
      </w:r>
    </w:p>
    <w:tbl>
      <w:tblPr>
        <w:tblStyle w:val="TableGrid"/>
        <w:tblW w:w="0" w:type="auto"/>
        <w:shd w:val="clear" w:color="auto" w:fill="DDDDDD"/>
        <w:tblLook w:val="04A0" w:firstRow="1" w:lastRow="0" w:firstColumn="1" w:lastColumn="0" w:noHBand="0" w:noVBand="1"/>
      </w:tblPr>
      <w:tblGrid>
        <w:gridCol w:w="8302"/>
      </w:tblGrid>
      <w:tr w:rsidR="00F120DF" w:rsidRPr="009E283F" w14:paraId="6EC22C10" w14:textId="77777777" w:rsidTr="763D84EB">
        <w:tc>
          <w:tcPr>
            <w:tcW w:w="8528" w:type="dxa"/>
            <w:tcBorders>
              <w:top w:val="single" w:sz="4" w:space="0" w:color="auto"/>
              <w:left w:val="single" w:sz="4" w:space="0" w:color="auto"/>
              <w:bottom w:val="single" w:sz="4" w:space="0" w:color="auto"/>
              <w:right w:val="single" w:sz="4" w:space="0" w:color="auto"/>
            </w:tcBorders>
            <w:shd w:val="clear" w:color="auto" w:fill="DDDDDD" w:themeFill="accent1"/>
            <w:hideMark/>
          </w:tcPr>
          <w:p w14:paraId="04FA364E" w14:textId="77777777" w:rsidR="00F120DF" w:rsidRPr="009E283F" w:rsidRDefault="00F120DF">
            <w:pPr>
              <w:pStyle w:val="BoxHeading"/>
            </w:pPr>
            <w:r w:rsidRPr="009E283F">
              <w:t>Objectives and key requirements of this Prudential Standard</w:t>
            </w:r>
          </w:p>
          <w:p w14:paraId="36C31E1D" w14:textId="20DB49C0" w:rsidR="00F120DF" w:rsidRPr="009E283F" w:rsidRDefault="00F120DF" w:rsidP="00F120DF">
            <w:r w:rsidRPr="009E283F">
              <w:t>The objective of this Prudential Standard is to ensure that APRA-regulated entities</w:t>
            </w:r>
            <w:r w:rsidR="00F15FA1" w:rsidRPr="009E283F">
              <w:t xml:space="preserve"> </w:t>
            </w:r>
            <w:r w:rsidRPr="009E283F" w:rsidDel="00FA4113">
              <w:t>can be</w:t>
            </w:r>
            <w:r w:rsidRPr="009E283F">
              <w:t xml:space="preserve"> </w:t>
            </w:r>
            <w:r w:rsidRPr="009E283F" w:rsidDel="00FA4113">
              <w:t xml:space="preserve">resolved </w:t>
            </w:r>
            <w:r w:rsidRPr="009E283F">
              <w:t xml:space="preserve">by APRA </w:t>
            </w:r>
            <w:r w:rsidRPr="009E283F" w:rsidDel="00FA4113">
              <w:t>in an orderly manner</w:t>
            </w:r>
            <w:r w:rsidR="009915BA" w:rsidRPr="009E283F">
              <w:t xml:space="preserve"> if needed</w:t>
            </w:r>
            <w:r w:rsidRPr="009E283F">
              <w:t xml:space="preserve">, where </w:t>
            </w:r>
            <w:r w:rsidR="009915BA" w:rsidRPr="009E283F">
              <w:t>bespoke planning and pre-positioning is required</w:t>
            </w:r>
            <w:r w:rsidRPr="009E283F">
              <w:t xml:space="preserve">. </w:t>
            </w:r>
            <w:r w:rsidR="009915BA" w:rsidRPr="009E283F">
              <w:t>T</w:t>
            </w:r>
            <w:r w:rsidRPr="009E283F">
              <w:t>he</w:t>
            </w:r>
            <w:r w:rsidR="00FA4113" w:rsidRPr="009E283F">
              <w:t xml:space="preserve"> </w:t>
            </w:r>
            <w:r w:rsidRPr="009E283F">
              <w:t xml:space="preserve">aim of resolution is to protect beneficiaries, minimise disruption to the financial system, and provide continuity of critical </w:t>
            </w:r>
            <w:r w:rsidR="005C1796" w:rsidRPr="009E283F">
              <w:t>functions</w:t>
            </w:r>
            <w:r w:rsidR="009915BA" w:rsidRPr="009E283F">
              <w:t xml:space="preserve"> in the event an entity becomes non-viable</w:t>
            </w:r>
            <w:r w:rsidRPr="009E283F">
              <w:t xml:space="preserve">. </w:t>
            </w:r>
          </w:p>
          <w:p w14:paraId="00466A81" w14:textId="51455B2C" w:rsidR="00C64798" w:rsidRDefault="00C64798" w:rsidP="00F120DF">
            <w:r w:rsidRPr="00C64798">
              <w:t>This Prudential Standard requires significant financial institutions (SFIs), and non-SFIs that provide critical functions, to support resolution planning when notified by APRA.</w:t>
            </w:r>
          </w:p>
          <w:p w14:paraId="6A951E43" w14:textId="1ABA8329" w:rsidR="00F120DF" w:rsidRPr="009E283F" w:rsidRDefault="00F120DF" w:rsidP="00F120DF">
            <w:r w:rsidRPr="009E283F">
              <w:t>The key requirements of this Prudential Standard are for an APRA-regulated entity to:</w:t>
            </w:r>
          </w:p>
          <w:p w14:paraId="75B6E54D" w14:textId="5D877425" w:rsidR="00F120DF" w:rsidRPr="009E283F" w:rsidRDefault="00F120DF" w:rsidP="00F120DF">
            <w:pPr>
              <w:pStyle w:val="ListBullet"/>
              <w:numPr>
                <w:ilvl w:val="0"/>
                <w:numId w:val="23"/>
              </w:numPr>
              <w:contextualSpacing w:val="0"/>
              <w:jc w:val="both"/>
            </w:pPr>
            <w:r w:rsidRPr="009E283F">
              <w:t xml:space="preserve">conduct a resolvability assessment to identify any barriers to resolution; </w:t>
            </w:r>
          </w:p>
          <w:p w14:paraId="0487A992" w14:textId="15963D89" w:rsidR="00F120DF" w:rsidRPr="009E283F" w:rsidRDefault="00F120DF" w:rsidP="00F120DF">
            <w:pPr>
              <w:pStyle w:val="ListBullet"/>
              <w:numPr>
                <w:ilvl w:val="0"/>
                <w:numId w:val="23"/>
              </w:numPr>
              <w:contextualSpacing w:val="0"/>
              <w:jc w:val="both"/>
            </w:pPr>
            <w:r w:rsidRPr="009E283F">
              <w:t>develop and implement a pre-positioning plan to remove any barriers to resolution;</w:t>
            </w:r>
          </w:p>
          <w:p w14:paraId="6380FD69" w14:textId="6705AA3B" w:rsidR="00F120DF" w:rsidRPr="009E283F" w:rsidRDefault="007737FB" w:rsidP="68E3AAA9">
            <w:pPr>
              <w:pStyle w:val="ListBullet"/>
              <w:numPr>
                <w:ilvl w:val="0"/>
                <w:numId w:val="23"/>
              </w:numPr>
              <w:jc w:val="both"/>
            </w:pPr>
            <w:r>
              <w:t xml:space="preserve">establish and </w:t>
            </w:r>
            <w:r w:rsidR="00F120DF" w:rsidRPr="009E283F">
              <w:t xml:space="preserve">maintain the capabilities to support APRA in effecting </w:t>
            </w:r>
            <w:r w:rsidR="000E6427" w:rsidRPr="009E283F">
              <w:t>a</w:t>
            </w:r>
            <w:r w:rsidR="00F838AA" w:rsidRPr="009E283F">
              <w:t xml:space="preserve"> resolution</w:t>
            </w:r>
            <w:r w:rsidR="00F120DF" w:rsidRPr="009E283F">
              <w:t xml:space="preserve">; and </w:t>
            </w:r>
          </w:p>
          <w:p w14:paraId="47F48A42" w14:textId="77777777" w:rsidR="00AF7909" w:rsidRPr="009E283F" w:rsidRDefault="00AF7909" w:rsidP="004D4F0B">
            <w:pPr>
              <w:pStyle w:val="ListBullet"/>
              <w:numPr>
                <w:ilvl w:val="0"/>
                <w:numId w:val="0"/>
              </w:numPr>
              <w:ind w:left="425"/>
              <w:jc w:val="both"/>
            </w:pPr>
          </w:p>
          <w:p w14:paraId="2DE96B32" w14:textId="5038463E" w:rsidR="00126469" w:rsidRPr="009E283F" w:rsidRDefault="00F120DF" w:rsidP="003E3CCB">
            <w:pPr>
              <w:pStyle w:val="ListBullet"/>
              <w:numPr>
                <w:ilvl w:val="0"/>
                <w:numId w:val="45"/>
              </w:numPr>
              <w:jc w:val="both"/>
            </w:pPr>
            <w:r w:rsidRPr="009E283F">
              <w:t xml:space="preserve">review and update the resolvability assessment at least </w:t>
            </w:r>
            <w:r w:rsidR="007F35CF" w:rsidRPr="009E283F">
              <w:t xml:space="preserve">every </w:t>
            </w:r>
            <w:r w:rsidRPr="009E283F">
              <w:t>three</w:t>
            </w:r>
            <w:r w:rsidR="007F35CF" w:rsidRPr="009E283F">
              <w:t xml:space="preserve"> </w:t>
            </w:r>
            <w:r w:rsidRPr="009E283F">
              <w:t>year</w:t>
            </w:r>
            <w:r w:rsidR="007F35CF" w:rsidRPr="009E283F">
              <w:t>s</w:t>
            </w:r>
            <w:r w:rsidRPr="009E283F">
              <w:t>.</w:t>
            </w:r>
          </w:p>
        </w:tc>
      </w:tr>
    </w:tbl>
    <w:p w14:paraId="6FCB8F93" w14:textId="77777777" w:rsidR="00D91E8F" w:rsidRDefault="00D91E8F" w:rsidP="00E77794">
      <w:bookmarkStart w:id="3" w:name="_Toc341686774"/>
      <w:bookmarkStart w:id="4" w:name="_Toc314733116"/>
      <w:bookmarkStart w:id="5" w:name="_Toc88154185"/>
    </w:p>
    <w:p w14:paraId="66544BD6" w14:textId="77777777" w:rsidR="00D91E8F" w:rsidRDefault="00D91E8F">
      <w:pPr>
        <w:rPr>
          <w:rFonts w:asciiTheme="majorHAnsi" w:hAnsiTheme="majorHAnsi"/>
          <w:b/>
        </w:rPr>
      </w:pPr>
      <w:r>
        <w:br w:type="page"/>
      </w:r>
    </w:p>
    <w:p w14:paraId="4F2BF108" w14:textId="6F4FE014" w:rsidR="00F120DF" w:rsidRPr="009E283F" w:rsidRDefault="00F120DF" w:rsidP="00F120DF">
      <w:pPr>
        <w:pStyle w:val="Heading1"/>
      </w:pPr>
      <w:r w:rsidRPr="009E283F">
        <w:lastRenderedPageBreak/>
        <w:t>Authority</w:t>
      </w:r>
      <w:bookmarkEnd w:id="3"/>
      <w:bookmarkEnd w:id="4"/>
      <w:bookmarkEnd w:id="5"/>
    </w:p>
    <w:p w14:paraId="63CAAA9A" w14:textId="77777777" w:rsidR="00F120DF" w:rsidRPr="009E283F" w:rsidRDefault="00F120DF" w:rsidP="00F120DF">
      <w:pPr>
        <w:pStyle w:val="BodyText1"/>
      </w:pPr>
      <w:r w:rsidRPr="009E283F">
        <w:t>This Prudential Standard is made under:</w:t>
      </w:r>
    </w:p>
    <w:p w14:paraId="70FFC8F5" w14:textId="5DD205C9" w:rsidR="00F120DF" w:rsidRPr="009E283F" w:rsidRDefault="00F120DF" w:rsidP="00F120DF">
      <w:pPr>
        <w:pStyle w:val="BodyText2"/>
      </w:pPr>
      <w:r w:rsidRPr="009E283F">
        <w:t xml:space="preserve">section 11AF of the </w:t>
      </w:r>
      <w:r w:rsidRPr="005755E0">
        <w:rPr>
          <w:i/>
        </w:rPr>
        <w:t>Banking Act</w:t>
      </w:r>
      <w:r w:rsidR="00D73446" w:rsidRPr="005755E0">
        <w:rPr>
          <w:i/>
        </w:rPr>
        <w:t xml:space="preserve"> 1959</w:t>
      </w:r>
      <w:r w:rsidR="00D73446">
        <w:t xml:space="preserve"> (</w:t>
      </w:r>
      <w:r w:rsidRPr="009E283F">
        <w:rPr>
          <w:b/>
        </w:rPr>
        <w:t>Banking Act</w:t>
      </w:r>
      <w:r w:rsidR="00D73446" w:rsidRPr="005755E0">
        <w:t>)</w:t>
      </w:r>
      <w:r w:rsidRPr="009E283F">
        <w:t>;</w:t>
      </w:r>
    </w:p>
    <w:p w14:paraId="1FCD583D" w14:textId="77777777" w:rsidR="00F120DF" w:rsidRPr="009E283F" w:rsidRDefault="00F120DF" w:rsidP="00F120DF">
      <w:pPr>
        <w:pStyle w:val="BodyText2"/>
      </w:pPr>
      <w:r w:rsidRPr="009E283F">
        <w:t xml:space="preserve">section 32 of the </w:t>
      </w:r>
      <w:r w:rsidRPr="009E283F">
        <w:rPr>
          <w:i/>
        </w:rPr>
        <w:t>Insurance Act 1973</w:t>
      </w:r>
      <w:r w:rsidRPr="009E283F">
        <w:t xml:space="preserve"> (Insurance Act);</w:t>
      </w:r>
    </w:p>
    <w:p w14:paraId="23BEF21B" w14:textId="77777777" w:rsidR="00F120DF" w:rsidRPr="009E283F" w:rsidRDefault="00F120DF" w:rsidP="00F120DF">
      <w:pPr>
        <w:pStyle w:val="BodyText2"/>
      </w:pPr>
      <w:r w:rsidRPr="009E283F">
        <w:t xml:space="preserve">section 230A of the </w:t>
      </w:r>
      <w:r w:rsidRPr="009E283F">
        <w:rPr>
          <w:i/>
        </w:rPr>
        <w:t>Life Insurance Act 1995</w:t>
      </w:r>
      <w:r w:rsidRPr="009E283F">
        <w:t xml:space="preserve"> (Life Insurance Act); </w:t>
      </w:r>
    </w:p>
    <w:p w14:paraId="6F5AB665" w14:textId="77777777" w:rsidR="00F120DF" w:rsidRPr="009E283F" w:rsidRDefault="00F120DF" w:rsidP="00F120DF">
      <w:pPr>
        <w:pStyle w:val="BodyText2"/>
      </w:pPr>
      <w:r w:rsidRPr="009E283F">
        <w:t xml:space="preserve">section 92 of the </w:t>
      </w:r>
      <w:r w:rsidRPr="009E283F">
        <w:rPr>
          <w:i/>
        </w:rPr>
        <w:t>Private Health Insurance (Prudential Supervision) Act 2015</w:t>
      </w:r>
      <w:r w:rsidRPr="009E283F">
        <w:t xml:space="preserve"> (PHIPS Act); and</w:t>
      </w:r>
    </w:p>
    <w:p w14:paraId="06143090" w14:textId="5336BFF7" w:rsidR="00F120DF" w:rsidRPr="009E283F" w:rsidRDefault="00F120DF" w:rsidP="00F120DF">
      <w:pPr>
        <w:pStyle w:val="BodyText2"/>
      </w:pPr>
      <w:r w:rsidRPr="009E283F">
        <w:t xml:space="preserve">section 34C of the </w:t>
      </w:r>
      <w:r w:rsidRPr="003C3B4E">
        <w:rPr>
          <w:i/>
        </w:rPr>
        <w:t xml:space="preserve">Superannuation </w:t>
      </w:r>
      <w:r w:rsidRPr="009E283F">
        <w:rPr>
          <w:i/>
        </w:rPr>
        <w:t>Industry (Supervision) Act 1993</w:t>
      </w:r>
      <w:r w:rsidRPr="009E283F">
        <w:t xml:space="preserve"> (SIS</w:t>
      </w:r>
      <w:r w:rsidR="00B120CD" w:rsidRPr="009E283F">
        <w:t> </w:t>
      </w:r>
      <w:r w:rsidRPr="009E283F">
        <w:t xml:space="preserve">Act). </w:t>
      </w:r>
    </w:p>
    <w:p w14:paraId="4F97BF21" w14:textId="77777777" w:rsidR="00F120DF" w:rsidRPr="009E283F" w:rsidRDefault="00F120DF" w:rsidP="00F120DF">
      <w:pPr>
        <w:pStyle w:val="Heading1"/>
      </w:pPr>
      <w:bookmarkStart w:id="6" w:name="_Toc341686775"/>
      <w:bookmarkStart w:id="7" w:name="_Toc314733118"/>
      <w:bookmarkStart w:id="8" w:name="_Toc88154186"/>
      <w:r w:rsidRPr="009E283F">
        <w:t>Application</w:t>
      </w:r>
      <w:bookmarkEnd w:id="6"/>
      <w:bookmarkEnd w:id="7"/>
      <w:r w:rsidRPr="009E283F">
        <w:t xml:space="preserve"> and commencement</w:t>
      </w:r>
      <w:bookmarkEnd w:id="8"/>
    </w:p>
    <w:p w14:paraId="0B8C4562" w14:textId="04EA09A6" w:rsidR="00F120DF" w:rsidRPr="009E283F" w:rsidRDefault="006E6EC1" w:rsidP="00F120DF">
      <w:pPr>
        <w:pStyle w:val="BodyText1"/>
      </w:pPr>
      <w:r w:rsidRPr="009E283F">
        <w:t>Subject to paragraph</w:t>
      </w:r>
      <w:r w:rsidR="00B12E3C" w:rsidRPr="009E283F">
        <w:t xml:space="preserve">s </w:t>
      </w:r>
      <w:r w:rsidR="00B12E3C" w:rsidRPr="009E283F">
        <w:fldChar w:fldCharType="begin"/>
      </w:r>
      <w:r w:rsidR="00B12E3C" w:rsidRPr="009E283F">
        <w:instrText xml:space="preserve"> REF _Ref86914100 \r \h </w:instrText>
      </w:r>
      <w:r w:rsidR="009E283F">
        <w:instrText xml:space="preserve"> \* MERGEFORMAT </w:instrText>
      </w:r>
      <w:r w:rsidR="00B12E3C" w:rsidRPr="009E283F">
        <w:fldChar w:fldCharType="separate"/>
      </w:r>
      <w:r w:rsidR="00B12E3C" w:rsidRPr="009E283F">
        <w:t>3</w:t>
      </w:r>
      <w:r w:rsidR="00B12E3C" w:rsidRPr="009E283F">
        <w:fldChar w:fldCharType="end"/>
      </w:r>
      <w:r w:rsidR="00B12E3C" w:rsidRPr="009E283F">
        <w:t xml:space="preserve"> and</w:t>
      </w:r>
      <w:r w:rsidRPr="009E283F">
        <w:t xml:space="preserve"> </w:t>
      </w:r>
      <w:r w:rsidR="00676E41" w:rsidRPr="009E283F">
        <w:fldChar w:fldCharType="begin"/>
      </w:r>
      <w:r w:rsidR="00676E41" w:rsidRPr="009E283F">
        <w:instrText xml:space="preserve"> REF _Ref86852157 \r \h </w:instrText>
      </w:r>
      <w:r w:rsidR="009E283F">
        <w:instrText xml:space="preserve"> \* MERGEFORMAT </w:instrText>
      </w:r>
      <w:r w:rsidR="00676E41" w:rsidRPr="009E283F">
        <w:fldChar w:fldCharType="separate"/>
      </w:r>
      <w:r w:rsidR="00676E41" w:rsidRPr="009E283F">
        <w:t>4</w:t>
      </w:r>
      <w:r w:rsidR="00676E41" w:rsidRPr="009E283F">
        <w:fldChar w:fldCharType="end"/>
      </w:r>
      <w:r w:rsidR="00676E41" w:rsidRPr="009E283F">
        <w:t>,</w:t>
      </w:r>
      <w:r w:rsidR="00F120DF" w:rsidRPr="009E283F" w:rsidDel="00676E41">
        <w:t xml:space="preserve"> </w:t>
      </w:r>
      <w:r w:rsidR="00676E41" w:rsidRPr="009E283F">
        <w:t>this</w:t>
      </w:r>
      <w:r w:rsidR="00F120DF" w:rsidRPr="009E283F">
        <w:t xml:space="preserve"> Prudential Standard applies to all ‘APRA-regulated entities’ defined as:</w:t>
      </w:r>
    </w:p>
    <w:p w14:paraId="1F4E85C3" w14:textId="322C5F00" w:rsidR="00F120DF" w:rsidRPr="009E283F" w:rsidRDefault="00F120DF" w:rsidP="00F120DF">
      <w:pPr>
        <w:pStyle w:val="BodyText2"/>
      </w:pPr>
      <w:r w:rsidRPr="009E283F">
        <w:rPr>
          <w:b/>
        </w:rPr>
        <w:t>authorised deposit-taking institutions</w:t>
      </w:r>
      <w:r w:rsidRPr="009E283F">
        <w:t xml:space="preserve"> (</w:t>
      </w:r>
      <w:r w:rsidRPr="009E283F">
        <w:rPr>
          <w:b/>
        </w:rPr>
        <w:t>ADIs</w:t>
      </w:r>
      <w:r w:rsidRPr="009E283F">
        <w:t>)</w:t>
      </w:r>
      <w:r w:rsidR="00D01587" w:rsidRPr="009E283F">
        <w:t xml:space="preserve">, including </w:t>
      </w:r>
      <w:r w:rsidR="00D01587" w:rsidRPr="009E283F">
        <w:rPr>
          <w:b/>
        </w:rPr>
        <w:t>foreign ADIs</w:t>
      </w:r>
      <w:r w:rsidR="00D01587" w:rsidRPr="009E283F">
        <w:t>,</w:t>
      </w:r>
      <w:r w:rsidRPr="009E283F">
        <w:t xml:space="preserve"> and </w:t>
      </w:r>
      <w:r w:rsidRPr="009E283F">
        <w:rPr>
          <w:b/>
        </w:rPr>
        <w:t>non-operating holding companies</w:t>
      </w:r>
      <w:r w:rsidRPr="009E283F">
        <w:t xml:space="preserve"> authorised under the Banking Act (authorised banking NOHCs); </w:t>
      </w:r>
    </w:p>
    <w:p w14:paraId="226E566B" w14:textId="77777777" w:rsidR="00F120DF" w:rsidRPr="009E283F" w:rsidRDefault="00F120DF" w:rsidP="00F120DF">
      <w:pPr>
        <w:pStyle w:val="BodyText2"/>
      </w:pPr>
      <w:r w:rsidRPr="009E283F">
        <w:rPr>
          <w:b/>
        </w:rPr>
        <w:t>general insurers</w:t>
      </w:r>
      <w:r w:rsidRPr="009E283F">
        <w:t xml:space="preserve">, including </w:t>
      </w:r>
      <w:r w:rsidRPr="009E283F">
        <w:rPr>
          <w:b/>
        </w:rPr>
        <w:t>Category C insurers</w:t>
      </w:r>
      <w:r w:rsidRPr="009E283F">
        <w:t xml:space="preserve">, non-operating holding companies authorised under the Insurance Act (authorised insurance NOHCs) and </w:t>
      </w:r>
      <w:r w:rsidRPr="009E283F">
        <w:rPr>
          <w:b/>
        </w:rPr>
        <w:t>parent entities</w:t>
      </w:r>
      <w:r w:rsidRPr="009E283F">
        <w:t xml:space="preserve"> of </w:t>
      </w:r>
      <w:r w:rsidRPr="009E283F">
        <w:rPr>
          <w:b/>
        </w:rPr>
        <w:t>Level 2 insurance groups</w:t>
      </w:r>
      <w:r w:rsidRPr="009E283F">
        <w:t xml:space="preserve">;  </w:t>
      </w:r>
    </w:p>
    <w:p w14:paraId="7DF612C5" w14:textId="3C89BA96" w:rsidR="00F120DF" w:rsidRPr="009E283F" w:rsidRDefault="00F120DF" w:rsidP="00F120DF">
      <w:pPr>
        <w:pStyle w:val="BodyText2"/>
      </w:pPr>
      <w:r w:rsidRPr="009E283F">
        <w:rPr>
          <w:b/>
        </w:rPr>
        <w:t>life companies</w:t>
      </w:r>
      <w:r w:rsidRPr="009E283F">
        <w:t xml:space="preserve">, including </w:t>
      </w:r>
      <w:r w:rsidRPr="009E283F">
        <w:rPr>
          <w:b/>
        </w:rPr>
        <w:t>friendly societies</w:t>
      </w:r>
      <w:r w:rsidRPr="009E283F">
        <w:t xml:space="preserve"> and </w:t>
      </w:r>
      <w:r w:rsidRPr="009E283F">
        <w:rPr>
          <w:b/>
        </w:rPr>
        <w:t>eligible foreign life insurance companies</w:t>
      </w:r>
      <w:r w:rsidRPr="009E283F">
        <w:t xml:space="preserve"> (EFLICs), and </w:t>
      </w:r>
      <w:r w:rsidRPr="009E283F">
        <w:rPr>
          <w:b/>
        </w:rPr>
        <w:t>registered NOHCs</w:t>
      </w:r>
      <w:r w:rsidRPr="009E283F">
        <w:t>;</w:t>
      </w:r>
    </w:p>
    <w:p w14:paraId="643B0FD7" w14:textId="27A10BD3" w:rsidR="00F120DF" w:rsidRPr="009E283F" w:rsidRDefault="00F120DF" w:rsidP="00F120DF">
      <w:pPr>
        <w:pStyle w:val="BodyText2"/>
      </w:pPr>
      <w:r w:rsidRPr="009E283F">
        <w:rPr>
          <w:b/>
        </w:rPr>
        <w:t>private health insurers</w:t>
      </w:r>
      <w:r w:rsidRPr="009E283F">
        <w:t>; and</w:t>
      </w:r>
    </w:p>
    <w:p w14:paraId="48DBAA1C" w14:textId="0AC7F3AC" w:rsidR="00F120DF" w:rsidRPr="009E283F" w:rsidRDefault="00F120DF" w:rsidP="00F120DF">
      <w:pPr>
        <w:pStyle w:val="BodyText2"/>
      </w:pPr>
      <w:r w:rsidRPr="009E283F">
        <w:t>RSE licensees in respect of their business operations.</w:t>
      </w:r>
      <w:r w:rsidRPr="009E283F">
        <w:rPr>
          <w:rStyle w:val="FootnoteReference"/>
        </w:rPr>
        <w:footnoteReference w:id="2"/>
      </w:r>
    </w:p>
    <w:p w14:paraId="2E19C971" w14:textId="75EDD662" w:rsidR="00F120DF" w:rsidRPr="009E283F" w:rsidRDefault="00F120DF" w:rsidP="00F120DF">
      <w:pPr>
        <w:pStyle w:val="BodyText1"/>
      </w:pPr>
      <w:bookmarkStart w:id="9" w:name="_Ref86914100"/>
      <w:r w:rsidRPr="009E283F">
        <w:t>The obligations imposed by this Prudential Standard on, or in relation to, a foreign ADI, a Category C insurer or an EFLIC apply only in relation to the Australian branch operations of that entity.</w:t>
      </w:r>
      <w:bookmarkEnd w:id="9"/>
    </w:p>
    <w:p w14:paraId="26FDC719" w14:textId="04C639FE" w:rsidR="00D01587" w:rsidRPr="009E283F" w:rsidRDefault="00D01587" w:rsidP="00B12E3C">
      <w:pPr>
        <w:pStyle w:val="BodyText1"/>
      </w:pPr>
      <w:bookmarkStart w:id="10" w:name="_Ref86852157"/>
      <w:r w:rsidRPr="009E283F">
        <w:t xml:space="preserve">For the purposes of this Prudential Standard, an APRA-regulated entity is either a </w:t>
      </w:r>
      <w:r w:rsidRPr="009E283F">
        <w:rPr>
          <w:b/>
        </w:rPr>
        <w:t>significant financial institution</w:t>
      </w:r>
      <w:r w:rsidRPr="009E283F">
        <w:t xml:space="preserve"> (SFI) or a </w:t>
      </w:r>
      <w:r w:rsidRPr="009E283F">
        <w:rPr>
          <w:b/>
        </w:rPr>
        <w:t>non-significant financial institution</w:t>
      </w:r>
      <w:r w:rsidRPr="009E283F">
        <w:t xml:space="preserve"> (non-SFI). </w:t>
      </w:r>
      <w:r w:rsidR="00AE0A71" w:rsidRPr="009E283F">
        <w:t>T</w:t>
      </w:r>
      <w:r w:rsidRPr="009E283F">
        <w:t xml:space="preserve">his Prudential Standard applies to </w:t>
      </w:r>
      <w:r w:rsidR="001C2ED6" w:rsidRPr="009E283F">
        <w:t>SFI</w:t>
      </w:r>
      <w:r w:rsidR="00126469" w:rsidRPr="009E283F">
        <w:t>s</w:t>
      </w:r>
      <w:r w:rsidR="000A186B">
        <w:t>,</w:t>
      </w:r>
      <w:r w:rsidR="00B31D8D" w:rsidRPr="009E283F">
        <w:t xml:space="preserve"> and</w:t>
      </w:r>
      <w:r w:rsidR="00693476" w:rsidRPr="009E283F">
        <w:t xml:space="preserve"> non-SFIs determined by APRA</w:t>
      </w:r>
      <w:r w:rsidR="00CF7A08" w:rsidRPr="009E283F">
        <w:t xml:space="preserve"> to provide critical functions</w:t>
      </w:r>
      <w:r w:rsidR="001C2ED6" w:rsidRPr="009E283F">
        <w:t>.</w:t>
      </w:r>
      <w:bookmarkEnd w:id="10"/>
    </w:p>
    <w:p w14:paraId="2E51C2A7" w14:textId="323C4615" w:rsidR="00F120DF" w:rsidRPr="009E283F" w:rsidRDefault="00F120DF" w:rsidP="00F120DF">
      <w:pPr>
        <w:pStyle w:val="BodyText1"/>
      </w:pPr>
      <w:r w:rsidRPr="009E283F">
        <w:lastRenderedPageBreak/>
        <w:t>Where an APRA-regulated entity is the Head of a group,</w:t>
      </w:r>
      <w:r w:rsidR="00CB677D" w:rsidRPr="009E283F">
        <w:rPr>
          <w:rStyle w:val="FootnoteReference"/>
        </w:rPr>
        <w:footnoteReference w:id="3"/>
      </w:r>
      <w:r w:rsidR="00862642" w:rsidRPr="009E283F">
        <w:rPr>
          <w:vertAlign w:val="superscript"/>
        </w:rPr>
        <w:t>, </w:t>
      </w:r>
      <w:r w:rsidRPr="009E283F">
        <w:rPr>
          <w:rStyle w:val="FootnoteReference"/>
        </w:rPr>
        <w:footnoteReference w:id="4"/>
      </w:r>
      <w:r w:rsidRPr="009E283F">
        <w:t xml:space="preserve"> it must comply with </w:t>
      </w:r>
      <w:r w:rsidR="00647A14">
        <w:t>a</w:t>
      </w:r>
      <w:r w:rsidR="00372266" w:rsidRPr="009E283F">
        <w:t>n applicable</w:t>
      </w:r>
      <w:r w:rsidRPr="009E283F" w:rsidDel="00372266">
        <w:t xml:space="preserve"> </w:t>
      </w:r>
      <w:r w:rsidRPr="009E283F">
        <w:t xml:space="preserve">requirement of this Prudential Standard: </w:t>
      </w:r>
    </w:p>
    <w:p w14:paraId="11A548E7" w14:textId="77777777" w:rsidR="00F120DF" w:rsidRPr="009E283F" w:rsidRDefault="00F120DF" w:rsidP="00F120DF">
      <w:pPr>
        <w:pStyle w:val="BodyText2"/>
      </w:pPr>
      <w:r w:rsidRPr="009E283F">
        <w:t>in its capacity as an APRA-regulated entity;</w:t>
      </w:r>
    </w:p>
    <w:p w14:paraId="0CEA7D4B" w14:textId="241B6FBE" w:rsidR="00F120DF" w:rsidRPr="009E283F" w:rsidRDefault="00F120DF" w:rsidP="00F120DF">
      <w:pPr>
        <w:pStyle w:val="BodyText2"/>
      </w:pPr>
      <w:r w:rsidRPr="009E283F">
        <w:t>by ensuring that the requirement is applied appropriately throughout the group,</w:t>
      </w:r>
      <w:r w:rsidR="00862642" w:rsidRPr="009E283F">
        <w:rPr>
          <w:rStyle w:val="FootnoteReference"/>
        </w:rPr>
        <w:footnoteReference w:id="5"/>
      </w:r>
      <w:r w:rsidRPr="009E283F">
        <w:t xml:space="preserve"> including in relation to entities that are not APRA-regulated; and</w:t>
      </w:r>
    </w:p>
    <w:p w14:paraId="1AD562A4" w14:textId="7091B589" w:rsidR="00F120DF" w:rsidRPr="009E283F" w:rsidRDefault="00F120DF" w:rsidP="00F120DF">
      <w:pPr>
        <w:pStyle w:val="BodyText2"/>
      </w:pPr>
      <w:r w:rsidRPr="009E283F">
        <w:t>on a group basis.</w:t>
      </w:r>
    </w:p>
    <w:p w14:paraId="0735F07E" w14:textId="1192726F" w:rsidR="00F120DF" w:rsidRPr="009E283F" w:rsidRDefault="00F120DF" w:rsidP="00F120DF">
      <w:pPr>
        <w:pStyle w:val="BodyText1"/>
      </w:pPr>
      <w:r w:rsidRPr="009E283F">
        <w:t>In applying the requirements of this Prudential Standard on a group basis, references to an ‘APRA-regulated entity’ must be read as ‘Head of a group’ and references to ‘entity’ must be read as ‘group’.</w:t>
      </w:r>
    </w:p>
    <w:p w14:paraId="3B57CD1E" w14:textId="606CE4DA" w:rsidR="00F120DF" w:rsidRPr="009E283F" w:rsidRDefault="00F120DF" w:rsidP="00F120DF">
      <w:pPr>
        <w:pStyle w:val="BodyText1"/>
      </w:pPr>
      <w:r w:rsidRPr="009E283F">
        <w:t xml:space="preserve">This Prudential Standard commences on </w:t>
      </w:r>
      <w:r w:rsidR="00CF16F1" w:rsidRPr="009E283F">
        <w:t xml:space="preserve">1 </w:t>
      </w:r>
      <w:r w:rsidR="009479A6" w:rsidRPr="009E283F">
        <w:t xml:space="preserve">January </w:t>
      </w:r>
      <w:r w:rsidR="00CF16F1" w:rsidRPr="009E283F">
        <w:t>202</w:t>
      </w:r>
      <w:r w:rsidR="009479A6" w:rsidRPr="009E283F">
        <w:t>4</w:t>
      </w:r>
      <w:r w:rsidRPr="009E283F">
        <w:t>.</w:t>
      </w:r>
      <w:r w:rsidR="009D3A40" w:rsidRPr="009E283F">
        <w:t xml:space="preserve"> An APRA-regulated entity </w:t>
      </w:r>
      <w:r w:rsidR="006454C9" w:rsidRPr="009E283F">
        <w:t>will be subject to the requirements of this Prudential Standard</w:t>
      </w:r>
      <w:r w:rsidR="00E212A5" w:rsidRPr="009E283F">
        <w:t xml:space="preserve"> </w:t>
      </w:r>
      <w:r w:rsidR="006454C9" w:rsidRPr="009E283F">
        <w:t>following notification</w:t>
      </w:r>
      <w:r w:rsidR="00C01CE9" w:rsidRPr="009E283F">
        <w:t xml:space="preserve"> </w:t>
      </w:r>
      <w:r w:rsidR="006454C9" w:rsidRPr="009E283F">
        <w:t>from</w:t>
      </w:r>
      <w:r w:rsidR="00C01CE9" w:rsidRPr="009E283F">
        <w:t xml:space="preserve"> APRA</w:t>
      </w:r>
      <w:r w:rsidR="009D3A40" w:rsidRPr="009E283F">
        <w:t>.</w:t>
      </w:r>
    </w:p>
    <w:p w14:paraId="7F0AFB23" w14:textId="77777777" w:rsidR="00F120DF" w:rsidRPr="009E283F" w:rsidRDefault="00F120DF" w:rsidP="00F120DF">
      <w:pPr>
        <w:pStyle w:val="Heading1"/>
      </w:pPr>
      <w:bookmarkStart w:id="11" w:name="_Toc88154187"/>
      <w:r w:rsidRPr="009E283F">
        <w:t>Interpretation</w:t>
      </w:r>
      <w:bookmarkEnd w:id="11"/>
    </w:p>
    <w:p w14:paraId="63516DB1" w14:textId="379710C0" w:rsidR="00F120DF" w:rsidRPr="009E283F" w:rsidRDefault="00F120DF" w:rsidP="00F120DF">
      <w:pPr>
        <w:pStyle w:val="BodyText1"/>
      </w:pPr>
      <w:r w:rsidRPr="009E283F">
        <w:t xml:space="preserve">Terms that are defined in </w:t>
      </w:r>
      <w:r w:rsidRPr="009E283F">
        <w:rPr>
          <w:i/>
        </w:rPr>
        <w:t>Prudential Standard 3PS</w:t>
      </w:r>
      <w:r w:rsidR="009864FE" w:rsidRPr="009E283F">
        <w:rPr>
          <w:i/>
        </w:rPr>
        <w:t> </w:t>
      </w:r>
      <w:r w:rsidRPr="009E283F">
        <w:rPr>
          <w:i/>
        </w:rPr>
        <w:t>001 Definitions</w:t>
      </w:r>
      <w:r w:rsidR="007919CF" w:rsidRPr="009E283F">
        <w:rPr>
          <w:i/>
        </w:rPr>
        <w:t xml:space="preserve"> </w:t>
      </w:r>
      <w:r w:rsidR="007919CF" w:rsidRPr="009E283F">
        <w:t>(3PS</w:t>
      </w:r>
      <w:r w:rsidR="009864FE" w:rsidRPr="009E283F">
        <w:t> </w:t>
      </w:r>
      <w:r w:rsidR="007919CF" w:rsidRPr="009E283F">
        <w:t>001)</w:t>
      </w:r>
      <w:r w:rsidRPr="009E283F">
        <w:t xml:space="preserve">, </w:t>
      </w:r>
      <w:r w:rsidRPr="009E283F">
        <w:rPr>
          <w:i/>
        </w:rPr>
        <w:t>Prudential Standard APS 001 Definitions</w:t>
      </w:r>
      <w:r w:rsidRPr="009E283F">
        <w:t xml:space="preserve"> (APS</w:t>
      </w:r>
      <w:r w:rsidR="009864FE" w:rsidRPr="009E283F">
        <w:t> </w:t>
      </w:r>
      <w:r w:rsidRPr="009E283F">
        <w:t xml:space="preserve">001), </w:t>
      </w:r>
      <w:r w:rsidRPr="009E283F">
        <w:rPr>
          <w:i/>
        </w:rPr>
        <w:t>Prudential Standard GPS</w:t>
      </w:r>
      <w:r w:rsidR="009864FE" w:rsidRPr="009E283F">
        <w:rPr>
          <w:i/>
        </w:rPr>
        <w:t> </w:t>
      </w:r>
      <w:r w:rsidRPr="009E283F">
        <w:rPr>
          <w:i/>
        </w:rPr>
        <w:t>001 Definitions</w:t>
      </w:r>
      <w:r w:rsidRPr="009E283F">
        <w:t xml:space="preserve"> (GPS</w:t>
      </w:r>
      <w:r w:rsidR="009864FE" w:rsidRPr="009E283F">
        <w:t> </w:t>
      </w:r>
      <w:r w:rsidRPr="009E283F">
        <w:t xml:space="preserve">001), </w:t>
      </w:r>
      <w:r w:rsidRPr="009E283F">
        <w:rPr>
          <w:i/>
        </w:rPr>
        <w:t>Prudential Standard LPS</w:t>
      </w:r>
      <w:r w:rsidR="009864FE" w:rsidRPr="009E283F">
        <w:rPr>
          <w:i/>
        </w:rPr>
        <w:t> </w:t>
      </w:r>
      <w:r w:rsidRPr="009E283F">
        <w:rPr>
          <w:i/>
        </w:rPr>
        <w:t>001 Definitions</w:t>
      </w:r>
      <w:r w:rsidRPr="009E283F">
        <w:t xml:space="preserve"> (LPS</w:t>
      </w:r>
      <w:r w:rsidR="009864FE" w:rsidRPr="009E283F">
        <w:t> </w:t>
      </w:r>
      <w:r w:rsidRPr="009E283F">
        <w:t xml:space="preserve">001) or </w:t>
      </w:r>
      <w:r w:rsidRPr="009E283F">
        <w:rPr>
          <w:i/>
        </w:rPr>
        <w:t>Prudential Standard HPS</w:t>
      </w:r>
      <w:r w:rsidR="009864FE" w:rsidRPr="009E283F">
        <w:rPr>
          <w:i/>
        </w:rPr>
        <w:t> </w:t>
      </w:r>
      <w:r w:rsidRPr="009E283F">
        <w:rPr>
          <w:i/>
        </w:rPr>
        <w:t>001 Definitions</w:t>
      </w:r>
      <w:r w:rsidRPr="009E283F">
        <w:t xml:space="preserve"> (HPS</w:t>
      </w:r>
      <w:r w:rsidR="009864FE" w:rsidRPr="009E283F">
        <w:t> </w:t>
      </w:r>
      <w:r w:rsidRPr="009E283F">
        <w:t>001) appear in bold the first time they are used in this Prudential Standard.</w:t>
      </w:r>
    </w:p>
    <w:p w14:paraId="3D6C1BB7" w14:textId="774BEE4C" w:rsidR="00F120DF" w:rsidRPr="009E283F" w:rsidRDefault="00F120DF" w:rsidP="00F120DF">
      <w:pPr>
        <w:pStyle w:val="BodyText1"/>
      </w:pPr>
      <w:r w:rsidRPr="009E283F">
        <w:t>In this Prudential Standard, unless the contrary intention appears, a reference to an Act, Regulations or Prudential Standard is a reference to the Act, Regulations or Prudential Standard as in force from time to time.</w:t>
      </w:r>
    </w:p>
    <w:p w14:paraId="5D8DF523" w14:textId="3F11FEAD" w:rsidR="00731ACF" w:rsidRPr="009E283F" w:rsidRDefault="00301BAF" w:rsidP="00126469">
      <w:pPr>
        <w:pStyle w:val="BodyText1"/>
        <w:rPr>
          <w:color w:val="000000"/>
        </w:rPr>
      </w:pPr>
      <w:r w:rsidRPr="009E283F">
        <w:t xml:space="preserve">Where this Prudential Standard provides for APRA to exercise a power or discretion, the power or discretion is to be exercised in writing. </w:t>
      </w:r>
    </w:p>
    <w:p w14:paraId="77700894" w14:textId="3701C0C9" w:rsidR="00F120DF" w:rsidRPr="009E283F" w:rsidRDefault="00F120DF" w:rsidP="00F120DF">
      <w:pPr>
        <w:pStyle w:val="Heading1"/>
      </w:pPr>
      <w:bookmarkStart w:id="12" w:name="_Toc5689083"/>
      <w:bookmarkStart w:id="13" w:name="_Toc88154188"/>
      <w:r w:rsidRPr="009E283F">
        <w:t>Definitions</w:t>
      </w:r>
      <w:bookmarkEnd w:id="12"/>
      <w:bookmarkEnd w:id="13"/>
    </w:p>
    <w:p w14:paraId="20061273" w14:textId="77777777" w:rsidR="00F120DF" w:rsidRPr="009E283F" w:rsidRDefault="00F120DF" w:rsidP="00F120DF">
      <w:pPr>
        <w:pStyle w:val="BodyText1"/>
      </w:pPr>
      <w:bookmarkStart w:id="14" w:name="_Hlk77343165"/>
      <w:r w:rsidRPr="009E283F">
        <w:t>The following definitions are used in this Prudential Standard:</w:t>
      </w:r>
    </w:p>
    <w:bookmarkEnd w:id="14"/>
    <w:p w14:paraId="150C6819" w14:textId="53BF7472" w:rsidR="007919CF" w:rsidRPr="009E283F" w:rsidRDefault="007919CF" w:rsidP="007919CF">
      <w:pPr>
        <w:pStyle w:val="BodyText2"/>
      </w:pPr>
      <w:r w:rsidRPr="009E283F">
        <w:lastRenderedPageBreak/>
        <w:t xml:space="preserve">critical function </w:t>
      </w:r>
      <w:r w:rsidR="00BE32B1" w:rsidRPr="009E283F">
        <w:t xml:space="preserve">– </w:t>
      </w:r>
      <w:r w:rsidRPr="009E283F">
        <w:t xml:space="preserve">means </w:t>
      </w:r>
      <w:bookmarkStart w:id="15" w:name="_Hlk87534404"/>
      <w:r w:rsidR="00BE4BED" w:rsidRPr="009E283F">
        <w:t xml:space="preserve">any </w:t>
      </w:r>
      <w:r w:rsidRPr="009E283F">
        <w:t>function</w:t>
      </w:r>
      <w:r w:rsidR="00024464" w:rsidRPr="009E283F">
        <w:t xml:space="preserve"> provided by an APRA-regulated entity</w:t>
      </w:r>
      <w:r w:rsidRPr="009E283F">
        <w:t xml:space="preserve"> that </w:t>
      </w:r>
      <w:r w:rsidR="00BE4BED" w:rsidRPr="009E283F">
        <w:t xml:space="preserve">is </w:t>
      </w:r>
      <w:r w:rsidRPr="009E283F">
        <w:t>important to financial system stability or the availability of essential financial services to a particular industry or community</w:t>
      </w:r>
      <w:bookmarkEnd w:id="15"/>
      <w:r w:rsidRPr="009E283F">
        <w:t>;</w:t>
      </w:r>
    </w:p>
    <w:p w14:paraId="79815008" w14:textId="7D504E8A" w:rsidR="00CB27DB" w:rsidRPr="009E283F" w:rsidRDefault="00CB27DB" w:rsidP="007919CF">
      <w:pPr>
        <w:pStyle w:val="BodyText2"/>
      </w:pPr>
      <w:r w:rsidRPr="009E283F">
        <w:t>non-</w:t>
      </w:r>
      <w:r w:rsidR="00627203" w:rsidRPr="009E283F">
        <w:t>significant financial institution (non-</w:t>
      </w:r>
      <w:r w:rsidR="003D1A12" w:rsidRPr="009E283F">
        <w:t>SFI</w:t>
      </w:r>
      <w:r w:rsidR="00627203" w:rsidRPr="009E283F">
        <w:t>)</w:t>
      </w:r>
      <w:r w:rsidRPr="009E283F">
        <w:t xml:space="preserve"> </w:t>
      </w:r>
      <w:r w:rsidR="00BE32B1" w:rsidRPr="009E283F">
        <w:t xml:space="preserve">– </w:t>
      </w:r>
      <w:r w:rsidRPr="009E283F">
        <w:t>means</w:t>
      </w:r>
      <w:r w:rsidR="00627203" w:rsidRPr="009E283F">
        <w:t>, in relation to RSE licensees,</w:t>
      </w:r>
      <w:r w:rsidRPr="009E283F">
        <w:t xml:space="preserve"> an </w:t>
      </w:r>
      <w:r w:rsidR="00627203" w:rsidRPr="009E283F">
        <w:t>RSE licensee</w:t>
      </w:r>
      <w:r w:rsidRPr="009E283F">
        <w:t xml:space="preserve"> </w:t>
      </w:r>
      <w:r w:rsidR="00627203" w:rsidRPr="009E283F">
        <w:t xml:space="preserve">that </w:t>
      </w:r>
      <w:r w:rsidRPr="009E283F">
        <w:t xml:space="preserve">is not a </w:t>
      </w:r>
      <w:r w:rsidR="00627203" w:rsidRPr="009E283F">
        <w:t>significant financial institution</w:t>
      </w:r>
      <w:r w:rsidRPr="009E283F">
        <w:t>;</w:t>
      </w:r>
      <w:r w:rsidR="00627203" w:rsidRPr="009E283F">
        <w:rPr>
          <w:rStyle w:val="FootnoteReference"/>
        </w:rPr>
        <w:footnoteReference w:id="6"/>
      </w:r>
    </w:p>
    <w:p w14:paraId="75EE73BA" w14:textId="1A1FCCAA" w:rsidR="00F120DF" w:rsidRPr="009E283F" w:rsidRDefault="002551D9" w:rsidP="00F120DF">
      <w:pPr>
        <w:pStyle w:val="BodyText2"/>
      </w:pPr>
      <w:r w:rsidRPr="009E283F">
        <w:t>r</w:t>
      </w:r>
      <w:r w:rsidR="00F120DF" w:rsidRPr="009E283F">
        <w:t xml:space="preserve">esolution </w:t>
      </w:r>
      <w:r w:rsidR="00BE32B1" w:rsidRPr="009E283F">
        <w:t xml:space="preserve">– </w:t>
      </w:r>
      <w:r w:rsidR="00F120DF" w:rsidRPr="009E283F">
        <w:t xml:space="preserve">means the process by which APRA or other relevant persons manage or respond to an </w:t>
      </w:r>
      <w:r w:rsidR="00721CD3" w:rsidRPr="009E283F">
        <w:t xml:space="preserve">APRA-regulated </w:t>
      </w:r>
      <w:r w:rsidR="00F120DF" w:rsidRPr="009E283F">
        <w:t>entity:</w:t>
      </w:r>
    </w:p>
    <w:p w14:paraId="57DAAFEA" w14:textId="77777777" w:rsidR="00F120DF" w:rsidRPr="009E283F" w:rsidRDefault="00F120DF" w:rsidP="00F120DF">
      <w:pPr>
        <w:pStyle w:val="BodyText3"/>
      </w:pPr>
      <w:r w:rsidRPr="009E283F">
        <w:t>being unable to meet its obligations; or</w:t>
      </w:r>
    </w:p>
    <w:p w14:paraId="7B9B7BE5" w14:textId="77777777" w:rsidR="00F120DF" w:rsidRPr="009E283F" w:rsidRDefault="00F120DF" w:rsidP="00F120DF">
      <w:pPr>
        <w:pStyle w:val="BodyText3"/>
      </w:pPr>
      <w:r w:rsidRPr="009E283F">
        <w:t>being considered likely to be unable, or being considered likely to become unable, to meet its obligations; or</w:t>
      </w:r>
    </w:p>
    <w:p w14:paraId="16ED02DF" w14:textId="7089B196" w:rsidR="00F120DF" w:rsidRPr="009E283F" w:rsidRDefault="00F120DF" w:rsidP="00F120DF">
      <w:pPr>
        <w:pStyle w:val="BodyText3"/>
      </w:pPr>
      <w:r w:rsidRPr="009E283F">
        <w:t>suspending payment, or being considered likely to suspend payment;</w:t>
      </w:r>
    </w:p>
    <w:p w14:paraId="1D93D019" w14:textId="017CC816" w:rsidR="00F120DF" w:rsidRPr="009E283F" w:rsidRDefault="00F120DF" w:rsidP="00F120DF">
      <w:pPr>
        <w:pStyle w:val="BodyText2"/>
        <w:numPr>
          <w:ilvl w:val="0"/>
          <w:numId w:val="0"/>
        </w:numPr>
        <w:tabs>
          <w:tab w:val="left" w:pos="720"/>
        </w:tabs>
        <w:ind w:left="1134"/>
      </w:pPr>
      <w:r w:rsidRPr="009E283F">
        <w:t>including through the exercise of</w:t>
      </w:r>
      <w:r w:rsidR="000F5CFE" w:rsidRPr="009E283F">
        <w:t xml:space="preserve"> </w:t>
      </w:r>
      <w:r w:rsidRPr="009E283F">
        <w:t>powers and functions</w:t>
      </w:r>
      <w:r w:rsidR="000F5CFE" w:rsidRPr="009E283F">
        <w:t xml:space="preserve"> under prudential standards or any other law</w:t>
      </w:r>
      <w:r w:rsidR="005A058B" w:rsidRPr="009E283F">
        <w:t xml:space="preserve">; </w:t>
      </w:r>
    </w:p>
    <w:p w14:paraId="44E864A2" w14:textId="619D37E3" w:rsidR="00C9100A" w:rsidRPr="009E283F" w:rsidRDefault="00DF1503" w:rsidP="00331B78">
      <w:pPr>
        <w:pStyle w:val="BodyText2"/>
      </w:pPr>
      <w:bookmarkStart w:id="16" w:name="_Hlk82790804"/>
      <w:r w:rsidRPr="009E283F">
        <w:t xml:space="preserve">resolution option </w:t>
      </w:r>
      <w:r w:rsidR="00BE32B1" w:rsidRPr="009E283F">
        <w:t xml:space="preserve">– </w:t>
      </w:r>
      <w:r w:rsidRPr="009E283F">
        <w:t xml:space="preserve">means </w:t>
      </w:r>
      <w:r w:rsidR="0032374D" w:rsidRPr="009E283F">
        <w:t>a strategy that APRA may use to effect a resolution</w:t>
      </w:r>
      <w:bookmarkEnd w:id="16"/>
      <w:r w:rsidR="0032374D" w:rsidRPr="009E283F">
        <w:t>;</w:t>
      </w:r>
      <w:bookmarkStart w:id="17" w:name="_Hlk83743945"/>
      <w:bookmarkStart w:id="18" w:name="_Hlk83374130"/>
    </w:p>
    <w:p w14:paraId="4AA31391" w14:textId="2180CC45" w:rsidR="00F120DF" w:rsidRPr="009E283F" w:rsidRDefault="002551D9" w:rsidP="00641A99">
      <w:pPr>
        <w:pStyle w:val="BodyText2"/>
      </w:pPr>
      <w:bookmarkStart w:id="19" w:name="_Hlk88077949"/>
      <w:bookmarkEnd w:id="17"/>
      <w:bookmarkEnd w:id="18"/>
      <w:r w:rsidRPr="009E283F">
        <w:t>r</w:t>
      </w:r>
      <w:r w:rsidR="00F120DF" w:rsidRPr="009E283F">
        <w:t xml:space="preserve">esolution </w:t>
      </w:r>
      <w:r w:rsidR="00F61694" w:rsidRPr="009E283F">
        <w:t>p</w:t>
      </w:r>
      <w:r w:rsidR="00F120DF" w:rsidRPr="009E283F">
        <w:t xml:space="preserve">lan </w:t>
      </w:r>
      <w:r w:rsidR="00BE32B1" w:rsidRPr="009E283F">
        <w:t xml:space="preserve">– </w:t>
      </w:r>
      <w:r w:rsidR="00F120DF" w:rsidRPr="009E283F">
        <w:t xml:space="preserve">means a plan </w:t>
      </w:r>
      <w:r w:rsidR="00F61694" w:rsidRPr="009E283F">
        <w:t xml:space="preserve">developed </w:t>
      </w:r>
      <w:r w:rsidR="00F120DF" w:rsidRPr="009E283F">
        <w:t>by APRA under paragraph</w:t>
      </w:r>
      <w:r w:rsidR="00F61694" w:rsidRPr="009E283F">
        <w:t xml:space="preserve"> </w:t>
      </w:r>
      <w:r w:rsidR="002470CC" w:rsidRPr="009E283F">
        <w:fldChar w:fldCharType="begin"/>
      </w:r>
      <w:r w:rsidR="002470CC" w:rsidRPr="009E283F">
        <w:instrText xml:space="preserve"> REF _Ref82601715 \r \h </w:instrText>
      </w:r>
      <w:r w:rsidR="009E283F">
        <w:instrText xml:space="preserve"> \* MERGEFORMAT </w:instrText>
      </w:r>
      <w:r w:rsidR="002470CC" w:rsidRPr="009E283F">
        <w:fldChar w:fldCharType="separate"/>
      </w:r>
      <w:r w:rsidR="00B15C6F" w:rsidRPr="009E283F">
        <w:t>13</w:t>
      </w:r>
      <w:r w:rsidR="002470CC" w:rsidRPr="009E283F">
        <w:fldChar w:fldCharType="end"/>
      </w:r>
      <w:r w:rsidR="00D212B4" w:rsidRPr="009E283F">
        <w:t xml:space="preserve"> </w:t>
      </w:r>
      <w:r w:rsidR="002470CC" w:rsidRPr="009E283F">
        <w:t>of this Prudential Standard</w:t>
      </w:r>
      <w:r w:rsidR="00F120DF" w:rsidRPr="009E283F">
        <w:t xml:space="preserve">; </w:t>
      </w:r>
      <w:r w:rsidR="00251F85" w:rsidRPr="009E283F">
        <w:t>and</w:t>
      </w:r>
    </w:p>
    <w:bookmarkEnd w:id="19"/>
    <w:p w14:paraId="1111A80B" w14:textId="4A30BDF8" w:rsidR="007919CF" w:rsidRPr="009E283F" w:rsidRDefault="00627203" w:rsidP="007919CF">
      <w:pPr>
        <w:pStyle w:val="BodyText2"/>
      </w:pPr>
      <w:r w:rsidRPr="009E283F">
        <w:t>significant financial institution (</w:t>
      </w:r>
      <w:r w:rsidR="005A058B" w:rsidRPr="009E283F">
        <w:t>SFI</w:t>
      </w:r>
      <w:r w:rsidRPr="009E283F">
        <w:t>)</w:t>
      </w:r>
      <w:r w:rsidR="007919CF" w:rsidRPr="009E283F">
        <w:t xml:space="preserve"> – means</w:t>
      </w:r>
      <w:r w:rsidRPr="009E283F">
        <w:t>, in relation to RSE licensees,</w:t>
      </w:r>
      <w:r w:rsidR="007919CF" w:rsidRPr="009E283F">
        <w:t xml:space="preserve"> an </w:t>
      </w:r>
      <w:r w:rsidRPr="009E283F">
        <w:t>RSE licensee</w:t>
      </w:r>
      <w:r w:rsidR="007919CF" w:rsidRPr="009E283F">
        <w:t xml:space="preserve"> that either: </w:t>
      </w:r>
    </w:p>
    <w:p w14:paraId="5BAE0E22" w14:textId="1EC71F8E" w:rsidR="007919CF" w:rsidRPr="009E283F" w:rsidRDefault="00627203" w:rsidP="007919CF">
      <w:pPr>
        <w:pStyle w:val="BodyText3"/>
      </w:pPr>
      <w:r w:rsidRPr="009E283F">
        <w:t>has total assets in excess of AUD $30 billion in the case of a single RSE operated by an RSE licensee, or if the RSE licensee operates more than one RSE</w:t>
      </w:r>
      <w:r w:rsidR="00050B45" w:rsidRPr="009E283F">
        <w:t>,</w:t>
      </w:r>
      <w:r w:rsidRPr="009E283F">
        <w:t xml:space="preserve"> where the combined total assets of all RSEs exceed this </w:t>
      </w:r>
      <w:r w:rsidR="00C12527" w:rsidRPr="009E283F">
        <w:t xml:space="preserve">amount; </w:t>
      </w:r>
      <w:r w:rsidR="008F416D">
        <w:t>or</w:t>
      </w:r>
      <w:r w:rsidR="007919CF" w:rsidRPr="009E283F">
        <w:t xml:space="preserve"> </w:t>
      </w:r>
    </w:p>
    <w:p w14:paraId="7A692DF1" w14:textId="0CFB7B9B" w:rsidR="00C859E1" w:rsidRPr="009E283F" w:rsidRDefault="009335D8" w:rsidP="00EB5AAA">
      <w:pPr>
        <w:pStyle w:val="BodyText3"/>
      </w:pPr>
      <w:bookmarkStart w:id="20" w:name="_Hlk87434791"/>
      <w:r w:rsidRPr="009E283F">
        <w:t xml:space="preserve">is </w:t>
      </w:r>
      <w:r w:rsidR="006A6810" w:rsidRPr="009E283F">
        <w:t>determined as such by APRA, having regard to matters such as complexity in its operations or its membership of a group.</w:t>
      </w:r>
      <w:r w:rsidRPr="009E283F">
        <w:rPr>
          <w:rStyle w:val="FootnoteReference"/>
        </w:rPr>
        <w:footnoteReference w:id="7"/>
      </w:r>
      <w:r w:rsidR="00C859E1" w:rsidRPr="009E283F">
        <w:t xml:space="preserve"> </w:t>
      </w:r>
    </w:p>
    <w:p w14:paraId="6B05AB27" w14:textId="77777777" w:rsidR="00F120DF" w:rsidRPr="009E283F" w:rsidRDefault="00F120DF" w:rsidP="00F120DF">
      <w:pPr>
        <w:pStyle w:val="Heading1"/>
      </w:pPr>
      <w:bookmarkStart w:id="21" w:name="_Toc88154189"/>
      <w:bookmarkEnd w:id="20"/>
      <w:r w:rsidRPr="009E283F">
        <w:t>Adjustments and exclusions</w:t>
      </w:r>
      <w:bookmarkEnd w:id="21"/>
    </w:p>
    <w:p w14:paraId="5383DB45" w14:textId="77777777" w:rsidR="00F120DF" w:rsidRPr="009E283F" w:rsidRDefault="00F120DF" w:rsidP="00F120DF">
      <w:pPr>
        <w:pStyle w:val="BodyText1"/>
      </w:pPr>
      <w:r w:rsidRPr="009E283F">
        <w:t>APRA may adjust or exclude a specific requirement in this Prudential Standard in relation to an APRA-regulated entity.</w:t>
      </w:r>
    </w:p>
    <w:p w14:paraId="2A481E1B" w14:textId="22EC974A" w:rsidR="0018350C" w:rsidRPr="009E283F" w:rsidRDefault="007D7CC7" w:rsidP="0018350C">
      <w:pPr>
        <w:pStyle w:val="Heading1"/>
      </w:pPr>
      <w:bookmarkStart w:id="22" w:name="_Toc88154190"/>
      <w:r w:rsidRPr="009E283F">
        <w:t>Resolution planning</w:t>
      </w:r>
      <w:bookmarkEnd w:id="22"/>
    </w:p>
    <w:p w14:paraId="742D3233" w14:textId="29B0F697" w:rsidR="00C12527" w:rsidRPr="009E283F" w:rsidRDefault="00C12527" w:rsidP="00C12527">
      <w:pPr>
        <w:pStyle w:val="BodyText1"/>
      </w:pPr>
      <w:bookmarkStart w:id="23" w:name="_Ref82601715"/>
      <w:r w:rsidRPr="009E283F">
        <w:t xml:space="preserve">APRA may determine a </w:t>
      </w:r>
      <w:r w:rsidR="00F20333" w:rsidRPr="009E283F">
        <w:t>bespoke</w:t>
      </w:r>
      <w:r w:rsidRPr="009E283F">
        <w:t xml:space="preserve"> resolution plan for an APRA-regulated entity or APRA-regulated entities, setting out the steps </w:t>
      </w:r>
      <w:r w:rsidR="00F77354" w:rsidRPr="009E283F">
        <w:t xml:space="preserve">that </w:t>
      </w:r>
      <w:r w:rsidRPr="009E283F">
        <w:t xml:space="preserve">APRA </w:t>
      </w:r>
      <w:r w:rsidR="00822948" w:rsidRPr="009E283F">
        <w:t xml:space="preserve">may </w:t>
      </w:r>
      <w:r w:rsidRPr="009E283F">
        <w:t xml:space="preserve">take to protect beneficiaries and maintain </w:t>
      </w:r>
      <w:r w:rsidR="00F77354" w:rsidRPr="009E283F">
        <w:t>critical functions</w:t>
      </w:r>
      <w:r w:rsidRPr="009E283F">
        <w:t xml:space="preserve"> in the event of </w:t>
      </w:r>
      <w:r w:rsidR="00F77354" w:rsidRPr="009E283F">
        <w:t>a resolution</w:t>
      </w:r>
      <w:r w:rsidRPr="009E283F">
        <w:t xml:space="preserve">. </w:t>
      </w:r>
      <w:r w:rsidR="002E0905" w:rsidRPr="009E283F">
        <w:lastRenderedPageBreak/>
        <w:t>R</w:t>
      </w:r>
      <w:r w:rsidRPr="009E283F">
        <w:t>esolution</w:t>
      </w:r>
      <w:r w:rsidRPr="009E283F" w:rsidDel="00F77354">
        <w:t xml:space="preserve"> options </w:t>
      </w:r>
      <w:r w:rsidR="002E0905" w:rsidRPr="009E283F">
        <w:t>may include</w:t>
      </w:r>
      <w:r w:rsidRPr="009E283F" w:rsidDel="00F77354">
        <w:t xml:space="preserve"> a wind-down, transfer, or recapitalisation of </w:t>
      </w:r>
      <w:r w:rsidR="00507E9E" w:rsidRPr="009E283F">
        <w:t>an</w:t>
      </w:r>
      <w:r w:rsidR="00507E9E" w:rsidRPr="009E283F" w:rsidDel="00F77354">
        <w:t xml:space="preserve"> </w:t>
      </w:r>
      <w:r w:rsidRPr="009E283F" w:rsidDel="00F77354">
        <w:t>entity.</w:t>
      </w:r>
      <w:bookmarkEnd w:id="23"/>
      <w:r w:rsidRPr="009E283F" w:rsidDel="00F77354">
        <w:t xml:space="preserve"> </w:t>
      </w:r>
    </w:p>
    <w:p w14:paraId="04EBB1BD" w14:textId="1E3E2219" w:rsidR="006507E2" w:rsidRPr="009E283F" w:rsidRDefault="006507E2" w:rsidP="00C12527">
      <w:pPr>
        <w:pStyle w:val="BodyText1"/>
      </w:pPr>
      <w:r w:rsidRPr="009E283F">
        <w:t xml:space="preserve">An APRA-regulated entity must support APRA in the development </w:t>
      </w:r>
      <w:r w:rsidR="001C70FC" w:rsidRPr="009E283F">
        <w:t xml:space="preserve">and maintenance </w:t>
      </w:r>
      <w:r w:rsidRPr="009E283F">
        <w:t>of a resolution plan.</w:t>
      </w:r>
    </w:p>
    <w:p w14:paraId="5356939B" w14:textId="1F6097ED" w:rsidR="00C9100A" w:rsidRPr="009E283F" w:rsidRDefault="00C9100A" w:rsidP="00C12527">
      <w:pPr>
        <w:pStyle w:val="BodyText1"/>
      </w:pPr>
      <w:r w:rsidRPr="009E283F">
        <w:t>An APRA-regulated entity with overseas operations must support the development</w:t>
      </w:r>
      <w:r w:rsidR="00216D6D" w:rsidRPr="009E283F">
        <w:t xml:space="preserve"> and maintenance</w:t>
      </w:r>
      <w:r w:rsidRPr="009E283F">
        <w:t xml:space="preserve"> of cross-border components of the resolution plan.</w:t>
      </w:r>
    </w:p>
    <w:p w14:paraId="412B259D" w14:textId="77777777" w:rsidR="00942CE6" w:rsidRPr="009E283F" w:rsidRDefault="00942CE6" w:rsidP="00942CE6">
      <w:pPr>
        <w:pStyle w:val="Heading1"/>
      </w:pPr>
      <w:bookmarkStart w:id="24" w:name="_Toc88154191"/>
      <w:r w:rsidRPr="009E283F">
        <w:t>Role of the Board</w:t>
      </w:r>
      <w:bookmarkEnd w:id="24"/>
    </w:p>
    <w:p w14:paraId="2F4EE0B6" w14:textId="785B834D" w:rsidR="00942CE6" w:rsidRPr="009E283F" w:rsidRDefault="00942CE6" w:rsidP="00942CE6">
      <w:pPr>
        <w:pStyle w:val="BodyText1"/>
      </w:pPr>
      <w:bookmarkStart w:id="25" w:name="_Hlk132291657"/>
      <w:r w:rsidRPr="009E283F">
        <w:t xml:space="preserve">The Board of an APRA-regulated entity </w:t>
      </w:r>
      <w:r w:rsidR="005748F8" w:rsidRPr="009E283F">
        <w:t xml:space="preserve">must support APRA in resolution planning and </w:t>
      </w:r>
      <w:r w:rsidRPr="009E283F">
        <w:t xml:space="preserve">is ultimately responsible </w:t>
      </w:r>
      <w:r w:rsidR="005748F8" w:rsidRPr="009E283F">
        <w:t xml:space="preserve">for ensuring that the entity meets the requirements of this Prudential Standard. </w:t>
      </w:r>
      <w:r w:rsidRPr="009E283F">
        <w:t>The Board must ensure that there are clear roles and responsibilities at a senior executive level for the</w:t>
      </w:r>
      <w:r w:rsidR="008A2BEE" w:rsidRPr="009E283F">
        <w:t xml:space="preserve"> purpose of meeting the </w:t>
      </w:r>
      <w:r w:rsidRPr="009E283F">
        <w:t>requirements in this Prudential Standard.</w:t>
      </w:r>
    </w:p>
    <w:bookmarkEnd w:id="25"/>
    <w:p w14:paraId="000F7672" w14:textId="3406CEB4" w:rsidR="00942CE6" w:rsidRPr="009E283F" w:rsidRDefault="008A2BEE" w:rsidP="00942CE6">
      <w:pPr>
        <w:pStyle w:val="BodyText1"/>
      </w:pPr>
      <w:r w:rsidRPr="009E283F">
        <w:t>T</w:t>
      </w:r>
      <w:r w:rsidR="00942CE6" w:rsidRPr="009E283F">
        <w:t>he Board must provide oversight of and approve</w:t>
      </w:r>
      <w:r w:rsidRPr="009E283F">
        <w:t>, where applicable</w:t>
      </w:r>
      <w:r w:rsidR="00942CE6" w:rsidRPr="009E283F">
        <w:t>:</w:t>
      </w:r>
    </w:p>
    <w:p w14:paraId="5F545D1F" w14:textId="08F2DD7B" w:rsidR="00942CE6" w:rsidRPr="009E283F" w:rsidRDefault="00020988" w:rsidP="00942CE6">
      <w:pPr>
        <w:pStyle w:val="BodyText2"/>
      </w:pPr>
      <w:r w:rsidRPr="009E283F">
        <w:t>a</w:t>
      </w:r>
      <w:r w:rsidR="00942CE6" w:rsidRPr="009E283F">
        <w:t xml:space="preserve"> </w:t>
      </w:r>
      <w:r w:rsidR="008E009C" w:rsidRPr="009E283F">
        <w:t>r</w:t>
      </w:r>
      <w:r w:rsidR="00942CE6" w:rsidRPr="009E283F">
        <w:t xml:space="preserve">esolvability </w:t>
      </w:r>
      <w:r w:rsidRPr="009E283F">
        <w:t>a</w:t>
      </w:r>
      <w:r w:rsidR="00942CE6" w:rsidRPr="009E283F">
        <w:t>ssessment; and</w:t>
      </w:r>
    </w:p>
    <w:p w14:paraId="3B6A2701" w14:textId="5F5C0069" w:rsidR="00AC38B7" w:rsidRPr="009E283F" w:rsidRDefault="00020988" w:rsidP="0051398E">
      <w:pPr>
        <w:pStyle w:val="BodyText2"/>
      </w:pPr>
      <w:r w:rsidRPr="009E283F">
        <w:t>a</w:t>
      </w:r>
      <w:r w:rsidR="00942CE6" w:rsidRPr="009E283F">
        <w:t xml:space="preserve"> </w:t>
      </w:r>
      <w:r w:rsidR="008E009C" w:rsidRPr="009E283F">
        <w:t>p</w:t>
      </w:r>
      <w:r w:rsidR="00942CE6" w:rsidRPr="009E283F">
        <w:t xml:space="preserve">re-positioning </w:t>
      </w:r>
      <w:r w:rsidRPr="009E283F">
        <w:t>p</w:t>
      </w:r>
      <w:r w:rsidR="00942CE6" w:rsidRPr="009E283F">
        <w:t>lan.</w:t>
      </w:r>
      <w:bookmarkStart w:id="26" w:name="_Hlk132291876"/>
    </w:p>
    <w:p w14:paraId="0F528F25" w14:textId="4BD43361" w:rsidR="0028703B" w:rsidRPr="009E283F" w:rsidRDefault="0028703B" w:rsidP="0018350C">
      <w:pPr>
        <w:pStyle w:val="Heading1"/>
      </w:pPr>
      <w:bookmarkStart w:id="27" w:name="_Toc88154192"/>
      <w:bookmarkEnd w:id="26"/>
      <w:r w:rsidRPr="009E283F">
        <w:t>Critical functions</w:t>
      </w:r>
    </w:p>
    <w:p w14:paraId="3B5A2C75" w14:textId="77777777" w:rsidR="009352A9" w:rsidRPr="009E283F" w:rsidRDefault="00F77354" w:rsidP="000A4EF8">
      <w:pPr>
        <w:pStyle w:val="BodyText1"/>
      </w:pPr>
      <w:bookmarkStart w:id="28" w:name="_Hlk130201684"/>
      <w:r w:rsidRPr="009E283F">
        <w:t xml:space="preserve">An APRA-regulated entity must </w:t>
      </w:r>
      <w:r w:rsidRPr="009E283F" w:rsidDel="000A4EF8">
        <w:t xml:space="preserve">support APRA in </w:t>
      </w:r>
      <w:r w:rsidRPr="009E283F">
        <w:t>the determination of whether it provides any critical function</w:t>
      </w:r>
      <w:r w:rsidR="001323BD" w:rsidRPr="009E283F">
        <w:t>s</w:t>
      </w:r>
      <w:r w:rsidRPr="009E283F">
        <w:t xml:space="preserve">, if required by APRA. </w:t>
      </w:r>
    </w:p>
    <w:p w14:paraId="2AB7D118" w14:textId="019E907E" w:rsidR="00D6697B" w:rsidRPr="009E283F" w:rsidRDefault="00C13880" w:rsidP="000A4EF8">
      <w:pPr>
        <w:pStyle w:val="BodyText1"/>
      </w:pPr>
      <w:r w:rsidRPr="009E283F">
        <w:t xml:space="preserve">APRA may require an </w:t>
      </w:r>
      <w:r w:rsidR="00F84A39" w:rsidRPr="009E283F">
        <w:t xml:space="preserve">APRA-regulated </w:t>
      </w:r>
      <w:r w:rsidRPr="009E283F">
        <w:t xml:space="preserve">entity to undertake critical functions </w:t>
      </w:r>
      <w:r w:rsidR="00A351EF" w:rsidRPr="009E283F">
        <w:t>analysis</w:t>
      </w:r>
      <w:r w:rsidRPr="009E283F">
        <w:t xml:space="preserve">, taking into account </w:t>
      </w:r>
      <w:r w:rsidR="00F77354" w:rsidRPr="009E283F">
        <w:t xml:space="preserve">the systemic impact, customer impact and the substitutability by other providers if </w:t>
      </w:r>
      <w:r w:rsidR="004C3B9C" w:rsidRPr="009E283F">
        <w:t xml:space="preserve">functions </w:t>
      </w:r>
      <w:r w:rsidR="00F77354" w:rsidRPr="009E283F">
        <w:t xml:space="preserve">were to cease. </w:t>
      </w:r>
      <w:r w:rsidR="00AC3691" w:rsidRPr="009E283F">
        <w:t>A</w:t>
      </w:r>
      <w:r w:rsidR="000A4EF8" w:rsidRPr="009E283F">
        <w:t>n APRA-regulated entity may also be required to identify shared services</w:t>
      </w:r>
      <w:r w:rsidR="0041260C" w:rsidRPr="009E283F">
        <w:t xml:space="preserve">, </w:t>
      </w:r>
      <w:r w:rsidR="000A4EF8" w:rsidRPr="009E283F">
        <w:t>including those provided by third parties</w:t>
      </w:r>
      <w:r w:rsidR="0041260C" w:rsidRPr="009E283F">
        <w:t>,</w:t>
      </w:r>
      <w:r w:rsidR="000A4EF8" w:rsidRPr="009E283F">
        <w:t xml:space="preserve"> upon which critical functions depend.</w:t>
      </w:r>
      <w:bookmarkEnd w:id="28"/>
    </w:p>
    <w:p w14:paraId="77E344FA" w14:textId="23DFE5CC" w:rsidR="0018350C" w:rsidRPr="009E283F" w:rsidRDefault="0018350C" w:rsidP="0018350C">
      <w:pPr>
        <w:pStyle w:val="Heading1"/>
      </w:pPr>
      <w:r w:rsidRPr="009E283F">
        <w:t xml:space="preserve">Resolvability </w:t>
      </w:r>
      <w:r w:rsidR="00BC59B2" w:rsidRPr="009E283F">
        <w:t>a</w:t>
      </w:r>
      <w:r w:rsidRPr="009E283F">
        <w:t>ssessment</w:t>
      </w:r>
      <w:bookmarkEnd w:id="27"/>
    </w:p>
    <w:p w14:paraId="1F838D90" w14:textId="5410DB5D" w:rsidR="00942CE6" w:rsidRPr="009E283F" w:rsidRDefault="0018350C" w:rsidP="00942CE6">
      <w:pPr>
        <w:pStyle w:val="BodyText1"/>
      </w:pPr>
      <w:bookmarkStart w:id="29" w:name="_Ref82686916"/>
      <w:r w:rsidRPr="009E283F">
        <w:t xml:space="preserve">APRA may require an APRA-regulated entity </w:t>
      </w:r>
      <w:r w:rsidR="00BC59B2" w:rsidRPr="009E283F">
        <w:t xml:space="preserve">to </w:t>
      </w:r>
      <w:r w:rsidR="00942CE6" w:rsidRPr="009E283F">
        <w:t xml:space="preserve">conduct a </w:t>
      </w:r>
      <w:r w:rsidR="008E009C" w:rsidRPr="009E283F">
        <w:t>r</w:t>
      </w:r>
      <w:r w:rsidR="00942CE6" w:rsidRPr="009E283F">
        <w:t xml:space="preserve">esolvability </w:t>
      </w:r>
      <w:r w:rsidR="00020988" w:rsidRPr="009E283F">
        <w:t>a</w:t>
      </w:r>
      <w:r w:rsidR="00942CE6" w:rsidRPr="009E283F">
        <w:t>ssessment to assess the feasibility of resolution options</w:t>
      </w:r>
      <w:r w:rsidRPr="009E283F">
        <w:t xml:space="preserve">. The </w:t>
      </w:r>
      <w:r w:rsidR="008E009C" w:rsidRPr="009E283F">
        <w:t>r</w:t>
      </w:r>
      <w:r w:rsidRPr="009E283F">
        <w:t xml:space="preserve">esolvability </w:t>
      </w:r>
      <w:r w:rsidR="00020988" w:rsidRPr="009E283F">
        <w:t>a</w:t>
      </w:r>
      <w:r w:rsidRPr="009E283F">
        <w:t xml:space="preserve">ssessment must be conducted by personnel with </w:t>
      </w:r>
      <w:r w:rsidR="00942CE6" w:rsidRPr="009E283F">
        <w:t>appropriate</w:t>
      </w:r>
      <w:r w:rsidRPr="009E283F">
        <w:t xml:space="preserve"> skills and experience.</w:t>
      </w:r>
      <w:bookmarkEnd w:id="29"/>
    </w:p>
    <w:p w14:paraId="64DA2208" w14:textId="7A7A8002" w:rsidR="0018350C" w:rsidRPr="009E283F" w:rsidRDefault="0018350C" w:rsidP="00942CE6">
      <w:pPr>
        <w:pStyle w:val="BodyText1"/>
      </w:pPr>
      <w:r w:rsidRPr="009E283F">
        <w:t xml:space="preserve">For each resolution option, the </w:t>
      </w:r>
      <w:r w:rsidR="008E009C" w:rsidRPr="009E283F">
        <w:t>r</w:t>
      </w:r>
      <w:r w:rsidRPr="009E283F">
        <w:t xml:space="preserve">esolvability </w:t>
      </w:r>
      <w:r w:rsidR="00020988" w:rsidRPr="009E283F">
        <w:t>a</w:t>
      </w:r>
      <w:r w:rsidRPr="009E283F">
        <w:t>ssessment must assess:</w:t>
      </w:r>
    </w:p>
    <w:p w14:paraId="1F586673" w14:textId="2018ADD9" w:rsidR="0018350C" w:rsidRPr="009E283F" w:rsidRDefault="0018350C" w:rsidP="0018350C">
      <w:pPr>
        <w:pStyle w:val="BodyText2"/>
      </w:pPr>
      <w:r w:rsidRPr="009E283F">
        <w:t xml:space="preserve">any legal, structural, operational or regulatory barriers to </w:t>
      </w:r>
      <w:r w:rsidRPr="009E283F" w:rsidDel="00076D46">
        <w:t>implementation</w:t>
      </w:r>
      <w:r w:rsidRPr="009E283F">
        <w:t>;</w:t>
      </w:r>
    </w:p>
    <w:p w14:paraId="1D5EFF94" w14:textId="77777777" w:rsidR="0018350C" w:rsidRPr="009E283F" w:rsidRDefault="0018350C" w:rsidP="0018350C">
      <w:pPr>
        <w:pStyle w:val="BodyText2"/>
      </w:pPr>
      <w:r w:rsidRPr="009E283F">
        <w:t>timelines for implementation;</w:t>
      </w:r>
    </w:p>
    <w:p w14:paraId="607F9446" w14:textId="4FA46D87" w:rsidR="0018350C" w:rsidRPr="009E283F" w:rsidRDefault="0018350C" w:rsidP="00FA438C">
      <w:pPr>
        <w:pStyle w:val="BodyText2"/>
      </w:pPr>
      <w:r w:rsidRPr="009E283F">
        <w:t>any execution risks;</w:t>
      </w:r>
      <w:r w:rsidRPr="009E283F" w:rsidDel="00FA438C">
        <w:t xml:space="preserve"> and</w:t>
      </w:r>
    </w:p>
    <w:p w14:paraId="19683486" w14:textId="0D07A7C5" w:rsidR="00DE7020" w:rsidRPr="009E283F" w:rsidRDefault="0018350C" w:rsidP="00BB172C">
      <w:pPr>
        <w:pStyle w:val="BodyText2"/>
      </w:pPr>
      <w:r w:rsidRPr="009E283F">
        <w:t xml:space="preserve">pre-positioning measures required </w:t>
      </w:r>
      <w:r w:rsidR="00942CE6" w:rsidRPr="009E283F">
        <w:t xml:space="preserve">to </w:t>
      </w:r>
      <w:r w:rsidR="00942CE6" w:rsidRPr="009E283F" w:rsidDel="00CC1F12">
        <w:t xml:space="preserve">effectively execute </w:t>
      </w:r>
      <w:r w:rsidR="00942CE6" w:rsidRPr="009E283F">
        <w:t>the option</w:t>
      </w:r>
      <w:r w:rsidRPr="009E283F">
        <w:t>.</w:t>
      </w:r>
      <w:r w:rsidR="00FA438C" w:rsidRPr="009E283F">
        <w:t xml:space="preserve"> </w:t>
      </w:r>
    </w:p>
    <w:p w14:paraId="1E51DA59" w14:textId="418C8877" w:rsidR="0060273A" w:rsidRPr="009E283F" w:rsidRDefault="0021340C" w:rsidP="0060273A">
      <w:pPr>
        <w:pStyle w:val="BodyText1"/>
      </w:pPr>
      <w:r w:rsidRPr="0021340C">
        <w:lastRenderedPageBreak/>
        <w:t>APRA may require an APRA-regulated entity to have the resolvability assessment independently reviewed</w:t>
      </w:r>
      <w:r w:rsidR="0060273A" w:rsidRPr="009E283F">
        <w:t>.</w:t>
      </w:r>
    </w:p>
    <w:p w14:paraId="771CA16C" w14:textId="6417CD24" w:rsidR="0018350C" w:rsidRPr="009E283F" w:rsidRDefault="0018350C" w:rsidP="0018350C">
      <w:pPr>
        <w:pStyle w:val="Heading1"/>
      </w:pPr>
      <w:bookmarkStart w:id="30" w:name="_Toc88154193"/>
      <w:r w:rsidRPr="009E283F">
        <w:t xml:space="preserve">Pre-positioning </w:t>
      </w:r>
      <w:r w:rsidR="00020988" w:rsidRPr="009E283F">
        <w:t>p</w:t>
      </w:r>
      <w:r w:rsidRPr="009E283F">
        <w:t>lan</w:t>
      </w:r>
      <w:bookmarkEnd w:id="30"/>
    </w:p>
    <w:p w14:paraId="41D0AB50" w14:textId="0B9F7B53" w:rsidR="007E65C3" w:rsidRPr="009E283F" w:rsidRDefault="00BC59B2" w:rsidP="0018350C">
      <w:pPr>
        <w:pStyle w:val="BodyText1"/>
      </w:pPr>
      <w:bookmarkStart w:id="31" w:name="_Ref82686947"/>
      <w:bookmarkStart w:id="32" w:name="_Ref75953431"/>
      <w:bookmarkStart w:id="33" w:name="_Ref75943338"/>
      <w:bookmarkStart w:id="34" w:name="_Ref70595713"/>
      <w:r w:rsidRPr="009E283F">
        <w:t xml:space="preserve">APRA may require an APRA-regulated entity to </w:t>
      </w:r>
      <w:r w:rsidR="0018350C" w:rsidRPr="009E283F">
        <w:t>develop</w:t>
      </w:r>
      <w:r w:rsidR="007E65C3" w:rsidRPr="009E283F">
        <w:t xml:space="preserve"> and implement</w:t>
      </w:r>
      <w:r w:rsidR="0018350C" w:rsidRPr="009E283F">
        <w:t xml:space="preserve"> a </w:t>
      </w:r>
      <w:r w:rsidR="008E009C" w:rsidRPr="009E283F">
        <w:t>p</w:t>
      </w:r>
      <w:r w:rsidR="0018350C" w:rsidRPr="009E283F">
        <w:t xml:space="preserve">re-positioning </w:t>
      </w:r>
      <w:r w:rsidR="00020988" w:rsidRPr="009E283F">
        <w:t>p</w:t>
      </w:r>
      <w:r w:rsidR="0018350C" w:rsidRPr="009E283F">
        <w:t xml:space="preserve">lan to remove barriers to the execution of </w:t>
      </w:r>
      <w:r w:rsidRPr="009E283F">
        <w:t>resolution options and mitigate execution risks</w:t>
      </w:r>
      <w:r w:rsidR="007E65C3" w:rsidRPr="009E283F">
        <w:t>.</w:t>
      </w:r>
      <w:bookmarkEnd w:id="31"/>
    </w:p>
    <w:p w14:paraId="206993DD" w14:textId="6A1A6155" w:rsidR="0018350C" w:rsidRPr="009E283F" w:rsidRDefault="0018350C" w:rsidP="0018350C">
      <w:pPr>
        <w:pStyle w:val="BodyText1"/>
      </w:pPr>
      <w:r w:rsidRPr="009E283F">
        <w:t xml:space="preserve">The </w:t>
      </w:r>
      <w:r w:rsidR="008E009C" w:rsidRPr="009E283F">
        <w:t>p</w:t>
      </w:r>
      <w:r w:rsidRPr="009E283F">
        <w:t xml:space="preserve">re-positioning </w:t>
      </w:r>
      <w:r w:rsidR="00020988" w:rsidRPr="009E283F">
        <w:t>p</w:t>
      </w:r>
      <w:r w:rsidRPr="009E283F">
        <w:t xml:space="preserve">lan </w:t>
      </w:r>
      <w:r w:rsidR="007E65C3" w:rsidRPr="009E283F">
        <w:t>must</w:t>
      </w:r>
      <w:r w:rsidR="009A1EA8" w:rsidRPr="009E283F">
        <w:t xml:space="preserve"> include</w:t>
      </w:r>
      <w:r w:rsidR="00FA4F3C" w:rsidRPr="009E283F">
        <w:t>, where applicable</w:t>
      </w:r>
      <w:r w:rsidRPr="009E283F">
        <w:t>:</w:t>
      </w:r>
    </w:p>
    <w:p w14:paraId="0D5A40DB" w14:textId="4495B5F0" w:rsidR="0018350C" w:rsidRPr="009E283F" w:rsidRDefault="0018350C" w:rsidP="0018350C">
      <w:pPr>
        <w:pStyle w:val="BodyText2"/>
      </w:pPr>
      <w:r w:rsidRPr="009E283F">
        <w:t xml:space="preserve">changes to organisational or legal structure, including </w:t>
      </w:r>
      <w:r w:rsidR="00D47734" w:rsidRPr="009E283F">
        <w:t xml:space="preserve">the location of any </w:t>
      </w:r>
      <w:r w:rsidRPr="009E283F">
        <w:t>shared services within a group;</w:t>
      </w:r>
    </w:p>
    <w:p w14:paraId="5A76D48B" w14:textId="77777777" w:rsidR="0018350C" w:rsidRPr="009E283F" w:rsidRDefault="0018350C" w:rsidP="0018350C">
      <w:pPr>
        <w:pStyle w:val="BodyText2"/>
      </w:pPr>
      <w:r w:rsidRPr="009E283F">
        <w:t xml:space="preserve">renegotiation of contracts, including with third-party service providers; </w:t>
      </w:r>
    </w:p>
    <w:p w14:paraId="1BC4C12C" w14:textId="0D504AED" w:rsidR="00142F50" w:rsidRPr="009E283F" w:rsidRDefault="0018350C" w:rsidP="0018350C">
      <w:pPr>
        <w:pStyle w:val="BodyText2"/>
      </w:pPr>
      <w:r w:rsidRPr="009E283F">
        <w:t xml:space="preserve">development of </w:t>
      </w:r>
      <w:r w:rsidR="00CC2E54" w:rsidRPr="009E283F">
        <w:t>wind</w:t>
      </w:r>
      <w:r w:rsidRPr="009E283F">
        <w:t xml:space="preserve">-down or run-off plans for particular businesses or assets; </w:t>
      </w:r>
    </w:p>
    <w:p w14:paraId="5A2B3C60" w14:textId="3E71A030" w:rsidR="009A1EA8" w:rsidRPr="009E283F" w:rsidRDefault="0018350C" w:rsidP="0018350C">
      <w:pPr>
        <w:pStyle w:val="BodyText2"/>
      </w:pPr>
      <w:r w:rsidRPr="009E283F">
        <w:t xml:space="preserve">measures to ensure </w:t>
      </w:r>
      <w:r w:rsidR="00861855" w:rsidRPr="009E283F">
        <w:t xml:space="preserve">the </w:t>
      </w:r>
      <w:r w:rsidRPr="009E283F">
        <w:t>operational continuity of key functions and services during resolution</w:t>
      </w:r>
      <w:r w:rsidR="009A1EA8" w:rsidRPr="009E283F">
        <w:t xml:space="preserve">; </w:t>
      </w:r>
    </w:p>
    <w:p w14:paraId="66CE64A2" w14:textId="281B2FC6" w:rsidR="002E2BFA" w:rsidRPr="009E283F" w:rsidRDefault="002E2BFA" w:rsidP="0018350C">
      <w:pPr>
        <w:pStyle w:val="BodyText2"/>
      </w:pPr>
      <w:r w:rsidRPr="009E283F">
        <w:t xml:space="preserve">capabilities necessary to </w:t>
      </w:r>
      <w:r w:rsidR="00B97A03" w:rsidRPr="009E283F">
        <w:t>support APRA in effecting the</w:t>
      </w:r>
      <w:r w:rsidRPr="009E283F">
        <w:t xml:space="preserve"> resolution options; and</w:t>
      </w:r>
    </w:p>
    <w:p w14:paraId="6633854E" w14:textId="43A747C0" w:rsidR="0018350C" w:rsidRPr="009E283F" w:rsidRDefault="009A1EA8" w:rsidP="0018350C">
      <w:pPr>
        <w:pStyle w:val="BodyText2"/>
      </w:pPr>
      <w:r w:rsidRPr="009E283F">
        <w:t xml:space="preserve">any other actions required to </w:t>
      </w:r>
      <w:r w:rsidR="007E1855" w:rsidRPr="009E283F">
        <w:t xml:space="preserve">remove </w:t>
      </w:r>
      <w:r w:rsidRPr="009E283F">
        <w:t>barriers to the execution of resolution options</w:t>
      </w:r>
      <w:r w:rsidR="007E1855" w:rsidRPr="009E283F">
        <w:t xml:space="preserve"> or mitigate execution risks</w:t>
      </w:r>
      <w:r w:rsidRPr="009E283F">
        <w:t>.</w:t>
      </w:r>
    </w:p>
    <w:p w14:paraId="1306DAF3" w14:textId="36048CB5" w:rsidR="0075275F" w:rsidRPr="009E283F" w:rsidRDefault="0075275F" w:rsidP="004C3B9C">
      <w:pPr>
        <w:pStyle w:val="BodyText1"/>
      </w:pPr>
      <w:r w:rsidRPr="009E283F">
        <w:t xml:space="preserve">APRA may require an APRA-regulated entity to implement additional pre-positioning actions if necessary to support </w:t>
      </w:r>
      <w:r w:rsidR="0096404A" w:rsidRPr="009E283F">
        <w:t xml:space="preserve">the </w:t>
      </w:r>
      <w:r w:rsidRPr="009E283F">
        <w:t>resolution plan.</w:t>
      </w:r>
    </w:p>
    <w:p w14:paraId="4527D1EC" w14:textId="72C43F49" w:rsidR="004C3B9C" w:rsidRPr="009E283F" w:rsidRDefault="004C3B9C" w:rsidP="00F67EB4">
      <w:pPr>
        <w:pStyle w:val="Heading1"/>
      </w:pPr>
      <w:r w:rsidRPr="009E283F">
        <w:t>Financial resources and loss-absorbing capacity</w:t>
      </w:r>
    </w:p>
    <w:p w14:paraId="49A65B2D" w14:textId="423BB877" w:rsidR="00AC6F9A" w:rsidRPr="009E283F" w:rsidRDefault="00AC6F9A" w:rsidP="00AC6F9A">
      <w:pPr>
        <w:pStyle w:val="BodyText1"/>
      </w:pPr>
      <w:r w:rsidRPr="009E283F">
        <w:t xml:space="preserve">An APRA-regulated entity must maintain the financial resources required to </w:t>
      </w:r>
      <w:r w:rsidR="00CC26D7" w:rsidRPr="009E283F">
        <w:t xml:space="preserve">support </w:t>
      </w:r>
      <w:r w:rsidR="00A55B24" w:rsidRPr="009E283F">
        <w:t>the</w:t>
      </w:r>
      <w:r w:rsidR="007431CD" w:rsidRPr="009E283F">
        <w:t xml:space="preserve"> resolution plan</w:t>
      </w:r>
      <w:r w:rsidRPr="009E283F">
        <w:t xml:space="preserve">. </w:t>
      </w:r>
    </w:p>
    <w:p w14:paraId="0E04AF6F" w14:textId="65725402" w:rsidR="00AC6F9A" w:rsidRPr="009E283F" w:rsidRDefault="00AC6F9A" w:rsidP="00AC6F9A">
      <w:pPr>
        <w:pStyle w:val="BodyText1"/>
        <w:keepNext/>
      </w:pPr>
      <w:bookmarkStart w:id="35" w:name="_Ref83389597"/>
      <w:r w:rsidRPr="009E283F">
        <w:t>APRA may require an APRA-regulated entity that is not an RSE licensee</w:t>
      </w:r>
      <w:r w:rsidRPr="009E283F" w:rsidDel="00F524AC">
        <w:t xml:space="preserve"> </w:t>
      </w:r>
      <w:r w:rsidRPr="009E283F">
        <w:t>to maintain an amount of loss-absorbing capacity to support the resolution plan:</w:t>
      </w:r>
      <w:bookmarkEnd w:id="35"/>
    </w:p>
    <w:p w14:paraId="64CADFE2" w14:textId="77777777" w:rsidR="00AC6F9A" w:rsidRPr="009E283F" w:rsidRDefault="00AC6F9A" w:rsidP="00AC6F9A">
      <w:pPr>
        <w:pStyle w:val="BodyText2"/>
      </w:pPr>
      <w:r w:rsidRPr="009E283F">
        <w:t xml:space="preserve">for an ADI, APRA may adjust its Total Capital prudential capital requirement under </w:t>
      </w:r>
      <w:r w:rsidRPr="009E283F">
        <w:rPr>
          <w:i/>
        </w:rPr>
        <w:t>Prudential Standard APS 110 Capital Adequacy</w:t>
      </w:r>
      <w:r w:rsidRPr="009E283F">
        <w:t>; and</w:t>
      </w:r>
    </w:p>
    <w:p w14:paraId="7CA30FC3" w14:textId="304D3D79" w:rsidR="00AC6F9A" w:rsidRPr="009E283F" w:rsidRDefault="00AC6F9A" w:rsidP="00AC6F9A">
      <w:pPr>
        <w:pStyle w:val="BodyText2"/>
      </w:pPr>
      <w:r w:rsidRPr="009E283F">
        <w:t xml:space="preserve">for a general insurer, life company </w:t>
      </w:r>
      <w:r w:rsidR="004D6E57">
        <w:t xml:space="preserve">or </w:t>
      </w:r>
      <w:r w:rsidRPr="009E283F">
        <w:t xml:space="preserve">private health insurer, APRA may adjust its prudential capital requirement under </w:t>
      </w:r>
      <w:r w:rsidRPr="009E283F">
        <w:rPr>
          <w:i/>
        </w:rPr>
        <w:t xml:space="preserve">Prudential Standard </w:t>
      </w:r>
      <w:r w:rsidR="00516798" w:rsidRPr="009E283F">
        <w:rPr>
          <w:i/>
        </w:rPr>
        <w:t>GPS</w:t>
      </w:r>
      <w:r w:rsidR="00516798">
        <w:rPr>
          <w:i/>
        </w:rPr>
        <w:t> </w:t>
      </w:r>
      <w:r w:rsidRPr="009E283F">
        <w:rPr>
          <w:i/>
        </w:rPr>
        <w:t>110 Capital Adequacy</w:t>
      </w:r>
      <w:r w:rsidRPr="009E283F">
        <w:t xml:space="preserve"> or </w:t>
      </w:r>
      <w:r w:rsidRPr="009E283F">
        <w:rPr>
          <w:i/>
        </w:rPr>
        <w:t>Prudential Standard LPS 110 Capital Adequacy</w:t>
      </w:r>
      <w:r w:rsidRPr="009E283F">
        <w:t xml:space="preserve">, or a capital adequacy supervisory adjustment under </w:t>
      </w:r>
      <w:r w:rsidRPr="009E283F">
        <w:rPr>
          <w:i/>
        </w:rPr>
        <w:t>Prudential Standard</w:t>
      </w:r>
      <w:r w:rsidRPr="009E283F">
        <w:t xml:space="preserve"> </w:t>
      </w:r>
      <w:r w:rsidRPr="009E283F">
        <w:rPr>
          <w:i/>
        </w:rPr>
        <w:t>HPS 110 Capital Adequacy</w:t>
      </w:r>
      <w:r w:rsidRPr="009E283F">
        <w:t>.</w:t>
      </w:r>
    </w:p>
    <w:p w14:paraId="15D113F9" w14:textId="40C6FB90" w:rsidR="0018350C" w:rsidRPr="009E283F" w:rsidRDefault="0018350C" w:rsidP="0018350C">
      <w:pPr>
        <w:pStyle w:val="Heading1"/>
      </w:pPr>
      <w:bookmarkStart w:id="36" w:name="_Toc88154194"/>
      <w:r w:rsidRPr="009E283F">
        <w:t>Capabilities for resolution</w:t>
      </w:r>
      <w:bookmarkEnd w:id="36"/>
    </w:p>
    <w:p w14:paraId="10F7F61A" w14:textId="7C06860B" w:rsidR="0018350C" w:rsidRPr="009E283F" w:rsidRDefault="0018350C" w:rsidP="0018350C">
      <w:pPr>
        <w:pStyle w:val="BodyText1"/>
      </w:pPr>
      <w:r w:rsidRPr="009E283F">
        <w:t xml:space="preserve">An APRA-regulated entity must </w:t>
      </w:r>
      <w:r w:rsidR="007D688A" w:rsidRPr="009E283F">
        <w:t xml:space="preserve">establish and </w:t>
      </w:r>
      <w:r w:rsidRPr="009E283F">
        <w:t xml:space="preserve">maintain the capabilities </w:t>
      </w:r>
      <w:r w:rsidR="00BC59B2" w:rsidRPr="009E283F">
        <w:t>required to</w:t>
      </w:r>
      <w:r w:rsidR="004368DB" w:rsidRPr="009E283F">
        <w:t xml:space="preserve"> support </w:t>
      </w:r>
      <w:r w:rsidR="00F363A8" w:rsidRPr="009E283F">
        <w:t>the</w:t>
      </w:r>
      <w:r w:rsidR="004368DB" w:rsidRPr="009E283F">
        <w:t xml:space="preserve"> resolution</w:t>
      </w:r>
      <w:r w:rsidR="00DB403B" w:rsidRPr="009E283F">
        <w:t xml:space="preserve"> plan</w:t>
      </w:r>
      <w:r w:rsidRPr="009E283F">
        <w:t xml:space="preserve">. </w:t>
      </w:r>
      <w:r w:rsidR="00A0667A" w:rsidRPr="009E283F">
        <w:t>Th</w:t>
      </w:r>
      <w:r w:rsidR="00A0667A">
        <w:t>ese</w:t>
      </w:r>
      <w:r w:rsidRPr="009E283F">
        <w:t xml:space="preserve"> include:</w:t>
      </w:r>
    </w:p>
    <w:p w14:paraId="13A8F13B" w14:textId="6618159B" w:rsidR="0018350C" w:rsidRPr="009E283F" w:rsidRDefault="00C23EB0" w:rsidP="0018350C">
      <w:pPr>
        <w:pStyle w:val="BodyText2"/>
      </w:pPr>
      <w:r w:rsidRPr="009E283F">
        <w:lastRenderedPageBreak/>
        <w:t xml:space="preserve">resolution </w:t>
      </w:r>
      <w:r w:rsidR="0018350C" w:rsidRPr="009E283F">
        <w:t xml:space="preserve">governance </w:t>
      </w:r>
      <w:r w:rsidR="007E65C3" w:rsidRPr="009E283F">
        <w:t>arrangements</w:t>
      </w:r>
      <w:r w:rsidR="0018350C" w:rsidRPr="009E283F">
        <w:t>;</w:t>
      </w:r>
    </w:p>
    <w:p w14:paraId="533B173C" w14:textId="4BDF1657" w:rsidR="0018350C" w:rsidRPr="009E283F" w:rsidRDefault="0018350C" w:rsidP="0018350C">
      <w:pPr>
        <w:pStyle w:val="BodyText2"/>
      </w:pPr>
      <w:r w:rsidRPr="009E283F">
        <w:t>operational capabilities;</w:t>
      </w:r>
    </w:p>
    <w:p w14:paraId="4868E44B" w14:textId="563DB57F" w:rsidR="00AC6F9A" w:rsidRPr="009E283F" w:rsidRDefault="00AC6F9A" w:rsidP="0018350C">
      <w:pPr>
        <w:pStyle w:val="BodyText2"/>
      </w:pPr>
      <w:r w:rsidRPr="009E283F">
        <w:t xml:space="preserve">financial </w:t>
      </w:r>
      <w:r w:rsidR="002F60B0" w:rsidRPr="009E283F">
        <w:t>management</w:t>
      </w:r>
      <w:r w:rsidRPr="009E283F">
        <w:t>;</w:t>
      </w:r>
    </w:p>
    <w:p w14:paraId="1CF7387C" w14:textId="102268B2" w:rsidR="0018350C" w:rsidRPr="009E283F" w:rsidRDefault="0018350C" w:rsidP="0018350C">
      <w:pPr>
        <w:pStyle w:val="BodyText2"/>
      </w:pPr>
      <w:r w:rsidRPr="009E283F">
        <w:t>data and systems;</w:t>
      </w:r>
      <w:r w:rsidR="00C51947" w:rsidRPr="009E283F">
        <w:t xml:space="preserve"> and</w:t>
      </w:r>
    </w:p>
    <w:p w14:paraId="245EE954" w14:textId="74D34E09" w:rsidR="0018350C" w:rsidRPr="009E283F" w:rsidRDefault="0038605D" w:rsidP="0018350C">
      <w:pPr>
        <w:pStyle w:val="BodyText2"/>
      </w:pPr>
      <w:r w:rsidRPr="009E283F">
        <w:t xml:space="preserve">where appropriate, </w:t>
      </w:r>
      <w:r w:rsidR="0018350C" w:rsidRPr="009E283F">
        <w:t xml:space="preserve">a </w:t>
      </w:r>
      <w:r w:rsidR="00601A53" w:rsidRPr="009E283F">
        <w:t>restructuring</w:t>
      </w:r>
      <w:r w:rsidR="00867E74" w:rsidRPr="009E283F">
        <w:t xml:space="preserve"> </w:t>
      </w:r>
      <w:r w:rsidR="0018350C" w:rsidRPr="009E283F">
        <w:t>plan.</w:t>
      </w:r>
    </w:p>
    <w:p w14:paraId="72333DCA" w14:textId="461F4C35" w:rsidR="00616EC5" w:rsidRPr="009E283F" w:rsidRDefault="004E2C57" w:rsidP="00AC6F9A">
      <w:pPr>
        <w:pStyle w:val="BodyText1"/>
      </w:pPr>
      <w:r w:rsidRPr="009E283F">
        <w:t xml:space="preserve">APRA may require an APRA-regulated entity to </w:t>
      </w:r>
      <w:r w:rsidR="00A33F05" w:rsidRPr="009E283F">
        <w:t>establish and maintain</w:t>
      </w:r>
      <w:r w:rsidRPr="009E283F">
        <w:t xml:space="preserve"> </w:t>
      </w:r>
      <w:r w:rsidR="00EA7D0C" w:rsidRPr="009E283F">
        <w:t xml:space="preserve">additional </w:t>
      </w:r>
      <w:r w:rsidR="008E3E0B" w:rsidRPr="009E283F">
        <w:t xml:space="preserve">capabilities </w:t>
      </w:r>
      <w:r w:rsidR="00EA7D0C" w:rsidRPr="009E283F">
        <w:t>if</w:t>
      </w:r>
      <w:r w:rsidR="008E3E0B" w:rsidRPr="009E283F">
        <w:t xml:space="preserve"> </w:t>
      </w:r>
      <w:r w:rsidRPr="009E283F">
        <w:t xml:space="preserve">necessary to support </w:t>
      </w:r>
      <w:r w:rsidR="005B594B" w:rsidRPr="009E283F">
        <w:t>the resolution plan</w:t>
      </w:r>
      <w:bookmarkStart w:id="37" w:name="_Hlk83744005"/>
      <w:bookmarkStart w:id="38" w:name="_Ref83124899"/>
      <w:r w:rsidR="00D8685E" w:rsidRPr="009E283F">
        <w:t>.</w:t>
      </w:r>
    </w:p>
    <w:bookmarkEnd w:id="37"/>
    <w:bookmarkEnd w:id="38"/>
    <w:p w14:paraId="349E1C86" w14:textId="36F66C44" w:rsidR="00E95124" w:rsidRPr="009E283F" w:rsidDel="006D2E30" w:rsidRDefault="00E95124">
      <w:pPr>
        <w:pStyle w:val="BodyText1"/>
      </w:pPr>
      <w:r w:rsidRPr="009E283F">
        <w:t xml:space="preserve">APRA may adjust </w:t>
      </w:r>
      <w:r w:rsidR="007512AA" w:rsidRPr="009E283F">
        <w:t xml:space="preserve">the </w:t>
      </w:r>
      <w:r w:rsidRPr="009E283F">
        <w:t>prudential requirements</w:t>
      </w:r>
      <w:r w:rsidR="003D1A12" w:rsidRPr="009E283F">
        <w:t xml:space="preserve"> </w:t>
      </w:r>
      <w:r w:rsidR="007512AA" w:rsidRPr="009E283F">
        <w:t xml:space="preserve">of an APRA-regulated entity </w:t>
      </w:r>
      <w:r w:rsidRPr="009E283F">
        <w:t xml:space="preserve">where barriers to resolution are not addressed or where capabilities to </w:t>
      </w:r>
      <w:r w:rsidR="00377BDB" w:rsidRPr="009E283F">
        <w:t xml:space="preserve">support </w:t>
      </w:r>
      <w:r w:rsidR="00AE4A51" w:rsidRPr="009E283F">
        <w:t xml:space="preserve">the </w:t>
      </w:r>
      <w:r w:rsidR="008E009C" w:rsidRPr="009E283F">
        <w:t>r</w:t>
      </w:r>
      <w:r w:rsidR="00377BDB" w:rsidRPr="009E283F">
        <w:t xml:space="preserve">esolution </w:t>
      </w:r>
      <w:r w:rsidR="00170A47" w:rsidRPr="009E283F">
        <w:t>p</w:t>
      </w:r>
      <w:r w:rsidR="00377BDB" w:rsidRPr="009E283F">
        <w:t xml:space="preserve">lan are </w:t>
      </w:r>
      <w:r w:rsidR="00AE7D50" w:rsidRPr="009E283F">
        <w:t>insufficient</w:t>
      </w:r>
      <w:r w:rsidR="00F67EB4" w:rsidRPr="009E283F">
        <w:t xml:space="preserve">, </w:t>
      </w:r>
      <w:r w:rsidR="00351708" w:rsidRPr="009E283F">
        <w:t>including</w:t>
      </w:r>
      <w:r w:rsidR="00532C09" w:rsidRPr="009E283F">
        <w:t xml:space="preserve"> </w:t>
      </w:r>
      <w:r w:rsidR="0095433A" w:rsidRPr="009E283F">
        <w:t>changes</w:t>
      </w:r>
      <w:r w:rsidR="00532C09" w:rsidRPr="009E283F">
        <w:t xml:space="preserve"> to capital requirements where relevant.</w:t>
      </w:r>
    </w:p>
    <w:p w14:paraId="1D8C8A6A" w14:textId="37A5F9B6" w:rsidR="00A33F05" w:rsidRPr="009E283F" w:rsidRDefault="00A33F05" w:rsidP="006D2E30">
      <w:pPr>
        <w:pStyle w:val="Heading1"/>
      </w:pPr>
      <w:bookmarkStart w:id="39" w:name="_Toc88154195"/>
      <w:r w:rsidRPr="009E283F">
        <w:t>External advisors</w:t>
      </w:r>
      <w:bookmarkEnd w:id="39"/>
      <w:r w:rsidRPr="009E283F">
        <w:t xml:space="preserve"> </w:t>
      </w:r>
    </w:p>
    <w:p w14:paraId="3835FFCE" w14:textId="6B542425" w:rsidR="00BF786F" w:rsidRPr="009E283F" w:rsidRDefault="00BF786F">
      <w:pPr>
        <w:pStyle w:val="BodyText1"/>
      </w:pPr>
      <w:r w:rsidRPr="009E283F">
        <w:t>APRA may require an APRA-regulated entity to:</w:t>
      </w:r>
    </w:p>
    <w:p w14:paraId="7249C1E2" w14:textId="43DD74FF" w:rsidR="00ED04C4" w:rsidRPr="009E283F" w:rsidRDefault="00BF786F" w:rsidP="009F1FDE">
      <w:pPr>
        <w:pStyle w:val="BodyText2"/>
      </w:pPr>
      <w:r w:rsidRPr="009E283F">
        <w:t>engage</w:t>
      </w:r>
      <w:r w:rsidR="00135873" w:rsidRPr="009E283F">
        <w:t>,</w:t>
      </w:r>
      <w:r w:rsidRPr="009E283F">
        <w:t xml:space="preserve"> </w:t>
      </w:r>
      <w:r w:rsidR="00135873" w:rsidRPr="009E283F">
        <w:t xml:space="preserve">at the expense of the APRA-regulated entity, </w:t>
      </w:r>
      <w:r w:rsidRPr="009E283F">
        <w:t>expert external advisors</w:t>
      </w:r>
      <w:r w:rsidR="00135873" w:rsidRPr="009E283F">
        <w:t xml:space="preserve"> </w:t>
      </w:r>
      <w:r w:rsidR="00482F7A" w:rsidRPr="009E283F">
        <w:t xml:space="preserve">approved </w:t>
      </w:r>
      <w:r w:rsidR="008A29F1" w:rsidRPr="009E283F">
        <w:t>by APRA,</w:t>
      </w:r>
      <w:r w:rsidR="004D068F" w:rsidRPr="009E283F">
        <w:t xml:space="preserve"> </w:t>
      </w:r>
      <w:r w:rsidRPr="009E283F">
        <w:t xml:space="preserve">to support </w:t>
      </w:r>
      <w:r w:rsidR="00F335E9" w:rsidRPr="009E283F">
        <w:t xml:space="preserve">with any aspect of this </w:t>
      </w:r>
      <w:r w:rsidR="008A29F1" w:rsidRPr="009E283F">
        <w:t>Prudential S</w:t>
      </w:r>
      <w:r w:rsidR="00F335E9" w:rsidRPr="009E283F">
        <w:t>tandard</w:t>
      </w:r>
      <w:r w:rsidR="00D12980" w:rsidRPr="009E283F">
        <w:t xml:space="preserve">. An APRA-regulated entity must consult with APRA before finalising the terms of engagement, and </w:t>
      </w:r>
      <w:r w:rsidR="00F8288D" w:rsidRPr="009E283F">
        <w:t xml:space="preserve">must ensure that </w:t>
      </w:r>
      <w:r w:rsidR="00D12980" w:rsidRPr="009E283F">
        <w:t xml:space="preserve">external advisors </w:t>
      </w:r>
      <w:r w:rsidR="00F8288D" w:rsidRPr="009E283F">
        <w:t>are</w:t>
      </w:r>
      <w:r w:rsidR="00D12980" w:rsidRPr="009E283F">
        <w:t xml:space="preserve"> available to meet with APRA on request. Reports prepared by external advisors must be provided to APRA and the APRA-regulated entity</w:t>
      </w:r>
      <w:r w:rsidR="00775049" w:rsidRPr="009E283F">
        <w:t>,</w:t>
      </w:r>
      <w:r w:rsidR="006245E4" w:rsidRPr="009E283F">
        <w:t xml:space="preserve"> including any interim or draft reports</w:t>
      </w:r>
      <w:r w:rsidRPr="009E283F">
        <w:t>; or</w:t>
      </w:r>
    </w:p>
    <w:p w14:paraId="2D1C9CF0" w14:textId="447FB91F" w:rsidR="00BF786F" w:rsidRPr="009E283F" w:rsidDel="00787A3E" w:rsidRDefault="00D12980" w:rsidP="00D12980">
      <w:pPr>
        <w:pStyle w:val="BodyText2"/>
      </w:pPr>
      <w:r w:rsidRPr="009E283F">
        <w:t>support</w:t>
      </w:r>
      <w:r w:rsidR="00BF786F" w:rsidRPr="009E283F">
        <w:t xml:space="preserve"> </w:t>
      </w:r>
      <w:r w:rsidRPr="009E283F">
        <w:t xml:space="preserve">external advisors </w:t>
      </w:r>
      <w:r w:rsidR="00F8288D" w:rsidRPr="009E283F">
        <w:t xml:space="preserve">engaged by APRA </w:t>
      </w:r>
      <w:r w:rsidR="00F335E9" w:rsidRPr="009E283F">
        <w:t xml:space="preserve">to </w:t>
      </w:r>
      <w:r w:rsidR="006245E4" w:rsidRPr="009E283F">
        <w:t xml:space="preserve">assist </w:t>
      </w:r>
      <w:r w:rsidR="004D068F" w:rsidRPr="009E283F">
        <w:t xml:space="preserve">in the </w:t>
      </w:r>
      <w:r w:rsidR="00F335E9" w:rsidRPr="009E283F">
        <w:t xml:space="preserve">exercise </w:t>
      </w:r>
      <w:r w:rsidR="004D068F" w:rsidRPr="009E283F">
        <w:t xml:space="preserve">of APRA’s </w:t>
      </w:r>
      <w:r w:rsidR="00F335E9" w:rsidRPr="009E283F">
        <w:t xml:space="preserve">powers and functions under this </w:t>
      </w:r>
      <w:r w:rsidR="008A29F1" w:rsidRPr="009E283F">
        <w:t>Prudential S</w:t>
      </w:r>
      <w:r w:rsidR="00F335E9" w:rsidRPr="009E283F">
        <w:t>tandard</w:t>
      </w:r>
      <w:r w:rsidR="00A40B8C" w:rsidRPr="009E283F">
        <w:t xml:space="preserve"> as it relates to the APRA-regulated </w:t>
      </w:r>
      <w:r w:rsidR="00FC1BEE" w:rsidRPr="009E283F">
        <w:t>entity</w:t>
      </w:r>
      <w:r w:rsidR="00BF786F" w:rsidRPr="009E283F">
        <w:t>.</w:t>
      </w:r>
    </w:p>
    <w:p w14:paraId="7C34292A" w14:textId="151883BE" w:rsidR="0018350C" w:rsidRPr="009E283F" w:rsidRDefault="0018350C" w:rsidP="0018350C">
      <w:pPr>
        <w:pStyle w:val="Heading1"/>
      </w:pPr>
      <w:bookmarkStart w:id="40" w:name="_Toc88154196"/>
      <w:bookmarkEnd w:id="32"/>
      <w:bookmarkEnd w:id="33"/>
      <w:bookmarkEnd w:id="34"/>
      <w:r w:rsidRPr="009E283F">
        <w:t>Review</w:t>
      </w:r>
      <w:bookmarkEnd w:id="40"/>
      <w:r w:rsidR="00031D12" w:rsidRPr="009E283F">
        <w:t xml:space="preserve"> and notification</w:t>
      </w:r>
    </w:p>
    <w:p w14:paraId="781C2358" w14:textId="70DD7D29" w:rsidR="0018350C" w:rsidRPr="009E283F" w:rsidRDefault="00212901" w:rsidP="0018350C">
      <w:pPr>
        <w:pStyle w:val="BodyText1"/>
      </w:pPr>
      <w:bookmarkStart w:id="41" w:name="_Ref80262214"/>
      <w:r w:rsidRPr="009E283F">
        <w:t>An APRA-regulated entity</w:t>
      </w:r>
      <w:r w:rsidR="003A33BD" w:rsidRPr="009E283F">
        <w:t xml:space="preserve"> that is subject to resolution planning under this Prudential Standard</w:t>
      </w:r>
      <w:r w:rsidRPr="009E283F">
        <w:t xml:space="preserve"> must review</w:t>
      </w:r>
      <w:r w:rsidR="007E279D" w:rsidRPr="009E283F">
        <w:t xml:space="preserve"> and update </w:t>
      </w:r>
      <w:r w:rsidRPr="009E283F">
        <w:t xml:space="preserve">the </w:t>
      </w:r>
      <w:r w:rsidR="00CC68A7" w:rsidRPr="009E283F">
        <w:t xml:space="preserve">critical functions </w:t>
      </w:r>
      <w:r w:rsidR="000D7B3E" w:rsidRPr="009E283F">
        <w:t>analysis</w:t>
      </w:r>
      <w:r w:rsidR="00CC68A7" w:rsidRPr="009E283F">
        <w:t xml:space="preserve"> and </w:t>
      </w:r>
      <w:r w:rsidR="008E009C" w:rsidRPr="009E283F">
        <w:t>r</w:t>
      </w:r>
      <w:r w:rsidRPr="009E283F">
        <w:t xml:space="preserve">esolvability assessment at least </w:t>
      </w:r>
      <w:r w:rsidR="00F335E9" w:rsidRPr="009E283F">
        <w:t xml:space="preserve">every </w:t>
      </w:r>
      <w:r w:rsidRPr="009E283F">
        <w:t>three</w:t>
      </w:r>
      <w:r w:rsidR="00F335E9" w:rsidRPr="009E283F">
        <w:t xml:space="preserve"> </w:t>
      </w:r>
      <w:r w:rsidRPr="009E283F">
        <w:t>year</w:t>
      </w:r>
      <w:r w:rsidR="00F335E9" w:rsidRPr="009E283F">
        <w:t>s</w:t>
      </w:r>
      <w:r w:rsidRPr="009E283F">
        <w:t>, or as otherwise determined by APRA. The review must be conducted by</w:t>
      </w:r>
      <w:r w:rsidR="0018350C" w:rsidRPr="009E283F">
        <w:t xml:space="preserve"> operationally independent, appropriately experienced and competent persons.</w:t>
      </w:r>
      <w:bookmarkEnd w:id="41"/>
      <w:r w:rsidR="00E03D8D" w:rsidRPr="009E283F">
        <w:t xml:space="preserve"> The APRA-regulated entity must submit to APRA a report of the review as soon as practicable after the report is finalised.</w:t>
      </w:r>
    </w:p>
    <w:p w14:paraId="6A84E72B" w14:textId="5B3C7212" w:rsidR="0018350C" w:rsidRPr="009E283F" w:rsidDel="002B017E" w:rsidRDefault="00451E74" w:rsidP="0018350C">
      <w:pPr>
        <w:pStyle w:val="BodyText1"/>
      </w:pPr>
      <w:bookmarkStart w:id="42" w:name="_Ref80262205"/>
      <w:r w:rsidRPr="009E283F">
        <w:t>Where appropriate, t</w:t>
      </w:r>
      <w:r w:rsidR="0018350C" w:rsidRPr="009E283F">
        <w:t xml:space="preserve">he </w:t>
      </w:r>
      <w:r w:rsidR="00212901" w:rsidRPr="009E283F">
        <w:t>review</w:t>
      </w:r>
      <w:r w:rsidR="0018350C" w:rsidRPr="009E283F">
        <w:t xml:space="preserve"> must recommend </w:t>
      </w:r>
      <w:r w:rsidR="007E279D" w:rsidRPr="009E283F">
        <w:t>changes</w:t>
      </w:r>
      <w:r w:rsidR="0018350C" w:rsidRPr="009E283F">
        <w:t xml:space="preserve"> to the </w:t>
      </w:r>
      <w:r w:rsidR="008E009C" w:rsidRPr="009E283F">
        <w:t>p</w:t>
      </w:r>
      <w:r w:rsidR="0018350C" w:rsidRPr="009E283F">
        <w:t xml:space="preserve">re-positioning </w:t>
      </w:r>
      <w:r w:rsidR="00170A47" w:rsidRPr="009E283F">
        <w:t>p</w:t>
      </w:r>
      <w:r w:rsidR="0018350C" w:rsidRPr="009E283F">
        <w:t xml:space="preserve">lan </w:t>
      </w:r>
      <w:r w:rsidR="00B4310A" w:rsidRPr="009E283F">
        <w:t xml:space="preserve">to </w:t>
      </w:r>
      <w:r w:rsidR="0018350C" w:rsidRPr="009E283F">
        <w:t>reflect any changes in organisational structure, strategy</w:t>
      </w:r>
      <w:r w:rsidR="009748ED" w:rsidRPr="009E283F">
        <w:t>,</w:t>
      </w:r>
      <w:r w:rsidR="00212901" w:rsidRPr="009E283F">
        <w:t xml:space="preserve"> </w:t>
      </w:r>
      <w:r w:rsidR="0018350C" w:rsidRPr="009E283F">
        <w:t>risk profile</w:t>
      </w:r>
      <w:r w:rsidR="009748ED" w:rsidRPr="009E283F">
        <w:t xml:space="preserve"> or the external environment </w:t>
      </w:r>
      <w:r w:rsidR="007E279D" w:rsidRPr="009E283F">
        <w:t>that</w:t>
      </w:r>
      <w:r w:rsidR="0018350C" w:rsidRPr="009E283F">
        <w:t xml:space="preserve"> could affect the APRA-regulated entity’s resolvability. The </w:t>
      </w:r>
      <w:r w:rsidR="00212901" w:rsidRPr="009E283F">
        <w:t>review</w:t>
      </w:r>
      <w:r w:rsidR="0018350C" w:rsidRPr="009E283F">
        <w:t xml:space="preserve"> must also recommend any </w:t>
      </w:r>
      <w:r w:rsidR="007D2275" w:rsidRPr="009E283F">
        <w:t xml:space="preserve">changes </w:t>
      </w:r>
      <w:r w:rsidR="0018350C" w:rsidRPr="009E283F">
        <w:t xml:space="preserve">to resources </w:t>
      </w:r>
      <w:r w:rsidR="007D2275" w:rsidRPr="009E283F">
        <w:t xml:space="preserve">and capabilities </w:t>
      </w:r>
      <w:r w:rsidR="0018350C" w:rsidRPr="009E283F">
        <w:t xml:space="preserve">necessary to support </w:t>
      </w:r>
      <w:r w:rsidR="00696B3B" w:rsidRPr="009E283F">
        <w:t>the</w:t>
      </w:r>
      <w:r w:rsidR="00957199" w:rsidRPr="009E283F">
        <w:t xml:space="preserve"> </w:t>
      </w:r>
      <w:r w:rsidR="008E009C" w:rsidRPr="009E283F">
        <w:t>r</w:t>
      </w:r>
      <w:r w:rsidR="0018350C" w:rsidRPr="009E283F">
        <w:t xml:space="preserve">esolution </w:t>
      </w:r>
      <w:r w:rsidR="00E33E28" w:rsidRPr="009E283F">
        <w:t>p</w:t>
      </w:r>
      <w:r w:rsidR="0018350C" w:rsidRPr="009E283F">
        <w:t>lan.</w:t>
      </w:r>
      <w:bookmarkEnd w:id="42"/>
    </w:p>
    <w:p w14:paraId="449FB7E5" w14:textId="0BDF87DA" w:rsidR="006761C4" w:rsidRPr="009E283F" w:rsidRDefault="0018350C">
      <w:pPr>
        <w:pStyle w:val="BodyText1"/>
      </w:pPr>
      <w:bookmarkStart w:id="43" w:name="_Ref76030437"/>
      <w:r w:rsidRPr="009E283F">
        <w:t xml:space="preserve">An APRA-regulated entity must notify APRA </w:t>
      </w:r>
      <w:r w:rsidR="00A037D6" w:rsidRPr="009E283F">
        <w:t>of</w:t>
      </w:r>
      <w:r w:rsidRPr="009E283F">
        <w:t xml:space="preserve"> </w:t>
      </w:r>
      <w:r w:rsidR="00157362" w:rsidRPr="009E283F">
        <w:t>material</w:t>
      </w:r>
      <w:r w:rsidR="00A037D6" w:rsidRPr="009E283F">
        <w:t xml:space="preserve"> </w:t>
      </w:r>
      <w:r w:rsidRPr="009E283F">
        <w:t>changes to its business or operations</w:t>
      </w:r>
      <w:r w:rsidR="002D6819" w:rsidRPr="009E283F">
        <w:t xml:space="preserve"> </w:t>
      </w:r>
      <w:r w:rsidR="00A037D6" w:rsidRPr="009E283F">
        <w:t>that</w:t>
      </w:r>
      <w:r w:rsidR="002D6819" w:rsidRPr="009E283F">
        <w:t xml:space="preserve"> </w:t>
      </w:r>
      <w:r w:rsidR="00A037D6" w:rsidRPr="009E283F">
        <w:t xml:space="preserve">may </w:t>
      </w:r>
      <w:r w:rsidRPr="009E283F">
        <w:t>create a</w:t>
      </w:r>
      <w:r w:rsidR="00451AF6" w:rsidRPr="009E283F">
        <w:t xml:space="preserve"> </w:t>
      </w:r>
      <w:r w:rsidRPr="009E283F">
        <w:t xml:space="preserve">barrier to </w:t>
      </w:r>
      <w:r w:rsidR="008E009C" w:rsidRPr="009E283F">
        <w:t>r</w:t>
      </w:r>
      <w:r w:rsidRPr="009E283F">
        <w:t>esolution.</w:t>
      </w:r>
      <w:bookmarkEnd w:id="43"/>
      <w:r w:rsidR="007512AA" w:rsidRPr="009E283F">
        <w:t xml:space="preserve"> </w:t>
      </w:r>
    </w:p>
    <w:sectPr w:rsidR="006761C4" w:rsidRPr="009E283F" w:rsidSect="00953ED9">
      <w:headerReference w:type="default" r:id="rId14"/>
      <w:footerReference w:type="default" r:id="rId15"/>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A715" w14:textId="77777777" w:rsidR="001F0338" w:rsidRDefault="001F0338" w:rsidP="006A6A52">
      <w:pPr>
        <w:spacing w:after="0"/>
      </w:pPr>
      <w:r>
        <w:separator/>
      </w:r>
    </w:p>
  </w:endnote>
  <w:endnote w:type="continuationSeparator" w:id="0">
    <w:p w14:paraId="1D4F2FEA" w14:textId="77777777" w:rsidR="001F0338" w:rsidRDefault="001F0338" w:rsidP="006A6A52">
      <w:pPr>
        <w:spacing w:after="0"/>
      </w:pPr>
      <w:r>
        <w:continuationSeparator/>
      </w:r>
    </w:p>
  </w:endnote>
  <w:endnote w:type="continuationNotice" w:id="1">
    <w:p w14:paraId="1F75BEEF" w14:textId="77777777" w:rsidR="001F0338" w:rsidRDefault="001F03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PMincho">
    <w:altName w:val="ＭＳ Ｐ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1CB3" w14:textId="715D243E" w:rsidR="00913643" w:rsidRPr="00842FBD" w:rsidRDefault="006856D1" w:rsidP="00842FBD">
    <w:pPr>
      <w:pStyle w:val="Footer"/>
    </w:pPr>
    <w:fldSimple w:instr="STYLEREF  &quot;PS No. field text&quot;  \* MERGEFORMAT">
      <w:r w:rsidR="00532382">
        <w:rPr>
          <w:noProof/>
        </w:rPr>
        <w:t>CPS 900</w:t>
      </w:r>
    </w:fldSimple>
    <w:r w:rsidR="00913643">
      <w:t xml:space="preserve"> - </w:t>
    </w:r>
    <w:r w:rsidR="00913643" w:rsidRPr="00842FBD">
      <w:fldChar w:fldCharType="begin"/>
    </w:r>
    <w:r w:rsidR="00913643" w:rsidRPr="00842FBD">
      <w:instrText xml:space="preserve"> PAGE </w:instrText>
    </w:r>
    <w:r w:rsidR="00913643" w:rsidRPr="00842FBD">
      <w:fldChar w:fldCharType="separate"/>
    </w:r>
    <w:r w:rsidR="00913643">
      <w:t>11</w:t>
    </w:r>
    <w:r w:rsidR="00913643"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D13E" w14:textId="77777777" w:rsidR="001F0338" w:rsidRDefault="001F0338" w:rsidP="006A6A52">
      <w:pPr>
        <w:spacing w:after="0"/>
      </w:pPr>
      <w:r>
        <w:separator/>
      </w:r>
    </w:p>
  </w:footnote>
  <w:footnote w:type="continuationSeparator" w:id="0">
    <w:p w14:paraId="630268F4" w14:textId="77777777" w:rsidR="001F0338" w:rsidRDefault="001F0338" w:rsidP="006A6A52">
      <w:pPr>
        <w:spacing w:after="0"/>
      </w:pPr>
      <w:r>
        <w:continuationSeparator/>
      </w:r>
    </w:p>
  </w:footnote>
  <w:footnote w:type="continuationNotice" w:id="1">
    <w:p w14:paraId="6FA53165" w14:textId="77777777" w:rsidR="001F0338" w:rsidRDefault="001F0338">
      <w:pPr>
        <w:spacing w:after="0"/>
      </w:pPr>
    </w:p>
  </w:footnote>
  <w:footnote w:id="2">
    <w:p w14:paraId="2A19F2A8" w14:textId="72E77520" w:rsidR="00913643" w:rsidRDefault="00913643" w:rsidP="00F120DF">
      <w:pPr>
        <w:pStyle w:val="FootnoteText"/>
      </w:pPr>
      <w:r>
        <w:rPr>
          <w:rStyle w:val="FootnoteReference"/>
        </w:rPr>
        <w:footnoteRef/>
      </w:r>
      <w:r>
        <w:t xml:space="preserve"> </w:t>
      </w:r>
      <w:r>
        <w:tab/>
        <w:t xml:space="preserve">For the purposes of this Prudential Standard, </w:t>
      </w:r>
      <w:r w:rsidRPr="009377CA">
        <w:t>an RSE licensee has the meaning given in subsection</w:t>
      </w:r>
      <w:r>
        <w:t> </w:t>
      </w:r>
      <w:r w:rsidRPr="009377CA">
        <w:t xml:space="preserve">10(1) of the SIS Act. </w:t>
      </w:r>
      <w:r>
        <w:t xml:space="preserve">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 </w:t>
      </w:r>
    </w:p>
  </w:footnote>
  <w:footnote w:id="3">
    <w:p w14:paraId="29A29AC4" w14:textId="149FF45B" w:rsidR="00913643" w:rsidRPr="00A7199B" w:rsidRDefault="00913643">
      <w:pPr>
        <w:pStyle w:val="FootnoteText"/>
      </w:pPr>
      <w:r w:rsidRPr="00A7199B">
        <w:rPr>
          <w:rStyle w:val="FootnoteReference"/>
        </w:rPr>
        <w:footnoteRef/>
      </w:r>
      <w:r w:rsidRPr="00A7199B">
        <w:t xml:space="preserve"> </w:t>
      </w:r>
      <w:r w:rsidRPr="00A7199B">
        <w:tab/>
        <w:t xml:space="preserve">Head of a group means a Level 2 Head or a </w:t>
      </w:r>
      <w:r w:rsidRPr="00A7199B">
        <w:rPr>
          <w:b/>
        </w:rPr>
        <w:t>Level 3 Head</w:t>
      </w:r>
      <w:r w:rsidRPr="00A7199B">
        <w:t xml:space="preserve"> as relevant. Level 2 Head means: where an ADI that is a member of a Level 2 group is not a </w:t>
      </w:r>
      <w:r w:rsidRPr="00A7199B">
        <w:rPr>
          <w:b/>
        </w:rPr>
        <w:t>subsidiary</w:t>
      </w:r>
      <w:r w:rsidRPr="00A7199B">
        <w:t xml:space="preserve"> of an authorised banking NOHC or another ADI, that ADI; where an ADI that is a member of a Level 2 group is a subsidiary of an authorised banking NOHC, that authorised banking NOHC; or the parent entity of a </w:t>
      </w:r>
      <w:r w:rsidRPr="004D4F0B">
        <w:t>Level 2 insurance group</w:t>
      </w:r>
      <w:r w:rsidRPr="00A7199B">
        <w:t>. For life companies, Head of a group includes: where a relevant group of bodies corporate is headed by a life company that is not a subsidiary of a registered NOHC, that life company; or where a relevant group of bodies corporate is headed by a registered NOHC, that registered NOHC.</w:t>
      </w:r>
    </w:p>
  </w:footnote>
  <w:footnote w:id="4">
    <w:p w14:paraId="407EE9FA" w14:textId="59101724" w:rsidR="00913643" w:rsidRPr="00A7199B" w:rsidRDefault="00913643" w:rsidP="00F120DF">
      <w:pPr>
        <w:pStyle w:val="FootnoteText"/>
      </w:pPr>
      <w:r w:rsidRPr="00A7199B">
        <w:rPr>
          <w:rStyle w:val="FootnoteReference"/>
        </w:rPr>
        <w:footnoteRef/>
      </w:r>
      <w:r w:rsidRPr="00A7199B">
        <w:t xml:space="preserve"> </w:t>
      </w:r>
      <w:r w:rsidRPr="00A7199B">
        <w:tab/>
        <w:t xml:space="preserve">Where a Level 2 group operates within a </w:t>
      </w:r>
      <w:r w:rsidRPr="004D4F0B">
        <w:rPr>
          <w:b/>
        </w:rPr>
        <w:t>Level 3 group</w:t>
      </w:r>
      <w:r w:rsidRPr="00A7199B">
        <w:t>, a requirement expressed as applying to a Head of a group is to be read as applying to the Level 3 Head. For the avoidance of doubt, the reference to Head of a group does not apply to an RSE licensee or a private health insurer.</w:t>
      </w:r>
    </w:p>
  </w:footnote>
  <w:footnote w:id="5">
    <w:p w14:paraId="4B9A98E6" w14:textId="6E1E41B4" w:rsidR="00913643" w:rsidRDefault="00913643">
      <w:pPr>
        <w:pStyle w:val="FootnoteText"/>
      </w:pPr>
      <w:r w:rsidRPr="00A7199B">
        <w:rPr>
          <w:rStyle w:val="FootnoteReference"/>
        </w:rPr>
        <w:footnoteRef/>
      </w:r>
      <w:r w:rsidRPr="00A7199B">
        <w:t xml:space="preserve"> </w:t>
      </w:r>
      <w:r w:rsidRPr="00A7199B">
        <w:tab/>
        <w:t xml:space="preserve">Group means a Level 2 group, </w:t>
      </w:r>
      <w:r w:rsidRPr="004D4F0B">
        <w:t>Level 3 group</w:t>
      </w:r>
      <w:r w:rsidRPr="00A7199B">
        <w:t xml:space="preserve"> or a group comprising the RSE licensee and all connected entities (as defined in subsection 10(1) of the SIS Act) and all related bodies corporate (with the meaning given in section 50 of the </w:t>
      </w:r>
      <w:r w:rsidRPr="00A7199B">
        <w:rPr>
          <w:i/>
        </w:rPr>
        <w:t>Corporations Act 2001</w:t>
      </w:r>
      <w:r w:rsidRPr="00A7199B">
        <w:t xml:space="preserve">) of the RSE licensee, as relevant. Level 2 group means the entities that comprise </w:t>
      </w:r>
      <w:r w:rsidRPr="00A7199B">
        <w:rPr>
          <w:b/>
        </w:rPr>
        <w:t>Level 2</w:t>
      </w:r>
      <w:r w:rsidRPr="00A7199B">
        <w:t xml:space="preserve"> (for ADIs) or </w:t>
      </w:r>
      <w:r w:rsidRPr="004D4F0B">
        <w:t>Level 2 insurance groups</w:t>
      </w:r>
      <w:r w:rsidRPr="00A7199B">
        <w:t xml:space="preserve"> (for general insurers). For the avoidance of doubt, group includes a group as defined in APS 001 and, for an RSE licensee, where the RSE licensee is part of a corporate group.</w:t>
      </w:r>
    </w:p>
  </w:footnote>
  <w:footnote w:id="6">
    <w:p w14:paraId="04F34181" w14:textId="728AD2F8" w:rsidR="00627203" w:rsidRDefault="00627203">
      <w:pPr>
        <w:pStyle w:val="FootnoteText"/>
      </w:pPr>
      <w:r>
        <w:rPr>
          <w:rStyle w:val="FootnoteReference"/>
        </w:rPr>
        <w:footnoteRef/>
      </w:r>
      <w:r w:rsidR="005C1796">
        <w:t xml:space="preserve"> </w:t>
      </w:r>
      <w:r w:rsidR="00DF7F25">
        <w:tab/>
      </w:r>
      <w:r w:rsidR="005C1796">
        <w:t>APS 001, GPS 001, LPS 001 and HPS 001 define this term in relation to other APRA-regulated entities.</w:t>
      </w:r>
    </w:p>
  </w:footnote>
  <w:footnote w:id="7">
    <w:p w14:paraId="26C1A374" w14:textId="183BF9EF" w:rsidR="009335D8" w:rsidRDefault="009335D8" w:rsidP="009335D8">
      <w:pPr>
        <w:pStyle w:val="FootnoteText"/>
      </w:pPr>
      <w:r>
        <w:rPr>
          <w:rStyle w:val="FootnoteReference"/>
        </w:rPr>
        <w:footnoteRef/>
      </w:r>
      <w:r w:rsidR="00C12527">
        <w:t xml:space="preserve"> </w:t>
      </w:r>
      <w:r w:rsidR="00DF7F25">
        <w:tab/>
      </w:r>
      <w:r w:rsidR="00C12527">
        <w:t>APS 001, GPS 001, LPS 001 and HPS 001 define this term in relation to other APRA-regulated entities.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43"/>
    </w:tblGrid>
    <w:tr w:rsidR="00953ED9" w14:paraId="1E3A05C8" w14:textId="77777777" w:rsidTr="00953ED9">
      <w:tc>
        <w:tcPr>
          <w:tcW w:w="4143" w:type="dxa"/>
          <w:tcBorders>
            <w:top w:val="nil"/>
            <w:left w:val="nil"/>
            <w:bottom w:val="nil"/>
            <w:right w:val="nil"/>
          </w:tcBorders>
        </w:tcPr>
        <w:p w14:paraId="79B6C871" w14:textId="62C69371" w:rsidR="00953ED9" w:rsidRDefault="00953ED9" w:rsidP="00676E41">
          <w:pPr>
            <w:pStyle w:val="Header"/>
          </w:pPr>
        </w:p>
      </w:tc>
    </w:tr>
  </w:tbl>
  <w:p w14:paraId="4FC6DB1F" w14:textId="014CFDDC" w:rsidR="00913643" w:rsidRDefault="0091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43"/>
      <w:gridCol w:w="4169"/>
    </w:tblGrid>
    <w:tr w:rsidR="00953ED9" w14:paraId="35715F29" w14:textId="77777777" w:rsidTr="00676E41">
      <w:tc>
        <w:tcPr>
          <w:tcW w:w="4264" w:type="dxa"/>
          <w:tcBorders>
            <w:top w:val="nil"/>
            <w:left w:val="nil"/>
            <w:bottom w:val="nil"/>
            <w:right w:val="nil"/>
          </w:tcBorders>
        </w:tcPr>
        <w:p w14:paraId="263A237E" w14:textId="77777777" w:rsidR="00953ED9" w:rsidRDefault="00953ED9" w:rsidP="00676E41">
          <w:pPr>
            <w:pStyle w:val="Header"/>
          </w:pPr>
        </w:p>
      </w:tc>
      <w:tc>
        <w:tcPr>
          <w:tcW w:w="4264" w:type="dxa"/>
          <w:tcBorders>
            <w:top w:val="nil"/>
            <w:left w:val="nil"/>
            <w:bottom w:val="nil"/>
            <w:right w:val="nil"/>
          </w:tcBorders>
        </w:tcPr>
        <w:p w14:paraId="1F706221" w14:textId="77777777" w:rsidR="00953ED9" w:rsidRDefault="00953ED9" w:rsidP="00676E41">
          <w:pPr>
            <w:pStyle w:val="Header"/>
          </w:pPr>
          <w:r>
            <w:t>January 2024</w:t>
          </w:r>
        </w:p>
      </w:tc>
    </w:tr>
  </w:tbl>
  <w:p w14:paraId="595C7332" w14:textId="77777777" w:rsidR="00953ED9" w:rsidRDefault="00953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11EF13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F2BC1"/>
    <w:multiLevelType w:val="hybridMultilevel"/>
    <w:tmpl w:val="A246F4EA"/>
    <w:lvl w:ilvl="0" w:tplc="0C09000F">
      <w:start w:val="1"/>
      <w:numFmt w:val="decimal"/>
      <w:lvlText w:val="%1."/>
      <w:lvlJc w:val="left"/>
      <w:pPr>
        <w:ind w:left="720" w:hanging="360"/>
      </w:pPr>
    </w:lvl>
    <w:lvl w:ilvl="1" w:tplc="F9D4D258">
      <w:start w:val="1"/>
      <w:numFmt w:val="lowerLetter"/>
      <w:lvlText w:val="(%2)"/>
      <w:lvlJc w:val="left"/>
      <w:pPr>
        <w:ind w:left="1725" w:hanging="645"/>
      </w:pPr>
      <w:rPr>
        <w:rFonts w:ascii="Times New Roman" w:hAnsi="Times New Roman" w:cs="Times New Roman" w:hint="default"/>
        <w:sz w:val="2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C43853"/>
    <w:multiLevelType w:val="hybridMultilevel"/>
    <w:tmpl w:val="07022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247D4"/>
    <w:multiLevelType w:val="multilevel"/>
    <w:tmpl w:val="C610EB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lvlText w:val="(%4)"/>
      <w:lvlJc w:val="left"/>
      <w:pPr>
        <w:ind w:left="1525" w:hanging="44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463545"/>
    <w:multiLevelType w:val="multilevel"/>
    <w:tmpl w:val="A8347240"/>
    <w:lvl w:ilvl="0">
      <w:start w:val="1"/>
      <w:numFmt w:val="decimal"/>
      <w:pStyle w:val="BodyText1"/>
      <w:lvlText w:val="%1."/>
      <w:lvlJc w:val="left"/>
      <w:pPr>
        <w:tabs>
          <w:tab w:val="num" w:pos="3261"/>
        </w:tabs>
        <w:ind w:left="3261" w:hanging="567"/>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181727"/>
    <w:multiLevelType w:val="hybridMultilevel"/>
    <w:tmpl w:val="E7541CAA"/>
    <w:lvl w:ilvl="0" w:tplc="0C090017">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1" w15:restartNumberingAfterBreak="0">
    <w:nsid w:val="17F84557"/>
    <w:multiLevelType w:val="hybridMultilevel"/>
    <w:tmpl w:val="39A87464"/>
    <w:lvl w:ilvl="0" w:tplc="B19053D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ABC5135"/>
    <w:multiLevelType w:val="hybridMultilevel"/>
    <w:tmpl w:val="E396A4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FF081F"/>
    <w:multiLevelType w:val="hybridMultilevel"/>
    <w:tmpl w:val="361EAEBA"/>
    <w:lvl w:ilvl="0" w:tplc="8CEE2EE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C6E2E20"/>
    <w:multiLevelType w:val="hybridMultilevel"/>
    <w:tmpl w:val="53A2E68C"/>
    <w:lvl w:ilvl="0" w:tplc="1C60E128">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1F50AC"/>
    <w:multiLevelType w:val="multilevel"/>
    <w:tmpl w:val="AC5E151C"/>
    <w:styleLink w:val="BulletList"/>
    <w:lvl w:ilvl="0">
      <w:start w:val="1"/>
      <w:numFmt w:val="bullet"/>
      <w:lvlText w:val=""/>
      <w:lvlJc w:val="left"/>
      <w:pPr>
        <w:tabs>
          <w:tab w:val="num" w:pos="425"/>
        </w:tabs>
        <w:ind w:left="425" w:hanging="425"/>
      </w:pPr>
      <w:rPr>
        <w:rFonts w:ascii="Symbol" w:hAnsi="Symbol" w:hint="default"/>
        <w:color w:val="000000" w:themeColor="text1"/>
      </w:rPr>
    </w:lvl>
    <w:lvl w:ilvl="1">
      <w:start w:val="1"/>
      <w:numFmt w:val="bullet"/>
      <w:lvlText w:val="-"/>
      <w:lvlJc w:val="left"/>
      <w:pPr>
        <w:tabs>
          <w:tab w:val="num" w:pos="851"/>
        </w:tabs>
        <w:ind w:left="851" w:hanging="426"/>
      </w:pPr>
      <w:rPr>
        <w:rFonts w:ascii="Arial" w:hAnsi="Arial" w:hint="default"/>
        <w:color w:val="000000" w:themeColor="text1"/>
      </w:rPr>
    </w:lvl>
    <w:lvl w:ilvl="2">
      <w:start w:val="1"/>
      <w:numFmt w:val="bullet"/>
      <w:lvlText w:val="o"/>
      <w:lvlJc w:val="left"/>
      <w:pPr>
        <w:tabs>
          <w:tab w:val="num" w:pos="1276"/>
        </w:tabs>
        <w:ind w:left="1276" w:hanging="425"/>
      </w:pPr>
      <w:rPr>
        <w:rFonts w:ascii="Courier New" w:hAnsi="Courier New" w:hint="default"/>
        <w:color w:val="000000" w:themeColor="text1"/>
      </w:rPr>
    </w:lvl>
    <w:lvl w:ilvl="3">
      <w:start w:val="1"/>
      <w:numFmt w:val="none"/>
      <w:suff w:val="nothing"/>
      <w:lvlText w:val=""/>
      <w:lvlJc w:val="left"/>
      <w:pPr>
        <w:ind w:left="425" w:firstLine="0"/>
      </w:pPr>
      <w:rPr>
        <w:rFonts w:hint="default"/>
      </w:rPr>
    </w:lvl>
    <w:lvl w:ilvl="4">
      <w:start w:val="1"/>
      <w:numFmt w:val="none"/>
      <w:suff w:val="nothing"/>
      <w:lvlText w:val=""/>
      <w:lvlJc w:val="left"/>
      <w:pPr>
        <w:ind w:left="425" w:firstLine="0"/>
      </w:pPr>
      <w:rPr>
        <w:rFonts w:hint="default"/>
      </w:rPr>
    </w:lvl>
    <w:lvl w:ilvl="5">
      <w:start w:val="1"/>
      <w:numFmt w:val="none"/>
      <w:suff w:val="nothing"/>
      <w:lvlText w:val=""/>
      <w:lvlJc w:val="left"/>
      <w:pPr>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suff w:val="nothing"/>
      <w:lvlText w:val=""/>
      <w:lvlJc w:val="left"/>
      <w:pPr>
        <w:ind w:left="425" w:firstLine="0"/>
      </w:pPr>
      <w:rPr>
        <w:rFonts w:hint="default"/>
      </w:rPr>
    </w:lvl>
  </w:abstractNum>
  <w:abstractNum w:abstractNumId="17" w15:restartNumberingAfterBreak="0">
    <w:nsid w:val="34E452D1"/>
    <w:multiLevelType w:val="hybridMultilevel"/>
    <w:tmpl w:val="48DEFA88"/>
    <w:lvl w:ilvl="0" w:tplc="E44E071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261ECD"/>
    <w:multiLevelType w:val="hybridMultilevel"/>
    <w:tmpl w:val="7D2447B2"/>
    <w:lvl w:ilvl="0" w:tplc="A3DCC2E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64E024E"/>
    <w:multiLevelType w:val="multilevel"/>
    <w:tmpl w:val="C610EBD0"/>
    <w:styleLink w:val="BodyTextnumberinghierarchylist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lvlText w:val="(%4)"/>
      <w:lvlJc w:val="left"/>
      <w:pPr>
        <w:ind w:left="1525" w:hanging="44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39485058"/>
    <w:multiLevelType w:val="hybridMultilevel"/>
    <w:tmpl w:val="244A6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9B23B4"/>
    <w:multiLevelType w:val="hybridMultilevel"/>
    <w:tmpl w:val="0BA65906"/>
    <w:lvl w:ilvl="0" w:tplc="F9944C9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811BD"/>
    <w:multiLevelType w:val="hybridMultilevel"/>
    <w:tmpl w:val="7130C9CA"/>
    <w:lvl w:ilvl="0" w:tplc="30F0EE8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554477"/>
    <w:multiLevelType w:val="hybridMultilevel"/>
    <w:tmpl w:val="B2F4B4F6"/>
    <w:lvl w:ilvl="0" w:tplc="0C090017">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6"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7"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8"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9"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0637E"/>
    <w:multiLevelType w:val="hybridMultilevel"/>
    <w:tmpl w:val="A6F6AFEE"/>
    <w:lvl w:ilvl="0" w:tplc="68E6CA1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E5E241C"/>
    <w:multiLevelType w:val="multilevel"/>
    <w:tmpl w:val="E5C08168"/>
    <w:lvl w:ilvl="0">
      <w:start w:val="1"/>
      <w:numFmt w:val="lowerRoman"/>
      <w:lvlText w:val="%1)"/>
      <w:lvlJc w:val="left"/>
      <w:pPr>
        <w:ind w:left="1275" w:firstLine="0"/>
      </w:pPr>
      <w:rPr>
        <w:rFonts w:hint="default"/>
      </w:rPr>
    </w:lvl>
    <w:lvl w:ilvl="1">
      <w:start w:val="1"/>
      <w:numFmt w:val="decimal"/>
      <w:lvlText w:val="%2."/>
      <w:lvlJc w:val="left"/>
      <w:pPr>
        <w:tabs>
          <w:tab w:val="num" w:pos="1700"/>
        </w:tabs>
        <w:ind w:left="1700" w:hanging="425"/>
      </w:pPr>
      <w:rPr>
        <w:rFonts w:hint="default"/>
      </w:rPr>
    </w:lvl>
    <w:lvl w:ilvl="2">
      <w:start w:val="1"/>
      <w:numFmt w:val="lowerLetter"/>
      <w:lvlText w:val="%3."/>
      <w:lvlJc w:val="left"/>
      <w:pPr>
        <w:tabs>
          <w:tab w:val="num" w:pos="2126"/>
        </w:tabs>
        <w:ind w:left="2126" w:hanging="426"/>
      </w:pPr>
      <w:rPr>
        <w:rFonts w:hint="default"/>
      </w:rPr>
    </w:lvl>
    <w:lvl w:ilvl="3">
      <w:start w:val="1"/>
      <w:numFmt w:val="lowerRoman"/>
      <w:lvlText w:val="%4."/>
      <w:lvlJc w:val="left"/>
      <w:pPr>
        <w:tabs>
          <w:tab w:val="num" w:pos="2551"/>
        </w:tabs>
        <w:ind w:left="2551" w:hanging="425"/>
      </w:pPr>
      <w:rPr>
        <w:rFonts w:hint="default"/>
      </w:rPr>
    </w:lvl>
    <w:lvl w:ilvl="4">
      <w:start w:val="1"/>
      <w:numFmt w:val="none"/>
      <w:suff w:val="nothing"/>
      <w:lvlText w:val=""/>
      <w:lvlJc w:val="left"/>
      <w:pPr>
        <w:ind w:left="1275" w:firstLine="0"/>
      </w:pPr>
      <w:rPr>
        <w:rFonts w:hint="default"/>
      </w:rPr>
    </w:lvl>
    <w:lvl w:ilvl="5">
      <w:start w:val="1"/>
      <w:numFmt w:val="none"/>
      <w:suff w:val="nothing"/>
      <w:lvlText w:val=""/>
      <w:lvlJc w:val="left"/>
      <w:pPr>
        <w:ind w:left="1275" w:firstLine="0"/>
      </w:pPr>
      <w:rPr>
        <w:rFonts w:hint="default"/>
      </w:rPr>
    </w:lvl>
    <w:lvl w:ilvl="6">
      <w:start w:val="1"/>
      <w:numFmt w:val="none"/>
      <w:suff w:val="nothing"/>
      <w:lvlText w:val=""/>
      <w:lvlJc w:val="left"/>
      <w:pPr>
        <w:ind w:left="1275" w:firstLine="0"/>
      </w:pPr>
      <w:rPr>
        <w:rFonts w:hint="default"/>
      </w:rPr>
    </w:lvl>
    <w:lvl w:ilvl="7">
      <w:start w:val="1"/>
      <w:numFmt w:val="none"/>
      <w:lvlText w:val=""/>
      <w:lvlJc w:val="left"/>
      <w:pPr>
        <w:ind w:left="1275" w:firstLine="0"/>
      </w:pPr>
      <w:rPr>
        <w:rFonts w:hint="default"/>
      </w:rPr>
    </w:lvl>
    <w:lvl w:ilvl="8">
      <w:start w:val="1"/>
      <w:numFmt w:val="none"/>
      <w:suff w:val="nothing"/>
      <w:lvlText w:val=""/>
      <w:lvlJc w:val="left"/>
      <w:pPr>
        <w:ind w:left="1275" w:firstLine="0"/>
      </w:pPr>
      <w:rPr>
        <w:rFonts w:hint="default"/>
      </w:rPr>
    </w:lvl>
  </w:abstractNum>
  <w:abstractNum w:abstractNumId="32"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6ED0CB4"/>
    <w:multiLevelType w:val="hybridMultilevel"/>
    <w:tmpl w:val="3F1CA064"/>
    <w:lvl w:ilvl="0" w:tplc="0C09000F">
      <w:start w:val="1"/>
      <w:numFmt w:val="decimal"/>
      <w:lvlText w:val="%1."/>
      <w:lvlJc w:val="left"/>
      <w:pPr>
        <w:ind w:left="1145" w:hanging="360"/>
      </w:p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34"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5" w15:restartNumberingAfterBreak="0">
    <w:nsid w:val="5DE31969"/>
    <w:multiLevelType w:val="hybridMultilevel"/>
    <w:tmpl w:val="945883D0"/>
    <w:lvl w:ilvl="0" w:tplc="551A3FB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3143AC"/>
    <w:multiLevelType w:val="hybridMultilevel"/>
    <w:tmpl w:val="E9F042C0"/>
    <w:lvl w:ilvl="0" w:tplc="0C090019">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6FA5EC4"/>
    <w:multiLevelType w:val="hybridMultilevel"/>
    <w:tmpl w:val="00F8857C"/>
    <w:lvl w:ilvl="0" w:tplc="5B04419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F66907"/>
    <w:multiLevelType w:val="hybridMultilevel"/>
    <w:tmpl w:val="058C39CE"/>
    <w:lvl w:ilvl="0" w:tplc="0C090001">
      <w:start w:val="1"/>
      <w:numFmt w:val="bullet"/>
      <w:lvlText w:val=""/>
      <w:lvlJc w:val="left"/>
      <w:pPr>
        <w:ind w:left="360" w:hanging="360"/>
      </w:pPr>
      <w:rPr>
        <w:rFonts w:ascii="Symbol" w:hAnsi="Symbol" w:hint="default"/>
      </w:rPr>
    </w:lvl>
    <w:lvl w:ilvl="1" w:tplc="0C09000F">
      <w:start w:val="1"/>
      <w:numFmt w:val="decimal"/>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69B17A3F"/>
    <w:multiLevelType w:val="multilevel"/>
    <w:tmpl w:val="8EA00C60"/>
    <w:styleLink w:val="1ai"/>
    <w:lvl w:ilvl="0">
      <w:start w:val="1"/>
      <w:numFmt w:val="none"/>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lowerLetter"/>
      <w:lvlText w:val="%3."/>
      <w:lvlJc w:val="left"/>
      <w:pPr>
        <w:tabs>
          <w:tab w:val="num" w:pos="851"/>
        </w:tabs>
        <w:ind w:left="851" w:hanging="426"/>
      </w:pPr>
      <w:rPr>
        <w:rFonts w:hint="default"/>
      </w:rPr>
    </w:lvl>
    <w:lvl w:ilvl="3">
      <w:start w:val="1"/>
      <w:numFmt w:val="lowerRoman"/>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41"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5D3AE2"/>
    <w:multiLevelType w:val="hybridMultilevel"/>
    <w:tmpl w:val="5832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825625"/>
    <w:multiLevelType w:val="hybridMultilevel"/>
    <w:tmpl w:val="046C0C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832A54"/>
    <w:multiLevelType w:val="hybridMultilevel"/>
    <w:tmpl w:val="1D3ABF7A"/>
    <w:lvl w:ilvl="0" w:tplc="6C7C485A">
      <w:start w:val="1"/>
      <w:numFmt w:val="lowerRoman"/>
      <w:pStyle w:val="BlockText"/>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5" w15:restartNumberingAfterBreak="0">
    <w:nsid w:val="7F0E0A06"/>
    <w:multiLevelType w:val="hybridMultilevel"/>
    <w:tmpl w:val="55680BB2"/>
    <w:lvl w:ilvl="0" w:tplc="0C09000F">
      <w:start w:val="1"/>
      <w:numFmt w:val="decimal"/>
      <w:lvlText w:val="%1."/>
      <w:lvlJc w:val="left"/>
      <w:pPr>
        <w:ind w:left="841" w:hanging="360"/>
      </w:pPr>
    </w:lvl>
    <w:lvl w:ilvl="1" w:tplc="0C090019">
      <w:start w:val="1"/>
      <w:numFmt w:val="lowerLetter"/>
      <w:lvlText w:val="%2."/>
      <w:lvlJc w:val="left"/>
      <w:pPr>
        <w:ind w:left="1561" w:hanging="360"/>
      </w:pPr>
    </w:lvl>
    <w:lvl w:ilvl="2" w:tplc="0C09001B">
      <w:start w:val="1"/>
      <w:numFmt w:val="lowerRoman"/>
      <w:lvlText w:val="%3."/>
      <w:lvlJc w:val="right"/>
      <w:pPr>
        <w:ind w:left="2281" w:hanging="180"/>
      </w:pPr>
    </w:lvl>
    <w:lvl w:ilvl="3" w:tplc="0C09000F">
      <w:start w:val="1"/>
      <w:numFmt w:val="decimal"/>
      <w:lvlText w:val="%4."/>
      <w:lvlJc w:val="left"/>
      <w:pPr>
        <w:ind w:left="3001" w:hanging="360"/>
      </w:pPr>
    </w:lvl>
    <w:lvl w:ilvl="4" w:tplc="0C090019">
      <w:start w:val="1"/>
      <w:numFmt w:val="lowerLetter"/>
      <w:lvlText w:val="%5."/>
      <w:lvlJc w:val="left"/>
      <w:pPr>
        <w:ind w:left="3721" w:hanging="360"/>
      </w:pPr>
    </w:lvl>
    <w:lvl w:ilvl="5" w:tplc="0C09001B">
      <w:start w:val="1"/>
      <w:numFmt w:val="lowerRoman"/>
      <w:lvlText w:val="%6."/>
      <w:lvlJc w:val="right"/>
      <w:pPr>
        <w:ind w:left="4441" w:hanging="180"/>
      </w:pPr>
    </w:lvl>
    <w:lvl w:ilvl="6" w:tplc="0C09000F">
      <w:start w:val="1"/>
      <w:numFmt w:val="decimal"/>
      <w:lvlText w:val="%7."/>
      <w:lvlJc w:val="left"/>
      <w:pPr>
        <w:ind w:left="5161" w:hanging="360"/>
      </w:pPr>
    </w:lvl>
    <w:lvl w:ilvl="7" w:tplc="0C090019">
      <w:start w:val="1"/>
      <w:numFmt w:val="lowerLetter"/>
      <w:lvlText w:val="%8."/>
      <w:lvlJc w:val="left"/>
      <w:pPr>
        <w:ind w:left="5881" w:hanging="360"/>
      </w:pPr>
    </w:lvl>
    <w:lvl w:ilvl="8" w:tplc="0C09001B">
      <w:start w:val="1"/>
      <w:numFmt w:val="lowerRoman"/>
      <w:lvlText w:val="%9."/>
      <w:lvlJc w:val="right"/>
      <w:pPr>
        <w:ind w:left="6601" w:hanging="180"/>
      </w:pPr>
    </w:lvl>
  </w:abstractNum>
  <w:num w:numId="1" w16cid:durableId="1189636936">
    <w:abstractNumId w:val="25"/>
  </w:num>
  <w:num w:numId="2" w16cid:durableId="1331058066">
    <w:abstractNumId w:val="28"/>
  </w:num>
  <w:num w:numId="3" w16cid:durableId="2139714364">
    <w:abstractNumId w:val="7"/>
  </w:num>
  <w:num w:numId="4" w16cid:durableId="14231346">
    <w:abstractNumId w:val="20"/>
  </w:num>
  <w:num w:numId="5" w16cid:durableId="263464176">
    <w:abstractNumId w:val="44"/>
  </w:num>
  <w:num w:numId="6" w16cid:durableId="1181894711">
    <w:abstractNumId w:val="14"/>
  </w:num>
  <w:num w:numId="7" w16cid:durableId="2038768768">
    <w:abstractNumId w:val="41"/>
  </w:num>
  <w:num w:numId="8" w16cid:durableId="1882397504">
    <w:abstractNumId w:val="34"/>
  </w:num>
  <w:num w:numId="9" w16cid:durableId="1935358153">
    <w:abstractNumId w:val="40"/>
  </w:num>
  <w:num w:numId="10" w16cid:durableId="12610994">
    <w:abstractNumId w:val="32"/>
  </w:num>
  <w:num w:numId="11" w16cid:durableId="987243400">
    <w:abstractNumId w:val="3"/>
  </w:num>
  <w:num w:numId="12" w16cid:durableId="1682777263">
    <w:abstractNumId w:val="0"/>
  </w:num>
  <w:num w:numId="13" w16cid:durableId="617562209">
    <w:abstractNumId w:val="2"/>
  </w:num>
  <w:num w:numId="14" w16cid:durableId="767428782">
    <w:abstractNumId w:val="1"/>
  </w:num>
  <w:num w:numId="15" w16cid:durableId="422533431">
    <w:abstractNumId w:val="29"/>
  </w:num>
  <w:num w:numId="16" w16cid:durableId="806047164">
    <w:abstractNumId w:val="8"/>
  </w:num>
  <w:num w:numId="17" w16cid:durableId="211357170">
    <w:abstractNumId w:val="27"/>
  </w:num>
  <w:num w:numId="18" w16cid:durableId="1411737203">
    <w:abstractNumId w:val="26"/>
  </w:num>
  <w:num w:numId="19" w16cid:durableId="1917545987">
    <w:abstractNumId w:val="9"/>
  </w:num>
  <w:num w:numId="20" w16cid:durableId="1065572605">
    <w:abstractNumId w:val="9"/>
  </w:num>
  <w:num w:numId="21" w16cid:durableId="28272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7707054">
    <w:abstractNumId w:val="39"/>
  </w:num>
  <w:num w:numId="23" w16cid:durableId="757482016">
    <w:abstractNumId w:val="16"/>
  </w:num>
  <w:num w:numId="24" w16cid:durableId="1497724057">
    <w:abstractNumId w:val="33"/>
  </w:num>
  <w:num w:numId="25" w16cid:durableId="1612785966">
    <w:abstractNumId w:val="4"/>
  </w:num>
  <w:num w:numId="26" w16cid:durableId="1941521400">
    <w:abstractNumId w:val="24"/>
  </w:num>
  <w:num w:numId="27" w16cid:durableId="637027932">
    <w:abstractNumId w:val="31"/>
  </w:num>
  <w:num w:numId="28" w16cid:durableId="1353336293">
    <w:abstractNumId w:val="10"/>
  </w:num>
  <w:num w:numId="29" w16cid:durableId="1452742581">
    <w:abstractNumId w:val="22"/>
  </w:num>
  <w:num w:numId="30" w16cid:durableId="1331102705">
    <w:abstractNumId w:val="19"/>
  </w:num>
  <w:num w:numId="31" w16cid:durableId="102071117">
    <w:abstractNumId w:val="6"/>
  </w:num>
  <w:num w:numId="32" w16cid:durableId="4396846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88798392">
    <w:abstractNumId w:val="42"/>
  </w:num>
  <w:num w:numId="34" w16cid:durableId="1608003635">
    <w:abstractNumId w:val="9"/>
  </w:num>
  <w:num w:numId="35" w16cid:durableId="1989166986">
    <w:abstractNumId w:val="9"/>
  </w:num>
  <w:num w:numId="36" w16cid:durableId="585964525">
    <w:abstractNumId w:val="9"/>
  </w:num>
  <w:num w:numId="37" w16cid:durableId="476649459">
    <w:abstractNumId w:val="9"/>
  </w:num>
  <w:num w:numId="38" w16cid:durableId="1848127662">
    <w:abstractNumId w:val="13"/>
  </w:num>
  <w:num w:numId="39" w16cid:durableId="2022195394">
    <w:abstractNumId w:val="12"/>
  </w:num>
  <w:num w:numId="40" w16cid:durableId="1235166955">
    <w:abstractNumId w:val="11"/>
  </w:num>
  <w:num w:numId="41" w16cid:durableId="455493194">
    <w:abstractNumId w:val="9"/>
  </w:num>
  <w:num w:numId="42" w16cid:durableId="1209104511">
    <w:abstractNumId w:val="9"/>
  </w:num>
  <w:num w:numId="43" w16cid:durableId="1196502634">
    <w:abstractNumId w:val="3"/>
  </w:num>
  <w:num w:numId="44" w16cid:durableId="7416375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720662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53338715">
    <w:abstractNumId w:val="18"/>
  </w:num>
  <w:num w:numId="47" w16cid:durableId="132793003">
    <w:abstractNumId w:val="9"/>
  </w:num>
  <w:num w:numId="48" w16cid:durableId="867329052">
    <w:abstractNumId w:val="9"/>
  </w:num>
  <w:num w:numId="49" w16cid:durableId="1226914276">
    <w:abstractNumId w:val="9"/>
  </w:num>
  <w:num w:numId="50" w16cid:durableId="1776511037">
    <w:abstractNumId w:val="9"/>
  </w:num>
  <w:num w:numId="51" w16cid:durableId="1242563320">
    <w:abstractNumId w:val="9"/>
  </w:num>
  <w:num w:numId="52" w16cid:durableId="292296754">
    <w:abstractNumId w:val="9"/>
  </w:num>
  <w:num w:numId="53" w16cid:durableId="1428312124">
    <w:abstractNumId w:val="43"/>
  </w:num>
  <w:num w:numId="54" w16cid:durableId="395665666">
    <w:abstractNumId w:val="38"/>
  </w:num>
  <w:num w:numId="55" w16cid:durableId="1244490519">
    <w:abstractNumId w:val="15"/>
  </w:num>
  <w:num w:numId="56" w16cid:durableId="383675320">
    <w:abstractNumId w:val="5"/>
  </w:num>
  <w:num w:numId="57" w16cid:durableId="473721886">
    <w:abstractNumId w:val="21"/>
  </w:num>
  <w:num w:numId="58" w16cid:durableId="1319848351">
    <w:abstractNumId w:val="36"/>
  </w:num>
  <w:num w:numId="59" w16cid:durableId="2002194042">
    <w:abstractNumId w:val="23"/>
  </w:num>
  <w:num w:numId="60" w16cid:durableId="2007707842">
    <w:abstractNumId w:val="37"/>
  </w:num>
  <w:num w:numId="61" w16cid:durableId="815490068">
    <w:abstractNumId w:val="17"/>
  </w:num>
  <w:num w:numId="62" w16cid:durableId="1754088543">
    <w:abstractNumId w:val="9"/>
  </w:num>
  <w:num w:numId="63" w16cid:durableId="469521268">
    <w:abstractNumId w:val="9"/>
  </w:num>
  <w:num w:numId="64" w16cid:durableId="1617254656">
    <w:abstractNumId w:val="9"/>
  </w:num>
  <w:num w:numId="65" w16cid:durableId="887759882">
    <w:abstractNumId w:val="9"/>
  </w:num>
  <w:num w:numId="66" w16cid:durableId="1328823871">
    <w:abstractNumId w:val="35"/>
  </w:num>
  <w:num w:numId="67" w16cid:durableId="651717211">
    <w:abstractNumId w:val="9"/>
  </w:num>
  <w:num w:numId="68" w16cid:durableId="75814093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680935331">
    <w:abstractNumId w:val="9"/>
  </w:num>
  <w:num w:numId="70" w16cid:durableId="2056269276">
    <w:abstractNumId w:val="3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9C"/>
    <w:rsid w:val="00000902"/>
    <w:rsid w:val="00001128"/>
    <w:rsid w:val="000012E4"/>
    <w:rsid w:val="0000176B"/>
    <w:rsid w:val="0000180F"/>
    <w:rsid w:val="0000183A"/>
    <w:rsid w:val="00001C93"/>
    <w:rsid w:val="00001D43"/>
    <w:rsid w:val="00003844"/>
    <w:rsid w:val="00003D47"/>
    <w:rsid w:val="00004367"/>
    <w:rsid w:val="0000463B"/>
    <w:rsid w:val="00004833"/>
    <w:rsid w:val="00004A64"/>
    <w:rsid w:val="0000566F"/>
    <w:rsid w:val="000056C2"/>
    <w:rsid w:val="000058CC"/>
    <w:rsid w:val="00006402"/>
    <w:rsid w:val="000110B8"/>
    <w:rsid w:val="00011A73"/>
    <w:rsid w:val="00014486"/>
    <w:rsid w:val="00015924"/>
    <w:rsid w:val="00015D47"/>
    <w:rsid w:val="0001662C"/>
    <w:rsid w:val="00017C83"/>
    <w:rsid w:val="00017E32"/>
    <w:rsid w:val="00020988"/>
    <w:rsid w:val="00022714"/>
    <w:rsid w:val="00022C4D"/>
    <w:rsid w:val="000235E5"/>
    <w:rsid w:val="00023F19"/>
    <w:rsid w:val="00024464"/>
    <w:rsid w:val="00024B1A"/>
    <w:rsid w:val="00025094"/>
    <w:rsid w:val="00025458"/>
    <w:rsid w:val="00025990"/>
    <w:rsid w:val="00025DC3"/>
    <w:rsid w:val="00025F2F"/>
    <w:rsid w:val="000276F9"/>
    <w:rsid w:val="0003081F"/>
    <w:rsid w:val="00030E36"/>
    <w:rsid w:val="00031065"/>
    <w:rsid w:val="00031369"/>
    <w:rsid w:val="00031D12"/>
    <w:rsid w:val="00032C89"/>
    <w:rsid w:val="0003389E"/>
    <w:rsid w:val="00033B44"/>
    <w:rsid w:val="00033F58"/>
    <w:rsid w:val="00035D07"/>
    <w:rsid w:val="00037539"/>
    <w:rsid w:val="00040D46"/>
    <w:rsid w:val="000413F4"/>
    <w:rsid w:val="00041A00"/>
    <w:rsid w:val="00041F17"/>
    <w:rsid w:val="0004267F"/>
    <w:rsid w:val="00043142"/>
    <w:rsid w:val="00043E66"/>
    <w:rsid w:val="00044AF1"/>
    <w:rsid w:val="000464D5"/>
    <w:rsid w:val="00050B45"/>
    <w:rsid w:val="00051338"/>
    <w:rsid w:val="00051607"/>
    <w:rsid w:val="000518B9"/>
    <w:rsid w:val="000523DC"/>
    <w:rsid w:val="00052776"/>
    <w:rsid w:val="00052812"/>
    <w:rsid w:val="0005407D"/>
    <w:rsid w:val="00056752"/>
    <w:rsid w:val="0005708E"/>
    <w:rsid w:val="00057A1F"/>
    <w:rsid w:val="000602FE"/>
    <w:rsid w:val="00060DA3"/>
    <w:rsid w:val="0006135D"/>
    <w:rsid w:val="00061E66"/>
    <w:rsid w:val="00062D45"/>
    <w:rsid w:val="0006337F"/>
    <w:rsid w:val="000634B8"/>
    <w:rsid w:val="00063624"/>
    <w:rsid w:val="00063709"/>
    <w:rsid w:val="00063F03"/>
    <w:rsid w:val="0006457B"/>
    <w:rsid w:val="000645CF"/>
    <w:rsid w:val="00065CAE"/>
    <w:rsid w:val="000678DB"/>
    <w:rsid w:val="00067D86"/>
    <w:rsid w:val="000702E7"/>
    <w:rsid w:val="000706C8"/>
    <w:rsid w:val="00070B1C"/>
    <w:rsid w:val="00070D42"/>
    <w:rsid w:val="000716B7"/>
    <w:rsid w:val="000719AB"/>
    <w:rsid w:val="00072BA3"/>
    <w:rsid w:val="0007443A"/>
    <w:rsid w:val="00074570"/>
    <w:rsid w:val="0007482A"/>
    <w:rsid w:val="00074A94"/>
    <w:rsid w:val="00075313"/>
    <w:rsid w:val="0007583E"/>
    <w:rsid w:val="00075DF5"/>
    <w:rsid w:val="00076D46"/>
    <w:rsid w:val="000772C2"/>
    <w:rsid w:val="000775A8"/>
    <w:rsid w:val="00077F08"/>
    <w:rsid w:val="0008024D"/>
    <w:rsid w:val="000802A8"/>
    <w:rsid w:val="00081355"/>
    <w:rsid w:val="0008142D"/>
    <w:rsid w:val="00082825"/>
    <w:rsid w:val="00082BEF"/>
    <w:rsid w:val="00083A96"/>
    <w:rsid w:val="00085032"/>
    <w:rsid w:val="00085BC7"/>
    <w:rsid w:val="000864D2"/>
    <w:rsid w:val="00086546"/>
    <w:rsid w:val="0008792C"/>
    <w:rsid w:val="00087D3E"/>
    <w:rsid w:val="000922DE"/>
    <w:rsid w:val="000927A8"/>
    <w:rsid w:val="0009306E"/>
    <w:rsid w:val="0009322C"/>
    <w:rsid w:val="000939F2"/>
    <w:rsid w:val="00094934"/>
    <w:rsid w:val="0009569C"/>
    <w:rsid w:val="00095CD4"/>
    <w:rsid w:val="00096496"/>
    <w:rsid w:val="00096988"/>
    <w:rsid w:val="000973E7"/>
    <w:rsid w:val="00097431"/>
    <w:rsid w:val="0009745E"/>
    <w:rsid w:val="00097BA0"/>
    <w:rsid w:val="000A023E"/>
    <w:rsid w:val="000A097F"/>
    <w:rsid w:val="000A10BE"/>
    <w:rsid w:val="000A1427"/>
    <w:rsid w:val="000A1475"/>
    <w:rsid w:val="000A1714"/>
    <w:rsid w:val="000A186B"/>
    <w:rsid w:val="000A1CF0"/>
    <w:rsid w:val="000A22F4"/>
    <w:rsid w:val="000A34C3"/>
    <w:rsid w:val="000A365B"/>
    <w:rsid w:val="000A3C92"/>
    <w:rsid w:val="000A4159"/>
    <w:rsid w:val="000A43CC"/>
    <w:rsid w:val="000A4946"/>
    <w:rsid w:val="000A4EF8"/>
    <w:rsid w:val="000A51C2"/>
    <w:rsid w:val="000A6FDC"/>
    <w:rsid w:val="000A7989"/>
    <w:rsid w:val="000B0E62"/>
    <w:rsid w:val="000B13D9"/>
    <w:rsid w:val="000B1421"/>
    <w:rsid w:val="000B1FC2"/>
    <w:rsid w:val="000B2062"/>
    <w:rsid w:val="000B2400"/>
    <w:rsid w:val="000B3596"/>
    <w:rsid w:val="000B4187"/>
    <w:rsid w:val="000B63CD"/>
    <w:rsid w:val="000B65E8"/>
    <w:rsid w:val="000B6C0C"/>
    <w:rsid w:val="000B7D5A"/>
    <w:rsid w:val="000B7ECA"/>
    <w:rsid w:val="000C0161"/>
    <w:rsid w:val="000C0581"/>
    <w:rsid w:val="000C1E94"/>
    <w:rsid w:val="000C232F"/>
    <w:rsid w:val="000C332E"/>
    <w:rsid w:val="000C33E5"/>
    <w:rsid w:val="000C3574"/>
    <w:rsid w:val="000C47E4"/>
    <w:rsid w:val="000C4B2B"/>
    <w:rsid w:val="000C4C83"/>
    <w:rsid w:val="000C5136"/>
    <w:rsid w:val="000C5627"/>
    <w:rsid w:val="000C5879"/>
    <w:rsid w:val="000C5CB4"/>
    <w:rsid w:val="000C67A8"/>
    <w:rsid w:val="000C6EC0"/>
    <w:rsid w:val="000C712B"/>
    <w:rsid w:val="000C73BA"/>
    <w:rsid w:val="000C758E"/>
    <w:rsid w:val="000D128F"/>
    <w:rsid w:val="000D13CD"/>
    <w:rsid w:val="000D1633"/>
    <w:rsid w:val="000D26AB"/>
    <w:rsid w:val="000D2C48"/>
    <w:rsid w:val="000D32C4"/>
    <w:rsid w:val="000D4E5A"/>
    <w:rsid w:val="000D507B"/>
    <w:rsid w:val="000D50F1"/>
    <w:rsid w:val="000D5B25"/>
    <w:rsid w:val="000D5BD5"/>
    <w:rsid w:val="000D5C44"/>
    <w:rsid w:val="000D63A8"/>
    <w:rsid w:val="000D7131"/>
    <w:rsid w:val="000D7354"/>
    <w:rsid w:val="000D7A4F"/>
    <w:rsid w:val="000D7A9C"/>
    <w:rsid w:val="000D7B3E"/>
    <w:rsid w:val="000E0938"/>
    <w:rsid w:val="000E12BB"/>
    <w:rsid w:val="000E2054"/>
    <w:rsid w:val="000E3377"/>
    <w:rsid w:val="000E3496"/>
    <w:rsid w:val="000E3E5D"/>
    <w:rsid w:val="000E422E"/>
    <w:rsid w:val="000E56FA"/>
    <w:rsid w:val="000E60BE"/>
    <w:rsid w:val="000E6427"/>
    <w:rsid w:val="000E66BE"/>
    <w:rsid w:val="000E6848"/>
    <w:rsid w:val="000E68DE"/>
    <w:rsid w:val="000E701F"/>
    <w:rsid w:val="000E7662"/>
    <w:rsid w:val="000F246F"/>
    <w:rsid w:val="000F391A"/>
    <w:rsid w:val="000F39F0"/>
    <w:rsid w:val="000F3BCB"/>
    <w:rsid w:val="000F4F25"/>
    <w:rsid w:val="000F5363"/>
    <w:rsid w:val="000F5A55"/>
    <w:rsid w:val="000F5CFE"/>
    <w:rsid w:val="000F60A3"/>
    <w:rsid w:val="000F6302"/>
    <w:rsid w:val="000F6565"/>
    <w:rsid w:val="001000C0"/>
    <w:rsid w:val="00100255"/>
    <w:rsid w:val="00100E02"/>
    <w:rsid w:val="001011B3"/>
    <w:rsid w:val="00101749"/>
    <w:rsid w:val="001029A7"/>
    <w:rsid w:val="00102D44"/>
    <w:rsid w:val="0010325C"/>
    <w:rsid w:val="0010396D"/>
    <w:rsid w:val="00103B63"/>
    <w:rsid w:val="00103F2C"/>
    <w:rsid w:val="0010449E"/>
    <w:rsid w:val="00104CCC"/>
    <w:rsid w:val="00105178"/>
    <w:rsid w:val="001056FA"/>
    <w:rsid w:val="00105D59"/>
    <w:rsid w:val="00105E4F"/>
    <w:rsid w:val="00110917"/>
    <w:rsid w:val="00110A0F"/>
    <w:rsid w:val="00111BAF"/>
    <w:rsid w:val="0011276E"/>
    <w:rsid w:val="00113090"/>
    <w:rsid w:val="001136E8"/>
    <w:rsid w:val="00114239"/>
    <w:rsid w:val="00115C62"/>
    <w:rsid w:val="00115F85"/>
    <w:rsid w:val="00116550"/>
    <w:rsid w:val="00116755"/>
    <w:rsid w:val="00116D97"/>
    <w:rsid w:val="00117417"/>
    <w:rsid w:val="0011789F"/>
    <w:rsid w:val="00117C62"/>
    <w:rsid w:val="00117CDF"/>
    <w:rsid w:val="00117E43"/>
    <w:rsid w:val="00120CD1"/>
    <w:rsid w:val="00121C15"/>
    <w:rsid w:val="00122324"/>
    <w:rsid w:val="00122DF0"/>
    <w:rsid w:val="00123DC3"/>
    <w:rsid w:val="001248BD"/>
    <w:rsid w:val="00125562"/>
    <w:rsid w:val="00126469"/>
    <w:rsid w:val="001266B1"/>
    <w:rsid w:val="00126FE4"/>
    <w:rsid w:val="0012718B"/>
    <w:rsid w:val="001274A5"/>
    <w:rsid w:val="00127689"/>
    <w:rsid w:val="00127B1E"/>
    <w:rsid w:val="00131907"/>
    <w:rsid w:val="00131F91"/>
    <w:rsid w:val="0013237B"/>
    <w:rsid w:val="001323BD"/>
    <w:rsid w:val="0013251B"/>
    <w:rsid w:val="00132CA7"/>
    <w:rsid w:val="0013399C"/>
    <w:rsid w:val="00133E79"/>
    <w:rsid w:val="0013452A"/>
    <w:rsid w:val="00134D59"/>
    <w:rsid w:val="00134F17"/>
    <w:rsid w:val="00135873"/>
    <w:rsid w:val="0013678A"/>
    <w:rsid w:val="00136FAC"/>
    <w:rsid w:val="0013772E"/>
    <w:rsid w:val="00137944"/>
    <w:rsid w:val="001409C1"/>
    <w:rsid w:val="00140CA3"/>
    <w:rsid w:val="001419EE"/>
    <w:rsid w:val="00141CA6"/>
    <w:rsid w:val="00141D13"/>
    <w:rsid w:val="0014290E"/>
    <w:rsid w:val="00142F50"/>
    <w:rsid w:val="00143E3D"/>
    <w:rsid w:val="00145BAA"/>
    <w:rsid w:val="00150A04"/>
    <w:rsid w:val="001536C0"/>
    <w:rsid w:val="00153996"/>
    <w:rsid w:val="00154249"/>
    <w:rsid w:val="00154D5B"/>
    <w:rsid w:val="001564D9"/>
    <w:rsid w:val="00157362"/>
    <w:rsid w:val="00157522"/>
    <w:rsid w:val="00157EC3"/>
    <w:rsid w:val="00160D47"/>
    <w:rsid w:val="0016139C"/>
    <w:rsid w:val="00161CB3"/>
    <w:rsid w:val="00162CE8"/>
    <w:rsid w:val="001630C3"/>
    <w:rsid w:val="001639B0"/>
    <w:rsid w:val="001643B2"/>
    <w:rsid w:val="001643C8"/>
    <w:rsid w:val="00164C6C"/>
    <w:rsid w:val="00166C15"/>
    <w:rsid w:val="00166E83"/>
    <w:rsid w:val="00167FA5"/>
    <w:rsid w:val="001709FA"/>
    <w:rsid w:val="00170A47"/>
    <w:rsid w:val="00171F4A"/>
    <w:rsid w:val="001726EC"/>
    <w:rsid w:val="00172C45"/>
    <w:rsid w:val="00173A04"/>
    <w:rsid w:val="00175BFE"/>
    <w:rsid w:val="00175D62"/>
    <w:rsid w:val="0017620A"/>
    <w:rsid w:val="001765E0"/>
    <w:rsid w:val="00177BE7"/>
    <w:rsid w:val="001805E3"/>
    <w:rsid w:val="001808E1"/>
    <w:rsid w:val="00180D7D"/>
    <w:rsid w:val="0018263E"/>
    <w:rsid w:val="00182864"/>
    <w:rsid w:val="00182FA1"/>
    <w:rsid w:val="0018345F"/>
    <w:rsid w:val="0018350C"/>
    <w:rsid w:val="00183F1E"/>
    <w:rsid w:val="001840B9"/>
    <w:rsid w:val="00184149"/>
    <w:rsid w:val="0018460C"/>
    <w:rsid w:val="00184622"/>
    <w:rsid w:val="0018554D"/>
    <w:rsid w:val="00185939"/>
    <w:rsid w:val="00186606"/>
    <w:rsid w:val="0018685C"/>
    <w:rsid w:val="0018721F"/>
    <w:rsid w:val="0018745D"/>
    <w:rsid w:val="00187510"/>
    <w:rsid w:val="00190DC3"/>
    <w:rsid w:val="00191B7B"/>
    <w:rsid w:val="0019224D"/>
    <w:rsid w:val="00192923"/>
    <w:rsid w:val="00194364"/>
    <w:rsid w:val="00194C8E"/>
    <w:rsid w:val="00195974"/>
    <w:rsid w:val="001963E8"/>
    <w:rsid w:val="001964DE"/>
    <w:rsid w:val="00196905"/>
    <w:rsid w:val="00196E67"/>
    <w:rsid w:val="001971AF"/>
    <w:rsid w:val="0019729C"/>
    <w:rsid w:val="001A0306"/>
    <w:rsid w:val="001A10D9"/>
    <w:rsid w:val="001A1F8A"/>
    <w:rsid w:val="001A2D09"/>
    <w:rsid w:val="001A3D55"/>
    <w:rsid w:val="001A54F6"/>
    <w:rsid w:val="001A5D05"/>
    <w:rsid w:val="001B0132"/>
    <w:rsid w:val="001B0BDB"/>
    <w:rsid w:val="001B0BFF"/>
    <w:rsid w:val="001B129C"/>
    <w:rsid w:val="001B1633"/>
    <w:rsid w:val="001B2F5E"/>
    <w:rsid w:val="001B394F"/>
    <w:rsid w:val="001B53E9"/>
    <w:rsid w:val="001B6AD5"/>
    <w:rsid w:val="001B6C40"/>
    <w:rsid w:val="001B722D"/>
    <w:rsid w:val="001B74D5"/>
    <w:rsid w:val="001B76B4"/>
    <w:rsid w:val="001B7B6C"/>
    <w:rsid w:val="001C17CE"/>
    <w:rsid w:val="001C2432"/>
    <w:rsid w:val="001C2937"/>
    <w:rsid w:val="001C297B"/>
    <w:rsid w:val="001C29EB"/>
    <w:rsid w:val="001C2ED6"/>
    <w:rsid w:val="001C36EE"/>
    <w:rsid w:val="001C4899"/>
    <w:rsid w:val="001C489B"/>
    <w:rsid w:val="001C60B2"/>
    <w:rsid w:val="001C70FC"/>
    <w:rsid w:val="001C743A"/>
    <w:rsid w:val="001C755C"/>
    <w:rsid w:val="001D033C"/>
    <w:rsid w:val="001D05BC"/>
    <w:rsid w:val="001D087A"/>
    <w:rsid w:val="001D0F08"/>
    <w:rsid w:val="001D16F7"/>
    <w:rsid w:val="001D24EE"/>
    <w:rsid w:val="001D2C19"/>
    <w:rsid w:val="001D3039"/>
    <w:rsid w:val="001D319D"/>
    <w:rsid w:val="001D387D"/>
    <w:rsid w:val="001D3C63"/>
    <w:rsid w:val="001D52BA"/>
    <w:rsid w:val="001D5CC0"/>
    <w:rsid w:val="001D625A"/>
    <w:rsid w:val="001D6B74"/>
    <w:rsid w:val="001D73BC"/>
    <w:rsid w:val="001E12E1"/>
    <w:rsid w:val="001E15AB"/>
    <w:rsid w:val="001E295E"/>
    <w:rsid w:val="001E2CD9"/>
    <w:rsid w:val="001E2F44"/>
    <w:rsid w:val="001E3525"/>
    <w:rsid w:val="001E37AB"/>
    <w:rsid w:val="001E3B48"/>
    <w:rsid w:val="001E4154"/>
    <w:rsid w:val="001E603C"/>
    <w:rsid w:val="001E6440"/>
    <w:rsid w:val="001E7558"/>
    <w:rsid w:val="001E7598"/>
    <w:rsid w:val="001E7ADB"/>
    <w:rsid w:val="001E7EA9"/>
    <w:rsid w:val="001F003F"/>
    <w:rsid w:val="001F0338"/>
    <w:rsid w:val="001F0631"/>
    <w:rsid w:val="001F0BC5"/>
    <w:rsid w:val="001F11BC"/>
    <w:rsid w:val="001F2166"/>
    <w:rsid w:val="001F2B75"/>
    <w:rsid w:val="001F3683"/>
    <w:rsid w:val="001F3C3E"/>
    <w:rsid w:val="001F65FE"/>
    <w:rsid w:val="001F6B8D"/>
    <w:rsid w:val="001F6CDE"/>
    <w:rsid w:val="0020114E"/>
    <w:rsid w:val="00201F44"/>
    <w:rsid w:val="00202BD0"/>
    <w:rsid w:val="002037D7"/>
    <w:rsid w:val="00203B10"/>
    <w:rsid w:val="00203D17"/>
    <w:rsid w:val="00204308"/>
    <w:rsid w:val="00204A96"/>
    <w:rsid w:val="00204F38"/>
    <w:rsid w:val="002100EC"/>
    <w:rsid w:val="00210AA1"/>
    <w:rsid w:val="00210ACB"/>
    <w:rsid w:val="00210F5B"/>
    <w:rsid w:val="00211C27"/>
    <w:rsid w:val="00211D56"/>
    <w:rsid w:val="00211F33"/>
    <w:rsid w:val="00212901"/>
    <w:rsid w:val="00212B6F"/>
    <w:rsid w:val="002131B9"/>
    <w:rsid w:val="0021340C"/>
    <w:rsid w:val="002140A8"/>
    <w:rsid w:val="002146CB"/>
    <w:rsid w:val="002162C3"/>
    <w:rsid w:val="00216D6D"/>
    <w:rsid w:val="00216F20"/>
    <w:rsid w:val="0021738C"/>
    <w:rsid w:val="0022006C"/>
    <w:rsid w:val="00220918"/>
    <w:rsid w:val="00220B3A"/>
    <w:rsid w:val="002215A9"/>
    <w:rsid w:val="0022229F"/>
    <w:rsid w:val="00222BE6"/>
    <w:rsid w:val="0022371D"/>
    <w:rsid w:val="002242AB"/>
    <w:rsid w:val="00225353"/>
    <w:rsid w:val="00225781"/>
    <w:rsid w:val="00225FED"/>
    <w:rsid w:val="002271EA"/>
    <w:rsid w:val="002273CF"/>
    <w:rsid w:val="002274CB"/>
    <w:rsid w:val="00227B50"/>
    <w:rsid w:val="00227B6E"/>
    <w:rsid w:val="00227E5D"/>
    <w:rsid w:val="0023075B"/>
    <w:rsid w:val="0023092C"/>
    <w:rsid w:val="002314C6"/>
    <w:rsid w:val="00231A0C"/>
    <w:rsid w:val="002332F0"/>
    <w:rsid w:val="0023330D"/>
    <w:rsid w:val="00233630"/>
    <w:rsid w:val="00234794"/>
    <w:rsid w:val="0023621C"/>
    <w:rsid w:val="00236478"/>
    <w:rsid w:val="0023660B"/>
    <w:rsid w:val="00236D74"/>
    <w:rsid w:val="002377FC"/>
    <w:rsid w:val="00237BD2"/>
    <w:rsid w:val="00237C86"/>
    <w:rsid w:val="0024123C"/>
    <w:rsid w:val="00242884"/>
    <w:rsid w:val="00242964"/>
    <w:rsid w:val="00243C3E"/>
    <w:rsid w:val="0024472E"/>
    <w:rsid w:val="002447ED"/>
    <w:rsid w:val="00244A42"/>
    <w:rsid w:val="00244CDE"/>
    <w:rsid w:val="00245564"/>
    <w:rsid w:val="002462A5"/>
    <w:rsid w:val="002470CC"/>
    <w:rsid w:val="00247DC3"/>
    <w:rsid w:val="00247FB8"/>
    <w:rsid w:val="002500F9"/>
    <w:rsid w:val="002502CE"/>
    <w:rsid w:val="002503A2"/>
    <w:rsid w:val="002519D7"/>
    <w:rsid w:val="00251B19"/>
    <w:rsid w:val="00251F85"/>
    <w:rsid w:val="0025307E"/>
    <w:rsid w:val="00253488"/>
    <w:rsid w:val="002546AC"/>
    <w:rsid w:val="002551D9"/>
    <w:rsid w:val="00255303"/>
    <w:rsid w:val="00255974"/>
    <w:rsid w:val="00255A1F"/>
    <w:rsid w:val="002563D8"/>
    <w:rsid w:val="00256671"/>
    <w:rsid w:val="00257A89"/>
    <w:rsid w:val="00257AFA"/>
    <w:rsid w:val="00260727"/>
    <w:rsid w:val="002618EF"/>
    <w:rsid w:val="00262113"/>
    <w:rsid w:val="002627B2"/>
    <w:rsid w:val="0026345C"/>
    <w:rsid w:val="00263694"/>
    <w:rsid w:val="0026390F"/>
    <w:rsid w:val="002639E8"/>
    <w:rsid w:val="00264D88"/>
    <w:rsid w:val="00266054"/>
    <w:rsid w:val="00266D3A"/>
    <w:rsid w:val="00266FEA"/>
    <w:rsid w:val="002670B7"/>
    <w:rsid w:val="002708C1"/>
    <w:rsid w:val="002708D5"/>
    <w:rsid w:val="0027191E"/>
    <w:rsid w:val="0027209F"/>
    <w:rsid w:val="002727F3"/>
    <w:rsid w:val="00273833"/>
    <w:rsid w:val="00274A72"/>
    <w:rsid w:val="00274FEC"/>
    <w:rsid w:val="002754C8"/>
    <w:rsid w:val="00275FEC"/>
    <w:rsid w:val="002764C4"/>
    <w:rsid w:val="00276803"/>
    <w:rsid w:val="00276887"/>
    <w:rsid w:val="00276C98"/>
    <w:rsid w:val="00280F3B"/>
    <w:rsid w:val="00281432"/>
    <w:rsid w:val="002815FC"/>
    <w:rsid w:val="00282866"/>
    <w:rsid w:val="00282DF8"/>
    <w:rsid w:val="00284A25"/>
    <w:rsid w:val="002860BC"/>
    <w:rsid w:val="0028703B"/>
    <w:rsid w:val="00287AA8"/>
    <w:rsid w:val="00287CE3"/>
    <w:rsid w:val="00290196"/>
    <w:rsid w:val="002906D7"/>
    <w:rsid w:val="00291E26"/>
    <w:rsid w:val="00292B35"/>
    <w:rsid w:val="00293260"/>
    <w:rsid w:val="0029455F"/>
    <w:rsid w:val="002948C7"/>
    <w:rsid w:val="002954D3"/>
    <w:rsid w:val="002969E1"/>
    <w:rsid w:val="00296AD4"/>
    <w:rsid w:val="0029783B"/>
    <w:rsid w:val="002A07F8"/>
    <w:rsid w:val="002A103F"/>
    <w:rsid w:val="002A11C9"/>
    <w:rsid w:val="002A1420"/>
    <w:rsid w:val="002A1E15"/>
    <w:rsid w:val="002A2F70"/>
    <w:rsid w:val="002A33A4"/>
    <w:rsid w:val="002A405B"/>
    <w:rsid w:val="002A4603"/>
    <w:rsid w:val="002A6BBB"/>
    <w:rsid w:val="002A712F"/>
    <w:rsid w:val="002A7772"/>
    <w:rsid w:val="002B017E"/>
    <w:rsid w:val="002B095A"/>
    <w:rsid w:val="002B0EC2"/>
    <w:rsid w:val="002B0F71"/>
    <w:rsid w:val="002B23F6"/>
    <w:rsid w:val="002B2558"/>
    <w:rsid w:val="002B28DA"/>
    <w:rsid w:val="002B45B0"/>
    <w:rsid w:val="002B4728"/>
    <w:rsid w:val="002B571C"/>
    <w:rsid w:val="002B5D92"/>
    <w:rsid w:val="002B5EC9"/>
    <w:rsid w:val="002B617E"/>
    <w:rsid w:val="002B6E3C"/>
    <w:rsid w:val="002B7312"/>
    <w:rsid w:val="002C066F"/>
    <w:rsid w:val="002C137A"/>
    <w:rsid w:val="002C2800"/>
    <w:rsid w:val="002C3058"/>
    <w:rsid w:val="002C3B8D"/>
    <w:rsid w:val="002C426E"/>
    <w:rsid w:val="002C4965"/>
    <w:rsid w:val="002C4EDA"/>
    <w:rsid w:val="002C65C0"/>
    <w:rsid w:val="002C76F9"/>
    <w:rsid w:val="002C7746"/>
    <w:rsid w:val="002C7DFB"/>
    <w:rsid w:val="002C7F3E"/>
    <w:rsid w:val="002D20D5"/>
    <w:rsid w:val="002D2B88"/>
    <w:rsid w:val="002D32AE"/>
    <w:rsid w:val="002D3920"/>
    <w:rsid w:val="002D4AE1"/>
    <w:rsid w:val="002D50A7"/>
    <w:rsid w:val="002D5AE8"/>
    <w:rsid w:val="002D5F10"/>
    <w:rsid w:val="002D62EF"/>
    <w:rsid w:val="002D6819"/>
    <w:rsid w:val="002D7B0B"/>
    <w:rsid w:val="002E0905"/>
    <w:rsid w:val="002E19FA"/>
    <w:rsid w:val="002E1E52"/>
    <w:rsid w:val="002E2BFA"/>
    <w:rsid w:val="002E2CA7"/>
    <w:rsid w:val="002E3574"/>
    <w:rsid w:val="002E438C"/>
    <w:rsid w:val="002E45EE"/>
    <w:rsid w:val="002E4B6A"/>
    <w:rsid w:val="002E59A1"/>
    <w:rsid w:val="002E606A"/>
    <w:rsid w:val="002E613C"/>
    <w:rsid w:val="002E6EA0"/>
    <w:rsid w:val="002E726B"/>
    <w:rsid w:val="002F062F"/>
    <w:rsid w:val="002F0FDC"/>
    <w:rsid w:val="002F0FE2"/>
    <w:rsid w:val="002F1D6C"/>
    <w:rsid w:val="002F2659"/>
    <w:rsid w:val="002F2FF8"/>
    <w:rsid w:val="002F3067"/>
    <w:rsid w:val="002F3351"/>
    <w:rsid w:val="002F390F"/>
    <w:rsid w:val="002F4513"/>
    <w:rsid w:val="002F60B0"/>
    <w:rsid w:val="002F6D8D"/>
    <w:rsid w:val="002F700D"/>
    <w:rsid w:val="002F7BC1"/>
    <w:rsid w:val="0030037A"/>
    <w:rsid w:val="003004CC"/>
    <w:rsid w:val="0030091E"/>
    <w:rsid w:val="0030149C"/>
    <w:rsid w:val="00301BAF"/>
    <w:rsid w:val="00304E54"/>
    <w:rsid w:val="003054DE"/>
    <w:rsid w:val="00305CB1"/>
    <w:rsid w:val="00305D5A"/>
    <w:rsid w:val="00310427"/>
    <w:rsid w:val="00311E60"/>
    <w:rsid w:val="003128F2"/>
    <w:rsid w:val="0031299E"/>
    <w:rsid w:val="00312DFC"/>
    <w:rsid w:val="0031482B"/>
    <w:rsid w:val="00316486"/>
    <w:rsid w:val="003169A5"/>
    <w:rsid w:val="00316EE7"/>
    <w:rsid w:val="003171B9"/>
    <w:rsid w:val="00320F52"/>
    <w:rsid w:val="0032239F"/>
    <w:rsid w:val="0032374D"/>
    <w:rsid w:val="00323CD2"/>
    <w:rsid w:val="003255F1"/>
    <w:rsid w:val="003263A5"/>
    <w:rsid w:val="003264B5"/>
    <w:rsid w:val="00326779"/>
    <w:rsid w:val="003269DE"/>
    <w:rsid w:val="003274D7"/>
    <w:rsid w:val="00330B9F"/>
    <w:rsid w:val="00330BF6"/>
    <w:rsid w:val="00331B78"/>
    <w:rsid w:val="00332B8E"/>
    <w:rsid w:val="00334669"/>
    <w:rsid w:val="00335BF6"/>
    <w:rsid w:val="0033600E"/>
    <w:rsid w:val="00337402"/>
    <w:rsid w:val="003410C8"/>
    <w:rsid w:val="00342AE9"/>
    <w:rsid w:val="00342E2D"/>
    <w:rsid w:val="003432B4"/>
    <w:rsid w:val="003447E5"/>
    <w:rsid w:val="00344B6E"/>
    <w:rsid w:val="003455B7"/>
    <w:rsid w:val="0034600A"/>
    <w:rsid w:val="003461E6"/>
    <w:rsid w:val="00346251"/>
    <w:rsid w:val="003471ED"/>
    <w:rsid w:val="00350255"/>
    <w:rsid w:val="00350877"/>
    <w:rsid w:val="00350F8B"/>
    <w:rsid w:val="0035114D"/>
    <w:rsid w:val="003514AA"/>
    <w:rsid w:val="00351708"/>
    <w:rsid w:val="00351FED"/>
    <w:rsid w:val="00352260"/>
    <w:rsid w:val="0035232F"/>
    <w:rsid w:val="003524CD"/>
    <w:rsid w:val="00352C09"/>
    <w:rsid w:val="00352C4B"/>
    <w:rsid w:val="00352F71"/>
    <w:rsid w:val="00353A7D"/>
    <w:rsid w:val="00353DF6"/>
    <w:rsid w:val="0035543C"/>
    <w:rsid w:val="00357FE1"/>
    <w:rsid w:val="00360E31"/>
    <w:rsid w:val="003614CA"/>
    <w:rsid w:val="00361EAD"/>
    <w:rsid w:val="00364428"/>
    <w:rsid w:val="00367C57"/>
    <w:rsid w:val="003710DF"/>
    <w:rsid w:val="003718F4"/>
    <w:rsid w:val="00371B81"/>
    <w:rsid w:val="00372266"/>
    <w:rsid w:val="00372B27"/>
    <w:rsid w:val="0037343B"/>
    <w:rsid w:val="003736AC"/>
    <w:rsid w:val="00374E68"/>
    <w:rsid w:val="003758FD"/>
    <w:rsid w:val="00375BF3"/>
    <w:rsid w:val="00375CA3"/>
    <w:rsid w:val="00375E30"/>
    <w:rsid w:val="00377B5F"/>
    <w:rsid w:val="00377BDB"/>
    <w:rsid w:val="00377D94"/>
    <w:rsid w:val="00377FCD"/>
    <w:rsid w:val="0038029E"/>
    <w:rsid w:val="00381A03"/>
    <w:rsid w:val="003839E3"/>
    <w:rsid w:val="00383A8F"/>
    <w:rsid w:val="0038413F"/>
    <w:rsid w:val="0038445D"/>
    <w:rsid w:val="00384964"/>
    <w:rsid w:val="00384AF2"/>
    <w:rsid w:val="0038605D"/>
    <w:rsid w:val="00386164"/>
    <w:rsid w:val="00386367"/>
    <w:rsid w:val="003871FD"/>
    <w:rsid w:val="003875CF"/>
    <w:rsid w:val="00391672"/>
    <w:rsid w:val="00391AD7"/>
    <w:rsid w:val="0039225D"/>
    <w:rsid w:val="00392737"/>
    <w:rsid w:val="00392ACD"/>
    <w:rsid w:val="00392F63"/>
    <w:rsid w:val="003936EA"/>
    <w:rsid w:val="0039411E"/>
    <w:rsid w:val="0039424A"/>
    <w:rsid w:val="0039587F"/>
    <w:rsid w:val="00396D9E"/>
    <w:rsid w:val="0039760E"/>
    <w:rsid w:val="00397B68"/>
    <w:rsid w:val="003A04DB"/>
    <w:rsid w:val="003A051A"/>
    <w:rsid w:val="003A07E5"/>
    <w:rsid w:val="003A1757"/>
    <w:rsid w:val="003A2042"/>
    <w:rsid w:val="003A273B"/>
    <w:rsid w:val="003A33BD"/>
    <w:rsid w:val="003A34BF"/>
    <w:rsid w:val="003A3575"/>
    <w:rsid w:val="003A3808"/>
    <w:rsid w:val="003A4968"/>
    <w:rsid w:val="003A5DEB"/>
    <w:rsid w:val="003A63ED"/>
    <w:rsid w:val="003A6694"/>
    <w:rsid w:val="003A6A1F"/>
    <w:rsid w:val="003A6AF7"/>
    <w:rsid w:val="003B1957"/>
    <w:rsid w:val="003B2039"/>
    <w:rsid w:val="003B2095"/>
    <w:rsid w:val="003B2EB3"/>
    <w:rsid w:val="003B4087"/>
    <w:rsid w:val="003B4786"/>
    <w:rsid w:val="003B4FE9"/>
    <w:rsid w:val="003B513A"/>
    <w:rsid w:val="003B52EB"/>
    <w:rsid w:val="003B5496"/>
    <w:rsid w:val="003B55DB"/>
    <w:rsid w:val="003B5FB1"/>
    <w:rsid w:val="003B60BA"/>
    <w:rsid w:val="003B6F8E"/>
    <w:rsid w:val="003B719E"/>
    <w:rsid w:val="003B78C5"/>
    <w:rsid w:val="003B7A89"/>
    <w:rsid w:val="003B7AC5"/>
    <w:rsid w:val="003C0E46"/>
    <w:rsid w:val="003C0E4B"/>
    <w:rsid w:val="003C0EEE"/>
    <w:rsid w:val="003C154D"/>
    <w:rsid w:val="003C327F"/>
    <w:rsid w:val="003C385E"/>
    <w:rsid w:val="003C3B4E"/>
    <w:rsid w:val="003C42C7"/>
    <w:rsid w:val="003C46D7"/>
    <w:rsid w:val="003C4A9E"/>
    <w:rsid w:val="003C5E55"/>
    <w:rsid w:val="003C69A1"/>
    <w:rsid w:val="003C6FDA"/>
    <w:rsid w:val="003C7368"/>
    <w:rsid w:val="003C7D4A"/>
    <w:rsid w:val="003D005C"/>
    <w:rsid w:val="003D0172"/>
    <w:rsid w:val="003D1A12"/>
    <w:rsid w:val="003D1ADC"/>
    <w:rsid w:val="003D2318"/>
    <w:rsid w:val="003D2EBE"/>
    <w:rsid w:val="003D37D8"/>
    <w:rsid w:val="003D469F"/>
    <w:rsid w:val="003D4BA1"/>
    <w:rsid w:val="003D5032"/>
    <w:rsid w:val="003D7100"/>
    <w:rsid w:val="003E0EC5"/>
    <w:rsid w:val="003E0F1A"/>
    <w:rsid w:val="003E1105"/>
    <w:rsid w:val="003E1578"/>
    <w:rsid w:val="003E20BF"/>
    <w:rsid w:val="003E23B8"/>
    <w:rsid w:val="003E2DDB"/>
    <w:rsid w:val="003E35BE"/>
    <w:rsid w:val="003E3A8B"/>
    <w:rsid w:val="003E3AF4"/>
    <w:rsid w:val="003E3CCB"/>
    <w:rsid w:val="003E445F"/>
    <w:rsid w:val="003E4A0F"/>
    <w:rsid w:val="003E5061"/>
    <w:rsid w:val="003E6591"/>
    <w:rsid w:val="003E675B"/>
    <w:rsid w:val="003E7176"/>
    <w:rsid w:val="003E728D"/>
    <w:rsid w:val="003E7321"/>
    <w:rsid w:val="003F0564"/>
    <w:rsid w:val="003F06A9"/>
    <w:rsid w:val="003F0E68"/>
    <w:rsid w:val="003F26BE"/>
    <w:rsid w:val="003F2F24"/>
    <w:rsid w:val="003F2FB9"/>
    <w:rsid w:val="003F32C4"/>
    <w:rsid w:val="003F337B"/>
    <w:rsid w:val="003F3AB2"/>
    <w:rsid w:val="003F4DD8"/>
    <w:rsid w:val="003F54E9"/>
    <w:rsid w:val="003F5722"/>
    <w:rsid w:val="003F5C44"/>
    <w:rsid w:val="003F67C8"/>
    <w:rsid w:val="003F68D5"/>
    <w:rsid w:val="003F6975"/>
    <w:rsid w:val="003F6BAD"/>
    <w:rsid w:val="003F6CCA"/>
    <w:rsid w:val="003F7515"/>
    <w:rsid w:val="00400E51"/>
    <w:rsid w:val="00401212"/>
    <w:rsid w:val="004015F1"/>
    <w:rsid w:val="00401A49"/>
    <w:rsid w:val="0040222E"/>
    <w:rsid w:val="004024C4"/>
    <w:rsid w:val="004024E8"/>
    <w:rsid w:val="00402FA5"/>
    <w:rsid w:val="00402FAE"/>
    <w:rsid w:val="0040348F"/>
    <w:rsid w:val="0040349C"/>
    <w:rsid w:val="004043E3"/>
    <w:rsid w:val="00404D7A"/>
    <w:rsid w:val="004058EF"/>
    <w:rsid w:val="00405E87"/>
    <w:rsid w:val="0040681E"/>
    <w:rsid w:val="004074EA"/>
    <w:rsid w:val="0040769A"/>
    <w:rsid w:val="00407A57"/>
    <w:rsid w:val="00407D33"/>
    <w:rsid w:val="00410CC2"/>
    <w:rsid w:val="0041140F"/>
    <w:rsid w:val="0041260C"/>
    <w:rsid w:val="00412C9A"/>
    <w:rsid w:val="00412F39"/>
    <w:rsid w:val="004131B1"/>
    <w:rsid w:val="00413465"/>
    <w:rsid w:val="00413A8F"/>
    <w:rsid w:val="00414553"/>
    <w:rsid w:val="00414CA3"/>
    <w:rsid w:val="00415662"/>
    <w:rsid w:val="00415C99"/>
    <w:rsid w:val="00416095"/>
    <w:rsid w:val="0041627A"/>
    <w:rsid w:val="0041677B"/>
    <w:rsid w:val="00416B23"/>
    <w:rsid w:val="00416C44"/>
    <w:rsid w:val="00416F7B"/>
    <w:rsid w:val="00417B6F"/>
    <w:rsid w:val="00417EEE"/>
    <w:rsid w:val="004208BD"/>
    <w:rsid w:val="00421397"/>
    <w:rsid w:val="00421992"/>
    <w:rsid w:val="00421C19"/>
    <w:rsid w:val="00422D9B"/>
    <w:rsid w:val="00422FCA"/>
    <w:rsid w:val="0043006B"/>
    <w:rsid w:val="00430B8B"/>
    <w:rsid w:val="0043130B"/>
    <w:rsid w:val="0043132E"/>
    <w:rsid w:val="00431624"/>
    <w:rsid w:val="00431641"/>
    <w:rsid w:val="004323FD"/>
    <w:rsid w:val="00432D37"/>
    <w:rsid w:val="00433667"/>
    <w:rsid w:val="00433EE6"/>
    <w:rsid w:val="00433F68"/>
    <w:rsid w:val="00434115"/>
    <w:rsid w:val="004342C0"/>
    <w:rsid w:val="00434FE9"/>
    <w:rsid w:val="00435157"/>
    <w:rsid w:val="00435B5E"/>
    <w:rsid w:val="004368C9"/>
    <w:rsid w:val="004368DB"/>
    <w:rsid w:val="0044063E"/>
    <w:rsid w:val="00441680"/>
    <w:rsid w:val="00441B5B"/>
    <w:rsid w:val="00443AEB"/>
    <w:rsid w:val="00443EA2"/>
    <w:rsid w:val="00445034"/>
    <w:rsid w:val="00445052"/>
    <w:rsid w:val="004473E8"/>
    <w:rsid w:val="004477E8"/>
    <w:rsid w:val="0045135D"/>
    <w:rsid w:val="0045159A"/>
    <w:rsid w:val="00451AF6"/>
    <w:rsid w:val="00451E74"/>
    <w:rsid w:val="00452446"/>
    <w:rsid w:val="0045291E"/>
    <w:rsid w:val="00452E6E"/>
    <w:rsid w:val="004536E6"/>
    <w:rsid w:val="00453910"/>
    <w:rsid w:val="00453E3A"/>
    <w:rsid w:val="004545C8"/>
    <w:rsid w:val="00454890"/>
    <w:rsid w:val="00454E33"/>
    <w:rsid w:val="004560E3"/>
    <w:rsid w:val="00457063"/>
    <w:rsid w:val="004604C5"/>
    <w:rsid w:val="00460D88"/>
    <w:rsid w:val="00461809"/>
    <w:rsid w:val="00461A68"/>
    <w:rsid w:val="00461B4E"/>
    <w:rsid w:val="00463566"/>
    <w:rsid w:val="00464B79"/>
    <w:rsid w:val="004650EC"/>
    <w:rsid w:val="00466D58"/>
    <w:rsid w:val="00467B8C"/>
    <w:rsid w:val="004700F3"/>
    <w:rsid w:val="00470829"/>
    <w:rsid w:val="00470A40"/>
    <w:rsid w:val="00470AF6"/>
    <w:rsid w:val="00470F65"/>
    <w:rsid w:val="004716A9"/>
    <w:rsid w:val="00471DBC"/>
    <w:rsid w:val="0047234E"/>
    <w:rsid w:val="00472749"/>
    <w:rsid w:val="00472B3E"/>
    <w:rsid w:val="00472C62"/>
    <w:rsid w:val="004736E0"/>
    <w:rsid w:val="00473836"/>
    <w:rsid w:val="004742C4"/>
    <w:rsid w:val="00474F0F"/>
    <w:rsid w:val="0047536C"/>
    <w:rsid w:val="00475F18"/>
    <w:rsid w:val="00477170"/>
    <w:rsid w:val="004776D4"/>
    <w:rsid w:val="00481194"/>
    <w:rsid w:val="00481DB6"/>
    <w:rsid w:val="00482AC3"/>
    <w:rsid w:val="00482F7A"/>
    <w:rsid w:val="00483009"/>
    <w:rsid w:val="004834D8"/>
    <w:rsid w:val="00483AB4"/>
    <w:rsid w:val="00483CBF"/>
    <w:rsid w:val="0048511B"/>
    <w:rsid w:val="0048596D"/>
    <w:rsid w:val="00485F10"/>
    <w:rsid w:val="00486A55"/>
    <w:rsid w:val="00486BC4"/>
    <w:rsid w:val="0048759B"/>
    <w:rsid w:val="00487847"/>
    <w:rsid w:val="0049001D"/>
    <w:rsid w:val="00490BAA"/>
    <w:rsid w:val="004919B9"/>
    <w:rsid w:val="00491FE6"/>
    <w:rsid w:val="00492D2B"/>
    <w:rsid w:val="00492D93"/>
    <w:rsid w:val="00493117"/>
    <w:rsid w:val="004932C7"/>
    <w:rsid w:val="00493E22"/>
    <w:rsid w:val="00493F2C"/>
    <w:rsid w:val="004943FD"/>
    <w:rsid w:val="004946CA"/>
    <w:rsid w:val="00494806"/>
    <w:rsid w:val="00494B42"/>
    <w:rsid w:val="00494CB6"/>
    <w:rsid w:val="00495239"/>
    <w:rsid w:val="00495A64"/>
    <w:rsid w:val="00495C3B"/>
    <w:rsid w:val="00495E57"/>
    <w:rsid w:val="004963EB"/>
    <w:rsid w:val="004A01F0"/>
    <w:rsid w:val="004A11D7"/>
    <w:rsid w:val="004A20B5"/>
    <w:rsid w:val="004A2587"/>
    <w:rsid w:val="004A29A1"/>
    <w:rsid w:val="004A31F2"/>
    <w:rsid w:val="004A3261"/>
    <w:rsid w:val="004A3399"/>
    <w:rsid w:val="004A3958"/>
    <w:rsid w:val="004A4191"/>
    <w:rsid w:val="004A43C2"/>
    <w:rsid w:val="004A44A1"/>
    <w:rsid w:val="004A502B"/>
    <w:rsid w:val="004A5416"/>
    <w:rsid w:val="004A57FB"/>
    <w:rsid w:val="004A5848"/>
    <w:rsid w:val="004A593E"/>
    <w:rsid w:val="004A5E3A"/>
    <w:rsid w:val="004A6B0B"/>
    <w:rsid w:val="004A7205"/>
    <w:rsid w:val="004A785F"/>
    <w:rsid w:val="004B0595"/>
    <w:rsid w:val="004B077D"/>
    <w:rsid w:val="004B0D86"/>
    <w:rsid w:val="004B1B68"/>
    <w:rsid w:val="004B3719"/>
    <w:rsid w:val="004B3D97"/>
    <w:rsid w:val="004B4673"/>
    <w:rsid w:val="004B533C"/>
    <w:rsid w:val="004B55D8"/>
    <w:rsid w:val="004B6EE6"/>
    <w:rsid w:val="004B74C4"/>
    <w:rsid w:val="004C008D"/>
    <w:rsid w:val="004C0594"/>
    <w:rsid w:val="004C0DF0"/>
    <w:rsid w:val="004C11A0"/>
    <w:rsid w:val="004C2425"/>
    <w:rsid w:val="004C3749"/>
    <w:rsid w:val="004C3B9C"/>
    <w:rsid w:val="004C3D07"/>
    <w:rsid w:val="004C3D3F"/>
    <w:rsid w:val="004C4422"/>
    <w:rsid w:val="004C6FB0"/>
    <w:rsid w:val="004C71BC"/>
    <w:rsid w:val="004C7221"/>
    <w:rsid w:val="004C794C"/>
    <w:rsid w:val="004C7E1A"/>
    <w:rsid w:val="004D0507"/>
    <w:rsid w:val="004D068F"/>
    <w:rsid w:val="004D24A9"/>
    <w:rsid w:val="004D393D"/>
    <w:rsid w:val="004D3D90"/>
    <w:rsid w:val="004D4F0B"/>
    <w:rsid w:val="004D4F21"/>
    <w:rsid w:val="004D6086"/>
    <w:rsid w:val="004D6445"/>
    <w:rsid w:val="004D65C7"/>
    <w:rsid w:val="004D6916"/>
    <w:rsid w:val="004D6E57"/>
    <w:rsid w:val="004D7788"/>
    <w:rsid w:val="004E0AC6"/>
    <w:rsid w:val="004E13A4"/>
    <w:rsid w:val="004E1A6D"/>
    <w:rsid w:val="004E27CB"/>
    <w:rsid w:val="004E2C57"/>
    <w:rsid w:val="004E2D2A"/>
    <w:rsid w:val="004E376E"/>
    <w:rsid w:val="004E3DB4"/>
    <w:rsid w:val="004E3EF8"/>
    <w:rsid w:val="004E404E"/>
    <w:rsid w:val="004E41AF"/>
    <w:rsid w:val="004E57FE"/>
    <w:rsid w:val="004E5AF7"/>
    <w:rsid w:val="004E68B7"/>
    <w:rsid w:val="004E6B61"/>
    <w:rsid w:val="004E7E85"/>
    <w:rsid w:val="004F09D5"/>
    <w:rsid w:val="004F0E73"/>
    <w:rsid w:val="004F1081"/>
    <w:rsid w:val="004F183B"/>
    <w:rsid w:val="004F1CCA"/>
    <w:rsid w:val="004F1E99"/>
    <w:rsid w:val="004F267A"/>
    <w:rsid w:val="004F2AC1"/>
    <w:rsid w:val="004F2F42"/>
    <w:rsid w:val="004F3CBF"/>
    <w:rsid w:val="004F3EEA"/>
    <w:rsid w:val="004F4119"/>
    <w:rsid w:val="004F442F"/>
    <w:rsid w:val="004F4973"/>
    <w:rsid w:val="004F4DB9"/>
    <w:rsid w:val="004F4E45"/>
    <w:rsid w:val="004F5066"/>
    <w:rsid w:val="004F56C6"/>
    <w:rsid w:val="004F7C07"/>
    <w:rsid w:val="00500189"/>
    <w:rsid w:val="00501123"/>
    <w:rsid w:val="00501833"/>
    <w:rsid w:val="005018E0"/>
    <w:rsid w:val="005024A0"/>
    <w:rsid w:val="0050309A"/>
    <w:rsid w:val="00504D81"/>
    <w:rsid w:val="00505026"/>
    <w:rsid w:val="005050E8"/>
    <w:rsid w:val="005054E1"/>
    <w:rsid w:val="00506079"/>
    <w:rsid w:val="0050657A"/>
    <w:rsid w:val="00507E9E"/>
    <w:rsid w:val="00510D5D"/>
    <w:rsid w:val="00511D92"/>
    <w:rsid w:val="005133C9"/>
    <w:rsid w:val="0051398E"/>
    <w:rsid w:val="00513C38"/>
    <w:rsid w:val="00513CE8"/>
    <w:rsid w:val="00514C15"/>
    <w:rsid w:val="00515184"/>
    <w:rsid w:val="00516039"/>
    <w:rsid w:val="00516128"/>
    <w:rsid w:val="00516798"/>
    <w:rsid w:val="00516D9D"/>
    <w:rsid w:val="00520AB6"/>
    <w:rsid w:val="00520AD4"/>
    <w:rsid w:val="00520C4A"/>
    <w:rsid w:val="0052116F"/>
    <w:rsid w:val="00521371"/>
    <w:rsid w:val="00521673"/>
    <w:rsid w:val="005227F1"/>
    <w:rsid w:val="00522D56"/>
    <w:rsid w:val="005235A7"/>
    <w:rsid w:val="00523BD3"/>
    <w:rsid w:val="005242D5"/>
    <w:rsid w:val="0052495A"/>
    <w:rsid w:val="00524AA0"/>
    <w:rsid w:val="005256EB"/>
    <w:rsid w:val="005263EE"/>
    <w:rsid w:val="0052649D"/>
    <w:rsid w:val="005266EE"/>
    <w:rsid w:val="0052724E"/>
    <w:rsid w:val="00527479"/>
    <w:rsid w:val="00530BAB"/>
    <w:rsid w:val="0053154B"/>
    <w:rsid w:val="00531D7D"/>
    <w:rsid w:val="00532382"/>
    <w:rsid w:val="00532C09"/>
    <w:rsid w:val="00533376"/>
    <w:rsid w:val="00533B98"/>
    <w:rsid w:val="00533BDF"/>
    <w:rsid w:val="00534715"/>
    <w:rsid w:val="00534D1F"/>
    <w:rsid w:val="00534FFE"/>
    <w:rsid w:val="00535A74"/>
    <w:rsid w:val="005376BD"/>
    <w:rsid w:val="00540723"/>
    <w:rsid w:val="00540D14"/>
    <w:rsid w:val="005410DD"/>
    <w:rsid w:val="00543967"/>
    <w:rsid w:val="00544072"/>
    <w:rsid w:val="00545678"/>
    <w:rsid w:val="00547689"/>
    <w:rsid w:val="00547753"/>
    <w:rsid w:val="00547AD3"/>
    <w:rsid w:val="00547C67"/>
    <w:rsid w:val="00550082"/>
    <w:rsid w:val="00550188"/>
    <w:rsid w:val="00550683"/>
    <w:rsid w:val="00550746"/>
    <w:rsid w:val="00550ABC"/>
    <w:rsid w:val="0055127F"/>
    <w:rsid w:val="005517B0"/>
    <w:rsid w:val="005519FD"/>
    <w:rsid w:val="00551C22"/>
    <w:rsid w:val="005521B3"/>
    <w:rsid w:val="0055227E"/>
    <w:rsid w:val="005522D5"/>
    <w:rsid w:val="0055274A"/>
    <w:rsid w:val="00552885"/>
    <w:rsid w:val="00553416"/>
    <w:rsid w:val="00553E8E"/>
    <w:rsid w:val="00554927"/>
    <w:rsid w:val="00554FE1"/>
    <w:rsid w:val="00555C8E"/>
    <w:rsid w:val="00556C8E"/>
    <w:rsid w:val="00560080"/>
    <w:rsid w:val="00561118"/>
    <w:rsid w:val="0056187D"/>
    <w:rsid w:val="00561A8E"/>
    <w:rsid w:val="00562361"/>
    <w:rsid w:val="00562716"/>
    <w:rsid w:val="00563594"/>
    <w:rsid w:val="00563C98"/>
    <w:rsid w:val="0056446C"/>
    <w:rsid w:val="00564492"/>
    <w:rsid w:val="00566514"/>
    <w:rsid w:val="005666A8"/>
    <w:rsid w:val="00566C2F"/>
    <w:rsid w:val="00567BA7"/>
    <w:rsid w:val="00567CF9"/>
    <w:rsid w:val="00572115"/>
    <w:rsid w:val="005722E0"/>
    <w:rsid w:val="0057234A"/>
    <w:rsid w:val="005732BE"/>
    <w:rsid w:val="00574000"/>
    <w:rsid w:val="00574078"/>
    <w:rsid w:val="00574191"/>
    <w:rsid w:val="005748F8"/>
    <w:rsid w:val="00574953"/>
    <w:rsid w:val="00574E49"/>
    <w:rsid w:val="00575164"/>
    <w:rsid w:val="005755E0"/>
    <w:rsid w:val="005756E3"/>
    <w:rsid w:val="00575DD1"/>
    <w:rsid w:val="00576882"/>
    <w:rsid w:val="00577487"/>
    <w:rsid w:val="005774BA"/>
    <w:rsid w:val="00577A77"/>
    <w:rsid w:val="005813E8"/>
    <w:rsid w:val="00581953"/>
    <w:rsid w:val="00581E6E"/>
    <w:rsid w:val="0058283B"/>
    <w:rsid w:val="00582888"/>
    <w:rsid w:val="00583844"/>
    <w:rsid w:val="00583A54"/>
    <w:rsid w:val="00583DA1"/>
    <w:rsid w:val="00584F6A"/>
    <w:rsid w:val="00585199"/>
    <w:rsid w:val="005858E6"/>
    <w:rsid w:val="00585F33"/>
    <w:rsid w:val="00586356"/>
    <w:rsid w:val="00586663"/>
    <w:rsid w:val="00586676"/>
    <w:rsid w:val="00586774"/>
    <w:rsid w:val="00587BB7"/>
    <w:rsid w:val="00587E8D"/>
    <w:rsid w:val="005904C1"/>
    <w:rsid w:val="0059065F"/>
    <w:rsid w:val="00590771"/>
    <w:rsid w:val="00590980"/>
    <w:rsid w:val="00590D7F"/>
    <w:rsid w:val="0059286E"/>
    <w:rsid w:val="00592D81"/>
    <w:rsid w:val="0059320B"/>
    <w:rsid w:val="005940DD"/>
    <w:rsid w:val="005943FE"/>
    <w:rsid w:val="00594C36"/>
    <w:rsid w:val="0059503C"/>
    <w:rsid w:val="005956B6"/>
    <w:rsid w:val="00596732"/>
    <w:rsid w:val="0059754E"/>
    <w:rsid w:val="005A058B"/>
    <w:rsid w:val="005A0737"/>
    <w:rsid w:val="005A0876"/>
    <w:rsid w:val="005A13A0"/>
    <w:rsid w:val="005A20D1"/>
    <w:rsid w:val="005A27D1"/>
    <w:rsid w:val="005A3010"/>
    <w:rsid w:val="005A393A"/>
    <w:rsid w:val="005A3A09"/>
    <w:rsid w:val="005A4AC6"/>
    <w:rsid w:val="005A55F6"/>
    <w:rsid w:val="005A598C"/>
    <w:rsid w:val="005A5B44"/>
    <w:rsid w:val="005A5F08"/>
    <w:rsid w:val="005A616B"/>
    <w:rsid w:val="005A6327"/>
    <w:rsid w:val="005A6535"/>
    <w:rsid w:val="005A75C6"/>
    <w:rsid w:val="005A7C63"/>
    <w:rsid w:val="005B20BA"/>
    <w:rsid w:val="005B300B"/>
    <w:rsid w:val="005B3DCD"/>
    <w:rsid w:val="005B594B"/>
    <w:rsid w:val="005B6060"/>
    <w:rsid w:val="005B649A"/>
    <w:rsid w:val="005B68B5"/>
    <w:rsid w:val="005B6DC2"/>
    <w:rsid w:val="005B754D"/>
    <w:rsid w:val="005B79C3"/>
    <w:rsid w:val="005C0D66"/>
    <w:rsid w:val="005C1663"/>
    <w:rsid w:val="005C1796"/>
    <w:rsid w:val="005C268C"/>
    <w:rsid w:val="005C312B"/>
    <w:rsid w:val="005C37CF"/>
    <w:rsid w:val="005C3BD5"/>
    <w:rsid w:val="005C4C49"/>
    <w:rsid w:val="005C6C68"/>
    <w:rsid w:val="005C780E"/>
    <w:rsid w:val="005D0289"/>
    <w:rsid w:val="005D02CF"/>
    <w:rsid w:val="005D073D"/>
    <w:rsid w:val="005D1DFA"/>
    <w:rsid w:val="005D2859"/>
    <w:rsid w:val="005D2CF2"/>
    <w:rsid w:val="005D5385"/>
    <w:rsid w:val="005D5820"/>
    <w:rsid w:val="005D6A6C"/>
    <w:rsid w:val="005D73A6"/>
    <w:rsid w:val="005D7540"/>
    <w:rsid w:val="005E0B6B"/>
    <w:rsid w:val="005E15E6"/>
    <w:rsid w:val="005E16B8"/>
    <w:rsid w:val="005E18C4"/>
    <w:rsid w:val="005E1E75"/>
    <w:rsid w:val="005E219A"/>
    <w:rsid w:val="005E31C9"/>
    <w:rsid w:val="005E49DD"/>
    <w:rsid w:val="005E5663"/>
    <w:rsid w:val="005E5910"/>
    <w:rsid w:val="005E631D"/>
    <w:rsid w:val="005F015B"/>
    <w:rsid w:val="005F04D3"/>
    <w:rsid w:val="005F14B2"/>
    <w:rsid w:val="005F1C9E"/>
    <w:rsid w:val="005F1E02"/>
    <w:rsid w:val="005F2329"/>
    <w:rsid w:val="005F27DE"/>
    <w:rsid w:val="005F2D12"/>
    <w:rsid w:val="005F2E95"/>
    <w:rsid w:val="005F31B7"/>
    <w:rsid w:val="005F3441"/>
    <w:rsid w:val="005F3769"/>
    <w:rsid w:val="005F37AB"/>
    <w:rsid w:val="005F3A8F"/>
    <w:rsid w:val="005F42F5"/>
    <w:rsid w:val="005F47C1"/>
    <w:rsid w:val="005F6A5A"/>
    <w:rsid w:val="005F6AF1"/>
    <w:rsid w:val="005F6F74"/>
    <w:rsid w:val="005F6FEC"/>
    <w:rsid w:val="005F78FF"/>
    <w:rsid w:val="005F7B09"/>
    <w:rsid w:val="005F7BB0"/>
    <w:rsid w:val="00601A53"/>
    <w:rsid w:val="00602039"/>
    <w:rsid w:val="0060273A"/>
    <w:rsid w:val="006027F7"/>
    <w:rsid w:val="006039A1"/>
    <w:rsid w:val="00603AD7"/>
    <w:rsid w:val="00603CC1"/>
    <w:rsid w:val="00604B3C"/>
    <w:rsid w:val="00606805"/>
    <w:rsid w:val="006075AB"/>
    <w:rsid w:val="00607673"/>
    <w:rsid w:val="006079D3"/>
    <w:rsid w:val="0061021A"/>
    <w:rsid w:val="00611249"/>
    <w:rsid w:val="00611CDB"/>
    <w:rsid w:val="00611F1E"/>
    <w:rsid w:val="006122F6"/>
    <w:rsid w:val="00612524"/>
    <w:rsid w:val="0061266A"/>
    <w:rsid w:val="00613108"/>
    <w:rsid w:val="00613166"/>
    <w:rsid w:val="00613A09"/>
    <w:rsid w:val="00613A95"/>
    <w:rsid w:val="006145EB"/>
    <w:rsid w:val="00614BDE"/>
    <w:rsid w:val="00614DE3"/>
    <w:rsid w:val="0061500A"/>
    <w:rsid w:val="006150E9"/>
    <w:rsid w:val="00616C7D"/>
    <w:rsid w:val="00616EC5"/>
    <w:rsid w:val="006209E6"/>
    <w:rsid w:val="00620BF8"/>
    <w:rsid w:val="00621000"/>
    <w:rsid w:val="006210ED"/>
    <w:rsid w:val="006214E5"/>
    <w:rsid w:val="0062186D"/>
    <w:rsid w:val="00621F12"/>
    <w:rsid w:val="00622480"/>
    <w:rsid w:val="006245E4"/>
    <w:rsid w:val="00625208"/>
    <w:rsid w:val="00625F17"/>
    <w:rsid w:val="00626079"/>
    <w:rsid w:val="00626E6A"/>
    <w:rsid w:val="00627203"/>
    <w:rsid w:val="006278F7"/>
    <w:rsid w:val="00627C8E"/>
    <w:rsid w:val="00627FFD"/>
    <w:rsid w:val="006319C8"/>
    <w:rsid w:val="00634AB5"/>
    <w:rsid w:val="00635983"/>
    <w:rsid w:val="006359CB"/>
    <w:rsid w:val="00640237"/>
    <w:rsid w:val="00640AE5"/>
    <w:rsid w:val="006411C1"/>
    <w:rsid w:val="00641A99"/>
    <w:rsid w:val="006422B2"/>
    <w:rsid w:val="006426A1"/>
    <w:rsid w:val="00642F42"/>
    <w:rsid w:val="00643483"/>
    <w:rsid w:val="00643B9D"/>
    <w:rsid w:val="00644505"/>
    <w:rsid w:val="00644527"/>
    <w:rsid w:val="00644CF4"/>
    <w:rsid w:val="006452E2"/>
    <w:rsid w:val="006454C9"/>
    <w:rsid w:val="006456CC"/>
    <w:rsid w:val="00646223"/>
    <w:rsid w:val="006469BB"/>
    <w:rsid w:val="00646CCA"/>
    <w:rsid w:val="006477A5"/>
    <w:rsid w:val="00647A14"/>
    <w:rsid w:val="00647D58"/>
    <w:rsid w:val="00647FCE"/>
    <w:rsid w:val="00650785"/>
    <w:rsid w:val="006507E2"/>
    <w:rsid w:val="00651C2C"/>
    <w:rsid w:val="00651DC1"/>
    <w:rsid w:val="006521B0"/>
    <w:rsid w:val="00652E85"/>
    <w:rsid w:val="00654BFA"/>
    <w:rsid w:val="00655FC3"/>
    <w:rsid w:val="006560E0"/>
    <w:rsid w:val="006563C3"/>
    <w:rsid w:val="00656D42"/>
    <w:rsid w:val="00656F07"/>
    <w:rsid w:val="0065725B"/>
    <w:rsid w:val="00657879"/>
    <w:rsid w:val="00657E16"/>
    <w:rsid w:val="0066011F"/>
    <w:rsid w:val="00660D43"/>
    <w:rsid w:val="006624C1"/>
    <w:rsid w:val="00664930"/>
    <w:rsid w:val="00665EE8"/>
    <w:rsid w:val="00665F75"/>
    <w:rsid w:val="00666F95"/>
    <w:rsid w:val="00667256"/>
    <w:rsid w:val="006723AC"/>
    <w:rsid w:val="00672473"/>
    <w:rsid w:val="00672FB3"/>
    <w:rsid w:val="006731C7"/>
    <w:rsid w:val="00673BB1"/>
    <w:rsid w:val="00675AB9"/>
    <w:rsid w:val="00675C4D"/>
    <w:rsid w:val="006761C4"/>
    <w:rsid w:val="006767E0"/>
    <w:rsid w:val="00676A6C"/>
    <w:rsid w:val="00676E41"/>
    <w:rsid w:val="00676F00"/>
    <w:rsid w:val="006779B0"/>
    <w:rsid w:val="00677F30"/>
    <w:rsid w:val="006806C0"/>
    <w:rsid w:val="00680C79"/>
    <w:rsid w:val="00680E7F"/>
    <w:rsid w:val="00681569"/>
    <w:rsid w:val="00682E40"/>
    <w:rsid w:val="00682F87"/>
    <w:rsid w:val="006835A9"/>
    <w:rsid w:val="0068414E"/>
    <w:rsid w:val="00684472"/>
    <w:rsid w:val="00684806"/>
    <w:rsid w:val="00684CE2"/>
    <w:rsid w:val="00684F73"/>
    <w:rsid w:val="006856D1"/>
    <w:rsid w:val="00686029"/>
    <w:rsid w:val="006862BA"/>
    <w:rsid w:val="006865E9"/>
    <w:rsid w:val="00686CB9"/>
    <w:rsid w:val="00687AC8"/>
    <w:rsid w:val="00690215"/>
    <w:rsid w:val="00691A26"/>
    <w:rsid w:val="00691A87"/>
    <w:rsid w:val="0069227B"/>
    <w:rsid w:val="00692494"/>
    <w:rsid w:val="00693476"/>
    <w:rsid w:val="006940CA"/>
    <w:rsid w:val="006940EB"/>
    <w:rsid w:val="006948D1"/>
    <w:rsid w:val="00695412"/>
    <w:rsid w:val="00695D78"/>
    <w:rsid w:val="00696B3B"/>
    <w:rsid w:val="00696DC5"/>
    <w:rsid w:val="00696E43"/>
    <w:rsid w:val="006A1D7B"/>
    <w:rsid w:val="006A2D11"/>
    <w:rsid w:val="006A3015"/>
    <w:rsid w:val="006A3229"/>
    <w:rsid w:val="006A3323"/>
    <w:rsid w:val="006A4D4B"/>
    <w:rsid w:val="006A52CF"/>
    <w:rsid w:val="006A6810"/>
    <w:rsid w:val="006A6924"/>
    <w:rsid w:val="006A6A52"/>
    <w:rsid w:val="006A6C31"/>
    <w:rsid w:val="006A749A"/>
    <w:rsid w:val="006A79C0"/>
    <w:rsid w:val="006A7CD9"/>
    <w:rsid w:val="006B02B6"/>
    <w:rsid w:val="006B1E26"/>
    <w:rsid w:val="006B1EE1"/>
    <w:rsid w:val="006B26D7"/>
    <w:rsid w:val="006B29D5"/>
    <w:rsid w:val="006B31D9"/>
    <w:rsid w:val="006B3C69"/>
    <w:rsid w:val="006B4743"/>
    <w:rsid w:val="006B4803"/>
    <w:rsid w:val="006B4C94"/>
    <w:rsid w:val="006B4D47"/>
    <w:rsid w:val="006B53F2"/>
    <w:rsid w:val="006B5AE8"/>
    <w:rsid w:val="006B5B19"/>
    <w:rsid w:val="006B6151"/>
    <w:rsid w:val="006B6488"/>
    <w:rsid w:val="006B69CC"/>
    <w:rsid w:val="006B7FE6"/>
    <w:rsid w:val="006C05AB"/>
    <w:rsid w:val="006C06CC"/>
    <w:rsid w:val="006C06E6"/>
    <w:rsid w:val="006C19F0"/>
    <w:rsid w:val="006C1C79"/>
    <w:rsid w:val="006C1CE8"/>
    <w:rsid w:val="006C2FCA"/>
    <w:rsid w:val="006C3150"/>
    <w:rsid w:val="006C38F6"/>
    <w:rsid w:val="006C3FEE"/>
    <w:rsid w:val="006C49DE"/>
    <w:rsid w:val="006C4A2A"/>
    <w:rsid w:val="006C5772"/>
    <w:rsid w:val="006D002A"/>
    <w:rsid w:val="006D030B"/>
    <w:rsid w:val="006D0508"/>
    <w:rsid w:val="006D1549"/>
    <w:rsid w:val="006D1C26"/>
    <w:rsid w:val="006D2189"/>
    <w:rsid w:val="006D280E"/>
    <w:rsid w:val="006D2E30"/>
    <w:rsid w:val="006D4010"/>
    <w:rsid w:val="006D413F"/>
    <w:rsid w:val="006D4F95"/>
    <w:rsid w:val="006D5506"/>
    <w:rsid w:val="006D6037"/>
    <w:rsid w:val="006D6A23"/>
    <w:rsid w:val="006E086E"/>
    <w:rsid w:val="006E1E1E"/>
    <w:rsid w:val="006E27C6"/>
    <w:rsid w:val="006E36FC"/>
    <w:rsid w:val="006E37FB"/>
    <w:rsid w:val="006E4EC2"/>
    <w:rsid w:val="006E58CE"/>
    <w:rsid w:val="006E5DD8"/>
    <w:rsid w:val="006E6B17"/>
    <w:rsid w:val="006E6EC1"/>
    <w:rsid w:val="006F0356"/>
    <w:rsid w:val="006F075D"/>
    <w:rsid w:val="006F159D"/>
    <w:rsid w:val="006F16EC"/>
    <w:rsid w:val="006F2FFD"/>
    <w:rsid w:val="006F36A2"/>
    <w:rsid w:val="006F3986"/>
    <w:rsid w:val="006F54B6"/>
    <w:rsid w:val="006F64B7"/>
    <w:rsid w:val="006F679B"/>
    <w:rsid w:val="006F703A"/>
    <w:rsid w:val="006F70F8"/>
    <w:rsid w:val="00700C3B"/>
    <w:rsid w:val="00702283"/>
    <w:rsid w:val="00702363"/>
    <w:rsid w:val="007025A1"/>
    <w:rsid w:val="007031F4"/>
    <w:rsid w:val="00703BE8"/>
    <w:rsid w:val="0070438F"/>
    <w:rsid w:val="007048A1"/>
    <w:rsid w:val="00705049"/>
    <w:rsid w:val="0070527C"/>
    <w:rsid w:val="00705C96"/>
    <w:rsid w:val="007064C4"/>
    <w:rsid w:val="00707196"/>
    <w:rsid w:val="00707398"/>
    <w:rsid w:val="00707F2E"/>
    <w:rsid w:val="00710972"/>
    <w:rsid w:val="00711BE0"/>
    <w:rsid w:val="00711DC9"/>
    <w:rsid w:val="007137AF"/>
    <w:rsid w:val="00713FC6"/>
    <w:rsid w:val="00715079"/>
    <w:rsid w:val="0071547A"/>
    <w:rsid w:val="00715840"/>
    <w:rsid w:val="007159FC"/>
    <w:rsid w:val="00715AE1"/>
    <w:rsid w:val="00716558"/>
    <w:rsid w:val="00716DFB"/>
    <w:rsid w:val="00717E6C"/>
    <w:rsid w:val="0072077A"/>
    <w:rsid w:val="00720B65"/>
    <w:rsid w:val="00721BE1"/>
    <w:rsid w:val="00721CD3"/>
    <w:rsid w:val="00721E09"/>
    <w:rsid w:val="0072252C"/>
    <w:rsid w:val="00723782"/>
    <w:rsid w:val="007239D9"/>
    <w:rsid w:val="00723A4E"/>
    <w:rsid w:val="00725236"/>
    <w:rsid w:val="00725565"/>
    <w:rsid w:val="00725811"/>
    <w:rsid w:val="00725AA6"/>
    <w:rsid w:val="00725FE4"/>
    <w:rsid w:val="0072640B"/>
    <w:rsid w:val="00726D03"/>
    <w:rsid w:val="00730BDB"/>
    <w:rsid w:val="00731ACF"/>
    <w:rsid w:val="00731C5A"/>
    <w:rsid w:val="00731D77"/>
    <w:rsid w:val="0073223F"/>
    <w:rsid w:val="0073415A"/>
    <w:rsid w:val="00736CEF"/>
    <w:rsid w:val="00741E6C"/>
    <w:rsid w:val="007431CD"/>
    <w:rsid w:val="007442E8"/>
    <w:rsid w:val="00744974"/>
    <w:rsid w:val="0074511A"/>
    <w:rsid w:val="007456C8"/>
    <w:rsid w:val="00745B81"/>
    <w:rsid w:val="007465ED"/>
    <w:rsid w:val="00747455"/>
    <w:rsid w:val="00747C4A"/>
    <w:rsid w:val="00750153"/>
    <w:rsid w:val="0075060B"/>
    <w:rsid w:val="007507A8"/>
    <w:rsid w:val="00750E46"/>
    <w:rsid w:val="007512AA"/>
    <w:rsid w:val="0075275F"/>
    <w:rsid w:val="00752D44"/>
    <w:rsid w:val="0075340E"/>
    <w:rsid w:val="0075347B"/>
    <w:rsid w:val="00753855"/>
    <w:rsid w:val="0075440E"/>
    <w:rsid w:val="007548AA"/>
    <w:rsid w:val="007549E5"/>
    <w:rsid w:val="00754A89"/>
    <w:rsid w:val="007551D7"/>
    <w:rsid w:val="0075568F"/>
    <w:rsid w:val="00755A20"/>
    <w:rsid w:val="00756B27"/>
    <w:rsid w:val="00757142"/>
    <w:rsid w:val="00757AE3"/>
    <w:rsid w:val="00760091"/>
    <w:rsid w:val="0076089D"/>
    <w:rsid w:val="007610F4"/>
    <w:rsid w:val="00761B80"/>
    <w:rsid w:val="00761EAD"/>
    <w:rsid w:val="00762158"/>
    <w:rsid w:val="00762396"/>
    <w:rsid w:val="00762614"/>
    <w:rsid w:val="00762A57"/>
    <w:rsid w:val="0076387B"/>
    <w:rsid w:val="0076515B"/>
    <w:rsid w:val="00766031"/>
    <w:rsid w:val="007665DD"/>
    <w:rsid w:val="00766A6D"/>
    <w:rsid w:val="00766D7D"/>
    <w:rsid w:val="00767544"/>
    <w:rsid w:val="00767FB0"/>
    <w:rsid w:val="00770409"/>
    <w:rsid w:val="0077077B"/>
    <w:rsid w:val="00771CE6"/>
    <w:rsid w:val="0077278B"/>
    <w:rsid w:val="00772A7D"/>
    <w:rsid w:val="007733B2"/>
    <w:rsid w:val="007737FB"/>
    <w:rsid w:val="007742C0"/>
    <w:rsid w:val="00774B72"/>
    <w:rsid w:val="00774B80"/>
    <w:rsid w:val="00774DAA"/>
    <w:rsid w:val="00775049"/>
    <w:rsid w:val="0077647A"/>
    <w:rsid w:val="00776D66"/>
    <w:rsid w:val="007770ED"/>
    <w:rsid w:val="00777354"/>
    <w:rsid w:val="0077749E"/>
    <w:rsid w:val="0077796A"/>
    <w:rsid w:val="00777ACD"/>
    <w:rsid w:val="00777D73"/>
    <w:rsid w:val="00780450"/>
    <w:rsid w:val="00780951"/>
    <w:rsid w:val="00782190"/>
    <w:rsid w:val="00782BB9"/>
    <w:rsid w:val="007834DC"/>
    <w:rsid w:val="00783AC5"/>
    <w:rsid w:val="007858A7"/>
    <w:rsid w:val="0078596B"/>
    <w:rsid w:val="00785EDD"/>
    <w:rsid w:val="007861F8"/>
    <w:rsid w:val="0078633A"/>
    <w:rsid w:val="00786FE2"/>
    <w:rsid w:val="00787A3E"/>
    <w:rsid w:val="00787FA9"/>
    <w:rsid w:val="00791009"/>
    <w:rsid w:val="00791668"/>
    <w:rsid w:val="00791935"/>
    <w:rsid w:val="007919CF"/>
    <w:rsid w:val="007923EC"/>
    <w:rsid w:val="0079261F"/>
    <w:rsid w:val="007928AB"/>
    <w:rsid w:val="00792EEE"/>
    <w:rsid w:val="007937EF"/>
    <w:rsid w:val="00794199"/>
    <w:rsid w:val="0079448D"/>
    <w:rsid w:val="00795AA9"/>
    <w:rsid w:val="00795B36"/>
    <w:rsid w:val="007960A8"/>
    <w:rsid w:val="007A012A"/>
    <w:rsid w:val="007A038C"/>
    <w:rsid w:val="007A15EF"/>
    <w:rsid w:val="007A1E32"/>
    <w:rsid w:val="007A2029"/>
    <w:rsid w:val="007A2538"/>
    <w:rsid w:val="007A2B5C"/>
    <w:rsid w:val="007A2E97"/>
    <w:rsid w:val="007A2F62"/>
    <w:rsid w:val="007A33E6"/>
    <w:rsid w:val="007A390A"/>
    <w:rsid w:val="007A4381"/>
    <w:rsid w:val="007A4924"/>
    <w:rsid w:val="007A53AC"/>
    <w:rsid w:val="007B0531"/>
    <w:rsid w:val="007B0EB2"/>
    <w:rsid w:val="007B10D4"/>
    <w:rsid w:val="007B1535"/>
    <w:rsid w:val="007B2386"/>
    <w:rsid w:val="007B26C6"/>
    <w:rsid w:val="007B279E"/>
    <w:rsid w:val="007B2EF9"/>
    <w:rsid w:val="007B3931"/>
    <w:rsid w:val="007B3CF9"/>
    <w:rsid w:val="007B41AE"/>
    <w:rsid w:val="007B4851"/>
    <w:rsid w:val="007B57A3"/>
    <w:rsid w:val="007B6B1B"/>
    <w:rsid w:val="007B73CE"/>
    <w:rsid w:val="007C011B"/>
    <w:rsid w:val="007C0A14"/>
    <w:rsid w:val="007C0AB4"/>
    <w:rsid w:val="007C1F3A"/>
    <w:rsid w:val="007C235E"/>
    <w:rsid w:val="007C2D70"/>
    <w:rsid w:val="007C3133"/>
    <w:rsid w:val="007C4504"/>
    <w:rsid w:val="007C4A80"/>
    <w:rsid w:val="007C56BF"/>
    <w:rsid w:val="007C5977"/>
    <w:rsid w:val="007C5E29"/>
    <w:rsid w:val="007C6EE2"/>
    <w:rsid w:val="007D014A"/>
    <w:rsid w:val="007D01A7"/>
    <w:rsid w:val="007D06CE"/>
    <w:rsid w:val="007D09F6"/>
    <w:rsid w:val="007D0CF3"/>
    <w:rsid w:val="007D1244"/>
    <w:rsid w:val="007D1CD6"/>
    <w:rsid w:val="007D2275"/>
    <w:rsid w:val="007D2909"/>
    <w:rsid w:val="007D2D7F"/>
    <w:rsid w:val="007D312C"/>
    <w:rsid w:val="007D3C62"/>
    <w:rsid w:val="007D51BA"/>
    <w:rsid w:val="007D58FF"/>
    <w:rsid w:val="007D5A9D"/>
    <w:rsid w:val="007D688A"/>
    <w:rsid w:val="007D7202"/>
    <w:rsid w:val="007D7CC7"/>
    <w:rsid w:val="007E0443"/>
    <w:rsid w:val="007E08DA"/>
    <w:rsid w:val="007E0CD5"/>
    <w:rsid w:val="007E11D1"/>
    <w:rsid w:val="007E1855"/>
    <w:rsid w:val="007E234A"/>
    <w:rsid w:val="007E279D"/>
    <w:rsid w:val="007E2D8F"/>
    <w:rsid w:val="007E2F62"/>
    <w:rsid w:val="007E3041"/>
    <w:rsid w:val="007E3C3D"/>
    <w:rsid w:val="007E4550"/>
    <w:rsid w:val="007E5A00"/>
    <w:rsid w:val="007E65C3"/>
    <w:rsid w:val="007E6DA5"/>
    <w:rsid w:val="007E7197"/>
    <w:rsid w:val="007E7B40"/>
    <w:rsid w:val="007E7D4E"/>
    <w:rsid w:val="007E7FC6"/>
    <w:rsid w:val="007F1E54"/>
    <w:rsid w:val="007F252D"/>
    <w:rsid w:val="007F30D7"/>
    <w:rsid w:val="007F35CF"/>
    <w:rsid w:val="007F40F7"/>
    <w:rsid w:val="007F610D"/>
    <w:rsid w:val="007F6A0B"/>
    <w:rsid w:val="007F6B4F"/>
    <w:rsid w:val="007F7468"/>
    <w:rsid w:val="007F7CD5"/>
    <w:rsid w:val="00800300"/>
    <w:rsid w:val="00800C01"/>
    <w:rsid w:val="00801563"/>
    <w:rsid w:val="00802013"/>
    <w:rsid w:val="00802322"/>
    <w:rsid w:val="0080348A"/>
    <w:rsid w:val="008036B3"/>
    <w:rsid w:val="00803C28"/>
    <w:rsid w:val="008044E2"/>
    <w:rsid w:val="008045C9"/>
    <w:rsid w:val="008049B0"/>
    <w:rsid w:val="00804A70"/>
    <w:rsid w:val="00805470"/>
    <w:rsid w:val="00805A40"/>
    <w:rsid w:val="00805C37"/>
    <w:rsid w:val="00805CD4"/>
    <w:rsid w:val="00806BA4"/>
    <w:rsid w:val="00806CD6"/>
    <w:rsid w:val="00806FD9"/>
    <w:rsid w:val="0080741E"/>
    <w:rsid w:val="00807AA0"/>
    <w:rsid w:val="00810BBD"/>
    <w:rsid w:val="00810BBE"/>
    <w:rsid w:val="00810CE1"/>
    <w:rsid w:val="00811585"/>
    <w:rsid w:val="00811D0E"/>
    <w:rsid w:val="00811DFF"/>
    <w:rsid w:val="00811E82"/>
    <w:rsid w:val="0081308D"/>
    <w:rsid w:val="0081466F"/>
    <w:rsid w:val="00814D02"/>
    <w:rsid w:val="008165FA"/>
    <w:rsid w:val="008167FC"/>
    <w:rsid w:val="008177A9"/>
    <w:rsid w:val="00817B8A"/>
    <w:rsid w:val="00821D11"/>
    <w:rsid w:val="00822948"/>
    <w:rsid w:val="00822E15"/>
    <w:rsid w:val="00822F9A"/>
    <w:rsid w:val="00823D35"/>
    <w:rsid w:val="00824678"/>
    <w:rsid w:val="0082491E"/>
    <w:rsid w:val="00824D50"/>
    <w:rsid w:val="008250B0"/>
    <w:rsid w:val="008260FE"/>
    <w:rsid w:val="00831248"/>
    <w:rsid w:val="00831A88"/>
    <w:rsid w:val="00831B56"/>
    <w:rsid w:val="00831D08"/>
    <w:rsid w:val="00831F1F"/>
    <w:rsid w:val="0083258D"/>
    <w:rsid w:val="00832C90"/>
    <w:rsid w:val="00832F6A"/>
    <w:rsid w:val="00833434"/>
    <w:rsid w:val="00833631"/>
    <w:rsid w:val="00834483"/>
    <w:rsid w:val="008350A3"/>
    <w:rsid w:val="00835A3C"/>
    <w:rsid w:val="0083644B"/>
    <w:rsid w:val="00836B07"/>
    <w:rsid w:val="00836F1F"/>
    <w:rsid w:val="00837434"/>
    <w:rsid w:val="008379B4"/>
    <w:rsid w:val="00837E64"/>
    <w:rsid w:val="008408C9"/>
    <w:rsid w:val="00840D6D"/>
    <w:rsid w:val="00841B78"/>
    <w:rsid w:val="0084242E"/>
    <w:rsid w:val="0084263F"/>
    <w:rsid w:val="00842FBD"/>
    <w:rsid w:val="00843DF8"/>
    <w:rsid w:val="00845C5C"/>
    <w:rsid w:val="0085079B"/>
    <w:rsid w:val="00853BE0"/>
    <w:rsid w:val="008549F9"/>
    <w:rsid w:val="00854A67"/>
    <w:rsid w:val="00854BB9"/>
    <w:rsid w:val="00855050"/>
    <w:rsid w:val="00857726"/>
    <w:rsid w:val="00857ECE"/>
    <w:rsid w:val="008605EA"/>
    <w:rsid w:val="00860904"/>
    <w:rsid w:val="00861225"/>
    <w:rsid w:val="008612E0"/>
    <w:rsid w:val="00861855"/>
    <w:rsid w:val="0086194F"/>
    <w:rsid w:val="00861EE7"/>
    <w:rsid w:val="00862642"/>
    <w:rsid w:val="00862F87"/>
    <w:rsid w:val="00863299"/>
    <w:rsid w:val="0086439B"/>
    <w:rsid w:val="0086461B"/>
    <w:rsid w:val="00865DF0"/>
    <w:rsid w:val="008662E6"/>
    <w:rsid w:val="00867092"/>
    <w:rsid w:val="00867303"/>
    <w:rsid w:val="0086739C"/>
    <w:rsid w:val="00867C97"/>
    <w:rsid w:val="00867E74"/>
    <w:rsid w:val="0087052D"/>
    <w:rsid w:val="00870F98"/>
    <w:rsid w:val="0087104E"/>
    <w:rsid w:val="008712D2"/>
    <w:rsid w:val="00871A4F"/>
    <w:rsid w:val="00872FDD"/>
    <w:rsid w:val="00874182"/>
    <w:rsid w:val="00874C0B"/>
    <w:rsid w:val="00880B51"/>
    <w:rsid w:val="00880C2C"/>
    <w:rsid w:val="00881793"/>
    <w:rsid w:val="00881C4C"/>
    <w:rsid w:val="008822A7"/>
    <w:rsid w:val="0088325C"/>
    <w:rsid w:val="008835B7"/>
    <w:rsid w:val="00883A10"/>
    <w:rsid w:val="00883C18"/>
    <w:rsid w:val="00884312"/>
    <w:rsid w:val="00884C46"/>
    <w:rsid w:val="00884CF9"/>
    <w:rsid w:val="008853C3"/>
    <w:rsid w:val="008866DE"/>
    <w:rsid w:val="00886A3F"/>
    <w:rsid w:val="00887222"/>
    <w:rsid w:val="00887915"/>
    <w:rsid w:val="00892CAF"/>
    <w:rsid w:val="008935FC"/>
    <w:rsid w:val="00894225"/>
    <w:rsid w:val="008969B2"/>
    <w:rsid w:val="0089713A"/>
    <w:rsid w:val="008A02CB"/>
    <w:rsid w:val="008A167F"/>
    <w:rsid w:val="008A16B1"/>
    <w:rsid w:val="008A205C"/>
    <w:rsid w:val="008A29F1"/>
    <w:rsid w:val="008A2BEE"/>
    <w:rsid w:val="008A3692"/>
    <w:rsid w:val="008A483F"/>
    <w:rsid w:val="008A4BBA"/>
    <w:rsid w:val="008A50F3"/>
    <w:rsid w:val="008A51F2"/>
    <w:rsid w:val="008A7177"/>
    <w:rsid w:val="008A71BF"/>
    <w:rsid w:val="008A71E2"/>
    <w:rsid w:val="008A7494"/>
    <w:rsid w:val="008A7E4B"/>
    <w:rsid w:val="008B0A62"/>
    <w:rsid w:val="008B0CFA"/>
    <w:rsid w:val="008B2239"/>
    <w:rsid w:val="008B35D6"/>
    <w:rsid w:val="008B3B2E"/>
    <w:rsid w:val="008B48B2"/>
    <w:rsid w:val="008B4CAC"/>
    <w:rsid w:val="008B5540"/>
    <w:rsid w:val="008B5833"/>
    <w:rsid w:val="008B63A5"/>
    <w:rsid w:val="008B67DA"/>
    <w:rsid w:val="008B71EB"/>
    <w:rsid w:val="008B7C50"/>
    <w:rsid w:val="008C1013"/>
    <w:rsid w:val="008C1138"/>
    <w:rsid w:val="008C31A3"/>
    <w:rsid w:val="008C3D9F"/>
    <w:rsid w:val="008C3E4A"/>
    <w:rsid w:val="008C4DCD"/>
    <w:rsid w:val="008C5517"/>
    <w:rsid w:val="008C6418"/>
    <w:rsid w:val="008C65A8"/>
    <w:rsid w:val="008C6FCE"/>
    <w:rsid w:val="008C7334"/>
    <w:rsid w:val="008C7481"/>
    <w:rsid w:val="008C7730"/>
    <w:rsid w:val="008C7814"/>
    <w:rsid w:val="008C7BAF"/>
    <w:rsid w:val="008D0A33"/>
    <w:rsid w:val="008D1815"/>
    <w:rsid w:val="008D3302"/>
    <w:rsid w:val="008D34E0"/>
    <w:rsid w:val="008D3CFC"/>
    <w:rsid w:val="008D40BA"/>
    <w:rsid w:val="008D43CA"/>
    <w:rsid w:val="008D4E5C"/>
    <w:rsid w:val="008D546C"/>
    <w:rsid w:val="008D5551"/>
    <w:rsid w:val="008D5574"/>
    <w:rsid w:val="008D56DB"/>
    <w:rsid w:val="008D5CDE"/>
    <w:rsid w:val="008D6BC1"/>
    <w:rsid w:val="008D76C5"/>
    <w:rsid w:val="008E009C"/>
    <w:rsid w:val="008E02E4"/>
    <w:rsid w:val="008E0A82"/>
    <w:rsid w:val="008E1199"/>
    <w:rsid w:val="008E1349"/>
    <w:rsid w:val="008E144E"/>
    <w:rsid w:val="008E1514"/>
    <w:rsid w:val="008E199C"/>
    <w:rsid w:val="008E1C0A"/>
    <w:rsid w:val="008E295F"/>
    <w:rsid w:val="008E33EB"/>
    <w:rsid w:val="008E3E0B"/>
    <w:rsid w:val="008E4435"/>
    <w:rsid w:val="008E473A"/>
    <w:rsid w:val="008E4B59"/>
    <w:rsid w:val="008E52BE"/>
    <w:rsid w:val="008E548C"/>
    <w:rsid w:val="008E551C"/>
    <w:rsid w:val="008E674D"/>
    <w:rsid w:val="008F02EF"/>
    <w:rsid w:val="008F03D3"/>
    <w:rsid w:val="008F1473"/>
    <w:rsid w:val="008F253E"/>
    <w:rsid w:val="008F3745"/>
    <w:rsid w:val="008F416D"/>
    <w:rsid w:val="008F42E6"/>
    <w:rsid w:val="008F459A"/>
    <w:rsid w:val="008F46B4"/>
    <w:rsid w:val="008F5540"/>
    <w:rsid w:val="008F600A"/>
    <w:rsid w:val="008F62D9"/>
    <w:rsid w:val="008F62F4"/>
    <w:rsid w:val="008F63BC"/>
    <w:rsid w:val="008F683C"/>
    <w:rsid w:val="008F6909"/>
    <w:rsid w:val="009001FE"/>
    <w:rsid w:val="0090035F"/>
    <w:rsid w:val="009003CB"/>
    <w:rsid w:val="00900774"/>
    <w:rsid w:val="00902659"/>
    <w:rsid w:val="00902726"/>
    <w:rsid w:val="0090278A"/>
    <w:rsid w:val="00902989"/>
    <w:rsid w:val="00904029"/>
    <w:rsid w:val="009045E8"/>
    <w:rsid w:val="009052D1"/>
    <w:rsid w:val="0090560B"/>
    <w:rsid w:val="00905E72"/>
    <w:rsid w:val="00906101"/>
    <w:rsid w:val="009065D6"/>
    <w:rsid w:val="009066C8"/>
    <w:rsid w:val="00906C28"/>
    <w:rsid w:val="00907700"/>
    <w:rsid w:val="00907A0C"/>
    <w:rsid w:val="00907C6F"/>
    <w:rsid w:val="009101E1"/>
    <w:rsid w:val="00910E00"/>
    <w:rsid w:val="00911968"/>
    <w:rsid w:val="00911AFF"/>
    <w:rsid w:val="009131A2"/>
    <w:rsid w:val="00913359"/>
    <w:rsid w:val="00913643"/>
    <w:rsid w:val="009143B1"/>
    <w:rsid w:val="00915D87"/>
    <w:rsid w:val="00915FAC"/>
    <w:rsid w:val="00916930"/>
    <w:rsid w:val="009177D7"/>
    <w:rsid w:val="00917FE2"/>
    <w:rsid w:val="00920200"/>
    <w:rsid w:val="0092155B"/>
    <w:rsid w:val="00921696"/>
    <w:rsid w:val="00923280"/>
    <w:rsid w:val="009238A4"/>
    <w:rsid w:val="00923B8A"/>
    <w:rsid w:val="00923C02"/>
    <w:rsid w:val="00923D46"/>
    <w:rsid w:val="00924047"/>
    <w:rsid w:val="009240D8"/>
    <w:rsid w:val="009243A7"/>
    <w:rsid w:val="00924478"/>
    <w:rsid w:val="00924CEF"/>
    <w:rsid w:val="00924FAB"/>
    <w:rsid w:val="00926423"/>
    <w:rsid w:val="00926A5F"/>
    <w:rsid w:val="00927A13"/>
    <w:rsid w:val="00927B95"/>
    <w:rsid w:val="00927C4E"/>
    <w:rsid w:val="00930C82"/>
    <w:rsid w:val="00930EAF"/>
    <w:rsid w:val="00931216"/>
    <w:rsid w:val="00932E1F"/>
    <w:rsid w:val="00932E55"/>
    <w:rsid w:val="009335D8"/>
    <w:rsid w:val="00933728"/>
    <w:rsid w:val="009339F6"/>
    <w:rsid w:val="0093499C"/>
    <w:rsid w:val="009352A9"/>
    <w:rsid w:val="00936201"/>
    <w:rsid w:val="00936E04"/>
    <w:rsid w:val="00937328"/>
    <w:rsid w:val="009377CA"/>
    <w:rsid w:val="00937D06"/>
    <w:rsid w:val="009406A9"/>
    <w:rsid w:val="00940765"/>
    <w:rsid w:val="0094126A"/>
    <w:rsid w:val="009412CC"/>
    <w:rsid w:val="009413E8"/>
    <w:rsid w:val="00942220"/>
    <w:rsid w:val="00942CE6"/>
    <w:rsid w:val="00943DC7"/>
    <w:rsid w:val="00943F42"/>
    <w:rsid w:val="00945441"/>
    <w:rsid w:val="00945EBA"/>
    <w:rsid w:val="00946159"/>
    <w:rsid w:val="00946E51"/>
    <w:rsid w:val="0094719E"/>
    <w:rsid w:val="009471DA"/>
    <w:rsid w:val="00947570"/>
    <w:rsid w:val="009479A6"/>
    <w:rsid w:val="00947CC0"/>
    <w:rsid w:val="009505E8"/>
    <w:rsid w:val="00950B0B"/>
    <w:rsid w:val="00951108"/>
    <w:rsid w:val="00951768"/>
    <w:rsid w:val="00951EFE"/>
    <w:rsid w:val="0095200E"/>
    <w:rsid w:val="009527B8"/>
    <w:rsid w:val="00952EBD"/>
    <w:rsid w:val="00953ED9"/>
    <w:rsid w:val="0095433A"/>
    <w:rsid w:val="00954D5D"/>
    <w:rsid w:val="00955890"/>
    <w:rsid w:val="0095616A"/>
    <w:rsid w:val="00956964"/>
    <w:rsid w:val="00956C41"/>
    <w:rsid w:val="00957199"/>
    <w:rsid w:val="00957428"/>
    <w:rsid w:val="00957E79"/>
    <w:rsid w:val="009602DE"/>
    <w:rsid w:val="0096094C"/>
    <w:rsid w:val="0096200C"/>
    <w:rsid w:val="00962185"/>
    <w:rsid w:val="00963C93"/>
    <w:rsid w:val="0096404A"/>
    <w:rsid w:val="009649CF"/>
    <w:rsid w:val="00964F50"/>
    <w:rsid w:val="00965282"/>
    <w:rsid w:val="00965F4E"/>
    <w:rsid w:val="0096672F"/>
    <w:rsid w:val="00966CFF"/>
    <w:rsid w:val="00967C9F"/>
    <w:rsid w:val="0097050E"/>
    <w:rsid w:val="00970C1F"/>
    <w:rsid w:val="00971025"/>
    <w:rsid w:val="00971180"/>
    <w:rsid w:val="0097195E"/>
    <w:rsid w:val="009727F9"/>
    <w:rsid w:val="0097281F"/>
    <w:rsid w:val="0097353E"/>
    <w:rsid w:val="009739DF"/>
    <w:rsid w:val="00973B03"/>
    <w:rsid w:val="00974471"/>
    <w:rsid w:val="009748ED"/>
    <w:rsid w:val="00974D81"/>
    <w:rsid w:val="00974FCE"/>
    <w:rsid w:val="00975140"/>
    <w:rsid w:val="00975205"/>
    <w:rsid w:val="0097797A"/>
    <w:rsid w:val="00980820"/>
    <w:rsid w:val="00980D0C"/>
    <w:rsid w:val="00981B44"/>
    <w:rsid w:val="00982730"/>
    <w:rsid w:val="00982F02"/>
    <w:rsid w:val="00983B7D"/>
    <w:rsid w:val="00984267"/>
    <w:rsid w:val="009847B5"/>
    <w:rsid w:val="009859D8"/>
    <w:rsid w:val="009864EB"/>
    <w:rsid w:val="009864FE"/>
    <w:rsid w:val="00986DA7"/>
    <w:rsid w:val="009871FB"/>
    <w:rsid w:val="00987ADD"/>
    <w:rsid w:val="00990418"/>
    <w:rsid w:val="009915BA"/>
    <w:rsid w:val="00991EC2"/>
    <w:rsid w:val="0099318C"/>
    <w:rsid w:val="00993A89"/>
    <w:rsid w:val="00993CB6"/>
    <w:rsid w:val="00993E14"/>
    <w:rsid w:val="00996238"/>
    <w:rsid w:val="009A00CB"/>
    <w:rsid w:val="009A1B1D"/>
    <w:rsid w:val="009A1EA8"/>
    <w:rsid w:val="009A24D3"/>
    <w:rsid w:val="009A25D4"/>
    <w:rsid w:val="009A2D69"/>
    <w:rsid w:val="009A3ED7"/>
    <w:rsid w:val="009A3F97"/>
    <w:rsid w:val="009A4397"/>
    <w:rsid w:val="009A4986"/>
    <w:rsid w:val="009A596F"/>
    <w:rsid w:val="009A6CA3"/>
    <w:rsid w:val="009B0A33"/>
    <w:rsid w:val="009B0A58"/>
    <w:rsid w:val="009B28A5"/>
    <w:rsid w:val="009B305B"/>
    <w:rsid w:val="009B61F8"/>
    <w:rsid w:val="009B6212"/>
    <w:rsid w:val="009B62FA"/>
    <w:rsid w:val="009B681E"/>
    <w:rsid w:val="009B6FF9"/>
    <w:rsid w:val="009C01EA"/>
    <w:rsid w:val="009C03C7"/>
    <w:rsid w:val="009C1C16"/>
    <w:rsid w:val="009C2759"/>
    <w:rsid w:val="009C460C"/>
    <w:rsid w:val="009C4FC7"/>
    <w:rsid w:val="009C5368"/>
    <w:rsid w:val="009C61F5"/>
    <w:rsid w:val="009C62A9"/>
    <w:rsid w:val="009C6510"/>
    <w:rsid w:val="009C6C41"/>
    <w:rsid w:val="009C70C5"/>
    <w:rsid w:val="009C77A0"/>
    <w:rsid w:val="009C7AE2"/>
    <w:rsid w:val="009D014E"/>
    <w:rsid w:val="009D0D65"/>
    <w:rsid w:val="009D111B"/>
    <w:rsid w:val="009D2062"/>
    <w:rsid w:val="009D24FA"/>
    <w:rsid w:val="009D2C3A"/>
    <w:rsid w:val="009D2F06"/>
    <w:rsid w:val="009D354E"/>
    <w:rsid w:val="009D36E6"/>
    <w:rsid w:val="009D3A40"/>
    <w:rsid w:val="009D420C"/>
    <w:rsid w:val="009D430B"/>
    <w:rsid w:val="009D44DC"/>
    <w:rsid w:val="009D465D"/>
    <w:rsid w:val="009D467A"/>
    <w:rsid w:val="009D4E66"/>
    <w:rsid w:val="009D51AB"/>
    <w:rsid w:val="009D68EF"/>
    <w:rsid w:val="009D6B4D"/>
    <w:rsid w:val="009D72ED"/>
    <w:rsid w:val="009E1CA4"/>
    <w:rsid w:val="009E1D96"/>
    <w:rsid w:val="009E22B3"/>
    <w:rsid w:val="009E246E"/>
    <w:rsid w:val="009E283F"/>
    <w:rsid w:val="009E3C97"/>
    <w:rsid w:val="009E4FF8"/>
    <w:rsid w:val="009E76B1"/>
    <w:rsid w:val="009F125F"/>
    <w:rsid w:val="009F1A4B"/>
    <w:rsid w:val="009F1FDE"/>
    <w:rsid w:val="009F3527"/>
    <w:rsid w:val="009F4E0D"/>
    <w:rsid w:val="009F5016"/>
    <w:rsid w:val="009F7699"/>
    <w:rsid w:val="009F79A5"/>
    <w:rsid w:val="009F7B2B"/>
    <w:rsid w:val="009F7DFD"/>
    <w:rsid w:val="00A00FC0"/>
    <w:rsid w:val="00A01DA4"/>
    <w:rsid w:val="00A02380"/>
    <w:rsid w:val="00A023ED"/>
    <w:rsid w:val="00A02B79"/>
    <w:rsid w:val="00A02BC0"/>
    <w:rsid w:val="00A031C7"/>
    <w:rsid w:val="00A03436"/>
    <w:rsid w:val="00A037D6"/>
    <w:rsid w:val="00A047F8"/>
    <w:rsid w:val="00A05EB8"/>
    <w:rsid w:val="00A05ED7"/>
    <w:rsid w:val="00A05EEA"/>
    <w:rsid w:val="00A0667A"/>
    <w:rsid w:val="00A07722"/>
    <w:rsid w:val="00A10A40"/>
    <w:rsid w:val="00A10C8A"/>
    <w:rsid w:val="00A11005"/>
    <w:rsid w:val="00A115BB"/>
    <w:rsid w:val="00A11761"/>
    <w:rsid w:val="00A11F10"/>
    <w:rsid w:val="00A1274D"/>
    <w:rsid w:val="00A130BD"/>
    <w:rsid w:val="00A1397D"/>
    <w:rsid w:val="00A14A9A"/>
    <w:rsid w:val="00A14C12"/>
    <w:rsid w:val="00A154E6"/>
    <w:rsid w:val="00A158AD"/>
    <w:rsid w:val="00A16590"/>
    <w:rsid w:val="00A16706"/>
    <w:rsid w:val="00A1681C"/>
    <w:rsid w:val="00A1732B"/>
    <w:rsid w:val="00A17A5E"/>
    <w:rsid w:val="00A20532"/>
    <w:rsid w:val="00A218FE"/>
    <w:rsid w:val="00A227A3"/>
    <w:rsid w:val="00A2405C"/>
    <w:rsid w:val="00A24850"/>
    <w:rsid w:val="00A24F8B"/>
    <w:rsid w:val="00A25830"/>
    <w:rsid w:val="00A262D3"/>
    <w:rsid w:val="00A303BD"/>
    <w:rsid w:val="00A32DC8"/>
    <w:rsid w:val="00A33F05"/>
    <w:rsid w:val="00A34DBF"/>
    <w:rsid w:val="00A35145"/>
    <w:rsid w:val="00A351EF"/>
    <w:rsid w:val="00A357B2"/>
    <w:rsid w:val="00A36C31"/>
    <w:rsid w:val="00A37155"/>
    <w:rsid w:val="00A40148"/>
    <w:rsid w:val="00A40B8C"/>
    <w:rsid w:val="00A40FBE"/>
    <w:rsid w:val="00A4186D"/>
    <w:rsid w:val="00A419B6"/>
    <w:rsid w:val="00A425FA"/>
    <w:rsid w:val="00A427CB"/>
    <w:rsid w:val="00A429D4"/>
    <w:rsid w:val="00A42C76"/>
    <w:rsid w:val="00A43F50"/>
    <w:rsid w:val="00A440F8"/>
    <w:rsid w:val="00A441FD"/>
    <w:rsid w:val="00A44928"/>
    <w:rsid w:val="00A45723"/>
    <w:rsid w:val="00A464D9"/>
    <w:rsid w:val="00A50372"/>
    <w:rsid w:val="00A509F9"/>
    <w:rsid w:val="00A5159D"/>
    <w:rsid w:val="00A5177F"/>
    <w:rsid w:val="00A51CA6"/>
    <w:rsid w:val="00A5574A"/>
    <w:rsid w:val="00A55B24"/>
    <w:rsid w:val="00A55DA6"/>
    <w:rsid w:val="00A569D8"/>
    <w:rsid w:val="00A569DE"/>
    <w:rsid w:val="00A57938"/>
    <w:rsid w:val="00A57BD0"/>
    <w:rsid w:val="00A57E1D"/>
    <w:rsid w:val="00A6051C"/>
    <w:rsid w:val="00A6167A"/>
    <w:rsid w:val="00A61913"/>
    <w:rsid w:val="00A6200A"/>
    <w:rsid w:val="00A62270"/>
    <w:rsid w:val="00A62E80"/>
    <w:rsid w:val="00A62F86"/>
    <w:rsid w:val="00A63A2B"/>
    <w:rsid w:val="00A63CE3"/>
    <w:rsid w:val="00A63CE4"/>
    <w:rsid w:val="00A641E0"/>
    <w:rsid w:val="00A64529"/>
    <w:rsid w:val="00A654BA"/>
    <w:rsid w:val="00A678F5"/>
    <w:rsid w:val="00A67C5D"/>
    <w:rsid w:val="00A704AF"/>
    <w:rsid w:val="00A70591"/>
    <w:rsid w:val="00A7199B"/>
    <w:rsid w:val="00A72463"/>
    <w:rsid w:val="00A725A1"/>
    <w:rsid w:val="00A72A9D"/>
    <w:rsid w:val="00A7348F"/>
    <w:rsid w:val="00A73723"/>
    <w:rsid w:val="00A73B09"/>
    <w:rsid w:val="00A73BD4"/>
    <w:rsid w:val="00A74A30"/>
    <w:rsid w:val="00A75227"/>
    <w:rsid w:val="00A75690"/>
    <w:rsid w:val="00A75B23"/>
    <w:rsid w:val="00A75F69"/>
    <w:rsid w:val="00A7656F"/>
    <w:rsid w:val="00A76608"/>
    <w:rsid w:val="00A77B44"/>
    <w:rsid w:val="00A801C8"/>
    <w:rsid w:val="00A8171B"/>
    <w:rsid w:val="00A81A42"/>
    <w:rsid w:val="00A81DC8"/>
    <w:rsid w:val="00A827D7"/>
    <w:rsid w:val="00A8295F"/>
    <w:rsid w:val="00A836B1"/>
    <w:rsid w:val="00A83E8E"/>
    <w:rsid w:val="00A8421D"/>
    <w:rsid w:val="00A84A5A"/>
    <w:rsid w:val="00A85BA0"/>
    <w:rsid w:val="00A867FE"/>
    <w:rsid w:val="00A875D1"/>
    <w:rsid w:val="00A90270"/>
    <w:rsid w:val="00A92380"/>
    <w:rsid w:val="00A9277D"/>
    <w:rsid w:val="00A92BFA"/>
    <w:rsid w:val="00A94623"/>
    <w:rsid w:val="00A94B37"/>
    <w:rsid w:val="00A94E82"/>
    <w:rsid w:val="00A97802"/>
    <w:rsid w:val="00A97E99"/>
    <w:rsid w:val="00AA098E"/>
    <w:rsid w:val="00AA0B10"/>
    <w:rsid w:val="00AA16E5"/>
    <w:rsid w:val="00AA1905"/>
    <w:rsid w:val="00AA1A79"/>
    <w:rsid w:val="00AA1C00"/>
    <w:rsid w:val="00AA2EAA"/>
    <w:rsid w:val="00AA396D"/>
    <w:rsid w:val="00AA55A3"/>
    <w:rsid w:val="00AA5891"/>
    <w:rsid w:val="00AA676B"/>
    <w:rsid w:val="00AA7273"/>
    <w:rsid w:val="00AB01FB"/>
    <w:rsid w:val="00AB07E0"/>
    <w:rsid w:val="00AB0AA1"/>
    <w:rsid w:val="00AB0E51"/>
    <w:rsid w:val="00AB17C0"/>
    <w:rsid w:val="00AB1811"/>
    <w:rsid w:val="00AB3485"/>
    <w:rsid w:val="00AB34EB"/>
    <w:rsid w:val="00AB5567"/>
    <w:rsid w:val="00AB597C"/>
    <w:rsid w:val="00AB62A9"/>
    <w:rsid w:val="00AB63B0"/>
    <w:rsid w:val="00AB673B"/>
    <w:rsid w:val="00AB75FD"/>
    <w:rsid w:val="00AB7A06"/>
    <w:rsid w:val="00AC06D4"/>
    <w:rsid w:val="00AC11FD"/>
    <w:rsid w:val="00AC1C74"/>
    <w:rsid w:val="00AC1D13"/>
    <w:rsid w:val="00AC2193"/>
    <w:rsid w:val="00AC2517"/>
    <w:rsid w:val="00AC26DD"/>
    <w:rsid w:val="00AC278D"/>
    <w:rsid w:val="00AC3691"/>
    <w:rsid w:val="00AC38B7"/>
    <w:rsid w:val="00AC3B8E"/>
    <w:rsid w:val="00AC41D5"/>
    <w:rsid w:val="00AC5AB5"/>
    <w:rsid w:val="00AC64DC"/>
    <w:rsid w:val="00AC6F9A"/>
    <w:rsid w:val="00AC736D"/>
    <w:rsid w:val="00AC7880"/>
    <w:rsid w:val="00AD11C1"/>
    <w:rsid w:val="00AD1C8C"/>
    <w:rsid w:val="00AD24E4"/>
    <w:rsid w:val="00AD3149"/>
    <w:rsid w:val="00AD354C"/>
    <w:rsid w:val="00AD38E3"/>
    <w:rsid w:val="00AD4471"/>
    <w:rsid w:val="00AD4884"/>
    <w:rsid w:val="00AD510F"/>
    <w:rsid w:val="00AD7728"/>
    <w:rsid w:val="00AE0A71"/>
    <w:rsid w:val="00AE1404"/>
    <w:rsid w:val="00AE1650"/>
    <w:rsid w:val="00AE165C"/>
    <w:rsid w:val="00AE17D2"/>
    <w:rsid w:val="00AE1CD6"/>
    <w:rsid w:val="00AE1D5C"/>
    <w:rsid w:val="00AE2B0A"/>
    <w:rsid w:val="00AE4A51"/>
    <w:rsid w:val="00AE572A"/>
    <w:rsid w:val="00AE5AF4"/>
    <w:rsid w:val="00AE5DEC"/>
    <w:rsid w:val="00AE694F"/>
    <w:rsid w:val="00AE7D50"/>
    <w:rsid w:val="00AF07CB"/>
    <w:rsid w:val="00AF0FDC"/>
    <w:rsid w:val="00AF25CF"/>
    <w:rsid w:val="00AF26E9"/>
    <w:rsid w:val="00AF2764"/>
    <w:rsid w:val="00AF2B73"/>
    <w:rsid w:val="00AF31FA"/>
    <w:rsid w:val="00AF343F"/>
    <w:rsid w:val="00AF39BD"/>
    <w:rsid w:val="00AF3F90"/>
    <w:rsid w:val="00AF42D9"/>
    <w:rsid w:val="00AF44FB"/>
    <w:rsid w:val="00AF5055"/>
    <w:rsid w:val="00AF52E6"/>
    <w:rsid w:val="00AF63F6"/>
    <w:rsid w:val="00AF7909"/>
    <w:rsid w:val="00B00006"/>
    <w:rsid w:val="00B0018B"/>
    <w:rsid w:val="00B0075D"/>
    <w:rsid w:val="00B00802"/>
    <w:rsid w:val="00B00E82"/>
    <w:rsid w:val="00B01828"/>
    <w:rsid w:val="00B019BF"/>
    <w:rsid w:val="00B01B00"/>
    <w:rsid w:val="00B01DBA"/>
    <w:rsid w:val="00B039D4"/>
    <w:rsid w:val="00B046F7"/>
    <w:rsid w:val="00B04AD1"/>
    <w:rsid w:val="00B04B20"/>
    <w:rsid w:val="00B04C91"/>
    <w:rsid w:val="00B055A7"/>
    <w:rsid w:val="00B057D3"/>
    <w:rsid w:val="00B05840"/>
    <w:rsid w:val="00B059F0"/>
    <w:rsid w:val="00B05AEF"/>
    <w:rsid w:val="00B060ED"/>
    <w:rsid w:val="00B068AE"/>
    <w:rsid w:val="00B06E8A"/>
    <w:rsid w:val="00B07465"/>
    <w:rsid w:val="00B07B73"/>
    <w:rsid w:val="00B07C1B"/>
    <w:rsid w:val="00B07F66"/>
    <w:rsid w:val="00B1025D"/>
    <w:rsid w:val="00B108F3"/>
    <w:rsid w:val="00B120CD"/>
    <w:rsid w:val="00B12E3C"/>
    <w:rsid w:val="00B14F4D"/>
    <w:rsid w:val="00B1525E"/>
    <w:rsid w:val="00B155AC"/>
    <w:rsid w:val="00B159C4"/>
    <w:rsid w:val="00B15C6F"/>
    <w:rsid w:val="00B1661E"/>
    <w:rsid w:val="00B204D4"/>
    <w:rsid w:val="00B20FA7"/>
    <w:rsid w:val="00B210F4"/>
    <w:rsid w:val="00B223C9"/>
    <w:rsid w:val="00B229FC"/>
    <w:rsid w:val="00B22B39"/>
    <w:rsid w:val="00B22C7C"/>
    <w:rsid w:val="00B22E81"/>
    <w:rsid w:val="00B23679"/>
    <w:rsid w:val="00B23CEF"/>
    <w:rsid w:val="00B23CF9"/>
    <w:rsid w:val="00B24B48"/>
    <w:rsid w:val="00B26B6E"/>
    <w:rsid w:val="00B2722E"/>
    <w:rsid w:val="00B301F2"/>
    <w:rsid w:val="00B31462"/>
    <w:rsid w:val="00B31D8D"/>
    <w:rsid w:val="00B334CE"/>
    <w:rsid w:val="00B35623"/>
    <w:rsid w:val="00B357EB"/>
    <w:rsid w:val="00B36B24"/>
    <w:rsid w:val="00B3704B"/>
    <w:rsid w:val="00B40396"/>
    <w:rsid w:val="00B40C02"/>
    <w:rsid w:val="00B4140B"/>
    <w:rsid w:val="00B41C5A"/>
    <w:rsid w:val="00B424B4"/>
    <w:rsid w:val="00B42825"/>
    <w:rsid w:val="00B42CF7"/>
    <w:rsid w:val="00B4310A"/>
    <w:rsid w:val="00B43975"/>
    <w:rsid w:val="00B44761"/>
    <w:rsid w:val="00B461C8"/>
    <w:rsid w:val="00B46E42"/>
    <w:rsid w:val="00B478B1"/>
    <w:rsid w:val="00B47AA8"/>
    <w:rsid w:val="00B47BD7"/>
    <w:rsid w:val="00B47F06"/>
    <w:rsid w:val="00B50731"/>
    <w:rsid w:val="00B50D1C"/>
    <w:rsid w:val="00B5238C"/>
    <w:rsid w:val="00B52F34"/>
    <w:rsid w:val="00B52F57"/>
    <w:rsid w:val="00B5355D"/>
    <w:rsid w:val="00B53972"/>
    <w:rsid w:val="00B53AFC"/>
    <w:rsid w:val="00B549A1"/>
    <w:rsid w:val="00B55094"/>
    <w:rsid w:val="00B5543B"/>
    <w:rsid w:val="00B55ADB"/>
    <w:rsid w:val="00B5602B"/>
    <w:rsid w:val="00B565B7"/>
    <w:rsid w:val="00B56BBC"/>
    <w:rsid w:val="00B5710C"/>
    <w:rsid w:val="00B5790A"/>
    <w:rsid w:val="00B57A0E"/>
    <w:rsid w:val="00B6033A"/>
    <w:rsid w:val="00B6068B"/>
    <w:rsid w:val="00B607B8"/>
    <w:rsid w:val="00B61607"/>
    <w:rsid w:val="00B61815"/>
    <w:rsid w:val="00B650D8"/>
    <w:rsid w:val="00B65987"/>
    <w:rsid w:val="00B65A06"/>
    <w:rsid w:val="00B67500"/>
    <w:rsid w:val="00B67956"/>
    <w:rsid w:val="00B701AF"/>
    <w:rsid w:val="00B70682"/>
    <w:rsid w:val="00B70E41"/>
    <w:rsid w:val="00B71DDD"/>
    <w:rsid w:val="00B725C6"/>
    <w:rsid w:val="00B72786"/>
    <w:rsid w:val="00B72FD7"/>
    <w:rsid w:val="00B73382"/>
    <w:rsid w:val="00B73714"/>
    <w:rsid w:val="00B737B8"/>
    <w:rsid w:val="00B73E7D"/>
    <w:rsid w:val="00B74772"/>
    <w:rsid w:val="00B74FD5"/>
    <w:rsid w:val="00B7577B"/>
    <w:rsid w:val="00B766FA"/>
    <w:rsid w:val="00B80B58"/>
    <w:rsid w:val="00B81617"/>
    <w:rsid w:val="00B81773"/>
    <w:rsid w:val="00B81E4E"/>
    <w:rsid w:val="00B81E7B"/>
    <w:rsid w:val="00B83508"/>
    <w:rsid w:val="00B8497C"/>
    <w:rsid w:val="00B84AB1"/>
    <w:rsid w:val="00B85479"/>
    <w:rsid w:val="00B85ECF"/>
    <w:rsid w:val="00B86397"/>
    <w:rsid w:val="00B86B65"/>
    <w:rsid w:val="00B86DB0"/>
    <w:rsid w:val="00B872F5"/>
    <w:rsid w:val="00B879C4"/>
    <w:rsid w:val="00B87FE3"/>
    <w:rsid w:val="00B901FC"/>
    <w:rsid w:val="00B9067B"/>
    <w:rsid w:val="00B915C8"/>
    <w:rsid w:val="00B91E99"/>
    <w:rsid w:val="00B91F71"/>
    <w:rsid w:val="00B923A7"/>
    <w:rsid w:val="00B92F32"/>
    <w:rsid w:val="00B93A7A"/>
    <w:rsid w:val="00B9438B"/>
    <w:rsid w:val="00B9484D"/>
    <w:rsid w:val="00B95319"/>
    <w:rsid w:val="00B97A03"/>
    <w:rsid w:val="00BA0026"/>
    <w:rsid w:val="00BA13DD"/>
    <w:rsid w:val="00BA1C48"/>
    <w:rsid w:val="00BA1EC9"/>
    <w:rsid w:val="00BA2EA9"/>
    <w:rsid w:val="00BA36BD"/>
    <w:rsid w:val="00BA37A8"/>
    <w:rsid w:val="00BA3F7F"/>
    <w:rsid w:val="00BA4192"/>
    <w:rsid w:val="00BA43E8"/>
    <w:rsid w:val="00BA4545"/>
    <w:rsid w:val="00BA48F0"/>
    <w:rsid w:val="00BA4C43"/>
    <w:rsid w:val="00BA4C45"/>
    <w:rsid w:val="00BA556B"/>
    <w:rsid w:val="00BA5637"/>
    <w:rsid w:val="00BA5CF5"/>
    <w:rsid w:val="00BA63A8"/>
    <w:rsid w:val="00BA6D10"/>
    <w:rsid w:val="00BA7CE8"/>
    <w:rsid w:val="00BA7DC5"/>
    <w:rsid w:val="00BB143D"/>
    <w:rsid w:val="00BB172C"/>
    <w:rsid w:val="00BB191D"/>
    <w:rsid w:val="00BB1A69"/>
    <w:rsid w:val="00BB24C1"/>
    <w:rsid w:val="00BB288A"/>
    <w:rsid w:val="00BB2F18"/>
    <w:rsid w:val="00BB3F87"/>
    <w:rsid w:val="00BB539E"/>
    <w:rsid w:val="00BB5E2E"/>
    <w:rsid w:val="00BB5EA7"/>
    <w:rsid w:val="00BB6D19"/>
    <w:rsid w:val="00BC03AA"/>
    <w:rsid w:val="00BC04D8"/>
    <w:rsid w:val="00BC05C7"/>
    <w:rsid w:val="00BC081C"/>
    <w:rsid w:val="00BC0979"/>
    <w:rsid w:val="00BC0A2F"/>
    <w:rsid w:val="00BC0ABB"/>
    <w:rsid w:val="00BC0AEA"/>
    <w:rsid w:val="00BC1018"/>
    <w:rsid w:val="00BC125B"/>
    <w:rsid w:val="00BC1301"/>
    <w:rsid w:val="00BC1543"/>
    <w:rsid w:val="00BC2D08"/>
    <w:rsid w:val="00BC3AFE"/>
    <w:rsid w:val="00BC42B8"/>
    <w:rsid w:val="00BC45BC"/>
    <w:rsid w:val="00BC4FE6"/>
    <w:rsid w:val="00BC593F"/>
    <w:rsid w:val="00BC59B2"/>
    <w:rsid w:val="00BC5E8A"/>
    <w:rsid w:val="00BC72CA"/>
    <w:rsid w:val="00BC7916"/>
    <w:rsid w:val="00BC7E71"/>
    <w:rsid w:val="00BD0204"/>
    <w:rsid w:val="00BD0B22"/>
    <w:rsid w:val="00BD1AF9"/>
    <w:rsid w:val="00BD1FC7"/>
    <w:rsid w:val="00BD2C0C"/>
    <w:rsid w:val="00BD2F6D"/>
    <w:rsid w:val="00BD34F2"/>
    <w:rsid w:val="00BD3C3E"/>
    <w:rsid w:val="00BD485B"/>
    <w:rsid w:val="00BD48C8"/>
    <w:rsid w:val="00BD51C7"/>
    <w:rsid w:val="00BD5D89"/>
    <w:rsid w:val="00BD6E3F"/>
    <w:rsid w:val="00BD7227"/>
    <w:rsid w:val="00BE0278"/>
    <w:rsid w:val="00BE02FE"/>
    <w:rsid w:val="00BE0DCB"/>
    <w:rsid w:val="00BE1A0E"/>
    <w:rsid w:val="00BE2807"/>
    <w:rsid w:val="00BE2C97"/>
    <w:rsid w:val="00BE32B1"/>
    <w:rsid w:val="00BE3701"/>
    <w:rsid w:val="00BE4BED"/>
    <w:rsid w:val="00BE59F9"/>
    <w:rsid w:val="00BE6546"/>
    <w:rsid w:val="00BE661E"/>
    <w:rsid w:val="00BE6FED"/>
    <w:rsid w:val="00BE72F9"/>
    <w:rsid w:val="00BE765F"/>
    <w:rsid w:val="00BF075B"/>
    <w:rsid w:val="00BF1CFB"/>
    <w:rsid w:val="00BF1DCB"/>
    <w:rsid w:val="00BF2971"/>
    <w:rsid w:val="00BF39CE"/>
    <w:rsid w:val="00BF4B45"/>
    <w:rsid w:val="00BF4B67"/>
    <w:rsid w:val="00BF5AFF"/>
    <w:rsid w:val="00BF5B4B"/>
    <w:rsid w:val="00BF5EB4"/>
    <w:rsid w:val="00BF646E"/>
    <w:rsid w:val="00BF67E3"/>
    <w:rsid w:val="00BF6CDF"/>
    <w:rsid w:val="00BF6F29"/>
    <w:rsid w:val="00BF76A4"/>
    <w:rsid w:val="00BF786F"/>
    <w:rsid w:val="00BF79A2"/>
    <w:rsid w:val="00BF7B84"/>
    <w:rsid w:val="00C00260"/>
    <w:rsid w:val="00C00331"/>
    <w:rsid w:val="00C0120F"/>
    <w:rsid w:val="00C013C5"/>
    <w:rsid w:val="00C01CE9"/>
    <w:rsid w:val="00C023DF"/>
    <w:rsid w:val="00C03795"/>
    <w:rsid w:val="00C03E06"/>
    <w:rsid w:val="00C04036"/>
    <w:rsid w:val="00C05546"/>
    <w:rsid w:val="00C05A95"/>
    <w:rsid w:val="00C05B4B"/>
    <w:rsid w:val="00C06EF7"/>
    <w:rsid w:val="00C07944"/>
    <w:rsid w:val="00C07FEF"/>
    <w:rsid w:val="00C1150B"/>
    <w:rsid w:val="00C12341"/>
    <w:rsid w:val="00C12527"/>
    <w:rsid w:val="00C12E3B"/>
    <w:rsid w:val="00C12F02"/>
    <w:rsid w:val="00C1381E"/>
    <w:rsid w:val="00C13880"/>
    <w:rsid w:val="00C13CBD"/>
    <w:rsid w:val="00C14367"/>
    <w:rsid w:val="00C1441F"/>
    <w:rsid w:val="00C14B78"/>
    <w:rsid w:val="00C15433"/>
    <w:rsid w:val="00C155A7"/>
    <w:rsid w:val="00C15FF2"/>
    <w:rsid w:val="00C161CB"/>
    <w:rsid w:val="00C1778F"/>
    <w:rsid w:val="00C20BDC"/>
    <w:rsid w:val="00C217FF"/>
    <w:rsid w:val="00C219AB"/>
    <w:rsid w:val="00C21A2A"/>
    <w:rsid w:val="00C21EE7"/>
    <w:rsid w:val="00C2216F"/>
    <w:rsid w:val="00C22815"/>
    <w:rsid w:val="00C238E6"/>
    <w:rsid w:val="00C23C22"/>
    <w:rsid w:val="00C23EB0"/>
    <w:rsid w:val="00C25B2E"/>
    <w:rsid w:val="00C26193"/>
    <w:rsid w:val="00C26218"/>
    <w:rsid w:val="00C302FA"/>
    <w:rsid w:val="00C30409"/>
    <w:rsid w:val="00C3159A"/>
    <w:rsid w:val="00C3232C"/>
    <w:rsid w:val="00C32440"/>
    <w:rsid w:val="00C3287F"/>
    <w:rsid w:val="00C343E6"/>
    <w:rsid w:val="00C34B6C"/>
    <w:rsid w:val="00C34D17"/>
    <w:rsid w:val="00C353B2"/>
    <w:rsid w:val="00C36391"/>
    <w:rsid w:val="00C36BD0"/>
    <w:rsid w:val="00C40B4C"/>
    <w:rsid w:val="00C40BDC"/>
    <w:rsid w:val="00C40F40"/>
    <w:rsid w:val="00C40FF8"/>
    <w:rsid w:val="00C41B2E"/>
    <w:rsid w:val="00C41C21"/>
    <w:rsid w:val="00C42C96"/>
    <w:rsid w:val="00C43447"/>
    <w:rsid w:val="00C44257"/>
    <w:rsid w:val="00C442EC"/>
    <w:rsid w:val="00C445D5"/>
    <w:rsid w:val="00C44952"/>
    <w:rsid w:val="00C4545B"/>
    <w:rsid w:val="00C4597B"/>
    <w:rsid w:val="00C4617C"/>
    <w:rsid w:val="00C474A5"/>
    <w:rsid w:val="00C474B3"/>
    <w:rsid w:val="00C47DAC"/>
    <w:rsid w:val="00C50298"/>
    <w:rsid w:val="00C510ED"/>
    <w:rsid w:val="00C51947"/>
    <w:rsid w:val="00C52749"/>
    <w:rsid w:val="00C53A59"/>
    <w:rsid w:val="00C53D02"/>
    <w:rsid w:val="00C54093"/>
    <w:rsid w:val="00C546CD"/>
    <w:rsid w:val="00C548E4"/>
    <w:rsid w:val="00C5495C"/>
    <w:rsid w:val="00C54A04"/>
    <w:rsid w:val="00C55222"/>
    <w:rsid w:val="00C55FBB"/>
    <w:rsid w:val="00C563CF"/>
    <w:rsid w:val="00C5686C"/>
    <w:rsid w:val="00C57A9D"/>
    <w:rsid w:val="00C6000A"/>
    <w:rsid w:val="00C60097"/>
    <w:rsid w:val="00C61041"/>
    <w:rsid w:val="00C61385"/>
    <w:rsid w:val="00C6197A"/>
    <w:rsid w:val="00C627A6"/>
    <w:rsid w:val="00C62A1D"/>
    <w:rsid w:val="00C62E5A"/>
    <w:rsid w:val="00C64596"/>
    <w:rsid w:val="00C64798"/>
    <w:rsid w:val="00C65C20"/>
    <w:rsid w:val="00C66851"/>
    <w:rsid w:val="00C676BF"/>
    <w:rsid w:val="00C6788C"/>
    <w:rsid w:val="00C67A3E"/>
    <w:rsid w:val="00C67A76"/>
    <w:rsid w:val="00C7057B"/>
    <w:rsid w:val="00C7076C"/>
    <w:rsid w:val="00C70D69"/>
    <w:rsid w:val="00C710D5"/>
    <w:rsid w:val="00C723DC"/>
    <w:rsid w:val="00C744BB"/>
    <w:rsid w:val="00C74819"/>
    <w:rsid w:val="00C75645"/>
    <w:rsid w:val="00C75871"/>
    <w:rsid w:val="00C7676C"/>
    <w:rsid w:val="00C779D6"/>
    <w:rsid w:val="00C77BC2"/>
    <w:rsid w:val="00C80BEC"/>
    <w:rsid w:val="00C81069"/>
    <w:rsid w:val="00C81541"/>
    <w:rsid w:val="00C859E1"/>
    <w:rsid w:val="00C85B38"/>
    <w:rsid w:val="00C86748"/>
    <w:rsid w:val="00C867D2"/>
    <w:rsid w:val="00C8719E"/>
    <w:rsid w:val="00C9100A"/>
    <w:rsid w:val="00C92672"/>
    <w:rsid w:val="00C92D2B"/>
    <w:rsid w:val="00C93831"/>
    <w:rsid w:val="00C9435D"/>
    <w:rsid w:val="00C949D9"/>
    <w:rsid w:val="00C95E91"/>
    <w:rsid w:val="00C97850"/>
    <w:rsid w:val="00C97AF0"/>
    <w:rsid w:val="00CA1405"/>
    <w:rsid w:val="00CA41F9"/>
    <w:rsid w:val="00CA58E0"/>
    <w:rsid w:val="00CA5C15"/>
    <w:rsid w:val="00CA6032"/>
    <w:rsid w:val="00CA65DE"/>
    <w:rsid w:val="00CA6C4D"/>
    <w:rsid w:val="00CA6CB3"/>
    <w:rsid w:val="00CB0563"/>
    <w:rsid w:val="00CB0BD1"/>
    <w:rsid w:val="00CB13C1"/>
    <w:rsid w:val="00CB16A0"/>
    <w:rsid w:val="00CB1BBF"/>
    <w:rsid w:val="00CB27DB"/>
    <w:rsid w:val="00CB28FC"/>
    <w:rsid w:val="00CB2EE3"/>
    <w:rsid w:val="00CB35B0"/>
    <w:rsid w:val="00CB3CC9"/>
    <w:rsid w:val="00CB3E2F"/>
    <w:rsid w:val="00CB677D"/>
    <w:rsid w:val="00CB6B8B"/>
    <w:rsid w:val="00CB6CB3"/>
    <w:rsid w:val="00CB6E65"/>
    <w:rsid w:val="00CB7762"/>
    <w:rsid w:val="00CB7816"/>
    <w:rsid w:val="00CB7FA2"/>
    <w:rsid w:val="00CC0A7F"/>
    <w:rsid w:val="00CC0BFD"/>
    <w:rsid w:val="00CC13EA"/>
    <w:rsid w:val="00CC1815"/>
    <w:rsid w:val="00CC1F12"/>
    <w:rsid w:val="00CC26D7"/>
    <w:rsid w:val="00CC2A54"/>
    <w:rsid w:val="00CC2E54"/>
    <w:rsid w:val="00CC61E9"/>
    <w:rsid w:val="00CC6754"/>
    <w:rsid w:val="00CC68A7"/>
    <w:rsid w:val="00CC6B37"/>
    <w:rsid w:val="00CC714F"/>
    <w:rsid w:val="00CD0145"/>
    <w:rsid w:val="00CD06B3"/>
    <w:rsid w:val="00CD1CBC"/>
    <w:rsid w:val="00CD20FA"/>
    <w:rsid w:val="00CD3367"/>
    <w:rsid w:val="00CD34CF"/>
    <w:rsid w:val="00CD3DE7"/>
    <w:rsid w:val="00CD3FCA"/>
    <w:rsid w:val="00CD41F5"/>
    <w:rsid w:val="00CE0013"/>
    <w:rsid w:val="00CE2024"/>
    <w:rsid w:val="00CE322E"/>
    <w:rsid w:val="00CE38BF"/>
    <w:rsid w:val="00CE3B32"/>
    <w:rsid w:val="00CE3B58"/>
    <w:rsid w:val="00CE638F"/>
    <w:rsid w:val="00CE6471"/>
    <w:rsid w:val="00CE6C55"/>
    <w:rsid w:val="00CF00C7"/>
    <w:rsid w:val="00CF0D95"/>
    <w:rsid w:val="00CF1140"/>
    <w:rsid w:val="00CF16F1"/>
    <w:rsid w:val="00CF1C30"/>
    <w:rsid w:val="00CF290F"/>
    <w:rsid w:val="00CF3134"/>
    <w:rsid w:val="00CF4CB7"/>
    <w:rsid w:val="00CF5276"/>
    <w:rsid w:val="00CF53D6"/>
    <w:rsid w:val="00CF5988"/>
    <w:rsid w:val="00CF617F"/>
    <w:rsid w:val="00CF61A0"/>
    <w:rsid w:val="00CF7277"/>
    <w:rsid w:val="00CF763B"/>
    <w:rsid w:val="00CF77A0"/>
    <w:rsid w:val="00CF7A08"/>
    <w:rsid w:val="00D00094"/>
    <w:rsid w:val="00D000F0"/>
    <w:rsid w:val="00D00A5E"/>
    <w:rsid w:val="00D00C95"/>
    <w:rsid w:val="00D00E3B"/>
    <w:rsid w:val="00D01427"/>
    <w:rsid w:val="00D01587"/>
    <w:rsid w:val="00D02B5B"/>
    <w:rsid w:val="00D03343"/>
    <w:rsid w:val="00D0444C"/>
    <w:rsid w:val="00D057CA"/>
    <w:rsid w:val="00D058B4"/>
    <w:rsid w:val="00D06D41"/>
    <w:rsid w:val="00D075D5"/>
    <w:rsid w:val="00D07905"/>
    <w:rsid w:val="00D104A6"/>
    <w:rsid w:val="00D10DD4"/>
    <w:rsid w:val="00D11254"/>
    <w:rsid w:val="00D124D7"/>
    <w:rsid w:val="00D124EA"/>
    <w:rsid w:val="00D12980"/>
    <w:rsid w:val="00D13AE4"/>
    <w:rsid w:val="00D14D9E"/>
    <w:rsid w:val="00D159FD"/>
    <w:rsid w:val="00D15A80"/>
    <w:rsid w:val="00D15F48"/>
    <w:rsid w:val="00D16786"/>
    <w:rsid w:val="00D16864"/>
    <w:rsid w:val="00D16F0B"/>
    <w:rsid w:val="00D173EF"/>
    <w:rsid w:val="00D17678"/>
    <w:rsid w:val="00D17B46"/>
    <w:rsid w:val="00D17B4F"/>
    <w:rsid w:val="00D20082"/>
    <w:rsid w:val="00D204CF"/>
    <w:rsid w:val="00D212B4"/>
    <w:rsid w:val="00D22147"/>
    <w:rsid w:val="00D2377B"/>
    <w:rsid w:val="00D23DCA"/>
    <w:rsid w:val="00D24092"/>
    <w:rsid w:val="00D241E9"/>
    <w:rsid w:val="00D24B07"/>
    <w:rsid w:val="00D24BCF"/>
    <w:rsid w:val="00D253F0"/>
    <w:rsid w:val="00D26623"/>
    <w:rsid w:val="00D26768"/>
    <w:rsid w:val="00D27F0C"/>
    <w:rsid w:val="00D3007B"/>
    <w:rsid w:val="00D315F5"/>
    <w:rsid w:val="00D32240"/>
    <w:rsid w:val="00D3278A"/>
    <w:rsid w:val="00D33424"/>
    <w:rsid w:val="00D33C01"/>
    <w:rsid w:val="00D33E18"/>
    <w:rsid w:val="00D33ED5"/>
    <w:rsid w:val="00D342F2"/>
    <w:rsid w:val="00D34874"/>
    <w:rsid w:val="00D3489A"/>
    <w:rsid w:val="00D36719"/>
    <w:rsid w:val="00D36CCF"/>
    <w:rsid w:val="00D407A1"/>
    <w:rsid w:val="00D41113"/>
    <w:rsid w:val="00D42038"/>
    <w:rsid w:val="00D4209B"/>
    <w:rsid w:val="00D42FD1"/>
    <w:rsid w:val="00D43527"/>
    <w:rsid w:val="00D4403F"/>
    <w:rsid w:val="00D440DB"/>
    <w:rsid w:val="00D45680"/>
    <w:rsid w:val="00D45960"/>
    <w:rsid w:val="00D46725"/>
    <w:rsid w:val="00D47051"/>
    <w:rsid w:val="00D47734"/>
    <w:rsid w:val="00D4793B"/>
    <w:rsid w:val="00D47DB9"/>
    <w:rsid w:val="00D505EF"/>
    <w:rsid w:val="00D51D70"/>
    <w:rsid w:val="00D53029"/>
    <w:rsid w:val="00D53113"/>
    <w:rsid w:val="00D53C90"/>
    <w:rsid w:val="00D53D1C"/>
    <w:rsid w:val="00D55C11"/>
    <w:rsid w:val="00D55E3B"/>
    <w:rsid w:val="00D5696E"/>
    <w:rsid w:val="00D56987"/>
    <w:rsid w:val="00D60517"/>
    <w:rsid w:val="00D60702"/>
    <w:rsid w:val="00D6132D"/>
    <w:rsid w:val="00D61342"/>
    <w:rsid w:val="00D61EA5"/>
    <w:rsid w:val="00D61EE0"/>
    <w:rsid w:val="00D6241A"/>
    <w:rsid w:val="00D6270C"/>
    <w:rsid w:val="00D62EFA"/>
    <w:rsid w:val="00D64906"/>
    <w:rsid w:val="00D653BE"/>
    <w:rsid w:val="00D6590C"/>
    <w:rsid w:val="00D6593E"/>
    <w:rsid w:val="00D6646C"/>
    <w:rsid w:val="00D6697B"/>
    <w:rsid w:val="00D66DDF"/>
    <w:rsid w:val="00D674C3"/>
    <w:rsid w:val="00D674C4"/>
    <w:rsid w:val="00D70030"/>
    <w:rsid w:val="00D70766"/>
    <w:rsid w:val="00D70EE3"/>
    <w:rsid w:val="00D71915"/>
    <w:rsid w:val="00D7238D"/>
    <w:rsid w:val="00D726F2"/>
    <w:rsid w:val="00D73446"/>
    <w:rsid w:val="00D735C5"/>
    <w:rsid w:val="00D73B51"/>
    <w:rsid w:val="00D74A74"/>
    <w:rsid w:val="00D77217"/>
    <w:rsid w:val="00D801AC"/>
    <w:rsid w:val="00D801F9"/>
    <w:rsid w:val="00D802E5"/>
    <w:rsid w:val="00D80740"/>
    <w:rsid w:val="00D808FF"/>
    <w:rsid w:val="00D81323"/>
    <w:rsid w:val="00D81D05"/>
    <w:rsid w:val="00D81F24"/>
    <w:rsid w:val="00D826FC"/>
    <w:rsid w:val="00D82D91"/>
    <w:rsid w:val="00D83633"/>
    <w:rsid w:val="00D841F3"/>
    <w:rsid w:val="00D84D57"/>
    <w:rsid w:val="00D857C7"/>
    <w:rsid w:val="00D8660A"/>
    <w:rsid w:val="00D8685E"/>
    <w:rsid w:val="00D86B3E"/>
    <w:rsid w:val="00D87933"/>
    <w:rsid w:val="00D90FEE"/>
    <w:rsid w:val="00D91427"/>
    <w:rsid w:val="00D9161A"/>
    <w:rsid w:val="00D91E8F"/>
    <w:rsid w:val="00D921C5"/>
    <w:rsid w:val="00D928D7"/>
    <w:rsid w:val="00D92F0A"/>
    <w:rsid w:val="00D93467"/>
    <w:rsid w:val="00D93EF8"/>
    <w:rsid w:val="00D94425"/>
    <w:rsid w:val="00D945BD"/>
    <w:rsid w:val="00D9491E"/>
    <w:rsid w:val="00D954BB"/>
    <w:rsid w:val="00D95F9D"/>
    <w:rsid w:val="00D966EB"/>
    <w:rsid w:val="00D97250"/>
    <w:rsid w:val="00D97C90"/>
    <w:rsid w:val="00DA04B1"/>
    <w:rsid w:val="00DA0C83"/>
    <w:rsid w:val="00DA1143"/>
    <w:rsid w:val="00DA25D1"/>
    <w:rsid w:val="00DA26FC"/>
    <w:rsid w:val="00DA27AD"/>
    <w:rsid w:val="00DA33D8"/>
    <w:rsid w:val="00DA3651"/>
    <w:rsid w:val="00DA44BA"/>
    <w:rsid w:val="00DA5A8C"/>
    <w:rsid w:val="00DA5E02"/>
    <w:rsid w:val="00DA6C7C"/>
    <w:rsid w:val="00DA73F5"/>
    <w:rsid w:val="00DA7945"/>
    <w:rsid w:val="00DB0931"/>
    <w:rsid w:val="00DB11E0"/>
    <w:rsid w:val="00DB14E4"/>
    <w:rsid w:val="00DB153C"/>
    <w:rsid w:val="00DB2127"/>
    <w:rsid w:val="00DB21C3"/>
    <w:rsid w:val="00DB3155"/>
    <w:rsid w:val="00DB3293"/>
    <w:rsid w:val="00DB3409"/>
    <w:rsid w:val="00DB3BAE"/>
    <w:rsid w:val="00DB403B"/>
    <w:rsid w:val="00DB408C"/>
    <w:rsid w:val="00DB427D"/>
    <w:rsid w:val="00DB7283"/>
    <w:rsid w:val="00DC11D3"/>
    <w:rsid w:val="00DC1E9A"/>
    <w:rsid w:val="00DC26DB"/>
    <w:rsid w:val="00DC3EBA"/>
    <w:rsid w:val="00DC41C7"/>
    <w:rsid w:val="00DC4D16"/>
    <w:rsid w:val="00DC52E3"/>
    <w:rsid w:val="00DC545A"/>
    <w:rsid w:val="00DC5BA9"/>
    <w:rsid w:val="00DC5E7A"/>
    <w:rsid w:val="00DC6529"/>
    <w:rsid w:val="00DC719B"/>
    <w:rsid w:val="00DC7E72"/>
    <w:rsid w:val="00DD1BB1"/>
    <w:rsid w:val="00DD2D13"/>
    <w:rsid w:val="00DD325C"/>
    <w:rsid w:val="00DD3DD1"/>
    <w:rsid w:val="00DD4CF6"/>
    <w:rsid w:val="00DD5308"/>
    <w:rsid w:val="00DD5EE5"/>
    <w:rsid w:val="00DD6627"/>
    <w:rsid w:val="00DD74C6"/>
    <w:rsid w:val="00DD763F"/>
    <w:rsid w:val="00DE037F"/>
    <w:rsid w:val="00DE0D94"/>
    <w:rsid w:val="00DE2A64"/>
    <w:rsid w:val="00DE3174"/>
    <w:rsid w:val="00DE338D"/>
    <w:rsid w:val="00DE48AE"/>
    <w:rsid w:val="00DE5C27"/>
    <w:rsid w:val="00DE64A0"/>
    <w:rsid w:val="00DE6B22"/>
    <w:rsid w:val="00DE7020"/>
    <w:rsid w:val="00DE727D"/>
    <w:rsid w:val="00DE74CA"/>
    <w:rsid w:val="00DF029F"/>
    <w:rsid w:val="00DF0908"/>
    <w:rsid w:val="00DF0D6B"/>
    <w:rsid w:val="00DF1207"/>
    <w:rsid w:val="00DF13AC"/>
    <w:rsid w:val="00DF1503"/>
    <w:rsid w:val="00DF1911"/>
    <w:rsid w:val="00DF294D"/>
    <w:rsid w:val="00DF29CE"/>
    <w:rsid w:val="00DF2A94"/>
    <w:rsid w:val="00DF42DB"/>
    <w:rsid w:val="00DF539C"/>
    <w:rsid w:val="00DF57D1"/>
    <w:rsid w:val="00DF6F56"/>
    <w:rsid w:val="00DF73A0"/>
    <w:rsid w:val="00DF79EC"/>
    <w:rsid w:val="00DF7AC7"/>
    <w:rsid w:val="00DF7BD8"/>
    <w:rsid w:val="00DF7DDC"/>
    <w:rsid w:val="00DF7F25"/>
    <w:rsid w:val="00E00B9D"/>
    <w:rsid w:val="00E01A79"/>
    <w:rsid w:val="00E02E37"/>
    <w:rsid w:val="00E0343F"/>
    <w:rsid w:val="00E03D8D"/>
    <w:rsid w:val="00E04D92"/>
    <w:rsid w:val="00E05BC3"/>
    <w:rsid w:val="00E07F40"/>
    <w:rsid w:val="00E07FC6"/>
    <w:rsid w:val="00E107A6"/>
    <w:rsid w:val="00E112AB"/>
    <w:rsid w:val="00E11F85"/>
    <w:rsid w:val="00E120C3"/>
    <w:rsid w:val="00E12315"/>
    <w:rsid w:val="00E1327F"/>
    <w:rsid w:val="00E142F1"/>
    <w:rsid w:val="00E14C01"/>
    <w:rsid w:val="00E14C0E"/>
    <w:rsid w:val="00E15497"/>
    <w:rsid w:val="00E15D2C"/>
    <w:rsid w:val="00E16A3E"/>
    <w:rsid w:val="00E16DD9"/>
    <w:rsid w:val="00E174CF"/>
    <w:rsid w:val="00E17673"/>
    <w:rsid w:val="00E17C78"/>
    <w:rsid w:val="00E17CF1"/>
    <w:rsid w:val="00E201A8"/>
    <w:rsid w:val="00E20E96"/>
    <w:rsid w:val="00E212A5"/>
    <w:rsid w:val="00E22252"/>
    <w:rsid w:val="00E233BF"/>
    <w:rsid w:val="00E233F0"/>
    <w:rsid w:val="00E236FC"/>
    <w:rsid w:val="00E24A93"/>
    <w:rsid w:val="00E25816"/>
    <w:rsid w:val="00E25A40"/>
    <w:rsid w:val="00E26A33"/>
    <w:rsid w:val="00E26C87"/>
    <w:rsid w:val="00E2790C"/>
    <w:rsid w:val="00E30723"/>
    <w:rsid w:val="00E32C13"/>
    <w:rsid w:val="00E32C75"/>
    <w:rsid w:val="00E33E28"/>
    <w:rsid w:val="00E33FF0"/>
    <w:rsid w:val="00E344F0"/>
    <w:rsid w:val="00E34AC4"/>
    <w:rsid w:val="00E34DEB"/>
    <w:rsid w:val="00E359C4"/>
    <w:rsid w:val="00E35D79"/>
    <w:rsid w:val="00E3666B"/>
    <w:rsid w:val="00E36787"/>
    <w:rsid w:val="00E36980"/>
    <w:rsid w:val="00E36A9C"/>
    <w:rsid w:val="00E37487"/>
    <w:rsid w:val="00E405B8"/>
    <w:rsid w:val="00E40E58"/>
    <w:rsid w:val="00E41E17"/>
    <w:rsid w:val="00E43041"/>
    <w:rsid w:val="00E433BB"/>
    <w:rsid w:val="00E437B2"/>
    <w:rsid w:val="00E43AC3"/>
    <w:rsid w:val="00E43C79"/>
    <w:rsid w:val="00E43FC0"/>
    <w:rsid w:val="00E46960"/>
    <w:rsid w:val="00E46F45"/>
    <w:rsid w:val="00E47709"/>
    <w:rsid w:val="00E47769"/>
    <w:rsid w:val="00E479BE"/>
    <w:rsid w:val="00E522B1"/>
    <w:rsid w:val="00E523DA"/>
    <w:rsid w:val="00E52AF0"/>
    <w:rsid w:val="00E53A5A"/>
    <w:rsid w:val="00E5438F"/>
    <w:rsid w:val="00E54704"/>
    <w:rsid w:val="00E5488A"/>
    <w:rsid w:val="00E5497F"/>
    <w:rsid w:val="00E5506A"/>
    <w:rsid w:val="00E55F34"/>
    <w:rsid w:val="00E55FDB"/>
    <w:rsid w:val="00E5621A"/>
    <w:rsid w:val="00E56732"/>
    <w:rsid w:val="00E567D5"/>
    <w:rsid w:val="00E56AE8"/>
    <w:rsid w:val="00E56DDE"/>
    <w:rsid w:val="00E600D4"/>
    <w:rsid w:val="00E60F6A"/>
    <w:rsid w:val="00E61373"/>
    <w:rsid w:val="00E62426"/>
    <w:rsid w:val="00E627BC"/>
    <w:rsid w:val="00E62CF0"/>
    <w:rsid w:val="00E6314B"/>
    <w:rsid w:val="00E63DA2"/>
    <w:rsid w:val="00E644CB"/>
    <w:rsid w:val="00E64CE0"/>
    <w:rsid w:val="00E651FB"/>
    <w:rsid w:val="00E65278"/>
    <w:rsid w:val="00E656D2"/>
    <w:rsid w:val="00E6588D"/>
    <w:rsid w:val="00E6729C"/>
    <w:rsid w:val="00E7138E"/>
    <w:rsid w:val="00E71467"/>
    <w:rsid w:val="00E7157B"/>
    <w:rsid w:val="00E7193A"/>
    <w:rsid w:val="00E71E13"/>
    <w:rsid w:val="00E72976"/>
    <w:rsid w:val="00E73F1B"/>
    <w:rsid w:val="00E74719"/>
    <w:rsid w:val="00E74971"/>
    <w:rsid w:val="00E7531F"/>
    <w:rsid w:val="00E75B80"/>
    <w:rsid w:val="00E75C19"/>
    <w:rsid w:val="00E7736A"/>
    <w:rsid w:val="00E77794"/>
    <w:rsid w:val="00E77FAC"/>
    <w:rsid w:val="00E801E9"/>
    <w:rsid w:val="00E808EE"/>
    <w:rsid w:val="00E80C4A"/>
    <w:rsid w:val="00E811F8"/>
    <w:rsid w:val="00E81B0A"/>
    <w:rsid w:val="00E8215B"/>
    <w:rsid w:val="00E83679"/>
    <w:rsid w:val="00E83A76"/>
    <w:rsid w:val="00E8469F"/>
    <w:rsid w:val="00E85D83"/>
    <w:rsid w:val="00E8611F"/>
    <w:rsid w:val="00E873E3"/>
    <w:rsid w:val="00E90339"/>
    <w:rsid w:val="00E90720"/>
    <w:rsid w:val="00E90B74"/>
    <w:rsid w:val="00E90C89"/>
    <w:rsid w:val="00E915DF"/>
    <w:rsid w:val="00E91F56"/>
    <w:rsid w:val="00E91FCA"/>
    <w:rsid w:val="00E9307F"/>
    <w:rsid w:val="00E93740"/>
    <w:rsid w:val="00E93AB5"/>
    <w:rsid w:val="00E94020"/>
    <w:rsid w:val="00E94803"/>
    <w:rsid w:val="00E95124"/>
    <w:rsid w:val="00E95631"/>
    <w:rsid w:val="00E95B91"/>
    <w:rsid w:val="00E95C86"/>
    <w:rsid w:val="00E95D94"/>
    <w:rsid w:val="00E96921"/>
    <w:rsid w:val="00E96B6D"/>
    <w:rsid w:val="00EA02C2"/>
    <w:rsid w:val="00EA0D5D"/>
    <w:rsid w:val="00EA13C6"/>
    <w:rsid w:val="00EA1584"/>
    <w:rsid w:val="00EA3239"/>
    <w:rsid w:val="00EA351B"/>
    <w:rsid w:val="00EA4A7B"/>
    <w:rsid w:val="00EA5319"/>
    <w:rsid w:val="00EA53A3"/>
    <w:rsid w:val="00EA577C"/>
    <w:rsid w:val="00EA581C"/>
    <w:rsid w:val="00EA60D2"/>
    <w:rsid w:val="00EA73A3"/>
    <w:rsid w:val="00EA78A6"/>
    <w:rsid w:val="00EA78EF"/>
    <w:rsid w:val="00EA7D0C"/>
    <w:rsid w:val="00EA7FFB"/>
    <w:rsid w:val="00EB005E"/>
    <w:rsid w:val="00EB06C3"/>
    <w:rsid w:val="00EB0C81"/>
    <w:rsid w:val="00EB177C"/>
    <w:rsid w:val="00EB22DC"/>
    <w:rsid w:val="00EB2EE3"/>
    <w:rsid w:val="00EB2FB8"/>
    <w:rsid w:val="00EB4141"/>
    <w:rsid w:val="00EB5433"/>
    <w:rsid w:val="00EB5A55"/>
    <w:rsid w:val="00EB5AAA"/>
    <w:rsid w:val="00EB5E31"/>
    <w:rsid w:val="00EB6530"/>
    <w:rsid w:val="00EB6823"/>
    <w:rsid w:val="00EB6AC2"/>
    <w:rsid w:val="00EC0BC4"/>
    <w:rsid w:val="00EC0C59"/>
    <w:rsid w:val="00EC0CFD"/>
    <w:rsid w:val="00EC1954"/>
    <w:rsid w:val="00EC397F"/>
    <w:rsid w:val="00EC3996"/>
    <w:rsid w:val="00EC3A95"/>
    <w:rsid w:val="00EC42F8"/>
    <w:rsid w:val="00EC4B3B"/>
    <w:rsid w:val="00EC5653"/>
    <w:rsid w:val="00EC6385"/>
    <w:rsid w:val="00EC7377"/>
    <w:rsid w:val="00EC7901"/>
    <w:rsid w:val="00ED04C4"/>
    <w:rsid w:val="00ED0DAD"/>
    <w:rsid w:val="00ED17D3"/>
    <w:rsid w:val="00ED1830"/>
    <w:rsid w:val="00ED1EE2"/>
    <w:rsid w:val="00ED203D"/>
    <w:rsid w:val="00ED24A7"/>
    <w:rsid w:val="00ED263B"/>
    <w:rsid w:val="00ED430F"/>
    <w:rsid w:val="00ED4711"/>
    <w:rsid w:val="00ED4A2C"/>
    <w:rsid w:val="00ED550B"/>
    <w:rsid w:val="00ED63BA"/>
    <w:rsid w:val="00ED6ADC"/>
    <w:rsid w:val="00ED7498"/>
    <w:rsid w:val="00EE027C"/>
    <w:rsid w:val="00EE0392"/>
    <w:rsid w:val="00EE05E8"/>
    <w:rsid w:val="00EE0730"/>
    <w:rsid w:val="00EE0A90"/>
    <w:rsid w:val="00EE17D8"/>
    <w:rsid w:val="00EE244E"/>
    <w:rsid w:val="00EE2794"/>
    <w:rsid w:val="00EE2874"/>
    <w:rsid w:val="00EE4216"/>
    <w:rsid w:val="00EE49A5"/>
    <w:rsid w:val="00EE5398"/>
    <w:rsid w:val="00EE5E12"/>
    <w:rsid w:val="00EE627E"/>
    <w:rsid w:val="00EF2EDA"/>
    <w:rsid w:val="00EF38E5"/>
    <w:rsid w:val="00EF49F5"/>
    <w:rsid w:val="00EF4C8D"/>
    <w:rsid w:val="00EF53F2"/>
    <w:rsid w:val="00EF78F1"/>
    <w:rsid w:val="00EF7C16"/>
    <w:rsid w:val="00F00002"/>
    <w:rsid w:val="00F013A9"/>
    <w:rsid w:val="00F02283"/>
    <w:rsid w:val="00F023C0"/>
    <w:rsid w:val="00F02509"/>
    <w:rsid w:val="00F02620"/>
    <w:rsid w:val="00F02F50"/>
    <w:rsid w:val="00F03CB7"/>
    <w:rsid w:val="00F03F55"/>
    <w:rsid w:val="00F0436B"/>
    <w:rsid w:val="00F04EA2"/>
    <w:rsid w:val="00F04EED"/>
    <w:rsid w:val="00F0620F"/>
    <w:rsid w:val="00F071C0"/>
    <w:rsid w:val="00F0730A"/>
    <w:rsid w:val="00F07A17"/>
    <w:rsid w:val="00F116BE"/>
    <w:rsid w:val="00F11AD9"/>
    <w:rsid w:val="00F120DF"/>
    <w:rsid w:val="00F12DF7"/>
    <w:rsid w:val="00F12FE8"/>
    <w:rsid w:val="00F130F3"/>
    <w:rsid w:val="00F1364D"/>
    <w:rsid w:val="00F139A2"/>
    <w:rsid w:val="00F1480B"/>
    <w:rsid w:val="00F14E20"/>
    <w:rsid w:val="00F15FA1"/>
    <w:rsid w:val="00F169C7"/>
    <w:rsid w:val="00F16D46"/>
    <w:rsid w:val="00F17224"/>
    <w:rsid w:val="00F20333"/>
    <w:rsid w:val="00F21313"/>
    <w:rsid w:val="00F22C32"/>
    <w:rsid w:val="00F22FCB"/>
    <w:rsid w:val="00F2328B"/>
    <w:rsid w:val="00F24998"/>
    <w:rsid w:val="00F24E0E"/>
    <w:rsid w:val="00F254D4"/>
    <w:rsid w:val="00F26491"/>
    <w:rsid w:val="00F27A06"/>
    <w:rsid w:val="00F27E72"/>
    <w:rsid w:val="00F30D19"/>
    <w:rsid w:val="00F31205"/>
    <w:rsid w:val="00F316CE"/>
    <w:rsid w:val="00F335E9"/>
    <w:rsid w:val="00F33752"/>
    <w:rsid w:val="00F34623"/>
    <w:rsid w:val="00F349E8"/>
    <w:rsid w:val="00F34A09"/>
    <w:rsid w:val="00F363A8"/>
    <w:rsid w:val="00F364FA"/>
    <w:rsid w:val="00F37548"/>
    <w:rsid w:val="00F37781"/>
    <w:rsid w:val="00F4017B"/>
    <w:rsid w:val="00F40891"/>
    <w:rsid w:val="00F42843"/>
    <w:rsid w:val="00F429FA"/>
    <w:rsid w:val="00F43BA7"/>
    <w:rsid w:val="00F43F5A"/>
    <w:rsid w:val="00F44809"/>
    <w:rsid w:val="00F44AD3"/>
    <w:rsid w:val="00F44EDA"/>
    <w:rsid w:val="00F45424"/>
    <w:rsid w:val="00F454F6"/>
    <w:rsid w:val="00F47810"/>
    <w:rsid w:val="00F501D3"/>
    <w:rsid w:val="00F505F5"/>
    <w:rsid w:val="00F51A28"/>
    <w:rsid w:val="00F51BF3"/>
    <w:rsid w:val="00F524AC"/>
    <w:rsid w:val="00F5286F"/>
    <w:rsid w:val="00F52E6D"/>
    <w:rsid w:val="00F54452"/>
    <w:rsid w:val="00F54640"/>
    <w:rsid w:val="00F546C0"/>
    <w:rsid w:val="00F54ED0"/>
    <w:rsid w:val="00F54F29"/>
    <w:rsid w:val="00F5695F"/>
    <w:rsid w:val="00F60201"/>
    <w:rsid w:val="00F61417"/>
    <w:rsid w:val="00F61694"/>
    <w:rsid w:val="00F62CC7"/>
    <w:rsid w:val="00F62E12"/>
    <w:rsid w:val="00F64151"/>
    <w:rsid w:val="00F6431E"/>
    <w:rsid w:val="00F64771"/>
    <w:rsid w:val="00F647FF"/>
    <w:rsid w:val="00F65237"/>
    <w:rsid w:val="00F65EFF"/>
    <w:rsid w:val="00F668E6"/>
    <w:rsid w:val="00F67453"/>
    <w:rsid w:val="00F67EB4"/>
    <w:rsid w:val="00F7048D"/>
    <w:rsid w:val="00F70B6C"/>
    <w:rsid w:val="00F7124C"/>
    <w:rsid w:val="00F71A7A"/>
    <w:rsid w:val="00F71B92"/>
    <w:rsid w:val="00F72C9E"/>
    <w:rsid w:val="00F7475B"/>
    <w:rsid w:val="00F74F5E"/>
    <w:rsid w:val="00F75070"/>
    <w:rsid w:val="00F750E9"/>
    <w:rsid w:val="00F75E2E"/>
    <w:rsid w:val="00F762EA"/>
    <w:rsid w:val="00F7664E"/>
    <w:rsid w:val="00F76986"/>
    <w:rsid w:val="00F7706D"/>
    <w:rsid w:val="00F77354"/>
    <w:rsid w:val="00F77EA6"/>
    <w:rsid w:val="00F80870"/>
    <w:rsid w:val="00F81085"/>
    <w:rsid w:val="00F81325"/>
    <w:rsid w:val="00F81A91"/>
    <w:rsid w:val="00F81D84"/>
    <w:rsid w:val="00F81DDA"/>
    <w:rsid w:val="00F81EA9"/>
    <w:rsid w:val="00F8288D"/>
    <w:rsid w:val="00F82A95"/>
    <w:rsid w:val="00F835F2"/>
    <w:rsid w:val="00F838AA"/>
    <w:rsid w:val="00F83B75"/>
    <w:rsid w:val="00F83F2A"/>
    <w:rsid w:val="00F846BE"/>
    <w:rsid w:val="00F84A39"/>
    <w:rsid w:val="00F84AC0"/>
    <w:rsid w:val="00F84E0A"/>
    <w:rsid w:val="00F85591"/>
    <w:rsid w:val="00F86281"/>
    <w:rsid w:val="00F91A4C"/>
    <w:rsid w:val="00F91D8B"/>
    <w:rsid w:val="00F92A1E"/>
    <w:rsid w:val="00F92B39"/>
    <w:rsid w:val="00F92C47"/>
    <w:rsid w:val="00F93141"/>
    <w:rsid w:val="00F937F4"/>
    <w:rsid w:val="00F93895"/>
    <w:rsid w:val="00F95492"/>
    <w:rsid w:val="00F955E3"/>
    <w:rsid w:val="00F95ACD"/>
    <w:rsid w:val="00F95B6C"/>
    <w:rsid w:val="00F95D60"/>
    <w:rsid w:val="00F95E35"/>
    <w:rsid w:val="00F96640"/>
    <w:rsid w:val="00F976A0"/>
    <w:rsid w:val="00F9770A"/>
    <w:rsid w:val="00F97960"/>
    <w:rsid w:val="00FA03B2"/>
    <w:rsid w:val="00FA0754"/>
    <w:rsid w:val="00FA1AE2"/>
    <w:rsid w:val="00FA2023"/>
    <w:rsid w:val="00FA2253"/>
    <w:rsid w:val="00FA2299"/>
    <w:rsid w:val="00FA23EF"/>
    <w:rsid w:val="00FA2544"/>
    <w:rsid w:val="00FA340A"/>
    <w:rsid w:val="00FA355F"/>
    <w:rsid w:val="00FA3D10"/>
    <w:rsid w:val="00FA4113"/>
    <w:rsid w:val="00FA438C"/>
    <w:rsid w:val="00FA457A"/>
    <w:rsid w:val="00FA4F3C"/>
    <w:rsid w:val="00FA5345"/>
    <w:rsid w:val="00FA5860"/>
    <w:rsid w:val="00FA5869"/>
    <w:rsid w:val="00FA5931"/>
    <w:rsid w:val="00FA5952"/>
    <w:rsid w:val="00FA6C57"/>
    <w:rsid w:val="00FB0770"/>
    <w:rsid w:val="00FB07C0"/>
    <w:rsid w:val="00FB0A6A"/>
    <w:rsid w:val="00FB1373"/>
    <w:rsid w:val="00FB1671"/>
    <w:rsid w:val="00FB2539"/>
    <w:rsid w:val="00FB3240"/>
    <w:rsid w:val="00FB3C44"/>
    <w:rsid w:val="00FB416D"/>
    <w:rsid w:val="00FB48EF"/>
    <w:rsid w:val="00FB52CD"/>
    <w:rsid w:val="00FB59B5"/>
    <w:rsid w:val="00FB60DF"/>
    <w:rsid w:val="00FB7298"/>
    <w:rsid w:val="00FB76F9"/>
    <w:rsid w:val="00FB7CE0"/>
    <w:rsid w:val="00FC0A1C"/>
    <w:rsid w:val="00FC111C"/>
    <w:rsid w:val="00FC1BEE"/>
    <w:rsid w:val="00FC29B5"/>
    <w:rsid w:val="00FC331D"/>
    <w:rsid w:val="00FC3692"/>
    <w:rsid w:val="00FC39D4"/>
    <w:rsid w:val="00FC4D7B"/>
    <w:rsid w:val="00FC5229"/>
    <w:rsid w:val="00FC52FE"/>
    <w:rsid w:val="00FC5659"/>
    <w:rsid w:val="00FC5BF6"/>
    <w:rsid w:val="00FC6BEE"/>
    <w:rsid w:val="00FC6F40"/>
    <w:rsid w:val="00FD07D0"/>
    <w:rsid w:val="00FD0ED6"/>
    <w:rsid w:val="00FD156A"/>
    <w:rsid w:val="00FD1AB8"/>
    <w:rsid w:val="00FD21F3"/>
    <w:rsid w:val="00FD2909"/>
    <w:rsid w:val="00FD3126"/>
    <w:rsid w:val="00FD3960"/>
    <w:rsid w:val="00FD560B"/>
    <w:rsid w:val="00FD5823"/>
    <w:rsid w:val="00FD7203"/>
    <w:rsid w:val="00FE0270"/>
    <w:rsid w:val="00FE07A7"/>
    <w:rsid w:val="00FE07F4"/>
    <w:rsid w:val="00FE0A60"/>
    <w:rsid w:val="00FE0B48"/>
    <w:rsid w:val="00FE0F4A"/>
    <w:rsid w:val="00FE1EEE"/>
    <w:rsid w:val="00FE2D8D"/>
    <w:rsid w:val="00FE4078"/>
    <w:rsid w:val="00FE54CC"/>
    <w:rsid w:val="00FE58BC"/>
    <w:rsid w:val="00FE5A4D"/>
    <w:rsid w:val="00FE5AD7"/>
    <w:rsid w:val="00FE5B17"/>
    <w:rsid w:val="00FE5E77"/>
    <w:rsid w:val="00FE607F"/>
    <w:rsid w:val="00FE768E"/>
    <w:rsid w:val="00FE796F"/>
    <w:rsid w:val="00FF0F1C"/>
    <w:rsid w:val="00FF10B9"/>
    <w:rsid w:val="00FF14FB"/>
    <w:rsid w:val="00FF1B8D"/>
    <w:rsid w:val="00FF1E89"/>
    <w:rsid w:val="00FF21AD"/>
    <w:rsid w:val="00FF2E9C"/>
    <w:rsid w:val="00FF3ABD"/>
    <w:rsid w:val="00FF447F"/>
    <w:rsid w:val="00FF5092"/>
    <w:rsid w:val="00FF513E"/>
    <w:rsid w:val="00FF5417"/>
    <w:rsid w:val="00FF5767"/>
    <w:rsid w:val="00FF5975"/>
    <w:rsid w:val="00FF59AD"/>
    <w:rsid w:val="00FF5E94"/>
    <w:rsid w:val="00FF5FF3"/>
    <w:rsid w:val="00FF736F"/>
    <w:rsid w:val="00FF78EC"/>
    <w:rsid w:val="01C17AFE"/>
    <w:rsid w:val="0AAA2F47"/>
    <w:rsid w:val="46F26313"/>
    <w:rsid w:val="6258EDC8"/>
    <w:rsid w:val="68E3AAA9"/>
    <w:rsid w:val="763D84E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0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iPriority="1" w:unhideWhenUsed="1"/>
    <w:lsdException w:name="footer" w:semiHidden="1" w:uiPriority="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13" w:unhideWhenUsed="1" w:qFormat="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49"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uiPriority w:val="99"/>
    <w:qFormat/>
    <w:rsid w:val="00CA41F9"/>
    <w:pPr>
      <w:numPr>
        <w:ilvl w:val="1"/>
        <w:numId w:val="19"/>
      </w:numPr>
      <w:jc w:val="both"/>
    </w:pPr>
  </w:style>
  <w:style w:type="character" w:customStyle="1" w:styleId="BodyText2Char">
    <w:name w:val="Body Text 2 Char"/>
    <w:basedOn w:val="DefaultParagraphFont"/>
    <w:link w:val="BodyText2"/>
    <w:uiPriority w:val="99"/>
    <w:rsid w:val="00656D42"/>
  </w:style>
  <w:style w:type="paragraph" w:styleId="ListBullet">
    <w:name w:val="List Bullet"/>
    <w:basedOn w:val="Normal"/>
    <w:uiPriority w:val="13"/>
    <w:unhideWhenUsed/>
    <w:qFormat/>
    <w:rsid w:val="005050E8"/>
    <w:pPr>
      <w:numPr>
        <w:numId w:val="1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1"/>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uiPriority w:val="99"/>
    <w:semiHidden/>
    <w:rsid w:val="007C4504"/>
    <w:pPr>
      <w:tabs>
        <w:tab w:val="left" w:pos="284"/>
      </w:tabs>
      <w:spacing w:after="0"/>
      <w:ind w:left="284" w:hanging="284"/>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qFormat/>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tabs>
        <w:tab w:val="clear" w:pos="3261"/>
        <w:tab w:val="num" w:pos="567"/>
      </w:tabs>
      <w:ind w:left="567"/>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025990"/>
    <w:pPr>
      <w:numPr>
        <w:ilvl w:val="2"/>
        <w:numId w:val="19"/>
      </w:numPr>
      <w:jc w:val="both"/>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19"/>
      </w:numPr>
    </w:pPr>
  </w:style>
  <w:style w:type="paragraph" w:styleId="ListBullet2">
    <w:name w:val="List Bullet 2"/>
    <w:basedOn w:val="ListBullet"/>
    <w:uiPriority w:val="13"/>
    <w:qFormat/>
    <w:rsid w:val="00C06EF7"/>
    <w:pPr>
      <w:numPr>
        <w:numId w:val="0"/>
      </w:numPr>
      <w:tabs>
        <w:tab w:val="num" w:pos="851"/>
      </w:tabs>
      <w:ind w:left="851" w:hanging="426"/>
      <w:contextualSpacing w:val="0"/>
      <w:jc w:val="both"/>
    </w:pPr>
    <w:rPr>
      <w:rFonts w:ascii="Arial" w:eastAsiaTheme="minorHAnsi" w:hAnsi="Arial" w:cstheme="minorBidi"/>
      <w:color w:val="000000"/>
      <w:sz w:val="22"/>
      <w:szCs w:val="22"/>
      <w:lang w:eastAsia="en-US"/>
    </w:rPr>
  </w:style>
  <w:style w:type="paragraph" w:styleId="ListBullet3">
    <w:name w:val="List Bullet 3"/>
    <w:basedOn w:val="Normal"/>
    <w:uiPriority w:val="13"/>
    <w:qFormat/>
    <w:rsid w:val="00C06EF7"/>
    <w:pPr>
      <w:tabs>
        <w:tab w:val="num" w:pos="1276"/>
      </w:tabs>
      <w:ind w:left="1276" w:hanging="425"/>
      <w:jc w:val="both"/>
    </w:pPr>
    <w:rPr>
      <w:rFonts w:ascii="Arial" w:eastAsiaTheme="minorHAnsi" w:hAnsi="Arial" w:cstheme="minorBidi"/>
      <w:color w:val="000000"/>
      <w:sz w:val="22"/>
      <w:szCs w:val="22"/>
      <w:lang w:eastAsia="en-US"/>
    </w:rPr>
  </w:style>
  <w:style w:type="paragraph" w:styleId="Bibliography">
    <w:name w:val="Bibliography"/>
    <w:basedOn w:val="Normal"/>
    <w:next w:val="Normal"/>
    <w:uiPriority w:val="37"/>
    <w:semiHidden/>
    <w:unhideWhenUsed/>
    <w:rsid w:val="00C06EF7"/>
    <w:pPr>
      <w:jc w:val="both"/>
    </w:pPr>
    <w:rPr>
      <w:rFonts w:ascii="Arial" w:eastAsiaTheme="minorHAnsi" w:hAnsi="Arial" w:cstheme="minorBidi"/>
      <w:color w:val="000000"/>
      <w:sz w:val="22"/>
      <w:szCs w:val="22"/>
      <w:lang w:eastAsia="en-US"/>
    </w:rPr>
  </w:style>
  <w:style w:type="character" w:styleId="CommentReference">
    <w:name w:val="annotation reference"/>
    <w:basedOn w:val="DefaultParagraphFont"/>
    <w:uiPriority w:val="49"/>
    <w:semiHidden/>
    <w:unhideWhenUsed/>
    <w:rsid w:val="00C06EF7"/>
    <w:rPr>
      <w:noProof w:val="0"/>
      <w:sz w:val="16"/>
      <w:szCs w:val="16"/>
      <w:lang w:val="en-AU"/>
    </w:rPr>
  </w:style>
  <w:style w:type="paragraph" w:styleId="CommentText">
    <w:name w:val="annotation text"/>
    <w:basedOn w:val="Normal"/>
    <w:link w:val="CommentTextChar"/>
    <w:uiPriority w:val="49"/>
    <w:unhideWhenUsed/>
    <w:rsid w:val="00C06EF7"/>
    <w:pPr>
      <w:jc w:val="both"/>
    </w:pPr>
    <w:rPr>
      <w:rFonts w:ascii="Arial" w:eastAsiaTheme="minorHAnsi" w:hAnsi="Arial" w:cstheme="minorBidi"/>
      <w:color w:val="000000"/>
      <w:sz w:val="22"/>
      <w:szCs w:val="22"/>
      <w:lang w:eastAsia="en-US"/>
    </w:rPr>
  </w:style>
  <w:style w:type="character" w:customStyle="1" w:styleId="CommentTextChar">
    <w:name w:val="Comment Text Char"/>
    <w:basedOn w:val="DefaultParagraphFont"/>
    <w:link w:val="CommentText"/>
    <w:uiPriority w:val="49"/>
    <w:rsid w:val="00C06EF7"/>
    <w:rPr>
      <w:rFonts w:ascii="Arial" w:eastAsiaTheme="minorHAnsi" w:hAnsi="Arial" w:cstheme="minorBidi"/>
      <w:color w:val="000000"/>
      <w:sz w:val="22"/>
      <w:szCs w:val="22"/>
      <w:lang w:eastAsia="en-US"/>
    </w:rPr>
  </w:style>
  <w:style w:type="paragraph" w:styleId="List">
    <w:name w:val="List"/>
    <w:basedOn w:val="Normal"/>
    <w:uiPriority w:val="17"/>
    <w:qFormat/>
    <w:rsid w:val="00C06EF7"/>
    <w:pPr>
      <w:tabs>
        <w:tab w:val="num" w:pos="425"/>
      </w:tabs>
      <w:ind w:left="425" w:hanging="425"/>
      <w:jc w:val="both"/>
    </w:pPr>
    <w:rPr>
      <w:rFonts w:ascii="Arial" w:eastAsiaTheme="minorHAnsi" w:hAnsi="Arial" w:cstheme="minorBidi"/>
      <w:color w:val="000000"/>
      <w:sz w:val="22"/>
      <w:szCs w:val="22"/>
      <w:lang w:eastAsia="en-US"/>
    </w:rPr>
  </w:style>
  <w:style w:type="paragraph" w:styleId="List2">
    <w:name w:val="List 2"/>
    <w:basedOn w:val="Normal"/>
    <w:uiPriority w:val="17"/>
    <w:qFormat/>
    <w:rsid w:val="00C06EF7"/>
    <w:pPr>
      <w:tabs>
        <w:tab w:val="num" w:pos="851"/>
      </w:tabs>
      <w:ind w:left="851" w:hanging="426"/>
      <w:jc w:val="both"/>
    </w:pPr>
    <w:rPr>
      <w:rFonts w:ascii="Arial" w:eastAsiaTheme="minorHAnsi" w:hAnsi="Arial" w:cstheme="minorBidi"/>
      <w:color w:val="000000"/>
      <w:sz w:val="22"/>
      <w:szCs w:val="22"/>
      <w:lang w:eastAsia="en-US"/>
    </w:rPr>
  </w:style>
  <w:style w:type="paragraph" w:styleId="List3">
    <w:name w:val="List 3"/>
    <w:basedOn w:val="Normal"/>
    <w:uiPriority w:val="17"/>
    <w:qFormat/>
    <w:rsid w:val="00C06EF7"/>
    <w:pPr>
      <w:tabs>
        <w:tab w:val="num" w:pos="1276"/>
      </w:tabs>
      <w:ind w:left="1276" w:hanging="425"/>
      <w:jc w:val="both"/>
    </w:pPr>
    <w:rPr>
      <w:rFonts w:ascii="Arial" w:eastAsiaTheme="minorHAnsi" w:hAnsi="Arial" w:cstheme="minorBidi"/>
      <w:color w:val="000000"/>
      <w:sz w:val="22"/>
      <w:szCs w:val="22"/>
      <w:lang w:eastAsia="en-US"/>
    </w:rPr>
  </w:style>
  <w:style w:type="numbering" w:styleId="1ai">
    <w:name w:val="Outline List 1"/>
    <w:basedOn w:val="NoList"/>
    <w:uiPriority w:val="99"/>
    <w:semiHidden/>
    <w:unhideWhenUsed/>
    <w:rsid w:val="00C06EF7"/>
    <w:pPr>
      <w:numPr>
        <w:numId w:val="22"/>
      </w:numPr>
    </w:pPr>
  </w:style>
  <w:style w:type="numbering" w:customStyle="1" w:styleId="BulletList">
    <w:name w:val="Bullet List"/>
    <w:uiPriority w:val="99"/>
    <w:rsid w:val="00C06EF7"/>
    <w:pPr>
      <w:numPr>
        <w:numId w:val="23"/>
      </w:numPr>
    </w:pPr>
  </w:style>
  <w:style w:type="paragraph" w:styleId="ListParagraph">
    <w:name w:val="List Paragraph"/>
    <w:uiPriority w:val="34"/>
    <w:qFormat/>
    <w:rsid w:val="00C06EF7"/>
    <w:pPr>
      <w:tabs>
        <w:tab w:val="left" w:pos="425"/>
        <w:tab w:val="left" w:pos="851"/>
      </w:tabs>
      <w:ind w:left="425"/>
      <w:contextualSpacing/>
      <w:jc w:val="both"/>
    </w:pPr>
    <w:rPr>
      <w:rFonts w:ascii="Arial" w:eastAsiaTheme="minorHAnsi" w:hAnsi="Arial" w:cstheme="minorBidi"/>
      <w:color w:val="000000"/>
      <w:sz w:val="22"/>
      <w:szCs w:val="22"/>
      <w:lang w:eastAsia="en-US"/>
    </w:rPr>
  </w:style>
  <w:style w:type="paragraph" w:styleId="CommentSubject">
    <w:name w:val="annotation subject"/>
    <w:basedOn w:val="CommentText"/>
    <w:next w:val="CommentText"/>
    <w:link w:val="CommentSubjectChar"/>
    <w:uiPriority w:val="49"/>
    <w:semiHidden/>
    <w:unhideWhenUsed/>
    <w:rsid w:val="00C06EF7"/>
    <w:pPr>
      <w:jc w:val="left"/>
    </w:pPr>
    <w:rPr>
      <w:rFonts w:ascii="Times New Roman" w:eastAsia="Calibri" w:hAnsi="Times New Roman" w:cs="Times New Roman"/>
      <w:b/>
      <w:bCs/>
      <w:color w:val="auto"/>
      <w:sz w:val="20"/>
      <w:szCs w:val="20"/>
      <w:lang w:eastAsia="en-AU"/>
    </w:rPr>
  </w:style>
  <w:style w:type="character" w:customStyle="1" w:styleId="CommentSubjectChar">
    <w:name w:val="Comment Subject Char"/>
    <w:basedOn w:val="CommentTextChar"/>
    <w:link w:val="CommentSubject"/>
    <w:uiPriority w:val="49"/>
    <w:semiHidden/>
    <w:rsid w:val="00C06EF7"/>
    <w:rPr>
      <w:rFonts w:ascii="Arial" w:eastAsiaTheme="minorHAnsi" w:hAnsi="Arial" w:cstheme="minorBidi"/>
      <w:b/>
      <w:bCs/>
      <w:color w:val="000000"/>
      <w:sz w:val="20"/>
      <w:szCs w:val="20"/>
      <w:lang w:eastAsia="en-US"/>
    </w:rPr>
  </w:style>
  <w:style w:type="paragraph" w:styleId="BlockText">
    <w:name w:val="Block Text"/>
    <w:basedOn w:val="Normal"/>
    <w:uiPriority w:val="99"/>
    <w:semiHidden/>
    <w:unhideWhenUsed/>
    <w:rsid w:val="00C06EF7"/>
    <w:pPr>
      <w:numPr>
        <w:numId w:val="5"/>
      </w:num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jc w:val="both"/>
    </w:pPr>
    <w:rPr>
      <w:rFonts w:asciiTheme="minorHAnsi" w:eastAsiaTheme="minorEastAsia" w:hAnsiTheme="minorHAnsi" w:cstheme="minorBidi"/>
      <w:i/>
      <w:iCs/>
      <w:color w:val="DDDDDD" w:themeColor="accent1"/>
      <w:sz w:val="22"/>
      <w:szCs w:val="22"/>
      <w:lang w:eastAsia="en-US"/>
    </w:rPr>
  </w:style>
  <w:style w:type="numbering" w:customStyle="1" w:styleId="BodyTextnumberinghierarchyliststyle">
    <w:name w:val="Body Text numbering hierarchy list style"/>
    <w:uiPriority w:val="99"/>
    <w:rsid w:val="00625208"/>
    <w:pPr>
      <w:numPr>
        <w:numId w:val="30"/>
      </w:numPr>
    </w:pPr>
  </w:style>
  <w:style w:type="paragraph" w:styleId="Revision">
    <w:name w:val="Revision"/>
    <w:hidden/>
    <w:uiPriority w:val="99"/>
    <w:semiHidden/>
    <w:rsid w:val="00836B07"/>
    <w:pPr>
      <w:spacing w:after="0"/>
    </w:pPr>
  </w:style>
  <w:style w:type="character" w:styleId="UnresolvedMention">
    <w:name w:val="Unresolved Mention"/>
    <w:basedOn w:val="DefaultParagraphFont"/>
    <w:uiPriority w:val="99"/>
    <w:unhideWhenUsed/>
    <w:rsid w:val="00B565B7"/>
    <w:rPr>
      <w:color w:val="605E5C"/>
      <w:shd w:val="clear" w:color="auto" w:fill="E1DFDD"/>
    </w:rPr>
  </w:style>
  <w:style w:type="paragraph" w:customStyle="1" w:styleId="bodytext10">
    <w:name w:val="bodytext1"/>
    <w:basedOn w:val="Normal"/>
    <w:rsid w:val="00CC1815"/>
    <w:pPr>
      <w:spacing w:before="100" w:beforeAutospacing="1" w:after="100" w:afterAutospacing="1"/>
    </w:pPr>
    <w:rPr>
      <w:rFonts w:eastAsia="Times New Roman"/>
    </w:rPr>
  </w:style>
  <w:style w:type="paragraph" w:styleId="NormalWeb">
    <w:name w:val="Normal (Web)"/>
    <w:basedOn w:val="Normal"/>
    <w:uiPriority w:val="99"/>
    <w:semiHidden/>
    <w:unhideWhenUsed/>
    <w:rsid w:val="005F2E95"/>
    <w:pPr>
      <w:spacing w:before="100" w:beforeAutospacing="1" w:after="100" w:afterAutospacing="1"/>
    </w:pPr>
    <w:rPr>
      <w:rFonts w:eastAsia="Times New Roman"/>
    </w:rPr>
  </w:style>
  <w:style w:type="paragraph" w:styleId="BodyText">
    <w:name w:val="Body Text"/>
    <w:basedOn w:val="Normal"/>
    <w:link w:val="BodyTextChar"/>
    <w:uiPriority w:val="99"/>
    <w:semiHidden/>
    <w:unhideWhenUsed/>
    <w:rsid w:val="00F65237"/>
    <w:pPr>
      <w:spacing w:after="120"/>
    </w:pPr>
  </w:style>
  <w:style w:type="character" w:customStyle="1" w:styleId="BodyTextChar">
    <w:name w:val="Body Text Char"/>
    <w:basedOn w:val="DefaultParagraphFont"/>
    <w:link w:val="BodyText"/>
    <w:uiPriority w:val="99"/>
    <w:semiHidden/>
    <w:rsid w:val="00F65237"/>
  </w:style>
  <w:style w:type="character" w:customStyle="1" w:styleId="headingchar">
    <w:name w:val="headingchar"/>
    <w:basedOn w:val="DefaultParagraphFont"/>
    <w:rsid w:val="00F65237"/>
  </w:style>
  <w:style w:type="character" w:styleId="Mention">
    <w:name w:val="Mention"/>
    <w:basedOn w:val="DefaultParagraphFont"/>
    <w:uiPriority w:val="99"/>
    <w:unhideWhenUsed/>
    <w:rsid w:val="00E71467"/>
    <w:rPr>
      <w:color w:val="2B579A"/>
      <w:shd w:val="clear" w:color="auto" w:fill="E1DFDD"/>
    </w:rPr>
  </w:style>
  <w:style w:type="paragraph" w:customStyle="1" w:styleId="ActTitle">
    <w:name w:val="Act Title"/>
    <w:basedOn w:val="Normal"/>
    <w:next w:val="Normal"/>
    <w:rsid w:val="003E35BE"/>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3E35BE"/>
    <w:pPr>
      <w:spacing w:after="0"/>
      <w:ind w:left="720" w:hanging="720"/>
    </w:pPr>
    <w:rPr>
      <w:rFonts w:eastAsia="Times New Roman"/>
      <w:szCs w:val="20"/>
      <w:lang w:eastAsia="en-US"/>
    </w:rPr>
  </w:style>
  <w:style w:type="paragraph" w:customStyle="1" w:styleId="introto0">
    <w:name w:val="introto"/>
    <w:basedOn w:val="Normal"/>
    <w:rsid w:val="003E35B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68102">
      <w:bodyDiv w:val="1"/>
      <w:marLeft w:val="0"/>
      <w:marRight w:val="0"/>
      <w:marTop w:val="0"/>
      <w:marBottom w:val="0"/>
      <w:divBdr>
        <w:top w:val="none" w:sz="0" w:space="0" w:color="auto"/>
        <w:left w:val="none" w:sz="0" w:space="0" w:color="auto"/>
        <w:bottom w:val="none" w:sz="0" w:space="0" w:color="auto"/>
        <w:right w:val="none" w:sz="0" w:space="0" w:color="auto"/>
      </w:divBdr>
    </w:div>
    <w:div w:id="433138952">
      <w:bodyDiv w:val="1"/>
      <w:marLeft w:val="0"/>
      <w:marRight w:val="0"/>
      <w:marTop w:val="0"/>
      <w:marBottom w:val="0"/>
      <w:divBdr>
        <w:top w:val="none" w:sz="0" w:space="0" w:color="auto"/>
        <w:left w:val="none" w:sz="0" w:space="0" w:color="auto"/>
        <w:bottom w:val="none" w:sz="0" w:space="0" w:color="auto"/>
        <w:right w:val="none" w:sz="0" w:space="0" w:color="auto"/>
      </w:divBdr>
    </w:div>
    <w:div w:id="595334255">
      <w:bodyDiv w:val="1"/>
      <w:marLeft w:val="0"/>
      <w:marRight w:val="0"/>
      <w:marTop w:val="0"/>
      <w:marBottom w:val="0"/>
      <w:divBdr>
        <w:top w:val="none" w:sz="0" w:space="0" w:color="auto"/>
        <w:left w:val="none" w:sz="0" w:space="0" w:color="auto"/>
        <w:bottom w:val="none" w:sz="0" w:space="0" w:color="auto"/>
        <w:right w:val="none" w:sz="0" w:space="0" w:color="auto"/>
      </w:divBdr>
    </w:div>
    <w:div w:id="638655562">
      <w:bodyDiv w:val="1"/>
      <w:marLeft w:val="0"/>
      <w:marRight w:val="0"/>
      <w:marTop w:val="0"/>
      <w:marBottom w:val="0"/>
      <w:divBdr>
        <w:top w:val="none" w:sz="0" w:space="0" w:color="auto"/>
        <w:left w:val="none" w:sz="0" w:space="0" w:color="auto"/>
        <w:bottom w:val="none" w:sz="0" w:space="0" w:color="auto"/>
        <w:right w:val="none" w:sz="0" w:space="0" w:color="auto"/>
      </w:divBdr>
    </w:div>
    <w:div w:id="996031855">
      <w:bodyDiv w:val="1"/>
      <w:marLeft w:val="0"/>
      <w:marRight w:val="0"/>
      <w:marTop w:val="0"/>
      <w:marBottom w:val="0"/>
      <w:divBdr>
        <w:top w:val="none" w:sz="0" w:space="0" w:color="auto"/>
        <w:left w:val="none" w:sz="0" w:space="0" w:color="auto"/>
        <w:bottom w:val="none" w:sz="0" w:space="0" w:color="auto"/>
        <w:right w:val="none" w:sz="0" w:space="0" w:color="auto"/>
      </w:divBdr>
    </w:div>
    <w:div w:id="1150101357">
      <w:bodyDiv w:val="1"/>
      <w:marLeft w:val="0"/>
      <w:marRight w:val="0"/>
      <w:marTop w:val="0"/>
      <w:marBottom w:val="0"/>
      <w:divBdr>
        <w:top w:val="none" w:sz="0" w:space="0" w:color="auto"/>
        <w:left w:val="none" w:sz="0" w:space="0" w:color="auto"/>
        <w:bottom w:val="none" w:sz="0" w:space="0" w:color="auto"/>
        <w:right w:val="none" w:sz="0" w:space="0" w:color="auto"/>
      </w:divBdr>
    </w:div>
    <w:div w:id="1367758231">
      <w:bodyDiv w:val="1"/>
      <w:marLeft w:val="0"/>
      <w:marRight w:val="0"/>
      <w:marTop w:val="0"/>
      <w:marBottom w:val="0"/>
      <w:divBdr>
        <w:top w:val="none" w:sz="0" w:space="0" w:color="auto"/>
        <w:left w:val="none" w:sz="0" w:space="0" w:color="auto"/>
        <w:bottom w:val="none" w:sz="0" w:space="0" w:color="auto"/>
        <w:right w:val="none" w:sz="0" w:space="0" w:color="auto"/>
      </w:divBdr>
    </w:div>
    <w:div w:id="1481196391">
      <w:bodyDiv w:val="1"/>
      <w:marLeft w:val="0"/>
      <w:marRight w:val="0"/>
      <w:marTop w:val="0"/>
      <w:marBottom w:val="0"/>
      <w:divBdr>
        <w:top w:val="none" w:sz="0" w:space="0" w:color="auto"/>
        <w:left w:val="none" w:sz="0" w:space="0" w:color="auto"/>
        <w:bottom w:val="none" w:sz="0" w:space="0" w:color="auto"/>
        <w:right w:val="none" w:sz="0" w:space="0" w:color="auto"/>
      </w:divBdr>
    </w:div>
    <w:div w:id="175219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0D163DB4DEE504FAB457909715FEC45" ma:contentTypeVersion="17" ma:contentTypeDescription="Create a new document." ma:contentTypeScope="" ma:versionID="2331766db4130645ec45f560b66a01a7">
  <xsd:schema xmlns:xsd="http://www.w3.org/2001/XMLSchema" xmlns:xs="http://www.w3.org/2001/XMLSchema" xmlns:p="http://schemas.microsoft.com/office/2006/metadata/properties" xmlns:ns1="http://schemas.microsoft.com/sharepoint/v3" xmlns:ns2="92a8a7e8-49a1-4017-acf0-0edc7cce208b" xmlns:ns3="f4148c6b-f494-43bd-afec-4c4bbfd3890b" targetNamespace="http://schemas.microsoft.com/office/2006/metadata/properties" ma:root="true" ma:fieldsID="c7b84690dd511863869f0c959d2cd8df" ns1:_="" ns2:_="" ns3:_="">
    <xsd:import namespace="http://schemas.microsoft.com/sharepoint/v3"/>
    <xsd:import namespace="92a8a7e8-49a1-4017-acf0-0edc7cce208b"/>
    <xsd:import namespace="f4148c6b-f494-43bd-afec-4c4bbfd3890b"/>
    <xsd:element name="properties">
      <xsd:complexType>
        <xsd:sequence>
          <xsd:element name="documentManagement">
            <xsd:complexType>
              <xsd:all>
                <xsd:element ref="ns2:i05115a133414b4dabee2531e4b46b67" minOccurs="0"/>
                <xsd:element ref="ns2:TaxCatchAll" minOccurs="0"/>
                <xsd:element ref="ns2:h67caa35a4114acd8e15fe89b3f29f9e" minOccurs="0"/>
                <xsd:element ref="ns2:k4bcc0d734474fea9fb713d9c415b4b0" minOccurs="0"/>
                <xsd:element ref="ns2:l003ee8eff60461aa1bd0027aba92ea4" minOccurs="0"/>
                <xsd:element ref="ns2:b37d8d7e823543f58f89056343a9035c" minOccurs="0"/>
                <xsd:element ref="ns2:j163382b748246d3b6e7caae71dbeeb0" minOccurs="0"/>
                <xsd:element ref="ns1:_ExtendedDescription" minOccurs="0"/>
                <xsd:element ref="ns2:APRASecurityClassification" minOccurs="0"/>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17" nillable="true" ma:displayName="Description" ma:internalName="_Extended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8a7e8-49a1-4017-acf0-0edc7cce208b" elementFormDefault="qualified">
    <xsd:import namespace="http://schemas.microsoft.com/office/2006/documentManagement/types"/>
    <xsd:import namespace="http://schemas.microsoft.com/office/infopath/2007/PartnerControls"/>
    <xsd:element name="i05115a133414b4dabee2531e4b46b67" ma:index="8" nillable="true" ma:taxonomy="true" ma:internalName="i05115a133414b4dabee2531e4b46b67" ma:taxonomyFieldName="APRAActivity" ma:displayName="Activity" ma:readOnly="false" ma:fieldId="{205115a1-3341-4b4d-abee-2531e4b46b67}" ma:taxonomyMulti="true" ma:sspId="4ff776a0-f2ac-455d-9889-a581410000f1" ma:termSetId="0a2aee47-fbed-4b43-b934-0547b3421a8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70a7764-7edc-438b-b2cf-51576a8fe6f7}" ma:internalName="TaxCatchAll" ma:showField="CatchAllData" ma:web="92a8a7e8-49a1-4017-acf0-0edc7cce208b">
      <xsd:complexType>
        <xsd:complexContent>
          <xsd:extension base="dms:MultiChoiceLookup">
            <xsd:sequence>
              <xsd:element name="Value" type="dms:Lookup" maxOccurs="unbounded" minOccurs="0" nillable="true"/>
            </xsd:sequence>
          </xsd:extension>
        </xsd:complexContent>
      </xsd:complexType>
    </xsd:element>
    <xsd:element name="h67caa35a4114acd8e15fe89b3f29f9e" ma:index="10" nillable="true" ma:taxonomy="true" ma:internalName="h67caa35a4114acd8e15fe89b3f29f9e" ma:taxonomyFieldName="APRADocumentType" ma:displayName="Document type" ma:readOnly="false" ma:fieldId="{167caa35-a411-4acd-8e15-fe89b3f29f9e}" ma:taxonomyMulti="true" ma:sspId="4ff776a0-f2ac-455d-9889-a581410000f1" ma:termSetId="af1c35f7-5763-4cde-bc1a-b0c7e164f1eb" ma:anchorId="00000000-0000-0000-0000-000000000000" ma:open="false" ma:isKeyword="false">
      <xsd:complexType>
        <xsd:sequence>
          <xsd:element ref="pc:Terms" minOccurs="0" maxOccurs="1"/>
        </xsd:sequence>
      </xsd:complexType>
    </xsd:element>
    <xsd:element name="k4bcc0d734474fea9fb713d9c415b4b0" ma:index="11" nillable="true" ma:taxonomy="true" ma:internalName="k4bcc0d734474fea9fb713d9c415b4b0" ma:taxonomyFieldName="APRAEntityAdviceSupport" ma:displayName="Entity (advice/support)" ma:readOnly="false" ma:fieldId="{44bcc0d7-3447-4fea-9fb7-13d9c415b4b0}" ma:taxonomyMulti="true" ma:sspId="4ff776a0-f2ac-455d-9889-a581410000f1" ma:termSetId="65e4e273-0c24-4815-bb8d-38cd0e8111f8" ma:anchorId="00000000-0000-0000-0000-000000000000" ma:open="false" ma:isKeyword="false">
      <xsd:complexType>
        <xsd:sequence>
          <xsd:element ref="pc:Terms" minOccurs="0" maxOccurs="1"/>
        </xsd:sequence>
      </xsd:complexType>
    </xsd:element>
    <xsd:element name="l003ee8eff60461aa1bd0027aba92ea4" ma:index="12" nillable="true" ma:taxonomy="true" ma:internalName="l003ee8eff60461aa1bd0027aba92ea4" ma:taxonomyFieldName="APRAIndustry" ma:displayName="Industry/Sector" ma:readOnly="false" ma:fieldId="{5003ee8e-ff60-461a-a1bd-0027aba92ea4}" ma:taxonomyMulti="true" ma:sspId="4ff776a0-f2ac-455d-9889-a581410000f1"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13" nillable="true" ma:taxonomy="true" ma:internalName="b37d8d7e823543f58f89056343a9035c" ma:taxonomyFieldName="APRALegislation" ma:displayName="Legislation" ma:readOnly="false" ma:fieldId="{b37d8d7e-8235-43f5-8f89-056343a9035c}" ma:taxonomyMulti="true" ma:sspId="4ff776a0-f2ac-455d-9889-a581410000f1" ma:termSetId="67e0a470-b4af-4691-908a-b900ee38db35" ma:anchorId="00000000-0000-0000-0000-000000000000" ma:open="false" ma:isKeyword="false">
      <xsd:complexType>
        <xsd:sequence>
          <xsd:element ref="pc:Terms" minOccurs="0" maxOccurs="1"/>
        </xsd:sequence>
      </xsd:complexType>
    </xsd:element>
    <xsd:element name="j163382b748246d3b6e7caae71dbeeb0" ma:index="14" nillable="true" ma:taxonomy="true" ma:internalName="j163382b748246d3b6e7caae71dbeeb0" ma:taxonomyFieldName="APRAStatus" ma:displayName="Status" ma:readOnly="false" ma:default="-1;#Draft|0e1556d2-3fe8-443a-ada7-3620563b46b3" ma:fieldId="{3163382b-7482-46d3-b6e7-caae71dbeeb0}" ma:sspId="4ff776a0-f2ac-455d-9889-a581410000f1" ma:termSetId="7eb4e65e-417b-4c63-9676-ecbbffa46ffa" ma:anchorId="00000000-0000-0000-0000-000000000000" ma:open="false" ma:isKeyword="false">
      <xsd:complexType>
        <xsd:sequence>
          <xsd:element ref="pc:Terms" minOccurs="0" maxOccurs="1"/>
        </xsd:sequence>
      </xsd:complexType>
    </xsd:element>
    <xsd:element name="APRASecurityClassification" ma:index="21" nillable="true" ma:displayName="Security classification" ma:default="OFFICIAL: Sensitive" ma:format="Dropdown"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48c6b-f494-43bd-afec-4c4bbfd3890b"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2a8a7e8-49a1-4017-acf0-0edc7cce208b">
      <UserInfo>
        <DisplayName>Nicky Tran</DisplayName>
        <AccountId>184</AccountId>
        <AccountType/>
      </UserInfo>
      <UserInfo>
        <DisplayName>Rebecca Trajkovski</DisplayName>
        <AccountId>438</AccountId>
        <AccountType/>
      </UserInfo>
      <UserInfo>
        <DisplayName>Clare Gibney</DisplayName>
        <AccountId>266</AccountId>
        <AccountType/>
      </UserInfo>
      <UserInfo>
        <DisplayName>Gideon Holland</DisplayName>
        <AccountId>23</AccountId>
        <AccountType/>
      </UserInfo>
      <UserInfo>
        <DisplayName>Ben Mowatt</DisplayName>
        <AccountId>40</AccountId>
        <AccountType/>
      </UserInfo>
      <UserInfo>
        <DisplayName>Tom Heagney</DisplayName>
        <AccountId>52</AccountId>
        <AccountType/>
      </UserInfo>
      <UserInfo>
        <DisplayName>Robert Armstrong</DisplayName>
        <AccountId>31</AccountId>
        <AccountType/>
      </UserInfo>
      <UserInfo>
        <DisplayName>Segolene Autret</DisplayName>
        <AccountId>113</AccountId>
        <AccountType/>
      </UserInfo>
      <UserInfo>
        <DisplayName>Jessica Chung</DisplayName>
        <AccountId>291</AccountId>
        <AccountType/>
      </UserInfo>
      <UserInfo>
        <DisplayName>Matt Deane</DisplayName>
        <AccountId>55</AccountId>
        <AccountType/>
      </UserInfo>
      <UserInfo>
        <DisplayName>Lucinda McCann</DisplayName>
        <AccountId>122</AccountId>
        <AccountType/>
      </UserInfo>
      <UserInfo>
        <DisplayName>Paul Tattersall</DisplayName>
        <AccountId>143</AccountId>
        <AccountType/>
      </UserInfo>
    </SharedWithUsers>
    <k4bcc0d734474fea9fb713d9c415b4b0 xmlns="92a8a7e8-49a1-4017-acf0-0edc7cce208b">
      <Terms xmlns="http://schemas.microsoft.com/office/infopath/2007/PartnerControls"/>
    </k4bcc0d734474fea9fb713d9c415b4b0>
    <APRASecurityClassification xmlns="92a8a7e8-49a1-4017-acf0-0edc7cce208b">OFFICIAL</APRASecurityClassification>
    <i05115a133414b4dabee2531e4b46b67 xmlns="92a8a7e8-49a1-4017-acf0-0edc7cce208b">
      <Terms xmlns="http://schemas.microsoft.com/office/infopath/2007/PartnerControls"/>
    </i05115a133414b4dabee2531e4b46b67>
    <h67caa35a4114acd8e15fe89b3f29f9e xmlns="92a8a7e8-49a1-4017-acf0-0edc7cce208b">
      <Terms xmlns="http://schemas.microsoft.com/office/infopath/2007/PartnerControls"/>
    </h67caa35a4114acd8e15fe89b3f29f9e>
    <l003ee8eff60461aa1bd0027aba92ea4 xmlns="92a8a7e8-49a1-4017-acf0-0edc7cce208b">
      <Terms xmlns="http://schemas.microsoft.com/office/infopath/2007/PartnerControls"/>
    </l003ee8eff60461aa1bd0027aba92ea4>
    <_ExtendedDescription xmlns="http://schemas.microsoft.com/sharepoint/v3" xsi:nil="true"/>
    <TaxCatchAll xmlns="92a8a7e8-49a1-4017-acf0-0edc7cce208b" xsi:nil="true"/>
    <j163382b748246d3b6e7caae71dbeeb0 xmlns="92a8a7e8-49a1-4017-acf0-0edc7cce208b">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b37d8d7e823543f58f89056343a9035c xmlns="92a8a7e8-49a1-4017-acf0-0edc7cce208b">
      <Terms xmlns="http://schemas.microsoft.com/office/infopath/2007/PartnerControls"/>
    </b37d8d7e823543f58f89056343a9035c>
  </documentManagement>
</p:properties>
</file>

<file path=customXml/itemProps1.xml><?xml version="1.0" encoding="utf-8"?>
<ds:datastoreItem xmlns:ds="http://schemas.openxmlformats.org/officeDocument/2006/customXml" ds:itemID="{17D71B46-AE3C-478C-8BE9-B03E0631FA8A}">
  <ds:schemaRefs>
    <ds:schemaRef ds:uri="http://schemas.openxmlformats.org/officeDocument/2006/bibliography"/>
  </ds:schemaRefs>
</ds:datastoreItem>
</file>

<file path=customXml/itemProps2.xml><?xml version="1.0" encoding="utf-8"?>
<ds:datastoreItem xmlns:ds="http://schemas.openxmlformats.org/officeDocument/2006/customXml" ds:itemID="{B5BC7A9D-0CB7-42EC-B662-876047059ABE}"/>
</file>

<file path=customXml/itemProps3.xml><?xml version="1.0" encoding="utf-8"?>
<ds:datastoreItem xmlns:ds="http://schemas.openxmlformats.org/officeDocument/2006/customXml" ds:itemID="{5809A83F-FD8A-43B5-963A-A2EA16D16AF4}">
  <ds:schemaRefs>
    <ds:schemaRef ds:uri="http://schemas.microsoft.com/sharepoint/v3/contenttype/forms"/>
  </ds:schemaRefs>
</ds:datastoreItem>
</file>

<file path=customXml/itemProps4.xml><?xml version="1.0" encoding="utf-8"?>
<ds:datastoreItem xmlns:ds="http://schemas.openxmlformats.org/officeDocument/2006/customXml" ds:itemID="{A85261B5-199C-451F-B61B-E02D4DDCAF69}">
  <ds:schemaRefs>
    <ds:schemaRef ds:uri="http://purl.org/dc/elements/1.1/"/>
    <ds:schemaRef ds:uri="5664482d-1961-4d38-bfc2-b109b3418834"/>
    <ds:schemaRef ds:uri="http://schemas.microsoft.com/office/2006/documentManagement/types"/>
    <ds:schemaRef ds:uri="http://schemas.microsoft.com/office/2006/metadata/properties"/>
    <ds:schemaRef ds:uri="http://purl.org/dc/terms/"/>
    <ds:schemaRef ds:uri="79530295-9eea-494d-b82a-9ff74409eafc"/>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2237</Words>
  <Characters>12909</Characters>
  <Application>Microsoft Office Word</Application>
  <DocSecurity>0</DocSecurity>
  <Lines>280</Lines>
  <Paragraphs>161</Paragraphs>
  <ScaleCrop>false</ScaleCrop>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[SEC=OFFICIAL]</cp:keywords>
  <dc:description/>
  <cp:lastModifiedBy/>
  <cp:revision>1</cp:revision>
  <dcterms:created xsi:type="dcterms:W3CDTF">2023-10-13T07:18:00Z</dcterms:created>
  <dcterms:modified xsi:type="dcterms:W3CDTF">2023-10-13T07:18:00Z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HMAC">
    <vt:lpwstr>v=2022.1;a=SHA256;h=9BA54E6CD784081D17BB1FD9893BB10F5261E33CDC49F67D867B1EEC203E72CE</vt:lpwstr>
  </property>
  <property fmtid="{D5CDD505-2E9C-101B-9397-08002B2CF9AE}" pid="3" name="PM_Qualifier">
    <vt:lpwstr/>
  </property>
  <property fmtid="{D5CDD505-2E9C-101B-9397-08002B2CF9AE}" pid="4" name="PM_SecurityClassification_Prev">
    <vt:lpwstr>OFFICIAL</vt:lpwstr>
  </property>
  <property fmtid="{D5CDD505-2E9C-101B-9397-08002B2CF9AE}" pid="5" name="PM_Qualifier_Prev">
    <vt:lpwstr/>
  </property>
  <property fmtid="{D5CDD505-2E9C-101B-9397-08002B2CF9AE}" pid="6" name="PM_ProtectiveMarkingImage_Header">
    <vt:lpwstr>C:\Program Files\Common Files\janusNET Shared\janusSEAL\Images\DocumentSlashBlue.png</vt:lpwstr>
  </property>
  <property fmtid="{D5CDD505-2E9C-101B-9397-08002B2CF9AE}" pid="7" name="PM_Namespace">
    <vt:lpwstr>gov.au</vt:lpwstr>
  </property>
  <property fmtid="{D5CDD505-2E9C-101B-9397-08002B2CF9AE}" pid="8" name="PM_ProtectiveMarkingImage_Footer">
    <vt:lpwstr>C:\Program Files\Common Files\janusNET Shared\janusSEAL\Images\DocumentSlashBlue.png</vt:lpwstr>
  </property>
  <property fmtid="{D5CDD505-2E9C-101B-9397-08002B2CF9AE}" pid="9" name="PM_Version">
    <vt:lpwstr>2018.3</vt:lpwstr>
  </property>
  <property fmtid="{D5CDD505-2E9C-101B-9397-08002B2CF9AE}" pid="10" name="PM_ProtectiveMarkingValue_Footer">
    <vt:lpwstr>OFFICIAL</vt:lpwstr>
  </property>
  <property fmtid="{D5CDD505-2E9C-101B-9397-08002B2CF9AE}" pid="11" name="PM_Originating_FileId">
    <vt:lpwstr>9CDD4A8A38FF4D3681F9F9DB8CFE362E</vt:lpwstr>
  </property>
  <property fmtid="{D5CDD505-2E9C-101B-9397-08002B2CF9AE}" pid="12" name="PM_Note">
    <vt:lpwstr/>
  </property>
  <property fmtid="{D5CDD505-2E9C-101B-9397-08002B2CF9AE}" pid="13" name="PM_Markers">
    <vt:lpwstr/>
  </property>
  <property fmtid="{D5CDD505-2E9C-101B-9397-08002B2CF9AE}" pid="14" name="PM_OriginatorDomainName_SHA256">
    <vt:lpwstr>ECBDE2B44A971754412B3FB70606937A119CC0D4B6C1B658A40FBD41C30BE3EC</vt:lpwstr>
  </property>
  <property fmtid="{D5CDD505-2E9C-101B-9397-08002B2CF9AE}" pid="15" name="PM_SecurityClassification">
    <vt:lpwstr>OFFICIAL</vt:lpwstr>
  </property>
  <property fmtid="{D5CDD505-2E9C-101B-9397-08002B2CF9AE}" pid="16" name="MSIP_Label_c0129afb-6481-4f92-bc9f-5a4a6346364d_Method">
    <vt:lpwstr>Privileged</vt:lpwstr>
  </property>
  <property fmtid="{D5CDD505-2E9C-101B-9397-08002B2CF9AE}" pid="17" name="PM_DisplayValueSecClassificationWithQualifier">
    <vt:lpwstr>OFFICIAL</vt:lpwstr>
  </property>
  <property fmtid="{D5CDD505-2E9C-101B-9397-08002B2CF9AE}" pid="18" name="PM_InsertionValue">
    <vt:lpwstr>OFFICIAL</vt:lpwstr>
  </property>
  <property fmtid="{D5CDD505-2E9C-101B-9397-08002B2CF9AE}" pid="19" name="PM_ProtectiveMarkingValue_Header">
    <vt:lpwstr>OFFICIAL</vt:lpwstr>
  </property>
  <property fmtid="{D5CDD505-2E9C-101B-9397-08002B2CF9AE}" pid="20" name="PM_OriginationTimeStamp">
    <vt:lpwstr>2023-01-13T05:58:06Z</vt:lpwstr>
  </property>
  <property fmtid="{D5CDD505-2E9C-101B-9397-08002B2CF9AE}" pid="21" name="PM_Display">
    <vt:lpwstr>OFFICIAL</vt:lpwstr>
  </property>
  <property fmtid="{D5CDD505-2E9C-101B-9397-08002B2CF9AE}" pid="22" name="MSIP_Label_c0129afb-6481-4f92-bc9f-5a4a6346364d_Name">
    <vt:lpwstr>OFFICIAL</vt:lpwstr>
  </property>
  <property fmtid="{D5CDD505-2E9C-101B-9397-08002B2CF9AE}" pid="23" name="MSIP_Label_c0129afb-6481-4f92-bc9f-5a4a6346364d_SiteId">
    <vt:lpwstr>c05e3ffd-b491-4431-9809-e61d4dc78816</vt:lpwstr>
  </property>
  <property fmtid="{D5CDD505-2E9C-101B-9397-08002B2CF9AE}" pid="24" name="MSIP_Label_c0129afb-6481-4f92-bc9f-5a4a6346364d_Enabled">
    <vt:lpwstr>true</vt:lpwstr>
  </property>
  <property fmtid="{D5CDD505-2E9C-101B-9397-08002B2CF9AE}" pid="25" name="MSIP_Label_c0129afb-6481-4f92-bc9f-5a4a6346364d_ContentBits">
    <vt:lpwstr>0</vt:lpwstr>
  </property>
  <property fmtid="{D5CDD505-2E9C-101B-9397-08002B2CF9AE}" pid="26" name="PM_Hash_Version">
    <vt:lpwstr>2022.1</vt:lpwstr>
  </property>
  <property fmtid="{D5CDD505-2E9C-101B-9397-08002B2CF9AE}" pid="27" name="PMUuid">
    <vt:lpwstr>v=2022.2;d=gov.au;g=46DD6D7C-8107-577B-BC6E-F348953B2E44</vt:lpwstr>
  </property>
  <property fmtid="{D5CDD505-2E9C-101B-9397-08002B2CF9AE}" pid="28" name="PM_Hash_Salt_Prev">
    <vt:lpwstr>F418717AFC61B17296D55C932263A8A4</vt:lpwstr>
  </property>
  <property fmtid="{D5CDD505-2E9C-101B-9397-08002B2CF9AE}" pid="29" name="MSIP_Label_c0129afb-6481-4f92-bc9f-5a4a6346364d_SetDate">
    <vt:lpwstr>2023-01-13T05:58:06Z</vt:lpwstr>
  </property>
  <property fmtid="{D5CDD505-2E9C-101B-9397-08002B2CF9AE}" pid="30" name="PM_Originator_Hash_SHA1">
    <vt:lpwstr>C3AD57350F36D8E1BD75F8F67CB06D435C9C43CA</vt:lpwstr>
  </property>
  <property fmtid="{D5CDD505-2E9C-101B-9397-08002B2CF9AE}" pid="31" name="PM_OriginatorUserAccountName_SHA256">
    <vt:lpwstr>6E3018F28A186D2E5FF5207C041E7A82E907C3008E071057026A53705873B72E</vt:lpwstr>
  </property>
  <property fmtid="{D5CDD505-2E9C-101B-9397-08002B2CF9AE}" pid="32" name="PM_Hash_Salt">
    <vt:lpwstr>8A9C3D4971907F0F18A3ABD0080074EC</vt:lpwstr>
  </property>
  <property fmtid="{D5CDD505-2E9C-101B-9397-08002B2CF9AE}" pid="33" name="PM_Hash_SHA1">
    <vt:lpwstr>E4849394E6832342D454E5BD6C68790ACD1BF72F</vt:lpwstr>
  </property>
  <property fmtid="{D5CDD505-2E9C-101B-9397-08002B2CF9AE}" pid="34" name="MSIP_Label_c0129afb-6481-4f92-bc9f-5a4a6346364d_ActionId">
    <vt:lpwstr>e91a74411b0c49168357bc3ccd036df2</vt:lpwstr>
  </property>
  <property fmtid="{D5CDD505-2E9C-101B-9397-08002B2CF9AE}" pid="35" name="PM_Caveats_Count">
    <vt:lpwstr>0</vt:lpwstr>
  </property>
  <property fmtid="{D5CDD505-2E9C-101B-9397-08002B2CF9AE}" pid="36" name="RecordPoint_SubmissionDate">
    <vt:lpwstr/>
  </property>
  <property fmtid="{D5CDD505-2E9C-101B-9397-08002B2CF9AE}" pid="37" name="RecordPoint_RecordNumberSubmitted">
    <vt:lpwstr/>
  </property>
  <property fmtid="{D5CDD505-2E9C-101B-9397-08002B2CF9AE}" pid="38" name="DocumentSetDescription">
    <vt:lpwstr/>
  </property>
  <property fmtid="{D5CDD505-2E9C-101B-9397-08002B2CF9AE}" pid="39" name="APRACostCentre">
    <vt:lpwstr/>
  </property>
  <property fmtid="{D5CDD505-2E9C-101B-9397-08002B2CF9AE}" pid="40" name="ContentTypeId">
    <vt:lpwstr>0x01010080D163DB4DEE504FAB457909715FEC45</vt:lpwstr>
  </property>
  <property fmtid="{D5CDD505-2E9C-101B-9397-08002B2CF9AE}" pid="41" name="RecordPoint_WorkflowType">
    <vt:lpwstr>ActiveSubmitStub</vt:lpwstr>
  </property>
  <property fmtid="{D5CDD505-2E9C-101B-9397-08002B2CF9AE}" pid="42" name="APRAPeerGroup">
    <vt:lpwstr/>
  </property>
  <property fmtid="{D5CDD505-2E9C-101B-9397-08002B2CF9AE}" pid="43" name="APRADocumentType">
    <vt:lpwstr>Prudential standard</vt:lpwstr>
  </property>
  <property fmtid="{D5CDD505-2E9C-101B-9397-08002B2CF9AE}" pid="44" name="RecordPoint_ActiveItemSiteId">
    <vt:lpwstr>{2cada49c-ae30-40b5-bba4-93d447100c6c}</vt:lpwstr>
  </property>
  <property fmtid="{D5CDD505-2E9C-101B-9397-08002B2CF9AE}" pid="45" name="APRAPRSG">
    <vt:lpwstr/>
  </property>
  <property fmtid="{D5CDD505-2E9C-101B-9397-08002B2CF9AE}" pid="46" name="_ExtendedDescription">
    <vt:lpwstr/>
  </property>
  <property fmtid="{D5CDD505-2E9C-101B-9397-08002B2CF9AE}" pid="47" name="APRAActivity">
    <vt:lpwstr>Prudential policy development</vt:lpwstr>
  </property>
  <property fmtid="{D5CDD505-2E9C-101B-9397-08002B2CF9AE}" pid="48" name="RecordPoint_ActiveItemListId">
    <vt:lpwstr>{697db2ba-7734-4e83-9523-7ac0d89b7c37}</vt:lpwstr>
  </property>
  <property fmtid="{D5CDD505-2E9C-101B-9397-08002B2CF9AE}" pid="49" name="APRALegislation">
    <vt:lpwstr/>
  </property>
  <property fmtid="{D5CDD505-2E9C-101B-9397-08002B2CF9AE}" pid="50" name="RecordPoint_ActiveItemMoved">
    <vt:lpwstr/>
  </property>
  <property fmtid="{D5CDD505-2E9C-101B-9397-08002B2CF9AE}" pid="51" name="RecordPoint_SubmissionCompleted">
    <vt:lpwstr/>
  </property>
  <property fmtid="{D5CDD505-2E9C-101B-9397-08002B2CF9AE}" pid="52" name="_docset_NoMedatataSyncRequired">
    <vt:lpwstr>False</vt:lpwstr>
  </property>
  <property fmtid="{D5CDD505-2E9C-101B-9397-08002B2CF9AE}" pid="53" name="URL">
    <vt:lpwstr/>
  </property>
  <property fmtid="{D5CDD505-2E9C-101B-9397-08002B2CF9AE}" pid="54" name="Language">
    <vt:lpwstr>English</vt:lpwstr>
  </property>
  <property fmtid="{D5CDD505-2E9C-101B-9397-08002B2CF9AE}" pid="55" name="APRAExternalOrganisation">
    <vt:lpwstr/>
  </property>
  <property fmtid="{D5CDD505-2E9C-101B-9397-08002B2CF9AE}" pid="56" name="APRAIRTR">
    <vt:lpwstr/>
  </property>
  <property fmtid="{D5CDD505-2E9C-101B-9397-08002B2CF9AE}" pid="57" name="APRAPeriod">
    <vt:lpwstr/>
  </property>
  <property fmtid="{D5CDD505-2E9C-101B-9397-08002B2CF9AE}" pid="58" name="RecordPoint_ActiveItemWebId">
    <vt:lpwstr>{8519a14e-5c73-4f9a-a3a9-27c320967c41}</vt:lpwstr>
  </property>
  <property fmtid="{D5CDD505-2E9C-101B-9397-08002B2CF9AE}" pid="59" name="IT system type">
    <vt:lpwstr/>
  </property>
  <property fmtid="{D5CDD505-2E9C-101B-9397-08002B2CF9AE}" pid="60" name="APRACategory">
    <vt:lpwstr/>
  </property>
  <property fmtid="{D5CDD505-2E9C-101B-9397-08002B2CF9AE}" pid="61" name="_dlc_DocIdItemGuid">
    <vt:lpwstr>61b7592b-ad9f-43c5-841e-d89acfeb8d93</vt:lpwstr>
  </property>
  <property fmtid="{D5CDD505-2E9C-101B-9397-08002B2CF9AE}" pid="62" name="APRAStatus">
    <vt:lpwstr>Draft</vt:lpwstr>
  </property>
  <property fmtid="{D5CDD505-2E9C-101B-9397-08002B2CF9AE}" pid="63" name="APRATemplateType">
    <vt:lpwstr>23;#Policy|f1d41970-be64-43ea-8d6f-300cb1384ee7</vt:lpwstr>
  </property>
  <property fmtid="{D5CDD505-2E9C-101B-9397-08002B2CF9AE}" pid="64" name="APRAEntityAdviceSupport">
    <vt:lpwstr/>
  </property>
  <property fmtid="{D5CDD505-2E9C-101B-9397-08002B2CF9AE}" pid="65" name="APRAReportingGroup">
    <vt:lpwstr/>
  </property>
  <property fmtid="{D5CDD505-2E9C-101B-9397-08002B2CF9AE}" pid="66" name="APRAYear">
    <vt:lpwstr/>
  </property>
  <property fmtid="{D5CDD505-2E9C-101B-9397-08002B2CF9AE}" pid="67" name="APRAIndustry">
    <vt:lpwstr/>
  </property>
  <property fmtid="{D5CDD505-2E9C-101B-9397-08002B2CF9AE}" pid="68" name="RecordPoint_RecordFormat">
    <vt:lpwstr/>
  </property>
  <property fmtid="{D5CDD505-2E9C-101B-9397-08002B2CF9AE}" pid="69" name="RecordPoint_ActiveItemUniqueId">
    <vt:lpwstr>{61b7592b-ad9f-43c5-841e-d89acfeb8d93}</vt:lpwstr>
  </property>
  <property fmtid="{D5CDD505-2E9C-101B-9397-08002B2CF9AE}" pid="70" name="IsLocked">
    <vt:lpwstr>Yes</vt:lpwstr>
  </property>
  <property fmtid="{D5CDD505-2E9C-101B-9397-08002B2CF9AE}" pid="71" name="APRASecurityClassification">
    <vt:lpwstr>OFFICIAL</vt:lpwstr>
  </property>
</Properties>
</file>