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4D57" w14:textId="77777777" w:rsidR="0028712F" w:rsidRPr="00343C05" w:rsidRDefault="0028712F" w:rsidP="0028712F">
      <w:pPr>
        <w:pStyle w:val="Title"/>
        <w:rPr>
          <w:color w:val="000000"/>
          <w:sz w:val="32"/>
          <w:szCs w:val="32"/>
        </w:rPr>
      </w:pPr>
      <w:r w:rsidRPr="003D305B">
        <w:rPr>
          <w:noProof/>
          <w:color w:val="000000"/>
        </w:rPr>
        <w:drawing>
          <wp:inline distT="0" distB="0" distL="0" distR="0" wp14:anchorId="4D6E76F2" wp14:editId="40D90410">
            <wp:extent cx="1419225" cy="1104900"/>
            <wp:effectExtent l="0" t="0" r="9525" b="0"/>
            <wp:docPr id="4" name="Picture 4" descr="Coat of Arms of the Commonwealth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at of Arms of the Commonwealth of Austral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233DBDA7" w14:textId="555A6563" w:rsidR="0028712F" w:rsidRPr="00DB14C7" w:rsidRDefault="0028712F" w:rsidP="0028712F">
      <w:pPr>
        <w:pStyle w:val="Title"/>
        <w:spacing w:before="480" w:after="0"/>
        <w:rPr>
          <w:color w:val="000000"/>
        </w:rPr>
      </w:pPr>
      <w:bookmarkStart w:id="0" w:name="_Hlk119508143"/>
      <w:r w:rsidRPr="00DB14C7">
        <w:rPr>
          <w:color w:val="000000"/>
        </w:rPr>
        <w:t xml:space="preserve">Banking, Insurance, Life Insurance and Health Insurance (prudential standard) determination No. </w:t>
      </w:r>
      <w:r w:rsidR="00A15E8F" w:rsidRPr="00DB14C7">
        <w:rPr>
          <w:color w:val="000000"/>
        </w:rPr>
        <w:t>1</w:t>
      </w:r>
      <w:r w:rsidRPr="00DB14C7">
        <w:rPr>
          <w:color w:val="000000"/>
        </w:rPr>
        <w:t xml:space="preserve"> of 202</w:t>
      </w:r>
      <w:r w:rsidR="00EF0CF5">
        <w:rPr>
          <w:color w:val="000000"/>
        </w:rPr>
        <w:t>3</w:t>
      </w:r>
    </w:p>
    <w:bookmarkEnd w:id="0"/>
    <w:p w14:paraId="12A1683E" w14:textId="0C23BCA0" w:rsidR="0028712F" w:rsidRPr="00774C08" w:rsidRDefault="0028712F" w:rsidP="0028712F">
      <w:pPr>
        <w:pStyle w:val="Title"/>
        <w:spacing w:before="360" w:after="120"/>
        <w:rPr>
          <w:color w:val="000000"/>
          <w:sz w:val="28"/>
          <w:szCs w:val="28"/>
        </w:rPr>
      </w:pPr>
      <w:r w:rsidRPr="00A738ED">
        <w:rPr>
          <w:color w:val="000000"/>
          <w:sz w:val="28"/>
          <w:szCs w:val="28"/>
        </w:rPr>
        <w:t xml:space="preserve">Prudential Standard </w:t>
      </w:r>
      <w:r w:rsidRPr="000B564B">
        <w:rPr>
          <w:color w:val="000000"/>
          <w:sz w:val="28"/>
          <w:szCs w:val="28"/>
        </w:rPr>
        <w:t xml:space="preserve">CPS </w:t>
      </w:r>
      <w:r>
        <w:rPr>
          <w:color w:val="000000"/>
          <w:sz w:val="28"/>
          <w:szCs w:val="28"/>
        </w:rPr>
        <w:t>510 Governance</w:t>
      </w:r>
    </w:p>
    <w:p w14:paraId="5528CB51" w14:textId="77777777" w:rsidR="0028712F" w:rsidRPr="00BE0DE3" w:rsidRDefault="0028712F" w:rsidP="0028712F">
      <w:pPr>
        <w:pStyle w:val="ActTitle"/>
        <w:spacing w:before="360" w:after="0"/>
        <w:rPr>
          <w:color w:val="000000"/>
        </w:rPr>
      </w:pPr>
      <w:r w:rsidRPr="00BE0DE3">
        <w:rPr>
          <w:color w:val="000000"/>
        </w:rPr>
        <w:t>Banking Act 1959</w:t>
      </w:r>
    </w:p>
    <w:p w14:paraId="190CD67E" w14:textId="77777777" w:rsidR="0028712F" w:rsidRPr="00BE0DE3" w:rsidRDefault="0028712F" w:rsidP="0028712F">
      <w:pPr>
        <w:pStyle w:val="ActTitle"/>
        <w:spacing w:before="0" w:after="0"/>
        <w:rPr>
          <w:color w:val="000000"/>
        </w:rPr>
      </w:pPr>
      <w:r w:rsidRPr="00BE0DE3">
        <w:rPr>
          <w:color w:val="000000"/>
        </w:rPr>
        <w:t>Insurance Act 1973</w:t>
      </w:r>
    </w:p>
    <w:p w14:paraId="1C8D611D" w14:textId="77777777" w:rsidR="0028712F" w:rsidRPr="00BE0DE3" w:rsidRDefault="0028712F" w:rsidP="0028712F">
      <w:pPr>
        <w:pStyle w:val="ActTitle"/>
        <w:spacing w:before="0" w:after="0"/>
        <w:rPr>
          <w:color w:val="000000"/>
        </w:rPr>
      </w:pPr>
      <w:r w:rsidRPr="00BE0DE3">
        <w:rPr>
          <w:color w:val="000000"/>
        </w:rPr>
        <w:t xml:space="preserve">Life Insurance Act 1995 </w:t>
      </w:r>
    </w:p>
    <w:p w14:paraId="76D357FE" w14:textId="6CE5A2FC" w:rsidR="0028712F" w:rsidRPr="00857222" w:rsidRDefault="0028712F" w:rsidP="0028712F">
      <w:pPr>
        <w:pStyle w:val="ActTitle"/>
        <w:spacing w:before="0"/>
        <w:rPr>
          <w:i w:val="0"/>
          <w:color w:val="000000"/>
        </w:rPr>
      </w:pPr>
      <w:bookmarkStart w:id="1" w:name="_Hlk118297581"/>
      <w:r w:rsidRPr="00857222">
        <w:rPr>
          <w:color w:val="000000"/>
        </w:rPr>
        <w:t>Private Health</w:t>
      </w:r>
      <w:r w:rsidRPr="00857222">
        <w:rPr>
          <w:i w:val="0"/>
          <w:color w:val="000000"/>
        </w:rPr>
        <w:t xml:space="preserve"> </w:t>
      </w:r>
      <w:r w:rsidRPr="00857222">
        <w:rPr>
          <w:color w:val="000000"/>
        </w:rPr>
        <w:t>Insurance (Prudential Supervision) Act 2015</w:t>
      </w:r>
    </w:p>
    <w:bookmarkEnd w:id="1"/>
    <w:p w14:paraId="24E3AFE6" w14:textId="35267570" w:rsidR="0028712F" w:rsidRDefault="0028712F" w:rsidP="0028712F">
      <w:pPr>
        <w:pStyle w:val="IntroTo"/>
        <w:ind w:left="0" w:firstLine="0"/>
        <w:jc w:val="both"/>
        <w:rPr>
          <w:rFonts w:ascii="Arial" w:hAnsi="Arial" w:cs="Arial"/>
          <w:sz w:val="22"/>
          <w:szCs w:val="22"/>
        </w:rPr>
      </w:pPr>
      <w:r w:rsidRPr="005C1D4E">
        <w:rPr>
          <w:rFonts w:ascii="Arial" w:hAnsi="Arial" w:cs="Arial"/>
          <w:sz w:val="22"/>
          <w:szCs w:val="22"/>
        </w:rPr>
        <w:t>I,</w:t>
      </w:r>
      <w:r w:rsidR="00126D9A">
        <w:rPr>
          <w:rFonts w:ascii="Arial" w:hAnsi="Arial" w:cs="Arial"/>
          <w:sz w:val="22"/>
          <w:szCs w:val="22"/>
        </w:rPr>
        <w:t xml:space="preserve"> </w:t>
      </w:r>
      <w:r w:rsidR="00EF0CF5">
        <w:rPr>
          <w:rFonts w:ascii="Arial" w:hAnsi="Arial" w:cs="Arial"/>
          <w:sz w:val="22"/>
          <w:szCs w:val="22"/>
        </w:rPr>
        <w:t>Clare Gibney</w:t>
      </w:r>
      <w:r w:rsidRPr="005C1D4E">
        <w:rPr>
          <w:rFonts w:ascii="Arial" w:hAnsi="Arial" w:cs="Arial"/>
          <w:sz w:val="22"/>
          <w:szCs w:val="22"/>
        </w:rPr>
        <w:t>, delegate of APRA:</w:t>
      </w:r>
    </w:p>
    <w:p w14:paraId="0AAAD2E2" w14:textId="77777777" w:rsidR="00845BA5" w:rsidRPr="005C1D4E" w:rsidRDefault="00845BA5" w:rsidP="0028712F">
      <w:pPr>
        <w:pStyle w:val="IntroTo"/>
        <w:ind w:left="0" w:firstLine="0"/>
        <w:jc w:val="both"/>
        <w:rPr>
          <w:rFonts w:ascii="Arial" w:hAnsi="Arial" w:cs="Arial"/>
          <w:color w:val="000000"/>
          <w:sz w:val="22"/>
          <w:szCs w:val="22"/>
        </w:rPr>
      </w:pPr>
    </w:p>
    <w:p w14:paraId="4DDFD183" w14:textId="7B92C314" w:rsidR="0028712F" w:rsidRPr="005C1D4E" w:rsidRDefault="0028712F" w:rsidP="001154D8">
      <w:pPr>
        <w:pStyle w:val="IntroTo"/>
        <w:numPr>
          <w:ilvl w:val="0"/>
          <w:numId w:val="45"/>
        </w:numPr>
        <w:spacing w:before="120" w:after="240"/>
        <w:jc w:val="both"/>
        <w:rPr>
          <w:rFonts w:ascii="Arial" w:hAnsi="Arial" w:cs="Arial"/>
          <w:color w:val="000000"/>
          <w:sz w:val="22"/>
          <w:szCs w:val="22"/>
        </w:rPr>
      </w:pPr>
      <w:r w:rsidRPr="005C1D4E">
        <w:rPr>
          <w:rFonts w:ascii="Arial" w:hAnsi="Arial" w:cs="Arial"/>
          <w:color w:val="000000"/>
          <w:sz w:val="22"/>
          <w:szCs w:val="22"/>
        </w:rPr>
        <w:t xml:space="preserve">under </w:t>
      </w:r>
      <w:bookmarkStart w:id="2" w:name="_Hlk98757335"/>
      <w:r w:rsidRPr="005C1D4E">
        <w:rPr>
          <w:rFonts w:ascii="Arial" w:hAnsi="Arial" w:cs="Arial"/>
          <w:color w:val="000000"/>
          <w:sz w:val="22"/>
          <w:szCs w:val="22"/>
        </w:rPr>
        <w:t>subsections 11AF(3) of the</w:t>
      </w:r>
      <w:r w:rsidRPr="005C1D4E">
        <w:rPr>
          <w:rFonts w:ascii="Arial" w:hAnsi="Arial" w:cs="Arial"/>
          <w:i/>
          <w:color w:val="000000"/>
          <w:sz w:val="22"/>
          <w:szCs w:val="22"/>
        </w:rPr>
        <w:t xml:space="preserve"> </w:t>
      </w:r>
      <w:r w:rsidRPr="005C1D4E">
        <w:rPr>
          <w:rFonts w:ascii="Arial" w:hAnsi="Arial" w:cs="Arial"/>
          <w:i/>
          <w:iCs/>
          <w:color w:val="000000"/>
          <w:sz w:val="22"/>
          <w:szCs w:val="22"/>
        </w:rPr>
        <w:t>Banking Act 1959</w:t>
      </w:r>
      <w:r w:rsidRPr="005C1D4E">
        <w:rPr>
          <w:rFonts w:ascii="Arial" w:hAnsi="Arial" w:cs="Arial"/>
          <w:iCs/>
          <w:color w:val="000000"/>
          <w:sz w:val="22"/>
          <w:szCs w:val="22"/>
        </w:rPr>
        <w:t xml:space="preserve"> (the Banking Act),</w:t>
      </w:r>
      <w:r w:rsidRPr="005C1D4E">
        <w:rPr>
          <w:rFonts w:ascii="Arial" w:hAnsi="Arial" w:cs="Arial"/>
          <w:color w:val="000000"/>
          <w:sz w:val="22"/>
          <w:szCs w:val="22"/>
        </w:rPr>
        <w:t xml:space="preserve"> 32(4) of the </w:t>
      </w:r>
      <w:r w:rsidRPr="005C1D4E">
        <w:rPr>
          <w:rFonts w:ascii="Arial" w:hAnsi="Arial" w:cs="Arial"/>
          <w:i/>
          <w:color w:val="000000"/>
          <w:sz w:val="22"/>
          <w:szCs w:val="22"/>
        </w:rPr>
        <w:t>Insurance Act 1973</w:t>
      </w:r>
      <w:r w:rsidRPr="005C1D4E">
        <w:rPr>
          <w:rFonts w:ascii="Arial" w:hAnsi="Arial" w:cs="Arial"/>
          <w:color w:val="000000"/>
          <w:sz w:val="22"/>
          <w:szCs w:val="22"/>
        </w:rPr>
        <w:t xml:space="preserve"> (the Insurance Act), 230A(5) of the </w:t>
      </w:r>
      <w:r w:rsidRPr="005C1D4E">
        <w:rPr>
          <w:rFonts w:ascii="Arial" w:hAnsi="Arial" w:cs="Arial"/>
          <w:i/>
          <w:color w:val="000000"/>
          <w:sz w:val="22"/>
          <w:szCs w:val="22"/>
        </w:rPr>
        <w:t>Life Insurance Act 1995</w:t>
      </w:r>
      <w:r w:rsidRPr="005C1D4E">
        <w:rPr>
          <w:rFonts w:ascii="Arial" w:hAnsi="Arial" w:cs="Arial"/>
          <w:color w:val="000000"/>
          <w:sz w:val="22"/>
          <w:szCs w:val="22"/>
        </w:rPr>
        <w:t xml:space="preserve"> (the Life Insurance Act), and </w:t>
      </w:r>
      <w:r w:rsidRPr="0028712F">
        <w:rPr>
          <w:rFonts w:ascii="Arial" w:hAnsi="Arial" w:cs="Arial"/>
          <w:color w:val="000000"/>
          <w:sz w:val="22"/>
          <w:szCs w:val="22"/>
        </w:rPr>
        <w:t xml:space="preserve">92(5) of the </w:t>
      </w:r>
      <w:r w:rsidRPr="00B00BB4">
        <w:rPr>
          <w:rFonts w:ascii="Arial" w:hAnsi="Arial" w:cs="Arial"/>
          <w:i/>
          <w:color w:val="000000"/>
          <w:sz w:val="22"/>
          <w:szCs w:val="22"/>
        </w:rPr>
        <w:t>Private Health Insurance (Prudential Supervision) Act 2015</w:t>
      </w:r>
      <w:r w:rsidRPr="0028712F">
        <w:rPr>
          <w:rFonts w:ascii="Arial" w:hAnsi="Arial" w:cs="Arial"/>
          <w:color w:val="000000"/>
          <w:sz w:val="22"/>
          <w:szCs w:val="22"/>
        </w:rPr>
        <w:t xml:space="preserve"> </w:t>
      </w:r>
      <w:r w:rsidRPr="005C1D4E">
        <w:rPr>
          <w:rFonts w:ascii="Arial" w:hAnsi="Arial" w:cs="Arial"/>
          <w:color w:val="000000"/>
          <w:sz w:val="22"/>
          <w:szCs w:val="22"/>
        </w:rPr>
        <w:t xml:space="preserve">(the </w:t>
      </w:r>
      <w:r w:rsidR="004B1ABB">
        <w:rPr>
          <w:rFonts w:ascii="Arial" w:hAnsi="Arial" w:cs="Arial"/>
          <w:color w:val="000000"/>
          <w:sz w:val="22"/>
          <w:szCs w:val="22"/>
        </w:rPr>
        <w:t>PHI</w:t>
      </w:r>
      <w:r w:rsidR="00D96668">
        <w:rPr>
          <w:rFonts w:ascii="Arial" w:hAnsi="Arial" w:cs="Arial"/>
          <w:color w:val="000000"/>
          <w:sz w:val="22"/>
          <w:szCs w:val="22"/>
        </w:rPr>
        <w:t>PS</w:t>
      </w:r>
      <w:r w:rsidRPr="005C1D4E">
        <w:rPr>
          <w:rFonts w:ascii="Arial" w:hAnsi="Arial" w:cs="Arial"/>
          <w:color w:val="000000"/>
          <w:sz w:val="22"/>
          <w:szCs w:val="22"/>
        </w:rPr>
        <w:t xml:space="preserve"> Act) </w:t>
      </w:r>
      <w:bookmarkEnd w:id="2"/>
      <w:r w:rsidRPr="005C1D4E">
        <w:rPr>
          <w:rFonts w:ascii="Arial" w:hAnsi="Arial" w:cs="Arial"/>
          <w:color w:val="000000"/>
          <w:sz w:val="22"/>
          <w:szCs w:val="22"/>
        </w:rPr>
        <w:t xml:space="preserve">REVOKE </w:t>
      </w:r>
      <w:bookmarkStart w:id="3" w:name="_Hlk98757304"/>
      <w:r w:rsidRPr="00FA098D">
        <w:rPr>
          <w:rFonts w:ascii="Arial" w:hAnsi="Arial" w:cs="Arial"/>
          <w:i/>
          <w:color w:val="000000"/>
          <w:sz w:val="22"/>
          <w:szCs w:val="22"/>
        </w:rPr>
        <w:t xml:space="preserve">Banking, Insurance, Life Insurance, and </w:t>
      </w:r>
      <w:r w:rsidR="004B1ABB" w:rsidRPr="00FA098D">
        <w:rPr>
          <w:rFonts w:ascii="Arial" w:hAnsi="Arial" w:cs="Arial"/>
          <w:i/>
          <w:color w:val="000000"/>
          <w:sz w:val="22"/>
          <w:szCs w:val="22"/>
        </w:rPr>
        <w:t>Health Insurance</w:t>
      </w:r>
      <w:r w:rsidRPr="00FA098D">
        <w:rPr>
          <w:rFonts w:ascii="Arial" w:hAnsi="Arial" w:cs="Arial"/>
          <w:i/>
          <w:color w:val="000000"/>
          <w:sz w:val="22"/>
          <w:szCs w:val="22"/>
        </w:rPr>
        <w:t xml:space="preserve"> (prudential standard) determination No. </w:t>
      </w:r>
      <w:r w:rsidR="006B6A05" w:rsidRPr="00FA098D">
        <w:rPr>
          <w:rFonts w:ascii="Arial" w:hAnsi="Arial" w:cs="Arial"/>
          <w:i/>
          <w:color w:val="000000"/>
          <w:sz w:val="22"/>
          <w:szCs w:val="22"/>
        </w:rPr>
        <w:t>1</w:t>
      </w:r>
      <w:r w:rsidRPr="00FA098D">
        <w:rPr>
          <w:rFonts w:ascii="Arial" w:hAnsi="Arial" w:cs="Arial"/>
          <w:i/>
          <w:color w:val="000000"/>
          <w:sz w:val="22"/>
          <w:szCs w:val="22"/>
        </w:rPr>
        <w:t xml:space="preserve"> of 20</w:t>
      </w:r>
      <w:r w:rsidR="00DD1D02" w:rsidRPr="00FA098D">
        <w:rPr>
          <w:rFonts w:ascii="Arial" w:hAnsi="Arial" w:cs="Arial"/>
          <w:i/>
          <w:color w:val="000000"/>
          <w:sz w:val="22"/>
          <w:szCs w:val="22"/>
        </w:rPr>
        <w:t>22</w:t>
      </w:r>
      <w:bookmarkEnd w:id="3"/>
      <w:r w:rsidRPr="005C1D4E">
        <w:rPr>
          <w:rFonts w:ascii="Arial" w:hAnsi="Arial" w:cs="Arial"/>
          <w:color w:val="000000"/>
          <w:sz w:val="22"/>
          <w:szCs w:val="22"/>
        </w:rPr>
        <w:t xml:space="preserve">, including </w:t>
      </w:r>
      <w:r w:rsidRPr="005C1D4E">
        <w:rPr>
          <w:rFonts w:ascii="Arial" w:hAnsi="Arial" w:cs="Arial"/>
          <w:i/>
          <w:color w:val="000000"/>
          <w:sz w:val="22"/>
          <w:szCs w:val="22"/>
        </w:rPr>
        <w:t xml:space="preserve">Prudential Standard CPS </w:t>
      </w:r>
      <w:r w:rsidR="004B1ABB" w:rsidRPr="004B1ABB">
        <w:rPr>
          <w:rFonts w:ascii="Arial" w:hAnsi="Arial" w:cs="Arial"/>
          <w:i/>
          <w:color w:val="000000"/>
          <w:sz w:val="22"/>
          <w:szCs w:val="22"/>
        </w:rPr>
        <w:t xml:space="preserve">510 Governance </w:t>
      </w:r>
      <w:r w:rsidRPr="005C1D4E">
        <w:rPr>
          <w:rFonts w:ascii="Arial" w:hAnsi="Arial" w:cs="Arial"/>
          <w:color w:val="000000"/>
          <w:sz w:val="22"/>
          <w:szCs w:val="22"/>
        </w:rPr>
        <w:t>made under that determination;</w:t>
      </w:r>
    </w:p>
    <w:p w14:paraId="1E7568F5" w14:textId="77777777" w:rsidR="0028712F" w:rsidRPr="005C1D4E" w:rsidRDefault="0028712F" w:rsidP="001154D8">
      <w:pPr>
        <w:pStyle w:val="IntroTo"/>
        <w:numPr>
          <w:ilvl w:val="0"/>
          <w:numId w:val="45"/>
        </w:numPr>
        <w:spacing w:before="120" w:after="240"/>
        <w:jc w:val="both"/>
        <w:rPr>
          <w:rFonts w:ascii="Arial" w:hAnsi="Arial" w:cs="Arial"/>
          <w:color w:val="000000"/>
          <w:sz w:val="22"/>
          <w:szCs w:val="22"/>
        </w:rPr>
      </w:pPr>
      <w:r w:rsidRPr="005C1D4E">
        <w:rPr>
          <w:rFonts w:ascii="Arial" w:hAnsi="Arial" w:cs="Arial"/>
          <w:color w:val="000000"/>
          <w:sz w:val="22"/>
          <w:szCs w:val="22"/>
        </w:rPr>
        <w:t xml:space="preserve">under subsection 11AF(1) of the Banking Act, DETERMINE the prudential standard, </w:t>
      </w:r>
      <w:bookmarkStart w:id="4" w:name="_Hlk86315380"/>
      <w:r w:rsidRPr="005C1D4E">
        <w:rPr>
          <w:rFonts w:ascii="Arial" w:hAnsi="Arial" w:cs="Arial"/>
          <w:sz w:val="22"/>
          <w:szCs w:val="22"/>
        </w:rPr>
        <w:t>which applies to all ADIs and authorised banking NOHCs</w:t>
      </w:r>
      <w:bookmarkEnd w:id="4"/>
      <w:r w:rsidRPr="005C1D4E">
        <w:rPr>
          <w:rFonts w:ascii="Arial" w:hAnsi="Arial" w:cs="Arial"/>
          <w:sz w:val="22"/>
          <w:szCs w:val="22"/>
        </w:rPr>
        <w:t>;</w:t>
      </w:r>
    </w:p>
    <w:p w14:paraId="194834BB" w14:textId="729B32B7" w:rsidR="0028712F" w:rsidRPr="005C1D4E" w:rsidRDefault="0028712F" w:rsidP="001154D8">
      <w:pPr>
        <w:pStyle w:val="IntroTo"/>
        <w:numPr>
          <w:ilvl w:val="0"/>
          <w:numId w:val="45"/>
        </w:numPr>
        <w:spacing w:before="120" w:after="240"/>
        <w:jc w:val="both"/>
        <w:rPr>
          <w:rFonts w:ascii="Arial" w:hAnsi="Arial" w:cs="Arial"/>
          <w:color w:val="000000"/>
          <w:sz w:val="22"/>
          <w:szCs w:val="22"/>
        </w:rPr>
      </w:pPr>
      <w:r w:rsidRPr="005C1D4E">
        <w:rPr>
          <w:rFonts w:ascii="Arial" w:hAnsi="Arial" w:cs="Arial"/>
          <w:color w:val="000000"/>
          <w:sz w:val="22"/>
          <w:szCs w:val="22"/>
        </w:rPr>
        <w:t>under subsection 32(1) of the Insurance Act,</w:t>
      </w:r>
      <w:r w:rsidRPr="005C1D4E">
        <w:rPr>
          <w:rFonts w:ascii="Arial" w:hAnsi="Arial" w:cs="Arial"/>
          <w:i/>
          <w:color w:val="000000"/>
          <w:sz w:val="22"/>
          <w:szCs w:val="22"/>
        </w:rPr>
        <w:t xml:space="preserve"> </w:t>
      </w:r>
      <w:r w:rsidRPr="005C1D4E">
        <w:rPr>
          <w:rFonts w:ascii="Arial" w:hAnsi="Arial" w:cs="Arial"/>
          <w:color w:val="000000"/>
          <w:sz w:val="22"/>
          <w:szCs w:val="22"/>
        </w:rPr>
        <w:t>DETERMINE the prudential standard,</w:t>
      </w:r>
      <w:r w:rsidRPr="005C1D4E">
        <w:rPr>
          <w:rFonts w:ascii="Arial" w:hAnsi="Arial" w:cs="Arial"/>
          <w:i/>
          <w:color w:val="000000"/>
          <w:sz w:val="22"/>
          <w:szCs w:val="22"/>
        </w:rPr>
        <w:t xml:space="preserve"> </w:t>
      </w:r>
      <w:r w:rsidRPr="005C1D4E">
        <w:rPr>
          <w:rFonts w:ascii="Arial" w:hAnsi="Arial" w:cs="Arial"/>
          <w:color w:val="000000"/>
          <w:sz w:val="22"/>
          <w:szCs w:val="22"/>
        </w:rPr>
        <w:t xml:space="preserve">which applies to all general insurers and authorised </w:t>
      </w:r>
      <w:r>
        <w:rPr>
          <w:rFonts w:ascii="Arial" w:hAnsi="Arial" w:cs="Arial"/>
          <w:color w:val="000000"/>
          <w:sz w:val="22"/>
          <w:szCs w:val="22"/>
        </w:rPr>
        <w:t xml:space="preserve">insurance </w:t>
      </w:r>
      <w:r w:rsidRPr="005C1D4E">
        <w:rPr>
          <w:rFonts w:ascii="Arial" w:hAnsi="Arial" w:cs="Arial"/>
          <w:color w:val="000000"/>
          <w:sz w:val="22"/>
          <w:szCs w:val="22"/>
        </w:rPr>
        <w:t>NOHCs</w:t>
      </w:r>
      <w:r w:rsidR="00695EB1">
        <w:rPr>
          <w:rFonts w:ascii="Arial" w:hAnsi="Arial" w:cs="Arial"/>
          <w:color w:val="000000"/>
          <w:sz w:val="22"/>
          <w:szCs w:val="22"/>
        </w:rPr>
        <w:t xml:space="preserve">, </w:t>
      </w:r>
      <w:r w:rsidR="00D20BD6">
        <w:rPr>
          <w:rFonts w:ascii="Arial" w:hAnsi="Arial" w:cs="Arial"/>
          <w:color w:val="000000"/>
          <w:sz w:val="22"/>
          <w:szCs w:val="22"/>
        </w:rPr>
        <w:t xml:space="preserve">and </w:t>
      </w:r>
      <w:r w:rsidR="00152FF9">
        <w:rPr>
          <w:rFonts w:ascii="Arial" w:hAnsi="Arial" w:cs="Arial"/>
          <w:color w:val="000000"/>
          <w:sz w:val="22"/>
          <w:szCs w:val="22"/>
        </w:rPr>
        <w:t>s</w:t>
      </w:r>
      <w:r w:rsidR="00695EB1" w:rsidRPr="00FA098D">
        <w:rPr>
          <w:rFonts w:ascii="Arial" w:hAnsi="Arial" w:cs="Arial"/>
          <w:sz w:val="22"/>
          <w:szCs w:val="22"/>
        </w:rPr>
        <w:t>ubsidiar</w:t>
      </w:r>
      <w:r w:rsidR="00152FF9">
        <w:rPr>
          <w:rFonts w:ascii="Arial" w:hAnsi="Arial" w:cs="Arial"/>
          <w:sz w:val="22"/>
          <w:szCs w:val="22"/>
        </w:rPr>
        <w:t>ies</w:t>
      </w:r>
      <w:r w:rsidR="00695EB1" w:rsidRPr="00FA098D">
        <w:rPr>
          <w:rFonts w:ascii="Arial" w:hAnsi="Arial" w:cs="Arial"/>
          <w:sz w:val="22"/>
          <w:szCs w:val="22"/>
        </w:rPr>
        <w:t xml:space="preserve"> of general insurer</w:t>
      </w:r>
      <w:r w:rsidR="00152FF9">
        <w:rPr>
          <w:rFonts w:ascii="Arial" w:hAnsi="Arial" w:cs="Arial"/>
          <w:sz w:val="22"/>
          <w:szCs w:val="22"/>
        </w:rPr>
        <w:t>s</w:t>
      </w:r>
      <w:r w:rsidR="00695EB1" w:rsidRPr="00FA098D">
        <w:rPr>
          <w:rFonts w:ascii="Arial" w:hAnsi="Arial" w:cs="Arial"/>
          <w:sz w:val="22"/>
          <w:szCs w:val="22"/>
        </w:rPr>
        <w:t xml:space="preserve"> or authorised</w:t>
      </w:r>
      <w:r w:rsidR="0009090F">
        <w:rPr>
          <w:rFonts w:ascii="Arial" w:hAnsi="Arial" w:cs="Arial"/>
          <w:sz w:val="22"/>
          <w:szCs w:val="22"/>
        </w:rPr>
        <w:t xml:space="preserve"> insurance</w:t>
      </w:r>
      <w:r w:rsidR="00695EB1" w:rsidRPr="00FA098D">
        <w:rPr>
          <w:rFonts w:ascii="Arial" w:hAnsi="Arial" w:cs="Arial"/>
          <w:sz w:val="22"/>
          <w:szCs w:val="22"/>
        </w:rPr>
        <w:t xml:space="preserve"> NOHC</w:t>
      </w:r>
      <w:r w:rsidR="00152FF9">
        <w:rPr>
          <w:rFonts w:ascii="Arial" w:hAnsi="Arial" w:cs="Arial"/>
          <w:sz w:val="22"/>
          <w:szCs w:val="22"/>
        </w:rPr>
        <w:t>s</w:t>
      </w:r>
      <w:r w:rsidR="00695EB1" w:rsidRPr="00FA098D">
        <w:rPr>
          <w:rFonts w:ascii="Arial" w:hAnsi="Arial" w:cs="Arial"/>
          <w:sz w:val="22"/>
          <w:szCs w:val="22"/>
        </w:rPr>
        <w:t xml:space="preserve"> where th</w:t>
      </w:r>
      <w:r w:rsidR="00152FF9">
        <w:rPr>
          <w:rFonts w:ascii="Arial" w:hAnsi="Arial" w:cs="Arial"/>
          <w:sz w:val="22"/>
          <w:szCs w:val="22"/>
        </w:rPr>
        <w:t>ose</w:t>
      </w:r>
      <w:r w:rsidR="00695EB1" w:rsidRPr="00FA098D">
        <w:rPr>
          <w:rFonts w:ascii="Arial" w:hAnsi="Arial" w:cs="Arial"/>
          <w:sz w:val="22"/>
          <w:szCs w:val="22"/>
        </w:rPr>
        <w:t xml:space="preserve"> subsidiar</w:t>
      </w:r>
      <w:r w:rsidR="00152FF9">
        <w:rPr>
          <w:rFonts w:ascii="Arial" w:hAnsi="Arial" w:cs="Arial"/>
          <w:sz w:val="22"/>
          <w:szCs w:val="22"/>
        </w:rPr>
        <w:t>ies</w:t>
      </w:r>
      <w:r w:rsidR="00695EB1" w:rsidRPr="00FA098D">
        <w:rPr>
          <w:rFonts w:ascii="Arial" w:hAnsi="Arial" w:cs="Arial"/>
          <w:sz w:val="22"/>
          <w:szCs w:val="22"/>
        </w:rPr>
        <w:t xml:space="preserve"> </w:t>
      </w:r>
      <w:r w:rsidR="00152FF9">
        <w:rPr>
          <w:rFonts w:ascii="Arial" w:hAnsi="Arial" w:cs="Arial"/>
          <w:sz w:val="22"/>
          <w:szCs w:val="22"/>
        </w:rPr>
        <w:t>are</w:t>
      </w:r>
      <w:r w:rsidR="00695EB1" w:rsidRPr="00FA098D">
        <w:rPr>
          <w:rFonts w:ascii="Arial" w:hAnsi="Arial" w:cs="Arial"/>
          <w:sz w:val="22"/>
          <w:szCs w:val="22"/>
        </w:rPr>
        <w:t xml:space="preserve"> parent entit</w:t>
      </w:r>
      <w:r w:rsidR="00152FF9">
        <w:rPr>
          <w:rFonts w:ascii="Arial" w:hAnsi="Arial" w:cs="Arial"/>
          <w:sz w:val="22"/>
          <w:szCs w:val="22"/>
        </w:rPr>
        <w:t>ies</w:t>
      </w:r>
      <w:r w:rsidR="00695EB1" w:rsidRPr="00FA098D">
        <w:rPr>
          <w:rFonts w:ascii="Arial" w:hAnsi="Arial" w:cs="Arial"/>
          <w:sz w:val="22"/>
          <w:szCs w:val="22"/>
        </w:rPr>
        <w:t xml:space="preserve"> of Level 2 insurance group</w:t>
      </w:r>
      <w:r w:rsidR="00152FF9">
        <w:rPr>
          <w:rFonts w:ascii="Arial" w:hAnsi="Arial" w:cs="Arial"/>
          <w:sz w:val="22"/>
          <w:szCs w:val="22"/>
        </w:rPr>
        <w:t>s</w:t>
      </w:r>
      <w:r w:rsidRPr="005C1D4E">
        <w:rPr>
          <w:rFonts w:ascii="Arial" w:hAnsi="Arial" w:cs="Arial"/>
          <w:color w:val="000000"/>
          <w:sz w:val="22"/>
          <w:szCs w:val="22"/>
        </w:rPr>
        <w:t>;</w:t>
      </w:r>
      <w:r w:rsidR="00A15E8F">
        <w:rPr>
          <w:rFonts w:ascii="Arial" w:hAnsi="Arial" w:cs="Arial"/>
          <w:color w:val="000000"/>
          <w:sz w:val="22"/>
          <w:szCs w:val="22"/>
        </w:rPr>
        <w:t xml:space="preserve"> </w:t>
      </w:r>
    </w:p>
    <w:p w14:paraId="021BA67B" w14:textId="15E16EF0" w:rsidR="0028712F" w:rsidRPr="005C1D4E" w:rsidRDefault="0028712F" w:rsidP="001154D8">
      <w:pPr>
        <w:pStyle w:val="IntroTo"/>
        <w:numPr>
          <w:ilvl w:val="0"/>
          <w:numId w:val="45"/>
        </w:numPr>
        <w:spacing w:before="120" w:after="240"/>
        <w:jc w:val="both"/>
        <w:rPr>
          <w:rFonts w:ascii="Arial" w:hAnsi="Arial" w:cs="Arial"/>
          <w:color w:val="000000"/>
          <w:sz w:val="22"/>
          <w:szCs w:val="22"/>
        </w:rPr>
      </w:pPr>
      <w:r w:rsidRPr="005C1D4E">
        <w:rPr>
          <w:rFonts w:ascii="Arial" w:hAnsi="Arial" w:cs="Arial"/>
          <w:color w:val="000000"/>
          <w:sz w:val="22"/>
          <w:szCs w:val="22"/>
        </w:rPr>
        <w:t>under subsection 230A(1) of the Life Insurance Act,</w:t>
      </w:r>
      <w:r w:rsidRPr="005C1D4E">
        <w:rPr>
          <w:rFonts w:ascii="Arial" w:hAnsi="Arial" w:cs="Arial"/>
          <w:i/>
          <w:color w:val="000000"/>
          <w:sz w:val="22"/>
          <w:szCs w:val="22"/>
        </w:rPr>
        <w:t xml:space="preserve"> </w:t>
      </w:r>
      <w:r w:rsidRPr="005C1D4E">
        <w:rPr>
          <w:rFonts w:ascii="Arial" w:hAnsi="Arial" w:cs="Arial"/>
          <w:color w:val="000000"/>
          <w:sz w:val="22"/>
          <w:szCs w:val="22"/>
        </w:rPr>
        <w:t>DETERMINE the prudential standard,</w:t>
      </w:r>
      <w:r w:rsidRPr="005C1D4E">
        <w:rPr>
          <w:rFonts w:ascii="Arial" w:hAnsi="Arial" w:cs="Arial"/>
          <w:i/>
          <w:color w:val="000000"/>
          <w:sz w:val="22"/>
          <w:szCs w:val="22"/>
        </w:rPr>
        <w:t xml:space="preserve"> </w:t>
      </w:r>
      <w:r w:rsidRPr="005C1D4E">
        <w:rPr>
          <w:rFonts w:ascii="Arial" w:hAnsi="Arial" w:cs="Arial"/>
          <w:color w:val="000000"/>
          <w:sz w:val="22"/>
          <w:szCs w:val="22"/>
        </w:rPr>
        <w:t>which applies to all life companies, including friendly societies, and registered NOHCs; and</w:t>
      </w:r>
      <w:r w:rsidR="00A15E8F">
        <w:rPr>
          <w:rFonts w:ascii="Arial" w:hAnsi="Arial" w:cs="Arial"/>
          <w:color w:val="000000"/>
          <w:sz w:val="22"/>
          <w:szCs w:val="22"/>
        </w:rPr>
        <w:t xml:space="preserve"> </w:t>
      </w:r>
    </w:p>
    <w:p w14:paraId="79CE672A" w14:textId="3CF05A1A" w:rsidR="0028712F" w:rsidRPr="005C1D4E" w:rsidRDefault="0028712F" w:rsidP="001154D8">
      <w:pPr>
        <w:pStyle w:val="IntroTo"/>
        <w:numPr>
          <w:ilvl w:val="0"/>
          <w:numId w:val="45"/>
        </w:numPr>
        <w:spacing w:before="120" w:after="240"/>
        <w:jc w:val="both"/>
        <w:rPr>
          <w:rFonts w:ascii="Arial" w:hAnsi="Arial" w:cs="Arial"/>
          <w:color w:val="000000"/>
          <w:sz w:val="22"/>
          <w:szCs w:val="22"/>
        </w:rPr>
      </w:pPr>
      <w:r w:rsidRPr="005C1D4E">
        <w:rPr>
          <w:rFonts w:ascii="Arial" w:hAnsi="Arial" w:cs="Arial"/>
          <w:color w:val="000000"/>
          <w:sz w:val="22"/>
          <w:szCs w:val="22"/>
        </w:rPr>
        <w:t xml:space="preserve">under </w:t>
      </w:r>
      <w:r w:rsidR="004B1ABB" w:rsidRPr="004B1ABB">
        <w:rPr>
          <w:rFonts w:ascii="Arial" w:hAnsi="Arial" w:cs="Arial"/>
          <w:color w:val="000000"/>
          <w:sz w:val="22"/>
          <w:szCs w:val="22"/>
        </w:rPr>
        <w:t xml:space="preserve">subsection 92(1) of the </w:t>
      </w:r>
      <w:r w:rsidR="00D96668">
        <w:rPr>
          <w:rFonts w:ascii="Arial" w:hAnsi="Arial" w:cs="Arial"/>
          <w:color w:val="000000"/>
          <w:sz w:val="22"/>
          <w:szCs w:val="22"/>
        </w:rPr>
        <w:t>PHIPS</w:t>
      </w:r>
      <w:r w:rsidR="004B1ABB" w:rsidRPr="004B1ABB">
        <w:rPr>
          <w:rFonts w:ascii="Arial" w:hAnsi="Arial" w:cs="Arial"/>
          <w:color w:val="000000"/>
          <w:sz w:val="22"/>
          <w:szCs w:val="22"/>
        </w:rPr>
        <w:t xml:space="preserve"> Act</w:t>
      </w:r>
      <w:r w:rsidRPr="005C1D4E">
        <w:rPr>
          <w:rFonts w:ascii="Arial" w:hAnsi="Arial" w:cs="Arial"/>
          <w:color w:val="000000"/>
          <w:sz w:val="22"/>
          <w:szCs w:val="22"/>
        </w:rPr>
        <w:t>,</w:t>
      </w:r>
      <w:r w:rsidRPr="005C1D4E">
        <w:rPr>
          <w:rFonts w:ascii="Arial" w:hAnsi="Arial" w:cs="Arial"/>
          <w:i/>
          <w:color w:val="000000"/>
          <w:sz w:val="22"/>
          <w:szCs w:val="22"/>
        </w:rPr>
        <w:t xml:space="preserve"> </w:t>
      </w:r>
      <w:r w:rsidRPr="005C1D4E">
        <w:rPr>
          <w:rFonts w:ascii="Arial" w:hAnsi="Arial" w:cs="Arial"/>
          <w:color w:val="000000"/>
          <w:sz w:val="22"/>
          <w:szCs w:val="22"/>
        </w:rPr>
        <w:t>DETERMINE the prudential standard,</w:t>
      </w:r>
      <w:r w:rsidRPr="005C1D4E">
        <w:rPr>
          <w:rFonts w:ascii="Arial" w:hAnsi="Arial" w:cs="Arial"/>
          <w:i/>
          <w:color w:val="000000"/>
          <w:sz w:val="22"/>
          <w:szCs w:val="22"/>
        </w:rPr>
        <w:t xml:space="preserve"> </w:t>
      </w:r>
      <w:r w:rsidRPr="005C1D4E">
        <w:rPr>
          <w:rFonts w:ascii="Arial" w:hAnsi="Arial" w:cs="Arial"/>
          <w:color w:val="000000"/>
          <w:sz w:val="22"/>
          <w:szCs w:val="22"/>
        </w:rPr>
        <w:t xml:space="preserve">which applies to all </w:t>
      </w:r>
      <w:r w:rsidR="004B1ABB">
        <w:rPr>
          <w:rFonts w:ascii="Arial" w:hAnsi="Arial" w:cs="Arial"/>
          <w:color w:val="000000"/>
          <w:sz w:val="22"/>
          <w:szCs w:val="22"/>
        </w:rPr>
        <w:t>private health insurers</w:t>
      </w:r>
      <w:r w:rsidRPr="005C1D4E">
        <w:rPr>
          <w:rFonts w:ascii="Arial" w:hAnsi="Arial" w:cs="Arial"/>
          <w:color w:val="000000"/>
          <w:sz w:val="22"/>
          <w:szCs w:val="22"/>
        </w:rPr>
        <w:t>.</w:t>
      </w:r>
    </w:p>
    <w:p w14:paraId="7E58B616" w14:textId="77777777" w:rsidR="0028712F" w:rsidRDefault="0028712F" w:rsidP="0028712F">
      <w:pPr>
        <w:spacing w:after="0"/>
        <w:rPr>
          <w:rFonts w:ascii="Arial" w:hAnsi="Arial" w:cs="Arial"/>
          <w:sz w:val="22"/>
          <w:szCs w:val="22"/>
        </w:rPr>
      </w:pPr>
    </w:p>
    <w:p w14:paraId="2C4E5644" w14:textId="6696EE18" w:rsidR="0028712F" w:rsidRDefault="0028712F" w:rsidP="0028712F">
      <w:pPr>
        <w:spacing w:after="0"/>
        <w:rPr>
          <w:rFonts w:ascii="Arial" w:hAnsi="Arial" w:cs="Arial"/>
          <w:sz w:val="22"/>
          <w:szCs w:val="22"/>
        </w:rPr>
      </w:pPr>
      <w:r w:rsidRPr="005C1D4E">
        <w:rPr>
          <w:rFonts w:ascii="Arial" w:hAnsi="Arial" w:cs="Arial"/>
          <w:sz w:val="22"/>
          <w:szCs w:val="22"/>
        </w:rPr>
        <w:t xml:space="preserve">This instrument commences on </w:t>
      </w:r>
      <w:r w:rsidR="00757016">
        <w:rPr>
          <w:rFonts w:ascii="Arial" w:hAnsi="Arial" w:cs="Arial"/>
          <w:sz w:val="22"/>
          <w:szCs w:val="22"/>
        </w:rPr>
        <w:t>1 January 202</w:t>
      </w:r>
      <w:r w:rsidR="00DD1D02">
        <w:rPr>
          <w:rFonts w:ascii="Arial" w:hAnsi="Arial" w:cs="Arial"/>
          <w:sz w:val="22"/>
          <w:szCs w:val="22"/>
        </w:rPr>
        <w:t>4</w:t>
      </w:r>
      <w:r>
        <w:rPr>
          <w:rFonts w:ascii="Arial" w:hAnsi="Arial" w:cs="Arial"/>
          <w:sz w:val="22"/>
          <w:szCs w:val="22"/>
        </w:rPr>
        <w:t>.</w:t>
      </w:r>
      <w:r w:rsidRPr="005C1D4E">
        <w:rPr>
          <w:rFonts w:ascii="Arial" w:hAnsi="Arial" w:cs="Arial"/>
          <w:sz w:val="22"/>
          <w:szCs w:val="22"/>
        </w:rPr>
        <w:t xml:space="preserve"> </w:t>
      </w:r>
    </w:p>
    <w:p w14:paraId="54503450" w14:textId="77777777" w:rsidR="0028712F" w:rsidRPr="005C1D4E" w:rsidRDefault="0028712F" w:rsidP="0028712F">
      <w:pPr>
        <w:spacing w:after="0"/>
        <w:rPr>
          <w:rFonts w:ascii="Arial" w:hAnsi="Arial" w:cs="Arial"/>
          <w:sz w:val="22"/>
          <w:szCs w:val="22"/>
        </w:rPr>
      </w:pPr>
    </w:p>
    <w:p w14:paraId="1F17C490" w14:textId="77777777" w:rsidR="000316B6" w:rsidRDefault="000316B6" w:rsidP="0028712F">
      <w:pPr>
        <w:spacing w:after="0"/>
        <w:rPr>
          <w:rFonts w:ascii="Arial" w:hAnsi="Arial" w:cs="Arial"/>
          <w:sz w:val="22"/>
          <w:szCs w:val="22"/>
        </w:rPr>
      </w:pPr>
    </w:p>
    <w:p w14:paraId="7EF045F1" w14:textId="77777777" w:rsidR="000316B6" w:rsidRDefault="000316B6" w:rsidP="0028712F">
      <w:pPr>
        <w:spacing w:after="0"/>
        <w:rPr>
          <w:rFonts w:ascii="Arial" w:hAnsi="Arial" w:cs="Arial"/>
          <w:sz w:val="22"/>
          <w:szCs w:val="22"/>
        </w:rPr>
      </w:pPr>
    </w:p>
    <w:p w14:paraId="543829CB" w14:textId="77777777" w:rsidR="000316B6" w:rsidRDefault="000316B6" w:rsidP="0028712F">
      <w:pPr>
        <w:spacing w:after="0"/>
        <w:rPr>
          <w:rFonts w:ascii="Arial" w:hAnsi="Arial" w:cs="Arial"/>
          <w:sz w:val="22"/>
          <w:szCs w:val="22"/>
        </w:rPr>
      </w:pPr>
    </w:p>
    <w:p w14:paraId="2D3CF7FA" w14:textId="77777777" w:rsidR="000316B6" w:rsidRDefault="000316B6" w:rsidP="0028712F">
      <w:pPr>
        <w:spacing w:after="0"/>
        <w:rPr>
          <w:rFonts w:ascii="Arial" w:hAnsi="Arial" w:cs="Arial"/>
          <w:sz w:val="22"/>
          <w:szCs w:val="22"/>
        </w:rPr>
      </w:pPr>
    </w:p>
    <w:p w14:paraId="23F3B117" w14:textId="71C0E7E6" w:rsidR="0028712F" w:rsidRPr="005C1D4E" w:rsidRDefault="0028712F" w:rsidP="0028712F">
      <w:pPr>
        <w:spacing w:after="0"/>
        <w:rPr>
          <w:rFonts w:ascii="Arial" w:hAnsi="Arial" w:cs="Arial"/>
          <w:sz w:val="22"/>
          <w:szCs w:val="22"/>
        </w:rPr>
      </w:pPr>
      <w:r w:rsidRPr="005C1D4E">
        <w:rPr>
          <w:rFonts w:ascii="Arial" w:hAnsi="Arial" w:cs="Arial"/>
          <w:sz w:val="22"/>
          <w:szCs w:val="22"/>
        </w:rPr>
        <w:t xml:space="preserve">Dated: </w:t>
      </w:r>
      <w:r w:rsidR="00A92439">
        <w:rPr>
          <w:rFonts w:ascii="Arial" w:hAnsi="Arial" w:cs="Arial"/>
          <w:sz w:val="22"/>
          <w:szCs w:val="22"/>
        </w:rPr>
        <w:t xml:space="preserve">  </w:t>
      </w:r>
      <w:r w:rsidR="14D72EFE" w:rsidRPr="2FF37680">
        <w:rPr>
          <w:rFonts w:ascii="Arial" w:hAnsi="Arial" w:cs="Arial"/>
          <w:sz w:val="22"/>
          <w:szCs w:val="22"/>
        </w:rPr>
        <w:t>20</w:t>
      </w:r>
      <w:r w:rsidR="00A92439">
        <w:rPr>
          <w:rFonts w:ascii="Arial" w:hAnsi="Arial" w:cs="Arial"/>
          <w:sz w:val="22"/>
          <w:szCs w:val="22"/>
        </w:rPr>
        <w:t xml:space="preserve"> November </w:t>
      </w:r>
      <w:r w:rsidR="008C4CB5">
        <w:rPr>
          <w:rFonts w:ascii="Arial" w:hAnsi="Arial" w:cs="Arial"/>
          <w:sz w:val="22"/>
          <w:szCs w:val="22"/>
        </w:rPr>
        <w:t>202</w:t>
      </w:r>
      <w:r w:rsidR="00DD1D02">
        <w:rPr>
          <w:rFonts w:ascii="Arial" w:hAnsi="Arial" w:cs="Arial"/>
          <w:sz w:val="22"/>
          <w:szCs w:val="22"/>
        </w:rPr>
        <w:t>3</w:t>
      </w:r>
    </w:p>
    <w:p w14:paraId="5466256C" w14:textId="4D68707B" w:rsidR="00201B19" w:rsidRDefault="00201B19" w:rsidP="0028712F">
      <w:pPr>
        <w:spacing w:after="0"/>
        <w:rPr>
          <w:noProof/>
        </w:rPr>
      </w:pPr>
    </w:p>
    <w:p w14:paraId="0B9341B8" w14:textId="77777777" w:rsidR="00992C08" w:rsidRDefault="00992C08" w:rsidP="0028712F">
      <w:pPr>
        <w:spacing w:after="0"/>
        <w:rPr>
          <w:noProof/>
        </w:rPr>
      </w:pPr>
    </w:p>
    <w:p w14:paraId="0378A57F" w14:textId="77777777" w:rsidR="00992C08" w:rsidRDefault="00992C08" w:rsidP="0028712F">
      <w:pPr>
        <w:spacing w:after="0"/>
        <w:rPr>
          <w:noProof/>
        </w:rPr>
      </w:pPr>
    </w:p>
    <w:p w14:paraId="11795A67" w14:textId="77777777" w:rsidR="00992C08" w:rsidRDefault="00992C08" w:rsidP="0028712F">
      <w:pPr>
        <w:spacing w:after="0"/>
      </w:pPr>
    </w:p>
    <w:p w14:paraId="35837F1A" w14:textId="06FD7A63" w:rsidR="00126D9A" w:rsidRDefault="00DD1D02" w:rsidP="0028712F">
      <w:pPr>
        <w:spacing w:after="0"/>
        <w:rPr>
          <w:rFonts w:ascii="Arial" w:hAnsi="Arial" w:cs="Arial"/>
          <w:sz w:val="22"/>
          <w:szCs w:val="22"/>
        </w:rPr>
      </w:pPr>
      <w:r>
        <w:rPr>
          <w:rFonts w:ascii="Arial" w:hAnsi="Arial" w:cs="Arial"/>
          <w:sz w:val="22"/>
          <w:szCs w:val="22"/>
        </w:rPr>
        <w:t>Clare Gibney</w:t>
      </w:r>
    </w:p>
    <w:p w14:paraId="1E94A0F4" w14:textId="784977BD" w:rsidR="0028712F" w:rsidRPr="005C1D4E" w:rsidRDefault="00126D9A" w:rsidP="0028712F">
      <w:pPr>
        <w:spacing w:after="0"/>
        <w:rPr>
          <w:rFonts w:ascii="Arial" w:hAnsi="Arial" w:cs="Arial"/>
          <w:sz w:val="22"/>
          <w:szCs w:val="22"/>
        </w:rPr>
      </w:pPr>
      <w:r>
        <w:rPr>
          <w:rFonts w:ascii="Arial" w:hAnsi="Arial" w:cs="Arial"/>
          <w:sz w:val="22"/>
          <w:szCs w:val="22"/>
        </w:rPr>
        <w:t>Executive Director</w:t>
      </w:r>
    </w:p>
    <w:p w14:paraId="46EF641E" w14:textId="25EFB6ED" w:rsidR="0028712F" w:rsidRPr="005C1D4E" w:rsidRDefault="00126D9A" w:rsidP="0028712F">
      <w:pPr>
        <w:spacing w:after="0"/>
        <w:rPr>
          <w:rFonts w:ascii="Arial" w:hAnsi="Arial" w:cs="Arial"/>
          <w:sz w:val="22"/>
          <w:szCs w:val="22"/>
        </w:rPr>
      </w:pPr>
      <w:r>
        <w:rPr>
          <w:rFonts w:ascii="Arial" w:hAnsi="Arial" w:cs="Arial"/>
          <w:sz w:val="22"/>
          <w:szCs w:val="22"/>
        </w:rPr>
        <w:t>Policy and Advice Division</w:t>
      </w:r>
    </w:p>
    <w:p w14:paraId="68E0A491" w14:textId="77777777" w:rsidR="0028712F" w:rsidRPr="005C1D4E" w:rsidRDefault="0028712F" w:rsidP="0028712F">
      <w:pPr>
        <w:pStyle w:val="IH"/>
        <w:ind w:left="0" w:firstLine="0"/>
        <w:rPr>
          <w:rFonts w:asciiTheme="majorHAnsi" w:hAnsiTheme="majorHAnsi" w:cstheme="majorHAnsi"/>
          <w:color w:val="000000"/>
          <w:sz w:val="22"/>
          <w:szCs w:val="22"/>
        </w:rPr>
      </w:pPr>
      <w:r w:rsidRPr="005C1D4E">
        <w:rPr>
          <w:rFonts w:asciiTheme="majorHAnsi" w:hAnsiTheme="majorHAnsi" w:cstheme="majorHAnsi"/>
          <w:color w:val="000000"/>
          <w:sz w:val="22"/>
          <w:szCs w:val="22"/>
        </w:rPr>
        <w:t>Interpretation</w:t>
      </w:r>
    </w:p>
    <w:p w14:paraId="0D164E6F" w14:textId="77777777" w:rsidR="0028712F" w:rsidRPr="005C1D4E" w:rsidRDefault="0028712F" w:rsidP="0028712F">
      <w:pPr>
        <w:pStyle w:val="IP"/>
        <w:rPr>
          <w:rFonts w:asciiTheme="majorHAnsi" w:hAnsiTheme="majorHAnsi" w:cstheme="majorHAnsi"/>
          <w:color w:val="000000"/>
          <w:sz w:val="22"/>
          <w:szCs w:val="22"/>
        </w:rPr>
      </w:pPr>
      <w:r w:rsidRPr="005C1D4E">
        <w:rPr>
          <w:rFonts w:asciiTheme="majorHAnsi" w:hAnsiTheme="majorHAnsi" w:cstheme="majorHAnsi"/>
          <w:color w:val="000000"/>
          <w:sz w:val="22"/>
          <w:szCs w:val="22"/>
        </w:rPr>
        <w:t>In this Determination:</w:t>
      </w:r>
    </w:p>
    <w:p w14:paraId="2BCBA030" w14:textId="77777777" w:rsidR="0028712F" w:rsidRPr="005C1D4E" w:rsidRDefault="0028712F" w:rsidP="0028712F">
      <w:pPr>
        <w:pStyle w:val="IntroTo"/>
        <w:spacing w:before="120"/>
        <w:ind w:left="0" w:firstLine="0"/>
        <w:jc w:val="both"/>
        <w:rPr>
          <w:rFonts w:asciiTheme="majorHAnsi" w:hAnsiTheme="majorHAnsi" w:cstheme="majorHAnsi"/>
          <w:color w:val="000000"/>
          <w:sz w:val="22"/>
          <w:szCs w:val="22"/>
        </w:rPr>
      </w:pPr>
      <w:r w:rsidRPr="005C1D4E">
        <w:rPr>
          <w:rFonts w:asciiTheme="majorHAnsi" w:hAnsiTheme="majorHAnsi" w:cstheme="majorHAnsi"/>
          <w:b/>
          <w:i/>
          <w:color w:val="000000"/>
          <w:sz w:val="22"/>
          <w:szCs w:val="22"/>
        </w:rPr>
        <w:t>APRA</w:t>
      </w:r>
      <w:r w:rsidRPr="005C1D4E">
        <w:rPr>
          <w:rFonts w:asciiTheme="majorHAnsi" w:hAnsiTheme="majorHAnsi" w:cstheme="majorHAnsi"/>
          <w:color w:val="000000"/>
          <w:sz w:val="22"/>
          <w:szCs w:val="22"/>
        </w:rPr>
        <w:t xml:space="preserve"> means the Australian Prudential Regulation Authority.</w:t>
      </w:r>
    </w:p>
    <w:p w14:paraId="3DCD1D31" w14:textId="77777777" w:rsidR="0028712F" w:rsidRPr="005C1D4E" w:rsidRDefault="0028712F" w:rsidP="0028712F">
      <w:pPr>
        <w:pStyle w:val="IntroTo"/>
        <w:spacing w:before="120"/>
        <w:jc w:val="both"/>
        <w:rPr>
          <w:rFonts w:asciiTheme="majorHAnsi" w:hAnsiTheme="majorHAnsi" w:cstheme="majorHAnsi"/>
          <w:color w:val="000000"/>
          <w:sz w:val="22"/>
          <w:szCs w:val="22"/>
        </w:rPr>
      </w:pPr>
      <w:r w:rsidRPr="005C1D4E">
        <w:rPr>
          <w:rFonts w:asciiTheme="majorHAnsi" w:hAnsiTheme="majorHAnsi" w:cstheme="majorHAnsi"/>
          <w:b/>
          <w:bCs/>
          <w:i/>
          <w:iCs/>
          <w:color w:val="000000"/>
          <w:sz w:val="22"/>
          <w:szCs w:val="22"/>
        </w:rPr>
        <w:t xml:space="preserve">ADI </w:t>
      </w:r>
      <w:r w:rsidRPr="005C1D4E">
        <w:rPr>
          <w:rFonts w:asciiTheme="majorHAnsi" w:hAnsiTheme="majorHAnsi" w:cstheme="majorHAnsi"/>
          <w:color w:val="000000"/>
          <w:sz w:val="22"/>
          <w:szCs w:val="22"/>
        </w:rPr>
        <w:t xml:space="preserve">has the meaning </w:t>
      </w:r>
      <w:r>
        <w:rPr>
          <w:rFonts w:asciiTheme="majorHAnsi" w:hAnsiTheme="majorHAnsi" w:cstheme="majorHAnsi"/>
          <w:color w:val="000000"/>
          <w:sz w:val="22"/>
          <w:szCs w:val="22"/>
        </w:rPr>
        <w:t xml:space="preserve">given </w:t>
      </w:r>
      <w:r w:rsidRPr="005C1D4E">
        <w:rPr>
          <w:rFonts w:asciiTheme="majorHAnsi" w:hAnsiTheme="majorHAnsi" w:cstheme="majorHAnsi"/>
          <w:color w:val="000000"/>
          <w:sz w:val="22"/>
          <w:szCs w:val="22"/>
        </w:rPr>
        <w:t xml:space="preserve">in section 5 of the </w:t>
      </w:r>
      <w:r w:rsidRPr="005C1D4E">
        <w:rPr>
          <w:rFonts w:asciiTheme="majorHAnsi" w:hAnsiTheme="majorHAnsi" w:cstheme="majorHAnsi"/>
          <w:i/>
          <w:color w:val="000000"/>
          <w:sz w:val="22"/>
          <w:szCs w:val="22"/>
        </w:rPr>
        <w:t>Banking Act 1959</w:t>
      </w:r>
      <w:r w:rsidRPr="005C1D4E">
        <w:rPr>
          <w:rFonts w:asciiTheme="majorHAnsi" w:hAnsiTheme="majorHAnsi" w:cstheme="majorHAnsi"/>
          <w:color w:val="000000"/>
          <w:sz w:val="22"/>
          <w:szCs w:val="22"/>
        </w:rPr>
        <w:t>.</w:t>
      </w:r>
    </w:p>
    <w:p w14:paraId="00E5ACC8" w14:textId="77777777" w:rsidR="0028712F" w:rsidRPr="005C1D4E" w:rsidRDefault="0028712F" w:rsidP="0028712F">
      <w:pPr>
        <w:pStyle w:val="IntroTo"/>
        <w:spacing w:before="120"/>
        <w:ind w:left="0" w:firstLine="0"/>
        <w:jc w:val="both"/>
        <w:rPr>
          <w:rFonts w:asciiTheme="majorHAnsi" w:hAnsiTheme="majorHAnsi" w:cstheme="majorHAnsi"/>
          <w:color w:val="000000"/>
          <w:sz w:val="22"/>
          <w:szCs w:val="22"/>
        </w:rPr>
      </w:pPr>
      <w:r w:rsidRPr="005C1D4E">
        <w:rPr>
          <w:rFonts w:asciiTheme="majorHAnsi" w:hAnsiTheme="majorHAnsi" w:cstheme="majorHAnsi"/>
          <w:b/>
          <w:bCs/>
          <w:i/>
          <w:iCs/>
          <w:color w:val="000000"/>
          <w:sz w:val="22"/>
          <w:szCs w:val="22"/>
        </w:rPr>
        <w:t>authorised banking NOHC</w:t>
      </w:r>
      <w:r w:rsidRPr="005C1D4E">
        <w:rPr>
          <w:rFonts w:asciiTheme="majorHAnsi" w:hAnsiTheme="majorHAnsi" w:cstheme="majorHAnsi"/>
          <w:color w:val="000000"/>
          <w:sz w:val="22"/>
          <w:szCs w:val="22"/>
        </w:rPr>
        <w:t xml:space="preserve"> has the meaning given to the expression </w:t>
      </w:r>
      <w:r w:rsidRPr="006A3108">
        <w:rPr>
          <w:rFonts w:asciiTheme="majorHAnsi" w:hAnsiTheme="majorHAnsi" w:cstheme="majorHAnsi"/>
          <w:i/>
          <w:color w:val="000000"/>
          <w:sz w:val="22"/>
          <w:szCs w:val="22"/>
        </w:rPr>
        <w:t>authorised NOHC</w:t>
      </w:r>
      <w:r w:rsidRPr="005C1D4E">
        <w:rPr>
          <w:rFonts w:asciiTheme="majorHAnsi" w:hAnsiTheme="majorHAnsi" w:cstheme="majorHAnsi"/>
          <w:color w:val="000000"/>
          <w:sz w:val="22"/>
          <w:szCs w:val="22"/>
        </w:rPr>
        <w:t xml:space="preserve"> in section 5 of the </w:t>
      </w:r>
      <w:r w:rsidRPr="005C1D4E">
        <w:rPr>
          <w:rFonts w:asciiTheme="majorHAnsi" w:hAnsiTheme="majorHAnsi" w:cstheme="majorHAnsi"/>
          <w:i/>
          <w:color w:val="000000"/>
          <w:sz w:val="22"/>
          <w:szCs w:val="22"/>
        </w:rPr>
        <w:t>Banking Act</w:t>
      </w:r>
      <w:r w:rsidRPr="005C1D4E">
        <w:rPr>
          <w:rFonts w:asciiTheme="majorHAnsi" w:hAnsiTheme="majorHAnsi" w:cstheme="majorHAnsi"/>
          <w:color w:val="000000"/>
          <w:sz w:val="22"/>
          <w:szCs w:val="22"/>
        </w:rPr>
        <w:t xml:space="preserve"> </w:t>
      </w:r>
      <w:r w:rsidRPr="005C1D4E">
        <w:rPr>
          <w:rFonts w:asciiTheme="majorHAnsi" w:hAnsiTheme="majorHAnsi" w:cstheme="majorHAnsi"/>
          <w:i/>
          <w:color w:val="000000"/>
          <w:sz w:val="22"/>
          <w:szCs w:val="22"/>
        </w:rPr>
        <w:t>1959</w:t>
      </w:r>
      <w:r w:rsidRPr="005C1D4E">
        <w:rPr>
          <w:rFonts w:asciiTheme="majorHAnsi" w:hAnsiTheme="majorHAnsi" w:cstheme="majorHAnsi"/>
          <w:color w:val="000000"/>
          <w:sz w:val="22"/>
          <w:szCs w:val="22"/>
        </w:rPr>
        <w:t>.</w:t>
      </w:r>
    </w:p>
    <w:p w14:paraId="06222F2E" w14:textId="77777777" w:rsidR="0028712F" w:rsidRPr="005C1D4E" w:rsidRDefault="0028712F" w:rsidP="0028712F">
      <w:pPr>
        <w:pStyle w:val="IntroTo"/>
        <w:spacing w:before="120"/>
        <w:ind w:left="0" w:firstLine="0"/>
        <w:jc w:val="both"/>
        <w:rPr>
          <w:rFonts w:asciiTheme="majorHAnsi" w:hAnsiTheme="majorHAnsi" w:cstheme="majorHAnsi"/>
          <w:color w:val="000000"/>
          <w:sz w:val="22"/>
          <w:szCs w:val="22"/>
        </w:rPr>
      </w:pPr>
      <w:r w:rsidRPr="005C1D4E">
        <w:rPr>
          <w:rFonts w:asciiTheme="majorHAnsi" w:hAnsiTheme="majorHAnsi" w:cstheme="majorHAnsi"/>
          <w:b/>
          <w:bCs/>
          <w:i/>
          <w:iCs/>
          <w:color w:val="000000"/>
          <w:sz w:val="22"/>
          <w:szCs w:val="22"/>
        </w:rPr>
        <w:t>authorised insurance NOHC</w:t>
      </w:r>
      <w:r w:rsidRPr="005C1D4E">
        <w:rPr>
          <w:rFonts w:asciiTheme="majorHAnsi" w:hAnsiTheme="majorHAnsi" w:cstheme="majorHAnsi"/>
          <w:b/>
          <w:bCs/>
          <w:color w:val="000000"/>
          <w:sz w:val="22"/>
          <w:szCs w:val="22"/>
        </w:rPr>
        <w:t xml:space="preserve"> </w:t>
      </w:r>
      <w:r w:rsidRPr="005C1D4E">
        <w:rPr>
          <w:rFonts w:asciiTheme="majorHAnsi" w:hAnsiTheme="majorHAnsi" w:cstheme="majorHAnsi"/>
          <w:color w:val="000000"/>
          <w:sz w:val="22"/>
          <w:szCs w:val="22"/>
        </w:rPr>
        <w:t xml:space="preserve">has the meaning given to the expression </w:t>
      </w:r>
      <w:r w:rsidRPr="006A3108">
        <w:rPr>
          <w:rFonts w:asciiTheme="majorHAnsi" w:hAnsiTheme="majorHAnsi" w:cstheme="majorHAnsi"/>
          <w:i/>
          <w:color w:val="000000"/>
          <w:sz w:val="22"/>
          <w:szCs w:val="22"/>
        </w:rPr>
        <w:t>authorised NOHC</w:t>
      </w:r>
      <w:r w:rsidRPr="005C1D4E">
        <w:rPr>
          <w:rFonts w:asciiTheme="majorHAnsi" w:hAnsiTheme="majorHAnsi" w:cstheme="majorHAnsi"/>
          <w:color w:val="000000"/>
          <w:sz w:val="22"/>
          <w:szCs w:val="22"/>
        </w:rPr>
        <w:t xml:space="preserve"> in subsection 3(1) of the </w:t>
      </w:r>
      <w:r w:rsidRPr="005C1D4E">
        <w:rPr>
          <w:rFonts w:asciiTheme="majorHAnsi" w:hAnsiTheme="majorHAnsi" w:cstheme="majorHAnsi"/>
          <w:i/>
          <w:color w:val="000000"/>
          <w:sz w:val="22"/>
          <w:szCs w:val="22"/>
        </w:rPr>
        <w:t>Insurance Act</w:t>
      </w:r>
      <w:r w:rsidRPr="005C1D4E">
        <w:rPr>
          <w:rFonts w:asciiTheme="majorHAnsi" w:hAnsiTheme="majorHAnsi" w:cstheme="majorHAnsi"/>
          <w:color w:val="000000"/>
          <w:sz w:val="22"/>
          <w:szCs w:val="22"/>
        </w:rPr>
        <w:t xml:space="preserve"> </w:t>
      </w:r>
      <w:r w:rsidRPr="005C1D4E">
        <w:rPr>
          <w:rFonts w:asciiTheme="majorHAnsi" w:hAnsiTheme="majorHAnsi" w:cstheme="majorHAnsi"/>
          <w:i/>
          <w:color w:val="000000"/>
          <w:sz w:val="22"/>
          <w:szCs w:val="22"/>
        </w:rPr>
        <w:t>1973</w:t>
      </w:r>
      <w:r w:rsidRPr="005C1D4E">
        <w:rPr>
          <w:rFonts w:asciiTheme="majorHAnsi" w:hAnsiTheme="majorHAnsi" w:cstheme="majorHAnsi"/>
          <w:color w:val="000000"/>
          <w:sz w:val="22"/>
          <w:szCs w:val="22"/>
        </w:rPr>
        <w:t>.</w:t>
      </w:r>
    </w:p>
    <w:p w14:paraId="6878A5DE" w14:textId="77777777" w:rsidR="0028712F" w:rsidRPr="005C1D4E" w:rsidRDefault="0028712F" w:rsidP="0028712F">
      <w:pPr>
        <w:pStyle w:val="IntroTo"/>
        <w:spacing w:before="120"/>
        <w:jc w:val="both"/>
        <w:rPr>
          <w:rFonts w:asciiTheme="majorHAnsi" w:hAnsiTheme="majorHAnsi" w:cstheme="majorHAnsi"/>
          <w:color w:val="000000"/>
          <w:sz w:val="22"/>
          <w:szCs w:val="22"/>
        </w:rPr>
      </w:pPr>
      <w:r w:rsidRPr="005C1D4E">
        <w:rPr>
          <w:rFonts w:asciiTheme="majorHAnsi" w:hAnsiTheme="majorHAnsi" w:cstheme="majorHAnsi"/>
          <w:b/>
          <w:bCs/>
          <w:i/>
          <w:iCs/>
          <w:color w:val="000000"/>
          <w:sz w:val="22"/>
          <w:szCs w:val="22"/>
        </w:rPr>
        <w:t>friendly society</w:t>
      </w:r>
      <w:r w:rsidRPr="005C1D4E">
        <w:rPr>
          <w:rFonts w:asciiTheme="majorHAnsi" w:hAnsiTheme="majorHAnsi" w:cstheme="majorHAnsi"/>
          <w:color w:val="000000"/>
          <w:sz w:val="22"/>
          <w:szCs w:val="22"/>
        </w:rPr>
        <w:t xml:space="preserve"> has the meaning given in section 16C of the </w:t>
      </w:r>
      <w:r w:rsidRPr="005C1D4E">
        <w:rPr>
          <w:rFonts w:asciiTheme="majorHAnsi" w:hAnsiTheme="majorHAnsi" w:cstheme="majorHAnsi"/>
          <w:i/>
          <w:color w:val="000000"/>
          <w:sz w:val="22"/>
          <w:szCs w:val="22"/>
        </w:rPr>
        <w:t>Life Insurance Act 1995</w:t>
      </w:r>
      <w:r w:rsidRPr="005C1D4E">
        <w:rPr>
          <w:rFonts w:asciiTheme="majorHAnsi" w:hAnsiTheme="majorHAnsi" w:cstheme="majorHAnsi"/>
          <w:color w:val="000000"/>
          <w:sz w:val="22"/>
          <w:szCs w:val="22"/>
        </w:rPr>
        <w:t>.</w:t>
      </w:r>
    </w:p>
    <w:p w14:paraId="778016C9" w14:textId="77777777" w:rsidR="0028712F" w:rsidRPr="005C1D4E" w:rsidRDefault="0028712F" w:rsidP="0028712F">
      <w:pPr>
        <w:pStyle w:val="IntroTo"/>
        <w:spacing w:before="120"/>
        <w:jc w:val="both"/>
        <w:rPr>
          <w:rFonts w:asciiTheme="majorHAnsi" w:hAnsiTheme="majorHAnsi" w:cstheme="majorHAnsi"/>
          <w:color w:val="000000"/>
          <w:sz w:val="22"/>
          <w:szCs w:val="22"/>
        </w:rPr>
      </w:pPr>
      <w:r w:rsidRPr="005C1D4E">
        <w:rPr>
          <w:rFonts w:asciiTheme="majorHAnsi" w:hAnsiTheme="majorHAnsi" w:cstheme="majorHAnsi"/>
          <w:b/>
          <w:bCs/>
          <w:i/>
          <w:iCs/>
          <w:color w:val="000000"/>
          <w:sz w:val="22"/>
          <w:szCs w:val="22"/>
        </w:rPr>
        <w:t>general insurer</w:t>
      </w:r>
      <w:r w:rsidRPr="005C1D4E">
        <w:rPr>
          <w:rFonts w:asciiTheme="majorHAnsi" w:hAnsiTheme="majorHAnsi" w:cstheme="majorHAnsi"/>
          <w:b/>
          <w:bCs/>
          <w:color w:val="000000"/>
          <w:sz w:val="22"/>
          <w:szCs w:val="22"/>
        </w:rPr>
        <w:t xml:space="preserve"> </w:t>
      </w:r>
      <w:r w:rsidRPr="005C1D4E">
        <w:rPr>
          <w:rFonts w:asciiTheme="majorHAnsi" w:hAnsiTheme="majorHAnsi" w:cstheme="majorHAnsi"/>
          <w:color w:val="000000"/>
          <w:sz w:val="22"/>
          <w:szCs w:val="22"/>
        </w:rPr>
        <w:t xml:space="preserve">has the meaning given in section 11 of the </w:t>
      </w:r>
      <w:r w:rsidRPr="005C1D4E">
        <w:rPr>
          <w:rFonts w:asciiTheme="majorHAnsi" w:hAnsiTheme="majorHAnsi" w:cstheme="majorHAnsi"/>
          <w:i/>
          <w:color w:val="000000"/>
          <w:sz w:val="22"/>
          <w:szCs w:val="22"/>
        </w:rPr>
        <w:t>Insurance Act 1973</w:t>
      </w:r>
      <w:r w:rsidRPr="005C1D4E">
        <w:rPr>
          <w:rFonts w:asciiTheme="majorHAnsi" w:hAnsiTheme="majorHAnsi" w:cstheme="majorHAnsi"/>
          <w:color w:val="000000"/>
          <w:sz w:val="22"/>
          <w:szCs w:val="22"/>
        </w:rPr>
        <w:t>.</w:t>
      </w:r>
    </w:p>
    <w:p w14:paraId="6B629022" w14:textId="77777777" w:rsidR="001C6AA5" w:rsidRPr="001B1FCF" w:rsidRDefault="001C6AA5" w:rsidP="000316B6">
      <w:pPr>
        <w:pStyle w:val="IntroTo"/>
        <w:spacing w:before="120"/>
        <w:ind w:left="0" w:firstLine="0"/>
        <w:jc w:val="both"/>
        <w:rPr>
          <w:color w:val="000000"/>
        </w:rPr>
      </w:pPr>
      <w:r w:rsidRPr="001B1FCF">
        <w:rPr>
          <w:rFonts w:ascii="Arial" w:hAnsi="Arial" w:cs="Arial"/>
          <w:b/>
          <w:bCs/>
          <w:i/>
          <w:iCs/>
          <w:color w:val="000000"/>
          <w:sz w:val="22"/>
          <w:szCs w:val="22"/>
        </w:rPr>
        <w:t>Level 2 insurance group</w:t>
      </w:r>
      <w:r w:rsidRPr="001B1FCF">
        <w:rPr>
          <w:rFonts w:ascii="Arial" w:hAnsi="Arial" w:cs="Arial"/>
          <w:color w:val="000000"/>
          <w:sz w:val="22"/>
          <w:szCs w:val="22"/>
        </w:rPr>
        <w:t xml:space="preserve"> has the meaning given in </w:t>
      </w:r>
      <w:r w:rsidRPr="000316B6">
        <w:rPr>
          <w:rFonts w:ascii="Arial" w:hAnsi="Arial" w:cs="Arial"/>
          <w:i/>
          <w:color w:val="000000"/>
          <w:sz w:val="22"/>
          <w:szCs w:val="22"/>
        </w:rPr>
        <w:t>Prudential Standard GPS 001 Definitions</w:t>
      </w:r>
      <w:r w:rsidRPr="001B1FCF">
        <w:rPr>
          <w:rFonts w:ascii="Arial" w:hAnsi="Arial" w:cs="Arial"/>
          <w:color w:val="000000"/>
          <w:sz w:val="22"/>
          <w:szCs w:val="22"/>
        </w:rPr>
        <w:t>.</w:t>
      </w:r>
    </w:p>
    <w:p w14:paraId="07F71582" w14:textId="77777777" w:rsidR="0028712F" w:rsidRPr="005C1D4E" w:rsidRDefault="0028712F" w:rsidP="0028712F">
      <w:pPr>
        <w:pStyle w:val="IntroTo"/>
        <w:spacing w:before="120"/>
        <w:jc w:val="both"/>
        <w:rPr>
          <w:rFonts w:asciiTheme="majorHAnsi" w:hAnsiTheme="majorHAnsi" w:cstheme="majorHAnsi"/>
          <w:color w:val="000000"/>
          <w:sz w:val="22"/>
          <w:szCs w:val="22"/>
        </w:rPr>
      </w:pPr>
      <w:r w:rsidRPr="005C1D4E">
        <w:rPr>
          <w:rFonts w:asciiTheme="majorHAnsi" w:hAnsiTheme="majorHAnsi" w:cstheme="majorHAnsi"/>
          <w:b/>
          <w:bCs/>
          <w:i/>
          <w:iCs/>
          <w:color w:val="000000"/>
          <w:sz w:val="22"/>
          <w:szCs w:val="22"/>
        </w:rPr>
        <w:t>life company</w:t>
      </w:r>
      <w:r w:rsidRPr="005C1D4E">
        <w:rPr>
          <w:rFonts w:asciiTheme="majorHAnsi" w:hAnsiTheme="majorHAnsi" w:cstheme="majorHAnsi"/>
          <w:color w:val="000000"/>
          <w:sz w:val="22"/>
          <w:szCs w:val="22"/>
        </w:rPr>
        <w:t xml:space="preserve"> has the meaning given in the Schedule to the </w:t>
      </w:r>
      <w:r w:rsidRPr="005C1D4E">
        <w:rPr>
          <w:rFonts w:asciiTheme="majorHAnsi" w:hAnsiTheme="majorHAnsi" w:cstheme="majorHAnsi"/>
          <w:i/>
          <w:color w:val="000000"/>
          <w:sz w:val="22"/>
          <w:szCs w:val="22"/>
        </w:rPr>
        <w:t>Life Insurance Act 1995</w:t>
      </w:r>
      <w:r w:rsidRPr="005C1D4E">
        <w:rPr>
          <w:rFonts w:asciiTheme="majorHAnsi" w:hAnsiTheme="majorHAnsi" w:cstheme="majorHAnsi"/>
          <w:color w:val="000000"/>
          <w:sz w:val="22"/>
          <w:szCs w:val="22"/>
        </w:rPr>
        <w:t>.</w:t>
      </w:r>
    </w:p>
    <w:p w14:paraId="5966F352" w14:textId="29431613" w:rsidR="00D368C4" w:rsidRPr="00D368C4" w:rsidRDefault="00D368C4" w:rsidP="00D368C4">
      <w:pPr>
        <w:spacing w:before="120" w:after="0"/>
        <w:rPr>
          <w:rFonts w:asciiTheme="majorHAnsi" w:eastAsia="Times New Roman" w:hAnsiTheme="majorHAnsi" w:cstheme="majorHAnsi"/>
          <w:b/>
          <w:bCs/>
          <w:i/>
          <w:iCs/>
          <w:color w:val="000000"/>
          <w:sz w:val="22"/>
          <w:szCs w:val="22"/>
          <w:lang w:eastAsia="en-US"/>
        </w:rPr>
      </w:pPr>
      <w:r w:rsidRPr="00D368C4">
        <w:rPr>
          <w:rFonts w:asciiTheme="majorHAnsi" w:eastAsia="Times New Roman" w:hAnsiTheme="majorHAnsi" w:cstheme="majorHAnsi"/>
          <w:b/>
          <w:bCs/>
          <w:i/>
          <w:iCs/>
          <w:color w:val="000000"/>
          <w:sz w:val="22"/>
          <w:szCs w:val="22"/>
          <w:lang w:eastAsia="en-US"/>
        </w:rPr>
        <w:t>parent entity</w:t>
      </w:r>
      <w:r w:rsidR="008C4CAB">
        <w:rPr>
          <w:rFonts w:asciiTheme="majorHAnsi" w:eastAsia="Times New Roman" w:hAnsiTheme="majorHAnsi" w:cstheme="majorHAnsi"/>
          <w:b/>
          <w:bCs/>
          <w:i/>
          <w:iCs/>
          <w:color w:val="000000"/>
          <w:sz w:val="22"/>
          <w:szCs w:val="22"/>
          <w:lang w:eastAsia="en-US"/>
        </w:rPr>
        <w:t xml:space="preserve"> </w:t>
      </w:r>
      <w:r w:rsidRPr="000316B6">
        <w:rPr>
          <w:rFonts w:asciiTheme="majorHAnsi" w:eastAsia="Times New Roman" w:hAnsiTheme="majorHAnsi" w:cstheme="majorHAnsi"/>
          <w:bCs/>
          <w:iCs/>
          <w:color w:val="000000"/>
          <w:sz w:val="22"/>
          <w:szCs w:val="22"/>
          <w:lang w:eastAsia="en-US"/>
        </w:rPr>
        <w:t>has the meaning given in</w:t>
      </w:r>
      <w:r w:rsidRPr="00D368C4">
        <w:rPr>
          <w:rFonts w:asciiTheme="majorHAnsi" w:eastAsia="Times New Roman" w:hAnsiTheme="majorHAnsi" w:cstheme="majorHAnsi"/>
          <w:b/>
          <w:bCs/>
          <w:i/>
          <w:iCs/>
          <w:color w:val="000000"/>
          <w:sz w:val="22"/>
          <w:szCs w:val="22"/>
          <w:lang w:eastAsia="en-US"/>
        </w:rPr>
        <w:t xml:space="preserve"> </w:t>
      </w:r>
      <w:r w:rsidRPr="000316B6">
        <w:rPr>
          <w:rFonts w:asciiTheme="majorHAnsi" w:eastAsia="Times New Roman" w:hAnsiTheme="majorHAnsi" w:cstheme="majorHAnsi"/>
          <w:bCs/>
          <w:i/>
          <w:iCs/>
          <w:color w:val="000000"/>
          <w:sz w:val="22"/>
          <w:szCs w:val="22"/>
          <w:lang w:eastAsia="en-US"/>
        </w:rPr>
        <w:t>Prudential Standard GPS 001 Definitions</w:t>
      </w:r>
      <w:r w:rsidRPr="00D368C4">
        <w:rPr>
          <w:rFonts w:asciiTheme="majorHAnsi" w:eastAsia="Times New Roman" w:hAnsiTheme="majorHAnsi" w:cstheme="majorHAnsi"/>
          <w:b/>
          <w:bCs/>
          <w:i/>
          <w:iCs/>
          <w:color w:val="000000"/>
          <w:sz w:val="22"/>
          <w:szCs w:val="22"/>
          <w:lang w:eastAsia="en-US"/>
        </w:rPr>
        <w:t>.</w:t>
      </w:r>
    </w:p>
    <w:p w14:paraId="19C09B71" w14:textId="13AA05E0" w:rsidR="004B1ABB" w:rsidRPr="00ED38CC" w:rsidRDefault="004B1ABB" w:rsidP="00ED38CC">
      <w:pPr>
        <w:spacing w:before="120" w:after="0"/>
        <w:rPr>
          <w:rFonts w:asciiTheme="majorHAnsi" w:eastAsia="Times New Roman" w:hAnsiTheme="majorHAnsi" w:cstheme="majorHAnsi"/>
          <w:b/>
          <w:bCs/>
          <w:iCs/>
          <w:color w:val="000000"/>
          <w:sz w:val="22"/>
          <w:szCs w:val="22"/>
          <w:lang w:eastAsia="en-US"/>
        </w:rPr>
      </w:pPr>
      <w:r w:rsidRPr="00ED38CC">
        <w:rPr>
          <w:rFonts w:asciiTheme="majorHAnsi" w:eastAsia="Times New Roman" w:hAnsiTheme="majorHAnsi" w:cstheme="majorHAnsi"/>
          <w:b/>
          <w:bCs/>
          <w:i/>
          <w:iCs/>
          <w:color w:val="000000"/>
          <w:sz w:val="22"/>
          <w:szCs w:val="22"/>
          <w:lang w:eastAsia="en-US"/>
        </w:rPr>
        <w:t>private health</w:t>
      </w:r>
      <w:r w:rsidRPr="00ED38CC">
        <w:rPr>
          <w:rFonts w:asciiTheme="majorHAnsi" w:eastAsia="Times New Roman" w:hAnsiTheme="majorHAnsi" w:cstheme="majorHAnsi"/>
          <w:b/>
          <w:bCs/>
          <w:iCs/>
          <w:color w:val="000000"/>
          <w:sz w:val="22"/>
          <w:szCs w:val="22"/>
          <w:lang w:eastAsia="en-US"/>
        </w:rPr>
        <w:t xml:space="preserve"> </w:t>
      </w:r>
      <w:r w:rsidRPr="00ED38CC">
        <w:rPr>
          <w:rFonts w:asciiTheme="majorHAnsi" w:eastAsia="Times New Roman" w:hAnsiTheme="majorHAnsi" w:cstheme="majorHAnsi"/>
          <w:b/>
          <w:bCs/>
          <w:i/>
          <w:iCs/>
          <w:color w:val="000000"/>
          <w:sz w:val="22"/>
          <w:szCs w:val="22"/>
          <w:lang w:eastAsia="en-US"/>
        </w:rPr>
        <w:t>insurer</w:t>
      </w:r>
      <w:r w:rsidRPr="00ED38CC">
        <w:rPr>
          <w:rFonts w:asciiTheme="majorHAnsi" w:eastAsia="Times New Roman" w:hAnsiTheme="majorHAnsi" w:cstheme="majorHAnsi"/>
          <w:bCs/>
          <w:iCs/>
          <w:color w:val="000000"/>
          <w:sz w:val="22"/>
          <w:szCs w:val="22"/>
          <w:lang w:eastAsia="en-US"/>
        </w:rPr>
        <w:t xml:space="preserve"> has the meaning given in section 4(1) of </w:t>
      </w:r>
      <w:r w:rsidRPr="00ED38CC">
        <w:rPr>
          <w:rFonts w:asciiTheme="majorHAnsi" w:eastAsia="Times New Roman" w:hAnsiTheme="majorHAnsi" w:cstheme="majorHAnsi"/>
          <w:bCs/>
          <w:i/>
          <w:iCs/>
          <w:color w:val="000000"/>
          <w:sz w:val="22"/>
          <w:szCs w:val="22"/>
          <w:lang w:eastAsia="en-US"/>
        </w:rPr>
        <w:t>Private Health Insurance (Prudential Supervision) Act 2015</w:t>
      </w:r>
      <w:r w:rsidRPr="00ED38CC">
        <w:rPr>
          <w:rFonts w:asciiTheme="majorHAnsi" w:eastAsia="Times New Roman" w:hAnsiTheme="majorHAnsi" w:cstheme="majorHAnsi"/>
          <w:bCs/>
          <w:iCs/>
          <w:color w:val="000000"/>
          <w:sz w:val="22"/>
          <w:szCs w:val="22"/>
          <w:lang w:eastAsia="en-US"/>
        </w:rPr>
        <w:t>.</w:t>
      </w:r>
    </w:p>
    <w:p w14:paraId="2D00D2B3" w14:textId="247067C2" w:rsidR="0028712F" w:rsidRPr="005C1D4E" w:rsidRDefault="0028712F" w:rsidP="0028712F">
      <w:pPr>
        <w:pStyle w:val="IntroTo"/>
        <w:spacing w:before="120"/>
        <w:ind w:left="0" w:firstLine="0"/>
        <w:jc w:val="both"/>
        <w:rPr>
          <w:rFonts w:asciiTheme="majorHAnsi" w:hAnsiTheme="majorHAnsi" w:cstheme="majorHAnsi"/>
          <w:color w:val="000000"/>
          <w:sz w:val="22"/>
          <w:szCs w:val="22"/>
        </w:rPr>
      </w:pPr>
      <w:r w:rsidRPr="005C1D4E">
        <w:rPr>
          <w:rFonts w:asciiTheme="majorHAnsi" w:hAnsiTheme="majorHAnsi" w:cstheme="majorHAnsi"/>
          <w:b/>
          <w:bCs/>
          <w:i/>
          <w:iCs/>
          <w:color w:val="000000"/>
          <w:sz w:val="22"/>
          <w:szCs w:val="22"/>
        </w:rPr>
        <w:t>registered NOHC</w:t>
      </w:r>
      <w:r w:rsidRPr="005C1D4E">
        <w:rPr>
          <w:rFonts w:asciiTheme="majorHAnsi" w:hAnsiTheme="majorHAnsi" w:cstheme="majorHAnsi"/>
          <w:color w:val="000000"/>
          <w:sz w:val="22"/>
          <w:szCs w:val="22"/>
        </w:rPr>
        <w:t xml:space="preserve"> has the meaning given in the Schedule to the </w:t>
      </w:r>
      <w:r w:rsidRPr="005C1D4E">
        <w:rPr>
          <w:rFonts w:asciiTheme="majorHAnsi" w:hAnsiTheme="majorHAnsi" w:cstheme="majorHAnsi"/>
          <w:i/>
          <w:color w:val="000000"/>
          <w:sz w:val="22"/>
          <w:szCs w:val="22"/>
        </w:rPr>
        <w:t>Life Insurance Act 1995</w:t>
      </w:r>
      <w:r w:rsidRPr="005C1D4E">
        <w:rPr>
          <w:rFonts w:asciiTheme="majorHAnsi" w:hAnsiTheme="majorHAnsi" w:cstheme="majorHAnsi"/>
          <w:color w:val="000000"/>
          <w:sz w:val="22"/>
          <w:szCs w:val="22"/>
        </w:rPr>
        <w:t>.</w:t>
      </w:r>
    </w:p>
    <w:p w14:paraId="14013D16" w14:textId="77777777" w:rsidR="00D368C4" w:rsidRPr="001B1FCF" w:rsidRDefault="00D368C4" w:rsidP="000316B6">
      <w:pPr>
        <w:pStyle w:val="IntroTo"/>
        <w:spacing w:before="120"/>
        <w:ind w:left="0" w:firstLine="0"/>
        <w:jc w:val="both"/>
        <w:rPr>
          <w:color w:val="000000"/>
        </w:rPr>
      </w:pPr>
      <w:r w:rsidRPr="001B1FCF">
        <w:rPr>
          <w:rFonts w:ascii="Arial" w:hAnsi="Arial" w:cs="Arial"/>
          <w:b/>
          <w:bCs/>
          <w:i/>
          <w:iCs/>
          <w:color w:val="000000"/>
          <w:sz w:val="22"/>
          <w:szCs w:val="22"/>
        </w:rPr>
        <w:t>subsidiary</w:t>
      </w:r>
      <w:r w:rsidRPr="001B1FCF">
        <w:rPr>
          <w:rFonts w:ascii="Arial" w:hAnsi="Arial" w:cs="Arial"/>
          <w:color w:val="000000"/>
          <w:sz w:val="22"/>
          <w:szCs w:val="22"/>
        </w:rPr>
        <w:t xml:space="preserve"> has the meaning given </w:t>
      </w:r>
      <w:r w:rsidRPr="000316B6">
        <w:rPr>
          <w:rFonts w:ascii="Arial" w:hAnsi="Arial" w:cs="Arial"/>
          <w:i/>
          <w:color w:val="000000"/>
          <w:sz w:val="22"/>
          <w:szCs w:val="22"/>
        </w:rPr>
        <w:t>in Prudential Standard GPS 001 Definitions</w:t>
      </w:r>
      <w:r w:rsidRPr="001B1FCF">
        <w:rPr>
          <w:rFonts w:ascii="Arial" w:hAnsi="Arial" w:cs="Arial"/>
          <w:color w:val="000000"/>
          <w:sz w:val="22"/>
          <w:szCs w:val="22"/>
        </w:rPr>
        <w:t>.</w:t>
      </w:r>
    </w:p>
    <w:p w14:paraId="38232762" w14:textId="637C3CD4" w:rsidR="001B1FCF" w:rsidRPr="001B1FCF" w:rsidRDefault="0028712F" w:rsidP="000316B6">
      <w:pPr>
        <w:pStyle w:val="IntroTo"/>
        <w:spacing w:before="120"/>
        <w:ind w:left="0" w:firstLine="0"/>
        <w:jc w:val="both"/>
        <w:rPr>
          <w:color w:val="000000"/>
        </w:rPr>
      </w:pPr>
      <w:r w:rsidRPr="005F4330">
        <w:rPr>
          <w:rFonts w:asciiTheme="majorHAnsi" w:hAnsiTheme="majorHAnsi" w:cstheme="majorHAnsi"/>
          <w:b/>
          <w:i/>
          <w:color w:val="000000"/>
          <w:sz w:val="22"/>
          <w:szCs w:val="22"/>
        </w:rPr>
        <w:t>the prudential standard</w:t>
      </w:r>
      <w:r>
        <w:rPr>
          <w:rFonts w:asciiTheme="majorHAnsi" w:hAnsiTheme="majorHAnsi" w:cstheme="majorHAnsi"/>
          <w:color w:val="000000"/>
          <w:sz w:val="22"/>
          <w:szCs w:val="22"/>
        </w:rPr>
        <w:t xml:space="preserve"> means </w:t>
      </w:r>
      <w:r w:rsidRPr="002F5D1E">
        <w:rPr>
          <w:rFonts w:asciiTheme="majorHAnsi" w:hAnsiTheme="majorHAnsi" w:cstheme="majorHAnsi"/>
          <w:i/>
          <w:color w:val="000000"/>
          <w:sz w:val="22"/>
          <w:szCs w:val="22"/>
        </w:rPr>
        <w:t xml:space="preserve">Prudential Standard CPS </w:t>
      </w:r>
      <w:r w:rsidR="004B1ABB">
        <w:rPr>
          <w:rFonts w:asciiTheme="majorHAnsi" w:hAnsiTheme="majorHAnsi" w:cstheme="majorHAnsi"/>
          <w:i/>
          <w:color w:val="000000"/>
          <w:sz w:val="22"/>
          <w:szCs w:val="22"/>
        </w:rPr>
        <w:t>510 Governance</w:t>
      </w:r>
      <w:r>
        <w:rPr>
          <w:rFonts w:asciiTheme="majorHAnsi" w:hAnsiTheme="majorHAnsi" w:cstheme="majorHAnsi"/>
          <w:color w:val="000000"/>
          <w:sz w:val="22"/>
          <w:szCs w:val="22"/>
        </w:rPr>
        <w:t>.</w:t>
      </w:r>
    </w:p>
    <w:p w14:paraId="7EBE7239" w14:textId="77777777" w:rsidR="0028712F" w:rsidRDefault="0028712F" w:rsidP="0028712F">
      <w:pPr>
        <w:pStyle w:val="AS"/>
        <w:spacing w:before="120" w:after="240"/>
        <w:ind w:left="0" w:firstLine="0"/>
        <w:rPr>
          <w:rStyle w:val="CharSchNo"/>
          <w:color w:val="000000"/>
        </w:rPr>
      </w:pPr>
    </w:p>
    <w:p w14:paraId="6B30F369" w14:textId="77777777" w:rsidR="0028712F" w:rsidRPr="003318F7" w:rsidRDefault="0028712F" w:rsidP="0028712F">
      <w:pPr>
        <w:pStyle w:val="AS"/>
        <w:spacing w:before="120" w:after="240"/>
        <w:ind w:left="0" w:firstLine="0"/>
        <w:rPr>
          <w:rStyle w:val="CharSchText"/>
          <w:color w:val="000000"/>
        </w:rPr>
      </w:pPr>
      <w:r w:rsidRPr="003318F7">
        <w:rPr>
          <w:rStyle w:val="CharSchNo"/>
          <w:color w:val="000000"/>
        </w:rPr>
        <w:t xml:space="preserve">Schedule </w:t>
      </w:r>
    </w:p>
    <w:p w14:paraId="4FF6E2FA" w14:textId="78769E84" w:rsidR="0028712F" w:rsidRPr="006A3108" w:rsidRDefault="0028712F" w:rsidP="0028712F">
      <w:pPr>
        <w:rPr>
          <w:rFonts w:ascii="Arial" w:hAnsi="Arial" w:cs="Arial"/>
          <w:sz w:val="22"/>
          <w:szCs w:val="22"/>
        </w:rPr>
      </w:pPr>
      <w:r w:rsidRPr="006A3108">
        <w:rPr>
          <w:rFonts w:ascii="Arial" w:hAnsi="Arial" w:cs="Arial"/>
          <w:i/>
          <w:sz w:val="22"/>
          <w:szCs w:val="22"/>
        </w:rPr>
        <w:t>Prudential Standard CPS</w:t>
      </w:r>
      <w:r w:rsidR="004B1ABB">
        <w:rPr>
          <w:rFonts w:ascii="Arial" w:hAnsi="Arial" w:cs="Arial"/>
          <w:i/>
          <w:sz w:val="22"/>
          <w:szCs w:val="22"/>
        </w:rPr>
        <w:t xml:space="preserve"> 510 Governance </w:t>
      </w:r>
      <w:r w:rsidRPr="006A3108">
        <w:rPr>
          <w:rFonts w:ascii="Arial" w:hAnsi="Arial" w:cs="Arial"/>
          <w:bCs/>
          <w:sz w:val="22"/>
          <w:szCs w:val="22"/>
        </w:rPr>
        <w:t>comprises the document commencing on the following page.</w:t>
      </w:r>
      <w:r w:rsidRPr="006A3108">
        <w:rPr>
          <w:rFonts w:ascii="Arial" w:hAnsi="Arial" w:cs="Arial"/>
          <w:sz w:val="22"/>
          <w:szCs w:val="22"/>
        </w:rPr>
        <w:t xml:space="preserve"> </w:t>
      </w:r>
    </w:p>
    <w:p w14:paraId="7E28D1D6" w14:textId="45681DFC" w:rsidR="00C74278" w:rsidRPr="00EE769C" w:rsidRDefault="00C74278" w:rsidP="00C74278">
      <w:pPr>
        <w:keepNext/>
        <w:shd w:val="clear" w:color="auto" w:fill="FFFFFF"/>
        <w:spacing w:after="600"/>
        <w:jc w:val="left"/>
        <w:rPr>
          <w:rFonts w:eastAsia="Times New Roman"/>
          <w:iCs/>
          <w:color w:val="000000"/>
        </w:rPr>
      </w:pPr>
      <w:r w:rsidRPr="00EE769C">
        <w:rPr>
          <w:rFonts w:eastAsia="Times New Roman"/>
          <w:iCs/>
          <w:color w:val="000000"/>
        </w:rPr>
        <w:t xml:space="preserve"> </w:t>
      </w:r>
    </w:p>
    <w:p w14:paraId="7F070AC8" w14:textId="77777777" w:rsidR="00C74278" w:rsidRDefault="00C74278" w:rsidP="00C74278">
      <w:pPr>
        <w:spacing w:after="0"/>
        <w:sectPr w:rsidR="00C74278" w:rsidSect="00EE769C">
          <w:headerReference w:type="default" r:id="rId12"/>
          <w:pgSz w:w="11906" w:h="16838" w:code="9"/>
          <w:pgMar w:top="1440" w:right="1797" w:bottom="1440" w:left="1797" w:header="709" w:footer="709" w:gutter="0"/>
          <w:pgNumType w:start="1"/>
          <w:cols w:space="708"/>
          <w:docGrid w:linePitch="360"/>
        </w:sectPr>
      </w:pPr>
    </w:p>
    <w:p w14:paraId="58E05542" w14:textId="4BC43AE1" w:rsidR="00B239E0" w:rsidRDefault="00B239E0" w:rsidP="00B239E0">
      <w:pPr>
        <w:spacing w:after="0"/>
      </w:pPr>
      <w:r>
        <w:rPr>
          <w:noProof/>
        </w:rPr>
        <w:lastRenderedPageBreak/>
        <w:drawing>
          <wp:anchor distT="0" distB="0" distL="114300" distR="114300" simplePos="0" relativeHeight="251658240" behindDoc="0" locked="0" layoutInCell="1" allowOverlap="1" wp14:anchorId="6DC76517" wp14:editId="76ED7C99">
            <wp:simplePos x="1143000" y="914400"/>
            <wp:positionH relativeFrom="column">
              <wp:align>left</wp:align>
            </wp:positionH>
            <wp:positionV relativeFrom="paragraph">
              <wp:align>top</wp:align>
            </wp:positionV>
            <wp:extent cx="1485900" cy="1095375"/>
            <wp:effectExtent l="0" t="0" r="0" b="9525"/>
            <wp:wrapSquare wrapText="bothSides"/>
            <wp:docPr id="2" name="Picture 2" descr="Coat of Arms of the Commonwealth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oat of Arms of the Commonwealth of Austral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anchor>
        </w:drawing>
      </w:r>
    </w:p>
    <w:p w14:paraId="4B14EFA5" w14:textId="77777777" w:rsidR="00C01195" w:rsidRDefault="00C01195" w:rsidP="00B239E0">
      <w:pPr>
        <w:pStyle w:val="Title"/>
      </w:pPr>
      <w:bookmarkStart w:id="5" w:name="_Toc326937696"/>
    </w:p>
    <w:p w14:paraId="469F6025" w14:textId="77777777" w:rsidR="00C01195" w:rsidRDefault="00C01195" w:rsidP="00880CED">
      <w:pPr>
        <w:pStyle w:val="Title"/>
        <w:spacing w:after="360"/>
      </w:pPr>
    </w:p>
    <w:p w14:paraId="014A02A9" w14:textId="77777777" w:rsidR="00880CED" w:rsidRDefault="00B239E0" w:rsidP="00B239E0">
      <w:pPr>
        <w:pStyle w:val="Title"/>
      </w:pPr>
      <w:r w:rsidRPr="001F6B8D">
        <w:t>Prudential</w:t>
      </w:r>
      <w:r w:rsidRPr="009B6212">
        <w:t xml:space="preserve"> Standard</w:t>
      </w:r>
      <w:r w:rsidR="00503D69">
        <w:t xml:space="preserve"> CPS 510 </w:t>
      </w:r>
    </w:p>
    <w:p w14:paraId="2651D33A" w14:textId="5DF7AA38" w:rsidR="00B239E0" w:rsidRPr="00110917" w:rsidRDefault="00503D69" w:rsidP="00B239E0">
      <w:pPr>
        <w:pStyle w:val="Title"/>
      </w:pPr>
      <w:r>
        <w:t>Governance</w:t>
      </w:r>
      <w:bookmarkEnd w:id="5"/>
    </w:p>
    <w:tbl>
      <w:tblPr>
        <w:tblStyle w:val="TableGrid"/>
        <w:tblW w:w="0" w:type="auto"/>
        <w:shd w:val="clear" w:color="auto" w:fill="DDDDDD"/>
        <w:tblLook w:val="04A0" w:firstRow="1" w:lastRow="0" w:firstColumn="1" w:lastColumn="0" w:noHBand="0" w:noVBand="1"/>
      </w:tblPr>
      <w:tblGrid>
        <w:gridCol w:w="8302"/>
      </w:tblGrid>
      <w:tr w:rsidR="00B239E0" w14:paraId="22FE2914" w14:textId="77777777" w:rsidTr="00EE769C">
        <w:tc>
          <w:tcPr>
            <w:tcW w:w="8528" w:type="dxa"/>
            <w:shd w:val="clear" w:color="auto" w:fill="DDDDDD"/>
          </w:tcPr>
          <w:p w14:paraId="2C211B0F" w14:textId="77777777" w:rsidR="00B239E0" w:rsidRPr="00B37C03" w:rsidRDefault="00B239E0" w:rsidP="00EE769C">
            <w:pPr>
              <w:pStyle w:val="BoxHeading"/>
            </w:pPr>
            <w:r w:rsidRPr="00B37C03">
              <w:t xml:space="preserve">Objectives and key requirements of this Prudential </w:t>
            </w:r>
            <w:r w:rsidRPr="00173A04">
              <w:t>Standard</w:t>
            </w:r>
          </w:p>
          <w:p w14:paraId="0D17D0C4" w14:textId="09E5DDF8" w:rsidR="00B239E0" w:rsidRPr="009009F5" w:rsidRDefault="00B239E0" w:rsidP="00EE769C">
            <w:r w:rsidRPr="006A7AE7">
              <w:t>This Prudential Standard sets out minimum foundations for good governance of an APRA-regulated institution in the deposit-taking, general insurance</w:t>
            </w:r>
            <w:r>
              <w:t>,</w:t>
            </w:r>
            <w:r w:rsidRPr="006A7AE7">
              <w:t xml:space="preserve"> life insurance</w:t>
            </w:r>
            <w:r>
              <w:t xml:space="preserve"> and private health insurance</w:t>
            </w:r>
            <w:r w:rsidRPr="006A7AE7">
              <w:t xml:space="preserve"> industries</w:t>
            </w:r>
            <w:r>
              <w:t>,</w:t>
            </w:r>
            <w:r w:rsidRPr="006A7AE7">
              <w:t xml:space="preserve"> </w:t>
            </w:r>
            <w:r>
              <w:t>and</w:t>
            </w:r>
            <w:r w:rsidRPr="006A7AE7">
              <w:t xml:space="preserve"> of a Head of a group. Its objective is to ensure that an institution </w:t>
            </w:r>
            <w:r>
              <w:t xml:space="preserve">and group </w:t>
            </w:r>
            <w:r w:rsidRPr="006A7AE7">
              <w:t>is managed soundly and prudently by a competent Board (or equivalent), which can make reasonable and impartial business judgements in the best interests of the institution</w:t>
            </w:r>
            <w:r>
              <w:t xml:space="preserve"> and group</w:t>
            </w:r>
            <w:r w:rsidRPr="006A7AE7">
              <w:t xml:space="preserve"> and which duly considers the impact of its decisions on depositors and/or </w:t>
            </w:r>
            <w:r w:rsidRPr="009009F5">
              <w:t>policyholders.</w:t>
            </w:r>
          </w:p>
          <w:p w14:paraId="65B09929" w14:textId="77777777" w:rsidR="00B239E0" w:rsidRPr="006A7AE7" w:rsidRDefault="00B239E0" w:rsidP="00EE769C">
            <w:r w:rsidRPr="009009F5">
              <w:t>The ultimate responsibility for oversight of the sound</w:t>
            </w:r>
            <w:r w:rsidRPr="006A7AE7">
              <w:t xml:space="preserve"> and prudent </w:t>
            </w:r>
            <w:r w:rsidRPr="009F29A7">
              <w:t xml:space="preserve">management </w:t>
            </w:r>
            <w:r w:rsidRPr="006A7AE7">
              <w:t xml:space="preserve">of an APRA-regulated institution rests with its </w:t>
            </w:r>
            <w:r>
              <w:t>b</w:t>
            </w:r>
            <w:r w:rsidRPr="006A7AE7">
              <w:t xml:space="preserve">oard of directors (or equivalent). </w:t>
            </w:r>
            <w:r w:rsidRPr="00DA2278">
              <w:t xml:space="preserve">The ultimate responsibility for </w:t>
            </w:r>
            <w:r>
              <w:t xml:space="preserve">oversight of the </w:t>
            </w:r>
            <w:r w:rsidRPr="00DA2278">
              <w:t xml:space="preserve">sound and prudent </w:t>
            </w:r>
            <w:r>
              <w:t xml:space="preserve">management </w:t>
            </w:r>
            <w:r w:rsidRPr="00DA2278">
              <w:t>of a group lies with the Board of the Head of the group.</w:t>
            </w:r>
          </w:p>
          <w:p w14:paraId="42F0AF4F" w14:textId="77777777" w:rsidR="00B239E0" w:rsidRPr="006A7AE7" w:rsidRDefault="00B239E0" w:rsidP="00EE769C">
            <w:r w:rsidRPr="006A7AE7">
              <w:t xml:space="preserve">It is essential that an APRA-regulated institution </w:t>
            </w:r>
            <w:r>
              <w:t>and</w:t>
            </w:r>
            <w:r w:rsidRPr="006A7AE7">
              <w:t xml:space="preserve"> group has a sound governance framework and conducts its affairs with a high degree of integrity. A culture that promotes good governance benefits all stakeholders of an institution </w:t>
            </w:r>
            <w:r>
              <w:t>and</w:t>
            </w:r>
            <w:r w:rsidRPr="006A7AE7">
              <w:t xml:space="preserve"> group and helps to maintain public confidence in the institution </w:t>
            </w:r>
            <w:r>
              <w:t>and</w:t>
            </w:r>
            <w:r w:rsidRPr="006A7AE7">
              <w:t xml:space="preserve"> group.</w:t>
            </w:r>
          </w:p>
          <w:p w14:paraId="26823561" w14:textId="77777777" w:rsidR="00B239E0" w:rsidRPr="006A7AE7" w:rsidRDefault="00B239E0" w:rsidP="00EE769C">
            <w:r w:rsidRPr="006A7AE7">
              <w:t xml:space="preserve">The governance of an APRA-regulated institution </w:t>
            </w:r>
            <w:r>
              <w:t>and</w:t>
            </w:r>
            <w:r w:rsidRPr="006A7AE7">
              <w:t xml:space="preserve"> group builds on these foundations in ways that take account of the size, complexity and risk profile of the institution </w:t>
            </w:r>
            <w:r>
              <w:t>and</w:t>
            </w:r>
            <w:r w:rsidRPr="006A7AE7">
              <w:t xml:space="preserve"> group.</w:t>
            </w:r>
          </w:p>
          <w:p w14:paraId="6C468F3F" w14:textId="77777777" w:rsidR="00B239E0" w:rsidRPr="006A7AE7" w:rsidRDefault="00B239E0" w:rsidP="00EE769C">
            <w:pPr>
              <w:rPr>
                <w:b/>
              </w:rPr>
            </w:pPr>
            <w:r w:rsidRPr="006A7AE7">
              <w:t xml:space="preserve">The key requirements of this Prudential Standard for a locally incorporated APRA-regulated institution </w:t>
            </w:r>
            <w:r>
              <w:t xml:space="preserve">and a Head of a group </w:t>
            </w:r>
            <w:r w:rsidRPr="006A7AE7">
              <w:t>are that:</w:t>
            </w:r>
          </w:p>
          <w:p w14:paraId="69F248E3" w14:textId="77777777" w:rsidR="00B239E0" w:rsidRPr="006A7AE7" w:rsidRDefault="00B239E0" w:rsidP="00EE769C">
            <w:pPr>
              <w:pStyle w:val="BoxBullet"/>
            </w:pPr>
            <w:r w:rsidRPr="006A7AE7">
              <w:t>specific requirements with respect to Board size and composition are met;</w:t>
            </w:r>
          </w:p>
          <w:p w14:paraId="0EE326FA" w14:textId="77777777" w:rsidR="00B239E0" w:rsidRPr="006A7AE7" w:rsidRDefault="00B239E0" w:rsidP="00EE769C">
            <w:pPr>
              <w:pStyle w:val="BoxBullet"/>
            </w:pPr>
            <w:r w:rsidRPr="006A7AE7">
              <w:t>the chairperson of the Board of directors must be an independent director;</w:t>
            </w:r>
          </w:p>
          <w:p w14:paraId="3B5AF79F" w14:textId="084757E5" w:rsidR="00B239E0" w:rsidRPr="006A7AE7" w:rsidRDefault="00B239E0" w:rsidP="00EE769C">
            <w:pPr>
              <w:pStyle w:val="BoxBullet"/>
            </w:pPr>
            <w:r w:rsidRPr="006A7AE7">
              <w:t>the Board must have a policy on Board renewal and procedures for assessing Board performance;</w:t>
            </w:r>
            <w:r w:rsidR="004D2E6B">
              <w:t xml:space="preserve"> and</w:t>
            </w:r>
          </w:p>
          <w:p w14:paraId="75CBE387" w14:textId="77777777" w:rsidR="00B239E0" w:rsidRPr="006A7AE7" w:rsidRDefault="00B239E0" w:rsidP="00EE769C">
            <w:pPr>
              <w:pStyle w:val="BoxBullet"/>
            </w:pPr>
            <w:r w:rsidRPr="006A7AE7">
              <w:t>a Board Audit Committee and a Board Risk Committee must be established.</w:t>
            </w:r>
          </w:p>
          <w:p w14:paraId="29E4A343" w14:textId="77777777" w:rsidR="00B239E0" w:rsidRPr="006A7AE7" w:rsidRDefault="00B239E0" w:rsidP="00EE769C">
            <w:bookmarkStart w:id="6" w:name="OLE_LINK5"/>
            <w:r w:rsidRPr="006A7AE7">
              <w:lastRenderedPageBreak/>
              <w:t>Where an APRA</w:t>
            </w:r>
            <w:r>
              <w:t>-</w:t>
            </w:r>
            <w:r w:rsidRPr="006A7AE7">
              <w:t>regulated institution is the Head of a group, this Prudential Standard requires that the group has in place governance arrangements appropriate to the nature and scale of the group’s operations, and the provisions of this Prudential Standard are applied appropriately throughout the group, including in relation to institutions that are not APRA-regulated. In addition, where specified, the Head of a group must comply with the requirements on a group basis.</w:t>
            </w:r>
          </w:p>
          <w:p w14:paraId="43580680" w14:textId="77777777" w:rsidR="00B239E0" w:rsidRDefault="00B239E0" w:rsidP="00EE769C">
            <w:r w:rsidRPr="006A7AE7">
              <w:t xml:space="preserve">A number of the requirements in this Prudential Standard apply to foreign authorised deposit-taking institutions, Category C insurers and eligible foreign </w:t>
            </w:r>
            <w:bookmarkEnd w:id="6"/>
            <w:r w:rsidRPr="006A7AE7">
              <w:t>life insurance companies.</w:t>
            </w:r>
          </w:p>
        </w:tc>
      </w:tr>
    </w:tbl>
    <w:p w14:paraId="31862CEC" w14:textId="77777777" w:rsidR="00CB6FE9" w:rsidRDefault="00CB6FE9" w:rsidP="00B239E0">
      <w:pPr>
        <w:pStyle w:val="TOCHeading"/>
      </w:pPr>
      <w:bookmarkStart w:id="7" w:name="_Toc326676936"/>
      <w:bookmarkStart w:id="8" w:name="_Toc326756341"/>
      <w:bookmarkStart w:id="9" w:name="_Toc256519850"/>
    </w:p>
    <w:p w14:paraId="6F75A32A" w14:textId="77777777" w:rsidR="00CB6FE9" w:rsidRDefault="00CB6FE9">
      <w:pPr>
        <w:jc w:val="left"/>
        <w:rPr>
          <w:rFonts w:asciiTheme="majorHAnsi" w:eastAsiaTheme="majorEastAsia" w:hAnsiTheme="majorHAnsi" w:cstheme="majorBidi"/>
          <w:b/>
          <w:szCs w:val="28"/>
        </w:rPr>
      </w:pPr>
      <w:r>
        <w:br w:type="page"/>
      </w:r>
    </w:p>
    <w:p w14:paraId="7CC53B88" w14:textId="77777777" w:rsidR="00B239E0" w:rsidRDefault="00B239E0" w:rsidP="00B239E0">
      <w:pPr>
        <w:pStyle w:val="TOCHeading"/>
      </w:pPr>
      <w:r>
        <w:lastRenderedPageBreak/>
        <w:t>Table of contents</w:t>
      </w:r>
    </w:p>
    <w:p w14:paraId="132AC978" w14:textId="1A8C9037" w:rsidR="00F050A9" w:rsidRDefault="00B239E0" w:rsidP="00F050A9">
      <w:pPr>
        <w:pStyle w:val="TOC1"/>
        <w:rPr>
          <w:rFonts w:asciiTheme="minorHAnsi" w:eastAsiaTheme="minorEastAsia" w:hAnsiTheme="minorHAnsi" w:cstheme="minorBidi"/>
          <w:sz w:val="22"/>
          <w:szCs w:val="22"/>
        </w:rPr>
      </w:pPr>
      <w:r>
        <w:rPr>
          <w:rFonts w:ascii="Arial" w:hAnsi="Arial"/>
        </w:rPr>
        <w:fldChar w:fldCharType="begin"/>
      </w:r>
      <w:r w:rsidRPr="009D467A">
        <w:instrText xml:space="preserve"> TOC \o "</w:instrText>
      </w:r>
      <w:r>
        <w:instrText>1-4</w:instrText>
      </w:r>
      <w:r w:rsidRPr="009D467A">
        <w:instrText xml:space="preserve">" \h \z \u </w:instrText>
      </w:r>
      <w:r>
        <w:rPr>
          <w:rFonts w:ascii="Arial" w:hAnsi="Arial"/>
        </w:rPr>
        <w:fldChar w:fldCharType="separate"/>
      </w:r>
      <w:hyperlink w:anchor="_Toc146605973" w:history="1">
        <w:r w:rsidR="00F050A9" w:rsidRPr="00447915">
          <w:rPr>
            <w:rStyle w:val="Hyperlink"/>
          </w:rPr>
          <w:t>Authority</w:t>
        </w:r>
        <w:r w:rsidR="00F050A9">
          <w:rPr>
            <w:webHidden/>
          </w:rPr>
          <w:tab/>
        </w:r>
        <w:r w:rsidR="00F050A9">
          <w:rPr>
            <w:webHidden/>
          </w:rPr>
          <w:fldChar w:fldCharType="begin"/>
        </w:r>
        <w:r w:rsidR="00F050A9">
          <w:rPr>
            <w:webHidden/>
          </w:rPr>
          <w:instrText xml:space="preserve"> PAGEREF _Toc146605973 \h </w:instrText>
        </w:r>
        <w:r w:rsidR="00F050A9">
          <w:rPr>
            <w:webHidden/>
          </w:rPr>
        </w:r>
        <w:r w:rsidR="00F050A9">
          <w:rPr>
            <w:webHidden/>
          </w:rPr>
          <w:fldChar w:fldCharType="separate"/>
        </w:r>
        <w:r w:rsidR="00F050A9">
          <w:rPr>
            <w:webHidden/>
          </w:rPr>
          <w:t>5</w:t>
        </w:r>
        <w:r w:rsidR="00F050A9">
          <w:rPr>
            <w:webHidden/>
          </w:rPr>
          <w:fldChar w:fldCharType="end"/>
        </w:r>
      </w:hyperlink>
    </w:p>
    <w:p w14:paraId="6B7FAC20" w14:textId="2CDDD3D4" w:rsidR="00F050A9" w:rsidRDefault="00133EF8" w:rsidP="00F050A9">
      <w:pPr>
        <w:pStyle w:val="TOC1"/>
        <w:rPr>
          <w:rFonts w:asciiTheme="minorHAnsi" w:eastAsiaTheme="minorEastAsia" w:hAnsiTheme="minorHAnsi" w:cstheme="minorBidi"/>
          <w:sz w:val="22"/>
          <w:szCs w:val="22"/>
        </w:rPr>
      </w:pPr>
      <w:hyperlink w:anchor="_Toc146605974" w:history="1">
        <w:r w:rsidR="00F050A9" w:rsidRPr="00447915">
          <w:rPr>
            <w:rStyle w:val="Hyperlink"/>
          </w:rPr>
          <w:t>Application</w:t>
        </w:r>
        <w:r w:rsidR="00F050A9">
          <w:rPr>
            <w:webHidden/>
          </w:rPr>
          <w:tab/>
        </w:r>
        <w:r w:rsidR="00F050A9">
          <w:rPr>
            <w:webHidden/>
          </w:rPr>
          <w:fldChar w:fldCharType="begin"/>
        </w:r>
        <w:r w:rsidR="00F050A9">
          <w:rPr>
            <w:webHidden/>
          </w:rPr>
          <w:instrText xml:space="preserve"> PAGEREF _Toc146605974 \h </w:instrText>
        </w:r>
        <w:r w:rsidR="00F050A9">
          <w:rPr>
            <w:webHidden/>
          </w:rPr>
        </w:r>
        <w:r w:rsidR="00F050A9">
          <w:rPr>
            <w:webHidden/>
          </w:rPr>
          <w:fldChar w:fldCharType="separate"/>
        </w:r>
        <w:r w:rsidR="00F050A9">
          <w:rPr>
            <w:webHidden/>
          </w:rPr>
          <w:t>5</w:t>
        </w:r>
        <w:r w:rsidR="00F050A9">
          <w:rPr>
            <w:webHidden/>
          </w:rPr>
          <w:fldChar w:fldCharType="end"/>
        </w:r>
      </w:hyperlink>
    </w:p>
    <w:p w14:paraId="1BFB35EC" w14:textId="608E2528" w:rsidR="00F050A9" w:rsidRDefault="00133EF8" w:rsidP="00F050A9">
      <w:pPr>
        <w:pStyle w:val="TOC1"/>
        <w:rPr>
          <w:rFonts w:asciiTheme="minorHAnsi" w:eastAsiaTheme="minorEastAsia" w:hAnsiTheme="minorHAnsi" w:cstheme="minorBidi"/>
          <w:sz w:val="22"/>
          <w:szCs w:val="22"/>
        </w:rPr>
      </w:pPr>
      <w:hyperlink w:anchor="_Toc146605975" w:history="1">
        <w:r w:rsidR="00F050A9" w:rsidRPr="00447915">
          <w:rPr>
            <w:rStyle w:val="Hyperlink"/>
          </w:rPr>
          <w:t>Interpretation</w:t>
        </w:r>
        <w:r w:rsidR="00F050A9">
          <w:rPr>
            <w:webHidden/>
          </w:rPr>
          <w:tab/>
        </w:r>
        <w:r w:rsidR="00F050A9">
          <w:rPr>
            <w:webHidden/>
          </w:rPr>
          <w:fldChar w:fldCharType="begin"/>
        </w:r>
        <w:r w:rsidR="00F050A9">
          <w:rPr>
            <w:webHidden/>
          </w:rPr>
          <w:instrText xml:space="preserve"> PAGEREF _Toc146605975 \h </w:instrText>
        </w:r>
        <w:r w:rsidR="00F050A9">
          <w:rPr>
            <w:webHidden/>
          </w:rPr>
        </w:r>
        <w:r w:rsidR="00F050A9">
          <w:rPr>
            <w:webHidden/>
          </w:rPr>
          <w:fldChar w:fldCharType="separate"/>
        </w:r>
        <w:r w:rsidR="00F050A9">
          <w:rPr>
            <w:webHidden/>
          </w:rPr>
          <w:t>6</w:t>
        </w:r>
        <w:r w:rsidR="00F050A9">
          <w:rPr>
            <w:webHidden/>
          </w:rPr>
          <w:fldChar w:fldCharType="end"/>
        </w:r>
      </w:hyperlink>
    </w:p>
    <w:p w14:paraId="0F50609A" w14:textId="7FFAD826" w:rsidR="00F050A9" w:rsidRDefault="00133EF8" w:rsidP="00F050A9">
      <w:pPr>
        <w:pStyle w:val="TOC1"/>
        <w:rPr>
          <w:rFonts w:asciiTheme="minorHAnsi" w:eastAsiaTheme="minorEastAsia" w:hAnsiTheme="minorHAnsi" w:cstheme="minorBidi"/>
          <w:sz w:val="22"/>
          <w:szCs w:val="22"/>
        </w:rPr>
      </w:pPr>
      <w:hyperlink w:anchor="_Toc146605976" w:history="1">
        <w:r w:rsidR="00F050A9" w:rsidRPr="00447915">
          <w:rPr>
            <w:rStyle w:val="Hyperlink"/>
          </w:rPr>
          <w:t>Additional requirements of the Head of a group</w:t>
        </w:r>
        <w:r w:rsidR="00F050A9">
          <w:rPr>
            <w:webHidden/>
          </w:rPr>
          <w:tab/>
        </w:r>
        <w:r w:rsidR="00F050A9">
          <w:rPr>
            <w:webHidden/>
          </w:rPr>
          <w:fldChar w:fldCharType="begin"/>
        </w:r>
        <w:r w:rsidR="00F050A9">
          <w:rPr>
            <w:webHidden/>
          </w:rPr>
          <w:instrText xml:space="preserve"> PAGEREF _Toc146605976 \h </w:instrText>
        </w:r>
        <w:r w:rsidR="00F050A9">
          <w:rPr>
            <w:webHidden/>
          </w:rPr>
        </w:r>
        <w:r w:rsidR="00F050A9">
          <w:rPr>
            <w:webHidden/>
          </w:rPr>
          <w:fldChar w:fldCharType="separate"/>
        </w:r>
        <w:r w:rsidR="00F050A9">
          <w:rPr>
            <w:webHidden/>
          </w:rPr>
          <w:t>7</w:t>
        </w:r>
        <w:r w:rsidR="00F050A9">
          <w:rPr>
            <w:webHidden/>
          </w:rPr>
          <w:fldChar w:fldCharType="end"/>
        </w:r>
      </w:hyperlink>
    </w:p>
    <w:p w14:paraId="19969A76" w14:textId="256264A2" w:rsidR="00F050A9" w:rsidRDefault="00133EF8">
      <w:pPr>
        <w:pStyle w:val="TOC1"/>
        <w:rPr>
          <w:rFonts w:asciiTheme="minorHAnsi" w:eastAsiaTheme="minorEastAsia" w:hAnsiTheme="minorHAnsi" w:cstheme="minorBidi"/>
          <w:sz w:val="22"/>
          <w:szCs w:val="22"/>
        </w:rPr>
      </w:pPr>
      <w:hyperlink w:anchor="_Toc146605977" w:history="1">
        <w:r w:rsidR="00F050A9" w:rsidRPr="00447915">
          <w:rPr>
            <w:rStyle w:val="Hyperlink"/>
          </w:rPr>
          <w:t>A.</w:t>
        </w:r>
        <w:r w:rsidR="00F050A9">
          <w:rPr>
            <w:rFonts w:asciiTheme="minorHAnsi" w:eastAsiaTheme="minorEastAsia" w:hAnsiTheme="minorHAnsi" w:cstheme="minorBidi"/>
            <w:sz w:val="22"/>
            <w:szCs w:val="22"/>
          </w:rPr>
          <w:tab/>
        </w:r>
        <w:r w:rsidR="00F050A9" w:rsidRPr="00447915">
          <w:rPr>
            <w:rStyle w:val="Hyperlink"/>
          </w:rPr>
          <w:t>Governance arrangements – locally incorporated APRA-regulated institutions</w:t>
        </w:r>
        <w:r w:rsidR="00F050A9">
          <w:rPr>
            <w:webHidden/>
          </w:rPr>
          <w:tab/>
        </w:r>
        <w:r w:rsidR="00F050A9">
          <w:rPr>
            <w:webHidden/>
          </w:rPr>
          <w:fldChar w:fldCharType="begin"/>
        </w:r>
        <w:r w:rsidR="00F050A9">
          <w:rPr>
            <w:webHidden/>
          </w:rPr>
          <w:instrText xml:space="preserve"> PAGEREF _Toc146605977 \h </w:instrText>
        </w:r>
        <w:r w:rsidR="00F050A9">
          <w:rPr>
            <w:webHidden/>
          </w:rPr>
        </w:r>
        <w:r w:rsidR="00F050A9">
          <w:rPr>
            <w:webHidden/>
          </w:rPr>
          <w:fldChar w:fldCharType="separate"/>
        </w:r>
        <w:r w:rsidR="00F050A9">
          <w:rPr>
            <w:webHidden/>
          </w:rPr>
          <w:t>8</w:t>
        </w:r>
        <w:r w:rsidR="00F050A9">
          <w:rPr>
            <w:webHidden/>
          </w:rPr>
          <w:fldChar w:fldCharType="end"/>
        </w:r>
      </w:hyperlink>
    </w:p>
    <w:p w14:paraId="41B06248" w14:textId="6A25BF5C" w:rsidR="00F050A9" w:rsidRDefault="00133EF8" w:rsidP="00F050A9">
      <w:pPr>
        <w:pStyle w:val="TOC1"/>
        <w:rPr>
          <w:rFonts w:asciiTheme="minorHAnsi" w:eastAsiaTheme="minorEastAsia" w:hAnsiTheme="minorHAnsi" w:cstheme="minorBidi"/>
          <w:sz w:val="22"/>
          <w:szCs w:val="22"/>
        </w:rPr>
      </w:pPr>
      <w:hyperlink w:anchor="_Toc146605978" w:history="1">
        <w:r w:rsidR="00F050A9" w:rsidRPr="00447915">
          <w:rPr>
            <w:rStyle w:val="Hyperlink"/>
          </w:rPr>
          <w:t>The Board and senior management</w:t>
        </w:r>
        <w:r w:rsidR="00F050A9">
          <w:rPr>
            <w:webHidden/>
          </w:rPr>
          <w:tab/>
        </w:r>
        <w:r w:rsidR="00F050A9">
          <w:rPr>
            <w:webHidden/>
          </w:rPr>
          <w:fldChar w:fldCharType="begin"/>
        </w:r>
        <w:r w:rsidR="00F050A9">
          <w:rPr>
            <w:webHidden/>
          </w:rPr>
          <w:instrText xml:space="preserve"> PAGEREF _Toc146605978 \h </w:instrText>
        </w:r>
        <w:r w:rsidR="00F050A9">
          <w:rPr>
            <w:webHidden/>
          </w:rPr>
        </w:r>
        <w:r w:rsidR="00F050A9">
          <w:rPr>
            <w:webHidden/>
          </w:rPr>
          <w:fldChar w:fldCharType="separate"/>
        </w:r>
        <w:r w:rsidR="00F050A9">
          <w:rPr>
            <w:webHidden/>
          </w:rPr>
          <w:t>8</w:t>
        </w:r>
        <w:r w:rsidR="00F050A9">
          <w:rPr>
            <w:webHidden/>
          </w:rPr>
          <w:fldChar w:fldCharType="end"/>
        </w:r>
      </w:hyperlink>
    </w:p>
    <w:p w14:paraId="26B72D96" w14:textId="4F5A3A17" w:rsidR="00F050A9" w:rsidRDefault="00133EF8" w:rsidP="00F050A9">
      <w:pPr>
        <w:pStyle w:val="TOC1"/>
        <w:rPr>
          <w:rFonts w:asciiTheme="minorHAnsi" w:eastAsiaTheme="minorEastAsia" w:hAnsiTheme="minorHAnsi" w:cstheme="minorBidi"/>
          <w:sz w:val="22"/>
          <w:szCs w:val="22"/>
        </w:rPr>
      </w:pPr>
      <w:hyperlink w:anchor="_Toc146605979" w:history="1">
        <w:r w:rsidR="00F050A9" w:rsidRPr="00447915">
          <w:rPr>
            <w:rStyle w:val="Hyperlink"/>
          </w:rPr>
          <w:t>Independence</w:t>
        </w:r>
        <w:r w:rsidR="00F050A9">
          <w:rPr>
            <w:webHidden/>
          </w:rPr>
          <w:tab/>
        </w:r>
        <w:r w:rsidR="00F050A9">
          <w:rPr>
            <w:webHidden/>
          </w:rPr>
          <w:fldChar w:fldCharType="begin"/>
        </w:r>
        <w:r w:rsidR="00F050A9">
          <w:rPr>
            <w:webHidden/>
          </w:rPr>
          <w:instrText xml:space="preserve"> PAGEREF _Toc146605979 \h </w:instrText>
        </w:r>
        <w:r w:rsidR="00F050A9">
          <w:rPr>
            <w:webHidden/>
          </w:rPr>
        </w:r>
        <w:r w:rsidR="00F050A9">
          <w:rPr>
            <w:webHidden/>
          </w:rPr>
          <w:fldChar w:fldCharType="separate"/>
        </w:r>
        <w:r w:rsidR="00F050A9">
          <w:rPr>
            <w:webHidden/>
          </w:rPr>
          <w:t>8</w:t>
        </w:r>
        <w:r w:rsidR="00F050A9">
          <w:rPr>
            <w:webHidden/>
          </w:rPr>
          <w:fldChar w:fldCharType="end"/>
        </w:r>
      </w:hyperlink>
    </w:p>
    <w:p w14:paraId="5C5CADA1" w14:textId="2146C925" w:rsidR="00F050A9" w:rsidRDefault="00133EF8" w:rsidP="00F050A9">
      <w:pPr>
        <w:pStyle w:val="TOC1"/>
        <w:rPr>
          <w:rFonts w:asciiTheme="minorHAnsi" w:eastAsiaTheme="minorEastAsia" w:hAnsiTheme="minorHAnsi" w:cstheme="minorBidi"/>
          <w:sz w:val="22"/>
          <w:szCs w:val="22"/>
        </w:rPr>
      </w:pPr>
      <w:hyperlink w:anchor="_Toc146605980" w:history="1">
        <w:r w:rsidR="00F050A9" w:rsidRPr="00447915">
          <w:rPr>
            <w:rStyle w:val="Hyperlink"/>
          </w:rPr>
          <w:t>Definition of non-executive director</w:t>
        </w:r>
        <w:r w:rsidR="00F050A9">
          <w:rPr>
            <w:webHidden/>
          </w:rPr>
          <w:tab/>
        </w:r>
        <w:r w:rsidR="00F050A9">
          <w:rPr>
            <w:webHidden/>
          </w:rPr>
          <w:fldChar w:fldCharType="begin"/>
        </w:r>
        <w:r w:rsidR="00F050A9">
          <w:rPr>
            <w:webHidden/>
          </w:rPr>
          <w:instrText xml:space="preserve"> PAGEREF _Toc146605980 \h </w:instrText>
        </w:r>
        <w:r w:rsidR="00F050A9">
          <w:rPr>
            <w:webHidden/>
          </w:rPr>
        </w:r>
        <w:r w:rsidR="00F050A9">
          <w:rPr>
            <w:webHidden/>
          </w:rPr>
          <w:fldChar w:fldCharType="separate"/>
        </w:r>
        <w:r w:rsidR="00F050A9">
          <w:rPr>
            <w:webHidden/>
          </w:rPr>
          <w:t>9</w:t>
        </w:r>
        <w:r w:rsidR="00F050A9">
          <w:rPr>
            <w:webHidden/>
          </w:rPr>
          <w:fldChar w:fldCharType="end"/>
        </w:r>
      </w:hyperlink>
    </w:p>
    <w:p w14:paraId="6A7DE708" w14:textId="1026835C" w:rsidR="00F050A9" w:rsidRDefault="00133EF8" w:rsidP="00F050A9">
      <w:pPr>
        <w:pStyle w:val="TOC1"/>
        <w:rPr>
          <w:rFonts w:asciiTheme="minorHAnsi" w:eastAsiaTheme="minorEastAsia" w:hAnsiTheme="minorHAnsi" w:cstheme="minorBidi"/>
          <w:sz w:val="22"/>
          <w:szCs w:val="22"/>
        </w:rPr>
      </w:pPr>
      <w:hyperlink w:anchor="_Toc146605981" w:history="1">
        <w:r w:rsidR="00F050A9" w:rsidRPr="00447915">
          <w:rPr>
            <w:rStyle w:val="Hyperlink"/>
          </w:rPr>
          <w:t>Board composition</w:t>
        </w:r>
        <w:r w:rsidR="00F050A9">
          <w:rPr>
            <w:webHidden/>
          </w:rPr>
          <w:tab/>
        </w:r>
        <w:r w:rsidR="00F050A9">
          <w:rPr>
            <w:webHidden/>
          </w:rPr>
          <w:fldChar w:fldCharType="begin"/>
        </w:r>
        <w:r w:rsidR="00F050A9">
          <w:rPr>
            <w:webHidden/>
          </w:rPr>
          <w:instrText xml:space="preserve"> PAGEREF _Toc146605981 \h </w:instrText>
        </w:r>
        <w:r w:rsidR="00F050A9">
          <w:rPr>
            <w:webHidden/>
          </w:rPr>
        </w:r>
        <w:r w:rsidR="00F050A9">
          <w:rPr>
            <w:webHidden/>
          </w:rPr>
          <w:fldChar w:fldCharType="separate"/>
        </w:r>
        <w:r w:rsidR="00F050A9">
          <w:rPr>
            <w:webHidden/>
          </w:rPr>
          <w:t>9</w:t>
        </w:r>
        <w:r w:rsidR="00F050A9">
          <w:rPr>
            <w:webHidden/>
          </w:rPr>
          <w:fldChar w:fldCharType="end"/>
        </w:r>
      </w:hyperlink>
    </w:p>
    <w:p w14:paraId="7B150D2C" w14:textId="0294712E" w:rsidR="00F050A9" w:rsidRDefault="00133EF8" w:rsidP="00F050A9">
      <w:pPr>
        <w:pStyle w:val="TOC1"/>
        <w:rPr>
          <w:rFonts w:asciiTheme="minorHAnsi" w:eastAsiaTheme="minorEastAsia" w:hAnsiTheme="minorHAnsi" w:cstheme="minorBidi"/>
          <w:sz w:val="22"/>
          <w:szCs w:val="22"/>
        </w:rPr>
      </w:pPr>
      <w:hyperlink w:anchor="_Toc146605982" w:history="1">
        <w:r w:rsidR="00F050A9" w:rsidRPr="00447915">
          <w:rPr>
            <w:rStyle w:val="Hyperlink"/>
          </w:rPr>
          <w:t>Board representation</w:t>
        </w:r>
        <w:r w:rsidR="00F050A9">
          <w:rPr>
            <w:webHidden/>
          </w:rPr>
          <w:tab/>
        </w:r>
        <w:r w:rsidR="00F050A9">
          <w:rPr>
            <w:webHidden/>
          </w:rPr>
          <w:fldChar w:fldCharType="begin"/>
        </w:r>
        <w:r w:rsidR="00F050A9">
          <w:rPr>
            <w:webHidden/>
          </w:rPr>
          <w:instrText xml:space="preserve"> PAGEREF _Toc146605982 \h </w:instrText>
        </w:r>
        <w:r w:rsidR="00F050A9">
          <w:rPr>
            <w:webHidden/>
          </w:rPr>
        </w:r>
        <w:r w:rsidR="00F050A9">
          <w:rPr>
            <w:webHidden/>
          </w:rPr>
          <w:fldChar w:fldCharType="separate"/>
        </w:r>
        <w:r w:rsidR="00F050A9">
          <w:rPr>
            <w:webHidden/>
          </w:rPr>
          <w:t>10</w:t>
        </w:r>
        <w:r w:rsidR="00F050A9">
          <w:rPr>
            <w:webHidden/>
          </w:rPr>
          <w:fldChar w:fldCharType="end"/>
        </w:r>
      </w:hyperlink>
    </w:p>
    <w:p w14:paraId="71A74712" w14:textId="68FBC31B" w:rsidR="00F050A9" w:rsidRDefault="00133EF8" w:rsidP="00F050A9">
      <w:pPr>
        <w:pStyle w:val="TOC1"/>
        <w:rPr>
          <w:rFonts w:asciiTheme="minorHAnsi" w:eastAsiaTheme="minorEastAsia" w:hAnsiTheme="minorHAnsi" w:cstheme="minorBidi"/>
          <w:sz w:val="22"/>
          <w:szCs w:val="22"/>
        </w:rPr>
      </w:pPr>
      <w:hyperlink w:anchor="_Toc146605983" w:history="1">
        <w:r w:rsidR="00F050A9" w:rsidRPr="00447915">
          <w:rPr>
            <w:rStyle w:val="Hyperlink"/>
          </w:rPr>
          <w:t>Locally incorporated APRA-regulated institutions that are subsidiaries of other APRA-regulated institutions or overseas equivalents</w:t>
        </w:r>
        <w:r w:rsidR="00F050A9">
          <w:rPr>
            <w:webHidden/>
          </w:rPr>
          <w:tab/>
        </w:r>
        <w:r w:rsidR="00F050A9">
          <w:rPr>
            <w:webHidden/>
          </w:rPr>
          <w:fldChar w:fldCharType="begin"/>
        </w:r>
        <w:r w:rsidR="00F050A9">
          <w:rPr>
            <w:webHidden/>
          </w:rPr>
          <w:instrText xml:space="preserve"> PAGEREF _Toc146605983 \h </w:instrText>
        </w:r>
        <w:r w:rsidR="00F050A9">
          <w:rPr>
            <w:webHidden/>
          </w:rPr>
        </w:r>
        <w:r w:rsidR="00F050A9">
          <w:rPr>
            <w:webHidden/>
          </w:rPr>
          <w:fldChar w:fldCharType="separate"/>
        </w:r>
        <w:r w:rsidR="00F050A9">
          <w:rPr>
            <w:webHidden/>
          </w:rPr>
          <w:t>10</w:t>
        </w:r>
        <w:r w:rsidR="00F050A9">
          <w:rPr>
            <w:webHidden/>
          </w:rPr>
          <w:fldChar w:fldCharType="end"/>
        </w:r>
      </w:hyperlink>
    </w:p>
    <w:p w14:paraId="395E6192" w14:textId="5B958E22" w:rsidR="00F050A9" w:rsidRDefault="00133EF8" w:rsidP="00F050A9">
      <w:pPr>
        <w:pStyle w:val="TOC1"/>
        <w:rPr>
          <w:rFonts w:asciiTheme="minorHAnsi" w:eastAsiaTheme="minorEastAsia" w:hAnsiTheme="minorHAnsi" w:cstheme="minorBidi"/>
          <w:sz w:val="22"/>
          <w:szCs w:val="22"/>
        </w:rPr>
      </w:pPr>
      <w:hyperlink w:anchor="_Toc146605984" w:history="1">
        <w:r w:rsidR="00F050A9" w:rsidRPr="00447915">
          <w:rPr>
            <w:rStyle w:val="Hyperlink"/>
          </w:rPr>
          <w:t>Subsidiaries of a parent that is not prudentially regulated</w:t>
        </w:r>
        <w:r w:rsidR="00F050A9">
          <w:rPr>
            <w:webHidden/>
          </w:rPr>
          <w:tab/>
        </w:r>
        <w:r w:rsidR="00F050A9">
          <w:rPr>
            <w:webHidden/>
          </w:rPr>
          <w:fldChar w:fldCharType="begin"/>
        </w:r>
        <w:r w:rsidR="00F050A9">
          <w:rPr>
            <w:webHidden/>
          </w:rPr>
          <w:instrText xml:space="preserve"> PAGEREF _Toc146605984 \h </w:instrText>
        </w:r>
        <w:r w:rsidR="00F050A9">
          <w:rPr>
            <w:webHidden/>
          </w:rPr>
        </w:r>
        <w:r w:rsidR="00F050A9">
          <w:rPr>
            <w:webHidden/>
          </w:rPr>
          <w:fldChar w:fldCharType="separate"/>
        </w:r>
        <w:r w:rsidR="00F050A9">
          <w:rPr>
            <w:webHidden/>
          </w:rPr>
          <w:t>11</w:t>
        </w:r>
        <w:r w:rsidR="00F050A9">
          <w:rPr>
            <w:webHidden/>
          </w:rPr>
          <w:fldChar w:fldCharType="end"/>
        </w:r>
      </w:hyperlink>
    </w:p>
    <w:p w14:paraId="74D1E465" w14:textId="28A833EC" w:rsidR="00F050A9" w:rsidRDefault="00133EF8" w:rsidP="00F050A9">
      <w:pPr>
        <w:pStyle w:val="TOC1"/>
        <w:rPr>
          <w:rFonts w:asciiTheme="minorHAnsi" w:eastAsiaTheme="minorEastAsia" w:hAnsiTheme="minorHAnsi" w:cstheme="minorBidi"/>
          <w:sz w:val="22"/>
          <w:szCs w:val="22"/>
        </w:rPr>
      </w:pPr>
      <w:hyperlink w:anchor="_Toc146605985" w:history="1">
        <w:r w:rsidR="00F050A9" w:rsidRPr="00447915">
          <w:rPr>
            <w:rStyle w:val="Hyperlink"/>
          </w:rPr>
          <w:t>Joint ventures</w:t>
        </w:r>
        <w:r w:rsidR="00F050A9">
          <w:rPr>
            <w:webHidden/>
          </w:rPr>
          <w:tab/>
        </w:r>
        <w:r w:rsidR="00F050A9">
          <w:rPr>
            <w:webHidden/>
          </w:rPr>
          <w:fldChar w:fldCharType="begin"/>
        </w:r>
        <w:r w:rsidR="00F050A9">
          <w:rPr>
            <w:webHidden/>
          </w:rPr>
          <w:instrText xml:space="preserve"> PAGEREF _Toc146605985 \h </w:instrText>
        </w:r>
        <w:r w:rsidR="00F050A9">
          <w:rPr>
            <w:webHidden/>
          </w:rPr>
        </w:r>
        <w:r w:rsidR="00F050A9">
          <w:rPr>
            <w:webHidden/>
          </w:rPr>
          <w:fldChar w:fldCharType="separate"/>
        </w:r>
        <w:r w:rsidR="00F050A9">
          <w:rPr>
            <w:webHidden/>
          </w:rPr>
          <w:t>11</w:t>
        </w:r>
        <w:r w:rsidR="00F050A9">
          <w:rPr>
            <w:webHidden/>
          </w:rPr>
          <w:fldChar w:fldCharType="end"/>
        </w:r>
      </w:hyperlink>
    </w:p>
    <w:p w14:paraId="3333E609" w14:textId="6BF9FA0A" w:rsidR="00F050A9" w:rsidRDefault="00133EF8" w:rsidP="00F050A9">
      <w:pPr>
        <w:pStyle w:val="TOC1"/>
        <w:rPr>
          <w:rFonts w:asciiTheme="minorHAnsi" w:eastAsiaTheme="minorEastAsia" w:hAnsiTheme="minorHAnsi" w:cstheme="minorBidi"/>
          <w:sz w:val="22"/>
          <w:szCs w:val="22"/>
        </w:rPr>
      </w:pPr>
      <w:hyperlink w:anchor="_Toc146605986" w:history="1">
        <w:r w:rsidR="00F050A9" w:rsidRPr="00447915">
          <w:rPr>
            <w:rStyle w:val="Hyperlink"/>
          </w:rPr>
          <w:t>APRA-regulated institutions that are part of a group or any other corporate group</w:t>
        </w:r>
        <w:r w:rsidR="00F050A9">
          <w:rPr>
            <w:webHidden/>
          </w:rPr>
          <w:tab/>
        </w:r>
        <w:r w:rsidR="00F050A9">
          <w:rPr>
            <w:webHidden/>
          </w:rPr>
          <w:fldChar w:fldCharType="begin"/>
        </w:r>
        <w:r w:rsidR="00F050A9">
          <w:rPr>
            <w:webHidden/>
          </w:rPr>
          <w:instrText xml:space="preserve"> PAGEREF _Toc146605986 \h </w:instrText>
        </w:r>
        <w:r w:rsidR="00F050A9">
          <w:rPr>
            <w:webHidden/>
          </w:rPr>
        </w:r>
        <w:r w:rsidR="00F050A9">
          <w:rPr>
            <w:webHidden/>
          </w:rPr>
          <w:fldChar w:fldCharType="separate"/>
        </w:r>
        <w:r w:rsidR="00F050A9">
          <w:rPr>
            <w:webHidden/>
          </w:rPr>
          <w:t>11</w:t>
        </w:r>
        <w:r w:rsidR="00F050A9">
          <w:rPr>
            <w:webHidden/>
          </w:rPr>
          <w:fldChar w:fldCharType="end"/>
        </w:r>
      </w:hyperlink>
    </w:p>
    <w:p w14:paraId="690CBE1C" w14:textId="176906A0" w:rsidR="00F050A9" w:rsidRDefault="00133EF8" w:rsidP="00F050A9">
      <w:pPr>
        <w:pStyle w:val="TOC1"/>
        <w:rPr>
          <w:rFonts w:asciiTheme="minorHAnsi" w:eastAsiaTheme="minorEastAsia" w:hAnsiTheme="minorHAnsi" w:cstheme="minorBidi"/>
          <w:sz w:val="22"/>
          <w:szCs w:val="22"/>
        </w:rPr>
      </w:pPr>
      <w:hyperlink w:anchor="_Toc146605987" w:history="1">
        <w:r w:rsidR="00F050A9" w:rsidRPr="00447915">
          <w:rPr>
            <w:rStyle w:val="Hyperlink"/>
          </w:rPr>
          <w:t>Entities that are part of a group that are not APRA-regulated institutions</w:t>
        </w:r>
        <w:r w:rsidR="00F050A9">
          <w:rPr>
            <w:webHidden/>
          </w:rPr>
          <w:tab/>
        </w:r>
        <w:r w:rsidR="00F050A9">
          <w:rPr>
            <w:webHidden/>
          </w:rPr>
          <w:fldChar w:fldCharType="begin"/>
        </w:r>
        <w:r w:rsidR="00F050A9">
          <w:rPr>
            <w:webHidden/>
          </w:rPr>
          <w:instrText xml:space="preserve"> PAGEREF _Toc146605987 \h </w:instrText>
        </w:r>
        <w:r w:rsidR="00F050A9">
          <w:rPr>
            <w:webHidden/>
          </w:rPr>
        </w:r>
        <w:r w:rsidR="00F050A9">
          <w:rPr>
            <w:webHidden/>
          </w:rPr>
          <w:fldChar w:fldCharType="separate"/>
        </w:r>
        <w:r w:rsidR="00F050A9">
          <w:rPr>
            <w:webHidden/>
          </w:rPr>
          <w:t>11</w:t>
        </w:r>
        <w:r w:rsidR="00F050A9">
          <w:rPr>
            <w:webHidden/>
          </w:rPr>
          <w:fldChar w:fldCharType="end"/>
        </w:r>
      </w:hyperlink>
    </w:p>
    <w:p w14:paraId="28E62605" w14:textId="41163D63" w:rsidR="00F050A9" w:rsidRDefault="00133EF8" w:rsidP="00F050A9">
      <w:pPr>
        <w:pStyle w:val="TOC1"/>
        <w:rPr>
          <w:rFonts w:asciiTheme="minorHAnsi" w:eastAsiaTheme="minorEastAsia" w:hAnsiTheme="minorHAnsi" w:cstheme="minorBidi"/>
          <w:sz w:val="22"/>
          <w:szCs w:val="22"/>
        </w:rPr>
      </w:pPr>
      <w:hyperlink w:anchor="_Toc146605988" w:history="1">
        <w:r w:rsidR="00F050A9" w:rsidRPr="00447915">
          <w:rPr>
            <w:rStyle w:val="Hyperlink"/>
          </w:rPr>
          <w:t>Board performance assessment</w:t>
        </w:r>
        <w:r w:rsidR="00F050A9">
          <w:rPr>
            <w:webHidden/>
          </w:rPr>
          <w:tab/>
        </w:r>
        <w:r w:rsidR="00F050A9">
          <w:rPr>
            <w:webHidden/>
          </w:rPr>
          <w:fldChar w:fldCharType="begin"/>
        </w:r>
        <w:r w:rsidR="00F050A9">
          <w:rPr>
            <w:webHidden/>
          </w:rPr>
          <w:instrText xml:space="preserve"> PAGEREF _Toc146605988 \h </w:instrText>
        </w:r>
        <w:r w:rsidR="00F050A9">
          <w:rPr>
            <w:webHidden/>
          </w:rPr>
        </w:r>
        <w:r w:rsidR="00F050A9">
          <w:rPr>
            <w:webHidden/>
          </w:rPr>
          <w:fldChar w:fldCharType="separate"/>
        </w:r>
        <w:r w:rsidR="00F050A9">
          <w:rPr>
            <w:webHidden/>
          </w:rPr>
          <w:t>11</w:t>
        </w:r>
        <w:r w:rsidR="00F050A9">
          <w:rPr>
            <w:webHidden/>
          </w:rPr>
          <w:fldChar w:fldCharType="end"/>
        </w:r>
      </w:hyperlink>
    </w:p>
    <w:p w14:paraId="204D4C3C" w14:textId="14F5D488" w:rsidR="00F050A9" w:rsidRDefault="00133EF8" w:rsidP="00F050A9">
      <w:pPr>
        <w:pStyle w:val="TOC1"/>
        <w:rPr>
          <w:rFonts w:asciiTheme="minorHAnsi" w:eastAsiaTheme="minorEastAsia" w:hAnsiTheme="minorHAnsi" w:cstheme="minorBidi"/>
          <w:sz w:val="22"/>
          <w:szCs w:val="22"/>
        </w:rPr>
      </w:pPr>
      <w:hyperlink w:anchor="_Toc146605989" w:history="1">
        <w:r w:rsidR="00F050A9" w:rsidRPr="00447915">
          <w:rPr>
            <w:rStyle w:val="Hyperlink"/>
          </w:rPr>
          <w:t>Board renewal</w:t>
        </w:r>
        <w:r w:rsidR="00F050A9">
          <w:rPr>
            <w:webHidden/>
          </w:rPr>
          <w:tab/>
        </w:r>
        <w:r w:rsidR="00F050A9">
          <w:rPr>
            <w:webHidden/>
          </w:rPr>
          <w:fldChar w:fldCharType="begin"/>
        </w:r>
        <w:r w:rsidR="00F050A9">
          <w:rPr>
            <w:webHidden/>
          </w:rPr>
          <w:instrText xml:space="preserve"> PAGEREF _Toc146605989 \h </w:instrText>
        </w:r>
        <w:r w:rsidR="00F050A9">
          <w:rPr>
            <w:webHidden/>
          </w:rPr>
        </w:r>
        <w:r w:rsidR="00F050A9">
          <w:rPr>
            <w:webHidden/>
          </w:rPr>
          <w:fldChar w:fldCharType="separate"/>
        </w:r>
        <w:r w:rsidR="00F050A9">
          <w:rPr>
            <w:webHidden/>
          </w:rPr>
          <w:t>11</w:t>
        </w:r>
        <w:r w:rsidR="00F050A9">
          <w:rPr>
            <w:webHidden/>
          </w:rPr>
          <w:fldChar w:fldCharType="end"/>
        </w:r>
      </w:hyperlink>
    </w:p>
    <w:p w14:paraId="50725909" w14:textId="2E2D02E4" w:rsidR="00F050A9" w:rsidRDefault="00133EF8">
      <w:pPr>
        <w:pStyle w:val="TOC1"/>
        <w:rPr>
          <w:rFonts w:asciiTheme="minorHAnsi" w:eastAsiaTheme="minorEastAsia" w:hAnsiTheme="minorHAnsi" w:cstheme="minorBidi"/>
          <w:sz w:val="22"/>
          <w:szCs w:val="22"/>
        </w:rPr>
      </w:pPr>
      <w:hyperlink w:anchor="_Toc146605990" w:history="1">
        <w:r w:rsidR="00F050A9" w:rsidRPr="00447915">
          <w:rPr>
            <w:rStyle w:val="Hyperlink"/>
          </w:rPr>
          <w:t>B.</w:t>
        </w:r>
        <w:r w:rsidR="00F050A9">
          <w:rPr>
            <w:rFonts w:asciiTheme="minorHAnsi" w:eastAsiaTheme="minorEastAsia" w:hAnsiTheme="minorHAnsi" w:cstheme="minorBidi"/>
            <w:sz w:val="22"/>
            <w:szCs w:val="22"/>
          </w:rPr>
          <w:tab/>
        </w:r>
        <w:r w:rsidR="00F050A9" w:rsidRPr="00447915">
          <w:rPr>
            <w:rStyle w:val="Hyperlink"/>
          </w:rPr>
          <w:t>Governance arrangements – foreign ADIs, Category C insurers and EFLICs</w:t>
        </w:r>
        <w:r w:rsidR="00F050A9">
          <w:rPr>
            <w:webHidden/>
          </w:rPr>
          <w:tab/>
        </w:r>
        <w:r w:rsidR="00F050A9">
          <w:rPr>
            <w:webHidden/>
          </w:rPr>
          <w:fldChar w:fldCharType="begin"/>
        </w:r>
        <w:r w:rsidR="00F050A9">
          <w:rPr>
            <w:webHidden/>
          </w:rPr>
          <w:instrText xml:space="preserve"> PAGEREF _Toc146605990 \h </w:instrText>
        </w:r>
        <w:r w:rsidR="00F050A9">
          <w:rPr>
            <w:webHidden/>
          </w:rPr>
        </w:r>
        <w:r w:rsidR="00F050A9">
          <w:rPr>
            <w:webHidden/>
          </w:rPr>
          <w:fldChar w:fldCharType="separate"/>
        </w:r>
        <w:r w:rsidR="00F050A9">
          <w:rPr>
            <w:webHidden/>
          </w:rPr>
          <w:t>12</w:t>
        </w:r>
        <w:r w:rsidR="00F050A9">
          <w:rPr>
            <w:webHidden/>
          </w:rPr>
          <w:fldChar w:fldCharType="end"/>
        </w:r>
      </w:hyperlink>
    </w:p>
    <w:p w14:paraId="4DCE93CC" w14:textId="22C199C9" w:rsidR="00F050A9" w:rsidRDefault="00133EF8">
      <w:pPr>
        <w:pStyle w:val="TOC1"/>
        <w:rPr>
          <w:rFonts w:asciiTheme="minorHAnsi" w:eastAsiaTheme="minorEastAsia" w:hAnsiTheme="minorHAnsi" w:cstheme="minorBidi"/>
          <w:sz w:val="22"/>
          <w:szCs w:val="22"/>
        </w:rPr>
      </w:pPr>
      <w:hyperlink w:anchor="_Toc146605992" w:history="1">
        <w:r w:rsidR="00F050A9" w:rsidRPr="00447915">
          <w:rPr>
            <w:rStyle w:val="Hyperlink"/>
          </w:rPr>
          <w:t>C.</w:t>
        </w:r>
        <w:r w:rsidR="00F050A9">
          <w:rPr>
            <w:rFonts w:asciiTheme="minorHAnsi" w:eastAsiaTheme="minorEastAsia" w:hAnsiTheme="minorHAnsi" w:cstheme="minorBidi"/>
            <w:sz w:val="22"/>
            <w:szCs w:val="22"/>
          </w:rPr>
          <w:tab/>
        </w:r>
        <w:r w:rsidR="00F050A9" w:rsidRPr="00447915">
          <w:rPr>
            <w:rStyle w:val="Hyperlink"/>
          </w:rPr>
          <w:t>Audit arrangements</w:t>
        </w:r>
        <w:r w:rsidR="00F050A9">
          <w:rPr>
            <w:webHidden/>
          </w:rPr>
          <w:tab/>
        </w:r>
        <w:r w:rsidR="00F050A9">
          <w:rPr>
            <w:webHidden/>
          </w:rPr>
          <w:fldChar w:fldCharType="begin"/>
        </w:r>
        <w:r w:rsidR="00F050A9">
          <w:rPr>
            <w:webHidden/>
          </w:rPr>
          <w:instrText xml:space="preserve"> PAGEREF _Toc146605992 \h </w:instrText>
        </w:r>
        <w:r w:rsidR="00F050A9">
          <w:rPr>
            <w:webHidden/>
          </w:rPr>
        </w:r>
        <w:r w:rsidR="00F050A9">
          <w:rPr>
            <w:webHidden/>
          </w:rPr>
          <w:fldChar w:fldCharType="separate"/>
        </w:r>
        <w:r w:rsidR="00F050A9">
          <w:rPr>
            <w:webHidden/>
          </w:rPr>
          <w:t>13</w:t>
        </w:r>
        <w:r w:rsidR="00F050A9">
          <w:rPr>
            <w:webHidden/>
          </w:rPr>
          <w:fldChar w:fldCharType="end"/>
        </w:r>
      </w:hyperlink>
    </w:p>
    <w:p w14:paraId="0908D7AC" w14:textId="33BEB7E1" w:rsidR="00F050A9" w:rsidRDefault="00133EF8" w:rsidP="00F050A9">
      <w:pPr>
        <w:pStyle w:val="TOC1"/>
        <w:rPr>
          <w:rFonts w:asciiTheme="minorHAnsi" w:eastAsiaTheme="minorEastAsia" w:hAnsiTheme="minorHAnsi" w:cstheme="minorBidi"/>
          <w:sz w:val="22"/>
          <w:szCs w:val="22"/>
        </w:rPr>
      </w:pPr>
      <w:hyperlink w:anchor="_Toc146605993" w:history="1">
        <w:r w:rsidR="00F050A9" w:rsidRPr="00447915">
          <w:rPr>
            <w:rStyle w:val="Hyperlink"/>
          </w:rPr>
          <w:t>Board Audit Committee</w:t>
        </w:r>
        <w:r w:rsidR="00F050A9">
          <w:rPr>
            <w:webHidden/>
          </w:rPr>
          <w:tab/>
        </w:r>
        <w:r w:rsidR="00F050A9">
          <w:rPr>
            <w:webHidden/>
          </w:rPr>
          <w:fldChar w:fldCharType="begin"/>
        </w:r>
        <w:r w:rsidR="00F050A9">
          <w:rPr>
            <w:webHidden/>
          </w:rPr>
          <w:instrText xml:space="preserve"> PAGEREF _Toc146605993 \h </w:instrText>
        </w:r>
        <w:r w:rsidR="00F050A9">
          <w:rPr>
            <w:webHidden/>
          </w:rPr>
        </w:r>
        <w:r w:rsidR="00F050A9">
          <w:rPr>
            <w:webHidden/>
          </w:rPr>
          <w:fldChar w:fldCharType="separate"/>
        </w:r>
        <w:r w:rsidR="00F050A9">
          <w:rPr>
            <w:webHidden/>
          </w:rPr>
          <w:t>13</w:t>
        </w:r>
        <w:r w:rsidR="00F050A9">
          <w:rPr>
            <w:webHidden/>
          </w:rPr>
          <w:fldChar w:fldCharType="end"/>
        </w:r>
      </w:hyperlink>
    </w:p>
    <w:p w14:paraId="33469DCE" w14:textId="594F1D4F" w:rsidR="00F050A9" w:rsidRDefault="00133EF8" w:rsidP="00F050A9">
      <w:pPr>
        <w:pStyle w:val="TOC1"/>
        <w:rPr>
          <w:rFonts w:asciiTheme="minorHAnsi" w:eastAsiaTheme="minorEastAsia" w:hAnsiTheme="minorHAnsi" w:cstheme="minorBidi"/>
          <w:sz w:val="22"/>
          <w:szCs w:val="22"/>
        </w:rPr>
      </w:pPr>
      <w:hyperlink w:anchor="_Toc146605994" w:history="1">
        <w:r w:rsidR="00F050A9" w:rsidRPr="00447915">
          <w:rPr>
            <w:rStyle w:val="Hyperlink"/>
          </w:rPr>
          <w:t>Internal audit</w:t>
        </w:r>
        <w:r w:rsidR="00F050A9">
          <w:rPr>
            <w:webHidden/>
          </w:rPr>
          <w:tab/>
        </w:r>
        <w:r w:rsidR="00F050A9">
          <w:rPr>
            <w:webHidden/>
          </w:rPr>
          <w:fldChar w:fldCharType="begin"/>
        </w:r>
        <w:r w:rsidR="00F050A9">
          <w:rPr>
            <w:webHidden/>
          </w:rPr>
          <w:instrText xml:space="preserve"> PAGEREF _Toc146605994 \h </w:instrText>
        </w:r>
        <w:r w:rsidR="00F050A9">
          <w:rPr>
            <w:webHidden/>
          </w:rPr>
        </w:r>
        <w:r w:rsidR="00F050A9">
          <w:rPr>
            <w:webHidden/>
          </w:rPr>
          <w:fldChar w:fldCharType="separate"/>
        </w:r>
        <w:r w:rsidR="00F050A9">
          <w:rPr>
            <w:webHidden/>
          </w:rPr>
          <w:t>14</w:t>
        </w:r>
        <w:r w:rsidR="00F050A9">
          <w:rPr>
            <w:webHidden/>
          </w:rPr>
          <w:fldChar w:fldCharType="end"/>
        </w:r>
      </w:hyperlink>
    </w:p>
    <w:p w14:paraId="3720A3C8" w14:textId="3784645B" w:rsidR="00F050A9" w:rsidRDefault="00133EF8" w:rsidP="00F050A9">
      <w:pPr>
        <w:pStyle w:val="TOC1"/>
        <w:rPr>
          <w:rFonts w:asciiTheme="minorHAnsi" w:eastAsiaTheme="minorEastAsia" w:hAnsiTheme="minorHAnsi" w:cstheme="minorBidi"/>
          <w:sz w:val="22"/>
          <w:szCs w:val="22"/>
        </w:rPr>
      </w:pPr>
      <w:hyperlink w:anchor="_Toc146605995" w:history="1">
        <w:r w:rsidR="00F050A9" w:rsidRPr="00447915">
          <w:rPr>
            <w:rStyle w:val="Hyperlink"/>
          </w:rPr>
          <w:t>Auditor independence</w:t>
        </w:r>
        <w:r w:rsidR="00F050A9">
          <w:rPr>
            <w:webHidden/>
          </w:rPr>
          <w:tab/>
        </w:r>
        <w:r w:rsidR="00F050A9">
          <w:rPr>
            <w:webHidden/>
          </w:rPr>
          <w:fldChar w:fldCharType="begin"/>
        </w:r>
        <w:r w:rsidR="00F050A9">
          <w:rPr>
            <w:webHidden/>
          </w:rPr>
          <w:instrText xml:space="preserve"> PAGEREF _Toc146605995 \h </w:instrText>
        </w:r>
        <w:r w:rsidR="00F050A9">
          <w:rPr>
            <w:webHidden/>
          </w:rPr>
        </w:r>
        <w:r w:rsidR="00F050A9">
          <w:rPr>
            <w:webHidden/>
          </w:rPr>
          <w:fldChar w:fldCharType="separate"/>
        </w:r>
        <w:r w:rsidR="00F050A9">
          <w:rPr>
            <w:webHidden/>
          </w:rPr>
          <w:t>15</w:t>
        </w:r>
        <w:r w:rsidR="00F050A9">
          <w:rPr>
            <w:webHidden/>
          </w:rPr>
          <w:fldChar w:fldCharType="end"/>
        </w:r>
      </w:hyperlink>
    </w:p>
    <w:p w14:paraId="7A37EF1E" w14:textId="0AB5631B" w:rsidR="00F050A9" w:rsidRDefault="00133EF8">
      <w:pPr>
        <w:pStyle w:val="TOC1"/>
        <w:rPr>
          <w:rFonts w:asciiTheme="minorHAnsi" w:eastAsiaTheme="minorEastAsia" w:hAnsiTheme="minorHAnsi" w:cstheme="minorBidi"/>
          <w:sz w:val="22"/>
          <w:szCs w:val="22"/>
        </w:rPr>
      </w:pPr>
      <w:hyperlink w:anchor="_Toc146605996" w:history="1">
        <w:r w:rsidR="00F050A9" w:rsidRPr="00447915">
          <w:rPr>
            <w:rStyle w:val="Hyperlink"/>
          </w:rPr>
          <w:t>D.</w:t>
        </w:r>
        <w:r w:rsidR="00F050A9">
          <w:rPr>
            <w:rFonts w:asciiTheme="minorHAnsi" w:eastAsiaTheme="minorEastAsia" w:hAnsiTheme="minorHAnsi" w:cstheme="minorBidi"/>
            <w:sz w:val="22"/>
            <w:szCs w:val="22"/>
          </w:rPr>
          <w:tab/>
        </w:r>
        <w:r w:rsidR="00F050A9" w:rsidRPr="00447915">
          <w:rPr>
            <w:rStyle w:val="Hyperlink"/>
          </w:rPr>
          <w:t>Board Risk Committee</w:t>
        </w:r>
        <w:r w:rsidR="00F050A9">
          <w:rPr>
            <w:webHidden/>
          </w:rPr>
          <w:tab/>
        </w:r>
        <w:r w:rsidR="00F050A9">
          <w:rPr>
            <w:webHidden/>
          </w:rPr>
          <w:fldChar w:fldCharType="begin"/>
        </w:r>
        <w:r w:rsidR="00F050A9">
          <w:rPr>
            <w:webHidden/>
          </w:rPr>
          <w:instrText xml:space="preserve"> PAGEREF _Toc146605996 \h </w:instrText>
        </w:r>
        <w:r w:rsidR="00F050A9">
          <w:rPr>
            <w:webHidden/>
          </w:rPr>
        </w:r>
        <w:r w:rsidR="00F050A9">
          <w:rPr>
            <w:webHidden/>
          </w:rPr>
          <w:fldChar w:fldCharType="separate"/>
        </w:r>
        <w:r w:rsidR="00F050A9">
          <w:rPr>
            <w:webHidden/>
          </w:rPr>
          <w:t>17</w:t>
        </w:r>
        <w:r w:rsidR="00F050A9">
          <w:rPr>
            <w:webHidden/>
          </w:rPr>
          <w:fldChar w:fldCharType="end"/>
        </w:r>
      </w:hyperlink>
    </w:p>
    <w:p w14:paraId="4EDD4C55" w14:textId="54C655EF" w:rsidR="00F050A9" w:rsidRDefault="00133EF8">
      <w:pPr>
        <w:pStyle w:val="TOC1"/>
        <w:rPr>
          <w:rFonts w:asciiTheme="minorHAnsi" w:eastAsiaTheme="minorEastAsia" w:hAnsiTheme="minorHAnsi" w:cstheme="minorBidi"/>
          <w:sz w:val="22"/>
          <w:szCs w:val="22"/>
        </w:rPr>
      </w:pPr>
      <w:hyperlink w:anchor="_Toc146605997" w:history="1">
        <w:r w:rsidR="00F050A9" w:rsidRPr="00447915">
          <w:rPr>
            <w:rStyle w:val="Hyperlink"/>
          </w:rPr>
          <w:t>E.</w:t>
        </w:r>
        <w:r w:rsidR="00F050A9">
          <w:rPr>
            <w:rFonts w:asciiTheme="minorHAnsi" w:eastAsiaTheme="minorEastAsia" w:hAnsiTheme="minorHAnsi" w:cstheme="minorBidi"/>
            <w:sz w:val="22"/>
            <w:szCs w:val="22"/>
          </w:rPr>
          <w:tab/>
        </w:r>
        <w:r w:rsidR="00F050A9" w:rsidRPr="00447915">
          <w:rPr>
            <w:rStyle w:val="Hyperlink"/>
          </w:rPr>
          <w:t>Other matters</w:t>
        </w:r>
        <w:r w:rsidR="00F050A9">
          <w:rPr>
            <w:webHidden/>
          </w:rPr>
          <w:tab/>
        </w:r>
        <w:r w:rsidR="00F050A9">
          <w:rPr>
            <w:webHidden/>
          </w:rPr>
          <w:fldChar w:fldCharType="begin"/>
        </w:r>
        <w:r w:rsidR="00F050A9">
          <w:rPr>
            <w:webHidden/>
          </w:rPr>
          <w:instrText xml:space="preserve"> PAGEREF _Toc146605997 \h </w:instrText>
        </w:r>
        <w:r w:rsidR="00F050A9">
          <w:rPr>
            <w:webHidden/>
          </w:rPr>
        </w:r>
        <w:r w:rsidR="00F050A9">
          <w:rPr>
            <w:webHidden/>
          </w:rPr>
          <w:fldChar w:fldCharType="separate"/>
        </w:r>
        <w:r w:rsidR="00F050A9">
          <w:rPr>
            <w:webHidden/>
          </w:rPr>
          <w:t>18</w:t>
        </w:r>
        <w:r w:rsidR="00F050A9">
          <w:rPr>
            <w:webHidden/>
          </w:rPr>
          <w:fldChar w:fldCharType="end"/>
        </w:r>
      </w:hyperlink>
    </w:p>
    <w:p w14:paraId="1AC62B3A" w14:textId="6309B17F" w:rsidR="00F050A9" w:rsidRDefault="00133EF8" w:rsidP="00F050A9">
      <w:pPr>
        <w:pStyle w:val="TOC1"/>
        <w:rPr>
          <w:rFonts w:asciiTheme="minorHAnsi" w:eastAsiaTheme="minorEastAsia" w:hAnsiTheme="minorHAnsi" w:cstheme="minorBidi"/>
          <w:sz w:val="22"/>
          <w:szCs w:val="22"/>
        </w:rPr>
      </w:pPr>
      <w:hyperlink w:anchor="_Toc146605998" w:history="1">
        <w:r w:rsidR="00F050A9" w:rsidRPr="00447915">
          <w:rPr>
            <w:rStyle w:val="Hyperlink"/>
          </w:rPr>
          <w:t>Persons not to be constrained from providing information to APRA</w:t>
        </w:r>
        <w:r w:rsidR="00F050A9">
          <w:rPr>
            <w:webHidden/>
          </w:rPr>
          <w:tab/>
        </w:r>
        <w:r w:rsidR="00F050A9">
          <w:rPr>
            <w:webHidden/>
          </w:rPr>
          <w:fldChar w:fldCharType="begin"/>
        </w:r>
        <w:r w:rsidR="00F050A9">
          <w:rPr>
            <w:webHidden/>
          </w:rPr>
          <w:instrText xml:space="preserve"> PAGEREF _Toc146605998 \h </w:instrText>
        </w:r>
        <w:r w:rsidR="00F050A9">
          <w:rPr>
            <w:webHidden/>
          </w:rPr>
        </w:r>
        <w:r w:rsidR="00F050A9">
          <w:rPr>
            <w:webHidden/>
          </w:rPr>
          <w:fldChar w:fldCharType="separate"/>
        </w:r>
        <w:r w:rsidR="00F050A9">
          <w:rPr>
            <w:webHidden/>
          </w:rPr>
          <w:t>18</w:t>
        </w:r>
        <w:r w:rsidR="00F050A9">
          <w:rPr>
            <w:webHidden/>
          </w:rPr>
          <w:fldChar w:fldCharType="end"/>
        </w:r>
      </w:hyperlink>
    </w:p>
    <w:p w14:paraId="3F751B73" w14:textId="07A4FED3" w:rsidR="00F050A9" w:rsidRDefault="00133EF8" w:rsidP="00F050A9">
      <w:pPr>
        <w:pStyle w:val="TOC1"/>
        <w:rPr>
          <w:rFonts w:asciiTheme="minorHAnsi" w:eastAsiaTheme="minorEastAsia" w:hAnsiTheme="minorHAnsi" w:cstheme="minorBidi"/>
          <w:sz w:val="22"/>
          <w:szCs w:val="22"/>
        </w:rPr>
      </w:pPr>
      <w:hyperlink w:anchor="_Toc146605999" w:history="1">
        <w:r w:rsidR="00F050A9" w:rsidRPr="00447915">
          <w:rPr>
            <w:rStyle w:val="Hyperlink"/>
          </w:rPr>
          <w:t>Adjustments and exclusions</w:t>
        </w:r>
        <w:r w:rsidR="00F050A9">
          <w:rPr>
            <w:webHidden/>
          </w:rPr>
          <w:tab/>
        </w:r>
        <w:r w:rsidR="00F050A9">
          <w:rPr>
            <w:webHidden/>
          </w:rPr>
          <w:fldChar w:fldCharType="begin"/>
        </w:r>
        <w:r w:rsidR="00F050A9">
          <w:rPr>
            <w:webHidden/>
          </w:rPr>
          <w:instrText xml:space="preserve"> PAGEREF _Toc146605999 \h </w:instrText>
        </w:r>
        <w:r w:rsidR="00F050A9">
          <w:rPr>
            <w:webHidden/>
          </w:rPr>
        </w:r>
        <w:r w:rsidR="00F050A9">
          <w:rPr>
            <w:webHidden/>
          </w:rPr>
          <w:fldChar w:fldCharType="separate"/>
        </w:r>
        <w:r w:rsidR="00F050A9">
          <w:rPr>
            <w:webHidden/>
          </w:rPr>
          <w:t>19</w:t>
        </w:r>
        <w:r w:rsidR="00F050A9">
          <w:rPr>
            <w:webHidden/>
          </w:rPr>
          <w:fldChar w:fldCharType="end"/>
        </w:r>
      </w:hyperlink>
    </w:p>
    <w:p w14:paraId="0AAADA48" w14:textId="5DAD3306" w:rsidR="00F050A9" w:rsidRDefault="00133EF8" w:rsidP="00F050A9">
      <w:pPr>
        <w:pStyle w:val="TOC1"/>
        <w:rPr>
          <w:rFonts w:asciiTheme="minorHAnsi" w:eastAsiaTheme="minorEastAsia" w:hAnsiTheme="minorHAnsi" w:cstheme="minorBidi"/>
          <w:sz w:val="22"/>
          <w:szCs w:val="22"/>
        </w:rPr>
      </w:pPr>
      <w:hyperlink w:anchor="_Toc146606000" w:history="1">
        <w:r w:rsidR="00F050A9" w:rsidRPr="00447915">
          <w:rPr>
            <w:rStyle w:val="Hyperlink"/>
          </w:rPr>
          <w:t>Determinations made under previous prudential standards</w:t>
        </w:r>
        <w:r w:rsidR="00F050A9">
          <w:rPr>
            <w:webHidden/>
          </w:rPr>
          <w:tab/>
        </w:r>
        <w:r w:rsidR="00F050A9">
          <w:rPr>
            <w:webHidden/>
          </w:rPr>
          <w:fldChar w:fldCharType="begin"/>
        </w:r>
        <w:r w:rsidR="00F050A9">
          <w:rPr>
            <w:webHidden/>
          </w:rPr>
          <w:instrText xml:space="preserve"> PAGEREF _Toc146606000 \h </w:instrText>
        </w:r>
        <w:r w:rsidR="00F050A9">
          <w:rPr>
            <w:webHidden/>
          </w:rPr>
        </w:r>
        <w:r w:rsidR="00F050A9">
          <w:rPr>
            <w:webHidden/>
          </w:rPr>
          <w:fldChar w:fldCharType="separate"/>
        </w:r>
        <w:r w:rsidR="00F050A9">
          <w:rPr>
            <w:webHidden/>
          </w:rPr>
          <w:t>19</w:t>
        </w:r>
        <w:r w:rsidR="00F050A9">
          <w:rPr>
            <w:webHidden/>
          </w:rPr>
          <w:fldChar w:fldCharType="end"/>
        </w:r>
      </w:hyperlink>
    </w:p>
    <w:p w14:paraId="5784A4EB" w14:textId="368C4FED" w:rsidR="00F050A9" w:rsidRDefault="00133EF8">
      <w:pPr>
        <w:pStyle w:val="TOC2"/>
        <w:rPr>
          <w:rFonts w:asciiTheme="minorHAnsi" w:eastAsiaTheme="minorEastAsia" w:hAnsiTheme="minorHAnsi" w:cstheme="minorBidi"/>
          <w:sz w:val="22"/>
          <w:szCs w:val="22"/>
        </w:rPr>
      </w:pPr>
      <w:hyperlink w:anchor="_Toc146606001" w:history="1">
        <w:r w:rsidR="00F050A9" w:rsidRPr="00447915">
          <w:rPr>
            <w:rStyle w:val="Hyperlink"/>
          </w:rPr>
          <w:t>Attachment A – Director Independence</w:t>
        </w:r>
        <w:r w:rsidR="00F050A9">
          <w:rPr>
            <w:webHidden/>
          </w:rPr>
          <w:tab/>
        </w:r>
        <w:r w:rsidR="00F050A9">
          <w:rPr>
            <w:webHidden/>
          </w:rPr>
          <w:fldChar w:fldCharType="begin"/>
        </w:r>
        <w:r w:rsidR="00F050A9">
          <w:rPr>
            <w:webHidden/>
          </w:rPr>
          <w:instrText xml:space="preserve"> PAGEREF _Toc146606001 \h </w:instrText>
        </w:r>
        <w:r w:rsidR="00F050A9">
          <w:rPr>
            <w:webHidden/>
          </w:rPr>
        </w:r>
        <w:r w:rsidR="00F050A9">
          <w:rPr>
            <w:webHidden/>
          </w:rPr>
          <w:fldChar w:fldCharType="separate"/>
        </w:r>
        <w:r w:rsidR="00F050A9">
          <w:rPr>
            <w:webHidden/>
          </w:rPr>
          <w:t>20</w:t>
        </w:r>
        <w:r w:rsidR="00F050A9">
          <w:rPr>
            <w:webHidden/>
          </w:rPr>
          <w:fldChar w:fldCharType="end"/>
        </w:r>
      </w:hyperlink>
    </w:p>
    <w:p w14:paraId="16B79E05" w14:textId="5A52E1C6" w:rsidR="00F050A9" w:rsidRDefault="00133EF8">
      <w:pPr>
        <w:pStyle w:val="TOC2"/>
        <w:rPr>
          <w:rFonts w:asciiTheme="minorHAnsi" w:eastAsiaTheme="minorEastAsia" w:hAnsiTheme="minorHAnsi" w:cstheme="minorBidi"/>
          <w:sz w:val="22"/>
          <w:szCs w:val="22"/>
        </w:rPr>
      </w:pPr>
      <w:hyperlink w:anchor="_Toc146606002" w:history="1">
        <w:r w:rsidR="00F050A9" w:rsidRPr="00447915">
          <w:rPr>
            <w:rStyle w:val="Hyperlink"/>
          </w:rPr>
          <w:t>Attachment B – Compliance Committee for eligible foreign life insurance companies</w:t>
        </w:r>
        <w:r w:rsidR="00F050A9">
          <w:rPr>
            <w:webHidden/>
          </w:rPr>
          <w:tab/>
        </w:r>
        <w:r w:rsidR="00F050A9">
          <w:rPr>
            <w:webHidden/>
          </w:rPr>
          <w:fldChar w:fldCharType="begin"/>
        </w:r>
        <w:r w:rsidR="00F050A9">
          <w:rPr>
            <w:webHidden/>
          </w:rPr>
          <w:instrText xml:space="preserve"> PAGEREF _Toc146606002 \h </w:instrText>
        </w:r>
        <w:r w:rsidR="00F050A9">
          <w:rPr>
            <w:webHidden/>
          </w:rPr>
        </w:r>
        <w:r w:rsidR="00F050A9">
          <w:rPr>
            <w:webHidden/>
          </w:rPr>
          <w:fldChar w:fldCharType="separate"/>
        </w:r>
        <w:r w:rsidR="00F050A9">
          <w:rPr>
            <w:webHidden/>
          </w:rPr>
          <w:t>21</w:t>
        </w:r>
        <w:r w:rsidR="00F050A9">
          <w:rPr>
            <w:webHidden/>
          </w:rPr>
          <w:fldChar w:fldCharType="end"/>
        </w:r>
      </w:hyperlink>
    </w:p>
    <w:p w14:paraId="1D35E6B5" w14:textId="789917DB" w:rsidR="00F050A9" w:rsidRDefault="00133EF8" w:rsidP="00F050A9">
      <w:pPr>
        <w:pStyle w:val="TOC1"/>
        <w:rPr>
          <w:rFonts w:asciiTheme="minorHAnsi" w:eastAsiaTheme="minorEastAsia" w:hAnsiTheme="minorHAnsi" w:cstheme="minorBidi"/>
          <w:sz w:val="22"/>
          <w:szCs w:val="22"/>
        </w:rPr>
      </w:pPr>
      <w:hyperlink w:anchor="_Toc146606003" w:history="1">
        <w:r w:rsidR="00F050A9" w:rsidRPr="00447915">
          <w:rPr>
            <w:rStyle w:val="Hyperlink"/>
          </w:rPr>
          <w:t>Purpose of the Compliance Committee</w:t>
        </w:r>
        <w:r w:rsidR="00F050A9">
          <w:rPr>
            <w:webHidden/>
          </w:rPr>
          <w:tab/>
        </w:r>
        <w:r w:rsidR="00F050A9">
          <w:rPr>
            <w:webHidden/>
          </w:rPr>
          <w:fldChar w:fldCharType="begin"/>
        </w:r>
        <w:r w:rsidR="00F050A9">
          <w:rPr>
            <w:webHidden/>
          </w:rPr>
          <w:instrText xml:space="preserve"> PAGEREF _Toc146606003 \h </w:instrText>
        </w:r>
        <w:r w:rsidR="00F050A9">
          <w:rPr>
            <w:webHidden/>
          </w:rPr>
        </w:r>
        <w:r w:rsidR="00F050A9">
          <w:rPr>
            <w:webHidden/>
          </w:rPr>
          <w:fldChar w:fldCharType="separate"/>
        </w:r>
        <w:r w:rsidR="00F050A9">
          <w:rPr>
            <w:webHidden/>
          </w:rPr>
          <w:t>21</w:t>
        </w:r>
        <w:r w:rsidR="00F050A9">
          <w:rPr>
            <w:webHidden/>
          </w:rPr>
          <w:fldChar w:fldCharType="end"/>
        </w:r>
      </w:hyperlink>
    </w:p>
    <w:p w14:paraId="37E06CC5" w14:textId="4C377648" w:rsidR="00F050A9" w:rsidRDefault="00133EF8" w:rsidP="00F050A9">
      <w:pPr>
        <w:pStyle w:val="TOC1"/>
        <w:rPr>
          <w:rFonts w:asciiTheme="minorHAnsi" w:eastAsiaTheme="minorEastAsia" w:hAnsiTheme="minorHAnsi" w:cstheme="minorBidi"/>
          <w:sz w:val="22"/>
          <w:szCs w:val="22"/>
        </w:rPr>
      </w:pPr>
      <w:hyperlink w:anchor="_Toc146606004" w:history="1">
        <w:r w:rsidR="00F050A9" w:rsidRPr="00447915">
          <w:rPr>
            <w:rStyle w:val="Hyperlink"/>
          </w:rPr>
          <w:t>Continuing responsibility of the Board</w:t>
        </w:r>
        <w:r w:rsidR="00F050A9">
          <w:rPr>
            <w:webHidden/>
          </w:rPr>
          <w:tab/>
        </w:r>
        <w:r w:rsidR="00F050A9">
          <w:rPr>
            <w:webHidden/>
          </w:rPr>
          <w:fldChar w:fldCharType="begin"/>
        </w:r>
        <w:r w:rsidR="00F050A9">
          <w:rPr>
            <w:webHidden/>
          </w:rPr>
          <w:instrText xml:space="preserve"> PAGEREF _Toc146606004 \h </w:instrText>
        </w:r>
        <w:r w:rsidR="00F050A9">
          <w:rPr>
            <w:webHidden/>
          </w:rPr>
        </w:r>
        <w:r w:rsidR="00F050A9">
          <w:rPr>
            <w:webHidden/>
          </w:rPr>
          <w:fldChar w:fldCharType="separate"/>
        </w:r>
        <w:r w:rsidR="00F050A9">
          <w:rPr>
            <w:webHidden/>
          </w:rPr>
          <w:t>21</w:t>
        </w:r>
        <w:r w:rsidR="00F050A9">
          <w:rPr>
            <w:webHidden/>
          </w:rPr>
          <w:fldChar w:fldCharType="end"/>
        </w:r>
      </w:hyperlink>
    </w:p>
    <w:p w14:paraId="37B99231" w14:textId="7755373C" w:rsidR="00F050A9" w:rsidRDefault="00133EF8" w:rsidP="00F050A9">
      <w:pPr>
        <w:pStyle w:val="TOC1"/>
        <w:rPr>
          <w:rFonts w:asciiTheme="minorHAnsi" w:eastAsiaTheme="minorEastAsia" w:hAnsiTheme="minorHAnsi" w:cstheme="minorBidi"/>
          <w:sz w:val="22"/>
          <w:szCs w:val="22"/>
        </w:rPr>
      </w:pPr>
      <w:hyperlink w:anchor="_Toc146606005" w:history="1">
        <w:r w:rsidR="00F050A9" w:rsidRPr="00447915">
          <w:rPr>
            <w:rStyle w:val="Hyperlink"/>
          </w:rPr>
          <w:t>Composition and residency status of Committee members</w:t>
        </w:r>
        <w:r w:rsidR="00F050A9">
          <w:rPr>
            <w:webHidden/>
          </w:rPr>
          <w:tab/>
        </w:r>
        <w:r w:rsidR="00F050A9">
          <w:rPr>
            <w:webHidden/>
          </w:rPr>
          <w:fldChar w:fldCharType="begin"/>
        </w:r>
        <w:r w:rsidR="00F050A9">
          <w:rPr>
            <w:webHidden/>
          </w:rPr>
          <w:instrText xml:space="preserve"> PAGEREF _Toc146606005 \h </w:instrText>
        </w:r>
        <w:r w:rsidR="00F050A9">
          <w:rPr>
            <w:webHidden/>
          </w:rPr>
        </w:r>
        <w:r w:rsidR="00F050A9">
          <w:rPr>
            <w:webHidden/>
          </w:rPr>
          <w:fldChar w:fldCharType="separate"/>
        </w:r>
        <w:r w:rsidR="00F050A9">
          <w:rPr>
            <w:webHidden/>
          </w:rPr>
          <w:t>21</w:t>
        </w:r>
        <w:r w:rsidR="00F050A9">
          <w:rPr>
            <w:webHidden/>
          </w:rPr>
          <w:fldChar w:fldCharType="end"/>
        </w:r>
      </w:hyperlink>
    </w:p>
    <w:p w14:paraId="652A265C" w14:textId="6200EF59" w:rsidR="00F050A9" w:rsidRDefault="00133EF8" w:rsidP="00F050A9">
      <w:pPr>
        <w:pStyle w:val="TOC1"/>
        <w:rPr>
          <w:rFonts w:asciiTheme="minorHAnsi" w:eastAsiaTheme="minorEastAsia" w:hAnsiTheme="minorHAnsi" w:cstheme="minorBidi"/>
          <w:sz w:val="22"/>
          <w:szCs w:val="22"/>
        </w:rPr>
      </w:pPr>
      <w:hyperlink w:anchor="_Toc146606006" w:history="1">
        <w:r w:rsidR="00F050A9" w:rsidRPr="00447915">
          <w:rPr>
            <w:rStyle w:val="Hyperlink"/>
          </w:rPr>
          <w:t>Application for a modified Committee composition</w:t>
        </w:r>
        <w:r w:rsidR="00F050A9">
          <w:rPr>
            <w:webHidden/>
          </w:rPr>
          <w:tab/>
        </w:r>
        <w:r w:rsidR="00F050A9">
          <w:rPr>
            <w:webHidden/>
          </w:rPr>
          <w:fldChar w:fldCharType="begin"/>
        </w:r>
        <w:r w:rsidR="00F050A9">
          <w:rPr>
            <w:webHidden/>
          </w:rPr>
          <w:instrText xml:space="preserve"> PAGEREF _Toc146606006 \h </w:instrText>
        </w:r>
        <w:r w:rsidR="00F050A9">
          <w:rPr>
            <w:webHidden/>
          </w:rPr>
        </w:r>
        <w:r w:rsidR="00F050A9">
          <w:rPr>
            <w:webHidden/>
          </w:rPr>
          <w:fldChar w:fldCharType="separate"/>
        </w:r>
        <w:r w:rsidR="00F050A9">
          <w:rPr>
            <w:webHidden/>
          </w:rPr>
          <w:t>22</w:t>
        </w:r>
        <w:r w:rsidR="00F050A9">
          <w:rPr>
            <w:webHidden/>
          </w:rPr>
          <w:fldChar w:fldCharType="end"/>
        </w:r>
      </w:hyperlink>
    </w:p>
    <w:p w14:paraId="1D0E78FB" w14:textId="47185A18" w:rsidR="00F050A9" w:rsidRDefault="00133EF8" w:rsidP="00F050A9">
      <w:pPr>
        <w:pStyle w:val="TOC1"/>
        <w:rPr>
          <w:rFonts w:asciiTheme="minorHAnsi" w:eastAsiaTheme="minorEastAsia" w:hAnsiTheme="minorHAnsi" w:cstheme="minorBidi"/>
          <w:sz w:val="22"/>
          <w:szCs w:val="22"/>
        </w:rPr>
      </w:pPr>
      <w:hyperlink w:anchor="_Toc146606007" w:history="1">
        <w:r w:rsidR="00F050A9" w:rsidRPr="00447915">
          <w:rPr>
            <w:rStyle w:val="Hyperlink"/>
          </w:rPr>
          <w:t>Appointment and removal of Committee members</w:t>
        </w:r>
        <w:r w:rsidR="00F050A9">
          <w:rPr>
            <w:webHidden/>
          </w:rPr>
          <w:tab/>
        </w:r>
        <w:r w:rsidR="00F050A9">
          <w:rPr>
            <w:webHidden/>
          </w:rPr>
          <w:fldChar w:fldCharType="begin"/>
        </w:r>
        <w:r w:rsidR="00F050A9">
          <w:rPr>
            <w:webHidden/>
          </w:rPr>
          <w:instrText xml:space="preserve"> PAGEREF _Toc146606007 \h </w:instrText>
        </w:r>
        <w:r w:rsidR="00F050A9">
          <w:rPr>
            <w:webHidden/>
          </w:rPr>
        </w:r>
        <w:r w:rsidR="00F050A9">
          <w:rPr>
            <w:webHidden/>
          </w:rPr>
          <w:fldChar w:fldCharType="separate"/>
        </w:r>
        <w:r w:rsidR="00F050A9">
          <w:rPr>
            <w:webHidden/>
          </w:rPr>
          <w:t>22</w:t>
        </w:r>
        <w:r w:rsidR="00F050A9">
          <w:rPr>
            <w:webHidden/>
          </w:rPr>
          <w:fldChar w:fldCharType="end"/>
        </w:r>
      </w:hyperlink>
    </w:p>
    <w:p w14:paraId="4F43FBB1" w14:textId="19B9B963" w:rsidR="00F050A9" w:rsidRDefault="00133EF8" w:rsidP="00F050A9">
      <w:pPr>
        <w:pStyle w:val="TOC1"/>
        <w:rPr>
          <w:rFonts w:asciiTheme="minorHAnsi" w:eastAsiaTheme="minorEastAsia" w:hAnsiTheme="minorHAnsi" w:cstheme="minorBidi"/>
          <w:sz w:val="22"/>
          <w:szCs w:val="22"/>
        </w:rPr>
      </w:pPr>
      <w:hyperlink w:anchor="_Toc146606008" w:history="1">
        <w:r w:rsidR="00F050A9" w:rsidRPr="00447915">
          <w:rPr>
            <w:rStyle w:val="Hyperlink"/>
          </w:rPr>
          <w:t>Processes of the Committee</w:t>
        </w:r>
        <w:r w:rsidR="00F050A9">
          <w:rPr>
            <w:webHidden/>
          </w:rPr>
          <w:tab/>
        </w:r>
        <w:r w:rsidR="00F050A9">
          <w:rPr>
            <w:webHidden/>
          </w:rPr>
          <w:fldChar w:fldCharType="begin"/>
        </w:r>
        <w:r w:rsidR="00F050A9">
          <w:rPr>
            <w:webHidden/>
          </w:rPr>
          <w:instrText xml:space="preserve"> PAGEREF _Toc146606008 \h </w:instrText>
        </w:r>
        <w:r w:rsidR="00F050A9">
          <w:rPr>
            <w:webHidden/>
          </w:rPr>
        </w:r>
        <w:r w:rsidR="00F050A9">
          <w:rPr>
            <w:webHidden/>
          </w:rPr>
          <w:fldChar w:fldCharType="separate"/>
        </w:r>
        <w:r w:rsidR="00F050A9">
          <w:rPr>
            <w:webHidden/>
          </w:rPr>
          <w:t>23</w:t>
        </w:r>
        <w:r w:rsidR="00F050A9">
          <w:rPr>
            <w:webHidden/>
          </w:rPr>
          <w:fldChar w:fldCharType="end"/>
        </w:r>
      </w:hyperlink>
    </w:p>
    <w:p w14:paraId="7E1B8C37" w14:textId="2335A5BD" w:rsidR="00F050A9" w:rsidRDefault="00133EF8" w:rsidP="00F050A9">
      <w:pPr>
        <w:pStyle w:val="TOC1"/>
        <w:rPr>
          <w:rFonts w:asciiTheme="minorHAnsi" w:eastAsiaTheme="minorEastAsia" w:hAnsiTheme="minorHAnsi" w:cstheme="minorBidi"/>
          <w:sz w:val="22"/>
          <w:szCs w:val="22"/>
        </w:rPr>
      </w:pPr>
      <w:hyperlink w:anchor="_Toc146606009" w:history="1">
        <w:r w:rsidR="00F050A9" w:rsidRPr="00447915">
          <w:rPr>
            <w:rStyle w:val="Hyperlink"/>
          </w:rPr>
          <w:t xml:space="preserve">Duties and </w:t>
        </w:r>
        <w:r w:rsidR="00F050A9" w:rsidRPr="00447915">
          <w:rPr>
            <w:rStyle w:val="Hyperlink"/>
            <w:rFonts w:cs="Arial"/>
          </w:rPr>
          <w:t>responsibilities</w:t>
        </w:r>
        <w:r w:rsidR="00F050A9" w:rsidRPr="00447915">
          <w:rPr>
            <w:rStyle w:val="Hyperlink"/>
          </w:rPr>
          <w:t xml:space="preserve"> of the Committee</w:t>
        </w:r>
        <w:r w:rsidR="00F050A9">
          <w:rPr>
            <w:webHidden/>
          </w:rPr>
          <w:tab/>
        </w:r>
        <w:r w:rsidR="00F050A9">
          <w:rPr>
            <w:webHidden/>
          </w:rPr>
          <w:fldChar w:fldCharType="begin"/>
        </w:r>
        <w:r w:rsidR="00F050A9">
          <w:rPr>
            <w:webHidden/>
          </w:rPr>
          <w:instrText xml:space="preserve"> PAGEREF _Toc146606009 \h </w:instrText>
        </w:r>
        <w:r w:rsidR="00F050A9">
          <w:rPr>
            <w:webHidden/>
          </w:rPr>
        </w:r>
        <w:r w:rsidR="00F050A9">
          <w:rPr>
            <w:webHidden/>
          </w:rPr>
          <w:fldChar w:fldCharType="separate"/>
        </w:r>
        <w:r w:rsidR="00F050A9">
          <w:rPr>
            <w:webHidden/>
          </w:rPr>
          <w:t>24</w:t>
        </w:r>
        <w:r w:rsidR="00F050A9">
          <w:rPr>
            <w:webHidden/>
          </w:rPr>
          <w:fldChar w:fldCharType="end"/>
        </w:r>
      </w:hyperlink>
    </w:p>
    <w:p w14:paraId="02D5EB31" w14:textId="01DF0ECC" w:rsidR="00B239E0" w:rsidRDefault="00B239E0" w:rsidP="00B239E0">
      <w:pPr>
        <w:pStyle w:val="NoSpacing"/>
      </w:pPr>
      <w:r>
        <w:fldChar w:fldCharType="end"/>
      </w:r>
      <w:bookmarkStart w:id="10" w:name="_Toc326937698"/>
      <w:bookmarkStart w:id="11" w:name="_Toc326938615"/>
      <w:bookmarkStart w:id="12" w:name="_Toc326938830"/>
      <w:bookmarkEnd w:id="7"/>
      <w:bookmarkEnd w:id="8"/>
    </w:p>
    <w:p w14:paraId="63AC7943" w14:textId="77777777" w:rsidR="00B239E0" w:rsidRPr="00DF3F58" w:rsidRDefault="00B239E0" w:rsidP="00B239E0">
      <w:pPr>
        <w:pStyle w:val="Heading1"/>
        <w:sectPr w:rsidR="00B239E0" w:rsidRPr="00DF3F58" w:rsidSect="00C74278">
          <w:headerReference w:type="default" r:id="rId14"/>
          <w:footerReference w:type="default" r:id="rId15"/>
          <w:pgSz w:w="11906" w:h="16838" w:code="9"/>
          <w:pgMar w:top="1440" w:right="1797" w:bottom="1440" w:left="1797" w:header="709" w:footer="709" w:gutter="0"/>
          <w:pgNumType w:start="1"/>
          <w:cols w:space="708"/>
          <w:docGrid w:linePitch="360"/>
        </w:sectPr>
      </w:pPr>
      <w:bookmarkStart w:id="13" w:name="_Toc314733116"/>
      <w:bookmarkStart w:id="14" w:name="_Toc341686774"/>
      <w:bookmarkEnd w:id="9"/>
      <w:bookmarkEnd w:id="10"/>
      <w:bookmarkEnd w:id="11"/>
      <w:bookmarkEnd w:id="12"/>
    </w:p>
    <w:p w14:paraId="6AB4DD9A" w14:textId="77777777" w:rsidR="00B239E0" w:rsidRPr="001F6B8D" w:rsidRDefault="00B239E0" w:rsidP="00B239E0">
      <w:pPr>
        <w:pStyle w:val="Heading1"/>
      </w:pPr>
      <w:bookmarkStart w:id="15" w:name="_Toc146605973"/>
      <w:r w:rsidRPr="00B37C03">
        <w:lastRenderedPageBreak/>
        <w:t>Authority</w:t>
      </w:r>
      <w:bookmarkEnd w:id="13"/>
      <w:bookmarkEnd w:id="14"/>
      <w:bookmarkEnd w:id="15"/>
    </w:p>
    <w:p w14:paraId="37A63AC2" w14:textId="77777777" w:rsidR="00B239E0" w:rsidRPr="006A7AE7" w:rsidRDefault="00B239E0" w:rsidP="00B239E0">
      <w:pPr>
        <w:pStyle w:val="BodyText1"/>
      </w:pPr>
      <w:bookmarkStart w:id="16" w:name="_Toc314733118"/>
      <w:bookmarkStart w:id="17" w:name="_Toc341686775"/>
      <w:r w:rsidRPr="006A7AE7">
        <w:t>This Prudential Standard is made under:</w:t>
      </w:r>
    </w:p>
    <w:p w14:paraId="7F28E7D5" w14:textId="17D41ADC" w:rsidR="00B239E0" w:rsidRPr="006A7AE7" w:rsidRDefault="00B239E0" w:rsidP="00B239E0">
      <w:pPr>
        <w:pStyle w:val="BodyText2"/>
        <w:numPr>
          <w:ilvl w:val="1"/>
          <w:numId w:val="3"/>
        </w:numPr>
        <w:ind w:left="1135"/>
      </w:pPr>
      <w:r w:rsidRPr="006A7AE7">
        <w:t xml:space="preserve">section 11AF of the </w:t>
      </w:r>
      <w:r w:rsidRPr="00513B54">
        <w:rPr>
          <w:b/>
        </w:rPr>
        <w:t>Banking Act</w:t>
      </w:r>
      <w:r w:rsidRPr="006A7AE7">
        <w:t>;</w:t>
      </w:r>
    </w:p>
    <w:p w14:paraId="5F52E1E5" w14:textId="38198AC6" w:rsidR="00B239E0" w:rsidRPr="006A7AE7" w:rsidRDefault="00B239E0" w:rsidP="00B239E0">
      <w:pPr>
        <w:pStyle w:val="BodyText2"/>
        <w:numPr>
          <w:ilvl w:val="1"/>
          <w:numId w:val="3"/>
        </w:numPr>
        <w:ind w:left="1135"/>
      </w:pPr>
      <w:r w:rsidRPr="006A7AE7">
        <w:t xml:space="preserve">section 32 of the </w:t>
      </w:r>
      <w:r w:rsidRPr="006A7AE7">
        <w:rPr>
          <w:i/>
        </w:rPr>
        <w:t>Insurance Act 1973</w:t>
      </w:r>
      <w:r w:rsidRPr="006A7AE7">
        <w:t xml:space="preserve"> (Insurance Act);</w:t>
      </w:r>
    </w:p>
    <w:p w14:paraId="09B0F06D" w14:textId="77777777" w:rsidR="00B239E0" w:rsidRPr="008D1390" w:rsidRDefault="00B239E0" w:rsidP="00B239E0">
      <w:pPr>
        <w:pStyle w:val="BodyText2"/>
        <w:numPr>
          <w:ilvl w:val="1"/>
          <w:numId w:val="3"/>
        </w:numPr>
        <w:ind w:left="1135"/>
        <w:rPr>
          <w:i/>
        </w:rPr>
      </w:pPr>
      <w:r w:rsidRPr="006A7AE7">
        <w:t xml:space="preserve">section 230A of the </w:t>
      </w:r>
      <w:r w:rsidRPr="006A7AE7">
        <w:rPr>
          <w:i/>
        </w:rPr>
        <w:t>Life Insurance Act 1995</w:t>
      </w:r>
      <w:r w:rsidRPr="006A7AE7">
        <w:t xml:space="preserve"> (Life Insurance Act); and</w:t>
      </w:r>
    </w:p>
    <w:p w14:paraId="64043E17" w14:textId="77777777" w:rsidR="00B239E0" w:rsidRPr="009E78BE" w:rsidRDefault="00B239E0" w:rsidP="00B239E0">
      <w:pPr>
        <w:pStyle w:val="BodyText2"/>
        <w:numPr>
          <w:ilvl w:val="1"/>
          <w:numId w:val="3"/>
        </w:numPr>
      </w:pPr>
      <w:r>
        <w:t xml:space="preserve">section 92 of the </w:t>
      </w:r>
      <w:r w:rsidRPr="00E9692F">
        <w:rPr>
          <w:i/>
        </w:rPr>
        <w:t>Private Health Insurance (Prudential Supervision) Act 2015</w:t>
      </w:r>
      <w:r>
        <w:t xml:space="preserve"> </w:t>
      </w:r>
      <w:r w:rsidRPr="00E9692F">
        <w:t>(</w:t>
      </w:r>
      <w:r>
        <w:t>PHIPS</w:t>
      </w:r>
      <w:r w:rsidRPr="00E9692F">
        <w:t xml:space="preserve"> Act)</w:t>
      </w:r>
      <w:r>
        <w:t>.</w:t>
      </w:r>
    </w:p>
    <w:p w14:paraId="11CEF6EA" w14:textId="77777777" w:rsidR="00B239E0" w:rsidRDefault="00B239E0" w:rsidP="00B239E0">
      <w:pPr>
        <w:pStyle w:val="Heading1"/>
      </w:pPr>
      <w:bookmarkStart w:id="18" w:name="_Toc146605974"/>
      <w:r w:rsidRPr="00B37C03">
        <w:t>Application</w:t>
      </w:r>
      <w:bookmarkEnd w:id="16"/>
      <w:bookmarkEnd w:id="17"/>
      <w:bookmarkEnd w:id="18"/>
    </w:p>
    <w:p w14:paraId="4BE31A77" w14:textId="77777777" w:rsidR="00B239E0" w:rsidRPr="006A7AE7" w:rsidRDefault="00B239E0" w:rsidP="00B239E0">
      <w:pPr>
        <w:pStyle w:val="BodyText1"/>
      </w:pPr>
      <w:r w:rsidRPr="006A7AE7">
        <w:t>This Prudential Standard applies to all ‘APRA-regulated institutions’,</w:t>
      </w:r>
      <w:r w:rsidRPr="006B406B">
        <w:rPr>
          <w:rStyle w:val="FootnoteReference"/>
        </w:rPr>
        <w:footnoteReference w:id="2"/>
      </w:r>
      <w:r w:rsidRPr="006A7AE7">
        <w:t xml:space="preserve"> defined as:</w:t>
      </w:r>
    </w:p>
    <w:p w14:paraId="627B2E8E" w14:textId="2E32095D" w:rsidR="00B239E0" w:rsidRPr="006A7AE7" w:rsidRDefault="00B239E0" w:rsidP="00B239E0">
      <w:pPr>
        <w:pStyle w:val="BodyText2"/>
        <w:tabs>
          <w:tab w:val="clear" w:pos="1560"/>
          <w:tab w:val="num" w:pos="1134"/>
        </w:tabs>
        <w:ind w:left="1134"/>
      </w:pPr>
      <w:r>
        <w:t xml:space="preserve">all </w:t>
      </w:r>
      <w:r w:rsidRPr="006E41BA">
        <w:rPr>
          <w:b/>
        </w:rPr>
        <w:t>authorised deposit taking institutions</w:t>
      </w:r>
      <w:r>
        <w:t xml:space="preserve"> (</w:t>
      </w:r>
      <w:r w:rsidRPr="009668D3">
        <w:rPr>
          <w:b/>
        </w:rPr>
        <w:t>ADIs</w:t>
      </w:r>
      <w:r>
        <w:t>)</w:t>
      </w:r>
      <w:r w:rsidRPr="006A7AE7">
        <w:t xml:space="preserve">, including </w:t>
      </w:r>
      <w:r w:rsidRPr="006A7AE7">
        <w:rPr>
          <w:b/>
        </w:rPr>
        <w:t>foreign ADIs</w:t>
      </w:r>
      <w:r w:rsidRPr="006A7AE7">
        <w:t xml:space="preserve">, and </w:t>
      </w:r>
      <w:r w:rsidRPr="006E41BA">
        <w:rPr>
          <w:b/>
        </w:rPr>
        <w:t>non-operating holding companies</w:t>
      </w:r>
      <w:r>
        <w:t xml:space="preserve"> authorised under the Banking Act (authorised banking NOHCs)</w:t>
      </w:r>
      <w:r w:rsidRPr="006A7AE7">
        <w:t>;</w:t>
      </w:r>
    </w:p>
    <w:p w14:paraId="2AB5E9EF" w14:textId="46EDAE96" w:rsidR="00B239E0" w:rsidRPr="006A7AE7" w:rsidRDefault="00B239E0" w:rsidP="00B239E0">
      <w:pPr>
        <w:pStyle w:val="BodyText2"/>
        <w:tabs>
          <w:tab w:val="clear" w:pos="1560"/>
          <w:tab w:val="num" w:pos="1134"/>
        </w:tabs>
        <w:ind w:left="1134"/>
      </w:pPr>
      <w:r>
        <w:t xml:space="preserve">all </w:t>
      </w:r>
      <w:r w:rsidRPr="004129C9">
        <w:rPr>
          <w:b/>
        </w:rPr>
        <w:t>general insurers</w:t>
      </w:r>
      <w:r w:rsidRPr="006A7AE7">
        <w:t xml:space="preserve">, including </w:t>
      </w:r>
      <w:r w:rsidRPr="006A7AE7">
        <w:rPr>
          <w:b/>
        </w:rPr>
        <w:t>Category C insurers</w:t>
      </w:r>
      <w:r w:rsidRPr="006A7AE7">
        <w:t xml:space="preserve">, </w:t>
      </w:r>
      <w:r w:rsidRPr="00513B54">
        <w:t>non-operating holding companies</w:t>
      </w:r>
      <w:r>
        <w:t xml:space="preserve"> authorised under the Insurance Act (</w:t>
      </w:r>
      <w:r w:rsidRPr="006A7AE7">
        <w:t>authorised insurance NOHCs</w:t>
      </w:r>
      <w:r>
        <w:t xml:space="preserve">) and </w:t>
      </w:r>
      <w:r w:rsidRPr="004129C9">
        <w:rPr>
          <w:b/>
        </w:rPr>
        <w:t xml:space="preserve">parent entities </w:t>
      </w:r>
      <w:r w:rsidRPr="009668D3">
        <w:t>of</w:t>
      </w:r>
      <w:r w:rsidRPr="004129C9">
        <w:rPr>
          <w:b/>
        </w:rPr>
        <w:t xml:space="preserve"> Level 2 insurance groups</w:t>
      </w:r>
      <w:r w:rsidRPr="006A7AE7">
        <w:t>;</w:t>
      </w:r>
    </w:p>
    <w:p w14:paraId="1FDC4254" w14:textId="13F84091" w:rsidR="00B239E0" w:rsidRDefault="00B239E0" w:rsidP="00B239E0">
      <w:pPr>
        <w:pStyle w:val="BodyText2"/>
        <w:tabs>
          <w:tab w:val="clear" w:pos="1560"/>
          <w:tab w:val="num" w:pos="1134"/>
        </w:tabs>
        <w:ind w:left="1134"/>
      </w:pPr>
      <w:r>
        <w:t xml:space="preserve">all </w:t>
      </w:r>
      <w:r w:rsidRPr="009668D3">
        <w:rPr>
          <w:b/>
        </w:rPr>
        <w:t>life companies</w:t>
      </w:r>
      <w:r w:rsidRPr="006A7AE7">
        <w:t xml:space="preserve">, including </w:t>
      </w:r>
      <w:r w:rsidRPr="004129C9">
        <w:rPr>
          <w:b/>
        </w:rPr>
        <w:t>friendly societies</w:t>
      </w:r>
      <w:r w:rsidRPr="006A7AE7">
        <w:t xml:space="preserve"> and </w:t>
      </w:r>
      <w:r w:rsidRPr="006A7AE7">
        <w:rPr>
          <w:b/>
        </w:rPr>
        <w:t>eligible foreign life insurance companies</w:t>
      </w:r>
      <w:r w:rsidRPr="006A7AE7">
        <w:t xml:space="preserve"> (EFLICs), and </w:t>
      </w:r>
      <w:r w:rsidRPr="001154D8">
        <w:rPr>
          <w:b/>
        </w:rPr>
        <w:t>registered NOHCs</w:t>
      </w:r>
      <w:r>
        <w:t>; and</w:t>
      </w:r>
    </w:p>
    <w:p w14:paraId="5FE95573" w14:textId="274F9679" w:rsidR="00B239E0" w:rsidRPr="006A7AE7" w:rsidRDefault="00B239E0" w:rsidP="00B239E0">
      <w:pPr>
        <w:pStyle w:val="BodyText2"/>
        <w:tabs>
          <w:tab w:val="clear" w:pos="1560"/>
          <w:tab w:val="num" w:pos="1134"/>
        </w:tabs>
        <w:ind w:left="1134"/>
      </w:pPr>
      <w:r w:rsidRPr="00E26981">
        <w:rPr>
          <w:spacing w:val="-1"/>
        </w:rPr>
        <w:t>all</w:t>
      </w:r>
      <w:r>
        <w:rPr>
          <w:b/>
          <w:spacing w:val="-1"/>
        </w:rPr>
        <w:t xml:space="preserve"> </w:t>
      </w:r>
      <w:r w:rsidRPr="00216172">
        <w:rPr>
          <w:b/>
          <w:spacing w:val="-1"/>
        </w:rPr>
        <w:t xml:space="preserve">private health insurers </w:t>
      </w:r>
      <w:r w:rsidRPr="00216172">
        <w:rPr>
          <w:spacing w:val="-1"/>
        </w:rPr>
        <w:t>registered under the PHIPS Act</w:t>
      </w:r>
      <w:r w:rsidRPr="006A7AE7">
        <w:t>.</w:t>
      </w:r>
    </w:p>
    <w:p w14:paraId="157FFAD1" w14:textId="6D341960" w:rsidR="00B239E0" w:rsidRPr="006A7AE7" w:rsidRDefault="00B239E0" w:rsidP="00B239E0">
      <w:pPr>
        <w:pStyle w:val="BodyText1"/>
      </w:pPr>
      <w:r w:rsidRPr="006A7AE7">
        <w:t>All APRA</w:t>
      </w:r>
      <w:r w:rsidRPr="006A7AE7">
        <w:rPr>
          <w:b/>
        </w:rPr>
        <w:t>-</w:t>
      </w:r>
      <w:r w:rsidRPr="006A7AE7">
        <w:t xml:space="preserve">regulated institutions have to comply with this Prudential Standard in its entirety, unless otherwise expressly indicated. The obligations imposed by this Prudential Standard on, or in relation to, a foreign </w:t>
      </w:r>
      <w:smartTag w:uri="urn:schemas-microsoft-com:office:smarttags" w:element="stockticker">
        <w:r w:rsidRPr="006A7AE7">
          <w:t>ADI</w:t>
        </w:r>
      </w:smartTag>
      <w:r w:rsidRPr="006A7AE7">
        <w:t>, a Category C insurer or an EFLIC apply only in relation to the Australian branch operations of that institution.</w:t>
      </w:r>
    </w:p>
    <w:p w14:paraId="69C5D5D3" w14:textId="77777777" w:rsidR="00B239E0" w:rsidRPr="001E7985" w:rsidRDefault="00B239E0" w:rsidP="00B239E0">
      <w:pPr>
        <w:pStyle w:val="BodyText1"/>
        <w:rPr>
          <w:szCs w:val="16"/>
        </w:rPr>
      </w:pPr>
      <w:r w:rsidRPr="006B406B">
        <w:t>Where</w:t>
      </w:r>
      <w:r w:rsidRPr="001E7985">
        <w:t xml:space="preserve"> </w:t>
      </w:r>
      <w:r w:rsidRPr="006B406B">
        <w:t>an</w:t>
      </w:r>
      <w:r w:rsidRPr="001E7985">
        <w:t xml:space="preserve"> </w:t>
      </w:r>
      <w:r w:rsidRPr="006B406B">
        <w:t>APRA-regulated</w:t>
      </w:r>
      <w:r w:rsidRPr="001E7985">
        <w:t xml:space="preserve"> </w:t>
      </w:r>
      <w:r w:rsidRPr="006B406B">
        <w:t>institution</w:t>
      </w:r>
      <w:r w:rsidRPr="001E7985">
        <w:t xml:space="preserve"> </w:t>
      </w:r>
      <w:r w:rsidRPr="006B406B">
        <w:t>is</w:t>
      </w:r>
      <w:r w:rsidRPr="001E7985">
        <w:t xml:space="preserve"> </w:t>
      </w:r>
      <w:r w:rsidRPr="006B406B">
        <w:t>the</w:t>
      </w:r>
      <w:r w:rsidRPr="001E7985">
        <w:t xml:space="preserve"> ‘</w:t>
      </w:r>
      <w:r w:rsidRPr="006B406B">
        <w:t>Head</w:t>
      </w:r>
      <w:r w:rsidRPr="001E7985">
        <w:t xml:space="preserve"> </w:t>
      </w:r>
      <w:r w:rsidRPr="006B406B">
        <w:t>of</w:t>
      </w:r>
      <w:r w:rsidRPr="00E331BD">
        <w:t xml:space="preserve"> </w:t>
      </w:r>
      <w:r w:rsidRPr="006B406B">
        <w:t>a</w:t>
      </w:r>
      <w:r w:rsidRPr="001E7985">
        <w:t xml:space="preserve"> </w:t>
      </w:r>
      <w:r w:rsidRPr="006B406B">
        <w:t>group’,</w:t>
      </w:r>
      <w:r w:rsidRPr="006B406B">
        <w:rPr>
          <w:rStyle w:val="FootnoteReference"/>
        </w:rPr>
        <w:footnoteReference w:id="3"/>
      </w:r>
      <w:r w:rsidRPr="006B406B">
        <w:t xml:space="preserve"> it must comply with</w:t>
      </w:r>
      <w:r w:rsidRPr="001E7985">
        <w:t xml:space="preserve"> </w:t>
      </w:r>
      <w:r w:rsidRPr="006B406B">
        <w:t>a</w:t>
      </w:r>
      <w:r w:rsidRPr="001E7985">
        <w:t xml:space="preserve"> </w:t>
      </w:r>
      <w:r w:rsidRPr="006B406B">
        <w:t>requirement of this Prudential Standard:</w:t>
      </w:r>
    </w:p>
    <w:p w14:paraId="65A8FECE" w14:textId="77777777" w:rsidR="00B239E0" w:rsidRPr="00EF7ED1" w:rsidRDefault="00B239E0" w:rsidP="00B239E0">
      <w:pPr>
        <w:pStyle w:val="BodyText2"/>
        <w:tabs>
          <w:tab w:val="clear" w:pos="1560"/>
          <w:tab w:val="num" w:pos="1134"/>
        </w:tabs>
        <w:ind w:left="1134"/>
      </w:pPr>
      <w:r w:rsidRPr="006B406B">
        <w:t>in its capacity</w:t>
      </w:r>
      <w:r w:rsidRPr="006A7AE7">
        <w:t xml:space="preserve"> as an APRA-regulated institution</w:t>
      </w:r>
      <w:r>
        <w:t>;</w:t>
      </w:r>
    </w:p>
    <w:p w14:paraId="1F44080B" w14:textId="430C6B18" w:rsidR="00B239E0" w:rsidRPr="001E7985" w:rsidRDefault="00B239E0" w:rsidP="00B239E0">
      <w:pPr>
        <w:pStyle w:val="BodyText2"/>
        <w:tabs>
          <w:tab w:val="clear" w:pos="1560"/>
          <w:tab w:val="num" w:pos="1134"/>
        </w:tabs>
        <w:ind w:left="1134"/>
        <w:rPr>
          <w:szCs w:val="16"/>
        </w:rPr>
      </w:pPr>
      <w:r>
        <w:t xml:space="preserve">subject to paragraph </w:t>
      </w:r>
      <w:r>
        <w:fldChar w:fldCharType="begin"/>
      </w:r>
      <w:r>
        <w:instrText xml:space="preserve"> REF _Ref444788601 \r \h  \* MERGEFORMAT </w:instrText>
      </w:r>
      <w:r>
        <w:fldChar w:fldCharType="separate"/>
      </w:r>
      <w:r w:rsidR="00270FBB">
        <w:t>43</w:t>
      </w:r>
      <w:r>
        <w:fldChar w:fldCharType="end"/>
      </w:r>
      <w:r>
        <w:t xml:space="preserve">, </w:t>
      </w:r>
      <w:r w:rsidRPr="006B406B">
        <w:t>by ensuring</w:t>
      </w:r>
      <w:r w:rsidRPr="00EF7ED1">
        <w:t xml:space="preserve"> </w:t>
      </w:r>
      <w:r w:rsidRPr="006B406B">
        <w:t>that</w:t>
      </w:r>
      <w:r w:rsidRPr="00EF7ED1">
        <w:t xml:space="preserve"> </w:t>
      </w:r>
      <w:r w:rsidRPr="006B406B">
        <w:t>a</w:t>
      </w:r>
      <w:r w:rsidRPr="00EF7ED1">
        <w:t xml:space="preserve"> </w:t>
      </w:r>
      <w:r w:rsidRPr="006B406B">
        <w:t>requirement</w:t>
      </w:r>
      <w:r w:rsidRPr="00EF7ED1">
        <w:t xml:space="preserve"> is </w:t>
      </w:r>
      <w:r w:rsidRPr="006B406B">
        <w:t>applied</w:t>
      </w:r>
      <w:r w:rsidRPr="00EF7ED1">
        <w:t xml:space="preserve"> </w:t>
      </w:r>
      <w:r w:rsidRPr="006B406B">
        <w:t>appropriately throughout</w:t>
      </w:r>
      <w:r w:rsidRPr="00EF7ED1">
        <w:t xml:space="preserve"> </w:t>
      </w:r>
      <w:r w:rsidRPr="006B406B">
        <w:t>the</w:t>
      </w:r>
      <w:r w:rsidRPr="001E7985">
        <w:t xml:space="preserve"> </w:t>
      </w:r>
      <w:r w:rsidRPr="006B406B">
        <w:t>group, including in relation to institutions that are not APRA-regulated; and</w:t>
      </w:r>
    </w:p>
    <w:p w14:paraId="0FF5545B" w14:textId="77777777" w:rsidR="00B239E0" w:rsidRPr="006A7AE7" w:rsidRDefault="00B239E0" w:rsidP="00B239E0">
      <w:pPr>
        <w:pStyle w:val="BodyText2"/>
        <w:tabs>
          <w:tab w:val="clear" w:pos="1560"/>
          <w:tab w:val="num" w:pos="1134"/>
        </w:tabs>
        <w:ind w:left="1134"/>
      </w:pPr>
      <w:r w:rsidRPr="006B406B">
        <w:lastRenderedPageBreak/>
        <w:t>on a group basis.</w:t>
      </w:r>
      <w:r w:rsidRPr="006A7AE7" w:rsidDel="0044496A">
        <w:rPr>
          <w:rStyle w:val="FootnoteReference"/>
        </w:rPr>
        <w:t xml:space="preserve"> </w:t>
      </w:r>
    </w:p>
    <w:p w14:paraId="51B1F00A" w14:textId="65734EEA" w:rsidR="00B239E0" w:rsidRPr="006A7AE7" w:rsidRDefault="00B239E0" w:rsidP="00B239E0">
      <w:pPr>
        <w:pStyle w:val="BodyText1"/>
        <w:numPr>
          <w:ilvl w:val="0"/>
          <w:numId w:val="0"/>
        </w:numPr>
        <w:ind w:left="567"/>
      </w:pPr>
      <w:r w:rsidRPr="006B406B">
        <w:t xml:space="preserve">In applying the requirements of this Prudential Standard on a group basis, references in paragraphs </w:t>
      </w:r>
      <w:r>
        <w:fldChar w:fldCharType="begin"/>
      </w:r>
      <w:r>
        <w:instrText xml:space="preserve"> REF _Ref444758648 \r \h  \* MERGEFORMAT </w:instrText>
      </w:r>
      <w:r>
        <w:fldChar w:fldCharType="separate"/>
      </w:r>
      <w:r w:rsidR="00270FBB">
        <w:t>52</w:t>
      </w:r>
      <w:r>
        <w:fldChar w:fldCharType="end"/>
      </w:r>
      <w:r>
        <w:t xml:space="preserve"> to </w:t>
      </w:r>
      <w:r>
        <w:fldChar w:fldCharType="begin"/>
      </w:r>
      <w:r>
        <w:instrText xml:space="preserve"> REF _Ref259441841 \r \h  \* MERGEFORMAT </w:instrText>
      </w:r>
      <w:r>
        <w:fldChar w:fldCharType="separate"/>
      </w:r>
      <w:r w:rsidR="00270FBB">
        <w:t>78</w:t>
      </w:r>
      <w:r>
        <w:fldChar w:fldCharType="end"/>
      </w:r>
      <w:r>
        <w:t xml:space="preserve"> and </w:t>
      </w:r>
      <w:r>
        <w:fldChar w:fldCharType="begin"/>
      </w:r>
      <w:r>
        <w:instrText xml:space="preserve"> REF _Ref444789212 \r \h  \* MERGEFORMAT </w:instrText>
      </w:r>
      <w:r>
        <w:fldChar w:fldCharType="separate"/>
      </w:r>
      <w:r w:rsidR="00270FBB">
        <w:t>80</w:t>
      </w:r>
      <w:r>
        <w:fldChar w:fldCharType="end"/>
      </w:r>
      <w:r>
        <w:t xml:space="preserve"> to</w:t>
      </w:r>
      <w:r w:rsidRPr="006B406B">
        <w:t xml:space="preserve"> </w:t>
      </w:r>
      <w:r>
        <w:fldChar w:fldCharType="begin"/>
      </w:r>
      <w:r>
        <w:instrText xml:space="preserve"> REF _Ref259441915 \r \h  \* MERGEFORMAT </w:instrText>
      </w:r>
      <w:r>
        <w:fldChar w:fldCharType="separate"/>
      </w:r>
      <w:r w:rsidR="00270FBB">
        <w:t>90</w:t>
      </w:r>
      <w:r>
        <w:fldChar w:fldCharType="end"/>
      </w:r>
      <w:r>
        <w:t xml:space="preserve"> </w:t>
      </w:r>
      <w:r w:rsidRPr="006B406B">
        <w:t>to an ‘APRA-regulated institution’ should be read as ‘Head of a group’ and references to ‘institution’ should be read as ‘group’</w:t>
      </w:r>
      <w:r>
        <w:t>.</w:t>
      </w:r>
    </w:p>
    <w:p w14:paraId="32528653" w14:textId="4461C826" w:rsidR="00B239E0" w:rsidRPr="006A7AE7" w:rsidRDefault="00B239E0" w:rsidP="00B239E0">
      <w:pPr>
        <w:pStyle w:val="BodyText1"/>
      </w:pPr>
      <w:r w:rsidRPr="006A7AE7">
        <w:t xml:space="preserve">This Prudential Standard commences </w:t>
      </w:r>
      <w:r w:rsidRPr="00323075">
        <w:t>on</w:t>
      </w:r>
      <w:r w:rsidR="00126D9A">
        <w:t xml:space="preserve"> 1 January 202</w:t>
      </w:r>
      <w:r w:rsidR="00061E51">
        <w:t>4</w:t>
      </w:r>
      <w:r w:rsidR="00126D9A">
        <w:t>.</w:t>
      </w:r>
      <w:r w:rsidRPr="00323075">
        <w:t xml:space="preserve"> </w:t>
      </w:r>
    </w:p>
    <w:p w14:paraId="22F7FE10" w14:textId="77777777" w:rsidR="00B239E0" w:rsidRPr="006A7AE7" w:rsidRDefault="00B239E0" w:rsidP="00B239E0">
      <w:pPr>
        <w:pStyle w:val="Heading1"/>
      </w:pPr>
      <w:bookmarkStart w:id="19" w:name="_Toc333999176"/>
      <w:bookmarkStart w:id="20" w:name="_Toc337644664"/>
      <w:bookmarkStart w:id="21" w:name="_Toc445299757"/>
      <w:bookmarkStart w:id="22" w:name="_Toc146605975"/>
      <w:r w:rsidRPr="006A7AE7">
        <w:t>Interpretation</w:t>
      </w:r>
      <w:bookmarkEnd w:id="19"/>
      <w:bookmarkEnd w:id="20"/>
      <w:bookmarkEnd w:id="21"/>
      <w:bookmarkEnd w:id="22"/>
    </w:p>
    <w:p w14:paraId="1EDA7279" w14:textId="77777777" w:rsidR="00B239E0" w:rsidRPr="006A7AE7" w:rsidRDefault="00B239E0" w:rsidP="00B239E0">
      <w:pPr>
        <w:pStyle w:val="BodyText1"/>
      </w:pPr>
      <w:bookmarkStart w:id="23" w:name="_Ref302645734"/>
      <w:r w:rsidRPr="006A7AE7">
        <w:t xml:space="preserve">Terms that are defined </w:t>
      </w:r>
      <w:r w:rsidRPr="0036570B">
        <w:t xml:space="preserve">in </w:t>
      </w:r>
      <w:r w:rsidRPr="002C58DD">
        <w:rPr>
          <w:i/>
        </w:rPr>
        <w:t>Prudential Standard 3PS 001 Definitions</w:t>
      </w:r>
      <w:r>
        <w:rPr>
          <w:i/>
        </w:rPr>
        <w:t xml:space="preserve"> </w:t>
      </w:r>
      <w:r>
        <w:t>(3PS 001)</w:t>
      </w:r>
      <w:r w:rsidRPr="006A7AE7">
        <w:t xml:space="preserve">, </w:t>
      </w:r>
      <w:r w:rsidRPr="002C58DD">
        <w:rPr>
          <w:i/>
        </w:rPr>
        <w:t xml:space="preserve">Prudential Standard APS 001 Definitions </w:t>
      </w:r>
      <w:r w:rsidRPr="006A7AE7">
        <w:t xml:space="preserve">(APS 001), </w:t>
      </w:r>
      <w:r w:rsidRPr="002C58DD">
        <w:rPr>
          <w:i/>
        </w:rPr>
        <w:t>Prudential Standard GPS 001 Definitions</w:t>
      </w:r>
      <w:r w:rsidRPr="006A7AE7">
        <w:t xml:space="preserve"> (GPS 001)</w:t>
      </w:r>
      <w:r>
        <w:t>,</w:t>
      </w:r>
      <w:r w:rsidRPr="006A7AE7">
        <w:t xml:space="preserve"> </w:t>
      </w:r>
      <w:r w:rsidRPr="002C58DD">
        <w:rPr>
          <w:i/>
        </w:rPr>
        <w:t>Prudential Standard LPS 001 Definitions</w:t>
      </w:r>
      <w:r w:rsidRPr="006A7AE7">
        <w:t xml:space="preserve"> </w:t>
      </w:r>
      <w:r>
        <w:t xml:space="preserve">(LPS 001) or </w:t>
      </w:r>
      <w:r w:rsidRPr="004D5C40">
        <w:rPr>
          <w:i/>
        </w:rPr>
        <w:t>Prudential</w:t>
      </w:r>
      <w:r w:rsidRPr="004D5C40">
        <w:t xml:space="preserve"> </w:t>
      </w:r>
      <w:r w:rsidRPr="004D5C40">
        <w:rPr>
          <w:i/>
        </w:rPr>
        <w:t>Standard</w:t>
      </w:r>
      <w:r w:rsidRPr="004D5C40">
        <w:t xml:space="preserve"> </w:t>
      </w:r>
      <w:r w:rsidRPr="004D5C40">
        <w:rPr>
          <w:i/>
        </w:rPr>
        <w:t>HPS</w:t>
      </w:r>
      <w:r w:rsidRPr="004D5C40">
        <w:t xml:space="preserve"> </w:t>
      </w:r>
      <w:r w:rsidRPr="004D5C40">
        <w:rPr>
          <w:i/>
        </w:rPr>
        <w:t>001</w:t>
      </w:r>
      <w:r w:rsidRPr="004D5C40">
        <w:t xml:space="preserve"> </w:t>
      </w:r>
      <w:r w:rsidRPr="004D5C40">
        <w:rPr>
          <w:i/>
        </w:rPr>
        <w:t>Definitions</w:t>
      </w:r>
      <w:r w:rsidRPr="004D5C40">
        <w:t xml:space="preserve"> </w:t>
      </w:r>
      <w:r>
        <w:t xml:space="preserve">(HPS 001) </w:t>
      </w:r>
      <w:r w:rsidRPr="006A7AE7">
        <w:t>appear in bold the first time they are used in this Prudential Standard.</w:t>
      </w:r>
      <w:bookmarkEnd w:id="23"/>
    </w:p>
    <w:p w14:paraId="3D664A73" w14:textId="77777777" w:rsidR="00B239E0" w:rsidRPr="006A7AE7" w:rsidRDefault="00B239E0" w:rsidP="00B239E0">
      <w:pPr>
        <w:pStyle w:val="BodyText1"/>
      </w:pPr>
      <w:r w:rsidRPr="006A7AE7">
        <w:t>Where this Prudential Standard provides for APRA to exercise a power or discretion, this power or discretion is to be exercised in writing.</w:t>
      </w:r>
    </w:p>
    <w:p w14:paraId="1842E3FD" w14:textId="77777777" w:rsidR="00B239E0" w:rsidRPr="006A7AE7" w:rsidRDefault="00B239E0" w:rsidP="00B239E0">
      <w:pPr>
        <w:pStyle w:val="BodyText1"/>
      </w:pPr>
      <w:bookmarkStart w:id="24" w:name="_Ref331583017"/>
      <w:bookmarkStart w:id="25" w:name="_Ref339030479"/>
      <w:r w:rsidRPr="006A7AE7">
        <w:t>For the purposes of this Prudential Standard:</w:t>
      </w:r>
    </w:p>
    <w:p w14:paraId="59311BF4" w14:textId="77777777" w:rsidR="00B239E0" w:rsidRPr="006A7AE7" w:rsidRDefault="00B239E0" w:rsidP="00B239E0">
      <w:pPr>
        <w:pStyle w:val="BodyText1"/>
        <w:numPr>
          <w:ilvl w:val="0"/>
          <w:numId w:val="0"/>
        </w:numPr>
        <w:ind w:left="567"/>
      </w:pPr>
      <w:r w:rsidRPr="006A7AE7">
        <w:t xml:space="preserve">‘group’ means a Level 2 group or a </w:t>
      </w:r>
      <w:r w:rsidRPr="00566CD8">
        <w:rPr>
          <w:b/>
        </w:rPr>
        <w:t>Level 3 group</w:t>
      </w:r>
      <w:r w:rsidRPr="006A7AE7">
        <w:t>, as relevant;</w:t>
      </w:r>
    </w:p>
    <w:p w14:paraId="4C0A3E93" w14:textId="77777777" w:rsidR="00B239E0" w:rsidRPr="006A7AE7" w:rsidRDefault="00B239E0" w:rsidP="00B239E0">
      <w:pPr>
        <w:pStyle w:val="BodyText1"/>
        <w:numPr>
          <w:ilvl w:val="0"/>
          <w:numId w:val="0"/>
        </w:numPr>
        <w:ind w:left="567"/>
      </w:pPr>
      <w:r w:rsidRPr="006A7AE7">
        <w:t xml:space="preserve">‘Head of a group’ means a Level 2 Head or </w:t>
      </w:r>
      <w:r w:rsidRPr="00566CD8">
        <w:rPr>
          <w:b/>
        </w:rPr>
        <w:t>Level 3 Head</w:t>
      </w:r>
      <w:r w:rsidRPr="006A7AE7">
        <w:t>, as relevant;</w:t>
      </w:r>
    </w:p>
    <w:p w14:paraId="400F6C90" w14:textId="77777777" w:rsidR="00B239E0" w:rsidRPr="006A7AE7" w:rsidRDefault="00B239E0" w:rsidP="00B239E0">
      <w:pPr>
        <w:pStyle w:val="BodyText1"/>
        <w:numPr>
          <w:ilvl w:val="0"/>
          <w:numId w:val="0"/>
        </w:numPr>
        <w:ind w:left="567"/>
      </w:pPr>
      <w:r w:rsidRPr="006A7AE7">
        <w:t>‘Level 2 group’ means</w:t>
      </w:r>
      <w:r>
        <w:t xml:space="preserve"> the entities that comprise</w:t>
      </w:r>
      <w:r w:rsidRPr="006A7AE7">
        <w:t>:</w:t>
      </w:r>
    </w:p>
    <w:p w14:paraId="2AC49E04" w14:textId="77777777" w:rsidR="00B239E0" w:rsidRPr="006B406B" w:rsidRDefault="00B239E0" w:rsidP="00B239E0">
      <w:pPr>
        <w:pStyle w:val="BodyText2"/>
        <w:tabs>
          <w:tab w:val="clear" w:pos="1560"/>
          <w:tab w:val="num" w:pos="1134"/>
        </w:tabs>
        <w:ind w:left="1134"/>
      </w:pPr>
      <w:r w:rsidRPr="006B406B">
        <w:rPr>
          <w:b/>
        </w:rPr>
        <w:t xml:space="preserve">Level 2 </w:t>
      </w:r>
      <w:r w:rsidRPr="006B406B">
        <w:t>as defined</w:t>
      </w:r>
      <w:r w:rsidRPr="006B406B">
        <w:rPr>
          <w:b/>
        </w:rPr>
        <w:t xml:space="preserve"> </w:t>
      </w:r>
      <w:r w:rsidRPr="006B406B">
        <w:t>in APS 001; or</w:t>
      </w:r>
    </w:p>
    <w:p w14:paraId="53EEC0CA" w14:textId="77777777" w:rsidR="00B239E0" w:rsidRPr="006A7AE7" w:rsidRDefault="00B239E0" w:rsidP="00B239E0">
      <w:pPr>
        <w:pStyle w:val="BodyText2"/>
        <w:tabs>
          <w:tab w:val="clear" w:pos="1560"/>
          <w:tab w:val="num" w:pos="1134"/>
        </w:tabs>
        <w:ind w:left="1134"/>
      </w:pPr>
      <w:r w:rsidRPr="006B406B">
        <w:t>a Level 2 insurance group as defined in GPS 001</w:t>
      </w:r>
      <w:r>
        <w:t>;</w:t>
      </w:r>
    </w:p>
    <w:p w14:paraId="0966EE36" w14:textId="77777777" w:rsidR="00B239E0" w:rsidRPr="006A7AE7" w:rsidRDefault="00B239E0" w:rsidP="00B239E0">
      <w:pPr>
        <w:pStyle w:val="BodyText1"/>
        <w:numPr>
          <w:ilvl w:val="0"/>
          <w:numId w:val="0"/>
        </w:numPr>
        <w:ind w:left="567"/>
      </w:pPr>
      <w:r w:rsidRPr="006A7AE7">
        <w:t>‘Level 2 Head’</w:t>
      </w:r>
      <w:r w:rsidRPr="00D64726">
        <w:t xml:space="preserve"> </w:t>
      </w:r>
      <w:r w:rsidRPr="006A7AE7">
        <w:t>means:</w:t>
      </w:r>
    </w:p>
    <w:p w14:paraId="4CCD4583" w14:textId="77777777" w:rsidR="00B239E0" w:rsidRPr="006A7AE7" w:rsidRDefault="00B239E0" w:rsidP="00B239E0">
      <w:pPr>
        <w:pStyle w:val="BodyText2"/>
        <w:numPr>
          <w:ilvl w:val="1"/>
          <w:numId w:val="20"/>
        </w:numPr>
        <w:tabs>
          <w:tab w:val="clear" w:pos="1560"/>
          <w:tab w:val="num" w:pos="1134"/>
        </w:tabs>
        <w:ind w:left="1134"/>
      </w:pPr>
      <w:r w:rsidRPr="006A7AE7">
        <w:t xml:space="preserve">where an ADI that is a member of a Level 2 group is not a </w:t>
      </w:r>
      <w:r w:rsidRPr="00170119">
        <w:rPr>
          <w:b/>
        </w:rPr>
        <w:t>subsidiary</w:t>
      </w:r>
      <w:r w:rsidRPr="006A7AE7">
        <w:t xml:space="preserve"> of an authorised banking NOHC or another ADI, that ADI;</w:t>
      </w:r>
    </w:p>
    <w:p w14:paraId="79F09FC2" w14:textId="77777777" w:rsidR="00B239E0" w:rsidRPr="006A7AE7" w:rsidRDefault="00B239E0" w:rsidP="00B239E0">
      <w:pPr>
        <w:pStyle w:val="BodyText2"/>
        <w:tabs>
          <w:tab w:val="clear" w:pos="1560"/>
          <w:tab w:val="num" w:pos="1134"/>
        </w:tabs>
        <w:ind w:left="1134"/>
      </w:pPr>
      <w:r w:rsidRPr="006A7AE7">
        <w:t>where an ADI that is a member of a Level 2 group is a subsidiary of an authorised banking NOHC, that authorised banking NOHC; or</w:t>
      </w:r>
    </w:p>
    <w:p w14:paraId="1F2DC845" w14:textId="77777777" w:rsidR="00B239E0" w:rsidRPr="006A7AE7" w:rsidRDefault="00B239E0" w:rsidP="00B239E0">
      <w:pPr>
        <w:pStyle w:val="BodyText2"/>
        <w:tabs>
          <w:tab w:val="clear" w:pos="1560"/>
          <w:tab w:val="num" w:pos="1134"/>
        </w:tabs>
        <w:ind w:left="1134"/>
      </w:pPr>
      <w:r>
        <w:t>t</w:t>
      </w:r>
      <w:r w:rsidRPr="006A7AE7">
        <w:t xml:space="preserve">he </w:t>
      </w:r>
      <w:r w:rsidRPr="00566CD8">
        <w:t>parent entity</w:t>
      </w:r>
      <w:r w:rsidRPr="006A7AE7">
        <w:t xml:space="preserve"> of a Level 2 insurance group as defined in GPS 001</w:t>
      </w:r>
      <w:r>
        <w:t>;</w:t>
      </w:r>
      <w:bookmarkEnd w:id="24"/>
    </w:p>
    <w:p w14:paraId="3A68BD08" w14:textId="77777777" w:rsidR="00B239E0" w:rsidRPr="006A7AE7" w:rsidRDefault="00B239E0" w:rsidP="00B239E0">
      <w:pPr>
        <w:pStyle w:val="BodyText1"/>
      </w:pPr>
      <w:bookmarkStart w:id="26" w:name="_Ref277139430"/>
      <w:bookmarkEnd w:id="25"/>
      <w:r w:rsidRPr="006A7AE7">
        <w:t>For the purposes of this Prudential Standard, a reference to an ‘auditor’ is taken to be a reference to a person holding any of the following positions, unless otherwise specified:</w:t>
      </w:r>
      <w:bookmarkEnd w:id="26"/>
    </w:p>
    <w:p w14:paraId="5F28BE10" w14:textId="77777777" w:rsidR="00B239E0" w:rsidRPr="006A7AE7" w:rsidRDefault="00B239E0" w:rsidP="00B239E0">
      <w:pPr>
        <w:pStyle w:val="BodyText2"/>
        <w:tabs>
          <w:tab w:val="clear" w:pos="1560"/>
          <w:tab w:val="num" w:pos="1134"/>
        </w:tabs>
        <w:ind w:left="1134"/>
      </w:pPr>
      <w:r w:rsidRPr="00CB0A2F">
        <w:rPr>
          <w:b/>
        </w:rPr>
        <w:t>‘Appointed auditor’</w:t>
      </w:r>
      <w:r w:rsidRPr="006A7AE7">
        <w:t xml:space="preserve"> </w:t>
      </w:r>
      <w:r>
        <w:t>as defined</w:t>
      </w:r>
      <w:r w:rsidRPr="006A7AE7">
        <w:t xml:space="preserve"> in APS 001, in relation to an ADI (including a foreign ADI) or authorised banking NOHC;</w:t>
      </w:r>
    </w:p>
    <w:p w14:paraId="391043B4" w14:textId="77777777" w:rsidR="00B239E0" w:rsidRPr="006A7AE7" w:rsidRDefault="00B239E0" w:rsidP="00B239E0">
      <w:pPr>
        <w:pStyle w:val="BodyText2"/>
        <w:tabs>
          <w:tab w:val="clear" w:pos="1560"/>
          <w:tab w:val="num" w:pos="1134"/>
        </w:tabs>
        <w:ind w:left="1134"/>
      </w:pPr>
      <w:r w:rsidRPr="00CB0A2F">
        <w:rPr>
          <w:b/>
        </w:rPr>
        <w:t>‘Appointed Auditor’</w:t>
      </w:r>
      <w:r w:rsidRPr="006A7AE7">
        <w:t xml:space="preserve"> </w:t>
      </w:r>
      <w:r>
        <w:t>as defined</w:t>
      </w:r>
      <w:r w:rsidRPr="006A7AE7">
        <w:t xml:space="preserve"> in GPS 001, in relation to a general insurer (including a Category C insurer);</w:t>
      </w:r>
    </w:p>
    <w:p w14:paraId="40022CB4" w14:textId="77777777" w:rsidR="00B239E0" w:rsidRPr="006A7AE7" w:rsidRDefault="00B239E0" w:rsidP="00B239E0">
      <w:pPr>
        <w:pStyle w:val="BodyText2"/>
        <w:tabs>
          <w:tab w:val="clear" w:pos="1560"/>
          <w:tab w:val="num" w:pos="1134"/>
        </w:tabs>
        <w:ind w:left="1134"/>
      </w:pPr>
      <w:r w:rsidRPr="006A7AE7">
        <w:lastRenderedPageBreak/>
        <w:t xml:space="preserve">‘Auditor’ </w:t>
      </w:r>
      <w:r>
        <w:t>as defined</w:t>
      </w:r>
      <w:r w:rsidRPr="006A7AE7">
        <w:t xml:space="preserve"> in </w:t>
      </w:r>
      <w:r w:rsidRPr="006A7AE7">
        <w:rPr>
          <w:i/>
        </w:rPr>
        <w:t xml:space="preserve">Prudential Standard LPS 310 Audit and Related Matters </w:t>
      </w:r>
      <w:r w:rsidRPr="006A7AE7">
        <w:t xml:space="preserve">(LPS 310), in relation to a life company (including an EFLIC); </w:t>
      </w:r>
    </w:p>
    <w:p w14:paraId="2E79C6D7" w14:textId="764836B6" w:rsidR="00B239E0" w:rsidRPr="006A7AE7" w:rsidRDefault="00B239E0" w:rsidP="00B239E0">
      <w:pPr>
        <w:pStyle w:val="BodyText2"/>
        <w:tabs>
          <w:tab w:val="clear" w:pos="1560"/>
          <w:tab w:val="num" w:pos="1134"/>
        </w:tabs>
        <w:ind w:left="1134"/>
      </w:pPr>
      <w:r w:rsidRPr="00CB0A2F">
        <w:rPr>
          <w:b/>
        </w:rPr>
        <w:t>‘responsible auditor’</w:t>
      </w:r>
      <w:r w:rsidRPr="006A7AE7">
        <w:t xml:space="preserve"> </w:t>
      </w:r>
      <w:r>
        <w:t>as defined</w:t>
      </w:r>
      <w:r w:rsidRPr="006A7AE7">
        <w:t xml:space="preserve"> in GPS 001, in relation to an authorised insurance NOHC and in relation to a registered NOHC, is an auditor who is required to prepare a report under the Life Insurance Act, prudential standards made under the Life Insurance Act or reporting standards made under the </w:t>
      </w:r>
      <w:r w:rsidRPr="006A7AE7">
        <w:rPr>
          <w:i/>
        </w:rPr>
        <w:t>Financial Sector (Collection of Data) Act</w:t>
      </w:r>
      <w:r w:rsidRPr="006A7AE7">
        <w:t xml:space="preserve"> </w:t>
      </w:r>
      <w:r w:rsidRPr="006A7AE7">
        <w:rPr>
          <w:i/>
        </w:rPr>
        <w:t xml:space="preserve">2001 </w:t>
      </w:r>
      <w:r w:rsidRPr="006A7AE7">
        <w:t>(</w:t>
      </w:r>
      <w:r>
        <w:t>FSCODA</w:t>
      </w:r>
      <w:r w:rsidRPr="006A7AE7">
        <w:t xml:space="preserve">); </w:t>
      </w:r>
    </w:p>
    <w:p w14:paraId="10CDEA98" w14:textId="77777777" w:rsidR="00B239E0" w:rsidRDefault="00B239E0" w:rsidP="00B239E0">
      <w:pPr>
        <w:pStyle w:val="BodyText2"/>
        <w:tabs>
          <w:tab w:val="clear" w:pos="1560"/>
          <w:tab w:val="num" w:pos="1134"/>
        </w:tabs>
        <w:ind w:left="1134"/>
      </w:pPr>
      <w:r w:rsidRPr="006A7AE7">
        <w:t xml:space="preserve">‘Appointed Auditor’ </w:t>
      </w:r>
      <w:r>
        <w:t xml:space="preserve">as defined </w:t>
      </w:r>
      <w:r w:rsidRPr="006A7AE7">
        <w:t xml:space="preserve">in </w:t>
      </w:r>
      <w:r w:rsidRPr="006A7AE7">
        <w:rPr>
          <w:i/>
        </w:rPr>
        <w:t xml:space="preserve">Prudential Standard 3PS 310 Audit and Related Matters </w:t>
      </w:r>
      <w:r w:rsidRPr="006A7AE7">
        <w:t>(3PS 310), in relation to a Level 3 Head</w:t>
      </w:r>
      <w:r>
        <w:t>; and</w:t>
      </w:r>
    </w:p>
    <w:p w14:paraId="46AD7D72" w14:textId="77777777" w:rsidR="00B239E0" w:rsidRPr="006A7AE7" w:rsidRDefault="00B239E0" w:rsidP="00B239E0">
      <w:pPr>
        <w:pStyle w:val="BodyText2"/>
        <w:tabs>
          <w:tab w:val="clear" w:pos="1560"/>
          <w:tab w:val="num" w:pos="1134"/>
        </w:tabs>
        <w:ind w:left="1134"/>
      </w:pPr>
      <w:r w:rsidRPr="00B239E0">
        <w:t xml:space="preserve">‘Appointed </w:t>
      </w:r>
      <w:r w:rsidRPr="006A7AE7">
        <w:t xml:space="preserve">Auditor’ </w:t>
      </w:r>
      <w:r>
        <w:t>as defined</w:t>
      </w:r>
      <w:r w:rsidRPr="006A7AE7">
        <w:t xml:space="preserve"> in </w:t>
      </w:r>
      <w:r w:rsidRPr="006A7AE7">
        <w:rPr>
          <w:i/>
        </w:rPr>
        <w:t xml:space="preserve">Prudential Standard </w:t>
      </w:r>
      <w:r>
        <w:rPr>
          <w:i/>
        </w:rPr>
        <w:t>H</w:t>
      </w:r>
      <w:r w:rsidRPr="006A7AE7">
        <w:rPr>
          <w:i/>
        </w:rPr>
        <w:t xml:space="preserve">PS </w:t>
      </w:r>
      <w:r>
        <w:rPr>
          <w:i/>
        </w:rPr>
        <w:t>310 Audit and Related Matters</w:t>
      </w:r>
      <w:r w:rsidRPr="006A7AE7">
        <w:rPr>
          <w:i/>
        </w:rPr>
        <w:t xml:space="preserve"> </w:t>
      </w:r>
      <w:r>
        <w:t>(H</w:t>
      </w:r>
      <w:r w:rsidRPr="006A7AE7">
        <w:t xml:space="preserve">PS </w:t>
      </w:r>
      <w:r>
        <w:t>310</w:t>
      </w:r>
      <w:r w:rsidRPr="006A7AE7">
        <w:t xml:space="preserve">), in relation to a </w:t>
      </w:r>
      <w:r>
        <w:t>private health insurer</w:t>
      </w:r>
      <w:r w:rsidRPr="006A7AE7">
        <w:rPr>
          <w:i/>
        </w:rPr>
        <w:t>.</w:t>
      </w:r>
    </w:p>
    <w:p w14:paraId="08B2490C" w14:textId="77777777" w:rsidR="00B239E0" w:rsidRPr="006A7AE7" w:rsidRDefault="00B239E0" w:rsidP="00B239E0">
      <w:pPr>
        <w:pStyle w:val="BodyText1"/>
      </w:pPr>
      <w:r w:rsidRPr="006A7AE7">
        <w:t>This Prudential Standard sets out the minimum requirements that an APRA-regulated institution and the Head of a group must meet in the interests of promoting strong and effective governance.</w:t>
      </w:r>
    </w:p>
    <w:p w14:paraId="3AA9018A" w14:textId="77777777" w:rsidR="00B239E0" w:rsidRPr="006A7AE7" w:rsidRDefault="00B239E0" w:rsidP="00B239E0">
      <w:pPr>
        <w:pStyle w:val="Heading1"/>
      </w:pPr>
      <w:bookmarkStart w:id="27" w:name="_Toc445299758"/>
      <w:bookmarkStart w:id="28" w:name="_Toc146605976"/>
      <w:r w:rsidRPr="006A7AE7">
        <w:t>Additional requirements o</w:t>
      </w:r>
      <w:bookmarkStart w:id="29" w:name="_Toc337644665"/>
      <w:r w:rsidRPr="006A7AE7">
        <w:t>f the Head of a group</w:t>
      </w:r>
      <w:bookmarkEnd w:id="27"/>
      <w:bookmarkEnd w:id="28"/>
      <w:bookmarkEnd w:id="29"/>
    </w:p>
    <w:p w14:paraId="00ACDD1C" w14:textId="77777777" w:rsidR="00B239E0" w:rsidRDefault="00B239E0" w:rsidP="00B239E0">
      <w:pPr>
        <w:pStyle w:val="BodyText1"/>
      </w:pPr>
      <w:r w:rsidRPr="006A7AE7">
        <w:t>The Head of a group must maintain governance arrangements for the group.</w:t>
      </w:r>
    </w:p>
    <w:p w14:paraId="775E62AB" w14:textId="2C2C7093" w:rsidR="00B239E0" w:rsidRDefault="00B239E0" w:rsidP="001154D8">
      <w:pPr>
        <w:pStyle w:val="BodyText1"/>
      </w:pPr>
      <w:r>
        <w:t xml:space="preserve">In meeting the requirements of this Prudential Standard on a group basis, </w:t>
      </w:r>
      <w:r w:rsidRPr="006F1CEF">
        <w:t>t</w:t>
      </w:r>
      <w:r w:rsidRPr="00FD1776">
        <w:t>he Head of a group must</w:t>
      </w:r>
      <w:r w:rsidR="008002E5">
        <w:t xml:space="preserve"> </w:t>
      </w:r>
      <w:r w:rsidRPr="00FD1776">
        <w:t xml:space="preserve">maintain a group internal audit function that meets the requirements of paragraphs </w:t>
      </w:r>
      <w:r>
        <w:fldChar w:fldCharType="begin"/>
      </w:r>
      <w:r>
        <w:instrText xml:space="preserve"> REF _Ref264458364 \r \h  \* MERGEFORMAT </w:instrText>
      </w:r>
      <w:r>
        <w:fldChar w:fldCharType="separate"/>
      </w:r>
      <w:r w:rsidR="00270FBB">
        <w:t>68</w:t>
      </w:r>
      <w:r>
        <w:fldChar w:fldCharType="end"/>
      </w:r>
      <w:r w:rsidRPr="00FD1776">
        <w:t xml:space="preserve"> and </w:t>
      </w:r>
      <w:r>
        <w:fldChar w:fldCharType="begin"/>
      </w:r>
      <w:r>
        <w:instrText xml:space="preserve"> REF _Ref444247238 \r \h  \* MERGEFORMAT </w:instrText>
      </w:r>
      <w:r>
        <w:fldChar w:fldCharType="separate"/>
      </w:r>
      <w:r w:rsidR="00270FBB">
        <w:t>69</w:t>
      </w:r>
      <w:r>
        <w:fldChar w:fldCharType="end"/>
      </w:r>
      <w:r>
        <w:t xml:space="preserve"> </w:t>
      </w:r>
      <w:r w:rsidRPr="003A35B7">
        <w:t>on a group basis.</w:t>
      </w:r>
    </w:p>
    <w:p w14:paraId="7AFC3C6B" w14:textId="77777777" w:rsidR="00B239E0" w:rsidRPr="009009F5" w:rsidRDefault="00B239E0" w:rsidP="00B239E0">
      <w:pPr>
        <w:pStyle w:val="BodyText1"/>
      </w:pPr>
      <w:r>
        <w:t xml:space="preserve">The Board of the Head of a group </w:t>
      </w:r>
      <w:r w:rsidRPr="006A7AE7">
        <w:t xml:space="preserve">is ultimately responsible </w:t>
      </w:r>
      <w:r w:rsidRPr="009009F5">
        <w:t>for oversight of the sound and prudent management of the group and must have the following committees for the group:</w:t>
      </w:r>
    </w:p>
    <w:p w14:paraId="4F9113ED" w14:textId="5A4655CC" w:rsidR="00B239E0" w:rsidRPr="009009F5" w:rsidRDefault="00B239E0" w:rsidP="00B239E0">
      <w:pPr>
        <w:pStyle w:val="BodyText2"/>
        <w:tabs>
          <w:tab w:val="clear" w:pos="1560"/>
          <w:tab w:val="num" w:pos="1134"/>
        </w:tabs>
        <w:ind w:left="1134"/>
      </w:pPr>
      <w:r w:rsidRPr="009009F5">
        <w:t xml:space="preserve">a group Board Audit Committee that meets the requirements of paragraphs </w:t>
      </w:r>
      <w:r w:rsidRPr="009009F5">
        <w:fldChar w:fldCharType="begin"/>
      </w:r>
      <w:r w:rsidRPr="009009F5">
        <w:instrText xml:space="preserve"> REF _Ref444758648 \r \h </w:instrText>
      </w:r>
      <w:r>
        <w:instrText xml:space="preserve"> \* MERGEFORMAT </w:instrText>
      </w:r>
      <w:r w:rsidRPr="009009F5">
        <w:fldChar w:fldCharType="separate"/>
      </w:r>
      <w:r w:rsidR="00270FBB">
        <w:t>52</w:t>
      </w:r>
      <w:r w:rsidRPr="009009F5">
        <w:fldChar w:fldCharType="end"/>
      </w:r>
      <w:r w:rsidRPr="009009F5">
        <w:t xml:space="preserve"> to </w:t>
      </w:r>
      <w:r w:rsidRPr="009009F5">
        <w:fldChar w:fldCharType="begin"/>
      </w:r>
      <w:r w:rsidRPr="009009F5">
        <w:instrText xml:space="preserve"> REF _Ref444261125 \r \h </w:instrText>
      </w:r>
      <w:r>
        <w:instrText xml:space="preserve"> \* MERGEFORMAT </w:instrText>
      </w:r>
      <w:r w:rsidRPr="009009F5">
        <w:fldChar w:fldCharType="separate"/>
      </w:r>
      <w:r w:rsidR="00270FBB">
        <w:t>67</w:t>
      </w:r>
      <w:r w:rsidRPr="009009F5">
        <w:fldChar w:fldCharType="end"/>
      </w:r>
      <w:r w:rsidRPr="009009F5">
        <w:t xml:space="preserve"> and that assists the Board by providing an objective non-executive review of the effectiveness of the group’s financial reporting and group risk management framework; and</w:t>
      </w:r>
    </w:p>
    <w:p w14:paraId="0BB646AA" w14:textId="2431DF32" w:rsidR="00B239E0" w:rsidRPr="009009F5" w:rsidRDefault="00B239E0" w:rsidP="00B239E0">
      <w:pPr>
        <w:pStyle w:val="BodyText2"/>
        <w:tabs>
          <w:tab w:val="clear" w:pos="1560"/>
          <w:tab w:val="num" w:pos="1134"/>
        </w:tabs>
        <w:ind w:left="1134"/>
      </w:pPr>
      <w:r w:rsidRPr="009009F5">
        <w:t xml:space="preserve">a group Board Risk Committee that meets the requirements of paragraphs </w:t>
      </w:r>
      <w:r w:rsidRPr="009009F5">
        <w:fldChar w:fldCharType="begin"/>
      </w:r>
      <w:r w:rsidRPr="009009F5">
        <w:instrText xml:space="preserve"> REF _Ref444789212 \r \h </w:instrText>
      </w:r>
      <w:r>
        <w:instrText xml:space="preserve"> \* MERGEFORMAT </w:instrText>
      </w:r>
      <w:r w:rsidRPr="009009F5">
        <w:fldChar w:fldCharType="separate"/>
      </w:r>
      <w:r w:rsidR="00270FBB">
        <w:t>80</w:t>
      </w:r>
      <w:r w:rsidRPr="009009F5">
        <w:fldChar w:fldCharType="end"/>
      </w:r>
      <w:r w:rsidRPr="009009F5">
        <w:t xml:space="preserve"> to </w:t>
      </w:r>
      <w:r w:rsidRPr="009009F5">
        <w:fldChar w:fldCharType="begin"/>
      </w:r>
      <w:r w:rsidRPr="009009F5">
        <w:instrText xml:space="preserve"> REF _Ref444261178 \r \h </w:instrText>
      </w:r>
      <w:r>
        <w:instrText xml:space="preserve"> \* MERGEFORMAT </w:instrText>
      </w:r>
      <w:r w:rsidRPr="009009F5">
        <w:fldChar w:fldCharType="separate"/>
      </w:r>
      <w:r w:rsidR="00270FBB">
        <w:t>87</w:t>
      </w:r>
      <w:r w:rsidRPr="009009F5">
        <w:fldChar w:fldCharType="end"/>
      </w:r>
      <w:r w:rsidRPr="009009F5">
        <w:t xml:space="preserve"> and that assists the Board by providing an objective non-executive oversight of the implementation and operation of the group </w:t>
      </w:r>
      <w:r w:rsidRPr="009009F5">
        <w:rPr>
          <w:b/>
        </w:rPr>
        <w:t>risk management framework</w:t>
      </w:r>
      <w:r w:rsidRPr="009009F5">
        <w:t>.</w:t>
      </w:r>
    </w:p>
    <w:p w14:paraId="6AC199E2" w14:textId="77777777" w:rsidR="00B239E0" w:rsidRPr="006A7AE7" w:rsidRDefault="00B239E0" w:rsidP="00B239E0">
      <w:pPr>
        <w:pStyle w:val="BodyText1"/>
      </w:pPr>
      <w:r w:rsidRPr="009009F5">
        <w:t xml:space="preserve">The Board of a Head of a group must </w:t>
      </w:r>
      <w:r w:rsidRPr="009009F5">
        <w:rPr>
          <w:b/>
        </w:rPr>
        <w:t>ensure</w:t>
      </w:r>
      <w:r w:rsidRPr="009009F5">
        <w:t xml:space="preserve"> that </w:t>
      </w:r>
      <w:r w:rsidRPr="009009F5">
        <w:rPr>
          <w:b/>
        </w:rPr>
        <w:t>directors</w:t>
      </w:r>
      <w:r w:rsidRPr="009009F5">
        <w:t xml:space="preserve"> and </w:t>
      </w:r>
      <w:r w:rsidRPr="009009F5">
        <w:rPr>
          <w:b/>
        </w:rPr>
        <w:t>senior management</w:t>
      </w:r>
      <w:r w:rsidRPr="009009F5">
        <w:t xml:space="preserve"> of the group, collectively, have the full range of skills needed for the effective oversight and prudent management</w:t>
      </w:r>
      <w:r>
        <w:t>,</w:t>
      </w:r>
      <w:r w:rsidRPr="009009F5">
        <w:t xml:space="preserve"> respectively</w:t>
      </w:r>
      <w:r>
        <w:t>,</w:t>
      </w:r>
      <w:r w:rsidRPr="009009F5">
        <w:t xml:space="preserve"> of the group. This does not lessen the responsibility of each of the individual Boards of the institutions within the group for their in</w:t>
      </w:r>
      <w:r w:rsidRPr="006B406B">
        <w:t>stitution</w:t>
      </w:r>
      <w:r>
        <w:t>s</w:t>
      </w:r>
      <w:r w:rsidRPr="006B406B">
        <w:t>.</w:t>
      </w:r>
    </w:p>
    <w:p w14:paraId="203960CD" w14:textId="77777777" w:rsidR="00B239E0" w:rsidRPr="00A37462" w:rsidRDefault="00B239E0" w:rsidP="00B239E0">
      <w:pPr>
        <w:pStyle w:val="BodyText1"/>
      </w:pPr>
      <w:r w:rsidRPr="00A37462">
        <w:t xml:space="preserve">Where an entity within the group that is not an APRA-regulated institution </w:t>
      </w:r>
      <w:r w:rsidRPr="006A7AE7">
        <w:t xml:space="preserve">engages in business activities that may pose a material risk to the group, </w:t>
      </w:r>
      <w:r w:rsidRPr="006562B8">
        <w:t xml:space="preserve">the Head </w:t>
      </w:r>
      <w:r w:rsidRPr="006562B8">
        <w:lastRenderedPageBreak/>
        <w:t>of the group must ensure that such business activities are undertaken in a way that complies with the group governance arrangements.</w:t>
      </w:r>
      <w:r w:rsidRPr="00A37462">
        <w:rPr>
          <w:rStyle w:val="FootnoteReference"/>
        </w:rPr>
        <w:footnoteReference w:id="4"/>
      </w:r>
    </w:p>
    <w:p w14:paraId="544348F3" w14:textId="77777777" w:rsidR="00B239E0" w:rsidRPr="006A7AE7" w:rsidRDefault="00B239E0" w:rsidP="00B239E0">
      <w:pPr>
        <w:pStyle w:val="Heading1"/>
        <w:numPr>
          <w:ilvl w:val="0"/>
          <w:numId w:val="43"/>
        </w:numPr>
        <w:ind w:left="426" w:hanging="426"/>
      </w:pPr>
      <w:bookmarkStart w:id="30" w:name="_Toc333999177"/>
      <w:bookmarkStart w:id="31" w:name="_Toc337644666"/>
      <w:bookmarkStart w:id="32" w:name="_Toc445299759"/>
      <w:bookmarkStart w:id="33" w:name="_Toc146605977"/>
      <w:r w:rsidRPr="006A7AE7">
        <w:t>Governance arrangements – locally incorporated APRA-regulated institutions</w:t>
      </w:r>
      <w:bookmarkEnd w:id="30"/>
      <w:bookmarkEnd w:id="31"/>
      <w:bookmarkEnd w:id="32"/>
      <w:bookmarkEnd w:id="33"/>
    </w:p>
    <w:p w14:paraId="34528020" w14:textId="77777777" w:rsidR="00B239E0" w:rsidRPr="006562B8" w:rsidRDefault="00B239E0" w:rsidP="00B239E0">
      <w:pPr>
        <w:pStyle w:val="Heading1"/>
      </w:pPr>
      <w:bookmarkStart w:id="34" w:name="_Toc333999178"/>
      <w:bookmarkStart w:id="35" w:name="_Toc337644667"/>
      <w:bookmarkStart w:id="36" w:name="_Toc445299760"/>
      <w:bookmarkStart w:id="37" w:name="_Toc146605978"/>
      <w:r w:rsidRPr="006562B8">
        <w:t>The Board and senior management</w:t>
      </w:r>
      <w:bookmarkEnd w:id="34"/>
      <w:bookmarkEnd w:id="35"/>
      <w:bookmarkEnd w:id="36"/>
      <w:bookmarkEnd w:id="37"/>
    </w:p>
    <w:p w14:paraId="5C0A0A0A" w14:textId="77777777" w:rsidR="00B239E0" w:rsidRPr="009009F5" w:rsidRDefault="00B239E0" w:rsidP="00B239E0">
      <w:pPr>
        <w:pStyle w:val="BodyText1"/>
      </w:pPr>
      <w:bookmarkStart w:id="38" w:name="_Ref444247339"/>
      <w:r w:rsidRPr="006A7AE7">
        <w:t xml:space="preserve">The </w:t>
      </w:r>
      <w:r w:rsidRPr="00DC7184">
        <w:t>Board</w:t>
      </w:r>
      <w:r w:rsidRPr="006A7AE7">
        <w:t xml:space="preserve"> of directors (the Board) of a locally-incorporated APRA</w:t>
      </w:r>
      <w:r w:rsidRPr="006A7AE7">
        <w:rPr>
          <w:b/>
        </w:rPr>
        <w:t>-</w:t>
      </w:r>
      <w:r w:rsidRPr="006A7AE7">
        <w:t xml:space="preserve">regulated institution is ultimately </w:t>
      </w:r>
      <w:r w:rsidRPr="009009F5">
        <w:t>responsible for oversight of the sound and prudent management of that institution.</w:t>
      </w:r>
      <w:bookmarkEnd w:id="38"/>
    </w:p>
    <w:p w14:paraId="0830073D" w14:textId="77777777" w:rsidR="00B239E0" w:rsidRPr="009009F5" w:rsidRDefault="00B239E0" w:rsidP="00B239E0">
      <w:pPr>
        <w:pStyle w:val="BodyText1"/>
      </w:pPr>
      <w:bookmarkStart w:id="39" w:name="_Ref121893311"/>
      <w:r w:rsidRPr="009009F5">
        <w:t>The Board must have a formal charter that sets out the roles and responsibilities of the Board.</w:t>
      </w:r>
      <w:bookmarkEnd w:id="39"/>
    </w:p>
    <w:p w14:paraId="35926E53" w14:textId="77777777" w:rsidR="00B239E0" w:rsidRPr="009009F5" w:rsidRDefault="00B239E0" w:rsidP="00B239E0">
      <w:pPr>
        <w:pStyle w:val="BodyText1"/>
      </w:pPr>
      <w:r w:rsidRPr="009009F5">
        <w:t>The Board, in fulfilling its functions, may delegate authority to management to act on behalf of the Board with respect to certain matters, as decided by the Board. This delegation of authority must be clearly set out and documented. The Board must have mechanisms in place for monitoring the exercise of delegated authority. The Board cannot abrogate its responsibility for oversight of the functions delegated to management.</w:t>
      </w:r>
    </w:p>
    <w:p w14:paraId="4D9F44B6" w14:textId="77777777" w:rsidR="00B239E0" w:rsidRPr="006A7AE7" w:rsidRDefault="00B239E0" w:rsidP="00B239E0">
      <w:pPr>
        <w:pStyle w:val="BodyText1"/>
      </w:pPr>
      <w:r w:rsidRPr="009009F5">
        <w:t>The Board must ensure that directors and senior management of the institution collectively have the full range of skills needed for the effective and prudent operation of the institution, and that each director has skills that allow them to make an effective contribution to Board deliberations and processes. This includes the requirement for directors, colle</w:t>
      </w:r>
      <w:r w:rsidRPr="006A7AE7">
        <w:t>ctively, to have the necessary skills, knowledge and experience to understand the risks of the institution, including its legal and prudential obligations, and to ensure that the institution is managed in an appropriate way taking into account these risks. This does not preclude the Board from supplementing its skills and knowledge by engaging external consultants and experts.</w:t>
      </w:r>
    </w:p>
    <w:p w14:paraId="721BDCCC" w14:textId="77777777" w:rsidR="00B239E0" w:rsidRPr="006A7AE7" w:rsidRDefault="00B239E0" w:rsidP="00B239E0">
      <w:pPr>
        <w:pStyle w:val="BodyText1"/>
      </w:pPr>
      <w:r w:rsidRPr="006A7AE7">
        <w:t>Senior management of a locally incorporated APRA</w:t>
      </w:r>
      <w:r w:rsidRPr="006A7AE7">
        <w:rPr>
          <w:b/>
        </w:rPr>
        <w:t>-</w:t>
      </w:r>
      <w:r w:rsidRPr="006A7AE7">
        <w:t>regulated institution, with responsibilities relating to the business in Australia, must be ordinarily resident in Australia.</w:t>
      </w:r>
    </w:p>
    <w:p w14:paraId="31F2606B" w14:textId="77777777" w:rsidR="00B239E0" w:rsidRPr="006A7AE7" w:rsidRDefault="00B239E0" w:rsidP="00B239E0">
      <w:pPr>
        <w:pStyle w:val="BodyText1"/>
      </w:pPr>
      <w:r w:rsidRPr="006A7AE7">
        <w:t>Directors and</w:t>
      </w:r>
      <w:r w:rsidRPr="003B36AE">
        <w:t xml:space="preserve"> senior management of a locally incorporated APRA</w:t>
      </w:r>
      <w:r w:rsidRPr="003B36AE">
        <w:rPr>
          <w:b/>
        </w:rPr>
        <w:t>-</w:t>
      </w:r>
      <w:r w:rsidRPr="003B36AE">
        <w:t xml:space="preserve">regulated institution </w:t>
      </w:r>
      <w:r w:rsidRPr="006A7AE7">
        <w:t>must be available to meet with APRA on request.</w:t>
      </w:r>
    </w:p>
    <w:p w14:paraId="3A69A856" w14:textId="77777777" w:rsidR="00B239E0" w:rsidRPr="00DF2535" w:rsidRDefault="00B239E0" w:rsidP="00B239E0">
      <w:pPr>
        <w:pStyle w:val="BodyText1"/>
      </w:pPr>
      <w:r w:rsidRPr="003B36AE">
        <w:t xml:space="preserve">The Board </w:t>
      </w:r>
      <w:r w:rsidRPr="006562B8">
        <w:t xml:space="preserve">must provide the auditor and the </w:t>
      </w:r>
      <w:r w:rsidRPr="00DF2535">
        <w:rPr>
          <w:b/>
        </w:rPr>
        <w:t>Appointed Actuary</w:t>
      </w:r>
      <w:r w:rsidRPr="00DF2535">
        <w:t xml:space="preserve"> of the institution, as relevant, with the opportunity to raise matters directly with the Board.</w:t>
      </w:r>
    </w:p>
    <w:p w14:paraId="026BBF51" w14:textId="77777777" w:rsidR="00B239E0" w:rsidRPr="006562B8" w:rsidRDefault="00B239E0" w:rsidP="00B239E0">
      <w:pPr>
        <w:pStyle w:val="Heading1"/>
      </w:pPr>
      <w:bookmarkStart w:id="40" w:name="_Toc333999179"/>
      <w:bookmarkStart w:id="41" w:name="_Toc337644668"/>
      <w:bookmarkStart w:id="42" w:name="_Toc445299761"/>
      <w:bookmarkStart w:id="43" w:name="_Toc146605979"/>
      <w:r w:rsidRPr="006562B8">
        <w:t>Independence</w:t>
      </w:r>
      <w:bookmarkEnd w:id="40"/>
      <w:bookmarkEnd w:id="41"/>
      <w:bookmarkEnd w:id="42"/>
      <w:bookmarkEnd w:id="43"/>
    </w:p>
    <w:p w14:paraId="7A973241" w14:textId="77777777" w:rsidR="00B239E0" w:rsidRPr="006A7AE7" w:rsidRDefault="00B239E0" w:rsidP="00B239E0">
      <w:pPr>
        <w:pStyle w:val="BodyText1"/>
      </w:pPr>
      <w:bookmarkStart w:id="44" w:name="_Ref259442424"/>
      <w:r w:rsidRPr="00DF2535">
        <w:t>For the purposes of this Prudential Standard, an ‘independent director’ is a non-executive director who is free from any business or other association — including those arising out of a substantial shareholding, involvement in past management or as a supplier, customer or adviser</w:t>
      </w:r>
      <w:r w:rsidRPr="006A7AE7">
        <w:t xml:space="preserve"> — that could materially interfere with the </w:t>
      </w:r>
      <w:r w:rsidRPr="006A7AE7">
        <w:lastRenderedPageBreak/>
        <w:t>exercise of their independent judgement. The circumstances that will not meet this test of independence include, but are not limited to, those set out in Attachment A.</w:t>
      </w:r>
      <w:bookmarkEnd w:id="44"/>
    </w:p>
    <w:p w14:paraId="156FF1C9" w14:textId="77777777" w:rsidR="00B239E0" w:rsidRPr="0094689D" w:rsidRDefault="00B239E0" w:rsidP="00B239E0">
      <w:pPr>
        <w:pStyle w:val="BodyText1"/>
      </w:pPr>
      <w:r w:rsidRPr="006A7AE7">
        <w:t>If the Board of a locally incorporated APRA</w:t>
      </w:r>
      <w:r w:rsidRPr="006A7AE7">
        <w:rPr>
          <w:b/>
        </w:rPr>
        <w:t>-</w:t>
      </w:r>
      <w:r w:rsidRPr="006A7AE7">
        <w:t xml:space="preserve">regulated institution is in doubt about a director’s independence for the purposes of this Prudential Standard, the </w:t>
      </w:r>
      <w:r w:rsidRPr="005153B8">
        <w:t>APRA</w:t>
      </w:r>
      <w:r w:rsidRPr="005153B8">
        <w:rPr>
          <w:b/>
        </w:rPr>
        <w:t>-</w:t>
      </w:r>
      <w:r w:rsidRPr="005153B8">
        <w:t xml:space="preserve">regulated </w:t>
      </w:r>
      <w:r w:rsidRPr="0094689D">
        <w:t>institution may refer the matter to APRA for guidance.</w:t>
      </w:r>
    </w:p>
    <w:p w14:paraId="029B747B" w14:textId="77777777" w:rsidR="00B239E0" w:rsidRPr="006A7AE7" w:rsidRDefault="00B239E0" w:rsidP="00B239E0">
      <w:pPr>
        <w:pStyle w:val="Heading1"/>
      </w:pPr>
      <w:bookmarkStart w:id="45" w:name="_Toc333999180"/>
      <w:bookmarkStart w:id="46" w:name="_Toc337644669"/>
      <w:bookmarkStart w:id="47" w:name="_Toc445299762"/>
      <w:bookmarkStart w:id="48" w:name="_Toc146605980"/>
      <w:r w:rsidRPr="006A7AE7">
        <w:t>Definition of non-executive director</w:t>
      </w:r>
      <w:bookmarkEnd w:id="45"/>
      <w:bookmarkEnd w:id="46"/>
      <w:bookmarkEnd w:id="47"/>
      <w:bookmarkEnd w:id="48"/>
    </w:p>
    <w:p w14:paraId="20D03899" w14:textId="77777777" w:rsidR="00B239E0" w:rsidRPr="00DF2535" w:rsidRDefault="00B239E0" w:rsidP="00B239E0">
      <w:pPr>
        <w:pStyle w:val="BodyText1"/>
      </w:pPr>
      <w:bookmarkStart w:id="49" w:name="_Ref370156450"/>
      <w:r w:rsidRPr="006A7AE7">
        <w:t xml:space="preserve">For the purposes of this Prudential Standard, a reference to a ‘non-executive director’ is interpreted as meaning </w:t>
      </w:r>
      <w:r>
        <w:t xml:space="preserve">a </w:t>
      </w:r>
      <w:r w:rsidRPr="006A7AE7">
        <w:t>reference to a director who is not a member of the APRA</w:t>
      </w:r>
      <w:r w:rsidRPr="006A7AE7">
        <w:rPr>
          <w:b/>
        </w:rPr>
        <w:t>-</w:t>
      </w:r>
      <w:r w:rsidRPr="006A7AE7">
        <w:t xml:space="preserve">regulated institution’s management. Non-executive directors may include Board members or </w:t>
      </w:r>
      <w:r w:rsidRPr="00EC23F0">
        <w:rPr>
          <w:b/>
        </w:rPr>
        <w:t>senior managers</w:t>
      </w:r>
      <w:r w:rsidRPr="006562B8">
        <w:t xml:space="preserve"> of the parent company </w:t>
      </w:r>
      <w:r w:rsidRPr="00DF2535">
        <w:t xml:space="preserve">of the locally incorporated </w:t>
      </w:r>
      <w:r w:rsidRPr="005153B8">
        <w:t>APRA</w:t>
      </w:r>
      <w:r w:rsidRPr="005153B8">
        <w:rPr>
          <w:b/>
        </w:rPr>
        <w:t>-</w:t>
      </w:r>
      <w:r w:rsidRPr="005153B8">
        <w:t xml:space="preserve">regulated </w:t>
      </w:r>
      <w:r w:rsidRPr="00DF2535">
        <w:t xml:space="preserve">institution or of the parent company’s subsidiaries, but not executives of the </w:t>
      </w:r>
      <w:r w:rsidRPr="005153B8">
        <w:t>APRA</w:t>
      </w:r>
      <w:r w:rsidRPr="005153B8">
        <w:rPr>
          <w:b/>
        </w:rPr>
        <w:t>-</w:t>
      </w:r>
      <w:r w:rsidRPr="005153B8">
        <w:t xml:space="preserve">regulated </w:t>
      </w:r>
      <w:r w:rsidRPr="00DF2535">
        <w:t>institution or its subsidiaries.</w:t>
      </w:r>
      <w:bookmarkEnd w:id="49"/>
    </w:p>
    <w:p w14:paraId="6F181BF9" w14:textId="77777777" w:rsidR="00B239E0" w:rsidRPr="00DF2535" w:rsidRDefault="00B239E0" w:rsidP="00B239E0">
      <w:pPr>
        <w:pStyle w:val="Heading1"/>
      </w:pPr>
      <w:bookmarkStart w:id="50" w:name="_Toc333999181"/>
      <w:bookmarkStart w:id="51" w:name="_Toc337644670"/>
      <w:bookmarkStart w:id="52" w:name="_Toc445299763"/>
      <w:bookmarkStart w:id="53" w:name="_Toc146605981"/>
      <w:r w:rsidRPr="00DF2535">
        <w:t>Board composition</w:t>
      </w:r>
      <w:bookmarkEnd w:id="50"/>
      <w:bookmarkEnd w:id="51"/>
      <w:bookmarkEnd w:id="52"/>
      <w:bookmarkEnd w:id="53"/>
    </w:p>
    <w:p w14:paraId="0AF620DD" w14:textId="77777777" w:rsidR="00B239E0" w:rsidRPr="006A7AE7" w:rsidRDefault="00B239E0" w:rsidP="00B239E0">
      <w:pPr>
        <w:pStyle w:val="BodyText1"/>
      </w:pPr>
      <w:bookmarkStart w:id="54" w:name="_Ref374430502"/>
      <w:r w:rsidRPr="0094689D">
        <w:t>The Board of a locally incorporated APRA</w:t>
      </w:r>
      <w:r w:rsidRPr="0094689D">
        <w:rPr>
          <w:b/>
        </w:rPr>
        <w:t>-</w:t>
      </w:r>
      <w:r w:rsidRPr="0094689D">
        <w:t>regulated institution</w:t>
      </w:r>
      <w:r w:rsidRPr="00D45FB9">
        <w:t xml:space="preserve"> must have a minimum of five directors at all times.</w:t>
      </w:r>
      <w:bookmarkEnd w:id="54"/>
    </w:p>
    <w:p w14:paraId="1F576613" w14:textId="5D897500" w:rsidR="00B239E0" w:rsidRPr="006A7AE7" w:rsidRDefault="00B239E0" w:rsidP="00B239E0">
      <w:pPr>
        <w:pStyle w:val="BodyText1"/>
      </w:pPr>
      <w:r w:rsidRPr="006A7AE7">
        <w:t>The Board must have a majority of independent directors at all times. For a locally incorporated APRA</w:t>
      </w:r>
      <w:r w:rsidRPr="006A7AE7">
        <w:rPr>
          <w:b/>
        </w:rPr>
        <w:t>-</w:t>
      </w:r>
      <w:r w:rsidRPr="006A7AE7">
        <w:t xml:space="preserve">regulated institution that is a </w:t>
      </w:r>
      <w:r w:rsidRPr="00087C6F">
        <w:t>subsidiary</w:t>
      </w:r>
      <w:r w:rsidRPr="006A7AE7">
        <w:rPr>
          <w:rStyle w:val="FootnoteReference"/>
        </w:rPr>
        <w:footnoteReference w:id="5"/>
      </w:r>
      <w:r w:rsidRPr="006A7AE7">
        <w:t xml:space="preserve"> of another APRA-regulated </w:t>
      </w:r>
      <w:r w:rsidRPr="003B36AE">
        <w:t>institution or overseas equivalent</w:t>
      </w:r>
      <w:r>
        <w:t>,</w:t>
      </w:r>
      <w:r w:rsidRPr="006A7AE7">
        <w:rPr>
          <w:rStyle w:val="FootnoteReference"/>
        </w:rPr>
        <w:footnoteReference w:id="6"/>
      </w:r>
      <w:r w:rsidRPr="006A7AE7">
        <w:t xml:space="preserve"> exceptions may apply as set out at paragraphs </w:t>
      </w:r>
      <w:r w:rsidRPr="006A7AE7">
        <w:fldChar w:fldCharType="begin"/>
      </w:r>
      <w:r w:rsidRPr="006A7AE7">
        <w:instrText xml:space="preserve"> REF _Ref86217837 \r \h  \* MERGEFORMAT </w:instrText>
      </w:r>
      <w:r w:rsidRPr="006A7AE7">
        <w:fldChar w:fldCharType="separate"/>
      </w:r>
      <w:r w:rsidR="00270FBB">
        <w:t>37</w:t>
      </w:r>
      <w:r w:rsidRPr="006A7AE7">
        <w:fldChar w:fldCharType="end"/>
      </w:r>
      <w:r w:rsidRPr="006A7AE7">
        <w:t xml:space="preserve"> to </w:t>
      </w:r>
      <w:r w:rsidRPr="006A7AE7">
        <w:fldChar w:fldCharType="begin"/>
      </w:r>
      <w:r w:rsidRPr="006A7AE7">
        <w:instrText xml:space="preserve"> REF _Ref86117008 \r \h  \* MERGEFORMAT </w:instrText>
      </w:r>
      <w:r w:rsidRPr="006A7AE7">
        <w:fldChar w:fldCharType="separate"/>
      </w:r>
      <w:r w:rsidR="00270FBB">
        <w:t>39</w:t>
      </w:r>
      <w:r w:rsidRPr="006A7AE7">
        <w:fldChar w:fldCharType="end"/>
      </w:r>
      <w:r w:rsidRPr="006A7AE7">
        <w:t>. For a locally incorporated</w:t>
      </w:r>
      <w:r w:rsidRPr="003B36AE">
        <w:t xml:space="preserve"> </w:t>
      </w:r>
      <w:r w:rsidRPr="006A7AE7">
        <w:t>APRA</w:t>
      </w:r>
      <w:r w:rsidRPr="006A7AE7">
        <w:rPr>
          <w:b/>
        </w:rPr>
        <w:t>-</w:t>
      </w:r>
      <w:r w:rsidRPr="006A7AE7">
        <w:t xml:space="preserve">regulated </w:t>
      </w:r>
      <w:r w:rsidRPr="003B36AE">
        <w:t xml:space="preserve">institution that is a </w:t>
      </w:r>
      <w:r w:rsidRPr="006562B8">
        <w:t>subsidiary</w:t>
      </w:r>
      <w:r w:rsidRPr="00DF2535">
        <w:t xml:space="preserve"> of a parent company that is not prudentially regulated, exceptions may apply as set out at paragraph </w:t>
      </w:r>
      <w:r w:rsidRPr="006A7AE7">
        <w:fldChar w:fldCharType="begin"/>
      </w:r>
      <w:r w:rsidRPr="006A7AE7">
        <w:instrText xml:space="preserve"> REF _Ref101671088 \r \h  \* MERGEFORMAT </w:instrText>
      </w:r>
      <w:r w:rsidRPr="006A7AE7">
        <w:fldChar w:fldCharType="separate"/>
      </w:r>
      <w:r w:rsidR="00270FBB">
        <w:t>40</w:t>
      </w:r>
      <w:r w:rsidRPr="006A7AE7">
        <w:fldChar w:fldCharType="end"/>
      </w:r>
      <w:r w:rsidRPr="006A7AE7">
        <w:t>.</w:t>
      </w:r>
    </w:p>
    <w:p w14:paraId="76F3ABAF" w14:textId="77777777" w:rsidR="00B239E0" w:rsidRPr="00DF2535" w:rsidRDefault="00B239E0" w:rsidP="00B239E0">
      <w:pPr>
        <w:pStyle w:val="BodyText1"/>
      </w:pPr>
      <w:r w:rsidRPr="006562B8">
        <w:t>The chairperson of the Board</w:t>
      </w:r>
      <w:r w:rsidRPr="00DF2535">
        <w:t xml:space="preserve"> must be an independent director of the APRA</w:t>
      </w:r>
      <w:r w:rsidRPr="00DF2535">
        <w:rPr>
          <w:b/>
        </w:rPr>
        <w:t>-</w:t>
      </w:r>
      <w:r w:rsidRPr="00DF2535">
        <w:t>regulated institution.</w:t>
      </w:r>
    </w:p>
    <w:p w14:paraId="7D0E4F08" w14:textId="77777777" w:rsidR="00B239E0" w:rsidRPr="0094689D" w:rsidRDefault="00B239E0" w:rsidP="00B239E0">
      <w:pPr>
        <w:pStyle w:val="BodyText1"/>
      </w:pPr>
      <w:r w:rsidRPr="0094689D">
        <w:t>A majority of directors present and eligible to vote at all Board meetings must be non-executive directors.</w:t>
      </w:r>
    </w:p>
    <w:p w14:paraId="28FAECDB" w14:textId="77777777" w:rsidR="00B239E0" w:rsidRPr="006A7AE7" w:rsidRDefault="00B239E0" w:rsidP="00B239E0">
      <w:pPr>
        <w:pStyle w:val="BodyText1"/>
      </w:pPr>
      <w:bookmarkStart w:id="55" w:name="_Ref264458204"/>
      <w:r w:rsidRPr="006A7AE7">
        <w:t>The chairperson of the Board cannot have been the Chief Executive Officer (CEO) of the APRA</w:t>
      </w:r>
      <w:r w:rsidRPr="006A7AE7">
        <w:rPr>
          <w:b/>
        </w:rPr>
        <w:t>-</w:t>
      </w:r>
      <w:r w:rsidRPr="006A7AE7">
        <w:t>regulated institution at any time during the previous three years. If the position of the CEO is unexpectedly vacated, the chairperson may serve as an interim CEO. After a period of 90 days, approval must be sought from APRA to allow this arrangement to continue.</w:t>
      </w:r>
      <w:bookmarkEnd w:id="55"/>
    </w:p>
    <w:p w14:paraId="3D5D4648" w14:textId="77777777" w:rsidR="00B239E0" w:rsidRPr="006A7AE7" w:rsidRDefault="00B239E0" w:rsidP="00B239E0">
      <w:pPr>
        <w:pStyle w:val="BodyText1"/>
      </w:pPr>
      <w:bookmarkStart w:id="56" w:name="_Ref85873740"/>
      <w:r w:rsidRPr="006A7AE7">
        <w:t>The chairperson must be available to meet with APRA on request.</w:t>
      </w:r>
    </w:p>
    <w:bookmarkEnd w:id="56"/>
    <w:p w14:paraId="3E5DFEE4" w14:textId="77777777" w:rsidR="00B239E0" w:rsidRPr="006A7AE7" w:rsidRDefault="00B239E0" w:rsidP="00B239E0">
      <w:pPr>
        <w:pStyle w:val="BodyText1"/>
      </w:pPr>
      <w:r w:rsidRPr="006A7AE7">
        <w:t>For a locally owned and incorporated APRA</w:t>
      </w:r>
      <w:r w:rsidRPr="006A7AE7">
        <w:rPr>
          <w:b/>
        </w:rPr>
        <w:t>-</w:t>
      </w:r>
      <w:r w:rsidRPr="006A7AE7">
        <w:t>regulated institution, a majority of directors must be ordinarily resident in Australia.</w:t>
      </w:r>
    </w:p>
    <w:p w14:paraId="3708364A" w14:textId="77777777" w:rsidR="00B239E0" w:rsidRPr="006A7AE7" w:rsidRDefault="00B239E0" w:rsidP="00B239E0">
      <w:pPr>
        <w:pStyle w:val="BodyText1"/>
      </w:pPr>
      <w:r w:rsidRPr="006A7AE7">
        <w:lastRenderedPageBreak/>
        <w:t>For a foreign-owned, locally incorporated APRA</w:t>
      </w:r>
      <w:r w:rsidRPr="006A7AE7">
        <w:rPr>
          <w:b/>
        </w:rPr>
        <w:t>-</w:t>
      </w:r>
      <w:r w:rsidRPr="006A7AE7">
        <w:t>regulated institution, at least two of the directors must be ordinarily resident in Australia, at least one of whom must also be independent.</w:t>
      </w:r>
    </w:p>
    <w:p w14:paraId="511776F8" w14:textId="77777777" w:rsidR="00B239E0" w:rsidRPr="006A7AE7" w:rsidRDefault="00B239E0" w:rsidP="00B239E0">
      <w:pPr>
        <w:pStyle w:val="Heading1"/>
      </w:pPr>
      <w:bookmarkStart w:id="57" w:name="_Toc333999182"/>
      <w:bookmarkStart w:id="58" w:name="_Toc337644671"/>
      <w:bookmarkStart w:id="59" w:name="_Toc445299764"/>
      <w:bookmarkStart w:id="60" w:name="_Toc146605982"/>
      <w:bookmarkStart w:id="61" w:name="_Ref120519315"/>
      <w:bookmarkStart w:id="62" w:name="_Ref259442617"/>
      <w:r w:rsidRPr="006A7AE7">
        <w:t>Board representation</w:t>
      </w:r>
      <w:bookmarkEnd w:id="57"/>
      <w:bookmarkEnd w:id="58"/>
      <w:bookmarkEnd w:id="59"/>
      <w:bookmarkEnd w:id="60"/>
    </w:p>
    <w:p w14:paraId="0C3BE9E1" w14:textId="77777777" w:rsidR="00B239E0" w:rsidRPr="006A7AE7" w:rsidRDefault="00B239E0" w:rsidP="00B239E0">
      <w:pPr>
        <w:pStyle w:val="BodyText1"/>
      </w:pPr>
      <w:bookmarkStart w:id="63" w:name="_Ref274897883"/>
      <w:r w:rsidRPr="006A7AE7">
        <w:t>Board representation must be consistent with a locally incorporated APRA</w:t>
      </w:r>
      <w:r w:rsidRPr="006A7AE7">
        <w:rPr>
          <w:b/>
        </w:rPr>
        <w:t>-</w:t>
      </w:r>
      <w:r w:rsidRPr="006A7AE7">
        <w:t xml:space="preserve">regulated institution’s shareholding. Where a shareholding constitutes not more than 15 per cent of the </w:t>
      </w:r>
      <w:r w:rsidRPr="005153B8">
        <w:t>APRA</w:t>
      </w:r>
      <w:r w:rsidRPr="005153B8">
        <w:rPr>
          <w:b/>
        </w:rPr>
        <w:t>-</w:t>
      </w:r>
      <w:r w:rsidRPr="005153B8">
        <w:t xml:space="preserve">regulated </w:t>
      </w:r>
      <w:r w:rsidRPr="0094689D">
        <w:t>institution’s voting shares</w:t>
      </w:r>
      <w:r w:rsidRPr="00956461">
        <w:t xml:space="preserve">, there should not be more than one </w:t>
      </w:r>
      <w:r w:rsidRPr="006A7AE7">
        <w:t>Board member who is an associate</w:t>
      </w:r>
      <w:r w:rsidRPr="006A7AE7">
        <w:rPr>
          <w:b/>
        </w:rPr>
        <w:t xml:space="preserve"> </w:t>
      </w:r>
      <w:r w:rsidRPr="006A7AE7">
        <w:t>of the shareholder where the Board has up to six directors, and not more than two Board members who are associates of the shareholder where the Board has seven or more directors. A director is taken to be an associate of a shareholder for the purposes of this Prudential Standard</w:t>
      </w:r>
      <w:r w:rsidRPr="006A7AE7">
        <w:rPr>
          <w:i/>
        </w:rPr>
        <w:t xml:space="preserve"> </w:t>
      </w:r>
      <w:r w:rsidRPr="006A7AE7">
        <w:t xml:space="preserve">if the director is an associate of the shareholder, or the shareholder is an associate of the director, according to the definition of associate in clause 4 of Schedule 1 of the </w:t>
      </w:r>
      <w:r w:rsidRPr="006A7AE7">
        <w:rPr>
          <w:i/>
        </w:rPr>
        <w:t xml:space="preserve">Financial Sector (Shareholdings) Act 1998 </w:t>
      </w:r>
      <w:r w:rsidRPr="006A7AE7">
        <w:t>(Financial Sector (Shareholdings) Act). That definition is to be applied for the purposes of this Prudential Standard as if subparagraph (1)(</w:t>
      </w:r>
      <w:r w:rsidRPr="006A7AE7">
        <w:rPr>
          <w:i/>
        </w:rPr>
        <w:t>l</w:t>
      </w:r>
      <w:r w:rsidRPr="006A7AE7">
        <w:t>) of that definition were omitted.</w:t>
      </w:r>
      <w:bookmarkEnd w:id="61"/>
      <w:bookmarkEnd w:id="62"/>
      <w:bookmarkEnd w:id="63"/>
    </w:p>
    <w:p w14:paraId="718811C9" w14:textId="115299A3" w:rsidR="00B239E0" w:rsidRPr="006A7AE7" w:rsidRDefault="00B239E0" w:rsidP="00B239E0">
      <w:pPr>
        <w:pStyle w:val="BodyText1"/>
      </w:pPr>
      <w:bookmarkStart w:id="64" w:name="_Ref370156488"/>
      <w:r w:rsidRPr="006A7AE7">
        <w:t xml:space="preserve">Where an individual shareholding is greater than 15 per cent, as approved under the Financial Sector (Shareholdings) Act, the Board representation of that shareholding may be greater than allowed in paragraph </w:t>
      </w:r>
      <w:r w:rsidRPr="006A7AE7">
        <w:fldChar w:fldCharType="begin"/>
      </w:r>
      <w:r w:rsidRPr="006A7AE7">
        <w:instrText xml:space="preserve"> REF _Ref274897883 \r \h  \* MERGEFORMAT </w:instrText>
      </w:r>
      <w:r w:rsidRPr="006A7AE7">
        <w:fldChar w:fldCharType="separate"/>
      </w:r>
      <w:r w:rsidR="00270FBB">
        <w:t>34</w:t>
      </w:r>
      <w:r w:rsidRPr="006A7AE7">
        <w:fldChar w:fldCharType="end"/>
      </w:r>
      <w:r w:rsidRPr="006A7AE7">
        <w:t>, although it must still be broadly proportionate to the shareholding concerned.</w:t>
      </w:r>
      <w:r w:rsidRPr="006A7AE7">
        <w:rPr>
          <w:rStyle w:val="FootnoteReference"/>
        </w:rPr>
        <w:footnoteReference w:id="7"/>
      </w:r>
      <w:bookmarkEnd w:id="64"/>
    </w:p>
    <w:p w14:paraId="0C1F3CF1" w14:textId="77777777" w:rsidR="00B239E0" w:rsidRPr="0094689D" w:rsidRDefault="00B239E0" w:rsidP="00B239E0">
      <w:pPr>
        <w:pStyle w:val="BodyText1"/>
      </w:pPr>
      <w:bookmarkStart w:id="65" w:name="_Ref117928320"/>
      <w:bookmarkStart w:id="66" w:name="_Ref374430511"/>
      <w:r w:rsidRPr="006562B8">
        <w:t xml:space="preserve">For a </w:t>
      </w:r>
      <w:r>
        <w:t xml:space="preserve">locally incorporated </w:t>
      </w:r>
      <w:r w:rsidRPr="00DF2535">
        <w:t>ADI that</w:t>
      </w:r>
      <w:bookmarkEnd w:id="65"/>
      <w:r w:rsidRPr="00DF2535">
        <w:t xml:space="preserve"> operates as a special service provider, the ADI may apply to APRA for approval for alternative </w:t>
      </w:r>
      <w:r w:rsidRPr="0094689D">
        <w:t>Board composition arrangements that meet the objectives of this Prudential Standard. APRA may approve alternative arrangements for the ADI if satisfied that those arrangements will, in APRA’s opinion, achieve the objectives of this Prudential Standard.</w:t>
      </w:r>
      <w:bookmarkEnd w:id="66"/>
    </w:p>
    <w:p w14:paraId="257192D7" w14:textId="77777777" w:rsidR="00B239E0" w:rsidRPr="006A7AE7" w:rsidRDefault="00B239E0" w:rsidP="00B239E0">
      <w:pPr>
        <w:pStyle w:val="Heading1"/>
      </w:pPr>
      <w:bookmarkStart w:id="67" w:name="_Toc333999183"/>
      <w:bookmarkStart w:id="68" w:name="_Toc337644672"/>
      <w:bookmarkStart w:id="69" w:name="_Toc445299765"/>
      <w:bookmarkStart w:id="70" w:name="_Toc146605983"/>
      <w:r>
        <w:t>Locally incorporated APRA-r</w:t>
      </w:r>
      <w:r w:rsidRPr="006A7AE7">
        <w:t>egulated institutions that are subsidiaries of other APRA-regulated institutions or overseas equivalents</w:t>
      </w:r>
      <w:bookmarkEnd w:id="67"/>
      <w:bookmarkEnd w:id="68"/>
      <w:bookmarkEnd w:id="69"/>
      <w:bookmarkEnd w:id="70"/>
    </w:p>
    <w:p w14:paraId="111AF8CE" w14:textId="77777777" w:rsidR="00B239E0" w:rsidRPr="00956461" w:rsidRDefault="00B239E0" w:rsidP="00B239E0">
      <w:pPr>
        <w:pStyle w:val="BodyText1"/>
      </w:pPr>
      <w:bookmarkStart w:id="71" w:name="_Ref86217837"/>
      <w:bookmarkStart w:id="72" w:name="_Ref259442472"/>
      <w:r w:rsidRPr="006A7AE7">
        <w:t>For a locally incorporated APRA</w:t>
      </w:r>
      <w:r w:rsidRPr="006A7AE7">
        <w:rPr>
          <w:b/>
        </w:rPr>
        <w:t>-</w:t>
      </w:r>
      <w:r w:rsidRPr="006A7AE7">
        <w:t xml:space="preserve">regulated institution that is a subsidiary of another APRA-regulated institution or an overseas equivalent, the Board </w:t>
      </w:r>
      <w:r w:rsidRPr="00956461">
        <w:t>must have a majority of non-executive directors, but these non-executive directors need not all be independent.</w:t>
      </w:r>
      <w:bookmarkEnd w:id="71"/>
      <w:bookmarkEnd w:id="72"/>
    </w:p>
    <w:p w14:paraId="52C7C13D" w14:textId="118E0A05" w:rsidR="00B239E0" w:rsidRPr="00DF2535" w:rsidRDefault="00B239E0" w:rsidP="00B239E0">
      <w:pPr>
        <w:pStyle w:val="BodyText1"/>
      </w:pPr>
      <w:bookmarkStart w:id="73" w:name="_Ref118259649"/>
      <w:r w:rsidRPr="00956461">
        <w:t>An</w:t>
      </w:r>
      <w:r>
        <w:t xml:space="preserve"> </w:t>
      </w:r>
      <w:r w:rsidRPr="00956461">
        <w:t>institution</w:t>
      </w:r>
      <w:r w:rsidRPr="00D45FB9">
        <w:t xml:space="preserve"> to which paragraph </w:t>
      </w:r>
      <w:r w:rsidRPr="006A7AE7">
        <w:fldChar w:fldCharType="begin"/>
      </w:r>
      <w:r w:rsidRPr="006A7AE7">
        <w:instrText xml:space="preserve"> REF _Ref86217837 \r \h  \* MERGEFORMAT </w:instrText>
      </w:r>
      <w:r w:rsidRPr="006A7AE7">
        <w:fldChar w:fldCharType="separate"/>
      </w:r>
      <w:r w:rsidR="00270FBB">
        <w:t>37</w:t>
      </w:r>
      <w:r w:rsidRPr="006A7AE7">
        <w:fldChar w:fldCharType="end"/>
      </w:r>
      <w:r w:rsidRPr="006A7AE7">
        <w:t xml:space="preserve"> applies will be required to have, at a minimum, two independent directors, in addition to an independent chairperson, where the </w:t>
      </w:r>
      <w:r w:rsidRPr="006562B8">
        <w:t xml:space="preserve">Board has up to seven members. Where the </w:t>
      </w:r>
      <w:r w:rsidRPr="00DF2535">
        <w:t>Board has more than seven members, the institution will be required to have at least three independent directors, in addition to an independent chairperson.</w:t>
      </w:r>
      <w:bookmarkEnd w:id="73"/>
    </w:p>
    <w:p w14:paraId="544D2929" w14:textId="0D83E6ED" w:rsidR="00B239E0" w:rsidRPr="0094689D" w:rsidRDefault="00B239E0" w:rsidP="00B239E0">
      <w:pPr>
        <w:pStyle w:val="BodyText1"/>
      </w:pPr>
      <w:bookmarkStart w:id="74" w:name="_Ref86117008"/>
      <w:r w:rsidRPr="00DF2535">
        <w:t>For the purposes of meeting the requirements in paragraph</w:t>
      </w:r>
      <w:r w:rsidRPr="0094689D">
        <w:t xml:space="preserve"> </w:t>
      </w:r>
      <w:r w:rsidRPr="006A7AE7">
        <w:fldChar w:fldCharType="begin"/>
      </w:r>
      <w:r w:rsidRPr="006A7AE7">
        <w:instrText xml:space="preserve"> REF _Ref118259649 \r \h  \* MERGEFORMAT </w:instrText>
      </w:r>
      <w:r w:rsidRPr="006A7AE7">
        <w:fldChar w:fldCharType="separate"/>
      </w:r>
      <w:r w:rsidR="00270FBB">
        <w:t>38</w:t>
      </w:r>
      <w:r w:rsidRPr="006A7AE7">
        <w:fldChar w:fldCharType="end"/>
      </w:r>
      <w:r w:rsidRPr="006A7AE7">
        <w:t xml:space="preserve">, the independent directors on the </w:t>
      </w:r>
      <w:r w:rsidRPr="006562B8">
        <w:t>Board of the parent company or i</w:t>
      </w:r>
      <w:r w:rsidRPr="00DF2535">
        <w:t xml:space="preserve">ts other subsidiaries may also sit as independent directors on the Board of the </w:t>
      </w:r>
      <w:r w:rsidRPr="0094689D">
        <w:t>institution.</w:t>
      </w:r>
      <w:bookmarkEnd w:id="74"/>
    </w:p>
    <w:p w14:paraId="2F30E83B" w14:textId="77777777" w:rsidR="00B239E0" w:rsidRPr="006A7AE7" w:rsidRDefault="00B239E0" w:rsidP="00B239E0">
      <w:pPr>
        <w:pStyle w:val="Heading1"/>
      </w:pPr>
      <w:bookmarkStart w:id="75" w:name="_Toc333999184"/>
      <w:bookmarkStart w:id="76" w:name="_Toc337644673"/>
      <w:bookmarkStart w:id="77" w:name="_Toc445299766"/>
      <w:bookmarkStart w:id="78" w:name="_Toc146605984"/>
      <w:r w:rsidRPr="006A7AE7">
        <w:lastRenderedPageBreak/>
        <w:t>Subsidiaries of a parent that is not prudentially regulated</w:t>
      </w:r>
      <w:bookmarkEnd w:id="75"/>
      <w:bookmarkEnd w:id="76"/>
      <w:bookmarkEnd w:id="77"/>
      <w:bookmarkEnd w:id="78"/>
    </w:p>
    <w:p w14:paraId="0249ED37" w14:textId="304C322F" w:rsidR="00B239E0" w:rsidRPr="0094689D" w:rsidRDefault="00B239E0" w:rsidP="00B239E0">
      <w:pPr>
        <w:pStyle w:val="BodyText1"/>
      </w:pPr>
      <w:bookmarkStart w:id="79" w:name="_Ref101671088"/>
      <w:r w:rsidRPr="006A7AE7">
        <w:t>For a locally incorporated APRA</w:t>
      </w:r>
      <w:r w:rsidRPr="006A7AE7">
        <w:rPr>
          <w:b/>
        </w:rPr>
        <w:t>-</w:t>
      </w:r>
      <w:r w:rsidRPr="006A7AE7">
        <w:t xml:space="preserve">regulated institution that is a subsidiary of another entity not covered by the arrangements in paragraphs </w:t>
      </w:r>
      <w:r w:rsidRPr="006A7AE7">
        <w:fldChar w:fldCharType="begin"/>
      </w:r>
      <w:r w:rsidRPr="006A7AE7">
        <w:instrText xml:space="preserve"> REF _Ref86217837 \r \h  \* MERGEFORMAT </w:instrText>
      </w:r>
      <w:r w:rsidRPr="006A7AE7">
        <w:fldChar w:fldCharType="separate"/>
      </w:r>
      <w:r w:rsidR="00270FBB">
        <w:t>37</w:t>
      </w:r>
      <w:r w:rsidRPr="006A7AE7">
        <w:fldChar w:fldCharType="end"/>
      </w:r>
      <w:r w:rsidRPr="006A7AE7">
        <w:t xml:space="preserve"> to </w:t>
      </w:r>
      <w:r w:rsidRPr="006A7AE7">
        <w:fldChar w:fldCharType="begin"/>
      </w:r>
      <w:r w:rsidRPr="006A7AE7">
        <w:instrText xml:space="preserve"> REF _Ref86117008 \r \h  \* MERGEFORMAT </w:instrText>
      </w:r>
      <w:r w:rsidRPr="006A7AE7">
        <w:fldChar w:fldCharType="separate"/>
      </w:r>
      <w:r w:rsidR="00270FBB">
        <w:t>39</w:t>
      </w:r>
      <w:r w:rsidRPr="006A7AE7">
        <w:fldChar w:fldCharType="end"/>
      </w:r>
      <w:r w:rsidRPr="006A7AE7">
        <w:t xml:space="preserve"> of this Prudential Standard, the Board must have a majority of independent directors. However, ind</w:t>
      </w:r>
      <w:r w:rsidRPr="006562B8">
        <w:t>ependent directors on the Board</w:t>
      </w:r>
      <w:r w:rsidRPr="00DF2535">
        <w:t xml:space="preserve"> of the parent company or its other subsidiaries may also sit as independent directors on the Board of the</w:t>
      </w:r>
      <w:r w:rsidRPr="0094689D">
        <w:t xml:space="preserve"> institution.</w:t>
      </w:r>
      <w:bookmarkEnd w:id="79"/>
    </w:p>
    <w:p w14:paraId="691DF8EC" w14:textId="77777777" w:rsidR="00B239E0" w:rsidRPr="006A7AE7" w:rsidRDefault="00B239E0" w:rsidP="00B239E0">
      <w:pPr>
        <w:pStyle w:val="Heading1"/>
      </w:pPr>
      <w:bookmarkStart w:id="80" w:name="_Toc333999185"/>
      <w:bookmarkStart w:id="81" w:name="_Toc337644674"/>
      <w:bookmarkStart w:id="82" w:name="_Toc445299767"/>
      <w:bookmarkStart w:id="83" w:name="_Toc146605985"/>
      <w:r w:rsidRPr="006A7AE7">
        <w:t>Joint ventures</w:t>
      </w:r>
      <w:bookmarkEnd w:id="80"/>
      <w:bookmarkEnd w:id="81"/>
      <w:bookmarkEnd w:id="82"/>
      <w:bookmarkEnd w:id="83"/>
    </w:p>
    <w:p w14:paraId="3DE35A71" w14:textId="49E791C1" w:rsidR="00B239E0" w:rsidRPr="00DF2535" w:rsidRDefault="00B239E0" w:rsidP="00B239E0">
      <w:pPr>
        <w:pStyle w:val="BodyText1"/>
      </w:pPr>
      <w:bookmarkStart w:id="84" w:name="_Ref444605380"/>
      <w:r w:rsidRPr="006A7AE7">
        <w:t>For the purposes of this Prudential Standard, a locally incorporated APRA</w:t>
      </w:r>
      <w:r w:rsidRPr="006A7AE7">
        <w:rPr>
          <w:b/>
        </w:rPr>
        <w:t>-</w:t>
      </w:r>
      <w:r w:rsidRPr="006A7AE7">
        <w:t xml:space="preserve">regulated institution that operates as a joint venture can be considered as part of the group of each parent entity. Independent directors of a parent may sit as independent directors on the Board of the joint venture entity. However, the general concessions available to subsidiaries in paragraphs </w:t>
      </w:r>
      <w:r w:rsidRPr="006562B8">
        <w:fldChar w:fldCharType="begin"/>
      </w:r>
      <w:r w:rsidRPr="006A7AE7">
        <w:instrText xml:space="preserve"> REF _Ref86217837 \r \h  \* MERGEFORMAT </w:instrText>
      </w:r>
      <w:r w:rsidRPr="006562B8">
        <w:fldChar w:fldCharType="separate"/>
      </w:r>
      <w:r w:rsidR="00270FBB">
        <w:t>37</w:t>
      </w:r>
      <w:r w:rsidRPr="006562B8">
        <w:fldChar w:fldCharType="end"/>
      </w:r>
      <w:r w:rsidRPr="006562B8">
        <w:t xml:space="preserve"> to </w:t>
      </w:r>
      <w:r w:rsidRPr="006562B8">
        <w:fldChar w:fldCharType="begin"/>
      </w:r>
      <w:r w:rsidRPr="006A7AE7">
        <w:instrText xml:space="preserve"> REF _Ref86117008 \r \h  \* MERGEFORMAT </w:instrText>
      </w:r>
      <w:r w:rsidRPr="006562B8">
        <w:fldChar w:fldCharType="separate"/>
      </w:r>
      <w:r w:rsidR="00270FBB">
        <w:t>39</w:t>
      </w:r>
      <w:r w:rsidRPr="006562B8">
        <w:fldChar w:fldCharType="end"/>
      </w:r>
      <w:r w:rsidRPr="006562B8">
        <w:t xml:space="preserve"> are not</w:t>
      </w:r>
      <w:r w:rsidRPr="00DF2535">
        <w:t xml:space="preserve"> available to joint ventures.</w:t>
      </w:r>
      <w:bookmarkEnd w:id="84"/>
    </w:p>
    <w:p w14:paraId="56117053" w14:textId="77777777" w:rsidR="00B239E0" w:rsidRPr="006A7AE7" w:rsidRDefault="00B239E0" w:rsidP="00B239E0">
      <w:pPr>
        <w:pStyle w:val="Heading1"/>
      </w:pPr>
      <w:bookmarkStart w:id="85" w:name="_Toc333999186"/>
      <w:bookmarkStart w:id="86" w:name="_Toc337644675"/>
      <w:bookmarkStart w:id="87" w:name="_Toc445299768"/>
      <w:bookmarkStart w:id="88" w:name="_Toc146605986"/>
      <w:r w:rsidRPr="00DF2535">
        <w:t xml:space="preserve">APRA-regulated institutions that are part of a </w:t>
      </w:r>
      <w:r w:rsidRPr="0094689D">
        <w:t xml:space="preserve">group or any other </w:t>
      </w:r>
      <w:r w:rsidRPr="00A37462">
        <w:t>corporate group</w:t>
      </w:r>
      <w:bookmarkEnd w:id="85"/>
      <w:bookmarkEnd w:id="86"/>
      <w:bookmarkEnd w:id="87"/>
      <w:bookmarkEnd w:id="88"/>
    </w:p>
    <w:p w14:paraId="760F00BB" w14:textId="77777777" w:rsidR="00B239E0" w:rsidRPr="0094689D" w:rsidRDefault="00B239E0" w:rsidP="00B239E0">
      <w:pPr>
        <w:pStyle w:val="BodyText1"/>
      </w:pPr>
      <w:bookmarkStart w:id="89" w:name="_Ref277145843"/>
      <w:r w:rsidRPr="006562B8">
        <w:t>Where a locally</w:t>
      </w:r>
      <w:r w:rsidRPr="00DF2535">
        <w:t xml:space="preserve"> incorporated APRA</w:t>
      </w:r>
      <w:r w:rsidRPr="00DF2535">
        <w:rPr>
          <w:b/>
        </w:rPr>
        <w:t>-</w:t>
      </w:r>
      <w:r w:rsidRPr="00DF2535">
        <w:t xml:space="preserve">regulated institution is part of a </w:t>
      </w:r>
      <w:r w:rsidRPr="0094689D">
        <w:t xml:space="preserve">group or any other </w:t>
      </w:r>
      <w:r w:rsidRPr="0094689D">
        <w:rPr>
          <w:b/>
        </w:rPr>
        <w:t>corporate group</w:t>
      </w:r>
      <w:r w:rsidRPr="003B36AE">
        <w:t>, and the</w:t>
      </w:r>
      <w:r w:rsidRPr="006562B8">
        <w:t xml:space="preserve"> </w:t>
      </w:r>
      <w:r w:rsidRPr="00DF2535">
        <w:t>APRA</w:t>
      </w:r>
      <w:r w:rsidRPr="00DF2535">
        <w:rPr>
          <w:b/>
        </w:rPr>
        <w:t>-</w:t>
      </w:r>
      <w:r w:rsidRPr="00DF2535">
        <w:t xml:space="preserve">regulated </w:t>
      </w:r>
      <w:r w:rsidRPr="006562B8">
        <w:t xml:space="preserve">institution utilises group policies or functions, the </w:t>
      </w:r>
      <w:r w:rsidRPr="00DF2535">
        <w:t>Board of the APRA</w:t>
      </w:r>
      <w:r w:rsidRPr="00DF2535">
        <w:rPr>
          <w:b/>
        </w:rPr>
        <w:t>-</w:t>
      </w:r>
      <w:r w:rsidRPr="00DF2535">
        <w:t>regulated institution must approve the use of group policies and functions and must ensure that these policies and functions give appropriate regard to the APRA</w:t>
      </w:r>
      <w:r w:rsidRPr="00DF2535">
        <w:rPr>
          <w:b/>
        </w:rPr>
        <w:t>-</w:t>
      </w:r>
      <w:r w:rsidRPr="00DF2535">
        <w:t>regulated institution’s business and its specific requirements.</w:t>
      </w:r>
      <w:bookmarkEnd w:id="89"/>
    </w:p>
    <w:p w14:paraId="389C0B4F" w14:textId="77777777" w:rsidR="00B239E0" w:rsidRPr="00DF2535" w:rsidRDefault="00B239E0" w:rsidP="00B239E0">
      <w:pPr>
        <w:pStyle w:val="Heading1"/>
      </w:pPr>
      <w:bookmarkStart w:id="90" w:name="_Toc146605987"/>
      <w:bookmarkStart w:id="91" w:name="_Toc445299769"/>
      <w:r w:rsidRPr="00E6550E">
        <w:t xml:space="preserve">Entities that are part of a group that are not </w:t>
      </w:r>
      <w:r w:rsidRPr="006A7AE7">
        <w:t>APRA-regu</w:t>
      </w:r>
      <w:r w:rsidRPr="003B36AE">
        <w:t xml:space="preserve">lated </w:t>
      </w:r>
      <w:r w:rsidRPr="006562B8">
        <w:t>institutions</w:t>
      </w:r>
      <w:bookmarkEnd w:id="90"/>
      <w:r w:rsidRPr="006562B8">
        <w:t xml:space="preserve"> </w:t>
      </w:r>
      <w:bookmarkEnd w:id="91"/>
    </w:p>
    <w:p w14:paraId="556A9576" w14:textId="468FF1F2" w:rsidR="00B239E0" w:rsidRPr="0094689D" w:rsidRDefault="00B239E0" w:rsidP="00B239E0">
      <w:pPr>
        <w:pStyle w:val="BodyText1"/>
      </w:pPr>
      <w:bookmarkStart w:id="92" w:name="_Ref444788601"/>
      <w:r w:rsidRPr="00DF2535">
        <w:t xml:space="preserve">The board composition and representation requirements in paragraphs </w:t>
      </w:r>
      <w:r w:rsidRPr="006562B8">
        <w:fldChar w:fldCharType="begin"/>
      </w:r>
      <w:r w:rsidRPr="006A7AE7">
        <w:instrText xml:space="preserve"> REF _Ref374430502 \r \h </w:instrText>
      </w:r>
      <w:r>
        <w:instrText xml:space="preserve"> \* MERGEFORMAT </w:instrText>
      </w:r>
      <w:r w:rsidRPr="006562B8">
        <w:fldChar w:fldCharType="separate"/>
      </w:r>
      <w:r w:rsidR="00270FBB">
        <w:t>26</w:t>
      </w:r>
      <w:r w:rsidRPr="006562B8">
        <w:fldChar w:fldCharType="end"/>
      </w:r>
      <w:r w:rsidRPr="003B36AE">
        <w:t xml:space="preserve"> </w:t>
      </w:r>
      <w:r w:rsidRPr="006562B8">
        <w:t xml:space="preserve">to </w:t>
      </w:r>
      <w:r w:rsidRPr="006562B8">
        <w:fldChar w:fldCharType="begin"/>
      </w:r>
      <w:r w:rsidRPr="006A7AE7">
        <w:instrText xml:space="preserve"> REF _Ref374430511 \r \h </w:instrText>
      </w:r>
      <w:r>
        <w:instrText xml:space="preserve"> \* MERGEFORMAT </w:instrText>
      </w:r>
      <w:r w:rsidRPr="006562B8">
        <w:fldChar w:fldCharType="separate"/>
      </w:r>
      <w:r w:rsidR="00270FBB">
        <w:t>36</w:t>
      </w:r>
      <w:r w:rsidRPr="006562B8">
        <w:fldChar w:fldCharType="end"/>
      </w:r>
      <w:r w:rsidRPr="003B36AE">
        <w:t xml:space="preserve"> </w:t>
      </w:r>
      <w:r w:rsidRPr="006562B8">
        <w:t>that apply to a</w:t>
      </w:r>
      <w:r>
        <w:t xml:space="preserve"> locally incorporated</w:t>
      </w:r>
      <w:r w:rsidRPr="00DF2535">
        <w:t xml:space="preserve"> APRA-regulated institution do not apply to an entity within the group that is not an APRA-regulated institution</w:t>
      </w:r>
      <w:r w:rsidRPr="0094689D">
        <w:t>.</w:t>
      </w:r>
      <w:r w:rsidRPr="0094689D">
        <w:rPr>
          <w:rStyle w:val="FootnoteReference"/>
        </w:rPr>
        <w:footnoteReference w:id="8"/>
      </w:r>
      <w:bookmarkEnd w:id="92"/>
    </w:p>
    <w:p w14:paraId="74F4BFCF" w14:textId="77777777" w:rsidR="00B239E0" w:rsidRPr="00D45FB9" w:rsidRDefault="00B239E0" w:rsidP="00B239E0">
      <w:pPr>
        <w:pStyle w:val="Heading1"/>
      </w:pPr>
      <w:bookmarkStart w:id="93" w:name="_Toc333999187"/>
      <w:bookmarkStart w:id="94" w:name="_Toc337644676"/>
      <w:bookmarkStart w:id="95" w:name="_Toc445299770"/>
      <w:bookmarkStart w:id="96" w:name="_Toc146605988"/>
      <w:r w:rsidRPr="00D45FB9">
        <w:t>Board performance assessment</w:t>
      </w:r>
      <w:bookmarkEnd w:id="93"/>
      <w:bookmarkEnd w:id="94"/>
      <w:bookmarkEnd w:id="95"/>
      <w:bookmarkEnd w:id="96"/>
    </w:p>
    <w:p w14:paraId="6C6F5046" w14:textId="77777777" w:rsidR="00B239E0" w:rsidRPr="006A7AE7" w:rsidRDefault="00B239E0" w:rsidP="00B239E0">
      <w:pPr>
        <w:pStyle w:val="BodyText1"/>
      </w:pPr>
      <w:r w:rsidRPr="006A7AE7">
        <w:t>The Board of a locally incorporated APRA</w:t>
      </w:r>
      <w:r w:rsidRPr="006A7AE7">
        <w:rPr>
          <w:b/>
        </w:rPr>
        <w:t>-</w:t>
      </w:r>
      <w:r w:rsidRPr="006A7AE7">
        <w:t>regulated institution must have procedures for assessing, at least annually, the Board’s performance relative to its objectives. It must also have in place a procedure for assessing, at least annually, the performance of individual directors.</w:t>
      </w:r>
    </w:p>
    <w:p w14:paraId="056772D0" w14:textId="77777777" w:rsidR="00B239E0" w:rsidRPr="006A7AE7" w:rsidRDefault="00B239E0" w:rsidP="00B239E0">
      <w:pPr>
        <w:pStyle w:val="Heading1"/>
      </w:pPr>
      <w:bookmarkStart w:id="97" w:name="_Toc333999188"/>
      <w:bookmarkStart w:id="98" w:name="_Toc337644677"/>
      <w:bookmarkStart w:id="99" w:name="_Toc445299771"/>
      <w:bookmarkStart w:id="100" w:name="_Toc146605989"/>
      <w:r w:rsidRPr="006A7AE7">
        <w:t>Board renewal</w:t>
      </w:r>
      <w:bookmarkEnd w:id="97"/>
      <w:bookmarkEnd w:id="98"/>
      <w:bookmarkEnd w:id="99"/>
      <w:bookmarkEnd w:id="100"/>
    </w:p>
    <w:p w14:paraId="6CAC3FE5" w14:textId="77777777" w:rsidR="00B239E0" w:rsidRPr="006A7AE7" w:rsidRDefault="00B239E0" w:rsidP="00B239E0">
      <w:pPr>
        <w:pStyle w:val="BodyText1"/>
      </w:pPr>
      <w:bookmarkStart w:id="101" w:name="_Ref444247455"/>
      <w:r w:rsidRPr="006A7AE7">
        <w:t>The Board of a locally incorporated APRA</w:t>
      </w:r>
      <w:r w:rsidRPr="006A7AE7">
        <w:rPr>
          <w:b/>
        </w:rPr>
        <w:t>-</w:t>
      </w:r>
      <w:r w:rsidRPr="006A7AE7">
        <w:t xml:space="preserve">regulated institution must have in place a formal policy on Board renewal. This policy must provide details of how the Board intends to renew itself in order to ensure it remains open to new ideas and independent thinking, while retaining adequate expertise. The policy must give consideration to whether directors have served on the Board for a period that could, or could reasonably be perceived to, materially interfere with their ability to act in the best interests of the institution. The policy must include the process </w:t>
      </w:r>
      <w:r w:rsidRPr="006A7AE7">
        <w:lastRenderedPageBreak/>
        <w:t>for appointing and removing directors, including the factors that will determine when an existing director will be re-appointed.</w:t>
      </w:r>
      <w:bookmarkEnd w:id="101"/>
    </w:p>
    <w:p w14:paraId="271C2616" w14:textId="77777777" w:rsidR="00B239E0" w:rsidRPr="006A7AE7" w:rsidRDefault="00B239E0" w:rsidP="00B239E0">
      <w:pPr>
        <w:pStyle w:val="Heading1"/>
        <w:numPr>
          <w:ilvl w:val="0"/>
          <w:numId w:val="43"/>
        </w:numPr>
        <w:ind w:left="567" w:hanging="567"/>
      </w:pPr>
      <w:bookmarkStart w:id="102" w:name="_Toc333999189"/>
      <w:bookmarkStart w:id="103" w:name="_Toc337644678"/>
      <w:bookmarkStart w:id="104" w:name="_Toc445299772"/>
      <w:bookmarkStart w:id="105" w:name="_Toc146605990"/>
      <w:r w:rsidRPr="006A7AE7">
        <w:t>Governance arrangements – foreign ADIs, Category C insurers and EFLICs</w:t>
      </w:r>
      <w:bookmarkEnd w:id="102"/>
      <w:bookmarkEnd w:id="103"/>
      <w:bookmarkEnd w:id="104"/>
      <w:bookmarkEnd w:id="105"/>
    </w:p>
    <w:p w14:paraId="7DEDD110" w14:textId="77777777" w:rsidR="00B239E0" w:rsidRPr="006A7AE7" w:rsidRDefault="00B239E0" w:rsidP="00B239E0">
      <w:pPr>
        <w:pStyle w:val="BodyText1"/>
      </w:pPr>
      <w:r w:rsidRPr="006A7AE7">
        <w:t>As in the case of locally incorporated APRA</w:t>
      </w:r>
      <w:r w:rsidRPr="006A7AE7">
        <w:rPr>
          <w:b/>
        </w:rPr>
        <w:t>-</w:t>
      </w:r>
      <w:r w:rsidRPr="006A7AE7">
        <w:t xml:space="preserve">regulated institutions, the ultimate responsibility for the safety and soundness of a foreign </w:t>
      </w:r>
      <w:smartTag w:uri="urn:schemas-microsoft-com:office:smarttags" w:element="stockticker">
        <w:r w:rsidRPr="006A7AE7">
          <w:t>ADI</w:t>
        </w:r>
      </w:smartTag>
      <w:r w:rsidRPr="006A7AE7">
        <w:t xml:space="preserve"> or a Category C insurer resides with its Board. Foreign ADIs and Category C insurers must nominate a senior officer (whether a director or senior executive) outside Australia with delegated authority from the Board (</w:t>
      </w:r>
      <w:r w:rsidRPr="006A7AE7">
        <w:rPr>
          <w:b/>
        </w:rPr>
        <w:t>senior officer outside Australia</w:t>
      </w:r>
      <w:r w:rsidRPr="006A7AE7">
        <w:t>) who will be responsible for overseeing the Australian branch operation.</w:t>
      </w:r>
    </w:p>
    <w:p w14:paraId="277A400F" w14:textId="77777777" w:rsidR="00B239E0" w:rsidRPr="006A7AE7" w:rsidRDefault="00B239E0" w:rsidP="00B239E0">
      <w:pPr>
        <w:pStyle w:val="BodyText1"/>
      </w:pPr>
      <w:r w:rsidRPr="006A7AE7">
        <w:t>For a foreign ADI or Category C insurer, there must also be a senior manager</w:t>
      </w:r>
      <w:r w:rsidRPr="006A7AE7">
        <w:rPr>
          <w:rStyle w:val="FootnoteReference"/>
        </w:rPr>
        <w:footnoteReference w:id="9"/>
      </w:r>
      <w:r w:rsidRPr="006A7AE7">
        <w:t xml:space="preserve"> in Australia responsible for the local operation who is ordinarily resident in Australia. The senior management must be available to meet with APRA on request.</w:t>
      </w:r>
    </w:p>
    <w:p w14:paraId="17F852FF" w14:textId="77777777" w:rsidR="00B239E0" w:rsidRPr="006A7AE7" w:rsidRDefault="00B239E0" w:rsidP="00B239E0">
      <w:pPr>
        <w:pStyle w:val="BodyText1"/>
      </w:pPr>
      <w:r w:rsidRPr="006A7AE7">
        <w:t xml:space="preserve">A Category C insurer that appoints a </w:t>
      </w:r>
      <w:r w:rsidRPr="006A7AE7">
        <w:rPr>
          <w:b/>
        </w:rPr>
        <w:t>corporate agent</w:t>
      </w:r>
      <w:r w:rsidRPr="006A7AE7">
        <w:t xml:space="preserve"> as its </w:t>
      </w:r>
      <w:r w:rsidRPr="006A7AE7">
        <w:rPr>
          <w:b/>
        </w:rPr>
        <w:t>agent in Australia</w:t>
      </w:r>
      <w:r w:rsidRPr="006A7AE7">
        <w:t xml:space="preserve"> must additionally ensure that:</w:t>
      </w:r>
    </w:p>
    <w:p w14:paraId="2C94C86B" w14:textId="77777777" w:rsidR="00B239E0" w:rsidRPr="006A7AE7" w:rsidRDefault="00B239E0" w:rsidP="00B239E0">
      <w:pPr>
        <w:pStyle w:val="BodyText2"/>
        <w:tabs>
          <w:tab w:val="clear" w:pos="1560"/>
          <w:tab w:val="num" w:pos="1134"/>
        </w:tabs>
        <w:ind w:left="1134"/>
      </w:pPr>
      <w:r w:rsidRPr="006A7AE7">
        <w:t>the Board of the corporate agent has a minimum of three directors at all times; and</w:t>
      </w:r>
    </w:p>
    <w:p w14:paraId="62D98B28" w14:textId="77777777" w:rsidR="00B239E0" w:rsidRPr="006A7AE7" w:rsidRDefault="00B239E0" w:rsidP="00B239E0">
      <w:pPr>
        <w:pStyle w:val="BodyText2"/>
        <w:tabs>
          <w:tab w:val="clear" w:pos="1560"/>
          <w:tab w:val="num" w:pos="1134"/>
        </w:tabs>
        <w:ind w:left="1134"/>
      </w:pPr>
      <w:r w:rsidRPr="006A7AE7">
        <w:t>a majority of the directors of the Board of the corporate agent are ordinarily resident in Australia.</w:t>
      </w:r>
      <w:r w:rsidRPr="006A7AE7">
        <w:rPr>
          <w:rStyle w:val="FootnoteReference"/>
        </w:rPr>
        <w:footnoteReference w:id="10"/>
      </w:r>
    </w:p>
    <w:p w14:paraId="4EBC7903" w14:textId="77777777" w:rsidR="00B239E0" w:rsidRPr="006A7AE7" w:rsidRDefault="00B239E0" w:rsidP="00B239E0">
      <w:pPr>
        <w:pStyle w:val="BodyText1"/>
      </w:pPr>
      <w:r w:rsidRPr="006A7AE7">
        <w:t xml:space="preserve">The ultimate responsibility for the safety and soundness of an EFLIC resides with its Board. An EFLIC must establish a </w:t>
      </w:r>
      <w:r w:rsidRPr="006A7AE7">
        <w:rPr>
          <w:b/>
        </w:rPr>
        <w:t>Compliance Committee</w:t>
      </w:r>
      <w:r w:rsidRPr="00DC7184">
        <w:rPr>
          <w:rStyle w:val="FootnoteReference"/>
        </w:rPr>
        <w:footnoteReference w:id="11"/>
      </w:r>
      <w:r w:rsidRPr="006A7AE7">
        <w:t xml:space="preserve"> to assist the Board in meeting its responsibilities under the Life Insurance Act. The requirements for the composition of the Compliance Committee are detailed in Attachment B. The senior management of an EFLIC must be available to meet with APRA on request.</w:t>
      </w:r>
    </w:p>
    <w:p w14:paraId="2F7B4F1E" w14:textId="77777777" w:rsidR="00B239E0" w:rsidRPr="006A7AE7" w:rsidRDefault="00B239E0" w:rsidP="00B239E0">
      <w:pPr>
        <w:pStyle w:val="BodyText1"/>
      </w:pPr>
      <w:r w:rsidRPr="006A7AE7">
        <w:t>The senior officer outside Australia or Compliance Committee of an EFLIC, as relevant, must provide the external auditor of the APRA</w:t>
      </w:r>
      <w:r w:rsidRPr="006A7AE7">
        <w:rPr>
          <w:b/>
        </w:rPr>
        <w:t>-</w:t>
      </w:r>
      <w:r w:rsidRPr="006A7AE7">
        <w:t>regulated institution with the opportunity to raise matters directly with the senior officer outside Australia or the Compliance Committee, as relevant.</w:t>
      </w:r>
    </w:p>
    <w:p w14:paraId="59983028" w14:textId="2EE6C7C3" w:rsidR="00B239E0" w:rsidRPr="00DF2535" w:rsidRDefault="00B239E0" w:rsidP="001154D8">
      <w:pPr>
        <w:pStyle w:val="BodyText2"/>
        <w:numPr>
          <w:ilvl w:val="0"/>
          <w:numId w:val="0"/>
        </w:numPr>
        <w:ind w:left="1134"/>
      </w:pPr>
    </w:p>
    <w:p w14:paraId="3E7C4D04" w14:textId="77777777" w:rsidR="00B239E0" w:rsidRPr="0094689D" w:rsidRDefault="00B239E0" w:rsidP="00B239E0">
      <w:pPr>
        <w:pStyle w:val="Heading1"/>
        <w:numPr>
          <w:ilvl w:val="0"/>
          <w:numId w:val="43"/>
        </w:numPr>
        <w:ind w:left="567" w:hanging="567"/>
      </w:pPr>
      <w:bookmarkStart w:id="106" w:name="_Toc333999193"/>
      <w:bookmarkStart w:id="107" w:name="_Toc337644682"/>
      <w:bookmarkStart w:id="108" w:name="_Toc445299776"/>
      <w:bookmarkStart w:id="109" w:name="_Toc146605992"/>
      <w:bookmarkStart w:id="110" w:name="_Ref245716725"/>
      <w:r w:rsidRPr="00DF2535">
        <w:lastRenderedPageBreak/>
        <w:t>Audit</w:t>
      </w:r>
      <w:r w:rsidRPr="0094689D">
        <w:t xml:space="preserve"> arrangements</w:t>
      </w:r>
      <w:bookmarkEnd w:id="106"/>
      <w:bookmarkEnd w:id="107"/>
      <w:bookmarkEnd w:id="108"/>
      <w:bookmarkEnd w:id="109"/>
    </w:p>
    <w:p w14:paraId="41A36E2A" w14:textId="77777777" w:rsidR="00B239E0" w:rsidRPr="0094689D" w:rsidRDefault="00B239E0" w:rsidP="00B239E0">
      <w:pPr>
        <w:pStyle w:val="Heading1"/>
      </w:pPr>
      <w:bookmarkStart w:id="111" w:name="_Toc333999194"/>
      <w:bookmarkStart w:id="112" w:name="_Toc337644683"/>
      <w:bookmarkStart w:id="113" w:name="_Toc445299777"/>
      <w:bookmarkStart w:id="114" w:name="_Toc146605993"/>
      <w:bookmarkEnd w:id="110"/>
      <w:r w:rsidRPr="0094689D">
        <w:t>Board Audit Committee</w:t>
      </w:r>
      <w:bookmarkEnd w:id="111"/>
      <w:bookmarkEnd w:id="112"/>
      <w:bookmarkEnd w:id="113"/>
      <w:bookmarkEnd w:id="114"/>
    </w:p>
    <w:p w14:paraId="35C627B0" w14:textId="77777777" w:rsidR="00B239E0" w:rsidRPr="00DF2535" w:rsidRDefault="00B239E0" w:rsidP="00B239E0">
      <w:pPr>
        <w:pStyle w:val="BodyText1"/>
      </w:pPr>
      <w:bookmarkStart w:id="115" w:name="_Ref444261095"/>
      <w:r w:rsidRPr="0094689D">
        <w:t xml:space="preserve">An </w:t>
      </w:r>
      <w:r w:rsidRPr="00D45FB9">
        <w:t xml:space="preserve">APRA-regulated institution </w:t>
      </w:r>
      <w:r w:rsidRPr="006A7AE7">
        <w:t xml:space="preserve">(excluding foreign ADIs and Category C insurers but including EFLICs) must have a Board Audit Committee, which assists the Board by providing an objective non-executive review of the effectiveness of the institution’s </w:t>
      </w:r>
      <w:r w:rsidRPr="00DF2535">
        <w:t>financial reporting and risk management framework.</w:t>
      </w:r>
      <w:bookmarkEnd w:id="115"/>
    </w:p>
    <w:p w14:paraId="0DED4A08" w14:textId="77777777" w:rsidR="00B239E0" w:rsidRPr="0094689D" w:rsidRDefault="00B239E0" w:rsidP="00B239E0">
      <w:pPr>
        <w:pStyle w:val="BodyText1"/>
      </w:pPr>
      <w:bookmarkStart w:id="116" w:name="_Ref444758648"/>
      <w:r w:rsidRPr="00DF2535">
        <w:t xml:space="preserve">The Board Audit Committee must have sufficient powers to enable it to obtain all information necessary for the performance </w:t>
      </w:r>
      <w:r w:rsidRPr="0094689D">
        <w:t>of its functions.</w:t>
      </w:r>
      <w:bookmarkEnd w:id="116"/>
    </w:p>
    <w:p w14:paraId="633DC622" w14:textId="77777777" w:rsidR="00B239E0" w:rsidRPr="006A7AE7" w:rsidRDefault="00B239E0" w:rsidP="00B239E0">
      <w:pPr>
        <w:pStyle w:val="BodyText1"/>
      </w:pPr>
      <w:r w:rsidRPr="0094689D">
        <w:t>The Board Audit Committee must have at least three members. All members of the Committee must be non-executive directors of the APRA</w:t>
      </w:r>
      <w:r w:rsidRPr="0094689D">
        <w:rPr>
          <w:b/>
        </w:rPr>
        <w:t>-</w:t>
      </w:r>
      <w:r w:rsidRPr="00D45FB9">
        <w:t>regulated institution</w:t>
      </w:r>
      <w:r w:rsidRPr="006A7AE7">
        <w:t>. A majority of the members of the Committee must be independent.</w:t>
      </w:r>
    </w:p>
    <w:p w14:paraId="53E6ED27" w14:textId="77777777" w:rsidR="00B239E0" w:rsidRPr="006A7AE7" w:rsidRDefault="00B239E0" w:rsidP="00B239E0">
      <w:pPr>
        <w:pStyle w:val="BodyText1"/>
      </w:pPr>
      <w:r w:rsidRPr="006A7AE7">
        <w:t>The chairperson of the Board Audit Committee must be an independent director of the APRA</w:t>
      </w:r>
      <w:r w:rsidRPr="006A7AE7">
        <w:rPr>
          <w:b/>
        </w:rPr>
        <w:t>-</w:t>
      </w:r>
      <w:r w:rsidRPr="006A7AE7">
        <w:t>regulated institution.</w:t>
      </w:r>
    </w:p>
    <w:p w14:paraId="5D24D319" w14:textId="77777777" w:rsidR="00B239E0" w:rsidRPr="006A7AE7" w:rsidRDefault="00B239E0" w:rsidP="00B239E0">
      <w:pPr>
        <w:pStyle w:val="BodyText1"/>
      </w:pPr>
      <w:r w:rsidRPr="006A7AE7">
        <w:t>The chairperson of the Board may be a member of the Board Audit Committee, but may not chair the Committee.</w:t>
      </w:r>
    </w:p>
    <w:p w14:paraId="68C34F6E" w14:textId="77777777" w:rsidR="00B239E0" w:rsidRPr="006A7AE7" w:rsidRDefault="00B239E0" w:rsidP="00B239E0">
      <w:pPr>
        <w:pStyle w:val="BodyText1"/>
      </w:pPr>
      <w:r w:rsidRPr="006A7AE7">
        <w:t>The Board Audit Committee must have a written charter that outlines its roles, responsibilities and terms of operation. The responsibilities of the Committee must include oversight of:</w:t>
      </w:r>
    </w:p>
    <w:p w14:paraId="27CB17A3" w14:textId="77777777" w:rsidR="00B239E0" w:rsidRPr="006A7AE7" w:rsidRDefault="00B239E0" w:rsidP="00B239E0">
      <w:pPr>
        <w:pStyle w:val="BodyText2"/>
        <w:tabs>
          <w:tab w:val="clear" w:pos="1560"/>
          <w:tab w:val="num" w:pos="1134"/>
        </w:tabs>
        <w:ind w:left="1134"/>
      </w:pPr>
      <w:r w:rsidRPr="006A7AE7">
        <w:t>all APRA statutory reporting requirements;</w:t>
      </w:r>
    </w:p>
    <w:p w14:paraId="3556988A" w14:textId="77777777" w:rsidR="00B239E0" w:rsidRPr="006A7AE7" w:rsidRDefault="00B239E0" w:rsidP="00B239E0">
      <w:pPr>
        <w:pStyle w:val="BodyText2"/>
        <w:tabs>
          <w:tab w:val="clear" w:pos="1560"/>
          <w:tab w:val="num" w:pos="1134"/>
        </w:tabs>
        <w:ind w:left="1134"/>
      </w:pPr>
      <w:r w:rsidRPr="006A7AE7">
        <w:t>other financial reporting requirements;</w:t>
      </w:r>
    </w:p>
    <w:p w14:paraId="5626B52E" w14:textId="77777777" w:rsidR="00B239E0" w:rsidRPr="006A7AE7" w:rsidRDefault="00B239E0" w:rsidP="00B239E0">
      <w:pPr>
        <w:pStyle w:val="BodyText2"/>
        <w:tabs>
          <w:tab w:val="clear" w:pos="1560"/>
          <w:tab w:val="num" w:pos="1134"/>
        </w:tabs>
        <w:ind w:left="1134"/>
      </w:pPr>
      <w:r w:rsidRPr="006A7AE7">
        <w:t>professional accounting requirements;</w:t>
      </w:r>
    </w:p>
    <w:p w14:paraId="260197C1" w14:textId="77777777" w:rsidR="00B239E0" w:rsidRPr="006A7AE7" w:rsidRDefault="00B239E0" w:rsidP="00B239E0">
      <w:pPr>
        <w:pStyle w:val="BodyText2"/>
        <w:tabs>
          <w:tab w:val="clear" w:pos="1560"/>
          <w:tab w:val="num" w:pos="1134"/>
        </w:tabs>
        <w:ind w:left="1134"/>
      </w:pPr>
      <w:r w:rsidRPr="006A7AE7">
        <w:t>internal and external audit; and</w:t>
      </w:r>
    </w:p>
    <w:p w14:paraId="26278C20" w14:textId="77777777" w:rsidR="00B239E0" w:rsidRPr="0094689D" w:rsidRDefault="00B239E0" w:rsidP="00B239E0">
      <w:pPr>
        <w:pStyle w:val="BodyText2"/>
        <w:tabs>
          <w:tab w:val="clear" w:pos="1560"/>
          <w:tab w:val="num" w:pos="1134"/>
        </w:tabs>
        <w:ind w:left="1134"/>
      </w:pPr>
      <w:r w:rsidRPr="006A7AE7">
        <w:t>the appointment and removal of that institution’</w:t>
      </w:r>
      <w:r w:rsidRPr="00DF2535">
        <w:t>s auditor and Head of Internal Audit</w:t>
      </w:r>
      <w:r w:rsidRPr="0094689D">
        <w:t>.</w:t>
      </w:r>
    </w:p>
    <w:p w14:paraId="56376644" w14:textId="77777777" w:rsidR="00B239E0" w:rsidRPr="006A7AE7" w:rsidRDefault="00B239E0" w:rsidP="00B239E0">
      <w:pPr>
        <w:pStyle w:val="BodyText1"/>
      </w:pPr>
      <w:bookmarkStart w:id="117" w:name="_Ref101694886"/>
      <w:bookmarkStart w:id="118" w:name="_Ref246998839"/>
      <w:r w:rsidRPr="0094689D">
        <w:t>The Board Audit Committee is required to provide prior endorsement for the appointment or removal</w:t>
      </w:r>
      <w:r w:rsidRPr="00D45FB9">
        <w:t xml:space="preserve"> of </w:t>
      </w:r>
      <w:r w:rsidRPr="006A7AE7">
        <w:t xml:space="preserve">the </w:t>
      </w:r>
      <w:r w:rsidRPr="00DF2535">
        <w:t xml:space="preserve">institution’s auditor and Head of </w:t>
      </w:r>
      <w:r w:rsidRPr="0094689D">
        <w:t xml:space="preserve">Internal Audit. If the auditor </w:t>
      </w:r>
      <w:r w:rsidRPr="00D45FB9">
        <w:t xml:space="preserve">or Head of Internal Audit is removed from their position, the reasons for removal must be discussed with APRA as soon as practicable, and </w:t>
      </w:r>
      <w:r w:rsidRPr="006A7AE7">
        <w:t xml:space="preserve">no more than 10 </w:t>
      </w:r>
      <w:r w:rsidRPr="006A7AE7">
        <w:rPr>
          <w:b/>
        </w:rPr>
        <w:t>business days</w:t>
      </w:r>
      <w:r w:rsidRPr="006A7AE7">
        <w:t>, after the Committee’s endorsement is agreed upon</w:t>
      </w:r>
      <w:r w:rsidRPr="00EC23F0">
        <w:t>.</w:t>
      </w:r>
    </w:p>
    <w:p w14:paraId="265B12D9" w14:textId="77777777" w:rsidR="00B239E0" w:rsidRPr="0094689D" w:rsidRDefault="00B239E0" w:rsidP="00B239E0">
      <w:pPr>
        <w:pStyle w:val="BodyText1"/>
      </w:pPr>
      <w:bookmarkStart w:id="119" w:name="_Ref369519725"/>
      <w:r w:rsidRPr="006A7AE7">
        <w:t xml:space="preserve">The Board Audit Committee must review the engagement of the auditor at least annually, including making an assessment of whether the auditor meets the Audit Independence tests set out in </w:t>
      </w:r>
      <w:r w:rsidRPr="006A7AE7">
        <w:rPr>
          <w:i/>
        </w:rPr>
        <w:t>APES 110 Code of Ethics for Professional Accountants</w:t>
      </w:r>
      <w:r w:rsidRPr="006A7AE7">
        <w:t>,</w:t>
      </w:r>
      <w:r w:rsidRPr="00DF2535">
        <w:rPr>
          <w:rStyle w:val="FootnoteReference"/>
        </w:rPr>
        <w:footnoteReference w:id="12"/>
      </w:r>
      <w:r w:rsidRPr="00DF2535">
        <w:t xml:space="preserve"> as well as the additional auditor</w:t>
      </w:r>
      <w:r w:rsidRPr="0094689D">
        <w:t xml:space="preserve"> independence requirements set out in this Prudential Standard.</w:t>
      </w:r>
      <w:bookmarkEnd w:id="117"/>
      <w:bookmarkEnd w:id="119"/>
    </w:p>
    <w:p w14:paraId="0EEEE800" w14:textId="56D9FE43" w:rsidR="00B239E0" w:rsidRPr="00D45FB9" w:rsidRDefault="00B239E0" w:rsidP="00B239E0">
      <w:pPr>
        <w:pStyle w:val="BodyText1"/>
      </w:pPr>
      <w:r w:rsidRPr="0094689D">
        <w:lastRenderedPageBreak/>
        <w:t xml:space="preserve">For a foreign </w:t>
      </w:r>
      <w:smartTag w:uri="urn:schemas-microsoft-com:office:smarttags" w:element="stockticker">
        <w:r w:rsidRPr="0094689D">
          <w:t>ADI</w:t>
        </w:r>
      </w:smartTag>
      <w:r w:rsidRPr="0094689D">
        <w:t xml:space="preserve"> or a Category C insurer, </w:t>
      </w:r>
      <w:r w:rsidRPr="00D45FB9">
        <w:t xml:space="preserve">the assessment </w:t>
      </w:r>
      <w:r w:rsidRPr="006A7AE7">
        <w:t xml:space="preserve">referred to in paragraph </w:t>
      </w:r>
      <w:r w:rsidRPr="00BE743A">
        <w:fldChar w:fldCharType="begin"/>
      </w:r>
      <w:r w:rsidRPr="006A7AE7">
        <w:instrText xml:space="preserve"> REF _Ref369519725 \r \h </w:instrText>
      </w:r>
      <w:r>
        <w:instrText xml:space="preserve"> \* MERGEFORMAT </w:instrText>
      </w:r>
      <w:r w:rsidRPr="00BE743A">
        <w:fldChar w:fldCharType="separate"/>
      </w:r>
      <w:r w:rsidR="00270FBB">
        <w:t>58</w:t>
      </w:r>
      <w:r w:rsidRPr="00BE743A">
        <w:fldChar w:fldCharType="end"/>
      </w:r>
      <w:r w:rsidRPr="00DF2535">
        <w:t xml:space="preserve"> is the responsibility of </w:t>
      </w:r>
      <w:r w:rsidRPr="0094689D">
        <w:t xml:space="preserve">the senior officer outside Australia, and for an EFLIC, it is </w:t>
      </w:r>
      <w:r w:rsidRPr="00D45FB9">
        <w:t>the responsibility of the Compliance Committee.</w:t>
      </w:r>
      <w:bookmarkEnd w:id="118"/>
    </w:p>
    <w:p w14:paraId="7E470151" w14:textId="77777777" w:rsidR="00B239E0" w:rsidRPr="0094689D" w:rsidRDefault="00B239E0" w:rsidP="00B239E0">
      <w:pPr>
        <w:pStyle w:val="BodyText1"/>
      </w:pPr>
      <w:r w:rsidRPr="00D45FB9">
        <w:t>The Board Audit Committee must regularly review the internal and external audit plans, ensuring that they cover all material risks and financial rep</w:t>
      </w:r>
      <w:r w:rsidRPr="006A7AE7">
        <w:t xml:space="preserve">orting requirements of the </w:t>
      </w:r>
      <w:r w:rsidRPr="00DF2535">
        <w:t>institution.</w:t>
      </w:r>
      <w:r w:rsidRPr="0094689D">
        <w:t xml:space="preserve"> It must also regularly review the findings of audits, and ensure that issues are being managed and rectified in an appropriate and timely manner.</w:t>
      </w:r>
    </w:p>
    <w:p w14:paraId="050A7EE9" w14:textId="77777777" w:rsidR="00B239E0" w:rsidRPr="00D45FB9" w:rsidRDefault="00B239E0" w:rsidP="00B239E0">
      <w:pPr>
        <w:pStyle w:val="BodyText1"/>
      </w:pPr>
      <w:r w:rsidRPr="00D45FB9">
        <w:t>The Board Audit Committee must ensure the adequacy and independence of both the internal and external audit functions.</w:t>
      </w:r>
    </w:p>
    <w:p w14:paraId="7EB35522" w14:textId="77777777" w:rsidR="00B239E0" w:rsidRPr="006A7AE7" w:rsidRDefault="00B239E0" w:rsidP="00B239E0">
      <w:pPr>
        <w:pStyle w:val="BodyText1"/>
      </w:pPr>
      <w:r w:rsidRPr="006A7AE7">
        <w:t>The members of the Board Audit Committee must, at all times, have free and unfettered access to senior management, the internal auditor, the heads of all risk management functions, the auditor and the Appointed Actuary, as applicable, and vice versa.</w:t>
      </w:r>
    </w:p>
    <w:p w14:paraId="40D5E4CD" w14:textId="77777777" w:rsidR="00B239E0" w:rsidRPr="006A7AE7" w:rsidRDefault="00B239E0" w:rsidP="00B239E0">
      <w:pPr>
        <w:pStyle w:val="BodyText1"/>
      </w:pPr>
      <w:r w:rsidRPr="006A7AE7">
        <w:t xml:space="preserve">The Board Audit Committee must </w:t>
      </w:r>
      <w:r>
        <w:t xml:space="preserve">ensure </w:t>
      </w:r>
      <w:r w:rsidRPr="00272D6A">
        <w:t>that the APRA-regulated institution maintains</w:t>
      </w:r>
      <w:r w:rsidRPr="006A7AE7">
        <w:t xml:space="preserve"> policies and procedures for employees of the institution </w:t>
      </w:r>
      <w:r w:rsidRPr="00DF2535">
        <w:t xml:space="preserve">to submit, </w:t>
      </w:r>
      <w:r w:rsidRPr="0094689D">
        <w:t xml:space="preserve">confidentially, information about accounting, internal control, compliance, audit, and other matters about which the employee has concerns. The Committee </w:t>
      </w:r>
      <w:r w:rsidRPr="00D45FB9">
        <w:t xml:space="preserve">must </w:t>
      </w:r>
      <w:r w:rsidRPr="006A7AE7">
        <w:t xml:space="preserve">also </w:t>
      </w:r>
      <w:r>
        <w:t xml:space="preserve">ensure </w:t>
      </w:r>
      <w:r w:rsidRPr="00272D6A">
        <w:t xml:space="preserve">that the APRA-regulated institution has </w:t>
      </w:r>
      <w:r w:rsidRPr="006A7AE7">
        <w:t>a process for ensuring employees are aware of these policies and for dealing with matters raised by employees under these policies.</w:t>
      </w:r>
    </w:p>
    <w:p w14:paraId="68B7523B" w14:textId="77777777" w:rsidR="00B239E0" w:rsidRPr="006A7AE7" w:rsidRDefault="00B239E0" w:rsidP="00B239E0">
      <w:pPr>
        <w:pStyle w:val="BodyText1"/>
      </w:pPr>
      <w:r w:rsidRPr="006A7AE7">
        <w:t>Members of the Board Audit Committee must be available to meet with APRA on request.</w:t>
      </w:r>
    </w:p>
    <w:p w14:paraId="5BDA7F64" w14:textId="77777777" w:rsidR="00B239E0" w:rsidRPr="006A7AE7" w:rsidRDefault="00B239E0" w:rsidP="00B239E0">
      <w:pPr>
        <w:pStyle w:val="BodyText1"/>
      </w:pPr>
      <w:r w:rsidRPr="006A7AE7">
        <w:t>The Board Audit Committee must invite the auditor and the Appointed Actuary, as applicable, to meetings of the Committee.</w:t>
      </w:r>
    </w:p>
    <w:p w14:paraId="685616FD" w14:textId="77777777" w:rsidR="00B239E0" w:rsidRPr="006A7AE7" w:rsidRDefault="00B239E0" w:rsidP="00B239E0">
      <w:pPr>
        <w:pStyle w:val="BodyText1"/>
      </w:pPr>
      <w:r w:rsidRPr="006A7AE7">
        <w:t>The internal auditor must have a reporting line and unfettered access to the Board Audit Committee.</w:t>
      </w:r>
    </w:p>
    <w:p w14:paraId="49BCC4D2" w14:textId="77777777" w:rsidR="00B239E0" w:rsidRPr="006A7AE7" w:rsidRDefault="00B239E0" w:rsidP="00B239E0">
      <w:pPr>
        <w:pStyle w:val="BodyText1"/>
      </w:pPr>
      <w:bookmarkStart w:id="120" w:name="_Ref444261125"/>
      <w:r w:rsidRPr="006A7AE7">
        <w:t>For a foreign ADI, a Category C insurer and an EFLIC, the auditor of the local operation must have direct access to the Head Office audit function.</w:t>
      </w:r>
      <w:bookmarkEnd w:id="120"/>
    </w:p>
    <w:p w14:paraId="69D78F1E" w14:textId="77777777" w:rsidR="00B239E0" w:rsidRPr="006A7AE7" w:rsidRDefault="00B239E0" w:rsidP="00B239E0">
      <w:pPr>
        <w:pStyle w:val="Heading1"/>
      </w:pPr>
      <w:bookmarkStart w:id="121" w:name="_Toc333999195"/>
      <w:bookmarkStart w:id="122" w:name="_Toc337644684"/>
      <w:bookmarkStart w:id="123" w:name="_Toc445299778"/>
      <w:bookmarkStart w:id="124" w:name="_Toc146605994"/>
      <w:r w:rsidRPr="006A7AE7">
        <w:t>Internal audit</w:t>
      </w:r>
      <w:bookmarkEnd w:id="121"/>
      <w:bookmarkEnd w:id="122"/>
      <w:bookmarkEnd w:id="123"/>
      <w:bookmarkEnd w:id="124"/>
    </w:p>
    <w:p w14:paraId="0D9A6225" w14:textId="77777777" w:rsidR="00B239E0" w:rsidRPr="00DF2535" w:rsidRDefault="00B239E0" w:rsidP="00B239E0">
      <w:pPr>
        <w:pStyle w:val="BodyText1"/>
      </w:pPr>
      <w:bookmarkStart w:id="125" w:name="_Ref264458364"/>
      <w:bookmarkStart w:id="126" w:name="_Ref444261133"/>
      <w:r w:rsidRPr="006A7AE7">
        <w:t>An APRA-regulated institution must have an independent and adequately resourced internal audit function</w:t>
      </w:r>
      <w:r>
        <w:t xml:space="preserve"> for the institution</w:t>
      </w:r>
      <w:r w:rsidRPr="006A7AE7">
        <w:t>. If an APRA-regulated institution does not believe it is necessary to have a dedicated internal audit function, it must apply to APRA to seek an exemption from this requirement, setting out reasons why it believes it should be exempt. APRA may approve alternative arrangements for an institution where APRA is satisfied that they will achieve the same objectives.</w:t>
      </w:r>
      <w:bookmarkEnd w:id="125"/>
      <w:bookmarkEnd w:id="126"/>
    </w:p>
    <w:p w14:paraId="76B3DCA9" w14:textId="77777777" w:rsidR="00B239E0" w:rsidRPr="00DF2535" w:rsidRDefault="00B239E0" w:rsidP="00B239E0">
      <w:pPr>
        <w:pStyle w:val="BodyText1"/>
      </w:pPr>
      <w:bookmarkStart w:id="127" w:name="_Ref444247238"/>
      <w:r w:rsidRPr="00DF2535">
        <w:t>The objectives of the internal audit function must include evaluation of the adequacy and</w:t>
      </w:r>
      <w:r w:rsidRPr="0094689D">
        <w:t xml:space="preserve"> effectiveness of the financial and risk management framework </w:t>
      </w:r>
      <w:r w:rsidRPr="00DF2535">
        <w:t xml:space="preserve">of </w:t>
      </w:r>
      <w:r w:rsidRPr="00DF2535">
        <w:lastRenderedPageBreak/>
        <w:t>the institution.</w:t>
      </w:r>
      <w:r w:rsidRPr="00DF2535">
        <w:rPr>
          <w:rStyle w:val="FootnoteReference"/>
        </w:rPr>
        <w:footnoteReference w:id="13"/>
      </w:r>
      <w:r w:rsidRPr="00DF2535">
        <w:t xml:space="preserve"> To fulfil its functions, the internal auditor</w:t>
      </w:r>
      <w:r w:rsidRPr="0094689D">
        <w:t xml:space="preserve"> must, at all times, have unfettered access to the institution’s </w:t>
      </w:r>
      <w:r w:rsidRPr="00DF2535">
        <w:t>business lines and support functions.</w:t>
      </w:r>
      <w:bookmarkEnd w:id="127"/>
    </w:p>
    <w:p w14:paraId="6D253A93" w14:textId="77777777" w:rsidR="00B239E0" w:rsidRPr="0094689D" w:rsidRDefault="00B239E0" w:rsidP="00B239E0">
      <w:pPr>
        <w:pStyle w:val="Heading1"/>
      </w:pPr>
      <w:bookmarkStart w:id="128" w:name="_Toc333999196"/>
      <w:bookmarkStart w:id="129" w:name="_Toc337644685"/>
      <w:bookmarkStart w:id="130" w:name="_Toc445299779"/>
      <w:bookmarkStart w:id="131" w:name="_Toc146605995"/>
      <w:r w:rsidRPr="0094689D">
        <w:t>Auditor independence</w:t>
      </w:r>
      <w:r w:rsidRPr="0094689D">
        <w:rPr>
          <w:rStyle w:val="FootnoteReference"/>
        </w:rPr>
        <w:footnoteReference w:id="14"/>
      </w:r>
      <w:bookmarkEnd w:id="128"/>
      <w:bookmarkEnd w:id="129"/>
      <w:bookmarkEnd w:id="130"/>
      <w:bookmarkEnd w:id="131"/>
    </w:p>
    <w:p w14:paraId="48450AEB" w14:textId="77777777" w:rsidR="00B239E0" w:rsidRPr="00DF2535" w:rsidRDefault="00B239E0" w:rsidP="00B239E0">
      <w:pPr>
        <w:pStyle w:val="BodyText1"/>
      </w:pPr>
      <w:r w:rsidRPr="00D45FB9">
        <w:t xml:space="preserve">The </w:t>
      </w:r>
      <w:r>
        <w:rPr>
          <w:i/>
        </w:rPr>
        <w:t xml:space="preserve">Corporations Act 2001 </w:t>
      </w:r>
      <w:r w:rsidRPr="00DC7184">
        <w:t>(</w:t>
      </w:r>
      <w:r w:rsidRPr="00D45FB9">
        <w:t>Corporations Act</w:t>
      </w:r>
      <w:r>
        <w:t>)</w:t>
      </w:r>
      <w:r w:rsidRPr="00D45FB9">
        <w:rPr>
          <w:i/>
        </w:rPr>
        <w:t xml:space="preserve"> </w:t>
      </w:r>
      <w:r w:rsidRPr="006A7AE7">
        <w:t>contains a number of requirements in relation to auditor independence. The auditor independence requirements in this Prudential Standard are substantially consistent with those requirements, and are intended to help ensure the independence of an auditor engaged to perform work of a prudential nature in relation to the Banking Act, Insurance Act, Life Insurance Act (collectively, the ‘Prudential Acts’), prudential standards and reporting standards.</w:t>
      </w:r>
      <w:r w:rsidRPr="00DF2535">
        <w:rPr>
          <w:vertAlign w:val="superscript"/>
        </w:rPr>
        <w:footnoteReference w:id="15"/>
      </w:r>
    </w:p>
    <w:p w14:paraId="1BC0BA68" w14:textId="77777777" w:rsidR="00B239E0" w:rsidRPr="0094689D" w:rsidRDefault="00B239E0" w:rsidP="00B239E0">
      <w:pPr>
        <w:pStyle w:val="BodyText1"/>
      </w:pPr>
      <w:bookmarkStart w:id="132" w:name="_Ref98918996"/>
      <w:r w:rsidRPr="00DF2535">
        <w:t xml:space="preserve">The </w:t>
      </w:r>
      <w:r w:rsidRPr="0094689D">
        <w:t>Board</w:t>
      </w:r>
      <w:bookmarkStart w:id="133" w:name="OLE_LINK1"/>
      <w:r>
        <w:t xml:space="preserve"> of the APRA-regulated institution</w:t>
      </w:r>
      <w:r w:rsidRPr="0094689D">
        <w:t xml:space="preserve">, </w:t>
      </w:r>
      <w:bookmarkEnd w:id="133"/>
      <w:r w:rsidRPr="0094689D">
        <w:t>senior officer outside Australia or</w:t>
      </w:r>
      <w:r w:rsidRPr="00D45FB9">
        <w:t xml:space="preserve"> the Compliance Committee, as relevant,</w:t>
      </w:r>
      <w:r w:rsidRPr="006A7AE7">
        <w:t xml:space="preserve"> must, to the extent practical, undertake steps to satisfy itself that the auditor, who undertakes work for the APRA-regulated institution in relation to the Prudential Acts, prudential standards or reporting standards, is independent of the institution</w:t>
      </w:r>
      <w:r>
        <w:t>,</w:t>
      </w:r>
      <w:r w:rsidRPr="00DF2535">
        <w:rPr>
          <w:vertAlign w:val="superscript"/>
        </w:rPr>
        <w:footnoteReference w:id="16"/>
      </w:r>
      <w:r w:rsidRPr="00DF2535">
        <w:t xml:space="preserve"> and that there is no conflict of interest situation that could compromise, or be seen to compromise, the independence of the </w:t>
      </w:r>
      <w:r w:rsidRPr="0094689D">
        <w:t>auditor.</w:t>
      </w:r>
      <w:bookmarkEnd w:id="132"/>
    </w:p>
    <w:p w14:paraId="4BBBE3E0" w14:textId="77777777" w:rsidR="00B239E0" w:rsidRPr="006A7AE7" w:rsidRDefault="00B239E0" w:rsidP="00B239E0">
      <w:pPr>
        <w:pStyle w:val="BodyText1"/>
        <w:rPr>
          <w:b/>
        </w:rPr>
      </w:pPr>
      <w:bookmarkStart w:id="134" w:name="_Ref99163522"/>
      <w:r w:rsidRPr="0094689D">
        <w:t>As part of the process of ascertaining the independence of the auditor</w:t>
      </w:r>
      <w:r w:rsidRPr="00D45FB9">
        <w:t>, an</w:t>
      </w:r>
      <w:r w:rsidRPr="006A7AE7">
        <w:t xml:space="preserve"> APRA-regulated institution must obtain a declaration from the auditor to the effect that:</w:t>
      </w:r>
    </w:p>
    <w:p w14:paraId="0221D5C8" w14:textId="77777777" w:rsidR="00B239E0" w:rsidRPr="006A7AE7" w:rsidRDefault="00B239E0" w:rsidP="00B239E0">
      <w:pPr>
        <w:pStyle w:val="BodyText2"/>
        <w:tabs>
          <w:tab w:val="clear" w:pos="1560"/>
          <w:tab w:val="num" w:pos="1134"/>
        </w:tabs>
        <w:ind w:left="1134"/>
        <w:rPr>
          <w:b/>
        </w:rPr>
      </w:pPr>
      <w:r w:rsidRPr="006A7AE7">
        <w:t>the auditor is independent, both in appearance and in fact;</w:t>
      </w:r>
    </w:p>
    <w:p w14:paraId="6712FF1E" w14:textId="77777777" w:rsidR="00B239E0" w:rsidRPr="006A7AE7" w:rsidRDefault="00B239E0" w:rsidP="00B239E0">
      <w:pPr>
        <w:pStyle w:val="BodyText2"/>
        <w:tabs>
          <w:tab w:val="clear" w:pos="1560"/>
          <w:tab w:val="num" w:pos="1134"/>
        </w:tabs>
        <w:ind w:left="1134"/>
        <w:rPr>
          <w:b/>
        </w:rPr>
      </w:pPr>
      <w:r w:rsidRPr="006A7AE7">
        <w:t>the auditor has no conflict of interest situation; and</w:t>
      </w:r>
    </w:p>
    <w:p w14:paraId="5ED21B35" w14:textId="77777777" w:rsidR="00B239E0" w:rsidRPr="006A7AE7" w:rsidRDefault="00B239E0" w:rsidP="00B239E0">
      <w:pPr>
        <w:pStyle w:val="BodyText2"/>
        <w:tabs>
          <w:tab w:val="clear" w:pos="1560"/>
          <w:tab w:val="num" w:pos="1134"/>
        </w:tabs>
        <w:ind w:left="1134"/>
        <w:rPr>
          <w:b/>
        </w:rPr>
      </w:pPr>
      <w:r w:rsidRPr="006A7AE7">
        <w:t>there is nothing to the auditor’s knowledge (either in relation to the individual auditor or any audit firm or audit company of which the auditor is a member or director) that could compromise that independence</w:t>
      </w:r>
      <w:bookmarkEnd w:id="134"/>
      <w:r w:rsidRPr="006A7AE7">
        <w:t>.</w:t>
      </w:r>
    </w:p>
    <w:p w14:paraId="3D6AB405" w14:textId="77777777" w:rsidR="00B239E0" w:rsidRPr="006A7AE7" w:rsidRDefault="00B239E0" w:rsidP="00B239E0">
      <w:pPr>
        <w:pStyle w:val="BodyText1"/>
      </w:pPr>
      <w:bookmarkStart w:id="135" w:name="_Ref97691064"/>
      <w:r w:rsidRPr="006A7AE7">
        <w:t>For the purposes of this Prudential Standard, a conflict of interest situation exists in relation to an APRA-regulated institution at a particular time, if because of circumstances that exist at that time:</w:t>
      </w:r>
      <w:bookmarkEnd w:id="135"/>
    </w:p>
    <w:p w14:paraId="4188EFA5" w14:textId="77777777" w:rsidR="00B239E0" w:rsidRPr="006A7AE7" w:rsidRDefault="00B239E0" w:rsidP="00B239E0">
      <w:pPr>
        <w:pStyle w:val="BodyText2"/>
        <w:tabs>
          <w:tab w:val="clear" w:pos="1560"/>
          <w:tab w:val="num" w:pos="1134"/>
        </w:tabs>
        <w:ind w:left="1134"/>
      </w:pPr>
      <w:r w:rsidRPr="006A7AE7">
        <w:t>the auditor is not capable of exercising objective and impartial judgement in relation to the conduct of the work that is undertaken for the institution in relation to the Prudential Acts, prudential standards or reporting standards; or</w:t>
      </w:r>
    </w:p>
    <w:p w14:paraId="3D5E5FE3" w14:textId="77777777" w:rsidR="00B239E0" w:rsidRPr="00DF2535" w:rsidRDefault="00B239E0" w:rsidP="00B239E0">
      <w:pPr>
        <w:pStyle w:val="BodyText2"/>
        <w:tabs>
          <w:tab w:val="clear" w:pos="1560"/>
          <w:tab w:val="num" w:pos="1134"/>
        </w:tabs>
        <w:ind w:left="1134"/>
      </w:pPr>
      <w:r w:rsidRPr="006A7AE7">
        <w:lastRenderedPageBreak/>
        <w:t>a reasonable person, with full knowledge of all relevant facts and circumstances, would conclude that the auditor is not capable of exercising objective and impartial judgement in relation to undertaking the work for the institution for the purposes of the Prudential Acts, prudential standards or reporting standards.</w:t>
      </w:r>
      <w:r w:rsidRPr="00DF2535">
        <w:rPr>
          <w:vertAlign w:val="superscript"/>
        </w:rPr>
        <w:footnoteReference w:id="17"/>
      </w:r>
    </w:p>
    <w:p w14:paraId="68916439" w14:textId="77777777" w:rsidR="00B239E0" w:rsidRPr="006A7AE7" w:rsidRDefault="00B239E0" w:rsidP="00B239E0">
      <w:pPr>
        <w:pStyle w:val="BodyText1"/>
        <w:rPr>
          <w:b/>
        </w:rPr>
      </w:pPr>
      <w:r w:rsidRPr="00DF2535">
        <w:t xml:space="preserve">A person who was a member of an audit firm or a director </w:t>
      </w:r>
      <w:r w:rsidRPr="0094689D">
        <w:t xml:space="preserve">of an audit company and who served in a professional capacity in the audit of an </w:t>
      </w:r>
      <w:r w:rsidRPr="00D45FB9">
        <w:t>APRA-regulated institution</w:t>
      </w:r>
      <w:r w:rsidRPr="006A7AE7">
        <w:t xml:space="preserve"> in relation to the Prudential Acts, prudential standards or reporting standards, cannot be appointed to the role of director or senior manager of that </w:t>
      </w:r>
      <w:r>
        <w:t xml:space="preserve">APRA-regulated </w:t>
      </w:r>
      <w:r w:rsidRPr="006A7AE7">
        <w:t>institution until at least two years have passed since they served in that professional capacity.</w:t>
      </w:r>
    </w:p>
    <w:p w14:paraId="2CBED9F7" w14:textId="77777777" w:rsidR="00B239E0" w:rsidRPr="006A7AE7" w:rsidRDefault="00B239E0" w:rsidP="00B239E0">
      <w:pPr>
        <w:pStyle w:val="BodyText1"/>
      </w:pPr>
      <w:r w:rsidRPr="006A7AE7">
        <w:t>A person who was an employee of an audit company, other than a director of that company, and who acted as the lead auditor</w:t>
      </w:r>
      <w:r w:rsidRPr="00DF2535">
        <w:rPr>
          <w:vertAlign w:val="superscript"/>
        </w:rPr>
        <w:footnoteReference w:id="18"/>
      </w:r>
      <w:r w:rsidRPr="00DF2535">
        <w:t xml:space="preserve"> or review auditor</w:t>
      </w:r>
      <w:r w:rsidRPr="00DF2535">
        <w:rPr>
          <w:vertAlign w:val="superscript"/>
        </w:rPr>
        <w:footnoteReference w:id="19"/>
      </w:r>
      <w:r w:rsidRPr="00DF2535">
        <w:t xml:space="preserve"> in the audit of </w:t>
      </w:r>
      <w:r w:rsidRPr="0094689D">
        <w:t>an APRA-regulated</w:t>
      </w:r>
      <w:r w:rsidRPr="00D45FB9">
        <w:t xml:space="preserve"> institution in relation to the </w:t>
      </w:r>
      <w:r w:rsidRPr="006A7AE7">
        <w:t xml:space="preserve">Prudential Acts, prudential standards or reporting standards, cannot be appointed to the role of director or senior manager of that </w:t>
      </w:r>
      <w:r>
        <w:t xml:space="preserve">APRA-regulated </w:t>
      </w:r>
      <w:r w:rsidRPr="006A7AE7">
        <w:t>institution until at least two years have passed since they acted as the lead auditor or review auditor.</w:t>
      </w:r>
    </w:p>
    <w:p w14:paraId="30BCAADA" w14:textId="77777777" w:rsidR="00B239E0" w:rsidRPr="006A7AE7" w:rsidRDefault="00B239E0" w:rsidP="00B239E0">
      <w:pPr>
        <w:pStyle w:val="BodyText1"/>
        <w:rPr>
          <w:b/>
        </w:rPr>
      </w:pPr>
      <w:r w:rsidRPr="006A7AE7">
        <w:t>A person cannot be appointed as a director or senior manager of an APRA-regulated institution if:</w:t>
      </w:r>
    </w:p>
    <w:p w14:paraId="50F34A08" w14:textId="77777777" w:rsidR="00B239E0" w:rsidRPr="006A7AE7" w:rsidRDefault="00B239E0" w:rsidP="00B239E0">
      <w:pPr>
        <w:pStyle w:val="BodyText2"/>
        <w:tabs>
          <w:tab w:val="clear" w:pos="1560"/>
          <w:tab w:val="num" w:pos="1134"/>
        </w:tabs>
        <w:ind w:left="1134"/>
        <w:rPr>
          <w:b/>
        </w:rPr>
      </w:pPr>
      <w:r w:rsidRPr="006A7AE7">
        <w:t xml:space="preserve">the person was, or is, a director of the audit company or a member of the audit firm that was, or is, responsible for the audit of the </w:t>
      </w:r>
      <w:r>
        <w:t xml:space="preserve">APRA-regulated </w:t>
      </w:r>
      <w:r w:rsidRPr="006A7AE7">
        <w:t>institution in relation to the Prudential Acts, prudential standards or reporting standards; and</w:t>
      </w:r>
    </w:p>
    <w:p w14:paraId="206BF0C5" w14:textId="77777777" w:rsidR="00B239E0" w:rsidRPr="006A7AE7" w:rsidRDefault="00B239E0" w:rsidP="00B239E0">
      <w:pPr>
        <w:pStyle w:val="BodyText2"/>
        <w:tabs>
          <w:tab w:val="clear" w:pos="1560"/>
          <w:tab w:val="num" w:pos="1134"/>
        </w:tabs>
        <w:ind w:left="1134"/>
        <w:rPr>
          <w:b/>
        </w:rPr>
      </w:pPr>
      <w:r w:rsidRPr="006A7AE7">
        <w:t xml:space="preserve">there is already another person employed as a director or senior manager of the </w:t>
      </w:r>
      <w:r>
        <w:t xml:space="preserve">APRA-regulated </w:t>
      </w:r>
      <w:r w:rsidRPr="006A7AE7">
        <w:t xml:space="preserve">institution who was a director of the audit company or a member of the audit firm, at a time when the audit company or audit firm undertook an audit of the </w:t>
      </w:r>
      <w:r>
        <w:t xml:space="preserve">APRA-regulated </w:t>
      </w:r>
      <w:r w:rsidRPr="006A7AE7">
        <w:t>institution at any time during the previous two years.</w:t>
      </w:r>
    </w:p>
    <w:p w14:paraId="68008391" w14:textId="77777777" w:rsidR="00B239E0" w:rsidRPr="006A7AE7" w:rsidRDefault="00B239E0" w:rsidP="00B239E0">
      <w:pPr>
        <w:pStyle w:val="BodyText1"/>
      </w:pPr>
      <w:bookmarkStart w:id="136" w:name="_Ref118261776"/>
      <w:r w:rsidRPr="006A7AE7">
        <w:t>An individual who plays a significant role</w:t>
      </w:r>
      <w:r w:rsidRPr="00DF2535">
        <w:rPr>
          <w:vertAlign w:val="superscript"/>
        </w:rPr>
        <w:footnoteReference w:id="20"/>
      </w:r>
      <w:r w:rsidRPr="00DF2535">
        <w:t xml:space="preserve"> in the audit of a</w:t>
      </w:r>
      <w:r w:rsidRPr="0094689D">
        <w:t>n APRA-regulated institution in relation to the Pr</w:t>
      </w:r>
      <w:r w:rsidRPr="00956461">
        <w:t>udential</w:t>
      </w:r>
      <w:r w:rsidRPr="00D45FB9">
        <w:t xml:space="preserve"> Acts, p</w:t>
      </w:r>
      <w:r w:rsidRPr="006A7AE7">
        <w:t xml:space="preserve">rudential standards or reporting </w:t>
      </w:r>
      <w:r w:rsidRPr="006A7AE7">
        <w:lastRenderedPageBreak/>
        <w:t xml:space="preserve">standards, for five successive years, or for more than five years out of seven successive years, cannot continue to play a significant role in the audit until at least a further two years have passed, except with an exemption from APRA. APRA may grant an exemption from this requirement if the individual provides specialist services that are otherwise not readily available or there are no other registered company auditors available to provide satisfactory services for the </w:t>
      </w:r>
      <w:r>
        <w:t xml:space="preserve">APRA-regulated </w:t>
      </w:r>
      <w:r w:rsidRPr="006A7AE7">
        <w:t>institution.</w:t>
      </w:r>
      <w:bookmarkEnd w:id="136"/>
    </w:p>
    <w:p w14:paraId="76C42EE2" w14:textId="1148459F" w:rsidR="00B239E0" w:rsidRPr="00DF2535" w:rsidRDefault="00B239E0" w:rsidP="00B239E0">
      <w:pPr>
        <w:pStyle w:val="BodyText1"/>
      </w:pPr>
      <w:bookmarkStart w:id="137" w:name="_Ref259441841"/>
      <w:r w:rsidRPr="006A7AE7">
        <w:t>For a general insurer (including a Category C insurer)</w:t>
      </w:r>
      <w:r>
        <w:t>,</w:t>
      </w:r>
      <w:r w:rsidRPr="006A7AE7">
        <w:t xml:space="preserve"> a life company (including an EFLIC), </w:t>
      </w:r>
      <w:r>
        <w:t xml:space="preserve">or a private health insurer, </w:t>
      </w:r>
      <w:r w:rsidRPr="006A7AE7">
        <w:t xml:space="preserve">for the purposes of maintaining their independence and objectivity, the </w:t>
      </w:r>
      <w:r>
        <w:t>Appointed A</w:t>
      </w:r>
      <w:r w:rsidRPr="006A7AE7">
        <w:t xml:space="preserve">uditor and Appointed Actuary cannot both be employed by the same body corporate or related bodies corporate, or by the same firm or </w:t>
      </w:r>
      <w:r w:rsidRPr="006A7AE7">
        <w:rPr>
          <w:b/>
        </w:rPr>
        <w:t>related firms</w:t>
      </w:r>
      <w:r w:rsidRPr="006A7AE7">
        <w:t>.</w:t>
      </w:r>
      <w:r w:rsidRPr="00DF2535">
        <w:rPr>
          <w:rStyle w:val="FootnoteReference"/>
        </w:rPr>
        <w:footnoteReference w:id="21"/>
      </w:r>
      <w:bookmarkEnd w:id="137"/>
    </w:p>
    <w:p w14:paraId="5F4792CE" w14:textId="77777777" w:rsidR="00B239E0" w:rsidRPr="0094689D" w:rsidRDefault="00B239E0" w:rsidP="00B239E0">
      <w:pPr>
        <w:pStyle w:val="Heading1"/>
        <w:numPr>
          <w:ilvl w:val="0"/>
          <w:numId w:val="43"/>
        </w:numPr>
        <w:ind w:left="567" w:hanging="567"/>
      </w:pPr>
      <w:bookmarkStart w:id="138" w:name="_Toc445299780"/>
      <w:bookmarkStart w:id="139" w:name="_Toc146605996"/>
      <w:r w:rsidRPr="00DF2535">
        <w:t>Board</w:t>
      </w:r>
      <w:r w:rsidRPr="0094689D">
        <w:t xml:space="preserve"> Risk Committee</w:t>
      </w:r>
      <w:bookmarkEnd w:id="138"/>
      <w:bookmarkEnd w:id="139"/>
    </w:p>
    <w:p w14:paraId="57D7C8AB" w14:textId="77777777" w:rsidR="00B239E0" w:rsidRPr="006A7AE7" w:rsidRDefault="00B239E0" w:rsidP="00B239E0">
      <w:pPr>
        <w:pStyle w:val="BodyText1"/>
      </w:pPr>
      <w:bookmarkStart w:id="140" w:name="_Ref444261168"/>
      <w:bookmarkStart w:id="141" w:name="_Ref350866294"/>
      <w:r w:rsidRPr="0094689D">
        <w:t xml:space="preserve">The Board of an APRA-regulated institution (excluding foreign ADIs and Category C insurers but including EFLICs) </w:t>
      </w:r>
      <w:r w:rsidRPr="00D45FB9">
        <w:t xml:space="preserve">must have </w:t>
      </w:r>
      <w:r w:rsidRPr="006A7AE7">
        <w:t>a Board Risk Committee, which assists the Board by providing an objective non-executive oversight of the implementation and operation of the institution’s risk management framework.</w:t>
      </w:r>
      <w:bookmarkEnd w:id="140"/>
    </w:p>
    <w:p w14:paraId="0C3A2E2D" w14:textId="77777777" w:rsidR="00B239E0" w:rsidRPr="006A7AE7" w:rsidRDefault="00B239E0" w:rsidP="00B239E0">
      <w:pPr>
        <w:pStyle w:val="BodyText1"/>
      </w:pPr>
      <w:bookmarkStart w:id="142" w:name="_Ref444789212"/>
      <w:bookmarkStart w:id="143" w:name="_Ref350866300"/>
      <w:bookmarkEnd w:id="141"/>
      <w:r w:rsidRPr="006A7AE7">
        <w:t>The Board Risk Committee must be provided with the powers necessary to enable it to perform its functions.</w:t>
      </w:r>
      <w:bookmarkEnd w:id="142"/>
    </w:p>
    <w:bookmarkEnd w:id="143"/>
    <w:p w14:paraId="2F0A36F6" w14:textId="77777777" w:rsidR="00B239E0" w:rsidRPr="00DF2535" w:rsidRDefault="00B239E0" w:rsidP="00B239E0">
      <w:pPr>
        <w:pStyle w:val="BodyText1"/>
      </w:pPr>
      <w:r w:rsidRPr="006A7AE7">
        <w:t>The chairperson of the Board Risk Committee must be an independent director of the APRA</w:t>
      </w:r>
      <w:r w:rsidRPr="006A7AE7">
        <w:rPr>
          <w:b/>
        </w:rPr>
        <w:t>-</w:t>
      </w:r>
      <w:r w:rsidRPr="006A7AE7">
        <w:t>regulated institution</w:t>
      </w:r>
      <w:r w:rsidRPr="00DF2535">
        <w:t>.</w:t>
      </w:r>
    </w:p>
    <w:p w14:paraId="35EB4134" w14:textId="77777777" w:rsidR="00B239E0" w:rsidRPr="0094689D" w:rsidRDefault="00B239E0" w:rsidP="00B239E0">
      <w:pPr>
        <w:pStyle w:val="BodyText1"/>
      </w:pPr>
      <w:r w:rsidRPr="00DF2535">
        <w:t xml:space="preserve">The chairperson of the </w:t>
      </w:r>
      <w:r w:rsidRPr="0094689D">
        <w:t>Board may be a member of the Board Risk Committee, but may not chair the Committee. The chair of the Board Audit Committee may also chair the Board Risk Committee.</w:t>
      </w:r>
    </w:p>
    <w:p w14:paraId="1D312675" w14:textId="77777777" w:rsidR="00B239E0" w:rsidRPr="006A7AE7" w:rsidRDefault="00B239E0" w:rsidP="00B239E0">
      <w:pPr>
        <w:pStyle w:val="BodyText1"/>
      </w:pPr>
      <w:r w:rsidRPr="00D45FB9">
        <w:t>The Board Risk Committee must have at least three members. All members of the Committee must be non-executive directors of the APRA-regulated in</w:t>
      </w:r>
      <w:r w:rsidRPr="006A7AE7">
        <w:t>stitution. A majority of the members of the Committee must be independent.</w:t>
      </w:r>
    </w:p>
    <w:p w14:paraId="019D23AF" w14:textId="77777777" w:rsidR="00B239E0" w:rsidRPr="006A7AE7" w:rsidRDefault="00B239E0" w:rsidP="00B239E0">
      <w:pPr>
        <w:pStyle w:val="BodyText1"/>
      </w:pPr>
      <w:r w:rsidRPr="006A7AE7">
        <w:t>The Board Risk Committee must have a written charter that outlines its roles, responsibilities and terms of operation. The responsibilities of the Committee must include:</w:t>
      </w:r>
    </w:p>
    <w:p w14:paraId="046EA780" w14:textId="77777777" w:rsidR="00B239E0" w:rsidRPr="006A7AE7" w:rsidRDefault="00B239E0" w:rsidP="00B239E0">
      <w:pPr>
        <w:pStyle w:val="BodyText2"/>
        <w:tabs>
          <w:tab w:val="clear" w:pos="1560"/>
          <w:tab w:val="num" w:pos="1134"/>
        </w:tabs>
        <w:ind w:left="1134"/>
      </w:pPr>
      <w:r w:rsidRPr="006A7AE7">
        <w:t>advising the Board on the institution’s overall current and future risk appetite and risk management strategy;</w:t>
      </w:r>
    </w:p>
    <w:p w14:paraId="241C9273" w14:textId="77777777" w:rsidR="00B239E0" w:rsidRPr="006A7AE7" w:rsidRDefault="00B239E0" w:rsidP="00B239E0">
      <w:pPr>
        <w:pStyle w:val="BodyText2"/>
        <w:tabs>
          <w:tab w:val="clear" w:pos="1560"/>
          <w:tab w:val="num" w:pos="1134"/>
        </w:tabs>
        <w:ind w:left="1134"/>
      </w:pPr>
      <w:r w:rsidRPr="009009F5">
        <w:t>oversight of an institution</w:t>
      </w:r>
      <w:r w:rsidRPr="006A7AE7">
        <w:t>-wide view of the institution’s current and future risk position relative to its risk appetite and capital strength;</w:t>
      </w:r>
    </w:p>
    <w:p w14:paraId="772B068C" w14:textId="77777777" w:rsidR="00B239E0" w:rsidRPr="006A7AE7" w:rsidRDefault="00B239E0" w:rsidP="00B239E0">
      <w:pPr>
        <w:pStyle w:val="BodyText2"/>
        <w:tabs>
          <w:tab w:val="clear" w:pos="1560"/>
          <w:tab w:val="num" w:pos="1134"/>
        </w:tabs>
        <w:ind w:left="1134"/>
      </w:pPr>
      <w:r w:rsidRPr="006A7AE7">
        <w:lastRenderedPageBreak/>
        <w:t>oversight of senior management’s implementation of the risk management strategy;</w:t>
      </w:r>
    </w:p>
    <w:p w14:paraId="48A70F53" w14:textId="77777777" w:rsidR="00B239E0" w:rsidRPr="006A7AE7" w:rsidRDefault="00B239E0" w:rsidP="00B239E0">
      <w:pPr>
        <w:pStyle w:val="BodyText2"/>
        <w:tabs>
          <w:tab w:val="clear" w:pos="1560"/>
          <w:tab w:val="num" w:pos="1134"/>
        </w:tabs>
        <w:ind w:left="1134"/>
      </w:pPr>
      <w:r w:rsidRPr="006A7AE7">
        <w:t>constructive challenge of senior management’s proposals and decisions on all aspects of risk management arising from the institution’s activities;</w:t>
      </w:r>
    </w:p>
    <w:p w14:paraId="4C03B8F2" w14:textId="77777777" w:rsidR="00B239E0" w:rsidRPr="006A7AE7" w:rsidRDefault="00B239E0" w:rsidP="00B239E0">
      <w:pPr>
        <w:pStyle w:val="BodyText2"/>
        <w:tabs>
          <w:tab w:val="clear" w:pos="1560"/>
          <w:tab w:val="num" w:pos="1134"/>
        </w:tabs>
        <w:ind w:left="1134"/>
      </w:pPr>
      <w:r w:rsidRPr="006A7AE7">
        <w:t>reviewing the performance and setting the objectives of the institution’s Chief Risk Officer (CRO)</w:t>
      </w:r>
      <w:r>
        <w:t>,</w:t>
      </w:r>
      <w:r w:rsidRPr="006A7AE7">
        <w:rPr>
          <w:rStyle w:val="FootnoteReference"/>
        </w:rPr>
        <w:footnoteReference w:id="22"/>
      </w:r>
      <w:r w:rsidRPr="006A7AE7">
        <w:t xml:space="preserve"> and ensuring the CRO has unfettered access to the Board and the Committee; and</w:t>
      </w:r>
    </w:p>
    <w:p w14:paraId="45DAF4EE" w14:textId="77777777" w:rsidR="00B239E0" w:rsidRPr="006A7AE7" w:rsidRDefault="00B239E0" w:rsidP="00B239E0">
      <w:pPr>
        <w:pStyle w:val="BodyText2"/>
        <w:tabs>
          <w:tab w:val="clear" w:pos="1560"/>
          <w:tab w:val="num" w:pos="1134"/>
        </w:tabs>
        <w:ind w:left="1134"/>
      </w:pPr>
      <w:r w:rsidRPr="006A7AE7">
        <w:t>oversight of the appointment and removal of the CRO.</w:t>
      </w:r>
    </w:p>
    <w:p w14:paraId="7BF32034" w14:textId="77777777" w:rsidR="00B239E0" w:rsidRPr="006A7AE7" w:rsidRDefault="00B239E0" w:rsidP="00B239E0">
      <w:pPr>
        <w:pStyle w:val="BodyText1"/>
      </w:pPr>
      <w:r w:rsidRPr="006A7AE7">
        <w:t>The Board Risk Committee is required to provide prior endorsement for the appointment or removal of the institution’s CRO. If the CRO is removed from their position, the reasons for removal must be discussed with APRA as soon as practicable, and no more than 10 business days, after the Committee’s endorsement is agreed upon.</w:t>
      </w:r>
    </w:p>
    <w:p w14:paraId="3927719D" w14:textId="77777777" w:rsidR="00B239E0" w:rsidRPr="006A7AE7" w:rsidRDefault="00B239E0" w:rsidP="00B239E0">
      <w:pPr>
        <w:pStyle w:val="BodyText1"/>
      </w:pPr>
      <w:r w:rsidRPr="006A7AE7">
        <w:t>The Board Risk Committee must have free and unfettered access to senior management, risk and financial control personnel, and other parties (internal and external) in carrying out its duties.</w:t>
      </w:r>
    </w:p>
    <w:p w14:paraId="393E5E4A" w14:textId="77777777" w:rsidR="00B239E0" w:rsidRPr="006A7AE7" w:rsidRDefault="00B239E0" w:rsidP="00B239E0">
      <w:pPr>
        <w:pStyle w:val="BodyText1"/>
      </w:pPr>
      <w:bookmarkStart w:id="144" w:name="_Ref444261178"/>
      <w:r w:rsidRPr="006A7AE7">
        <w:t>The Board Risk Committee must invite the CRO to attend all relevant sections of meetings of the Committee.</w:t>
      </w:r>
      <w:bookmarkEnd w:id="144"/>
    </w:p>
    <w:p w14:paraId="28B416F3" w14:textId="77777777" w:rsidR="00B239E0" w:rsidRPr="006A7AE7" w:rsidRDefault="00B239E0" w:rsidP="00B239E0">
      <w:pPr>
        <w:pStyle w:val="Heading1"/>
        <w:numPr>
          <w:ilvl w:val="0"/>
          <w:numId w:val="43"/>
        </w:numPr>
        <w:ind w:left="567" w:hanging="567"/>
      </w:pPr>
      <w:bookmarkStart w:id="145" w:name="_Toc337644686"/>
      <w:bookmarkStart w:id="146" w:name="_Toc445299781"/>
      <w:bookmarkStart w:id="147" w:name="_Toc146605997"/>
      <w:r w:rsidRPr="006A7AE7">
        <w:t>Other matters</w:t>
      </w:r>
      <w:bookmarkEnd w:id="145"/>
      <w:bookmarkEnd w:id="146"/>
      <w:bookmarkEnd w:id="147"/>
    </w:p>
    <w:p w14:paraId="1FE1287E" w14:textId="77777777" w:rsidR="00B239E0" w:rsidRPr="006A7AE7" w:rsidRDefault="00B239E0" w:rsidP="00B239E0">
      <w:pPr>
        <w:pStyle w:val="Heading1"/>
      </w:pPr>
      <w:bookmarkStart w:id="148" w:name="_Toc333999198"/>
      <w:bookmarkStart w:id="149" w:name="_Toc337644687"/>
      <w:bookmarkStart w:id="150" w:name="_Toc445299782"/>
      <w:bookmarkStart w:id="151" w:name="_Toc146605998"/>
      <w:r w:rsidRPr="006A7AE7">
        <w:t>Persons not to be constrained from providing information to APRA</w:t>
      </w:r>
      <w:r w:rsidRPr="006A7AE7">
        <w:rPr>
          <w:rStyle w:val="FootnoteReference"/>
        </w:rPr>
        <w:footnoteReference w:id="23"/>
      </w:r>
      <w:bookmarkEnd w:id="148"/>
      <w:bookmarkEnd w:id="149"/>
      <w:bookmarkEnd w:id="150"/>
      <w:bookmarkEnd w:id="151"/>
    </w:p>
    <w:p w14:paraId="1BDB36CD" w14:textId="05E4D2B0" w:rsidR="00B239E0" w:rsidRPr="006A7AE7" w:rsidRDefault="00B239E0" w:rsidP="00B239E0">
      <w:pPr>
        <w:pStyle w:val="BodyText1"/>
      </w:pPr>
      <w:r w:rsidRPr="006A7AE7">
        <w:t>No prospective, current, or former officer, employee or contractor (including professional service provider) of an APRA-regulated institution may be constrained or impeded, whether by confidentiality clauses or other means, from disclosing information to APRA, from discussing issues with APRA of relevance to the management and prudential supervision of the institution, or from providing documents under their control to APRA, that may be relevant in the context of the management or prudential supervision of the institution. Such persons are not to be constrained or impeded from providing information to, as applicable, auditors, the Appointed Actuary and others, who have statutory responsibilities in relation to the institution.</w:t>
      </w:r>
    </w:p>
    <w:p w14:paraId="43D225D2" w14:textId="77777777" w:rsidR="00B239E0" w:rsidRPr="006A7AE7" w:rsidRDefault="00B239E0" w:rsidP="00B239E0">
      <w:pPr>
        <w:pStyle w:val="BodyText1"/>
      </w:pPr>
      <w:bookmarkStart w:id="152" w:name="_Ref87934551"/>
      <w:r w:rsidRPr="006A7AE7">
        <w:t xml:space="preserve">An APRA-regulated institution must ensure that </w:t>
      </w:r>
      <w:r>
        <w:t>the institution’s</w:t>
      </w:r>
      <w:r w:rsidRPr="006A7AE7">
        <w:t xml:space="preserve"> internal policy and contractual arrangements do not explicitly or implicitly restrict or discourage auditors or other parties from communicating with APRA.</w:t>
      </w:r>
      <w:bookmarkEnd w:id="152"/>
    </w:p>
    <w:p w14:paraId="7001D0D6" w14:textId="77777777" w:rsidR="00B239E0" w:rsidRPr="006A7AE7" w:rsidRDefault="00B239E0" w:rsidP="00B239E0">
      <w:pPr>
        <w:pStyle w:val="Heading1"/>
      </w:pPr>
      <w:bookmarkStart w:id="153" w:name="_Toc333999201"/>
      <w:bookmarkStart w:id="154" w:name="_Toc337644688"/>
      <w:bookmarkStart w:id="155" w:name="_Toc445299783"/>
      <w:bookmarkStart w:id="156" w:name="_Toc146605999"/>
      <w:r w:rsidRPr="006A7AE7">
        <w:lastRenderedPageBreak/>
        <w:t>Adjustments and exclusions</w:t>
      </w:r>
      <w:bookmarkEnd w:id="153"/>
      <w:bookmarkEnd w:id="154"/>
      <w:bookmarkEnd w:id="155"/>
      <w:bookmarkEnd w:id="156"/>
    </w:p>
    <w:p w14:paraId="10B5A2FF" w14:textId="77777777" w:rsidR="00B239E0" w:rsidRPr="006A7AE7" w:rsidRDefault="00B239E0" w:rsidP="00B239E0">
      <w:pPr>
        <w:pStyle w:val="BodyText1"/>
      </w:pPr>
      <w:bookmarkStart w:id="157" w:name="_Ref259441915"/>
      <w:r w:rsidRPr="006A7AE7">
        <w:t>APRA may adjust or exclude a specific requirement in this Prudential Standard in relation to an APRA-regulated institution.</w:t>
      </w:r>
      <w:r w:rsidRPr="006A7AE7">
        <w:rPr>
          <w:rStyle w:val="FootnoteReference"/>
        </w:rPr>
        <w:footnoteReference w:id="24"/>
      </w:r>
      <w:bookmarkEnd w:id="157"/>
    </w:p>
    <w:p w14:paraId="233AD0DA" w14:textId="77777777" w:rsidR="00B239E0" w:rsidRDefault="00B239E0" w:rsidP="00B239E0">
      <w:pPr>
        <w:pStyle w:val="Heading1"/>
      </w:pPr>
      <w:bookmarkStart w:id="158" w:name="_Toc333999202"/>
      <w:bookmarkStart w:id="159" w:name="_Toc337644689"/>
      <w:bookmarkStart w:id="160" w:name="_Toc445299784"/>
      <w:bookmarkStart w:id="161" w:name="_Toc146606000"/>
      <w:r w:rsidRPr="006A7AE7">
        <w:t>Determinations made under previous prudential standards</w:t>
      </w:r>
      <w:bookmarkEnd w:id="158"/>
      <w:bookmarkEnd w:id="159"/>
      <w:bookmarkEnd w:id="160"/>
      <w:bookmarkEnd w:id="161"/>
    </w:p>
    <w:p w14:paraId="226B0839" w14:textId="77777777" w:rsidR="00B239E0" w:rsidRPr="00576854" w:rsidRDefault="00B239E0" w:rsidP="00B239E0">
      <w:pPr>
        <w:pStyle w:val="BodyText1"/>
      </w:pPr>
      <w:bookmarkStart w:id="162" w:name="_Ref246999090"/>
      <w:r>
        <w:t>A private health insurer must contact APRA if it seeks to place reliance, for the purposes of complying with this Prudential Standard, on a previous exemption or other exercise of discretion by APRA, or an exemption or other exercise of discretion deemed or given effect to by APRA, under a previous Governance Standard</w:t>
      </w:r>
      <w:r>
        <w:rPr>
          <w:i/>
        </w:rPr>
        <w:t>.</w:t>
      </w:r>
    </w:p>
    <w:p w14:paraId="7F27420D" w14:textId="11527BA0" w:rsidR="00B239E0" w:rsidRPr="001A3A1A" w:rsidRDefault="00B239E0" w:rsidP="00B239E0">
      <w:pPr>
        <w:pStyle w:val="BodyText1"/>
      </w:pPr>
      <w:r>
        <w:t>For all APRA-regulated institutions other than private health insurers, a</w:t>
      </w:r>
      <w:r w:rsidRPr="006A7AE7">
        <w:t xml:space="preserve">n exercise of APRA’s discretion under a previous version of </w:t>
      </w:r>
      <w:r w:rsidR="000A5086">
        <w:t xml:space="preserve">a governance </w:t>
      </w:r>
      <w:r w:rsidR="00902253">
        <w:t>p</w:t>
      </w:r>
      <w:r w:rsidRPr="006A7AE7">
        <w:t xml:space="preserve">rudential </w:t>
      </w:r>
      <w:r w:rsidR="00902253">
        <w:t>s</w:t>
      </w:r>
      <w:r w:rsidRPr="006A7AE7">
        <w:t>tandard continues to have effect under this Prudential Standard</w:t>
      </w:r>
      <w:r w:rsidRPr="001E7985">
        <w:t>.</w:t>
      </w:r>
      <w:r w:rsidRPr="001A3A1A">
        <w:t xml:space="preserve"> For the purposes of this paragraph, ‘a previous version of this Prudential Standard’ includes any versions of:</w:t>
      </w:r>
    </w:p>
    <w:p w14:paraId="201DFAA4" w14:textId="069C1C11" w:rsidR="00B239E0" w:rsidRDefault="00B239E0" w:rsidP="00B239E0">
      <w:pPr>
        <w:pStyle w:val="BodyText2"/>
        <w:tabs>
          <w:tab w:val="clear" w:pos="1560"/>
          <w:tab w:val="num" w:pos="1134"/>
        </w:tabs>
        <w:ind w:left="1134"/>
      </w:pPr>
      <w:r w:rsidRPr="002A3735">
        <w:rPr>
          <w:i/>
        </w:rPr>
        <w:t xml:space="preserve">Prudential Standard </w:t>
      </w:r>
      <w:r w:rsidR="00420BA1">
        <w:rPr>
          <w:i/>
        </w:rPr>
        <w:t>CPS 510</w:t>
      </w:r>
      <w:r w:rsidR="00A53D10">
        <w:rPr>
          <w:i/>
        </w:rPr>
        <w:t xml:space="preserve"> </w:t>
      </w:r>
      <w:r w:rsidRPr="002A3735">
        <w:rPr>
          <w:i/>
        </w:rPr>
        <w:t>Governance</w:t>
      </w:r>
      <w:r w:rsidRPr="0094689D">
        <w:t xml:space="preserve">; </w:t>
      </w:r>
    </w:p>
    <w:p w14:paraId="04D39A2E" w14:textId="054EAEFE" w:rsidR="00420BA1" w:rsidRPr="0094689D" w:rsidRDefault="00420BA1" w:rsidP="00B239E0">
      <w:pPr>
        <w:pStyle w:val="BodyText2"/>
        <w:tabs>
          <w:tab w:val="clear" w:pos="1560"/>
          <w:tab w:val="num" w:pos="1134"/>
        </w:tabs>
        <w:ind w:left="1134"/>
      </w:pPr>
      <w:r w:rsidRPr="002A3735">
        <w:rPr>
          <w:i/>
        </w:rPr>
        <w:t>Prudential Standard APS 510 Governance</w:t>
      </w:r>
      <w:r w:rsidR="006F252B">
        <w:t>;</w:t>
      </w:r>
    </w:p>
    <w:p w14:paraId="39251A41" w14:textId="77777777" w:rsidR="00B239E0" w:rsidRPr="006A7AE7" w:rsidRDefault="00B239E0" w:rsidP="00B239E0">
      <w:pPr>
        <w:pStyle w:val="BodyText2"/>
        <w:tabs>
          <w:tab w:val="clear" w:pos="1560"/>
          <w:tab w:val="num" w:pos="1134"/>
        </w:tabs>
        <w:ind w:left="1134"/>
      </w:pPr>
      <w:r w:rsidRPr="002A3735">
        <w:rPr>
          <w:i/>
        </w:rPr>
        <w:t xml:space="preserve">Prudential Standard </w:t>
      </w:r>
      <w:smartTag w:uri="urn:schemas-microsoft-com:office:smarttags" w:element="stockticker">
        <w:r w:rsidRPr="002A3735">
          <w:rPr>
            <w:i/>
          </w:rPr>
          <w:t>GPS</w:t>
        </w:r>
      </w:smartTag>
      <w:r w:rsidRPr="002A3735">
        <w:rPr>
          <w:i/>
        </w:rPr>
        <w:t xml:space="preserve"> 510 Governance</w:t>
      </w:r>
      <w:r w:rsidRPr="006A7AE7">
        <w:t xml:space="preserve">; </w:t>
      </w:r>
      <w:r>
        <w:t>and</w:t>
      </w:r>
    </w:p>
    <w:p w14:paraId="5F6CFDB0" w14:textId="77777777" w:rsidR="00B239E0" w:rsidRPr="00BB36F1" w:rsidRDefault="00B239E0" w:rsidP="00B239E0">
      <w:pPr>
        <w:pStyle w:val="BodyText2"/>
        <w:tabs>
          <w:tab w:val="clear" w:pos="1560"/>
          <w:tab w:val="num" w:pos="1134"/>
        </w:tabs>
        <w:ind w:left="1134"/>
        <w:rPr>
          <w:i/>
        </w:rPr>
        <w:sectPr w:rsidR="00B239E0" w:rsidRPr="00BB36F1" w:rsidSect="000D63A8">
          <w:pgSz w:w="11906" w:h="16838" w:code="9"/>
          <w:pgMar w:top="1440" w:right="1797" w:bottom="1440" w:left="1797" w:header="709" w:footer="709" w:gutter="0"/>
          <w:cols w:space="708"/>
          <w:docGrid w:linePitch="360"/>
        </w:sectPr>
      </w:pPr>
      <w:r w:rsidRPr="002A3735">
        <w:rPr>
          <w:i/>
        </w:rPr>
        <w:t>Prudential Standard LPS 510 Governance</w:t>
      </w:r>
      <w:r w:rsidRPr="00532B4E">
        <w:rPr>
          <w:i/>
        </w:rPr>
        <w:t>.</w:t>
      </w:r>
      <w:bookmarkEnd w:id="162"/>
    </w:p>
    <w:p w14:paraId="734D2D1D" w14:textId="4942373D" w:rsidR="00B239E0" w:rsidRPr="001F6B8D" w:rsidRDefault="00B239E0" w:rsidP="00B239E0">
      <w:pPr>
        <w:pStyle w:val="Heading2"/>
      </w:pPr>
      <w:bookmarkStart w:id="163" w:name="_Toc454388928"/>
      <w:bookmarkStart w:id="164" w:name="_Toc146606001"/>
      <w:r w:rsidRPr="001F6B8D">
        <w:lastRenderedPageBreak/>
        <w:t xml:space="preserve">Attachment </w:t>
      </w:r>
      <w:r w:rsidRPr="001F6B8D">
        <w:rPr>
          <w:rStyle w:val="Attachmentfieldtext"/>
        </w:rPr>
        <w:fldChar w:fldCharType="begin"/>
      </w:r>
      <w:r w:rsidRPr="001F6B8D">
        <w:rPr>
          <w:rStyle w:val="Attachmentfieldtext"/>
        </w:rPr>
        <w:instrText xml:space="preserve"> SEQ Attach \* ALPHABETIC \* MERGEFORMAT </w:instrText>
      </w:r>
      <w:r w:rsidRPr="001F6B8D">
        <w:rPr>
          <w:rStyle w:val="Attachmentfieldtext"/>
        </w:rPr>
        <w:fldChar w:fldCharType="separate"/>
      </w:r>
      <w:r w:rsidR="00270FBB">
        <w:rPr>
          <w:rStyle w:val="Attachmentfieldtext"/>
          <w:noProof/>
        </w:rPr>
        <w:t>A</w:t>
      </w:r>
      <w:r w:rsidRPr="001F6B8D">
        <w:rPr>
          <w:rStyle w:val="Attachmentfieldtext"/>
        </w:rPr>
        <w:fldChar w:fldCharType="end"/>
      </w:r>
      <w:bookmarkEnd w:id="163"/>
      <w:r w:rsidRPr="001F6B8D">
        <w:t xml:space="preserve"> </w:t>
      </w:r>
      <w:r>
        <w:t xml:space="preserve">– </w:t>
      </w:r>
      <w:r w:rsidR="00DF3F58">
        <w:t>Director Independence</w:t>
      </w:r>
      <w:r w:rsidRPr="006A7AE7">
        <w:rPr>
          <w:rStyle w:val="FootnoteReference"/>
        </w:rPr>
        <w:footnoteReference w:id="25"/>
      </w:r>
      <w:bookmarkEnd w:id="164"/>
    </w:p>
    <w:p w14:paraId="72C8AC1D" w14:textId="77777777" w:rsidR="00B239E0" w:rsidRPr="006A7AE7" w:rsidRDefault="00B239E0" w:rsidP="00B239E0">
      <w:r w:rsidRPr="006A7AE7">
        <w:t xml:space="preserve">A director is </w:t>
      </w:r>
      <w:r w:rsidRPr="006A7AE7">
        <w:rPr>
          <w:b/>
          <w:u w:val="single"/>
        </w:rPr>
        <w:t>not</w:t>
      </w:r>
      <w:r w:rsidRPr="006A7AE7">
        <w:rPr>
          <w:b/>
        </w:rPr>
        <w:t xml:space="preserve"> </w:t>
      </w:r>
      <w:r w:rsidRPr="006A7AE7">
        <w:t>independent if the director:</w:t>
      </w:r>
    </w:p>
    <w:p w14:paraId="177FDB09" w14:textId="77777777" w:rsidR="00B239E0" w:rsidRPr="006A7AE7" w:rsidRDefault="00B239E0" w:rsidP="00170847">
      <w:pPr>
        <w:pStyle w:val="BodyText1"/>
        <w:numPr>
          <w:ilvl w:val="0"/>
          <w:numId w:val="49"/>
        </w:numPr>
      </w:pPr>
      <w:r w:rsidRPr="006A7AE7">
        <w:t>is a substantial shareholder</w:t>
      </w:r>
      <w:r w:rsidRPr="006A7AE7">
        <w:rPr>
          <w:rStyle w:val="FootnoteReference"/>
        </w:rPr>
        <w:footnoteReference w:id="26"/>
      </w:r>
      <w:r w:rsidRPr="006A7AE7">
        <w:t xml:space="preserve"> of the APRA</w:t>
      </w:r>
      <w:r w:rsidRPr="00170847">
        <w:rPr>
          <w:b/>
        </w:rPr>
        <w:t>-</w:t>
      </w:r>
      <w:r w:rsidRPr="006A7AE7">
        <w:t>regulated institution or an officer of, or otherwise associated directly with, a substantial shareholder of the institution;</w:t>
      </w:r>
    </w:p>
    <w:p w14:paraId="1F029D8C" w14:textId="77777777" w:rsidR="00B239E0" w:rsidRPr="006A7AE7" w:rsidRDefault="00B239E0" w:rsidP="00B239E0">
      <w:pPr>
        <w:pStyle w:val="BodyText1"/>
      </w:pPr>
      <w:r>
        <w:t>i</w:t>
      </w:r>
      <w:r w:rsidRPr="006A7AE7">
        <w:t xml:space="preserve">s employed, or has previously been employed in an executive capacity by the </w:t>
      </w:r>
      <w:r>
        <w:t xml:space="preserve">APRA-regulated </w:t>
      </w:r>
      <w:r w:rsidRPr="006A7AE7">
        <w:t>institution or another member of the group, and there has not been a period of at least three years between ceasing such employment and serving on the Board;</w:t>
      </w:r>
    </w:p>
    <w:p w14:paraId="4262BCF4" w14:textId="77777777" w:rsidR="00B239E0" w:rsidRPr="006A7AE7" w:rsidRDefault="00B239E0" w:rsidP="00B239E0">
      <w:pPr>
        <w:pStyle w:val="BodyText1"/>
      </w:pPr>
      <w:r w:rsidRPr="006A7AE7">
        <w:t xml:space="preserve">has within the last three years been a principal of a material professional adviser or a material consultant to the </w:t>
      </w:r>
      <w:r>
        <w:t xml:space="preserve">APRA-regulated </w:t>
      </w:r>
      <w:r w:rsidRPr="006A7AE7">
        <w:t>institution or another member of the group, or an employee materially associated with the service provided;</w:t>
      </w:r>
    </w:p>
    <w:p w14:paraId="60F7C637" w14:textId="77777777" w:rsidR="00B239E0" w:rsidRPr="006A7AE7" w:rsidRDefault="00B239E0" w:rsidP="00B239E0">
      <w:pPr>
        <w:pStyle w:val="BodyText1"/>
      </w:pPr>
      <w:r w:rsidRPr="006A7AE7">
        <w:t xml:space="preserve">is a material supplier or customer of the </w:t>
      </w:r>
      <w:r>
        <w:t xml:space="preserve">APRA-regulated </w:t>
      </w:r>
      <w:r w:rsidRPr="006A7AE7">
        <w:t>institution or another member of the group, or an officer of or otherwise associated directly or indirectly with a material supplier or customer; or</w:t>
      </w:r>
    </w:p>
    <w:p w14:paraId="1C7C0333" w14:textId="77777777" w:rsidR="00B239E0" w:rsidRDefault="00B239E0" w:rsidP="00B239E0">
      <w:pPr>
        <w:pStyle w:val="BodyText1"/>
        <w:sectPr w:rsidR="00B239E0" w:rsidSect="000D63A8">
          <w:footerReference w:type="default" r:id="rId16"/>
          <w:pgSz w:w="11906" w:h="16838" w:code="9"/>
          <w:pgMar w:top="1440" w:right="1797" w:bottom="1440" w:left="1797" w:header="709" w:footer="709" w:gutter="0"/>
          <w:cols w:space="708"/>
          <w:docGrid w:linePitch="360"/>
        </w:sectPr>
      </w:pPr>
      <w:r w:rsidRPr="006A7AE7">
        <w:t xml:space="preserve">has a material contractual relationship with the </w:t>
      </w:r>
      <w:r>
        <w:t xml:space="preserve">APRA-regulated </w:t>
      </w:r>
      <w:r w:rsidRPr="006A7AE7">
        <w:t>institution or another member of the group other than as a director.</w:t>
      </w:r>
    </w:p>
    <w:p w14:paraId="5C937F7C" w14:textId="4316F478" w:rsidR="00B239E0" w:rsidRDefault="00B239E0" w:rsidP="00B239E0">
      <w:pPr>
        <w:pStyle w:val="Heading2"/>
      </w:pPr>
      <w:bookmarkStart w:id="165" w:name="_Toc146606002"/>
      <w:r>
        <w:lastRenderedPageBreak/>
        <w:t xml:space="preserve">Attachment </w:t>
      </w:r>
      <w:r>
        <w:rPr>
          <w:rStyle w:val="Attachmentfieldtext"/>
        </w:rPr>
        <w:fldChar w:fldCharType="begin"/>
      </w:r>
      <w:r>
        <w:rPr>
          <w:rStyle w:val="Attachmentfieldtext"/>
        </w:rPr>
        <w:instrText xml:space="preserve"> SEQ Attach \* ALPHABETIC \* MERGEFORMAT </w:instrText>
      </w:r>
      <w:r>
        <w:rPr>
          <w:rStyle w:val="Attachmentfieldtext"/>
        </w:rPr>
        <w:fldChar w:fldCharType="separate"/>
      </w:r>
      <w:r w:rsidR="00270FBB">
        <w:rPr>
          <w:rStyle w:val="Attachmentfieldtext"/>
          <w:noProof/>
        </w:rPr>
        <w:t>B</w:t>
      </w:r>
      <w:r>
        <w:rPr>
          <w:rStyle w:val="Attachmentfieldtext"/>
        </w:rPr>
        <w:fldChar w:fldCharType="end"/>
      </w:r>
      <w:r>
        <w:rPr>
          <w:rStyle w:val="Attachmentfieldtext"/>
        </w:rPr>
        <w:t xml:space="preserve"> – </w:t>
      </w:r>
      <w:r w:rsidR="00DF3F58">
        <w:rPr>
          <w:rStyle w:val="Attachmentfieldtext"/>
        </w:rPr>
        <w:t>Compliance Committee for eligible foreign life insurance companies</w:t>
      </w:r>
      <w:bookmarkEnd w:id="165"/>
      <w:r w:rsidR="00DF3F58">
        <w:rPr>
          <w:rStyle w:val="Attachmentfieldtext"/>
        </w:rPr>
        <w:t xml:space="preserve"> </w:t>
      </w:r>
    </w:p>
    <w:p w14:paraId="218EAE96" w14:textId="77777777" w:rsidR="00B239E0" w:rsidRPr="006A7AE7" w:rsidRDefault="00B239E0" w:rsidP="00B239E0">
      <w:pPr>
        <w:pStyle w:val="Heading1"/>
      </w:pPr>
      <w:bookmarkStart w:id="166" w:name="_Toc337116350"/>
      <w:bookmarkStart w:id="167" w:name="_Toc333999206"/>
      <w:bookmarkStart w:id="168" w:name="_Toc337644693"/>
      <w:bookmarkStart w:id="169" w:name="_Toc445299788"/>
      <w:bookmarkStart w:id="170" w:name="_Toc458076770"/>
      <w:bookmarkStart w:id="171" w:name="_Toc461117227"/>
      <w:bookmarkStart w:id="172" w:name="_Toc146606003"/>
      <w:r w:rsidRPr="006A7AE7">
        <w:t>Purpose of the Compliance Committee</w:t>
      </w:r>
      <w:bookmarkEnd w:id="166"/>
      <w:bookmarkEnd w:id="167"/>
      <w:bookmarkEnd w:id="168"/>
      <w:bookmarkEnd w:id="169"/>
      <w:bookmarkEnd w:id="170"/>
      <w:bookmarkEnd w:id="171"/>
      <w:bookmarkEnd w:id="172"/>
    </w:p>
    <w:p w14:paraId="79CC719A" w14:textId="77777777" w:rsidR="00B239E0" w:rsidRPr="006A7AE7" w:rsidRDefault="00B239E0" w:rsidP="00170847">
      <w:pPr>
        <w:pStyle w:val="BodyText1"/>
        <w:numPr>
          <w:ilvl w:val="0"/>
          <w:numId w:val="50"/>
        </w:numPr>
      </w:pPr>
      <w:r w:rsidRPr="006A7AE7">
        <w:t>The purpose of the Compliance Committee (referred to in this Attachment as ‘the Committee’) is to:</w:t>
      </w:r>
    </w:p>
    <w:p w14:paraId="332F1B3B" w14:textId="77777777" w:rsidR="00B239E0" w:rsidRPr="006A7AE7" w:rsidRDefault="00B239E0" w:rsidP="00B239E0">
      <w:pPr>
        <w:pStyle w:val="BodyText2"/>
        <w:tabs>
          <w:tab w:val="clear" w:pos="1560"/>
          <w:tab w:val="num" w:pos="1134"/>
        </w:tabs>
        <w:ind w:left="1134"/>
      </w:pPr>
      <w:r w:rsidRPr="006A7AE7">
        <w:t>ensure the eligible foreign life insurance company (EFLIC) complies with the requirements in, or imposed under, the Life Insurance Act; and</w:t>
      </w:r>
    </w:p>
    <w:p w14:paraId="31346AB2" w14:textId="77777777" w:rsidR="00B239E0" w:rsidRPr="006A7AE7" w:rsidRDefault="00B239E0" w:rsidP="00B239E0">
      <w:pPr>
        <w:pStyle w:val="BodyText2"/>
        <w:tabs>
          <w:tab w:val="clear" w:pos="1560"/>
          <w:tab w:val="num" w:pos="1134"/>
        </w:tabs>
        <w:ind w:left="1134"/>
      </w:pPr>
      <w:r w:rsidRPr="006A7AE7">
        <w:t>assist the Board in meeting its responsibilities under the Life Insurance Act.</w:t>
      </w:r>
    </w:p>
    <w:p w14:paraId="42EDF459" w14:textId="77777777" w:rsidR="00B239E0" w:rsidRPr="006A7AE7" w:rsidRDefault="00B239E0" w:rsidP="00B239E0">
      <w:pPr>
        <w:pStyle w:val="BodyText1"/>
      </w:pPr>
      <w:r w:rsidRPr="006A7AE7">
        <w:t>As required by subsections 16ZF(1) and (4) of the Life Insurance Act, the Board must delegate sufficient powers of management to the members of the Committee to enable Committee members to ensure that the EFLIC complies with the requirements in, or imposed under, the Life Insurance Act. The Board must do so irrespective of anything to the contrary in the EFLIC’s constitution.</w:t>
      </w:r>
    </w:p>
    <w:p w14:paraId="3DC3D153" w14:textId="77777777" w:rsidR="00B239E0" w:rsidRPr="006A7AE7" w:rsidRDefault="00B239E0" w:rsidP="00B239E0">
      <w:pPr>
        <w:pStyle w:val="Heading1"/>
      </w:pPr>
      <w:bookmarkStart w:id="173" w:name="_Toc337116351"/>
      <w:bookmarkStart w:id="174" w:name="_Toc333999207"/>
      <w:bookmarkStart w:id="175" w:name="_Toc337644694"/>
      <w:bookmarkStart w:id="176" w:name="_Toc445299789"/>
      <w:bookmarkStart w:id="177" w:name="_Toc458076771"/>
      <w:bookmarkStart w:id="178" w:name="_Toc461117228"/>
      <w:bookmarkStart w:id="179" w:name="_Toc146606004"/>
      <w:r w:rsidRPr="006A7AE7">
        <w:t>Continuing responsibility of the Board</w:t>
      </w:r>
      <w:bookmarkEnd w:id="173"/>
      <w:bookmarkEnd w:id="174"/>
      <w:bookmarkEnd w:id="175"/>
      <w:bookmarkEnd w:id="176"/>
      <w:bookmarkEnd w:id="177"/>
      <w:bookmarkEnd w:id="178"/>
      <w:bookmarkEnd w:id="179"/>
    </w:p>
    <w:p w14:paraId="1C423293" w14:textId="77777777" w:rsidR="00B239E0" w:rsidRPr="006A7AE7" w:rsidRDefault="00B239E0" w:rsidP="00B239E0">
      <w:pPr>
        <w:pStyle w:val="BodyText1"/>
      </w:pPr>
      <w:r w:rsidRPr="006A7AE7">
        <w:t>Establishment of the Committee does not free the Board from ultimate responsibility for ensuring the Australian branch of the EFLIC complies with the requirements in, or imposed under, the Life Insurance Act.</w:t>
      </w:r>
    </w:p>
    <w:p w14:paraId="329AE794" w14:textId="77777777" w:rsidR="00B239E0" w:rsidRPr="006A7AE7" w:rsidRDefault="00B239E0" w:rsidP="00B239E0">
      <w:pPr>
        <w:pStyle w:val="BodyText1"/>
      </w:pPr>
      <w:r w:rsidRPr="006A7AE7">
        <w:t>In recognition of this, the Board must:</w:t>
      </w:r>
    </w:p>
    <w:p w14:paraId="7BB2D8C0" w14:textId="77B2802F" w:rsidR="00B239E0" w:rsidRPr="00DF2535" w:rsidRDefault="00B239E0" w:rsidP="00B239E0">
      <w:pPr>
        <w:pStyle w:val="BodyText2"/>
        <w:tabs>
          <w:tab w:val="clear" w:pos="1560"/>
          <w:tab w:val="num" w:pos="1134"/>
        </w:tabs>
        <w:ind w:left="1134"/>
      </w:pPr>
      <w:r w:rsidRPr="006A7AE7">
        <w:t xml:space="preserve">have the power to appoint and remove, at its discretion, members of the Committee, as long as certain composition and residency requirements pertaining to the Committee continue to be met (refer to paragraphs </w:t>
      </w:r>
      <w:r w:rsidRPr="00BE743A">
        <w:fldChar w:fldCharType="begin"/>
      </w:r>
      <w:r w:rsidRPr="006A7AE7">
        <w:instrText xml:space="preserve"> REF _Ref121631451 \r \h  \* MERGEFORMAT </w:instrText>
      </w:r>
      <w:r w:rsidRPr="00BE743A">
        <w:fldChar w:fldCharType="separate"/>
      </w:r>
      <w:r w:rsidR="00270FBB">
        <w:t>5</w:t>
      </w:r>
      <w:r w:rsidRPr="00BE743A">
        <w:fldChar w:fldCharType="end"/>
      </w:r>
      <w:r w:rsidRPr="006562B8">
        <w:t xml:space="preserve"> to </w:t>
      </w:r>
      <w:r w:rsidRPr="00BE743A">
        <w:fldChar w:fldCharType="begin"/>
      </w:r>
      <w:r w:rsidRPr="006A7AE7">
        <w:instrText xml:space="preserve"> REF _Ref121631466 \r \h  \* MERGEFORMAT </w:instrText>
      </w:r>
      <w:r w:rsidRPr="00BE743A">
        <w:fldChar w:fldCharType="separate"/>
      </w:r>
      <w:r w:rsidR="00270FBB">
        <w:t>8</w:t>
      </w:r>
      <w:r w:rsidRPr="00BE743A">
        <w:fldChar w:fldCharType="end"/>
      </w:r>
      <w:r w:rsidRPr="006562B8">
        <w:t xml:space="preserve"> of this Attachment</w:t>
      </w:r>
      <w:r w:rsidRPr="00DF2535">
        <w:t>);</w:t>
      </w:r>
    </w:p>
    <w:p w14:paraId="1732429A" w14:textId="77777777" w:rsidR="00B239E0" w:rsidRPr="0094689D" w:rsidRDefault="00B239E0" w:rsidP="00B239E0">
      <w:pPr>
        <w:pStyle w:val="BodyText2"/>
        <w:tabs>
          <w:tab w:val="clear" w:pos="1560"/>
          <w:tab w:val="num" w:pos="1134"/>
        </w:tabs>
        <w:ind w:left="1134"/>
      </w:pPr>
      <w:r w:rsidRPr="00DF2535">
        <w:t xml:space="preserve">ensure that the delegation of relevant managerial powers (of the kind referred to in paragraph 16ZF(1)(a) and (b) of the Life Insurance </w:t>
      </w:r>
      <w:r w:rsidRPr="0094689D">
        <w:t>Act) is not irrevocable, and that the Board retains the powers delegated; and</w:t>
      </w:r>
    </w:p>
    <w:p w14:paraId="7E31C35E" w14:textId="77777777" w:rsidR="00B239E0" w:rsidRPr="0094689D" w:rsidRDefault="00B239E0" w:rsidP="00B239E0">
      <w:pPr>
        <w:pStyle w:val="BodyText2"/>
        <w:tabs>
          <w:tab w:val="clear" w:pos="1560"/>
          <w:tab w:val="num" w:pos="1134"/>
        </w:tabs>
        <w:ind w:left="1134"/>
      </w:pPr>
      <w:r w:rsidRPr="0094689D">
        <w:t>establish adequate procedures for monitoring and supervising the operation of the Committee, as well as assessing its performance.</w:t>
      </w:r>
    </w:p>
    <w:p w14:paraId="5620DA8B" w14:textId="77777777" w:rsidR="00B239E0" w:rsidRPr="00D45FB9" w:rsidRDefault="00B239E0" w:rsidP="00B239E0">
      <w:pPr>
        <w:pStyle w:val="Heading1"/>
      </w:pPr>
      <w:bookmarkStart w:id="180" w:name="_Toc337116352"/>
      <w:bookmarkStart w:id="181" w:name="_Toc333999208"/>
      <w:bookmarkStart w:id="182" w:name="_Toc337644695"/>
      <w:bookmarkStart w:id="183" w:name="_Toc445299790"/>
      <w:bookmarkStart w:id="184" w:name="_Toc458076772"/>
      <w:bookmarkStart w:id="185" w:name="_Toc461117229"/>
      <w:bookmarkStart w:id="186" w:name="_Toc146606005"/>
      <w:r w:rsidRPr="00D45FB9">
        <w:t>Composition and residency status of Committee members</w:t>
      </w:r>
      <w:bookmarkEnd w:id="180"/>
      <w:bookmarkEnd w:id="181"/>
      <w:bookmarkEnd w:id="182"/>
      <w:bookmarkEnd w:id="183"/>
      <w:bookmarkEnd w:id="184"/>
      <w:bookmarkEnd w:id="185"/>
      <w:bookmarkEnd w:id="186"/>
    </w:p>
    <w:p w14:paraId="456CE7D4" w14:textId="77777777" w:rsidR="00B239E0" w:rsidRPr="006A7AE7" w:rsidRDefault="00B239E0" w:rsidP="00B239E0">
      <w:pPr>
        <w:pStyle w:val="BodyText1"/>
      </w:pPr>
      <w:bookmarkStart w:id="187" w:name="_Ref121631451"/>
      <w:r w:rsidRPr="006A7AE7">
        <w:t>The Committee must comprise at least five members appointed by the Board. Those members must include:</w:t>
      </w:r>
      <w:bookmarkEnd w:id="187"/>
    </w:p>
    <w:p w14:paraId="7E0687FA" w14:textId="77777777" w:rsidR="00B239E0" w:rsidRPr="006A7AE7" w:rsidRDefault="00B239E0" w:rsidP="00B239E0">
      <w:pPr>
        <w:pStyle w:val="BodyText2"/>
        <w:tabs>
          <w:tab w:val="clear" w:pos="1560"/>
          <w:tab w:val="num" w:pos="1134"/>
        </w:tabs>
        <w:ind w:left="1134"/>
      </w:pPr>
      <w:bookmarkStart w:id="188" w:name="_Ref454756730"/>
      <w:r w:rsidRPr="006A7AE7">
        <w:t>at least one director of the Board of the EFLIC;</w:t>
      </w:r>
      <w:bookmarkEnd w:id="188"/>
    </w:p>
    <w:p w14:paraId="5B9B8B76" w14:textId="77777777" w:rsidR="00B239E0" w:rsidRPr="006A7AE7" w:rsidRDefault="00B239E0" w:rsidP="00B239E0">
      <w:pPr>
        <w:pStyle w:val="BodyText2"/>
        <w:tabs>
          <w:tab w:val="clear" w:pos="1560"/>
          <w:tab w:val="num" w:pos="1134"/>
        </w:tabs>
        <w:ind w:left="1134"/>
      </w:pPr>
      <w:bookmarkStart w:id="189" w:name="_Ref454756741"/>
      <w:r w:rsidRPr="006A7AE7">
        <w:t>the Principal Executive Officer (</w:t>
      </w:r>
      <w:smartTag w:uri="urn:schemas-microsoft-com:office:smarttags" w:element="stockticker">
        <w:r w:rsidRPr="006A7AE7">
          <w:t>PEO</w:t>
        </w:r>
      </w:smartTag>
      <w:r w:rsidRPr="006A7AE7">
        <w:t>) appointed by the EFLIC for its Australian branch under either subsections 20(2) or 246(4) of the Life Insurance Act; and</w:t>
      </w:r>
      <w:bookmarkEnd w:id="189"/>
    </w:p>
    <w:p w14:paraId="794221A1" w14:textId="77777777" w:rsidR="00B239E0" w:rsidRPr="006A7AE7" w:rsidRDefault="00B239E0" w:rsidP="00B239E0">
      <w:pPr>
        <w:pStyle w:val="BodyText2"/>
        <w:tabs>
          <w:tab w:val="clear" w:pos="1560"/>
          <w:tab w:val="num" w:pos="1134"/>
        </w:tabs>
        <w:ind w:left="1134"/>
      </w:pPr>
      <w:bookmarkStart w:id="190" w:name="_Ref454756748"/>
      <w:r w:rsidRPr="006A7AE7">
        <w:t>at least two independent members.</w:t>
      </w:r>
      <w:bookmarkEnd w:id="190"/>
    </w:p>
    <w:p w14:paraId="79110FAD" w14:textId="45E8299B" w:rsidR="00B239E0" w:rsidRPr="006A7AE7" w:rsidRDefault="00B239E0" w:rsidP="00B239E0">
      <w:pPr>
        <w:pStyle w:val="BodyText1"/>
      </w:pPr>
      <w:r w:rsidRPr="006A7AE7">
        <w:lastRenderedPageBreak/>
        <w:t xml:space="preserve">A member cannot satisfy more than one of the composition requirements contained in subparagraphs </w:t>
      </w:r>
      <w:r>
        <w:fldChar w:fldCharType="begin"/>
      </w:r>
      <w:r>
        <w:instrText xml:space="preserve"> REF _Ref454756730 \w \h </w:instrText>
      </w:r>
      <w:r>
        <w:fldChar w:fldCharType="separate"/>
      </w:r>
      <w:r w:rsidR="00270FBB">
        <w:t>5(a)</w:t>
      </w:r>
      <w:r>
        <w:fldChar w:fldCharType="end"/>
      </w:r>
      <w:r w:rsidRPr="006A7AE7">
        <w:t xml:space="preserve">, </w:t>
      </w:r>
      <w:r>
        <w:fldChar w:fldCharType="begin"/>
      </w:r>
      <w:r>
        <w:instrText xml:space="preserve"> REF _Ref454756741 \w \h </w:instrText>
      </w:r>
      <w:r>
        <w:fldChar w:fldCharType="separate"/>
      </w:r>
      <w:r w:rsidR="00270FBB">
        <w:t>5(b)</w:t>
      </w:r>
      <w:r>
        <w:fldChar w:fldCharType="end"/>
      </w:r>
      <w:r w:rsidRPr="006A7AE7">
        <w:t xml:space="preserve"> and </w:t>
      </w:r>
      <w:r>
        <w:fldChar w:fldCharType="begin"/>
      </w:r>
      <w:r>
        <w:instrText xml:space="preserve"> REF _Ref454756748 \w \h </w:instrText>
      </w:r>
      <w:r>
        <w:fldChar w:fldCharType="separate"/>
      </w:r>
      <w:r w:rsidR="00270FBB">
        <w:t>5(c)</w:t>
      </w:r>
      <w:r>
        <w:fldChar w:fldCharType="end"/>
      </w:r>
      <w:r w:rsidRPr="006A7AE7">
        <w:t xml:space="preserve"> of this Attachment (i.e. the director, </w:t>
      </w:r>
      <w:smartTag w:uri="urn:schemas-microsoft-com:office:smarttags" w:element="stockticker">
        <w:r w:rsidRPr="006A7AE7">
          <w:t>PEO</w:t>
        </w:r>
      </w:smartTag>
      <w:r w:rsidRPr="006A7AE7">
        <w:t xml:space="preserve"> and independent members must all be separate individuals).</w:t>
      </w:r>
    </w:p>
    <w:p w14:paraId="1E935929" w14:textId="77777777" w:rsidR="00B239E0" w:rsidRPr="006A7AE7" w:rsidRDefault="00B239E0" w:rsidP="00B239E0">
      <w:pPr>
        <w:pStyle w:val="BodyText1"/>
      </w:pPr>
      <w:r w:rsidRPr="006A7AE7">
        <w:t xml:space="preserve">At least two of the Committee members must be ordinarily resident in Australia, one being the </w:t>
      </w:r>
      <w:smartTag w:uri="urn:schemas-microsoft-com:office:smarttags" w:element="stockticker">
        <w:r w:rsidRPr="006A7AE7">
          <w:t>PEO</w:t>
        </w:r>
      </w:smartTag>
      <w:r w:rsidRPr="006A7AE7">
        <w:t xml:space="preserve"> and the other an independent member.</w:t>
      </w:r>
    </w:p>
    <w:p w14:paraId="15D0305F" w14:textId="77777777" w:rsidR="00B239E0" w:rsidRDefault="00B239E0" w:rsidP="00B239E0">
      <w:pPr>
        <w:pStyle w:val="BodyText1"/>
      </w:pPr>
      <w:bookmarkStart w:id="191" w:name="_Ref121631466"/>
      <w:r w:rsidRPr="006A7AE7">
        <w:t>It should be noted that the definition of director contained in the Life Insurance Act, in relation to an EFLIC, is taken to refer to both members of the Committee and the directors of the EFLIC (except for certain provisions, notably sections 230B and 245 of the Life Insurance Act, where only Committee members are being referred to).</w:t>
      </w:r>
      <w:bookmarkEnd w:id="191"/>
    </w:p>
    <w:p w14:paraId="6EDC6202" w14:textId="77777777" w:rsidR="00B239E0" w:rsidRPr="006A7AE7" w:rsidRDefault="00B239E0" w:rsidP="00B239E0">
      <w:pPr>
        <w:pStyle w:val="Heading1"/>
      </w:pPr>
      <w:bookmarkStart w:id="192" w:name="_Toc337116353"/>
      <w:bookmarkStart w:id="193" w:name="_Toc333999209"/>
      <w:bookmarkStart w:id="194" w:name="_Toc337644696"/>
      <w:bookmarkStart w:id="195" w:name="_Toc445299791"/>
      <w:bookmarkStart w:id="196" w:name="_Toc458076773"/>
      <w:bookmarkStart w:id="197" w:name="_Toc461117230"/>
      <w:bookmarkStart w:id="198" w:name="_Toc146606006"/>
      <w:r w:rsidRPr="006A7AE7">
        <w:t>Application for a modified Committee composition</w:t>
      </w:r>
      <w:bookmarkEnd w:id="192"/>
      <w:bookmarkEnd w:id="193"/>
      <w:bookmarkEnd w:id="194"/>
      <w:bookmarkEnd w:id="195"/>
      <w:bookmarkEnd w:id="196"/>
      <w:bookmarkEnd w:id="197"/>
      <w:bookmarkEnd w:id="198"/>
    </w:p>
    <w:p w14:paraId="17A8DB18" w14:textId="77777777" w:rsidR="00B239E0" w:rsidRPr="006A7AE7" w:rsidRDefault="00B239E0" w:rsidP="00B239E0">
      <w:pPr>
        <w:pStyle w:val="BodyText1"/>
      </w:pPr>
      <w:r w:rsidRPr="006A7AE7">
        <w:t>APRA may, on application from an EFLIC, determine a modified Committee for the EFLIC where it can be demonstrated that it is appropriate to do so.</w:t>
      </w:r>
    </w:p>
    <w:p w14:paraId="43E9DEA4" w14:textId="77777777" w:rsidR="00B239E0" w:rsidRPr="006A7AE7" w:rsidRDefault="00B239E0" w:rsidP="00B239E0">
      <w:pPr>
        <w:pStyle w:val="BodyText1"/>
      </w:pPr>
      <w:r w:rsidRPr="006A7AE7">
        <w:t>In making this determination, APRA will take into account the following factors:</w:t>
      </w:r>
    </w:p>
    <w:p w14:paraId="7E0F18E2" w14:textId="77777777" w:rsidR="00B239E0" w:rsidRPr="006A7AE7" w:rsidRDefault="00B239E0" w:rsidP="00B239E0">
      <w:pPr>
        <w:pStyle w:val="BodyText2"/>
        <w:tabs>
          <w:tab w:val="clear" w:pos="1560"/>
          <w:tab w:val="num" w:pos="1134"/>
        </w:tabs>
        <w:ind w:left="1134"/>
      </w:pPr>
      <w:r w:rsidRPr="006A7AE7">
        <w:t>the quantum of liabilities written by the EFLIC;</w:t>
      </w:r>
    </w:p>
    <w:p w14:paraId="243A981B" w14:textId="77777777" w:rsidR="00B239E0" w:rsidRPr="006A7AE7" w:rsidRDefault="00B239E0" w:rsidP="00B239E0">
      <w:pPr>
        <w:pStyle w:val="BodyText2"/>
        <w:tabs>
          <w:tab w:val="clear" w:pos="1560"/>
          <w:tab w:val="num" w:pos="1134"/>
        </w:tabs>
        <w:ind w:left="1134"/>
      </w:pPr>
      <w:r w:rsidRPr="006A7AE7">
        <w:t>the cost effectiveness or otherwise of establishing a Committee;</w:t>
      </w:r>
    </w:p>
    <w:p w14:paraId="76E9FCFA" w14:textId="77777777" w:rsidR="00B239E0" w:rsidRPr="006A7AE7" w:rsidRDefault="00B239E0" w:rsidP="00B239E0">
      <w:pPr>
        <w:pStyle w:val="BodyText2"/>
        <w:tabs>
          <w:tab w:val="clear" w:pos="1560"/>
          <w:tab w:val="num" w:pos="1134"/>
        </w:tabs>
        <w:ind w:left="1134"/>
      </w:pPr>
      <w:r w:rsidRPr="006A7AE7">
        <w:t>any restrictions on the lines of business written by the EFLIC;</w:t>
      </w:r>
    </w:p>
    <w:p w14:paraId="099AF35E" w14:textId="77777777" w:rsidR="00B239E0" w:rsidRPr="006A7AE7" w:rsidRDefault="00B239E0" w:rsidP="00B239E0">
      <w:pPr>
        <w:pStyle w:val="BodyText2"/>
        <w:tabs>
          <w:tab w:val="clear" w:pos="1560"/>
          <w:tab w:val="num" w:pos="1134"/>
        </w:tabs>
        <w:ind w:left="1134"/>
      </w:pPr>
      <w:r w:rsidRPr="006A7AE7">
        <w:t>whether these restrictions limit the number of policyholders of the EFLIC (for example, by targeting specific policyholder characteristics, such as age, nationality or geographical location); and</w:t>
      </w:r>
    </w:p>
    <w:p w14:paraId="18770A09" w14:textId="77777777" w:rsidR="00B239E0" w:rsidRPr="006A7AE7" w:rsidRDefault="00B239E0" w:rsidP="00B239E0">
      <w:pPr>
        <w:pStyle w:val="BodyText2"/>
        <w:tabs>
          <w:tab w:val="clear" w:pos="1560"/>
          <w:tab w:val="num" w:pos="1134"/>
        </w:tabs>
        <w:ind w:left="1134"/>
      </w:pPr>
      <w:r w:rsidRPr="006A7AE7">
        <w:t>whether the EFLIC has written any material amount of long tail business.</w:t>
      </w:r>
    </w:p>
    <w:p w14:paraId="29C8A72E" w14:textId="77777777" w:rsidR="00B239E0" w:rsidRPr="006A7AE7" w:rsidRDefault="00B239E0" w:rsidP="00B239E0">
      <w:pPr>
        <w:pStyle w:val="BodyText1"/>
      </w:pPr>
      <w:r w:rsidRPr="006A7AE7">
        <w:t>The composition of any modified Committee would be determined on a case-by-case basis by APRA, but the possible modifications could take one or more of the following forms:</w:t>
      </w:r>
    </w:p>
    <w:p w14:paraId="11C25420" w14:textId="77777777" w:rsidR="00B239E0" w:rsidRPr="006A7AE7" w:rsidRDefault="00B239E0" w:rsidP="00B239E0">
      <w:pPr>
        <w:pStyle w:val="BodyText2"/>
        <w:tabs>
          <w:tab w:val="clear" w:pos="1560"/>
          <w:tab w:val="num" w:pos="1134"/>
        </w:tabs>
        <w:ind w:left="1134"/>
      </w:pPr>
      <w:r w:rsidRPr="006A7AE7">
        <w:t>a Committee with fewer than five members;</w:t>
      </w:r>
    </w:p>
    <w:p w14:paraId="6721FCE1" w14:textId="3467E4D2" w:rsidR="00B239E0" w:rsidRPr="00DF2535" w:rsidRDefault="00B239E0" w:rsidP="00B239E0">
      <w:pPr>
        <w:pStyle w:val="BodyText2"/>
        <w:tabs>
          <w:tab w:val="clear" w:pos="1560"/>
          <w:tab w:val="num" w:pos="1134"/>
        </w:tabs>
        <w:ind w:left="1134"/>
      </w:pPr>
      <w:r w:rsidRPr="006A7AE7">
        <w:t xml:space="preserve">replacing the director of the Board of the EFLIC as required by subparagraph </w:t>
      </w:r>
      <w:r>
        <w:fldChar w:fldCharType="begin"/>
      </w:r>
      <w:r>
        <w:instrText xml:space="preserve"> REF _Ref454756730 \w \h </w:instrText>
      </w:r>
      <w:r>
        <w:fldChar w:fldCharType="separate"/>
      </w:r>
      <w:r w:rsidR="00270FBB">
        <w:t>5(a)</w:t>
      </w:r>
      <w:r>
        <w:fldChar w:fldCharType="end"/>
      </w:r>
      <w:r w:rsidRPr="006562B8">
        <w:t xml:space="preserve"> </w:t>
      </w:r>
      <w:r w:rsidRPr="00DF2535">
        <w:t xml:space="preserve">of this Attachment with the </w:t>
      </w:r>
      <w:smartTag w:uri="urn:schemas-microsoft-com:office:smarttags" w:element="stockticker">
        <w:r w:rsidRPr="00DF2535">
          <w:t>PEO</w:t>
        </w:r>
      </w:smartTag>
      <w:r w:rsidRPr="00DF2535">
        <w:t>; or</w:t>
      </w:r>
    </w:p>
    <w:p w14:paraId="1DEF38DB" w14:textId="77777777" w:rsidR="00B239E0" w:rsidRPr="00DF2535" w:rsidRDefault="00B239E0" w:rsidP="00B239E0">
      <w:pPr>
        <w:pStyle w:val="BodyText2"/>
        <w:tabs>
          <w:tab w:val="clear" w:pos="1560"/>
          <w:tab w:val="num" w:pos="1134"/>
        </w:tabs>
        <w:ind w:left="1134"/>
      </w:pPr>
      <w:r w:rsidRPr="00DF2535">
        <w:t>a Committee with fewer than two independent members.</w:t>
      </w:r>
    </w:p>
    <w:p w14:paraId="7D64D95C" w14:textId="77777777" w:rsidR="00B239E0" w:rsidRPr="0094689D" w:rsidRDefault="00B239E0" w:rsidP="00B239E0">
      <w:pPr>
        <w:pStyle w:val="Heading1"/>
      </w:pPr>
      <w:bookmarkStart w:id="199" w:name="_Toc337116354"/>
      <w:bookmarkStart w:id="200" w:name="_Toc333999210"/>
      <w:bookmarkStart w:id="201" w:name="_Toc337644697"/>
      <w:bookmarkStart w:id="202" w:name="_Toc445299792"/>
      <w:bookmarkStart w:id="203" w:name="_Toc458076774"/>
      <w:bookmarkStart w:id="204" w:name="_Toc461117231"/>
      <w:bookmarkStart w:id="205" w:name="_Toc146606007"/>
      <w:r w:rsidRPr="0094689D">
        <w:t>Appointment and removal of Committee members</w:t>
      </w:r>
      <w:bookmarkEnd w:id="199"/>
      <w:bookmarkEnd w:id="200"/>
      <w:bookmarkEnd w:id="201"/>
      <w:bookmarkEnd w:id="202"/>
      <w:bookmarkEnd w:id="203"/>
      <w:bookmarkEnd w:id="204"/>
      <w:bookmarkEnd w:id="205"/>
    </w:p>
    <w:p w14:paraId="20F39A48" w14:textId="77777777" w:rsidR="00B239E0" w:rsidRPr="0094689D" w:rsidRDefault="00B239E0" w:rsidP="00B239E0">
      <w:pPr>
        <w:pStyle w:val="BodyText1"/>
      </w:pPr>
      <w:r w:rsidRPr="0094689D">
        <w:t>The power to appoint and remove members of the Committee resides with the Board.</w:t>
      </w:r>
    </w:p>
    <w:p w14:paraId="3C727960" w14:textId="77777777" w:rsidR="00B239E0" w:rsidRPr="00D45FB9" w:rsidRDefault="00B239E0" w:rsidP="00B239E0">
      <w:pPr>
        <w:pStyle w:val="BodyText1"/>
      </w:pPr>
      <w:r w:rsidRPr="0094689D">
        <w:t>The Board must have a</w:t>
      </w:r>
      <w:r w:rsidRPr="00D45FB9">
        <w:t>ppointed all members and formally constituted the Committee within seven days of receiving notification of registration.</w:t>
      </w:r>
    </w:p>
    <w:p w14:paraId="0EA71AB7" w14:textId="77777777" w:rsidR="00B239E0" w:rsidRPr="006A7AE7" w:rsidRDefault="00B239E0" w:rsidP="00B239E0">
      <w:pPr>
        <w:pStyle w:val="BodyText1"/>
      </w:pPr>
      <w:r w:rsidRPr="006A7AE7">
        <w:lastRenderedPageBreak/>
        <w:t xml:space="preserve">Each member of the Committee must be fit and proper for the role in accordance with the </w:t>
      </w:r>
      <w:r w:rsidRPr="006A7AE7" w:rsidDel="0060381F">
        <w:t>r</w:t>
      </w:r>
      <w:r w:rsidRPr="006A7AE7">
        <w:t>equirements for fitness and propriety as set out in CPS 520.</w:t>
      </w:r>
    </w:p>
    <w:p w14:paraId="3BB892DB" w14:textId="77777777" w:rsidR="00B239E0" w:rsidRPr="006A7AE7" w:rsidRDefault="00B239E0" w:rsidP="00B239E0">
      <w:pPr>
        <w:pStyle w:val="BodyText1"/>
      </w:pPr>
      <w:r w:rsidRPr="006A7AE7">
        <w:t>The Board must ensure that the Committee as a whole possesses the necessary skills and expertise to ensure that the EFLIC complies with the requirements in, or imposed under, the Life Insurance Act, and to discharge the duties and responsibilities of the Committee provided for in this Prudential Standard.</w:t>
      </w:r>
    </w:p>
    <w:p w14:paraId="32E6B420" w14:textId="77777777" w:rsidR="00B239E0" w:rsidRPr="006A7AE7" w:rsidRDefault="00B239E0" w:rsidP="00B239E0">
      <w:pPr>
        <w:pStyle w:val="BodyText1"/>
      </w:pPr>
      <w:r w:rsidRPr="006A7AE7">
        <w:t>The Committee must have a policy for dealing with conflicts of interest.</w:t>
      </w:r>
    </w:p>
    <w:p w14:paraId="5798FDED" w14:textId="77777777" w:rsidR="00B239E0" w:rsidRPr="006A7AE7" w:rsidRDefault="00B239E0" w:rsidP="00B239E0">
      <w:pPr>
        <w:pStyle w:val="BodyText1"/>
      </w:pPr>
      <w:r w:rsidRPr="006A7AE7">
        <w:t>Notwithstanding the Board’s power to appoint and remove members, APRA may, under section 230B of the Life Insurance Act, direct an EFLIC to remove a member of the Committee.</w:t>
      </w:r>
    </w:p>
    <w:p w14:paraId="23523FD2" w14:textId="77777777" w:rsidR="00B239E0" w:rsidRPr="006A7AE7" w:rsidRDefault="00B239E0" w:rsidP="00B239E0">
      <w:pPr>
        <w:pStyle w:val="BodyText1"/>
      </w:pPr>
      <w:r w:rsidRPr="006A7AE7">
        <w:t>While membership of the Committee is the responsibility of the Board, the powers to appoint and remove members of the Committee must not be used in a manner that impedes, discourages or otherwise hinders the Committee from discharging its duties and responsibilities. Examples that would be cause for concern by APRA would be an excessive turnover of members, or the removal of members at inappropriate times (for example at critical reporting periods). If requested to do so by APRA, an EFLIC must, within a time stipulated by APRA (which must not be unreasonable), provide a written report to APRA responding to any queries APRA has regarding the removal of members.</w:t>
      </w:r>
    </w:p>
    <w:p w14:paraId="25672326" w14:textId="77777777" w:rsidR="00B239E0" w:rsidRPr="00C57994" w:rsidRDefault="00B239E0" w:rsidP="00B239E0">
      <w:pPr>
        <w:pStyle w:val="Heading1"/>
      </w:pPr>
      <w:bookmarkStart w:id="206" w:name="_Toc337116355"/>
      <w:bookmarkStart w:id="207" w:name="_Toc333999211"/>
      <w:bookmarkStart w:id="208" w:name="_Toc337644698"/>
      <w:bookmarkStart w:id="209" w:name="_Toc445299793"/>
      <w:bookmarkStart w:id="210" w:name="_Toc458076775"/>
      <w:bookmarkStart w:id="211" w:name="_Toc461117232"/>
      <w:bookmarkStart w:id="212" w:name="_Toc146606008"/>
      <w:r w:rsidRPr="00C57994">
        <w:t>Processes of the Committee</w:t>
      </w:r>
      <w:bookmarkEnd w:id="206"/>
      <w:bookmarkEnd w:id="207"/>
      <w:bookmarkEnd w:id="208"/>
      <w:bookmarkEnd w:id="209"/>
      <w:bookmarkEnd w:id="210"/>
      <w:bookmarkEnd w:id="211"/>
      <w:bookmarkEnd w:id="212"/>
    </w:p>
    <w:p w14:paraId="00BC23B4" w14:textId="77777777" w:rsidR="00B239E0" w:rsidRPr="006A7AE7" w:rsidRDefault="00B239E0" w:rsidP="00B239E0">
      <w:pPr>
        <w:pStyle w:val="BodyText1"/>
      </w:pPr>
      <w:r w:rsidRPr="006A7AE7">
        <w:t xml:space="preserve">At least three members of the Committee are required to be present at a meeting of the Committee to form a quorum. The </w:t>
      </w:r>
      <w:smartTag w:uri="urn:schemas-microsoft-com:office:smarttags" w:element="stockticker">
        <w:r w:rsidRPr="006A7AE7">
          <w:t>PEO</w:t>
        </w:r>
      </w:smartTag>
      <w:r w:rsidRPr="006A7AE7">
        <w:t>, and at least one independent member who is ordinarily resident in Australia, must be amongst the three members present.</w:t>
      </w:r>
    </w:p>
    <w:p w14:paraId="4CB25B06" w14:textId="77777777" w:rsidR="00B239E0" w:rsidRPr="006A7AE7" w:rsidRDefault="00B239E0" w:rsidP="00B239E0">
      <w:pPr>
        <w:pStyle w:val="BodyText1"/>
      </w:pPr>
      <w:r w:rsidRPr="006A7AE7">
        <w:t>The chairperson of the Committee must be a non-executive member.</w:t>
      </w:r>
    </w:p>
    <w:p w14:paraId="715ADC94" w14:textId="77777777" w:rsidR="00B239E0" w:rsidRPr="006A7AE7" w:rsidRDefault="00B239E0" w:rsidP="00B239E0">
      <w:pPr>
        <w:pStyle w:val="BodyText1"/>
      </w:pPr>
      <w:r w:rsidRPr="006A7AE7">
        <w:t>Resolutions can be passed only by a majority with the chairperson having a casting vote.</w:t>
      </w:r>
    </w:p>
    <w:p w14:paraId="45CD188B" w14:textId="77777777" w:rsidR="00B239E0" w:rsidRPr="006A7AE7" w:rsidRDefault="00B239E0" w:rsidP="00B239E0">
      <w:pPr>
        <w:pStyle w:val="BodyText1"/>
      </w:pPr>
      <w:r w:rsidRPr="006A7AE7">
        <w:t>The Committee must meet as often as required to discharge its duties and responsibilities, although APRA would expect the Committee to meet on at least a quarterly basis. Members, and individuals who may be needed to address the Committee, must be given reasonable notice of pending meetings.</w:t>
      </w:r>
    </w:p>
    <w:p w14:paraId="68337338" w14:textId="77777777" w:rsidR="00B239E0" w:rsidRPr="006A7AE7" w:rsidRDefault="00B239E0" w:rsidP="00B239E0">
      <w:pPr>
        <w:pStyle w:val="BodyText1"/>
      </w:pPr>
      <w:r w:rsidRPr="006A7AE7">
        <w:t>The Committee must ensure that the Appointed Actuary is given reasonable notice of any meeting of the Committee at which matters are to be considered that relate to the functions and duties of the actuary, including matters:</w:t>
      </w:r>
    </w:p>
    <w:p w14:paraId="18D82CAC" w14:textId="77777777" w:rsidR="00B239E0" w:rsidRPr="006A7AE7" w:rsidRDefault="00B239E0" w:rsidP="00B239E0">
      <w:pPr>
        <w:pStyle w:val="BodyText2"/>
        <w:tabs>
          <w:tab w:val="clear" w:pos="1560"/>
          <w:tab w:val="num" w:pos="1134"/>
        </w:tabs>
        <w:ind w:left="1134"/>
      </w:pPr>
      <w:r w:rsidRPr="006A7AE7">
        <w:t>that relate to, or may affect:</w:t>
      </w:r>
    </w:p>
    <w:p w14:paraId="38368998" w14:textId="77777777" w:rsidR="00B239E0" w:rsidRPr="006A7AE7" w:rsidRDefault="00B239E0" w:rsidP="00B239E0">
      <w:pPr>
        <w:pStyle w:val="BodyText3"/>
      </w:pPr>
      <w:r w:rsidRPr="006A7AE7">
        <w:t>the solvency of the company; or</w:t>
      </w:r>
    </w:p>
    <w:p w14:paraId="1F494E28" w14:textId="77777777" w:rsidR="00B239E0" w:rsidRPr="006A7AE7" w:rsidRDefault="00B239E0" w:rsidP="00B239E0">
      <w:pPr>
        <w:pStyle w:val="BodyText3"/>
      </w:pPr>
      <w:r w:rsidRPr="006A7AE7">
        <w:t>the adequacy of the capital of the company; or</w:t>
      </w:r>
    </w:p>
    <w:p w14:paraId="5A482860" w14:textId="77777777" w:rsidR="00B239E0" w:rsidRPr="006A7AE7" w:rsidRDefault="00B239E0" w:rsidP="00B239E0">
      <w:pPr>
        <w:pStyle w:val="BodyText2"/>
        <w:tabs>
          <w:tab w:val="clear" w:pos="1560"/>
          <w:tab w:val="num" w:pos="1134"/>
        </w:tabs>
        <w:ind w:left="1134"/>
      </w:pPr>
      <w:r w:rsidRPr="006A7AE7">
        <w:t>that relate to advice given by the Appointed Actuary to the directors; or</w:t>
      </w:r>
    </w:p>
    <w:p w14:paraId="1D41CE88" w14:textId="77777777" w:rsidR="00B239E0" w:rsidRPr="006A7AE7" w:rsidRDefault="00B239E0" w:rsidP="00B239E0">
      <w:pPr>
        <w:pStyle w:val="BodyText2"/>
        <w:tabs>
          <w:tab w:val="clear" w:pos="1560"/>
          <w:tab w:val="num" w:pos="1134"/>
        </w:tabs>
        <w:ind w:left="1134"/>
      </w:pPr>
      <w:r w:rsidRPr="006A7AE7">
        <w:lastRenderedPageBreak/>
        <w:t>that concern a matter in relation to which the Appointed Actuary will be required to give advice.</w:t>
      </w:r>
    </w:p>
    <w:p w14:paraId="009D0137" w14:textId="77777777" w:rsidR="00B239E0" w:rsidRPr="006A7AE7" w:rsidRDefault="00B239E0" w:rsidP="00B239E0">
      <w:pPr>
        <w:pStyle w:val="BodyText1"/>
      </w:pPr>
      <w:r w:rsidRPr="006A7AE7">
        <w:t>Written minutes of Committee meetings must be taken and copies kept and made available to APRA on request. Any papers or submissions put to the Committee must likewise be kept and made available to APRA on request.</w:t>
      </w:r>
    </w:p>
    <w:p w14:paraId="22444B3D" w14:textId="77777777" w:rsidR="00B239E0" w:rsidRPr="006A7AE7" w:rsidRDefault="00B239E0" w:rsidP="00B239E0">
      <w:pPr>
        <w:pStyle w:val="Heading1"/>
      </w:pPr>
      <w:bookmarkStart w:id="213" w:name="_Toc337116356"/>
      <w:bookmarkStart w:id="214" w:name="_Toc333999212"/>
      <w:bookmarkStart w:id="215" w:name="_Toc337644699"/>
      <w:bookmarkStart w:id="216" w:name="_Toc445299794"/>
      <w:bookmarkStart w:id="217" w:name="_Toc458076776"/>
      <w:bookmarkStart w:id="218" w:name="_Toc461117233"/>
      <w:bookmarkStart w:id="219" w:name="_Toc146606009"/>
      <w:r w:rsidRPr="006A7AE7">
        <w:t xml:space="preserve">Duties and </w:t>
      </w:r>
      <w:r w:rsidRPr="006A7AE7">
        <w:rPr>
          <w:rFonts w:cs="Arial"/>
        </w:rPr>
        <w:t>responsibilities</w:t>
      </w:r>
      <w:r w:rsidRPr="006A7AE7">
        <w:t xml:space="preserve"> of the Committee</w:t>
      </w:r>
      <w:bookmarkEnd w:id="213"/>
      <w:bookmarkEnd w:id="214"/>
      <w:bookmarkEnd w:id="215"/>
      <w:bookmarkEnd w:id="216"/>
      <w:bookmarkEnd w:id="217"/>
      <w:bookmarkEnd w:id="218"/>
      <w:bookmarkEnd w:id="219"/>
    </w:p>
    <w:p w14:paraId="310715BD" w14:textId="77777777" w:rsidR="00B239E0" w:rsidRPr="006A7AE7" w:rsidRDefault="00B239E0" w:rsidP="00B239E0">
      <w:pPr>
        <w:pStyle w:val="BodyText1"/>
      </w:pPr>
      <w:bookmarkStart w:id="220" w:name="_Ref121893470"/>
      <w:r w:rsidRPr="006A7AE7">
        <w:t>The Committee must, with the powers delegated to it by the Board, ensure that the EFLIC complies with:</w:t>
      </w:r>
      <w:bookmarkEnd w:id="220"/>
    </w:p>
    <w:p w14:paraId="77D9C9F0" w14:textId="77777777" w:rsidR="00B239E0" w:rsidRPr="006A7AE7" w:rsidRDefault="00B239E0" w:rsidP="00B239E0">
      <w:pPr>
        <w:pStyle w:val="BodyText2"/>
        <w:tabs>
          <w:tab w:val="clear" w:pos="1560"/>
          <w:tab w:val="num" w:pos="1134"/>
        </w:tabs>
        <w:ind w:left="1134"/>
      </w:pPr>
      <w:r w:rsidRPr="006A7AE7">
        <w:t>the Life Insurance Act;</w:t>
      </w:r>
    </w:p>
    <w:p w14:paraId="7924EF50" w14:textId="77777777" w:rsidR="00B239E0" w:rsidRPr="006A7AE7" w:rsidRDefault="00B239E0" w:rsidP="00B239E0">
      <w:pPr>
        <w:pStyle w:val="BodyText2"/>
        <w:tabs>
          <w:tab w:val="clear" w:pos="1560"/>
          <w:tab w:val="num" w:pos="1134"/>
        </w:tabs>
        <w:ind w:left="1134"/>
      </w:pPr>
      <w:r w:rsidRPr="006A7AE7">
        <w:t xml:space="preserve">the </w:t>
      </w:r>
      <w:r w:rsidRPr="006A7AE7">
        <w:rPr>
          <w:i/>
        </w:rPr>
        <w:t>Life Insurance Regulations 1995</w:t>
      </w:r>
      <w:r w:rsidRPr="006A7AE7">
        <w:t>;</w:t>
      </w:r>
    </w:p>
    <w:p w14:paraId="18FDC0AF" w14:textId="77777777" w:rsidR="00B239E0" w:rsidRPr="006A7AE7" w:rsidRDefault="00B239E0" w:rsidP="00B239E0">
      <w:pPr>
        <w:pStyle w:val="BodyText2"/>
        <w:tabs>
          <w:tab w:val="clear" w:pos="1560"/>
          <w:tab w:val="num" w:pos="1134"/>
        </w:tabs>
        <w:ind w:left="1134"/>
      </w:pPr>
      <w:r w:rsidRPr="006A7AE7">
        <w:t>the prudential standards determined under section 230A of the Life Insurance Act;</w:t>
      </w:r>
    </w:p>
    <w:p w14:paraId="59D5AD59" w14:textId="77777777" w:rsidR="00B239E0" w:rsidRPr="006A7AE7" w:rsidRDefault="00B239E0" w:rsidP="00B239E0">
      <w:pPr>
        <w:pStyle w:val="BodyText2"/>
        <w:tabs>
          <w:tab w:val="clear" w:pos="1560"/>
          <w:tab w:val="num" w:pos="1134"/>
        </w:tabs>
        <w:ind w:left="1134"/>
      </w:pPr>
      <w:r w:rsidRPr="006A7AE7">
        <w:t>the Prudential Rules made under section 252 of the Life Insurance Act;</w:t>
      </w:r>
    </w:p>
    <w:p w14:paraId="75681CE0" w14:textId="77777777" w:rsidR="00B239E0" w:rsidRPr="006A7AE7" w:rsidRDefault="00B239E0" w:rsidP="00B239E0">
      <w:pPr>
        <w:pStyle w:val="BodyText2"/>
        <w:tabs>
          <w:tab w:val="clear" w:pos="1560"/>
          <w:tab w:val="num" w:pos="1134"/>
        </w:tabs>
        <w:ind w:left="1134"/>
      </w:pPr>
      <w:r w:rsidRPr="006A7AE7">
        <w:t>any conditions placed upon the EFLIC under section 22 of the Life Insurance Act at the time of, or after, its registration;</w:t>
      </w:r>
    </w:p>
    <w:p w14:paraId="3628ACA5" w14:textId="77777777" w:rsidR="00B239E0" w:rsidRPr="006A7AE7" w:rsidRDefault="00B239E0" w:rsidP="00B239E0">
      <w:pPr>
        <w:pStyle w:val="BodyText2"/>
        <w:tabs>
          <w:tab w:val="clear" w:pos="1560"/>
          <w:tab w:val="num" w:pos="1134"/>
        </w:tabs>
        <w:ind w:left="1134"/>
      </w:pPr>
      <w:r w:rsidRPr="006A7AE7">
        <w:t>directions given under the Life Insurance Act; and</w:t>
      </w:r>
    </w:p>
    <w:p w14:paraId="517405BD" w14:textId="77777777" w:rsidR="00B239E0" w:rsidRPr="006A7AE7" w:rsidRDefault="00B239E0" w:rsidP="00B239E0">
      <w:pPr>
        <w:pStyle w:val="BodyText2"/>
        <w:tabs>
          <w:tab w:val="clear" w:pos="1560"/>
          <w:tab w:val="num" w:pos="1134"/>
        </w:tabs>
        <w:ind w:left="1134"/>
      </w:pPr>
      <w:r>
        <w:t>FSCODA</w:t>
      </w:r>
      <w:r w:rsidRPr="006A7AE7">
        <w:t>.</w:t>
      </w:r>
    </w:p>
    <w:p w14:paraId="6B0D0EA8" w14:textId="77777777" w:rsidR="00B239E0" w:rsidRPr="006A7AE7" w:rsidRDefault="00B239E0" w:rsidP="00B239E0">
      <w:pPr>
        <w:pStyle w:val="BodyText1"/>
      </w:pPr>
      <w:r w:rsidRPr="006A7AE7">
        <w:t>The Committee members must report to APRA, within 14 business days of becoming aware:</w:t>
      </w:r>
    </w:p>
    <w:p w14:paraId="6EF82B8E" w14:textId="29C8A846" w:rsidR="00B239E0" w:rsidRPr="00DF2535" w:rsidRDefault="00B239E0" w:rsidP="00B239E0">
      <w:pPr>
        <w:pStyle w:val="BodyText2"/>
        <w:tabs>
          <w:tab w:val="clear" w:pos="1560"/>
          <w:tab w:val="num" w:pos="1134"/>
        </w:tabs>
        <w:ind w:left="1134"/>
      </w:pPr>
      <w:r w:rsidRPr="006A7AE7">
        <w:t xml:space="preserve">that the EFLIC has failed to comply with a requirement referred to in paragraph </w:t>
      </w:r>
      <w:r w:rsidRPr="0094689D">
        <w:fldChar w:fldCharType="begin"/>
      </w:r>
      <w:r w:rsidRPr="006A7AE7">
        <w:instrText xml:space="preserve"> REF _Ref121893470 \r \h  \* MERGEFORMAT </w:instrText>
      </w:r>
      <w:r w:rsidRPr="0094689D">
        <w:fldChar w:fldCharType="separate"/>
      </w:r>
      <w:r w:rsidR="00270FBB">
        <w:t>25</w:t>
      </w:r>
      <w:r w:rsidRPr="0094689D">
        <w:fldChar w:fldCharType="end"/>
      </w:r>
      <w:r w:rsidRPr="006562B8">
        <w:t xml:space="preserve"> of this Attachment</w:t>
      </w:r>
      <w:r w:rsidRPr="00DF2535">
        <w:t>; or</w:t>
      </w:r>
    </w:p>
    <w:p w14:paraId="41ABCF69" w14:textId="77777777" w:rsidR="00B239E0" w:rsidRPr="00DF2535" w:rsidRDefault="00B239E0" w:rsidP="00B239E0">
      <w:pPr>
        <w:pStyle w:val="BodyText2"/>
        <w:tabs>
          <w:tab w:val="clear" w:pos="1560"/>
          <w:tab w:val="num" w:pos="1134"/>
        </w:tabs>
        <w:ind w:left="1134"/>
      </w:pPr>
      <w:r w:rsidRPr="00DF2535">
        <w:t>the Committee believes there is a material risk of the EFLIC being unable to meet its obligations at some future time.</w:t>
      </w:r>
    </w:p>
    <w:p w14:paraId="7740CD7A" w14:textId="77777777" w:rsidR="00B239E0" w:rsidRPr="0094689D" w:rsidRDefault="00B239E0" w:rsidP="00B239E0">
      <w:pPr>
        <w:pStyle w:val="BodyText1"/>
      </w:pPr>
      <w:r w:rsidRPr="0094689D">
        <w:t>The report must:</w:t>
      </w:r>
    </w:p>
    <w:p w14:paraId="0C17B576" w14:textId="77777777" w:rsidR="00B239E0" w:rsidRPr="0094689D" w:rsidRDefault="00B239E0" w:rsidP="00B239E0">
      <w:pPr>
        <w:pStyle w:val="BodyText2"/>
        <w:tabs>
          <w:tab w:val="clear" w:pos="1560"/>
          <w:tab w:val="num" w:pos="1134"/>
        </w:tabs>
        <w:ind w:left="1134"/>
      </w:pPr>
      <w:r w:rsidRPr="0094689D">
        <w:t>be in the form of a written report explaining the causes of the failure or the material risk to the solvency of the EFLIC identified by the Committee; and</w:t>
      </w:r>
    </w:p>
    <w:p w14:paraId="04993854" w14:textId="77777777" w:rsidR="00B239E0" w:rsidRPr="00D45FB9" w:rsidRDefault="00B239E0" w:rsidP="00B239E0">
      <w:pPr>
        <w:pStyle w:val="BodyText2"/>
        <w:tabs>
          <w:tab w:val="clear" w:pos="1560"/>
          <w:tab w:val="num" w:pos="1134"/>
        </w:tabs>
        <w:ind w:left="1134"/>
      </w:pPr>
      <w:r w:rsidRPr="0094689D">
        <w:t>outline a plan and timeframe for rectifying the failure or mitigati</w:t>
      </w:r>
      <w:r w:rsidRPr="00D45FB9">
        <w:t>ng the risk of insolvency.</w:t>
      </w:r>
    </w:p>
    <w:p w14:paraId="0512946F" w14:textId="77777777" w:rsidR="00170847" w:rsidRDefault="00B239E0" w:rsidP="00B239E0">
      <w:pPr>
        <w:pStyle w:val="BodyText1"/>
      </w:pPr>
      <w:r w:rsidRPr="006A7AE7">
        <w:t>APRA would expect the Committee to provide a copy of the report to the Board.</w:t>
      </w:r>
    </w:p>
    <w:sectPr w:rsidR="00170847" w:rsidSect="00611A41">
      <w:footerReference w:type="default" r:id="rId17"/>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09AD4" w14:textId="77777777" w:rsidR="0042161B" w:rsidRDefault="0042161B" w:rsidP="006A6A52">
      <w:pPr>
        <w:spacing w:after="0"/>
      </w:pPr>
      <w:r>
        <w:separator/>
      </w:r>
    </w:p>
    <w:p w14:paraId="3440AB3B" w14:textId="77777777" w:rsidR="0042161B" w:rsidRDefault="0042161B"/>
  </w:endnote>
  <w:endnote w:type="continuationSeparator" w:id="0">
    <w:p w14:paraId="02AE9157" w14:textId="77777777" w:rsidR="0042161B" w:rsidRDefault="0042161B" w:rsidP="006A6A52">
      <w:pPr>
        <w:spacing w:after="0"/>
      </w:pPr>
      <w:r>
        <w:continuationSeparator/>
      </w:r>
    </w:p>
    <w:p w14:paraId="7E0A6F3F" w14:textId="77777777" w:rsidR="0042161B" w:rsidRDefault="0042161B"/>
  </w:endnote>
  <w:endnote w:type="continuationNotice" w:id="1">
    <w:p w14:paraId="43F8F9D2" w14:textId="77777777" w:rsidR="0042161B" w:rsidRDefault="0042161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B9C51" w14:textId="363F8F9B" w:rsidR="00AC0710" w:rsidRPr="00842FBD" w:rsidRDefault="00AC0710" w:rsidP="00842FBD">
    <w:pPr>
      <w:pStyle w:val="Footer"/>
    </w:pPr>
    <w:r>
      <w:rPr>
        <w:noProof/>
      </w:rPr>
      <w:t>CPS 510-</w:t>
    </w:r>
    <w:r>
      <w:t xml:space="preserve"> </w:t>
    </w:r>
    <w:r w:rsidRPr="00842FBD">
      <w:fldChar w:fldCharType="begin"/>
    </w:r>
    <w:r w:rsidRPr="00842FBD">
      <w:instrText xml:space="preserve"> PAGE </w:instrText>
    </w:r>
    <w:r w:rsidRPr="00842FBD">
      <w:fldChar w:fldCharType="separate"/>
    </w:r>
    <w:r w:rsidR="005D1918">
      <w:rPr>
        <w:noProof/>
      </w:rPr>
      <w:t>1</w:t>
    </w:r>
    <w:r w:rsidRPr="00842FB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2822F" w14:textId="1314BC37" w:rsidR="00AC0710" w:rsidRPr="00842FBD" w:rsidRDefault="00AC0710" w:rsidP="00842FBD">
    <w:pPr>
      <w:pStyle w:val="Footer"/>
    </w:pPr>
    <w:r>
      <w:rPr>
        <w:noProof/>
      </w:rPr>
      <w:t>CPS 510</w:t>
    </w:r>
    <w:r>
      <w:t xml:space="preserve"> – Attachment </w:t>
    </w:r>
    <w:r>
      <w:rPr>
        <w:noProof/>
      </w:rPr>
      <w:fldChar w:fldCharType="begin"/>
    </w:r>
    <w:r>
      <w:rPr>
        <w:noProof/>
      </w:rPr>
      <w:instrText xml:space="preserve"> SEQ Attach\* ALPHABETIC\c  \* MERGEFORMAT </w:instrText>
    </w:r>
    <w:r>
      <w:rPr>
        <w:noProof/>
      </w:rPr>
      <w:fldChar w:fldCharType="separate"/>
    </w:r>
    <w:r w:rsidR="009F7E86">
      <w:rPr>
        <w:noProof/>
      </w:rPr>
      <w:t>A</w:t>
    </w:r>
    <w:r>
      <w:rPr>
        <w:noProof/>
      </w:rPr>
      <w:fldChar w:fldCharType="end"/>
    </w:r>
    <w:r>
      <w:rPr>
        <w:noProof/>
      </w:rPr>
      <w:t xml:space="preserve"> </w:t>
    </w:r>
    <w:r>
      <w:t xml:space="preserve">- </w:t>
    </w:r>
    <w:r w:rsidRPr="00842FBD">
      <w:fldChar w:fldCharType="begin"/>
    </w:r>
    <w:r w:rsidRPr="00842FBD">
      <w:instrText xml:space="preserve"> PAGE </w:instrText>
    </w:r>
    <w:r w:rsidRPr="00842FBD">
      <w:fldChar w:fldCharType="separate"/>
    </w:r>
    <w:r w:rsidR="005D1918">
      <w:rPr>
        <w:noProof/>
      </w:rPr>
      <w:t>24</w:t>
    </w:r>
    <w:r w:rsidRPr="00842FB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182336"/>
      <w:docPartObj>
        <w:docPartGallery w:val="Page Numbers (Bottom of Page)"/>
        <w:docPartUnique/>
      </w:docPartObj>
    </w:sdtPr>
    <w:sdtContent>
      <w:sdt>
        <w:sdtPr>
          <w:id w:val="860082579"/>
          <w:docPartObj>
            <w:docPartGallery w:val="Page Numbers (Top of Page)"/>
            <w:docPartUnique/>
          </w:docPartObj>
        </w:sdtPr>
        <w:sdtContent>
          <w:p w14:paraId="2D164B7A" w14:textId="6CE1A7ED" w:rsidR="00AC0710" w:rsidRDefault="00AC0710" w:rsidP="00A24159">
            <w:pPr>
              <w:pStyle w:val="Footer"/>
            </w:pPr>
            <w:r>
              <w:t xml:space="preserve">CPS 510– Attachment </w:t>
            </w:r>
            <w:r>
              <w:rPr>
                <w:noProof/>
              </w:rPr>
              <w:t xml:space="preserve">B </w:t>
            </w:r>
            <w:r>
              <w:t xml:space="preserve">- </w:t>
            </w:r>
            <w:r w:rsidRPr="00842FBD">
              <w:fldChar w:fldCharType="begin"/>
            </w:r>
            <w:r w:rsidRPr="00842FBD">
              <w:instrText xml:space="preserve"> PAGE </w:instrText>
            </w:r>
            <w:r w:rsidRPr="00842FBD">
              <w:fldChar w:fldCharType="separate"/>
            </w:r>
            <w:r w:rsidR="005D1918">
              <w:rPr>
                <w:noProof/>
              </w:rPr>
              <w:t>25</w:t>
            </w:r>
            <w:r w:rsidRPr="00842FBD">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987A9" w14:textId="77777777" w:rsidR="0042161B" w:rsidRDefault="0042161B" w:rsidP="006A6A52">
      <w:pPr>
        <w:spacing w:after="0"/>
      </w:pPr>
      <w:r>
        <w:separator/>
      </w:r>
    </w:p>
  </w:footnote>
  <w:footnote w:type="continuationSeparator" w:id="0">
    <w:p w14:paraId="3D03FDF9" w14:textId="77777777" w:rsidR="0042161B" w:rsidRDefault="0042161B" w:rsidP="006A6A52">
      <w:pPr>
        <w:spacing w:after="0"/>
      </w:pPr>
      <w:r>
        <w:continuationSeparator/>
      </w:r>
    </w:p>
  </w:footnote>
  <w:footnote w:type="continuationNotice" w:id="1">
    <w:p w14:paraId="09A0B17F" w14:textId="77777777" w:rsidR="0042161B" w:rsidRDefault="0042161B">
      <w:pPr>
        <w:spacing w:after="0"/>
      </w:pPr>
    </w:p>
  </w:footnote>
  <w:footnote w:id="2">
    <w:p w14:paraId="22BF7B5B" w14:textId="77777777" w:rsidR="00AC0710" w:rsidRPr="006A7AE7" w:rsidRDefault="00AC0710" w:rsidP="00B239E0">
      <w:pPr>
        <w:pStyle w:val="FootnoteText"/>
      </w:pPr>
      <w:r w:rsidRPr="007871A3">
        <w:rPr>
          <w:rStyle w:val="FootnoteReference"/>
        </w:rPr>
        <w:footnoteRef/>
      </w:r>
      <w:r>
        <w:t xml:space="preserve"> </w:t>
      </w:r>
      <w:r>
        <w:tab/>
      </w:r>
      <w:r w:rsidRPr="007871A3">
        <w:t>Note, for the purposes of this Prudential Standard, a</w:t>
      </w:r>
      <w:r>
        <w:t>n</w:t>
      </w:r>
      <w:r w:rsidRPr="007871A3">
        <w:t xml:space="preserve"> </w:t>
      </w:r>
      <w:r w:rsidRPr="007871A3">
        <w:rPr>
          <w:b/>
        </w:rPr>
        <w:t>RSE licensee</w:t>
      </w:r>
      <w:r w:rsidRPr="007871A3">
        <w:t xml:space="preserve"> is not treated as an ‘APRA-regulated institution’. Refer to </w:t>
      </w:r>
      <w:r w:rsidRPr="007871A3">
        <w:rPr>
          <w:i/>
        </w:rPr>
        <w:t xml:space="preserve">Prudential Standard SPS 510 Governance </w:t>
      </w:r>
      <w:r w:rsidRPr="007871A3">
        <w:t>(SPS 510) for requirements relating to the governance of an RSE licensee</w:t>
      </w:r>
      <w:r w:rsidRPr="007871A3">
        <w:rPr>
          <w:i/>
        </w:rPr>
        <w:t>.</w:t>
      </w:r>
    </w:p>
  </w:footnote>
  <w:footnote w:id="3">
    <w:p w14:paraId="26EC06F6" w14:textId="77777777" w:rsidR="00AC0710" w:rsidRPr="006A7AE7" w:rsidRDefault="00AC0710" w:rsidP="00B239E0">
      <w:pPr>
        <w:pStyle w:val="FootnoteText"/>
      </w:pPr>
      <w:r w:rsidRPr="00D45FB9">
        <w:rPr>
          <w:rStyle w:val="FootnoteReference"/>
        </w:rPr>
        <w:footnoteRef/>
      </w:r>
      <w:r w:rsidRPr="006A7AE7">
        <w:tab/>
        <w:t>Where</w:t>
      </w:r>
      <w:r w:rsidRPr="006A7AE7">
        <w:rPr>
          <w:spacing w:val="2"/>
        </w:rPr>
        <w:t xml:space="preserve"> </w:t>
      </w:r>
      <w:r w:rsidRPr="006A7AE7">
        <w:t>a</w:t>
      </w:r>
      <w:r w:rsidRPr="006A7AE7">
        <w:rPr>
          <w:spacing w:val="3"/>
        </w:rPr>
        <w:t xml:space="preserve"> </w:t>
      </w:r>
      <w:r w:rsidRPr="006A7AE7">
        <w:rPr>
          <w:spacing w:val="-1"/>
        </w:rPr>
        <w:t>Level</w:t>
      </w:r>
      <w:r w:rsidRPr="006A7AE7">
        <w:rPr>
          <w:spacing w:val="3"/>
        </w:rPr>
        <w:t xml:space="preserve"> </w:t>
      </w:r>
      <w:r w:rsidRPr="006A7AE7">
        <w:t>2</w:t>
      </w:r>
      <w:r w:rsidRPr="006A7AE7">
        <w:rPr>
          <w:spacing w:val="3"/>
        </w:rPr>
        <w:t xml:space="preserve"> </w:t>
      </w:r>
      <w:r w:rsidRPr="006A7AE7">
        <w:rPr>
          <w:spacing w:val="-1"/>
        </w:rPr>
        <w:t>group</w:t>
      </w:r>
      <w:r w:rsidRPr="006A7AE7">
        <w:rPr>
          <w:spacing w:val="1"/>
        </w:rPr>
        <w:t xml:space="preserve"> </w:t>
      </w:r>
      <w:r w:rsidRPr="006A7AE7">
        <w:t>operates</w:t>
      </w:r>
      <w:r w:rsidRPr="006A7AE7">
        <w:rPr>
          <w:spacing w:val="5"/>
        </w:rPr>
        <w:t xml:space="preserve"> </w:t>
      </w:r>
      <w:r w:rsidRPr="006A7AE7">
        <w:rPr>
          <w:spacing w:val="-1"/>
        </w:rPr>
        <w:t>within</w:t>
      </w:r>
      <w:r w:rsidRPr="006A7AE7">
        <w:rPr>
          <w:spacing w:val="1"/>
        </w:rPr>
        <w:t xml:space="preserve"> </w:t>
      </w:r>
      <w:r w:rsidRPr="006A7AE7">
        <w:t>a</w:t>
      </w:r>
      <w:r w:rsidRPr="006A7AE7">
        <w:rPr>
          <w:spacing w:val="3"/>
        </w:rPr>
        <w:t xml:space="preserve"> </w:t>
      </w:r>
      <w:r w:rsidRPr="006A7AE7">
        <w:rPr>
          <w:spacing w:val="-1"/>
        </w:rPr>
        <w:t>Level</w:t>
      </w:r>
      <w:r w:rsidRPr="006A7AE7">
        <w:rPr>
          <w:spacing w:val="3"/>
        </w:rPr>
        <w:t xml:space="preserve"> </w:t>
      </w:r>
      <w:r w:rsidRPr="006A7AE7">
        <w:t>3</w:t>
      </w:r>
      <w:r w:rsidRPr="006A7AE7">
        <w:rPr>
          <w:spacing w:val="4"/>
        </w:rPr>
        <w:t xml:space="preserve"> </w:t>
      </w:r>
      <w:r w:rsidRPr="006A7AE7">
        <w:rPr>
          <w:spacing w:val="-1"/>
        </w:rPr>
        <w:t>group,</w:t>
      </w:r>
      <w:r w:rsidRPr="006A7AE7">
        <w:rPr>
          <w:spacing w:val="2"/>
        </w:rPr>
        <w:t xml:space="preserve"> </w:t>
      </w:r>
      <w:r w:rsidRPr="006A7AE7">
        <w:t>a</w:t>
      </w:r>
      <w:r w:rsidRPr="006A7AE7">
        <w:rPr>
          <w:spacing w:val="1"/>
        </w:rPr>
        <w:t xml:space="preserve"> </w:t>
      </w:r>
      <w:r w:rsidRPr="006A7AE7">
        <w:rPr>
          <w:spacing w:val="-1"/>
        </w:rPr>
        <w:t>requirement</w:t>
      </w:r>
      <w:r w:rsidRPr="006A7AE7">
        <w:rPr>
          <w:spacing w:val="3"/>
        </w:rPr>
        <w:t xml:space="preserve"> </w:t>
      </w:r>
      <w:r w:rsidRPr="006A7AE7">
        <w:rPr>
          <w:spacing w:val="-1"/>
        </w:rPr>
        <w:t>expressed</w:t>
      </w:r>
      <w:r w:rsidRPr="006A7AE7">
        <w:rPr>
          <w:spacing w:val="3"/>
        </w:rPr>
        <w:t xml:space="preserve"> </w:t>
      </w:r>
      <w:r w:rsidRPr="006A7AE7">
        <w:t>as</w:t>
      </w:r>
      <w:r w:rsidRPr="006A7AE7">
        <w:rPr>
          <w:spacing w:val="2"/>
        </w:rPr>
        <w:t xml:space="preserve"> </w:t>
      </w:r>
      <w:r w:rsidRPr="006A7AE7">
        <w:t>applying</w:t>
      </w:r>
      <w:r w:rsidRPr="006A7AE7">
        <w:rPr>
          <w:spacing w:val="2"/>
        </w:rPr>
        <w:t xml:space="preserve"> </w:t>
      </w:r>
      <w:r w:rsidRPr="006A7AE7">
        <w:t>to</w:t>
      </w:r>
      <w:r w:rsidRPr="006A7AE7">
        <w:rPr>
          <w:spacing w:val="53"/>
          <w:w w:val="99"/>
        </w:rPr>
        <w:t xml:space="preserve"> </w:t>
      </w:r>
      <w:r w:rsidRPr="006A7AE7">
        <w:t>a</w:t>
      </w:r>
      <w:r w:rsidRPr="006A7AE7">
        <w:rPr>
          <w:spacing w:val="-3"/>
        </w:rPr>
        <w:t xml:space="preserve"> </w:t>
      </w:r>
      <w:r w:rsidRPr="006A7AE7">
        <w:t>Head</w:t>
      </w:r>
      <w:r w:rsidRPr="006A7AE7">
        <w:rPr>
          <w:spacing w:val="-2"/>
        </w:rPr>
        <w:t xml:space="preserve"> </w:t>
      </w:r>
      <w:r w:rsidRPr="006A7AE7">
        <w:t>of</w:t>
      </w:r>
      <w:r w:rsidRPr="006A7AE7">
        <w:rPr>
          <w:spacing w:val="-5"/>
        </w:rPr>
        <w:t xml:space="preserve"> </w:t>
      </w:r>
      <w:r w:rsidRPr="006A7AE7">
        <w:t>a</w:t>
      </w:r>
      <w:r w:rsidRPr="006A7AE7">
        <w:rPr>
          <w:spacing w:val="-3"/>
        </w:rPr>
        <w:t xml:space="preserve"> </w:t>
      </w:r>
      <w:r w:rsidRPr="006A7AE7">
        <w:rPr>
          <w:spacing w:val="-1"/>
        </w:rPr>
        <w:t>group</w:t>
      </w:r>
      <w:r w:rsidRPr="006A7AE7">
        <w:rPr>
          <w:spacing w:val="-2"/>
        </w:rPr>
        <w:t xml:space="preserve"> </w:t>
      </w:r>
      <w:r w:rsidRPr="006A7AE7">
        <w:t>is</w:t>
      </w:r>
      <w:r w:rsidRPr="006A7AE7">
        <w:rPr>
          <w:spacing w:val="-4"/>
        </w:rPr>
        <w:t xml:space="preserve"> </w:t>
      </w:r>
      <w:r w:rsidRPr="006A7AE7">
        <w:t>to</w:t>
      </w:r>
      <w:r w:rsidRPr="006A7AE7">
        <w:rPr>
          <w:spacing w:val="-2"/>
        </w:rPr>
        <w:t xml:space="preserve"> </w:t>
      </w:r>
      <w:r w:rsidRPr="006A7AE7">
        <w:t>be</w:t>
      </w:r>
      <w:r w:rsidRPr="006A7AE7">
        <w:rPr>
          <w:spacing w:val="-3"/>
        </w:rPr>
        <w:t xml:space="preserve"> </w:t>
      </w:r>
      <w:r w:rsidRPr="006A7AE7">
        <w:t>read</w:t>
      </w:r>
      <w:r w:rsidRPr="006A7AE7">
        <w:rPr>
          <w:spacing w:val="-3"/>
        </w:rPr>
        <w:t xml:space="preserve"> </w:t>
      </w:r>
      <w:r w:rsidRPr="006A7AE7">
        <w:t>as</w:t>
      </w:r>
      <w:r w:rsidRPr="006A7AE7">
        <w:rPr>
          <w:spacing w:val="-4"/>
        </w:rPr>
        <w:t xml:space="preserve"> </w:t>
      </w:r>
      <w:r w:rsidRPr="006A7AE7">
        <w:t>applying</w:t>
      </w:r>
      <w:r w:rsidRPr="006A7AE7">
        <w:rPr>
          <w:spacing w:val="-4"/>
        </w:rPr>
        <w:t xml:space="preserve"> </w:t>
      </w:r>
      <w:r w:rsidRPr="006A7AE7">
        <w:t>to</w:t>
      </w:r>
      <w:r w:rsidRPr="006A7AE7">
        <w:rPr>
          <w:spacing w:val="-2"/>
        </w:rPr>
        <w:t xml:space="preserve"> </w:t>
      </w:r>
      <w:r w:rsidRPr="006A7AE7">
        <w:rPr>
          <w:spacing w:val="-1"/>
        </w:rPr>
        <w:t>the</w:t>
      </w:r>
      <w:r w:rsidRPr="006A7AE7">
        <w:rPr>
          <w:spacing w:val="1"/>
        </w:rPr>
        <w:t xml:space="preserve"> </w:t>
      </w:r>
      <w:r w:rsidRPr="006A7AE7">
        <w:rPr>
          <w:spacing w:val="-1"/>
        </w:rPr>
        <w:t>Level</w:t>
      </w:r>
      <w:r w:rsidRPr="006A7AE7">
        <w:rPr>
          <w:spacing w:val="-4"/>
        </w:rPr>
        <w:t xml:space="preserve"> </w:t>
      </w:r>
      <w:r w:rsidRPr="006A7AE7">
        <w:t>3</w:t>
      </w:r>
      <w:r w:rsidRPr="006A7AE7">
        <w:rPr>
          <w:spacing w:val="-1"/>
        </w:rPr>
        <w:t xml:space="preserve"> </w:t>
      </w:r>
      <w:r w:rsidRPr="006A7AE7">
        <w:t>Head.</w:t>
      </w:r>
    </w:p>
  </w:footnote>
  <w:footnote w:id="4">
    <w:p w14:paraId="47D3C7FC" w14:textId="77777777" w:rsidR="00AC0710" w:rsidRPr="006A7AE7" w:rsidRDefault="00AC0710" w:rsidP="00B239E0">
      <w:pPr>
        <w:pStyle w:val="FootnoteText"/>
      </w:pPr>
      <w:r w:rsidRPr="00A37462">
        <w:rPr>
          <w:rStyle w:val="FootnoteReference"/>
        </w:rPr>
        <w:footnoteRef/>
      </w:r>
      <w:r w:rsidRPr="00A37462">
        <w:t xml:space="preserve"> </w:t>
      </w:r>
      <w:r>
        <w:tab/>
      </w:r>
      <w:r w:rsidRPr="00A37462">
        <w:t>This paragraph does not override any requirements in SPS 510 applying to an RSE licensee.</w:t>
      </w:r>
    </w:p>
  </w:footnote>
  <w:footnote w:id="5">
    <w:p w14:paraId="22ABE65D" w14:textId="77777777" w:rsidR="00AC0710" w:rsidRPr="006A7AE7" w:rsidRDefault="00AC0710" w:rsidP="00B239E0">
      <w:pPr>
        <w:pStyle w:val="FootnoteText"/>
      </w:pPr>
      <w:r w:rsidRPr="006A7AE7">
        <w:rPr>
          <w:rStyle w:val="FootnoteReference"/>
        </w:rPr>
        <w:footnoteRef/>
      </w:r>
      <w:r w:rsidRPr="006A7AE7">
        <w:tab/>
        <w:t xml:space="preserve">‘Subsidiary’ means a subsidiary within the meaning of the </w:t>
      </w:r>
      <w:r w:rsidRPr="000D3767">
        <w:rPr>
          <w:i/>
        </w:rPr>
        <w:t>Corporations Act 2001</w:t>
      </w:r>
      <w:r>
        <w:t xml:space="preserve"> (Corporations Act)</w:t>
      </w:r>
      <w:r w:rsidRPr="006A7AE7">
        <w:t>.</w:t>
      </w:r>
    </w:p>
  </w:footnote>
  <w:footnote w:id="6">
    <w:p w14:paraId="37B15321" w14:textId="77777777" w:rsidR="00AC0710" w:rsidRPr="00D45FB9" w:rsidRDefault="00AC0710" w:rsidP="00B239E0">
      <w:pPr>
        <w:pStyle w:val="FootnoteText"/>
      </w:pPr>
      <w:r w:rsidRPr="00D45FB9">
        <w:rPr>
          <w:rStyle w:val="FootnoteReference"/>
        </w:rPr>
        <w:footnoteRef/>
      </w:r>
      <w:r w:rsidRPr="00D45FB9">
        <w:tab/>
        <w:t>An ‘overseas equivalent’ is an entity which is not authorised in Australia but is authorised and subject to prudential regulation in a foreign country.</w:t>
      </w:r>
    </w:p>
  </w:footnote>
  <w:footnote w:id="7">
    <w:p w14:paraId="28CEEE8F" w14:textId="77777777" w:rsidR="00AC0710" w:rsidRPr="00D45FB9" w:rsidRDefault="00AC0710" w:rsidP="00B239E0">
      <w:pPr>
        <w:pStyle w:val="FootnoteText"/>
      </w:pPr>
      <w:r w:rsidRPr="00D45FB9">
        <w:rPr>
          <w:rStyle w:val="FootnoteReference"/>
        </w:rPr>
        <w:footnoteRef/>
      </w:r>
      <w:r w:rsidRPr="00D45FB9">
        <w:tab/>
        <w:t>Note that, where the proportionate shareholding does not equate to a whole number, it may be rounded to the nearest whole number.</w:t>
      </w:r>
    </w:p>
  </w:footnote>
  <w:footnote w:id="8">
    <w:p w14:paraId="25A2A810" w14:textId="6B5F61DC" w:rsidR="00AC0710" w:rsidRPr="006A7AE7" w:rsidRDefault="00AC0710" w:rsidP="00B239E0">
      <w:pPr>
        <w:pStyle w:val="FootnoteText"/>
      </w:pPr>
      <w:r w:rsidRPr="006A7AE7">
        <w:rPr>
          <w:rStyle w:val="FootnoteReference"/>
        </w:rPr>
        <w:footnoteRef/>
      </w:r>
      <w:r>
        <w:tab/>
      </w:r>
      <w:r w:rsidRPr="00F06EA5">
        <w:t xml:space="preserve">This paragraph </w:t>
      </w:r>
      <w:r w:rsidRPr="002E7425">
        <w:t>does</w:t>
      </w:r>
      <w:r w:rsidRPr="00F06EA5">
        <w:t xml:space="preserve"> not override any </w:t>
      </w:r>
      <w:r>
        <w:t>B</w:t>
      </w:r>
      <w:r w:rsidRPr="006A7AE7">
        <w:t xml:space="preserve">oard composition and representation requirements </w:t>
      </w:r>
      <w:r w:rsidRPr="00F06EA5">
        <w:t xml:space="preserve">applying to an RSE licensee in SPS </w:t>
      </w:r>
      <w:r>
        <w:t>510</w:t>
      </w:r>
      <w:r w:rsidRPr="006A7AE7">
        <w:t>.</w:t>
      </w:r>
    </w:p>
  </w:footnote>
  <w:footnote w:id="9">
    <w:p w14:paraId="6C16258F" w14:textId="77777777" w:rsidR="00AC0710" w:rsidRPr="006562B8" w:rsidRDefault="00AC0710" w:rsidP="00B239E0">
      <w:pPr>
        <w:pStyle w:val="FootnoteText"/>
      </w:pPr>
      <w:r w:rsidRPr="006A7AE7">
        <w:rPr>
          <w:rStyle w:val="FootnoteReference"/>
        </w:rPr>
        <w:footnoteRef/>
      </w:r>
      <w:r w:rsidRPr="006A7AE7">
        <w:tab/>
        <w:t xml:space="preserve">For foreign ADIs, ‘senior manager’ has the same meaning as in CPS 520. For Category C insurers, ‘senior manager’ has the same meaning as in the Insurance Act read with </w:t>
      </w:r>
      <w:r w:rsidRPr="003B36AE">
        <w:t>CPS 520</w:t>
      </w:r>
      <w:r w:rsidRPr="006562B8">
        <w:t>. Note that the person who performs this role may be the same as the agent in Australia (where the agent is an individual) or a director or senior manager of the agent in Australia (where the agent is a corporate agent) as required under section 118 of the Insurance Act.</w:t>
      </w:r>
    </w:p>
  </w:footnote>
  <w:footnote w:id="10">
    <w:p w14:paraId="28ABBE2F" w14:textId="77777777" w:rsidR="00AC0710" w:rsidRPr="006562B8" w:rsidRDefault="00AC0710" w:rsidP="00B239E0">
      <w:pPr>
        <w:pStyle w:val="FootnoteText"/>
        <w:rPr>
          <w:lang w:val="en-US"/>
        </w:rPr>
      </w:pPr>
      <w:r w:rsidRPr="006A7AE7">
        <w:rPr>
          <w:rStyle w:val="FootnoteReference"/>
        </w:rPr>
        <w:footnoteRef/>
      </w:r>
      <w:r w:rsidRPr="006A7AE7">
        <w:rPr>
          <w:lang w:val="en-US"/>
        </w:rPr>
        <w:tab/>
        <w:t>Note that, by virtue of paragraph 118(6)(a</w:t>
      </w:r>
      <w:r w:rsidRPr="003B36AE">
        <w:rPr>
          <w:lang w:val="en-US"/>
        </w:rPr>
        <w:t xml:space="preserve">) of the </w:t>
      </w:r>
      <w:r w:rsidRPr="006562B8">
        <w:rPr>
          <w:lang w:val="en-US"/>
        </w:rPr>
        <w:t>Insurance Act, an individual agent in Australia must be resident in Australia.</w:t>
      </w:r>
    </w:p>
  </w:footnote>
  <w:footnote w:id="11">
    <w:p w14:paraId="5FABE5D1" w14:textId="77777777" w:rsidR="00AC0710" w:rsidRPr="006A7AE7" w:rsidRDefault="00AC0710" w:rsidP="00B239E0">
      <w:pPr>
        <w:pStyle w:val="FootnoteText"/>
      </w:pPr>
      <w:r w:rsidRPr="006A7AE7">
        <w:rPr>
          <w:rStyle w:val="FootnoteReference"/>
        </w:rPr>
        <w:footnoteRef/>
      </w:r>
      <w:r w:rsidRPr="006A7AE7">
        <w:tab/>
        <w:t>Compliance Committee has the same meaning as in subsection 16ZF(1) of the Life Insurance Act.</w:t>
      </w:r>
    </w:p>
  </w:footnote>
  <w:footnote w:id="12">
    <w:p w14:paraId="3AA85462" w14:textId="77777777" w:rsidR="00AC0710" w:rsidRPr="006562B8" w:rsidRDefault="00AC0710" w:rsidP="00B239E0">
      <w:pPr>
        <w:pStyle w:val="FootnoteText"/>
      </w:pPr>
      <w:r w:rsidRPr="006A7AE7">
        <w:rPr>
          <w:rStyle w:val="FootnoteReference"/>
        </w:rPr>
        <w:footnoteRef/>
      </w:r>
      <w:r w:rsidRPr="006A7AE7">
        <w:tab/>
      </w:r>
      <w:r w:rsidRPr="006A7AE7">
        <w:rPr>
          <w:i/>
        </w:rPr>
        <w:t>APES 110 Code of Ethics for Professional Accountants</w:t>
      </w:r>
      <w:r w:rsidRPr="006A7AE7">
        <w:t xml:space="preserve"> was issued by the Accounting Professional and Ethical Standards Board </w:t>
      </w:r>
      <w:r w:rsidRPr="003B36AE">
        <w:t>in December 2010</w:t>
      </w:r>
      <w:r w:rsidRPr="006562B8">
        <w:t>.</w:t>
      </w:r>
    </w:p>
  </w:footnote>
  <w:footnote w:id="13">
    <w:p w14:paraId="66BA08A5" w14:textId="77777777" w:rsidR="00AC0710" w:rsidRPr="006A7AE7" w:rsidRDefault="00AC0710" w:rsidP="00B239E0">
      <w:pPr>
        <w:pStyle w:val="FootnoteText"/>
      </w:pPr>
      <w:r w:rsidRPr="006A7AE7">
        <w:rPr>
          <w:rStyle w:val="FootnoteReference"/>
        </w:rPr>
        <w:footnoteRef/>
      </w:r>
      <w:r w:rsidRPr="006A7AE7">
        <w:tab/>
      </w:r>
      <w:r w:rsidRPr="006A7AE7">
        <w:rPr>
          <w:lang w:val="en-US"/>
        </w:rPr>
        <w:t>Refer to</w:t>
      </w:r>
      <w:r w:rsidRPr="003B36AE">
        <w:rPr>
          <w:lang w:val="en-US"/>
        </w:rPr>
        <w:t xml:space="preserve"> </w:t>
      </w:r>
      <w:r>
        <w:rPr>
          <w:i/>
          <w:lang w:val="en-US"/>
        </w:rPr>
        <w:t xml:space="preserve">Prudential Standard CPS 220 Risk Management </w:t>
      </w:r>
      <w:r>
        <w:rPr>
          <w:lang w:val="en-US"/>
        </w:rPr>
        <w:t>(</w:t>
      </w:r>
      <w:r w:rsidRPr="006562B8">
        <w:rPr>
          <w:lang w:val="en-US"/>
        </w:rPr>
        <w:t>CPS 220</w:t>
      </w:r>
      <w:r>
        <w:rPr>
          <w:lang w:val="en-US"/>
        </w:rPr>
        <w:t>)</w:t>
      </w:r>
      <w:r w:rsidRPr="006562B8">
        <w:rPr>
          <w:i/>
          <w:lang w:val="en-US"/>
        </w:rPr>
        <w:t xml:space="preserve"> </w:t>
      </w:r>
      <w:r w:rsidRPr="00DF2535">
        <w:rPr>
          <w:lang w:val="en-US"/>
        </w:rPr>
        <w:t xml:space="preserve">for the requirement for a review of an APRA-regulated institution’s risk management framework. Such a review carried out by a role or function within the </w:t>
      </w:r>
      <w:r w:rsidRPr="006A7AE7">
        <w:rPr>
          <w:lang w:val="en-US"/>
        </w:rPr>
        <w:t>institution, other than internal audit, does not relieve the internal audit function from carrying out a review of the risk management framework, though the internal audit function may rely on such other review in carrying out its own review.</w:t>
      </w:r>
    </w:p>
  </w:footnote>
  <w:footnote w:id="14">
    <w:p w14:paraId="09EA8201" w14:textId="0A1AE9F2" w:rsidR="00AC0710" w:rsidRPr="006A7AE7" w:rsidRDefault="00AC0710" w:rsidP="00B239E0">
      <w:pPr>
        <w:pStyle w:val="FootnoteText"/>
      </w:pPr>
      <w:r w:rsidRPr="006A7AE7">
        <w:rPr>
          <w:rStyle w:val="FootnoteReference"/>
        </w:rPr>
        <w:footnoteRef/>
      </w:r>
      <w:r w:rsidRPr="006A7AE7">
        <w:tab/>
        <w:t xml:space="preserve">Refer also to </w:t>
      </w:r>
      <w:r w:rsidRPr="006A7AE7">
        <w:rPr>
          <w:i/>
        </w:rPr>
        <w:t xml:space="preserve">Prudential Standard APS 310 Audit and </w:t>
      </w:r>
      <w:r w:rsidRPr="003B36AE">
        <w:rPr>
          <w:i/>
        </w:rPr>
        <w:t>Related Matters</w:t>
      </w:r>
      <w:r w:rsidRPr="006562B8">
        <w:t>, 3PS 310,</w:t>
      </w:r>
      <w:r w:rsidRPr="00DF2535">
        <w:t xml:space="preserve"> </w:t>
      </w:r>
      <w:r w:rsidRPr="00DF2535">
        <w:rPr>
          <w:i/>
        </w:rPr>
        <w:t xml:space="preserve">Prudential Standard GPS 310 Audit and </w:t>
      </w:r>
      <w:r w:rsidRPr="006A7AE7">
        <w:rPr>
          <w:i/>
        </w:rPr>
        <w:t>Related Matters</w:t>
      </w:r>
      <w:r w:rsidRPr="006A7AE7">
        <w:t xml:space="preserve"> (GPS 310)</w:t>
      </w:r>
      <w:r>
        <w:t>;</w:t>
      </w:r>
      <w:r w:rsidRPr="006A7AE7">
        <w:t xml:space="preserve"> LPS 310</w:t>
      </w:r>
      <w:r>
        <w:t xml:space="preserve"> and </w:t>
      </w:r>
      <w:r w:rsidRPr="00D94B20">
        <w:rPr>
          <w:i/>
        </w:rPr>
        <w:t>Prudential Standard HPS 310 Audit and Related Matters</w:t>
      </w:r>
      <w:r>
        <w:t xml:space="preserve"> (HPS 310)</w:t>
      </w:r>
      <w:r w:rsidRPr="006A7AE7">
        <w:t>.</w:t>
      </w:r>
    </w:p>
  </w:footnote>
  <w:footnote w:id="15">
    <w:p w14:paraId="048A0E99" w14:textId="77777777" w:rsidR="00AC0710" w:rsidRPr="00DF2535" w:rsidRDefault="00AC0710" w:rsidP="00B239E0">
      <w:pPr>
        <w:pStyle w:val="FootnoteText"/>
        <w:rPr>
          <w:i/>
        </w:rPr>
      </w:pPr>
      <w:r w:rsidRPr="006A7AE7">
        <w:rPr>
          <w:rStyle w:val="FootnoteReference"/>
        </w:rPr>
        <w:footnoteRef/>
      </w:r>
      <w:r w:rsidRPr="006A7AE7">
        <w:tab/>
        <w:t>‘Reporting Standards</w:t>
      </w:r>
      <w:r w:rsidRPr="003B36AE">
        <w:t>’</w:t>
      </w:r>
      <w:r w:rsidRPr="006562B8">
        <w:t xml:space="preserve"> are those standards made under </w:t>
      </w:r>
      <w:r>
        <w:t>FSCODA</w:t>
      </w:r>
      <w:r w:rsidRPr="00DF2535">
        <w:t>.</w:t>
      </w:r>
    </w:p>
  </w:footnote>
  <w:footnote w:id="16">
    <w:p w14:paraId="3F5EB9D5" w14:textId="3C6C8721" w:rsidR="00AC0710" w:rsidRPr="006A7AE7" w:rsidRDefault="00AC0710" w:rsidP="00B239E0">
      <w:pPr>
        <w:pStyle w:val="FootnoteText"/>
      </w:pPr>
      <w:r w:rsidRPr="006A7AE7">
        <w:rPr>
          <w:rStyle w:val="FootnoteReference"/>
        </w:rPr>
        <w:footnoteRef/>
      </w:r>
      <w:r w:rsidRPr="006A7AE7">
        <w:tab/>
        <w:t xml:space="preserve">Independent of the APRA-regulated </w:t>
      </w:r>
      <w:r w:rsidR="00BF75B2">
        <w:t>institu</w:t>
      </w:r>
      <w:r w:rsidR="00C4397E">
        <w:t>tion</w:t>
      </w:r>
      <w:r w:rsidRPr="006A7AE7">
        <w:t xml:space="preserve"> means that the auditor has been assessed as independent in terms of paragraph </w:t>
      </w:r>
      <w:r w:rsidR="003B6AF4">
        <w:fldChar w:fldCharType="begin"/>
      </w:r>
      <w:r w:rsidR="003B6AF4">
        <w:instrText xml:space="preserve"> REF _Ref369519725 \r \h </w:instrText>
      </w:r>
      <w:r w:rsidR="003B6AF4">
        <w:fldChar w:fldCharType="separate"/>
      </w:r>
      <w:r w:rsidR="003B6AF4">
        <w:t>58</w:t>
      </w:r>
      <w:r w:rsidR="003B6AF4">
        <w:fldChar w:fldCharType="end"/>
      </w:r>
      <w:r w:rsidRPr="006A7AE7">
        <w:t xml:space="preserve"> of this Prudential Standard.</w:t>
      </w:r>
    </w:p>
  </w:footnote>
  <w:footnote w:id="17">
    <w:p w14:paraId="300BE756" w14:textId="77777777" w:rsidR="00AC0710" w:rsidRPr="0096788E" w:rsidRDefault="00AC0710" w:rsidP="00B239E0">
      <w:pPr>
        <w:pStyle w:val="FootnoteText"/>
      </w:pPr>
      <w:r w:rsidRPr="0096788E">
        <w:rPr>
          <w:rStyle w:val="FootnoteReference"/>
        </w:rPr>
        <w:footnoteRef/>
      </w:r>
      <w:r w:rsidRPr="0096788E">
        <w:tab/>
        <w:t>This definition is based on that used in section 324CD of the Corporations Act to describe the circumstances under which a conflict of interest situation is considered to exist, and is intended to be interpreted in a similar manner. Without limiting the situations that may cause a conflict to arise for the purposes of this Prudential Standard, it is expected that any circumstances of the type that would lead to a breach of the Corporations Act requirements for audit independence, whether or not these provisions actually apply in relation to the audit of the APRA-regulated institution, will also result in a breach of the provisions of this Prudential Standard.</w:t>
      </w:r>
    </w:p>
  </w:footnote>
  <w:footnote w:id="18">
    <w:p w14:paraId="53B6A89B" w14:textId="77777777" w:rsidR="00AC0710" w:rsidRPr="006A7AE7" w:rsidRDefault="00AC0710" w:rsidP="00B239E0">
      <w:pPr>
        <w:pStyle w:val="FootnoteText"/>
      </w:pPr>
      <w:r w:rsidRPr="006A7AE7">
        <w:rPr>
          <w:rStyle w:val="FootnoteReference"/>
        </w:rPr>
        <w:footnoteRef/>
      </w:r>
      <w:r w:rsidRPr="006A7AE7">
        <w:tab/>
        <w:t xml:space="preserve">Lead auditor means the registered company auditor who is primarily responsible to the audit firm or the audit company for the conduct of audit work conducted in relation to the Prudential Acts, </w:t>
      </w:r>
      <w:r>
        <w:t>p</w:t>
      </w:r>
      <w:r w:rsidRPr="006A7AE7">
        <w:t xml:space="preserve">rudential </w:t>
      </w:r>
      <w:r>
        <w:t>s</w:t>
      </w:r>
      <w:r w:rsidRPr="006A7AE7">
        <w:t xml:space="preserve">tandards or </w:t>
      </w:r>
      <w:r>
        <w:t>r</w:t>
      </w:r>
      <w:r w:rsidRPr="006A7AE7">
        <w:t xml:space="preserve">eporting </w:t>
      </w:r>
      <w:r>
        <w:t>s</w:t>
      </w:r>
      <w:r w:rsidRPr="006A7AE7">
        <w:t>tandards.</w:t>
      </w:r>
    </w:p>
  </w:footnote>
  <w:footnote w:id="19">
    <w:p w14:paraId="216F1E66" w14:textId="77777777" w:rsidR="00AC0710" w:rsidRPr="006A7AE7" w:rsidRDefault="00AC0710" w:rsidP="00B239E0">
      <w:pPr>
        <w:pStyle w:val="FootnoteText"/>
      </w:pPr>
      <w:r w:rsidRPr="006A7AE7">
        <w:rPr>
          <w:rStyle w:val="FootnoteReference"/>
        </w:rPr>
        <w:footnoteRef/>
      </w:r>
      <w:r w:rsidRPr="006A7AE7">
        <w:tab/>
        <w:t xml:space="preserve">Review auditor means the registered company auditor (if any) who is primarily responsible to the individual auditor, audit firm or audit company for reviewing audit work conducted in relation to the Prudential Acts, </w:t>
      </w:r>
      <w:r>
        <w:t>p</w:t>
      </w:r>
      <w:r w:rsidRPr="006A7AE7">
        <w:t xml:space="preserve">rudential </w:t>
      </w:r>
      <w:r>
        <w:t>s</w:t>
      </w:r>
      <w:r w:rsidRPr="006A7AE7">
        <w:t xml:space="preserve">tandards or </w:t>
      </w:r>
      <w:r>
        <w:t>r</w:t>
      </w:r>
      <w:r w:rsidRPr="006A7AE7">
        <w:t xml:space="preserve">eporting </w:t>
      </w:r>
      <w:r>
        <w:t>s</w:t>
      </w:r>
      <w:r w:rsidRPr="006A7AE7">
        <w:t>tandards.</w:t>
      </w:r>
    </w:p>
  </w:footnote>
  <w:footnote w:id="20">
    <w:p w14:paraId="3EEDEB99" w14:textId="77777777" w:rsidR="00AC0710" w:rsidRPr="006A7AE7" w:rsidRDefault="00AC0710" w:rsidP="00B239E0">
      <w:pPr>
        <w:pStyle w:val="FootnoteText"/>
      </w:pPr>
      <w:r w:rsidRPr="006A7AE7">
        <w:rPr>
          <w:rStyle w:val="FootnoteReference"/>
        </w:rPr>
        <w:footnoteRef/>
      </w:r>
      <w:r w:rsidRPr="006A7AE7">
        <w:tab/>
        <w:t xml:space="preserve">For the purpose of this paragraph ‘an individual who plays a significant role’ means an individual auditor who acts as the auditor in respect of any of the requirements of the Prudential Acts, </w:t>
      </w:r>
      <w:r>
        <w:t>p</w:t>
      </w:r>
      <w:r w:rsidRPr="006A7AE7">
        <w:t xml:space="preserve">rudential </w:t>
      </w:r>
      <w:r>
        <w:t>s</w:t>
      </w:r>
      <w:r w:rsidRPr="006A7AE7">
        <w:t xml:space="preserve">tandards or </w:t>
      </w:r>
      <w:r>
        <w:t>r</w:t>
      </w:r>
      <w:r w:rsidRPr="006A7AE7">
        <w:t xml:space="preserve">eporting </w:t>
      </w:r>
      <w:r>
        <w:t>s</w:t>
      </w:r>
      <w:r w:rsidRPr="006A7AE7">
        <w:t>tandards, or the lead or review auditor where such audit work is performed by an audit company or audit firm.</w:t>
      </w:r>
    </w:p>
  </w:footnote>
  <w:footnote w:id="21">
    <w:p w14:paraId="48741D6E" w14:textId="3C12FBEE" w:rsidR="00AC0710" w:rsidRPr="006A7AE7" w:rsidRDefault="00AC0710" w:rsidP="00B239E0">
      <w:pPr>
        <w:pStyle w:val="FootnoteText"/>
      </w:pPr>
      <w:r w:rsidRPr="006A7AE7">
        <w:rPr>
          <w:rStyle w:val="FootnoteReference"/>
        </w:rPr>
        <w:footnoteRef/>
      </w:r>
      <w:r w:rsidRPr="006A7AE7">
        <w:tab/>
        <w:t>For the purposes of this Prudential Standard, related firms means either two or more firms, or a firm and a body corporate, that have common ownership or management, or where one has a substantial shareholding in the other. Refer to CPS 520 for a similar restriction on the Appointed Auditor and Appointed Actuary being from the same entity. Refer also to GPS 310</w:t>
      </w:r>
      <w:r>
        <w:t xml:space="preserve"> and</w:t>
      </w:r>
      <w:r w:rsidRPr="006A7AE7">
        <w:t xml:space="preserve"> </w:t>
      </w:r>
      <w:r w:rsidRPr="006A7AE7">
        <w:rPr>
          <w:i/>
        </w:rPr>
        <w:t xml:space="preserve">Prudential Standard </w:t>
      </w:r>
      <w:r>
        <w:rPr>
          <w:i/>
        </w:rPr>
        <w:t>C</w:t>
      </w:r>
      <w:r w:rsidRPr="006A7AE7">
        <w:rPr>
          <w:i/>
        </w:rPr>
        <w:t xml:space="preserve">PS 320 Actuarial and Related </w:t>
      </w:r>
      <w:r w:rsidRPr="00CC4EAF">
        <w:t>Matter</w:t>
      </w:r>
      <w:r>
        <w:t>s.</w:t>
      </w:r>
    </w:p>
  </w:footnote>
  <w:footnote w:id="22">
    <w:p w14:paraId="2999DE6D" w14:textId="77777777" w:rsidR="00AC0710" w:rsidRPr="0096788E" w:rsidRDefault="00AC0710" w:rsidP="00B239E0">
      <w:pPr>
        <w:pStyle w:val="FootnoteText"/>
      </w:pPr>
      <w:r w:rsidRPr="0096788E">
        <w:rPr>
          <w:rStyle w:val="FootnoteReference"/>
        </w:rPr>
        <w:footnoteRef/>
      </w:r>
      <w:r>
        <w:tab/>
      </w:r>
      <w:r w:rsidRPr="0096788E">
        <w:t>Refer to CPS 220.</w:t>
      </w:r>
    </w:p>
  </w:footnote>
  <w:footnote w:id="23">
    <w:p w14:paraId="0EF6D0CB" w14:textId="77777777" w:rsidR="00AC0710" w:rsidRPr="006A7AE7" w:rsidRDefault="00AC0710" w:rsidP="00B239E0">
      <w:pPr>
        <w:pStyle w:val="FootnoteText"/>
      </w:pPr>
      <w:r w:rsidRPr="006A7AE7">
        <w:rPr>
          <w:rStyle w:val="FootnoteReference"/>
        </w:rPr>
        <w:footnoteRef/>
      </w:r>
      <w:r w:rsidRPr="006A7AE7">
        <w:t xml:space="preserve"> </w:t>
      </w:r>
      <w:r w:rsidRPr="006A7AE7">
        <w:tab/>
        <w:t>Also refer to the provisions for the protection of whistleblowers in Part VIA</w:t>
      </w:r>
      <w:r w:rsidRPr="003B36AE">
        <w:t>, Division 1</w:t>
      </w:r>
      <w:r w:rsidRPr="006562B8">
        <w:t xml:space="preserve"> of the Banking Act, Part IIIA</w:t>
      </w:r>
      <w:r w:rsidRPr="006A7AE7">
        <w:t>, Division 4 of the Insurance Act, Part 7, Division 5 of the Life Insurance Act, and the whistleblowing</w:t>
      </w:r>
      <w:r w:rsidRPr="006A7AE7">
        <w:rPr>
          <w:i/>
        </w:rPr>
        <w:t xml:space="preserve"> </w:t>
      </w:r>
      <w:r w:rsidRPr="006A7AE7">
        <w:t>provisions in</w:t>
      </w:r>
      <w:r w:rsidRPr="006A7AE7">
        <w:rPr>
          <w:i/>
        </w:rPr>
        <w:t xml:space="preserve"> </w:t>
      </w:r>
      <w:r w:rsidRPr="006A7AE7">
        <w:t>CPS 520.</w:t>
      </w:r>
    </w:p>
  </w:footnote>
  <w:footnote w:id="24">
    <w:p w14:paraId="2DB4C361" w14:textId="32F54D5E" w:rsidR="00AC0710" w:rsidRPr="006A7AE7" w:rsidRDefault="00AC0710" w:rsidP="00B239E0">
      <w:pPr>
        <w:pStyle w:val="FootnoteText"/>
      </w:pPr>
      <w:r w:rsidRPr="006A7AE7">
        <w:rPr>
          <w:rStyle w:val="FootnoteReference"/>
        </w:rPr>
        <w:footnoteRef/>
      </w:r>
      <w:r w:rsidRPr="006A7AE7">
        <w:t xml:space="preserve"> </w:t>
      </w:r>
      <w:r w:rsidRPr="006A7AE7">
        <w:tab/>
        <w:t>Refer to subsection 11AF(2) of the Banking Act, subsection 32(3D) of the Insurance Act and subsection 230A(4) of the Life Insurance Act</w:t>
      </w:r>
      <w:r>
        <w:t xml:space="preserve"> and section 92 of the PHIPs Act</w:t>
      </w:r>
      <w:r w:rsidRPr="006A7AE7">
        <w:t>.</w:t>
      </w:r>
    </w:p>
  </w:footnote>
  <w:footnote w:id="25">
    <w:p w14:paraId="0AB82C98" w14:textId="77777777" w:rsidR="00AC0710" w:rsidRPr="006A7AE7" w:rsidRDefault="00AC0710" w:rsidP="00B239E0">
      <w:pPr>
        <w:pStyle w:val="FootnoteText"/>
      </w:pPr>
      <w:r w:rsidRPr="006A7AE7">
        <w:rPr>
          <w:rStyle w:val="FootnoteReference"/>
        </w:rPr>
        <w:footnoteRef/>
      </w:r>
      <w:r w:rsidRPr="003B36AE">
        <w:t xml:space="preserve"> </w:t>
      </w:r>
      <w:r w:rsidRPr="003B36AE">
        <w:tab/>
        <w:t xml:space="preserve">The circumstances outlined in this Attachment are adapted from the guidance on </w:t>
      </w:r>
      <w:r w:rsidRPr="006562B8">
        <w:t>‘</w:t>
      </w:r>
      <w:r w:rsidRPr="00DF2535">
        <w:t>Relationships affecting independ</w:t>
      </w:r>
      <w:r w:rsidRPr="006A7AE7">
        <w:t xml:space="preserve">ent status’ to be considered by a Board when determining the independent status of a director set out in Box 2.1 of the </w:t>
      </w:r>
      <w:smartTag w:uri="urn:schemas-microsoft-com:office:smarttags" w:element="stockticker">
        <w:r w:rsidRPr="006A7AE7">
          <w:t>ASX</w:t>
        </w:r>
      </w:smartTag>
      <w:r w:rsidRPr="006A7AE7">
        <w:t xml:space="preserve"> Corporate Governance Council’s</w:t>
      </w:r>
      <w:r w:rsidRPr="006A7AE7">
        <w:rPr>
          <w:i/>
        </w:rPr>
        <w:t xml:space="preserve"> Corporate Governance Principles and Recommendations</w:t>
      </w:r>
      <w:r w:rsidRPr="006A7AE7">
        <w:t xml:space="preserve"> (2</w:t>
      </w:r>
      <w:r w:rsidRPr="006A7AE7">
        <w:rPr>
          <w:vertAlign w:val="superscript"/>
        </w:rPr>
        <w:t>nd</w:t>
      </w:r>
      <w:r w:rsidRPr="006A7AE7">
        <w:t xml:space="preserve"> Edition 2007). </w:t>
      </w:r>
    </w:p>
  </w:footnote>
  <w:footnote w:id="26">
    <w:p w14:paraId="56937A37" w14:textId="77777777" w:rsidR="00AC0710" w:rsidRPr="00DF3F58" w:rsidRDefault="00AC0710" w:rsidP="00B239E0">
      <w:pPr>
        <w:pStyle w:val="FootnoteText"/>
      </w:pPr>
      <w:r w:rsidRPr="006A7AE7">
        <w:rPr>
          <w:rStyle w:val="FootnoteReference"/>
        </w:rPr>
        <w:footnoteRef/>
      </w:r>
      <w:r w:rsidRPr="006A7AE7">
        <w:t xml:space="preserve"> </w:t>
      </w:r>
      <w:r w:rsidRPr="006A7AE7">
        <w:tab/>
        <w:t>For the purpose of this A</w:t>
      </w:r>
      <w:r w:rsidRPr="003B36AE">
        <w:t>ttachment, a ‘substantial shareholder’ is a person with a substantial holding as defined in section 9 of the Corporations Act</w:t>
      </w:r>
      <w:r w:rsidRPr="006A7AE7">
        <w:rPr>
          <w: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2835"/>
      <w:gridCol w:w="5477"/>
    </w:tblGrid>
    <w:tr w:rsidR="00AC0710" w:rsidRPr="00B57611" w14:paraId="5436408F" w14:textId="77777777" w:rsidTr="00EE769C">
      <w:tc>
        <w:tcPr>
          <w:tcW w:w="2835" w:type="dxa"/>
          <w:tcBorders>
            <w:top w:val="nil"/>
            <w:left w:val="nil"/>
            <w:bottom w:val="nil"/>
            <w:right w:val="nil"/>
          </w:tcBorders>
        </w:tcPr>
        <w:p w14:paraId="35B576AA" w14:textId="77777777" w:rsidR="00AC0710" w:rsidRPr="00CF43A8" w:rsidRDefault="00AC0710" w:rsidP="00FF513E">
          <w:pPr>
            <w:pStyle w:val="Header"/>
          </w:pPr>
        </w:p>
      </w:tc>
      <w:tc>
        <w:tcPr>
          <w:tcW w:w="5477" w:type="dxa"/>
          <w:tcBorders>
            <w:top w:val="nil"/>
            <w:left w:val="nil"/>
            <w:bottom w:val="nil"/>
            <w:right w:val="nil"/>
          </w:tcBorders>
        </w:tcPr>
        <w:p w14:paraId="0D9625D6" w14:textId="77777777" w:rsidR="00AC0710" w:rsidRPr="00B04DBA" w:rsidRDefault="00AC0710" w:rsidP="00EE769C">
          <w:pPr>
            <w:pStyle w:val="Header"/>
            <w:rPr>
              <w:b w:val="0"/>
            </w:rPr>
          </w:pPr>
        </w:p>
      </w:tc>
    </w:tr>
  </w:tbl>
  <w:p w14:paraId="4057822B" w14:textId="77777777" w:rsidR="00AC0710" w:rsidRPr="00B04DBA" w:rsidRDefault="00AC0710">
    <w:pPr>
      <w:pStyle w:val="Header"/>
      <w:rPr>
        <w:b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2835"/>
      <w:gridCol w:w="5477"/>
    </w:tblGrid>
    <w:tr w:rsidR="00AC0710" w:rsidRPr="00B57611" w14:paraId="753197AB" w14:textId="77777777" w:rsidTr="00EE769C">
      <w:tc>
        <w:tcPr>
          <w:tcW w:w="2835" w:type="dxa"/>
          <w:tcBorders>
            <w:top w:val="nil"/>
            <w:left w:val="nil"/>
            <w:bottom w:val="nil"/>
            <w:right w:val="nil"/>
          </w:tcBorders>
        </w:tcPr>
        <w:p w14:paraId="09C23650" w14:textId="77777777" w:rsidR="00AC0710" w:rsidRPr="00CF43A8" w:rsidRDefault="00AC0710" w:rsidP="00FF513E">
          <w:pPr>
            <w:pStyle w:val="Header"/>
          </w:pPr>
        </w:p>
      </w:tc>
      <w:tc>
        <w:tcPr>
          <w:tcW w:w="5477" w:type="dxa"/>
          <w:tcBorders>
            <w:top w:val="nil"/>
            <w:left w:val="nil"/>
            <w:bottom w:val="nil"/>
            <w:right w:val="nil"/>
          </w:tcBorders>
        </w:tcPr>
        <w:p w14:paraId="7AAA5FFE" w14:textId="52A2742B" w:rsidR="00AC0710" w:rsidRPr="00B04DBA" w:rsidRDefault="00757016" w:rsidP="00EE769C">
          <w:pPr>
            <w:pStyle w:val="Header"/>
            <w:rPr>
              <w:b w:val="0"/>
            </w:rPr>
          </w:pPr>
          <w:r>
            <w:rPr>
              <w:b w:val="0"/>
            </w:rPr>
            <w:t>January 202</w:t>
          </w:r>
          <w:r w:rsidR="001A6E49">
            <w:rPr>
              <w:b w:val="0"/>
            </w:rPr>
            <w:t>4</w:t>
          </w:r>
        </w:p>
      </w:tc>
    </w:tr>
  </w:tbl>
  <w:p w14:paraId="0A9479D4" w14:textId="77777777" w:rsidR="00AC0710" w:rsidRPr="00B04DBA" w:rsidRDefault="00AC0710" w:rsidP="00BA6E6C">
    <w:pPr>
      <w:pStyle w:val="Header"/>
      <w:jc w:val="both"/>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F8AB8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68A8A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CEECB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78C97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D01D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1693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A084D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45B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3F6CA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9C7E94"/>
    <w:multiLevelType w:val="hybridMultilevel"/>
    <w:tmpl w:val="A0AC66C0"/>
    <w:lvl w:ilvl="0" w:tplc="AFA4AF10">
      <w:start w:val="1"/>
      <w:numFmt w:val="decimal"/>
      <w:pStyle w:val="Style5"/>
      <w:lvlText w:val="%1."/>
      <w:lvlJc w:val="left"/>
      <w:pPr>
        <w:ind w:left="567" w:hanging="567"/>
      </w:pPr>
      <w:rPr>
        <w:rFonts w:ascii="Times New Roman" w:eastAsia="Times New Roman" w:hAnsi="Times New Roman" w:hint="default"/>
        <w:sz w:val="24"/>
        <w:szCs w:val="24"/>
      </w:rPr>
    </w:lvl>
    <w:lvl w:ilvl="1" w:tplc="439E7902">
      <w:start w:val="1"/>
      <w:numFmt w:val="lowerLetter"/>
      <w:pStyle w:val="Style2"/>
      <w:lvlText w:val="(%2)"/>
      <w:lvlJc w:val="left"/>
      <w:pPr>
        <w:ind w:left="1136" w:hanging="567"/>
      </w:pPr>
      <w:rPr>
        <w:rFonts w:ascii="Times New Roman" w:eastAsia="Times New Roman" w:hAnsi="Times New Roman" w:hint="default"/>
        <w:sz w:val="24"/>
        <w:szCs w:val="24"/>
      </w:rPr>
    </w:lvl>
    <w:lvl w:ilvl="2" w:tplc="9F1C92D2">
      <w:start w:val="1"/>
      <w:numFmt w:val="bullet"/>
      <w:lvlText w:val="•"/>
      <w:lvlJc w:val="left"/>
      <w:pPr>
        <w:ind w:left="1136" w:hanging="567"/>
      </w:pPr>
      <w:rPr>
        <w:rFonts w:hint="default"/>
      </w:rPr>
    </w:lvl>
    <w:lvl w:ilvl="3" w:tplc="F0F0ED08">
      <w:start w:val="1"/>
      <w:numFmt w:val="bullet"/>
      <w:lvlText w:val="•"/>
      <w:lvlJc w:val="left"/>
      <w:pPr>
        <w:ind w:left="2052" w:hanging="567"/>
      </w:pPr>
      <w:rPr>
        <w:rFonts w:hint="default"/>
      </w:rPr>
    </w:lvl>
    <w:lvl w:ilvl="4" w:tplc="FEACD02A">
      <w:start w:val="1"/>
      <w:numFmt w:val="bullet"/>
      <w:lvlText w:val="•"/>
      <w:lvlJc w:val="left"/>
      <w:pPr>
        <w:ind w:left="2969" w:hanging="567"/>
      </w:pPr>
      <w:rPr>
        <w:rFonts w:hint="default"/>
      </w:rPr>
    </w:lvl>
    <w:lvl w:ilvl="5" w:tplc="82347B3E">
      <w:start w:val="1"/>
      <w:numFmt w:val="bullet"/>
      <w:lvlText w:val="•"/>
      <w:lvlJc w:val="left"/>
      <w:pPr>
        <w:ind w:left="3886" w:hanging="567"/>
      </w:pPr>
      <w:rPr>
        <w:rFonts w:hint="default"/>
      </w:rPr>
    </w:lvl>
    <w:lvl w:ilvl="6" w:tplc="60CE585C">
      <w:start w:val="1"/>
      <w:numFmt w:val="bullet"/>
      <w:lvlText w:val="•"/>
      <w:lvlJc w:val="left"/>
      <w:pPr>
        <w:ind w:left="4802" w:hanging="567"/>
      </w:pPr>
      <w:rPr>
        <w:rFonts w:hint="default"/>
      </w:rPr>
    </w:lvl>
    <w:lvl w:ilvl="7" w:tplc="2FF895D8">
      <w:start w:val="1"/>
      <w:numFmt w:val="bullet"/>
      <w:lvlText w:val="•"/>
      <w:lvlJc w:val="left"/>
      <w:pPr>
        <w:ind w:left="5719" w:hanging="567"/>
      </w:pPr>
      <w:rPr>
        <w:rFonts w:hint="default"/>
      </w:rPr>
    </w:lvl>
    <w:lvl w:ilvl="8" w:tplc="F06CFECA">
      <w:start w:val="1"/>
      <w:numFmt w:val="bullet"/>
      <w:lvlText w:val="•"/>
      <w:lvlJc w:val="left"/>
      <w:pPr>
        <w:ind w:left="6636" w:hanging="567"/>
      </w:pPr>
      <w:rPr>
        <w:rFonts w:hint="default"/>
      </w:rPr>
    </w:lvl>
  </w:abstractNum>
  <w:abstractNum w:abstractNumId="11" w15:restartNumberingAfterBreak="0">
    <w:nsid w:val="0FF31B20"/>
    <w:multiLevelType w:val="hybridMultilevel"/>
    <w:tmpl w:val="BC7EBFF4"/>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46512D5"/>
    <w:multiLevelType w:val="hybridMultilevel"/>
    <w:tmpl w:val="61545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6463545"/>
    <w:multiLevelType w:val="multilevel"/>
    <w:tmpl w:val="F1E0D670"/>
    <w:lvl w:ilvl="0">
      <w:start w:val="1"/>
      <w:numFmt w:val="decimal"/>
      <w:pStyle w:val="BodyText1"/>
      <w:lvlText w:val="%1."/>
      <w:lvlJc w:val="left"/>
      <w:pPr>
        <w:tabs>
          <w:tab w:val="num" w:pos="567"/>
        </w:tabs>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BodyText2"/>
      <w:lvlText w:val="(%2)"/>
      <w:lvlJc w:val="left"/>
      <w:pPr>
        <w:tabs>
          <w:tab w:val="num" w:pos="1560"/>
        </w:tabs>
        <w:ind w:left="1560" w:hanging="56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pStyle w:val="BodyText3"/>
      <w:lvlText w:val="(%3)"/>
      <w:lvlJc w:val="right"/>
      <w:pPr>
        <w:tabs>
          <w:tab w:val="num" w:pos="1701"/>
        </w:tabs>
        <w:ind w:left="1701"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3384EE9"/>
    <w:multiLevelType w:val="hybridMultilevel"/>
    <w:tmpl w:val="4230BD5E"/>
    <w:lvl w:ilvl="0" w:tplc="FA52CEA4">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27DC5503"/>
    <w:multiLevelType w:val="hybridMultilevel"/>
    <w:tmpl w:val="314696B4"/>
    <w:lvl w:ilvl="0" w:tplc="AEF0CB64">
      <w:start w:val="1"/>
      <w:numFmt w:val="low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8A67A19"/>
    <w:multiLevelType w:val="hybridMultilevel"/>
    <w:tmpl w:val="C4DCAE3A"/>
    <w:lvl w:ilvl="0" w:tplc="E4FC2854">
      <w:start w:val="1"/>
      <w:numFmt w:val="lowerLetter"/>
      <w:lvlText w:val="(%1)"/>
      <w:lvlJc w:val="left"/>
      <w:pPr>
        <w:tabs>
          <w:tab w:val="num" w:pos="1134"/>
        </w:tabs>
        <w:ind w:left="1134" w:hanging="567"/>
      </w:pPr>
      <w:rPr>
        <w:rFonts w:hint="default"/>
        <w:b w:val="0"/>
        <w:i w:val="0"/>
      </w:rPr>
    </w:lvl>
    <w:lvl w:ilvl="1" w:tplc="4CF85F20">
      <w:start w:val="1"/>
      <w:numFmt w:val="lowerRoman"/>
      <w:lvlText w:val="(%2)"/>
      <w:lvlJc w:val="left"/>
      <w:pPr>
        <w:tabs>
          <w:tab w:val="num" w:pos="1701"/>
        </w:tabs>
        <w:ind w:left="1701"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450F0215"/>
    <w:multiLevelType w:val="hybridMultilevel"/>
    <w:tmpl w:val="54908966"/>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18" w15:restartNumberingAfterBreak="0">
    <w:nsid w:val="456B6BDE"/>
    <w:multiLevelType w:val="hybridMultilevel"/>
    <w:tmpl w:val="110654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7136269"/>
    <w:multiLevelType w:val="hybridMultilevel"/>
    <w:tmpl w:val="34146656"/>
    <w:lvl w:ilvl="0" w:tplc="5800855A">
      <w:start w:val="1"/>
      <w:numFmt w:val="bullet"/>
      <w:lvlText w:val=""/>
      <w:lvlJc w:val="left"/>
      <w:pPr>
        <w:ind w:left="259" w:hanging="360"/>
      </w:pPr>
      <w:rPr>
        <w:rFonts w:ascii="Symbol" w:hAnsi="Symbol" w:hint="default"/>
        <w:sz w:val="24"/>
        <w:szCs w:val="24"/>
      </w:rPr>
    </w:lvl>
    <w:lvl w:ilvl="1" w:tplc="0C090003" w:tentative="1">
      <w:start w:val="1"/>
      <w:numFmt w:val="bullet"/>
      <w:lvlText w:val="o"/>
      <w:lvlJc w:val="left"/>
      <w:pPr>
        <w:ind w:left="979" w:hanging="360"/>
      </w:pPr>
      <w:rPr>
        <w:rFonts w:ascii="Courier New" w:hAnsi="Courier New" w:cs="Courier New" w:hint="default"/>
      </w:rPr>
    </w:lvl>
    <w:lvl w:ilvl="2" w:tplc="0C090005" w:tentative="1">
      <w:start w:val="1"/>
      <w:numFmt w:val="bullet"/>
      <w:lvlText w:val=""/>
      <w:lvlJc w:val="left"/>
      <w:pPr>
        <w:ind w:left="1699" w:hanging="360"/>
      </w:pPr>
      <w:rPr>
        <w:rFonts w:ascii="Wingdings" w:hAnsi="Wingdings" w:hint="default"/>
      </w:rPr>
    </w:lvl>
    <w:lvl w:ilvl="3" w:tplc="0C090001" w:tentative="1">
      <w:start w:val="1"/>
      <w:numFmt w:val="bullet"/>
      <w:lvlText w:val=""/>
      <w:lvlJc w:val="left"/>
      <w:pPr>
        <w:ind w:left="2419" w:hanging="360"/>
      </w:pPr>
      <w:rPr>
        <w:rFonts w:ascii="Symbol" w:hAnsi="Symbol" w:hint="default"/>
      </w:rPr>
    </w:lvl>
    <w:lvl w:ilvl="4" w:tplc="0C090003" w:tentative="1">
      <w:start w:val="1"/>
      <w:numFmt w:val="bullet"/>
      <w:lvlText w:val="o"/>
      <w:lvlJc w:val="left"/>
      <w:pPr>
        <w:ind w:left="3139" w:hanging="360"/>
      </w:pPr>
      <w:rPr>
        <w:rFonts w:ascii="Courier New" w:hAnsi="Courier New" w:cs="Courier New" w:hint="default"/>
      </w:rPr>
    </w:lvl>
    <w:lvl w:ilvl="5" w:tplc="0C090005" w:tentative="1">
      <w:start w:val="1"/>
      <w:numFmt w:val="bullet"/>
      <w:lvlText w:val=""/>
      <w:lvlJc w:val="left"/>
      <w:pPr>
        <w:ind w:left="3859" w:hanging="360"/>
      </w:pPr>
      <w:rPr>
        <w:rFonts w:ascii="Wingdings" w:hAnsi="Wingdings" w:hint="default"/>
      </w:rPr>
    </w:lvl>
    <w:lvl w:ilvl="6" w:tplc="0C090001" w:tentative="1">
      <w:start w:val="1"/>
      <w:numFmt w:val="bullet"/>
      <w:lvlText w:val=""/>
      <w:lvlJc w:val="left"/>
      <w:pPr>
        <w:ind w:left="4579" w:hanging="360"/>
      </w:pPr>
      <w:rPr>
        <w:rFonts w:ascii="Symbol" w:hAnsi="Symbol" w:hint="default"/>
      </w:rPr>
    </w:lvl>
    <w:lvl w:ilvl="7" w:tplc="0C090003" w:tentative="1">
      <w:start w:val="1"/>
      <w:numFmt w:val="bullet"/>
      <w:lvlText w:val="o"/>
      <w:lvlJc w:val="left"/>
      <w:pPr>
        <w:ind w:left="5299" w:hanging="360"/>
      </w:pPr>
      <w:rPr>
        <w:rFonts w:ascii="Courier New" w:hAnsi="Courier New" w:cs="Courier New" w:hint="default"/>
      </w:rPr>
    </w:lvl>
    <w:lvl w:ilvl="8" w:tplc="0C090005" w:tentative="1">
      <w:start w:val="1"/>
      <w:numFmt w:val="bullet"/>
      <w:lvlText w:val=""/>
      <w:lvlJc w:val="left"/>
      <w:pPr>
        <w:ind w:left="6019" w:hanging="360"/>
      </w:pPr>
      <w:rPr>
        <w:rFonts w:ascii="Wingdings" w:hAnsi="Wingdings" w:hint="default"/>
      </w:rPr>
    </w:lvl>
  </w:abstractNum>
  <w:abstractNum w:abstractNumId="20" w15:restartNumberingAfterBreak="0">
    <w:nsid w:val="48BE6DA4"/>
    <w:multiLevelType w:val="multilevel"/>
    <w:tmpl w:val="FAF04EA0"/>
    <w:lvl w:ilvl="0">
      <w:start w:val="1"/>
      <w:numFmt w:val="bullet"/>
      <w:pStyle w:val="Box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1" w15:restartNumberingAfterBreak="0">
    <w:nsid w:val="494F0D1E"/>
    <w:multiLevelType w:val="hybridMultilevel"/>
    <w:tmpl w:val="F740FA28"/>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2" w15:restartNumberingAfterBreak="0">
    <w:nsid w:val="4D5E5CA2"/>
    <w:multiLevelType w:val="hybridMultilevel"/>
    <w:tmpl w:val="F774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07A4D"/>
    <w:multiLevelType w:val="hybridMultilevel"/>
    <w:tmpl w:val="4CF6D6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7C85B24"/>
    <w:multiLevelType w:val="hybridMultilevel"/>
    <w:tmpl w:val="011E3A30"/>
    <w:lvl w:ilvl="0" w:tplc="4F026FA2">
      <w:start w:val="1"/>
      <w:numFmt w:val="lowerLetter"/>
      <w:lvlText w:val="(%1)"/>
      <w:lvlJc w:val="left"/>
      <w:pPr>
        <w:tabs>
          <w:tab w:val="num" w:pos="567"/>
        </w:tabs>
        <w:ind w:left="567" w:hanging="56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9E3227B"/>
    <w:multiLevelType w:val="hybridMultilevel"/>
    <w:tmpl w:val="8172552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B5B07DF"/>
    <w:multiLevelType w:val="hybridMultilevel"/>
    <w:tmpl w:val="3208DE5E"/>
    <w:lvl w:ilvl="0" w:tplc="FA52CEA4">
      <w:start w:val="1"/>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7" w15:restartNumberingAfterBreak="0">
    <w:nsid w:val="630A4117"/>
    <w:multiLevelType w:val="hybridMultilevel"/>
    <w:tmpl w:val="38C2D072"/>
    <w:lvl w:ilvl="0" w:tplc="BFE8A2D4">
      <w:start w:val="1"/>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DF34285"/>
    <w:multiLevelType w:val="hybridMultilevel"/>
    <w:tmpl w:val="BCDCB964"/>
    <w:lvl w:ilvl="0" w:tplc="A6327D4E">
      <w:start w:val="1"/>
      <w:numFmt w:val="bullet"/>
      <w:lvlText w:val=""/>
      <w:lvlJc w:val="left"/>
      <w:pPr>
        <w:tabs>
          <w:tab w:val="num" w:pos="567"/>
        </w:tabs>
        <w:ind w:left="567" w:hanging="567"/>
      </w:pPr>
      <w:rPr>
        <w:rFonts w:ascii="Symbol" w:hAnsi="Symbol" w:hint="default"/>
        <w:color w:val="auto"/>
      </w:rPr>
    </w:lvl>
    <w:lvl w:ilvl="1" w:tplc="0C090003">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9" w15:restartNumberingAfterBreak="0">
    <w:nsid w:val="710478C6"/>
    <w:multiLevelType w:val="hybridMultilevel"/>
    <w:tmpl w:val="39E8EFAC"/>
    <w:lvl w:ilvl="0" w:tplc="8A4CF756">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C74B4"/>
    <w:multiLevelType w:val="hybridMultilevel"/>
    <w:tmpl w:val="7736DC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42E68E1"/>
    <w:multiLevelType w:val="hybridMultilevel"/>
    <w:tmpl w:val="8A5A0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BD14B7B"/>
    <w:multiLevelType w:val="hybridMultilevel"/>
    <w:tmpl w:val="A9C811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E832A54"/>
    <w:multiLevelType w:val="hybridMultilevel"/>
    <w:tmpl w:val="1D3ABF7A"/>
    <w:lvl w:ilvl="0" w:tplc="6C7C485A">
      <w:start w:val="1"/>
      <w:numFmt w:val="lowerRoman"/>
      <w:lvlText w:val="(%1)"/>
      <w:lvlJc w:val="left"/>
      <w:pPr>
        <w:tabs>
          <w:tab w:val="num" w:pos="1701"/>
        </w:tabs>
        <w:ind w:left="1701" w:hanging="567"/>
      </w:pPr>
      <w:rPr>
        <w:rFonts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16cid:durableId="1056902411">
    <w:abstractNumId w:val="17"/>
  </w:num>
  <w:num w:numId="2" w16cid:durableId="1687706817">
    <w:abstractNumId w:val="21"/>
  </w:num>
  <w:num w:numId="3" w16cid:durableId="971907556">
    <w:abstractNumId w:val="11"/>
  </w:num>
  <w:num w:numId="4" w16cid:durableId="545022435">
    <w:abstractNumId w:val="16"/>
  </w:num>
  <w:num w:numId="5" w16cid:durableId="1987007497">
    <w:abstractNumId w:val="33"/>
  </w:num>
  <w:num w:numId="6" w16cid:durableId="528379190">
    <w:abstractNumId w:val="14"/>
  </w:num>
  <w:num w:numId="7" w16cid:durableId="154147302">
    <w:abstractNumId w:val="29"/>
  </w:num>
  <w:num w:numId="8" w16cid:durableId="661933005">
    <w:abstractNumId w:val="26"/>
  </w:num>
  <w:num w:numId="9" w16cid:durableId="1063064885">
    <w:abstractNumId w:val="28"/>
  </w:num>
  <w:num w:numId="10" w16cid:durableId="1056855888">
    <w:abstractNumId w:val="23"/>
  </w:num>
  <w:num w:numId="11" w16cid:durableId="614824556">
    <w:abstractNumId w:val="9"/>
  </w:num>
  <w:num w:numId="12" w16cid:durableId="730884880">
    <w:abstractNumId w:val="2"/>
  </w:num>
  <w:num w:numId="13" w16cid:durableId="1998683434">
    <w:abstractNumId w:val="8"/>
  </w:num>
  <w:num w:numId="14" w16cid:durableId="329451483">
    <w:abstractNumId w:val="3"/>
  </w:num>
  <w:num w:numId="15" w16cid:durableId="1199663322">
    <w:abstractNumId w:val="22"/>
  </w:num>
  <w:num w:numId="16" w16cid:durableId="378238881">
    <w:abstractNumId w:val="12"/>
  </w:num>
  <w:num w:numId="17" w16cid:durableId="1652900415">
    <w:abstractNumId w:val="20"/>
  </w:num>
  <w:num w:numId="18" w16cid:durableId="152184647">
    <w:abstractNumId w:val="19"/>
  </w:num>
  <w:num w:numId="19" w16cid:durableId="676156103">
    <w:abstractNumId w:val="13"/>
  </w:num>
  <w:num w:numId="20" w16cid:durableId="81110006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831379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6434337">
    <w:abstractNumId w:val="10"/>
  </w:num>
  <w:num w:numId="23" w16cid:durableId="18704903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21728266">
    <w:abstractNumId w:val="7"/>
  </w:num>
  <w:num w:numId="25" w16cid:durableId="317459126">
    <w:abstractNumId w:val="6"/>
  </w:num>
  <w:num w:numId="26" w16cid:durableId="1489010181">
    <w:abstractNumId w:val="5"/>
  </w:num>
  <w:num w:numId="27" w16cid:durableId="956254676">
    <w:abstractNumId w:val="4"/>
  </w:num>
  <w:num w:numId="28" w16cid:durableId="142279472">
    <w:abstractNumId w:val="1"/>
  </w:num>
  <w:num w:numId="29" w16cid:durableId="2103257625">
    <w:abstractNumId w:val="0"/>
  </w:num>
  <w:num w:numId="30" w16cid:durableId="1296906473">
    <w:abstractNumId w:val="10"/>
    <w:lvlOverride w:ilvl="0">
      <w:startOverride w:val="1"/>
    </w:lvlOverride>
  </w:num>
  <w:num w:numId="31" w16cid:durableId="10176574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870423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43802803">
    <w:abstractNumId w:val="13"/>
  </w:num>
  <w:num w:numId="34" w16cid:durableId="50547701">
    <w:abstractNumId w:val="13"/>
  </w:num>
  <w:num w:numId="35" w16cid:durableId="878736558">
    <w:abstractNumId w:val="13"/>
  </w:num>
  <w:num w:numId="36" w16cid:durableId="1348944299">
    <w:abstractNumId w:val="13"/>
  </w:num>
  <w:num w:numId="37" w16cid:durableId="41053126">
    <w:abstractNumId w:val="13"/>
  </w:num>
  <w:num w:numId="38" w16cid:durableId="629701475">
    <w:abstractNumId w:val="13"/>
  </w:num>
  <w:num w:numId="39" w16cid:durableId="1711491989">
    <w:abstractNumId w:val="13"/>
  </w:num>
  <w:num w:numId="40" w16cid:durableId="1773285557">
    <w:abstractNumId w:val="15"/>
  </w:num>
  <w:num w:numId="41" w16cid:durableId="426462211">
    <w:abstractNumId w:val="31"/>
  </w:num>
  <w:num w:numId="42" w16cid:durableId="507445956">
    <w:abstractNumId w:val="32"/>
  </w:num>
  <w:num w:numId="43" w16cid:durableId="1702050027">
    <w:abstractNumId w:val="25"/>
  </w:num>
  <w:num w:numId="44" w16cid:durableId="158236148">
    <w:abstractNumId w:val="27"/>
  </w:num>
  <w:num w:numId="45" w16cid:durableId="1909026497">
    <w:abstractNumId w:val="24"/>
  </w:num>
  <w:num w:numId="46" w16cid:durableId="97456384">
    <w:abstractNumId w:val="18"/>
  </w:num>
  <w:num w:numId="47" w16cid:durableId="1869902768">
    <w:abstractNumId w:val="30"/>
  </w:num>
  <w:num w:numId="48" w16cid:durableId="2020961248">
    <w:abstractNumId w:val="13"/>
    <w:lvlOverride w:ilvl="0">
      <w:startOverride w:val="113"/>
    </w:lvlOverride>
  </w:num>
  <w:num w:numId="49" w16cid:durableId="114419767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2765945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658269646">
    <w:abstractNumId w:val="13"/>
  </w:num>
  <w:num w:numId="52" w16cid:durableId="1309356406">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defaultTabStop w:val="567"/>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B5C"/>
    <w:rsid w:val="0000183A"/>
    <w:rsid w:val="00001D43"/>
    <w:rsid w:val="0000503E"/>
    <w:rsid w:val="0001086D"/>
    <w:rsid w:val="000161AF"/>
    <w:rsid w:val="00017376"/>
    <w:rsid w:val="000226DE"/>
    <w:rsid w:val="00031400"/>
    <w:rsid w:val="000316B6"/>
    <w:rsid w:val="00034078"/>
    <w:rsid w:val="00043201"/>
    <w:rsid w:val="000518B9"/>
    <w:rsid w:val="00056B42"/>
    <w:rsid w:val="00057117"/>
    <w:rsid w:val="00057457"/>
    <w:rsid w:val="00061A05"/>
    <w:rsid w:val="00061E51"/>
    <w:rsid w:val="0006337F"/>
    <w:rsid w:val="00080068"/>
    <w:rsid w:val="00080A1D"/>
    <w:rsid w:val="00084774"/>
    <w:rsid w:val="0008536B"/>
    <w:rsid w:val="00085735"/>
    <w:rsid w:val="00087D3E"/>
    <w:rsid w:val="0009090F"/>
    <w:rsid w:val="00092187"/>
    <w:rsid w:val="0009406F"/>
    <w:rsid w:val="000A0D59"/>
    <w:rsid w:val="000A3098"/>
    <w:rsid w:val="000A5086"/>
    <w:rsid w:val="000A5C36"/>
    <w:rsid w:val="000B1797"/>
    <w:rsid w:val="000B6FC5"/>
    <w:rsid w:val="000C16CB"/>
    <w:rsid w:val="000C52E7"/>
    <w:rsid w:val="000D28B2"/>
    <w:rsid w:val="000D3FCE"/>
    <w:rsid w:val="000D63A8"/>
    <w:rsid w:val="000D741A"/>
    <w:rsid w:val="000D7A9C"/>
    <w:rsid w:val="000E250C"/>
    <w:rsid w:val="000E36E0"/>
    <w:rsid w:val="000E7011"/>
    <w:rsid w:val="000F4341"/>
    <w:rsid w:val="000F6D99"/>
    <w:rsid w:val="00107034"/>
    <w:rsid w:val="00110917"/>
    <w:rsid w:val="00110A0F"/>
    <w:rsid w:val="0011333C"/>
    <w:rsid w:val="001154D8"/>
    <w:rsid w:val="00124477"/>
    <w:rsid w:val="00126601"/>
    <w:rsid w:val="00126D9A"/>
    <w:rsid w:val="001308C9"/>
    <w:rsid w:val="0013237B"/>
    <w:rsid w:val="001325F3"/>
    <w:rsid w:val="001328ED"/>
    <w:rsid w:val="00133EF8"/>
    <w:rsid w:val="00141538"/>
    <w:rsid w:val="00141CA6"/>
    <w:rsid w:val="0014620B"/>
    <w:rsid w:val="00152FF9"/>
    <w:rsid w:val="0016339E"/>
    <w:rsid w:val="00164E1B"/>
    <w:rsid w:val="001653BE"/>
    <w:rsid w:val="00170847"/>
    <w:rsid w:val="00173A04"/>
    <w:rsid w:val="00182FA1"/>
    <w:rsid w:val="0018481B"/>
    <w:rsid w:val="00195A57"/>
    <w:rsid w:val="001A179C"/>
    <w:rsid w:val="001A4FE3"/>
    <w:rsid w:val="001A6E49"/>
    <w:rsid w:val="001B1FCF"/>
    <w:rsid w:val="001B2628"/>
    <w:rsid w:val="001B3692"/>
    <w:rsid w:val="001B78F3"/>
    <w:rsid w:val="001C297B"/>
    <w:rsid w:val="001C68B3"/>
    <w:rsid w:val="001C6AA5"/>
    <w:rsid w:val="001D7BDD"/>
    <w:rsid w:val="001E0AC5"/>
    <w:rsid w:val="001E0B62"/>
    <w:rsid w:val="001E18B1"/>
    <w:rsid w:val="001E29E4"/>
    <w:rsid w:val="001E3E3F"/>
    <w:rsid w:val="001E5EF1"/>
    <w:rsid w:val="001E7EA9"/>
    <w:rsid w:val="001F4310"/>
    <w:rsid w:val="001F6B8D"/>
    <w:rsid w:val="001F7F09"/>
    <w:rsid w:val="00201B19"/>
    <w:rsid w:val="0020319D"/>
    <w:rsid w:val="002039D6"/>
    <w:rsid w:val="00206B3E"/>
    <w:rsid w:val="00210426"/>
    <w:rsid w:val="00216172"/>
    <w:rsid w:val="002179F8"/>
    <w:rsid w:val="00234DD6"/>
    <w:rsid w:val="002369C1"/>
    <w:rsid w:val="002403AC"/>
    <w:rsid w:val="002500F9"/>
    <w:rsid w:val="0025097B"/>
    <w:rsid w:val="00250F88"/>
    <w:rsid w:val="00250F9A"/>
    <w:rsid w:val="00252836"/>
    <w:rsid w:val="002541AF"/>
    <w:rsid w:val="0025727E"/>
    <w:rsid w:val="00270FBB"/>
    <w:rsid w:val="00280209"/>
    <w:rsid w:val="002865D8"/>
    <w:rsid w:val="0028712F"/>
    <w:rsid w:val="00291617"/>
    <w:rsid w:val="00291F20"/>
    <w:rsid w:val="0029455F"/>
    <w:rsid w:val="00294E14"/>
    <w:rsid w:val="002A07F8"/>
    <w:rsid w:val="002A3632"/>
    <w:rsid w:val="002B1A07"/>
    <w:rsid w:val="002D56CE"/>
    <w:rsid w:val="002E2CC5"/>
    <w:rsid w:val="002E3591"/>
    <w:rsid w:val="002E4689"/>
    <w:rsid w:val="002E4EFE"/>
    <w:rsid w:val="002E5171"/>
    <w:rsid w:val="002F23AB"/>
    <w:rsid w:val="002F3217"/>
    <w:rsid w:val="002F722E"/>
    <w:rsid w:val="00305E38"/>
    <w:rsid w:val="00306DB4"/>
    <w:rsid w:val="003111CA"/>
    <w:rsid w:val="00322357"/>
    <w:rsid w:val="00323C2D"/>
    <w:rsid w:val="0033095E"/>
    <w:rsid w:val="00340001"/>
    <w:rsid w:val="0035712A"/>
    <w:rsid w:val="003603AE"/>
    <w:rsid w:val="00360DEC"/>
    <w:rsid w:val="00361394"/>
    <w:rsid w:val="0036206A"/>
    <w:rsid w:val="00366DF3"/>
    <w:rsid w:val="0037343B"/>
    <w:rsid w:val="003752D0"/>
    <w:rsid w:val="0038413F"/>
    <w:rsid w:val="0038629D"/>
    <w:rsid w:val="00390313"/>
    <w:rsid w:val="00391AD7"/>
    <w:rsid w:val="003936EA"/>
    <w:rsid w:val="003A72C2"/>
    <w:rsid w:val="003B17F3"/>
    <w:rsid w:val="003B52EB"/>
    <w:rsid w:val="003B6AF4"/>
    <w:rsid w:val="003C0394"/>
    <w:rsid w:val="003C4145"/>
    <w:rsid w:val="003C46D7"/>
    <w:rsid w:val="003C4D49"/>
    <w:rsid w:val="003C7593"/>
    <w:rsid w:val="003D5032"/>
    <w:rsid w:val="003E6B42"/>
    <w:rsid w:val="003F3F29"/>
    <w:rsid w:val="003F6DEC"/>
    <w:rsid w:val="004066DD"/>
    <w:rsid w:val="004071CD"/>
    <w:rsid w:val="00411250"/>
    <w:rsid w:val="00412DE4"/>
    <w:rsid w:val="0041461D"/>
    <w:rsid w:val="00420BA1"/>
    <w:rsid w:val="0042150A"/>
    <w:rsid w:val="0042161B"/>
    <w:rsid w:val="00426220"/>
    <w:rsid w:val="00431933"/>
    <w:rsid w:val="004323FD"/>
    <w:rsid w:val="00437495"/>
    <w:rsid w:val="0044107A"/>
    <w:rsid w:val="00442D15"/>
    <w:rsid w:val="00453E3A"/>
    <w:rsid w:val="004560E3"/>
    <w:rsid w:val="004573B3"/>
    <w:rsid w:val="004604E7"/>
    <w:rsid w:val="0047482A"/>
    <w:rsid w:val="00476311"/>
    <w:rsid w:val="00476319"/>
    <w:rsid w:val="00477900"/>
    <w:rsid w:val="004806BB"/>
    <w:rsid w:val="0048511B"/>
    <w:rsid w:val="00486A6A"/>
    <w:rsid w:val="00493B86"/>
    <w:rsid w:val="004A224B"/>
    <w:rsid w:val="004A3963"/>
    <w:rsid w:val="004A593E"/>
    <w:rsid w:val="004A723B"/>
    <w:rsid w:val="004B1ABB"/>
    <w:rsid w:val="004B4D41"/>
    <w:rsid w:val="004C22BC"/>
    <w:rsid w:val="004C3D07"/>
    <w:rsid w:val="004D177B"/>
    <w:rsid w:val="004D2E6B"/>
    <w:rsid w:val="004D5C40"/>
    <w:rsid w:val="004E403B"/>
    <w:rsid w:val="004E6D71"/>
    <w:rsid w:val="004F2AC1"/>
    <w:rsid w:val="004F53AA"/>
    <w:rsid w:val="004F5D9B"/>
    <w:rsid w:val="004F7BB2"/>
    <w:rsid w:val="00503D69"/>
    <w:rsid w:val="00504B6D"/>
    <w:rsid w:val="005050E8"/>
    <w:rsid w:val="005058C0"/>
    <w:rsid w:val="00506079"/>
    <w:rsid w:val="0051242E"/>
    <w:rsid w:val="005136C3"/>
    <w:rsid w:val="00521673"/>
    <w:rsid w:val="00522B40"/>
    <w:rsid w:val="0052610C"/>
    <w:rsid w:val="005311B5"/>
    <w:rsid w:val="0053342F"/>
    <w:rsid w:val="00534FFE"/>
    <w:rsid w:val="00537A7F"/>
    <w:rsid w:val="00541F6D"/>
    <w:rsid w:val="00543C0A"/>
    <w:rsid w:val="00544072"/>
    <w:rsid w:val="005467A2"/>
    <w:rsid w:val="00547C3B"/>
    <w:rsid w:val="00547E0E"/>
    <w:rsid w:val="00551270"/>
    <w:rsid w:val="00551C22"/>
    <w:rsid w:val="00553278"/>
    <w:rsid w:val="00561C5D"/>
    <w:rsid w:val="0057180A"/>
    <w:rsid w:val="00576882"/>
    <w:rsid w:val="0058028C"/>
    <w:rsid w:val="005A0B95"/>
    <w:rsid w:val="005A10D0"/>
    <w:rsid w:val="005A75C6"/>
    <w:rsid w:val="005B019C"/>
    <w:rsid w:val="005B242B"/>
    <w:rsid w:val="005B41D0"/>
    <w:rsid w:val="005B6DC2"/>
    <w:rsid w:val="005C01E5"/>
    <w:rsid w:val="005C2AE4"/>
    <w:rsid w:val="005C387B"/>
    <w:rsid w:val="005C499C"/>
    <w:rsid w:val="005C5664"/>
    <w:rsid w:val="005D1918"/>
    <w:rsid w:val="005D1C6C"/>
    <w:rsid w:val="005D4C28"/>
    <w:rsid w:val="005E2653"/>
    <w:rsid w:val="005E5663"/>
    <w:rsid w:val="005E5910"/>
    <w:rsid w:val="005F0664"/>
    <w:rsid w:val="005F1E2C"/>
    <w:rsid w:val="005F6F74"/>
    <w:rsid w:val="00600040"/>
    <w:rsid w:val="006008C9"/>
    <w:rsid w:val="006100CF"/>
    <w:rsid w:val="00611A41"/>
    <w:rsid w:val="006125F1"/>
    <w:rsid w:val="00614A30"/>
    <w:rsid w:val="006221E0"/>
    <w:rsid w:val="00622480"/>
    <w:rsid w:val="006255BD"/>
    <w:rsid w:val="00626C31"/>
    <w:rsid w:val="006338A7"/>
    <w:rsid w:val="006341D4"/>
    <w:rsid w:val="00635EBB"/>
    <w:rsid w:val="0063635F"/>
    <w:rsid w:val="00636E06"/>
    <w:rsid w:val="00646619"/>
    <w:rsid w:val="00647D58"/>
    <w:rsid w:val="00647D7C"/>
    <w:rsid w:val="00650712"/>
    <w:rsid w:val="00650A1D"/>
    <w:rsid w:val="00655D23"/>
    <w:rsid w:val="00656D42"/>
    <w:rsid w:val="0066109A"/>
    <w:rsid w:val="00663460"/>
    <w:rsid w:val="0067326D"/>
    <w:rsid w:val="00684F73"/>
    <w:rsid w:val="006871B4"/>
    <w:rsid w:val="00695EB1"/>
    <w:rsid w:val="00696E43"/>
    <w:rsid w:val="006A1A7C"/>
    <w:rsid w:val="006A302A"/>
    <w:rsid w:val="006A4255"/>
    <w:rsid w:val="006A55FF"/>
    <w:rsid w:val="006A6A52"/>
    <w:rsid w:val="006B28B6"/>
    <w:rsid w:val="006B308E"/>
    <w:rsid w:val="006B4905"/>
    <w:rsid w:val="006B4C94"/>
    <w:rsid w:val="006B6A05"/>
    <w:rsid w:val="006B6CAF"/>
    <w:rsid w:val="006C06E6"/>
    <w:rsid w:val="006C67D9"/>
    <w:rsid w:val="006E3326"/>
    <w:rsid w:val="006E5DD8"/>
    <w:rsid w:val="006E7638"/>
    <w:rsid w:val="006F252B"/>
    <w:rsid w:val="006F43E0"/>
    <w:rsid w:val="006F5982"/>
    <w:rsid w:val="00701E25"/>
    <w:rsid w:val="007031F4"/>
    <w:rsid w:val="00710CB2"/>
    <w:rsid w:val="00713148"/>
    <w:rsid w:val="0071323E"/>
    <w:rsid w:val="007171DF"/>
    <w:rsid w:val="00725AA6"/>
    <w:rsid w:val="00732B1E"/>
    <w:rsid w:val="0074177A"/>
    <w:rsid w:val="00742B37"/>
    <w:rsid w:val="00745B81"/>
    <w:rsid w:val="00754332"/>
    <w:rsid w:val="00757016"/>
    <w:rsid w:val="00760919"/>
    <w:rsid w:val="0077118E"/>
    <w:rsid w:val="007747DC"/>
    <w:rsid w:val="00776D66"/>
    <w:rsid w:val="00777ACD"/>
    <w:rsid w:val="00781728"/>
    <w:rsid w:val="00784764"/>
    <w:rsid w:val="007853C6"/>
    <w:rsid w:val="00785F7B"/>
    <w:rsid w:val="007861AB"/>
    <w:rsid w:val="00786DF1"/>
    <w:rsid w:val="00787FA9"/>
    <w:rsid w:val="007932FE"/>
    <w:rsid w:val="00793B9A"/>
    <w:rsid w:val="007953FF"/>
    <w:rsid w:val="007A2B5C"/>
    <w:rsid w:val="007A33E6"/>
    <w:rsid w:val="007A3C51"/>
    <w:rsid w:val="007A53AC"/>
    <w:rsid w:val="007B7602"/>
    <w:rsid w:val="007C1DA2"/>
    <w:rsid w:val="007D0021"/>
    <w:rsid w:val="007D2D7F"/>
    <w:rsid w:val="007D7FB9"/>
    <w:rsid w:val="007E199C"/>
    <w:rsid w:val="007E24B0"/>
    <w:rsid w:val="007E7932"/>
    <w:rsid w:val="007F28DB"/>
    <w:rsid w:val="008002E5"/>
    <w:rsid w:val="008030B6"/>
    <w:rsid w:val="00812100"/>
    <w:rsid w:val="008124AC"/>
    <w:rsid w:val="008132FA"/>
    <w:rsid w:val="00820172"/>
    <w:rsid w:val="00825731"/>
    <w:rsid w:val="00836313"/>
    <w:rsid w:val="00836C57"/>
    <w:rsid w:val="008417D0"/>
    <w:rsid w:val="00842452"/>
    <w:rsid w:val="00842FBD"/>
    <w:rsid w:val="00843991"/>
    <w:rsid w:val="00845BA5"/>
    <w:rsid w:val="00851F4C"/>
    <w:rsid w:val="008544AD"/>
    <w:rsid w:val="008544BA"/>
    <w:rsid w:val="00857222"/>
    <w:rsid w:val="00860D01"/>
    <w:rsid w:val="0086194F"/>
    <w:rsid w:val="0086342A"/>
    <w:rsid w:val="00866EB3"/>
    <w:rsid w:val="00867092"/>
    <w:rsid w:val="00872064"/>
    <w:rsid w:val="008739B6"/>
    <w:rsid w:val="00873E94"/>
    <w:rsid w:val="00880CED"/>
    <w:rsid w:val="008817E9"/>
    <w:rsid w:val="00887222"/>
    <w:rsid w:val="0088787D"/>
    <w:rsid w:val="008915A3"/>
    <w:rsid w:val="008B5623"/>
    <w:rsid w:val="008C14AD"/>
    <w:rsid w:val="008C17BA"/>
    <w:rsid w:val="008C3D9F"/>
    <w:rsid w:val="008C4CAB"/>
    <w:rsid w:val="008C4CB5"/>
    <w:rsid w:val="008D01E7"/>
    <w:rsid w:val="008D76C5"/>
    <w:rsid w:val="008E4B96"/>
    <w:rsid w:val="008F027D"/>
    <w:rsid w:val="00902253"/>
    <w:rsid w:val="00905185"/>
    <w:rsid w:val="009101E1"/>
    <w:rsid w:val="00912B1B"/>
    <w:rsid w:val="009136B1"/>
    <w:rsid w:val="009146AB"/>
    <w:rsid w:val="0091717E"/>
    <w:rsid w:val="00931B09"/>
    <w:rsid w:val="00955637"/>
    <w:rsid w:val="00963547"/>
    <w:rsid w:val="00965A0F"/>
    <w:rsid w:val="00971180"/>
    <w:rsid w:val="00972C13"/>
    <w:rsid w:val="009734ED"/>
    <w:rsid w:val="009768C1"/>
    <w:rsid w:val="00984DAF"/>
    <w:rsid w:val="009871FB"/>
    <w:rsid w:val="009911AC"/>
    <w:rsid w:val="00992C08"/>
    <w:rsid w:val="00992E43"/>
    <w:rsid w:val="00993C87"/>
    <w:rsid w:val="00997216"/>
    <w:rsid w:val="00997610"/>
    <w:rsid w:val="0099779F"/>
    <w:rsid w:val="009A4207"/>
    <w:rsid w:val="009B0A33"/>
    <w:rsid w:val="009B28A5"/>
    <w:rsid w:val="009B6212"/>
    <w:rsid w:val="009C5368"/>
    <w:rsid w:val="009C64FF"/>
    <w:rsid w:val="009C77A0"/>
    <w:rsid w:val="009D3E20"/>
    <w:rsid w:val="009D467A"/>
    <w:rsid w:val="009E7CC7"/>
    <w:rsid w:val="009F21DC"/>
    <w:rsid w:val="009F7699"/>
    <w:rsid w:val="009F7E86"/>
    <w:rsid w:val="00A023C2"/>
    <w:rsid w:val="00A12996"/>
    <w:rsid w:val="00A13048"/>
    <w:rsid w:val="00A15E8F"/>
    <w:rsid w:val="00A24159"/>
    <w:rsid w:val="00A246C3"/>
    <w:rsid w:val="00A25154"/>
    <w:rsid w:val="00A26C0A"/>
    <w:rsid w:val="00A30A87"/>
    <w:rsid w:val="00A31072"/>
    <w:rsid w:val="00A4781F"/>
    <w:rsid w:val="00A50206"/>
    <w:rsid w:val="00A50372"/>
    <w:rsid w:val="00A518B4"/>
    <w:rsid w:val="00A53D10"/>
    <w:rsid w:val="00A54F73"/>
    <w:rsid w:val="00A63A2B"/>
    <w:rsid w:val="00A642AE"/>
    <w:rsid w:val="00A67CB3"/>
    <w:rsid w:val="00A87459"/>
    <w:rsid w:val="00A92439"/>
    <w:rsid w:val="00A97802"/>
    <w:rsid w:val="00AB01A0"/>
    <w:rsid w:val="00AB2F91"/>
    <w:rsid w:val="00AC0710"/>
    <w:rsid w:val="00AC2517"/>
    <w:rsid w:val="00AC3B8E"/>
    <w:rsid w:val="00AC5B0A"/>
    <w:rsid w:val="00AC730E"/>
    <w:rsid w:val="00AD4993"/>
    <w:rsid w:val="00AE0547"/>
    <w:rsid w:val="00AE1650"/>
    <w:rsid w:val="00AE6A00"/>
    <w:rsid w:val="00AF1C32"/>
    <w:rsid w:val="00AF4539"/>
    <w:rsid w:val="00AF71B0"/>
    <w:rsid w:val="00B00BB4"/>
    <w:rsid w:val="00B02046"/>
    <w:rsid w:val="00B0488D"/>
    <w:rsid w:val="00B04B20"/>
    <w:rsid w:val="00B07797"/>
    <w:rsid w:val="00B203A9"/>
    <w:rsid w:val="00B2194F"/>
    <w:rsid w:val="00B239E0"/>
    <w:rsid w:val="00B27E3A"/>
    <w:rsid w:val="00B304F2"/>
    <w:rsid w:val="00B4257C"/>
    <w:rsid w:val="00B45138"/>
    <w:rsid w:val="00B47071"/>
    <w:rsid w:val="00B47BD7"/>
    <w:rsid w:val="00B511E8"/>
    <w:rsid w:val="00B56EE6"/>
    <w:rsid w:val="00B6068B"/>
    <w:rsid w:val="00B72ADE"/>
    <w:rsid w:val="00B74CFD"/>
    <w:rsid w:val="00B74E47"/>
    <w:rsid w:val="00B766FA"/>
    <w:rsid w:val="00B872F5"/>
    <w:rsid w:val="00B933D3"/>
    <w:rsid w:val="00B948DF"/>
    <w:rsid w:val="00B95218"/>
    <w:rsid w:val="00B960BA"/>
    <w:rsid w:val="00B9640F"/>
    <w:rsid w:val="00BA0A9B"/>
    <w:rsid w:val="00BA4C45"/>
    <w:rsid w:val="00BA6E6C"/>
    <w:rsid w:val="00BC0AFE"/>
    <w:rsid w:val="00BC2D08"/>
    <w:rsid w:val="00BD06B2"/>
    <w:rsid w:val="00BD3C8D"/>
    <w:rsid w:val="00BD7AD9"/>
    <w:rsid w:val="00BE2A53"/>
    <w:rsid w:val="00BE59F9"/>
    <w:rsid w:val="00BE6E6F"/>
    <w:rsid w:val="00BF1637"/>
    <w:rsid w:val="00BF6591"/>
    <w:rsid w:val="00BF6592"/>
    <w:rsid w:val="00BF75B2"/>
    <w:rsid w:val="00BF7639"/>
    <w:rsid w:val="00C01195"/>
    <w:rsid w:val="00C0120F"/>
    <w:rsid w:val="00C02CA6"/>
    <w:rsid w:val="00C0378B"/>
    <w:rsid w:val="00C14367"/>
    <w:rsid w:val="00C213CF"/>
    <w:rsid w:val="00C21A2A"/>
    <w:rsid w:val="00C2233D"/>
    <w:rsid w:val="00C236D0"/>
    <w:rsid w:val="00C25CB4"/>
    <w:rsid w:val="00C302FA"/>
    <w:rsid w:val="00C30762"/>
    <w:rsid w:val="00C30CF4"/>
    <w:rsid w:val="00C33B62"/>
    <w:rsid w:val="00C37079"/>
    <w:rsid w:val="00C4397E"/>
    <w:rsid w:val="00C522C7"/>
    <w:rsid w:val="00C542DD"/>
    <w:rsid w:val="00C55C63"/>
    <w:rsid w:val="00C5686C"/>
    <w:rsid w:val="00C60D0B"/>
    <w:rsid w:val="00C618DD"/>
    <w:rsid w:val="00C61C56"/>
    <w:rsid w:val="00C635BD"/>
    <w:rsid w:val="00C644F4"/>
    <w:rsid w:val="00C670D7"/>
    <w:rsid w:val="00C67206"/>
    <w:rsid w:val="00C67295"/>
    <w:rsid w:val="00C6788C"/>
    <w:rsid w:val="00C67A76"/>
    <w:rsid w:val="00C74278"/>
    <w:rsid w:val="00C74819"/>
    <w:rsid w:val="00C81264"/>
    <w:rsid w:val="00C82E68"/>
    <w:rsid w:val="00C845D2"/>
    <w:rsid w:val="00C86748"/>
    <w:rsid w:val="00C873E1"/>
    <w:rsid w:val="00C913D5"/>
    <w:rsid w:val="00C92853"/>
    <w:rsid w:val="00C95011"/>
    <w:rsid w:val="00CA3014"/>
    <w:rsid w:val="00CA4B98"/>
    <w:rsid w:val="00CA6032"/>
    <w:rsid w:val="00CA6CB3"/>
    <w:rsid w:val="00CA7B7E"/>
    <w:rsid w:val="00CB6FE9"/>
    <w:rsid w:val="00CB7762"/>
    <w:rsid w:val="00CC3DBD"/>
    <w:rsid w:val="00CC4EAF"/>
    <w:rsid w:val="00CC65A6"/>
    <w:rsid w:val="00CD3051"/>
    <w:rsid w:val="00CD4277"/>
    <w:rsid w:val="00CE3A34"/>
    <w:rsid w:val="00CF3CD9"/>
    <w:rsid w:val="00CF4266"/>
    <w:rsid w:val="00CF49B6"/>
    <w:rsid w:val="00CF5760"/>
    <w:rsid w:val="00D01427"/>
    <w:rsid w:val="00D01772"/>
    <w:rsid w:val="00D124EA"/>
    <w:rsid w:val="00D140BF"/>
    <w:rsid w:val="00D14258"/>
    <w:rsid w:val="00D14309"/>
    <w:rsid w:val="00D20BD6"/>
    <w:rsid w:val="00D21C34"/>
    <w:rsid w:val="00D22147"/>
    <w:rsid w:val="00D3278A"/>
    <w:rsid w:val="00D368C4"/>
    <w:rsid w:val="00D415D3"/>
    <w:rsid w:val="00D469E2"/>
    <w:rsid w:val="00D47051"/>
    <w:rsid w:val="00D51541"/>
    <w:rsid w:val="00D6081E"/>
    <w:rsid w:val="00D60A2A"/>
    <w:rsid w:val="00D62EFA"/>
    <w:rsid w:val="00D63031"/>
    <w:rsid w:val="00D64906"/>
    <w:rsid w:val="00D72D81"/>
    <w:rsid w:val="00D80822"/>
    <w:rsid w:val="00D85429"/>
    <w:rsid w:val="00D857C7"/>
    <w:rsid w:val="00D90351"/>
    <w:rsid w:val="00D905EA"/>
    <w:rsid w:val="00D91186"/>
    <w:rsid w:val="00D911AE"/>
    <w:rsid w:val="00D924A2"/>
    <w:rsid w:val="00D96668"/>
    <w:rsid w:val="00DA0575"/>
    <w:rsid w:val="00DA2DEF"/>
    <w:rsid w:val="00DA3651"/>
    <w:rsid w:val="00DA5E0B"/>
    <w:rsid w:val="00DA7328"/>
    <w:rsid w:val="00DB0892"/>
    <w:rsid w:val="00DB14C7"/>
    <w:rsid w:val="00DC04BA"/>
    <w:rsid w:val="00DC33BD"/>
    <w:rsid w:val="00DC52E3"/>
    <w:rsid w:val="00DC5BCA"/>
    <w:rsid w:val="00DC7167"/>
    <w:rsid w:val="00DD1BB1"/>
    <w:rsid w:val="00DD1D02"/>
    <w:rsid w:val="00DD7F78"/>
    <w:rsid w:val="00DE3174"/>
    <w:rsid w:val="00DF2FBC"/>
    <w:rsid w:val="00DF3F58"/>
    <w:rsid w:val="00DF6563"/>
    <w:rsid w:val="00E02CB7"/>
    <w:rsid w:val="00E03E66"/>
    <w:rsid w:val="00E05BC3"/>
    <w:rsid w:val="00E06046"/>
    <w:rsid w:val="00E06079"/>
    <w:rsid w:val="00E07F40"/>
    <w:rsid w:val="00E15196"/>
    <w:rsid w:val="00E15497"/>
    <w:rsid w:val="00E16DD9"/>
    <w:rsid w:val="00E201A8"/>
    <w:rsid w:val="00E24771"/>
    <w:rsid w:val="00E27E9B"/>
    <w:rsid w:val="00E3280F"/>
    <w:rsid w:val="00E3411B"/>
    <w:rsid w:val="00E40498"/>
    <w:rsid w:val="00E423A1"/>
    <w:rsid w:val="00E43440"/>
    <w:rsid w:val="00E4388F"/>
    <w:rsid w:val="00E44B07"/>
    <w:rsid w:val="00E5040F"/>
    <w:rsid w:val="00E56AB7"/>
    <w:rsid w:val="00E71988"/>
    <w:rsid w:val="00E719E8"/>
    <w:rsid w:val="00E72671"/>
    <w:rsid w:val="00E80BBE"/>
    <w:rsid w:val="00E862F9"/>
    <w:rsid w:val="00E90C89"/>
    <w:rsid w:val="00E91AB6"/>
    <w:rsid w:val="00E96B6D"/>
    <w:rsid w:val="00EA6559"/>
    <w:rsid w:val="00EB2DA0"/>
    <w:rsid w:val="00EB7431"/>
    <w:rsid w:val="00EC5653"/>
    <w:rsid w:val="00ED2753"/>
    <w:rsid w:val="00ED38CC"/>
    <w:rsid w:val="00EE769C"/>
    <w:rsid w:val="00EF0CF5"/>
    <w:rsid w:val="00EF4BC7"/>
    <w:rsid w:val="00F0011F"/>
    <w:rsid w:val="00F050A9"/>
    <w:rsid w:val="00F14376"/>
    <w:rsid w:val="00F167E4"/>
    <w:rsid w:val="00F16D46"/>
    <w:rsid w:val="00F2293C"/>
    <w:rsid w:val="00F34B6B"/>
    <w:rsid w:val="00F35821"/>
    <w:rsid w:val="00F50C12"/>
    <w:rsid w:val="00F5522B"/>
    <w:rsid w:val="00F6148D"/>
    <w:rsid w:val="00F626F8"/>
    <w:rsid w:val="00F6431E"/>
    <w:rsid w:val="00F65E94"/>
    <w:rsid w:val="00F664AC"/>
    <w:rsid w:val="00F72A6A"/>
    <w:rsid w:val="00F7638F"/>
    <w:rsid w:val="00F76E66"/>
    <w:rsid w:val="00F7706D"/>
    <w:rsid w:val="00F81DDA"/>
    <w:rsid w:val="00F86281"/>
    <w:rsid w:val="00F875A2"/>
    <w:rsid w:val="00F9040F"/>
    <w:rsid w:val="00FA098D"/>
    <w:rsid w:val="00FA5345"/>
    <w:rsid w:val="00FA7BA5"/>
    <w:rsid w:val="00FC2681"/>
    <w:rsid w:val="00FC3877"/>
    <w:rsid w:val="00FC44C3"/>
    <w:rsid w:val="00FD3F15"/>
    <w:rsid w:val="00FD63BB"/>
    <w:rsid w:val="00FE132D"/>
    <w:rsid w:val="00FE69EF"/>
    <w:rsid w:val="00FF513E"/>
    <w:rsid w:val="14D72EFE"/>
    <w:rsid w:val="2A932A35"/>
    <w:rsid w:val="2FF37680"/>
    <w:rsid w:val="715A13D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7029FD6C"/>
  <w15:docId w15:val="{D0B1DA03-B06C-44AB-8D6D-FBC5859DE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3" w:unhideWhenUsed="1" w:qFormat="1"/>
    <w:lsdException w:name="heading 5" w:semiHidden="1" w:uiPriority="4" w:unhideWhenUsed="1" w:qFormat="1"/>
    <w:lsdException w:name="heading 6" w:semiHidden="1" w:uiPriority="5" w:unhideWhenUsed="1" w:qFormat="1"/>
    <w:lsdException w:name="heading 7" w:semiHidden="1" w:uiPriority="6" w:qFormat="1"/>
    <w:lsdException w:name="heading 8" w:semiHidden="1" w:uiPriority="7" w:qFormat="1"/>
    <w:lsdException w:name="heading 9" w:semiHidden="1" w:uiPriority="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qFormat="1"/>
    <w:lsdException w:name="annotation text" w:semiHidden="1" w:uiPriority="49" w:unhideWhenUsed="1"/>
    <w:lsdException w:name="header" w:semiHidden="1" w:uiPriority="40"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iPriority="49" w:unhideWhenUsed="1"/>
    <w:lsdException w:name="envelope return" w:semiHidden="1" w:uiPriority="4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8"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8" w:unhideWhenUsed="1"/>
    <w:lsdException w:name="List Bullet 3" w:semiHidden="1" w:uiPriority="38"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49" w:unhideWhenUsed="1"/>
    <w:lsdException w:name="Signature" w:semiHidden="1" w:unhideWhenUsed="1"/>
    <w:lsdException w:name="Default Paragraph Font" w:semiHidden="1" w:uiPriority="1" w:unhideWhenUsed="1"/>
    <w:lsdException w:name="Body Text" w:semiHidden="1" w:uiPriority="49" w:unhideWhenUsed="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iPriority="0" w:unhideWhenUsed="1" w:qFormat="1"/>
    <w:lsdException w:name="Body Text 3" w:uiPriority="0" w:qFormat="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49" w:unhideWhenUsed="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iPriority="4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072"/>
    <w:pPr>
      <w:jc w:val="both"/>
    </w:pPr>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Normal"/>
    <w:next w:val="BodyText1"/>
    <w:link w:val="Heading2Char"/>
    <w:qFormat/>
    <w:rsid w:val="00C86748"/>
    <w:pPr>
      <w:keepNext/>
      <w:autoSpaceDE w:val="0"/>
      <w:autoSpaceDN w:val="0"/>
      <w:adjustRightInd w:val="0"/>
      <w:spacing w:before="120" w:after="360"/>
      <w:outlineLvl w:val="1"/>
    </w:pPr>
    <w:rPr>
      <w:rFonts w:asciiTheme="majorHAnsi" w:eastAsia="Times New Roman" w:hAnsiTheme="majorHAnsi" w:cs="Arial"/>
      <w:b/>
      <w:bCs/>
      <w:sz w:val="32"/>
    </w:rPr>
  </w:style>
  <w:style w:type="paragraph" w:styleId="Heading3">
    <w:name w:val="heading 3"/>
    <w:basedOn w:val="Normal"/>
    <w:next w:val="BodyText1"/>
    <w:link w:val="Heading3Char"/>
    <w:qFormat/>
    <w:rsid w:val="006C06E6"/>
    <w:pPr>
      <w:keepNext/>
      <w:outlineLvl w:val="2"/>
    </w:pPr>
    <w:rPr>
      <w:rFonts w:eastAsia="Times New Roman" w:cs="Arial"/>
      <w:bCs/>
      <w:i/>
      <w:sz w:val="26"/>
    </w:rPr>
  </w:style>
  <w:style w:type="paragraph" w:styleId="Heading4">
    <w:name w:val="heading 4"/>
    <w:basedOn w:val="Normal"/>
    <w:next w:val="BodyText1"/>
    <w:link w:val="Heading4Char"/>
    <w:uiPriority w:val="3"/>
    <w:qFormat/>
    <w:rsid w:val="006C06E6"/>
    <w:pPr>
      <w:keepNext/>
      <w:outlineLvl w:val="3"/>
    </w:pPr>
    <w:rPr>
      <w:rFonts w:ascii="Arial" w:hAnsi="Arial"/>
      <w:b/>
    </w:rPr>
  </w:style>
  <w:style w:type="paragraph" w:styleId="Heading5">
    <w:name w:val="heading 5"/>
    <w:basedOn w:val="Normal"/>
    <w:next w:val="Normal"/>
    <w:link w:val="Heading5Char"/>
    <w:uiPriority w:val="4"/>
    <w:semiHidden/>
    <w:qFormat/>
    <w:rsid w:val="00DC52E3"/>
    <w:pPr>
      <w:outlineLvl w:val="4"/>
    </w:pPr>
    <w:rPr>
      <w:rFonts w:ascii="Trebuchet MS" w:hAnsi="Trebuchet MS"/>
      <w:b/>
      <w:sz w:val="32"/>
    </w:rPr>
  </w:style>
  <w:style w:type="paragraph" w:styleId="Heading6">
    <w:name w:val="heading 6"/>
    <w:basedOn w:val="Normal"/>
    <w:next w:val="Normal"/>
    <w:link w:val="Heading6Char"/>
    <w:uiPriority w:val="5"/>
    <w:semiHidden/>
    <w:qFormat/>
    <w:rsid w:val="00DC52E3"/>
    <w:pPr>
      <w:keepNext/>
      <w:keepLines/>
      <w:spacing w:before="200"/>
      <w:outlineLvl w:val="5"/>
    </w:pPr>
    <w:rPr>
      <w:rFonts w:ascii="Trebuchet MS" w:eastAsia="Times New Roman" w:hAnsi="Trebuchet MS"/>
      <w:iCs/>
      <w:color w:val="0C2577"/>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C86748"/>
    <w:rPr>
      <w:rFonts w:asciiTheme="majorHAnsi" w:eastAsia="Times New Roman" w:hAnsiTheme="majorHAnsi" w:cs="Arial"/>
      <w:b/>
      <w:bCs/>
      <w:sz w:val="3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4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49"/>
    <w:semiHidden/>
    <w:rsid w:val="001F6B8D"/>
    <w:rPr>
      <w:rFonts w:ascii="Tahoma" w:hAnsi="Tahoma" w:cs="Tahoma"/>
      <w:sz w:val="16"/>
      <w:szCs w:val="16"/>
    </w:rPr>
  </w:style>
  <w:style w:type="character" w:customStyle="1" w:styleId="Heading3Char">
    <w:name w:val="Heading 3 Char"/>
    <w:basedOn w:val="DefaultParagraphFont"/>
    <w:link w:val="Heading3"/>
    <w:rsid w:val="006C06E6"/>
    <w:rPr>
      <w:rFonts w:eastAsia="Times New Roman" w:cs="Arial"/>
      <w:bCs/>
      <w:i/>
      <w:sz w:val="26"/>
    </w:rPr>
  </w:style>
  <w:style w:type="character" w:customStyle="1" w:styleId="Heading4Char">
    <w:name w:val="Heading 4 Char"/>
    <w:basedOn w:val="DefaultParagraphFont"/>
    <w:link w:val="Heading4"/>
    <w:uiPriority w:val="3"/>
    <w:rsid w:val="0029455F"/>
    <w:rPr>
      <w:rFonts w:ascii="Arial" w:hAnsi="Arial"/>
      <w:b/>
    </w:rPr>
  </w:style>
  <w:style w:type="character" w:customStyle="1" w:styleId="Heading5Char">
    <w:name w:val="Heading 5 Char"/>
    <w:basedOn w:val="DefaultParagraphFont"/>
    <w:link w:val="Heading5"/>
    <w:uiPriority w:val="4"/>
    <w:semiHidden/>
    <w:rsid w:val="00842FBD"/>
    <w:rPr>
      <w:rFonts w:ascii="Trebuchet MS" w:hAnsi="Trebuchet MS"/>
      <w:b/>
      <w:sz w:val="32"/>
    </w:rPr>
  </w:style>
  <w:style w:type="character" w:customStyle="1" w:styleId="Heading6Char">
    <w:name w:val="Heading 6 Char"/>
    <w:basedOn w:val="DefaultParagraphFont"/>
    <w:link w:val="Heading6"/>
    <w:uiPriority w:val="5"/>
    <w:semiHidden/>
    <w:rsid w:val="00787FA9"/>
    <w:rPr>
      <w:rFonts w:ascii="Trebuchet MS" w:eastAsia="Times New Roman" w:hAnsi="Trebuchet MS"/>
      <w:iCs/>
      <w:color w:val="0C2577"/>
      <w:sz w:val="90"/>
    </w:rPr>
  </w:style>
  <w:style w:type="paragraph" w:styleId="EnvelopeAddress">
    <w:name w:val="envelope address"/>
    <w:basedOn w:val="Normal"/>
    <w:uiPriority w:val="4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4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qFormat/>
    <w:rsid w:val="006008C9"/>
    <w:pPr>
      <w:numPr>
        <w:ilvl w:val="1"/>
        <w:numId w:val="19"/>
      </w:numPr>
    </w:pPr>
  </w:style>
  <w:style w:type="character" w:customStyle="1" w:styleId="BodyText2Char">
    <w:name w:val="Body Text 2 Char"/>
    <w:basedOn w:val="DefaultParagraphFont"/>
    <w:link w:val="BodyText2"/>
    <w:rsid w:val="006008C9"/>
  </w:style>
  <w:style w:type="paragraph" w:styleId="ListBullet">
    <w:name w:val="List Bullet"/>
    <w:basedOn w:val="Normal"/>
    <w:uiPriority w:val="38"/>
    <w:semiHidden/>
    <w:unhideWhenUsed/>
    <w:rsid w:val="005050E8"/>
    <w:pPr>
      <w:numPr>
        <w:numId w:val="11"/>
      </w:numPr>
      <w:ind w:left="357" w:hanging="357"/>
      <w:contextualSpacing/>
    </w:pPr>
  </w:style>
  <w:style w:type="paragraph" w:styleId="Header">
    <w:name w:val="header"/>
    <w:basedOn w:val="Normal"/>
    <w:next w:val="Normal"/>
    <w:link w:val="HeaderChar"/>
    <w:uiPriority w:val="40"/>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uiPriority w:val="40"/>
    <w:rsid w:val="0000183A"/>
    <w:rPr>
      <w:b/>
    </w:rPr>
  </w:style>
  <w:style w:type="paragraph" w:styleId="Footer">
    <w:name w:val="footer"/>
    <w:basedOn w:val="Normal"/>
    <w:link w:val="FooterChar"/>
    <w:uiPriority w:val="99"/>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99"/>
    <w:rsid w:val="0000183A"/>
    <w:rPr>
      <w:b/>
    </w:rPr>
  </w:style>
  <w:style w:type="paragraph" w:styleId="FootnoteText">
    <w:name w:val="footnote text"/>
    <w:basedOn w:val="Normal"/>
    <w:link w:val="FootnoteTextChar"/>
    <w:qFormat/>
    <w:rsid w:val="00C67A76"/>
    <w:pPr>
      <w:spacing w:after="0"/>
      <w:ind w:left="567" w:hanging="567"/>
    </w:pPr>
    <w:rPr>
      <w:sz w:val="20"/>
    </w:rPr>
  </w:style>
  <w:style w:type="character" w:customStyle="1" w:styleId="FootnoteTextChar">
    <w:name w:val="Footnote Text Char"/>
    <w:basedOn w:val="DefaultParagraphFont"/>
    <w:link w:val="FootnoteText"/>
    <w:rsid w:val="0029455F"/>
    <w:rPr>
      <w:sz w:val="20"/>
    </w:rPr>
  </w:style>
  <w:style w:type="character" w:styleId="FootnoteReference">
    <w:name w:val="footnote reference"/>
    <w:basedOn w:val="DefaultParagraphFont"/>
    <w:uiPriority w:val="99"/>
    <w:rsid w:val="00725AA6"/>
    <w:rPr>
      <w:vertAlign w:val="superscript"/>
    </w:rPr>
  </w:style>
  <w:style w:type="table" w:styleId="TableGrid">
    <w:name w:val="Table Grid"/>
    <w:basedOn w:val="TableNormal"/>
    <w:uiPriority w:val="59"/>
    <w:rsid w:val="004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B47BD7"/>
    <w:pPr>
      <w:tabs>
        <w:tab w:val="right" w:leader="dot" w:pos="8302"/>
      </w:tabs>
      <w:spacing w:after="120"/>
      <w:ind w:right="567"/>
    </w:pPr>
    <w:rPr>
      <w:rFonts w:ascii="Arial" w:hAnsi="Arial"/>
      <w:noProof/>
    </w:rPr>
  </w:style>
  <w:style w:type="paragraph" w:styleId="TOC3">
    <w:name w:val="toc 3"/>
    <w:basedOn w:val="Normal"/>
    <w:next w:val="Normal"/>
    <w:autoRedefine/>
    <w:uiPriority w:val="39"/>
    <w:unhideWhenUsed/>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39"/>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656D42"/>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pPr>
      <w:numPr>
        <w:numId w:val="17"/>
      </w:numPr>
    </w:pPr>
    <w:rPr>
      <w:rFonts w:eastAsia="Times New Roman"/>
      <w:szCs w:val="26"/>
    </w:rPr>
  </w:style>
  <w:style w:type="paragraph" w:customStyle="1" w:styleId="BodyText1">
    <w:name w:val="Body Text 1"/>
    <w:basedOn w:val="Normal"/>
    <w:link w:val="BodyText1Char"/>
    <w:qFormat/>
    <w:rsid w:val="00E07F40"/>
    <w:pPr>
      <w:numPr>
        <w:numId w:val="19"/>
      </w:numPr>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qFormat/>
    <w:rsid w:val="00656D42"/>
    <w:pPr>
      <w:numPr>
        <w:ilvl w:val="2"/>
        <w:numId w:val="19"/>
      </w:numPr>
    </w:pPr>
    <w:rPr>
      <w:szCs w:val="16"/>
    </w:rPr>
  </w:style>
  <w:style w:type="character" w:customStyle="1" w:styleId="BodyText3Char">
    <w:name w:val="Body Text 3 Char"/>
    <w:basedOn w:val="DefaultParagraphFont"/>
    <w:link w:val="BodyText3"/>
    <w:rsid w:val="00656D42"/>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qFormat/>
    <w:rsid w:val="00C67A76"/>
    <w:pPr>
      <w:spacing w:before="120"/>
    </w:pPr>
    <w:rPr>
      <w:rFonts w:asciiTheme="majorHAnsi" w:hAnsiTheme="majorHAnsi"/>
      <w:b/>
      <w:sz w:val="40"/>
    </w:rPr>
  </w:style>
  <w:style w:type="character" w:customStyle="1" w:styleId="TitleChar">
    <w:name w:val="Title Char"/>
    <w:basedOn w:val="DefaultParagraphFont"/>
    <w:link w:val="Title"/>
    <w:rsid w:val="00C67A76"/>
    <w:rPr>
      <w:rFonts w:asciiTheme="majorHAnsi" w:hAnsiTheme="majorHAnsi"/>
      <w:b/>
      <w:sz w:val="40"/>
    </w:rPr>
  </w:style>
  <w:style w:type="paragraph" w:styleId="TOC1">
    <w:name w:val="toc 1"/>
    <w:basedOn w:val="Normal"/>
    <w:next w:val="Normal"/>
    <w:autoRedefine/>
    <w:uiPriority w:val="39"/>
    <w:rsid w:val="00F050A9"/>
    <w:pPr>
      <w:tabs>
        <w:tab w:val="left" w:pos="567"/>
        <w:tab w:val="right" w:leader="dot" w:pos="8302"/>
      </w:tabs>
      <w:spacing w:after="120"/>
      <w:ind w:right="567"/>
    </w:pPr>
    <w:rPr>
      <w:rFonts w:asciiTheme="majorHAnsi" w:hAnsiTheme="majorHAnsi" w:cstheme="majorHAnsi"/>
      <w:noProof/>
    </w:rPr>
  </w:style>
  <w:style w:type="paragraph" w:customStyle="1" w:styleId="Style1">
    <w:name w:val="Style1"/>
    <w:basedOn w:val="Style5"/>
    <w:link w:val="Style1Char"/>
    <w:uiPriority w:val="1"/>
    <w:qFormat/>
    <w:rsid w:val="00DA5E0B"/>
  </w:style>
  <w:style w:type="paragraph" w:customStyle="1" w:styleId="Style2">
    <w:name w:val="Style2"/>
    <w:basedOn w:val="BodyText"/>
    <w:link w:val="Style2Char"/>
    <w:uiPriority w:val="1"/>
    <w:qFormat/>
    <w:rsid w:val="00DA5E0B"/>
    <w:pPr>
      <w:widowControl w:val="0"/>
      <w:numPr>
        <w:ilvl w:val="1"/>
        <w:numId w:val="22"/>
      </w:numPr>
      <w:tabs>
        <w:tab w:val="num" w:pos="1156"/>
      </w:tabs>
      <w:spacing w:after="240"/>
      <w:ind w:left="1156" w:right="164" w:hanging="360"/>
    </w:pPr>
    <w:rPr>
      <w:rFonts w:eastAsia="Times New Roman" w:cstheme="minorBidi"/>
      <w:lang w:val="en-US" w:eastAsia="en-US"/>
    </w:rPr>
  </w:style>
  <w:style w:type="character" w:customStyle="1" w:styleId="Style1Char">
    <w:name w:val="Style1 Char"/>
    <w:basedOn w:val="BodyTextChar"/>
    <w:link w:val="Style1"/>
    <w:uiPriority w:val="1"/>
    <w:rsid w:val="00DA5E0B"/>
    <w:rPr>
      <w:rFonts w:eastAsia="Times New Roman" w:cstheme="minorBidi"/>
      <w:spacing w:val="-1"/>
      <w:lang w:val="en-US" w:eastAsia="en-US"/>
    </w:rPr>
  </w:style>
  <w:style w:type="paragraph" w:customStyle="1" w:styleId="Style5">
    <w:name w:val="Style5"/>
    <w:basedOn w:val="BodyText"/>
    <w:link w:val="Style5Char"/>
    <w:uiPriority w:val="1"/>
    <w:qFormat/>
    <w:rsid w:val="00DA5E0B"/>
    <w:pPr>
      <w:widowControl w:val="0"/>
      <w:numPr>
        <w:numId w:val="22"/>
      </w:numPr>
      <w:tabs>
        <w:tab w:val="left" w:pos="685"/>
      </w:tabs>
      <w:spacing w:after="240"/>
      <w:ind w:right="153"/>
    </w:pPr>
    <w:rPr>
      <w:rFonts w:eastAsia="Times New Roman" w:cstheme="minorBidi"/>
      <w:spacing w:val="-1"/>
      <w:lang w:val="en-US" w:eastAsia="en-US"/>
    </w:rPr>
  </w:style>
  <w:style w:type="paragraph" w:styleId="BodyText">
    <w:name w:val="Body Text"/>
    <w:basedOn w:val="Normal"/>
    <w:link w:val="BodyTextChar"/>
    <w:uiPriority w:val="49"/>
    <w:semiHidden/>
    <w:unhideWhenUsed/>
    <w:rsid w:val="00DA5E0B"/>
    <w:pPr>
      <w:spacing w:after="120"/>
    </w:pPr>
  </w:style>
  <w:style w:type="character" w:customStyle="1" w:styleId="BodyTextChar">
    <w:name w:val="Body Text Char"/>
    <w:basedOn w:val="DefaultParagraphFont"/>
    <w:link w:val="BodyText"/>
    <w:uiPriority w:val="49"/>
    <w:semiHidden/>
    <w:rsid w:val="00DA5E0B"/>
  </w:style>
  <w:style w:type="character" w:customStyle="1" w:styleId="Style2Char">
    <w:name w:val="Style2 Char"/>
    <w:basedOn w:val="BodyTextChar"/>
    <w:link w:val="Style2"/>
    <w:uiPriority w:val="1"/>
    <w:rsid w:val="00DA5E0B"/>
    <w:rPr>
      <w:rFonts w:eastAsia="Times New Roman" w:cstheme="minorBidi"/>
      <w:lang w:val="en-US" w:eastAsia="en-US"/>
    </w:rPr>
  </w:style>
  <w:style w:type="paragraph" w:customStyle="1" w:styleId="Style3">
    <w:name w:val="Style3"/>
    <w:basedOn w:val="Style5"/>
    <w:link w:val="Style3Char"/>
    <w:uiPriority w:val="1"/>
    <w:qFormat/>
    <w:rsid w:val="00DA5E0B"/>
    <w:pPr>
      <w:keepNext/>
      <w:numPr>
        <w:numId w:val="0"/>
      </w:numPr>
      <w:tabs>
        <w:tab w:val="clear" w:pos="685"/>
        <w:tab w:val="left" w:pos="567"/>
      </w:tabs>
      <w:ind w:left="567"/>
    </w:pPr>
    <w:rPr>
      <w:rFonts w:cs="Times New Roman"/>
      <w:iCs/>
    </w:rPr>
  </w:style>
  <w:style w:type="character" w:customStyle="1" w:styleId="Style3Char">
    <w:name w:val="Style3 Char"/>
    <w:basedOn w:val="BodyTextChar"/>
    <w:link w:val="Style3"/>
    <w:uiPriority w:val="1"/>
    <w:rsid w:val="00DA5E0B"/>
    <w:rPr>
      <w:rFonts w:eastAsia="Times New Roman"/>
      <w:iCs/>
      <w:spacing w:val="-1"/>
      <w:lang w:val="en-US" w:eastAsia="en-US"/>
    </w:rPr>
  </w:style>
  <w:style w:type="character" w:styleId="CommentReference">
    <w:name w:val="annotation reference"/>
    <w:basedOn w:val="DefaultParagraphFont"/>
    <w:uiPriority w:val="99"/>
    <w:semiHidden/>
    <w:unhideWhenUsed/>
    <w:rsid w:val="00DA5E0B"/>
    <w:rPr>
      <w:sz w:val="16"/>
      <w:szCs w:val="16"/>
    </w:rPr>
  </w:style>
  <w:style w:type="paragraph" w:customStyle="1" w:styleId="Style6">
    <w:name w:val="Style6"/>
    <w:basedOn w:val="Heading1"/>
    <w:link w:val="Style6Char"/>
    <w:uiPriority w:val="1"/>
    <w:qFormat/>
    <w:rsid w:val="00A31072"/>
    <w:pPr>
      <w:widowControl w:val="0"/>
      <w:ind w:left="119"/>
      <w:jc w:val="left"/>
    </w:pPr>
    <w:rPr>
      <w:rFonts w:ascii="Arial" w:eastAsia="Arial" w:hAnsi="Arial" w:cstheme="minorBidi"/>
      <w:bCs/>
      <w:spacing w:val="-1"/>
      <w:lang w:val="en-US" w:eastAsia="en-US"/>
    </w:rPr>
  </w:style>
  <w:style w:type="character" w:customStyle="1" w:styleId="Style5Char">
    <w:name w:val="Style5 Char"/>
    <w:basedOn w:val="BodyTextChar"/>
    <w:link w:val="Style5"/>
    <w:uiPriority w:val="1"/>
    <w:rsid w:val="00A31072"/>
    <w:rPr>
      <w:rFonts w:eastAsia="Times New Roman" w:cstheme="minorBidi"/>
      <w:spacing w:val="-1"/>
      <w:lang w:val="en-US" w:eastAsia="en-US"/>
    </w:rPr>
  </w:style>
  <w:style w:type="character" w:customStyle="1" w:styleId="Style6Char">
    <w:name w:val="Style6 Char"/>
    <w:basedOn w:val="Heading1Char"/>
    <w:link w:val="Style6"/>
    <w:uiPriority w:val="1"/>
    <w:rsid w:val="00A31072"/>
    <w:rPr>
      <w:rFonts w:ascii="Arial" w:eastAsia="Arial" w:hAnsi="Arial" w:cstheme="minorBidi"/>
      <w:b/>
      <w:bCs/>
      <w:spacing w:val="-1"/>
      <w:lang w:val="en-US" w:eastAsia="en-US"/>
    </w:rPr>
  </w:style>
  <w:style w:type="paragraph" w:customStyle="1" w:styleId="Style4">
    <w:name w:val="Style4"/>
    <w:basedOn w:val="FootnoteText"/>
    <w:link w:val="Style4Char"/>
    <w:uiPriority w:val="1"/>
    <w:qFormat/>
    <w:rsid w:val="00A31072"/>
    <w:pPr>
      <w:keepNext/>
      <w:widowControl w:val="0"/>
      <w:spacing w:after="240"/>
      <w:ind w:right="153"/>
    </w:pPr>
    <w:rPr>
      <w:rFonts w:eastAsia="Times New Roman"/>
      <w:iCs/>
      <w:spacing w:val="-1"/>
      <w:lang w:val="en-US" w:eastAsia="en-US"/>
    </w:rPr>
  </w:style>
  <w:style w:type="character" w:customStyle="1" w:styleId="Style4Char">
    <w:name w:val="Style4 Char"/>
    <w:basedOn w:val="FootnoteTextChar"/>
    <w:link w:val="Style4"/>
    <w:uiPriority w:val="1"/>
    <w:rsid w:val="00A31072"/>
    <w:rPr>
      <w:rFonts w:eastAsia="Times New Roman"/>
      <w:iCs/>
      <w:spacing w:val="-1"/>
      <w:sz w:val="20"/>
      <w:lang w:val="en-US" w:eastAsia="en-US"/>
    </w:rPr>
  </w:style>
  <w:style w:type="paragraph" w:styleId="CommentText">
    <w:name w:val="annotation text"/>
    <w:basedOn w:val="Normal"/>
    <w:link w:val="CommentTextChar"/>
    <w:uiPriority w:val="49"/>
    <w:unhideWhenUsed/>
    <w:rsid w:val="00084774"/>
    <w:rPr>
      <w:sz w:val="20"/>
      <w:szCs w:val="20"/>
    </w:rPr>
  </w:style>
  <w:style w:type="character" w:customStyle="1" w:styleId="CommentTextChar">
    <w:name w:val="Comment Text Char"/>
    <w:basedOn w:val="DefaultParagraphFont"/>
    <w:link w:val="CommentText"/>
    <w:uiPriority w:val="49"/>
    <w:rsid w:val="00084774"/>
    <w:rPr>
      <w:sz w:val="20"/>
      <w:szCs w:val="20"/>
    </w:rPr>
  </w:style>
  <w:style w:type="paragraph" w:styleId="CommentSubject">
    <w:name w:val="annotation subject"/>
    <w:basedOn w:val="CommentText"/>
    <w:next w:val="CommentText"/>
    <w:link w:val="CommentSubjectChar"/>
    <w:uiPriority w:val="49"/>
    <w:semiHidden/>
    <w:unhideWhenUsed/>
    <w:rsid w:val="00084774"/>
    <w:rPr>
      <w:b/>
      <w:bCs/>
    </w:rPr>
  </w:style>
  <w:style w:type="character" w:customStyle="1" w:styleId="CommentSubjectChar">
    <w:name w:val="Comment Subject Char"/>
    <w:basedOn w:val="CommentTextChar"/>
    <w:link w:val="CommentSubject"/>
    <w:uiPriority w:val="49"/>
    <w:semiHidden/>
    <w:rsid w:val="00084774"/>
    <w:rPr>
      <w:b/>
      <w:bCs/>
      <w:sz w:val="20"/>
      <w:szCs w:val="20"/>
    </w:rPr>
  </w:style>
  <w:style w:type="paragraph" w:styleId="Revision">
    <w:name w:val="Revision"/>
    <w:hidden/>
    <w:uiPriority w:val="99"/>
    <w:semiHidden/>
    <w:rsid w:val="00B47071"/>
    <w:pPr>
      <w:spacing w:after="0"/>
    </w:pPr>
  </w:style>
  <w:style w:type="paragraph" w:styleId="ListParagraph">
    <w:name w:val="List Paragraph"/>
    <w:basedOn w:val="Normal"/>
    <w:uiPriority w:val="34"/>
    <w:qFormat/>
    <w:rsid w:val="00EB7431"/>
    <w:pPr>
      <w:ind w:left="720"/>
      <w:contextualSpacing/>
    </w:pPr>
  </w:style>
  <w:style w:type="paragraph" w:styleId="TOC4">
    <w:name w:val="toc 4"/>
    <w:basedOn w:val="Normal"/>
    <w:next w:val="Normal"/>
    <w:autoRedefine/>
    <w:uiPriority w:val="39"/>
    <w:semiHidden/>
    <w:rsid w:val="00B239E0"/>
    <w:pPr>
      <w:tabs>
        <w:tab w:val="right" w:leader="dot" w:pos="8302"/>
      </w:tabs>
      <w:spacing w:after="100"/>
      <w:ind w:left="1134" w:right="567"/>
    </w:pPr>
    <w:rPr>
      <w:rFonts w:asciiTheme="majorHAnsi" w:hAnsiTheme="majorHAnsi"/>
    </w:rPr>
  </w:style>
  <w:style w:type="paragraph" w:customStyle="1" w:styleId="BodyText4">
    <w:name w:val="Body Text 4"/>
    <w:basedOn w:val="Normal"/>
    <w:qFormat/>
    <w:rsid w:val="00B239E0"/>
    <w:pPr>
      <w:tabs>
        <w:tab w:val="num" w:pos="2268"/>
      </w:tabs>
      <w:ind w:left="2268" w:hanging="567"/>
    </w:pPr>
  </w:style>
  <w:style w:type="paragraph" w:customStyle="1" w:styleId="Default">
    <w:name w:val="Default"/>
    <w:rsid w:val="00B239E0"/>
    <w:pPr>
      <w:autoSpaceDE w:val="0"/>
      <w:autoSpaceDN w:val="0"/>
      <w:adjustRightInd w:val="0"/>
      <w:spacing w:after="0"/>
    </w:pPr>
    <w:rPr>
      <w:color w:val="000000"/>
    </w:rPr>
  </w:style>
  <w:style w:type="character" w:customStyle="1" w:styleId="FootnoteTextChar1">
    <w:name w:val="Footnote Text Char1"/>
    <w:aliases w:val="Footnote Text Char Char"/>
    <w:rsid w:val="00B239E0"/>
    <w:rPr>
      <w:lang w:val="en-AU" w:eastAsia="en-AU" w:bidi="ar-SA"/>
    </w:rPr>
  </w:style>
  <w:style w:type="paragraph" w:customStyle="1" w:styleId="ActTitle">
    <w:name w:val="Act Title"/>
    <w:basedOn w:val="Normal"/>
    <w:next w:val="IntroTo"/>
    <w:rsid w:val="0028712F"/>
    <w:pPr>
      <w:pBdr>
        <w:bottom w:val="single" w:sz="4" w:space="3" w:color="auto"/>
      </w:pBdr>
      <w:spacing w:before="480"/>
      <w:jc w:val="left"/>
    </w:pPr>
    <w:rPr>
      <w:rFonts w:ascii="Arial" w:eastAsia="Times New Roman" w:hAnsi="Arial"/>
      <w:i/>
      <w:iCs/>
      <w:sz w:val="28"/>
      <w:szCs w:val="20"/>
    </w:rPr>
  </w:style>
  <w:style w:type="paragraph" w:customStyle="1" w:styleId="IntroTo">
    <w:name w:val="IntroTo:"/>
    <w:basedOn w:val="Normal"/>
    <w:rsid w:val="0028712F"/>
    <w:pPr>
      <w:spacing w:after="0"/>
      <w:ind w:left="720" w:hanging="720"/>
      <w:jc w:val="left"/>
    </w:pPr>
    <w:rPr>
      <w:rFonts w:eastAsia="Times New Roman"/>
      <w:szCs w:val="20"/>
      <w:lang w:eastAsia="en-US"/>
    </w:rPr>
  </w:style>
  <w:style w:type="paragraph" w:customStyle="1" w:styleId="IH">
    <w:name w:val="IH"/>
    <w:aliases w:val="Interpretation heading"/>
    <w:basedOn w:val="Normal"/>
    <w:next w:val="Normal"/>
    <w:rsid w:val="0028712F"/>
    <w:pPr>
      <w:keepNext/>
      <w:spacing w:before="480" w:after="0"/>
      <w:ind w:left="964" w:hanging="964"/>
      <w:jc w:val="left"/>
    </w:pPr>
    <w:rPr>
      <w:rFonts w:ascii="Arial" w:eastAsia="Times New Roman" w:hAnsi="Arial"/>
      <w:b/>
      <w:lang w:eastAsia="en-US"/>
    </w:rPr>
  </w:style>
  <w:style w:type="paragraph" w:customStyle="1" w:styleId="IP">
    <w:name w:val="IP"/>
    <w:aliases w:val="Interpretation paragraph"/>
    <w:basedOn w:val="Normal"/>
    <w:next w:val="Normal"/>
    <w:rsid w:val="0028712F"/>
    <w:pPr>
      <w:keepNext/>
      <w:tabs>
        <w:tab w:val="right" w:pos="794"/>
      </w:tabs>
      <w:spacing w:before="120" w:after="0" w:line="260" w:lineRule="exact"/>
      <w:ind w:left="964" w:hanging="964"/>
    </w:pPr>
    <w:rPr>
      <w:rFonts w:eastAsia="Times New Roman"/>
      <w:lang w:eastAsia="en-US"/>
    </w:rPr>
  </w:style>
  <w:style w:type="paragraph" w:customStyle="1" w:styleId="AS">
    <w:name w:val="AS"/>
    <w:aliases w:val="Schedule title Amendment"/>
    <w:basedOn w:val="Normal"/>
    <w:next w:val="Normal"/>
    <w:rsid w:val="0028712F"/>
    <w:pPr>
      <w:keepNext/>
      <w:autoSpaceDE w:val="0"/>
      <w:autoSpaceDN w:val="0"/>
      <w:spacing w:before="480" w:after="0"/>
      <w:ind w:left="2410" w:hanging="2410"/>
      <w:jc w:val="left"/>
    </w:pPr>
    <w:rPr>
      <w:rFonts w:ascii="Arial" w:eastAsia="Times New Roman" w:hAnsi="Arial" w:cs="Arial"/>
      <w:b/>
      <w:bCs/>
      <w:sz w:val="32"/>
      <w:szCs w:val="32"/>
    </w:rPr>
  </w:style>
  <w:style w:type="character" w:customStyle="1" w:styleId="CharSchNo">
    <w:name w:val="CharSchNo"/>
    <w:basedOn w:val="DefaultParagraphFont"/>
    <w:rsid w:val="0028712F"/>
  </w:style>
  <w:style w:type="character" w:customStyle="1" w:styleId="CharSchText">
    <w:name w:val="CharSchText"/>
    <w:basedOn w:val="DefaultParagraphFont"/>
    <w:rsid w:val="00287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949256">
      <w:bodyDiv w:val="1"/>
      <w:marLeft w:val="0"/>
      <w:marRight w:val="0"/>
      <w:marTop w:val="0"/>
      <w:marBottom w:val="0"/>
      <w:divBdr>
        <w:top w:val="none" w:sz="0" w:space="0" w:color="auto"/>
        <w:left w:val="none" w:sz="0" w:space="0" w:color="auto"/>
        <w:bottom w:val="none" w:sz="0" w:space="0" w:color="auto"/>
        <w:right w:val="none" w:sz="0" w:space="0" w:color="auto"/>
      </w:divBdr>
    </w:div>
    <w:div w:id="195868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9530295-9eea-494d-b82a-9ff74409eafc">
      <UserInfo>
        <DisplayName>Gavin Maunder</DisplayName>
        <AccountId>20</AccountId>
        <AccountType/>
      </UserInfo>
      <UserInfo>
        <DisplayName>Alexandra Spicer</DisplayName>
        <AccountId>41</AccountId>
        <AccountType/>
      </UserInfo>
      <UserInfo>
        <DisplayName>Friedrich Schulz</DisplayName>
        <AccountId>88</AccountId>
        <AccountType/>
      </UserInfo>
      <UserInfo>
        <DisplayName>Chester Lee</DisplayName>
        <AccountId>154</AccountId>
        <AccountType/>
      </UserInfo>
      <UserInfo>
        <DisplayName>Sashikala Prasad</DisplayName>
        <AccountId>19</AccountId>
        <AccountType/>
      </UserInfo>
      <UserInfo>
        <DisplayName>Eisha Farrukh</DisplayName>
        <AccountId>144</AccountId>
        <AccountType/>
      </UserInfo>
      <UserInfo>
        <DisplayName>Jared Rapaport</DisplayName>
        <AccountId>164</AccountId>
        <AccountType/>
      </UserInfo>
      <UserInfo>
        <DisplayName>Rebecca Trajkovski</DisplayName>
        <AccountId>438</AccountId>
        <AccountType/>
      </UserInfo>
      <UserInfo>
        <DisplayName>Clare Gibney</DisplayName>
        <AccountId>266</AccountId>
        <AccountType/>
      </UserInfo>
      <UserInfo>
        <DisplayName>Gideon Holland</DisplayName>
        <AccountId>23</AccountId>
        <AccountType/>
      </UserInfo>
      <UserInfo>
        <DisplayName>Robert Armstrong</DisplayName>
        <AccountId>31</AccountId>
        <AccountType/>
      </UserInfo>
      <UserInfo>
        <DisplayName>Jessica Chung</DisplayName>
        <AccountId>291</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E831F15EEA47429C4A0837D916ED91" ma:contentTypeVersion="6" ma:contentTypeDescription="Create a new document." ma:contentTypeScope="" ma:versionID="b459cff694b6e48f43ce596885955411">
  <xsd:schema xmlns:xsd="http://www.w3.org/2001/XMLSchema" xmlns:xs="http://www.w3.org/2001/XMLSchema" xmlns:p="http://schemas.microsoft.com/office/2006/metadata/properties" xmlns:ns2="5664482d-1961-4d38-bfc2-b109b3418834" xmlns:ns3="79530295-9eea-494d-b82a-9ff74409eafc" targetNamespace="http://schemas.microsoft.com/office/2006/metadata/properties" ma:root="true" ma:fieldsID="af7d1e1e0ae66791b8b46845a97f5ff9" ns2:_="" ns3:_="">
    <xsd:import namespace="5664482d-1961-4d38-bfc2-b109b3418834"/>
    <xsd:import namespace="79530295-9eea-494d-b82a-9ff74409eaf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64482d-1961-4d38-bfc2-b109b34188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530295-9eea-494d-b82a-9ff74409ea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405106-58FA-47AB-8C9A-B86FE19B2A2F}">
  <ds:schemaRefs>
    <ds:schemaRef ds:uri="http://purl.org/dc/terms/"/>
    <ds:schemaRef ds:uri="http://www.w3.org/XML/1998/namespace"/>
    <ds:schemaRef ds:uri="http://purl.org/dc/dcmitype/"/>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schemas.microsoft.com/office/infopath/2007/PartnerControls"/>
    <ds:schemaRef ds:uri="79530295-9eea-494d-b82a-9ff74409eafc"/>
    <ds:schemaRef ds:uri="5664482d-1961-4d38-bfc2-b109b3418834"/>
  </ds:schemaRefs>
</ds:datastoreItem>
</file>

<file path=customXml/itemProps2.xml><?xml version="1.0" encoding="utf-8"?>
<ds:datastoreItem xmlns:ds="http://schemas.openxmlformats.org/officeDocument/2006/customXml" ds:itemID="{38B98241-4DEF-44A0-B2E2-1B7AE9AAC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64482d-1961-4d38-bfc2-b109b3418834"/>
    <ds:schemaRef ds:uri="79530295-9eea-494d-b82a-9ff74409ea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91FC4E-91BB-4B4F-BC34-1A82FB60A90D}">
  <ds:schemaRefs>
    <ds:schemaRef ds:uri="http://schemas.openxmlformats.org/officeDocument/2006/bibliography"/>
  </ds:schemaRefs>
</ds:datastoreItem>
</file>

<file path=customXml/itemProps4.xml><?xml version="1.0" encoding="utf-8"?>
<ds:datastoreItem xmlns:ds="http://schemas.openxmlformats.org/officeDocument/2006/customXml" ds:itemID="{E392E0AE-FA26-4161-9A78-4F614CE9D3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7712</Words>
  <Characters>41609</Characters>
  <Application>Microsoft Office Word</Application>
  <DocSecurity>0</DocSecurity>
  <Lines>812</Lines>
  <Paragraphs>332</Paragraphs>
  <ScaleCrop>false</ScaleCrop>
  <HeadingPairs>
    <vt:vector size="2" baseType="variant">
      <vt:variant>
        <vt:lpstr>Title</vt:lpstr>
      </vt:variant>
      <vt:variant>
        <vt:i4>1</vt:i4>
      </vt:variant>
    </vt:vector>
  </HeadingPairs>
  <TitlesOfParts>
    <vt:vector size="1" baseType="lpstr">
      <vt:lpstr>Banking-Insurance-Life Insurance and Health Insurance (prudential standard) determination No. 1 of 2022</vt:lpstr>
    </vt:vector>
  </TitlesOfParts>
  <Company>APRA</Company>
  <LinksUpToDate>false</LinksUpToDate>
  <CharactersWithSpaces>49016</CharactersWithSpaces>
  <SharedDoc>false</SharedDoc>
  <HLinks>
    <vt:vector size="216" baseType="variant">
      <vt:variant>
        <vt:i4>1245239</vt:i4>
      </vt:variant>
      <vt:variant>
        <vt:i4>212</vt:i4>
      </vt:variant>
      <vt:variant>
        <vt:i4>0</vt:i4>
      </vt:variant>
      <vt:variant>
        <vt:i4>5</vt:i4>
      </vt:variant>
      <vt:variant>
        <vt:lpwstr/>
      </vt:variant>
      <vt:variant>
        <vt:lpwstr>_Toc146606009</vt:lpwstr>
      </vt:variant>
      <vt:variant>
        <vt:i4>1245239</vt:i4>
      </vt:variant>
      <vt:variant>
        <vt:i4>206</vt:i4>
      </vt:variant>
      <vt:variant>
        <vt:i4>0</vt:i4>
      </vt:variant>
      <vt:variant>
        <vt:i4>5</vt:i4>
      </vt:variant>
      <vt:variant>
        <vt:lpwstr/>
      </vt:variant>
      <vt:variant>
        <vt:lpwstr>_Toc146606008</vt:lpwstr>
      </vt:variant>
      <vt:variant>
        <vt:i4>1245239</vt:i4>
      </vt:variant>
      <vt:variant>
        <vt:i4>200</vt:i4>
      </vt:variant>
      <vt:variant>
        <vt:i4>0</vt:i4>
      </vt:variant>
      <vt:variant>
        <vt:i4>5</vt:i4>
      </vt:variant>
      <vt:variant>
        <vt:lpwstr/>
      </vt:variant>
      <vt:variant>
        <vt:lpwstr>_Toc146606007</vt:lpwstr>
      </vt:variant>
      <vt:variant>
        <vt:i4>1245239</vt:i4>
      </vt:variant>
      <vt:variant>
        <vt:i4>194</vt:i4>
      </vt:variant>
      <vt:variant>
        <vt:i4>0</vt:i4>
      </vt:variant>
      <vt:variant>
        <vt:i4>5</vt:i4>
      </vt:variant>
      <vt:variant>
        <vt:lpwstr/>
      </vt:variant>
      <vt:variant>
        <vt:lpwstr>_Toc146606006</vt:lpwstr>
      </vt:variant>
      <vt:variant>
        <vt:i4>1245239</vt:i4>
      </vt:variant>
      <vt:variant>
        <vt:i4>188</vt:i4>
      </vt:variant>
      <vt:variant>
        <vt:i4>0</vt:i4>
      </vt:variant>
      <vt:variant>
        <vt:i4>5</vt:i4>
      </vt:variant>
      <vt:variant>
        <vt:lpwstr/>
      </vt:variant>
      <vt:variant>
        <vt:lpwstr>_Toc146606005</vt:lpwstr>
      </vt:variant>
      <vt:variant>
        <vt:i4>1245239</vt:i4>
      </vt:variant>
      <vt:variant>
        <vt:i4>182</vt:i4>
      </vt:variant>
      <vt:variant>
        <vt:i4>0</vt:i4>
      </vt:variant>
      <vt:variant>
        <vt:i4>5</vt:i4>
      </vt:variant>
      <vt:variant>
        <vt:lpwstr/>
      </vt:variant>
      <vt:variant>
        <vt:lpwstr>_Toc146606004</vt:lpwstr>
      </vt:variant>
      <vt:variant>
        <vt:i4>1245239</vt:i4>
      </vt:variant>
      <vt:variant>
        <vt:i4>176</vt:i4>
      </vt:variant>
      <vt:variant>
        <vt:i4>0</vt:i4>
      </vt:variant>
      <vt:variant>
        <vt:i4>5</vt:i4>
      </vt:variant>
      <vt:variant>
        <vt:lpwstr/>
      </vt:variant>
      <vt:variant>
        <vt:lpwstr>_Toc146606003</vt:lpwstr>
      </vt:variant>
      <vt:variant>
        <vt:i4>1245239</vt:i4>
      </vt:variant>
      <vt:variant>
        <vt:i4>170</vt:i4>
      </vt:variant>
      <vt:variant>
        <vt:i4>0</vt:i4>
      </vt:variant>
      <vt:variant>
        <vt:i4>5</vt:i4>
      </vt:variant>
      <vt:variant>
        <vt:lpwstr/>
      </vt:variant>
      <vt:variant>
        <vt:lpwstr>_Toc146606002</vt:lpwstr>
      </vt:variant>
      <vt:variant>
        <vt:i4>1245239</vt:i4>
      </vt:variant>
      <vt:variant>
        <vt:i4>164</vt:i4>
      </vt:variant>
      <vt:variant>
        <vt:i4>0</vt:i4>
      </vt:variant>
      <vt:variant>
        <vt:i4>5</vt:i4>
      </vt:variant>
      <vt:variant>
        <vt:lpwstr/>
      </vt:variant>
      <vt:variant>
        <vt:lpwstr>_Toc146606001</vt:lpwstr>
      </vt:variant>
      <vt:variant>
        <vt:i4>1245239</vt:i4>
      </vt:variant>
      <vt:variant>
        <vt:i4>158</vt:i4>
      </vt:variant>
      <vt:variant>
        <vt:i4>0</vt:i4>
      </vt:variant>
      <vt:variant>
        <vt:i4>5</vt:i4>
      </vt:variant>
      <vt:variant>
        <vt:lpwstr/>
      </vt:variant>
      <vt:variant>
        <vt:lpwstr>_Toc146606000</vt:lpwstr>
      </vt:variant>
      <vt:variant>
        <vt:i4>1638462</vt:i4>
      </vt:variant>
      <vt:variant>
        <vt:i4>152</vt:i4>
      </vt:variant>
      <vt:variant>
        <vt:i4>0</vt:i4>
      </vt:variant>
      <vt:variant>
        <vt:i4>5</vt:i4>
      </vt:variant>
      <vt:variant>
        <vt:lpwstr/>
      </vt:variant>
      <vt:variant>
        <vt:lpwstr>_Toc146605999</vt:lpwstr>
      </vt:variant>
      <vt:variant>
        <vt:i4>1638462</vt:i4>
      </vt:variant>
      <vt:variant>
        <vt:i4>146</vt:i4>
      </vt:variant>
      <vt:variant>
        <vt:i4>0</vt:i4>
      </vt:variant>
      <vt:variant>
        <vt:i4>5</vt:i4>
      </vt:variant>
      <vt:variant>
        <vt:lpwstr/>
      </vt:variant>
      <vt:variant>
        <vt:lpwstr>_Toc146605998</vt:lpwstr>
      </vt:variant>
      <vt:variant>
        <vt:i4>1638462</vt:i4>
      </vt:variant>
      <vt:variant>
        <vt:i4>140</vt:i4>
      </vt:variant>
      <vt:variant>
        <vt:i4>0</vt:i4>
      </vt:variant>
      <vt:variant>
        <vt:i4>5</vt:i4>
      </vt:variant>
      <vt:variant>
        <vt:lpwstr/>
      </vt:variant>
      <vt:variant>
        <vt:lpwstr>_Toc146605997</vt:lpwstr>
      </vt:variant>
      <vt:variant>
        <vt:i4>1638462</vt:i4>
      </vt:variant>
      <vt:variant>
        <vt:i4>134</vt:i4>
      </vt:variant>
      <vt:variant>
        <vt:i4>0</vt:i4>
      </vt:variant>
      <vt:variant>
        <vt:i4>5</vt:i4>
      </vt:variant>
      <vt:variant>
        <vt:lpwstr/>
      </vt:variant>
      <vt:variant>
        <vt:lpwstr>_Toc146605996</vt:lpwstr>
      </vt:variant>
      <vt:variant>
        <vt:i4>1638462</vt:i4>
      </vt:variant>
      <vt:variant>
        <vt:i4>128</vt:i4>
      </vt:variant>
      <vt:variant>
        <vt:i4>0</vt:i4>
      </vt:variant>
      <vt:variant>
        <vt:i4>5</vt:i4>
      </vt:variant>
      <vt:variant>
        <vt:lpwstr/>
      </vt:variant>
      <vt:variant>
        <vt:lpwstr>_Toc146605995</vt:lpwstr>
      </vt:variant>
      <vt:variant>
        <vt:i4>1638462</vt:i4>
      </vt:variant>
      <vt:variant>
        <vt:i4>122</vt:i4>
      </vt:variant>
      <vt:variant>
        <vt:i4>0</vt:i4>
      </vt:variant>
      <vt:variant>
        <vt:i4>5</vt:i4>
      </vt:variant>
      <vt:variant>
        <vt:lpwstr/>
      </vt:variant>
      <vt:variant>
        <vt:lpwstr>_Toc146605994</vt:lpwstr>
      </vt:variant>
      <vt:variant>
        <vt:i4>1638462</vt:i4>
      </vt:variant>
      <vt:variant>
        <vt:i4>116</vt:i4>
      </vt:variant>
      <vt:variant>
        <vt:i4>0</vt:i4>
      </vt:variant>
      <vt:variant>
        <vt:i4>5</vt:i4>
      </vt:variant>
      <vt:variant>
        <vt:lpwstr/>
      </vt:variant>
      <vt:variant>
        <vt:lpwstr>_Toc146605993</vt:lpwstr>
      </vt:variant>
      <vt:variant>
        <vt:i4>1638462</vt:i4>
      </vt:variant>
      <vt:variant>
        <vt:i4>110</vt:i4>
      </vt:variant>
      <vt:variant>
        <vt:i4>0</vt:i4>
      </vt:variant>
      <vt:variant>
        <vt:i4>5</vt:i4>
      </vt:variant>
      <vt:variant>
        <vt:lpwstr/>
      </vt:variant>
      <vt:variant>
        <vt:lpwstr>_Toc146605992</vt:lpwstr>
      </vt:variant>
      <vt:variant>
        <vt:i4>1638462</vt:i4>
      </vt:variant>
      <vt:variant>
        <vt:i4>104</vt:i4>
      </vt:variant>
      <vt:variant>
        <vt:i4>0</vt:i4>
      </vt:variant>
      <vt:variant>
        <vt:i4>5</vt:i4>
      </vt:variant>
      <vt:variant>
        <vt:lpwstr/>
      </vt:variant>
      <vt:variant>
        <vt:lpwstr>_Toc146605990</vt:lpwstr>
      </vt:variant>
      <vt:variant>
        <vt:i4>1572926</vt:i4>
      </vt:variant>
      <vt:variant>
        <vt:i4>98</vt:i4>
      </vt:variant>
      <vt:variant>
        <vt:i4>0</vt:i4>
      </vt:variant>
      <vt:variant>
        <vt:i4>5</vt:i4>
      </vt:variant>
      <vt:variant>
        <vt:lpwstr/>
      </vt:variant>
      <vt:variant>
        <vt:lpwstr>_Toc146605989</vt:lpwstr>
      </vt:variant>
      <vt:variant>
        <vt:i4>1572926</vt:i4>
      </vt:variant>
      <vt:variant>
        <vt:i4>92</vt:i4>
      </vt:variant>
      <vt:variant>
        <vt:i4>0</vt:i4>
      </vt:variant>
      <vt:variant>
        <vt:i4>5</vt:i4>
      </vt:variant>
      <vt:variant>
        <vt:lpwstr/>
      </vt:variant>
      <vt:variant>
        <vt:lpwstr>_Toc146605988</vt:lpwstr>
      </vt:variant>
      <vt:variant>
        <vt:i4>1572926</vt:i4>
      </vt:variant>
      <vt:variant>
        <vt:i4>86</vt:i4>
      </vt:variant>
      <vt:variant>
        <vt:i4>0</vt:i4>
      </vt:variant>
      <vt:variant>
        <vt:i4>5</vt:i4>
      </vt:variant>
      <vt:variant>
        <vt:lpwstr/>
      </vt:variant>
      <vt:variant>
        <vt:lpwstr>_Toc146605987</vt:lpwstr>
      </vt:variant>
      <vt:variant>
        <vt:i4>1572926</vt:i4>
      </vt:variant>
      <vt:variant>
        <vt:i4>80</vt:i4>
      </vt:variant>
      <vt:variant>
        <vt:i4>0</vt:i4>
      </vt:variant>
      <vt:variant>
        <vt:i4>5</vt:i4>
      </vt:variant>
      <vt:variant>
        <vt:lpwstr/>
      </vt:variant>
      <vt:variant>
        <vt:lpwstr>_Toc146605986</vt:lpwstr>
      </vt:variant>
      <vt:variant>
        <vt:i4>1572926</vt:i4>
      </vt:variant>
      <vt:variant>
        <vt:i4>74</vt:i4>
      </vt:variant>
      <vt:variant>
        <vt:i4>0</vt:i4>
      </vt:variant>
      <vt:variant>
        <vt:i4>5</vt:i4>
      </vt:variant>
      <vt:variant>
        <vt:lpwstr/>
      </vt:variant>
      <vt:variant>
        <vt:lpwstr>_Toc146605985</vt:lpwstr>
      </vt:variant>
      <vt:variant>
        <vt:i4>1572926</vt:i4>
      </vt:variant>
      <vt:variant>
        <vt:i4>68</vt:i4>
      </vt:variant>
      <vt:variant>
        <vt:i4>0</vt:i4>
      </vt:variant>
      <vt:variant>
        <vt:i4>5</vt:i4>
      </vt:variant>
      <vt:variant>
        <vt:lpwstr/>
      </vt:variant>
      <vt:variant>
        <vt:lpwstr>_Toc146605984</vt:lpwstr>
      </vt:variant>
      <vt:variant>
        <vt:i4>1572926</vt:i4>
      </vt:variant>
      <vt:variant>
        <vt:i4>62</vt:i4>
      </vt:variant>
      <vt:variant>
        <vt:i4>0</vt:i4>
      </vt:variant>
      <vt:variant>
        <vt:i4>5</vt:i4>
      </vt:variant>
      <vt:variant>
        <vt:lpwstr/>
      </vt:variant>
      <vt:variant>
        <vt:lpwstr>_Toc146605983</vt:lpwstr>
      </vt:variant>
      <vt:variant>
        <vt:i4>1572926</vt:i4>
      </vt:variant>
      <vt:variant>
        <vt:i4>56</vt:i4>
      </vt:variant>
      <vt:variant>
        <vt:i4>0</vt:i4>
      </vt:variant>
      <vt:variant>
        <vt:i4>5</vt:i4>
      </vt:variant>
      <vt:variant>
        <vt:lpwstr/>
      </vt:variant>
      <vt:variant>
        <vt:lpwstr>_Toc146605982</vt:lpwstr>
      </vt:variant>
      <vt:variant>
        <vt:i4>1572926</vt:i4>
      </vt:variant>
      <vt:variant>
        <vt:i4>50</vt:i4>
      </vt:variant>
      <vt:variant>
        <vt:i4>0</vt:i4>
      </vt:variant>
      <vt:variant>
        <vt:i4>5</vt:i4>
      </vt:variant>
      <vt:variant>
        <vt:lpwstr/>
      </vt:variant>
      <vt:variant>
        <vt:lpwstr>_Toc146605981</vt:lpwstr>
      </vt:variant>
      <vt:variant>
        <vt:i4>1572926</vt:i4>
      </vt:variant>
      <vt:variant>
        <vt:i4>44</vt:i4>
      </vt:variant>
      <vt:variant>
        <vt:i4>0</vt:i4>
      </vt:variant>
      <vt:variant>
        <vt:i4>5</vt:i4>
      </vt:variant>
      <vt:variant>
        <vt:lpwstr/>
      </vt:variant>
      <vt:variant>
        <vt:lpwstr>_Toc146605980</vt:lpwstr>
      </vt:variant>
      <vt:variant>
        <vt:i4>1507390</vt:i4>
      </vt:variant>
      <vt:variant>
        <vt:i4>38</vt:i4>
      </vt:variant>
      <vt:variant>
        <vt:i4>0</vt:i4>
      </vt:variant>
      <vt:variant>
        <vt:i4>5</vt:i4>
      </vt:variant>
      <vt:variant>
        <vt:lpwstr/>
      </vt:variant>
      <vt:variant>
        <vt:lpwstr>_Toc146605979</vt:lpwstr>
      </vt:variant>
      <vt:variant>
        <vt:i4>1507390</vt:i4>
      </vt:variant>
      <vt:variant>
        <vt:i4>32</vt:i4>
      </vt:variant>
      <vt:variant>
        <vt:i4>0</vt:i4>
      </vt:variant>
      <vt:variant>
        <vt:i4>5</vt:i4>
      </vt:variant>
      <vt:variant>
        <vt:lpwstr/>
      </vt:variant>
      <vt:variant>
        <vt:lpwstr>_Toc146605978</vt:lpwstr>
      </vt:variant>
      <vt:variant>
        <vt:i4>1507390</vt:i4>
      </vt:variant>
      <vt:variant>
        <vt:i4>26</vt:i4>
      </vt:variant>
      <vt:variant>
        <vt:i4>0</vt:i4>
      </vt:variant>
      <vt:variant>
        <vt:i4>5</vt:i4>
      </vt:variant>
      <vt:variant>
        <vt:lpwstr/>
      </vt:variant>
      <vt:variant>
        <vt:lpwstr>_Toc146605977</vt:lpwstr>
      </vt:variant>
      <vt:variant>
        <vt:i4>1507390</vt:i4>
      </vt:variant>
      <vt:variant>
        <vt:i4>20</vt:i4>
      </vt:variant>
      <vt:variant>
        <vt:i4>0</vt:i4>
      </vt:variant>
      <vt:variant>
        <vt:i4>5</vt:i4>
      </vt:variant>
      <vt:variant>
        <vt:lpwstr/>
      </vt:variant>
      <vt:variant>
        <vt:lpwstr>_Toc146605976</vt:lpwstr>
      </vt:variant>
      <vt:variant>
        <vt:i4>1507390</vt:i4>
      </vt:variant>
      <vt:variant>
        <vt:i4>14</vt:i4>
      </vt:variant>
      <vt:variant>
        <vt:i4>0</vt:i4>
      </vt:variant>
      <vt:variant>
        <vt:i4>5</vt:i4>
      </vt:variant>
      <vt:variant>
        <vt:lpwstr/>
      </vt:variant>
      <vt:variant>
        <vt:lpwstr>_Toc146605975</vt:lpwstr>
      </vt:variant>
      <vt:variant>
        <vt:i4>1507390</vt:i4>
      </vt:variant>
      <vt:variant>
        <vt:i4>8</vt:i4>
      </vt:variant>
      <vt:variant>
        <vt:i4>0</vt:i4>
      </vt:variant>
      <vt:variant>
        <vt:i4>5</vt:i4>
      </vt:variant>
      <vt:variant>
        <vt:lpwstr/>
      </vt:variant>
      <vt:variant>
        <vt:lpwstr>_Toc146605974</vt:lpwstr>
      </vt:variant>
      <vt:variant>
        <vt:i4>1507390</vt:i4>
      </vt:variant>
      <vt:variant>
        <vt:i4>2</vt:i4>
      </vt:variant>
      <vt:variant>
        <vt:i4>0</vt:i4>
      </vt:variant>
      <vt:variant>
        <vt:i4>5</vt:i4>
      </vt:variant>
      <vt:variant>
        <vt:lpwstr/>
      </vt:variant>
      <vt:variant>
        <vt:lpwstr>_Toc146605973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Banking-Insurance-Life Insurance and Health Insurance (prudential standard) determination No. 1 of 2022</dc:title>
  <dc:subject/>
  <dc:creator>Chen, Alice</dc:creator>
  <cp:keywords>[SEC=OFFICIAL]</cp:keywords>
  <dc:description/>
  <cp:lastModifiedBy>Toni Michalis</cp:lastModifiedBy>
  <cp:revision>3</cp:revision>
  <cp:lastPrinted>2019-04-28T22:55:00Z</cp:lastPrinted>
  <dcterms:created xsi:type="dcterms:W3CDTF">2023-11-21T01:48:00Z</dcterms:created>
  <dcterms:modified xsi:type="dcterms:W3CDTF">2023-11-21T01:49:00Z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PM_Qualifier">
    <vt:lpwstr/>
  </property>
  <property fmtid="{D5CDD505-2E9C-101B-9397-08002B2CF9AE}" pid="4" name="PM_SecurityClassification">
    <vt:lpwstr>OFFICIAL</vt:lpwstr>
  </property>
  <property fmtid="{D5CDD505-2E9C-101B-9397-08002B2CF9AE}" pid="5" name="PM_DisplayValueSecClassificationWithQualifier">
    <vt:lpwstr>OFFICIAL</vt:lpwstr>
  </property>
  <property fmtid="{D5CDD505-2E9C-101B-9397-08002B2CF9AE}" pid="6" name="PM_InsertionValue">
    <vt:lpwstr>OFFICIAL</vt:lpwstr>
  </property>
  <property fmtid="{D5CDD505-2E9C-101B-9397-08002B2CF9AE}" pid="7" name="PM_Originator_Hash_SHA1">
    <vt:lpwstr>C3AD57350F36D8E1BD75F8F67CB06D435C9C43CA</vt:lpwstr>
  </property>
  <property fmtid="{D5CDD505-2E9C-101B-9397-08002B2CF9AE}" pid="8" name="PM_Hash_Version">
    <vt:lpwstr>2022.1</vt:lpwstr>
  </property>
  <property fmtid="{D5CDD505-2E9C-101B-9397-08002B2CF9AE}" pid="9" name="PM_SecurityClassification_Prev">
    <vt:lpwstr>OFFICIAL</vt:lpwstr>
  </property>
  <property fmtid="{D5CDD505-2E9C-101B-9397-08002B2CF9AE}" pid="10" name="PM_Qualifier_Prev">
    <vt:lpwstr/>
  </property>
  <property fmtid="{D5CDD505-2E9C-101B-9397-08002B2CF9AE}" pid="11" name="PM_Caveats_Count">
    <vt:lpwstr>0</vt:lpwstr>
  </property>
  <property fmtid="{D5CDD505-2E9C-101B-9397-08002B2CF9AE}" pid="12" name="ContentTypeId">
    <vt:lpwstr>0x010100E5E831F15EEA47429C4A0837D916ED91</vt:lpwstr>
  </property>
  <property fmtid="{D5CDD505-2E9C-101B-9397-08002B2CF9AE}" pid="13" name="_dlc_DocIdItemGuid">
    <vt:lpwstr>76e6dc1d-c621-4d68-946d-95a3c183abe6</vt:lpwstr>
  </property>
  <property fmtid="{D5CDD505-2E9C-101B-9397-08002B2CF9AE}" pid="14" name="IsLocked">
    <vt:lpwstr>False</vt:lpwstr>
  </property>
  <property fmtid="{D5CDD505-2E9C-101B-9397-08002B2CF9AE}" pid="15"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16" name="IT system type">
    <vt:lpwstr/>
  </property>
  <property fmtid="{D5CDD505-2E9C-101B-9397-08002B2CF9AE}" pid="17" name="APRACategory">
    <vt:lpwstr/>
  </property>
  <property fmtid="{D5CDD505-2E9C-101B-9397-08002B2CF9AE}" pid="18" name="APRADocumentType">
    <vt:lpwstr>142;#Prudential standard|6ce5a155-9ab2-41e3-9b2a-5baab4b7f1d1;#58;#Legal instrument|71fd6ed3-d6d6-4975-ba99-bfe45802e734</vt:lpwstr>
  </property>
  <property fmtid="{D5CDD505-2E9C-101B-9397-08002B2CF9AE}" pid="19" name="APRAStatus">
    <vt:lpwstr>19;#Final|84d6b2d0-8498-4d62-bf46-bab38babbe9e</vt:lpwstr>
  </property>
  <property fmtid="{D5CDD505-2E9C-101B-9397-08002B2CF9AE}" pid="20" name="APRAPRSG">
    <vt:lpwstr/>
  </property>
  <property fmtid="{D5CDD505-2E9C-101B-9397-08002B2CF9AE}" pid="21" name="APRAActivity">
    <vt:lpwstr>10;#Registration|390476ce-d76d-4e8d-905f-28e32d2df127;#109;#Statutory instrument|fe68928c-5a9c-4caf-bc8c-6c18cedcb17f</vt:lpwstr>
  </property>
  <property fmtid="{D5CDD505-2E9C-101B-9397-08002B2CF9AE}" pid="22" name="APRAEntityAdviceSupport">
    <vt:lpwstr/>
  </property>
  <property fmtid="{D5CDD505-2E9C-101B-9397-08002B2CF9AE}" pid="23" name="APRAIndustry">
    <vt:lpwstr/>
  </property>
  <property fmtid="{D5CDD505-2E9C-101B-9397-08002B2CF9AE}" pid="24" name="APRALegislation">
    <vt:lpwstr/>
  </property>
  <property fmtid="{D5CDD505-2E9C-101B-9397-08002B2CF9AE}" pid="25" name="APRAYear">
    <vt:lpwstr/>
  </property>
  <property fmtid="{D5CDD505-2E9C-101B-9397-08002B2CF9AE}" pid="26" name="APRAExternalOrganisation">
    <vt:lpwstr/>
  </property>
  <property fmtid="{D5CDD505-2E9C-101B-9397-08002B2CF9AE}" pid="27" name="APRAIRTR">
    <vt:lpwstr/>
  </property>
  <property fmtid="{D5CDD505-2E9C-101B-9397-08002B2CF9AE}" pid="28" name="APRAPeriod">
    <vt:lpwstr/>
  </property>
  <property fmtid="{D5CDD505-2E9C-101B-9397-08002B2CF9AE}" pid="29" name="RecordPoint_WorkflowType">
    <vt:lpwstr>ActiveSubmitStub</vt:lpwstr>
  </property>
  <property fmtid="{D5CDD505-2E9C-101B-9397-08002B2CF9AE}" pid="30" name="RecordPoint_ActiveItemWebId">
    <vt:lpwstr>{75a71c27-8d66-4282-ae60-1bfc22a83be1}</vt:lpwstr>
  </property>
  <property fmtid="{D5CDD505-2E9C-101B-9397-08002B2CF9AE}" pid="31" name="RecordPoint_ActiveItemSiteId">
    <vt:lpwstr>{88691c01-5bbb-4215-adc0-66cb7065b0af}</vt:lpwstr>
  </property>
  <property fmtid="{D5CDD505-2E9C-101B-9397-08002B2CF9AE}" pid="32" name="RecordPoint_ActiveItemListId">
    <vt:lpwstr>{0e59e171-09d8-4401-800a-327154450cb3}</vt:lpwstr>
  </property>
  <property fmtid="{D5CDD505-2E9C-101B-9397-08002B2CF9AE}" pid="33" name="RecordPoint_ActiveItemUniqueId">
    <vt:lpwstr>{76e6dc1d-c621-4d68-946d-95a3c183abe6}</vt:lpwstr>
  </property>
  <property fmtid="{D5CDD505-2E9C-101B-9397-08002B2CF9AE}" pid="34" name="RecordPoint_RecordNumberSubmitted">
    <vt:lpwstr/>
  </property>
  <property fmtid="{D5CDD505-2E9C-101B-9397-08002B2CF9AE}" pid="35" name="PM_ProtectiveMarkingImage_Header">
    <vt:lpwstr>C:\Program Files\Common Files\janusNET Shared\janusSEAL\Images\DocumentSlashBlue.png</vt:lpwstr>
  </property>
  <property fmtid="{D5CDD505-2E9C-101B-9397-08002B2CF9AE}" pid="36" name="PM_ProtectiveMarkingValue_Header">
    <vt:lpwstr>OFFICIAL</vt:lpwstr>
  </property>
  <property fmtid="{D5CDD505-2E9C-101B-9397-08002B2CF9AE}" pid="37" name="PM_ProtectiveMarkingValue_Footer">
    <vt:lpwstr>OFFICIAL</vt:lpwstr>
  </property>
  <property fmtid="{D5CDD505-2E9C-101B-9397-08002B2CF9AE}" pid="38" name="PM_ProtectiveMarkingImage_Footer">
    <vt:lpwstr>C:\Program Files\Common Files\janusNET Shared\janusSEAL\Images\DocumentSlashBlue.png</vt:lpwstr>
  </property>
  <property fmtid="{D5CDD505-2E9C-101B-9397-08002B2CF9AE}" pid="39" name="PM_Namespace">
    <vt:lpwstr>gov.au</vt:lpwstr>
  </property>
  <property fmtid="{D5CDD505-2E9C-101B-9397-08002B2CF9AE}" pid="40" name="PM_Version">
    <vt:lpwstr>2018.4</vt:lpwstr>
  </property>
  <property fmtid="{D5CDD505-2E9C-101B-9397-08002B2CF9AE}" pid="41" name="PM_Originating_FileId">
    <vt:lpwstr>90CE96A59736464C82BDD3B704E095F9</vt:lpwstr>
  </property>
  <property fmtid="{D5CDD505-2E9C-101B-9397-08002B2CF9AE}" pid="42" name="PM_OriginationTimeStamp">
    <vt:lpwstr>2022-11-21T21:52:02Z</vt:lpwstr>
  </property>
  <property fmtid="{D5CDD505-2E9C-101B-9397-08002B2CF9AE}" pid="43" name="RecordPoint_SubmissionCompleted">
    <vt:lpwstr/>
  </property>
  <property fmtid="{D5CDD505-2E9C-101B-9397-08002B2CF9AE}" pid="44" name="RecordPoint_SubmissionDate">
    <vt:lpwstr/>
  </property>
  <property fmtid="{D5CDD505-2E9C-101B-9397-08002B2CF9AE}" pid="45" name="RecordPoint_ActiveItemMoved">
    <vt:lpwstr/>
  </property>
  <property fmtid="{D5CDD505-2E9C-101B-9397-08002B2CF9AE}" pid="46" name="RecordPoint_RecordFormat">
    <vt:lpwstr/>
  </property>
  <property fmtid="{D5CDD505-2E9C-101B-9397-08002B2CF9AE}" pid="47" name="MSIP_Label_c0129afb-6481-4f92-bc9f-5a4a6346364d_SetDate">
    <vt:lpwstr>2022-11-21T21:52:02Z</vt:lpwstr>
  </property>
  <property fmtid="{D5CDD505-2E9C-101B-9397-08002B2CF9AE}" pid="48" name="PM_Note">
    <vt:lpwstr/>
  </property>
  <property fmtid="{D5CDD505-2E9C-101B-9397-08002B2CF9AE}" pid="49" name="PM_Markers">
    <vt:lpwstr/>
  </property>
  <property fmtid="{D5CDD505-2E9C-101B-9397-08002B2CF9AE}" pid="50" name="PM_Display">
    <vt:lpwstr>OFFICIAL</vt:lpwstr>
  </property>
  <property fmtid="{D5CDD505-2E9C-101B-9397-08002B2CF9AE}" pid="51" name="PMUuid">
    <vt:lpwstr>v=2022.2;d=gov.au;g=46DD6D7C-8107-577B-BC6E-F348953B2E44</vt:lpwstr>
  </property>
  <property fmtid="{D5CDD505-2E9C-101B-9397-08002B2CF9AE}" pid="52" name="PM_OriginatorUserAccountName_SHA256">
    <vt:lpwstr>6E3018F28A186D2E5FF5207C041E7A82E907C3008E071057026A53705873B72E</vt:lpwstr>
  </property>
  <property fmtid="{D5CDD505-2E9C-101B-9397-08002B2CF9AE}" pid="53" name="PM_OriginatorDomainName_SHA256">
    <vt:lpwstr>ECBDE2B44A971754412B3FB70606937A119CC0D4B6C1B658A40FBD41C30BE3EC</vt:lpwstr>
  </property>
  <property fmtid="{D5CDD505-2E9C-101B-9397-08002B2CF9AE}" pid="54" name="MSIP_Label_c0129afb-6481-4f92-bc9f-5a4a6346364d_Name">
    <vt:lpwstr>OFFICIAL</vt:lpwstr>
  </property>
  <property fmtid="{D5CDD505-2E9C-101B-9397-08002B2CF9AE}" pid="55" name="MSIP_Label_c0129afb-6481-4f92-bc9f-5a4a6346364d_SiteId">
    <vt:lpwstr>c05e3ffd-b491-4431-9809-e61d4dc78816</vt:lpwstr>
  </property>
  <property fmtid="{D5CDD505-2E9C-101B-9397-08002B2CF9AE}" pid="56" name="MSIP_Label_c0129afb-6481-4f92-bc9f-5a4a6346364d_Enabled">
    <vt:lpwstr>true</vt:lpwstr>
  </property>
  <property fmtid="{D5CDD505-2E9C-101B-9397-08002B2CF9AE}" pid="57" name="MSIP_Label_c0129afb-6481-4f92-bc9f-5a4a6346364d_Method">
    <vt:lpwstr>Privileged</vt:lpwstr>
  </property>
  <property fmtid="{D5CDD505-2E9C-101B-9397-08002B2CF9AE}" pid="58" name="MSIP_Label_c0129afb-6481-4f92-bc9f-5a4a6346364d_ContentBits">
    <vt:lpwstr>0</vt:lpwstr>
  </property>
  <property fmtid="{D5CDD505-2E9C-101B-9397-08002B2CF9AE}" pid="59" name="PM_Hash_Salt">
    <vt:lpwstr>67D34026AAB020CEEEF783D363F77657</vt:lpwstr>
  </property>
  <property fmtid="{D5CDD505-2E9C-101B-9397-08002B2CF9AE}" pid="60" name="PM_Hash_SHA1">
    <vt:lpwstr>ED1674D211DAABFE02CE88F44ACA41A31943DC74</vt:lpwstr>
  </property>
  <property fmtid="{D5CDD505-2E9C-101B-9397-08002B2CF9AE}" pid="61" name="PM_Hash_Salt_Prev">
    <vt:lpwstr>E310898C596DFEC80748AA6F7AE90E76</vt:lpwstr>
  </property>
  <property fmtid="{D5CDD505-2E9C-101B-9397-08002B2CF9AE}" pid="62" name="PMHMAC">
    <vt:lpwstr>v=2022.1;a=SHA256;h=E87860AB6CFA725F4D25EF7FC618F26B109717BC5A37E937FAF61E4F916A4B82</vt:lpwstr>
  </property>
  <property fmtid="{D5CDD505-2E9C-101B-9397-08002B2CF9AE}" pid="63" name="MSIP_Label_c0129afb-6481-4f92-bc9f-5a4a6346364d_ActionId">
    <vt:lpwstr>352b7483597e4a5799fd2912dad27452</vt:lpwstr>
  </property>
</Properties>
</file>