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CE2D5" w14:textId="77777777" w:rsidR="000730AA" w:rsidRDefault="000730AA" w:rsidP="000730AA">
      <w:pPr>
        <w:spacing w:after="0"/>
      </w:pPr>
    </w:p>
    <w:p w14:paraId="3FB6CB10" w14:textId="77777777" w:rsidR="000730AA" w:rsidRPr="00E80020" w:rsidRDefault="000730AA" w:rsidP="000730AA">
      <w:pPr>
        <w:rPr>
          <w:color w:val="000000"/>
        </w:rPr>
      </w:pPr>
      <w:bookmarkStart w:id="0" w:name="_Toc168113228"/>
      <w:r>
        <w:rPr>
          <w:noProof/>
          <w:color w:val="000000"/>
        </w:rPr>
        <w:drawing>
          <wp:inline distT="0" distB="0" distL="0" distR="0" wp14:anchorId="508410F7" wp14:editId="758BB5E2">
            <wp:extent cx="1419225" cy="1104900"/>
            <wp:effectExtent l="0" t="0" r="9525" b="0"/>
            <wp:docPr id="3" name="Picture 3"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6298FBCD" w14:textId="244971E8" w:rsidR="000730AA" w:rsidRPr="00660F4B" w:rsidRDefault="000730AA" w:rsidP="000730AA">
      <w:pPr>
        <w:pStyle w:val="Title"/>
        <w:spacing w:before="360"/>
        <w:rPr>
          <w:color w:val="000000"/>
        </w:rPr>
      </w:pPr>
      <w:r w:rsidRPr="00660F4B">
        <w:rPr>
          <w:color w:val="000000"/>
        </w:rPr>
        <w:t>Banking (prudential standard)</w:t>
      </w:r>
      <w:r>
        <w:rPr>
          <w:color w:val="000000"/>
        </w:rPr>
        <w:t xml:space="preserve"> </w:t>
      </w:r>
      <w:r w:rsidRPr="00660F4B">
        <w:rPr>
          <w:color w:val="000000"/>
        </w:rPr>
        <w:t xml:space="preserve">determination No. </w:t>
      </w:r>
      <w:r w:rsidR="002F55D3">
        <w:rPr>
          <w:color w:val="000000"/>
        </w:rPr>
        <w:t>6</w:t>
      </w:r>
      <w:r w:rsidRPr="00660F4B">
        <w:rPr>
          <w:color w:val="000000"/>
        </w:rPr>
        <w:t xml:space="preserve"> of 2023 </w:t>
      </w:r>
    </w:p>
    <w:p w14:paraId="2200E342" w14:textId="7BE9C45C" w:rsidR="000730AA" w:rsidRPr="00230D47" w:rsidRDefault="000730AA" w:rsidP="000730AA">
      <w:pPr>
        <w:pStyle w:val="Title"/>
        <w:spacing w:before="360" w:after="120"/>
        <w:rPr>
          <w:color w:val="000000"/>
          <w:sz w:val="28"/>
          <w:szCs w:val="28"/>
        </w:rPr>
      </w:pPr>
      <w:r w:rsidRPr="00230D47">
        <w:rPr>
          <w:color w:val="000000"/>
          <w:sz w:val="28"/>
          <w:szCs w:val="28"/>
        </w:rPr>
        <w:t xml:space="preserve">Prudential Standard </w:t>
      </w:r>
      <w:r w:rsidRPr="000730AA">
        <w:rPr>
          <w:color w:val="000000"/>
          <w:sz w:val="28"/>
          <w:szCs w:val="28"/>
        </w:rPr>
        <w:t>APS 120</w:t>
      </w:r>
      <w:r>
        <w:rPr>
          <w:color w:val="000000"/>
          <w:sz w:val="28"/>
          <w:szCs w:val="28"/>
        </w:rPr>
        <w:t xml:space="preserve"> </w:t>
      </w:r>
      <w:r w:rsidRPr="000730AA">
        <w:rPr>
          <w:color w:val="000000"/>
          <w:sz w:val="28"/>
          <w:szCs w:val="28"/>
        </w:rPr>
        <w:t>Securitisation</w:t>
      </w:r>
    </w:p>
    <w:p w14:paraId="171B1127" w14:textId="77777777" w:rsidR="000730AA" w:rsidRPr="00E80020" w:rsidRDefault="000730AA" w:rsidP="000730AA">
      <w:pPr>
        <w:pStyle w:val="ActTitle"/>
        <w:spacing w:before="360"/>
        <w:rPr>
          <w:color w:val="000000"/>
        </w:rPr>
      </w:pPr>
      <w:r w:rsidRPr="00E80020">
        <w:rPr>
          <w:color w:val="000000"/>
        </w:rPr>
        <w:t>Banking Act 1959</w:t>
      </w:r>
    </w:p>
    <w:p w14:paraId="046DC529" w14:textId="77777777" w:rsidR="000730AA" w:rsidRPr="00230D47" w:rsidRDefault="000730AA" w:rsidP="000730AA">
      <w:pPr>
        <w:pStyle w:val="IntroTo"/>
        <w:rPr>
          <w:rFonts w:ascii="Arial" w:hAnsi="Arial" w:cs="Arial"/>
          <w:color w:val="000000"/>
          <w:sz w:val="22"/>
          <w:szCs w:val="22"/>
        </w:rPr>
      </w:pPr>
    </w:p>
    <w:p w14:paraId="02316E05" w14:textId="30A399E3" w:rsidR="000730AA" w:rsidRPr="00230D47" w:rsidRDefault="000730AA" w:rsidP="000730AA">
      <w:pPr>
        <w:rPr>
          <w:rFonts w:ascii="Arial" w:hAnsi="Arial" w:cs="Arial"/>
          <w:sz w:val="22"/>
          <w:szCs w:val="22"/>
          <w:highlight w:val="yellow"/>
        </w:rPr>
      </w:pPr>
      <w:r w:rsidRPr="00230D47">
        <w:rPr>
          <w:rFonts w:ascii="Arial" w:hAnsi="Arial" w:cs="Arial"/>
          <w:sz w:val="22"/>
          <w:szCs w:val="22"/>
        </w:rPr>
        <w:t xml:space="preserve">I, </w:t>
      </w:r>
      <w:r w:rsidR="00C51A8A" w:rsidRPr="00C51A8A">
        <w:rPr>
          <w:rFonts w:ascii="Arial" w:hAnsi="Arial" w:cs="Arial"/>
          <w:sz w:val="22"/>
          <w:szCs w:val="22"/>
        </w:rPr>
        <w:t>Clare Gibney</w:t>
      </w:r>
      <w:r w:rsidRPr="00230D47">
        <w:rPr>
          <w:rFonts w:ascii="Arial" w:hAnsi="Arial" w:cs="Arial"/>
          <w:sz w:val="22"/>
          <w:szCs w:val="22"/>
        </w:rPr>
        <w:t>,</w:t>
      </w:r>
      <w:r>
        <w:rPr>
          <w:rFonts w:ascii="Arial" w:hAnsi="Arial" w:cs="Arial"/>
          <w:sz w:val="22"/>
          <w:szCs w:val="22"/>
        </w:rPr>
        <w:t xml:space="preserve"> </w:t>
      </w:r>
      <w:r w:rsidR="00D310C8">
        <w:rPr>
          <w:rFonts w:ascii="Arial" w:hAnsi="Arial" w:cs="Arial"/>
          <w:sz w:val="22"/>
          <w:szCs w:val="22"/>
        </w:rPr>
        <w:t xml:space="preserve">a </w:t>
      </w:r>
      <w:r w:rsidRPr="00230D47">
        <w:rPr>
          <w:rFonts w:ascii="Arial" w:hAnsi="Arial" w:cs="Arial"/>
          <w:sz w:val="22"/>
          <w:szCs w:val="22"/>
        </w:rPr>
        <w:t>delegate of APRA:</w:t>
      </w:r>
    </w:p>
    <w:p w14:paraId="3D566B2A" w14:textId="77777777" w:rsidR="000730AA" w:rsidRPr="00230D47" w:rsidRDefault="000730AA" w:rsidP="000730AA">
      <w:pPr>
        <w:pStyle w:val="IntroTo"/>
        <w:ind w:left="0" w:firstLine="0"/>
        <w:jc w:val="both"/>
        <w:rPr>
          <w:rFonts w:ascii="Arial" w:hAnsi="Arial" w:cs="Arial"/>
          <w:sz w:val="22"/>
          <w:szCs w:val="22"/>
        </w:rPr>
      </w:pPr>
    </w:p>
    <w:p w14:paraId="375A10B0" w14:textId="03867F3A" w:rsidR="000730AA" w:rsidRDefault="000730AA" w:rsidP="000730AA">
      <w:pPr>
        <w:pStyle w:val="IntroTo"/>
        <w:numPr>
          <w:ilvl w:val="0"/>
          <w:numId w:val="31"/>
        </w:numPr>
        <w:ind w:hanging="720"/>
        <w:jc w:val="both"/>
        <w:rPr>
          <w:rFonts w:ascii="Arial" w:hAnsi="Arial" w:cs="Arial"/>
          <w:color w:val="000000"/>
          <w:sz w:val="22"/>
          <w:szCs w:val="22"/>
        </w:rPr>
      </w:pPr>
      <w:r w:rsidRPr="00230D47">
        <w:rPr>
          <w:rFonts w:ascii="Arial" w:hAnsi="Arial" w:cs="Arial"/>
          <w:color w:val="000000"/>
          <w:sz w:val="22"/>
          <w:szCs w:val="22"/>
        </w:rPr>
        <w:t>under subsection 11</w:t>
      </w:r>
      <w:proofErr w:type="gramStart"/>
      <w:r w:rsidRPr="00230D47">
        <w:rPr>
          <w:rFonts w:ascii="Arial" w:hAnsi="Arial" w:cs="Arial"/>
          <w:color w:val="000000"/>
          <w:sz w:val="22"/>
          <w:szCs w:val="22"/>
        </w:rPr>
        <w:t>AF(</w:t>
      </w:r>
      <w:proofErr w:type="gramEnd"/>
      <w:r w:rsidRPr="00230D47">
        <w:rPr>
          <w:rFonts w:ascii="Arial" w:hAnsi="Arial" w:cs="Arial"/>
          <w:color w:val="000000"/>
          <w:sz w:val="22"/>
          <w:szCs w:val="22"/>
        </w:rPr>
        <w:t xml:space="preserve">3) of the </w:t>
      </w:r>
      <w:r w:rsidRPr="007E1E02">
        <w:rPr>
          <w:rFonts w:ascii="Arial" w:hAnsi="Arial" w:cs="Arial"/>
          <w:i/>
          <w:color w:val="000000"/>
          <w:sz w:val="22"/>
          <w:szCs w:val="22"/>
        </w:rPr>
        <w:t>Banking Act 1959</w:t>
      </w:r>
      <w:r w:rsidRPr="00230D47">
        <w:rPr>
          <w:rFonts w:ascii="Arial" w:hAnsi="Arial" w:cs="Arial"/>
          <w:color w:val="000000"/>
          <w:sz w:val="22"/>
          <w:szCs w:val="22"/>
        </w:rPr>
        <w:t xml:space="preserve"> (the Act) REVOKE </w:t>
      </w:r>
      <w:r w:rsidRPr="00BE4054">
        <w:rPr>
          <w:rFonts w:ascii="Arial" w:hAnsi="Arial" w:cs="Arial"/>
          <w:i/>
          <w:color w:val="000000"/>
          <w:sz w:val="22"/>
          <w:szCs w:val="22"/>
        </w:rPr>
        <w:t xml:space="preserve">Banking (prudential standard) determination No. </w:t>
      </w:r>
      <w:r w:rsidR="00371695">
        <w:rPr>
          <w:rFonts w:ascii="Arial" w:hAnsi="Arial" w:cs="Arial"/>
          <w:i/>
          <w:color w:val="000000"/>
          <w:sz w:val="22"/>
          <w:szCs w:val="22"/>
        </w:rPr>
        <w:t>2</w:t>
      </w:r>
      <w:r w:rsidRPr="00BE4054">
        <w:rPr>
          <w:rFonts w:ascii="Arial" w:hAnsi="Arial" w:cs="Arial"/>
          <w:i/>
          <w:color w:val="000000"/>
          <w:sz w:val="22"/>
          <w:szCs w:val="22"/>
        </w:rPr>
        <w:t xml:space="preserve"> of</w:t>
      </w:r>
      <w:r>
        <w:rPr>
          <w:rFonts w:ascii="Arial" w:hAnsi="Arial" w:cs="Arial"/>
          <w:i/>
          <w:color w:val="000000"/>
          <w:sz w:val="22"/>
          <w:szCs w:val="22"/>
        </w:rPr>
        <w:t xml:space="preserve"> </w:t>
      </w:r>
      <w:r w:rsidR="00371695">
        <w:rPr>
          <w:rFonts w:ascii="Arial" w:hAnsi="Arial" w:cs="Arial"/>
          <w:i/>
          <w:color w:val="000000"/>
          <w:sz w:val="22"/>
          <w:szCs w:val="22"/>
        </w:rPr>
        <w:t>2023</w:t>
      </w:r>
      <w:r w:rsidRPr="00230D47">
        <w:rPr>
          <w:rFonts w:ascii="Arial" w:hAnsi="Arial" w:cs="Arial"/>
          <w:color w:val="000000"/>
          <w:sz w:val="22"/>
          <w:szCs w:val="22"/>
        </w:rPr>
        <w:t xml:space="preserve">, including </w:t>
      </w:r>
      <w:r w:rsidRPr="00230D47">
        <w:rPr>
          <w:rFonts w:ascii="Arial" w:hAnsi="Arial" w:cs="Arial"/>
          <w:i/>
          <w:color w:val="000000"/>
          <w:sz w:val="22"/>
          <w:szCs w:val="22"/>
        </w:rPr>
        <w:t xml:space="preserve">Prudential Standard APS </w:t>
      </w:r>
      <w:r w:rsidRPr="000945B6">
        <w:rPr>
          <w:rFonts w:ascii="Arial" w:hAnsi="Arial" w:cs="Arial"/>
          <w:i/>
          <w:color w:val="000000"/>
          <w:sz w:val="22"/>
          <w:szCs w:val="22"/>
        </w:rPr>
        <w:t>1</w:t>
      </w:r>
      <w:r w:rsidR="006C3C3B">
        <w:rPr>
          <w:rFonts w:ascii="Arial" w:hAnsi="Arial" w:cs="Arial"/>
          <w:i/>
          <w:color w:val="000000"/>
          <w:sz w:val="22"/>
          <w:szCs w:val="22"/>
        </w:rPr>
        <w:t>20</w:t>
      </w:r>
      <w:r w:rsidR="00A456BC">
        <w:rPr>
          <w:rFonts w:ascii="Arial" w:hAnsi="Arial" w:cs="Arial"/>
          <w:i/>
          <w:color w:val="000000"/>
          <w:sz w:val="22"/>
          <w:szCs w:val="22"/>
        </w:rPr>
        <w:t xml:space="preserve"> </w:t>
      </w:r>
      <w:r w:rsidR="008B6F02" w:rsidRPr="008B6F02">
        <w:rPr>
          <w:rFonts w:ascii="Arial" w:hAnsi="Arial" w:cs="Arial"/>
          <w:i/>
          <w:color w:val="000000"/>
          <w:sz w:val="22"/>
          <w:szCs w:val="22"/>
        </w:rPr>
        <w:t xml:space="preserve">Securitisation </w:t>
      </w:r>
      <w:r w:rsidRPr="00230D47">
        <w:rPr>
          <w:rFonts w:ascii="Arial" w:hAnsi="Arial" w:cs="Arial"/>
          <w:color w:val="000000"/>
          <w:sz w:val="22"/>
          <w:szCs w:val="22"/>
        </w:rPr>
        <w:t xml:space="preserve">made under that </w:t>
      </w:r>
      <w:r>
        <w:rPr>
          <w:rFonts w:ascii="Arial" w:hAnsi="Arial" w:cs="Arial"/>
          <w:color w:val="000000"/>
          <w:sz w:val="22"/>
          <w:szCs w:val="22"/>
        </w:rPr>
        <w:t>d</w:t>
      </w:r>
      <w:r w:rsidRPr="00230D47">
        <w:rPr>
          <w:rFonts w:ascii="Arial" w:hAnsi="Arial" w:cs="Arial"/>
          <w:color w:val="000000"/>
          <w:sz w:val="22"/>
          <w:szCs w:val="22"/>
        </w:rPr>
        <w:t>etermination; and</w:t>
      </w:r>
    </w:p>
    <w:p w14:paraId="153F0608" w14:textId="77777777" w:rsidR="000730AA" w:rsidRPr="00230D47" w:rsidRDefault="000730AA" w:rsidP="000730AA">
      <w:pPr>
        <w:pStyle w:val="IntroTo"/>
        <w:ind w:firstLine="0"/>
        <w:jc w:val="both"/>
        <w:rPr>
          <w:rFonts w:ascii="Arial" w:hAnsi="Arial" w:cs="Arial"/>
          <w:color w:val="000000"/>
          <w:sz w:val="22"/>
          <w:szCs w:val="22"/>
        </w:rPr>
      </w:pPr>
    </w:p>
    <w:p w14:paraId="2DD72F6F" w14:textId="0A85FE44" w:rsidR="000730AA" w:rsidRPr="00230D47" w:rsidRDefault="000730AA" w:rsidP="000730AA">
      <w:pPr>
        <w:pStyle w:val="IntroTo"/>
        <w:numPr>
          <w:ilvl w:val="0"/>
          <w:numId w:val="31"/>
        </w:numPr>
        <w:ind w:hanging="720"/>
        <w:jc w:val="both"/>
        <w:rPr>
          <w:rFonts w:ascii="Arial" w:hAnsi="Arial" w:cs="Arial"/>
          <w:color w:val="000000"/>
          <w:sz w:val="22"/>
          <w:szCs w:val="22"/>
        </w:rPr>
      </w:pPr>
      <w:r w:rsidRPr="00230D47">
        <w:rPr>
          <w:rFonts w:ascii="Arial" w:hAnsi="Arial" w:cs="Arial"/>
          <w:color w:val="000000"/>
          <w:sz w:val="22"/>
          <w:szCs w:val="22"/>
        </w:rPr>
        <w:t>under subsection 11</w:t>
      </w:r>
      <w:proofErr w:type="gramStart"/>
      <w:r w:rsidRPr="00230D47">
        <w:rPr>
          <w:rFonts w:ascii="Arial" w:hAnsi="Arial" w:cs="Arial"/>
          <w:color w:val="000000"/>
          <w:sz w:val="22"/>
          <w:szCs w:val="22"/>
        </w:rPr>
        <w:t>AF(</w:t>
      </w:r>
      <w:proofErr w:type="gramEnd"/>
      <w:r w:rsidRPr="00230D47">
        <w:rPr>
          <w:rFonts w:ascii="Arial" w:hAnsi="Arial" w:cs="Arial"/>
          <w:color w:val="000000"/>
          <w:sz w:val="22"/>
          <w:szCs w:val="22"/>
        </w:rPr>
        <w:t xml:space="preserve">1) of the Act DETERMINE </w:t>
      </w:r>
      <w:r w:rsidRPr="00230D47">
        <w:rPr>
          <w:rFonts w:ascii="Arial" w:hAnsi="Arial" w:cs="Arial"/>
          <w:i/>
          <w:color w:val="000000"/>
          <w:sz w:val="22"/>
          <w:szCs w:val="22"/>
        </w:rPr>
        <w:t xml:space="preserve">Prudential Standard APS </w:t>
      </w:r>
      <w:r w:rsidR="008B6F02" w:rsidRPr="008B6F02">
        <w:rPr>
          <w:rFonts w:ascii="Arial" w:hAnsi="Arial" w:cs="Arial"/>
          <w:i/>
          <w:color w:val="000000"/>
          <w:sz w:val="22"/>
          <w:szCs w:val="22"/>
        </w:rPr>
        <w:t>120 Securitisation</w:t>
      </w:r>
      <w:r w:rsidRPr="00230D47">
        <w:rPr>
          <w:rFonts w:ascii="Arial" w:hAnsi="Arial" w:cs="Arial"/>
          <w:color w:val="000000"/>
          <w:sz w:val="22"/>
          <w:szCs w:val="22"/>
        </w:rPr>
        <w:t xml:space="preserve">, in the form set out in the </w:t>
      </w:r>
      <w:r>
        <w:rPr>
          <w:rFonts w:ascii="Arial" w:hAnsi="Arial" w:cs="Arial"/>
          <w:color w:val="000000"/>
          <w:sz w:val="22"/>
          <w:szCs w:val="22"/>
        </w:rPr>
        <w:t>s</w:t>
      </w:r>
      <w:r w:rsidRPr="00230D47">
        <w:rPr>
          <w:rFonts w:ascii="Arial" w:hAnsi="Arial" w:cs="Arial"/>
          <w:color w:val="000000"/>
          <w:sz w:val="22"/>
          <w:szCs w:val="22"/>
        </w:rPr>
        <w:t xml:space="preserve">chedule, </w:t>
      </w:r>
      <w:r w:rsidR="00E44CCB" w:rsidRPr="00E44CCB">
        <w:rPr>
          <w:rFonts w:ascii="Arial" w:hAnsi="Arial" w:cs="Arial"/>
          <w:color w:val="000000"/>
          <w:sz w:val="22"/>
          <w:szCs w:val="22"/>
        </w:rPr>
        <w:t>which applies to all ADIs and authorised NOHCs to the extent provided in paragraphs 2 to 5 of the prudential standard.</w:t>
      </w:r>
    </w:p>
    <w:p w14:paraId="33437696" w14:textId="77777777" w:rsidR="000730AA" w:rsidRPr="00230D47" w:rsidRDefault="000730AA" w:rsidP="000730AA">
      <w:pPr>
        <w:jc w:val="both"/>
        <w:rPr>
          <w:rFonts w:ascii="Arial" w:hAnsi="Arial" w:cs="Arial"/>
          <w:sz w:val="22"/>
          <w:szCs w:val="22"/>
        </w:rPr>
      </w:pPr>
    </w:p>
    <w:p w14:paraId="3E293A59" w14:textId="37373543" w:rsidR="000730AA" w:rsidRDefault="000730AA" w:rsidP="000730AA">
      <w:pPr>
        <w:jc w:val="both"/>
        <w:rPr>
          <w:rFonts w:ascii="Arial" w:hAnsi="Arial" w:cs="Arial"/>
          <w:sz w:val="22"/>
          <w:szCs w:val="22"/>
        </w:rPr>
      </w:pPr>
      <w:r w:rsidRPr="00230D47">
        <w:rPr>
          <w:rFonts w:ascii="Arial" w:hAnsi="Arial" w:cs="Arial"/>
          <w:sz w:val="22"/>
          <w:szCs w:val="22"/>
        </w:rPr>
        <w:t xml:space="preserve">This instrument </w:t>
      </w:r>
      <w:r>
        <w:rPr>
          <w:rFonts w:ascii="Arial" w:hAnsi="Arial" w:cs="Arial"/>
          <w:sz w:val="22"/>
          <w:szCs w:val="22"/>
        </w:rPr>
        <w:t>commences</w:t>
      </w:r>
      <w:r w:rsidRPr="00230D47">
        <w:rPr>
          <w:rFonts w:ascii="Arial" w:hAnsi="Arial" w:cs="Arial"/>
          <w:sz w:val="22"/>
          <w:szCs w:val="22"/>
        </w:rPr>
        <w:t xml:space="preserve"> on </w:t>
      </w:r>
      <w:r w:rsidR="00074AEE" w:rsidRPr="00074AEE">
        <w:rPr>
          <w:rFonts w:ascii="Arial" w:hAnsi="Arial" w:cs="Arial"/>
          <w:sz w:val="22"/>
          <w:szCs w:val="22"/>
        </w:rPr>
        <w:t>1 January 2024</w:t>
      </w:r>
      <w:r w:rsidRPr="00074AEE">
        <w:rPr>
          <w:rFonts w:ascii="Arial" w:hAnsi="Arial" w:cs="Arial"/>
          <w:sz w:val="22"/>
          <w:szCs w:val="22"/>
        </w:rPr>
        <w:t>.</w:t>
      </w:r>
    </w:p>
    <w:p w14:paraId="4EB04AB6" w14:textId="77777777" w:rsidR="000730AA" w:rsidRPr="00230D47" w:rsidRDefault="000730AA" w:rsidP="000730AA">
      <w:pPr>
        <w:jc w:val="both"/>
        <w:rPr>
          <w:rFonts w:ascii="Arial" w:hAnsi="Arial" w:cs="Arial"/>
          <w:sz w:val="22"/>
          <w:szCs w:val="22"/>
        </w:rPr>
      </w:pPr>
    </w:p>
    <w:p w14:paraId="5C2F14E9" w14:textId="4B5685D7" w:rsidR="000730AA" w:rsidRPr="00230D47" w:rsidRDefault="000730AA" w:rsidP="000730AA">
      <w:pPr>
        <w:jc w:val="both"/>
        <w:rPr>
          <w:rFonts w:ascii="Arial" w:hAnsi="Arial" w:cs="Arial"/>
          <w:sz w:val="22"/>
          <w:szCs w:val="22"/>
        </w:rPr>
      </w:pPr>
      <w:r w:rsidRPr="00230D47">
        <w:rPr>
          <w:rFonts w:ascii="Arial" w:hAnsi="Arial" w:cs="Arial"/>
          <w:sz w:val="22"/>
          <w:szCs w:val="22"/>
        </w:rPr>
        <w:t xml:space="preserve">Dated: </w:t>
      </w:r>
      <w:r w:rsidR="004966A8">
        <w:rPr>
          <w:rFonts w:ascii="Arial" w:hAnsi="Arial" w:cs="Arial"/>
          <w:sz w:val="22"/>
          <w:szCs w:val="22"/>
        </w:rPr>
        <w:t>21 November 2023</w:t>
      </w:r>
    </w:p>
    <w:p w14:paraId="154224F6" w14:textId="77777777" w:rsidR="000730AA" w:rsidRPr="00230D47" w:rsidRDefault="000730AA" w:rsidP="000730AA">
      <w:pPr>
        <w:jc w:val="both"/>
        <w:rPr>
          <w:rFonts w:ascii="Arial" w:hAnsi="Arial" w:cs="Arial"/>
          <w:color w:val="000000"/>
          <w:sz w:val="22"/>
          <w:szCs w:val="22"/>
          <w:highlight w:val="yellow"/>
        </w:rPr>
      </w:pPr>
    </w:p>
    <w:p w14:paraId="25909D94" w14:textId="77777777" w:rsidR="000730AA" w:rsidRDefault="000730AA" w:rsidP="000730AA">
      <w:pPr>
        <w:rPr>
          <w:rFonts w:ascii="Arial" w:hAnsi="Arial" w:cs="Arial"/>
          <w:sz w:val="22"/>
          <w:szCs w:val="22"/>
        </w:rPr>
      </w:pPr>
    </w:p>
    <w:p w14:paraId="37F9F0B0" w14:textId="0F5373AF" w:rsidR="000730AA" w:rsidRDefault="00C51A8A" w:rsidP="00F979B5">
      <w:pPr>
        <w:spacing w:after="120"/>
        <w:jc w:val="both"/>
        <w:rPr>
          <w:rFonts w:ascii="Arial" w:hAnsi="Arial" w:cs="Arial"/>
          <w:sz w:val="22"/>
          <w:szCs w:val="22"/>
        </w:rPr>
      </w:pPr>
      <w:r w:rsidRPr="00C51A8A">
        <w:rPr>
          <w:rFonts w:ascii="Arial" w:hAnsi="Arial" w:cs="Arial"/>
          <w:sz w:val="22"/>
          <w:szCs w:val="22"/>
        </w:rPr>
        <w:t>Clare Gibney</w:t>
      </w:r>
    </w:p>
    <w:p w14:paraId="0A935314" w14:textId="77777777" w:rsidR="000730AA" w:rsidRDefault="000730AA" w:rsidP="00F979B5">
      <w:pPr>
        <w:spacing w:after="120"/>
        <w:jc w:val="both"/>
        <w:rPr>
          <w:rFonts w:ascii="Arial" w:hAnsi="Arial" w:cs="Arial"/>
          <w:sz w:val="22"/>
          <w:szCs w:val="22"/>
        </w:rPr>
      </w:pPr>
      <w:r>
        <w:rPr>
          <w:rFonts w:ascii="Arial" w:hAnsi="Arial" w:cs="Arial"/>
          <w:sz w:val="22"/>
          <w:szCs w:val="22"/>
        </w:rPr>
        <w:t xml:space="preserve">Executive Director </w:t>
      </w:r>
    </w:p>
    <w:p w14:paraId="50E6D026" w14:textId="0F89A85D" w:rsidR="000730AA" w:rsidRPr="00230D47" w:rsidRDefault="00C51A8A" w:rsidP="00F979B5">
      <w:pPr>
        <w:spacing w:after="120"/>
        <w:jc w:val="both"/>
        <w:rPr>
          <w:rFonts w:ascii="Arial" w:hAnsi="Arial" w:cs="Arial"/>
          <w:sz w:val="22"/>
          <w:szCs w:val="22"/>
        </w:rPr>
      </w:pPr>
      <w:r>
        <w:rPr>
          <w:rFonts w:ascii="Arial" w:hAnsi="Arial" w:cs="Arial"/>
          <w:sz w:val="22"/>
          <w:szCs w:val="22"/>
        </w:rPr>
        <w:t>Policy and Advice</w:t>
      </w:r>
      <w:r w:rsidR="000730AA">
        <w:rPr>
          <w:rFonts w:ascii="Arial" w:hAnsi="Arial" w:cs="Arial"/>
          <w:sz w:val="22"/>
          <w:szCs w:val="22"/>
        </w:rPr>
        <w:t xml:space="preserve"> Division</w:t>
      </w:r>
    </w:p>
    <w:p w14:paraId="41CC3040" w14:textId="77777777" w:rsidR="000730AA" w:rsidRPr="00230D47" w:rsidRDefault="000730AA" w:rsidP="000730AA">
      <w:pPr>
        <w:pStyle w:val="IH"/>
        <w:ind w:left="0" w:firstLine="0"/>
        <w:rPr>
          <w:rFonts w:cs="Arial"/>
          <w:color w:val="000000"/>
          <w:sz w:val="22"/>
          <w:szCs w:val="22"/>
        </w:rPr>
      </w:pPr>
      <w:r w:rsidRPr="00230D47">
        <w:rPr>
          <w:rFonts w:cs="Arial"/>
          <w:color w:val="000000"/>
          <w:sz w:val="22"/>
          <w:szCs w:val="22"/>
        </w:rPr>
        <w:t>Interpretation</w:t>
      </w:r>
    </w:p>
    <w:p w14:paraId="5163D70C" w14:textId="77777777" w:rsidR="000730AA" w:rsidRPr="00230D47" w:rsidRDefault="000730AA" w:rsidP="000730AA">
      <w:pPr>
        <w:pStyle w:val="IP"/>
        <w:spacing w:line="240" w:lineRule="auto"/>
        <w:rPr>
          <w:rFonts w:ascii="Arial" w:hAnsi="Arial" w:cs="Arial"/>
          <w:color w:val="000000"/>
          <w:sz w:val="22"/>
          <w:szCs w:val="22"/>
        </w:rPr>
      </w:pPr>
      <w:r w:rsidRPr="00230D47">
        <w:rPr>
          <w:rFonts w:ascii="Arial" w:hAnsi="Arial" w:cs="Arial"/>
          <w:color w:val="000000"/>
          <w:sz w:val="22"/>
          <w:szCs w:val="22"/>
        </w:rPr>
        <w:t xml:space="preserve">In this </w:t>
      </w:r>
      <w:r>
        <w:rPr>
          <w:rFonts w:ascii="Arial" w:hAnsi="Arial" w:cs="Arial"/>
          <w:color w:val="000000"/>
          <w:sz w:val="22"/>
          <w:szCs w:val="22"/>
        </w:rPr>
        <w:t>instrument</w:t>
      </w:r>
      <w:r w:rsidRPr="00230D47">
        <w:rPr>
          <w:rFonts w:ascii="Arial" w:hAnsi="Arial" w:cs="Arial"/>
          <w:color w:val="000000"/>
          <w:sz w:val="22"/>
          <w:szCs w:val="22"/>
        </w:rPr>
        <w:t>:</w:t>
      </w:r>
    </w:p>
    <w:p w14:paraId="2FAF1C00" w14:textId="77777777" w:rsidR="00E35462" w:rsidRPr="00230D47" w:rsidRDefault="00E35462" w:rsidP="00E35462">
      <w:pPr>
        <w:pStyle w:val="IntroTo"/>
        <w:spacing w:before="120"/>
        <w:ind w:left="0" w:firstLine="0"/>
        <w:jc w:val="both"/>
        <w:rPr>
          <w:rFonts w:ascii="Arial" w:hAnsi="Arial" w:cs="Arial"/>
          <w:color w:val="000000"/>
          <w:sz w:val="22"/>
          <w:szCs w:val="22"/>
        </w:rPr>
      </w:pPr>
      <w:r w:rsidRPr="00230D47">
        <w:rPr>
          <w:rFonts w:ascii="Arial" w:hAnsi="Arial" w:cs="Arial"/>
          <w:b/>
          <w:i/>
          <w:color w:val="000000"/>
          <w:sz w:val="22"/>
          <w:szCs w:val="22"/>
        </w:rPr>
        <w:t>APRA</w:t>
      </w:r>
      <w:r w:rsidRPr="00230D47">
        <w:rPr>
          <w:rFonts w:ascii="Arial" w:hAnsi="Arial" w:cs="Arial"/>
          <w:color w:val="000000"/>
          <w:sz w:val="22"/>
          <w:szCs w:val="22"/>
        </w:rPr>
        <w:t xml:space="preserve"> means the Australian Prudential Regulation Authority.</w:t>
      </w:r>
    </w:p>
    <w:p w14:paraId="7E3DD25A" w14:textId="625023D5" w:rsidR="000730AA" w:rsidRPr="00230D47" w:rsidRDefault="000730AA" w:rsidP="000730AA">
      <w:pPr>
        <w:pStyle w:val="IntroTo"/>
        <w:spacing w:before="120"/>
        <w:ind w:left="0" w:firstLine="0"/>
        <w:jc w:val="both"/>
        <w:rPr>
          <w:rFonts w:ascii="Arial" w:hAnsi="Arial" w:cs="Arial"/>
          <w:color w:val="000000"/>
          <w:sz w:val="22"/>
          <w:szCs w:val="22"/>
        </w:rPr>
      </w:pPr>
      <w:r w:rsidRPr="00230D47">
        <w:rPr>
          <w:rFonts w:ascii="Arial" w:hAnsi="Arial" w:cs="Arial"/>
          <w:b/>
          <w:i/>
          <w:color w:val="000000"/>
          <w:sz w:val="22"/>
          <w:szCs w:val="22"/>
        </w:rPr>
        <w:lastRenderedPageBreak/>
        <w:t xml:space="preserve">ADI </w:t>
      </w:r>
      <w:r w:rsidR="00E35462" w:rsidRPr="00F979B5">
        <w:rPr>
          <w:rFonts w:ascii="Arial" w:hAnsi="Arial" w:cs="Arial"/>
          <w:color w:val="000000"/>
          <w:sz w:val="22"/>
          <w:szCs w:val="22"/>
        </w:rPr>
        <w:t>and</w:t>
      </w:r>
      <w:r w:rsidR="00E35462">
        <w:rPr>
          <w:rFonts w:ascii="Arial" w:hAnsi="Arial" w:cs="Arial"/>
          <w:b/>
          <w:i/>
          <w:color w:val="000000"/>
          <w:sz w:val="22"/>
          <w:szCs w:val="22"/>
        </w:rPr>
        <w:t xml:space="preserve"> </w:t>
      </w:r>
      <w:r w:rsidR="00E35462" w:rsidRPr="00E35462">
        <w:rPr>
          <w:rFonts w:ascii="Arial" w:hAnsi="Arial" w:cs="Arial"/>
          <w:b/>
          <w:i/>
          <w:color w:val="000000"/>
          <w:sz w:val="22"/>
          <w:szCs w:val="22"/>
        </w:rPr>
        <w:t xml:space="preserve">authorised NOHC </w:t>
      </w:r>
      <w:r w:rsidR="00E35462" w:rsidRPr="00F979B5">
        <w:rPr>
          <w:rFonts w:ascii="Arial" w:hAnsi="Arial" w:cs="Arial"/>
          <w:color w:val="000000"/>
          <w:sz w:val="22"/>
          <w:szCs w:val="22"/>
        </w:rPr>
        <w:t xml:space="preserve">have their respective meanings given in section 5 of the Act. </w:t>
      </w:r>
    </w:p>
    <w:p w14:paraId="54FD9DF4" w14:textId="77777777" w:rsidR="000730AA" w:rsidRDefault="000730AA" w:rsidP="000730AA">
      <w:pPr>
        <w:rPr>
          <w:rStyle w:val="CharSchNo"/>
          <w:rFonts w:ascii="Arial" w:hAnsi="Arial" w:cs="Arial"/>
          <w:b/>
          <w:bCs/>
          <w:color w:val="000000"/>
          <w:sz w:val="32"/>
          <w:szCs w:val="32"/>
        </w:rPr>
      </w:pPr>
    </w:p>
    <w:p w14:paraId="20A177E7" w14:textId="77777777" w:rsidR="000730AA" w:rsidRPr="006D4237" w:rsidRDefault="000730AA" w:rsidP="000730AA">
      <w:pPr>
        <w:pStyle w:val="AS"/>
        <w:spacing w:before="0" w:after="240"/>
        <w:ind w:left="0" w:firstLine="0"/>
        <w:rPr>
          <w:rStyle w:val="CharSchText"/>
          <w:color w:val="000000"/>
        </w:rPr>
      </w:pPr>
      <w:r w:rsidRPr="006D4237">
        <w:rPr>
          <w:rStyle w:val="CharSchNo"/>
          <w:color w:val="000000"/>
        </w:rPr>
        <w:t xml:space="preserve">Schedule </w:t>
      </w:r>
    </w:p>
    <w:p w14:paraId="6D819FB9" w14:textId="77777777" w:rsidR="000730AA" w:rsidRPr="00230D47" w:rsidRDefault="000730AA" w:rsidP="000730AA">
      <w:pPr>
        <w:pStyle w:val="ASref"/>
        <w:rPr>
          <w:color w:val="000000"/>
          <w:sz w:val="22"/>
          <w:szCs w:val="22"/>
        </w:rPr>
      </w:pPr>
    </w:p>
    <w:p w14:paraId="0A17346D" w14:textId="1308A3DE" w:rsidR="00F70AEA" w:rsidRDefault="000730AA" w:rsidP="00F979B5">
      <w:pPr>
        <w:sectPr w:rsidR="00F70AEA" w:rsidSect="00CF2830">
          <w:headerReference w:type="even" r:id="rId12"/>
          <w:headerReference w:type="default" r:id="rId13"/>
          <w:footerReference w:type="even" r:id="rId14"/>
          <w:footerReference w:type="default" r:id="rId15"/>
          <w:headerReference w:type="first" r:id="rId16"/>
          <w:footerReference w:type="first" r:id="rId17"/>
          <w:pgSz w:w="11906" w:h="16838" w:code="9"/>
          <w:pgMar w:top="1440" w:right="1797" w:bottom="1440" w:left="1797" w:header="709" w:footer="709" w:gutter="0"/>
          <w:pgNumType w:start="1"/>
          <w:cols w:space="708"/>
          <w:titlePg/>
          <w:docGrid w:linePitch="360"/>
        </w:sectPr>
      </w:pPr>
      <w:r w:rsidRPr="00660F4B">
        <w:rPr>
          <w:rFonts w:ascii="Arial" w:hAnsi="Arial" w:cs="Arial"/>
          <w:i/>
          <w:color w:val="000000"/>
          <w:sz w:val="22"/>
          <w:szCs w:val="22"/>
        </w:rPr>
        <w:t xml:space="preserve">Prudential Standard </w:t>
      </w:r>
      <w:smartTag w:uri="urn:schemas-microsoft-com:office:smarttags" w:element="stockticker">
        <w:r w:rsidRPr="00660F4B">
          <w:rPr>
            <w:rFonts w:ascii="Arial" w:hAnsi="Arial" w:cs="Arial"/>
            <w:i/>
            <w:color w:val="000000"/>
            <w:sz w:val="22"/>
            <w:szCs w:val="22"/>
          </w:rPr>
          <w:t>APS</w:t>
        </w:r>
      </w:smartTag>
      <w:r w:rsidRPr="00660F4B">
        <w:rPr>
          <w:rFonts w:ascii="Arial" w:hAnsi="Arial" w:cs="Arial"/>
          <w:i/>
          <w:color w:val="000000"/>
          <w:sz w:val="22"/>
          <w:szCs w:val="22"/>
        </w:rPr>
        <w:t xml:space="preserve"> </w:t>
      </w:r>
      <w:r w:rsidR="008B6F02" w:rsidRPr="008B6F02">
        <w:rPr>
          <w:rFonts w:ascii="Arial" w:hAnsi="Arial" w:cs="Arial"/>
          <w:i/>
          <w:color w:val="000000"/>
          <w:sz w:val="22"/>
          <w:szCs w:val="22"/>
        </w:rPr>
        <w:t xml:space="preserve">120 Securitisation </w:t>
      </w:r>
      <w:r w:rsidRPr="00660F4B">
        <w:rPr>
          <w:rFonts w:ascii="Arial" w:hAnsi="Arial" w:cs="Arial"/>
          <w:bCs/>
          <w:sz w:val="22"/>
          <w:szCs w:val="22"/>
        </w:rPr>
        <w:t>comprises the document commencing on the following page.</w:t>
      </w:r>
      <w:bookmarkEnd w:id="0"/>
    </w:p>
    <w:p w14:paraId="1AE18AD7" w14:textId="6BE0D2CD" w:rsidR="003B52EB" w:rsidRDefault="00EB182E" w:rsidP="00B578D7">
      <w:pPr>
        <w:spacing w:after="0"/>
      </w:pPr>
      <w:r>
        <w:rPr>
          <w:noProof/>
        </w:rPr>
        <w:lastRenderedPageBreak/>
        <w:drawing>
          <wp:inline distT="0" distB="0" distL="0" distR="0" wp14:anchorId="0127D42A" wp14:editId="58BAFACD">
            <wp:extent cx="1485900" cy="1095375"/>
            <wp:effectExtent l="0" t="0" r="0" b="9525"/>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1AE18AD8" w14:textId="77777777" w:rsidR="00DA3651" w:rsidRPr="009B6212" w:rsidRDefault="006A6A52" w:rsidP="001F6B8D">
      <w:pPr>
        <w:pStyle w:val="Title"/>
      </w:pPr>
      <w:bookmarkStart w:id="1" w:name="_Toc326937696"/>
      <w:r w:rsidRPr="001F6B8D">
        <w:t>Prudential</w:t>
      </w:r>
      <w:r w:rsidRPr="009B6212">
        <w:t xml:space="preserve"> Standard</w:t>
      </w:r>
      <w:r w:rsidR="00F004D0">
        <w:rPr>
          <w:rStyle w:val="PSNofieldtext"/>
        </w:rPr>
        <w:t xml:space="preserve"> APS 120</w:t>
      </w:r>
    </w:p>
    <w:bookmarkEnd w:id="1"/>
    <w:p w14:paraId="1AE18AD9" w14:textId="77777777" w:rsidR="00BC2D08" w:rsidRPr="00110917" w:rsidRDefault="00F004D0" w:rsidP="001F6B8D">
      <w:pPr>
        <w:pStyle w:val="Title"/>
      </w:pPr>
      <w:r>
        <w:rPr>
          <w:rStyle w:val="PSNamefieldtext"/>
        </w:rPr>
        <w:t>Securitisation</w:t>
      </w:r>
    </w:p>
    <w:tbl>
      <w:tblPr>
        <w:tblStyle w:val="TableGrid"/>
        <w:tblW w:w="0" w:type="auto"/>
        <w:shd w:val="clear" w:color="auto" w:fill="DDDDDD"/>
        <w:tblLook w:val="04A0" w:firstRow="1" w:lastRow="0" w:firstColumn="1" w:lastColumn="0" w:noHBand="0" w:noVBand="1"/>
      </w:tblPr>
      <w:tblGrid>
        <w:gridCol w:w="8302"/>
      </w:tblGrid>
      <w:tr w:rsidR="0048511B" w14:paraId="1AE18AE2" w14:textId="77777777" w:rsidTr="00DF539C">
        <w:tc>
          <w:tcPr>
            <w:tcW w:w="8528" w:type="dxa"/>
            <w:shd w:val="clear" w:color="auto" w:fill="DDDDDD"/>
          </w:tcPr>
          <w:p w14:paraId="1AE18ADA" w14:textId="77777777" w:rsidR="003C46D7" w:rsidRPr="00B37C03" w:rsidRDefault="003C46D7" w:rsidP="00656D42">
            <w:pPr>
              <w:pStyle w:val="BoxHeading"/>
            </w:pPr>
            <w:r w:rsidRPr="00B37C03">
              <w:t xml:space="preserve">Objectives and key requirements of this Prudential </w:t>
            </w:r>
            <w:r w:rsidRPr="00173A04">
              <w:t>Standard</w:t>
            </w:r>
          </w:p>
          <w:p w14:paraId="1AE18ADB" w14:textId="77777777" w:rsidR="001D18F9" w:rsidRDefault="0048511B" w:rsidP="0048511B">
            <w:r>
              <w:t>This Prudential Standard aims to ensure that</w:t>
            </w:r>
            <w:r w:rsidR="00C67A76">
              <w:t xml:space="preserve"> </w:t>
            </w:r>
            <w:r w:rsidR="001D18F9">
              <w:t>an authorised deposit-taking institution adopts prudent practices to manage the risks associated with securitisation and to ensure sufficient regulatory capital is held against the associated credit risk.</w:t>
            </w:r>
          </w:p>
          <w:p w14:paraId="1AE18ADC" w14:textId="77777777" w:rsidR="0048511B" w:rsidRDefault="0048511B" w:rsidP="0048511B">
            <w:r>
              <w:t xml:space="preserve">The key requirements of this Prudential Standard </w:t>
            </w:r>
            <w:r w:rsidR="001D18F9">
              <w:t>are that an authorised deposit-taking institution must</w:t>
            </w:r>
            <w:r>
              <w:t>:</w:t>
            </w:r>
          </w:p>
          <w:p w14:paraId="1AE18ADD" w14:textId="77777777" w:rsidR="00173A04" w:rsidRDefault="001D18F9" w:rsidP="00001D43">
            <w:pPr>
              <w:pStyle w:val="BoxBullet"/>
            </w:pPr>
            <w:r>
              <w:t>have a risk management framework covering its</w:t>
            </w:r>
            <w:r w:rsidRPr="003170A5">
              <w:t xml:space="preserve"> involvement</w:t>
            </w:r>
            <w:r>
              <w:t xml:space="preserve"> in a securitisation;</w:t>
            </w:r>
          </w:p>
          <w:p w14:paraId="1AE18ADE" w14:textId="77777777" w:rsidR="001D18F9" w:rsidRDefault="001D18F9" w:rsidP="00001D43">
            <w:pPr>
              <w:pStyle w:val="BoxBullet"/>
            </w:pPr>
            <w:r>
              <w:t xml:space="preserve">ensure there is </w:t>
            </w:r>
            <w:r w:rsidRPr="00E25BB5">
              <w:t xml:space="preserve">clear and prominent disclosure of the nature and limitations of </w:t>
            </w:r>
            <w:r>
              <w:t>its</w:t>
            </w:r>
            <w:r w:rsidRPr="00E25BB5">
              <w:t xml:space="preserve"> obligations arising from its involvement in a securitisation</w:t>
            </w:r>
            <w:r>
              <w:t>;</w:t>
            </w:r>
          </w:p>
          <w:p w14:paraId="1AE18ADF" w14:textId="77777777" w:rsidR="001D18F9" w:rsidRDefault="001D18F9" w:rsidP="00001D43">
            <w:pPr>
              <w:pStyle w:val="BoxBullet"/>
            </w:pPr>
            <w:r w:rsidRPr="0007004B">
              <w:t>not provide</w:t>
            </w:r>
            <w:r>
              <w:t xml:space="preserve"> implicit </w:t>
            </w:r>
            <w:r w:rsidRPr="0007004B">
              <w:t>support to a securitisation</w:t>
            </w:r>
            <w:r>
              <w:t>; and</w:t>
            </w:r>
          </w:p>
          <w:p w14:paraId="1AE18AE0" w14:textId="77777777" w:rsidR="001D18F9" w:rsidRPr="00B37C03" w:rsidRDefault="001D18F9" w:rsidP="00001D43">
            <w:pPr>
              <w:pStyle w:val="BoxBullet"/>
            </w:pPr>
            <w:r>
              <w:t>calculate</w:t>
            </w:r>
            <w:r w:rsidRPr="00CD6287">
              <w:t xml:space="preserve"> regulatory capital for credit risk against its securitisation exposures</w:t>
            </w:r>
            <w:r>
              <w:t>.</w:t>
            </w:r>
          </w:p>
          <w:p w14:paraId="1AE18AE1" w14:textId="77777777" w:rsidR="00173A04" w:rsidRDefault="00173A04" w:rsidP="00173A04">
            <w:pPr>
              <w:keepNext/>
            </w:pPr>
          </w:p>
        </w:tc>
      </w:tr>
    </w:tbl>
    <w:p w14:paraId="1AE18AE3" w14:textId="77777777" w:rsidR="00BC2D08" w:rsidRDefault="00BC2D08" w:rsidP="00BC2D08">
      <w:pPr>
        <w:spacing w:after="0"/>
      </w:pPr>
    </w:p>
    <w:p w14:paraId="1AE18AE4" w14:textId="77777777" w:rsidR="00C67A76" w:rsidRDefault="00C67A76" w:rsidP="00C67A76"/>
    <w:p w14:paraId="1AE18AE5" w14:textId="77777777" w:rsidR="001D18F9" w:rsidRDefault="001D18F9">
      <w:pPr>
        <w:rPr>
          <w:rFonts w:asciiTheme="majorHAnsi" w:eastAsiaTheme="majorEastAsia" w:hAnsiTheme="majorHAnsi" w:cstheme="majorBidi"/>
          <w:b/>
          <w:szCs w:val="28"/>
        </w:rPr>
      </w:pPr>
      <w:bookmarkStart w:id="2" w:name="_Toc326676936"/>
      <w:bookmarkStart w:id="3" w:name="_Toc326756341"/>
      <w:bookmarkStart w:id="4" w:name="_Toc256519850"/>
      <w:r>
        <w:br w:type="page"/>
      </w:r>
    </w:p>
    <w:p w14:paraId="1AE18AE6" w14:textId="77777777" w:rsidR="00C6788C" w:rsidRDefault="009D467A" w:rsidP="001F6B8D">
      <w:pPr>
        <w:pStyle w:val="TOCHeading"/>
      </w:pPr>
      <w:r>
        <w:lastRenderedPageBreak/>
        <w:t>Table of Contents</w:t>
      </w:r>
    </w:p>
    <w:bookmarkStart w:id="5" w:name="_Toc326937698"/>
    <w:bookmarkStart w:id="6" w:name="_Toc326938615"/>
    <w:bookmarkStart w:id="7" w:name="_Toc326938830"/>
    <w:bookmarkEnd w:id="2"/>
    <w:bookmarkEnd w:id="3"/>
    <w:p w14:paraId="1AE18AE7" w14:textId="793F2141" w:rsidR="00F231CA" w:rsidRDefault="00CE6E92">
      <w:pPr>
        <w:pStyle w:val="TOC1"/>
        <w:rPr>
          <w:rFonts w:asciiTheme="minorHAnsi" w:eastAsiaTheme="minorEastAsia" w:hAnsiTheme="minorHAnsi" w:cstheme="minorBidi"/>
          <w:sz w:val="22"/>
          <w:szCs w:val="22"/>
        </w:rPr>
      </w:pPr>
      <w:r>
        <w:rPr>
          <w:rFonts w:ascii="Arial" w:hAnsi="Arial"/>
        </w:rPr>
        <w:fldChar w:fldCharType="begin"/>
      </w:r>
      <w:r>
        <w:rPr>
          <w:rFonts w:ascii="Arial" w:hAnsi="Arial"/>
        </w:rPr>
        <w:instrText xml:space="preserve"> TOC \o "1-2" \h \z \u </w:instrText>
      </w:r>
      <w:r>
        <w:rPr>
          <w:rFonts w:ascii="Arial" w:hAnsi="Arial"/>
        </w:rPr>
        <w:fldChar w:fldCharType="separate"/>
      </w:r>
      <w:hyperlink w:anchor="_Toc465172372" w:history="1">
        <w:r w:rsidR="00F231CA" w:rsidRPr="004D7998">
          <w:rPr>
            <w:rStyle w:val="Hyperlink"/>
          </w:rPr>
          <w:t>Authority</w:t>
        </w:r>
        <w:r w:rsidR="00F231CA">
          <w:rPr>
            <w:webHidden/>
          </w:rPr>
          <w:tab/>
        </w:r>
        <w:r w:rsidR="00F231CA">
          <w:rPr>
            <w:webHidden/>
          </w:rPr>
          <w:fldChar w:fldCharType="begin"/>
        </w:r>
        <w:r w:rsidR="00F231CA">
          <w:rPr>
            <w:webHidden/>
          </w:rPr>
          <w:instrText xml:space="preserve"> PAGEREF _Toc465172372 \h </w:instrText>
        </w:r>
        <w:r w:rsidR="00F231CA">
          <w:rPr>
            <w:webHidden/>
          </w:rPr>
        </w:r>
        <w:r w:rsidR="00F231CA">
          <w:rPr>
            <w:webHidden/>
          </w:rPr>
          <w:fldChar w:fldCharType="separate"/>
        </w:r>
        <w:r w:rsidR="00642B90">
          <w:rPr>
            <w:webHidden/>
          </w:rPr>
          <w:t>3</w:t>
        </w:r>
        <w:r w:rsidR="00F231CA">
          <w:rPr>
            <w:webHidden/>
          </w:rPr>
          <w:fldChar w:fldCharType="end"/>
        </w:r>
      </w:hyperlink>
    </w:p>
    <w:p w14:paraId="1AE18AE8" w14:textId="30E221B5" w:rsidR="00F231CA" w:rsidRDefault="00AB4B76">
      <w:pPr>
        <w:pStyle w:val="TOC1"/>
        <w:rPr>
          <w:rFonts w:asciiTheme="minorHAnsi" w:eastAsiaTheme="minorEastAsia" w:hAnsiTheme="minorHAnsi" w:cstheme="minorBidi"/>
          <w:sz w:val="22"/>
          <w:szCs w:val="22"/>
        </w:rPr>
      </w:pPr>
      <w:hyperlink w:anchor="_Toc465172373" w:history="1">
        <w:r w:rsidR="00F231CA" w:rsidRPr="004D7998">
          <w:rPr>
            <w:rStyle w:val="Hyperlink"/>
          </w:rPr>
          <w:t>Application</w:t>
        </w:r>
        <w:r w:rsidR="00F231CA">
          <w:rPr>
            <w:webHidden/>
          </w:rPr>
          <w:tab/>
        </w:r>
        <w:r w:rsidR="00F231CA">
          <w:rPr>
            <w:webHidden/>
          </w:rPr>
          <w:fldChar w:fldCharType="begin"/>
        </w:r>
        <w:r w:rsidR="00F231CA">
          <w:rPr>
            <w:webHidden/>
          </w:rPr>
          <w:instrText xml:space="preserve"> PAGEREF _Toc465172373 \h </w:instrText>
        </w:r>
        <w:r w:rsidR="00F231CA">
          <w:rPr>
            <w:webHidden/>
          </w:rPr>
        </w:r>
        <w:r w:rsidR="00F231CA">
          <w:rPr>
            <w:webHidden/>
          </w:rPr>
          <w:fldChar w:fldCharType="separate"/>
        </w:r>
        <w:r w:rsidR="00642B90">
          <w:rPr>
            <w:webHidden/>
          </w:rPr>
          <w:t>3</w:t>
        </w:r>
        <w:r w:rsidR="00F231CA">
          <w:rPr>
            <w:webHidden/>
          </w:rPr>
          <w:fldChar w:fldCharType="end"/>
        </w:r>
      </w:hyperlink>
    </w:p>
    <w:p w14:paraId="1AE18AE9" w14:textId="573DBCC8" w:rsidR="00F231CA" w:rsidRDefault="00AB4B76">
      <w:pPr>
        <w:pStyle w:val="TOC1"/>
        <w:rPr>
          <w:rFonts w:asciiTheme="minorHAnsi" w:eastAsiaTheme="minorEastAsia" w:hAnsiTheme="minorHAnsi" w:cstheme="minorBidi"/>
          <w:sz w:val="22"/>
          <w:szCs w:val="22"/>
        </w:rPr>
      </w:pPr>
      <w:hyperlink w:anchor="_Toc465172374" w:history="1">
        <w:r w:rsidR="00F231CA" w:rsidRPr="004D7998">
          <w:rPr>
            <w:rStyle w:val="Hyperlink"/>
          </w:rPr>
          <w:t>Interpretation</w:t>
        </w:r>
        <w:r w:rsidR="00F231CA">
          <w:rPr>
            <w:webHidden/>
          </w:rPr>
          <w:tab/>
        </w:r>
        <w:r w:rsidR="00F231CA">
          <w:rPr>
            <w:webHidden/>
          </w:rPr>
          <w:fldChar w:fldCharType="begin"/>
        </w:r>
        <w:r w:rsidR="00F231CA">
          <w:rPr>
            <w:webHidden/>
          </w:rPr>
          <w:instrText xml:space="preserve"> PAGEREF _Toc465172374 \h </w:instrText>
        </w:r>
        <w:r w:rsidR="00F231CA">
          <w:rPr>
            <w:webHidden/>
          </w:rPr>
        </w:r>
        <w:r w:rsidR="00F231CA">
          <w:rPr>
            <w:webHidden/>
          </w:rPr>
          <w:fldChar w:fldCharType="separate"/>
        </w:r>
        <w:r w:rsidR="00642B90">
          <w:rPr>
            <w:webHidden/>
          </w:rPr>
          <w:t>3</w:t>
        </w:r>
        <w:r w:rsidR="00F231CA">
          <w:rPr>
            <w:webHidden/>
          </w:rPr>
          <w:fldChar w:fldCharType="end"/>
        </w:r>
      </w:hyperlink>
    </w:p>
    <w:p w14:paraId="1AE18AEA" w14:textId="2ECAE108" w:rsidR="00F231CA" w:rsidRDefault="00AB4B76">
      <w:pPr>
        <w:pStyle w:val="TOC1"/>
        <w:rPr>
          <w:rFonts w:asciiTheme="minorHAnsi" w:eastAsiaTheme="minorEastAsia" w:hAnsiTheme="minorHAnsi" w:cstheme="minorBidi"/>
          <w:sz w:val="22"/>
          <w:szCs w:val="22"/>
        </w:rPr>
      </w:pPr>
      <w:hyperlink w:anchor="_Toc465172375" w:history="1">
        <w:r w:rsidR="00F231CA" w:rsidRPr="004D7998">
          <w:rPr>
            <w:rStyle w:val="Hyperlink"/>
          </w:rPr>
          <w:t>Scope</w:t>
        </w:r>
        <w:r w:rsidR="00F231CA">
          <w:rPr>
            <w:webHidden/>
          </w:rPr>
          <w:tab/>
        </w:r>
        <w:r w:rsidR="00F231CA">
          <w:rPr>
            <w:webHidden/>
          </w:rPr>
          <w:fldChar w:fldCharType="begin"/>
        </w:r>
        <w:r w:rsidR="00F231CA">
          <w:rPr>
            <w:webHidden/>
          </w:rPr>
          <w:instrText xml:space="preserve"> PAGEREF _Toc465172375 \h </w:instrText>
        </w:r>
        <w:r w:rsidR="00F231CA">
          <w:rPr>
            <w:webHidden/>
          </w:rPr>
        </w:r>
        <w:r w:rsidR="00F231CA">
          <w:rPr>
            <w:webHidden/>
          </w:rPr>
          <w:fldChar w:fldCharType="separate"/>
        </w:r>
        <w:r w:rsidR="00642B90">
          <w:rPr>
            <w:webHidden/>
          </w:rPr>
          <w:t>3</w:t>
        </w:r>
        <w:r w:rsidR="00F231CA">
          <w:rPr>
            <w:webHidden/>
          </w:rPr>
          <w:fldChar w:fldCharType="end"/>
        </w:r>
      </w:hyperlink>
    </w:p>
    <w:p w14:paraId="1AE18AEB" w14:textId="66209C56" w:rsidR="00F231CA" w:rsidRDefault="00AB4B76">
      <w:pPr>
        <w:pStyle w:val="TOC1"/>
        <w:rPr>
          <w:rFonts w:asciiTheme="minorHAnsi" w:eastAsiaTheme="minorEastAsia" w:hAnsiTheme="minorHAnsi" w:cstheme="minorBidi"/>
          <w:sz w:val="22"/>
          <w:szCs w:val="22"/>
        </w:rPr>
      </w:pPr>
      <w:hyperlink w:anchor="_Toc465172376" w:history="1">
        <w:r w:rsidR="00F231CA" w:rsidRPr="004D7998">
          <w:rPr>
            <w:rStyle w:val="Hyperlink"/>
          </w:rPr>
          <w:t>Definitions</w:t>
        </w:r>
        <w:r w:rsidR="00F231CA">
          <w:rPr>
            <w:webHidden/>
          </w:rPr>
          <w:tab/>
        </w:r>
        <w:r w:rsidR="00F231CA">
          <w:rPr>
            <w:webHidden/>
          </w:rPr>
          <w:fldChar w:fldCharType="begin"/>
        </w:r>
        <w:r w:rsidR="00F231CA">
          <w:rPr>
            <w:webHidden/>
          </w:rPr>
          <w:instrText xml:space="preserve"> PAGEREF _Toc465172376 \h </w:instrText>
        </w:r>
        <w:r w:rsidR="00F231CA">
          <w:rPr>
            <w:webHidden/>
          </w:rPr>
        </w:r>
        <w:r w:rsidR="00F231CA">
          <w:rPr>
            <w:webHidden/>
          </w:rPr>
          <w:fldChar w:fldCharType="separate"/>
        </w:r>
        <w:r w:rsidR="00642B90">
          <w:rPr>
            <w:webHidden/>
          </w:rPr>
          <w:t>4</w:t>
        </w:r>
        <w:r w:rsidR="00F231CA">
          <w:rPr>
            <w:webHidden/>
          </w:rPr>
          <w:fldChar w:fldCharType="end"/>
        </w:r>
      </w:hyperlink>
    </w:p>
    <w:p w14:paraId="1AE18AEC" w14:textId="70C1A84F" w:rsidR="00F231CA" w:rsidRDefault="00AB4B76">
      <w:pPr>
        <w:pStyle w:val="TOC1"/>
        <w:rPr>
          <w:rFonts w:asciiTheme="minorHAnsi" w:eastAsiaTheme="minorEastAsia" w:hAnsiTheme="minorHAnsi" w:cstheme="minorBidi"/>
          <w:sz w:val="22"/>
          <w:szCs w:val="22"/>
        </w:rPr>
      </w:pPr>
      <w:hyperlink w:anchor="_Toc465172377" w:history="1">
        <w:r w:rsidR="00F231CA" w:rsidRPr="004D7998">
          <w:rPr>
            <w:rStyle w:val="Hyperlink"/>
          </w:rPr>
          <w:t>Separation and disclosure</w:t>
        </w:r>
        <w:r w:rsidR="00F231CA">
          <w:rPr>
            <w:webHidden/>
          </w:rPr>
          <w:tab/>
        </w:r>
        <w:r w:rsidR="00F231CA">
          <w:rPr>
            <w:webHidden/>
          </w:rPr>
          <w:fldChar w:fldCharType="begin"/>
        </w:r>
        <w:r w:rsidR="00F231CA">
          <w:rPr>
            <w:webHidden/>
          </w:rPr>
          <w:instrText xml:space="preserve"> PAGEREF _Toc465172377 \h </w:instrText>
        </w:r>
        <w:r w:rsidR="00F231CA">
          <w:rPr>
            <w:webHidden/>
          </w:rPr>
        </w:r>
        <w:r w:rsidR="00F231CA">
          <w:rPr>
            <w:webHidden/>
          </w:rPr>
          <w:fldChar w:fldCharType="separate"/>
        </w:r>
        <w:r w:rsidR="00642B90">
          <w:rPr>
            <w:webHidden/>
          </w:rPr>
          <w:t>7</w:t>
        </w:r>
        <w:r w:rsidR="00F231CA">
          <w:rPr>
            <w:webHidden/>
          </w:rPr>
          <w:fldChar w:fldCharType="end"/>
        </w:r>
      </w:hyperlink>
    </w:p>
    <w:p w14:paraId="1AE18AED" w14:textId="7AEEA298" w:rsidR="00F231CA" w:rsidRDefault="00AB4B76">
      <w:pPr>
        <w:pStyle w:val="TOC1"/>
        <w:rPr>
          <w:rFonts w:asciiTheme="minorHAnsi" w:eastAsiaTheme="minorEastAsia" w:hAnsiTheme="minorHAnsi" w:cstheme="minorBidi"/>
          <w:sz w:val="22"/>
          <w:szCs w:val="22"/>
        </w:rPr>
      </w:pPr>
      <w:hyperlink w:anchor="_Toc465172378" w:history="1">
        <w:r w:rsidR="00F231CA" w:rsidRPr="004D7998">
          <w:rPr>
            <w:rStyle w:val="Hyperlink"/>
          </w:rPr>
          <w:t>Exposures transferred in a securitisation</w:t>
        </w:r>
        <w:r w:rsidR="00F231CA">
          <w:rPr>
            <w:webHidden/>
          </w:rPr>
          <w:tab/>
        </w:r>
        <w:r w:rsidR="00F231CA">
          <w:rPr>
            <w:webHidden/>
          </w:rPr>
          <w:fldChar w:fldCharType="begin"/>
        </w:r>
        <w:r w:rsidR="00F231CA">
          <w:rPr>
            <w:webHidden/>
          </w:rPr>
          <w:instrText xml:space="preserve"> PAGEREF _Toc465172378 \h </w:instrText>
        </w:r>
        <w:r w:rsidR="00F231CA">
          <w:rPr>
            <w:webHidden/>
          </w:rPr>
        </w:r>
        <w:r w:rsidR="00F231CA">
          <w:rPr>
            <w:webHidden/>
          </w:rPr>
          <w:fldChar w:fldCharType="separate"/>
        </w:r>
        <w:r w:rsidR="00642B90">
          <w:rPr>
            <w:webHidden/>
          </w:rPr>
          <w:t>9</w:t>
        </w:r>
        <w:r w:rsidR="00F231CA">
          <w:rPr>
            <w:webHidden/>
          </w:rPr>
          <w:fldChar w:fldCharType="end"/>
        </w:r>
      </w:hyperlink>
    </w:p>
    <w:p w14:paraId="1AE18AEE" w14:textId="571C23E0" w:rsidR="00F231CA" w:rsidRDefault="00AB4B76">
      <w:pPr>
        <w:pStyle w:val="TOC1"/>
        <w:rPr>
          <w:rFonts w:asciiTheme="minorHAnsi" w:eastAsiaTheme="minorEastAsia" w:hAnsiTheme="minorHAnsi" w:cstheme="minorBidi"/>
          <w:sz w:val="22"/>
          <w:szCs w:val="22"/>
        </w:rPr>
      </w:pPr>
      <w:hyperlink w:anchor="_Toc465172379" w:history="1">
        <w:r w:rsidR="00F231CA" w:rsidRPr="004D7998">
          <w:rPr>
            <w:rStyle w:val="Hyperlink"/>
          </w:rPr>
          <w:t>Legal opinion</w:t>
        </w:r>
        <w:r w:rsidR="00F231CA">
          <w:rPr>
            <w:webHidden/>
          </w:rPr>
          <w:tab/>
        </w:r>
        <w:r w:rsidR="00F231CA">
          <w:rPr>
            <w:webHidden/>
          </w:rPr>
          <w:fldChar w:fldCharType="begin"/>
        </w:r>
        <w:r w:rsidR="00F231CA">
          <w:rPr>
            <w:webHidden/>
          </w:rPr>
          <w:instrText xml:space="preserve"> PAGEREF _Toc465172379 \h </w:instrText>
        </w:r>
        <w:r w:rsidR="00F231CA">
          <w:rPr>
            <w:webHidden/>
          </w:rPr>
        </w:r>
        <w:r w:rsidR="00F231CA">
          <w:rPr>
            <w:webHidden/>
          </w:rPr>
          <w:fldChar w:fldCharType="separate"/>
        </w:r>
        <w:r w:rsidR="00642B90">
          <w:rPr>
            <w:webHidden/>
          </w:rPr>
          <w:t>10</w:t>
        </w:r>
        <w:r w:rsidR="00F231CA">
          <w:rPr>
            <w:webHidden/>
          </w:rPr>
          <w:fldChar w:fldCharType="end"/>
        </w:r>
      </w:hyperlink>
    </w:p>
    <w:p w14:paraId="1AE18AEF" w14:textId="27D37D5E" w:rsidR="00F231CA" w:rsidRDefault="00AB4B76">
      <w:pPr>
        <w:pStyle w:val="TOC1"/>
        <w:rPr>
          <w:rFonts w:asciiTheme="minorHAnsi" w:eastAsiaTheme="minorEastAsia" w:hAnsiTheme="minorHAnsi" w:cstheme="minorBidi"/>
          <w:sz w:val="22"/>
          <w:szCs w:val="22"/>
        </w:rPr>
      </w:pPr>
      <w:hyperlink w:anchor="_Toc465172380" w:history="1">
        <w:r w:rsidR="00F231CA" w:rsidRPr="004D7998">
          <w:rPr>
            <w:rStyle w:val="Hyperlink"/>
          </w:rPr>
          <w:t>General capital adequacy requirements</w:t>
        </w:r>
        <w:r w:rsidR="00F231CA">
          <w:rPr>
            <w:webHidden/>
          </w:rPr>
          <w:tab/>
        </w:r>
        <w:r w:rsidR="00F231CA">
          <w:rPr>
            <w:webHidden/>
          </w:rPr>
          <w:fldChar w:fldCharType="begin"/>
        </w:r>
        <w:r w:rsidR="00F231CA">
          <w:rPr>
            <w:webHidden/>
          </w:rPr>
          <w:instrText xml:space="preserve"> PAGEREF _Toc465172380 \h </w:instrText>
        </w:r>
        <w:r w:rsidR="00F231CA">
          <w:rPr>
            <w:webHidden/>
          </w:rPr>
        </w:r>
        <w:r w:rsidR="00F231CA">
          <w:rPr>
            <w:webHidden/>
          </w:rPr>
          <w:fldChar w:fldCharType="separate"/>
        </w:r>
        <w:r w:rsidR="00642B90">
          <w:rPr>
            <w:webHidden/>
          </w:rPr>
          <w:t>11</w:t>
        </w:r>
        <w:r w:rsidR="00F231CA">
          <w:rPr>
            <w:webHidden/>
          </w:rPr>
          <w:fldChar w:fldCharType="end"/>
        </w:r>
      </w:hyperlink>
    </w:p>
    <w:p w14:paraId="1AE18AF0" w14:textId="1D8F81CF" w:rsidR="00F231CA" w:rsidRDefault="00AB4B76">
      <w:pPr>
        <w:pStyle w:val="TOC1"/>
        <w:rPr>
          <w:rFonts w:asciiTheme="minorHAnsi" w:eastAsiaTheme="minorEastAsia" w:hAnsiTheme="minorHAnsi" w:cstheme="minorBidi"/>
          <w:sz w:val="22"/>
          <w:szCs w:val="22"/>
        </w:rPr>
      </w:pPr>
      <w:hyperlink w:anchor="_Toc465172381" w:history="1">
        <w:r w:rsidR="00F231CA" w:rsidRPr="004D7998">
          <w:rPr>
            <w:rStyle w:val="Hyperlink"/>
          </w:rPr>
          <w:t>Implicit support and other risks</w:t>
        </w:r>
        <w:r w:rsidR="00F231CA">
          <w:rPr>
            <w:webHidden/>
          </w:rPr>
          <w:tab/>
        </w:r>
        <w:r w:rsidR="00F231CA">
          <w:rPr>
            <w:webHidden/>
          </w:rPr>
          <w:fldChar w:fldCharType="begin"/>
        </w:r>
        <w:r w:rsidR="00F231CA">
          <w:rPr>
            <w:webHidden/>
          </w:rPr>
          <w:instrText xml:space="preserve"> PAGEREF _Toc465172381 \h </w:instrText>
        </w:r>
        <w:r w:rsidR="00F231CA">
          <w:rPr>
            <w:webHidden/>
          </w:rPr>
        </w:r>
        <w:r w:rsidR="00F231CA">
          <w:rPr>
            <w:webHidden/>
          </w:rPr>
          <w:fldChar w:fldCharType="separate"/>
        </w:r>
        <w:r w:rsidR="00642B90">
          <w:rPr>
            <w:webHidden/>
          </w:rPr>
          <w:t>18</w:t>
        </w:r>
        <w:r w:rsidR="00F231CA">
          <w:rPr>
            <w:webHidden/>
          </w:rPr>
          <w:fldChar w:fldCharType="end"/>
        </w:r>
      </w:hyperlink>
    </w:p>
    <w:p w14:paraId="1AE18AF1" w14:textId="62E22A3C" w:rsidR="00F231CA" w:rsidRDefault="00AB4B76">
      <w:pPr>
        <w:pStyle w:val="TOC1"/>
        <w:rPr>
          <w:rFonts w:asciiTheme="minorHAnsi" w:eastAsiaTheme="minorEastAsia" w:hAnsiTheme="minorHAnsi" w:cstheme="minorBidi"/>
          <w:sz w:val="22"/>
          <w:szCs w:val="22"/>
        </w:rPr>
      </w:pPr>
      <w:hyperlink w:anchor="_Toc465172382" w:history="1">
        <w:r w:rsidR="00F231CA" w:rsidRPr="004D7998">
          <w:rPr>
            <w:rStyle w:val="Hyperlink"/>
          </w:rPr>
          <w:t>Risk management framework</w:t>
        </w:r>
        <w:r w:rsidR="00F231CA">
          <w:rPr>
            <w:webHidden/>
          </w:rPr>
          <w:tab/>
        </w:r>
        <w:r w:rsidR="00F231CA">
          <w:rPr>
            <w:webHidden/>
          </w:rPr>
          <w:fldChar w:fldCharType="begin"/>
        </w:r>
        <w:r w:rsidR="00F231CA">
          <w:rPr>
            <w:webHidden/>
          </w:rPr>
          <w:instrText xml:space="preserve"> PAGEREF _Toc465172382 \h </w:instrText>
        </w:r>
        <w:r w:rsidR="00F231CA">
          <w:rPr>
            <w:webHidden/>
          </w:rPr>
        </w:r>
        <w:r w:rsidR="00F231CA">
          <w:rPr>
            <w:webHidden/>
          </w:rPr>
          <w:fldChar w:fldCharType="separate"/>
        </w:r>
        <w:r w:rsidR="00642B90">
          <w:rPr>
            <w:webHidden/>
          </w:rPr>
          <w:t>19</w:t>
        </w:r>
        <w:r w:rsidR="00F231CA">
          <w:rPr>
            <w:webHidden/>
          </w:rPr>
          <w:fldChar w:fldCharType="end"/>
        </w:r>
      </w:hyperlink>
    </w:p>
    <w:p w14:paraId="1AE18AF2" w14:textId="26C66385" w:rsidR="00F231CA" w:rsidRDefault="00AB4B76">
      <w:pPr>
        <w:pStyle w:val="TOC1"/>
        <w:rPr>
          <w:rFonts w:asciiTheme="minorHAnsi" w:eastAsiaTheme="minorEastAsia" w:hAnsiTheme="minorHAnsi" w:cstheme="minorBidi"/>
          <w:sz w:val="22"/>
          <w:szCs w:val="22"/>
        </w:rPr>
      </w:pPr>
      <w:hyperlink w:anchor="_Toc465172383" w:history="1">
        <w:r w:rsidR="00F231CA" w:rsidRPr="004D7998">
          <w:rPr>
            <w:rStyle w:val="Hyperlink"/>
          </w:rPr>
          <w:t>Self-assessment</w:t>
        </w:r>
        <w:r w:rsidR="00F231CA">
          <w:rPr>
            <w:webHidden/>
          </w:rPr>
          <w:tab/>
        </w:r>
        <w:r w:rsidR="00F231CA">
          <w:rPr>
            <w:webHidden/>
          </w:rPr>
          <w:fldChar w:fldCharType="begin"/>
        </w:r>
        <w:r w:rsidR="00F231CA">
          <w:rPr>
            <w:webHidden/>
          </w:rPr>
          <w:instrText xml:space="preserve"> PAGEREF _Toc465172383 \h </w:instrText>
        </w:r>
        <w:r w:rsidR="00F231CA">
          <w:rPr>
            <w:webHidden/>
          </w:rPr>
        </w:r>
        <w:r w:rsidR="00F231CA">
          <w:rPr>
            <w:webHidden/>
          </w:rPr>
          <w:fldChar w:fldCharType="separate"/>
        </w:r>
        <w:r w:rsidR="00642B90">
          <w:rPr>
            <w:webHidden/>
          </w:rPr>
          <w:t>19</w:t>
        </w:r>
        <w:r w:rsidR="00F231CA">
          <w:rPr>
            <w:webHidden/>
          </w:rPr>
          <w:fldChar w:fldCharType="end"/>
        </w:r>
      </w:hyperlink>
    </w:p>
    <w:p w14:paraId="1AE18AF3" w14:textId="18723F9F" w:rsidR="00F231CA" w:rsidRDefault="00AB4B76">
      <w:pPr>
        <w:pStyle w:val="TOC1"/>
        <w:rPr>
          <w:rFonts w:asciiTheme="minorHAnsi" w:eastAsiaTheme="minorEastAsia" w:hAnsiTheme="minorHAnsi" w:cstheme="minorBidi"/>
          <w:sz w:val="22"/>
          <w:szCs w:val="22"/>
        </w:rPr>
      </w:pPr>
      <w:hyperlink w:anchor="_Toc465172384" w:history="1">
        <w:r w:rsidR="00F231CA" w:rsidRPr="004D7998">
          <w:rPr>
            <w:rStyle w:val="Hyperlink"/>
          </w:rPr>
          <w:t>Transitional provisions</w:t>
        </w:r>
        <w:r w:rsidR="00F231CA">
          <w:rPr>
            <w:webHidden/>
          </w:rPr>
          <w:tab/>
        </w:r>
        <w:r w:rsidR="00F231CA">
          <w:rPr>
            <w:webHidden/>
          </w:rPr>
          <w:fldChar w:fldCharType="begin"/>
        </w:r>
        <w:r w:rsidR="00F231CA">
          <w:rPr>
            <w:webHidden/>
          </w:rPr>
          <w:instrText xml:space="preserve"> PAGEREF _Toc465172384 \h </w:instrText>
        </w:r>
        <w:r w:rsidR="00F231CA">
          <w:rPr>
            <w:webHidden/>
          </w:rPr>
        </w:r>
        <w:r w:rsidR="00F231CA">
          <w:rPr>
            <w:webHidden/>
          </w:rPr>
          <w:fldChar w:fldCharType="separate"/>
        </w:r>
        <w:r w:rsidR="00642B90">
          <w:rPr>
            <w:webHidden/>
          </w:rPr>
          <w:t>19</w:t>
        </w:r>
        <w:r w:rsidR="00F231CA">
          <w:rPr>
            <w:webHidden/>
          </w:rPr>
          <w:fldChar w:fldCharType="end"/>
        </w:r>
      </w:hyperlink>
    </w:p>
    <w:p w14:paraId="1AE18AF4" w14:textId="705623EA" w:rsidR="00F231CA" w:rsidRDefault="00AB4B76">
      <w:pPr>
        <w:pStyle w:val="TOC1"/>
        <w:rPr>
          <w:rFonts w:asciiTheme="minorHAnsi" w:eastAsiaTheme="minorEastAsia" w:hAnsiTheme="minorHAnsi" w:cstheme="minorBidi"/>
          <w:sz w:val="22"/>
          <w:szCs w:val="22"/>
        </w:rPr>
      </w:pPr>
      <w:hyperlink w:anchor="_Toc465172385" w:history="1">
        <w:r w:rsidR="00F231CA" w:rsidRPr="004D7998">
          <w:rPr>
            <w:rStyle w:val="Hyperlink"/>
          </w:rPr>
          <w:t>Prior notification</w:t>
        </w:r>
        <w:r w:rsidR="00F231CA">
          <w:rPr>
            <w:webHidden/>
          </w:rPr>
          <w:tab/>
        </w:r>
        <w:r w:rsidR="00F231CA">
          <w:rPr>
            <w:webHidden/>
          </w:rPr>
          <w:fldChar w:fldCharType="begin"/>
        </w:r>
        <w:r w:rsidR="00F231CA">
          <w:rPr>
            <w:webHidden/>
          </w:rPr>
          <w:instrText xml:space="preserve"> PAGEREF _Toc465172385 \h </w:instrText>
        </w:r>
        <w:r w:rsidR="00F231CA">
          <w:rPr>
            <w:webHidden/>
          </w:rPr>
        </w:r>
        <w:r w:rsidR="00F231CA">
          <w:rPr>
            <w:webHidden/>
          </w:rPr>
          <w:fldChar w:fldCharType="separate"/>
        </w:r>
        <w:r w:rsidR="00642B90">
          <w:rPr>
            <w:webHidden/>
          </w:rPr>
          <w:t>20</w:t>
        </w:r>
        <w:r w:rsidR="00F231CA">
          <w:rPr>
            <w:webHidden/>
          </w:rPr>
          <w:fldChar w:fldCharType="end"/>
        </w:r>
      </w:hyperlink>
    </w:p>
    <w:p w14:paraId="1AE18AF5" w14:textId="03593619" w:rsidR="00F231CA" w:rsidRDefault="00AB4B76">
      <w:pPr>
        <w:pStyle w:val="TOC1"/>
        <w:rPr>
          <w:rFonts w:asciiTheme="minorHAnsi" w:eastAsiaTheme="minorEastAsia" w:hAnsiTheme="minorHAnsi" w:cstheme="minorBidi"/>
          <w:sz w:val="22"/>
          <w:szCs w:val="22"/>
        </w:rPr>
      </w:pPr>
      <w:hyperlink w:anchor="_Toc465172386" w:history="1">
        <w:r w:rsidR="00F231CA" w:rsidRPr="004D7998">
          <w:rPr>
            <w:rStyle w:val="Hyperlink"/>
          </w:rPr>
          <w:t>Adjustments and exclusions</w:t>
        </w:r>
        <w:r w:rsidR="00F231CA">
          <w:rPr>
            <w:webHidden/>
          </w:rPr>
          <w:tab/>
        </w:r>
        <w:r w:rsidR="00F231CA">
          <w:rPr>
            <w:webHidden/>
          </w:rPr>
          <w:fldChar w:fldCharType="begin"/>
        </w:r>
        <w:r w:rsidR="00F231CA">
          <w:rPr>
            <w:webHidden/>
          </w:rPr>
          <w:instrText xml:space="preserve"> PAGEREF _Toc465172386 \h </w:instrText>
        </w:r>
        <w:r w:rsidR="00F231CA">
          <w:rPr>
            <w:webHidden/>
          </w:rPr>
        </w:r>
        <w:r w:rsidR="00F231CA">
          <w:rPr>
            <w:webHidden/>
          </w:rPr>
          <w:fldChar w:fldCharType="separate"/>
        </w:r>
        <w:r w:rsidR="00642B90">
          <w:rPr>
            <w:webHidden/>
          </w:rPr>
          <w:t>21</w:t>
        </w:r>
        <w:r w:rsidR="00F231CA">
          <w:rPr>
            <w:webHidden/>
          </w:rPr>
          <w:fldChar w:fldCharType="end"/>
        </w:r>
      </w:hyperlink>
    </w:p>
    <w:p w14:paraId="1AE18AF6" w14:textId="2716C4F6" w:rsidR="00F231CA" w:rsidRDefault="00AB4B76">
      <w:pPr>
        <w:pStyle w:val="TOC1"/>
        <w:rPr>
          <w:rFonts w:asciiTheme="minorHAnsi" w:eastAsiaTheme="minorEastAsia" w:hAnsiTheme="minorHAnsi" w:cstheme="minorBidi"/>
          <w:sz w:val="22"/>
          <w:szCs w:val="22"/>
        </w:rPr>
      </w:pPr>
      <w:hyperlink w:anchor="_Toc465172387" w:history="1">
        <w:r w:rsidR="00F231CA" w:rsidRPr="004D7998">
          <w:rPr>
            <w:rStyle w:val="Hyperlink"/>
          </w:rPr>
          <w:t>Previous exercise of discretion</w:t>
        </w:r>
        <w:r w:rsidR="00F231CA">
          <w:rPr>
            <w:webHidden/>
          </w:rPr>
          <w:tab/>
        </w:r>
        <w:r w:rsidR="00F231CA">
          <w:rPr>
            <w:webHidden/>
          </w:rPr>
          <w:fldChar w:fldCharType="begin"/>
        </w:r>
        <w:r w:rsidR="00F231CA">
          <w:rPr>
            <w:webHidden/>
          </w:rPr>
          <w:instrText xml:space="preserve"> PAGEREF _Toc465172387 \h </w:instrText>
        </w:r>
        <w:r w:rsidR="00F231CA">
          <w:rPr>
            <w:webHidden/>
          </w:rPr>
        </w:r>
        <w:r w:rsidR="00F231CA">
          <w:rPr>
            <w:webHidden/>
          </w:rPr>
          <w:fldChar w:fldCharType="separate"/>
        </w:r>
        <w:r w:rsidR="00642B90">
          <w:rPr>
            <w:webHidden/>
          </w:rPr>
          <w:t>21</w:t>
        </w:r>
        <w:r w:rsidR="00F231CA">
          <w:rPr>
            <w:webHidden/>
          </w:rPr>
          <w:fldChar w:fldCharType="end"/>
        </w:r>
      </w:hyperlink>
    </w:p>
    <w:p w14:paraId="1AE18AF7" w14:textId="173B94F1" w:rsidR="00F231CA" w:rsidRDefault="00AB4B76">
      <w:pPr>
        <w:pStyle w:val="TOC2"/>
        <w:rPr>
          <w:rFonts w:asciiTheme="minorHAnsi" w:eastAsiaTheme="minorEastAsia" w:hAnsiTheme="minorHAnsi" w:cstheme="minorBidi"/>
          <w:sz w:val="22"/>
          <w:szCs w:val="22"/>
        </w:rPr>
      </w:pPr>
      <w:hyperlink w:anchor="_Toc465172388" w:history="1">
        <w:r w:rsidR="00F231CA" w:rsidRPr="004D7998">
          <w:rPr>
            <w:rStyle w:val="Hyperlink"/>
          </w:rPr>
          <w:t>Attachment A — Operational requirements for regulatory capital relief</w:t>
        </w:r>
        <w:r w:rsidR="00F231CA">
          <w:rPr>
            <w:webHidden/>
          </w:rPr>
          <w:tab/>
        </w:r>
        <w:r w:rsidR="00F231CA">
          <w:rPr>
            <w:webHidden/>
          </w:rPr>
          <w:fldChar w:fldCharType="begin"/>
        </w:r>
        <w:r w:rsidR="00F231CA">
          <w:rPr>
            <w:webHidden/>
          </w:rPr>
          <w:instrText xml:space="preserve"> PAGEREF _Toc465172388 \h </w:instrText>
        </w:r>
        <w:r w:rsidR="00F231CA">
          <w:rPr>
            <w:webHidden/>
          </w:rPr>
        </w:r>
        <w:r w:rsidR="00F231CA">
          <w:rPr>
            <w:webHidden/>
          </w:rPr>
          <w:fldChar w:fldCharType="separate"/>
        </w:r>
        <w:r w:rsidR="00642B90">
          <w:rPr>
            <w:webHidden/>
          </w:rPr>
          <w:t>22</w:t>
        </w:r>
        <w:r w:rsidR="00F231CA">
          <w:rPr>
            <w:webHidden/>
          </w:rPr>
          <w:fldChar w:fldCharType="end"/>
        </w:r>
      </w:hyperlink>
    </w:p>
    <w:p w14:paraId="1AE18AF8" w14:textId="5F962DD4" w:rsidR="00F231CA" w:rsidRDefault="00AB4B76">
      <w:pPr>
        <w:pStyle w:val="TOC2"/>
        <w:rPr>
          <w:rFonts w:asciiTheme="minorHAnsi" w:eastAsiaTheme="minorEastAsia" w:hAnsiTheme="minorHAnsi" w:cstheme="minorBidi"/>
          <w:sz w:val="22"/>
          <w:szCs w:val="22"/>
        </w:rPr>
      </w:pPr>
      <w:hyperlink w:anchor="_Toc465172389" w:history="1">
        <w:r w:rsidR="00F231CA" w:rsidRPr="004D7998">
          <w:rPr>
            <w:rStyle w:val="Hyperlink"/>
          </w:rPr>
          <w:t>Attachment B — Operational requirements for funding-only securitisation</w:t>
        </w:r>
        <w:r w:rsidR="00F231CA">
          <w:rPr>
            <w:webHidden/>
          </w:rPr>
          <w:tab/>
        </w:r>
        <w:r w:rsidR="00F231CA">
          <w:rPr>
            <w:webHidden/>
          </w:rPr>
          <w:fldChar w:fldCharType="begin"/>
        </w:r>
        <w:r w:rsidR="00F231CA">
          <w:rPr>
            <w:webHidden/>
          </w:rPr>
          <w:instrText xml:space="preserve"> PAGEREF _Toc465172389 \h </w:instrText>
        </w:r>
        <w:r w:rsidR="00F231CA">
          <w:rPr>
            <w:webHidden/>
          </w:rPr>
        </w:r>
        <w:r w:rsidR="00F231CA">
          <w:rPr>
            <w:webHidden/>
          </w:rPr>
          <w:fldChar w:fldCharType="separate"/>
        </w:r>
        <w:r w:rsidR="00642B90">
          <w:rPr>
            <w:webHidden/>
          </w:rPr>
          <w:t>25</w:t>
        </w:r>
        <w:r w:rsidR="00F231CA">
          <w:rPr>
            <w:webHidden/>
          </w:rPr>
          <w:fldChar w:fldCharType="end"/>
        </w:r>
      </w:hyperlink>
    </w:p>
    <w:p w14:paraId="1AE18AF9" w14:textId="19B435D4" w:rsidR="00F231CA" w:rsidRDefault="00AB4B76">
      <w:pPr>
        <w:pStyle w:val="TOC2"/>
        <w:rPr>
          <w:rFonts w:asciiTheme="minorHAnsi" w:eastAsiaTheme="minorEastAsia" w:hAnsiTheme="minorHAnsi" w:cstheme="minorBidi"/>
          <w:sz w:val="22"/>
          <w:szCs w:val="22"/>
        </w:rPr>
      </w:pPr>
      <w:hyperlink w:anchor="_Toc465172390" w:history="1">
        <w:r w:rsidR="00F231CA" w:rsidRPr="004D7998">
          <w:rPr>
            <w:rStyle w:val="Hyperlink"/>
          </w:rPr>
          <w:t>Attachment C — Regulatory capital required for credit risk</w:t>
        </w:r>
        <w:r w:rsidR="00F231CA">
          <w:rPr>
            <w:webHidden/>
          </w:rPr>
          <w:tab/>
        </w:r>
        <w:r w:rsidR="00F231CA">
          <w:rPr>
            <w:webHidden/>
          </w:rPr>
          <w:fldChar w:fldCharType="begin"/>
        </w:r>
        <w:r w:rsidR="00F231CA">
          <w:rPr>
            <w:webHidden/>
          </w:rPr>
          <w:instrText xml:space="preserve"> PAGEREF _Toc465172390 \h </w:instrText>
        </w:r>
        <w:r w:rsidR="00F231CA">
          <w:rPr>
            <w:webHidden/>
          </w:rPr>
        </w:r>
        <w:r w:rsidR="00F231CA">
          <w:rPr>
            <w:webHidden/>
          </w:rPr>
          <w:fldChar w:fldCharType="separate"/>
        </w:r>
        <w:r w:rsidR="00642B90">
          <w:rPr>
            <w:webHidden/>
          </w:rPr>
          <w:t>28</w:t>
        </w:r>
        <w:r w:rsidR="00F231CA">
          <w:rPr>
            <w:webHidden/>
          </w:rPr>
          <w:fldChar w:fldCharType="end"/>
        </w:r>
      </w:hyperlink>
    </w:p>
    <w:p w14:paraId="1AE18AFA" w14:textId="58BE880E" w:rsidR="00F231CA" w:rsidRDefault="00AB4B76">
      <w:pPr>
        <w:pStyle w:val="TOC2"/>
        <w:rPr>
          <w:rFonts w:asciiTheme="minorHAnsi" w:eastAsiaTheme="minorEastAsia" w:hAnsiTheme="minorHAnsi" w:cstheme="minorBidi"/>
          <w:sz w:val="22"/>
          <w:szCs w:val="22"/>
        </w:rPr>
      </w:pPr>
      <w:hyperlink w:anchor="_Toc465172391" w:history="1">
        <w:r w:rsidR="00F231CA" w:rsidRPr="004D7998">
          <w:rPr>
            <w:rStyle w:val="Hyperlink"/>
          </w:rPr>
          <w:t>Attachment D — Facilities and services</w:t>
        </w:r>
        <w:r w:rsidR="00F231CA">
          <w:rPr>
            <w:webHidden/>
          </w:rPr>
          <w:tab/>
        </w:r>
        <w:r w:rsidR="00F231CA">
          <w:rPr>
            <w:webHidden/>
          </w:rPr>
          <w:fldChar w:fldCharType="begin"/>
        </w:r>
        <w:r w:rsidR="00F231CA">
          <w:rPr>
            <w:webHidden/>
          </w:rPr>
          <w:instrText xml:space="preserve"> PAGEREF _Toc465172391 \h </w:instrText>
        </w:r>
        <w:r w:rsidR="00F231CA">
          <w:rPr>
            <w:webHidden/>
          </w:rPr>
        </w:r>
        <w:r w:rsidR="00F231CA">
          <w:rPr>
            <w:webHidden/>
          </w:rPr>
          <w:fldChar w:fldCharType="separate"/>
        </w:r>
        <w:r w:rsidR="00642B90">
          <w:rPr>
            <w:webHidden/>
          </w:rPr>
          <w:t>37</w:t>
        </w:r>
        <w:r w:rsidR="00F231CA">
          <w:rPr>
            <w:webHidden/>
          </w:rPr>
          <w:fldChar w:fldCharType="end"/>
        </w:r>
      </w:hyperlink>
    </w:p>
    <w:p w14:paraId="1AE18AFB" w14:textId="77777777" w:rsidR="009D467A" w:rsidRDefault="00CE6E92" w:rsidP="00FF513E">
      <w:pPr>
        <w:pStyle w:val="NoSpacing"/>
      </w:pPr>
      <w:r>
        <w:rPr>
          <w:rFonts w:ascii="Arial" w:hAnsi="Arial" w:cstheme="majorHAnsi"/>
          <w:noProof/>
        </w:rPr>
        <w:fldChar w:fldCharType="end"/>
      </w:r>
    </w:p>
    <w:p w14:paraId="1AE18AFC" w14:textId="77777777" w:rsidR="00E96B6D" w:rsidRDefault="00E96B6D" w:rsidP="001F6B8D">
      <w:pPr>
        <w:pStyle w:val="Heading1"/>
        <w:sectPr w:rsidR="00E96B6D" w:rsidSect="004966A8">
          <w:headerReference w:type="default" r:id="rId19"/>
          <w:footerReference w:type="default" r:id="rId20"/>
          <w:headerReference w:type="first" r:id="rId21"/>
          <w:footerReference w:type="first" r:id="rId22"/>
          <w:pgSz w:w="11906" w:h="16838" w:code="9"/>
          <w:pgMar w:top="1440" w:right="1797" w:bottom="1440" w:left="1797" w:header="709" w:footer="709" w:gutter="0"/>
          <w:pgNumType w:start="1"/>
          <w:cols w:space="708"/>
          <w:docGrid w:linePitch="360"/>
        </w:sectPr>
      </w:pPr>
      <w:bookmarkStart w:id="8" w:name="_Toc314733116"/>
      <w:bookmarkStart w:id="9" w:name="_Toc341686774"/>
      <w:bookmarkEnd w:id="4"/>
      <w:bookmarkEnd w:id="5"/>
      <w:bookmarkEnd w:id="6"/>
      <w:bookmarkEnd w:id="7"/>
    </w:p>
    <w:p w14:paraId="1AE18AFD" w14:textId="77777777" w:rsidR="00E07F40" w:rsidRPr="001F6B8D" w:rsidRDefault="00E07F40" w:rsidP="001F6B8D">
      <w:pPr>
        <w:pStyle w:val="Heading1"/>
      </w:pPr>
      <w:bookmarkStart w:id="10" w:name="_Toc465172372"/>
      <w:r w:rsidRPr="00B37C03">
        <w:lastRenderedPageBreak/>
        <w:t>Authority</w:t>
      </w:r>
      <w:bookmarkEnd w:id="8"/>
      <w:bookmarkEnd w:id="9"/>
      <w:bookmarkEnd w:id="10"/>
    </w:p>
    <w:p w14:paraId="1AE18AFE" w14:textId="77777777" w:rsidR="00E07F40" w:rsidRDefault="00E07F40" w:rsidP="001C755C">
      <w:pPr>
        <w:pStyle w:val="BodyText1"/>
      </w:pPr>
      <w:r w:rsidRPr="00B37C03">
        <w:t xml:space="preserve">This Prudential Standard is made under section 11AF of the </w:t>
      </w:r>
      <w:r w:rsidRPr="00B37C03">
        <w:rPr>
          <w:i/>
          <w:iCs/>
        </w:rPr>
        <w:t xml:space="preserve">Banking Act 1959 </w:t>
      </w:r>
      <w:r w:rsidRPr="00B37C03">
        <w:t xml:space="preserve">(the </w:t>
      </w:r>
      <w:r w:rsidRPr="0036233D">
        <w:rPr>
          <w:b/>
        </w:rPr>
        <w:t>Banking Act</w:t>
      </w:r>
      <w:r w:rsidRPr="00B37C03">
        <w:t>).</w:t>
      </w:r>
      <w:r w:rsidR="00E96B6D">
        <w:t xml:space="preserve"> </w:t>
      </w:r>
    </w:p>
    <w:p w14:paraId="1AE18AFF" w14:textId="77777777" w:rsidR="00E07F40" w:rsidRDefault="00E07F40" w:rsidP="001F6B8D">
      <w:pPr>
        <w:pStyle w:val="Heading1"/>
      </w:pPr>
      <w:bookmarkStart w:id="11" w:name="_Toc314733118"/>
      <w:bookmarkStart w:id="12" w:name="_Toc341686775"/>
      <w:bookmarkStart w:id="13" w:name="_Toc465172373"/>
      <w:r w:rsidRPr="00B37C03">
        <w:t>Application</w:t>
      </w:r>
      <w:bookmarkEnd w:id="11"/>
      <w:bookmarkEnd w:id="12"/>
      <w:bookmarkEnd w:id="13"/>
    </w:p>
    <w:p w14:paraId="1AE18B00" w14:textId="4983091D" w:rsidR="00DF539C" w:rsidRDefault="00026B26" w:rsidP="00DF539C">
      <w:pPr>
        <w:pStyle w:val="BodyText1"/>
      </w:pPr>
      <w:r w:rsidRPr="007F3C4F">
        <w:t>Subject to paragraph</w:t>
      </w:r>
      <w:r>
        <w:t>s</w:t>
      </w:r>
      <w:r w:rsidRPr="007F3C4F">
        <w:t xml:space="preserve"> </w:t>
      </w:r>
      <w:r w:rsidR="009D7D7E">
        <w:fldChar w:fldCharType="begin"/>
      </w:r>
      <w:r w:rsidR="009D7D7E">
        <w:instrText xml:space="preserve"> REF _Ref465154393 \r \h </w:instrText>
      </w:r>
      <w:r w:rsidR="009D7D7E">
        <w:fldChar w:fldCharType="separate"/>
      </w:r>
      <w:r w:rsidR="00642B90">
        <w:t>3</w:t>
      </w:r>
      <w:r w:rsidR="009D7D7E">
        <w:fldChar w:fldCharType="end"/>
      </w:r>
      <w:r w:rsidR="009D7D7E">
        <w:t xml:space="preserve"> </w:t>
      </w:r>
      <w:r>
        <w:t xml:space="preserve">and </w:t>
      </w:r>
      <w:r>
        <w:fldChar w:fldCharType="begin"/>
      </w:r>
      <w:r>
        <w:instrText xml:space="preserve"> REF _Ref464804223 \r \h </w:instrText>
      </w:r>
      <w:r>
        <w:fldChar w:fldCharType="separate"/>
      </w:r>
      <w:r w:rsidR="00642B90">
        <w:t>5</w:t>
      </w:r>
      <w:r>
        <w:fldChar w:fldCharType="end"/>
      </w:r>
      <w:r w:rsidRPr="007F3C4F">
        <w:t xml:space="preserve">, this Prudential Standard applies to an </w:t>
      </w:r>
      <w:r w:rsidRPr="007F3C4F">
        <w:rPr>
          <w:b/>
        </w:rPr>
        <w:t>authorised deposit-taking institution</w:t>
      </w:r>
      <w:r w:rsidRPr="007F3C4F">
        <w:t xml:space="preserve"> (</w:t>
      </w:r>
      <w:r w:rsidRPr="007F3C4F">
        <w:rPr>
          <w:b/>
        </w:rPr>
        <w:t>ADI</w:t>
      </w:r>
      <w:r w:rsidRPr="007F3C4F">
        <w:t>)</w:t>
      </w:r>
      <w:r>
        <w:t xml:space="preserve"> and an </w:t>
      </w:r>
      <w:r w:rsidRPr="000B46AE">
        <w:rPr>
          <w:b/>
        </w:rPr>
        <w:t>authorised non-operating holding company</w:t>
      </w:r>
      <w:r>
        <w:t xml:space="preserve"> (</w:t>
      </w:r>
      <w:r w:rsidRPr="000B46AE">
        <w:rPr>
          <w:b/>
        </w:rPr>
        <w:t>authorised NOHC</w:t>
      </w:r>
      <w:r>
        <w:t>).</w:t>
      </w:r>
    </w:p>
    <w:p w14:paraId="1AE18B01" w14:textId="7CEEA2B6" w:rsidR="00026B26" w:rsidRPr="00DF539C" w:rsidRDefault="00026B26" w:rsidP="00DF539C">
      <w:pPr>
        <w:pStyle w:val="BodyText1"/>
      </w:pPr>
      <w:bookmarkStart w:id="14" w:name="_Ref465154393"/>
      <w:r w:rsidRPr="004F27BA">
        <w:t xml:space="preserve">This </w:t>
      </w:r>
      <w:r>
        <w:t>P</w:t>
      </w:r>
      <w:r w:rsidRPr="004F27BA">
        <w:t xml:space="preserve">rudential </w:t>
      </w:r>
      <w:r>
        <w:t>S</w:t>
      </w:r>
      <w:r w:rsidRPr="004F27BA">
        <w:t xml:space="preserve">tandard does not apply to a </w:t>
      </w:r>
      <w:r w:rsidRPr="004F27BA">
        <w:rPr>
          <w:b/>
        </w:rPr>
        <w:t>purchased payment facility provider</w:t>
      </w:r>
      <w:r w:rsidRPr="004F27BA">
        <w:t xml:space="preserve">. A </w:t>
      </w:r>
      <w:r w:rsidRPr="004F27BA">
        <w:rPr>
          <w:b/>
        </w:rPr>
        <w:t xml:space="preserve">foreign ADI </w:t>
      </w:r>
      <w:r w:rsidRPr="004F27BA">
        <w:t xml:space="preserve">need only comply with </w:t>
      </w:r>
      <w:r>
        <w:t xml:space="preserve">the </w:t>
      </w:r>
      <w:r w:rsidRPr="004F27BA">
        <w:t xml:space="preserve">provisions of this Prudential Standard relating to separation and disclosure (paragraphs </w:t>
      </w:r>
      <w:r w:rsidR="009D7D7E">
        <w:fldChar w:fldCharType="begin"/>
      </w:r>
      <w:r w:rsidR="009D7D7E">
        <w:instrText xml:space="preserve"> REF _Ref465154475 \r \h </w:instrText>
      </w:r>
      <w:r w:rsidR="009D7D7E">
        <w:fldChar w:fldCharType="separate"/>
      </w:r>
      <w:r w:rsidR="00642B90">
        <w:t>13</w:t>
      </w:r>
      <w:r w:rsidR="009D7D7E">
        <w:fldChar w:fldCharType="end"/>
      </w:r>
      <w:r w:rsidR="009D7D7E">
        <w:t xml:space="preserve"> </w:t>
      </w:r>
      <w:r w:rsidRPr="004F27BA">
        <w:t>to</w:t>
      </w:r>
      <w:r w:rsidR="009D7D7E">
        <w:t xml:space="preserve"> </w:t>
      </w:r>
      <w:r w:rsidR="009D7D7E">
        <w:fldChar w:fldCharType="begin"/>
      </w:r>
      <w:r w:rsidR="009D7D7E">
        <w:instrText xml:space="preserve"> REF _Ref465154492 \r \h </w:instrText>
      </w:r>
      <w:r w:rsidR="009D7D7E">
        <w:fldChar w:fldCharType="separate"/>
      </w:r>
      <w:r w:rsidR="00642B90">
        <w:t>18</w:t>
      </w:r>
      <w:r w:rsidR="009D7D7E">
        <w:fldChar w:fldCharType="end"/>
      </w:r>
      <w:r w:rsidRPr="004F27BA">
        <w:t xml:space="preserve">), </w:t>
      </w:r>
      <w:r>
        <w:t>risk management framework</w:t>
      </w:r>
      <w:r w:rsidRPr="004F27BA">
        <w:t xml:space="preserve"> (paragraph</w:t>
      </w:r>
      <w:r w:rsidR="009D7D7E">
        <w:t xml:space="preserve"> </w:t>
      </w:r>
      <w:r w:rsidR="009D7D7E">
        <w:fldChar w:fldCharType="begin"/>
      </w:r>
      <w:r w:rsidR="009D7D7E">
        <w:instrText xml:space="preserve"> REF _Ref465154526 \r \h </w:instrText>
      </w:r>
      <w:r w:rsidR="009D7D7E">
        <w:fldChar w:fldCharType="separate"/>
      </w:r>
      <w:r w:rsidR="00642B90">
        <w:t>72</w:t>
      </w:r>
      <w:r w:rsidR="009D7D7E">
        <w:fldChar w:fldCharType="end"/>
      </w:r>
      <w:r w:rsidRPr="004F27BA">
        <w:t>) and self-assessment (paragraph</w:t>
      </w:r>
      <w:r>
        <w:t xml:space="preserve"> </w:t>
      </w:r>
      <w:r>
        <w:fldChar w:fldCharType="begin"/>
      </w:r>
      <w:r>
        <w:instrText xml:space="preserve"> REF _Ref464804298 \r \h </w:instrText>
      </w:r>
      <w:r>
        <w:fldChar w:fldCharType="separate"/>
      </w:r>
      <w:r w:rsidR="00642B90">
        <w:t>73</w:t>
      </w:r>
      <w:r>
        <w:fldChar w:fldCharType="end"/>
      </w:r>
      <w:r>
        <w:t xml:space="preserve"> only</w:t>
      </w:r>
      <w:r w:rsidRPr="004F27BA">
        <w:t>)</w:t>
      </w:r>
      <w:bookmarkEnd w:id="14"/>
      <w:r w:rsidR="00D94AAD">
        <w:t>.</w:t>
      </w:r>
    </w:p>
    <w:p w14:paraId="1AE18B02" w14:textId="77777777" w:rsidR="00E07F40" w:rsidRDefault="00026B26" w:rsidP="00E07F40">
      <w:pPr>
        <w:pStyle w:val="BodyText1"/>
      </w:pPr>
      <w:bookmarkStart w:id="15" w:name="_Ref454389904"/>
      <w:r w:rsidRPr="007F3C4F">
        <w:t>A reference to an ADI in this Prudential Standard, unless otherwise indicated, is a reference to</w:t>
      </w:r>
      <w:bookmarkEnd w:id="15"/>
      <w:r>
        <w:t>:</w:t>
      </w:r>
    </w:p>
    <w:p w14:paraId="1AE18B03" w14:textId="77777777" w:rsidR="00110917" w:rsidRDefault="00026B26" w:rsidP="00026B26">
      <w:pPr>
        <w:pStyle w:val="BodyText2"/>
      </w:pPr>
      <w:r>
        <w:t xml:space="preserve">an </w:t>
      </w:r>
      <w:r w:rsidRPr="00AE456D">
        <w:t>ADI</w:t>
      </w:r>
      <w:r w:rsidRPr="007F3C4F">
        <w:t xml:space="preserve"> on a </w:t>
      </w:r>
      <w:r w:rsidRPr="007F3C4F">
        <w:rPr>
          <w:b/>
        </w:rPr>
        <w:t>Level 1</w:t>
      </w:r>
      <w:r w:rsidRPr="007F3C4F">
        <w:t xml:space="preserve"> basis; and</w:t>
      </w:r>
    </w:p>
    <w:p w14:paraId="1AE18B04" w14:textId="77777777" w:rsidR="00026B26" w:rsidRDefault="00026B26" w:rsidP="00026B26">
      <w:pPr>
        <w:pStyle w:val="BodyText2"/>
      </w:pPr>
      <w:r w:rsidRPr="007F3C4F">
        <w:t xml:space="preserve">a </w:t>
      </w:r>
      <w:r w:rsidRPr="000E0584">
        <w:rPr>
          <w:b/>
        </w:rPr>
        <w:t>group</w:t>
      </w:r>
      <w:r w:rsidRPr="007F3C4F">
        <w:t xml:space="preserve"> of which an ADI is a member on a </w:t>
      </w:r>
      <w:r w:rsidRPr="007F3C4F">
        <w:rPr>
          <w:b/>
        </w:rPr>
        <w:t>Level 2</w:t>
      </w:r>
      <w:r w:rsidRPr="007F3C4F">
        <w:t xml:space="preserve"> basis.</w:t>
      </w:r>
    </w:p>
    <w:p w14:paraId="1AE18B05" w14:textId="77777777" w:rsidR="00026B26" w:rsidRDefault="00026B26" w:rsidP="00026B26">
      <w:pPr>
        <w:pStyle w:val="BodyText1"/>
      </w:pPr>
      <w:bookmarkStart w:id="16" w:name="_Ref464804223"/>
      <w:r w:rsidRPr="007F3C4F">
        <w:t>If an ADI to which this Prudential Standard applies is:</w:t>
      </w:r>
      <w:bookmarkEnd w:id="16"/>
    </w:p>
    <w:p w14:paraId="1AE18B06" w14:textId="77777777" w:rsidR="00026B26" w:rsidRDefault="00026B26" w:rsidP="00026B26">
      <w:pPr>
        <w:pStyle w:val="BodyText2"/>
      </w:pPr>
      <w:r w:rsidRPr="007F3C4F">
        <w:t xml:space="preserve">the holding company for a group, the ADI must ensure that the requirements in this </w:t>
      </w:r>
      <w:r w:rsidRPr="00AE456D">
        <w:t>Prudential</w:t>
      </w:r>
      <w:r w:rsidRPr="007F3C4F">
        <w:t xml:space="preserve"> Standard are met on a Level 2 basis, where applicable; or</w:t>
      </w:r>
    </w:p>
    <w:p w14:paraId="1AE18B07" w14:textId="77777777" w:rsidR="00026B26" w:rsidRDefault="00026B26" w:rsidP="00026B26">
      <w:pPr>
        <w:pStyle w:val="BodyText2"/>
      </w:pPr>
      <w:r w:rsidRPr="007F3C4F">
        <w:t xml:space="preserve">a </w:t>
      </w:r>
      <w:r w:rsidRPr="000E0584">
        <w:rPr>
          <w:b/>
        </w:rPr>
        <w:t>subsidiary</w:t>
      </w:r>
      <w:r w:rsidRPr="007F3C4F">
        <w:t xml:space="preserve"> of an </w:t>
      </w:r>
      <w:r w:rsidRPr="000B46AE">
        <w:t>authorised NOHC</w:t>
      </w:r>
      <w:r w:rsidRPr="007F3C4F">
        <w:t>, the authorised NOHC must ensure that the requirements in this Prudential Standard are met on a Level 2 basis, where applicable.</w:t>
      </w:r>
    </w:p>
    <w:p w14:paraId="1AE18B08" w14:textId="77777777" w:rsidR="00026B26" w:rsidRDefault="00026B26" w:rsidP="00026B26">
      <w:pPr>
        <w:pStyle w:val="Heading1"/>
      </w:pPr>
      <w:bookmarkStart w:id="17" w:name="_Toc465172374"/>
      <w:r>
        <w:t>Interpretation</w:t>
      </w:r>
      <w:bookmarkEnd w:id="17"/>
    </w:p>
    <w:p w14:paraId="1AE18B09" w14:textId="77777777" w:rsidR="00082FA4" w:rsidRDefault="00082FA4" w:rsidP="00082FA4">
      <w:pPr>
        <w:pStyle w:val="BodyText1"/>
      </w:pPr>
      <w:r>
        <w:t>In this Prudential Standard:</w:t>
      </w:r>
    </w:p>
    <w:p w14:paraId="1AE18B0A" w14:textId="77777777" w:rsidR="00026B26" w:rsidRDefault="00082FA4" w:rsidP="00082FA4">
      <w:pPr>
        <w:pStyle w:val="BodyText2"/>
      </w:pPr>
      <w:r>
        <w:tab/>
        <w:t>t</w:t>
      </w:r>
      <w:r w:rsidR="00026B26" w:rsidRPr="007F3C4F">
        <w:t xml:space="preserve">erms that are defined in </w:t>
      </w:r>
      <w:r w:rsidR="00026B26" w:rsidRPr="00082FA4">
        <w:rPr>
          <w:i/>
        </w:rPr>
        <w:t>Prudential Standard APS 001 Definitions</w:t>
      </w:r>
      <w:r w:rsidR="008007FF" w:rsidRPr="00082FA4">
        <w:rPr>
          <w:i/>
        </w:rPr>
        <w:t xml:space="preserve"> </w:t>
      </w:r>
      <w:r w:rsidR="00026B26" w:rsidRPr="007F3C4F">
        <w:t>appear in bold the first time they are used</w:t>
      </w:r>
      <w:r>
        <w:t>; and</w:t>
      </w:r>
    </w:p>
    <w:p w14:paraId="1AE18B0B" w14:textId="7845AD73" w:rsidR="00082FA4" w:rsidRDefault="00082FA4" w:rsidP="00DA3B9A">
      <w:pPr>
        <w:pStyle w:val="BodyText2"/>
      </w:pPr>
      <w:r>
        <w:t>unless the contrary intention appears, a reference to an Act, Regulations</w:t>
      </w:r>
      <w:r w:rsidR="005216CB">
        <w:t>,</w:t>
      </w:r>
      <w:r>
        <w:t xml:space="preserve"> Prudential Standard</w:t>
      </w:r>
      <w:r w:rsidR="005216CB">
        <w:t>, Australian Accounting or Auditing Standard</w:t>
      </w:r>
      <w:r>
        <w:t xml:space="preserve"> is a reference to the </w:t>
      </w:r>
      <w:r w:rsidR="005216CB">
        <w:t>instrument</w:t>
      </w:r>
      <w:r>
        <w:t xml:space="preserve"> as in force from time to time. </w:t>
      </w:r>
    </w:p>
    <w:p w14:paraId="1AE18B0C" w14:textId="77777777" w:rsidR="00026B26" w:rsidRDefault="00026B26" w:rsidP="00026B26">
      <w:pPr>
        <w:pStyle w:val="BodyText1"/>
      </w:pPr>
      <w:r w:rsidRPr="009E1F85">
        <w:t>Where this Prudential Standard provides for APRA to exercise a power or discretion, this power or discretion is to be exercised in writing</w:t>
      </w:r>
      <w:r>
        <w:t>.</w:t>
      </w:r>
    </w:p>
    <w:p w14:paraId="1AE18B0D" w14:textId="77777777" w:rsidR="001B7076" w:rsidRDefault="001B7076" w:rsidP="001B7076">
      <w:pPr>
        <w:pStyle w:val="Heading1"/>
      </w:pPr>
      <w:bookmarkStart w:id="18" w:name="_Toc465172375"/>
      <w:r>
        <w:t>Scope</w:t>
      </w:r>
      <w:bookmarkEnd w:id="18"/>
    </w:p>
    <w:p w14:paraId="1AE18B0E" w14:textId="77777777" w:rsidR="001B7076" w:rsidRDefault="001B7076" w:rsidP="001B7076">
      <w:pPr>
        <w:pStyle w:val="BodyText1"/>
      </w:pPr>
      <w:r>
        <w:t xml:space="preserve">Except where otherwise provided, this Prudential Standard applies to all roles undertaken by, and investments of, an ADI in a </w:t>
      </w:r>
      <w:r w:rsidRPr="00A60F2B">
        <w:rPr>
          <w:b/>
        </w:rPr>
        <w:t>securitisation</w:t>
      </w:r>
      <w:r w:rsidRPr="00136DE4">
        <w:t>.</w:t>
      </w:r>
      <w:r>
        <w:t xml:space="preserve"> This Prudential Standard applies whether the exposures in the pool have been:</w:t>
      </w:r>
    </w:p>
    <w:p w14:paraId="1AE18B0F" w14:textId="77777777" w:rsidR="001B7076" w:rsidRDefault="001B7076" w:rsidP="001B7076">
      <w:pPr>
        <w:pStyle w:val="BodyText2"/>
      </w:pPr>
      <w:r>
        <w:lastRenderedPageBreak/>
        <w:t>on an ADI’s balance sheet;</w:t>
      </w:r>
    </w:p>
    <w:p w14:paraId="1AE18B10" w14:textId="77777777" w:rsidR="001B7076" w:rsidRDefault="001B7076" w:rsidP="001B7076">
      <w:pPr>
        <w:pStyle w:val="BodyText2"/>
      </w:pPr>
      <w:r>
        <w:t>originated by an ADI into the pool without being first on the ADI’s balance sheet; or</w:t>
      </w:r>
    </w:p>
    <w:p w14:paraId="1AE18B11" w14:textId="77777777" w:rsidR="001B7076" w:rsidRDefault="001B7076" w:rsidP="001B7076">
      <w:pPr>
        <w:pStyle w:val="BodyText2"/>
      </w:pPr>
      <w:r>
        <w:t>originated by any other entity.</w:t>
      </w:r>
    </w:p>
    <w:p w14:paraId="1AE18B12" w14:textId="77777777" w:rsidR="001B7076" w:rsidRDefault="001B7076" w:rsidP="001B7076">
      <w:pPr>
        <w:pStyle w:val="BodyText1"/>
      </w:pPr>
      <w:r>
        <w:t xml:space="preserve">An ADI must apply the capital adequacy requirements set out in this Prudential Standard to securitisation exposures held in its banking book. Securitisation exposures held in an ADI’s trading book are subject to </w:t>
      </w:r>
      <w:r w:rsidRPr="004456B5">
        <w:rPr>
          <w:i/>
        </w:rPr>
        <w:t>Prudential Standard APS 116 Capital Adequacy: Market Risk</w:t>
      </w:r>
      <w:r>
        <w:t xml:space="preserve">, except that securitisation exposures held in the trading book must be deducted from </w:t>
      </w:r>
      <w:r w:rsidRPr="003B5BEB">
        <w:rPr>
          <w:b/>
        </w:rPr>
        <w:t>Common Equity Tier</w:t>
      </w:r>
      <w:r w:rsidR="009D7D7E">
        <w:rPr>
          <w:b/>
        </w:rPr>
        <w:t> </w:t>
      </w:r>
      <w:r w:rsidRPr="003B5BEB">
        <w:rPr>
          <w:b/>
        </w:rPr>
        <w:t>1 Capital</w:t>
      </w:r>
      <w:r>
        <w:t xml:space="preserve"> if they are required by this Prudential Standard to be deducted if held in the banking book.</w:t>
      </w:r>
    </w:p>
    <w:p w14:paraId="1AE18B13" w14:textId="3B5ED920" w:rsidR="001B7076" w:rsidRDefault="001B7076" w:rsidP="001B7076">
      <w:pPr>
        <w:pStyle w:val="BodyText1"/>
      </w:pPr>
      <w:r w:rsidRPr="00411567">
        <w:t>This Prudential Standard applies to securitisations</w:t>
      </w:r>
      <w:r>
        <w:t>, whether traditional, synthetic</w:t>
      </w:r>
      <w:r w:rsidRPr="00411567">
        <w:t xml:space="preserve"> or contain</w:t>
      </w:r>
      <w:r>
        <w:t>ing</w:t>
      </w:r>
      <w:r w:rsidRPr="00411567">
        <w:t xml:space="preserve"> features common to both. APRA may determine that this Prudential Standard applies to a particular </w:t>
      </w:r>
      <w:r>
        <w:t>arrangement,</w:t>
      </w:r>
      <w:r w:rsidRPr="00411567">
        <w:t xml:space="preserve"> as if it were a securitisation</w:t>
      </w:r>
      <w:r>
        <w:t>,</w:t>
      </w:r>
      <w:r w:rsidRPr="00411567">
        <w:t xml:space="preserve"> if APRA considers that it has features</w:t>
      </w:r>
      <w:r>
        <w:t xml:space="preserve"> similar</w:t>
      </w:r>
      <w:r w:rsidRPr="00411567">
        <w:t xml:space="preserve"> to a securitisation and gives rise to similar </w:t>
      </w:r>
      <w:r>
        <w:t xml:space="preserve">prudential </w:t>
      </w:r>
      <w:r w:rsidRPr="00411567">
        <w:t>risks</w:t>
      </w:r>
      <w:r>
        <w:t>.</w:t>
      </w:r>
    </w:p>
    <w:p w14:paraId="40BC7ECF" w14:textId="30F2CAF9" w:rsidR="0048794C" w:rsidRDefault="0048794C" w:rsidP="001B7076">
      <w:pPr>
        <w:pStyle w:val="BodyText1"/>
      </w:pPr>
      <w:r>
        <w:t xml:space="preserve">For the purpose of </w:t>
      </w:r>
      <w:r w:rsidR="00E87B32">
        <w:t>calculating the Level 2 Regulatory Capital requirement</w:t>
      </w:r>
      <w:r w:rsidR="00C2472B">
        <w:t>,</w:t>
      </w:r>
      <w:r w:rsidR="00E87B32">
        <w:t xml:space="preserve"> for the </w:t>
      </w:r>
      <w:r w:rsidR="006B1CC1" w:rsidRPr="006B1CC1">
        <w:t>underlying exposures</w:t>
      </w:r>
      <w:r w:rsidR="006B1CC1">
        <w:t xml:space="preserve"> in the pool</w:t>
      </w:r>
      <w:r w:rsidR="006B1CC1" w:rsidRPr="006B1CC1">
        <w:t xml:space="preserve"> </w:t>
      </w:r>
      <w:r w:rsidR="006B1CC1">
        <w:t>or the securitisation</w:t>
      </w:r>
      <w:r w:rsidR="006B1CC1" w:rsidRPr="006B1CC1">
        <w:t xml:space="preserve"> </w:t>
      </w:r>
      <w:r w:rsidR="00E87B32">
        <w:t>exposures</w:t>
      </w:r>
      <w:r w:rsidR="00C2472B">
        <w:t>,</w:t>
      </w:r>
      <w:r w:rsidR="00E87B32">
        <w:t xml:space="preserve"> of an overseas banking subsidiary that is prudentially regulated by a prescribed New Zealand authority, an ADI must calculate </w:t>
      </w:r>
      <w:r w:rsidR="000E106C">
        <w:t>risk</w:t>
      </w:r>
      <w:r w:rsidR="00DF6DC7">
        <w:t>-</w:t>
      </w:r>
      <w:r w:rsidR="000E106C">
        <w:t xml:space="preserve">weighted assets </w:t>
      </w:r>
      <w:r w:rsidR="00E87B32">
        <w:t>using the prescribed New Zealand authority’s equivalent prudential rules as in force from time to time.</w:t>
      </w:r>
      <w:r w:rsidR="00E87B32">
        <w:rPr>
          <w:rStyle w:val="FootnoteReference"/>
        </w:rPr>
        <w:footnoteReference w:id="2"/>
      </w:r>
      <w:r w:rsidR="00804686">
        <w:t xml:space="preserve"> </w:t>
      </w:r>
      <w:r w:rsidR="00C36C9F" w:rsidRPr="00047FD0">
        <w:t xml:space="preserve">An ADI must still make deductions from Common Equity Tier 1 Capital that are required to be deducted </w:t>
      </w:r>
      <w:r w:rsidR="00A171CB">
        <w:t>under</w:t>
      </w:r>
      <w:r w:rsidR="00C36C9F" w:rsidRPr="00047FD0">
        <w:t xml:space="preserve"> this Prudential Standard</w:t>
      </w:r>
      <w:r w:rsidR="00C36C9F">
        <w:t>.</w:t>
      </w:r>
    </w:p>
    <w:p w14:paraId="1AE18B14" w14:textId="77777777" w:rsidR="001B7076" w:rsidRDefault="001B7076" w:rsidP="001B7076">
      <w:pPr>
        <w:pStyle w:val="Heading1"/>
      </w:pPr>
      <w:bookmarkStart w:id="19" w:name="_Toc465172376"/>
      <w:r>
        <w:t>Definitions</w:t>
      </w:r>
      <w:bookmarkEnd w:id="19"/>
    </w:p>
    <w:p w14:paraId="1AE18B15" w14:textId="77777777" w:rsidR="001B7076" w:rsidRDefault="001B7076" w:rsidP="001B7076">
      <w:pPr>
        <w:pStyle w:val="BodyText1"/>
      </w:pPr>
      <w:r w:rsidRPr="007F3C4F">
        <w:t>The following definitions are used in this Prudential Standard:</w:t>
      </w:r>
    </w:p>
    <w:p w14:paraId="1AE18B16" w14:textId="77777777" w:rsidR="001B7076" w:rsidRDefault="001B7076" w:rsidP="001B7076">
      <w:pPr>
        <w:pStyle w:val="BodyText2"/>
      </w:pPr>
      <w:r w:rsidRPr="007F3C4F">
        <w:t>a</w:t>
      </w:r>
      <w:r>
        <w:t>sset-backed commercial paper (A</w:t>
      </w:r>
      <w:r w:rsidRPr="007F3C4F">
        <w:t>BCP</w:t>
      </w:r>
      <w:r>
        <w:t>)</w:t>
      </w:r>
      <w:r w:rsidR="009D7D7E">
        <w:t xml:space="preserve"> securitisation —</w:t>
      </w:r>
      <w:r w:rsidRPr="007F3C4F">
        <w:t xml:space="preserve"> a securitisation that predominantly issues commercial paper to investors with an original maturity of one year or less</w:t>
      </w:r>
      <w:r>
        <w:t>;</w:t>
      </w:r>
    </w:p>
    <w:p w14:paraId="1AE18B17" w14:textId="77777777" w:rsidR="001B7076" w:rsidRDefault="001B7076" w:rsidP="001B7076">
      <w:pPr>
        <w:pStyle w:val="BodyText2"/>
      </w:pPr>
      <w:r w:rsidRPr="007F3C4F">
        <w:t xml:space="preserve">basis swap </w:t>
      </w:r>
      <w:r w:rsidR="009D7D7E">
        <w:t>—</w:t>
      </w:r>
      <w:r w:rsidRPr="007F3C4F">
        <w:t xml:space="preserve"> an interest rate swap aimed at limiting basis risk</w:t>
      </w:r>
      <w:r>
        <w:t xml:space="preserve"> in a securitisation</w:t>
      </w:r>
      <w:r w:rsidRPr="007F3C4F">
        <w:t>. For the purpose</w:t>
      </w:r>
      <w:r>
        <w:t>s</w:t>
      </w:r>
      <w:r w:rsidRPr="007F3C4F">
        <w:t xml:space="preserve"> of this Prudential Standard, a basis swap includes a payment stream on one leg of the swap based on an observable market rate or index, and a payment stream on the other leg based on rates set by a party to the swap</w:t>
      </w:r>
      <w:r>
        <w:t>, typically the originating ADI</w:t>
      </w:r>
      <w:r w:rsidRPr="007F3C4F">
        <w:t>;</w:t>
      </w:r>
    </w:p>
    <w:p w14:paraId="1AE18B18" w14:textId="1E3740A7" w:rsidR="001B7076" w:rsidRDefault="001B7076" w:rsidP="001B7076">
      <w:pPr>
        <w:pStyle w:val="BodyText2"/>
      </w:pPr>
      <w:r w:rsidRPr="007F3C4F">
        <w:t xml:space="preserve">clean-up call </w:t>
      </w:r>
      <w:r w:rsidR="009D7D7E">
        <w:t>—</w:t>
      </w:r>
      <w:r w:rsidRPr="007F3C4F">
        <w:t xml:space="preserve"> an option that permits the securitisation exposures to be called by the originating ADI </w:t>
      </w:r>
      <w:r>
        <w:t xml:space="preserve">or the special purpose vehicle (SPV) </w:t>
      </w:r>
      <w:r w:rsidRPr="007F3C4F">
        <w:t xml:space="preserve">before all of the underlying exposures </w:t>
      </w:r>
      <w:r>
        <w:t xml:space="preserve">in the pool </w:t>
      </w:r>
      <w:r w:rsidRPr="007F3C4F">
        <w:t>or securitisation exposures have been repaid</w:t>
      </w:r>
      <w:r>
        <w:t xml:space="preserve"> or have matured</w:t>
      </w:r>
      <w:r w:rsidRPr="007F3C4F">
        <w:t xml:space="preserve">. In the case of </w:t>
      </w:r>
      <w:r>
        <w:t xml:space="preserve">a </w:t>
      </w:r>
      <w:r w:rsidRPr="007F3C4F">
        <w:t xml:space="preserve">traditional securitisation, this is generally accomplished by </w:t>
      </w:r>
      <w:r>
        <w:t xml:space="preserve">the </w:t>
      </w:r>
      <w:r w:rsidRPr="007F3C4F">
        <w:t>purchas</w:t>
      </w:r>
      <w:r>
        <w:t>e of</w:t>
      </w:r>
      <w:r w:rsidRPr="007F3C4F">
        <w:t xml:space="preserve"> the remaining securitisation exposures once the pool balance or outstanding securities </w:t>
      </w:r>
      <w:r>
        <w:t xml:space="preserve">issued by an SPV </w:t>
      </w:r>
      <w:r w:rsidRPr="007F3C4F">
        <w:t>have fallen below some specified level</w:t>
      </w:r>
      <w:r>
        <w:t xml:space="preserve">. In the case of a synthetic </w:t>
      </w:r>
      <w:r>
        <w:lastRenderedPageBreak/>
        <w:t>securitisation, a clean-up call may take the form of a clause that extinguishes the credit protection provided by the securitisation;</w:t>
      </w:r>
    </w:p>
    <w:p w14:paraId="1AE18B19" w14:textId="77777777" w:rsidR="001B7076" w:rsidRDefault="001B7076" w:rsidP="001B7076">
      <w:pPr>
        <w:pStyle w:val="BodyText2"/>
      </w:pPr>
      <w:r w:rsidRPr="007F3C4F">
        <w:t xml:space="preserve">credit enhancement </w:t>
      </w:r>
      <w:r w:rsidR="009D7D7E">
        <w:t>—</w:t>
      </w:r>
      <w:r w:rsidRPr="007F3C4F">
        <w:t xml:space="preserve"> a contractual arrangement in which </w:t>
      </w:r>
      <w:r>
        <w:t>an</w:t>
      </w:r>
      <w:r w:rsidRPr="007F3C4F">
        <w:t xml:space="preserve"> ADI or other entity provides some degree of protection </w:t>
      </w:r>
      <w:r>
        <w:t xml:space="preserve">against credit losses </w:t>
      </w:r>
      <w:r w:rsidRPr="007F3C4F">
        <w:t>to other parties</w:t>
      </w:r>
      <w:r>
        <w:t xml:space="preserve"> holding a securitisation exposure;</w:t>
      </w:r>
    </w:p>
    <w:p w14:paraId="1AE18B1A" w14:textId="77777777" w:rsidR="001B7076" w:rsidRDefault="009D7D7E" w:rsidP="001B7076">
      <w:pPr>
        <w:pStyle w:val="BodyText2"/>
      </w:pPr>
      <w:r>
        <w:t>date-based call —</w:t>
      </w:r>
      <w:r w:rsidR="001B7076" w:rsidRPr="007F3C4F">
        <w:t xml:space="preserve"> </w:t>
      </w:r>
      <w:r w:rsidR="001B7076" w:rsidRPr="00361D2C">
        <w:t xml:space="preserve">an option that permits securitisation exposures to be called by the originating ADI or the SPV </w:t>
      </w:r>
      <w:r w:rsidR="001B7076">
        <w:t xml:space="preserve">on a predetermined date </w:t>
      </w:r>
      <w:r w:rsidR="001B7076" w:rsidRPr="00361D2C">
        <w:t>before all of the underlying exposures in the pool or securitisation exposures have been repaid</w:t>
      </w:r>
      <w:r w:rsidR="001B7076">
        <w:t xml:space="preserve"> or have matured</w:t>
      </w:r>
      <w:r w:rsidR="001B7076" w:rsidRPr="007F3C4F">
        <w:t>;</w:t>
      </w:r>
    </w:p>
    <w:p w14:paraId="1AE18B1B" w14:textId="77777777" w:rsidR="001B7076" w:rsidRDefault="001B7076" w:rsidP="001B7076">
      <w:pPr>
        <w:pStyle w:val="BodyText2"/>
      </w:pPr>
      <w:r w:rsidRPr="007F3C4F">
        <w:t xml:space="preserve">early amortisation provision </w:t>
      </w:r>
      <w:r w:rsidR="009D7D7E">
        <w:t>—</w:t>
      </w:r>
      <w:r w:rsidRPr="007F3C4F">
        <w:t xml:space="preserve"> a mechanism </w:t>
      </w:r>
      <w:r>
        <w:t xml:space="preserve">in a securitisation of revolving credit facilities </w:t>
      </w:r>
      <w:r w:rsidRPr="007F3C4F">
        <w:t xml:space="preserve">that, once triggered, accelerates the reduction of the investor interest in </w:t>
      </w:r>
      <w:r>
        <w:t xml:space="preserve">the </w:t>
      </w:r>
      <w:r w:rsidRPr="007F3C4F">
        <w:t>underlying exposures and allows investors to be paid out</w:t>
      </w:r>
      <w:r>
        <w:t>, in full or in part,</w:t>
      </w:r>
      <w:r w:rsidRPr="007F3C4F">
        <w:t xml:space="preserve"> prior to the originally stated maturity of the securities issued;</w:t>
      </w:r>
    </w:p>
    <w:p w14:paraId="1AE18B1C" w14:textId="77777777" w:rsidR="001B7076" w:rsidRDefault="001B7076" w:rsidP="001B7076">
      <w:pPr>
        <w:pStyle w:val="BodyText2"/>
      </w:pPr>
      <w:r w:rsidRPr="007F3C4F">
        <w:t xml:space="preserve">excess spread (or future margin income) </w:t>
      </w:r>
      <w:r w:rsidR="009D7D7E">
        <w:t>—</w:t>
      </w:r>
      <w:r w:rsidRPr="007F3C4F">
        <w:t xml:space="preserve"> finance charge collections and other income received by the SPV </w:t>
      </w:r>
      <w:r>
        <w:t>net of costs,</w:t>
      </w:r>
      <w:r w:rsidRPr="007F3C4F">
        <w:t xml:space="preserve"> </w:t>
      </w:r>
      <w:r>
        <w:t>interest and</w:t>
      </w:r>
      <w:r w:rsidRPr="007F3C4F">
        <w:t xml:space="preserve"> expenses</w:t>
      </w:r>
      <w:r>
        <w:t>;</w:t>
      </w:r>
    </w:p>
    <w:p w14:paraId="1AE18B1D" w14:textId="77777777" w:rsidR="001B7076" w:rsidRDefault="009E2547" w:rsidP="001B7076">
      <w:pPr>
        <w:pStyle w:val="BodyText2"/>
      </w:pPr>
      <w:r>
        <w:t xml:space="preserve">facility </w:t>
      </w:r>
      <w:r w:rsidR="009D7D7E">
        <w:t>—</w:t>
      </w:r>
      <w:r>
        <w:t xml:space="preserve"> a contractual arrangement between an ADI and an SPV for purposes including, but not limited to, the provision of liquidity or other funding, a servicer cash advance or a derivatives transaction in relation to a securitisation;</w:t>
      </w:r>
    </w:p>
    <w:p w14:paraId="1AE18B1E" w14:textId="77777777" w:rsidR="009E2547" w:rsidRDefault="009E2547" w:rsidP="001B7076">
      <w:pPr>
        <w:pStyle w:val="BodyText2"/>
      </w:pPr>
      <w:r w:rsidRPr="007F3C4F">
        <w:t xml:space="preserve">gain on sale </w:t>
      </w:r>
      <w:r w:rsidR="009D7D7E">
        <w:t>—</w:t>
      </w:r>
      <w:r w:rsidRPr="007F3C4F">
        <w:t xml:space="preserve"> an increase in an ADI’s </w:t>
      </w:r>
      <w:r>
        <w:t xml:space="preserve">equity </w:t>
      </w:r>
      <w:r w:rsidRPr="007F3C4F">
        <w:t>capital or assets as a result of originating exposures into a securitisation, such as recognition of capitalised expected future margin or servicing income, a profit on the sale of exposures or purchase of a residual income unit;</w:t>
      </w:r>
    </w:p>
    <w:p w14:paraId="1AE18B1F" w14:textId="77777777" w:rsidR="009E2547" w:rsidRDefault="009E2547" w:rsidP="001B7076">
      <w:pPr>
        <w:pStyle w:val="BodyText2"/>
      </w:pPr>
      <w:r w:rsidRPr="007F3C4F">
        <w:t xml:space="preserve">implicit support </w:t>
      </w:r>
      <w:r w:rsidR="009D7D7E">
        <w:t>—</w:t>
      </w:r>
      <w:r w:rsidRPr="007F3C4F">
        <w:t xml:space="preserve"> support provided by an ADI to a securitisation in excess of its explicit contractual obligations;</w:t>
      </w:r>
    </w:p>
    <w:p w14:paraId="1AE18B20" w14:textId="77777777" w:rsidR="009E2547" w:rsidRDefault="009E2547" w:rsidP="001B7076">
      <w:pPr>
        <w:pStyle w:val="BodyText2"/>
      </w:pPr>
      <w:r>
        <w:t xml:space="preserve">liquidity facility </w:t>
      </w:r>
      <w:r w:rsidR="009D7D7E">
        <w:t>—</w:t>
      </w:r>
      <w:r>
        <w:t xml:space="preserve"> a facility provided by an ADI to an SPV for the primary purpose of funding any timing mismatches between receipts of funds on underlying exposures and payments on securities issued by the SPV or to cover the inability of the SPV to roll-over securities due to market disruption;</w:t>
      </w:r>
    </w:p>
    <w:p w14:paraId="1AE18B21" w14:textId="77777777" w:rsidR="009E2547" w:rsidRDefault="009E2547" w:rsidP="001B7076">
      <w:pPr>
        <w:pStyle w:val="BodyText2"/>
      </w:pPr>
      <w:r w:rsidRPr="007F3C4F">
        <w:t xml:space="preserve">managing ADI </w:t>
      </w:r>
      <w:r w:rsidR="009D7D7E">
        <w:t>—</w:t>
      </w:r>
      <w:r w:rsidRPr="007F3C4F">
        <w:t xml:space="preserve"> an ADI that manages a securitisation. This include</w:t>
      </w:r>
      <w:r>
        <w:t>s</w:t>
      </w:r>
      <w:r w:rsidRPr="007F3C4F">
        <w:t xml:space="preserve"> undertaking responsibility for the day-to-day administration of the SPV, allocation of collections, calculation of payments and preparation of investor reports. A managing ADI may also manage swaps, liquidity and other facilities and events such as the issuance</w:t>
      </w:r>
      <w:r>
        <w:t>,</w:t>
      </w:r>
      <w:r w:rsidRPr="007F3C4F">
        <w:t xml:space="preserve"> </w:t>
      </w:r>
      <w:r>
        <w:t xml:space="preserve">rollover/refinancing </w:t>
      </w:r>
      <w:r w:rsidRPr="007F3C4F">
        <w:t>or calling of securities;</w:t>
      </w:r>
    </w:p>
    <w:p w14:paraId="1AE18B22" w14:textId="77777777" w:rsidR="009E2547" w:rsidRDefault="009E2547" w:rsidP="001B7076">
      <w:pPr>
        <w:pStyle w:val="BodyText2"/>
      </w:pPr>
      <w:r>
        <w:t xml:space="preserve">non-senior securities </w:t>
      </w:r>
      <w:r w:rsidR="009D7D7E">
        <w:t>—</w:t>
      </w:r>
      <w:r>
        <w:t xml:space="preserve"> debt securities issued in a securitisation which are non-senior securitisation exposures;</w:t>
      </w:r>
    </w:p>
    <w:p w14:paraId="1AE18B23" w14:textId="77777777" w:rsidR="009E2547" w:rsidRDefault="009E2547" w:rsidP="001B7076">
      <w:pPr>
        <w:pStyle w:val="BodyText2"/>
      </w:pPr>
      <w:r>
        <w:t xml:space="preserve">non-senior securitisation exposure </w:t>
      </w:r>
      <w:r w:rsidR="009D7D7E">
        <w:t>—</w:t>
      </w:r>
      <w:r>
        <w:t xml:space="preserve"> a securitisation exposure that is subordinated to another securitisation exposure;</w:t>
      </w:r>
    </w:p>
    <w:p w14:paraId="1AE18B24" w14:textId="77777777" w:rsidR="009E2547" w:rsidRDefault="009E2547" w:rsidP="001B7076">
      <w:pPr>
        <w:pStyle w:val="BodyText2"/>
      </w:pPr>
      <w:r w:rsidRPr="007F3C4F">
        <w:lastRenderedPageBreak/>
        <w:t xml:space="preserve">originating ADI </w:t>
      </w:r>
      <w:r w:rsidR="009D7D7E">
        <w:t>—</w:t>
      </w:r>
      <w:r w:rsidRPr="007F3C4F">
        <w:t xml:space="preserve"> with respect to a securitisation, an ADI that:</w:t>
      </w:r>
    </w:p>
    <w:p w14:paraId="1AE18B25" w14:textId="77777777" w:rsidR="009E2547" w:rsidRPr="001B7076" w:rsidRDefault="009E2547" w:rsidP="009E2547">
      <w:pPr>
        <w:pStyle w:val="BodyText3"/>
      </w:pPr>
      <w:r w:rsidRPr="007F3C4F">
        <w:t xml:space="preserve">directly or indirectly </w:t>
      </w:r>
      <w:r>
        <w:t xml:space="preserve">originates </w:t>
      </w:r>
      <w:r w:rsidRPr="007F3C4F">
        <w:t>underlying exposures in the pool;</w:t>
      </w:r>
    </w:p>
    <w:p w14:paraId="1AE18B26" w14:textId="77777777" w:rsidR="001C755C" w:rsidRDefault="009E2547" w:rsidP="00DF539C">
      <w:pPr>
        <w:pStyle w:val="BodyText3"/>
      </w:pPr>
      <w:r w:rsidRPr="007F3C4F">
        <w:t>is the managing ADI for the securitisation; or</w:t>
      </w:r>
    </w:p>
    <w:p w14:paraId="1AE18B27" w14:textId="77777777" w:rsidR="009E2547" w:rsidRDefault="009E2547" w:rsidP="00DF539C">
      <w:pPr>
        <w:pStyle w:val="BodyText3"/>
      </w:pPr>
      <w:r w:rsidRPr="007F3C4F">
        <w:t>provides a facility (other than</w:t>
      </w:r>
      <w:r w:rsidRPr="003714AC">
        <w:t xml:space="preserve"> </w:t>
      </w:r>
      <w:r>
        <w:t xml:space="preserve">a </w:t>
      </w:r>
      <w:r w:rsidRPr="003714AC">
        <w:t>derivatives</w:t>
      </w:r>
      <w:r>
        <w:t xml:space="preserve"> transaction</w:t>
      </w:r>
      <w:r w:rsidRPr="007F3C4F">
        <w:t xml:space="preserve">) </w:t>
      </w:r>
      <w:r>
        <w:t xml:space="preserve">or credit enhancement </w:t>
      </w:r>
      <w:r w:rsidRPr="007F3C4F">
        <w:t>to an ABCP securitisation;</w:t>
      </w:r>
    </w:p>
    <w:p w14:paraId="1AE18B28" w14:textId="77777777" w:rsidR="009E2547" w:rsidRDefault="009E2547" w:rsidP="009E2547">
      <w:pPr>
        <w:pStyle w:val="BodyText2"/>
      </w:pPr>
      <w:r w:rsidRPr="007F3C4F">
        <w:t xml:space="preserve">pool </w:t>
      </w:r>
      <w:r w:rsidR="009D7D7E">
        <w:t>—</w:t>
      </w:r>
      <w:r w:rsidRPr="007F3C4F">
        <w:t xml:space="preserve"> </w:t>
      </w:r>
      <w:r w:rsidRPr="004A51B6">
        <w:t>the underlying exposure or exposures that are securitised by way of assignment or the transfer of rights and obligations to, or by way of rights and obligations held directly in its name by, an SPV. The pool may consist of, but need not be limited to, loans, bonds or equities</w:t>
      </w:r>
      <w:r>
        <w:t>;</w:t>
      </w:r>
    </w:p>
    <w:p w14:paraId="1AE18B29" w14:textId="77777777" w:rsidR="009E2547" w:rsidRDefault="009E2547" w:rsidP="009E2547">
      <w:pPr>
        <w:pStyle w:val="BodyText2"/>
      </w:pPr>
      <w:proofErr w:type="spellStart"/>
      <w:r w:rsidRPr="00F96743">
        <w:t>resecuritisation</w:t>
      </w:r>
      <w:proofErr w:type="spellEnd"/>
      <w:r>
        <w:t xml:space="preserve"> exposure</w:t>
      </w:r>
      <w:r w:rsidRPr="00F96743">
        <w:t xml:space="preserve"> </w:t>
      </w:r>
      <w:r w:rsidR="009D7D7E">
        <w:t>—</w:t>
      </w:r>
      <w:r w:rsidRPr="00F96743">
        <w:t xml:space="preserve"> a securitisation exposure in which at least one of the underlying exposures </w:t>
      </w:r>
      <w:r>
        <w:t xml:space="preserve">in the pool </w:t>
      </w:r>
      <w:r w:rsidRPr="00F96743">
        <w:t xml:space="preserve">is a securitisation exposure. An exposure to one or more </w:t>
      </w:r>
      <w:proofErr w:type="spellStart"/>
      <w:r w:rsidRPr="00F96743">
        <w:t>resecuritisation</w:t>
      </w:r>
      <w:proofErr w:type="spellEnd"/>
      <w:r w:rsidRPr="00F96743">
        <w:t xml:space="preserve"> exposures is a </w:t>
      </w:r>
      <w:proofErr w:type="spellStart"/>
      <w:r w:rsidRPr="00F96743">
        <w:t>resecuritisation</w:t>
      </w:r>
      <w:proofErr w:type="spellEnd"/>
      <w:r w:rsidRPr="00F96743">
        <w:t xml:space="preserve"> exposure</w:t>
      </w:r>
      <w:r>
        <w:t xml:space="preserve">. </w:t>
      </w:r>
      <w:r w:rsidRPr="00252E43">
        <w:rPr>
          <w:rFonts w:cstheme="minorHAnsi"/>
        </w:rPr>
        <w:t xml:space="preserve">An exposure resulting from </w:t>
      </w:r>
      <w:proofErr w:type="spellStart"/>
      <w:r w:rsidRPr="00252E43">
        <w:rPr>
          <w:rFonts w:cstheme="minorHAnsi"/>
        </w:rPr>
        <w:t>retranching</w:t>
      </w:r>
      <w:proofErr w:type="spellEnd"/>
      <w:r w:rsidRPr="00252E43">
        <w:rPr>
          <w:rFonts w:cstheme="minorHAnsi"/>
        </w:rPr>
        <w:t xml:space="preserve"> of a securitisation exposure is not a </w:t>
      </w:r>
      <w:proofErr w:type="spellStart"/>
      <w:r w:rsidRPr="00252E43">
        <w:rPr>
          <w:rFonts w:cstheme="minorHAnsi"/>
        </w:rPr>
        <w:t>resecuritisation</w:t>
      </w:r>
      <w:proofErr w:type="spellEnd"/>
      <w:r w:rsidRPr="00252E43">
        <w:rPr>
          <w:rFonts w:cstheme="minorHAnsi"/>
        </w:rPr>
        <w:t xml:space="preserve"> exposure if the ADI is able to demonstrate that the cash flows to and from the ADI replicate in all circumstances and conditions an exposure to a securitisation of a pool of assets that contains no securitisation exposures</w:t>
      </w:r>
      <w:r w:rsidRPr="00F96743">
        <w:t>;</w:t>
      </w:r>
    </w:p>
    <w:p w14:paraId="1AE18B2A" w14:textId="77777777" w:rsidR="009E2547" w:rsidRDefault="009E2547" w:rsidP="009E2547">
      <w:pPr>
        <w:pStyle w:val="BodyText2"/>
      </w:pPr>
      <w:r w:rsidRPr="00C72755">
        <w:t xml:space="preserve">securitisation </w:t>
      </w:r>
      <w:r w:rsidR="009D7D7E">
        <w:t>—</w:t>
      </w:r>
      <w:r w:rsidRPr="00C72755">
        <w:t xml:space="preserve"> a </w:t>
      </w:r>
      <w:r>
        <w:t xml:space="preserve">financing </w:t>
      </w:r>
      <w:r w:rsidRPr="00C72755">
        <w:t xml:space="preserve">structure where the cash flow from a pool is used to </w:t>
      </w:r>
      <w:r>
        <w:t xml:space="preserve">make payments on </w:t>
      </w:r>
      <w:r w:rsidRPr="00C72755">
        <w:t xml:space="preserve">obligations to at least two tranches or classes of creditors (typically holders of debt securities), with each tranche </w:t>
      </w:r>
      <w:r>
        <w:t xml:space="preserve">or class </w:t>
      </w:r>
      <w:r w:rsidRPr="00C72755">
        <w:t>entitled to</w:t>
      </w:r>
      <w:r>
        <w:t xml:space="preserve"> </w:t>
      </w:r>
      <w:r w:rsidRPr="00C72755">
        <w:t xml:space="preserve">receive payments from the pool before </w:t>
      </w:r>
      <w:r>
        <w:t xml:space="preserve">or after </w:t>
      </w:r>
      <w:r w:rsidRPr="00C72755">
        <w:t>another class of creditors</w:t>
      </w:r>
      <w:r>
        <w:t>, thereby reflecting different levels of credit risk</w:t>
      </w:r>
      <w:r w:rsidRPr="00C72755">
        <w:t>;</w:t>
      </w:r>
      <w:r w:rsidR="009D7D7E">
        <w:rPr>
          <w:rStyle w:val="FootnoteReference"/>
        </w:rPr>
        <w:footnoteReference w:id="3"/>
      </w:r>
    </w:p>
    <w:p w14:paraId="1AE18B2B" w14:textId="77777777" w:rsidR="00F476F0" w:rsidRDefault="00F476F0" w:rsidP="009E2547">
      <w:pPr>
        <w:pStyle w:val="BodyText2"/>
      </w:pPr>
      <w:r w:rsidRPr="00770D90">
        <w:t xml:space="preserve">securitisation exposure </w:t>
      </w:r>
      <w:r w:rsidR="009D7D7E">
        <w:t>—</w:t>
      </w:r>
      <w:r w:rsidRPr="00770D90">
        <w:t xml:space="preserve"> </w:t>
      </w:r>
      <w:r>
        <w:t>on-balance sheet and off-balance sheet risk positions held by an ADI arising from a securitisation including, but not limited to,</w:t>
      </w:r>
      <w:r w:rsidRPr="00770D90">
        <w:t xml:space="preserve"> investments in securities issued by an SPV</w:t>
      </w:r>
      <w:r>
        <w:t xml:space="preserve">, </w:t>
      </w:r>
      <w:r w:rsidRPr="00770D90">
        <w:t>credit enhancements</w:t>
      </w:r>
      <w:r>
        <w:t xml:space="preserve">, </w:t>
      </w:r>
      <w:r w:rsidRPr="00770D90">
        <w:t>liquidity and other funding facilities</w:t>
      </w:r>
      <w:r>
        <w:t xml:space="preserve"> and derivatives transactions;</w:t>
      </w:r>
    </w:p>
    <w:p w14:paraId="1AE18B2C" w14:textId="77777777" w:rsidR="00F476F0" w:rsidRDefault="00F476F0" w:rsidP="009E2547">
      <w:pPr>
        <w:pStyle w:val="BodyText2"/>
      </w:pPr>
      <w:r>
        <w:t xml:space="preserve">securitisation of revolving credit facilities </w:t>
      </w:r>
      <w:r w:rsidR="009D7D7E">
        <w:t>—</w:t>
      </w:r>
      <w:r>
        <w:t xml:space="preserve"> a securitisation in w</w:t>
      </w:r>
      <w:r w:rsidRPr="007F3C4F">
        <w:t>hich one or more underlying exposures represent, directly or indirectly, current or future draws on a revolving credit facility</w:t>
      </w:r>
      <w:r>
        <w:t>;</w:t>
      </w:r>
    </w:p>
    <w:p w14:paraId="1AE18B2D" w14:textId="77777777" w:rsidR="00F476F0" w:rsidRDefault="00F476F0" w:rsidP="009E2547">
      <w:pPr>
        <w:pStyle w:val="BodyText2"/>
      </w:pPr>
      <w:r w:rsidRPr="007F3C4F">
        <w:t xml:space="preserve">self-securitisation </w:t>
      </w:r>
      <w:r w:rsidR="009D7D7E">
        <w:t>—</w:t>
      </w:r>
      <w:r w:rsidRPr="007F3C4F">
        <w:t xml:space="preserve"> a securitisation </w:t>
      </w:r>
      <w:r>
        <w:t>which is solely for the purpose of using the securities created as collateral in order to obtain funding via a repurchase agreement with the Reserve Bank of Australia (</w:t>
      </w:r>
      <w:r w:rsidRPr="000C0EB2">
        <w:rPr>
          <w:b/>
        </w:rPr>
        <w:t>RBA</w:t>
      </w:r>
      <w:r>
        <w:t>);</w:t>
      </w:r>
    </w:p>
    <w:p w14:paraId="1AE18B2E" w14:textId="77777777" w:rsidR="00F476F0" w:rsidRDefault="00F476F0" w:rsidP="009E2547">
      <w:pPr>
        <w:pStyle w:val="BodyText2"/>
      </w:pPr>
      <w:r>
        <w:t xml:space="preserve">seller interest </w:t>
      </w:r>
      <w:r w:rsidR="009D7D7E">
        <w:t>—</w:t>
      </w:r>
      <w:r>
        <w:t xml:space="preserve"> a senior or </w:t>
      </w:r>
      <w:proofErr w:type="spellStart"/>
      <w:r w:rsidRPr="00F54B52">
        <w:rPr>
          <w:i/>
        </w:rPr>
        <w:t>pari</w:t>
      </w:r>
      <w:proofErr w:type="spellEnd"/>
      <w:r w:rsidRPr="00F54B52">
        <w:rPr>
          <w:i/>
        </w:rPr>
        <w:t xml:space="preserve"> passu</w:t>
      </w:r>
      <w:r>
        <w:t xml:space="preserve"> with a senior interest held by an originating ADI of a securitisation of revolving credit facilities that is </w:t>
      </w:r>
      <w:r>
        <w:lastRenderedPageBreak/>
        <w:t xml:space="preserve">collateralised by the revolving pool of underlying exposures, </w:t>
      </w:r>
      <w:r w:rsidRPr="00F66E54">
        <w:t xml:space="preserve">equivalent in size to the total </w:t>
      </w:r>
      <w:r>
        <w:t xml:space="preserve">asset </w:t>
      </w:r>
      <w:r w:rsidRPr="00F66E54">
        <w:t>pool less the</w:t>
      </w:r>
      <w:r>
        <w:t xml:space="preserve"> investor interest;</w:t>
      </w:r>
    </w:p>
    <w:p w14:paraId="1AE18B2F" w14:textId="77777777" w:rsidR="00F476F0" w:rsidRDefault="00F476F0" w:rsidP="009E2547">
      <w:pPr>
        <w:pStyle w:val="BodyText2"/>
      </w:pPr>
      <w:r>
        <w:t xml:space="preserve">senior securities </w:t>
      </w:r>
      <w:r w:rsidR="009D7D7E">
        <w:t>—</w:t>
      </w:r>
      <w:r>
        <w:t xml:space="preserve"> debt securities issued in a securitisation which are senior securitisation exposures;</w:t>
      </w:r>
    </w:p>
    <w:p w14:paraId="1AE18B30" w14:textId="77777777" w:rsidR="00F476F0" w:rsidRPr="00F476F0" w:rsidRDefault="00F476F0" w:rsidP="009E2547">
      <w:pPr>
        <w:pStyle w:val="BodyText2"/>
      </w:pPr>
      <w:r w:rsidRPr="007F3C4F">
        <w:t>senior securitisation exposure</w:t>
      </w:r>
      <w:r>
        <w:t xml:space="preserve"> </w:t>
      </w:r>
      <w:r w:rsidR="009D7D7E">
        <w:t>—</w:t>
      </w:r>
      <w:r w:rsidRPr="007F3C4F">
        <w:t xml:space="preserve"> a securitisation exposure</w:t>
      </w:r>
      <w:r>
        <w:t xml:space="preserve"> </w:t>
      </w:r>
      <w:r w:rsidRPr="007F3C4F">
        <w:t>effectively backed or secured by a first claim on the entire amount of the assets in the underlying pool</w:t>
      </w:r>
      <w:r>
        <w:t xml:space="preserve">. </w:t>
      </w:r>
      <w:r w:rsidRPr="007F3C4F">
        <w:t xml:space="preserve">Securitisation exposures </w:t>
      </w:r>
      <w:r>
        <w:t xml:space="preserve">with different maturities that </w:t>
      </w:r>
      <w:r w:rsidRPr="007F3C4F">
        <w:t xml:space="preserve">share </w:t>
      </w:r>
      <w:r w:rsidRPr="007F3C4F">
        <w:rPr>
          <w:i/>
        </w:rPr>
        <w:t xml:space="preserve">pro rata </w:t>
      </w:r>
      <w:r w:rsidRPr="007F3C4F">
        <w:t>loss allocation</w:t>
      </w:r>
      <w:r>
        <w:t xml:space="preserve"> with senior securitisation exposures so that they benefit from the same level of credit enhancement, are themselves </w:t>
      </w:r>
      <w:r w:rsidR="009D7D7E">
        <w:t>senior securitisation exposures;</w:t>
      </w:r>
      <w:r w:rsidR="009D7D7E">
        <w:rPr>
          <w:rStyle w:val="FootnoteReference"/>
        </w:rPr>
        <w:footnoteReference w:id="4"/>
      </w:r>
      <w:r w:rsidRPr="006C4721">
        <w:rPr>
          <w:vertAlign w:val="superscript"/>
        </w:rPr>
        <w:t>,</w:t>
      </w:r>
      <w:r w:rsidR="009D7D7E">
        <w:rPr>
          <w:rStyle w:val="FootnoteReference"/>
        </w:rPr>
        <w:footnoteReference w:id="5"/>
      </w:r>
      <w:r w:rsidR="00906001">
        <w:rPr>
          <w:vertAlign w:val="superscript"/>
        </w:rPr>
        <w:t>,</w:t>
      </w:r>
      <w:r w:rsidR="009D7D7E">
        <w:rPr>
          <w:rStyle w:val="FootnoteReference"/>
        </w:rPr>
        <w:footnoteReference w:id="6"/>
      </w:r>
    </w:p>
    <w:p w14:paraId="1AE18B31" w14:textId="77777777" w:rsidR="00F476F0" w:rsidRDefault="00F476F0" w:rsidP="009E2547">
      <w:pPr>
        <w:pStyle w:val="BodyText2"/>
      </w:pPr>
      <w:r w:rsidRPr="007F3C4F">
        <w:t>SPV</w:t>
      </w:r>
      <w:r>
        <w:t xml:space="preserve"> </w:t>
      </w:r>
      <w:r w:rsidR="009D7D7E">
        <w:t>—</w:t>
      </w:r>
      <w:r>
        <w:t xml:space="preserve"> </w:t>
      </w:r>
      <w:r w:rsidRPr="0032308C">
        <w:t xml:space="preserve">a </w:t>
      </w:r>
      <w:r>
        <w:t xml:space="preserve">special purpose </w:t>
      </w:r>
      <w:r w:rsidRPr="0032308C">
        <w:t>vehicle that purchases and holds</w:t>
      </w:r>
      <w:r>
        <w:t>, or otherwise holds directly in its name,</w:t>
      </w:r>
      <w:r w:rsidRPr="0032308C">
        <w:t xml:space="preserve"> the pool for the purpose of a securitisation. The SPV’s </w:t>
      </w:r>
      <w:r>
        <w:t>acquisition of exposures held in</w:t>
      </w:r>
      <w:r w:rsidRPr="0032308C">
        <w:t xml:space="preserve"> the pool is typically funded by debt</w:t>
      </w:r>
      <w:r>
        <w:t xml:space="preserve"> issued by the SPV</w:t>
      </w:r>
      <w:r w:rsidRPr="0032308C">
        <w:t xml:space="preserve">, including through the issue of </w:t>
      </w:r>
      <w:r>
        <w:t xml:space="preserve">securities or </w:t>
      </w:r>
      <w:r w:rsidRPr="0032308C">
        <w:t>units</w:t>
      </w:r>
      <w:r>
        <w:t xml:space="preserve"> </w:t>
      </w:r>
      <w:r w:rsidRPr="0032308C">
        <w:t>by the SPV</w:t>
      </w:r>
      <w:r>
        <w:t>;</w:t>
      </w:r>
    </w:p>
    <w:p w14:paraId="1AE18B32" w14:textId="77777777" w:rsidR="00F476F0" w:rsidRDefault="00F476F0" w:rsidP="009E2547">
      <w:pPr>
        <w:pStyle w:val="BodyText2"/>
      </w:pPr>
      <w:r w:rsidRPr="00A41434">
        <w:t xml:space="preserve">servicing ADI </w:t>
      </w:r>
      <w:r w:rsidR="009D7D7E">
        <w:t>—</w:t>
      </w:r>
      <w:r w:rsidRPr="00A41434">
        <w:t xml:space="preserve"> a service provider that administers a pool for an SPV. This may include calculating account balances in relation to securitised loans as well as preparing borrowers’ statements, collecting payments and calculating write-offs in relation to such loans</w:t>
      </w:r>
      <w:r>
        <w:t>;</w:t>
      </w:r>
    </w:p>
    <w:p w14:paraId="1AE18B33" w14:textId="77777777" w:rsidR="00F476F0" w:rsidRPr="00F476F0" w:rsidRDefault="00F476F0" w:rsidP="009E2547">
      <w:pPr>
        <w:pStyle w:val="BodyText2"/>
      </w:pPr>
      <w:r w:rsidRPr="00970DD8">
        <w:t xml:space="preserve">synthetic securitisation </w:t>
      </w:r>
      <w:r w:rsidR="009D7D7E">
        <w:t>—</w:t>
      </w:r>
      <w:r>
        <w:t xml:space="preserve"> </w:t>
      </w:r>
      <w:r w:rsidRPr="0032308C">
        <w:t>a securitisation whereby the credit risk, or part of the credit risk, of a pool is transferred to a third party</w:t>
      </w:r>
      <w:r>
        <w:t xml:space="preserve"> which need not be an SPV.</w:t>
      </w:r>
      <w:r w:rsidRPr="008407D0">
        <w:rPr>
          <w:rFonts w:cstheme="minorHAnsi"/>
        </w:rPr>
        <w:t xml:space="preserve"> </w:t>
      </w:r>
      <w:r w:rsidRPr="00B26DD7">
        <w:rPr>
          <w:rFonts w:cstheme="minorHAnsi"/>
        </w:rPr>
        <w:t>The transfer of credit risk can be undertaken through the use of funded (e.g. credit linked notes) or unfunded (e.g. credit default swaps) credit derivatives or guarantees</w:t>
      </w:r>
      <w:r>
        <w:rPr>
          <w:rFonts w:cstheme="minorHAnsi"/>
        </w:rPr>
        <w:t>; and</w:t>
      </w:r>
    </w:p>
    <w:p w14:paraId="1AE18B34" w14:textId="77777777" w:rsidR="00F476F0" w:rsidRDefault="00F476F0" w:rsidP="009E2547">
      <w:pPr>
        <w:pStyle w:val="BodyText2"/>
      </w:pPr>
      <w:r>
        <w:t xml:space="preserve">traditional securitisation </w:t>
      </w:r>
      <w:r w:rsidR="009D7D7E">
        <w:t>—</w:t>
      </w:r>
      <w:r>
        <w:t xml:space="preserve"> </w:t>
      </w:r>
      <w:r w:rsidRPr="00C72755">
        <w:t xml:space="preserve">a securitisation where the pool is transferred </w:t>
      </w:r>
      <w:r>
        <w:t>(</w:t>
      </w:r>
      <w:r w:rsidRPr="00C72755">
        <w:t>or assigned</w:t>
      </w:r>
      <w:r>
        <w:t>)</w:t>
      </w:r>
      <w:r w:rsidRPr="00C72755">
        <w:t xml:space="preserve"> to, and held by, </w:t>
      </w:r>
      <w:r>
        <w:t xml:space="preserve">or otherwise held directly in its name by, </w:t>
      </w:r>
      <w:r w:rsidRPr="00C72755">
        <w:t>an SPV</w:t>
      </w:r>
      <w:r>
        <w:t>.</w:t>
      </w:r>
    </w:p>
    <w:p w14:paraId="1AE18B35" w14:textId="77777777" w:rsidR="00F476F0" w:rsidRDefault="00F476F0" w:rsidP="00F476F0">
      <w:pPr>
        <w:pStyle w:val="Heading1"/>
      </w:pPr>
      <w:bookmarkStart w:id="20" w:name="_Toc465172377"/>
      <w:r>
        <w:t>Separation and disclosure</w:t>
      </w:r>
      <w:bookmarkEnd w:id="20"/>
    </w:p>
    <w:p w14:paraId="1AE18B36" w14:textId="77777777" w:rsidR="001D18F9" w:rsidRPr="001D18F9" w:rsidRDefault="001D18F9" w:rsidP="001D18F9">
      <w:pPr>
        <w:pStyle w:val="Heading3"/>
      </w:pPr>
      <w:r>
        <w:t>Separation</w:t>
      </w:r>
    </w:p>
    <w:p w14:paraId="1AE18B37" w14:textId="77777777" w:rsidR="00F476F0" w:rsidRDefault="00F476F0" w:rsidP="00F476F0">
      <w:pPr>
        <w:pStyle w:val="BodyText1"/>
      </w:pPr>
      <w:bookmarkStart w:id="21" w:name="_Ref465154475"/>
      <w:bookmarkStart w:id="22" w:name="_Ref465155800"/>
      <w:r w:rsidRPr="007F3C4F">
        <w:t>There must be clear limitations governing the extent of an ADI’s involvement</w:t>
      </w:r>
      <w:r>
        <w:t xml:space="preserve"> in a securitisation</w:t>
      </w:r>
      <w:r w:rsidRPr="007F3C4F">
        <w:t xml:space="preserve">. Any undertakings given by an ADI </w:t>
      </w:r>
      <w:r>
        <w:t xml:space="preserve">in a securitisation </w:t>
      </w:r>
      <w:r w:rsidRPr="007F3C4F">
        <w:t>must be expressed clearly in the legal documentation relating to the securitisation and must be fixed as to time and amount</w:t>
      </w:r>
      <w:bookmarkEnd w:id="21"/>
      <w:r w:rsidR="009D7D7E">
        <w:t>.</w:t>
      </w:r>
      <w:bookmarkEnd w:id="22"/>
    </w:p>
    <w:p w14:paraId="1AE18B38" w14:textId="77777777" w:rsidR="00F476F0" w:rsidRDefault="00F476F0" w:rsidP="00F476F0">
      <w:pPr>
        <w:pStyle w:val="BodyText1"/>
      </w:pPr>
      <w:r>
        <w:lastRenderedPageBreak/>
        <w:t>An ADI must</w:t>
      </w:r>
      <w:r w:rsidR="00B34D59">
        <w:t>, except in the case of a self-securitisation</w:t>
      </w:r>
      <w:r w:rsidR="00CC26CD">
        <w:t>:</w:t>
      </w:r>
      <w:r w:rsidR="00B34D59">
        <w:rPr>
          <w:rStyle w:val="FootnoteReference"/>
        </w:rPr>
        <w:footnoteReference w:id="7"/>
      </w:r>
    </w:p>
    <w:p w14:paraId="1AE18B39" w14:textId="77777777" w:rsidR="00F476F0" w:rsidRDefault="00F476F0" w:rsidP="00F476F0">
      <w:pPr>
        <w:pStyle w:val="BodyText2"/>
      </w:pPr>
      <w:r w:rsidRPr="007F3C4F">
        <w:t xml:space="preserve">deal with </w:t>
      </w:r>
      <w:r>
        <w:t>an SPV</w:t>
      </w:r>
      <w:r w:rsidRPr="007F3C4F">
        <w:t xml:space="preserve"> and </w:t>
      </w:r>
      <w:r>
        <w:t>the securitisation’s</w:t>
      </w:r>
      <w:r w:rsidRPr="007F3C4F">
        <w:t xml:space="preserve"> investors on an arm’s-length basis and on market terms and conditions</w:t>
      </w:r>
      <w:r>
        <w:t>; and</w:t>
      </w:r>
    </w:p>
    <w:p w14:paraId="1AE18B3A" w14:textId="77777777" w:rsidR="00F476F0" w:rsidRDefault="00F476F0" w:rsidP="00F476F0">
      <w:pPr>
        <w:pStyle w:val="BodyText2"/>
      </w:pPr>
      <w:r w:rsidRPr="007F3C4F">
        <w:t xml:space="preserve">not provide, or knowingly create or encourage a perception that it will provide, implicit support </w:t>
      </w:r>
      <w:r>
        <w:t>for</w:t>
      </w:r>
      <w:r w:rsidRPr="007F3C4F">
        <w:t xml:space="preserve"> a securitisation</w:t>
      </w:r>
      <w:r>
        <w:t>.</w:t>
      </w:r>
    </w:p>
    <w:p w14:paraId="1AE18B3B" w14:textId="77777777" w:rsidR="00F476F0" w:rsidRDefault="00F476F0" w:rsidP="00F476F0">
      <w:pPr>
        <w:pStyle w:val="Heading3"/>
      </w:pPr>
      <w:r>
        <w:t>Requirements for an SPV</w:t>
      </w:r>
    </w:p>
    <w:p w14:paraId="1AE18B3C" w14:textId="77777777" w:rsidR="00F476F0" w:rsidRDefault="00F476F0" w:rsidP="00F476F0">
      <w:pPr>
        <w:pStyle w:val="BodyText1"/>
      </w:pPr>
      <w:r w:rsidRPr="007F3C4F">
        <w:t>In a securitisation, an SPV must satisfy the following criteria</w:t>
      </w:r>
      <w:r>
        <w:t>:</w:t>
      </w:r>
    </w:p>
    <w:p w14:paraId="1AE18B3D" w14:textId="77777777" w:rsidR="00F476F0" w:rsidRDefault="00F476F0" w:rsidP="00F476F0">
      <w:pPr>
        <w:pStyle w:val="BodyText2"/>
      </w:pPr>
      <w:r w:rsidRPr="007F3C4F">
        <w:t>the SPV must be a corporation, trust or other entity organised for a specific purpose;</w:t>
      </w:r>
      <w:r>
        <w:t xml:space="preserve"> and</w:t>
      </w:r>
    </w:p>
    <w:p w14:paraId="1AE18B3E" w14:textId="77777777" w:rsidR="00F476F0" w:rsidRDefault="00F476F0" w:rsidP="00F476F0">
      <w:pPr>
        <w:pStyle w:val="BodyText2"/>
      </w:pPr>
      <w:r w:rsidRPr="007F3C4F">
        <w:t xml:space="preserve">the purpose of the SPV must be clearly defined </w:t>
      </w:r>
      <w:r>
        <w:t xml:space="preserve">as facilitating securitisation </w:t>
      </w:r>
      <w:r w:rsidRPr="007F3C4F">
        <w:t xml:space="preserve">and the activities of the SPV must be limited to those </w:t>
      </w:r>
      <w:r>
        <w:t>associated with the securitisation.</w:t>
      </w:r>
    </w:p>
    <w:p w14:paraId="1AE18B3F" w14:textId="77777777" w:rsidR="00F476F0" w:rsidRPr="00F476F0" w:rsidRDefault="00F476F0" w:rsidP="00F476F0">
      <w:pPr>
        <w:pStyle w:val="BodyText1"/>
      </w:pPr>
      <w:bookmarkStart w:id="23" w:name="_Ref464806346"/>
      <w:r>
        <w:t xml:space="preserve">In a securitisation, </w:t>
      </w:r>
      <w:r w:rsidRPr="007F3C4F" w:rsidDel="001D1F20">
        <w:t>an originating ADI must not:</w:t>
      </w:r>
      <w:bookmarkEnd w:id="23"/>
    </w:p>
    <w:p w14:paraId="1AE18B40" w14:textId="77777777" w:rsidR="001C755C" w:rsidRDefault="00F476F0" w:rsidP="00F476F0">
      <w:pPr>
        <w:pStyle w:val="BodyText2"/>
      </w:pPr>
      <w:r w:rsidRPr="007F3C4F" w:rsidDel="001D1F20">
        <w:t>own or hold a material direct, indirect or beneficial interest</w:t>
      </w:r>
      <w:r w:rsidR="006C0302">
        <w:rPr>
          <w:rStyle w:val="FootnoteReference"/>
        </w:rPr>
        <w:footnoteReference w:id="8"/>
      </w:r>
      <w:r w:rsidDel="001D1F20">
        <w:t xml:space="preserve"> </w:t>
      </w:r>
      <w:r w:rsidRPr="007F3C4F" w:rsidDel="001D1F20">
        <w:t>in any share capital, including ordinary shares or preference shares, of an SPV where the SPV is a corporation</w:t>
      </w:r>
      <w:r>
        <w:t>;</w:t>
      </w:r>
    </w:p>
    <w:p w14:paraId="1AE18B41" w14:textId="77777777" w:rsidR="00F476F0" w:rsidRDefault="00F476F0" w:rsidP="00F476F0">
      <w:pPr>
        <w:pStyle w:val="BodyText2"/>
      </w:pPr>
      <w:r w:rsidRPr="007F3C4F" w:rsidDel="001D1F20">
        <w:t xml:space="preserve">own or hold a material direct, indirect or beneficial interest in any share capital in </w:t>
      </w:r>
      <w:r>
        <w:t>the</w:t>
      </w:r>
      <w:r w:rsidRPr="007F3C4F" w:rsidDel="001D1F20">
        <w:t xml:space="preserve"> trustee where the SPV is a trust</w:t>
      </w:r>
      <w:r>
        <w:t>;</w:t>
      </w:r>
    </w:p>
    <w:p w14:paraId="1AE18B42" w14:textId="77777777" w:rsidR="00F476F0" w:rsidRDefault="00F476F0" w:rsidP="00F476F0">
      <w:pPr>
        <w:pStyle w:val="BodyText2"/>
      </w:pPr>
      <w:r w:rsidRPr="007F3C4F" w:rsidDel="001D1F20">
        <w:t xml:space="preserve">include, permit or acquiesce to the inclusion of the word ‘bank’, </w:t>
      </w:r>
      <w:r w:rsidDel="001D1F20">
        <w:t xml:space="preserve">‘banking’, </w:t>
      </w:r>
      <w:r w:rsidRPr="007F3C4F" w:rsidDel="001D1F20">
        <w:t>‘building society’, ‘credit union’, ‘authorised deposit-taking institution’ or ‘ADI’ in the name of an SPV</w:t>
      </w:r>
      <w:r>
        <w:t>;</w:t>
      </w:r>
    </w:p>
    <w:p w14:paraId="1AE18B43" w14:textId="77777777" w:rsidR="00F476F0" w:rsidRDefault="00F476F0" w:rsidP="00F476F0">
      <w:pPr>
        <w:pStyle w:val="BodyText2"/>
      </w:pPr>
      <w:r w:rsidRPr="007F3C4F" w:rsidDel="001D1F20">
        <w:t>allow</w:t>
      </w:r>
      <w:r w:rsidDel="001D1F20">
        <w:t xml:space="preserve"> </w:t>
      </w:r>
      <w:r w:rsidRPr="007F3C4F" w:rsidDel="001D1F20">
        <w:t>any of the ADI’s directors, officers or employees to sit on the Board of an SPV</w:t>
      </w:r>
      <w:r>
        <w:t>, or on the Board of a trustee of an SPV,</w:t>
      </w:r>
      <w:r w:rsidRPr="007F3C4F" w:rsidDel="001D1F20">
        <w:t xml:space="preserve"> unless the Board has at least four members.</w:t>
      </w:r>
      <w:r w:rsidDel="001D1F20">
        <w:t xml:space="preserve"> </w:t>
      </w:r>
      <w:r w:rsidRPr="007F3C4F" w:rsidDel="001D1F20">
        <w:t>The ADI</w:t>
      </w:r>
      <w:r w:rsidRPr="007F3C4F">
        <w:t>,</w:t>
      </w:r>
      <w:r w:rsidRPr="007F3C4F" w:rsidDel="001D1F20">
        <w:t xml:space="preserve"> </w:t>
      </w:r>
      <w:r w:rsidRPr="007F3C4F">
        <w:t>however, may</w:t>
      </w:r>
      <w:r w:rsidRPr="007F3C4F" w:rsidDel="001D1F20">
        <w:t xml:space="preserve"> be represented by one director on a Board of four to six directors and by no more than two directors on a Board of seven or more directors</w:t>
      </w:r>
      <w:r>
        <w:t>;</w:t>
      </w:r>
    </w:p>
    <w:p w14:paraId="1AE18B44" w14:textId="77777777" w:rsidR="00F476F0" w:rsidRDefault="00F476F0" w:rsidP="00F476F0">
      <w:pPr>
        <w:pStyle w:val="BodyText2"/>
      </w:pPr>
      <w:r w:rsidRPr="007F3C4F" w:rsidDel="001D1F20">
        <w:t>act, or allow any of its directors, officers or employees to act</w:t>
      </w:r>
      <w:r w:rsidDel="001D1F20">
        <w:t>,</w:t>
      </w:r>
      <w:r w:rsidRPr="007F3C4F" w:rsidDel="001D1F20">
        <w:t xml:space="preserve"> in any circumstances as a trustee of an SPV, or in any similar role. The trustee must not be part of the group, as defined in </w:t>
      </w:r>
      <w:r w:rsidRPr="00291042" w:rsidDel="001D1F20">
        <w:rPr>
          <w:b/>
        </w:rPr>
        <w:t>Australian Accounting Standards</w:t>
      </w:r>
      <w:r w:rsidRPr="007F3C4F" w:rsidDel="001D1F20">
        <w:t>, to which the ADI belongs; or</w:t>
      </w:r>
    </w:p>
    <w:p w14:paraId="1AE18B45" w14:textId="77777777" w:rsidR="00F476F0" w:rsidRDefault="00F476F0" w:rsidP="00F476F0">
      <w:pPr>
        <w:pStyle w:val="BodyText2"/>
      </w:pPr>
      <w:r w:rsidRPr="007F3C4F" w:rsidDel="001D1F20">
        <w:t>be liable for the obligations and liabilities of the SPV, particular</w:t>
      </w:r>
      <w:r>
        <w:t>ly</w:t>
      </w:r>
      <w:r w:rsidRPr="007F3C4F" w:rsidDel="001D1F20">
        <w:t xml:space="preserve"> in the event the SPV incurs losses</w:t>
      </w:r>
      <w:r>
        <w:t>.</w:t>
      </w:r>
    </w:p>
    <w:p w14:paraId="1AE18B46" w14:textId="77777777" w:rsidR="00F476F0" w:rsidRDefault="00F476F0" w:rsidP="00F476F0">
      <w:pPr>
        <w:pStyle w:val="Heading3"/>
      </w:pPr>
      <w:r>
        <w:lastRenderedPageBreak/>
        <w:t>Disclosure</w:t>
      </w:r>
    </w:p>
    <w:p w14:paraId="1AE18B47" w14:textId="77777777" w:rsidR="00E07F40" w:rsidRDefault="00F476F0" w:rsidP="00E07F40">
      <w:pPr>
        <w:pStyle w:val="BodyText1"/>
      </w:pPr>
      <w:r w:rsidRPr="00D924AA">
        <w:t>An originating ADI must ensure that there is clear and prominent disclosure to investors</w:t>
      </w:r>
      <w:r>
        <w:t xml:space="preserve"> in a securitisation</w:t>
      </w:r>
      <w:r w:rsidRPr="00D924AA">
        <w:t xml:space="preserve"> of the nature and limitations of the ADI’s obligations arising from its involvement in a securitisation. Documentation or marketing of a securitisation must not give the impression that recourse to the ADI would extend beyond any specific undertakings to which the ADI has </w:t>
      </w:r>
      <w:r>
        <w:t>legally</w:t>
      </w:r>
      <w:r w:rsidRPr="00D924AA">
        <w:t xml:space="preserve"> committed itself</w:t>
      </w:r>
      <w:r>
        <w:t>.</w:t>
      </w:r>
    </w:p>
    <w:p w14:paraId="1AE18B48" w14:textId="77777777" w:rsidR="00F476F0" w:rsidRDefault="00F476F0" w:rsidP="00E07F40">
      <w:pPr>
        <w:pStyle w:val="BodyText1"/>
      </w:pPr>
      <w:bookmarkStart w:id="24" w:name="_Ref465154492"/>
      <w:r w:rsidRPr="00CC7D08">
        <w:t>It must be clearly disclosed that an investment in the securitisation does not represent a deposit with</w:t>
      </w:r>
      <w:r>
        <w:t>,</w:t>
      </w:r>
      <w:r w:rsidRPr="00CC7D08">
        <w:t xml:space="preserve"> or other liability of</w:t>
      </w:r>
      <w:r>
        <w:t>,</w:t>
      </w:r>
      <w:r w:rsidRPr="00CC7D08">
        <w:t xml:space="preserve"> the originating ADI</w:t>
      </w:r>
      <w:r>
        <w:t>.</w:t>
      </w:r>
      <w:bookmarkEnd w:id="24"/>
    </w:p>
    <w:p w14:paraId="1AE18B49" w14:textId="77777777" w:rsidR="00F476F0" w:rsidRDefault="00F476F0" w:rsidP="00F476F0">
      <w:pPr>
        <w:pStyle w:val="Heading1"/>
      </w:pPr>
      <w:bookmarkStart w:id="25" w:name="_Toc465172378"/>
      <w:r>
        <w:t>Exposures transferred in a securitisation</w:t>
      </w:r>
      <w:bookmarkEnd w:id="25"/>
    </w:p>
    <w:p w14:paraId="1AE18B4A" w14:textId="77777777" w:rsidR="00F476F0" w:rsidRPr="00F476F0" w:rsidRDefault="00F476F0" w:rsidP="00F476F0">
      <w:pPr>
        <w:pStyle w:val="BodyText1"/>
      </w:pPr>
      <w:bookmarkStart w:id="26" w:name="_Ref465155834"/>
      <w:r w:rsidRPr="00417434">
        <w:t>A</w:t>
      </w:r>
      <w:r>
        <w:t xml:space="preserve">n </w:t>
      </w:r>
      <w:r w:rsidRPr="00901704">
        <w:t>originating ADI must not maintain effective or indirect control</w:t>
      </w:r>
      <w:r w:rsidR="00710914">
        <w:rPr>
          <w:rStyle w:val="FootnoteReference"/>
        </w:rPr>
        <w:footnoteReference w:id="9"/>
      </w:r>
      <w:r w:rsidRPr="00901704">
        <w:t xml:space="preserve"> over exposures</w:t>
      </w:r>
      <w:r>
        <w:t xml:space="preserve"> transferred to an SPV. An originating ADI must not, except in the case of a self-securitisation</w:t>
      </w:r>
      <w:r w:rsidR="00CC26CD">
        <w:t>:</w:t>
      </w:r>
      <w:r w:rsidR="00B34D59">
        <w:rPr>
          <w:rStyle w:val="FootnoteReference"/>
        </w:rPr>
        <w:footnoteReference w:id="10"/>
      </w:r>
      <w:bookmarkEnd w:id="26"/>
    </w:p>
    <w:p w14:paraId="1AE18B4B" w14:textId="77777777" w:rsidR="00E07F40" w:rsidRDefault="00F476F0" w:rsidP="00026B26">
      <w:pPr>
        <w:pStyle w:val="BodyText2"/>
      </w:pPr>
      <w:r w:rsidRPr="00252E43">
        <w:t>be obliged to retain the credit risk of the exposures;</w:t>
      </w:r>
      <w:r>
        <w:t xml:space="preserve"> or</w:t>
      </w:r>
    </w:p>
    <w:p w14:paraId="1AE18B4C" w14:textId="7D3A962E" w:rsidR="00E83A76" w:rsidRPr="002F1EE2" w:rsidRDefault="00F476F0" w:rsidP="00F476F0">
      <w:pPr>
        <w:pStyle w:val="BodyText2"/>
      </w:pPr>
      <w:r w:rsidRPr="00FC3DC4">
        <w:t xml:space="preserve">be obliged to repurchase the exposures out of the pool held by the SPV, except where an ADI is required to repurchase (or replace) an exposure as a result of a representation or warranty under </w:t>
      </w:r>
      <w:r w:rsidRPr="002F1EE2">
        <w:t xml:space="preserve">paragraph </w:t>
      </w:r>
      <w:r w:rsidR="002F1EE2" w:rsidRPr="002F1EE2">
        <w:fldChar w:fldCharType="begin"/>
      </w:r>
      <w:r w:rsidR="002F1EE2" w:rsidRPr="002F1EE2">
        <w:instrText xml:space="preserve"> REF _Ref465157515 \w \h </w:instrText>
      </w:r>
      <w:r w:rsidR="002F1EE2">
        <w:instrText xml:space="preserve"> \* MERGEFORMAT </w:instrText>
      </w:r>
      <w:r w:rsidR="002F1EE2" w:rsidRPr="002F1EE2">
        <w:fldChar w:fldCharType="separate"/>
      </w:r>
      <w:r w:rsidR="00642B90">
        <w:t>6(b)</w:t>
      </w:r>
      <w:r w:rsidR="002F1EE2" w:rsidRPr="002F1EE2">
        <w:fldChar w:fldCharType="end"/>
      </w:r>
      <w:r w:rsidR="002F1EE2" w:rsidRPr="002F1EE2">
        <w:t xml:space="preserve"> </w:t>
      </w:r>
      <w:r w:rsidRPr="002F1EE2">
        <w:t xml:space="preserve">of Attachment A and paragraph </w:t>
      </w:r>
      <w:r w:rsidR="00710914" w:rsidRPr="002F1EE2">
        <w:fldChar w:fldCharType="begin"/>
      </w:r>
      <w:r w:rsidR="00710914" w:rsidRPr="002F1EE2">
        <w:instrText xml:space="preserve"> REF _Ref465155723 \r \h </w:instrText>
      </w:r>
      <w:r w:rsidR="002F1EE2">
        <w:instrText xml:space="preserve"> \* MERGEFORMAT </w:instrText>
      </w:r>
      <w:r w:rsidR="00710914" w:rsidRPr="002F1EE2">
        <w:fldChar w:fldCharType="separate"/>
      </w:r>
      <w:r w:rsidR="00642B90">
        <w:t>5(b)</w:t>
      </w:r>
      <w:r w:rsidR="00710914" w:rsidRPr="002F1EE2">
        <w:fldChar w:fldCharType="end"/>
      </w:r>
      <w:r w:rsidR="00710914" w:rsidRPr="002F1EE2">
        <w:t xml:space="preserve"> </w:t>
      </w:r>
      <w:r w:rsidRPr="002F1EE2">
        <w:t>of Attachment B, where relevant.</w:t>
      </w:r>
    </w:p>
    <w:p w14:paraId="1AE18B4D" w14:textId="77777777" w:rsidR="00E83A76" w:rsidRDefault="006E0369" w:rsidP="00BF6CDF">
      <w:pPr>
        <w:pStyle w:val="BodyText1"/>
      </w:pPr>
      <w:r w:rsidRPr="00901704">
        <w:t xml:space="preserve">The issued securities must not be obligations of the ADI. Investors </w:t>
      </w:r>
      <w:r>
        <w:t xml:space="preserve">in a securitisation may </w:t>
      </w:r>
      <w:r w:rsidRPr="00901704">
        <w:t xml:space="preserve">only have </w:t>
      </w:r>
      <w:r>
        <w:t xml:space="preserve">a </w:t>
      </w:r>
      <w:r w:rsidRPr="00901704">
        <w:t xml:space="preserve">claim </w:t>
      </w:r>
      <w:r>
        <w:t>on</w:t>
      </w:r>
      <w:r w:rsidRPr="00901704">
        <w:t xml:space="preserve"> the relevant pool and any a</w:t>
      </w:r>
      <w:r>
        <w:t>pplicable facilities of the SPV.</w:t>
      </w:r>
      <w:r w:rsidR="008D5381">
        <w:rPr>
          <w:rStyle w:val="FootnoteReference"/>
        </w:rPr>
        <w:footnoteReference w:id="11"/>
      </w:r>
    </w:p>
    <w:p w14:paraId="1AE18B4E" w14:textId="77777777" w:rsidR="006E0369" w:rsidRDefault="006E0369" w:rsidP="00BF6CDF">
      <w:pPr>
        <w:pStyle w:val="BodyText1"/>
      </w:pPr>
      <w:r w:rsidRPr="00901704">
        <w:t>The holders of the securities i</w:t>
      </w:r>
      <w:r>
        <w:t xml:space="preserve">ssued by the </w:t>
      </w:r>
      <w:r w:rsidRPr="00901704">
        <w:t xml:space="preserve">SPV </w:t>
      </w:r>
      <w:r>
        <w:t xml:space="preserve">must </w:t>
      </w:r>
      <w:r w:rsidRPr="00901704">
        <w:t>have the right to pledge or exchange them without restriction</w:t>
      </w:r>
      <w:r>
        <w:t>, other than restrictions that are necessary for statutory compliance.</w:t>
      </w:r>
    </w:p>
    <w:p w14:paraId="1AE18B4F" w14:textId="77777777" w:rsidR="006E0369" w:rsidRDefault="006E0369" w:rsidP="00BF6CDF">
      <w:pPr>
        <w:pStyle w:val="BodyText1"/>
      </w:pPr>
      <w:r w:rsidRPr="00901704">
        <w:t>An originating ADI must not</w:t>
      </w:r>
      <w:r>
        <w:t>, except in the case of a self-securitisation</w:t>
      </w:r>
      <w:r w:rsidR="009F3413">
        <w:t>:</w:t>
      </w:r>
      <w:r w:rsidR="00B34D59">
        <w:rPr>
          <w:rStyle w:val="FootnoteReference"/>
        </w:rPr>
        <w:footnoteReference w:id="12"/>
      </w:r>
    </w:p>
    <w:p w14:paraId="1AE18B50" w14:textId="77777777" w:rsidR="006E0369" w:rsidRDefault="006E0369" w:rsidP="006E0369">
      <w:pPr>
        <w:pStyle w:val="BodyText2"/>
      </w:pPr>
      <w:r w:rsidRPr="00901704">
        <w:t>alter the underlying exposures such that the pool’s credit quality is improved</w:t>
      </w:r>
      <w:r>
        <w:t>;</w:t>
      </w:r>
    </w:p>
    <w:p w14:paraId="1AE18B51" w14:textId="77777777" w:rsidR="006E0369" w:rsidRDefault="006E0369" w:rsidP="006E0369">
      <w:pPr>
        <w:pStyle w:val="BodyText2"/>
      </w:pPr>
      <w:r w:rsidRPr="00901704">
        <w:t>increase a retained first loss position</w:t>
      </w:r>
      <w:r>
        <w:t xml:space="preserve"> </w:t>
      </w:r>
      <w:r w:rsidRPr="00901704">
        <w:t xml:space="preserve">or </w:t>
      </w:r>
      <w:r>
        <w:t xml:space="preserve">provide additional </w:t>
      </w:r>
      <w:r w:rsidRPr="00901704">
        <w:t>credit enhancement after the inception</w:t>
      </w:r>
      <w:r>
        <w:t xml:space="preserve"> of the transaction;</w:t>
      </w:r>
    </w:p>
    <w:p w14:paraId="1AE18B52" w14:textId="77777777" w:rsidR="006E0369" w:rsidRDefault="006E0369" w:rsidP="006E0369">
      <w:pPr>
        <w:pStyle w:val="BodyText2"/>
      </w:pPr>
      <w:r w:rsidRPr="00015282">
        <w:t xml:space="preserve">increase the yield payable </w:t>
      </w:r>
      <w:r>
        <w:t xml:space="preserve">to the investors in a securitisation </w:t>
      </w:r>
      <w:r w:rsidRPr="00015282">
        <w:t>in response to a deterioration in the credit quality of the pool;</w:t>
      </w:r>
      <w:r>
        <w:t xml:space="preserve"> or</w:t>
      </w:r>
    </w:p>
    <w:p w14:paraId="1AE18B53" w14:textId="77777777" w:rsidR="006E0369" w:rsidRDefault="006E0369" w:rsidP="006E0369">
      <w:pPr>
        <w:pStyle w:val="BodyText2"/>
      </w:pPr>
      <w:r>
        <w:lastRenderedPageBreak/>
        <w:t xml:space="preserve">in </w:t>
      </w:r>
      <w:r w:rsidRPr="000313D1">
        <w:t>the case of a synthetic securitisation</w:t>
      </w:r>
      <w:r>
        <w:t xml:space="preserve">, </w:t>
      </w:r>
      <w:r w:rsidRPr="000313D1">
        <w:t>limit the credit protection or credit risk transference</w:t>
      </w:r>
      <w:r w:rsidR="00710914">
        <w:rPr>
          <w:rStyle w:val="FootnoteReference"/>
        </w:rPr>
        <w:footnoteReference w:id="13"/>
      </w:r>
      <w:r>
        <w:t xml:space="preserve"> </w:t>
      </w:r>
      <w:r w:rsidRPr="000313D1">
        <w:t xml:space="preserve">or increase the ADI’s cost of credit protection in response to </w:t>
      </w:r>
      <w:r>
        <w:t>deterioration</w:t>
      </w:r>
      <w:r w:rsidRPr="000313D1">
        <w:t xml:space="preserve"> in the credit quality of the pool.</w:t>
      </w:r>
    </w:p>
    <w:p w14:paraId="1AE18B54" w14:textId="77777777" w:rsidR="006E0369" w:rsidRDefault="003944D2" w:rsidP="006E0369">
      <w:pPr>
        <w:pStyle w:val="BodyText1"/>
      </w:pPr>
      <w:r>
        <w:t>R</w:t>
      </w:r>
      <w:r w:rsidRPr="00B831D2">
        <w:t xml:space="preserve">epresentations and warranties </w:t>
      </w:r>
      <w:r>
        <w:t xml:space="preserve">provided by an ADI </w:t>
      </w:r>
      <w:r w:rsidRPr="00B831D2">
        <w:t>concerning</w:t>
      </w:r>
      <w:r>
        <w:t xml:space="preserve"> the exposures transferred in a securitisation </w:t>
      </w:r>
      <w:r w:rsidRPr="00B831D2">
        <w:t>must:</w:t>
      </w:r>
    </w:p>
    <w:p w14:paraId="1AE18B55" w14:textId="77777777" w:rsidR="003944D2" w:rsidRDefault="003944D2" w:rsidP="003944D2">
      <w:pPr>
        <w:pStyle w:val="BodyText2"/>
      </w:pPr>
      <w:r>
        <w:t>be provided at the time the exposures are transferred to the SPV;</w:t>
      </w:r>
    </w:p>
    <w:p w14:paraId="1AE18B56" w14:textId="77777777" w:rsidR="003944D2" w:rsidRDefault="003944D2" w:rsidP="003944D2">
      <w:pPr>
        <w:pStyle w:val="BodyText2"/>
      </w:pPr>
      <w:r w:rsidRPr="00B831D2">
        <w:t>be provided by way of a formal written agreement and be in accordance with market practice</w:t>
      </w:r>
      <w:r>
        <w:t>;</w:t>
      </w:r>
    </w:p>
    <w:p w14:paraId="1AE18B57" w14:textId="77777777" w:rsidR="003944D2" w:rsidRDefault="003944D2" w:rsidP="003944D2">
      <w:pPr>
        <w:pStyle w:val="BodyText2"/>
      </w:pPr>
      <w:r w:rsidRPr="00B831D2">
        <w:t>refer to an existing state of facts that is capable of being verified by the ADI, and is within</w:t>
      </w:r>
      <w:r>
        <w:t xml:space="preserve"> the</w:t>
      </w:r>
      <w:r w:rsidRPr="00B831D2">
        <w:t xml:space="preserve"> control of the ADI, at the time the exposures are transferred</w:t>
      </w:r>
      <w:r>
        <w:t xml:space="preserve"> to the SPV</w:t>
      </w:r>
      <w:r w:rsidRPr="00B831D2">
        <w:t>;</w:t>
      </w:r>
      <w:r>
        <w:t xml:space="preserve"> </w:t>
      </w:r>
      <w:r w:rsidRPr="00B831D2">
        <w:t>and</w:t>
      </w:r>
    </w:p>
    <w:p w14:paraId="1AE18B58" w14:textId="77777777" w:rsidR="003944D2" w:rsidRDefault="003944D2" w:rsidP="003944D2">
      <w:pPr>
        <w:pStyle w:val="BodyText2"/>
      </w:pPr>
      <w:r w:rsidRPr="00B831D2">
        <w:t xml:space="preserve">not be open-ended </w:t>
      </w:r>
      <w:r>
        <w:t>or</w:t>
      </w:r>
      <w:r w:rsidRPr="00B831D2">
        <w:t xml:space="preserve">, in particular, relate to the future creditworthiness of the exposures, the performance of the SPV </w:t>
      </w:r>
      <w:r>
        <w:t xml:space="preserve">or </w:t>
      </w:r>
      <w:r w:rsidRPr="00B831D2">
        <w:t xml:space="preserve">the </w:t>
      </w:r>
      <w:r>
        <w:t xml:space="preserve">performance of the </w:t>
      </w:r>
      <w:r w:rsidRPr="00B831D2">
        <w:t>securities issue</w:t>
      </w:r>
      <w:r>
        <w:t>d in a securitisation.</w:t>
      </w:r>
    </w:p>
    <w:p w14:paraId="1AE18B59" w14:textId="77777777" w:rsidR="003944D2" w:rsidRDefault="003944D2" w:rsidP="003944D2">
      <w:pPr>
        <w:pStyle w:val="BodyText1"/>
      </w:pPr>
      <w:r w:rsidRPr="00901704">
        <w:t>An originating ADI must ensure the document of transfer specifies that, if cash flows relating to an exposure in a pool are rescheduled or renegotiated, the SPV will be subject to the rescheduled or renegotiated terms</w:t>
      </w:r>
      <w:r>
        <w:t>.</w:t>
      </w:r>
    </w:p>
    <w:p w14:paraId="1AE18B5A" w14:textId="77777777" w:rsidR="003944D2" w:rsidRDefault="003944D2" w:rsidP="003944D2">
      <w:pPr>
        <w:pStyle w:val="BodyText1"/>
      </w:pPr>
      <w:bookmarkStart w:id="27" w:name="_Ref465155846"/>
      <w:r>
        <w:t>An originating ADI must obtain written advice from legal counsel that:</w:t>
      </w:r>
      <w:bookmarkEnd w:id="27"/>
    </w:p>
    <w:p w14:paraId="1AE18B5B" w14:textId="77777777" w:rsidR="003944D2" w:rsidRDefault="003944D2" w:rsidP="003944D2">
      <w:pPr>
        <w:pStyle w:val="BodyText2"/>
      </w:pPr>
      <w:r>
        <w:t>t</w:t>
      </w:r>
      <w:r w:rsidRPr="00BA0771">
        <w:t xml:space="preserve">he exposures in the pool </w:t>
      </w:r>
      <w:r>
        <w:t xml:space="preserve">are </w:t>
      </w:r>
      <w:r w:rsidRPr="00BA0771">
        <w:t xml:space="preserve">legally isolated from the ADI in such a way that the exposures are put beyond the reach of the ADI and its creditors, including in </w:t>
      </w:r>
      <w:r>
        <w:t>the case of the appointment of a statutory manager (or its equivalent)</w:t>
      </w:r>
      <w:r w:rsidRPr="00BA0771">
        <w:t xml:space="preserve">, </w:t>
      </w:r>
      <w:r>
        <w:t xml:space="preserve">or its </w:t>
      </w:r>
      <w:r w:rsidRPr="00BA0771">
        <w:t>winding up and receivership</w:t>
      </w:r>
      <w:r>
        <w:t>; and</w:t>
      </w:r>
    </w:p>
    <w:p w14:paraId="1AE18B5C" w14:textId="77777777" w:rsidR="003944D2" w:rsidRDefault="003944D2" w:rsidP="003944D2">
      <w:pPr>
        <w:pStyle w:val="BodyText2"/>
      </w:pPr>
      <w:r w:rsidRPr="00BA0771">
        <w:t>all agreements, deeds and other legal documentation relating to the securitisation are enforceable in all relevant jurisdictions</w:t>
      </w:r>
      <w:r>
        <w:t>.</w:t>
      </w:r>
    </w:p>
    <w:p w14:paraId="1AE18B5D" w14:textId="77777777" w:rsidR="003944D2" w:rsidRDefault="003944D2" w:rsidP="003944D2">
      <w:pPr>
        <w:pStyle w:val="Heading1"/>
      </w:pPr>
      <w:bookmarkStart w:id="28" w:name="_Toc465172379"/>
      <w:r>
        <w:t>Legal opinion</w:t>
      </w:r>
      <w:bookmarkEnd w:id="28"/>
    </w:p>
    <w:p w14:paraId="1AE18B5E" w14:textId="40069B5F" w:rsidR="003944D2" w:rsidRPr="003944D2" w:rsidRDefault="003944D2" w:rsidP="003944D2">
      <w:pPr>
        <w:pStyle w:val="BodyText1"/>
      </w:pPr>
      <w:r w:rsidRPr="000A48A5">
        <w:rPr>
          <w:rFonts w:cstheme="minorHAnsi"/>
        </w:rPr>
        <w:t xml:space="preserve">APRA may, at its discretion, require an ADI to seek a legal opinion on any of the requirements relating to </w:t>
      </w:r>
      <w:r>
        <w:rPr>
          <w:rFonts w:cstheme="minorHAnsi"/>
        </w:rPr>
        <w:t xml:space="preserve">separation and disclosure (paragraphs </w:t>
      </w:r>
      <w:r w:rsidR="00710914">
        <w:rPr>
          <w:rFonts w:cstheme="minorHAnsi"/>
        </w:rPr>
        <w:fldChar w:fldCharType="begin"/>
      </w:r>
      <w:r w:rsidR="00710914">
        <w:rPr>
          <w:rFonts w:cstheme="minorHAnsi"/>
        </w:rPr>
        <w:instrText xml:space="preserve"> REF _Ref465155800 \r \h </w:instrText>
      </w:r>
      <w:r w:rsidR="00710914">
        <w:rPr>
          <w:rFonts w:cstheme="minorHAnsi"/>
        </w:rPr>
      </w:r>
      <w:r w:rsidR="00710914">
        <w:rPr>
          <w:rFonts w:cstheme="minorHAnsi"/>
        </w:rPr>
        <w:fldChar w:fldCharType="separate"/>
      </w:r>
      <w:r w:rsidR="00642B90">
        <w:rPr>
          <w:rFonts w:cstheme="minorHAnsi"/>
        </w:rPr>
        <w:t>13</w:t>
      </w:r>
      <w:r w:rsidR="00710914">
        <w:rPr>
          <w:rFonts w:cstheme="minorHAnsi"/>
        </w:rPr>
        <w:fldChar w:fldCharType="end"/>
      </w:r>
      <w:r w:rsidR="00710914">
        <w:rPr>
          <w:rFonts w:cstheme="minorHAnsi"/>
        </w:rPr>
        <w:t xml:space="preserve"> </w:t>
      </w:r>
      <w:r>
        <w:rPr>
          <w:rFonts w:cstheme="minorHAnsi"/>
        </w:rPr>
        <w:t>to</w:t>
      </w:r>
      <w:r w:rsidR="00710914">
        <w:rPr>
          <w:rFonts w:cstheme="minorHAnsi"/>
        </w:rPr>
        <w:t xml:space="preserve"> </w:t>
      </w:r>
      <w:r w:rsidR="00710914">
        <w:rPr>
          <w:rFonts w:cstheme="minorHAnsi"/>
        </w:rPr>
        <w:fldChar w:fldCharType="begin"/>
      </w:r>
      <w:r w:rsidR="00710914">
        <w:rPr>
          <w:rFonts w:cstheme="minorHAnsi"/>
        </w:rPr>
        <w:instrText xml:space="preserve"> REF _Ref465154492 \r \h </w:instrText>
      </w:r>
      <w:r w:rsidR="00710914">
        <w:rPr>
          <w:rFonts w:cstheme="minorHAnsi"/>
        </w:rPr>
      </w:r>
      <w:r w:rsidR="00710914">
        <w:rPr>
          <w:rFonts w:cstheme="minorHAnsi"/>
        </w:rPr>
        <w:fldChar w:fldCharType="separate"/>
      </w:r>
      <w:r w:rsidR="00642B90">
        <w:rPr>
          <w:rFonts w:cstheme="minorHAnsi"/>
        </w:rPr>
        <w:t>18</w:t>
      </w:r>
      <w:r w:rsidR="00710914">
        <w:rPr>
          <w:rFonts w:cstheme="minorHAnsi"/>
        </w:rPr>
        <w:fldChar w:fldCharType="end"/>
      </w:r>
      <w:r>
        <w:rPr>
          <w:rFonts w:cstheme="minorHAnsi"/>
        </w:rPr>
        <w:t xml:space="preserve">), </w:t>
      </w:r>
      <w:r w:rsidRPr="000A48A5">
        <w:rPr>
          <w:rFonts w:cstheme="minorHAnsi"/>
        </w:rPr>
        <w:t>exposures</w:t>
      </w:r>
      <w:r>
        <w:rPr>
          <w:rFonts w:cstheme="minorHAnsi"/>
        </w:rPr>
        <w:t xml:space="preserve"> transferred in a securitisation</w:t>
      </w:r>
      <w:r w:rsidRPr="000A48A5">
        <w:rPr>
          <w:rFonts w:cstheme="minorHAnsi"/>
        </w:rPr>
        <w:t xml:space="preserve"> </w:t>
      </w:r>
      <w:r>
        <w:rPr>
          <w:rFonts w:cstheme="minorHAnsi"/>
        </w:rPr>
        <w:t xml:space="preserve">(paragraphs </w:t>
      </w:r>
      <w:r w:rsidR="00710914">
        <w:rPr>
          <w:rFonts w:cstheme="minorHAnsi"/>
        </w:rPr>
        <w:fldChar w:fldCharType="begin"/>
      </w:r>
      <w:r w:rsidR="00710914">
        <w:rPr>
          <w:rFonts w:cstheme="minorHAnsi"/>
        </w:rPr>
        <w:instrText xml:space="preserve"> REF _Ref465155834 \r \h </w:instrText>
      </w:r>
      <w:r w:rsidR="00710914">
        <w:rPr>
          <w:rFonts w:cstheme="minorHAnsi"/>
        </w:rPr>
      </w:r>
      <w:r w:rsidR="00710914">
        <w:rPr>
          <w:rFonts w:cstheme="minorHAnsi"/>
        </w:rPr>
        <w:fldChar w:fldCharType="separate"/>
      </w:r>
      <w:r w:rsidR="00642B90">
        <w:rPr>
          <w:rFonts w:cstheme="minorHAnsi"/>
        </w:rPr>
        <w:t>19</w:t>
      </w:r>
      <w:r w:rsidR="00710914">
        <w:rPr>
          <w:rFonts w:cstheme="minorHAnsi"/>
        </w:rPr>
        <w:fldChar w:fldCharType="end"/>
      </w:r>
      <w:r w:rsidR="00710914">
        <w:rPr>
          <w:rFonts w:cstheme="minorHAnsi"/>
        </w:rPr>
        <w:t xml:space="preserve"> </w:t>
      </w:r>
      <w:r>
        <w:rPr>
          <w:rFonts w:cstheme="minorHAnsi"/>
        </w:rPr>
        <w:t>to</w:t>
      </w:r>
      <w:r w:rsidR="00710914">
        <w:rPr>
          <w:rFonts w:cstheme="minorHAnsi"/>
        </w:rPr>
        <w:t xml:space="preserve"> </w:t>
      </w:r>
      <w:r w:rsidR="00710914">
        <w:rPr>
          <w:rFonts w:cstheme="minorHAnsi"/>
        </w:rPr>
        <w:fldChar w:fldCharType="begin"/>
      </w:r>
      <w:r w:rsidR="00710914">
        <w:rPr>
          <w:rFonts w:cstheme="minorHAnsi"/>
        </w:rPr>
        <w:instrText xml:space="preserve"> REF _Ref465155846 \r \h </w:instrText>
      </w:r>
      <w:r w:rsidR="00710914">
        <w:rPr>
          <w:rFonts w:cstheme="minorHAnsi"/>
        </w:rPr>
      </w:r>
      <w:r w:rsidR="00710914">
        <w:rPr>
          <w:rFonts w:cstheme="minorHAnsi"/>
        </w:rPr>
        <w:fldChar w:fldCharType="separate"/>
      </w:r>
      <w:r w:rsidR="00642B90">
        <w:rPr>
          <w:rFonts w:cstheme="minorHAnsi"/>
        </w:rPr>
        <w:t>25</w:t>
      </w:r>
      <w:r w:rsidR="00710914">
        <w:rPr>
          <w:rFonts w:cstheme="minorHAnsi"/>
        </w:rPr>
        <w:fldChar w:fldCharType="end"/>
      </w:r>
      <w:r>
        <w:rPr>
          <w:rFonts w:cstheme="minorHAnsi"/>
        </w:rPr>
        <w:t xml:space="preserve">) and any other requirement of this Prudential Standard, </w:t>
      </w:r>
      <w:r w:rsidRPr="000A48A5">
        <w:rPr>
          <w:rFonts w:cstheme="minorHAnsi"/>
        </w:rPr>
        <w:t>from an independent legal counsel chosen by APRA, at the expense of the ADI</w:t>
      </w:r>
      <w:r>
        <w:rPr>
          <w:rFonts w:cstheme="minorHAnsi"/>
        </w:rPr>
        <w:t>.</w:t>
      </w:r>
    </w:p>
    <w:p w14:paraId="1AE18B5F" w14:textId="77777777" w:rsidR="003944D2" w:rsidRDefault="003944D2" w:rsidP="003944D2">
      <w:pPr>
        <w:pStyle w:val="Heading1"/>
      </w:pPr>
      <w:bookmarkStart w:id="29" w:name="_Toc465172380"/>
      <w:r>
        <w:lastRenderedPageBreak/>
        <w:t>General capital adequacy requirements</w:t>
      </w:r>
      <w:bookmarkEnd w:id="29"/>
    </w:p>
    <w:p w14:paraId="1AE18B60" w14:textId="77777777" w:rsidR="003944D2" w:rsidRDefault="003944D2" w:rsidP="003944D2">
      <w:pPr>
        <w:pStyle w:val="BodyText1"/>
      </w:pPr>
      <w:r w:rsidRPr="0099784B">
        <w:t>The capital treatment of a securitisation must be determined on the basis of its economic substance rather than its legal form</w:t>
      </w:r>
      <w:r>
        <w:t>.</w:t>
      </w:r>
    </w:p>
    <w:p w14:paraId="1AE18B61" w14:textId="77777777" w:rsidR="003944D2" w:rsidRDefault="003944D2" w:rsidP="003944D2">
      <w:pPr>
        <w:pStyle w:val="Heading3"/>
      </w:pPr>
      <w:r>
        <w:t>Securitisation start-up costs</w:t>
      </w:r>
    </w:p>
    <w:p w14:paraId="1AE18B62" w14:textId="77777777" w:rsidR="003944D2" w:rsidRDefault="003944D2" w:rsidP="003944D2">
      <w:pPr>
        <w:pStyle w:val="BodyText1"/>
      </w:pPr>
      <w:r w:rsidRPr="00985550">
        <w:t xml:space="preserve">Where an ADI contributes to the start-up costs of a securitisation and these costs have been capitalised (rather than written off </w:t>
      </w:r>
      <w:r>
        <w:t>through</w:t>
      </w:r>
      <w:r w:rsidRPr="00985550">
        <w:t xml:space="preserve"> the ADI’s profit </w:t>
      </w:r>
      <w:r>
        <w:t>or</w:t>
      </w:r>
      <w:r w:rsidRPr="00985550">
        <w:t xml:space="preserve"> loss), they must be deducted from the ADI’s Common Equity Tier 1 Capital as capitalised expenses</w:t>
      </w:r>
      <w:r>
        <w:t>.</w:t>
      </w:r>
    </w:p>
    <w:p w14:paraId="1AE18B63" w14:textId="77777777" w:rsidR="003944D2" w:rsidRDefault="003944D2" w:rsidP="003944D2">
      <w:pPr>
        <w:pStyle w:val="Heading3"/>
      </w:pPr>
      <w:r>
        <w:t>Spread accounts and similar surplus income arrangements</w:t>
      </w:r>
    </w:p>
    <w:p w14:paraId="1AE18B64" w14:textId="77777777" w:rsidR="003944D2" w:rsidRDefault="003944D2" w:rsidP="003944D2">
      <w:pPr>
        <w:pStyle w:val="BodyText1"/>
      </w:pPr>
      <w:r>
        <w:t xml:space="preserve">Where an </w:t>
      </w:r>
      <w:r w:rsidRPr="00320EE0">
        <w:t xml:space="preserve">originating ADI </w:t>
      </w:r>
      <w:r>
        <w:t xml:space="preserve">has included any gain on sale, </w:t>
      </w:r>
      <w:r w:rsidRPr="00141227">
        <w:t xml:space="preserve">including expected future </w:t>
      </w:r>
      <w:r>
        <w:t xml:space="preserve">margin or servicing </w:t>
      </w:r>
      <w:r w:rsidRPr="00141227">
        <w:t>income from a securitisation</w:t>
      </w:r>
      <w:r>
        <w:t xml:space="preserve">, on its balance sheet or in its profit, then it must, until such income is </w:t>
      </w:r>
      <w:r w:rsidRPr="00141227">
        <w:t>irrevocably received</w:t>
      </w:r>
      <w:r>
        <w:t>,</w:t>
      </w:r>
      <w:r w:rsidRPr="00320EE0">
        <w:t xml:space="preserve"> deduct from its Common Equity Tier 1 Capital </w:t>
      </w:r>
      <w:r>
        <w:t>the amounts involved</w:t>
      </w:r>
      <w:r w:rsidRPr="00320EE0">
        <w:t xml:space="preserve">. </w:t>
      </w:r>
      <w:r>
        <w:t>Where an originating ADI provides funds to establish a reserve or similar account, those amounts must be deducted from Common Equity Tier 1 Capital until the funds are irrevocably received by the ADI.</w:t>
      </w:r>
    </w:p>
    <w:p w14:paraId="1AE18B65" w14:textId="77777777" w:rsidR="003944D2" w:rsidRDefault="003944D2" w:rsidP="003944D2">
      <w:pPr>
        <w:pStyle w:val="BodyText1"/>
      </w:pPr>
      <w:r w:rsidRPr="00320EE0">
        <w:t xml:space="preserve">Where an originating ADI provides a </w:t>
      </w:r>
      <w:r>
        <w:t xml:space="preserve">derivatives transaction (e.g. a </w:t>
      </w:r>
      <w:r w:rsidRPr="00320EE0">
        <w:t>basis swap</w:t>
      </w:r>
      <w:r>
        <w:t xml:space="preserve"> or other interest rate swap)</w:t>
      </w:r>
      <w:r w:rsidRPr="00320EE0">
        <w:t xml:space="preserve"> to a securitisation, a positive mark-to-market value of th</w:t>
      </w:r>
      <w:r>
        <w:t>e</w:t>
      </w:r>
      <w:r w:rsidRPr="00320EE0">
        <w:t xml:space="preserve"> swap represents the present value of certain future excess cash-flows generated by the asset pool</w:t>
      </w:r>
      <w:r>
        <w:t>. In this case an</w:t>
      </w:r>
      <w:r w:rsidRPr="00320EE0">
        <w:t xml:space="preserve"> ADI must deduct from its Common Equity Tier 1 Capital any positive mark-to-market valuation that it has reported as an on-balance sheet asset or profit until </w:t>
      </w:r>
      <w:r>
        <w:t xml:space="preserve">such income is </w:t>
      </w:r>
      <w:r w:rsidRPr="00320EE0">
        <w:t>irrevocably received</w:t>
      </w:r>
      <w:r>
        <w:t>.</w:t>
      </w:r>
    </w:p>
    <w:p w14:paraId="1AE18B66" w14:textId="77777777" w:rsidR="003944D2" w:rsidRDefault="003944D2" w:rsidP="003944D2">
      <w:pPr>
        <w:pStyle w:val="BodyText1"/>
      </w:pPr>
      <w:r w:rsidRPr="00967509">
        <w:t xml:space="preserve">Where an originating ADI becomes, or is </w:t>
      </w:r>
      <w:r>
        <w:t>likely</w:t>
      </w:r>
      <w:r w:rsidRPr="00967509">
        <w:t xml:space="preserve"> to become, a net payer over the life of a derivatives transaction</w:t>
      </w:r>
      <w:r>
        <w:t xml:space="preserve"> (e.g. a basis swap or other interest rate swap)</w:t>
      </w:r>
      <w:r w:rsidRPr="00967509">
        <w:t>, the ADI must deduct from Common Equity Tier 1 Capital</w:t>
      </w:r>
      <w:r>
        <w:t xml:space="preserve"> </w:t>
      </w:r>
      <w:r w:rsidRPr="00967509">
        <w:t>the negative mark-to-market value of the swap</w:t>
      </w:r>
      <w:r>
        <w:t xml:space="preserve"> where it has not reported such swap revaluation (expense) in its profit or loss.</w:t>
      </w:r>
    </w:p>
    <w:p w14:paraId="1AE18B67" w14:textId="77777777" w:rsidR="00871FAB" w:rsidRDefault="00871FAB" w:rsidP="00871FAB">
      <w:pPr>
        <w:pStyle w:val="Heading3"/>
      </w:pPr>
      <w:r>
        <w:t>Regulatory capital relief</w:t>
      </w:r>
    </w:p>
    <w:p w14:paraId="1AE18B68" w14:textId="77777777" w:rsidR="00871FAB" w:rsidRDefault="00871FAB" w:rsidP="00871FAB">
      <w:pPr>
        <w:pStyle w:val="BodyText1"/>
      </w:pPr>
      <w:r>
        <w:t>Subject to meeting the operational requirements detailed in Attachment A, a</w:t>
      </w:r>
      <w:r w:rsidRPr="002947CD">
        <w:t xml:space="preserve">n originating ADI of a traditional securitisation may exclude the underlying exposures in the calculation of its </w:t>
      </w:r>
      <w:r w:rsidR="00D7742F" w:rsidRPr="005D02DA">
        <w:rPr>
          <w:b/>
        </w:rPr>
        <w:t>R</w:t>
      </w:r>
      <w:r w:rsidRPr="005D02DA">
        <w:rPr>
          <w:b/>
        </w:rPr>
        <w:t xml:space="preserve">egulatory </w:t>
      </w:r>
      <w:r w:rsidR="00D7742F" w:rsidRPr="005D02DA">
        <w:rPr>
          <w:b/>
        </w:rPr>
        <w:t>C</w:t>
      </w:r>
      <w:r w:rsidRPr="005D02DA">
        <w:rPr>
          <w:b/>
        </w:rPr>
        <w:t>apital</w:t>
      </w:r>
      <w:r w:rsidRPr="002947CD">
        <w:t xml:space="preserve"> for credit risk under </w:t>
      </w:r>
      <w:r w:rsidRPr="002947CD">
        <w:rPr>
          <w:i/>
        </w:rPr>
        <w:t>Prudential Standard APS 112 Capital Adequacy: Standardised Approach to Credit Risk</w:t>
      </w:r>
      <w:r w:rsidRPr="002947CD">
        <w:t xml:space="preserve"> (</w:t>
      </w:r>
      <w:r w:rsidRPr="00B31E3A">
        <w:t>APS 112</w:t>
      </w:r>
      <w:r w:rsidRPr="002947CD">
        <w:t xml:space="preserve">) or </w:t>
      </w:r>
      <w:r w:rsidRPr="002947CD">
        <w:rPr>
          <w:i/>
        </w:rPr>
        <w:t>Prudential Standard APS 113 Capital Adequacy: Internal Ratings-based Approach to Credit Risk</w:t>
      </w:r>
      <w:r w:rsidRPr="002947CD">
        <w:t xml:space="preserve"> (</w:t>
      </w:r>
      <w:r w:rsidRPr="00B31E3A">
        <w:t>APS 113</w:t>
      </w:r>
      <w:r w:rsidRPr="002947CD">
        <w:t>)</w:t>
      </w:r>
      <w:r>
        <w:t>.</w:t>
      </w:r>
    </w:p>
    <w:p w14:paraId="1AE18B69" w14:textId="116BCBCA" w:rsidR="00871FAB" w:rsidRDefault="00871FAB" w:rsidP="00871FAB">
      <w:pPr>
        <w:pStyle w:val="BodyText1"/>
      </w:pPr>
      <w:r>
        <w:t xml:space="preserve">An originating ADI must hold </w:t>
      </w:r>
      <w:r w:rsidRPr="00884B4E">
        <w:t xml:space="preserve">regulatory capital in respect of credit risk for facilities or exposures to </w:t>
      </w:r>
      <w:r>
        <w:t>an</w:t>
      </w:r>
      <w:r w:rsidRPr="00884B4E">
        <w:t xml:space="preserve"> SPV held by the originating ADI that relate to the pool</w:t>
      </w:r>
      <w:r>
        <w:t xml:space="preserve"> (refer to </w:t>
      </w:r>
      <w:r w:rsidRPr="00884B4E">
        <w:t xml:space="preserve">paragraphs </w:t>
      </w:r>
      <w:r w:rsidR="00710914">
        <w:fldChar w:fldCharType="begin"/>
      </w:r>
      <w:r w:rsidR="00710914">
        <w:instrText xml:space="preserve"> REF _Ref465155887 \r \h </w:instrText>
      </w:r>
      <w:r w:rsidR="00710914">
        <w:fldChar w:fldCharType="separate"/>
      </w:r>
      <w:r w:rsidR="00642B90">
        <w:t>41</w:t>
      </w:r>
      <w:r w:rsidR="00710914">
        <w:fldChar w:fldCharType="end"/>
      </w:r>
      <w:r w:rsidR="00710914">
        <w:t xml:space="preserve"> </w:t>
      </w:r>
      <w:r w:rsidRPr="00884B4E">
        <w:t xml:space="preserve">to </w:t>
      </w:r>
      <w:r>
        <w:fldChar w:fldCharType="begin"/>
      </w:r>
      <w:r>
        <w:instrText xml:space="preserve"> REF _Ref464807497 \r \h </w:instrText>
      </w:r>
      <w:r>
        <w:fldChar w:fldCharType="separate"/>
      </w:r>
      <w:r w:rsidR="00642B90">
        <w:t>44</w:t>
      </w:r>
      <w:r>
        <w:fldChar w:fldCharType="end"/>
      </w:r>
      <w:r>
        <w:t>)</w:t>
      </w:r>
      <w:r w:rsidRPr="00884B4E">
        <w:t>.</w:t>
      </w:r>
    </w:p>
    <w:p w14:paraId="1AE18B6A" w14:textId="77777777" w:rsidR="00871FAB" w:rsidRDefault="00871FAB" w:rsidP="00871FAB">
      <w:pPr>
        <w:pStyle w:val="Heading3"/>
      </w:pPr>
      <w:r>
        <w:lastRenderedPageBreak/>
        <w:t>Funding-only securitisation</w:t>
      </w:r>
    </w:p>
    <w:p w14:paraId="1AE18B6B" w14:textId="77777777" w:rsidR="00710914" w:rsidRDefault="00871FAB" w:rsidP="00B567EB">
      <w:pPr>
        <w:pStyle w:val="BodyText1"/>
      </w:pPr>
      <w:bookmarkStart w:id="30" w:name="_Ref464807549"/>
      <w:bookmarkStart w:id="31" w:name="_Ref126917511"/>
      <w:r>
        <w:t>A</w:t>
      </w:r>
      <w:r w:rsidRPr="00C17E1E">
        <w:t xml:space="preserve">n originating ADI </w:t>
      </w:r>
      <w:r>
        <w:t>may treat a securitisation as funding-only, s</w:t>
      </w:r>
      <w:r w:rsidRPr="00FA7D20">
        <w:t xml:space="preserve">ubject to meeting the </w:t>
      </w:r>
      <w:r>
        <w:t xml:space="preserve">operational </w:t>
      </w:r>
      <w:r w:rsidRPr="00FA7D20">
        <w:t>requirements detailed in Attachment B</w:t>
      </w:r>
      <w:r>
        <w:t xml:space="preserve">. An originating ADI in a funding-only securitisation must include </w:t>
      </w:r>
      <w:r w:rsidRPr="00457CAE">
        <w:t xml:space="preserve">the underlying exposures in the pool in the calculation of its regulatory capital for credit risk </w:t>
      </w:r>
      <w:r>
        <w:t xml:space="preserve">under APS </w:t>
      </w:r>
      <w:r w:rsidRPr="00457CAE">
        <w:t>112</w:t>
      </w:r>
      <w:r>
        <w:t xml:space="preserve"> or </w:t>
      </w:r>
      <w:r w:rsidRPr="00457CAE">
        <w:t>APS 113</w:t>
      </w:r>
      <w:r w:rsidR="00710914">
        <w:t>.</w:t>
      </w:r>
      <w:bookmarkEnd w:id="30"/>
      <w:r w:rsidR="00710914">
        <w:rPr>
          <w:rStyle w:val="FootnoteReference"/>
        </w:rPr>
        <w:footnoteReference w:id="14"/>
      </w:r>
      <w:bookmarkEnd w:id="31"/>
    </w:p>
    <w:p w14:paraId="1AE18B6C" w14:textId="77777777" w:rsidR="00871FAB" w:rsidRDefault="00871FAB" w:rsidP="00B567EB">
      <w:pPr>
        <w:pStyle w:val="BodyText1"/>
      </w:pPr>
      <w:bookmarkStart w:id="32" w:name="_Ref465155993"/>
      <w:r>
        <w:t xml:space="preserve">For a funding-only securitisation, an originating ADI is not required to hold regulatory </w:t>
      </w:r>
      <w:r w:rsidRPr="00267FF3">
        <w:t>capital in respect of credit risk for facilities or exposures to the SPV held by the originating ADI that relate to the pool</w:t>
      </w:r>
      <w:r>
        <w:t>.</w:t>
      </w:r>
      <w:bookmarkEnd w:id="32"/>
    </w:p>
    <w:p w14:paraId="1AE18B6D" w14:textId="77777777" w:rsidR="00871FAB" w:rsidRDefault="00871FAB" w:rsidP="00871FAB">
      <w:pPr>
        <w:pStyle w:val="BodyText1"/>
      </w:pPr>
      <w:bookmarkStart w:id="33" w:name="_Ref464808082"/>
      <w:r w:rsidRPr="00267FF3">
        <w:t>An originating ADI</w:t>
      </w:r>
      <w:r w:rsidR="00710914">
        <w:rPr>
          <w:rStyle w:val="FootnoteReference"/>
        </w:rPr>
        <w:footnoteReference w:id="15"/>
      </w:r>
      <w:r>
        <w:t xml:space="preserve"> of a</w:t>
      </w:r>
      <w:r w:rsidRPr="00267FF3">
        <w:t xml:space="preserve"> securitisation</w:t>
      </w:r>
      <w:r>
        <w:t xml:space="preserve"> of </w:t>
      </w:r>
      <w:r w:rsidRPr="007F3C4F">
        <w:t>revolving credit facilit</w:t>
      </w:r>
      <w:r>
        <w:t>ies</w:t>
      </w:r>
      <w:r w:rsidRPr="00267FF3">
        <w:t xml:space="preserve"> must treat the securitisation as </w:t>
      </w:r>
      <w:r>
        <w:t xml:space="preserve">a </w:t>
      </w:r>
      <w:r w:rsidRPr="00267FF3">
        <w:t xml:space="preserve">funding-only </w:t>
      </w:r>
      <w:r>
        <w:t xml:space="preserve">securitisation </w:t>
      </w:r>
      <w:r w:rsidRPr="00267FF3">
        <w:t xml:space="preserve">and comply with the </w:t>
      </w:r>
      <w:r>
        <w:t xml:space="preserve">operational requirements for </w:t>
      </w:r>
      <w:r w:rsidRPr="00267FF3">
        <w:t>funding-only</w:t>
      </w:r>
      <w:r>
        <w:t xml:space="preserve"> securitisation </w:t>
      </w:r>
      <w:r w:rsidRPr="00267FF3">
        <w:t>(refer to Attachment</w:t>
      </w:r>
      <w:r>
        <w:t xml:space="preserve"> </w:t>
      </w:r>
      <w:r w:rsidRPr="00267FF3">
        <w:t>B).</w:t>
      </w:r>
      <w:r>
        <w:t xml:space="preserve"> APRA will not regard residential mortgages with redraw facilities as revolving exposures, i.e. a </w:t>
      </w:r>
      <w:r w:rsidRPr="00CD43BB">
        <w:t>securitisation</w:t>
      </w:r>
      <w:r>
        <w:t xml:space="preserve"> of revolving credit facilities, provided the redraws or further advances are not expected to be material in relation to the size of the pool.</w:t>
      </w:r>
      <w:bookmarkEnd w:id="33"/>
    </w:p>
    <w:p w14:paraId="1AE18B6E" w14:textId="77777777" w:rsidR="00871FAB" w:rsidRDefault="00871FAB" w:rsidP="00871FAB">
      <w:pPr>
        <w:pStyle w:val="BodyText1"/>
      </w:pPr>
      <w:bookmarkStart w:id="34" w:name="_Ref464808090"/>
      <w:r>
        <w:t>An originating ADI</w:t>
      </w:r>
      <w:r w:rsidR="00710914">
        <w:rPr>
          <w:rStyle w:val="FootnoteReference"/>
        </w:rPr>
        <w:footnoteReference w:id="16"/>
      </w:r>
      <w:r>
        <w:t xml:space="preserve"> of an ABCP </w:t>
      </w:r>
      <w:r w:rsidRPr="003404AB">
        <w:t xml:space="preserve">securitisation must treat the securitisation as </w:t>
      </w:r>
      <w:r>
        <w:t xml:space="preserve">a </w:t>
      </w:r>
      <w:r w:rsidRPr="003404AB">
        <w:t>funding-only</w:t>
      </w:r>
      <w:r>
        <w:t xml:space="preserve"> securitisation</w:t>
      </w:r>
      <w:r w:rsidRPr="003404AB">
        <w:t xml:space="preserve"> and comply with the</w:t>
      </w:r>
      <w:r w:rsidRPr="004C44AE">
        <w:t xml:space="preserve"> </w:t>
      </w:r>
      <w:r>
        <w:t xml:space="preserve">operational </w:t>
      </w:r>
      <w:r w:rsidRPr="004C44AE">
        <w:t xml:space="preserve">requirements </w:t>
      </w:r>
      <w:r>
        <w:t>for f</w:t>
      </w:r>
      <w:r w:rsidRPr="003404AB">
        <w:t xml:space="preserve">unding-only </w:t>
      </w:r>
      <w:r>
        <w:t xml:space="preserve">securitisation </w:t>
      </w:r>
      <w:r w:rsidRPr="003404AB">
        <w:t>(refer to Attachment B).</w:t>
      </w:r>
      <w:bookmarkEnd w:id="34"/>
    </w:p>
    <w:p w14:paraId="1AE18B6F" w14:textId="77777777" w:rsidR="00871FAB" w:rsidRDefault="00871FAB" w:rsidP="00871FAB">
      <w:pPr>
        <w:pStyle w:val="BodyText1"/>
      </w:pPr>
      <w:r w:rsidRPr="00267FF3">
        <w:t>An originating ADI</w:t>
      </w:r>
      <w:r w:rsidRPr="00261269">
        <w:t xml:space="preserve"> </w:t>
      </w:r>
      <w:r>
        <w:t xml:space="preserve">of </w:t>
      </w:r>
      <w:r w:rsidRPr="00267FF3">
        <w:t xml:space="preserve">a self-securitisation must treat the securitisation as </w:t>
      </w:r>
      <w:r>
        <w:t xml:space="preserve">a </w:t>
      </w:r>
      <w:r w:rsidRPr="00267FF3">
        <w:t xml:space="preserve">funding-only </w:t>
      </w:r>
      <w:r>
        <w:t xml:space="preserve">securitisation </w:t>
      </w:r>
      <w:r w:rsidRPr="00267FF3">
        <w:t xml:space="preserve">and comply with the </w:t>
      </w:r>
      <w:r>
        <w:t>operational requirements for funding-only securitisation</w:t>
      </w:r>
      <w:r w:rsidRPr="00267FF3">
        <w:t xml:space="preserve"> (refer to Attachment B)</w:t>
      </w:r>
      <w:r>
        <w:t xml:space="preserve"> </w:t>
      </w:r>
      <w:r w:rsidRPr="00757CB5">
        <w:t xml:space="preserve">from the time </w:t>
      </w:r>
      <w:r>
        <w:t xml:space="preserve">the securities are used as </w:t>
      </w:r>
      <w:r w:rsidRPr="00F05568">
        <w:t>collateral in order to obtain funding</w:t>
      </w:r>
      <w:r>
        <w:t xml:space="preserve"> via a repurchase agreement with the RBA.</w:t>
      </w:r>
    </w:p>
    <w:p w14:paraId="1AE18B70" w14:textId="77777777" w:rsidR="00871FAB" w:rsidRDefault="00871FAB" w:rsidP="00871FAB">
      <w:pPr>
        <w:pStyle w:val="Heading3"/>
      </w:pPr>
      <w:r>
        <w:t>Synthetic securitisation</w:t>
      </w:r>
    </w:p>
    <w:p w14:paraId="1AE18B71" w14:textId="77777777" w:rsidR="00871FAB" w:rsidRDefault="00871FAB" w:rsidP="00871FAB">
      <w:pPr>
        <w:pStyle w:val="BodyText1"/>
      </w:pPr>
      <w:r w:rsidRPr="00C84B7C">
        <w:t xml:space="preserve">An originating ADI </w:t>
      </w:r>
      <w:r>
        <w:t xml:space="preserve">of a synthetic securitisation </w:t>
      </w:r>
      <w:r w:rsidRPr="00C84B7C">
        <w:t xml:space="preserve">must </w:t>
      </w:r>
      <w:r>
        <w:t>include</w:t>
      </w:r>
      <w:r w:rsidRPr="00C84B7C">
        <w:t xml:space="preserve"> the underlying exposures in the pool in the calculation of its regulatory capital for credit risk under APS 112 or APS 113</w:t>
      </w:r>
      <w:r>
        <w:t>.</w:t>
      </w:r>
    </w:p>
    <w:p w14:paraId="1AE18B72" w14:textId="77777777" w:rsidR="00871FAB" w:rsidRDefault="00871FAB" w:rsidP="00871FAB">
      <w:pPr>
        <w:pStyle w:val="BodyText1"/>
      </w:pPr>
      <w:bookmarkStart w:id="35" w:name="_Ref465156011"/>
      <w:r>
        <w:t xml:space="preserve">For a synthetic securitisation, an originating ADI is not required to hold regulatory </w:t>
      </w:r>
      <w:r w:rsidRPr="00267FF3">
        <w:t>capital in respect of credit risk for facilities or exposures to the SPV held by the originating ADI that relate to the pool</w:t>
      </w:r>
      <w:r>
        <w:t>.</w:t>
      </w:r>
      <w:bookmarkEnd w:id="35"/>
    </w:p>
    <w:p w14:paraId="1AE18B73" w14:textId="77777777" w:rsidR="00871FAB" w:rsidRDefault="00871FAB" w:rsidP="00871FAB">
      <w:pPr>
        <w:pStyle w:val="Heading3"/>
      </w:pPr>
      <w:r>
        <w:t>Treatment of securitisation exposures</w:t>
      </w:r>
    </w:p>
    <w:p w14:paraId="1AE18B74" w14:textId="4CFA03E8" w:rsidR="00871FAB" w:rsidRDefault="00871FAB" w:rsidP="00871FAB">
      <w:pPr>
        <w:pStyle w:val="BodyText1"/>
      </w:pPr>
      <w:bookmarkStart w:id="36" w:name="_Ref465155887"/>
      <w:r>
        <w:t xml:space="preserve">Subject to paragraphs </w:t>
      </w:r>
      <w:r w:rsidR="00710914">
        <w:fldChar w:fldCharType="begin"/>
      </w:r>
      <w:r w:rsidR="00710914">
        <w:instrText xml:space="preserve"> REF _Ref465155993 \r \h </w:instrText>
      </w:r>
      <w:r w:rsidR="00710914">
        <w:fldChar w:fldCharType="separate"/>
      </w:r>
      <w:r w:rsidR="00642B90">
        <w:t>35</w:t>
      </w:r>
      <w:r w:rsidR="00710914">
        <w:fldChar w:fldCharType="end"/>
      </w:r>
      <w:r w:rsidR="00710914">
        <w:t xml:space="preserve"> </w:t>
      </w:r>
      <w:r>
        <w:t>and</w:t>
      </w:r>
      <w:r w:rsidR="00710914">
        <w:t xml:space="preserve"> </w:t>
      </w:r>
      <w:r w:rsidR="00710914">
        <w:fldChar w:fldCharType="begin"/>
      </w:r>
      <w:r w:rsidR="00710914">
        <w:instrText xml:space="preserve"> REF _Ref465156011 \r \h </w:instrText>
      </w:r>
      <w:r w:rsidR="00710914">
        <w:fldChar w:fldCharType="separate"/>
      </w:r>
      <w:r w:rsidR="00642B90">
        <w:t>40</w:t>
      </w:r>
      <w:r w:rsidR="00710914">
        <w:fldChar w:fldCharType="end"/>
      </w:r>
      <w:r>
        <w:t>, a</w:t>
      </w:r>
      <w:r w:rsidRPr="007F3C4F">
        <w:t xml:space="preserve">n ADI must hold </w:t>
      </w:r>
      <w:r w:rsidRPr="00640038">
        <w:t>regulatory capital</w:t>
      </w:r>
      <w:r w:rsidRPr="007F3C4F">
        <w:t xml:space="preserve"> for credit risk against its securitisation exposures</w:t>
      </w:r>
      <w:r>
        <w:t xml:space="preserve">, including credit risk mitigation (CRM) </w:t>
      </w:r>
      <w:r>
        <w:lastRenderedPageBreak/>
        <w:t>(i.e.</w:t>
      </w:r>
      <w:r w:rsidRPr="00F33B69">
        <w:t xml:space="preserve"> eligible collateral, guarantees and credit derivatives</w:t>
      </w:r>
      <w:r>
        <w:t>)</w:t>
      </w:r>
      <w:r w:rsidRPr="007F3C4F">
        <w:t xml:space="preserve"> </w:t>
      </w:r>
      <w:r>
        <w:t>provided by the ADI to a securitisation exposure or to an underlying pool of exposures.</w:t>
      </w:r>
      <w:bookmarkEnd w:id="36"/>
    </w:p>
    <w:p w14:paraId="1AE18B75" w14:textId="4046D905" w:rsidR="00871FAB" w:rsidRDefault="00871FAB" w:rsidP="00871FAB">
      <w:pPr>
        <w:pStyle w:val="BodyText1"/>
      </w:pPr>
      <w:r>
        <w:t xml:space="preserve">With the exception of those exposures required to be deducted from Common Equity Tier 1 Capital under this Prudential Standard, securitisation exposures must be risk weighted. </w:t>
      </w:r>
      <w:r w:rsidRPr="00FE31FB">
        <w:t xml:space="preserve">The risk-weighted asset amount of a securitisation exposure is </w:t>
      </w:r>
      <w:r>
        <w:t xml:space="preserve">calculated </w:t>
      </w:r>
      <w:r w:rsidRPr="00FE31FB">
        <w:t>by multiplying the exposure amount</w:t>
      </w:r>
      <w:r>
        <w:t xml:space="preserve"> (paragraph</w:t>
      </w:r>
      <w:r w:rsidR="00710914">
        <w:t xml:space="preserve"> </w:t>
      </w:r>
      <w:r w:rsidR="00710914">
        <w:fldChar w:fldCharType="begin"/>
      </w:r>
      <w:r w:rsidR="00710914">
        <w:instrText xml:space="preserve"> REF _Ref465156029 \r \h </w:instrText>
      </w:r>
      <w:r w:rsidR="00710914">
        <w:fldChar w:fldCharType="separate"/>
      </w:r>
      <w:r w:rsidR="00642B90">
        <w:t>43</w:t>
      </w:r>
      <w:r w:rsidR="00710914">
        <w:fldChar w:fldCharType="end"/>
      </w:r>
      <w:r>
        <w:t>)</w:t>
      </w:r>
      <w:r w:rsidRPr="00FE31FB">
        <w:t xml:space="preserve"> by the appropriate risk weight </w:t>
      </w:r>
      <w:r>
        <w:t>(Attachment C)</w:t>
      </w:r>
      <w:r w:rsidRPr="00FE31FB">
        <w:t>.</w:t>
      </w:r>
    </w:p>
    <w:p w14:paraId="1AE18B76" w14:textId="77777777" w:rsidR="00871FAB" w:rsidRDefault="00871FAB" w:rsidP="00871FAB">
      <w:pPr>
        <w:pStyle w:val="BodyText1"/>
      </w:pPr>
      <w:bookmarkStart w:id="37" w:name="_Ref465156029"/>
      <w:r>
        <w:t>T</w:t>
      </w:r>
      <w:r w:rsidRPr="00FE31FB">
        <w:t xml:space="preserve">he exposure amount of a securitisation exposure </w:t>
      </w:r>
      <w:r>
        <w:t xml:space="preserve">for regulatory capital purposes </w:t>
      </w:r>
      <w:r w:rsidRPr="00FE31FB">
        <w:t>is the sum of the on-balance sheet amount of the exposure</w:t>
      </w:r>
      <w:r>
        <w:t xml:space="preserve"> (including the drawn amount of a facility), net of purchase price discounts and s</w:t>
      </w:r>
      <w:r w:rsidRPr="00FE31FB">
        <w:t>pecific provisions</w:t>
      </w:r>
      <w:r>
        <w:t xml:space="preserve">, </w:t>
      </w:r>
      <w:r w:rsidRPr="00FE31FB">
        <w:t>and the off-balance sheet exposure amount</w:t>
      </w:r>
      <w:r>
        <w:t xml:space="preserve"> (including the undrawn amount of a facility)</w:t>
      </w:r>
      <w:r w:rsidRPr="00FE31FB">
        <w:t xml:space="preserve">, </w:t>
      </w:r>
      <w:r>
        <w:t>if any.</w:t>
      </w:r>
      <w:bookmarkEnd w:id="37"/>
    </w:p>
    <w:p w14:paraId="1AE18B77" w14:textId="77777777" w:rsidR="00871FAB" w:rsidRDefault="00871FAB" w:rsidP="00871FAB">
      <w:pPr>
        <w:pStyle w:val="BodyText1"/>
      </w:pPr>
      <w:bookmarkStart w:id="38" w:name="_Ref464807497"/>
      <w:r w:rsidRPr="00113BEB">
        <w:t xml:space="preserve">An ADI must measure the exposure amount of its off-balance sheet securitisation exposures </w:t>
      </w:r>
      <w:r>
        <w:t>as follows</w:t>
      </w:r>
      <w:r w:rsidRPr="00113BEB">
        <w:t>:</w:t>
      </w:r>
      <w:bookmarkEnd w:id="38"/>
    </w:p>
    <w:p w14:paraId="1AE18B78" w14:textId="7DEDD34B" w:rsidR="00871FAB" w:rsidRDefault="00871FAB" w:rsidP="00871FAB">
      <w:pPr>
        <w:pStyle w:val="BodyText2"/>
      </w:pPr>
      <w:r>
        <w:t xml:space="preserve">for off-balance sheet exposures subject to CRM, the treatment in paragraphs </w:t>
      </w:r>
      <w:r>
        <w:fldChar w:fldCharType="begin"/>
      </w:r>
      <w:r>
        <w:instrText xml:space="preserve"> REF _Ref464808220 \r \h </w:instrText>
      </w:r>
      <w:r>
        <w:fldChar w:fldCharType="separate"/>
      </w:r>
      <w:r w:rsidR="00642B90">
        <w:t>45</w:t>
      </w:r>
      <w:r>
        <w:fldChar w:fldCharType="end"/>
      </w:r>
      <w:r>
        <w:t xml:space="preserve"> to</w:t>
      </w:r>
      <w:r w:rsidR="00710914">
        <w:t xml:space="preserve"> </w:t>
      </w:r>
      <w:r w:rsidR="00710914">
        <w:fldChar w:fldCharType="begin"/>
      </w:r>
      <w:r w:rsidR="00710914">
        <w:instrText xml:space="preserve"> REF _Ref465156053 \r \h </w:instrText>
      </w:r>
      <w:r w:rsidR="00710914">
        <w:fldChar w:fldCharType="separate"/>
      </w:r>
      <w:r w:rsidR="00642B90">
        <w:t>50</w:t>
      </w:r>
      <w:r w:rsidR="00710914">
        <w:fldChar w:fldCharType="end"/>
      </w:r>
      <w:r w:rsidR="00710914">
        <w:t>;</w:t>
      </w:r>
    </w:p>
    <w:p w14:paraId="1AE18B79" w14:textId="77777777" w:rsidR="00871FAB" w:rsidRDefault="00871FAB" w:rsidP="00871FAB">
      <w:pPr>
        <w:pStyle w:val="BodyText2"/>
      </w:pPr>
      <w:r>
        <w:t>for derivatives transactions other than credit derivatives, the measurement approach that applies to the ADI under APS 112;</w:t>
      </w:r>
    </w:p>
    <w:p w14:paraId="1AE18B7A" w14:textId="674C5E01" w:rsidR="00871FAB" w:rsidRDefault="00871FAB" w:rsidP="00871FAB">
      <w:pPr>
        <w:pStyle w:val="BodyText2"/>
      </w:pPr>
      <w:r>
        <w:t>for u</w:t>
      </w:r>
      <w:r w:rsidRPr="008C075B">
        <w:t xml:space="preserve">ndrawn servicer cash advances that </w:t>
      </w:r>
      <w:r>
        <w:t xml:space="preserve">meet the requirements of paragraph </w:t>
      </w:r>
      <w:r w:rsidR="00710914">
        <w:fldChar w:fldCharType="begin"/>
      </w:r>
      <w:r w:rsidR="00710914">
        <w:instrText xml:space="preserve"> REF _Ref465156201 \r \h </w:instrText>
      </w:r>
      <w:r w:rsidR="00710914">
        <w:fldChar w:fldCharType="separate"/>
      </w:r>
      <w:r w:rsidR="00642B90">
        <w:t>3</w:t>
      </w:r>
      <w:r w:rsidR="00710914">
        <w:fldChar w:fldCharType="end"/>
      </w:r>
      <w:r w:rsidR="00710914">
        <w:t xml:space="preserve"> </w:t>
      </w:r>
      <w:r>
        <w:t>of Attachment D, by applying</w:t>
      </w:r>
      <w:r w:rsidRPr="008C075B">
        <w:t xml:space="preserve"> </w:t>
      </w:r>
      <w:r>
        <w:t xml:space="preserve">a </w:t>
      </w:r>
      <w:r w:rsidRPr="002A644B">
        <w:t xml:space="preserve">credit conversion factor </w:t>
      </w:r>
      <w:r>
        <w:t>(</w:t>
      </w:r>
      <w:r w:rsidRPr="008C075B">
        <w:t>CCF</w:t>
      </w:r>
      <w:r>
        <w:t xml:space="preserve">) of </w:t>
      </w:r>
      <w:r w:rsidR="002F56AD">
        <w:t>zero</w:t>
      </w:r>
      <w:r>
        <w:t xml:space="preserve"> per cent; and</w:t>
      </w:r>
    </w:p>
    <w:p w14:paraId="1AE18B7B" w14:textId="77777777" w:rsidR="00871FAB" w:rsidRDefault="00871FAB" w:rsidP="00871FAB">
      <w:pPr>
        <w:pStyle w:val="BodyText2"/>
      </w:pPr>
      <w:r w:rsidRPr="00B74BEF">
        <w:t xml:space="preserve">for all other exposures, </w:t>
      </w:r>
      <w:r>
        <w:t xml:space="preserve">by applying </w:t>
      </w:r>
      <w:r w:rsidRPr="00B74BEF">
        <w:t>a CCF of 100</w:t>
      </w:r>
      <w:r>
        <w:t xml:space="preserve"> per cent.</w:t>
      </w:r>
    </w:p>
    <w:p w14:paraId="1AE18B7C" w14:textId="77777777" w:rsidR="00871FAB" w:rsidRDefault="00871FAB" w:rsidP="00871FAB">
      <w:pPr>
        <w:pStyle w:val="Heading3"/>
      </w:pPr>
      <w:r>
        <w:t>Treatment of credit risk mitigation for securitisation exposures</w:t>
      </w:r>
    </w:p>
    <w:p w14:paraId="1AE18B7D" w14:textId="77777777" w:rsidR="00871FAB" w:rsidRDefault="00871FAB" w:rsidP="00871FAB">
      <w:pPr>
        <w:pStyle w:val="BodyText1"/>
      </w:pPr>
      <w:bookmarkStart w:id="39" w:name="_Ref464808220"/>
      <w:r w:rsidRPr="00125D07">
        <w:t>An ADI must not recognise, for regulatory capital purposes</w:t>
      </w:r>
      <w:r>
        <w:t>:</w:t>
      </w:r>
      <w:bookmarkEnd w:id="39"/>
    </w:p>
    <w:p w14:paraId="1AE18B7E" w14:textId="77777777" w:rsidR="00871FAB" w:rsidRDefault="007C5B01" w:rsidP="00871FAB">
      <w:pPr>
        <w:pStyle w:val="BodyText2"/>
      </w:pPr>
      <w:proofErr w:type="spellStart"/>
      <w:r>
        <w:t>tranched</w:t>
      </w:r>
      <w:proofErr w:type="spellEnd"/>
      <w:r>
        <w:t xml:space="preserve"> credit protection purchased on a securitisation exposure; or</w:t>
      </w:r>
    </w:p>
    <w:p w14:paraId="1AE18B7F" w14:textId="77777777" w:rsidR="007C5B01" w:rsidRDefault="007C5B01" w:rsidP="00871FAB">
      <w:pPr>
        <w:pStyle w:val="BodyText2"/>
      </w:pPr>
      <w:r>
        <w:t>credit protection purchased o</w:t>
      </w:r>
      <w:r w:rsidRPr="00125D07">
        <w:t xml:space="preserve">n </w:t>
      </w:r>
      <w:r>
        <w:t xml:space="preserve">a </w:t>
      </w:r>
      <w:proofErr w:type="spellStart"/>
      <w:r>
        <w:t>resecuritisation</w:t>
      </w:r>
      <w:proofErr w:type="spellEnd"/>
      <w:r>
        <w:t xml:space="preserve"> exposure or any other </w:t>
      </w:r>
      <w:r w:rsidRPr="00125D07">
        <w:t>securitisation exposure</w:t>
      </w:r>
      <w:r>
        <w:t xml:space="preserve"> required to be deducted from Common Equity Tier 1 Capital or any non-senior exposure.</w:t>
      </w:r>
    </w:p>
    <w:p w14:paraId="1AE18B80" w14:textId="77777777" w:rsidR="007C5B01" w:rsidRDefault="007C5B01" w:rsidP="007C5B01">
      <w:pPr>
        <w:pStyle w:val="BodyText1"/>
      </w:pPr>
      <w:r w:rsidRPr="002B5C5C">
        <w:t xml:space="preserve">An ADI may only recognise, for regulatory capital purposes, full (or </w:t>
      </w:r>
      <w:r w:rsidRPr="002B5C5C">
        <w:rPr>
          <w:i/>
        </w:rPr>
        <w:t>pro rata</w:t>
      </w:r>
      <w:r w:rsidRPr="002B5C5C">
        <w:t>) credit protection purchased on a senior securitisation exposure</w:t>
      </w:r>
      <w:r>
        <w:t xml:space="preserve"> that is not required to be deducted from Common Equity Tier 1 Capital</w:t>
      </w:r>
      <w:r w:rsidRPr="002B5C5C">
        <w:t>, in accordance with:</w:t>
      </w:r>
    </w:p>
    <w:p w14:paraId="1AE18B81" w14:textId="15892759" w:rsidR="00304811" w:rsidRDefault="00304811" w:rsidP="00304811">
      <w:pPr>
        <w:pStyle w:val="BodyText2"/>
      </w:pPr>
      <w:r>
        <w:t>for eligible coll</w:t>
      </w:r>
      <w:r w:rsidR="00710914">
        <w:t xml:space="preserve">ateral, Attachment </w:t>
      </w:r>
      <w:r w:rsidR="000513D1">
        <w:t xml:space="preserve">G </w:t>
      </w:r>
      <w:r w:rsidR="00710914">
        <w:t>to APS 112;</w:t>
      </w:r>
      <w:r w:rsidR="00710914">
        <w:rPr>
          <w:rStyle w:val="FootnoteReference"/>
        </w:rPr>
        <w:footnoteReference w:id="17"/>
      </w:r>
    </w:p>
    <w:p w14:paraId="1AE18B82" w14:textId="69B0A6B1" w:rsidR="00304811" w:rsidRDefault="00304811" w:rsidP="00304811">
      <w:pPr>
        <w:pStyle w:val="BodyText2"/>
      </w:pPr>
      <w:r>
        <w:t xml:space="preserve">for guarantees, Attachment </w:t>
      </w:r>
      <w:r w:rsidR="000513D1">
        <w:t xml:space="preserve">I </w:t>
      </w:r>
      <w:r>
        <w:t>to</w:t>
      </w:r>
      <w:r w:rsidR="00710914">
        <w:t xml:space="preserve"> APS 112;</w:t>
      </w:r>
      <w:r w:rsidR="00710914">
        <w:rPr>
          <w:rStyle w:val="FootnoteReference"/>
        </w:rPr>
        <w:footnoteReference w:id="18"/>
      </w:r>
      <w:r>
        <w:t xml:space="preserve"> and</w:t>
      </w:r>
    </w:p>
    <w:p w14:paraId="1AE18B83" w14:textId="1EFCA39A" w:rsidR="00304811" w:rsidRDefault="00304811" w:rsidP="00304811">
      <w:pPr>
        <w:pStyle w:val="BodyText2"/>
      </w:pPr>
      <w:r>
        <w:lastRenderedPageBreak/>
        <w:t xml:space="preserve">for credit derivatives, Attachment </w:t>
      </w:r>
      <w:r w:rsidR="000513D1">
        <w:t xml:space="preserve">J </w:t>
      </w:r>
      <w:r>
        <w:t>to APS 112.</w:t>
      </w:r>
      <w:r w:rsidR="00710914">
        <w:rPr>
          <w:rStyle w:val="FootnoteReference"/>
        </w:rPr>
        <w:footnoteReference w:id="19"/>
      </w:r>
    </w:p>
    <w:p w14:paraId="1AE18B84" w14:textId="77777777" w:rsidR="00304811" w:rsidRDefault="00304811" w:rsidP="00304811">
      <w:pPr>
        <w:pStyle w:val="BodyText1"/>
      </w:pPr>
      <w:r w:rsidRPr="00637610">
        <w:t>An ADI must hold regulatory capital for credit risk against an exposure arising from credit protection</w:t>
      </w:r>
      <w:r>
        <w:t xml:space="preserve"> that it has sold.</w:t>
      </w:r>
    </w:p>
    <w:p w14:paraId="1AE18B85" w14:textId="77777777" w:rsidR="00304811" w:rsidRDefault="00304811" w:rsidP="00304811">
      <w:pPr>
        <w:pStyle w:val="BodyText1"/>
      </w:pPr>
      <w:r w:rsidRPr="00637610">
        <w:t xml:space="preserve">An ADI that provides full or </w:t>
      </w:r>
      <w:r w:rsidRPr="00637610">
        <w:rPr>
          <w:i/>
        </w:rPr>
        <w:t>pro rata</w:t>
      </w:r>
      <w:r w:rsidRPr="00637610">
        <w:t xml:space="preserve"> credit protection to a securitisation exposure must calculate regulatory capital as if it directly holds the securitisation exposure on which it has provided credit protection</w:t>
      </w:r>
      <w:r>
        <w:t>, in accordance with Attachment C.</w:t>
      </w:r>
    </w:p>
    <w:p w14:paraId="1AE18B86" w14:textId="77777777" w:rsidR="00304811" w:rsidRDefault="00304811" w:rsidP="00304811">
      <w:pPr>
        <w:pStyle w:val="BodyText1"/>
      </w:pPr>
      <w:r w:rsidRPr="00DA4D71">
        <w:t xml:space="preserve">An ADI that provides </w:t>
      </w:r>
      <w:proofErr w:type="spellStart"/>
      <w:r w:rsidRPr="00DA4D71">
        <w:t>tranched</w:t>
      </w:r>
      <w:proofErr w:type="spellEnd"/>
      <w:r w:rsidRPr="00DA4D71">
        <w:t xml:space="preserve"> credit protection to a securitisation exposure must calculate its </w:t>
      </w:r>
      <w:r>
        <w:t xml:space="preserve">regulatory </w:t>
      </w:r>
      <w:r w:rsidRPr="00DA4D71">
        <w:t xml:space="preserve">capital requirement as if </w:t>
      </w:r>
      <w:r>
        <w:t xml:space="preserve">it is </w:t>
      </w:r>
      <w:r w:rsidRPr="00DA4D71">
        <w:t>directly exposed to the particular sub-tranche of the securitisation exposure</w:t>
      </w:r>
      <w:r>
        <w:t xml:space="preserve"> </w:t>
      </w:r>
      <w:r w:rsidRPr="00DA4D71">
        <w:t>on which it is providing protection, in accordance with Attachment C.</w:t>
      </w:r>
      <w:r w:rsidR="00710914">
        <w:rPr>
          <w:rStyle w:val="FootnoteReference"/>
        </w:rPr>
        <w:footnoteReference w:id="20"/>
      </w:r>
    </w:p>
    <w:p w14:paraId="1AE18B87" w14:textId="77777777" w:rsidR="00304811" w:rsidRDefault="00304811" w:rsidP="00304811">
      <w:pPr>
        <w:pStyle w:val="Heading3"/>
      </w:pPr>
      <w:r>
        <w:t>Maturity mismatches</w:t>
      </w:r>
    </w:p>
    <w:p w14:paraId="1AE18B88" w14:textId="77777777" w:rsidR="00304811" w:rsidRDefault="00304811" w:rsidP="00304811">
      <w:pPr>
        <w:pStyle w:val="BodyText1"/>
      </w:pPr>
      <w:bookmarkStart w:id="40" w:name="_Ref465156053"/>
      <w:r w:rsidRPr="009D77D7">
        <w:t xml:space="preserve">A maturity mismatch exists when the residual maturity of a </w:t>
      </w:r>
      <w:r>
        <w:t>securitisation</w:t>
      </w:r>
      <w:r w:rsidRPr="009D77D7">
        <w:t xml:space="preserve"> is less than </w:t>
      </w:r>
      <w:r>
        <w:t>the residual maturity of the pool</w:t>
      </w:r>
      <w:r w:rsidRPr="00A41B08">
        <w:t xml:space="preserve">. When </w:t>
      </w:r>
      <w:r>
        <w:t xml:space="preserve">credit </w:t>
      </w:r>
      <w:r w:rsidRPr="00A41B08">
        <w:t xml:space="preserve">protection is bought on a securitisation exposure(s), for the purpose of </w:t>
      </w:r>
      <w:r>
        <w:t>determining</w:t>
      </w:r>
      <w:r w:rsidRPr="00A41B08">
        <w:t xml:space="preserve"> regulatory capital against a maturity mismatch, the capital requirement </w:t>
      </w:r>
      <w:r>
        <w:t>must</w:t>
      </w:r>
      <w:r w:rsidRPr="00A41B08">
        <w:t xml:space="preserve"> be determined in accordance with</w:t>
      </w:r>
      <w:r>
        <w:t>:</w:t>
      </w:r>
      <w:bookmarkEnd w:id="40"/>
    </w:p>
    <w:p w14:paraId="1AE18B89" w14:textId="148E0067" w:rsidR="00304811" w:rsidRDefault="00304811" w:rsidP="00304811">
      <w:pPr>
        <w:pStyle w:val="BodyText2"/>
      </w:pPr>
      <w:r w:rsidRPr="000A0843">
        <w:t xml:space="preserve">for eligible collateral, Attachment </w:t>
      </w:r>
      <w:r w:rsidR="000513D1">
        <w:t>G</w:t>
      </w:r>
      <w:r w:rsidR="000513D1" w:rsidRPr="000A0843">
        <w:t xml:space="preserve"> </w:t>
      </w:r>
      <w:r w:rsidRPr="000A0843">
        <w:t>to APS 112;</w:t>
      </w:r>
    </w:p>
    <w:p w14:paraId="1AE18B8A" w14:textId="076B5E4B" w:rsidR="00304811" w:rsidRDefault="00304811" w:rsidP="00304811">
      <w:pPr>
        <w:pStyle w:val="BodyText2"/>
      </w:pPr>
      <w:r w:rsidRPr="000A0843">
        <w:t xml:space="preserve">for guarantees, Attachment </w:t>
      </w:r>
      <w:r w:rsidR="000513D1">
        <w:t>I</w:t>
      </w:r>
      <w:r w:rsidR="000513D1" w:rsidRPr="000A0843">
        <w:t xml:space="preserve"> </w:t>
      </w:r>
      <w:r w:rsidRPr="000A0843">
        <w:t>to APS 112; and</w:t>
      </w:r>
    </w:p>
    <w:p w14:paraId="1AE18B8B" w14:textId="151215B5" w:rsidR="00304811" w:rsidRDefault="00304811" w:rsidP="00304811">
      <w:pPr>
        <w:pStyle w:val="BodyText2"/>
      </w:pPr>
      <w:r w:rsidRPr="000A0843">
        <w:t xml:space="preserve">for credit derivatives, Attachment </w:t>
      </w:r>
      <w:r w:rsidR="000513D1">
        <w:t>J</w:t>
      </w:r>
      <w:r w:rsidR="000513D1" w:rsidRPr="000A0843">
        <w:t xml:space="preserve"> </w:t>
      </w:r>
      <w:r w:rsidRPr="000A0843">
        <w:t>to APS 112</w:t>
      </w:r>
      <w:r>
        <w:t>.</w:t>
      </w:r>
    </w:p>
    <w:p w14:paraId="1AE18B8C" w14:textId="77777777" w:rsidR="00304811" w:rsidRDefault="00304811" w:rsidP="00304811">
      <w:pPr>
        <w:pStyle w:val="Heading3"/>
      </w:pPr>
      <w:r>
        <w:t>Overlapping exposures</w:t>
      </w:r>
    </w:p>
    <w:p w14:paraId="1AE18B8D" w14:textId="77777777" w:rsidR="00304811" w:rsidRDefault="00304811" w:rsidP="00304811">
      <w:pPr>
        <w:pStyle w:val="BodyText1"/>
      </w:pPr>
      <w:bookmarkStart w:id="41" w:name="_Ref464815607"/>
      <w:r w:rsidRPr="00C65626">
        <w:t>For the purpose of calculating regulatory capital</w:t>
      </w:r>
      <w:r>
        <w:t xml:space="preserve">, an ADI’s </w:t>
      </w:r>
      <w:r w:rsidRPr="00C65626">
        <w:t xml:space="preserve">exposure </w:t>
      </w:r>
      <w:r>
        <w:t xml:space="preserve">to a securitisation </w:t>
      </w:r>
      <w:r w:rsidRPr="00C65626">
        <w:t xml:space="preserve">overlaps </w:t>
      </w:r>
      <w:r>
        <w:t xml:space="preserve">another of its exposures to the securitisation </w:t>
      </w:r>
      <w:r w:rsidRPr="00C65626">
        <w:t>if</w:t>
      </w:r>
      <w:r>
        <w:t>,</w:t>
      </w:r>
      <w:r w:rsidRPr="00C65626">
        <w:t xml:space="preserve"> in all circumstances</w:t>
      </w:r>
      <w:r>
        <w:t>,</w:t>
      </w:r>
      <w:r w:rsidRPr="00C65626">
        <w:t xml:space="preserve"> </w:t>
      </w:r>
      <w:r>
        <w:t xml:space="preserve">the ADI precludes any loss for the ADI </w:t>
      </w:r>
      <w:r w:rsidRPr="00C65626">
        <w:t xml:space="preserve">on </w:t>
      </w:r>
      <w:r>
        <w:t xml:space="preserve">its other exposure by </w:t>
      </w:r>
      <w:r w:rsidRPr="00C65626">
        <w:t>fulfilling its obligations</w:t>
      </w:r>
      <w:r>
        <w:t xml:space="preserve"> with respect to the first mentioned exposure</w:t>
      </w:r>
      <w:r w:rsidRPr="00C65626">
        <w:t xml:space="preserve">. If an ADI can verify that fulfilling its obligations </w:t>
      </w:r>
      <w:r>
        <w:t xml:space="preserve">with respect to the exposure </w:t>
      </w:r>
      <w:r w:rsidRPr="00C65626">
        <w:t xml:space="preserve">will preclude a loss </w:t>
      </w:r>
      <w:r>
        <w:t>from its other exposure un</w:t>
      </w:r>
      <w:r w:rsidRPr="00C65626">
        <w:t xml:space="preserve">der any circumstance, the ADI is not required to </w:t>
      </w:r>
      <w:r>
        <w:t xml:space="preserve">calculate regulatory capital </w:t>
      </w:r>
      <w:r w:rsidRPr="00C65626">
        <w:t xml:space="preserve">for </w:t>
      </w:r>
      <w:r>
        <w:t>the other exposure</w:t>
      </w:r>
      <w:r w:rsidRPr="00C65626">
        <w:t>.</w:t>
      </w:r>
      <w:bookmarkEnd w:id="41"/>
    </w:p>
    <w:p w14:paraId="1AE18B8E" w14:textId="77777777" w:rsidR="00304811" w:rsidRDefault="00304811" w:rsidP="00304811">
      <w:pPr>
        <w:pStyle w:val="BodyText1"/>
      </w:pPr>
      <w:bookmarkStart w:id="42" w:name="_Ref465156381"/>
      <w:r w:rsidRPr="00C51AD2">
        <w:t xml:space="preserve">Overlap may also be recognised between relevant capital charges for exposures in the trading book and capital charges for exposures in the banking book, provided the ADI is able to calculate and compare the </w:t>
      </w:r>
      <w:r>
        <w:t xml:space="preserve">regulatory </w:t>
      </w:r>
      <w:r w:rsidRPr="00C51AD2">
        <w:t>capital charges for the relevant exposures</w:t>
      </w:r>
      <w:r>
        <w:t>.</w:t>
      </w:r>
      <w:bookmarkEnd w:id="42"/>
    </w:p>
    <w:p w14:paraId="1AE18B8F" w14:textId="77777777" w:rsidR="00304811" w:rsidRDefault="00304811" w:rsidP="00304811">
      <w:pPr>
        <w:pStyle w:val="Heading3"/>
      </w:pPr>
      <w:r>
        <w:lastRenderedPageBreak/>
        <w:t>Operational requirements for the use of external credit assessments</w:t>
      </w:r>
    </w:p>
    <w:p w14:paraId="1AE18B90" w14:textId="77777777" w:rsidR="00304811" w:rsidRDefault="00304811" w:rsidP="00304811">
      <w:pPr>
        <w:pStyle w:val="BodyText1"/>
      </w:pPr>
      <w:bookmarkStart w:id="43" w:name="_Ref465244347"/>
      <w:r>
        <w:t xml:space="preserve">Where an ADI has exposures to a securitisation, for the purpose of determining the regulatory capital requirement, the </w:t>
      </w:r>
      <w:r w:rsidRPr="00EF3A08">
        <w:t>ADI may only use an external credit assessment that takes into account all amounts, both principal and interest,</w:t>
      </w:r>
      <w:r>
        <w:t xml:space="preserve"> and any other amounts,</w:t>
      </w:r>
      <w:r w:rsidRPr="00EF3A08">
        <w:t xml:space="preserve"> owed to it.</w:t>
      </w:r>
      <w:bookmarkEnd w:id="43"/>
    </w:p>
    <w:p w14:paraId="1AE18B91" w14:textId="77777777" w:rsidR="00304811" w:rsidRDefault="00304811" w:rsidP="00304811">
      <w:pPr>
        <w:pStyle w:val="BodyText1"/>
      </w:pPr>
      <w:bookmarkStart w:id="44" w:name="_Ref465156403"/>
      <w:r>
        <w:t>For regulatory capital purposes, a</w:t>
      </w:r>
      <w:r w:rsidRPr="00EF3A08">
        <w:t xml:space="preserve">n ADI may only use external credit assessments of </w:t>
      </w:r>
      <w:r w:rsidRPr="00185E88">
        <w:rPr>
          <w:b/>
        </w:rPr>
        <w:t>ECAIs</w:t>
      </w:r>
      <w:r w:rsidRPr="00EF3A08">
        <w:t xml:space="preserve"> that are published in a form accessible to Australian wholesale</w:t>
      </w:r>
      <w:r>
        <w:t xml:space="preserve"> clients</w:t>
      </w:r>
      <w:r w:rsidR="00710914">
        <w:rPr>
          <w:rStyle w:val="FootnoteReference"/>
        </w:rPr>
        <w:footnoteReference w:id="21"/>
      </w:r>
      <w:r>
        <w:t xml:space="preserve"> </w:t>
      </w:r>
      <w:r w:rsidRPr="00EF3A08">
        <w:t xml:space="preserve">and foreign entities and that are included in the ECAI's </w:t>
      </w:r>
      <w:r w:rsidRPr="00B91A8F">
        <w:t>transition matrix.</w:t>
      </w:r>
      <w:r w:rsidRPr="00EF3A08">
        <w:t xml:space="preserve"> An eligible credit assessment, procedures, methodologies, assumptions and the key elements underlining the assessments </w:t>
      </w:r>
      <w:r>
        <w:t xml:space="preserve">by the ECAIs </w:t>
      </w:r>
      <w:r w:rsidRPr="00EF3A08">
        <w:t>must be available to Australian wholesale clients and foreign entities, on a non-selective basis and free of charge.</w:t>
      </w:r>
      <w:r>
        <w:t xml:space="preserve"> </w:t>
      </w:r>
      <w:r w:rsidRPr="00EF3A08">
        <w:t xml:space="preserve">Also, loss and cash-flow analysis as well as sensitivity of ratings to changes in the underlying ratings assumptions must be available </w:t>
      </w:r>
      <w:r>
        <w:t xml:space="preserve">from ECAIs </w:t>
      </w:r>
      <w:r w:rsidRPr="00EF3A08">
        <w:t>to Australian wholesale clients and foreign entities</w:t>
      </w:r>
      <w:r>
        <w:t>.</w:t>
      </w:r>
      <w:bookmarkEnd w:id="44"/>
    </w:p>
    <w:p w14:paraId="1AE18B92" w14:textId="77777777" w:rsidR="00304811" w:rsidRDefault="002F7B8F" w:rsidP="00304811">
      <w:pPr>
        <w:pStyle w:val="BodyText1"/>
      </w:pPr>
      <w:r w:rsidRPr="00EF3A08">
        <w:t xml:space="preserve">An ADI must apply the external credit assessments of an ECAI consistently across a securitisation. Where ECAIs assess the credit risk of the same securitisation exposure differently, Attachment F </w:t>
      </w:r>
      <w:r>
        <w:t xml:space="preserve">to </w:t>
      </w:r>
      <w:r w:rsidRPr="00EF3A08">
        <w:t>APS 112 appl</w:t>
      </w:r>
      <w:r>
        <w:t>ies</w:t>
      </w:r>
      <w:r w:rsidRPr="00EF3A08">
        <w:t>. An ADI must not use the external credit assessments issued by one ECAI for some tranches and those of another ECAI for other tranches within the same securitisation</w:t>
      </w:r>
      <w:r>
        <w:t>.</w:t>
      </w:r>
    </w:p>
    <w:p w14:paraId="1AE18B93" w14:textId="77777777" w:rsidR="002F7B8F" w:rsidRDefault="002F7B8F" w:rsidP="00304811">
      <w:pPr>
        <w:pStyle w:val="BodyText1"/>
      </w:pPr>
      <w:r>
        <w:t>Where CRM is used on a securitisation exposure and this protection is reflected in the external credit assessment, an ADI must treat the exposure as if it is an unrated exposure and then apply the relevant CRM treatment detailed in APS 112 to recognise the credit protection for regulatory capital purposes.</w:t>
      </w:r>
    </w:p>
    <w:p w14:paraId="1AE18B94" w14:textId="77777777" w:rsidR="002F7B8F" w:rsidRDefault="002F7B8F" w:rsidP="00304811">
      <w:pPr>
        <w:pStyle w:val="BodyText1"/>
      </w:pPr>
      <w:bookmarkStart w:id="45" w:name="_Ref465156419"/>
      <w:r w:rsidRPr="00EF3A08">
        <w:t>An ADI must not use any external credit risk assessment for risk</w:t>
      </w:r>
      <w:r>
        <w:t>-</w:t>
      </w:r>
      <w:r w:rsidRPr="00EF3A08">
        <w:t>weighting purposes where the assessment is at least partly based on unfunded support</w:t>
      </w:r>
      <w:r>
        <w:t xml:space="preserve"> </w:t>
      </w:r>
      <w:r w:rsidRPr="00EF3A08">
        <w:t xml:space="preserve">(e.g. </w:t>
      </w:r>
      <w:r w:rsidR="00DA0C94">
        <w:t xml:space="preserve">a </w:t>
      </w:r>
      <w:r w:rsidRPr="00EF3A08">
        <w:t xml:space="preserve">liquidity facility </w:t>
      </w:r>
      <w:r>
        <w:t>or</w:t>
      </w:r>
      <w:r w:rsidRPr="00EF3A08">
        <w:t xml:space="preserve"> credit enhancement) provided by the ADI.</w:t>
      </w:r>
      <w:r w:rsidR="00710914">
        <w:rPr>
          <w:rStyle w:val="FootnoteReference"/>
        </w:rPr>
        <w:footnoteReference w:id="22"/>
      </w:r>
      <w:r>
        <w:t xml:space="preserve"> </w:t>
      </w:r>
      <w:r w:rsidRPr="00EF3A08">
        <w:t xml:space="preserve">In such </w:t>
      </w:r>
      <w:r>
        <w:t>cases</w:t>
      </w:r>
      <w:r w:rsidRPr="00EF3A08">
        <w:t>, the ADI</w:t>
      </w:r>
      <w:r>
        <w:t>:</w:t>
      </w:r>
      <w:bookmarkEnd w:id="45"/>
    </w:p>
    <w:p w14:paraId="1AE18B95" w14:textId="77777777" w:rsidR="002F7B8F" w:rsidRDefault="002F7B8F" w:rsidP="002F7B8F">
      <w:pPr>
        <w:pStyle w:val="BodyText2"/>
      </w:pPr>
      <w:r w:rsidRPr="00EF3A08">
        <w:t xml:space="preserve">must continue to hold </w:t>
      </w:r>
      <w:r>
        <w:t xml:space="preserve">regulatory </w:t>
      </w:r>
      <w:r w:rsidRPr="00EF3A08">
        <w:t xml:space="preserve">capital against the other securitisation exposures it provides (e.g. against the liquidity facility </w:t>
      </w:r>
      <w:r>
        <w:t>or</w:t>
      </w:r>
      <w:r w:rsidRPr="00EF3A08">
        <w:t xml:space="preserve"> credit enhancement)</w:t>
      </w:r>
      <w:r>
        <w:t>;</w:t>
      </w:r>
    </w:p>
    <w:p w14:paraId="1AE18B96" w14:textId="77777777" w:rsidR="002F7B8F" w:rsidRDefault="002F7B8F" w:rsidP="002F7B8F">
      <w:pPr>
        <w:pStyle w:val="BodyText2"/>
      </w:pPr>
      <w:r w:rsidRPr="00EF3A08">
        <w:t>must ensure the capital charge for such exposures held in the trading book is no less than the amount required under the banking book treatment;</w:t>
      </w:r>
      <w:r>
        <w:t xml:space="preserve"> and</w:t>
      </w:r>
    </w:p>
    <w:p w14:paraId="1AE18B97" w14:textId="2025643E" w:rsidR="002F7B8F" w:rsidRDefault="002F7B8F" w:rsidP="002F7B8F">
      <w:pPr>
        <w:pStyle w:val="BodyText2"/>
      </w:pPr>
      <w:r w:rsidRPr="00EF3A08">
        <w:t>may recognise any overlap in its exposures consistent with paragraph</w:t>
      </w:r>
      <w:r>
        <w:t xml:space="preserve">s </w:t>
      </w:r>
      <w:r>
        <w:fldChar w:fldCharType="begin"/>
      </w:r>
      <w:r>
        <w:instrText xml:space="preserve"> REF _Ref464815607 \r \h </w:instrText>
      </w:r>
      <w:r>
        <w:fldChar w:fldCharType="separate"/>
      </w:r>
      <w:r w:rsidR="00642B90">
        <w:t>51</w:t>
      </w:r>
      <w:r>
        <w:fldChar w:fldCharType="end"/>
      </w:r>
      <w:r>
        <w:t xml:space="preserve"> and </w:t>
      </w:r>
      <w:r w:rsidR="001F0D4A">
        <w:fldChar w:fldCharType="begin"/>
      </w:r>
      <w:r w:rsidR="001F0D4A">
        <w:instrText xml:space="preserve"> REF _Ref465156381 \r \h </w:instrText>
      </w:r>
      <w:r w:rsidR="001F0D4A">
        <w:fldChar w:fldCharType="separate"/>
      </w:r>
      <w:r w:rsidR="00642B90">
        <w:t>52</w:t>
      </w:r>
      <w:r w:rsidR="001F0D4A">
        <w:fldChar w:fldCharType="end"/>
      </w:r>
      <w:r w:rsidR="001F0D4A">
        <w:t>.</w:t>
      </w:r>
      <w:r w:rsidR="00E97FBA">
        <w:t xml:space="preserve"> </w:t>
      </w:r>
    </w:p>
    <w:p w14:paraId="1AE18B98" w14:textId="77777777" w:rsidR="002F7B8F" w:rsidRDefault="002F7B8F" w:rsidP="002F7B8F">
      <w:pPr>
        <w:pStyle w:val="Heading3"/>
      </w:pPr>
      <w:r>
        <w:lastRenderedPageBreak/>
        <w:t>Operational requirements for inferred ratings</w:t>
      </w:r>
    </w:p>
    <w:p w14:paraId="1AE18B99" w14:textId="77777777" w:rsidR="002F7B8F" w:rsidRDefault="002F7B8F" w:rsidP="002F7B8F">
      <w:pPr>
        <w:pStyle w:val="BodyText1"/>
      </w:pPr>
      <w:bookmarkStart w:id="46" w:name="_Ref464815486"/>
      <w:r>
        <w:t xml:space="preserve">In accordance with Attachment C, </w:t>
      </w:r>
      <w:r w:rsidRPr="00966AE0">
        <w:t>an ADI m</w:t>
      </w:r>
      <w:r>
        <w:t>ay</w:t>
      </w:r>
      <w:r w:rsidRPr="00966AE0">
        <w:t xml:space="preserve"> infer a</w:t>
      </w:r>
      <w:r>
        <w:t xml:space="preserve"> </w:t>
      </w:r>
      <w:r w:rsidRPr="00966AE0">
        <w:t xml:space="preserve">rating for an unrated </w:t>
      </w:r>
      <w:r>
        <w:t xml:space="preserve">securitisation </w:t>
      </w:r>
      <w:r w:rsidRPr="00966AE0">
        <w:t xml:space="preserve">exposure, provided the </w:t>
      </w:r>
      <w:r w:rsidRPr="007869E4">
        <w:t>following operational requirements</w:t>
      </w:r>
      <w:r>
        <w:t xml:space="preserve"> are</w:t>
      </w:r>
      <w:r w:rsidRPr="007869E4">
        <w:t xml:space="preserve"> satisfied</w:t>
      </w:r>
      <w:r>
        <w:t>:</w:t>
      </w:r>
      <w:bookmarkEnd w:id="46"/>
    </w:p>
    <w:p w14:paraId="1AE18B9A" w14:textId="77777777" w:rsidR="002F7B8F" w:rsidRDefault="002F7B8F" w:rsidP="002F7B8F">
      <w:pPr>
        <w:pStyle w:val="BodyText2"/>
      </w:pPr>
      <w:r>
        <w:t>t</w:t>
      </w:r>
      <w:r w:rsidRPr="00966AE0">
        <w:t>he reference securitisation exposure</w:t>
      </w:r>
      <w:r>
        <w:t xml:space="preserve"> (the externally rated securitisation exposure) cannot be senior in any respect </w:t>
      </w:r>
      <w:r w:rsidRPr="00966AE0">
        <w:t xml:space="preserve">to the unrated securitisation exposure. Credit enhancements, if any, must be taken into account when assessing </w:t>
      </w:r>
      <w:r>
        <w:t xml:space="preserve">compliance with this requirement. </w:t>
      </w:r>
      <w:r w:rsidRPr="00966AE0">
        <w:t xml:space="preserve">If the reference securitisation exposure benefits from any third-party guarantees or other credit enhancements that are not available to the unrated </w:t>
      </w:r>
      <w:r>
        <w:t xml:space="preserve">securitisation </w:t>
      </w:r>
      <w:r w:rsidRPr="00966AE0">
        <w:t>exposure, then the latter may not be assigned an inferred rating based on the reference securitisation exposure</w:t>
      </w:r>
      <w:r>
        <w:t>;</w:t>
      </w:r>
    </w:p>
    <w:p w14:paraId="1AE18B9B" w14:textId="77777777" w:rsidR="002F7B8F" w:rsidRDefault="002F7B8F" w:rsidP="002F7B8F">
      <w:pPr>
        <w:pStyle w:val="BodyText2"/>
      </w:pPr>
      <w:r>
        <w:t>t</w:t>
      </w:r>
      <w:r w:rsidRPr="00966AE0">
        <w:t>he maturity of the reference securitisation exposure must be equal to or longer than that of</w:t>
      </w:r>
      <w:r>
        <w:t xml:space="preserve"> </w:t>
      </w:r>
      <w:r w:rsidRPr="00966AE0">
        <w:t xml:space="preserve">the unrated </w:t>
      </w:r>
      <w:r>
        <w:t xml:space="preserve">securitisation </w:t>
      </w:r>
      <w:r w:rsidRPr="00966AE0">
        <w:t>exposure</w:t>
      </w:r>
      <w:r>
        <w:t>;</w:t>
      </w:r>
    </w:p>
    <w:p w14:paraId="1AE18B9C" w14:textId="77777777" w:rsidR="002F7B8F" w:rsidRDefault="002F7B8F" w:rsidP="002F7B8F">
      <w:pPr>
        <w:pStyle w:val="BodyText2"/>
      </w:pPr>
      <w:r w:rsidRPr="00966AE0">
        <w:t xml:space="preserve">any inferred rating must be updated </w:t>
      </w:r>
      <w:r>
        <w:t xml:space="preserve">on a regular basis </w:t>
      </w:r>
      <w:r w:rsidRPr="00966AE0">
        <w:t>to reflect any</w:t>
      </w:r>
      <w:r>
        <w:t xml:space="preserve"> </w:t>
      </w:r>
      <w:r w:rsidRPr="00966AE0">
        <w:t xml:space="preserve">subordination of the unrated </w:t>
      </w:r>
      <w:r>
        <w:t>securitisation exposure</w:t>
      </w:r>
      <w:r w:rsidRPr="00966AE0">
        <w:t xml:space="preserve"> or changes in the external rating of the reference</w:t>
      </w:r>
      <w:r>
        <w:t xml:space="preserve"> </w:t>
      </w:r>
      <w:r w:rsidRPr="00966AE0">
        <w:t>securitisation exposure</w:t>
      </w:r>
      <w:r>
        <w:t>; and</w:t>
      </w:r>
    </w:p>
    <w:p w14:paraId="1AE18B9D" w14:textId="691F98DC" w:rsidR="002F7B8F" w:rsidRDefault="002F7B8F" w:rsidP="002F7B8F">
      <w:pPr>
        <w:pStyle w:val="BodyText2"/>
      </w:pPr>
      <w:r>
        <w:t>t</w:t>
      </w:r>
      <w:r w:rsidRPr="00966AE0">
        <w:t xml:space="preserve">he external rating of the reference securitisation exposure must satisfy the general requirements for recognition of external </w:t>
      </w:r>
      <w:r>
        <w:t xml:space="preserve">credit assessments (paragraphs </w:t>
      </w:r>
      <w:r w:rsidR="00E82B01">
        <w:fldChar w:fldCharType="begin"/>
      </w:r>
      <w:r w:rsidR="00E82B01">
        <w:instrText xml:space="preserve"> REF _Ref465244347 \r \h </w:instrText>
      </w:r>
      <w:r w:rsidR="00E82B01">
        <w:fldChar w:fldCharType="separate"/>
      </w:r>
      <w:r w:rsidR="00642B90">
        <w:t>53</w:t>
      </w:r>
      <w:r w:rsidR="00E82B01">
        <w:fldChar w:fldCharType="end"/>
      </w:r>
      <w:r w:rsidR="001F0D4A">
        <w:t xml:space="preserve"> </w:t>
      </w:r>
      <w:r>
        <w:t xml:space="preserve">to </w:t>
      </w:r>
      <w:r w:rsidR="001F0D4A">
        <w:fldChar w:fldCharType="begin"/>
      </w:r>
      <w:r w:rsidR="001F0D4A">
        <w:instrText xml:space="preserve"> REF _Ref465156419 \r \h </w:instrText>
      </w:r>
      <w:r w:rsidR="001F0D4A">
        <w:fldChar w:fldCharType="separate"/>
      </w:r>
      <w:r w:rsidR="00642B90">
        <w:t>57</w:t>
      </w:r>
      <w:r w:rsidR="001F0D4A">
        <w:fldChar w:fldCharType="end"/>
      </w:r>
      <w:r>
        <w:t>).</w:t>
      </w:r>
    </w:p>
    <w:p w14:paraId="1AE18B9E" w14:textId="77777777" w:rsidR="002F7B8F" w:rsidRDefault="002F7B8F" w:rsidP="002F7B8F">
      <w:pPr>
        <w:pStyle w:val="Heading3"/>
      </w:pPr>
      <w:r>
        <w:t>Due diligence requirements</w:t>
      </w:r>
    </w:p>
    <w:p w14:paraId="1AE18B9F" w14:textId="77777777" w:rsidR="002F7B8F" w:rsidRDefault="002F7B8F" w:rsidP="002F7B8F">
      <w:pPr>
        <w:pStyle w:val="BodyText1"/>
      </w:pPr>
      <w:bookmarkStart w:id="47" w:name="_Ref464815512"/>
      <w:r w:rsidRPr="00EF3A08">
        <w:t xml:space="preserve">An ADI must perform due </w:t>
      </w:r>
      <w:r>
        <w:t>d</w:t>
      </w:r>
      <w:r w:rsidRPr="00EF3A08">
        <w:t xml:space="preserve">iligence </w:t>
      </w:r>
      <w:r>
        <w:t>on its securitisation exposures, including</w:t>
      </w:r>
      <w:r w:rsidRPr="00EF3A08">
        <w:t>:</w:t>
      </w:r>
      <w:bookmarkEnd w:id="47"/>
    </w:p>
    <w:p w14:paraId="1AE18BA0" w14:textId="77777777" w:rsidR="002F7B8F" w:rsidRDefault="002F7B8F" w:rsidP="002F7B8F">
      <w:pPr>
        <w:pStyle w:val="BodyText2"/>
      </w:pPr>
      <w:r w:rsidRPr="00EF3A08">
        <w:t>a comprehensive understanding of the risk characteristics of its individual securitisation exposures, whether on-balance sheet or off-balance sheet, as well as the pools underlying its securitisation exposures</w:t>
      </w:r>
      <w:r>
        <w:t>;</w:t>
      </w:r>
    </w:p>
    <w:p w14:paraId="1AE18BA1" w14:textId="77777777" w:rsidR="002F7B8F" w:rsidRDefault="002F7B8F" w:rsidP="002F7B8F">
      <w:pPr>
        <w:pStyle w:val="BodyText2"/>
      </w:pPr>
      <w:r w:rsidRPr="00EF3A08">
        <w:t xml:space="preserve">access to detailed performance information on the underlying pools </w:t>
      </w:r>
      <w:r>
        <w:t xml:space="preserve">which it reviews </w:t>
      </w:r>
      <w:r w:rsidRPr="00EF3A08">
        <w:t>in a timely manner</w:t>
      </w:r>
      <w:r>
        <w:t>;</w:t>
      </w:r>
    </w:p>
    <w:p w14:paraId="1AE18BA2" w14:textId="77777777" w:rsidR="002F7B8F" w:rsidRDefault="002F7B8F" w:rsidP="002F7B8F">
      <w:pPr>
        <w:pStyle w:val="BodyText2"/>
      </w:pPr>
      <w:r w:rsidRPr="00EF3A08">
        <w:t xml:space="preserve">for </w:t>
      </w:r>
      <w:proofErr w:type="spellStart"/>
      <w:r w:rsidRPr="00EF3A08">
        <w:t>resecuritisation</w:t>
      </w:r>
      <w:proofErr w:type="spellEnd"/>
      <w:r>
        <w:t xml:space="preserve"> exposures</w:t>
      </w:r>
      <w:r w:rsidRPr="00EF3A08">
        <w:t xml:space="preserve">, access to information on the underlying securitisation tranches </w:t>
      </w:r>
      <w:r>
        <w:t>and</w:t>
      </w:r>
      <w:r w:rsidRPr="00EF3A08">
        <w:t xml:space="preserve"> on the risk characteristics and performance of the pools underlying the securitisation tranches</w:t>
      </w:r>
      <w:r>
        <w:t xml:space="preserve"> which it reviews in a timely manner</w:t>
      </w:r>
      <w:r w:rsidRPr="00EF3A08">
        <w:t>; and</w:t>
      </w:r>
    </w:p>
    <w:p w14:paraId="1AE18BA3" w14:textId="77777777" w:rsidR="002F7B8F" w:rsidRDefault="002F7B8F" w:rsidP="002F7B8F">
      <w:pPr>
        <w:pStyle w:val="BodyText2"/>
      </w:pPr>
      <w:r w:rsidRPr="00EF3A08">
        <w:t>a comprehensive understanding of all structural features of a securitisation transaction that may have a material impact on the ADI’s exposures to the transaction</w:t>
      </w:r>
      <w:r>
        <w:t>.</w:t>
      </w:r>
    </w:p>
    <w:p w14:paraId="1AE18BA4" w14:textId="1219B31F" w:rsidR="002F7B8F" w:rsidRDefault="002F7B8F" w:rsidP="002F7B8F">
      <w:pPr>
        <w:pStyle w:val="BodyText1"/>
      </w:pPr>
      <w:r>
        <w:t xml:space="preserve">An ADI must deduct from Common Equity Tier 1 Capital the value of any securitisation exposure where the requirements of paragraph </w:t>
      </w:r>
      <w:r>
        <w:fldChar w:fldCharType="begin"/>
      </w:r>
      <w:r>
        <w:instrText xml:space="preserve"> REF _Ref464815512 \r \h </w:instrText>
      </w:r>
      <w:r>
        <w:fldChar w:fldCharType="separate"/>
      </w:r>
      <w:r w:rsidR="00642B90">
        <w:t>59</w:t>
      </w:r>
      <w:r>
        <w:fldChar w:fldCharType="end"/>
      </w:r>
      <w:r>
        <w:t xml:space="preserve"> are not met.</w:t>
      </w:r>
    </w:p>
    <w:p w14:paraId="1AE18BA5" w14:textId="77777777" w:rsidR="002F7B8F" w:rsidRDefault="002F7B8F" w:rsidP="002F7B8F">
      <w:pPr>
        <w:pStyle w:val="Heading3"/>
      </w:pPr>
      <w:proofErr w:type="spellStart"/>
      <w:r>
        <w:lastRenderedPageBreak/>
        <w:t>Overcollater</w:t>
      </w:r>
      <w:r w:rsidR="00156857">
        <w:t>a</w:t>
      </w:r>
      <w:r>
        <w:t>lisation</w:t>
      </w:r>
      <w:proofErr w:type="spellEnd"/>
      <w:r>
        <w:t xml:space="preserve"> arrangement</w:t>
      </w:r>
    </w:p>
    <w:p w14:paraId="1AE18BA6" w14:textId="77777777" w:rsidR="00F74803" w:rsidRDefault="00F74803" w:rsidP="00F74803">
      <w:pPr>
        <w:pStyle w:val="BodyText1"/>
      </w:pPr>
      <w:r w:rsidRPr="00985550">
        <w:t xml:space="preserve">Where an originating ADI transfers exposures to an SPV below their book value (e.g. pursuant to an </w:t>
      </w:r>
      <w:proofErr w:type="spellStart"/>
      <w:r w:rsidRPr="00985550">
        <w:t>overcollateralisation</w:t>
      </w:r>
      <w:proofErr w:type="spellEnd"/>
      <w:r w:rsidRPr="00985550">
        <w:t xml:space="preserve"> agreement or by sale at a discounted price), the difference between the book value and the amount received by the ADI must be deducted from its Common Equity Tier 1 Capital unless it is written off </w:t>
      </w:r>
      <w:r>
        <w:t xml:space="preserve">through </w:t>
      </w:r>
      <w:r w:rsidRPr="00985550">
        <w:t>the ADI’s profit or loss.</w:t>
      </w:r>
      <w:r w:rsidR="001F0D4A">
        <w:rPr>
          <w:rStyle w:val="FootnoteReference"/>
        </w:rPr>
        <w:footnoteReference w:id="23"/>
      </w:r>
    </w:p>
    <w:p w14:paraId="1AE18BA7" w14:textId="77777777" w:rsidR="00F74803" w:rsidRDefault="00F74803" w:rsidP="00F74803">
      <w:pPr>
        <w:pStyle w:val="Heading3"/>
      </w:pPr>
      <w:r>
        <w:t>Capital charge cap</w:t>
      </w:r>
    </w:p>
    <w:p w14:paraId="1AE18BA8" w14:textId="77777777" w:rsidR="00F74803" w:rsidRDefault="00F74803" w:rsidP="00F74803">
      <w:pPr>
        <w:pStyle w:val="BodyText1"/>
      </w:pPr>
      <w:r>
        <w:t xml:space="preserve">An originating ADI that </w:t>
      </w:r>
      <w:r w:rsidRPr="00A46689">
        <w:t>complies</w:t>
      </w:r>
      <w:r>
        <w:t xml:space="preserve"> with the operational requirements for regulatory capital relief</w:t>
      </w:r>
      <w:r w:rsidRPr="009A682F">
        <w:t xml:space="preserve"> </w:t>
      </w:r>
      <w:r>
        <w:t>(refer to Attachment A) may apply a cap on the capital charge for securitisation exposures it holds equal to the c</w:t>
      </w:r>
      <w:r w:rsidRPr="005C5385">
        <w:t xml:space="preserve">apital requirement under APS 112 or APS 113, </w:t>
      </w:r>
      <w:r w:rsidR="00C23232">
        <w:t>as</w:t>
      </w:r>
      <w:r w:rsidRPr="005C5385">
        <w:t xml:space="preserve"> appropriate, that would apply to the underlying exposures in the pool</w:t>
      </w:r>
      <w:r>
        <w:t xml:space="preserve"> h</w:t>
      </w:r>
      <w:r w:rsidRPr="005C5385">
        <w:t>ad they not been securitised</w:t>
      </w:r>
      <w:r>
        <w:t>.</w:t>
      </w:r>
    </w:p>
    <w:p w14:paraId="1AE18BA9" w14:textId="77777777" w:rsidR="00F74803" w:rsidRDefault="00F74803" w:rsidP="00F74803">
      <w:pPr>
        <w:pStyle w:val="Heading3"/>
      </w:pPr>
      <w:r>
        <w:t>Risk-weight cap for senior securitisation exposures</w:t>
      </w:r>
    </w:p>
    <w:p w14:paraId="1AE18BAA" w14:textId="77777777" w:rsidR="00F74803" w:rsidRPr="00F74803" w:rsidRDefault="00F74803" w:rsidP="00F74803">
      <w:pPr>
        <w:pStyle w:val="BodyText1"/>
      </w:pPr>
      <w:bookmarkStart w:id="48" w:name="_Ref465156484"/>
      <w:r>
        <w:rPr>
          <w:rFonts w:cstheme="minorHAnsi"/>
        </w:rPr>
        <w:t xml:space="preserve">An originating </w:t>
      </w:r>
      <w:r w:rsidRPr="005C6395">
        <w:rPr>
          <w:rFonts w:cstheme="minorHAnsi"/>
        </w:rPr>
        <w:t>ADI m</w:t>
      </w:r>
      <w:r>
        <w:rPr>
          <w:rFonts w:cstheme="minorHAnsi"/>
        </w:rPr>
        <w:t>ay apply a ‘look-through’ approach to senior</w:t>
      </w:r>
      <w:r w:rsidRPr="005C6395">
        <w:rPr>
          <w:rFonts w:cstheme="minorHAnsi"/>
        </w:rPr>
        <w:t xml:space="preserve"> securitisation exposures</w:t>
      </w:r>
      <w:r>
        <w:rPr>
          <w:rFonts w:cstheme="minorHAnsi"/>
        </w:rPr>
        <w:t xml:space="preserve"> (other than those relating to </w:t>
      </w:r>
      <w:proofErr w:type="spellStart"/>
      <w:r>
        <w:rPr>
          <w:rFonts w:cstheme="minorHAnsi"/>
        </w:rPr>
        <w:t>resecuritisation</w:t>
      </w:r>
      <w:proofErr w:type="spellEnd"/>
      <w:r>
        <w:rPr>
          <w:rFonts w:cstheme="minorHAnsi"/>
        </w:rPr>
        <w:t xml:space="preserve"> exposures or other exposures that are required to be deducted from Common Equity Tier 1 Capital) so that they are subject to a risk</w:t>
      </w:r>
      <w:r w:rsidR="00B557DC">
        <w:rPr>
          <w:rFonts w:cstheme="minorHAnsi"/>
        </w:rPr>
        <w:t>-</w:t>
      </w:r>
      <w:r>
        <w:rPr>
          <w:rFonts w:cstheme="minorHAnsi"/>
        </w:rPr>
        <w:t xml:space="preserve">weight cap equal to the average risk weight that would apply to the underlying exposures in the pool, under either APS 112 or APS 113, </w:t>
      </w:r>
      <w:r>
        <w:t>had the</w:t>
      </w:r>
      <w:r w:rsidRPr="00AE52B2">
        <w:rPr>
          <w:rFonts w:cstheme="minorHAnsi"/>
        </w:rPr>
        <w:t xml:space="preserve"> </w:t>
      </w:r>
      <w:r>
        <w:rPr>
          <w:rFonts w:cstheme="minorHAnsi"/>
        </w:rPr>
        <w:t>underlying exposures</w:t>
      </w:r>
      <w:r w:rsidRPr="00AE52B2">
        <w:rPr>
          <w:rFonts w:cstheme="minorHAnsi"/>
        </w:rPr>
        <w:t xml:space="preserve"> not been securitised</w:t>
      </w:r>
      <w:r>
        <w:rPr>
          <w:rFonts w:cstheme="minorHAnsi"/>
        </w:rPr>
        <w:t>. Where an ADI is not an originating ADI, it may apply a risk</w:t>
      </w:r>
      <w:r w:rsidR="00B557DC">
        <w:rPr>
          <w:rFonts w:cstheme="minorHAnsi"/>
        </w:rPr>
        <w:t>-</w:t>
      </w:r>
      <w:r>
        <w:rPr>
          <w:rFonts w:cstheme="minorHAnsi"/>
        </w:rPr>
        <w:t xml:space="preserve">weight cap for senior exposures (other than those relating to </w:t>
      </w:r>
      <w:proofErr w:type="spellStart"/>
      <w:r>
        <w:rPr>
          <w:rFonts w:cstheme="minorHAnsi"/>
        </w:rPr>
        <w:t>resecuritisation</w:t>
      </w:r>
      <w:proofErr w:type="spellEnd"/>
      <w:r>
        <w:rPr>
          <w:rFonts w:cstheme="minorHAnsi"/>
        </w:rPr>
        <w:t xml:space="preserve"> exposures or other exposures that are required to be deducted from Common Equity Tier 1 Capital) so that they are subject to a risk</w:t>
      </w:r>
      <w:r w:rsidR="00B557DC">
        <w:rPr>
          <w:rFonts w:cstheme="minorHAnsi"/>
        </w:rPr>
        <w:t>-</w:t>
      </w:r>
      <w:r>
        <w:rPr>
          <w:rFonts w:cstheme="minorHAnsi"/>
        </w:rPr>
        <w:t>weight cap equal to the average risk weight that would apply to the underlying exposures in the pool under APS 112.</w:t>
      </w:r>
      <w:bookmarkEnd w:id="48"/>
    </w:p>
    <w:p w14:paraId="1AE18BAB" w14:textId="3ED7F2F9" w:rsidR="00F74803" w:rsidRDefault="00F74803" w:rsidP="00F74803">
      <w:pPr>
        <w:pStyle w:val="BodyText1"/>
      </w:pPr>
      <w:proofErr w:type="gramStart"/>
      <w:r w:rsidRPr="00535A6C">
        <w:rPr>
          <w:rFonts w:cstheme="minorHAnsi"/>
        </w:rPr>
        <w:t>In order to</w:t>
      </w:r>
      <w:proofErr w:type="gramEnd"/>
      <w:r w:rsidRPr="00535A6C">
        <w:rPr>
          <w:rFonts w:cstheme="minorHAnsi"/>
        </w:rPr>
        <w:t xml:space="preserve"> apply the risk</w:t>
      </w:r>
      <w:r w:rsidR="00B557DC">
        <w:rPr>
          <w:rFonts w:cstheme="minorHAnsi"/>
        </w:rPr>
        <w:t>-</w:t>
      </w:r>
      <w:r w:rsidRPr="00535A6C">
        <w:rPr>
          <w:rFonts w:cstheme="minorHAnsi"/>
        </w:rPr>
        <w:t>weight</w:t>
      </w:r>
      <w:r>
        <w:rPr>
          <w:rFonts w:cstheme="minorHAnsi"/>
        </w:rPr>
        <w:t xml:space="preserve"> cap under paragraph</w:t>
      </w:r>
      <w:r w:rsidR="001F0D4A">
        <w:rPr>
          <w:rFonts w:cstheme="minorHAnsi"/>
        </w:rPr>
        <w:t xml:space="preserve"> </w:t>
      </w:r>
      <w:r w:rsidR="001F0D4A">
        <w:rPr>
          <w:rFonts w:cstheme="minorHAnsi"/>
        </w:rPr>
        <w:fldChar w:fldCharType="begin"/>
      </w:r>
      <w:r w:rsidR="001F0D4A">
        <w:rPr>
          <w:rFonts w:cstheme="minorHAnsi"/>
        </w:rPr>
        <w:instrText xml:space="preserve"> REF _Ref465156484 \r \h </w:instrText>
      </w:r>
      <w:r w:rsidR="001F0D4A">
        <w:rPr>
          <w:rFonts w:cstheme="minorHAnsi"/>
        </w:rPr>
      </w:r>
      <w:r w:rsidR="001F0D4A">
        <w:rPr>
          <w:rFonts w:cstheme="minorHAnsi"/>
        </w:rPr>
        <w:fldChar w:fldCharType="separate"/>
      </w:r>
      <w:r w:rsidR="00642B90">
        <w:rPr>
          <w:rFonts w:cstheme="minorHAnsi"/>
        </w:rPr>
        <w:t>63</w:t>
      </w:r>
      <w:r w:rsidR="001F0D4A">
        <w:rPr>
          <w:rFonts w:cstheme="minorHAnsi"/>
        </w:rPr>
        <w:fldChar w:fldCharType="end"/>
      </w:r>
      <w:r w:rsidRPr="00535A6C">
        <w:rPr>
          <w:rFonts w:cstheme="minorHAnsi"/>
        </w:rPr>
        <w:t xml:space="preserve">, </w:t>
      </w:r>
      <w:r>
        <w:rPr>
          <w:rFonts w:cstheme="minorHAnsi"/>
        </w:rPr>
        <w:t>an</w:t>
      </w:r>
      <w:r w:rsidRPr="00535A6C">
        <w:rPr>
          <w:rFonts w:cstheme="minorHAnsi"/>
        </w:rPr>
        <w:t xml:space="preserve"> ADI must</w:t>
      </w:r>
      <w:r>
        <w:rPr>
          <w:rFonts w:cstheme="minorHAnsi"/>
        </w:rPr>
        <w:t xml:space="preserve"> </w:t>
      </w:r>
      <w:r w:rsidRPr="00171733">
        <w:t>have</w:t>
      </w:r>
      <w:r>
        <w:t xml:space="preserve"> </w:t>
      </w:r>
      <w:r w:rsidRPr="00EF3A08">
        <w:t xml:space="preserve">a comprehensive understanding of the risk characteristics of the pool underlying </w:t>
      </w:r>
      <w:r>
        <w:t xml:space="preserve">the </w:t>
      </w:r>
      <w:r w:rsidRPr="00EF3A08">
        <w:t>securitisation exposures</w:t>
      </w:r>
      <w:r>
        <w:t>.</w:t>
      </w:r>
    </w:p>
    <w:p w14:paraId="1AE18BAC" w14:textId="77777777" w:rsidR="00F74803" w:rsidRPr="00F74803" w:rsidRDefault="00F74803" w:rsidP="00F74803">
      <w:pPr>
        <w:pStyle w:val="BodyText1"/>
      </w:pPr>
      <w:r>
        <w:rPr>
          <w:rFonts w:cstheme="minorHAnsi"/>
        </w:rPr>
        <w:t>Where the risk-weight cap results in a lower risk weight than the risk-weight floor of 15 per cent (refer to Attachment C), the 15 per cent risk-weight floor must be applied.</w:t>
      </w:r>
    </w:p>
    <w:p w14:paraId="1AE18BAD" w14:textId="77777777" w:rsidR="00F74803" w:rsidRDefault="00F74803" w:rsidP="00F74803">
      <w:pPr>
        <w:pStyle w:val="Heading3"/>
      </w:pPr>
      <w:r>
        <w:t>Cash collateral arrangements</w:t>
      </w:r>
    </w:p>
    <w:p w14:paraId="1AE18BAE" w14:textId="28109D24" w:rsidR="00F74803" w:rsidRPr="00F74803" w:rsidRDefault="00F74803" w:rsidP="00F74803">
      <w:pPr>
        <w:pStyle w:val="BodyText1"/>
      </w:pPr>
      <w:r w:rsidRPr="009A33F0">
        <w:rPr>
          <w:rFonts w:cstheme="minorHAnsi"/>
        </w:rPr>
        <w:t>Where cash collateral</w:t>
      </w:r>
      <w:r>
        <w:rPr>
          <w:rFonts w:cstheme="minorHAnsi"/>
        </w:rPr>
        <w:t xml:space="preserve"> </w:t>
      </w:r>
      <w:r w:rsidRPr="009A33F0">
        <w:rPr>
          <w:rFonts w:cstheme="minorHAnsi"/>
        </w:rPr>
        <w:t xml:space="preserve">provided by an ADI to collateralise facilities and services provided by </w:t>
      </w:r>
      <w:r>
        <w:rPr>
          <w:rFonts w:cstheme="minorHAnsi"/>
        </w:rPr>
        <w:t xml:space="preserve">the </w:t>
      </w:r>
      <w:r w:rsidRPr="009A33F0">
        <w:rPr>
          <w:rFonts w:cstheme="minorHAnsi"/>
        </w:rPr>
        <w:t>ADI to an SPV</w:t>
      </w:r>
      <w:r>
        <w:rPr>
          <w:rFonts w:cstheme="minorHAnsi"/>
        </w:rPr>
        <w:t xml:space="preserve"> </w:t>
      </w:r>
      <w:r w:rsidRPr="009A33F0">
        <w:rPr>
          <w:rFonts w:cstheme="minorHAnsi"/>
        </w:rPr>
        <w:t xml:space="preserve">is lodged in the name of the SPV, the ADI’s exposure to the SPV must be treated as a securitisation exposure. Where treated as a securitisation exposure, the repayment of cash collateral must </w:t>
      </w:r>
      <w:r>
        <w:rPr>
          <w:rFonts w:cstheme="minorHAnsi"/>
        </w:rPr>
        <w:t>not</w:t>
      </w:r>
      <w:r w:rsidRPr="009A33F0">
        <w:rPr>
          <w:rFonts w:cstheme="minorHAnsi"/>
        </w:rPr>
        <w:t xml:space="preserve"> be subordinated to any investor in the securitisation or subject to deferral or waiver. </w:t>
      </w:r>
      <w:proofErr w:type="gramStart"/>
      <w:r w:rsidRPr="009A33F0">
        <w:rPr>
          <w:rFonts w:cstheme="minorHAnsi"/>
        </w:rPr>
        <w:t>For the purpose of</w:t>
      </w:r>
      <w:proofErr w:type="gramEnd"/>
      <w:r w:rsidRPr="009A33F0">
        <w:rPr>
          <w:rFonts w:cstheme="minorHAnsi"/>
        </w:rPr>
        <w:t xml:space="preserve"> calculating regulatory capital, cash collateral, together with </w:t>
      </w:r>
      <w:r w:rsidRPr="009A33F0">
        <w:rPr>
          <w:rFonts w:cstheme="minorHAnsi"/>
        </w:rPr>
        <w:lastRenderedPageBreak/>
        <w:t>the relevant facility may be treated as overlapping securitisation exposures (paragraph</w:t>
      </w:r>
      <w:r>
        <w:rPr>
          <w:rFonts w:cstheme="minorHAnsi"/>
        </w:rPr>
        <w:t xml:space="preserve">s </w:t>
      </w:r>
      <w:r>
        <w:rPr>
          <w:rFonts w:cstheme="minorHAnsi"/>
        </w:rPr>
        <w:fldChar w:fldCharType="begin"/>
      </w:r>
      <w:r>
        <w:rPr>
          <w:rFonts w:cstheme="minorHAnsi"/>
        </w:rPr>
        <w:instrText xml:space="preserve"> REF _Ref464815607 \r \h </w:instrText>
      </w:r>
      <w:r>
        <w:rPr>
          <w:rFonts w:cstheme="minorHAnsi"/>
        </w:rPr>
      </w:r>
      <w:r>
        <w:rPr>
          <w:rFonts w:cstheme="minorHAnsi"/>
        </w:rPr>
        <w:fldChar w:fldCharType="separate"/>
      </w:r>
      <w:r w:rsidR="00642B90">
        <w:rPr>
          <w:rFonts w:cstheme="minorHAnsi"/>
        </w:rPr>
        <w:t>51</w:t>
      </w:r>
      <w:r>
        <w:rPr>
          <w:rFonts w:cstheme="minorHAnsi"/>
        </w:rPr>
        <w:fldChar w:fldCharType="end"/>
      </w:r>
      <w:r>
        <w:rPr>
          <w:rFonts w:cstheme="minorHAnsi"/>
        </w:rPr>
        <w:t xml:space="preserve"> and</w:t>
      </w:r>
      <w:r w:rsidR="001F0D4A">
        <w:rPr>
          <w:rFonts w:cstheme="minorHAnsi"/>
        </w:rPr>
        <w:t xml:space="preserve"> </w:t>
      </w:r>
      <w:r w:rsidR="001F0D4A">
        <w:rPr>
          <w:rFonts w:cstheme="minorHAnsi"/>
        </w:rPr>
        <w:fldChar w:fldCharType="begin"/>
      </w:r>
      <w:r w:rsidR="001F0D4A">
        <w:rPr>
          <w:rFonts w:cstheme="minorHAnsi"/>
        </w:rPr>
        <w:instrText xml:space="preserve"> REF _Ref465156381 \r \h </w:instrText>
      </w:r>
      <w:r w:rsidR="001F0D4A">
        <w:rPr>
          <w:rFonts w:cstheme="minorHAnsi"/>
        </w:rPr>
      </w:r>
      <w:r w:rsidR="001F0D4A">
        <w:rPr>
          <w:rFonts w:cstheme="minorHAnsi"/>
        </w:rPr>
        <w:fldChar w:fldCharType="separate"/>
      </w:r>
      <w:r w:rsidR="00642B90">
        <w:rPr>
          <w:rFonts w:cstheme="minorHAnsi"/>
        </w:rPr>
        <w:t>52</w:t>
      </w:r>
      <w:r w:rsidR="001F0D4A">
        <w:rPr>
          <w:rFonts w:cstheme="minorHAnsi"/>
        </w:rPr>
        <w:fldChar w:fldCharType="end"/>
      </w:r>
      <w:r w:rsidRPr="009A33F0">
        <w:rPr>
          <w:rFonts w:cstheme="minorHAnsi"/>
        </w:rPr>
        <w:t>)</w:t>
      </w:r>
      <w:r>
        <w:rPr>
          <w:rFonts w:cstheme="minorHAnsi"/>
        </w:rPr>
        <w:t>.</w:t>
      </w:r>
      <w:r w:rsidR="001F0D4A">
        <w:rPr>
          <w:rStyle w:val="FootnoteReference"/>
          <w:rFonts w:cstheme="minorHAnsi"/>
        </w:rPr>
        <w:footnoteReference w:id="24"/>
      </w:r>
      <w:r w:rsidR="001F0D4A" w:rsidRPr="00E620BA">
        <w:rPr>
          <w:rFonts w:cstheme="minorHAnsi"/>
          <w:vertAlign w:val="superscript"/>
        </w:rPr>
        <w:t>,</w:t>
      </w:r>
      <w:r w:rsidR="001F0D4A">
        <w:rPr>
          <w:rStyle w:val="FootnoteReference"/>
          <w:rFonts w:cstheme="minorHAnsi"/>
        </w:rPr>
        <w:footnoteReference w:id="25"/>
      </w:r>
    </w:p>
    <w:p w14:paraId="1AE18BAF" w14:textId="77777777" w:rsidR="00F74803" w:rsidRDefault="00F74803" w:rsidP="00F74803">
      <w:pPr>
        <w:pStyle w:val="Heading3"/>
      </w:pPr>
      <w:r>
        <w:t>Redraws and further advances to customers</w:t>
      </w:r>
    </w:p>
    <w:p w14:paraId="1AE18BB0" w14:textId="77777777" w:rsidR="00F74803" w:rsidRPr="00F74803" w:rsidRDefault="00F74803" w:rsidP="00F74803">
      <w:pPr>
        <w:pStyle w:val="BodyText1"/>
      </w:pPr>
      <w:r w:rsidRPr="00F85555">
        <w:rPr>
          <w:rFonts w:cstheme="minorHAnsi"/>
        </w:rPr>
        <w:t xml:space="preserve">An ADI </w:t>
      </w:r>
      <w:r>
        <w:rPr>
          <w:rFonts w:cstheme="minorHAnsi"/>
        </w:rPr>
        <w:t>that</w:t>
      </w:r>
      <w:r w:rsidRPr="00F85555">
        <w:rPr>
          <w:rFonts w:cstheme="minorHAnsi"/>
        </w:rPr>
        <w:t xml:space="preserve"> retains a contractual commitment to advance further funds to a </w:t>
      </w:r>
      <w:r>
        <w:rPr>
          <w:rFonts w:cstheme="minorHAnsi"/>
        </w:rPr>
        <w:t>customer</w:t>
      </w:r>
      <w:r w:rsidRPr="00F85555">
        <w:rPr>
          <w:rFonts w:cstheme="minorHAnsi"/>
        </w:rPr>
        <w:t xml:space="preserve"> under a redraw arrangement on a loan is required to hold </w:t>
      </w:r>
      <w:r>
        <w:rPr>
          <w:rFonts w:cstheme="minorHAnsi"/>
        </w:rPr>
        <w:t xml:space="preserve">regulatory </w:t>
      </w:r>
      <w:r w:rsidRPr="00F85555">
        <w:rPr>
          <w:rFonts w:cstheme="minorHAnsi"/>
        </w:rPr>
        <w:t>capital against that commitment</w:t>
      </w:r>
      <w:r>
        <w:rPr>
          <w:rFonts w:cstheme="minorHAnsi"/>
        </w:rPr>
        <w:t xml:space="preserve"> as an exposure to the customer according to the requirements of APS 112 or APS 113, as appropriate</w:t>
      </w:r>
      <w:r w:rsidRPr="00F85555">
        <w:rPr>
          <w:rFonts w:cstheme="minorHAnsi"/>
        </w:rPr>
        <w:t>.</w:t>
      </w:r>
      <w:r>
        <w:rPr>
          <w:rFonts w:cstheme="minorHAnsi"/>
        </w:rPr>
        <w:t xml:space="preserve"> Where:</w:t>
      </w:r>
    </w:p>
    <w:p w14:paraId="1AE18BB1" w14:textId="77777777" w:rsidR="00F74803" w:rsidRDefault="00F74803" w:rsidP="00F74803">
      <w:pPr>
        <w:pStyle w:val="BodyText2"/>
      </w:pPr>
      <w:r>
        <w:t>the loan has been assigned</w:t>
      </w:r>
      <w:r w:rsidRPr="00F85555">
        <w:t xml:space="preserve"> to an SPV under a securitisation arrangement</w:t>
      </w:r>
      <w:r>
        <w:t>;</w:t>
      </w:r>
    </w:p>
    <w:p w14:paraId="1AE18BB2" w14:textId="77777777" w:rsidR="00F74803" w:rsidRDefault="00F74803" w:rsidP="00F74803">
      <w:pPr>
        <w:pStyle w:val="BodyText2"/>
      </w:pPr>
      <w:r>
        <w:t>the ADI has</w:t>
      </w:r>
      <w:r w:rsidRPr="00F85555">
        <w:t xml:space="preserve"> </w:t>
      </w:r>
      <w:r>
        <w:t>p</w:t>
      </w:r>
      <w:r w:rsidRPr="00F85555">
        <w:t xml:space="preserve">rovided a facility to </w:t>
      </w:r>
      <w:r>
        <w:t xml:space="preserve">the SPV to </w:t>
      </w:r>
      <w:r w:rsidRPr="00F85555">
        <w:t>f</w:t>
      </w:r>
      <w:r>
        <w:t>und</w:t>
      </w:r>
      <w:r w:rsidRPr="00F85555">
        <w:t xml:space="preserve"> </w:t>
      </w:r>
      <w:r>
        <w:t>a contractual commitment of the SPV to acquire any</w:t>
      </w:r>
      <w:r w:rsidRPr="00F85555">
        <w:t xml:space="preserve"> further advances </w:t>
      </w:r>
      <w:r>
        <w:t xml:space="preserve">by </w:t>
      </w:r>
      <w:r w:rsidRPr="00F85555">
        <w:t xml:space="preserve">the ADI </w:t>
      </w:r>
      <w:r>
        <w:t>on the underlying loan; and</w:t>
      </w:r>
    </w:p>
    <w:p w14:paraId="1AE18BB3" w14:textId="77777777" w:rsidR="00F74803" w:rsidRDefault="00F74803" w:rsidP="00F74803">
      <w:pPr>
        <w:pStyle w:val="BodyText2"/>
      </w:pPr>
      <w:r>
        <w:t xml:space="preserve">the facility provided by the ADI </w:t>
      </w:r>
      <w:r w:rsidRPr="00F85555">
        <w:t>complies with Attachment</w:t>
      </w:r>
      <w:r>
        <w:t xml:space="preserve"> D of this Prudential Standard,</w:t>
      </w:r>
    </w:p>
    <w:p w14:paraId="1AE18BB4" w14:textId="77777777" w:rsidR="00F74803" w:rsidRDefault="00F74803" w:rsidP="00F74803">
      <w:pPr>
        <w:pStyle w:val="BodyText2"/>
        <w:numPr>
          <w:ilvl w:val="0"/>
          <w:numId w:val="0"/>
        </w:numPr>
        <w:ind w:left="567"/>
      </w:pPr>
      <w:r>
        <w:t>the ADI i</w:t>
      </w:r>
      <w:r w:rsidRPr="00A3429C">
        <w:t xml:space="preserve">s not required to include </w:t>
      </w:r>
      <w:r>
        <w:t xml:space="preserve">the </w:t>
      </w:r>
      <w:r w:rsidRPr="00A3429C">
        <w:t>undrawn commitment in its risk-weighted assets</w:t>
      </w:r>
      <w:r>
        <w:t xml:space="preserve"> as an exposure to the customer. Instead, the </w:t>
      </w:r>
      <w:r w:rsidRPr="00F85555">
        <w:t xml:space="preserve">ADI that provides </w:t>
      </w:r>
      <w:r>
        <w:t>the</w:t>
      </w:r>
      <w:r w:rsidRPr="00F85555">
        <w:t xml:space="preserve"> facility to an SPV</w:t>
      </w:r>
      <w:r>
        <w:t xml:space="preserve"> </w:t>
      </w:r>
      <w:r w:rsidRPr="00F85555">
        <w:t>must treat the facility as a securitisation exposure</w:t>
      </w:r>
      <w:r>
        <w:t xml:space="preserve"> in accordance with this Prudential Standard</w:t>
      </w:r>
      <w:r w:rsidRPr="00A3429C">
        <w:t>.</w:t>
      </w:r>
      <w:r w:rsidR="001F0D4A">
        <w:rPr>
          <w:rStyle w:val="FootnoteReference"/>
        </w:rPr>
        <w:footnoteReference w:id="26"/>
      </w:r>
    </w:p>
    <w:p w14:paraId="1AE18BB5" w14:textId="77777777" w:rsidR="00886EB3" w:rsidRDefault="00886EB3" w:rsidP="00886EB3">
      <w:pPr>
        <w:pStyle w:val="Heading3"/>
      </w:pPr>
      <w:r>
        <w:t>Shared collateral</w:t>
      </w:r>
    </w:p>
    <w:p w14:paraId="1AE18BB6" w14:textId="2BBD65EC" w:rsidR="00365AED" w:rsidRPr="00365AED" w:rsidRDefault="00365AED" w:rsidP="00365AED">
      <w:pPr>
        <w:pStyle w:val="BodyText1"/>
      </w:pPr>
      <w:r w:rsidRPr="005F24CB">
        <w:rPr>
          <w:rFonts w:cstheme="minorHAnsi"/>
        </w:rPr>
        <w:t xml:space="preserve">Where an ADI retains an interest in collateral assigned to an SPV as a result of additional exposures secured against that collateral, such as an interest relating to arrangements to provide </w:t>
      </w:r>
      <w:r>
        <w:rPr>
          <w:rFonts w:cstheme="minorHAnsi"/>
        </w:rPr>
        <w:t>additional</w:t>
      </w:r>
      <w:r w:rsidRPr="005F24CB">
        <w:rPr>
          <w:rFonts w:cstheme="minorHAnsi"/>
        </w:rPr>
        <w:t xml:space="preserve"> advances to customers, these </w:t>
      </w:r>
      <w:r>
        <w:rPr>
          <w:rFonts w:cstheme="minorHAnsi"/>
        </w:rPr>
        <w:t xml:space="preserve">additional </w:t>
      </w:r>
      <w:r w:rsidRPr="005F24CB">
        <w:rPr>
          <w:rFonts w:cstheme="minorHAnsi"/>
        </w:rPr>
        <w:t>exposures will not be eligible for a risk weight of less than 100 per cent</w:t>
      </w:r>
      <w:r>
        <w:rPr>
          <w:rFonts w:cstheme="minorHAnsi"/>
        </w:rPr>
        <w:t xml:space="preserve"> unless a formal second mortgage arrangement is in place that meets the requirements of Attachment </w:t>
      </w:r>
      <w:r w:rsidR="000513D1">
        <w:rPr>
          <w:rFonts w:cstheme="minorHAnsi"/>
        </w:rPr>
        <w:t xml:space="preserve">A </w:t>
      </w:r>
      <w:r>
        <w:rPr>
          <w:rFonts w:cstheme="minorHAnsi"/>
        </w:rPr>
        <w:t>of APS 112.</w:t>
      </w:r>
    </w:p>
    <w:p w14:paraId="1AE18BB7" w14:textId="77777777" w:rsidR="00365AED" w:rsidRPr="00365AED" w:rsidRDefault="00365AED" w:rsidP="00365AED">
      <w:pPr>
        <w:pStyle w:val="Heading1"/>
      </w:pPr>
      <w:bookmarkStart w:id="49" w:name="_Toc465172381"/>
      <w:r>
        <w:t>Implicit support and other risks</w:t>
      </w:r>
      <w:bookmarkEnd w:id="49"/>
    </w:p>
    <w:p w14:paraId="1AE18BB8" w14:textId="77777777" w:rsidR="00886EB3" w:rsidRDefault="00365AED" w:rsidP="00886EB3">
      <w:pPr>
        <w:pStyle w:val="BodyText1"/>
      </w:pPr>
      <w:bookmarkStart w:id="50" w:name="_Ref465157477"/>
      <w:r w:rsidRPr="004F77B2">
        <w:t xml:space="preserve">If APRA considers that an ADI is providing implicit support to a securitisation, or otherwise </w:t>
      </w:r>
      <w:r>
        <w:t xml:space="preserve">does not </w:t>
      </w:r>
      <w:r w:rsidRPr="00E84F4B">
        <w:t>comply with this Prudential Standard</w:t>
      </w:r>
      <w:r>
        <w:t>, APRA may require</w:t>
      </w:r>
      <w:r w:rsidRPr="004F77B2">
        <w:t xml:space="preserve"> the ADI </w:t>
      </w:r>
      <w:r>
        <w:t xml:space="preserve">to hold additional regulatory </w:t>
      </w:r>
      <w:r w:rsidRPr="004F77B2">
        <w:t xml:space="preserve">capital </w:t>
      </w:r>
      <w:r>
        <w:t>considered</w:t>
      </w:r>
      <w:r w:rsidRPr="004F77B2">
        <w:t xml:space="preserve"> by APRA</w:t>
      </w:r>
      <w:r>
        <w:t xml:space="preserve"> to be commensurate with the risk to the ADI arising from the support or other non-compliance.</w:t>
      </w:r>
      <w:bookmarkEnd w:id="50"/>
    </w:p>
    <w:p w14:paraId="1AE18BB9" w14:textId="77777777" w:rsidR="00365AED" w:rsidRDefault="00365AED" w:rsidP="00886EB3">
      <w:pPr>
        <w:pStyle w:val="BodyText1"/>
      </w:pPr>
      <w:r w:rsidRPr="00B34DF9">
        <w:t xml:space="preserve">If APRA considers that an ADI is providing implicit support to a securitisation, APRA may require the ADI to </w:t>
      </w:r>
      <w:r>
        <w:t xml:space="preserve">publicly </w:t>
      </w:r>
      <w:r w:rsidRPr="00B34DF9">
        <w:t>disclose the implicit support</w:t>
      </w:r>
      <w:r>
        <w:t>.</w:t>
      </w:r>
    </w:p>
    <w:p w14:paraId="1AE18BBA" w14:textId="77777777" w:rsidR="00365AED" w:rsidRDefault="00365AED" w:rsidP="00886EB3">
      <w:pPr>
        <w:pStyle w:val="BodyText1"/>
      </w:pPr>
      <w:bookmarkStart w:id="51" w:name="_Ref464819925"/>
      <w:r>
        <w:lastRenderedPageBreak/>
        <w:t>If APRA considers that the risks arising out of securitisation are not adequately managed by the ADI holding additional regulatory capital, APRA may impose limits (both quantitative and qualitative) on the extent to which additional exposures may be securitised by the ADI, the extent to which additional securitisation exposures are acquired by the ADI or the extent to which additional services are provided by the ADI.</w:t>
      </w:r>
      <w:bookmarkEnd w:id="51"/>
    </w:p>
    <w:p w14:paraId="1AE18BBB" w14:textId="77777777" w:rsidR="00365AED" w:rsidRDefault="00365AED" w:rsidP="00365AED">
      <w:pPr>
        <w:pStyle w:val="Heading1"/>
      </w:pPr>
      <w:bookmarkStart w:id="52" w:name="_Toc465172382"/>
      <w:r>
        <w:t>Risk management framework</w:t>
      </w:r>
      <w:bookmarkEnd w:id="52"/>
    </w:p>
    <w:p w14:paraId="1AE18BBC" w14:textId="77777777" w:rsidR="00365AED" w:rsidRDefault="00365AED" w:rsidP="00365AED">
      <w:pPr>
        <w:pStyle w:val="BodyText1"/>
      </w:pPr>
      <w:bookmarkStart w:id="53" w:name="_Ref465154526"/>
      <w:r>
        <w:t xml:space="preserve">An ADI must have, as part of its risk management framework (refer to </w:t>
      </w:r>
      <w:r w:rsidRPr="000B46AE">
        <w:rPr>
          <w:i/>
        </w:rPr>
        <w:t>Prudential Standard CPS 220 Risk Management</w:t>
      </w:r>
      <w:r>
        <w:t>),</w:t>
      </w:r>
      <w:r w:rsidRPr="007F3C4F">
        <w:t xml:space="preserve"> policies and procedures relating to its securitisation business. These policies and procedures must</w:t>
      </w:r>
      <w:bookmarkEnd w:id="53"/>
      <w:r w:rsidR="00280A64">
        <w:t>:</w:t>
      </w:r>
    </w:p>
    <w:p w14:paraId="1AE18BBD" w14:textId="77777777" w:rsidR="00365AED" w:rsidRDefault="00365AED" w:rsidP="00365AED">
      <w:pPr>
        <w:pStyle w:val="BodyText2"/>
      </w:pPr>
      <w:r>
        <w:t xml:space="preserve">address </w:t>
      </w:r>
      <w:r w:rsidRPr="007F3C4F">
        <w:t xml:space="preserve">the effects of </w:t>
      </w:r>
      <w:r>
        <w:t xml:space="preserve">an ADI’s involvement in </w:t>
      </w:r>
      <w:r w:rsidRPr="007F3C4F">
        <w:t xml:space="preserve">securitisation on its risk profile, including credit </w:t>
      </w:r>
      <w:r>
        <w:t xml:space="preserve">risk, liquidity risk </w:t>
      </w:r>
      <w:r w:rsidRPr="007F3C4F">
        <w:t>and</w:t>
      </w:r>
      <w:r>
        <w:t>, where relevant, capital adequacy</w:t>
      </w:r>
      <w:r w:rsidRPr="007F3C4F">
        <w:t>; and</w:t>
      </w:r>
    </w:p>
    <w:p w14:paraId="1AE18BBE" w14:textId="77777777" w:rsidR="00365AED" w:rsidRDefault="00365AED" w:rsidP="00365AED">
      <w:pPr>
        <w:pStyle w:val="BodyText2"/>
      </w:pPr>
      <w:r>
        <w:t xml:space="preserve">address any reputational risk and how the ADI will ensure that it is not </w:t>
      </w:r>
      <w:r w:rsidRPr="007F3C4F">
        <w:t xml:space="preserve">providing implicit support </w:t>
      </w:r>
      <w:r>
        <w:t>to</w:t>
      </w:r>
      <w:r w:rsidRPr="007F3C4F">
        <w:t xml:space="preserve"> a securitisation</w:t>
      </w:r>
      <w:r>
        <w:t>.</w:t>
      </w:r>
    </w:p>
    <w:p w14:paraId="1AE18BBF" w14:textId="77777777" w:rsidR="00365AED" w:rsidRDefault="00365AED" w:rsidP="00365AED">
      <w:pPr>
        <w:pStyle w:val="Heading1"/>
      </w:pPr>
      <w:bookmarkStart w:id="54" w:name="_Toc465172383"/>
      <w:r>
        <w:t>Self-assessment</w:t>
      </w:r>
      <w:bookmarkEnd w:id="54"/>
    </w:p>
    <w:p w14:paraId="1AE18BC0" w14:textId="77777777" w:rsidR="00365AED" w:rsidRDefault="00365AED" w:rsidP="00365AED">
      <w:pPr>
        <w:pStyle w:val="BodyText1"/>
      </w:pPr>
      <w:bookmarkStart w:id="55" w:name="_Ref464804298"/>
      <w:r w:rsidRPr="007F3C4F">
        <w:t>An ADI must assess, in writing, each securitisation in which it participates</w:t>
      </w:r>
      <w:r>
        <w:t>.</w:t>
      </w:r>
      <w:r w:rsidRPr="007F3C4F">
        <w:t xml:space="preserve"> </w:t>
      </w:r>
      <w:r>
        <w:t>T</w:t>
      </w:r>
      <w:r w:rsidRPr="007F3C4F">
        <w:t>he assessment must demonstrate compliance with this Prudential Standard including</w:t>
      </w:r>
      <w:r>
        <w:t>, where relevant,</w:t>
      </w:r>
      <w:r w:rsidRPr="007F3C4F">
        <w:t xml:space="preserve"> the applicable regulatory capital treatment.</w:t>
      </w:r>
      <w:r>
        <w:t xml:space="preserve"> An ADI must provide to APRA, upon request, copies of an assessment and any documentation (e.g. transaction and disclosure documentation) as well as any legal or accounting advice associated with its participation in the securitisation.</w:t>
      </w:r>
      <w:bookmarkEnd w:id="55"/>
    </w:p>
    <w:p w14:paraId="1AE18BC1" w14:textId="77777777" w:rsidR="00365AED" w:rsidRDefault="00365AED" w:rsidP="00365AED">
      <w:pPr>
        <w:pStyle w:val="BodyText1"/>
      </w:pPr>
      <w:r>
        <w:t xml:space="preserve">An originating ADI must designate a securitisation at inception as eligible for regulatory capital relief or as funding-only. </w:t>
      </w:r>
      <w:r w:rsidRPr="00AB4F4B">
        <w:t xml:space="preserve">An originating ADI must meet all requirements for </w:t>
      </w:r>
      <w:r>
        <w:t xml:space="preserve">either </w:t>
      </w:r>
      <w:r w:rsidRPr="00AB4F4B">
        <w:t>regulatory capital relief (including significant credit risk transfer) or for funding-only, from the inception of the securitisation upon such designation.</w:t>
      </w:r>
      <w:r>
        <w:t xml:space="preserve"> An originating ADI must not switch treatment after designation, unless it switches from a funding-only securitisation to a securitisation for regulatory capital relief where it meets all the requirements for regulatory capital relief, including significant credit risk transfer.</w:t>
      </w:r>
    </w:p>
    <w:p w14:paraId="1AE18BC2" w14:textId="77777777" w:rsidR="00365AED" w:rsidRDefault="00365AED" w:rsidP="00365AED">
      <w:pPr>
        <w:pStyle w:val="Heading1"/>
      </w:pPr>
      <w:bookmarkStart w:id="56" w:name="_Toc465172384"/>
      <w:r>
        <w:t>Transitional provisions</w:t>
      </w:r>
      <w:bookmarkEnd w:id="56"/>
    </w:p>
    <w:p w14:paraId="1AE18BC3" w14:textId="77777777" w:rsidR="00365AED" w:rsidRPr="00365AED" w:rsidRDefault="00365AED" w:rsidP="00365AED">
      <w:pPr>
        <w:pStyle w:val="BodyText1"/>
      </w:pPr>
      <w:r>
        <w:rPr>
          <w:rFonts w:cstheme="minorHAnsi"/>
        </w:rPr>
        <w:t xml:space="preserve">For the purposes of these transitional provisions, ‘the </w:t>
      </w:r>
      <w:r w:rsidRPr="004E25FE">
        <w:rPr>
          <w:rFonts w:cstheme="minorHAnsi"/>
        </w:rPr>
        <w:t>previous APS 120</w:t>
      </w:r>
      <w:r>
        <w:rPr>
          <w:rFonts w:cstheme="minorHAnsi"/>
        </w:rPr>
        <w:t>’</w:t>
      </w:r>
      <w:r w:rsidRPr="006C5C1B">
        <w:rPr>
          <w:rFonts w:cstheme="minorHAnsi"/>
        </w:rPr>
        <w:t xml:space="preserve"> means </w:t>
      </w:r>
      <w:r w:rsidRPr="006C5C1B">
        <w:rPr>
          <w:rFonts w:cstheme="minorHAnsi"/>
          <w:i/>
        </w:rPr>
        <w:t>Prudential Standard APS 120 Securitisation</w:t>
      </w:r>
      <w:r w:rsidRPr="006C5C1B">
        <w:rPr>
          <w:rFonts w:cstheme="minorHAnsi"/>
        </w:rPr>
        <w:t xml:space="preserve"> made on 3 December 2014 by Banking (prudential standard) determination No. 7 of 2014</w:t>
      </w:r>
      <w:r w:rsidR="00A2654C">
        <w:rPr>
          <w:rFonts w:cstheme="minorHAnsi"/>
        </w:rPr>
        <w:t>.</w:t>
      </w:r>
    </w:p>
    <w:p w14:paraId="1AE18BC4" w14:textId="77777777" w:rsidR="00365AED" w:rsidRDefault="00365AED" w:rsidP="00365AED">
      <w:pPr>
        <w:pStyle w:val="BodyText1"/>
      </w:pPr>
      <w:bookmarkStart w:id="57" w:name="_Ref464815686"/>
      <w:r>
        <w:t xml:space="preserve">An </w:t>
      </w:r>
      <w:r w:rsidRPr="00A21D58">
        <w:t xml:space="preserve">originating ADI may </w:t>
      </w:r>
      <w:r>
        <w:t xml:space="preserve">continue to exclude </w:t>
      </w:r>
      <w:r w:rsidRPr="002947CD">
        <w:t xml:space="preserve">the underlying </w:t>
      </w:r>
      <w:r>
        <w:t xml:space="preserve">pool of </w:t>
      </w:r>
      <w:r w:rsidRPr="002947CD">
        <w:t xml:space="preserve">exposures in the calculation of its </w:t>
      </w:r>
      <w:r w:rsidRPr="00D1370A">
        <w:t>regulatory capital</w:t>
      </w:r>
      <w:r w:rsidRPr="00867272">
        <w:t xml:space="preserve"> for credit</w:t>
      </w:r>
      <w:r w:rsidRPr="002947CD">
        <w:t xml:space="preserve"> risk</w:t>
      </w:r>
      <w:r>
        <w:t xml:space="preserve"> under APS 112 or APS 113 where the securitisation</w:t>
      </w:r>
      <w:r w:rsidRPr="00A21D58">
        <w:t xml:space="preserve"> </w:t>
      </w:r>
      <w:r>
        <w:t>was</w:t>
      </w:r>
      <w:r w:rsidRPr="00A21D58">
        <w:t xml:space="preserve"> in existence immediately </w:t>
      </w:r>
      <w:r>
        <w:t>prior to</w:t>
      </w:r>
      <w:r w:rsidRPr="00A21D58">
        <w:t xml:space="preserve"> 1 January 2018</w:t>
      </w:r>
      <w:r>
        <w:t xml:space="preserve"> and in relation to which the originating ADI complied with the operational </w:t>
      </w:r>
      <w:r>
        <w:lastRenderedPageBreak/>
        <w:t>requirements for regulatory capital relief of the previous APS 120. It may do so only until the first date at which a clean-up call may be exercised.</w:t>
      </w:r>
      <w:bookmarkEnd w:id="57"/>
      <w:r w:rsidR="00A2654C">
        <w:rPr>
          <w:rStyle w:val="FootnoteReference"/>
        </w:rPr>
        <w:footnoteReference w:id="27"/>
      </w:r>
    </w:p>
    <w:p w14:paraId="1AE18BC5" w14:textId="77777777" w:rsidR="00365AED" w:rsidRDefault="00365AED" w:rsidP="00365AED">
      <w:pPr>
        <w:pStyle w:val="BodyText1"/>
      </w:pPr>
      <w:bookmarkStart w:id="58" w:name="_Ref465157103"/>
      <w:r>
        <w:t>For any services or facilities agreements which were in existence immediately prior to 1 January 2018 and in relation to which the ADI complied with the previous APS 120</w:t>
      </w:r>
      <w:r w:rsidRPr="00F212CA">
        <w:t xml:space="preserve">, </w:t>
      </w:r>
      <w:r>
        <w:t xml:space="preserve">the ADI may treat </w:t>
      </w:r>
      <w:r w:rsidRPr="00F212CA">
        <w:t xml:space="preserve">the services </w:t>
      </w:r>
      <w:r>
        <w:t xml:space="preserve">or facilities agreement </w:t>
      </w:r>
      <w:r w:rsidRPr="00F212CA">
        <w:t xml:space="preserve">as if the provisions of </w:t>
      </w:r>
      <w:r>
        <w:t>Attachment D</w:t>
      </w:r>
      <w:r w:rsidRPr="00F212CA">
        <w:t xml:space="preserve"> </w:t>
      </w:r>
      <w:r>
        <w:t xml:space="preserve">of this </w:t>
      </w:r>
      <w:r w:rsidRPr="00F212CA">
        <w:t xml:space="preserve">Prudential Standard </w:t>
      </w:r>
      <w:r>
        <w:t xml:space="preserve">that are </w:t>
      </w:r>
      <w:r w:rsidRPr="00F212CA">
        <w:t xml:space="preserve">applicable to </w:t>
      </w:r>
      <w:r>
        <w:t xml:space="preserve">facilities and services agreements </w:t>
      </w:r>
      <w:r w:rsidRPr="00F212CA">
        <w:t>are met.</w:t>
      </w:r>
      <w:r w:rsidRPr="00F57436">
        <w:t xml:space="preserve"> It may do so only </w:t>
      </w:r>
      <w:r>
        <w:t>until either:</w:t>
      </w:r>
      <w:bookmarkEnd w:id="58"/>
    </w:p>
    <w:p w14:paraId="1AE18BC6" w14:textId="77777777" w:rsidR="00365AED" w:rsidRDefault="00365AED" w:rsidP="00365AED">
      <w:pPr>
        <w:pStyle w:val="BodyText2"/>
      </w:pPr>
      <w:r>
        <w:t>the termination of the agreement; or</w:t>
      </w:r>
    </w:p>
    <w:p w14:paraId="1AE18BC7" w14:textId="77777777" w:rsidR="00365AED" w:rsidRDefault="00365AED" w:rsidP="00365AED">
      <w:pPr>
        <w:pStyle w:val="BodyText2"/>
      </w:pPr>
      <w:r w:rsidRPr="00DA650D">
        <w:t>the first date upon which the agreement may be renewed</w:t>
      </w:r>
      <w:r>
        <w:t xml:space="preserve"> or cancelled, at the option of the parties to the agreement.</w:t>
      </w:r>
    </w:p>
    <w:p w14:paraId="1AE18BC8" w14:textId="341FEF10" w:rsidR="00365AED" w:rsidRDefault="00365AED" w:rsidP="00365AED">
      <w:pPr>
        <w:pStyle w:val="BodyText1"/>
      </w:pPr>
      <w:r>
        <w:t xml:space="preserve">For the avoidance of doubt, an ADI eligible for transition under paragraphs </w:t>
      </w:r>
      <w:r>
        <w:fldChar w:fldCharType="begin"/>
      </w:r>
      <w:r>
        <w:instrText xml:space="preserve"> REF _Ref464815686 \r \h </w:instrText>
      </w:r>
      <w:r>
        <w:fldChar w:fldCharType="separate"/>
      </w:r>
      <w:r w:rsidR="00642B90">
        <w:t>76</w:t>
      </w:r>
      <w:r>
        <w:fldChar w:fldCharType="end"/>
      </w:r>
      <w:r>
        <w:t xml:space="preserve"> and </w:t>
      </w:r>
      <w:r w:rsidR="00A2654C">
        <w:fldChar w:fldCharType="begin"/>
      </w:r>
      <w:r w:rsidR="00A2654C">
        <w:instrText xml:space="preserve"> REF _Ref465157103 \r \h </w:instrText>
      </w:r>
      <w:r w:rsidR="00A2654C">
        <w:fldChar w:fldCharType="separate"/>
      </w:r>
      <w:r w:rsidR="00642B90">
        <w:t>77</w:t>
      </w:r>
      <w:r w:rsidR="00A2654C">
        <w:fldChar w:fldCharType="end"/>
      </w:r>
      <w:r w:rsidR="00A2654C">
        <w:t xml:space="preserve"> </w:t>
      </w:r>
      <w:r>
        <w:t xml:space="preserve">must hold regulatory capital </w:t>
      </w:r>
      <w:r w:rsidRPr="00884B4E">
        <w:t xml:space="preserve">in respect of credit risk for </w:t>
      </w:r>
      <w:r>
        <w:t xml:space="preserve">any </w:t>
      </w:r>
      <w:r w:rsidRPr="00884B4E">
        <w:t xml:space="preserve">facilities or exposures to </w:t>
      </w:r>
      <w:r>
        <w:t>an</w:t>
      </w:r>
      <w:r w:rsidRPr="00884B4E">
        <w:t xml:space="preserve"> SPV</w:t>
      </w:r>
      <w:r>
        <w:t xml:space="preserve"> in accordance with Attachment C.</w:t>
      </w:r>
    </w:p>
    <w:p w14:paraId="1AE18BC9" w14:textId="77777777" w:rsidR="00365AED" w:rsidRDefault="00365AED" w:rsidP="00365AED">
      <w:pPr>
        <w:pStyle w:val="Heading1"/>
      </w:pPr>
      <w:bookmarkStart w:id="59" w:name="_Toc465172385"/>
      <w:r>
        <w:t>Prior notification</w:t>
      </w:r>
      <w:bookmarkEnd w:id="59"/>
    </w:p>
    <w:p w14:paraId="1AE18BCA" w14:textId="77777777" w:rsidR="00365AED" w:rsidRDefault="00365AED" w:rsidP="00365AED">
      <w:pPr>
        <w:pStyle w:val="BodyText1"/>
      </w:pPr>
      <w:r>
        <w:t>P</w:t>
      </w:r>
      <w:r w:rsidRPr="00A46689">
        <w:t>rior</w:t>
      </w:r>
      <w:r>
        <w:t xml:space="preserve"> </w:t>
      </w:r>
      <w:r w:rsidRPr="00A46689">
        <w:t xml:space="preserve">to entering into a </w:t>
      </w:r>
      <w:r>
        <w:t xml:space="preserve">funding </w:t>
      </w:r>
      <w:r w:rsidRPr="00A46689">
        <w:t xml:space="preserve">arrangement </w:t>
      </w:r>
      <w:r>
        <w:t xml:space="preserve">involving an ADI providing another party </w:t>
      </w:r>
      <w:r w:rsidRPr="00A46689">
        <w:t>an interest in</w:t>
      </w:r>
      <w:r>
        <w:t xml:space="preserve"> the ADI’s assets</w:t>
      </w:r>
      <w:r w:rsidRPr="00A46689">
        <w:t>,</w:t>
      </w:r>
      <w:r>
        <w:t xml:space="preserve"> the ADI must notify APRA of the proposed arrangement, except in relation to:</w:t>
      </w:r>
    </w:p>
    <w:p w14:paraId="1AE18BCB" w14:textId="77777777" w:rsidR="00365AED" w:rsidRDefault="00365AED" w:rsidP="00365AED">
      <w:pPr>
        <w:pStyle w:val="BodyText2"/>
      </w:pPr>
      <w:r w:rsidRPr="00462798">
        <w:t>a covered bond issued consistent with Division 3A of Part II of the Banking Act</w:t>
      </w:r>
      <w:r>
        <w:t>;</w:t>
      </w:r>
    </w:p>
    <w:p w14:paraId="1AE18BCC" w14:textId="77777777" w:rsidR="00365AED" w:rsidRDefault="00365AED" w:rsidP="00365AED">
      <w:pPr>
        <w:pStyle w:val="BodyText2"/>
      </w:pPr>
      <w:r>
        <w:t>a covered bond issued or originated by an overseas Level 2 banking subsidiary in accordance with the requirements of its regulator;</w:t>
      </w:r>
    </w:p>
    <w:p w14:paraId="1AE18BCD" w14:textId="77777777" w:rsidR="00365AED" w:rsidRDefault="00365AED" w:rsidP="00365AED">
      <w:pPr>
        <w:pStyle w:val="BodyText2"/>
      </w:pPr>
      <w:r w:rsidRPr="00462798">
        <w:t xml:space="preserve">a securitisation that complies with the </w:t>
      </w:r>
      <w:r>
        <w:t xml:space="preserve">operational </w:t>
      </w:r>
      <w:r w:rsidRPr="00462798">
        <w:t xml:space="preserve">requirements for </w:t>
      </w:r>
      <w:r>
        <w:t xml:space="preserve">regulatory capital </w:t>
      </w:r>
      <w:r w:rsidRPr="00462798">
        <w:t>relief (refer to Attachment A)</w:t>
      </w:r>
      <w:r>
        <w:t>;</w:t>
      </w:r>
    </w:p>
    <w:p w14:paraId="1AE18BCE" w14:textId="77777777" w:rsidR="00365AED" w:rsidRDefault="00365AED" w:rsidP="00365AED">
      <w:pPr>
        <w:pStyle w:val="BodyText2"/>
      </w:pPr>
      <w:r>
        <w:t>a securitisation that complies with t</w:t>
      </w:r>
      <w:r w:rsidRPr="00462798">
        <w:t xml:space="preserve">he </w:t>
      </w:r>
      <w:r>
        <w:t xml:space="preserve">operational </w:t>
      </w:r>
      <w:r w:rsidRPr="00462798">
        <w:t>requirements for funding-only (refer to Attachment B)</w:t>
      </w:r>
      <w:r>
        <w:t>;</w:t>
      </w:r>
    </w:p>
    <w:p w14:paraId="1AE18BCF" w14:textId="77777777" w:rsidR="00365AED" w:rsidRDefault="00365AED" w:rsidP="00365AED">
      <w:pPr>
        <w:pStyle w:val="BodyText2"/>
      </w:pPr>
      <w:r>
        <w:t>a synthetic securitisation that complies with the requirements in this Prudential Standard;</w:t>
      </w:r>
    </w:p>
    <w:p w14:paraId="1AE18BD0" w14:textId="77777777" w:rsidR="00365AED" w:rsidRDefault="00F821D6" w:rsidP="00365AED">
      <w:pPr>
        <w:pStyle w:val="BodyText2"/>
      </w:pPr>
      <w:r w:rsidRPr="00544751">
        <w:t xml:space="preserve">repurchase agreements </w:t>
      </w:r>
      <w:r>
        <w:t xml:space="preserve">over </w:t>
      </w:r>
      <w:r w:rsidRPr="00544751">
        <w:t>marketable (publicly</w:t>
      </w:r>
      <w:r>
        <w:t xml:space="preserve"> </w:t>
      </w:r>
      <w:r w:rsidRPr="00544751">
        <w:t>rated, tradeable)</w:t>
      </w:r>
      <w:r>
        <w:t xml:space="preserve"> securities;</w:t>
      </w:r>
    </w:p>
    <w:p w14:paraId="1AE18BD1" w14:textId="77777777" w:rsidR="00F821D6" w:rsidRDefault="00F821D6" w:rsidP="00365AED">
      <w:pPr>
        <w:pStyle w:val="BodyText2"/>
      </w:pPr>
      <w:r w:rsidRPr="00A72D70">
        <w:t>securities lending agreements</w:t>
      </w:r>
      <w:r>
        <w:t>; or</w:t>
      </w:r>
    </w:p>
    <w:p w14:paraId="1AE18BD2" w14:textId="77777777" w:rsidR="00F821D6" w:rsidRDefault="00F821D6" w:rsidP="00365AED">
      <w:pPr>
        <w:pStyle w:val="BodyText2"/>
      </w:pPr>
      <w:r w:rsidRPr="00A72D70">
        <w:t>agreements which provide for collateral as a part of over</w:t>
      </w:r>
      <w:r>
        <w:t>-</w:t>
      </w:r>
      <w:r w:rsidRPr="00A72D70">
        <w:t>the</w:t>
      </w:r>
      <w:r>
        <w:t>-</w:t>
      </w:r>
      <w:r w:rsidRPr="00A72D70">
        <w:t>counter or centrally</w:t>
      </w:r>
      <w:r>
        <w:t>-</w:t>
      </w:r>
      <w:r w:rsidRPr="00A72D70">
        <w:t>cleared derivative</w:t>
      </w:r>
      <w:r>
        <w:t>s</w:t>
      </w:r>
      <w:r w:rsidRPr="00A72D70">
        <w:t xml:space="preserve"> transactions</w:t>
      </w:r>
      <w:r>
        <w:t>.</w:t>
      </w:r>
    </w:p>
    <w:p w14:paraId="1AE18BD3" w14:textId="77777777" w:rsidR="00F821D6" w:rsidRDefault="00F821D6" w:rsidP="00F821D6">
      <w:pPr>
        <w:pStyle w:val="BodyText1"/>
      </w:pPr>
      <w:bookmarkStart w:id="60" w:name="_Ref465157142"/>
      <w:r w:rsidRPr="00C00F04">
        <w:t xml:space="preserve">As part of its notification to APRA, </w:t>
      </w:r>
      <w:r>
        <w:t>an</w:t>
      </w:r>
      <w:r w:rsidRPr="00C00F04">
        <w:t xml:space="preserve"> ADI</w:t>
      </w:r>
      <w:r>
        <w:t xml:space="preserve"> </w:t>
      </w:r>
      <w:r w:rsidRPr="00C00F04">
        <w:t xml:space="preserve">must establish to APRA’s satisfaction that the arrangement does </w:t>
      </w:r>
      <w:r w:rsidRPr="00AC57D4">
        <w:t xml:space="preserve">not entail </w:t>
      </w:r>
      <w:r>
        <w:t xml:space="preserve">any </w:t>
      </w:r>
      <w:r w:rsidRPr="00AC57D4">
        <w:t xml:space="preserve">other party to the arrangement achieving, </w:t>
      </w:r>
      <w:r w:rsidRPr="00AC57D4">
        <w:lastRenderedPageBreak/>
        <w:t xml:space="preserve">even in limited or unlikely circumstances, </w:t>
      </w:r>
      <w:r w:rsidRPr="00A85802">
        <w:t>an effective recourse to any pool of assets covered by the arrangement in preference to claims on assets of the ADI established under subsections 13A(3)(a) to (e) of the Banking Act</w:t>
      </w:r>
      <w:r>
        <w:t>.</w:t>
      </w:r>
      <w:bookmarkEnd w:id="60"/>
    </w:p>
    <w:p w14:paraId="1AE18BD4" w14:textId="038F8DDB" w:rsidR="00F821D6" w:rsidRDefault="00F821D6" w:rsidP="00F821D6">
      <w:pPr>
        <w:pStyle w:val="BodyText1"/>
      </w:pPr>
      <w:r w:rsidRPr="00DB50E5">
        <w:t xml:space="preserve">In the event that an ADI cannot </w:t>
      </w:r>
      <w:r>
        <w:t>satisfy</w:t>
      </w:r>
      <w:r w:rsidRPr="00DB50E5">
        <w:t xml:space="preserve"> APRA </w:t>
      </w:r>
      <w:r>
        <w:t>as to the ADI’s compliance with</w:t>
      </w:r>
      <w:r w:rsidRPr="00DB50E5">
        <w:t xml:space="preserve"> paragraph</w:t>
      </w:r>
      <w:r>
        <w:t xml:space="preserve"> </w:t>
      </w:r>
      <w:r w:rsidR="00DF52A8">
        <w:fldChar w:fldCharType="begin"/>
      </w:r>
      <w:r w:rsidR="00DF52A8">
        <w:instrText xml:space="preserve"> REF _Ref465157142 \r \h </w:instrText>
      </w:r>
      <w:r w:rsidR="00DF52A8">
        <w:fldChar w:fldCharType="separate"/>
      </w:r>
      <w:r w:rsidR="00642B90">
        <w:t>80</w:t>
      </w:r>
      <w:r w:rsidR="00DF52A8">
        <w:fldChar w:fldCharType="end"/>
      </w:r>
      <w:r w:rsidRPr="00DB50E5">
        <w:t>, the ADI must</w:t>
      </w:r>
      <w:r>
        <w:t>,</w:t>
      </w:r>
      <w:r w:rsidRPr="00DB50E5">
        <w:t xml:space="preserve"> for the purposes of calculating its capital adequacy (on both a Level 1 and Level 2 basis) under </w:t>
      </w:r>
      <w:r w:rsidRPr="00FE16E8">
        <w:rPr>
          <w:i/>
        </w:rPr>
        <w:t>Prudential Standard APS 110 Capital Adequacy</w:t>
      </w:r>
      <w:r w:rsidRPr="00DB50E5">
        <w:t xml:space="preserve">, deduct those assets in the pool from the ADI’s Common Equity Tier 1 </w:t>
      </w:r>
      <w:r>
        <w:t>C</w:t>
      </w:r>
      <w:r w:rsidRPr="00DB50E5">
        <w:t xml:space="preserve">apital, and not include those assets in the ADI’s assets for </w:t>
      </w:r>
      <w:r>
        <w:t xml:space="preserve">the </w:t>
      </w:r>
      <w:r w:rsidRPr="00DB50E5">
        <w:t>purposes of subsection 13A(4)</w:t>
      </w:r>
      <w:r>
        <w:t>(a)</w:t>
      </w:r>
      <w:r w:rsidRPr="00DB50E5">
        <w:t xml:space="preserve"> of the Banking Act</w:t>
      </w:r>
      <w:r>
        <w:t>.</w:t>
      </w:r>
    </w:p>
    <w:p w14:paraId="1AE18BD5" w14:textId="338C2ED1" w:rsidR="00F821D6" w:rsidRDefault="00F821D6" w:rsidP="00F821D6">
      <w:pPr>
        <w:pStyle w:val="BodyText1"/>
      </w:pPr>
      <w:r w:rsidRPr="00DB50E5">
        <w:t xml:space="preserve">For those arrangements where APRA is satisfied </w:t>
      </w:r>
      <w:r>
        <w:t>with an ADI’s compliance with</w:t>
      </w:r>
      <w:r w:rsidRPr="00DB50E5">
        <w:t xml:space="preserve"> paragraph</w:t>
      </w:r>
      <w:r w:rsidR="00A2654C">
        <w:t xml:space="preserve"> </w:t>
      </w:r>
      <w:r w:rsidR="00A2654C">
        <w:fldChar w:fldCharType="begin"/>
      </w:r>
      <w:r w:rsidR="00A2654C">
        <w:instrText xml:space="preserve"> REF _Ref465157142 \r \h </w:instrText>
      </w:r>
      <w:r w:rsidR="00A2654C">
        <w:fldChar w:fldCharType="separate"/>
      </w:r>
      <w:r w:rsidR="00642B90">
        <w:t>80</w:t>
      </w:r>
      <w:r w:rsidR="00A2654C">
        <w:fldChar w:fldCharType="end"/>
      </w:r>
      <w:r w:rsidRPr="00DB50E5">
        <w:t xml:space="preserve">, APRA will notify the ADI how the ADI’s exposures, if any, associated with the arrangement must be treated for </w:t>
      </w:r>
      <w:r>
        <w:t xml:space="preserve">the </w:t>
      </w:r>
      <w:r w:rsidRPr="00DB50E5">
        <w:t xml:space="preserve">purposes of </w:t>
      </w:r>
      <w:r w:rsidR="00EC4A3A" w:rsidRPr="00EC4A3A">
        <w:rPr>
          <w:i/>
        </w:rPr>
        <w:t xml:space="preserve">Prudential Standard </w:t>
      </w:r>
      <w:r w:rsidRPr="00EC4A3A">
        <w:rPr>
          <w:i/>
        </w:rPr>
        <w:t>APS 111</w:t>
      </w:r>
      <w:r w:rsidR="00EC4A3A" w:rsidRPr="00EC4A3A">
        <w:rPr>
          <w:i/>
        </w:rPr>
        <w:t xml:space="preserve"> Capital Adequacy: Measurement of Capital</w:t>
      </w:r>
      <w:r w:rsidRPr="00DB50E5">
        <w:t>, APS 112 or APS 113</w:t>
      </w:r>
      <w:r>
        <w:t xml:space="preserve"> or any other Prudential Standard</w:t>
      </w:r>
      <w:r w:rsidRPr="00DB50E5">
        <w:t>, as relevant.</w:t>
      </w:r>
      <w:r>
        <w:t xml:space="preserve"> </w:t>
      </w:r>
      <w:r w:rsidRPr="00DB50E5">
        <w:t xml:space="preserve">APRA may determine that such exposures </w:t>
      </w:r>
      <w:r>
        <w:t>must</w:t>
      </w:r>
      <w:r w:rsidRPr="00DB50E5">
        <w:t xml:space="preserve"> also be deducted from the ADI’s Common Equity Tier 1 </w:t>
      </w:r>
      <w:r>
        <w:t>C</w:t>
      </w:r>
      <w:r w:rsidRPr="00DB50E5">
        <w:t>apital (on a Level 1 and Level 2 basis</w:t>
      </w:r>
      <w:r>
        <w:t>).</w:t>
      </w:r>
    </w:p>
    <w:p w14:paraId="1AE18BD6" w14:textId="77777777" w:rsidR="00F821D6" w:rsidRDefault="00F821D6" w:rsidP="00F821D6">
      <w:pPr>
        <w:pStyle w:val="Heading1"/>
      </w:pPr>
      <w:bookmarkStart w:id="61" w:name="_Toc465172386"/>
      <w:r>
        <w:t>Adjustments and exclusions</w:t>
      </w:r>
      <w:bookmarkEnd w:id="61"/>
    </w:p>
    <w:p w14:paraId="1AE18BD7" w14:textId="77777777" w:rsidR="00F821D6" w:rsidRDefault="00F821D6" w:rsidP="00F821D6">
      <w:pPr>
        <w:pStyle w:val="BodyText1"/>
      </w:pPr>
      <w:r w:rsidRPr="00952EEC">
        <w:t xml:space="preserve">APRA may adjust or exclude a specific requirement in this Prudential Standard in relation to </w:t>
      </w:r>
      <w:r>
        <w:t xml:space="preserve">an </w:t>
      </w:r>
      <w:r w:rsidRPr="00952EEC">
        <w:t>ADI</w:t>
      </w:r>
      <w:r w:rsidRPr="007F3C4F">
        <w:t>.</w:t>
      </w:r>
      <w:r w:rsidR="00A2654C">
        <w:rPr>
          <w:rStyle w:val="FootnoteReference"/>
        </w:rPr>
        <w:footnoteReference w:id="28"/>
      </w:r>
    </w:p>
    <w:p w14:paraId="1AE18BD8" w14:textId="77777777" w:rsidR="00F821D6" w:rsidRDefault="00F821D6" w:rsidP="00F821D6">
      <w:pPr>
        <w:pStyle w:val="Heading1"/>
      </w:pPr>
      <w:bookmarkStart w:id="62" w:name="_Toc465172387"/>
      <w:r>
        <w:t>Previous exercise of discretion</w:t>
      </w:r>
      <w:bookmarkEnd w:id="62"/>
    </w:p>
    <w:p w14:paraId="1AE18BDA" w14:textId="14B9B4F9" w:rsidR="0038413F" w:rsidRDefault="00D66F11" w:rsidP="00FF51CC">
      <w:pPr>
        <w:pStyle w:val="BodyText1"/>
      </w:pPr>
      <w:r>
        <w:t xml:space="preserve">An exercise of APRA’s discretion (such as an approval, waiver or direction) under a previous version of this Prudential Standard continues to have effect as though exercised pursuant to a corresponding power (if any) exercisable by APRA under this Prudential Standard. </w:t>
      </w:r>
    </w:p>
    <w:p w14:paraId="1AE18BDB" w14:textId="77777777" w:rsidR="00DF539C" w:rsidRDefault="00DF539C" w:rsidP="0038413F">
      <w:pPr>
        <w:pStyle w:val="BodyText1"/>
        <w:numPr>
          <w:ilvl w:val="0"/>
          <w:numId w:val="0"/>
        </w:numPr>
        <w:sectPr w:rsidR="00DF539C" w:rsidSect="000D63A8">
          <w:pgSz w:w="11906" w:h="16838" w:code="9"/>
          <w:pgMar w:top="1440" w:right="1797" w:bottom="1440" w:left="1797" w:header="709" w:footer="709" w:gutter="0"/>
          <w:cols w:space="708"/>
          <w:docGrid w:linePitch="360"/>
        </w:sectPr>
      </w:pPr>
    </w:p>
    <w:p w14:paraId="1AE18BDC" w14:textId="119F1FF4" w:rsidR="0038413F" w:rsidRPr="001F6B8D" w:rsidRDefault="00E16DD9" w:rsidP="001F6B8D">
      <w:pPr>
        <w:pStyle w:val="Heading2"/>
        <w:tabs>
          <w:tab w:val="left" w:pos="2910"/>
        </w:tabs>
      </w:pPr>
      <w:bookmarkStart w:id="63" w:name="_Toc465172388"/>
      <w:r w:rsidRPr="001F6B8D">
        <w:lastRenderedPageBreak/>
        <w:t xml:space="preserve">Attachment </w:t>
      </w:r>
      <w:r w:rsidR="00B766FA" w:rsidRPr="001F6B8D">
        <w:rPr>
          <w:rStyle w:val="Attachmentfieldtext"/>
        </w:rPr>
        <w:fldChar w:fldCharType="begin"/>
      </w:r>
      <w:r w:rsidR="00B766FA" w:rsidRPr="001F6B8D">
        <w:rPr>
          <w:rStyle w:val="Attachmentfieldtext"/>
        </w:rPr>
        <w:instrText xml:space="preserve"> SEQ Attach \* ALPHABETIC \* MERGEFORMAT </w:instrText>
      </w:r>
      <w:r w:rsidR="00B766FA" w:rsidRPr="001F6B8D">
        <w:rPr>
          <w:rStyle w:val="Attachmentfieldtext"/>
        </w:rPr>
        <w:fldChar w:fldCharType="separate"/>
      </w:r>
      <w:r w:rsidR="00642B90">
        <w:rPr>
          <w:rStyle w:val="Attachmentfieldtext"/>
          <w:noProof/>
        </w:rPr>
        <w:t>A</w:t>
      </w:r>
      <w:r w:rsidR="00B766FA" w:rsidRPr="001F6B8D">
        <w:rPr>
          <w:rStyle w:val="Attachmentfieldtext"/>
        </w:rPr>
        <w:fldChar w:fldCharType="end"/>
      </w:r>
      <w:r w:rsidR="00F821D6">
        <w:t xml:space="preserve"> —</w:t>
      </w:r>
      <w:r w:rsidR="001F6B8D" w:rsidRPr="001F6B8D">
        <w:t xml:space="preserve"> </w:t>
      </w:r>
      <w:r w:rsidR="00670EB1">
        <w:t>Operational requirements for regulatory capital relief</w:t>
      </w:r>
      <w:bookmarkEnd w:id="63"/>
    </w:p>
    <w:p w14:paraId="1AE18BDD" w14:textId="77777777" w:rsidR="007D2D7F" w:rsidRPr="008B1611" w:rsidRDefault="00670EB1" w:rsidP="00C031E4">
      <w:pPr>
        <w:pStyle w:val="Attachmentsub-heading"/>
      </w:pPr>
      <w:r w:rsidRPr="008B1611">
        <w:t>Significant credit risk transfer</w:t>
      </w:r>
    </w:p>
    <w:p w14:paraId="1AE18BDE" w14:textId="77777777" w:rsidR="00670EB1" w:rsidRDefault="00670EB1" w:rsidP="00670EB1">
      <w:pPr>
        <w:pStyle w:val="BodyText1"/>
        <w:numPr>
          <w:ilvl w:val="0"/>
          <w:numId w:val="23"/>
        </w:numPr>
      </w:pPr>
      <w:bookmarkStart w:id="64" w:name="_Ref465157328"/>
      <w:r>
        <w:t>In order to obtain regulatory capital relief, an originating ADI must ensure that significant credit risk associated with the underlying pool of exposures has been transferred to third parties. For this purpose, an originating ADI and any member of</w:t>
      </w:r>
      <w:r w:rsidR="00A2654C">
        <w:t xml:space="preserve"> a group to which an ADI belongs</w:t>
      </w:r>
      <w:r w:rsidR="00A2654C">
        <w:rPr>
          <w:rStyle w:val="FootnoteReference"/>
        </w:rPr>
        <w:footnoteReference w:id="29"/>
      </w:r>
      <w:r>
        <w:t xml:space="preserve"> must not, in aggregate and at any time:</w:t>
      </w:r>
      <w:bookmarkEnd w:id="64"/>
    </w:p>
    <w:p w14:paraId="1AE18BDF" w14:textId="77777777" w:rsidR="00670EB1" w:rsidRDefault="00670EB1" w:rsidP="00670EB1">
      <w:pPr>
        <w:pStyle w:val="BodyText2"/>
      </w:pPr>
      <w:bookmarkStart w:id="65" w:name="_Ref465072757"/>
      <w:r>
        <w:t>hold or fund the acquisition of more than 20 per cent of the non-senior securities issued in the securitisation, or more than 20 per cent of any tranche of non-senior securities issued in the securitisation; and</w:t>
      </w:r>
      <w:bookmarkEnd w:id="65"/>
    </w:p>
    <w:p w14:paraId="1AE18BE0" w14:textId="77777777" w:rsidR="00670EB1" w:rsidRPr="00670EB1" w:rsidRDefault="00670EB1" w:rsidP="00670EB1">
      <w:pPr>
        <w:pStyle w:val="BodyText2"/>
      </w:pPr>
      <w:bookmarkStart w:id="66" w:name="_Ref465072845"/>
      <w:r>
        <w:t>hold or fund the acquisition of non-senior securities and hold, fund or provide other loss positions or credit enhancements, which represent more than 20 per cent of the loss cover provided in the securitisation to support senior securitisation exposures.</w:t>
      </w:r>
      <w:bookmarkEnd w:id="66"/>
      <w:r w:rsidR="00A2654C">
        <w:rPr>
          <w:rStyle w:val="FootnoteReference"/>
        </w:rPr>
        <w:footnoteReference w:id="30"/>
      </w:r>
    </w:p>
    <w:p w14:paraId="1AE18BE1" w14:textId="0EDAF541" w:rsidR="0029455F" w:rsidRDefault="00670EB1" w:rsidP="00670EB1">
      <w:pPr>
        <w:pStyle w:val="BodyText1"/>
      </w:pPr>
      <w:bookmarkStart w:id="67" w:name="_Ref465157343"/>
      <w:r>
        <w:t xml:space="preserve">Where there are two or more originators of the underlying pool in a securitisation, an originating ADI must apply the tests in paragraphs </w:t>
      </w:r>
      <w:r>
        <w:fldChar w:fldCharType="begin"/>
      </w:r>
      <w:r>
        <w:instrText xml:space="preserve"> REF _Ref465072757 \r \h </w:instrText>
      </w:r>
      <w:r>
        <w:fldChar w:fldCharType="separate"/>
      </w:r>
      <w:r w:rsidR="00642B90">
        <w:t>1(a)</w:t>
      </w:r>
      <w:r>
        <w:fldChar w:fldCharType="end"/>
      </w:r>
      <w:r>
        <w:t xml:space="preserve"> and </w:t>
      </w:r>
      <w:r>
        <w:fldChar w:fldCharType="begin"/>
      </w:r>
      <w:r>
        <w:instrText xml:space="preserve"> REF _Ref465072845 \r \h </w:instrText>
      </w:r>
      <w:r>
        <w:fldChar w:fldCharType="separate"/>
      </w:r>
      <w:r w:rsidR="00642B90">
        <w:t>1(b)</w:t>
      </w:r>
      <w:r>
        <w:fldChar w:fldCharType="end"/>
      </w:r>
      <w:r>
        <w:t xml:space="preserve"> of this Attachment according to the proportion </w:t>
      </w:r>
      <w:r w:rsidRPr="00DE70B0">
        <w:t>of assets originated by the ADI</w:t>
      </w:r>
      <w:r>
        <w:t xml:space="preserve"> to the total amount of assets in the pool.</w:t>
      </w:r>
      <w:r w:rsidR="00A2654C">
        <w:rPr>
          <w:rStyle w:val="FootnoteReference"/>
        </w:rPr>
        <w:footnoteReference w:id="31"/>
      </w:r>
      <w:bookmarkEnd w:id="67"/>
    </w:p>
    <w:p w14:paraId="1AE18BE2" w14:textId="1F1C444E" w:rsidR="00670EB1" w:rsidRDefault="00670EB1" w:rsidP="00670EB1">
      <w:pPr>
        <w:pStyle w:val="BodyText1"/>
      </w:pPr>
      <w:bookmarkStart w:id="68" w:name="_Ref465157432"/>
      <w:r>
        <w:t xml:space="preserve">Subject to paragraphs </w:t>
      </w:r>
      <w:r w:rsidR="00A2654C">
        <w:fldChar w:fldCharType="begin"/>
      </w:r>
      <w:r w:rsidR="00A2654C">
        <w:instrText xml:space="preserve"> REF _Ref465157328 \r \h </w:instrText>
      </w:r>
      <w:r w:rsidR="00A2654C">
        <w:fldChar w:fldCharType="separate"/>
      </w:r>
      <w:r w:rsidR="00642B90">
        <w:t>1</w:t>
      </w:r>
      <w:r w:rsidR="00A2654C">
        <w:fldChar w:fldCharType="end"/>
      </w:r>
      <w:r w:rsidR="00A2654C">
        <w:t xml:space="preserve"> </w:t>
      </w:r>
      <w:r>
        <w:t xml:space="preserve">and </w:t>
      </w:r>
      <w:r w:rsidR="00A2654C">
        <w:fldChar w:fldCharType="begin"/>
      </w:r>
      <w:r w:rsidR="00A2654C">
        <w:instrText xml:space="preserve"> REF _Ref465157343 \r \h </w:instrText>
      </w:r>
      <w:r w:rsidR="00A2654C">
        <w:fldChar w:fldCharType="separate"/>
      </w:r>
      <w:r w:rsidR="00642B90">
        <w:t>2</w:t>
      </w:r>
      <w:r w:rsidR="00A2654C">
        <w:fldChar w:fldCharType="end"/>
      </w:r>
      <w:r w:rsidR="00A2654C">
        <w:t xml:space="preserve"> </w:t>
      </w:r>
      <w:r>
        <w:t>of this Attachment, a</w:t>
      </w:r>
      <w:r w:rsidRPr="00AB35F1">
        <w:t>n originating ADI must sell</w:t>
      </w:r>
      <w:r>
        <w:t xml:space="preserve"> non-senior</w:t>
      </w:r>
      <w:r w:rsidRPr="00AB35F1">
        <w:t xml:space="preserve"> securities issued </w:t>
      </w:r>
      <w:r>
        <w:t xml:space="preserve">in the securitisation </w:t>
      </w:r>
      <w:r w:rsidRPr="00AB35F1">
        <w:t>to third part</w:t>
      </w:r>
      <w:r>
        <w:t xml:space="preserve">ies. An originating ADI </w:t>
      </w:r>
      <w:r w:rsidRPr="00AB35F1">
        <w:t xml:space="preserve">must not repurchase </w:t>
      </w:r>
      <w:r>
        <w:t xml:space="preserve">non-senior </w:t>
      </w:r>
      <w:r w:rsidRPr="00AB35F1">
        <w:t>securities once sold</w:t>
      </w:r>
      <w:r w:rsidRPr="00F50A8B">
        <w:t xml:space="preserve"> </w:t>
      </w:r>
      <w:r>
        <w:t xml:space="preserve">except to give effect to </w:t>
      </w:r>
      <w:r w:rsidRPr="009245BD">
        <w:t xml:space="preserve">a </w:t>
      </w:r>
      <w:r>
        <w:t xml:space="preserve">clean-up </w:t>
      </w:r>
      <w:r w:rsidRPr="009245BD">
        <w:t xml:space="preserve">call that complies with </w:t>
      </w:r>
      <w:r w:rsidRPr="002F1EE2">
        <w:t xml:space="preserve">paragraph </w:t>
      </w:r>
      <w:r w:rsidR="00A2654C" w:rsidRPr="002F1EE2">
        <w:fldChar w:fldCharType="begin"/>
      </w:r>
      <w:r w:rsidR="00A2654C" w:rsidRPr="002F1EE2">
        <w:instrText xml:space="preserve"> REF _Ref465157360 \r \h  \* MERGEFORMAT </w:instrText>
      </w:r>
      <w:r w:rsidR="00A2654C" w:rsidRPr="002F1EE2">
        <w:fldChar w:fldCharType="separate"/>
      </w:r>
      <w:r w:rsidR="00642B90">
        <w:t>6(c)</w:t>
      </w:r>
      <w:r w:rsidR="00A2654C" w:rsidRPr="002F1EE2">
        <w:fldChar w:fldCharType="end"/>
      </w:r>
      <w:r w:rsidR="00A2654C" w:rsidRPr="002F1EE2">
        <w:t xml:space="preserve"> </w:t>
      </w:r>
      <w:r w:rsidRPr="002F1EE2">
        <w:t>of this Attachment</w:t>
      </w:r>
      <w:r w:rsidRPr="00AB35F1">
        <w:t>.</w:t>
      </w:r>
      <w:r>
        <w:t xml:space="preserve"> An ADI must not recognise, for regulatory capital purposes, </w:t>
      </w:r>
      <w:r w:rsidRPr="00252E43">
        <w:t xml:space="preserve">the use of CRM or any other hedge as constituting a sale of the </w:t>
      </w:r>
      <w:r>
        <w:t>non-senior</w:t>
      </w:r>
      <w:r w:rsidRPr="00252E43">
        <w:t xml:space="preserve"> securities</w:t>
      </w:r>
      <w:r>
        <w:t>.</w:t>
      </w:r>
      <w:bookmarkEnd w:id="68"/>
    </w:p>
    <w:p w14:paraId="1AE18BE3" w14:textId="77777777" w:rsidR="00670EB1" w:rsidRDefault="00670EB1" w:rsidP="00C031E4">
      <w:pPr>
        <w:pStyle w:val="Attachmentsub-heading"/>
      </w:pPr>
      <w:r>
        <w:t>Purchase of securities issued in a securitisation</w:t>
      </w:r>
    </w:p>
    <w:p w14:paraId="1AE18BE4" w14:textId="0F097AD1" w:rsidR="00670EB1" w:rsidRDefault="00670EB1" w:rsidP="00670EB1">
      <w:pPr>
        <w:pStyle w:val="BodyText1"/>
      </w:pPr>
      <w:r>
        <w:t>Subject to paragraphs</w:t>
      </w:r>
      <w:r w:rsidR="00A2654C">
        <w:t xml:space="preserve"> </w:t>
      </w:r>
      <w:r w:rsidR="00A2654C">
        <w:fldChar w:fldCharType="begin"/>
      </w:r>
      <w:r w:rsidR="00A2654C">
        <w:instrText xml:space="preserve"> REF _Ref465157328 \r \h </w:instrText>
      </w:r>
      <w:r w:rsidR="00A2654C">
        <w:fldChar w:fldCharType="separate"/>
      </w:r>
      <w:r w:rsidR="00642B90">
        <w:t>1</w:t>
      </w:r>
      <w:r w:rsidR="00A2654C">
        <w:fldChar w:fldCharType="end"/>
      </w:r>
      <w:r w:rsidR="00A2654C">
        <w:t xml:space="preserve">, </w:t>
      </w:r>
      <w:r w:rsidR="00A2654C">
        <w:fldChar w:fldCharType="begin"/>
      </w:r>
      <w:r w:rsidR="00A2654C">
        <w:instrText xml:space="preserve"> REF _Ref465157343 \r \h </w:instrText>
      </w:r>
      <w:r w:rsidR="00A2654C">
        <w:fldChar w:fldCharType="separate"/>
      </w:r>
      <w:r w:rsidR="00642B90">
        <w:t>2</w:t>
      </w:r>
      <w:r w:rsidR="00A2654C">
        <w:fldChar w:fldCharType="end"/>
      </w:r>
      <w:r>
        <w:t xml:space="preserve"> and </w:t>
      </w:r>
      <w:r w:rsidR="00A2654C">
        <w:fldChar w:fldCharType="begin"/>
      </w:r>
      <w:r w:rsidR="00A2654C">
        <w:instrText xml:space="preserve"> REF _Ref465157432 \r \h </w:instrText>
      </w:r>
      <w:r w:rsidR="00A2654C">
        <w:fldChar w:fldCharType="separate"/>
      </w:r>
      <w:r w:rsidR="00642B90">
        <w:t>3</w:t>
      </w:r>
      <w:r w:rsidR="00A2654C">
        <w:fldChar w:fldCharType="end"/>
      </w:r>
      <w:r w:rsidR="00A2654C">
        <w:t xml:space="preserve"> </w:t>
      </w:r>
      <w:r>
        <w:t>of this Attachment, a</w:t>
      </w:r>
      <w:r w:rsidRPr="00A536E7">
        <w:t xml:space="preserve">n originating ADI may </w:t>
      </w:r>
      <w:r>
        <w:t xml:space="preserve">purchase </w:t>
      </w:r>
      <w:r w:rsidRPr="00A536E7">
        <w:t xml:space="preserve">securities issued </w:t>
      </w:r>
      <w:r>
        <w:t>in a securitisation,</w:t>
      </w:r>
      <w:r w:rsidRPr="00A536E7">
        <w:t xml:space="preserve"> provided</w:t>
      </w:r>
      <w:r>
        <w:t>:</w:t>
      </w:r>
    </w:p>
    <w:p w14:paraId="1AE18BE5" w14:textId="77777777" w:rsidR="00670EB1" w:rsidRDefault="00670EB1" w:rsidP="00670EB1">
      <w:pPr>
        <w:pStyle w:val="BodyText2"/>
      </w:pPr>
      <w:r w:rsidRPr="00A536E7">
        <w:lastRenderedPageBreak/>
        <w:t>the purchase is conducted on an arm’s-length basis and on market terms and conditions</w:t>
      </w:r>
      <w:r>
        <w:t>;</w:t>
      </w:r>
    </w:p>
    <w:p w14:paraId="1AE18BE6" w14:textId="77777777" w:rsidR="00670EB1" w:rsidRDefault="00670EB1" w:rsidP="00670EB1">
      <w:pPr>
        <w:pStyle w:val="BodyText2"/>
      </w:pPr>
      <w:r w:rsidRPr="00EE22C1">
        <w:t>the ADI has no pre-existing obligation to undertake the purchase</w:t>
      </w:r>
      <w:r>
        <w:t>; and</w:t>
      </w:r>
    </w:p>
    <w:p w14:paraId="1AE18BE7" w14:textId="566C1B50" w:rsidR="00670EB1" w:rsidRDefault="00670EB1" w:rsidP="00670EB1">
      <w:pPr>
        <w:pStyle w:val="BodyText2"/>
      </w:pPr>
      <w:r>
        <w:t xml:space="preserve">the purchase does not give effect to a call option other than a clean-up call that complies with </w:t>
      </w:r>
      <w:r w:rsidRPr="002F1EE2">
        <w:t xml:space="preserve">paragraph </w:t>
      </w:r>
      <w:r w:rsidR="00A2654C" w:rsidRPr="002F1EE2">
        <w:fldChar w:fldCharType="begin"/>
      </w:r>
      <w:r w:rsidR="00A2654C" w:rsidRPr="002F1EE2">
        <w:instrText xml:space="preserve"> REF _Ref465157360 \r \h  \* MERGEFORMAT </w:instrText>
      </w:r>
      <w:r w:rsidR="00A2654C" w:rsidRPr="002F1EE2">
        <w:fldChar w:fldCharType="separate"/>
      </w:r>
      <w:r w:rsidR="00642B90">
        <w:t>6(c)</w:t>
      </w:r>
      <w:r w:rsidR="00A2654C" w:rsidRPr="002F1EE2">
        <w:fldChar w:fldCharType="end"/>
      </w:r>
      <w:r w:rsidR="00A2654C">
        <w:t xml:space="preserve"> </w:t>
      </w:r>
      <w:r>
        <w:t>of this Attachment.</w:t>
      </w:r>
    </w:p>
    <w:p w14:paraId="1AE18BE8" w14:textId="6B8914DF" w:rsidR="00670EB1" w:rsidRDefault="00670EB1" w:rsidP="00670EB1">
      <w:pPr>
        <w:pStyle w:val="BodyText1"/>
      </w:pPr>
      <w:r>
        <w:t xml:space="preserve">If APRA considers that the pattern or the amount of an originating ADI’s purchase of securities, or its stated willingness to do so, suggests that the ADI is providing implicit support to a securitisation, the provisions in paragraphs </w:t>
      </w:r>
      <w:r w:rsidR="00A2654C">
        <w:fldChar w:fldCharType="begin"/>
      </w:r>
      <w:r w:rsidR="00A2654C">
        <w:instrText xml:space="preserve"> REF _Ref465157477 \r \h </w:instrText>
      </w:r>
      <w:r w:rsidR="00A2654C">
        <w:fldChar w:fldCharType="separate"/>
      </w:r>
      <w:r w:rsidR="00642B90">
        <w:t>69</w:t>
      </w:r>
      <w:r w:rsidR="00A2654C">
        <w:fldChar w:fldCharType="end"/>
      </w:r>
      <w:r w:rsidR="00A2654C">
        <w:t xml:space="preserve"> </w:t>
      </w:r>
      <w:r>
        <w:t xml:space="preserve">to </w:t>
      </w:r>
      <w:r>
        <w:fldChar w:fldCharType="begin"/>
      </w:r>
      <w:r>
        <w:instrText xml:space="preserve"> REF _Ref464819925 \r \h </w:instrText>
      </w:r>
      <w:r>
        <w:fldChar w:fldCharType="separate"/>
      </w:r>
      <w:r w:rsidR="00642B90">
        <w:t>71</w:t>
      </w:r>
      <w:r>
        <w:fldChar w:fldCharType="end"/>
      </w:r>
      <w:r>
        <w:t xml:space="preserve"> of this Prudential Standard will apply.</w:t>
      </w:r>
    </w:p>
    <w:p w14:paraId="1AE18BE9" w14:textId="77777777" w:rsidR="00670EB1" w:rsidRDefault="00124725" w:rsidP="00C031E4">
      <w:pPr>
        <w:pStyle w:val="Attachmentsub-heading"/>
      </w:pPr>
      <w:r>
        <w:t>Repurchase of exposures out of the pool in a securitisation</w:t>
      </w:r>
    </w:p>
    <w:p w14:paraId="1AE18BEA" w14:textId="77777777" w:rsidR="00124725" w:rsidRDefault="00124725" w:rsidP="00124725">
      <w:pPr>
        <w:pStyle w:val="BodyText1"/>
      </w:pPr>
      <w:r w:rsidRPr="00A536E7">
        <w:t xml:space="preserve">An originating ADI may only repurchase exposures out of the pool </w:t>
      </w:r>
      <w:r>
        <w:t>in a securitisation (or repurchase securities to give effect to a clean-up call)</w:t>
      </w:r>
      <w:r w:rsidRPr="00A536E7">
        <w:t xml:space="preserve"> under the following circumstances</w:t>
      </w:r>
      <w:r>
        <w:t>:</w:t>
      </w:r>
    </w:p>
    <w:p w14:paraId="1AE18BEB" w14:textId="77777777" w:rsidR="00124725" w:rsidRDefault="00124725" w:rsidP="00124725">
      <w:pPr>
        <w:pStyle w:val="BodyText2"/>
      </w:pPr>
      <w:r>
        <w:t>w</w:t>
      </w:r>
      <w:r w:rsidRPr="00A536E7">
        <w:t xml:space="preserve">here an ADI grants a </w:t>
      </w:r>
      <w:r>
        <w:t xml:space="preserve">request for a </w:t>
      </w:r>
      <w:r w:rsidRPr="00A536E7">
        <w:t xml:space="preserve">further advance </w:t>
      </w:r>
      <w:r>
        <w:t>by</w:t>
      </w:r>
      <w:r w:rsidRPr="00A536E7">
        <w:t xml:space="preserve"> a borrower or similar purpose</w:t>
      </w:r>
      <w:r>
        <w:t>:</w:t>
      </w:r>
    </w:p>
    <w:p w14:paraId="1AE18BEC" w14:textId="77777777" w:rsidR="00124725" w:rsidRDefault="00124725" w:rsidP="00124725">
      <w:pPr>
        <w:pStyle w:val="BodyText3"/>
      </w:pPr>
      <w:r w:rsidRPr="00A536E7">
        <w:t>the purchase (or replacement) is conducted on an arm’s-length basis and on market</w:t>
      </w:r>
      <w:r>
        <w:t xml:space="preserve"> </w:t>
      </w:r>
      <w:r w:rsidRPr="00A536E7">
        <w:t>terms and conditions</w:t>
      </w:r>
      <w:r>
        <w:t>; and</w:t>
      </w:r>
    </w:p>
    <w:p w14:paraId="1AE18BED" w14:textId="77777777" w:rsidR="00124725" w:rsidRDefault="00124725" w:rsidP="00124725">
      <w:pPr>
        <w:pStyle w:val="BodyText3"/>
      </w:pPr>
      <w:r w:rsidRPr="00A536E7">
        <w:t>the purchased exposures (or replaced exposures) are not in default</w:t>
      </w:r>
      <w:r>
        <w:t>;</w:t>
      </w:r>
    </w:p>
    <w:p w14:paraId="1AE18BEE" w14:textId="77777777" w:rsidR="00124725" w:rsidRDefault="00124725" w:rsidP="00124725">
      <w:pPr>
        <w:pStyle w:val="BodyText2"/>
      </w:pPr>
      <w:bookmarkStart w:id="69" w:name="_Ref465157515"/>
      <w:r>
        <w:t>w</w:t>
      </w:r>
      <w:r w:rsidRPr="00A536E7">
        <w:t>here an ADI is required to repurchase (or replace) an exposure as a result of a representation or warranty. In such</w:t>
      </w:r>
      <w:r>
        <w:t xml:space="preserve"> a </w:t>
      </w:r>
      <w:r w:rsidRPr="00A536E7">
        <w:t>case the repurchase (or replacement) must be</w:t>
      </w:r>
      <w:r>
        <w:t>:</w:t>
      </w:r>
      <w:bookmarkEnd w:id="69"/>
    </w:p>
    <w:p w14:paraId="1AE18BEF" w14:textId="77777777" w:rsidR="00124725" w:rsidRDefault="00124725" w:rsidP="00124725">
      <w:pPr>
        <w:pStyle w:val="BodyText3"/>
      </w:pPr>
      <w:r w:rsidRPr="00A536E7">
        <w:t xml:space="preserve">completed in all respects within 120 days of the transfer of exposures </w:t>
      </w:r>
      <w:r>
        <w:t>in a securitisation</w:t>
      </w:r>
      <w:r w:rsidRPr="00A536E7">
        <w:t>;</w:t>
      </w:r>
      <w:r>
        <w:t xml:space="preserve"> and</w:t>
      </w:r>
    </w:p>
    <w:p w14:paraId="1AE18BF0" w14:textId="77777777" w:rsidR="00124725" w:rsidRDefault="00124725" w:rsidP="00124725">
      <w:pPr>
        <w:pStyle w:val="BodyText3"/>
      </w:pPr>
      <w:r w:rsidRPr="00A536E7">
        <w:t>conducted on the same terms and conditions as the original transfer</w:t>
      </w:r>
      <w:r>
        <w:t>;</w:t>
      </w:r>
    </w:p>
    <w:p w14:paraId="1AE18BF1" w14:textId="77777777" w:rsidR="00124725" w:rsidRDefault="00124725" w:rsidP="00124725">
      <w:pPr>
        <w:pStyle w:val="BodyText2"/>
      </w:pPr>
      <w:bookmarkStart w:id="70" w:name="_Ref465157360"/>
      <w:r>
        <w:t>f</w:t>
      </w:r>
      <w:r w:rsidRPr="0061093D">
        <w:t>or securitisation transactions that include a clean-up call</w:t>
      </w:r>
      <w:r>
        <w:t>:</w:t>
      </w:r>
      <w:bookmarkEnd w:id="70"/>
    </w:p>
    <w:p w14:paraId="1AE18BF2" w14:textId="77777777" w:rsidR="00124725" w:rsidRDefault="00124725" w:rsidP="00124725">
      <w:pPr>
        <w:pStyle w:val="BodyText3"/>
      </w:pPr>
      <w:r w:rsidRPr="0061093D">
        <w:t>the exercise of the call must be at the full discretion of the originating ADI</w:t>
      </w:r>
      <w:r>
        <w:t>;</w:t>
      </w:r>
    </w:p>
    <w:p w14:paraId="1AE18BF3" w14:textId="77777777" w:rsidR="00124725" w:rsidRDefault="00124725" w:rsidP="00124725">
      <w:pPr>
        <w:pStyle w:val="BodyText3"/>
      </w:pPr>
      <w:r w:rsidRPr="0061093D">
        <w:t xml:space="preserve">the </w:t>
      </w:r>
      <w:r>
        <w:t xml:space="preserve">call </w:t>
      </w:r>
      <w:r w:rsidRPr="0061093D">
        <w:t xml:space="preserve">must not be structured to avoid allocating losses </w:t>
      </w:r>
      <w:r>
        <w:t xml:space="preserve">to the SPV or its investors, </w:t>
      </w:r>
      <w:r w:rsidRPr="0061093D">
        <w:t>or positions held by investors or otherwise structured to provide credit enhancement; an</w:t>
      </w:r>
      <w:r>
        <w:t>d</w:t>
      </w:r>
    </w:p>
    <w:p w14:paraId="1AE18BF4" w14:textId="77777777" w:rsidR="00124725" w:rsidRDefault="00124725" w:rsidP="00124725">
      <w:pPr>
        <w:pStyle w:val="BodyText3"/>
      </w:pPr>
      <w:r w:rsidRPr="0061093D">
        <w:t>the call must only be exercisable when 10 per cent or less of the original underlying portfolio or securities issued remain</w:t>
      </w:r>
      <w:r>
        <w:t xml:space="preserve"> outstanding.</w:t>
      </w:r>
    </w:p>
    <w:p w14:paraId="1AE18BF5" w14:textId="113EC3E1" w:rsidR="00124725" w:rsidRDefault="00124725" w:rsidP="00124725">
      <w:pPr>
        <w:pStyle w:val="BodyText1"/>
      </w:pPr>
      <w:r w:rsidRPr="0061093D">
        <w:t xml:space="preserve">In the case of paragraph </w:t>
      </w:r>
      <w:r w:rsidR="00A2654C">
        <w:fldChar w:fldCharType="begin"/>
      </w:r>
      <w:r w:rsidR="00A2654C">
        <w:instrText xml:space="preserve"> REF _Ref465157515 \r \h </w:instrText>
      </w:r>
      <w:r w:rsidR="00A2654C">
        <w:fldChar w:fldCharType="separate"/>
      </w:r>
      <w:r w:rsidR="00642B90">
        <w:t>6(b)</w:t>
      </w:r>
      <w:r w:rsidR="00A2654C">
        <w:fldChar w:fldCharType="end"/>
      </w:r>
      <w:r w:rsidR="00A2654C">
        <w:t xml:space="preserve"> </w:t>
      </w:r>
      <w:r w:rsidRPr="0061093D">
        <w:t xml:space="preserve">of this Attachment, </w:t>
      </w:r>
      <w:r>
        <w:t xml:space="preserve">after the expiry of the 120-day period </w:t>
      </w:r>
      <w:r w:rsidRPr="0061093D">
        <w:t>an ADI must notify APRA of any instance</w:t>
      </w:r>
      <w:r>
        <w:t xml:space="preserve"> where it </w:t>
      </w:r>
      <w:r w:rsidRPr="0061093D">
        <w:t>has agreed to pay damages arising out of representations and warranties</w:t>
      </w:r>
      <w:r>
        <w:t xml:space="preserve"> or where it has agreed to reassume the credit risk of any exposures. If APRA considers that the basis for or </w:t>
      </w:r>
      <w:r>
        <w:lastRenderedPageBreak/>
        <w:t xml:space="preserve">the amount of damages paid, or assumption of credit risk by the ADI constitutes implicit support, then the provisions of paragraphs </w:t>
      </w:r>
      <w:r w:rsidR="00A2654C">
        <w:fldChar w:fldCharType="begin"/>
      </w:r>
      <w:r w:rsidR="00A2654C">
        <w:instrText xml:space="preserve"> REF _Ref465157477 \r \h </w:instrText>
      </w:r>
      <w:r w:rsidR="00A2654C">
        <w:fldChar w:fldCharType="separate"/>
      </w:r>
      <w:r w:rsidR="00642B90">
        <w:t>69</w:t>
      </w:r>
      <w:r w:rsidR="00A2654C">
        <w:fldChar w:fldCharType="end"/>
      </w:r>
      <w:r w:rsidR="00A2654C">
        <w:t xml:space="preserve"> </w:t>
      </w:r>
      <w:r>
        <w:t xml:space="preserve">to </w:t>
      </w:r>
      <w:r>
        <w:fldChar w:fldCharType="begin"/>
      </w:r>
      <w:r>
        <w:instrText xml:space="preserve"> REF _Ref464819925 \r \h </w:instrText>
      </w:r>
      <w:r>
        <w:fldChar w:fldCharType="separate"/>
      </w:r>
      <w:r w:rsidR="00642B90">
        <w:t>71</w:t>
      </w:r>
      <w:r>
        <w:fldChar w:fldCharType="end"/>
      </w:r>
      <w:r>
        <w:t xml:space="preserve"> of this Prudential Standard will apply.</w:t>
      </w:r>
    </w:p>
    <w:p w14:paraId="1AE18BF6" w14:textId="3F790278" w:rsidR="00124725" w:rsidRDefault="00124725" w:rsidP="00124725">
      <w:pPr>
        <w:pStyle w:val="BodyText1"/>
      </w:pPr>
      <w:bookmarkStart w:id="71" w:name="_Ref465157653"/>
      <w:r w:rsidRPr="0061093D">
        <w:t xml:space="preserve">In the case of paragraph </w:t>
      </w:r>
      <w:r w:rsidR="00A2654C">
        <w:fldChar w:fldCharType="begin"/>
      </w:r>
      <w:r w:rsidR="00A2654C">
        <w:instrText xml:space="preserve"> REF _Ref465157360 \r \h </w:instrText>
      </w:r>
      <w:r w:rsidR="00A2654C">
        <w:fldChar w:fldCharType="separate"/>
      </w:r>
      <w:r w:rsidR="00642B90">
        <w:t>6(c)</w:t>
      </w:r>
      <w:r w:rsidR="00A2654C">
        <w:fldChar w:fldCharType="end"/>
      </w:r>
      <w:r w:rsidR="00A2654C">
        <w:t xml:space="preserve"> </w:t>
      </w:r>
      <w:r w:rsidRPr="0061093D">
        <w:t xml:space="preserve">of this Attachment, an originating ADI must have regard to </w:t>
      </w:r>
      <w:r w:rsidRPr="004B04A8">
        <w:rPr>
          <w:i/>
        </w:rPr>
        <w:t>Prudential Standard APS 210 Liquidity</w:t>
      </w:r>
      <w:r w:rsidRPr="0061093D">
        <w:t xml:space="preserve"> (</w:t>
      </w:r>
      <w:r w:rsidRPr="00073BF5">
        <w:t>APS 210</w:t>
      </w:r>
      <w:r w:rsidRPr="0061093D">
        <w:t xml:space="preserve">). </w:t>
      </w:r>
      <w:r>
        <w:t xml:space="preserve">An </w:t>
      </w:r>
      <w:r w:rsidRPr="0061093D">
        <w:t xml:space="preserve">ADI must address the liquidity risk associated </w:t>
      </w:r>
      <w:r>
        <w:t xml:space="preserve">with </w:t>
      </w:r>
      <w:r w:rsidRPr="0061093D">
        <w:t>clean-up call</w:t>
      </w:r>
      <w:r>
        <w:t xml:space="preserve"> options</w:t>
      </w:r>
      <w:r w:rsidRPr="0061093D">
        <w:t xml:space="preserve"> through</w:t>
      </w:r>
      <w:r w:rsidRPr="00CA4FA1">
        <w:t xml:space="preserve"> </w:t>
      </w:r>
      <w:r w:rsidR="00280A64">
        <w:t>its</w:t>
      </w:r>
      <w:r w:rsidRPr="00CA4FA1">
        <w:t xml:space="preserve"> liquidity risk management framework to measure, monitor and manage the relevant liquidity risk</w:t>
      </w:r>
      <w:bookmarkEnd w:id="71"/>
      <w:r w:rsidR="001227FB">
        <w:t>.</w:t>
      </w:r>
    </w:p>
    <w:p w14:paraId="1AE18BF7" w14:textId="77777777" w:rsidR="00124725" w:rsidRDefault="00124725" w:rsidP="00C031E4">
      <w:pPr>
        <w:pStyle w:val="Attachmentsub-heading"/>
      </w:pPr>
      <w:r>
        <w:t>Permanency of funding</w:t>
      </w:r>
    </w:p>
    <w:p w14:paraId="1AE18BF8" w14:textId="77777777" w:rsidR="00124725" w:rsidRDefault="00124725" w:rsidP="00124725">
      <w:pPr>
        <w:pStyle w:val="BodyText1"/>
      </w:pPr>
      <w:bookmarkStart w:id="72" w:name="_Ref465170467"/>
      <w:r>
        <w:t>In order for a</w:t>
      </w:r>
      <w:r w:rsidRPr="006C5758">
        <w:t>n originating ADI</w:t>
      </w:r>
      <w:r w:rsidR="00A2654C">
        <w:rPr>
          <w:rStyle w:val="FootnoteReference"/>
        </w:rPr>
        <w:footnoteReference w:id="32"/>
      </w:r>
      <w:r>
        <w:t xml:space="preserve"> to achieve regulatory capital relief, </w:t>
      </w:r>
      <w:r w:rsidRPr="006C5758">
        <w:t xml:space="preserve">the securitisation must have funding in place for the life of the </w:t>
      </w:r>
      <w:r>
        <w:t xml:space="preserve">underlying </w:t>
      </w:r>
      <w:r w:rsidRPr="006C5758">
        <w:t>pool</w:t>
      </w:r>
      <w:r>
        <w:t xml:space="preserve"> such that securities issued by the SPV will be sufficient to fund the exposures in the pool up to their longest contractual maturity date.</w:t>
      </w:r>
      <w:bookmarkEnd w:id="72"/>
    </w:p>
    <w:p w14:paraId="1AE18BF9" w14:textId="77777777" w:rsidR="00124725" w:rsidRDefault="00124725" w:rsidP="00C031E4">
      <w:pPr>
        <w:pStyle w:val="Attachmentsub-heading"/>
      </w:pPr>
      <w:r>
        <w:t>Securitisation of revolving credit facilities</w:t>
      </w:r>
    </w:p>
    <w:p w14:paraId="1AE18BFA" w14:textId="220DD694" w:rsidR="00124725" w:rsidRDefault="00124725" w:rsidP="00124725">
      <w:pPr>
        <w:pStyle w:val="BodyText1"/>
      </w:pPr>
      <w:r>
        <w:t xml:space="preserve">Where an ADI’s role in a securitisation of revolving credit facilities is limited solely to managing the scheme, in addition to paragraphs </w:t>
      </w:r>
      <w:r w:rsidR="00B567EB">
        <w:fldChar w:fldCharType="begin"/>
      </w:r>
      <w:r w:rsidR="00B567EB">
        <w:instrText xml:space="preserve"> REF _Ref465157328 \r \h </w:instrText>
      </w:r>
      <w:r w:rsidR="00B567EB">
        <w:fldChar w:fldCharType="separate"/>
      </w:r>
      <w:r w:rsidR="00642B90">
        <w:t>1</w:t>
      </w:r>
      <w:r w:rsidR="00B567EB">
        <w:fldChar w:fldCharType="end"/>
      </w:r>
      <w:r w:rsidR="00B567EB">
        <w:t xml:space="preserve"> </w:t>
      </w:r>
      <w:r>
        <w:t xml:space="preserve">to </w:t>
      </w:r>
      <w:r w:rsidR="00B567EB">
        <w:fldChar w:fldCharType="begin"/>
      </w:r>
      <w:r w:rsidR="00B567EB">
        <w:instrText xml:space="preserve"> REF _Ref465157653 \r \h </w:instrText>
      </w:r>
      <w:r w:rsidR="00B567EB">
        <w:fldChar w:fldCharType="separate"/>
      </w:r>
      <w:r w:rsidR="00642B90">
        <w:t>8</w:t>
      </w:r>
      <w:r w:rsidR="00B567EB">
        <w:fldChar w:fldCharType="end"/>
      </w:r>
      <w:r w:rsidR="00B567EB">
        <w:t xml:space="preserve"> </w:t>
      </w:r>
      <w:r>
        <w:t xml:space="preserve">of this Attachment, the ADI must ensure that scheduled </w:t>
      </w:r>
      <w:r w:rsidRPr="00107828">
        <w:t>amortisation</w:t>
      </w:r>
      <w:r>
        <w:t xml:space="preserve">, early amortisation or </w:t>
      </w:r>
      <w:r w:rsidRPr="00107828">
        <w:t>similar provisions</w:t>
      </w:r>
      <w:r>
        <w:t>, if triggered, do not:</w:t>
      </w:r>
    </w:p>
    <w:p w14:paraId="1AE18BFB" w14:textId="77777777" w:rsidR="00124725" w:rsidRDefault="00124725" w:rsidP="00124725">
      <w:pPr>
        <w:pStyle w:val="BodyText2"/>
      </w:pPr>
      <w:r>
        <w:t>s</w:t>
      </w:r>
      <w:r w:rsidRPr="00040E63">
        <w:t>ubordinate</w:t>
      </w:r>
      <w:r>
        <w:t>, defer or waiver the receipt of contracted fees or other income for its role as manager; or</w:t>
      </w:r>
    </w:p>
    <w:p w14:paraId="1AE18BFC" w14:textId="77777777" w:rsidR="00124725" w:rsidRPr="00124725" w:rsidRDefault="00124725" w:rsidP="00124725">
      <w:pPr>
        <w:pStyle w:val="BodyText2"/>
      </w:pPr>
      <w:r>
        <w:t>under any circumstance result in the ADI having an exposure to losses associated with the underlying pool of exposures, except for contracted fees or other income for its role as manager.</w:t>
      </w:r>
    </w:p>
    <w:p w14:paraId="1AE18BFD" w14:textId="77777777" w:rsidR="0029455F" w:rsidRPr="007D2D7F" w:rsidRDefault="0029455F" w:rsidP="007D2D7F"/>
    <w:p w14:paraId="1AE18BFE" w14:textId="77777777" w:rsidR="007D2D7F" w:rsidRDefault="007D2D7F" w:rsidP="0038413F">
      <w:pPr>
        <w:pStyle w:val="Heading2"/>
        <w:sectPr w:rsidR="007D2D7F" w:rsidSect="000D63A8">
          <w:footerReference w:type="default" r:id="rId23"/>
          <w:pgSz w:w="11906" w:h="16838" w:code="9"/>
          <w:pgMar w:top="1440" w:right="1797" w:bottom="1440" w:left="1797" w:header="709" w:footer="709" w:gutter="0"/>
          <w:cols w:space="708"/>
          <w:docGrid w:linePitch="360"/>
        </w:sectPr>
      </w:pPr>
    </w:p>
    <w:p w14:paraId="1AE18BFF" w14:textId="260C5595" w:rsidR="0038413F" w:rsidRDefault="0038413F" w:rsidP="001F6B8D">
      <w:pPr>
        <w:pStyle w:val="Heading2"/>
      </w:pPr>
      <w:bookmarkStart w:id="73" w:name="_Toc465172389"/>
      <w:r>
        <w:lastRenderedPageBreak/>
        <w:t xml:space="preserve">Attachment </w:t>
      </w:r>
      <w:r w:rsidR="005B6DC2">
        <w:rPr>
          <w:rStyle w:val="Attachmentfieldtext"/>
        </w:rPr>
        <w:fldChar w:fldCharType="begin"/>
      </w:r>
      <w:r w:rsidR="005B6DC2">
        <w:rPr>
          <w:rStyle w:val="Attachmentfieldtext"/>
        </w:rPr>
        <w:instrText xml:space="preserve"> SEQ Attach \* ALPHABETIC \* MERGEFORMAT </w:instrText>
      </w:r>
      <w:r w:rsidR="005B6DC2">
        <w:rPr>
          <w:rStyle w:val="Attachmentfieldtext"/>
        </w:rPr>
        <w:fldChar w:fldCharType="separate"/>
      </w:r>
      <w:r w:rsidR="00642B90">
        <w:rPr>
          <w:rStyle w:val="Attachmentfieldtext"/>
          <w:noProof/>
        </w:rPr>
        <w:t>B</w:t>
      </w:r>
      <w:r w:rsidR="005B6DC2">
        <w:rPr>
          <w:rStyle w:val="Attachmentfieldtext"/>
        </w:rPr>
        <w:fldChar w:fldCharType="end"/>
      </w:r>
      <w:r w:rsidR="001F6B8D">
        <w:rPr>
          <w:rStyle w:val="Attachmentfieldtext"/>
        </w:rPr>
        <w:t xml:space="preserve"> </w:t>
      </w:r>
      <w:r w:rsidR="00124725">
        <w:rPr>
          <w:rStyle w:val="Attachmentfieldtext"/>
        </w:rPr>
        <w:t>—</w:t>
      </w:r>
      <w:r w:rsidR="001F6B8D">
        <w:rPr>
          <w:rStyle w:val="Attachmentfieldtext"/>
        </w:rPr>
        <w:t xml:space="preserve"> </w:t>
      </w:r>
      <w:r w:rsidR="00124725">
        <w:t>Operational requirements for funding-only securitisation</w:t>
      </w:r>
      <w:bookmarkEnd w:id="73"/>
    </w:p>
    <w:p w14:paraId="1AE18C00" w14:textId="77777777" w:rsidR="00124725" w:rsidRPr="00C031E4" w:rsidRDefault="00124725" w:rsidP="00C031E4">
      <w:pPr>
        <w:pStyle w:val="Attachmentsub-heading"/>
      </w:pPr>
      <w:r w:rsidRPr="00C031E4">
        <w:t>Non-senior securities issued in a securitisation</w:t>
      </w:r>
    </w:p>
    <w:p w14:paraId="1AE18C01" w14:textId="77777777" w:rsidR="005A75C6" w:rsidRDefault="00124725" w:rsidP="005B6DC2">
      <w:pPr>
        <w:pStyle w:val="BodyText1"/>
        <w:numPr>
          <w:ilvl w:val="0"/>
          <w:numId w:val="21"/>
        </w:numPr>
      </w:pPr>
      <w:r>
        <w:t xml:space="preserve">Where a securitisation for funding-only purposes includes a date-based call option, non-senior securities must share </w:t>
      </w:r>
      <w:r w:rsidRPr="00FF0203">
        <w:rPr>
          <w:i/>
        </w:rPr>
        <w:t>pro rata</w:t>
      </w:r>
      <w:r>
        <w:t xml:space="preserve"> loss allocation and must not differ in maturity.</w:t>
      </w:r>
    </w:p>
    <w:p w14:paraId="1AE18C02" w14:textId="1309096F" w:rsidR="00124725" w:rsidRDefault="00124725" w:rsidP="005B6DC2">
      <w:pPr>
        <w:pStyle w:val="BodyText1"/>
        <w:numPr>
          <w:ilvl w:val="0"/>
          <w:numId w:val="21"/>
        </w:numPr>
      </w:pPr>
      <w:bookmarkStart w:id="74" w:name="_Ref465157721"/>
      <w:r>
        <w:t>An originating ADI must</w:t>
      </w:r>
      <w:r w:rsidRPr="00AB35F1">
        <w:t xml:space="preserve"> not repurchase </w:t>
      </w:r>
      <w:r>
        <w:t xml:space="preserve">previously sold non-senior </w:t>
      </w:r>
      <w:r w:rsidRPr="00AB35F1">
        <w:t xml:space="preserve">securities </w:t>
      </w:r>
      <w:r>
        <w:t xml:space="preserve">except to give effect to </w:t>
      </w:r>
      <w:r w:rsidRPr="009245BD">
        <w:t xml:space="preserve">a </w:t>
      </w:r>
      <w:r>
        <w:t xml:space="preserve">clean-up </w:t>
      </w:r>
      <w:r w:rsidRPr="009245BD">
        <w:t xml:space="preserve">call that complies with paragraph </w:t>
      </w:r>
      <w:r w:rsidR="00B567EB">
        <w:fldChar w:fldCharType="begin"/>
      </w:r>
      <w:r w:rsidR="00B567EB">
        <w:instrText xml:space="preserve"> REF _Ref465157706 \r \h </w:instrText>
      </w:r>
      <w:r w:rsidR="00B567EB">
        <w:fldChar w:fldCharType="separate"/>
      </w:r>
      <w:r w:rsidR="00642B90">
        <w:t>5(c)</w:t>
      </w:r>
      <w:r w:rsidR="00B567EB">
        <w:fldChar w:fldCharType="end"/>
      </w:r>
      <w:r w:rsidR="00DF52A8">
        <w:t xml:space="preserve"> o</w:t>
      </w:r>
      <w:r w:rsidRPr="009245BD">
        <w:t>f this Attachment</w:t>
      </w:r>
      <w:r>
        <w:t>.</w:t>
      </w:r>
      <w:bookmarkEnd w:id="74"/>
      <w:r w:rsidR="00B567EB">
        <w:rPr>
          <w:rStyle w:val="FootnoteReference"/>
        </w:rPr>
        <w:footnoteReference w:id="33"/>
      </w:r>
    </w:p>
    <w:p w14:paraId="1AE18C03" w14:textId="77777777" w:rsidR="00124725" w:rsidRDefault="00124725" w:rsidP="00C031E4">
      <w:pPr>
        <w:pStyle w:val="Attachmentsub-heading"/>
      </w:pPr>
      <w:r>
        <w:t>Purchase of securities issued in a securitisation</w:t>
      </w:r>
    </w:p>
    <w:p w14:paraId="1AE18C04" w14:textId="27E5F157" w:rsidR="00124725" w:rsidRDefault="00124725" w:rsidP="00124725">
      <w:pPr>
        <w:pStyle w:val="BodyText1"/>
      </w:pPr>
      <w:r>
        <w:t xml:space="preserve">Subject to paragraph </w:t>
      </w:r>
      <w:r w:rsidR="00B567EB">
        <w:fldChar w:fldCharType="begin"/>
      </w:r>
      <w:r w:rsidR="00B567EB">
        <w:instrText xml:space="preserve"> REF _Ref465157721 \r \h </w:instrText>
      </w:r>
      <w:r w:rsidR="00B567EB">
        <w:fldChar w:fldCharType="separate"/>
      </w:r>
      <w:r w:rsidR="00642B90">
        <w:t>2</w:t>
      </w:r>
      <w:r w:rsidR="00B567EB">
        <w:fldChar w:fldCharType="end"/>
      </w:r>
      <w:r w:rsidR="00B567EB">
        <w:t xml:space="preserve"> </w:t>
      </w:r>
      <w:r>
        <w:t>of this Attachment, a</w:t>
      </w:r>
      <w:r w:rsidRPr="00F94A19">
        <w:t xml:space="preserve">n originating ADI </w:t>
      </w:r>
      <w:r>
        <w:t xml:space="preserve">may purchase securities </w:t>
      </w:r>
      <w:r w:rsidRPr="00F94A19">
        <w:t>issued</w:t>
      </w:r>
      <w:r>
        <w:t xml:space="preserve"> in the securitisation,</w:t>
      </w:r>
      <w:r w:rsidRPr="00F94A19">
        <w:t xml:space="preserve"> </w:t>
      </w:r>
      <w:r>
        <w:t>provided:</w:t>
      </w:r>
    </w:p>
    <w:p w14:paraId="1AE18C05" w14:textId="77777777" w:rsidR="00124725" w:rsidRDefault="00124725" w:rsidP="00124725">
      <w:pPr>
        <w:pStyle w:val="BodyText2"/>
      </w:pPr>
      <w:r w:rsidRPr="00B84EDB">
        <w:t>the purchase is conducted on an arm’s-length basis</w:t>
      </w:r>
      <w:r>
        <w:t xml:space="preserve"> and </w:t>
      </w:r>
      <w:r w:rsidRPr="00B84EDB">
        <w:t>on market terms and conditions</w:t>
      </w:r>
      <w:r>
        <w:t>;</w:t>
      </w:r>
      <w:r w:rsidR="00B567EB">
        <w:rPr>
          <w:rStyle w:val="FootnoteReference"/>
        </w:rPr>
        <w:footnoteReference w:id="34"/>
      </w:r>
    </w:p>
    <w:p w14:paraId="1AE18C06" w14:textId="77777777" w:rsidR="00124725" w:rsidRDefault="00124725" w:rsidP="00124725">
      <w:pPr>
        <w:pStyle w:val="BodyText2"/>
      </w:pPr>
      <w:r w:rsidRPr="00523000">
        <w:t>the ADI has no pre-existing obligation to undertake the purchase</w:t>
      </w:r>
      <w:r w:rsidR="00AD671E">
        <w:t>;</w:t>
      </w:r>
      <w:r w:rsidR="00B567EB">
        <w:rPr>
          <w:rStyle w:val="FootnoteReference"/>
        </w:rPr>
        <w:footnoteReference w:id="35"/>
      </w:r>
      <w:r>
        <w:t xml:space="preserve"> and</w:t>
      </w:r>
    </w:p>
    <w:p w14:paraId="1AE18C07" w14:textId="5D4752D2" w:rsidR="00124725" w:rsidRDefault="00124725" w:rsidP="00124725">
      <w:pPr>
        <w:pStyle w:val="BodyText2"/>
      </w:pPr>
      <w:r>
        <w:t xml:space="preserve">the purchase does not give effect to a call option other than a call that complies with paragraph </w:t>
      </w:r>
      <w:r w:rsidR="00B567EB">
        <w:fldChar w:fldCharType="begin"/>
      </w:r>
      <w:r w:rsidR="00B567EB">
        <w:instrText xml:space="preserve"> REF _Ref465157706 \r \h </w:instrText>
      </w:r>
      <w:r w:rsidR="00B567EB">
        <w:fldChar w:fldCharType="separate"/>
      </w:r>
      <w:r w:rsidR="00642B90">
        <w:t>5(c)</w:t>
      </w:r>
      <w:r w:rsidR="00B567EB">
        <w:fldChar w:fldCharType="end"/>
      </w:r>
      <w:r w:rsidR="00B567EB">
        <w:t xml:space="preserve"> </w:t>
      </w:r>
      <w:r>
        <w:t xml:space="preserve">or </w:t>
      </w:r>
      <w:r w:rsidR="00B567EB">
        <w:fldChar w:fldCharType="begin"/>
      </w:r>
      <w:r w:rsidR="00B567EB">
        <w:instrText xml:space="preserve"> REF _Ref465157756 \r \h </w:instrText>
      </w:r>
      <w:r w:rsidR="00B567EB">
        <w:fldChar w:fldCharType="separate"/>
      </w:r>
      <w:r w:rsidR="00642B90">
        <w:t>5(d)</w:t>
      </w:r>
      <w:r w:rsidR="00B567EB">
        <w:fldChar w:fldCharType="end"/>
      </w:r>
      <w:r w:rsidR="00B567EB">
        <w:t xml:space="preserve"> </w:t>
      </w:r>
      <w:r>
        <w:t>of this Attachment.</w:t>
      </w:r>
    </w:p>
    <w:p w14:paraId="1AE18C08" w14:textId="1C630423" w:rsidR="00124725" w:rsidRDefault="00124725" w:rsidP="00124725">
      <w:pPr>
        <w:pStyle w:val="BodyText1"/>
      </w:pPr>
      <w:r>
        <w:t xml:space="preserve">If APRA considers that the pattern or the amount of an originating ADI’s purchase of securities, or its stated willingness to do so, suggests that the ADI is providing implicit support to a securitisation, then the provisions in paragraphs </w:t>
      </w:r>
      <w:r w:rsidR="00B567EB">
        <w:fldChar w:fldCharType="begin"/>
      </w:r>
      <w:r w:rsidR="00B567EB">
        <w:instrText xml:space="preserve"> REF _Ref465157477 \r \h </w:instrText>
      </w:r>
      <w:r w:rsidR="00B567EB">
        <w:fldChar w:fldCharType="separate"/>
      </w:r>
      <w:r w:rsidR="00642B90">
        <w:t>69</w:t>
      </w:r>
      <w:r w:rsidR="00B567EB">
        <w:fldChar w:fldCharType="end"/>
      </w:r>
      <w:r w:rsidR="00B567EB">
        <w:t xml:space="preserve"> </w:t>
      </w:r>
      <w:r>
        <w:t xml:space="preserve">to </w:t>
      </w:r>
      <w:r>
        <w:fldChar w:fldCharType="begin"/>
      </w:r>
      <w:r>
        <w:instrText xml:space="preserve"> REF _Ref464819925 \r \h </w:instrText>
      </w:r>
      <w:r>
        <w:fldChar w:fldCharType="separate"/>
      </w:r>
      <w:r w:rsidR="00642B90">
        <w:t>71</w:t>
      </w:r>
      <w:r>
        <w:fldChar w:fldCharType="end"/>
      </w:r>
      <w:r>
        <w:t xml:space="preserve"> of this Prudential Standard will apply.</w:t>
      </w:r>
    </w:p>
    <w:p w14:paraId="1AE18C09" w14:textId="77777777" w:rsidR="00124725" w:rsidRDefault="00124725" w:rsidP="00C031E4">
      <w:pPr>
        <w:pStyle w:val="Attachmentsub-heading"/>
      </w:pPr>
      <w:r>
        <w:t>Repurchase of exposures out of the pool held in a securitisation</w:t>
      </w:r>
    </w:p>
    <w:p w14:paraId="1AE18C0A" w14:textId="77777777" w:rsidR="00124725" w:rsidRDefault="00124725" w:rsidP="00124725">
      <w:pPr>
        <w:pStyle w:val="BodyText1"/>
      </w:pPr>
      <w:r w:rsidRPr="00DA5A8C">
        <w:t xml:space="preserve">An originating ADI may only repurchase exposures out of the pool held </w:t>
      </w:r>
      <w:r>
        <w:t>in a securitisation or repurchase securities to give effect to a clean-up or date-based call</w:t>
      </w:r>
      <w:r w:rsidRPr="00DA5A8C">
        <w:t xml:space="preserve"> under the following circumstances</w:t>
      </w:r>
      <w:r>
        <w:t>:</w:t>
      </w:r>
    </w:p>
    <w:p w14:paraId="1AE18C0B" w14:textId="77777777" w:rsidR="00124725" w:rsidRDefault="00124725" w:rsidP="00124725">
      <w:pPr>
        <w:pStyle w:val="BodyText2"/>
      </w:pPr>
      <w:r>
        <w:t>where an ADI grants a request for a further advance by a borrower or similar purpose:</w:t>
      </w:r>
    </w:p>
    <w:p w14:paraId="1AE18C0C" w14:textId="77777777" w:rsidR="00124725" w:rsidRDefault="00124725" w:rsidP="00124725">
      <w:pPr>
        <w:pStyle w:val="BodyText3"/>
      </w:pPr>
      <w:r>
        <w:t>the repurchase or replacement is conducted</w:t>
      </w:r>
      <w:r w:rsidRPr="00E82570">
        <w:t xml:space="preserve"> on an arm’s-length basis and on market terms and conditions</w:t>
      </w:r>
      <w:r>
        <w:t>; and</w:t>
      </w:r>
    </w:p>
    <w:p w14:paraId="1AE18C0D" w14:textId="77777777" w:rsidR="00124725" w:rsidRDefault="00124725" w:rsidP="00124725">
      <w:pPr>
        <w:pStyle w:val="BodyText3"/>
      </w:pPr>
      <w:r w:rsidRPr="008E5D97">
        <w:t xml:space="preserve">the </w:t>
      </w:r>
      <w:r>
        <w:t>re</w:t>
      </w:r>
      <w:r w:rsidRPr="008E5D97">
        <w:t xml:space="preserve">purchased exposures </w:t>
      </w:r>
      <w:r>
        <w:t xml:space="preserve">or replaced exposures </w:t>
      </w:r>
      <w:r w:rsidRPr="008E5D97">
        <w:t>are not in default</w:t>
      </w:r>
      <w:r>
        <w:t>;</w:t>
      </w:r>
    </w:p>
    <w:p w14:paraId="1AE18C0E" w14:textId="77777777" w:rsidR="00124725" w:rsidRDefault="00AD671E" w:rsidP="00124725">
      <w:pPr>
        <w:pStyle w:val="BodyText2"/>
      </w:pPr>
      <w:bookmarkStart w:id="75" w:name="_Ref465155723"/>
      <w:r>
        <w:lastRenderedPageBreak/>
        <w:t>where an ADI is required to repurchase (or replace an exposure) as a result of a representation or warranty. In such a case the repurchase or replacement must be:</w:t>
      </w:r>
      <w:bookmarkEnd w:id="75"/>
    </w:p>
    <w:p w14:paraId="1AE18C0F" w14:textId="77777777" w:rsidR="00AD671E" w:rsidRDefault="00AD671E" w:rsidP="00AD671E">
      <w:pPr>
        <w:pStyle w:val="BodyText3"/>
      </w:pPr>
      <w:r>
        <w:t>completed in all respects within 120 days of the transfer of exposures in a securitisation; and</w:t>
      </w:r>
    </w:p>
    <w:p w14:paraId="1AE18C10" w14:textId="77777777" w:rsidR="00AD671E" w:rsidRDefault="00AD671E" w:rsidP="00AD671E">
      <w:pPr>
        <w:pStyle w:val="BodyText3"/>
      </w:pPr>
      <w:r>
        <w:t>conducted on the same terms and conditions as the original transfer;</w:t>
      </w:r>
    </w:p>
    <w:p w14:paraId="1AE18C11" w14:textId="77777777" w:rsidR="00AD671E" w:rsidRDefault="00AD671E" w:rsidP="00AD671E">
      <w:pPr>
        <w:pStyle w:val="BodyText2"/>
      </w:pPr>
      <w:bookmarkStart w:id="76" w:name="_Ref465157706"/>
      <w:r>
        <w:t>f</w:t>
      </w:r>
      <w:r w:rsidRPr="00A9405D">
        <w:t>or securitisation transactions that include a clean-up call</w:t>
      </w:r>
      <w:r>
        <w:t>:</w:t>
      </w:r>
      <w:bookmarkEnd w:id="76"/>
    </w:p>
    <w:p w14:paraId="1AE18C12" w14:textId="77777777" w:rsidR="00AD671E" w:rsidRDefault="00AD671E" w:rsidP="00AD671E">
      <w:pPr>
        <w:pStyle w:val="BodyText3"/>
      </w:pPr>
      <w:r w:rsidRPr="00D057A2">
        <w:t xml:space="preserve">the exercise of the call must be at the full discretion of the </w:t>
      </w:r>
      <w:r>
        <w:t xml:space="preserve">originating </w:t>
      </w:r>
      <w:r w:rsidRPr="00D057A2">
        <w:t>ADI;</w:t>
      </w:r>
    </w:p>
    <w:p w14:paraId="1AE18C13" w14:textId="77777777" w:rsidR="00AD671E" w:rsidRDefault="00AD671E" w:rsidP="00AD671E">
      <w:pPr>
        <w:pStyle w:val="BodyText3"/>
      </w:pPr>
      <w:r>
        <w:t>the call must not be structured to avoid allocating losses to credit enhancements provided to the SPV or its investors, or positions held by investors or otherwise structured to provide credit enhancement; and</w:t>
      </w:r>
    </w:p>
    <w:p w14:paraId="1AE18C14" w14:textId="77777777" w:rsidR="00AD671E" w:rsidRPr="00124725" w:rsidRDefault="00AD671E" w:rsidP="00AD671E">
      <w:pPr>
        <w:pStyle w:val="BodyText3"/>
      </w:pPr>
      <w:r w:rsidRPr="00D057A2">
        <w:t>the call must only be exercisable when 10 per cent or less of the original underlying portfolio or securities issued remains</w:t>
      </w:r>
      <w:r>
        <w:t xml:space="preserve"> outstanding;</w:t>
      </w:r>
      <w:r w:rsidR="00B567EB">
        <w:rPr>
          <w:rStyle w:val="FootnoteReference"/>
        </w:rPr>
        <w:footnoteReference w:id="36"/>
      </w:r>
    </w:p>
    <w:p w14:paraId="1AE18C15" w14:textId="77777777" w:rsidR="001F6B8D" w:rsidRDefault="00AD671E" w:rsidP="00AD671E">
      <w:pPr>
        <w:pStyle w:val="BodyText2"/>
      </w:pPr>
      <w:bookmarkStart w:id="77" w:name="_Ref465157756"/>
      <w:r>
        <w:t>f</w:t>
      </w:r>
      <w:r w:rsidRPr="00A9405D">
        <w:t>or securitisation transactions that include a date-based call</w:t>
      </w:r>
      <w:r>
        <w:t>:</w:t>
      </w:r>
      <w:bookmarkEnd w:id="77"/>
    </w:p>
    <w:p w14:paraId="1AE18C16" w14:textId="77777777" w:rsidR="00AD671E" w:rsidRDefault="00AD671E" w:rsidP="00AD671E">
      <w:pPr>
        <w:pStyle w:val="BodyText3"/>
      </w:pPr>
      <w:r>
        <w:t>the call relates to senior securities only;</w:t>
      </w:r>
    </w:p>
    <w:p w14:paraId="1AE18C17" w14:textId="77777777" w:rsidR="00AD671E" w:rsidRDefault="00AD671E" w:rsidP="00AD671E">
      <w:pPr>
        <w:pStyle w:val="BodyText3"/>
      </w:pPr>
      <w:r w:rsidRPr="00AD4208">
        <w:t xml:space="preserve">the call date is set at </w:t>
      </w:r>
      <w:r>
        <w:t>the time the securities are issued;</w:t>
      </w:r>
    </w:p>
    <w:p w14:paraId="1AE18C18" w14:textId="77777777" w:rsidR="00AD671E" w:rsidRDefault="00AD671E" w:rsidP="00AD671E">
      <w:pPr>
        <w:pStyle w:val="BodyText3"/>
      </w:pPr>
      <w:r>
        <w:t>the exercise of the call is at the full discretion of the originating ADI; and</w:t>
      </w:r>
    </w:p>
    <w:p w14:paraId="1AE18C19" w14:textId="77777777" w:rsidR="00AD671E" w:rsidRDefault="00AD671E" w:rsidP="00AD671E">
      <w:pPr>
        <w:pStyle w:val="BodyText3"/>
      </w:pPr>
      <w:r>
        <w:t>the call is not structured to avoid allocating losses to credit enhancements provided to the SPV or its investors, or positions held by investors or otherwise structured to provide credit enhancement;</w:t>
      </w:r>
    </w:p>
    <w:p w14:paraId="1AE18C1A" w14:textId="77777777" w:rsidR="00AD671E" w:rsidRDefault="004A38D2" w:rsidP="00D66137">
      <w:pPr>
        <w:pStyle w:val="BodyText2"/>
      </w:pPr>
      <w:r>
        <w:t>in</w:t>
      </w:r>
      <w:r w:rsidR="008C60D8">
        <w:t xml:space="preserve"> a self-securitisation, where the repurchase (or replacement) is </w:t>
      </w:r>
      <w:r w:rsidR="00D66137" w:rsidRPr="00D66137">
        <w:t>to m</w:t>
      </w:r>
      <w:r w:rsidR="0068166E">
        <w:t xml:space="preserve">eet </w:t>
      </w:r>
      <w:r w:rsidR="0066403F">
        <w:t xml:space="preserve">a security’s </w:t>
      </w:r>
      <w:r w:rsidR="00D66137" w:rsidRPr="00D66137">
        <w:t xml:space="preserve">eligibility for purchase </w:t>
      </w:r>
      <w:r w:rsidR="0066403F">
        <w:t xml:space="preserve">under </w:t>
      </w:r>
      <w:r w:rsidR="009B7F20">
        <w:t>the</w:t>
      </w:r>
      <w:r w:rsidR="0066403F">
        <w:t xml:space="preserve"> repurchase agreement</w:t>
      </w:r>
      <w:r w:rsidR="00501E60">
        <w:t xml:space="preserve"> with the RBA</w:t>
      </w:r>
      <w:r w:rsidR="00D66137" w:rsidRPr="00D66137">
        <w:t>.</w:t>
      </w:r>
    </w:p>
    <w:p w14:paraId="1AE18C1B" w14:textId="094CDCB9" w:rsidR="00AD671E" w:rsidRDefault="00AD671E" w:rsidP="00AD671E">
      <w:pPr>
        <w:pStyle w:val="BodyText1"/>
      </w:pPr>
      <w:r w:rsidRPr="0061093D">
        <w:t xml:space="preserve">In the case of paragraph </w:t>
      </w:r>
      <w:r w:rsidR="00B567EB">
        <w:fldChar w:fldCharType="begin"/>
      </w:r>
      <w:r w:rsidR="00B567EB">
        <w:instrText xml:space="preserve"> REF _Ref465155723 \r \h </w:instrText>
      </w:r>
      <w:r w:rsidR="00B567EB">
        <w:fldChar w:fldCharType="separate"/>
      </w:r>
      <w:r w:rsidR="00642B90">
        <w:t>5(b)</w:t>
      </w:r>
      <w:r w:rsidR="00B567EB">
        <w:fldChar w:fldCharType="end"/>
      </w:r>
      <w:r w:rsidR="00B567EB">
        <w:t xml:space="preserve"> </w:t>
      </w:r>
      <w:r w:rsidRPr="0061093D">
        <w:t xml:space="preserve">of this Attachment, </w:t>
      </w:r>
      <w:r>
        <w:t xml:space="preserve">after the expiry of the 120-day period </w:t>
      </w:r>
      <w:r w:rsidRPr="0061093D">
        <w:t>an ADI must notify APRA of any instance</w:t>
      </w:r>
      <w:r>
        <w:t xml:space="preserve"> where it </w:t>
      </w:r>
      <w:r w:rsidRPr="0061093D">
        <w:t>has agreed to pay damages arising out of representations and warranties</w:t>
      </w:r>
      <w:r>
        <w:t xml:space="preserve"> or where it has agreed to reassume the credit risk of any exposures.</w:t>
      </w:r>
      <w:r w:rsidRPr="0061093D">
        <w:t xml:space="preserve"> </w:t>
      </w:r>
      <w:r>
        <w:t xml:space="preserve">Should APRA consider that the basis for, or the amount of damages paid, or assumption of credit risk by the ADI constitutes implicit support, the provisions of paragraphs </w:t>
      </w:r>
      <w:r w:rsidR="00B567EB">
        <w:fldChar w:fldCharType="begin"/>
      </w:r>
      <w:r w:rsidR="00B567EB">
        <w:instrText xml:space="preserve"> REF _Ref465157477 \r \h </w:instrText>
      </w:r>
      <w:r w:rsidR="00B567EB">
        <w:fldChar w:fldCharType="separate"/>
      </w:r>
      <w:r w:rsidR="00642B90">
        <w:t>69</w:t>
      </w:r>
      <w:r w:rsidR="00B567EB">
        <w:fldChar w:fldCharType="end"/>
      </w:r>
      <w:r w:rsidR="00B567EB">
        <w:t xml:space="preserve"> </w:t>
      </w:r>
      <w:r>
        <w:t xml:space="preserve">to </w:t>
      </w:r>
      <w:r>
        <w:fldChar w:fldCharType="begin"/>
      </w:r>
      <w:r>
        <w:instrText xml:space="preserve"> REF _Ref464819925 \r \h </w:instrText>
      </w:r>
      <w:r>
        <w:fldChar w:fldCharType="separate"/>
      </w:r>
      <w:r w:rsidR="00642B90">
        <w:t>71</w:t>
      </w:r>
      <w:r>
        <w:fldChar w:fldCharType="end"/>
      </w:r>
      <w:r>
        <w:t xml:space="preserve"> of this Prudential Standard will apply</w:t>
      </w:r>
      <w:r w:rsidR="00BB71D3">
        <w:t>.</w:t>
      </w:r>
    </w:p>
    <w:p w14:paraId="1AE18C1C" w14:textId="13402C92" w:rsidR="00BB71D3" w:rsidRDefault="00BB71D3" w:rsidP="00AD671E">
      <w:pPr>
        <w:pStyle w:val="BodyText1"/>
      </w:pPr>
      <w:r w:rsidRPr="007200EF">
        <w:lastRenderedPageBreak/>
        <w:t xml:space="preserve">In the case of paragraphs </w:t>
      </w:r>
      <w:r w:rsidR="00B567EB">
        <w:fldChar w:fldCharType="begin"/>
      </w:r>
      <w:r w:rsidR="00B567EB">
        <w:instrText xml:space="preserve"> REF _Ref465157706 \r \h </w:instrText>
      </w:r>
      <w:r w:rsidR="00B567EB">
        <w:fldChar w:fldCharType="separate"/>
      </w:r>
      <w:r w:rsidR="00642B90">
        <w:t>5(c)</w:t>
      </w:r>
      <w:r w:rsidR="00B567EB">
        <w:fldChar w:fldCharType="end"/>
      </w:r>
      <w:r w:rsidR="00B567EB">
        <w:t xml:space="preserve"> </w:t>
      </w:r>
      <w:r w:rsidRPr="007200EF">
        <w:t xml:space="preserve">and </w:t>
      </w:r>
      <w:r w:rsidR="00B567EB">
        <w:fldChar w:fldCharType="begin"/>
      </w:r>
      <w:r w:rsidR="00B567EB">
        <w:instrText xml:space="preserve"> REF _Ref465157756 \r \h </w:instrText>
      </w:r>
      <w:r w:rsidR="00B567EB">
        <w:fldChar w:fldCharType="separate"/>
      </w:r>
      <w:r w:rsidR="00642B90">
        <w:t>5(d)</w:t>
      </w:r>
      <w:r w:rsidR="00B567EB">
        <w:fldChar w:fldCharType="end"/>
      </w:r>
      <w:r w:rsidR="00B567EB">
        <w:t xml:space="preserve"> </w:t>
      </w:r>
      <w:r w:rsidRPr="007200EF">
        <w:t xml:space="preserve">of this Attachment, an originating ADI must have regard to APS 210. </w:t>
      </w:r>
      <w:r>
        <w:t xml:space="preserve">An </w:t>
      </w:r>
      <w:r w:rsidRPr="007200EF">
        <w:t xml:space="preserve">ADI </w:t>
      </w:r>
      <w:r>
        <w:t xml:space="preserve">must </w:t>
      </w:r>
      <w:r w:rsidRPr="007200EF">
        <w:t>address the liquidity risk associated with clean-up and date-based call</w:t>
      </w:r>
      <w:r>
        <w:t xml:space="preserve"> options</w:t>
      </w:r>
      <w:r w:rsidRPr="007200EF">
        <w:t xml:space="preserve"> through </w:t>
      </w:r>
      <w:r w:rsidR="00A04B5B">
        <w:t>its</w:t>
      </w:r>
      <w:r w:rsidRPr="007200EF">
        <w:t xml:space="preserve"> liquidity </w:t>
      </w:r>
      <w:r>
        <w:t>risk management framework to measure, monitor and manage the relevant liquidity risk.</w:t>
      </w:r>
    </w:p>
    <w:p w14:paraId="1AE18C1D" w14:textId="77777777" w:rsidR="00BB71D3" w:rsidRDefault="00BB71D3" w:rsidP="00C031E4">
      <w:pPr>
        <w:pStyle w:val="Attachmentsub-heading"/>
      </w:pPr>
      <w:r>
        <w:t>Securitisation of revolving credit facilities</w:t>
      </w:r>
    </w:p>
    <w:p w14:paraId="1AE18C1E" w14:textId="77777777" w:rsidR="00BB71D3" w:rsidRDefault="00BB71D3" w:rsidP="00BB71D3">
      <w:pPr>
        <w:pStyle w:val="Heading3"/>
      </w:pPr>
      <w:r>
        <w:t>Revolving period of securitisation</w:t>
      </w:r>
    </w:p>
    <w:p w14:paraId="1AE18C1F" w14:textId="77777777" w:rsidR="00BB71D3" w:rsidRDefault="00BB71D3" w:rsidP="00BB71D3">
      <w:pPr>
        <w:pStyle w:val="BodyText1"/>
      </w:pPr>
      <w:r>
        <w:t xml:space="preserve">An originating ADI’s seller interest in the underlying exposures may </w:t>
      </w:r>
      <w:r w:rsidRPr="008F7628">
        <w:t>have different principal allocation</w:t>
      </w:r>
      <w:r>
        <w:t xml:space="preserve"> to other senior securitisation exposures but must not be subordinated </w:t>
      </w:r>
      <w:r w:rsidRPr="008F7628">
        <w:t xml:space="preserve">with respect to </w:t>
      </w:r>
      <w:r>
        <w:t xml:space="preserve">cash flows (e.g. interest payments and expenses) </w:t>
      </w:r>
      <w:r w:rsidRPr="008F7628">
        <w:t xml:space="preserve">and </w:t>
      </w:r>
      <w:r>
        <w:t xml:space="preserve">any </w:t>
      </w:r>
      <w:r w:rsidRPr="008F7628">
        <w:t>losses</w:t>
      </w:r>
      <w:r>
        <w:t xml:space="preserve"> associated</w:t>
      </w:r>
      <w:r w:rsidRPr="008F7628">
        <w:t xml:space="preserve"> with the underlying </w:t>
      </w:r>
      <w:r>
        <w:t>exposures.</w:t>
      </w:r>
    </w:p>
    <w:p w14:paraId="1AE18C20" w14:textId="77777777" w:rsidR="00BB71D3" w:rsidRDefault="00BB71D3" w:rsidP="00BB71D3">
      <w:pPr>
        <w:pStyle w:val="Heading3"/>
      </w:pPr>
      <w:r>
        <w:t>Scheduled or early amortisation and similar provisions</w:t>
      </w:r>
    </w:p>
    <w:p w14:paraId="1AE18C21" w14:textId="77777777" w:rsidR="00BB71D3" w:rsidRDefault="00BB71D3" w:rsidP="00BB71D3">
      <w:pPr>
        <w:pStyle w:val="BodyText1"/>
      </w:pPr>
      <w:r>
        <w:t xml:space="preserve">Scheduled </w:t>
      </w:r>
      <w:r w:rsidRPr="00107828">
        <w:t>amortisation</w:t>
      </w:r>
      <w:r>
        <w:t xml:space="preserve"> or early amortisation and </w:t>
      </w:r>
      <w:r w:rsidRPr="00107828">
        <w:t>similar provisions</w:t>
      </w:r>
      <w:r>
        <w:t>,</w:t>
      </w:r>
      <w:r w:rsidRPr="00107828">
        <w:t xml:space="preserve"> if triggered, must no</w:t>
      </w:r>
      <w:r>
        <w:t>t:</w:t>
      </w:r>
    </w:p>
    <w:p w14:paraId="1AE18C22" w14:textId="77777777" w:rsidR="00BB71D3" w:rsidRDefault="00BB71D3" w:rsidP="00BB71D3">
      <w:pPr>
        <w:pStyle w:val="BodyText2"/>
      </w:pPr>
      <w:r w:rsidRPr="00040E63">
        <w:t xml:space="preserve">subordinate the originating ADI’s </w:t>
      </w:r>
      <w:r w:rsidRPr="00E20090">
        <w:t xml:space="preserve">seller </w:t>
      </w:r>
      <w:r>
        <w:t xml:space="preserve">interest in </w:t>
      </w:r>
      <w:r w:rsidRPr="00040E63">
        <w:t xml:space="preserve">the underlying </w:t>
      </w:r>
      <w:r>
        <w:t>exposures</w:t>
      </w:r>
      <w:r w:rsidRPr="00040E63">
        <w:t xml:space="preserve"> to the interest of</w:t>
      </w:r>
      <w:r>
        <w:t xml:space="preserve"> </w:t>
      </w:r>
      <w:r w:rsidRPr="00040E63">
        <w:t>investors</w:t>
      </w:r>
      <w:r>
        <w:t>;</w:t>
      </w:r>
    </w:p>
    <w:p w14:paraId="1AE18C23" w14:textId="77777777" w:rsidR="00BB71D3" w:rsidRDefault="00BB71D3" w:rsidP="00BB71D3">
      <w:pPr>
        <w:pStyle w:val="BodyText2"/>
      </w:pPr>
      <w:r>
        <w:t xml:space="preserve">further </w:t>
      </w:r>
      <w:r w:rsidRPr="00040E63">
        <w:t xml:space="preserve">subordinate the originating ADI’s </w:t>
      </w:r>
      <w:r>
        <w:t xml:space="preserve">subordinated </w:t>
      </w:r>
      <w:r w:rsidRPr="00040E63">
        <w:t>interest</w:t>
      </w:r>
      <w:r>
        <w:t>; or</w:t>
      </w:r>
    </w:p>
    <w:p w14:paraId="1AE18C24" w14:textId="77777777" w:rsidR="00BB71D3" w:rsidRDefault="00BB71D3" w:rsidP="00BB71D3">
      <w:pPr>
        <w:pStyle w:val="BodyText2"/>
      </w:pPr>
      <w:r>
        <w:t>in other ways increase the originating ADI’s exposure to losses associated with the underlying exposures.</w:t>
      </w:r>
      <w:r w:rsidR="00B567EB">
        <w:rPr>
          <w:rStyle w:val="FootnoteReference"/>
        </w:rPr>
        <w:footnoteReference w:id="37"/>
      </w:r>
    </w:p>
    <w:p w14:paraId="1AE18C25" w14:textId="77777777" w:rsidR="00BB71D3" w:rsidRDefault="00BB71D3" w:rsidP="00BB71D3">
      <w:pPr>
        <w:pStyle w:val="BodyText1"/>
      </w:pPr>
      <w:r>
        <w:t xml:space="preserve">Scheduled </w:t>
      </w:r>
      <w:r w:rsidRPr="00525DD7">
        <w:t>amortisation</w:t>
      </w:r>
      <w:r>
        <w:t xml:space="preserve"> or early amortisation and</w:t>
      </w:r>
      <w:r w:rsidRPr="00525DD7">
        <w:t xml:space="preserve"> similar provisions</w:t>
      </w:r>
      <w:r>
        <w:t xml:space="preserve"> must end the ability of the originating ADI to add new exposures to the pool or fund within the pool further draws in relation to the underlying borrowers in the pool.</w:t>
      </w:r>
    </w:p>
    <w:p w14:paraId="1AE18C26" w14:textId="77777777" w:rsidR="00BB71D3" w:rsidRDefault="00BB71D3" w:rsidP="00BB71D3">
      <w:pPr>
        <w:pStyle w:val="BodyText1"/>
        <w:sectPr w:rsidR="00BB71D3" w:rsidSect="000D63A8">
          <w:footerReference w:type="default" r:id="rId24"/>
          <w:pgSz w:w="11906" w:h="16838" w:code="9"/>
          <w:pgMar w:top="1440" w:right="1797" w:bottom="1440" w:left="1797" w:header="709" w:footer="709" w:gutter="0"/>
          <w:cols w:space="708"/>
          <w:docGrid w:linePitch="360"/>
        </w:sectPr>
      </w:pPr>
      <w:r w:rsidRPr="007C6D15">
        <w:t xml:space="preserve">An originating ADI of </w:t>
      </w:r>
      <w:r>
        <w:t xml:space="preserve">a </w:t>
      </w:r>
      <w:r w:rsidRPr="007C6D15">
        <w:t xml:space="preserve">securitisation </w:t>
      </w:r>
      <w:r>
        <w:t xml:space="preserve">of revolving credit facilities </w:t>
      </w:r>
      <w:r w:rsidRPr="007C6D15">
        <w:t>must have regard to APS 210</w:t>
      </w:r>
      <w:r>
        <w:t>. The ADI must have in place appropriate liquidity plans that</w:t>
      </w:r>
      <w:r w:rsidRPr="004338E7">
        <w:t xml:space="preserve"> </w:t>
      </w:r>
      <w:r>
        <w:t>evaluate the probability of an early amortisation or similar provision occurring and address the implications of both scheduled and early amortisation</w:t>
      </w:r>
      <w:r w:rsidRPr="007815FB">
        <w:t xml:space="preserve"> </w:t>
      </w:r>
      <w:r w:rsidRPr="007200EF">
        <w:t xml:space="preserve">through </w:t>
      </w:r>
      <w:r w:rsidR="0006010F">
        <w:t>its</w:t>
      </w:r>
      <w:r w:rsidRPr="007200EF">
        <w:t xml:space="preserve"> liquidity </w:t>
      </w:r>
      <w:r>
        <w:t>risk management framework to measure, monitor and manage the relevant liquidity risk.</w:t>
      </w:r>
    </w:p>
    <w:p w14:paraId="1AE18C27" w14:textId="77777777" w:rsidR="00BB71D3" w:rsidRDefault="00BB71D3" w:rsidP="00BB71D3">
      <w:pPr>
        <w:pStyle w:val="Heading2"/>
      </w:pPr>
      <w:bookmarkStart w:id="78" w:name="_Toc465172390"/>
      <w:r>
        <w:lastRenderedPageBreak/>
        <w:t>Attachment C — Regulatory capital required for credit risk</w:t>
      </w:r>
      <w:bookmarkEnd w:id="78"/>
    </w:p>
    <w:p w14:paraId="1AE18C28" w14:textId="77777777" w:rsidR="00BB71D3" w:rsidRDefault="00BB71D3" w:rsidP="00BB71D3">
      <w:pPr>
        <w:pStyle w:val="BodyText1"/>
        <w:numPr>
          <w:ilvl w:val="0"/>
          <w:numId w:val="24"/>
        </w:numPr>
      </w:pPr>
      <w:bookmarkStart w:id="79" w:name="_Ref465158123"/>
      <w:r>
        <w:t xml:space="preserve">An ADI must </w:t>
      </w:r>
      <w:r w:rsidRPr="00493B69">
        <w:t xml:space="preserve">calculate regulatory capital </w:t>
      </w:r>
      <w:r>
        <w:t xml:space="preserve">for credit risk </w:t>
      </w:r>
      <w:r w:rsidRPr="00493B69">
        <w:t xml:space="preserve">for </w:t>
      </w:r>
      <w:r>
        <w:t>its s</w:t>
      </w:r>
      <w:r w:rsidRPr="00493B69">
        <w:t>ecuritisation exposures</w:t>
      </w:r>
      <w:r>
        <w:t xml:space="preserve"> using either of the following methods:</w:t>
      </w:r>
      <w:bookmarkEnd w:id="79"/>
    </w:p>
    <w:p w14:paraId="1AE18C29" w14:textId="535F33CB" w:rsidR="00BB71D3" w:rsidRDefault="00BB71D3" w:rsidP="00BB71D3">
      <w:pPr>
        <w:pStyle w:val="BodyText2"/>
      </w:pPr>
      <w:r>
        <w:t>a</w:t>
      </w:r>
      <w:r w:rsidRPr="00493B69">
        <w:t>n ADI must use the External Ratings-</w:t>
      </w:r>
      <w:r w:rsidR="00A31FA9">
        <w:t>b</w:t>
      </w:r>
      <w:r w:rsidRPr="00493B69">
        <w:t>ased Approach</w:t>
      </w:r>
      <w:r>
        <w:t xml:space="preserve"> </w:t>
      </w:r>
      <w:r w:rsidRPr="00493B69">
        <w:t xml:space="preserve">(paragraphs </w:t>
      </w:r>
      <w:r w:rsidR="00B567EB">
        <w:fldChar w:fldCharType="begin"/>
      </w:r>
      <w:r w:rsidR="00B567EB">
        <w:instrText xml:space="preserve"> REF _Ref465158008 \r \h </w:instrText>
      </w:r>
      <w:r w:rsidR="00B567EB">
        <w:fldChar w:fldCharType="separate"/>
      </w:r>
      <w:r w:rsidR="00642B90">
        <w:t>4</w:t>
      </w:r>
      <w:r w:rsidR="00B567EB">
        <w:fldChar w:fldCharType="end"/>
      </w:r>
      <w:r w:rsidR="00B567EB">
        <w:t xml:space="preserve"> </w:t>
      </w:r>
      <w:r w:rsidRPr="00493B69">
        <w:t xml:space="preserve">to </w:t>
      </w:r>
      <w:r w:rsidR="00B567EB">
        <w:fldChar w:fldCharType="begin"/>
      </w:r>
      <w:r w:rsidR="00B567EB">
        <w:instrText xml:space="preserve"> REF _Ref465158022 \r \h </w:instrText>
      </w:r>
      <w:r w:rsidR="00B567EB">
        <w:fldChar w:fldCharType="separate"/>
      </w:r>
      <w:r w:rsidR="00642B90">
        <w:t>16</w:t>
      </w:r>
      <w:r w:rsidR="00B567EB">
        <w:fldChar w:fldCharType="end"/>
      </w:r>
      <w:r w:rsidR="00B567EB">
        <w:t xml:space="preserve"> </w:t>
      </w:r>
      <w:r w:rsidRPr="00493B69">
        <w:t xml:space="preserve">of </w:t>
      </w:r>
      <w:r>
        <w:t xml:space="preserve">this </w:t>
      </w:r>
      <w:r w:rsidRPr="00493B69">
        <w:t>Attachment</w:t>
      </w:r>
      <w:r>
        <w:t xml:space="preserve">) </w:t>
      </w:r>
      <w:r w:rsidRPr="00493B69">
        <w:t>where a securitisation exposure is externally rated</w:t>
      </w:r>
      <w:r>
        <w:t xml:space="preserve"> </w:t>
      </w:r>
      <w:r w:rsidRPr="001D544B">
        <w:t xml:space="preserve">(paragraphs </w:t>
      </w:r>
      <w:r w:rsidR="00540B01">
        <w:fldChar w:fldCharType="begin"/>
      </w:r>
      <w:r w:rsidR="00540B01">
        <w:instrText xml:space="preserve"> REF _Ref465244347 \r \h </w:instrText>
      </w:r>
      <w:r w:rsidR="00540B01">
        <w:fldChar w:fldCharType="separate"/>
      </w:r>
      <w:r w:rsidR="00642B90">
        <w:t>53</w:t>
      </w:r>
      <w:r w:rsidR="00540B01">
        <w:fldChar w:fldCharType="end"/>
      </w:r>
      <w:r w:rsidR="00B567EB">
        <w:t xml:space="preserve"> </w:t>
      </w:r>
      <w:r w:rsidRPr="001D544B">
        <w:t xml:space="preserve">to </w:t>
      </w:r>
      <w:r w:rsidR="00B567EB">
        <w:fldChar w:fldCharType="begin"/>
      </w:r>
      <w:r w:rsidR="00B567EB">
        <w:instrText xml:space="preserve"> REF _Ref465156419 \r \h </w:instrText>
      </w:r>
      <w:r w:rsidR="00B567EB">
        <w:fldChar w:fldCharType="separate"/>
      </w:r>
      <w:r w:rsidR="00642B90">
        <w:t>57</w:t>
      </w:r>
      <w:r w:rsidR="00B567EB">
        <w:fldChar w:fldCharType="end"/>
      </w:r>
      <w:r w:rsidR="00B567EB">
        <w:t xml:space="preserve"> </w:t>
      </w:r>
      <w:r w:rsidRPr="001D544B">
        <w:t>of this Prudential Standard)</w:t>
      </w:r>
      <w:r w:rsidRPr="00493B69">
        <w:t xml:space="preserve"> or for which an inferred rating is available</w:t>
      </w:r>
      <w:r w:rsidRPr="001D544B">
        <w:t xml:space="preserve"> </w:t>
      </w:r>
      <w:r>
        <w:t>(</w:t>
      </w:r>
      <w:r w:rsidRPr="001D544B">
        <w:t xml:space="preserve">paragraph </w:t>
      </w:r>
      <w:r>
        <w:fldChar w:fldCharType="begin"/>
      </w:r>
      <w:r>
        <w:instrText xml:space="preserve"> REF _Ref464815486 \r \h </w:instrText>
      </w:r>
      <w:r>
        <w:fldChar w:fldCharType="separate"/>
      </w:r>
      <w:r w:rsidR="00642B90">
        <w:t>58</w:t>
      </w:r>
      <w:r>
        <w:fldChar w:fldCharType="end"/>
      </w:r>
      <w:r w:rsidRPr="001D544B">
        <w:t xml:space="preserve"> of this Prudential Standard</w:t>
      </w:r>
      <w:r>
        <w:t>); or</w:t>
      </w:r>
    </w:p>
    <w:p w14:paraId="1AE18C2A" w14:textId="17DD2F61" w:rsidR="00BB71D3" w:rsidRDefault="00BB71D3" w:rsidP="00BB71D3">
      <w:pPr>
        <w:pStyle w:val="BodyText2"/>
      </w:pPr>
      <w:r>
        <w:t>where</w:t>
      </w:r>
      <w:r w:rsidRPr="00493B69">
        <w:t xml:space="preserve"> an ADI cannot use the External Ratings-</w:t>
      </w:r>
      <w:r w:rsidR="00A31FA9">
        <w:t>b</w:t>
      </w:r>
      <w:r w:rsidRPr="00493B69">
        <w:t xml:space="preserve">ased Approach, the ADI must use the Supervisory Formula Approach (paragraphs </w:t>
      </w:r>
      <w:r w:rsidR="00B567EB">
        <w:fldChar w:fldCharType="begin"/>
      </w:r>
      <w:r w:rsidR="00B567EB">
        <w:instrText xml:space="preserve"> REF _Ref465158091 \r \h </w:instrText>
      </w:r>
      <w:r w:rsidR="00B567EB">
        <w:fldChar w:fldCharType="separate"/>
      </w:r>
      <w:r w:rsidR="00642B90">
        <w:t>17</w:t>
      </w:r>
      <w:r w:rsidR="00B567EB">
        <w:fldChar w:fldCharType="end"/>
      </w:r>
      <w:r w:rsidR="00B567EB">
        <w:t xml:space="preserve"> to </w:t>
      </w:r>
      <w:r w:rsidR="00B567EB">
        <w:fldChar w:fldCharType="begin"/>
      </w:r>
      <w:r w:rsidR="00B567EB">
        <w:instrText xml:space="preserve"> REF _Ref465158108 \r \h </w:instrText>
      </w:r>
      <w:r w:rsidR="00B567EB">
        <w:fldChar w:fldCharType="separate"/>
      </w:r>
      <w:r w:rsidR="00642B90">
        <w:t>34</w:t>
      </w:r>
      <w:r w:rsidR="00B567EB">
        <w:fldChar w:fldCharType="end"/>
      </w:r>
      <w:r w:rsidR="00B567EB">
        <w:t xml:space="preserve"> </w:t>
      </w:r>
      <w:r w:rsidRPr="00493B69">
        <w:t xml:space="preserve">of </w:t>
      </w:r>
      <w:r>
        <w:t xml:space="preserve">this </w:t>
      </w:r>
      <w:r w:rsidRPr="00493B69">
        <w:t>Attachment</w:t>
      </w:r>
      <w:r>
        <w:t>).</w:t>
      </w:r>
    </w:p>
    <w:p w14:paraId="1AE18C2B" w14:textId="1C3D2405" w:rsidR="00BB71D3" w:rsidRDefault="00BB71D3" w:rsidP="00BB71D3">
      <w:pPr>
        <w:pStyle w:val="BodyText1"/>
      </w:pPr>
      <w:r>
        <w:t>The value of s</w:t>
      </w:r>
      <w:r w:rsidRPr="000A007C">
        <w:t xml:space="preserve">ecuritisation exposures to which none of the approaches </w:t>
      </w:r>
      <w:r>
        <w:t xml:space="preserve">in paragraph </w:t>
      </w:r>
      <w:r w:rsidR="00B567EB">
        <w:fldChar w:fldCharType="begin"/>
      </w:r>
      <w:r w:rsidR="00B567EB">
        <w:instrText xml:space="preserve"> REF _Ref465158123 \r \h </w:instrText>
      </w:r>
      <w:r w:rsidR="00B567EB">
        <w:fldChar w:fldCharType="separate"/>
      </w:r>
      <w:r w:rsidR="00642B90">
        <w:t>1</w:t>
      </w:r>
      <w:r w:rsidR="00B567EB">
        <w:fldChar w:fldCharType="end"/>
      </w:r>
      <w:r w:rsidR="00A42ABB">
        <w:t xml:space="preserve"> </w:t>
      </w:r>
      <w:r>
        <w:t xml:space="preserve">of this Attachment </w:t>
      </w:r>
      <w:r w:rsidRPr="000A007C">
        <w:t>can be applied must be deducted from Common Equity Tier 1 Capital</w:t>
      </w:r>
      <w:r>
        <w:t>.</w:t>
      </w:r>
    </w:p>
    <w:p w14:paraId="1AE18C2C" w14:textId="77777777" w:rsidR="00BB71D3" w:rsidRDefault="00BB71D3" w:rsidP="00BB71D3">
      <w:pPr>
        <w:pStyle w:val="BodyText1"/>
      </w:pPr>
      <w:r w:rsidRPr="00AD60EE">
        <w:t xml:space="preserve">An ADI must deduct </w:t>
      </w:r>
      <w:r>
        <w:t xml:space="preserve">the value of </w:t>
      </w:r>
      <w:proofErr w:type="spellStart"/>
      <w:r w:rsidRPr="00AD60EE">
        <w:t>resecuritisation</w:t>
      </w:r>
      <w:proofErr w:type="spellEnd"/>
      <w:r w:rsidRPr="00AD60EE">
        <w:t xml:space="preserve"> exposures</w:t>
      </w:r>
      <w:r>
        <w:t xml:space="preserve"> </w:t>
      </w:r>
      <w:r w:rsidRPr="00AD60EE">
        <w:t>from Common Equity Tier</w:t>
      </w:r>
      <w:r w:rsidR="00B567EB">
        <w:t> </w:t>
      </w:r>
      <w:r w:rsidRPr="00AD60EE">
        <w:t>1 Capital</w:t>
      </w:r>
      <w:r>
        <w:t>.</w:t>
      </w:r>
    </w:p>
    <w:p w14:paraId="1AE18C2D" w14:textId="77777777" w:rsidR="00BB71D3" w:rsidRDefault="00BB71D3" w:rsidP="00C031E4">
      <w:pPr>
        <w:pStyle w:val="Attachmentsub-heading"/>
      </w:pPr>
      <w:r>
        <w:t>External Ratings-</w:t>
      </w:r>
      <w:r w:rsidR="00A31FA9">
        <w:t>b</w:t>
      </w:r>
      <w:r>
        <w:t>ased Approach</w:t>
      </w:r>
    </w:p>
    <w:p w14:paraId="1AE18C2E" w14:textId="3D60DADD" w:rsidR="00BB71D3" w:rsidRDefault="00BB71D3" w:rsidP="00BB71D3">
      <w:pPr>
        <w:pStyle w:val="BodyText1"/>
      </w:pPr>
      <w:bookmarkStart w:id="80" w:name="_Ref465158008"/>
      <w:r w:rsidRPr="00AE19F3">
        <w:t xml:space="preserve">For </w:t>
      </w:r>
      <w:r>
        <w:t xml:space="preserve">a securitisation </w:t>
      </w:r>
      <w:r w:rsidRPr="00AE19F3">
        <w:t xml:space="preserve">exposure that </w:t>
      </w:r>
      <w:r>
        <w:t>is</w:t>
      </w:r>
      <w:r w:rsidRPr="00AE19F3">
        <w:t xml:space="preserve"> externally rated, or for which an inferred rating is available, </w:t>
      </w:r>
      <w:r>
        <w:t xml:space="preserve">the </w:t>
      </w:r>
      <w:r w:rsidRPr="00AE19F3">
        <w:t>risk-weighted asset</w:t>
      </w:r>
      <w:r>
        <w:t xml:space="preserve"> amount of a securitisation exposure must be calculated by </w:t>
      </w:r>
      <w:r w:rsidRPr="00AE19F3">
        <w:t xml:space="preserve">multiplying </w:t>
      </w:r>
      <w:r>
        <w:t xml:space="preserve">the </w:t>
      </w:r>
      <w:r w:rsidRPr="00AE19F3">
        <w:t xml:space="preserve">securitisation exposure amount (paragraph </w:t>
      </w:r>
      <w:r w:rsidR="00B567EB">
        <w:fldChar w:fldCharType="begin"/>
      </w:r>
      <w:r w:rsidR="00B567EB">
        <w:instrText xml:space="preserve"> REF _Ref465156029 \r \h </w:instrText>
      </w:r>
      <w:r w:rsidR="00B567EB">
        <w:fldChar w:fldCharType="separate"/>
      </w:r>
      <w:r w:rsidR="00642B90">
        <w:t>43</w:t>
      </w:r>
      <w:r w:rsidR="00B567EB">
        <w:fldChar w:fldCharType="end"/>
      </w:r>
      <w:r w:rsidR="00B567EB">
        <w:t xml:space="preserve"> </w:t>
      </w:r>
      <w:r>
        <w:t>of this Prudential Standard) by</w:t>
      </w:r>
      <w:r w:rsidRPr="00AE19F3">
        <w:t xml:space="preserve"> the appropriate</w:t>
      </w:r>
      <w:r>
        <w:t xml:space="preserve"> </w:t>
      </w:r>
      <w:r w:rsidRPr="00AE19F3">
        <w:t>risk</w:t>
      </w:r>
      <w:r>
        <w:t xml:space="preserve"> </w:t>
      </w:r>
      <w:r w:rsidRPr="00AE19F3">
        <w:t xml:space="preserve">weight </w:t>
      </w:r>
      <w:r>
        <w:t>(</w:t>
      </w:r>
      <w:r w:rsidRPr="00AE19F3">
        <w:t xml:space="preserve">paragraphs </w:t>
      </w:r>
      <w:r w:rsidR="00B567EB">
        <w:fldChar w:fldCharType="begin"/>
      </w:r>
      <w:r w:rsidR="00B567EB">
        <w:instrText xml:space="preserve"> REF _Ref465158188 \r \h </w:instrText>
      </w:r>
      <w:r w:rsidR="00B567EB">
        <w:fldChar w:fldCharType="separate"/>
      </w:r>
      <w:r w:rsidR="00642B90">
        <w:t>5</w:t>
      </w:r>
      <w:r w:rsidR="00B567EB">
        <w:fldChar w:fldCharType="end"/>
      </w:r>
      <w:r w:rsidR="00B567EB">
        <w:t xml:space="preserve"> to </w:t>
      </w:r>
      <w:r w:rsidR="00B567EB">
        <w:fldChar w:fldCharType="begin"/>
      </w:r>
      <w:r w:rsidR="00B567EB">
        <w:instrText xml:space="preserve"> REF _Ref465158022 \r \h </w:instrText>
      </w:r>
      <w:r w:rsidR="00B567EB">
        <w:fldChar w:fldCharType="separate"/>
      </w:r>
      <w:r w:rsidR="00642B90">
        <w:t>16</w:t>
      </w:r>
      <w:r w:rsidR="00B567EB">
        <w:fldChar w:fldCharType="end"/>
      </w:r>
      <w:r w:rsidR="00BE08D0">
        <w:t xml:space="preserve"> </w:t>
      </w:r>
      <w:r>
        <w:t>of this Attachment).</w:t>
      </w:r>
      <w:bookmarkEnd w:id="80"/>
    </w:p>
    <w:p w14:paraId="1AE18C2F" w14:textId="77777777" w:rsidR="00BB71D3" w:rsidRDefault="00BB71D3" w:rsidP="00BB71D3">
      <w:pPr>
        <w:pStyle w:val="Heading3"/>
      </w:pPr>
      <w:r>
        <w:t>Short-term ratings</w:t>
      </w:r>
    </w:p>
    <w:p w14:paraId="1AE18C30" w14:textId="77777777" w:rsidR="00BB71D3" w:rsidRPr="00BB71D3" w:rsidRDefault="00BB71D3" w:rsidP="00BB71D3">
      <w:pPr>
        <w:pStyle w:val="BodyText1"/>
      </w:pPr>
      <w:bookmarkStart w:id="81" w:name="_Ref465158188"/>
      <w:r w:rsidRPr="004B4D1F">
        <w:t xml:space="preserve">For </w:t>
      </w:r>
      <w:r>
        <w:t xml:space="preserve">securitisation </w:t>
      </w:r>
      <w:r w:rsidRPr="004B4D1F">
        <w:t xml:space="preserve">exposures with short-term ratings, or when an inferred rating based on a short-term rating is available, the risk weights </w:t>
      </w:r>
      <w:r>
        <w:t xml:space="preserve">detailed in Table 1 </w:t>
      </w:r>
      <w:r w:rsidRPr="004B4D1F">
        <w:t>apply</w:t>
      </w:r>
      <w:r>
        <w:t>.</w:t>
      </w:r>
      <w:bookmarkEnd w:id="81"/>
    </w:p>
    <w:p w14:paraId="1AE18C31" w14:textId="77777777" w:rsidR="00BB71D3" w:rsidRDefault="00BB71D3" w:rsidP="00BB71D3">
      <w:pPr>
        <w:pStyle w:val="BodyText1"/>
        <w:numPr>
          <w:ilvl w:val="0"/>
          <w:numId w:val="0"/>
        </w:numPr>
        <w:ind w:left="567"/>
      </w:pPr>
      <w:r w:rsidRPr="000D602F">
        <w:t>Table</w:t>
      </w:r>
      <w:r>
        <w:t xml:space="preserve"> 1</w:t>
      </w:r>
      <w:r w:rsidRPr="000D602F">
        <w:t xml:space="preserve">: </w:t>
      </w:r>
      <w:r>
        <w:t>Sh</w:t>
      </w:r>
      <w:r w:rsidRPr="000D602F">
        <w:t>o</w:t>
      </w:r>
      <w:r>
        <w:t>rt</w:t>
      </w:r>
      <w:r w:rsidRPr="000D602F">
        <w:t>-term credit rating grades and corresponding risk</w:t>
      </w:r>
      <w:r>
        <w:t xml:space="preserve"> </w:t>
      </w:r>
      <w:r w:rsidRPr="000D602F">
        <w:t>weights</w:t>
      </w:r>
    </w:p>
    <w:tbl>
      <w:tblPr>
        <w:tblStyle w:val="TableGrid"/>
        <w:tblW w:w="0" w:type="auto"/>
        <w:tblInd w:w="567" w:type="dxa"/>
        <w:tblLook w:val="04A0" w:firstRow="1" w:lastRow="0" w:firstColumn="1" w:lastColumn="0" w:noHBand="0" w:noVBand="1"/>
      </w:tblPr>
      <w:tblGrid>
        <w:gridCol w:w="1695"/>
        <w:gridCol w:w="1680"/>
        <w:gridCol w:w="1680"/>
        <w:gridCol w:w="1686"/>
        <w:gridCol w:w="1708"/>
      </w:tblGrid>
      <w:tr w:rsidR="00BB71D3" w:rsidRPr="000D602F" w14:paraId="1AE18C37" w14:textId="77777777" w:rsidTr="007F46D0">
        <w:tc>
          <w:tcPr>
            <w:tcW w:w="1735" w:type="dxa"/>
          </w:tcPr>
          <w:p w14:paraId="1AE18C32" w14:textId="77777777" w:rsidR="00BB71D3" w:rsidRPr="00034262" w:rsidRDefault="00BB71D3" w:rsidP="00B567EB">
            <w:pPr>
              <w:keepNext/>
              <w:keepLines/>
              <w:jc w:val="both"/>
              <w:rPr>
                <w:rFonts w:eastAsia="Times New Roman"/>
                <w:b/>
              </w:rPr>
            </w:pPr>
            <w:r w:rsidRPr="00034262">
              <w:rPr>
                <w:rFonts w:eastAsia="Times New Roman"/>
                <w:b/>
              </w:rPr>
              <w:t>Credit rating grade</w:t>
            </w:r>
            <w:r w:rsidR="00B567EB">
              <w:rPr>
                <w:rStyle w:val="FootnoteReference"/>
                <w:rFonts w:eastAsia="Times New Roman"/>
                <w:b/>
              </w:rPr>
              <w:footnoteReference w:id="38"/>
            </w:r>
          </w:p>
        </w:tc>
        <w:tc>
          <w:tcPr>
            <w:tcW w:w="1735" w:type="dxa"/>
          </w:tcPr>
          <w:p w14:paraId="1AE18C33" w14:textId="77777777" w:rsidR="00BB71D3" w:rsidRPr="00034262" w:rsidRDefault="00BB71D3" w:rsidP="007F46D0">
            <w:pPr>
              <w:keepNext/>
              <w:keepLines/>
              <w:jc w:val="center"/>
              <w:rPr>
                <w:rFonts w:eastAsia="Times New Roman"/>
                <w:b/>
              </w:rPr>
            </w:pPr>
            <w:r w:rsidRPr="00034262">
              <w:rPr>
                <w:rFonts w:eastAsia="Times New Roman"/>
                <w:b/>
              </w:rPr>
              <w:t>1</w:t>
            </w:r>
          </w:p>
        </w:tc>
        <w:tc>
          <w:tcPr>
            <w:tcW w:w="1735" w:type="dxa"/>
          </w:tcPr>
          <w:p w14:paraId="1AE18C34" w14:textId="77777777" w:rsidR="00BB71D3" w:rsidRPr="00034262" w:rsidRDefault="00BB71D3" w:rsidP="007F46D0">
            <w:pPr>
              <w:keepNext/>
              <w:keepLines/>
              <w:jc w:val="center"/>
              <w:rPr>
                <w:rFonts w:eastAsia="Times New Roman"/>
                <w:b/>
              </w:rPr>
            </w:pPr>
            <w:r w:rsidRPr="00034262">
              <w:rPr>
                <w:rFonts w:eastAsia="Times New Roman"/>
                <w:b/>
              </w:rPr>
              <w:t>2</w:t>
            </w:r>
          </w:p>
        </w:tc>
        <w:tc>
          <w:tcPr>
            <w:tcW w:w="1735" w:type="dxa"/>
          </w:tcPr>
          <w:p w14:paraId="1AE18C35" w14:textId="77777777" w:rsidR="00BB71D3" w:rsidRPr="00034262" w:rsidRDefault="00BB71D3" w:rsidP="007F46D0">
            <w:pPr>
              <w:keepNext/>
              <w:keepLines/>
              <w:jc w:val="center"/>
              <w:rPr>
                <w:rFonts w:eastAsia="Times New Roman"/>
                <w:b/>
              </w:rPr>
            </w:pPr>
            <w:r w:rsidRPr="00034262">
              <w:rPr>
                <w:rFonts w:eastAsia="Times New Roman"/>
                <w:b/>
              </w:rPr>
              <w:t>3</w:t>
            </w:r>
          </w:p>
        </w:tc>
        <w:tc>
          <w:tcPr>
            <w:tcW w:w="1735" w:type="dxa"/>
          </w:tcPr>
          <w:p w14:paraId="1AE18C36" w14:textId="77777777" w:rsidR="00BB71D3" w:rsidRPr="00034262" w:rsidRDefault="00BB71D3" w:rsidP="007F46D0">
            <w:pPr>
              <w:keepNext/>
              <w:keepLines/>
              <w:jc w:val="center"/>
              <w:rPr>
                <w:rFonts w:eastAsia="Times New Roman"/>
                <w:b/>
              </w:rPr>
            </w:pPr>
            <w:r>
              <w:rPr>
                <w:rFonts w:eastAsia="Times New Roman"/>
                <w:b/>
              </w:rPr>
              <w:t>4</w:t>
            </w:r>
          </w:p>
        </w:tc>
      </w:tr>
      <w:tr w:rsidR="00BB71D3" w:rsidRPr="000D602F" w14:paraId="1AE18C3D" w14:textId="77777777" w:rsidTr="007F46D0">
        <w:tc>
          <w:tcPr>
            <w:tcW w:w="1735" w:type="dxa"/>
          </w:tcPr>
          <w:p w14:paraId="1AE18C38" w14:textId="77777777" w:rsidR="00BB71D3" w:rsidRPr="000D602F" w:rsidRDefault="00BB71D3" w:rsidP="007F46D0">
            <w:pPr>
              <w:keepNext/>
              <w:keepLines/>
              <w:jc w:val="both"/>
              <w:rPr>
                <w:rFonts w:eastAsia="Times New Roman"/>
                <w:b/>
              </w:rPr>
            </w:pPr>
            <w:r w:rsidRPr="000D602F">
              <w:rPr>
                <w:rFonts w:eastAsia="Times New Roman"/>
                <w:b/>
              </w:rPr>
              <w:t>Risk</w:t>
            </w:r>
            <w:r>
              <w:rPr>
                <w:rFonts w:eastAsia="Times New Roman"/>
                <w:b/>
              </w:rPr>
              <w:t xml:space="preserve"> </w:t>
            </w:r>
            <w:r w:rsidRPr="000D602F">
              <w:rPr>
                <w:rFonts w:eastAsia="Times New Roman"/>
                <w:b/>
              </w:rPr>
              <w:t>weight</w:t>
            </w:r>
          </w:p>
        </w:tc>
        <w:tc>
          <w:tcPr>
            <w:tcW w:w="1735" w:type="dxa"/>
          </w:tcPr>
          <w:p w14:paraId="1AE18C39" w14:textId="77777777" w:rsidR="00BB71D3" w:rsidRPr="000D602F" w:rsidRDefault="00BB71D3" w:rsidP="007F46D0">
            <w:pPr>
              <w:keepNext/>
              <w:keepLines/>
              <w:jc w:val="center"/>
              <w:rPr>
                <w:rFonts w:eastAsia="Times New Roman"/>
              </w:rPr>
            </w:pPr>
            <w:r>
              <w:rPr>
                <w:rFonts w:eastAsia="Times New Roman"/>
              </w:rPr>
              <w:t>15%</w:t>
            </w:r>
          </w:p>
        </w:tc>
        <w:tc>
          <w:tcPr>
            <w:tcW w:w="1735" w:type="dxa"/>
          </w:tcPr>
          <w:p w14:paraId="1AE18C3A" w14:textId="77777777" w:rsidR="00BB71D3" w:rsidRPr="000D602F" w:rsidRDefault="00BB71D3" w:rsidP="007F46D0">
            <w:pPr>
              <w:keepNext/>
              <w:keepLines/>
              <w:jc w:val="center"/>
              <w:rPr>
                <w:rFonts w:eastAsia="Times New Roman"/>
              </w:rPr>
            </w:pPr>
            <w:r>
              <w:rPr>
                <w:rFonts w:eastAsia="Times New Roman"/>
              </w:rPr>
              <w:t>50%</w:t>
            </w:r>
          </w:p>
        </w:tc>
        <w:tc>
          <w:tcPr>
            <w:tcW w:w="1735" w:type="dxa"/>
          </w:tcPr>
          <w:p w14:paraId="1AE18C3B" w14:textId="77777777" w:rsidR="00BB71D3" w:rsidRPr="000D602F" w:rsidRDefault="00BB71D3" w:rsidP="007F46D0">
            <w:pPr>
              <w:keepNext/>
              <w:keepLines/>
              <w:jc w:val="center"/>
              <w:rPr>
                <w:rFonts w:eastAsia="Times New Roman"/>
              </w:rPr>
            </w:pPr>
            <w:r>
              <w:rPr>
                <w:rFonts w:eastAsia="Times New Roman"/>
              </w:rPr>
              <w:t>100%</w:t>
            </w:r>
          </w:p>
        </w:tc>
        <w:tc>
          <w:tcPr>
            <w:tcW w:w="1735" w:type="dxa"/>
          </w:tcPr>
          <w:p w14:paraId="1AE18C3C" w14:textId="77777777" w:rsidR="00BB71D3" w:rsidRPr="000D602F" w:rsidRDefault="00BB71D3" w:rsidP="007F46D0">
            <w:pPr>
              <w:keepNext/>
              <w:keepLines/>
              <w:jc w:val="center"/>
              <w:rPr>
                <w:rFonts w:eastAsia="Times New Roman"/>
              </w:rPr>
            </w:pPr>
            <w:r>
              <w:rPr>
                <w:rFonts w:eastAsia="Times New Roman"/>
              </w:rPr>
              <w:t>Deduction from Common Equity Tier 1 Capital</w:t>
            </w:r>
          </w:p>
        </w:tc>
      </w:tr>
    </w:tbl>
    <w:p w14:paraId="1AE18C3E" w14:textId="77777777" w:rsidR="00BB71D3" w:rsidRPr="004B4D1F" w:rsidRDefault="00BB71D3" w:rsidP="00BB71D3">
      <w:pPr>
        <w:pStyle w:val="BodyText1"/>
        <w:numPr>
          <w:ilvl w:val="0"/>
          <w:numId w:val="0"/>
        </w:numPr>
        <w:ind w:left="567"/>
      </w:pPr>
    </w:p>
    <w:p w14:paraId="1AE18C3F" w14:textId="77777777" w:rsidR="00BB71D3" w:rsidRDefault="00BB71D3" w:rsidP="00BB71D3">
      <w:pPr>
        <w:pStyle w:val="Heading3"/>
      </w:pPr>
      <w:r>
        <w:lastRenderedPageBreak/>
        <w:t>Long-term ratings</w:t>
      </w:r>
    </w:p>
    <w:p w14:paraId="1AE18C40" w14:textId="77777777" w:rsidR="00BB71D3" w:rsidRDefault="00BB71D3" w:rsidP="00B567EB">
      <w:pPr>
        <w:pStyle w:val="BodyText1"/>
        <w:keepNext/>
      </w:pPr>
      <w:bookmarkStart w:id="82" w:name="_Ref465158305"/>
      <w:r w:rsidRPr="0065619E">
        <w:t xml:space="preserve">For securitisation exposures with long-term ratings, or when an inferred rating based on a long-term rating is available, </w:t>
      </w:r>
      <w:r>
        <w:t>an ADI must apply:</w:t>
      </w:r>
      <w:bookmarkEnd w:id="82"/>
    </w:p>
    <w:p w14:paraId="1AE18C41" w14:textId="5AC13BA4" w:rsidR="00BB71D3" w:rsidRDefault="00BB71D3" w:rsidP="00BB71D3">
      <w:pPr>
        <w:pStyle w:val="BodyText2"/>
      </w:pPr>
      <w:r>
        <w:t xml:space="preserve">the risk weights detailed in Table 2, adjusted for tranche maturity (paragraph </w:t>
      </w:r>
      <w:r w:rsidR="00B567EB">
        <w:fldChar w:fldCharType="begin"/>
      </w:r>
      <w:r w:rsidR="00B567EB">
        <w:instrText xml:space="preserve"> REF _Ref465158275 \r \h </w:instrText>
      </w:r>
      <w:r w:rsidR="00B567EB">
        <w:fldChar w:fldCharType="separate"/>
      </w:r>
      <w:r w:rsidR="00642B90">
        <w:t>9</w:t>
      </w:r>
      <w:r w:rsidR="00B567EB">
        <w:fldChar w:fldCharType="end"/>
      </w:r>
      <w:r w:rsidR="00B567EB">
        <w:t xml:space="preserve"> </w:t>
      </w:r>
      <w:r>
        <w:t xml:space="preserve">of this Attachment) and, where relevant, tranche thickness (paragraph </w:t>
      </w:r>
      <w:r w:rsidR="00B567EB">
        <w:fldChar w:fldCharType="begin"/>
      </w:r>
      <w:r w:rsidR="00B567EB">
        <w:instrText xml:space="preserve"> REF _Ref465158291 \r \h </w:instrText>
      </w:r>
      <w:r w:rsidR="00B567EB">
        <w:fldChar w:fldCharType="separate"/>
      </w:r>
      <w:r w:rsidR="00642B90">
        <w:t>15</w:t>
      </w:r>
      <w:r w:rsidR="00B567EB">
        <w:fldChar w:fldCharType="end"/>
      </w:r>
      <w:r w:rsidR="00B567EB">
        <w:t xml:space="preserve"> </w:t>
      </w:r>
      <w:r>
        <w:t>of this Attachment); or</w:t>
      </w:r>
    </w:p>
    <w:p w14:paraId="1AE18C42" w14:textId="77777777" w:rsidR="00BB71D3" w:rsidRDefault="00BB71D3" w:rsidP="00BB71D3">
      <w:pPr>
        <w:pStyle w:val="BodyText2"/>
      </w:pPr>
      <w:r w:rsidRPr="0065619E">
        <w:t xml:space="preserve">the risk weights </w:t>
      </w:r>
      <w:r>
        <w:t>detailed in Table 2, commensurate with a 5 year tranche maturity.</w:t>
      </w:r>
    </w:p>
    <w:p w14:paraId="1AE18C43" w14:textId="75D63EC8" w:rsidR="00BB71D3" w:rsidRDefault="00BB71D3" w:rsidP="00BB71D3">
      <w:pPr>
        <w:pStyle w:val="BodyText1"/>
      </w:pPr>
      <w:r>
        <w:t xml:space="preserve">The resulting risk weight under paragraph </w:t>
      </w:r>
      <w:r w:rsidR="00B567EB">
        <w:fldChar w:fldCharType="begin"/>
      </w:r>
      <w:r w:rsidR="00B567EB">
        <w:instrText xml:space="preserve"> REF _Ref465158305 \r \h </w:instrText>
      </w:r>
      <w:r w:rsidR="00B567EB">
        <w:fldChar w:fldCharType="separate"/>
      </w:r>
      <w:r w:rsidR="00642B90">
        <w:t>6</w:t>
      </w:r>
      <w:r w:rsidR="00B567EB">
        <w:fldChar w:fldCharType="end"/>
      </w:r>
      <w:r w:rsidR="00B567EB">
        <w:t xml:space="preserve"> </w:t>
      </w:r>
      <w:r>
        <w:t>of this Attachment is subject to a risk-weight floor of 15 per cent. The resulting risk weight must not be lower than the risk weight corresponding to a senior tranche of the same securitisation with the same rating and maturity.</w:t>
      </w:r>
    </w:p>
    <w:p w14:paraId="1AE18C44" w14:textId="77777777" w:rsidR="00ED3CBB" w:rsidRDefault="00ED3CBB" w:rsidP="00ED3CBB">
      <w:pPr>
        <w:pStyle w:val="BodyText1"/>
        <w:numPr>
          <w:ilvl w:val="0"/>
          <w:numId w:val="0"/>
        </w:numPr>
        <w:ind w:left="567"/>
      </w:pPr>
      <w:r w:rsidRPr="007B5B08">
        <w:t xml:space="preserve">Table </w:t>
      </w:r>
      <w:r>
        <w:t>2</w:t>
      </w:r>
      <w:r w:rsidRPr="007B5B08">
        <w:t>: Lo</w:t>
      </w:r>
      <w:r>
        <w:t>ng</w:t>
      </w:r>
      <w:r w:rsidRPr="007B5B08">
        <w:t>-term credit rating grades and corresponding risk</w:t>
      </w:r>
      <w:r>
        <w:t xml:space="preserve"> </w:t>
      </w:r>
      <w:r w:rsidRPr="007B5B08">
        <w:t>weights</w:t>
      </w:r>
    </w:p>
    <w:tbl>
      <w:tblPr>
        <w:tblStyle w:val="TableGrid"/>
        <w:tblW w:w="8567" w:type="dxa"/>
        <w:tblInd w:w="675" w:type="dxa"/>
        <w:tblLook w:val="04A0" w:firstRow="1" w:lastRow="0" w:firstColumn="1" w:lastColumn="0" w:noHBand="0" w:noVBand="1"/>
      </w:tblPr>
      <w:tblGrid>
        <w:gridCol w:w="1065"/>
        <w:gridCol w:w="1773"/>
        <w:gridCol w:w="1833"/>
        <w:gridCol w:w="1948"/>
        <w:gridCol w:w="1948"/>
      </w:tblGrid>
      <w:tr w:rsidR="00ED3CBB" w:rsidRPr="000D602F" w14:paraId="1AE18C48" w14:textId="77777777" w:rsidTr="007F46D0">
        <w:trPr>
          <w:trHeight w:val="552"/>
          <w:tblHeader/>
        </w:trPr>
        <w:tc>
          <w:tcPr>
            <w:tcW w:w="1065" w:type="dxa"/>
            <w:vMerge w:val="restart"/>
          </w:tcPr>
          <w:p w14:paraId="1AE18C45" w14:textId="77777777" w:rsidR="00ED3CBB" w:rsidRPr="003D2A66" w:rsidRDefault="00B567EB" w:rsidP="00B567EB">
            <w:pPr>
              <w:keepNext/>
              <w:jc w:val="both"/>
              <w:rPr>
                <w:rFonts w:eastAsia="Times New Roman"/>
                <w:b/>
              </w:rPr>
            </w:pPr>
            <w:r>
              <w:rPr>
                <w:rFonts w:eastAsia="Times New Roman"/>
                <w:b/>
              </w:rPr>
              <w:t>Credit rating grade</w:t>
            </w:r>
            <w:r>
              <w:rPr>
                <w:rStyle w:val="FootnoteReference"/>
                <w:rFonts w:eastAsia="Times New Roman"/>
                <w:b/>
              </w:rPr>
              <w:footnoteReference w:id="39"/>
            </w:r>
          </w:p>
        </w:tc>
        <w:tc>
          <w:tcPr>
            <w:tcW w:w="3606" w:type="dxa"/>
            <w:gridSpan w:val="2"/>
          </w:tcPr>
          <w:p w14:paraId="1AE18C46" w14:textId="77777777" w:rsidR="00ED3CBB" w:rsidRPr="003D2A66" w:rsidRDefault="00ED3CBB" w:rsidP="007F46D0">
            <w:pPr>
              <w:keepNext/>
              <w:jc w:val="center"/>
              <w:rPr>
                <w:rFonts w:eastAsia="Times New Roman"/>
                <w:b/>
              </w:rPr>
            </w:pPr>
            <w:r w:rsidRPr="003D2A66">
              <w:rPr>
                <w:rFonts w:eastAsia="Times New Roman"/>
                <w:b/>
              </w:rPr>
              <w:t>Senior securitisation exposure</w:t>
            </w:r>
          </w:p>
        </w:tc>
        <w:tc>
          <w:tcPr>
            <w:tcW w:w="3896" w:type="dxa"/>
            <w:gridSpan w:val="2"/>
          </w:tcPr>
          <w:p w14:paraId="1AE18C47" w14:textId="77777777" w:rsidR="00ED3CBB" w:rsidRPr="003D2A66" w:rsidRDefault="00ED3CBB" w:rsidP="007F46D0">
            <w:pPr>
              <w:keepNext/>
              <w:jc w:val="center"/>
              <w:rPr>
                <w:rFonts w:eastAsia="Times New Roman"/>
                <w:b/>
              </w:rPr>
            </w:pPr>
            <w:r>
              <w:rPr>
                <w:rFonts w:eastAsia="Times New Roman"/>
                <w:b/>
              </w:rPr>
              <w:t>Non-senior securitisation exposure</w:t>
            </w:r>
          </w:p>
        </w:tc>
      </w:tr>
      <w:tr w:rsidR="00ED3CBB" w:rsidRPr="000D602F" w14:paraId="1AE18C4C" w14:textId="77777777" w:rsidTr="007F46D0">
        <w:trPr>
          <w:trHeight w:val="552"/>
          <w:tblHeader/>
        </w:trPr>
        <w:tc>
          <w:tcPr>
            <w:tcW w:w="1065" w:type="dxa"/>
            <w:vMerge/>
          </w:tcPr>
          <w:p w14:paraId="1AE18C49" w14:textId="77777777" w:rsidR="00ED3CBB" w:rsidRPr="003D2A66" w:rsidRDefault="00ED3CBB" w:rsidP="007F46D0">
            <w:pPr>
              <w:keepNext/>
              <w:jc w:val="both"/>
              <w:rPr>
                <w:rFonts w:eastAsia="Times New Roman"/>
                <w:b/>
              </w:rPr>
            </w:pPr>
          </w:p>
        </w:tc>
        <w:tc>
          <w:tcPr>
            <w:tcW w:w="3606" w:type="dxa"/>
            <w:gridSpan w:val="2"/>
          </w:tcPr>
          <w:p w14:paraId="1AE18C4A" w14:textId="77777777" w:rsidR="00ED3CBB" w:rsidRPr="00B2619E" w:rsidRDefault="00ED3CBB" w:rsidP="007F46D0">
            <w:pPr>
              <w:keepNext/>
              <w:jc w:val="center"/>
              <w:rPr>
                <w:rFonts w:eastAsia="Times New Roman"/>
                <w:b/>
              </w:rPr>
            </w:pPr>
            <w:r w:rsidRPr="00B2619E">
              <w:rPr>
                <w:rFonts w:eastAsia="Times New Roman"/>
                <w:b/>
              </w:rPr>
              <w:t>Tranche maturity</w:t>
            </w:r>
            <w:r w:rsidRPr="00B2619E">
              <w:rPr>
                <w:b/>
              </w:rPr>
              <w:t xml:space="preserve"> (</w:t>
            </w:r>
            <w:r w:rsidRPr="00B2619E">
              <w:rPr>
                <w:rFonts w:eastAsia="Times New Roman"/>
                <w:b/>
                <w:i/>
              </w:rPr>
              <w:t>M</w:t>
            </w:r>
            <w:r w:rsidRPr="00B2619E">
              <w:rPr>
                <w:rFonts w:eastAsia="Times New Roman"/>
                <w:b/>
                <w:i/>
                <w:vertAlign w:val="subscript"/>
              </w:rPr>
              <w:t>T</w:t>
            </w:r>
            <w:r w:rsidRPr="00B2619E">
              <w:rPr>
                <w:rFonts w:eastAsia="Times New Roman"/>
                <w:b/>
              </w:rPr>
              <w:t>)</w:t>
            </w:r>
          </w:p>
        </w:tc>
        <w:tc>
          <w:tcPr>
            <w:tcW w:w="3896" w:type="dxa"/>
            <w:gridSpan w:val="2"/>
          </w:tcPr>
          <w:p w14:paraId="1AE18C4B" w14:textId="77777777" w:rsidR="00ED3CBB" w:rsidRPr="00B2619E" w:rsidRDefault="00ED3CBB" w:rsidP="007F46D0">
            <w:pPr>
              <w:keepNext/>
              <w:jc w:val="center"/>
              <w:rPr>
                <w:rFonts w:eastAsia="Times New Roman"/>
                <w:b/>
              </w:rPr>
            </w:pPr>
            <w:r w:rsidRPr="00B2619E">
              <w:rPr>
                <w:rFonts w:eastAsia="Times New Roman"/>
                <w:b/>
              </w:rPr>
              <w:t>Tranche maturity</w:t>
            </w:r>
            <w:r w:rsidRPr="00B2619E">
              <w:rPr>
                <w:b/>
              </w:rPr>
              <w:t xml:space="preserve"> (</w:t>
            </w:r>
            <w:r w:rsidRPr="00B2619E">
              <w:rPr>
                <w:rFonts w:eastAsia="Times New Roman"/>
                <w:b/>
                <w:i/>
              </w:rPr>
              <w:t>M</w:t>
            </w:r>
            <w:r w:rsidRPr="00B2619E">
              <w:rPr>
                <w:rFonts w:eastAsia="Times New Roman"/>
                <w:b/>
                <w:i/>
                <w:vertAlign w:val="subscript"/>
              </w:rPr>
              <w:t>T</w:t>
            </w:r>
            <w:r w:rsidRPr="00B2619E">
              <w:rPr>
                <w:rFonts w:eastAsia="Times New Roman"/>
                <w:b/>
              </w:rPr>
              <w:t>)</w:t>
            </w:r>
          </w:p>
        </w:tc>
      </w:tr>
      <w:tr w:rsidR="00ED3CBB" w:rsidRPr="000D602F" w14:paraId="1AE18C52" w14:textId="77777777" w:rsidTr="007F46D0">
        <w:trPr>
          <w:trHeight w:val="552"/>
          <w:tblHeader/>
        </w:trPr>
        <w:tc>
          <w:tcPr>
            <w:tcW w:w="1065" w:type="dxa"/>
            <w:vMerge/>
          </w:tcPr>
          <w:p w14:paraId="1AE18C4D" w14:textId="77777777" w:rsidR="00ED3CBB" w:rsidRPr="003D2A66" w:rsidRDefault="00ED3CBB" w:rsidP="007F46D0">
            <w:pPr>
              <w:keepNext/>
              <w:jc w:val="both"/>
              <w:rPr>
                <w:rFonts w:eastAsia="Times New Roman"/>
                <w:b/>
              </w:rPr>
            </w:pPr>
          </w:p>
        </w:tc>
        <w:tc>
          <w:tcPr>
            <w:tcW w:w="1773" w:type="dxa"/>
          </w:tcPr>
          <w:p w14:paraId="1AE18C4E" w14:textId="77777777" w:rsidR="00ED3CBB" w:rsidRPr="003D2A66" w:rsidRDefault="00ED3CBB" w:rsidP="007F46D0">
            <w:pPr>
              <w:keepNext/>
              <w:jc w:val="center"/>
              <w:rPr>
                <w:rFonts w:eastAsia="Times New Roman"/>
                <w:b/>
              </w:rPr>
            </w:pPr>
            <w:r w:rsidRPr="003D2A66">
              <w:rPr>
                <w:rFonts w:eastAsia="Times New Roman"/>
                <w:b/>
              </w:rPr>
              <w:t>1 year</w:t>
            </w:r>
          </w:p>
        </w:tc>
        <w:tc>
          <w:tcPr>
            <w:tcW w:w="1833" w:type="dxa"/>
          </w:tcPr>
          <w:p w14:paraId="1AE18C4F" w14:textId="77777777" w:rsidR="00ED3CBB" w:rsidRPr="003D2A66" w:rsidRDefault="00ED3CBB" w:rsidP="007F46D0">
            <w:pPr>
              <w:keepNext/>
              <w:jc w:val="center"/>
              <w:rPr>
                <w:rFonts w:eastAsia="Times New Roman"/>
                <w:b/>
              </w:rPr>
            </w:pPr>
            <w:r w:rsidRPr="003D2A66">
              <w:rPr>
                <w:rFonts w:eastAsia="Times New Roman"/>
                <w:b/>
              </w:rPr>
              <w:t>5 years</w:t>
            </w:r>
          </w:p>
        </w:tc>
        <w:tc>
          <w:tcPr>
            <w:tcW w:w="1948" w:type="dxa"/>
          </w:tcPr>
          <w:p w14:paraId="1AE18C50" w14:textId="77777777" w:rsidR="00ED3CBB" w:rsidRPr="003D2A66" w:rsidRDefault="00ED3CBB" w:rsidP="007F46D0">
            <w:pPr>
              <w:keepNext/>
              <w:jc w:val="center"/>
              <w:rPr>
                <w:rFonts w:eastAsia="Times New Roman"/>
                <w:b/>
              </w:rPr>
            </w:pPr>
            <w:r w:rsidRPr="003D2A66">
              <w:rPr>
                <w:rFonts w:eastAsia="Times New Roman"/>
                <w:b/>
              </w:rPr>
              <w:t>1 year</w:t>
            </w:r>
          </w:p>
        </w:tc>
        <w:tc>
          <w:tcPr>
            <w:tcW w:w="1948" w:type="dxa"/>
          </w:tcPr>
          <w:p w14:paraId="1AE18C51" w14:textId="77777777" w:rsidR="00ED3CBB" w:rsidRPr="003D2A66" w:rsidRDefault="00ED3CBB" w:rsidP="007F46D0">
            <w:pPr>
              <w:keepNext/>
              <w:jc w:val="center"/>
              <w:rPr>
                <w:rFonts w:eastAsia="Times New Roman"/>
                <w:b/>
              </w:rPr>
            </w:pPr>
            <w:r w:rsidRPr="003D2A66">
              <w:rPr>
                <w:rFonts w:eastAsia="Times New Roman"/>
                <w:b/>
              </w:rPr>
              <w:t>5 years</w:t>
            </w:r>
          </w:p>
        </w:tc>
      </w:tr>
      <w:tr w:rsidR="00ED3CBB" w:rsidRPr="000D602F" w14:paraId="1AE18C58" w14:textId="77777777" w:rsidTr="007F46D0">
        <w:trPr>
          <w:trHeight w:val="552"/>
        </w:trPr>
        <w:tc>
          <w:tcPr>
            <w:tcW w:w="1065" w:type="dxa"/>
          </w:tcPr>
          <w:p w14:paraId="1AE18C53" w14:textId="77777777" w:rsidR="00ED3CBB" w:rsidRPr="00DF560F" w:rsidRDefault="00ED3CBB" w:rsidP="007F46D0">
            <w:pPr>
              <w:keepNext/>
              <w:jc w:val="center"/>
              <w:rPr>
                <w:rFonts w:eastAsia="Times New Roman"/>
                <w:b/>
              </w:rPr>
            </w:pPr>
            <w:r w:rsidRPr="00DF560F">
              <w:rPr>
                <w:rFonts w:eastAsia="Times New Roman"/>
                <w:b/>
              </w:rPr>
              <w:t>1</w:t>
            </w:r>
          </w:p>
        </w:tc>
        <w:tc>
          <w:tcPr>
            <w:tcW w:w="1773" w:type="dxa"/>
          </w:tcPr>
          <w:p w14:paraId="1AE18C54" w14:textId="77777777" w:rsidR="00ED3CBB" w:rsidRPr="003D2A66" w:rsidRDefault="00ED3CBB" w:rsidP="007F46D0">
            <w:pPr>
              <w:keepNext/>
              <w:jc w:val="center"/>
              <w:rPr>
                <w:rFonts w:eastAsia="Times New Roman"/>
              </w:rPr>
            </w:pPr>
            <w:r w:rsidRPr="003D2A66">
              <w:rPr>
                <w:rFonts w:eastAsia="Times New Roman"/>
              </w:rPr>
              <w:t>15%</w:t>
            </w:r>
          </w:p>
        </w:tc>
        <w:tc>
          <w:tcPr>
            <w:tcW w:w="1833" w:type="dxa"/>
          </w:tcPr>
          <w:p w14:paraId="1AE18C55" w14:textId="77777777" w:rsidR="00ED3CBB" w:rsidRPr="003D2A66" w:rsidRDefault="00ED3CBB" w:rsidP="007F46D0">
            <w:pPr>
              <w:keepNext/>
              <w:jc w:val="center"/>
              <w:rPr>
                <w:rFonts w:eastAsia="Times New Roman"/>
              </w:rPr>
            </w:pPr>
            <w:r w:rsidRPr="003D2A66">
              <w:rPr>
                <w:rFonts w:eastAsia="Times New Roman"/>
              </w:rPr>
              <w:t>20%</w:t>
            </w:r>
          </w:p>
        </w:tc>
        <w:tc>
          <w:tcPr>
            <w:tcW w:w="1948" w:type="dxa"/>
          </w:tcPr>
          <w:p w14:paraId="1AE18C56" w14:textId="77777777" w:rsidR="00ED3CBB" w:rsidRPr="003D2A66" w:rsidRDefault="00ED3CBB" w:rsidP="007F46D0">
            <w:pPr>
              <w:keepNext/>
              <w:jc w:val="center"/>
              <w:rPr>
                <w:rFonts w:eastAsia="Times New Roman"/>
              </w:rPr>
            </w:pPr>
            <w:r>
              <w:rPr>
                <w:rFonts w:eastAsia="Times New Roman"/>
              </w:rPr>
              <w:t>15%</w:t>
            </w:r>
          </w:p>
        </w:tc>
        <w:tc>
          <w:tcPr>
            <w:tcW w:w="1948" w:type="dxa"/>
          </w:tcPr>
          <w:p w14:paraId="1AE18C57" w14:textId="77777777" w:rsidR="00ED3CBB" w:rsidRPr="003D2A66" w:rsidRDefault="00ED3CBB" w:rsidP="007F46D0">
            <w:pPr>
              <w:keepNext/>
              <w:jc w:val="center"/>
              <w:rPr>
                <w:rFonts w:eastAsia="Times New Roman"/>
              </w:rPr>
            </w:pPr>
            <w:r>
              <w:rPr>
                <w:rFonts w:eastAsia="Times New Roman"/>
              </w:rPr>
              <w:t>70%</w:t>
            </w:r>
          </w:p>
        </w:tc>
      </w:tr>
      <w:tr w:rsidR="00ED3CBB" w:rsidRPr="000D602F" w14:paraId="1AE18C5E" w14:textId="77777777" w:rsidTr="007F46D0">
        <w:trPr>
          <w:trHeight w:val="552"/>
        </w:trPr>
        <w:tc>
          <w:tcPr>
            <w:tcW w:w="1065" w:type="dxa"/>
          </w:tcPr>
          <w:p w14:paraId="1AE18C59" w14:textId="77777777" w:rsidR="00ED3CBB" w:rsidRPr="00DF560F" w:rsidRDefault="00ED3CBB" w:rsidP="007F46D0">
            <w:pPr>
              <w:keepNext/>
              <w:jc w:val="center"/>
              <w:rPr>
                <w:rFonts w:eastAsia="Times New Roman"/>
                <w:b/>
              </w:rPr>
            </w:pPr>
            <w:r w:rsidRPr="00DF560F">
              <w:rPr>
                <w:rFonts w:eastAsia="Times New Roman"/>
                <w:b/>
              </w:rPr>
              <w:t>2</w:t>
            </w:r>
          </w:p>
        </w:tc>
        <w:tc>
          <w:tcPr>
            <w:tcW w:w="1773" w:type="dxa"/>
          </w:tcPr>
          <w:p w14:paraId="1AE18C5A" w14:textId="77777777" w:rsidR="00ED3CBB" w:rsidRPr="003D2A66" w:rsidRDefault="00ED3CBB" w:rsidP="007F46D0">
            <w:pPr>
              <w:keepNext/>
              <w:jc w:val="center"/>
              <w:rPr>
                <w:rFonts w:eastAsia="Times New Roman"/>
              </w:rPr>
            </w:pPr>
            <w:r>
              <w:rPr>
                <w:rFonts w:eastAsia="Times New Roman"/>
              </w:rPr>
              <w:t>15%</w:t>
            </w:r>
          </w:p>
        </w:tc>
        <w:tc>
          <w:tcPr>
            <w:tcW w:w="1833" w:type="dxa"/>
          </w:tcPr>
          <w:p w14:paraId="1AE18C5B" w14:textId="77777777" w:rsidR="00ED3CBB" w:rsidRPr="003D2A66" w:rsidRDefault="00ED3CBB" w:rsidP="007F46D0">
            <w:pPr>
              <w:keepNext/>
              <w:jc w:val="center"/>
              <w:rPr>
                <w:rFonts w:eastAsia="Times New Roman"/>
              </w:rPr>
            </w:pPr>
            <w:r>
              <w:rPr>
                <w:rFonts w:eastAsia="Times New Roman"/>
              </w:rPr>
              <w:t>30%</w:t>
            </w:r>
          </w:p>
        </w:tc>
        <w:tc>
          <w:tcPr>
            <w:tcW w:w="1948" w:type="dxa"/>
          </w:tcPr>
          <w:p w14:paraId="1AE18C5C" w14:textId="77777777" w:rsidR="00ED3CBB" w:rsidRDefault="00ED3CBB" w:rsidP="007F46D0">
            <w:pPr>
              <w:keepNext/>
              <w:jc w:val="center"/>
              <w:rPr>
                <w:rFonts w:eastAsia="Times New Roman"/>
              </w:rPr>
            </w:pPr>
            <w:r>
              <w:rPr>
                <w:rFonts w:eastAsia="Times New Roman"/>
              </w:rPr>
              <w:t>15%</w:t>
            </w:r>
          </w:p>
        </w:tc>
        <w:tc>
          <w:tcPr>
            <w:tcW w:w="1948" w:type="dxa"/>
          </w:tcPr>
          <w:p w14:paraId="1AE18C5D" w14:textId="77777777" w:rsidR="00ED3CBB" w:rsidRDefault="00ED3CBB" w:rsidP="007F46D0">
            <w:pPr>
              <w:keepNext/>
              <w:jc w:val="center"/>
              <w:rPr>
                <w:rFonts w:eastAsia="Times New Roman"/>
              </w:rPr>
            </w:pPr>
            <w:r>
              <w:rPr>
                <w:rFonts w:eastAsia="Times New Roman"/>
              </w:rPr>
              <w:t>90%</w:t>
            </w:r>
          </w:p>
        </w:tc>
      </w:tr>
      <w:tr w:rsidR="00ED3CBB" w:rsidRPr="000D602F" w14:paraId="1AE18C64" w14:textId="77777777" w:rsidTr="007F46D0">
        <w:trPr>
          <w:trHeight w:val="552"/>
        </w:trPr>
        <w:tc>
          <w:tcPr>
            <w:tcW w:w="1065" w:type="dxa"/>
          </w:tcPr>
          <w:p w14:paraId="1AE18C5F" w14:textId="77777777" w:rsidR="00ED3CBB" w:rsidRPr="00DF560F" w:rsidRDefault="00ED3CBB" w:rsidP="007F46D0">
            <w:pPr>
              <w:keepNext/>
              <w:jc w:val="center"/>
              <w:rPr>
                <w:rFonts w:eastAsia="Times New Roman"/>
                <w:b/>
              </w:rPr>
            </w:pPr>
            <w:r w:rsidRPr="00DF560F">
              <w:rPr>
                <w:rFonts w:eastAsia="Times New Roman"/>
                <w:b/>
              </w:rPr>
              <w:t>3</w:t>
            </w:r>
          </w:p>
        </w:tc>
        <w:tc>
          <w:tcPr>
            <w:tcW w:w="1773" w:type="dxa"/>
          </w:tcPr>
          <w:p w14:paraId="1AE18C60" w14:textId="77777777" w:rsidR="00ED3CBB" w:rsidRPr="003D2A66" w:rsidRDefault="00ED3CBB" w:rsidP="007F46D0">
            <w:pPr>
              <w:keepNext/>
              <w:jc w:val="center"/>
              <w:rPr>
                <w:rFonts w:eastAsia="Times New Roman"/>
              </w:rPr>
            </w:pPr>
            <w:r>
              <w:rPr>
                <w:rFonts w:eastAsia="Times New Roman"/>
              </w:rPr>
              <w:t>25%</w:t>
            </w:r>
          </w:p>
        </w:tc>
        <w:tc>
          <w:tcPr>
            <w:tcW w:w="1833" w:type="dxa"/>
          </w:tcPr>
          <w:p w14:paraId="1AE18C61" w14:textId="77777777" w:rsidR="00ED3CBB" w:rsidRPr="003D2A66" w:rsidRDefault="00ED3CBB" w:rsidP="007F46D0">
            <w:pPr>
              <w:keepNext/>
              <w:jc w:val="center"/>
              <w:rPr>
                <w:rFonts w:eastAsia="Times New Roman"/>
              </w:rPr>
            </w:pPr>
            <w:r>
              <w:rPr>
                <w:rFonts w:eastAsia="Times New Roman"/>
              </w:rPr>
              <w:t>40%</w:t>
            </w:r>
          </w:p>
        </w:tc>
        <w:tc>
          <w:tcPr>
            <w:tcW w:w="1948" w:type="dxa"/>
          </w:tcPr>
          <w:p w14:paraId="1AE18C62" w14:textId="77777777" w:rsidR="00ED3CBB" w:rsidRDefault="00ED3CBB" w:rsidP="007F46D0">
            <w:pPr>
              <w:keepNext/>
              <w:jc w:val="center"/>
              <w:rPr>
                <w:rFonts w:eastAsia="Times New Roman"/>
              </w:rPr>
            </w:pPr>
            <w:r>
              <w:rPr>
                <w:rFonts w:eastAsia="Times New Roman"/>
              </w:rPr>
              <w:t>30%</w:t>
            </w:r>
          </w:p>
        </w:tc>
        <w:tc>
          <w:tcPr>
            <w:tcW w:w="1948" w:type="dxa"/>
          </w:tcPr>
          <w:p w14:paraId="1AE18C63" w14:textId="77777777" w:rsidR="00ED3CBB" w:rsidRDefault="00ED3CBB" w:rsidP="007F46D0">
            <w:pPr>
              <w:keepNext/>
              <w:jc w:val="center"/>
              <w:rPr>
                <w:rFonts w:eastAsia="Times New Roman"/>
              </w:rPr>
            </w:pPr>
            <w:r>
              <w:rPr>
                <w:rFonts w:eastAsia="Times New Roman"/>
              </w:rPr>
              <w:t>120%</w:t>
            </w:r>
          </w:p>
        </w:tc>
      </w:tr>
      <w:tr w:rsidR="00ED3CBB" w:rsidRPr="000D602F" w14:paraId="1AE18C6A" w14:textId="77777777" w:rsidTr="007F46D0">
        <w:trPr>
          <w:trHeight w:val="552"/>
        </w:trPr>
        <w:tc>
          <w:tcPr>
            <w:tcW w:w="1065" w:type="dxa"/>
          </w:tcPr>
          <w:p w14:paraId="1AE18C65" w14:textId="77777777" w:rsidR="00ED3CBB" w:rsidRPr="00901032" w:rsidRDefault="00ED3CBB" w:rsidP="007F46D0">
            <w:pPr>
              <w:keepNext/>
              <w:jc w:val="center"/>
              <w:rPr>
                <w:b/>
              </w:rPr>
            </w:pPr>
            <w:r w:rsidRPr="00901032">
              <w:rPr>
                <w:b/>
              </w:rPr>
              <w:t>4</w:t>
            </w:r>
          </w:p>
        </w:tc>
        <w:tc>
          <w:tcPr>
            <w:tcW w:w="1773" w:type="dxa"/>
          </w:tcPr>
          <w:p w14:paraId="1AE18C66" w14:textId="77777777" w:rsidR="00ED3CBB" w:rsidRPr="006C5F46" w:rsidRDefault="00ED3CBB" w:rsidP="007F46D0">
            <w:pPr>
              <w:keepNext/>
              <w:jc w:val="center"/>
            </w:pPr>
            <w:r>
              <w:t>30%</w:t>
            </w:r>
          </w:p>
        </w:tc>
        <w:tc>
          <w:tcPr>
            <w:tcW w:w="1833" w:type="dxa"/>
          </w:tcPr>
          <w:p w14:paraId="1AE18C67" w14:textId="77777777" w:rsidR="00ED3CBB" w:rsidRPr="006C5F46" w:rsidRDefault="00ED3CBB" w:rsidP="007F46D0">
            <w:pPr>
              <w:keepNext/>
              <w:jc w:val="center"/>
            </w:pPr>
            <w:r>
              <w:t>45%</w:t>
            </w:r>
          </w:p>
        </w:tc>
        <w:tc>
          <w:tcPr>
            <w:tcW w:w="1948" w:type="dxa"/>
          </w:tcPr>
          <w:p w14:paraId="1AE18C68" w14:textId="77777777" w:rsidR="00ED3CBB" w:rsidRDefault="00ED3CBB" w:rsidP="007F46D0">
            <w:pPr>
              <w:keepNext/>
              <w:jc w:val="center"/>
              <w:rPr>
                <w:rFonts w:eastAsia="Times New Roman"/>
              </w:rPr>
            </w:pPr>
            <w:r>
              <w:rPr>
                <w:rFonts w:eastAsia="Times New Roman"/>
              </w:rPr>
              <w:t>40%</w:t>
            </w:r>
          </w:p>
        </w:tc>
        <w:tc>
          <w:tcPr>
            <w:tcW w:w="1948" w:type="dxa"/>
          </w:tcPr>
          <w:p w14:paraId="1AE18C69" w14:textId="77777777" w:rsidR="00ED3CBB" w:rsidRDefault="00ED3CBB" w:rsidP="007F46D0">
            <w:pPr>
              <w:keepNext/>
              <w:jc w:val="center"/>
              <w:rPr>
                <w:rFonts w:eastAsia="Times New Roman"/>
              </w:rPr>
            </w:pPr>
            <w:r>
              <w:rPr>
                <w:rFonts w:eastAsia="Times New Roman"/>
              </w:rPr>
              <w:t>140%</w:t>
            </w:r>
          </w:p>
        </w:tc>
      </w:tr>
      <w:tr w:rsidR="00ED3CBB" w:rsidRPr="000D602F" w14:paraId="1AE18C6F" w14:textId="77777777" w:rsidTr="007F46D0">
        <w:trPr>
          <w:trHeight w:val="552"/>
        </w:trPr>
        <w:tc>
          <w:tcPr>
            <w:tcW w:w="1065" w:type="dxa"/>
          </w:tcPr>
          <w:p w14:paraId="1AE18C6B" w14:textId="77777777" w:rsidR="00ED3CBB" w:rsidRPr="003D2A66" w:rsidRDefault="00ED3CBB" w:rsidP="007F46D0">
            <w:pPr>
              <w:jc w:val="center"/>
              <w:rPr>
                <w:rFonts w:eastAsia="Times New Roman"/>
                <w:b/>
              </w:rPr>
            </w:pPr>
            <w:r w:rsidRPr="003D2A66">
              <w:rPr>
                <w:rFonts w:eastAsia="Times New Roman"/>
                <w:b/>
              </w:rPr>
              <w:t>5</w:t>
            </w:r>
          </w:p>
        </w:tc>
        <w:tc>
          <w:tcPr>
            <w:tcW w:w="1773" w:type="dxa"/>
          </w:tcPr>
          <w:p w14:paraId="1AE18C6C" w14:textId="77777777" w:rsidR="00ED3CBB" w:rsidRPr="003D2A66" w:rsidRDefault="00ED3CBB" w:rsidP="007F46D0">
            <w:pPr>
              <w:jc w:val="center"/>
              <w:rPr>
                <w:rFonts w:eastAsia="Times New Roman"/>
              </w:rPr>
            </w:pPr>
            <w:r w:rsidRPr="003D2A66">
              <w:rPr>
                <w:rFonts w:eastAsia="Times New Roman"/>
              </w:rPr>
              <w:t>40%</w:t>
            </w:r>
          </w:p>
        </w:tc>
        <w:tc>
          <w:tcPr>
            <w:tcW w:w="1833" w:type="dxa"/>
          </w:tcPr>
          <w:p w14:paraId="1AE18C6D" w14:textId="77777777" w:rsidR="00ED3CBB" w:rsidRPr="003D2A66" w:rsidRDefault="00ED3CBB" w:rsidP="007F46D0">
            <w:pPr>
              <w:jc w:val="center"/>
              <w:rPr>
                <w:rFonts w:eastAsia="Times New Roman"/>
              </w:rPr>
            </w:pPr>
            <w:r w:rsidRPr="003D2A66">
              <w:rPr>
                <w:rFonts w:eastAsia="Times New Roman"/>
              </w:rPr>
              <w:t>50%</w:t>
            </w:r>
          </w:p>
        </w:tc>
        <w:tc>
          <w:tcPr>
            <w:tcW w:w="3896" w:type="dxa"/>
            <w:gridSpan w:val="2"/>
            <w:vMerge w:val="restart"/>
          </w:tcPr>
          <w:p w14:paraId="1AE18C6E" w14:textId="77777777" w:rsidR="00ED3CBB" w:rsidRPr="003D2A66" w:rsidRDefault="00A31FA9" w:rsidP="00880A90">
            <w:pPr>
              <w:keepNext/>
              <w:jc w:val="center"/>
              <w:rPr>
                <w:rFonts w:eastAsia="Times New Roman"/>
              </w:rPr>
            </w:pPr>
            <w:r w:rsidRPr="006865AB">
              <w:rPr>
                <w:rFonts w:eastAsia="Times New Roman"/>
              </w:rPr>
              <w:t>Deduction from Common Equity Tier</w:t>
            </w:r>
            <w:r>
              <w:rPr>
                <w:rFonts w:eastAsia="Times New Roman"/>
              </w:rPr>
              <w:t> </w:t>
            </w:r>
            <w:r w:rsidRPr="006865AB">
              <w:rPr>
                <w:rFonts w:eastAsia="Times New Roman"/>
              </w:rPr>
              <w:t>1 Capital</w:t>
            </w:r>
          </w:p>
        </w:tc>
      </w:tr>
      <w:tr w:rsidR="00ED3CBB" w:rsidRPr="000D602F" w14:paraId="1AE18C74" w14:textId="77777777" w:rsidTr="007F46D0">
        <w:trPr>
          <w:trHeight w:val="552"/>
        </w:trPr>
        <w:tc>
          <w:tcPr>
            <w:tcW w:w="1065" w:type="dxa"/>
          </w:tcPr>
          <w:p w14:paraId="1AE18C70" w14:textId="77777777" w:rsidR="00ED3CBB" w:rsidRPr="003D2A66" w:rsidRDefault="00ED3CBB" w:rsidP="007F46D0">
            <w:pPr>
              <w:jc w:val="center"/>
              <w:rPr>
                <w:rFonts w:eastAsia="Times New Roman"/>
                <w:b/>
              </w:rPr>
            </w:pPr>
            <w:r w:rsidRPr="003D2A66">
              <w:rPr>
                <w:rFonts w:eastAsia="Times New Roman"/>
                <w:b/>
              </w:rPr>
              <w:t>6</w:t>
            </w:r>
          </w:p>
        </w:tc>
        <w:tc>
          <w:tcPr>
            <w:tcW w:w="1773" w:type="dxa"/>
          </w:tcPr>
          <w:p w14:paraId="1AE18C71" w14:textId="77777777" w:rsidR="00ED3CBB" w:rsidRPr="003D2A66" w:rsidRDefault="00ED3CBB" w:rsidP="007F46D0">
            <w:pPr>
              <w:jc w:val="center"/>
              <w:rPr>
                <w:rFonts w:eastAsia="Times New Roman"/>
              </w:rPr>
            </w:pPr>
            <w:r w:rsidRPr="003D2A66">
              <w:rPr>
                <w:rFonts w:eastAsia="Times New Roman"/>
              </w:rPr>
              <w:t>50%</w:t>
            </w:r>
          </w:p>
        </w:tc>
        <w:tc>
          <w:tcPr>
            <w:tcW w:w="1833" w:type="dxa"/>
          </w:tcPr>
          <w:p w14:paraId="1AE18C72" w14:textId="77777777" w:rsidR="00ED3CBB" w:rsidRPr="003D2A66" w:rsidRDefault="00ED3CBB" w:rsidP="007F46D0">
            <w:pPr>
              <w:jc w:val="center"/>
              <w:rPr>
                <w:rFonts w:eastAsia="Times New Roman"/>
              </w:rPr>
            </w:pPr>
            <w:r w:rsidRPr="003D2A66">
              <w:rPr>
                <w:rFonts w:eastAsia="Times New Roman"/>
              </w:rPr>
              <w:t>65%</w:t>
            </w:r>
          </w:p>
        </w:tc>
        <w:tc>
          <w:tcPr>
            <w:tcW w:w="3896" w:type="dxa"/>
            <w:gridSpan w:val="2"/>
            <w:vMerge/>
          </w:tcPr>
          <w:p w14:paraId="1AE18C73" w14:textId="77777777" w:rsidR="00ED3CBB" w:rsidRPr="003D2A66" w:rsidRDefault="00ED3CBB" w:rsidP="007F46D0">
            <w:pPr>
              <w:jc w:val="center"/>
              <w:rPr>
                <w:rFonts w:eastAsia="Times New Roman"/>
              </w:rPr>
            </w:pPr>
          </w:p>
        </w:tc>
      </w:tr>
      <w:tr w:rsidR="00ED3CBB" w:rsidRPr="000D602F" w14:paraId="1AE18C79" w14:textId="77777777" w:rsidTr="007F46D0">
        <w:trPr>
          <w:trHeight w:val="552"/>
        </w:trPr>
        <w:tc>
          <w:tcPr>
            <w:tcW w:w="1065" w:type="dxa"/>
          </w:tcPr>
          <w:p w14:paraId="1AE18C75" w14:textId="77777777" w:rsidR="00ED3CBB" w:rsidRPr="003D2A66" w:rsidRDefault="00ED3CBB" w:rsidP="007F46D0">
            <w:pPr>
              <w:jc w:val="center"/>
              <w:rPr>
                <w:rFonts w:eastAsia="Times New Roman"/>
                <w:b/>
              </w:rPr>
            </w:pPr>
            <w:r w:rsidRPr="003D2A66">
              <w:rPr>
                <w:rFonts w:eastAsia="Times New Roman"/>
                <w:b/>
              </w:rPr>
              <w:t>7</w:t>
            </w:r>
          </w:p>
        </w:tc>
        <w:tc>
          <w:tcPr>
            <w:tcW w:w="1773" w:type="dxa"/>
          </w:tcPr>
          <w:p w14:paraId="1AE18C76" w14:textId="77777777" w:rsidR="00ED3CBB" w:rsidRPr="003D2A66" w:rsidRDefault="00ED3CBB" w:rsidP="007F46D0">
            <w:pPr>
              <w:jc w:val="center"/>
              <w:rPr>
                <w:rFonts w:eastAsia="Times New Roman"/>
              </w:rPr>
            </w:pPr>
            <w:r w:rsidRPr="003D2A66">
              <w:rPr>
                <w:rFonts w:eastAsia="Times New Roman"/>
              </w:rPr>
              <w:t>60%</w:t>
            </w:r>
          </w:p>
        </w:tc>
        <w:tc>
          <w:tcPr>
            <w:tcW w:w="1833" w:type="dxa"/>
          </w:tcPr>
          <w:p w14:paraId="1AE18C77" w14:textId="77777777" w:rsidR="00ED3CBB" w:rsidRPr="003D2A66" w:rsidRDefault="00ED3CBB" w:rsidP="007F46D0">
            <w:pPr>
              <w:jc w:val="center"/>
              <w:rPr>
                <w:rFonts w:eastAsia="Times New Roman"/>
              </w:rPr>
            </w:pPr>
            <w:r w:rsidRPr="003D2A66">
              <w:rPr>
                <w:rFonts w:eastAsia="Times New Roman"/>
              </w:rPr>
              <w:t>70%</w:t>
            </w:r>
          </w:p>
        </w:tc>
        <w:tc>
          <w:tcPr>
            <w:tcW w:w="3896" w:type="dxa"/>
            <w:gridSpan w:val="2"/>
            <w:vMerge/>
          </w:tcPr>
          <w:p w14:paraId="1AE18C78" w14:textId="77777777" w:rsidR="00ED3CBB" w:rsidRPr="003D2A66" w:rsidRDefault="00ED3CBB" w:rsidP="007F46D0">
            <w:pPr>
              <w:jc w:val="center"/>
              <w:rPr>
                <w:rFonts w:eastAsia="Times New Roman"/>
              </w:rPr>
            </w:pPr>
          </w:p>
        </w:tc>
      </w:tr>
      <w:tr w:rsidR="00ED3CBB" w:rsidRPr="000D602F" w14:paraId="1AE18C7E" w14:textId="77777777" w:rsidTr="007F46D0">
        <w:trPr>
          <w:trHeight w:val="552"/>
        </w:trPr>
        <w:tc>
          <w:tcPr>
            <w:tcW w:w="1065" w:type="dxa"/>
          </w:tcPr>
          <w:p w14:paraId="1AE18C7A" w14:textId="77777777" w:rsidR="00ED3CBB" w:rsidRPr="003D2A66" w:rsidRDefault="00ED3CBB" w:rsidP="007F46D0">
            <w:pPr>
              <w:jc w:val="center"/>
              <w:rPr>
                <w:rFonts w:eastAsia="Times New Roman"/>
                <w:b/>
              </w:rPr>
            </w:pPr>
            <w:r w:rsidRPr="003D2A66">
              <w:rPr>
                <w:rFonts w:eastAsia="Times New Roman"/>
                <w:b/>
              </w:rPr>
              <w:t>8</w:t>
            </w:r>
          </w:p>
        </w:tc>
        <w:tc>
          <w:tcPr>
            <w:tcW w:w="1773" w:type="dxa"/>
          </w:tcPr>
          <w:p w14:paraId="1AE18C7B" w14:textId="77777777" w:rsidR="00ED3CBB" w:rsidRPr="003D2A66" w:rsidRDefault="00ED3CBB" w:rsidP="007F46D0">
            <w:pPr>
              <w:jc w:val="center"/>
              <w:rPr>
                <w:rFonts w:eastAsia="Times New Roman"/>
              </w:rPr>
            </w:pPr>
            <w:r w:rsidRPr="003D2A66">
              <w:rPr>
                <w:rFonts w:eastAsia="Times New Roman"/>
              </w:rPr>
              <w:t>75%</w:t>
            </w:r>
          </w:p>
        </w:tc>
        <w:tc>
          <w:tcPr>
            <w:tcW w:w="1833" w:type="dxa"/>
          </w:tcPr>
          <w:p w14:paraId="1AE18C7C" w14:textId="77777777" w:rsidR="00ED3CBB" w:rsidRPr="003D2A66" w:rsidRDefault="00ED3CBB" w:rsidP="007F46D0">
            <w:pPr>
              <w:jc w:val="center"/>
              <w:rPr>
                <w:rFonts w:eastAsia="Times New Roman"/>
              </w:rPr>
            </w:pPr>
            <w:r w:rsidRPr="003D2A66">
              <w:rPr>
                <w:rFonts w:eastAsia="Times New Roman"/>
              </w:rPr>
              <w:t>90%</w:t>
            </w:r>
          </w:p>
        </w:tc>
        <w:tc>
          <w:tcPr>
            <w:tcW w:w="3896" w:type="dxa"/>
            <w:gridSpan w:val="2"/>
            <w:vMerge/>
          </w:tcPr>
          <w:p w14:paraId="1AE18C7D" w14:textId="77777777" w:rsidR="00ED3CBB" w:rsidRPr="003D2A66" w:rsidRDefault="00ED3CBB" w:rsidP="007F46D0">
            <w:pPr>
              <w:jc w:val="center"/>
              <w:rPr>
                <w:rFonts w:eastAsia="Times New Roman"/>
              </w:rPr>
            </w:pPr>
          </w:p>
        </w:tc>
      </w:tr>
      <w:tr w:rsidR="00ED3CBB" w:rsidRPr="000D602F" w14:paraId="1AE18C83" w14:textId="77777777" w:rsidTr="007F46D0">
        <w:trPr>
          <w:trHeight w:val="552"/>
        </w:trPr>
        <w:tc>
          <w:tcPr>
            <w:tcW w:w="1065" w:type="dxa"/>
          </w:tcPr>
          <w:p w14:paraId="1AE18C7F" w14:textId="77777777" w:rsidR="00ED3CBB" w:rsidRPr="003D2A66" w:rsidRDefault="00ED3CBB" w:rsidP="007F46D0">
            <w:pPr>
              <w:jc w:val="center"/>
              <w:rPr>
                <w:rFonts w:eastAsia="Times New Roman"/>
                <w:b/>
              </w:rPr>
            </w:pPr>
            <w:r w:rsidRPr="003D2A66">
              <w:rPr>
                <w:rFonts w:eastAsia="Times New Roman"/>
                <w:b/>
              </w:rPr>
              <w:t>9</w:t>
            </w:r>
          </w:p>
        </w:tc>
        <w:tc>
          <w:tcPr>
            <w:tcW w:w="1773" w:type="dxa"/>
          </w:tcPr>
          <w:p w14:paraId="1AE18C80" w14:textId="77777777" w:rsidR="00ED3CBB" w:rsidRPr="003D2A66" w:rsidRDefault="00ED3CBB" w:rsidP="007F46D0">
            <w:pPr>
              <w:jc w:val="center"/>
              <w:rPr>
                <w:rFonts w:eastAsia="Times New Roman"/>
              </w:rPr>
            </w:pPr>
            <w:r w:rsidRPr="003D2A66">
              <w:rPr>
                <w:rFonts w:eastAsia="Times New Roman"/>
              </w:rPr>
              <w:t>90%</w:t>
            </w:r>
          </w:p>
        </w:tc>
        <w:tc>
          <w:tcPr>
            <w:tcW w:w="1833" w:type="dxa"/>
          </w:tcPr>
          <w:p w14:paraId="1AE18C81" w14:textId="77777777" w:rsidR="00ED3CBB" w:rsidRPr="003D2A66" w:rsidRDefault="00ED3CBB" w:rsidP="007F46D0">
            <w:pPr>
              <w:jc w:val="center"/>
              <w:rPr>
                <w:rFonts w:eastAsia="Times New Roman"/>
              </w:rPr>
            </w:pPr>
            <w:r w:rsidRPr="003D2A66">
              <w:rPr>
                <w:rFonts w:eastAsia="Times New Roman"/>
              </w:rPr>
              <w:t>105%</w:t>
            </w:r>
          </w:p>
        </w:tc>
        <w:tc>
          <w:tcPr>
            <w:tcW w:w="3896" w:type="dxa"/>
            <w:gridSpan w:val="2"/>
            <w:vMerge/>
          </w:tcPr>
          <w:p w14:paraId="1AE18C82" w14:textId="77777777" w:rsidR="00ED3CBB" w:rsidRPr="003D2A66" w:rsidRDefault="00ED3CBB" w:rsidP="007F46D0">
            <w:pPr>
              <w:jc w:val="center"/>
              <w:rPr>
                <w:rFonts w:eastAsia="Times New Roman"/>
              </w:rPr>
            </w:pPr>
          </w:p>
        </w:tc>
      </w:tr>
      <w:tr w:rsidR="00ED3CBB" w:rsidRPr="000D602F" w14:paraId="1AE18C88" w14:textId="77777777" w:rsidTr="007F46D0">
        <w:trPr>
          <w:trHeight w:val="552"/>
        </w:trPr>
        <w:tc>
          <w:tcPr>
            <w:tcW w:w="1065" w:type="dxa"/>
          </w:tcPr>
          <w:p w14:paraId="1AE18C84" w14:textId="77777777" w:rsidR="00ED3CBB" w:rsidRPr="003D2A66" w:rsidRDefault="00ED3CBB" w:rsidP="007F46D0">
            <w:pPr>
              <w:jc w:val="center"/>
              <w:rPr>
                <w:rFonts w:eastAsia="Times New Roman"/>
                <w:b/>
              </w:rPr>
            </w:pPr>
            <w:r w:rsidRPr="003D2A66">
              <w:rPr>
                <w:rFonts w:eastAsia="Times New Roman"/>
                <w:b/>
              </w:rPr>
              <w:t>10</w:t>
            </w:r>
          </w:p>
        </w:tc>
        <w:tc>
          <w:tcPr>
            <w:tcW w:w="1773" w:type="dxa"/>
          </w:tcPr>
          <w:p w14:paraId="1AE18C85" w14:textId="77777777" w:rsidR="00ED3CBB" w:rsidRPr="003D2A66" w:rsidRDefault="00ED3CBB" w:rsidP="007F46D0">
            <w:pPr>
              <w:jc w:val="center"/>
              <w:rPr>
                <w:rFonts w:eastAsia="Times New Roman"/>
              </w:rPr>
            </w:pPr>
            <w:r w:rsidRPr="003D2A66">
              <w:rPr>
                <w:rFonts w:eastAsia="Times New Roman"/>
              </w:rPr>
              <w:t>120%</w:t>
            </w:r>
          </w:p>
        </w:tc>
        <w:tc>
          <w:tcPr>
            <w:tcW w:w="1833" w:type="dxa"/>
          </w:tcPr>
          <w:p w14:paraId="1AE18C86" w14:textId="77777777" w:rsidR="00ED3CBB" w:rsidRPr="003D2A66" w:rsidRDefault="00ED3CBB" w:rsidP="007F46D0">
            <w:pPr>
              <w:jc w:val="center"/>
              <w:rPr>
                <w:rFonts w:eastAsia="Times New Roman"/>
              </w:rPr>
            </w:pPr>
            <w:r w:rsidRPr="003D2A66">
              <w:rPr>
                <w:rFonts w:eastAsia="Times New Roman"/>
              </w:rPr>
              <w:t>140%</w:t>
            </w:r>
          </w:p>
        </w:tc>
        <w:tc>
          <w:tcPr>
            <w:tcW w:w="3896" w:type="dxa"/>
            <w:gridSpan w:val="2"/>
            <w:vMerge/>
          </w:tcPr>
          <w:p w14:paraId="1AE18C87" w14:textId="77777777" w:rsidR="00ED3CBB" w:rsidRPr="003D2A66" w:rsidRDefault="00ED3CBB" w:rsidP="007F46D0">
            <w:pPr>
              <w:jc w:val="center"/>
              <w:rPr>
                <w:rFonts w:eastAsia="Times New Roman"/>
              </w:rPr>
            </w:pPr>
          </w:p>
        </w:tc>
      </w:tr>
      <w:tr w:rsidR="00387754" w:rsidRPr="000D602F" w14:paraId="1AE18C8C" w14:textId="77777777" w:rsidTr="00A85F7A">
        <w:trPr>
          <w:trHeight w:val="552"/>
        </w:trPr>
        <w:tc>
          <w:tcPr>
            <w:tcW w:w="1065" w:type="dxa"/>
          </w:tcPr>
          <w:p w14:paraId="1AE18C89" w14:textId="77777777" w:rsidR="00387754" w:rsidRPr="003D2A66" w:rsidRDefault="00387754" w:rsidP="007F46D0">
            <w:pPr>
              <w:keepNext/>
              <w:jc w:val="center"/>
              <w:rPr>
                <w:rFonts w:eastAsia="Times New Roman"/>
                <w:b/>
              </w:rPr>
            </w:pPr>
            <w:r>
              <w:rPr>
                <w:rFonts w:eastAsia="Times New Roman"/>
                <w:b/>
              </w:rPr>
              <w:lastRenderedPageBreak/>
              <w:t>11</w:t>
            </w:r>
          </w:p>
        </w:tc>
        <w:tc>
          <w:tcPr>
            <w:tcW w:w="3606" w:type="dxa"/>
            <w:gridSpan w:val="2"/>
          </w:tcPr>
          <w:p w14:paraId="1AE18C8A" w14:textId="77777777" w:rsidR="00387754" w:rsidRPr="003D2A66" w:rsidRDefault="00387754" w:rsidP="00880A90">
            <w:pPr>
              <w:keepNext/>
              <w:jc w:val="center"/>
              <w:rPr>
                <w:rFonts w:eastAsia="Times New Roman"/>
              </w:rPr>
            </w:pPr>
            <w:r w:rsidRPr="006865AB">
              <w:rPr>
                <w:rFonts w:eastAsia="Times New Roman"/>
              </w:rPr>
              <w:t>Deduction from Common Equity Tier</w:t>
            </w:r>
            <w:r>
              <w:rPr>
                <w:rFonts w:eastAsia="Times New Roman"/>
              </w:rPr>
              <w:t> </w:t>
            </w:r>
            <w:r w:rsidRPr="006865AB">
              <w:rPr>
                <w:rFonts w:eastAsia="Times New Roman"/>
              </w:rPr>
              <w:t>1 Capital</w:t>
            </w:r>
          </w:p>
        </w:tc>
        <w:tc>
          <w:tcPr>
            <w:tcW w:w="3896" w:type="dxa"/>
            <w:gridSpan w:val="2"/>
            <w:vMerge/>
          </w:tcPr>
          <w:p w14:paraId="1AE18C8B" w14:textId="77777777" w:rsidR="00387754" w:rsidRPr="004846EC" w:rsidRDefault="00387754" w:rsidP="007F46D0">
            <w:pPr>
              <w:keepNext/>
              <w:jc w:val="center"/>
              <w:rPr>
                <w:rFonts w:eastAsia="Times New Roman"/>
              </w:rPr>
            </w:pPr>
          </w:p>
        </w:tc>
      </w:tr>
    </w:tbl>
    <w:p w14:paraId="1AE18C8D" w14:textId="77777777" w:rsidR="00BB71D3" w:rsidRPr="00BB71D3" w:rsidRDefault="00BB71D3" w:rsidP="00ED3CBB">
      <w:pPr>
        <w:pStyle w:val="BodyText1"/>
        <w:numPr>
          <w:ilvl w:val="0"/>
          <w:numId w:val="0"/>
        </w:numPr>
        <w:ind w:left="567" w:hanging="567"/>
      </w:pPr>
    </w:p>
    <w:p w14:paraId="1AE18C8E" w14:textId="6F23B056" w:rsidR="00BB71D3" w:rsidRPr="00BB71D3" w:rsidRDefault="00ED3CBB" w:rsidP="00ED3CBB">
      <w:pPr>
        <w:pStyle w:val="BodyText1"/>
      </w:pPr>
      <w:r>
        <w:t xml:space="preserve">For tranche maturity (paragraphs </w:t>
      </w:r>
      <w:r w:rsidR="00B567EB">
        <w:fldChar w:fldCharType="begin"/>
      </w:r>
      <w:r w:rsidR="00B567EB">
        <w:instrText xml:space="preserve"> REF _Ref465158275 \r \h </w:instrText>
      </w:r>
      <w:r w:rsidR="00B567EB">
        <w:fldChar w:fldCharType="separate"/>
      </w:r>
      <w:r w:rsidR="00642B90">
        <w:t>9</w:t>
      </w:r>
      <w:r w:rsidR="00B567EB">
        <w:fldChar w:fldCharType="end"/>
      </w:r>
      <w:r w:rsidR="00B567EB">
        <w:t xml:space="preserve"> </w:t>
      </w:r>
      <w:r>
        <w:t xml:space="preserve">to </w:t>
      </w:r>
      <w:r w:rsidR="00B567EB">
        <w:fldChar w:fldCharType="begin"/>
      </w:r>
      <w:r w:rsidR="00B567EB">
        <w:instrText xml:space="preserve"> REF _Ref465158458 \r \h </w:instrText>
      </w:r>
      <w:r w:rsidR="00B567EB">
        <w:fldChar w:fldCharType="separate"/>
      </w:r>
      <w:r w:rsidR="00642B90">
        <w:t>14</w:t>
      </w:r>
      <w:r w:rsidR="00B567EB">
        <w:fldChar w:fldCharType="end"/>
      </w:r>
      <w:r w:rsidR="00B567EB">
        <w:t xml:space="preserve"> </w:t>
      </w:r>
      <w:r>
        <w:t xml:space="preserve">of this Attachment), an ADI must use the linear interpolation between </w:t>
      </w:r>
      <w:r w:rsidR="000F209F">
        <w:t>one</w:t>
      </w:r>
      <w:r>
        <w:t xml:space="preserve"> and </w:t>
      </w:r>
      <w:r w:rsidR="000F209F">
        <w:t>five</w:t>
      </w:r>
      <w:r>
        <w:t xml:space="preserve"> years. For credit rating grade </w:t>
      </w:r>
      <w:proofErr w:type="spellStart"/>
      <w:r>
        <w:rPr>
          <w:i/>
        </w:rPr>
        <w:t>i</w:t>
      </w:r>
      <w:proofErr w:type="spellEnd"/>
      <w:r>
        <w:t xml:space="preserve"> and tranche maturity (</w:t>
      </w:r>
      <w:r w:rsidRPr="004846EC">
        <w:rPr>
          <w:i/>
        </w:rPr>
        <w:t>M</w:t>
      </w:r>
      <w:r w:rsidRPr="004846EC">
        <w:rPr>
          <w:i/>
          <w:vertAlign w:val="subscript"/>
        </w:rPr>
        <w:t>T</w:t>
      </w:r>
      <w:r>
        <w:t xml:space="preserve">), the risk weight </w:t>
      </w:r>
      <m:oMath>
        <m:sSub>
          <m:sSubPr>
            <m:ctrlPr>
              <w:rPr>
                <w:rFonts w:ascii="Cambria Math" w:hAnsi="Cambria Math"/>
                <w:i/>
              </w:rPr>
            </m:ctrlPr>
          </m:sSubPr>
          <m:e>
            <m:r>
              <w:rPr>
                <w:rFonts w:ascii="Cambria Math" w:hAnsi="Cambria Math"/>
              </w:rPr>
              <m:t>RW</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T</m:t>
                </m:r>
              </m:sub>
            </m:sSub>
          </m:sub>
        </m:sSub>
      </m:oMath>
      <w:r>
        <w:t xml:space="preserve"> is calculated as:</w:t>
      </w:r>
    </w:p>
    <w:p w14:paraId="1AE18C8F" w14:textId="5F5D0501" w:rsidR="00ED3CBB" w:rsidRPr="00F63B83" w:rsidRDefault="001B50B3" w:rsidP="00ED3CBB">
      <w:pPr>
        <w:pStyle w:val="BodyText1"/>
        <w:numPr>
          <w:ilvl w:val="0"/>
          <w:numId w:val="0"/>
        </w:numPr>
        <w:rPr>
          <w:rFonts w:eastAsiaTheme="minorEastAsia"/>
        </w:rPr>
      </w:pPr>
      <w:r w:rsidRPr="001B50B3">
        <w:rPr>
          <w:rFonts w:eastAsiaTheme="minorEastAsia"/>
          <w:noProof/>
        </w:rPr>
        <w:drawing>
          <wp:inline distT="0" distB="0" distL="0" distR="0" wp14:anchorId="7E4AF4B3" wp14:editId="4F4DCC65">
            <wp:extent cx="5276850" cy="495300"/>
            <wp:effectExtent l="0" t="0" r="0" b="0"/>
            <wp:docPr id="2" name="Picture 2" descr="A formula to calculate the risk weight RW subscript i, M subscript T for credit rating grade i and tranche maturity M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ormula to calculate the risk weight RW subscript i, M subscript T for credit rating grade i and tranche maturity M subscript 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6850" cy="495300"/>
                    </a:xfrm>
                    <a:prstGeom prst="rect">
                      <a:avLst/>
                    </a:prstGeom>
                    <a:noFill/>
                    <a:ln>
                      <a:noFill/>
                    </a:ln>
                  </pic:spPr>
                </pic:pic>
              </a:graphicData>
            </a:graphic>
          </wp:inline>
        </w:drawing>
      </w:r>
    </w:p>
    <w:p w14:paraId="1AE18C90" w14:textId="77777777" w:rsidR="00ED3CBB" w:rsidRDefault="00ED3CBB" w:rsidP="00ED3CBB">
      <w:pPr>
        <w:pStyle w:val="Heading3"/>
      </w:pPr>
      <w:r>
        <w:t>Tranche maturity</w:t>
      </w:r>
    </w:p>
    <w:p w14:paraId="1AE18C91" w14:textId="77777777" w:rsidR="00ED3CBB" w:rsidRPr="00ED3CBB" w:rsidRDefault="00ED3CBB" w:rsidP="00E74F00">
      <w:pPr>
        <w:pStyle w:val="BodyText1"/>
      </w:pPr>
      <w:bookmarkStart w:id="83" w:name="_Ref465158275"/>
      <w:r w:rsidRPr="00024D89">
        <w:t xml:space="preserve">For credit risk regulatory capital purposes, tranche maturity </w:t>
      </w:r>
      <w:r w:rsidRPr="004566F0">
        <w:t>(</w:t>
      </w:r>
      <w:r w:rsidRPr="00AC0779">
        <w:rPr>
          <w:i/>
        </w:rPr>
        <w:t>M</w:t>
      </w:r>
      <w:r w:rsidRPr="00AC0779">
        <w:rPr>
          <w:i/>
          <w:vertAlign w:val="subscript"/>
        </w:rPr>
        <w:t>T</w:t>
      </w:r>
      <w:r w:rsidRPr="004566F0">
        <w:t>)</w:t>
      </w:r>
      <w:r w:rsidRPr="00024D89">
        <w:t xml:space="preserve"> is the tranche’s remaining effective maturity in years and can be measured </w:t>
      </w:r>
      <w:r>
        <w:t>as</w:t>
      </w:r>
      <w:r w:rsidR="00E74F00">
        <w:t xml:space="preserve"> either</w:t>
      </w:r>
      <w:r>
        <w:t>:</w:t>
      </w:r>
      <w:bookmarkEnd w:id="83"/>
    </w:p>
    <w:p w14:paraId="1AE18C92" w14:textId="77777777" w:rsidR="00BB71D3" w:rsidRPr="00BB71D3" w:rsidRDefault="00ED3CBB" w:rsidP="00E74F00">
      <w:pPr>
        <w:pStyle w:val="BodyText2"/>
        <w:ind w:left="0" w:firstLine="567"/>
      </w:pPr>
      <w:r>
        <w:t>t</w:t>
      </w:r>
      <w:r w:rsidRPr="00E80122">
        <w:t>he weighted-average maturity of the contractual cash flows of the tranche</w:t>
      </w:r>
      <w:r>
        <w:t>:</w:t>
      </w:r>
    </w:p>
    <w:p w14:paraId="2011C84B" w14:textId="3520BC33" w:rsidR="00615DB8" w:rsidRPr="00334566" w:rsidRDefault="000070F7" w:rsidP="00E74F00">
      <w:pPr>
        <w:ind w:firstLine="567"/>
        <w:jc w:val="center"/>
      </w:pPr>
      <w:r w:rsidRPr="000070F7">
        <w:rPr>
          <w:noProof/>
        </w:rPr>
        <w:drawing>
          <wp:inline distT="0" distB="0" distL="0" distR="0" wp14:anchorId="08F1FE7F" wp14:editId="32558877">
            <wp:extent cx="1047750" cy="685800"/>
            <wp:effectExtent l="0" t="0" r="0" b="0"/>
            <wp:docPr id="15" name="Picture 15" descr="Start formula the tranche maturity M subscript T equals start fraction the sum across t of t times CF subscript t over the sum across t of CF subscript t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art formula the tranche maturity M subscript T equals start fraction the sum across t of t times CF subscript t over the sum across t of CF subscript t end fraction end formul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7750" cy="685800"/>
                    </a:xfrm>
                    <a:prstGeom prst="rect">
                      <a:avLst/>
                    </a:prstGeom>
                    <a:noFill/>
                    <a:ln>
                      <a:noFill/>
                    </a:ln>
                  </pic:spPr>
                </pic:pic>
              </a:graphicData>
            </a:graphic>
          </wp:inline>
        </w:drawing>
      </w:r>
    </w:p>
    <w:p w14:paraId="1AE18C94" w14:textId="6588CEAE" w:rsidR="005066BE" w:rsidRDefault="00E375C9" w:rsidP="00E74F00">
      <w:pPr>
        <w:ind w:firstLine="567"/>
        <w:jc w:val="both"/>
      </w:pPr>
      <w:r>
        <w:t>w</w:t>
      </w:r>
      <w:r w:rsidR="00ED3CBB">
        <w:t>here</w:t>
      </w:r>
      <w:r>
        <w:t>:</w:t>
      </w:r>
      <w:r w:rsidR="000070F7">
        <w:t xml:space="preserve"> </w:t>
      </w:r>
    </w:p>
    <w:p w14:paraId="1AE18C95" w14:textId="77777777" w:rsidR="005066BE" w:rsidRDefault="005066BE" w:rsidP="00E74F00">
      <w:pPr>
        <w:pStyle w:val="ListParagraph"/>
        <w:ind w:left="567"/>
        <w:jc w:val="both"/>
        <w:rPr>
          <w:i/>
        </w:rPr>
      </w:pPr>
      <w:proofErr w:type="spellStart"/>
      <w:r w:rsidRPr="00223000">
        <w:rPr>
          <w:i/>
        </w:rPr>
        <w:t>CF</w:t>
      </w:r>
      <w:r w:rsidRPr="00223000">
        <w:rPr>
          <w:i/>
          <w:vertAlign w:val="subscript"/>
        </w:rPr>
        <w:t>t</w:t>
      </w:r>
      <w:proofErr w:type="spellEnd"/>
      <w:r w:rsidRPr="00E80122">
        <w:t xml:space="preserve"> denotes the cash flows (principal, interest payments and fees) contractually payable by the borrower in period </w:t>
      </w:r>
      <w:r w:rsidRPr="00223000">
        <w:rPr>
          <w:i/>
        </w:rPr>
        <w:t>t</w:t>
      </w:r>
      <w:r w:rsidR="00172D22">
        <w:rPr>
          <w:i/>
        </w:rPr>
        <w:t>.</w:t>
      </w:r>
    </w:p>
    <w:p w14:paraId="1AE18C96" w14:textId="77777777" w:rsidR="005066BE" w:rsidRPr="00223000" w:rsidRDefault="005066BE" w:rsidP="00E74F00">
      <w:pPr>
        <w:pStyle w:val="ListParagraph"/>
        <w:ind w:left="0" w:firstLine="567"/>
        <w:jc w:val="both"/>
        <w:rPr>
          <w:i/>
        </w:rPr>
      </w:pPr>
    </w:p>
    <w:p w14:paraId="1AE18C97" w14:textId="77777777" w:rsidR="005066BE" w:rsidRDefault="005066BE" w:rsidP="00E74F00">
      <w:pPr>
        <w:pStyle w:val="ListParagraph"/>
        <w:ind w:left="567"/>
        <w:jc w:val="both"/>
      </w:pPr>
      <w:r w:rsidRPr="00E134CB">
        <w:t xml:space="preserve">The </w:t>
      </w:r>
      <w:r>
        <w:t>contractual payments must be unconditional and must not be dependent on the actual performance of the securitised assets</w:t>
      </w:r>
      <w:r w:rsidR="00172D22">
        <w:t>;</w:t>
      </w:r>
      <w:r w:rsidR="00E375C9">
        <w:rPr>
          <w:rStyle w:val="FootnoteReference"/>
        </w:rPr>
        <w:footnoteReference w:id="40"/>
      </w:r>
      <w:r w:rsidR="00203EAC">
        <w:t xml:space="preserve"> or</w:t>
      </w:r>
    </w:p>
    <w:p w14:paraId="1AE18C98" w14:textId="77777777" w:rsidR="005066BE" w:rsidRPr="00E80122" w:rsidRDefault="005066BE" w:rsidP="00E74F00">
      <w:pPr>
        <w:pStyle w:val="BodyText2"/>
        <w:ind w:left="0" w:firstLine="567"/>
      </w:pPr>
      <w:r>
        <w:t>o</w:t>
      </w:r>
      <w:r w:rsidRPr="00E80122">
        <w:t>n the basis of final legal maturity of the tranche, calculated as:</w:t>
      </w:r>
    </w:p>
    <w:p w14:paraId="1AE18C99" w14:textId="43EE30E1" w:rsidR="005066BE" w:rsidRPr="00755792" w:rsidRDefault="0019314F" w:rsidP="00E74F00">
      <w:pPr>
        <w:ind w:firstLine="567"/>
        <w:rPr>
          <w:rFonts w:eastAsiaTheme="minorEastAsia"/>
        </w:rPr>
      </w:pPr>
      <w:r w:rsidRPr="0019314F">
        <w:rPr>
          <w:noProof/>
        </w:rPr>
        <w:drawing>
          <wp:inline distT="0" distB="0" distL="0" distR="0" wp14:anchorId="2AC1073B" wp14:editId="47B4F4B8">
            <wp:extent cx="5276850" cy="333375"/>
            <wp:effectExtent l="0" t="0" r="0" b="0"/>
            <wp:docPr id="4" name="Picture 4" descr="Start formula the final legal maturity of the tranche, M subscript T, equals 1 plus open bracket M subscript L minus 1 close bracket times 0.8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art formula the final legal maturity of the tranche, M subscript T, equals 1 plus open bracket M subscript L minus 1 close bracket times 0.8 end formul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6850" cy="333375"/>
                    </a:xfrm>
                    <a:prstGeom prst="rect">
                      <a:avLst/>
                    </a:prstGeom>
                    <a:noFill/>
                    <a:ln>
                      <a:noFill/>
                    </a:ln>
                  </pic:spPr>
                </pic:pic>
              </a:graphicData>
            </a:graphic>
          </wp:inline>
        </w:drawing>
      </w:r>
    </w:p>
    <w:p w14:paraId="1AE18C9A" w14:textId="77777777" w:rsidR="005066BE" w:rsidRDefault="005066BE" w:rsidP="00E74F00">
      <w:pPr>
        <w:ind w:firstLine="567"/>
        <w:jc w:val="both"/>
      </w:pPr>
      <w:r>
        <w:t>w</w:t>
      </w:r>
      <w:r w:rsidRPr="00E80122">
        <w:t>here</w:t>
      </w:r>
      <w:r>
        <w:t>:</w:t>
      </w:r>
    </w:p>
    <w:p w14:paraId="1AE18C9B" w14:textId="77777777" w:rsidR="005066BE" w:rsidRPr="00E80122" w:rsidRDefault="005066BE" w:rsidP="00E74F00">
      <w:pPr>
        <w:pStyle w:val="ListParagraph"/>
        <w:ind w:left="0" w:firstLine="567"/>
        <w:jc w:val="both"/>
      </w:pPr>
      <w:r w:rsidRPr="002C6592">
        <w:rPr>
          <w:i/>
        </w:rPr>
        <w:t>M</w:t>
      </w:r>
      <w:r w:rsidRPr="002C6592">
        <w:rPr>
          <w:i/>
          <w:vertAlign w:val="subscript"/>
        </w:rPr>
        <w:t>L</w:t>
      </w:r>
      <w:r w:rsidRPr="00E80122">
        <w:t xml:space="preserve"> is the final legal maturity of the tranche.</w:t>
      </w:r>
    </w:p>
    <w:p w14:paraId="1AE18C9C" w14:textId="77777777" w:rsidR="00BB71D3" w:rsidRDefault="00ED3CBB" w:rsidP="00ED3CBB">
      <w:pPr>
        <w:pStyle w:val="BodyText1"/>
      </w:pPr>
      <w:r w:rsidRPr="00B07CE8">
        <w:lastRenderedPageBreak/>
        <w:t xml:space="preserve">When determining the maturity of a securitisation exposure, an ADI must take into account the maximum period of time </w:t>
      </w:r>
      <w:r>
        <w:t>it</w:t>
      </w:r>
      <w:r w:rsidRPr="00B07CE8">
        <w:t xml:space="preserve"> is exposed to potential losses from the securitised </w:t>
      </w:r>
      <w:r>
        <w:t>exposures.</w:t>
      </w:r>
    </w:p>
    <w:p w14:paraId="1AE18C9D" w14:textId="77777777" w:rsidR="00ED3CBB" w:rsidRDefault="00ED3CBB" w:rsidP="00ED3CBB">
      <w:pPr>
        <w:pStyle w:val="BodyText1"/>
      </w:pPr>
      <w:bookmarkStart w:id="84" w:name="_Ref465158478"/>
      <w:r>
        <w:t>W</w:t>
      </w:r>
      <w:r w:rsidRPr="00B07CE8">
        <w:t xml:space="preserve">here an ADI provides a commitment, the ADI </w:t>
      </w:r>
      <w:r>
        <w:t>must</w:t>
      </w:r>
      <w:r w:rsidRPr="00B07CE8">
        <w:t xml:space="preserve"> calculate the maturity of the securitisation exposure resulting from th</w:t>
      </w:r>
      <w:r>
        <w:t>e</w:t>
      </w:r>
      <w:r w:rsidRPr="00B07CE8">
        <w:t xml:space="preserve"> commitment as the sum of the contractual maturity of the commitment and the longest maturity of the assets to which the ADI would be exposed after a draw has occurred. If those assets are revolving, the longest contractually possible remaining maturity of the asset that might be added during the revolving period appl</w:t>
      </w:r>
      <w:r>
        <w:t>ies</w:t>
      </w:r>
      <w:r w:rsidRPr="00B07CE8">
        <w:t>, rather than the (longest) maturity of the assets currently in the pool</w:t>
      </w:r>
      <w:r>
        <w:t>.</w:t>
      </w:r>
      <w:bookmarkEnd w:id="84"/>
    </w:p>
    <w:p w14:paraId="1AE18C9E" w14:textId="37E1A617" w:rsidR="00ED3CBB" w:rsidRDefault="00ED3CBB" w:rsidP="00ED3CBB">
      <w:pPr>
        <w:pStyle w:val="BodyText1"/>
      </w:pPr>
      <w:r w:rsidRPr="00B07CE8">
        <w:t>The treatment in par</w:t>
      </w:r>
      <w:r>
        <w:t>a</w:t>
      </w:r>
      <w:r w:rsidRPr="00B07CE8">
        <w:t xml:space="preserve">graph </w:t>
      </w:r>
      <w:r w:rsidR="00B567EB">
        <w:fldChar w:fldCharType="begin"/>
      </w:r>
      <w:r w:rsidR="00B567EB">
        <w:instrText xml:space="preserve"> REF _Ref465158478 \r \h </w:instrText>
      </w:r>
      <w:r w:rsidR="00B567EB">
        <w:fldChar w:fldCharType="separate"/>
      </w:r>
      <w:r w:rsidR="00642B90">
        <w:t>11</w:t>
      </w:r>
      <w:r w:rsidR="00B567EB">
        <w:fldChar w:fldCharType="end"/>
      </w:r>
      <w:r w:rsidR="00B567EB">
        <w:t xml:space="preserve"> </w:t>
      </w:r>
      <w:r w:rsidRPr="00B07CE8">
        <w:t>of this Attachment applies to all other instruments where the risk of the commitment/protection provider is not limited to losses realised until the maturity of that instrument (</w:t>
      </w:r>
      <w:proofErr w:type="gramStart"/>
      <w:r w:rsidRPr="00B07CE8">
        <w:t>e</w:t>
      </w:r>
      <w:r>
        <w:t>.</w:t>
      </w:r>
      <w:r w:rsidRPr="00B07CE8">
        <w:t>g</w:t>
      </w:r>
      <w:r>
        <w:t>.</w:t>
      </w:r>
      <w:proofErr w:type="gramEnd"/>
      <w:r w:rsidRPr="00B07CE8">
        <w:t xml:space="preserve"> total return swaps</w:t>
      </w:r>
      <w:r>
        <w:t>).</w:t>
      </w:r>
    </w:p>
    <w:p w14:paraId="1AE18C9F" w14:textId="77777777" w:rsidR="00ED3CBB" w:rsidRDefault="00ED3CBB" w:rsidP="00ED3CBB">
      <w:pPr>
        <w:pStyle w:val="BodyText1"/>
      </w:pPr>
      <w:r w:rsidRPr="00B07CE8">
        <w:t>For credit protection instruments that are only exposed to losses that occur up to the maturity</w:t>
      </w:r>
      <w:r>
        <w:t xml:space="preserve"> </w:t>
      </w:r>
      <w:r w:rsidRPr="003666E0">
        <w:t>of that instrument, an ADI may apply the contractual maturity of the instrument and need not look</w:t>
      </w:r>
      <w:r>
        <w:t>-</w:t>
      </w:r>
      <w:r w:rsidRPr="003666E0">
        <w:t>through to the protected position</w:t>
      </w:r>
      <w:r>
        <w:t>.</w:t>
      </w:r>
    </w:p>
    <w:p w14:paraId="1AE18CA0" w14:textId="77777777" w:rsidR="00ED3CBB" w:rsidRDefault="00ED3CBB" w:rsidP="00ED3CBB">
      <w:pPr>
        <w:pStyle w:val="BodyText1"/>
      </w:pPr>
      <w:bookmarkStart w:id="85" w:name="_Ref465158458"/>
      <w:r w:rsidRPr="00E80122">
        <w:t xml:space="preserve">In all cases, </w:t>
      </w:r>
      <w:r w:rsidRPr="00E80122">
        <w:rPr>
          <w:i/>
        </w:rPr>
        <w:t>M</w:t>
      </w:r>
      <w:r w:rsidRPr="00E80122">
        <w:rPr>
          <w:i/>
          <w:vertAlign w:val="subscript"/>
        </w:rPr>
        <w:t>T</w:t>
      </w:r>
      <w:r w:rsidRPr="00E80122">
        <w:t xml:space="preserve"> </w:t>
      </w:r>
      <w:r>
        <w:t xml:space="preserve">is subject to </w:t>
      </w:r>
      <w:r w:rsidRPr="00E80122">
        <w:t xml:space="preserve">a floor of one year and a </w:t>
      </w:r>
      <w:r>
        <w:t>cap</w:t>
      </w:r>
      <w:r w:rsidRPr="00E80122">
        <w:t xml:space="preserve"> of five years</w:t>
      </w:r>
      <w:r>
        <w:t>.</w:t>
      </w:r>
      <w:bookmarkEnd w:id="85"/>
    </w:p>
    <w:p w14:paraId="1AE18CA1" w14:textId="77777777" w:rsidR="00ED3CBB" w:rsidRDefault="00ED3CBB" w:rsidP="00ED3CBB">
      <w:pPr>
        <w:pStyle w:val="Heading3"/>
      </w:pPr>
      <w:r>
        <w:t>Tranche thickness</w:t>
      </w:r>
    </w:p>
    <w:p w14:paraId="1AE18CA2" w14:textId="77777777" w:rsidR="00ED3CBB" w:rsidRDefault="00ED3CBB" w:rsidP="00ED3CBB">
      <w:pPr>
        <w:pStyle w:val="BodyText1"/>
      </w:pPr>
      <w:bookmarkStart w:id="86" w:name="_Ref465158291"/>
      <w:r>
        <w:t>To account</w:t>
      </w:r>
      <w:r w:rsidRPr="00475448">
        <w:t xml:space="preserve"> for tranche thickness, an ADI must calculate the risk weight for a non-</w:t>
      </w:r>
      <w:r w:rsidRPr="004076B0">
        <w:t xml:space="preserve">senior securitisation </w:t>
      </w:r>
      <w:r w:rsidRPr="00585537">
        <w:t xml:space="preserve">exposure </w:t>
      </w:r>
      <w:r w:rsidRPr="00930128">
        <w:t>as follows</w:t>
      </w:r>
      <w:r>
        <w:t>:</w:t>
      </w:r>
      <w:bookmarkEnd w:id="86"/>
    </w:p>
    <w:p w14:paraId="304E2FFB" w14:textId="697B3143" w:rsidR="00435C27" w:rsidRPr="002F56A0" w:rsidRDefault="00435C27" w:rsidP="00ED3CBB">
      <w:pPr>
        <w:pStyle w:val="BodyText1"/>
        <w:numPr>
          <w:ilvl w:val="0"/>
          <w:numId w:val="0"/>
        </w:numPr>
        <w:ind w:left="567"/>
        <w:rPr>
          <w:iCs/>
          <w:sz w:val="21"/>
          <w:szCs w:val="21"/>
        </w:rPr>
      </w:pPr>
      <w:r w:rsidRPr="00435C27">
        <w:rPr>
          <w:noProof/>
        </w:rPr>
        <w:drawing>
          <wp:inline distT="0" distB="0" distL="0" distR="0" wp14:anchorId="341E56CD" wp14:editId="43B27901">
            <wp:extent cx="5731510" cy="304800"/>
            <wp:effectExtent l="0" t="0" r="0" b="0"/>
            <wp:docPr id="6" name="Picture 6" descr="Start formula Risk weight equals open bracket risk weight from Table 2 after adjusting for tranche maturity close bracket * open square bracket 1 minus minimum of open round bracket T; 50% close round bracket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rt formula Risk weight equals open bracket risk weight from Table 2 after adjusting for tranche maturity close bracket * open square bracket 1 minus minimum of open round bracket T; 50% close round bracket close square bracket end formul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304800"/>
                    </a:xfrm>
                    <a:prstGeom prst="rect">
                      <a:avLst/>
                    </a:prstGeom>
                    <a:noFill/>
                    <a:ln>
                      <a:noFill/>
                    </a:ln>
                  </pic:spPr>
                </pic:pic>
              </a:graphicData>
            </a:graphic>
          </wp:inline>
        </w:drawing>
      </w:r>
    </w:p>
    <w:p w14:paraId="1AE18CA4" w14:textId="77777777" w:rsidR="00ED3CBB" w:rsidRPr="00ED3CBB" w:rsidRDefault="00ED3CBB" w:rsidP="00ED3CBB">
      <w:pPr>
        <w:pStyle w:val="BodyText1"/>
        <w:numPr>
          <w:ilvl w:val="0"/>
          <w:numId w:val="0"/>
        </w:numPr>
        <w:ind w:left="567"/>
        <w:rPr>
          <w:rFonts w:asciiTheme="minorHAnsi" w:hAnsiTheme="minorHAnsi" w:cstheme="minorHAnsi"/>
          <w:iCs/>
          <w:sz w:val="22"/>
          <w:szCs w:val="22"/>
        </w:rPr>
      </w:pPr>
      <w:r w:rsidRPr="00ED3CBB">
        <w:rPr>
          <w:rFonts w:asciiTheme="minorHAnsi" w:hAnsiTheme="minorHAnsi" w:cstheme="minorHAnsi"/>
          <w:iCs/>
          <w:sz w:val="22"/>
          <w:szCs w:val="22"/>
        </w:rPr>
        <w:t>where:</w:t>
      </w:r>
    </w:p>
    <w:p w14:paraId="1AE18CA5" w14:textId="28BF9364" w:rsidR="00ED3CBB" w:rsidRPr="00ED3CBB" w:rsidRDefault="00ED3CBB" w:rsidP="00ED3CBB">
      <w:pPr>
        <w:pStyle w:val="BodyText1"/>
        <w:numPr>
          <w:ilvl w:val="0"/>
          <w:numId w:val="0"/>
        </w:numPr>
        <w:ind w:left="567"/>
      </w:pPr>
      <w:r w:rsidRPr="00901032">
        <w:rPr>
          <w:i/>
        </w:rPr>
        <w:t>T</w:t>
      </w:r>
      <w:r w:rsidRPr="00901032">
        <w:t xml:space="preserve"> equals tranche thickness, and is measured as </w:t>
      </w:r>
      <w:r w:rsidRPr="00901032">
        <w:rPr>
          <w:i/>
        </w:rPr>
        <w:t>D</w:t>
      </w:r>
      <w:r w:rsidRPr="00901032">
        <w:t xml:space="preserve"> minus </w:t>
      </w:r>
      <w:r w:rsidRPr="00901032">
        <w:rPr>
          <w:i/>
        </w:rPr>
        <w:t>A</w:t>
      </w:r>
      <w:r w:rsidRPr="00901032">
        <w:t>, as defined in paragraphs</w:t>
      </w:r>
      <w:r>
        <w:t xml:space="preserve"> </w:t>
      </w:r>
      <w:r w:rsidR="00B567EB">
        <w:fldChar w:fldCharType="begin"/>
      </w:r>
      <w:r w:rsidR="00B567EB">
        <w:instrText xml:space="preserve"> REF _Ref465158501 \r \h </w:instrText>
      </w:r>
      <w:r w:rsidR="00B567EB">
        <w:fldChar w:fldCharType="separate"/>
      </w:r>
      <w:r w:rsidR="00642B90">
        <w:t>27</w:t>
      </w:r>
      <w:r w:rsidR="00B567EB">
        <w:fldChar w:fldCharType="end"/>
      </w:r>
      <w:r w:rsidR="00B567EB">
        <w:t xml:space="preserve"> </w:t>
      </w:r>
      <w:r>
        <w:t xml:space="preserve">to </w:t>
      </w:r>
      <w:r w:rsidR="00B567EB">
        <w:fldChar w:fldCharType="begin"/>
      </w:r>
      <w:r w:rsidR="00B567EB">
        <w:instrText xml:space="preserve"> REF _Ref465158515 \r \h </w:instrText>
      </w:r>
      <w:r w:rsidR="00B567EB">
        <w:fldChar w:fldCharType="separate"/>
      </w:r>
      <w:r w:rsidR="00642B90">
        <w:t>31</w:t>
      </w:r>
      <w:r w:rsidR="00B567EB">
        <w:fldChar w:fldCharType="end"/>
      </w:r>
      <w:r w:rsidR="00B567EB">
        <w:t xml:space="preserve"> </w:t>
      </w:r>
      <w:r>
        <w:t>of this Attachment</w:t>
      </w:r>
      <w:r w:rsidR="00B567EB">
        <w:t>.</w:t>
      </w:r>
    </w:p>
    <w:p w14:paraId="1AE18CA6" w14:textId="77777777" w:rsidR="00BB71D3" w:rsidRDefault="007F46D0" w:rsidP="007F46D0">
      <w:pPr>
        <w:pStyle w:val="Heading3"/>
      </w:pPr>
      <w:proofErr w:type="spellStart"/>
      <w:r>
        <w:t>Tranched</w:t>
      </w:r>
      <w:proofErr w:type="spellEnd"/>
      <w:r>
        <w:t xml:space="preserve"> credit protection</w:t>
      </w:r>
    </w:p>
    <w:p w14:paraId="1AE18CA7" w14:textId="77777777" w:rsidR="007F46D0" w:rsidRDefault="007F46D0" w:rsidP="007F46D0">
      <w:pPr>
        <w:pStyle w:val="BodyText1"/>
      </w:pPr>
      <w:bookmarkStart w:id="87" w:name="_Ref465158022"/>
      <w:r>
        <w:t>Where</w:t>
      </w:r>
      <w:r w:rsidRPr="00E24460">
        <w:t xml:space="preserve"> </w:t>
      </w:r>
      <w:r>
        <w:t xml:space="preserve">an </w:t>
      </w:r>
      <w:r w:rsidRPr="00E24460">
        <w:t>ADI pro</w:t>
      </w:r>
      <w:r w:rsidR="00B567EB">
        <w:t xml:space="preserve">vides </w:t>
      </w:r>
      <w:proofErr w:type="spellStart"/>
      <w:r w:rsidR="00B567EB">
        <w:t>tranched</w:t>
      </w:r>
      <w:proofErr w:type="spellEnd"/>
      <w:r w:rsidR="00B567EB">
        <w:t xml:space="preserve"> credit protection</w:t>
      </w:r>
      <w:r w:rsidR="00B567EB">
        <w:rPr>
          <w:rStyle w:val="FootnoteReference"/>
        </w:rPr>
        <w:footnoteReference w:id="41"/>
      </w:r>
      <w:r w:rsidR="00B567EB">
        <w:t xml:space="preserve"> </w:t>
      </w:r>
      <w:r w:rsidRPr="00E24460">
        <w:t>to a securitisation exposur</w:t>
      </w:r>
      <w:r>
        <w:t>e, the relevant risk weights for the different sub-tranches are calculated subject to the following:</w:t>
      </w:r>
      <w:bookmarkEnd w:id="87"/>
    </w:p>
    <w:p w14:paraId="1AE18CA8" w14:textId="77777777" w:rsidR="007F46D0" w:rsidRDefault="007F46D0" w:rsidP="007F46D0">
      <w:pPr>
        <w:pStyle w:val="BodyText2"/>
      </w:pPr>
      <w:r>
        <w:t>f</w:t>
      </w:r>
      <w:r w:rsidRPr="00B20FE2">
        <w:t xml:space="preserve">or the sub-tranche </w:t>
      </w:r>
      <w:r w:rsidRPr="002F1EE2">
        <w:t>of highest priority</w:t>
      </w:r>
      <w:r w:rsidR="003A4403">
        <w:t>,</w:t>
      </w:r>
      <w:r w:rsidRPr="002F1EE2">
        <w:t xml:space="preserve"> the ADI</w:t>
      </w:r>
      <w:r w:rsidRPr="00B20FE2">
        <w:t xml:space="preserve"> must use the risk weight of the original securitisation exposure</w:t>
      </w:r>
      <w:r>
        <w:t>; and</w:t>
      </w:r>
    </w:p>
    <w:p w14:paraId="1AE18CA9" w14:textId="77777777" w:rsidR="007F46D0" w:rsidRDefault="007F46D0" w:rsidP="007F46D0">
      <w:pPr>
        <w:pStyle w:val="BodyText2"/>
      </w:pPr>
      <w:r>
        <w:t>f</w:t>
      </w:r>
      <w:r w:rsidRPr="002A3AF1">
        <w:t xml:space="preserve">or </w:t>
      </w:r>
      <w:r>
        <w:t>the</w:t>
      </w:r>
      <w:r w:rsidRPr="002A3AF1">
        <w:t xml:space="preserve"> sub</w:t>
      </w:r>
      <w:r>
        <w:t>-</w:t>
      </w:r>
      <w:r w:rsidRPr="002A3AF1">
        <w:t>tranche of lower</w:t>
      </w:r>
      <w:r w:rsidR="003A4403">
        <w:t xml:space="preserve"> </w:t>
      </w:r>
      <w:r w:rsidRPr="002A3AF1">
        <w:t xml:space="preserve">priority, the ADI must treat the exposure as a </w:t>
      </w:r>
      <w:r>
        <w:t xml:space="preserve">non-senior </w:t>
      </w:r>
      <w:r w:rsidRPr="002A3AF1">
        <w:t xml:space="preserve">securitisation exposure even if the original securitisation exposure prior to protection </w:t>
      </w:r>
      <w:r>
        <w:t>is</w:t>
      </w:r>
      <w:r w:rsidRPr="002A3AF1">
        <w:t xml:space="preserve"> </w:t>
      </w:r>
      <w:r>
        <w:t xml:space="preserve">a </w:t>
      </w:r>
      <w:r w:rsidRPr="002A3AF1">
        <w:t>sen</w:t>
      </w:r>
      <w:r>
        <w:t>ior securitisation exposure.</w:t>
      </w:r>
    </w:p>
    <w:p w14:paraId="1AE18CAA" w14:textId="77777777" w:rsidR="007F46D0" w:rsidRDefault="007F46D0" w:rsidP="00C031E4">
      <w:pPr>
        <w:pStyle w:val="Attachmentsub-heading"/>
      </w:pPr>
      <w:r>
        <w:lastRenderedPageBreak/>
        <w:t>Supervisory Formula Approach</w:t>
      </w:r>
    </w:p>
    <w:p w14:paraId="1AE18CAB" w14:textId="77777777" w:rsidR="007F46D0" w:rsidRDefault="007F46D0" w:rsidP="007F46D0">
      <w:pPr>
        <w:pStyle w:val="BodyText1"/>
      </w:pPr>
      <w:bookmarkStart w:id="88" w:name="_Ref465158091"/>
      <w:r w:rsidRPr="00A06045">
        <w:t xml:space="preserve">To calculate </w:t>
      </w:r>
      <w:r>
        <w:t xml:space="preserve">the regulatory </w:t>
      </w:r>
      <w:r w:rsidRPr="00A06045">
        <w:t>capital requirement for a securitisation exposure using the S</w:t>
      </w:r>
      <w:r>
        <w:t>upervisory Formula Approach</w:t>
      </w:r>
      <w:r w:rsidRPr="00A06045">
        <w:t xml:space="preserve">, an ADI </w:t>
      </w:r>
      <w:r>
        <w:t>must</w:t>
      </w:r>
      <w:r w:rsidRPr="00A06045">
        <w:t xml:space="preserve"> </w:t>
      </w:r>
      <w:r>
        <w:t>determine</w:t>
      </w:r>
      <w:r w:rsidRPr="00A06045">
        <w:t xml:space="preserve"> the following inputs</w:t>
      </w:r>
      <w:r>
        <w:t>:</w:t>
      </w:r>
      <w:bookmarkEnd w:id="88"/>
    </w:p>
    <w:p w14:paraId="1AE18CAC" w14:textId="77777777" w:rsidR="007F46D0" w:rsidRPr="007F46D0" w:rsidRDefault="007F46D0" w:rsidP="007F46D0">
      <w:pPr>
        <w:pStyle w:val="BodyText2"/>
      </w:pPr>
      <w:r w:rsidRPr="00A06045">
        <w:t xml:space="preserve">the capital </w:t>
      </w:r>
      <w:r>
        <w:t>requirement</w:t>
      </w:r>
      <w:r w:rsidRPr="00A06045">
        <w:t xml:space="preserve"> under APS 112</w:t>
      </w:r>
      <w:r>
        <w:t xml:space="preserve"> </w:t>
      </w:r>
      <w:r w:rsidRPr="00A06045">
        <w:t>had the underlying exposures not been securitised (K</w:t>
      </w:r>
      <w:r w:rsidR="00552ADC" w:rsidRPr="00A06045">
        <w:rPr>
          <w:vertAlign w:val="subscript"/>
        </w:rPr>
        <w:t>SA</w:t>
      </w:r>
      <w:r w:rsidR="00552ADC">
        <w:t>);</w:t>
      </w:r>
    </w:p>
    <w:p w14:paraId="1AE18CAD" w14:textId="77777777" w:rsidR="007F46D0" w:rsidRDefault="007F46D0" w:rsidP="007F46D0">
      <w:pPr>
        <w:pStyle w:val="BodyText2"/>
      </w:pPr>
      <w:r w:rsidRPr="00852CB7">
        <w:t xml:space="preserve">the ratio </w:t>
      </w:r>
      <w:r>
        <w:t xml:space="preserve">of </w:t>
      </w:r>
      <w:r w:rsidRPr="00852CB7">
        <w:t xml:space="preserve">delinquent underlying exposures to </w:t>
      </w:r>
      <w:r>
        <w:t xml:space="preserve">total </w:t>
      </w:r>
      <w:r w:rsidRPr="00852CB7">
        <w:t>underlying exposures in the pool (W);</w:t>
      </w:r>
    </w:p>
    <w:p w14:paraId="1AE18CAE" w14:textId="77777777" w:rsidR="007F46D0" w:rsidRDefault="007F46D0" w:rsidP="007F46D0">
      <w:pPr>
        <w:pStyle w:val="BodyText2"/>
      </w:pPr>
      <w:r w:rsidRPr="00852CB7">
        <w:t>the tranche attachment point (A);</w:t>
      </w:r>
      <w:r>
        <w:t xml:space="preserve"> and</w:t>
      </w:r>
    </w:p>
    <w:p w14:paraId="1AE18CAF" w14:textId="77777777" w:rsidR="007F46D0" w:rsidRDefault="007F46D0" w:rsidP="007F46D0">
      <w:pPr>
        <w:pStyle w:val="BodyText2"/>
      </w:pPr>
      <w:r w:rsidRPr="00852CB7">
        <w:t>the tranche detachment point (D</w:t>
      </w:r>
      <w:r>
        <w:t>)</w:t>
      </w:r>
      <w:r w:rsidR="00FF7CA9">
        <w:t>.</w:t>
      </w:r>
    </w:p>
    <w:p w14:paraId="1AE18CB0" w14:textId="77777777" w:rsidR="007F46D0" w:rsidRDefault="007F46D0" w:rsidP="007F46D0">
      <w:pPr>
        <w:pStyle w:val="Heading3"/>
        <w:rPr>
          <w:vertAlign w:val="subscript"/>
        </w:rPr>
      </w:pPr>
      <w:r>
        <w:t xml:space="preserve">Definition of </w:t>
      </w:r>
      <w:r w:rsidRPr="007F46D0">
        <w:t>K</w:t>
      </w:r>
      <w:r w:rsidRPr="007F46D0">
        <w:rPr>
          <w:vertAlign w:val="subscript"/>
        </w:rPr>
        <w:t>SA</w:t>
      </w:r>
    </w:p>
    <w:p w14:paraId="1AE18CB1" w14:textId="77777777" w:rsidR="007F46D0" w:rsidRDefault="007F46D0" w:rsidP="007F46D0">
      <w:pPr>
        <w:pStyle w:val="BodyText1"/>
      </w:pPr>
      <w:r w:rsidRPr="00262D0A">
        <w:t>K</w:t>
      </w:r>
      <w:r w:rsidRPr="00262D0A">
        <w:rPr>
          <w:vertAlign w:val="subscript"/>
        </w:rPr>
        <w:t>SA</w:t>
      </w:r>
      <w:r w:rsidRPr="00262D0A">
        <w:t xml:space="preserve"> is expressed </w:t>
      </w:r>
      <w:r>
        <w:t>in d</w:t>
      </w:r>
      <w:r w:rsidRPr="00262D0A">
        <w:t xml:space="preserve">ecimal </w:t>
      </w:r>
      <w:r>
        <w:t>form and</w:t>
      </w:r>
      <w:r w:rsidRPr="00262D0A">
        <w:t xml:space="preserve"> is the weighted average capital charge of the entire portfolio of underlying exposures, </w:t>
      </w:r>
      <w:r>
        <w:t xml:space="preserve">which is </w:t>
      </w:r>
      <w:r w:rsidRPr="00262D0A">
        <w:t xml:space="preserve">calculated </w:t>
      </w:r>
      <w:r>
        <w:t>as the ratio of (a)</w:t>
      </w:r>
      <w:r w:rsidRPr="00262D0A">
        <w:t xml:space="preserve"> the risk</w:t>
      </w:r>
      <w:r>
        <w:t>-</w:t>
      </w:r>
      <w:r w:rsidRPr="00262D0A">
        <w:t xml:space="preserve">weighted asset amounts </w:t>
      </w:r>
      <w:r>
        <w:t xml:space="preserve">under </w:t>
      </w:r>
      <w:r w:rsidRPr="00262D0A">
        <w:t>APS 112</w:t>
      </w:r>
      <w:r>
        <w:t xml:space="preserve"> multiplied by 8 per cent to (b)</w:t>
      </w:r>
      <w:r w:rsidRPr="00262D0A">
        <w:t xml:space="preserve"> the sum of the exposure amounts of underlying exposures</w:t>
      </w:r>
      <w:r>
        <w:t>.</w:t>
      </w:r>
      <w:r>
        <w:rPr>
          <w:rStyle w:val="FootnoteReference"/>
        </w:rPr>
        <w:footnoteReference w:id="42"/>
      </w:r>
    </w:p>
    <w:p w14:paraId="1AE18CB2" w14:textId="77777777" w:rsidR="007F46D0" w:rsidRDefault="007F46D0" w:rsidP="007F46D0">
      <w:pPr>
        <w:pStyle w:val="BodyText1"/>
      </w:pPr>
      <w:r w:rsidRPr="00174ABA">
        <w:t xml:space="preserve">For structures involving an SPV, all of the SPV’s exposures related to the securitisation are to be treated as exposures in the pool. Exposures related to the securitisation that </w:t>
      </w:r>
      <w:r>
        <w:t>are</w:t>
      </w:r>
      <w:r w:rsidRPr="00174ABA">
        <w:t xml:space="preserve"> treated as</w:t>
      </w:r>
      <w:r>
        <w:t xml:space="preserve"> </w:t>
      </w:r>
      <w:r w:rsidRPr="00174ABA">
        <w:t xml:space="preserve">exposures in the pool include assets in which the SPV may have invested, comprising reserve accounts, cash collateral accounts and claims against counterparties resulting from interest </w:t>
      </w:r>
      <w:r>
        <w:t>rate</w:t>
      </w:r>
      <w:r w:rsidRPr="00174ABA">
        <w:t xml:space="preserve"> or currency</w:t>
      </w:r>
      <w:r>
        <w:t xml:space="preserve"> swaps</w:t>
      </w:r>
      <w:r w:rsidRPr="00174ABA">
        <w:t>.</w:t>
      </w:r>
      <w:r>
        <w:rPr>
          <w:rStyle w:val="FootnoteReference"/>
        </w:rPr>
        <w:footnoteReference w:id="43"/>
      </w:r>
      <w:r w:rsidRPr="00174ABA">
        <w:t xml:space="preserve"> </w:t>
      </w:r>
      <w:r w:rsidRPr="00D45830">
        <w:t xml:space="preserve">An ADI may exclude the SPV’s exposures from the pool for capital calculation purposes </w:t>
      </w:r>
      <w:r>
        <w:t>i</w:t>
      </w:r>
      <w:r w:rsidRPr="00D45830">
        <w:t>f the ADI can demonstrate that the risk of the SPV’s exposures is immaterial or that it does not affect the ADI’s securitisation exposure</w:t>
      </w:r>
      <w:r>
        <w:t>.</w:t>
      </w:r>
    </w:p>
    <w:p w14:paraId="1AE18CB3" w14:textId="77777777" w:rsidR="007F46D0" w:rsidRDefault="007F46D0" w:rsidP="007F46D0">
      <w:pPr>
        <w:pStyle w:val="BodyText1"/>
      </w:pPr>
      <w:r w:rsidRPr="00A85802">
        <w:t>In the case of funded synthetic securitisations, any proceeds of the issuances of credit-linked notes or other funded obligations of the SPV that serve as collateral for the repayment of the securitisation exposure, and for which the ADI cannot demonstrate that they are immaterial, must be included in the calculation of K</w:t>
      </w:r>
      <w:r w:rsidRPr="00A85802">
        <w:rPr>
          <w:vertAlign w:val="subscript"/>
        </w:rPr>
        <w:t>SA</w:t>
      </w:r>
      <w:r w:rsidRPr="00A85802">
        <w:t xml:space="preserve"> if the default risk of the collateral is subject to the </w:t>
      </w:r>
      <w:proofErr w:type="spellStart"/>
      <w:r w:rsidRPr="00A85802">
        <w:t>tranched</w:t>
      </w:r>
      <w:proofErr w:type="spellEnd"/>
      <w:r w:rsidRPr="00A85802">
        <w:t xml:space="preserve"> loss allocation</w:t>
      </w:r>
      <w:r>
        <w:t>.</w:t>
      </w:r>
      <w:r w:rsidRPr="00A85802">
        <w:rPr>
          <w:rStyle w:val="FootnoteReference"/>
        </w:rPr>
        <w:footnoteReference w:id="44"/>
      </w:r>
    </w:p>
    <w:p w14:paraId="1AE18CB4" w14:textId="77777777" w:rsidR="007F46D0" w:rsidRDefault="007F46D0" w:rsidP="007F46D0">
      <w:pPr>
        <w:pStyle w:val="BodyText1"/>
      </w:pPr>
      <w:r w:rsidRPr="001D628E">
        <w:t>In cases where a</w:t>
      </w:r>
      <w:r>
        <w:t xml:space="preserve">n ADI </w:t>
      </w:r>
      <w:r w:rsidRPr="001D628E">
        <w:t>has set aside a specific provision or has a non-refundable purchase price discount on an exposure in the pool, K</w:t>
      </w:r>
      <w:r w:rsidRPr="001D628E">
        <w:rPr>
          <w:vertAlign w:val="subscript"/>
        </w:rPr>
        <w:t>SA</w:t>
      </w:r>
      <w:r w:rsidRPr="001D628E">
        <w:t xml:space="preserve"> must be calculated using the gross amount of the exposure without the specific provision or non-refundable purchase price discount</w:t>
      </w:r>
      <w:r>
        <w:t>.</w:t>
      </w:r>
    </w:p>
    <w:p w14:paraId="1AE18CB5" w14:textId="77777777" w:rsidR="007F46D0" w:rsidRDefault="007F46D0" w:rsidP="007F46D0">
      <w:pPr>
        <w:pStyle w:val="Heading3"/>
      </w:pPr>
      <w:r>
        <w:lastRenderedPageBreak/>
        <w:t>Definition of delinquent underlying exposures (W)</w:t>
      </w:r>
    </w:p>
    <w:p w14:paraId="1AE18CB6" w14:textId="77777777" w:rsidR="007F46D0" w:rsidRDefault="007F46D0" w:rsidP="007F46D0">
      <w:pPr>
        <w:pStyle w:val="BodyText1"/>
      </w:pPr>
      <w:bookmarkStart w:id="89" w:name="_Ref465331532"/>
      <w:r w:rsidRPr="002835B0">
        <w:t>Delinquent underlying exposures are underlying exposures that are 90 days or more past due, subject to bankruptcy or insolvency proceedings, in the process of foreclosure, held as real estate owned or in default, where default is defined within the securitisation transaction documents</w:t>
      </w:r>
      <w:r>
        <w:t>.</w:t>
      </w:r>
      <w:bookmarkEnd w:id="89"/>
    </w:p>
    <w:p w14:paraId="1AE18CB7" w14:textId="77777777" w:rsidR="007F46D0" w:rsidRDefault="007F46D0" w:rsidP="007F46D0">
      <w:pPr>
        <w:pStyle w:val="BodyText1"/>
      </w:pPr>
      <w:bookmarkStart w:id="90" w:name="_Ref465331601"/>
      <w:r>
        <w:t>The variable (W) represents the ratio of the sum of the nominal amount of delinquent underlying exposures to the nominal amount of underlying exposures.</w:t>
      </w:r>
      <w:bookmarkEnd w:id="90"/>
    </w:p>
    <w:p w14:paraId="1AE18CB8" w14:textId="77777777" w:rsidR="007F46D0" w:rsidRDefault="007F46D0" w:rsidP="007F46D0">
      <w:pPr>
        <w:pStyle w:val="BodyText1"/>
      </w:pPr>
      <w:r w:rsidRPr="00466989">
        <w:t>The inputs K</w:t>
      </w:r>
      <w:r w:rsidRPr="00466989">
        <w:rPr>
          <w:vertAlign w:val="subscript"/>
        </w:rPr>
        <w:t>SA</w:t>
      </w:r>
      <w:r w:rsidRPr="00466989">
        <w:t xml:space="preserve"> and W are used as inputs to calculate K</w:t>
      </w:r>
      <w:r w:rsidRPr="00466989">
        <w:rPr>
          <w:vertAlign w:val="subscript"/>
        </w:rPr>
        <w:t>A</w:t>
      </w:r>
      <w:r w:rsidRPr="00466989">
        <w:t>, as follows</w:t>
      </w:r>
      <w:r>
        <w:t>:</w:t>
      </w:r>
    </w:p>
    <w:p w14:paraId="1AE18CB9" w14:textId="33BD291C" w:rsidR="007F46D0" w:rsidRPr="00F7374B" w:rsidRDefault="00B440D2" w:rsidP="002F56A0">
      <w:pPr>
        <w:spacing w:after="0"/>
        <w:rPr>
          <w:rFonts w:eastAsiaTheme="minorEastAsia"/>
        </w:rPr>
      </w:pPr>
      <w:r w:rsidRPr="00B440D2">
        <w:rPr>
          <w:noProof/>
        </w:rPr>
        <w:drawing>
          <wp:inline distT="0" distB="0" distL="0" distR="0" wp14:anchorId="5E1832EA" wp14:editId="22FA159B">
            <wp:extent cx="5276850" cy="333375"/>
            <wp:effectExtent l="0" t="0" r="0" b="0"/>
            <wp:docPr id="7" name="Picture 7" descr="Start formula K subscript A equals open bracket 1 minus W close bracket times K subscript SA plus W times 0.5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art formula K subscript A equals open bracket 1 minus W close bracket times K subscript SA plus W times 0.5 end formul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6850" cy="333375"/>
                    </a:xfrm>
                    <a:prstGeom prst="rect">
                      <a:avLst/>
                    </a:prstGeom>
                    <a:noFill/>
                    <a:ln>
                      <a:noFill/>
                    </a:ln>
                  </pic:spPr>
                </pic:pic>
              </a:graphicData>
            </a:graphic>
          </wp:inline>
        </w:drawing>
      </w:r>
    </w:p>
    <w:p w14:paraId="1AE18CBA" w14:textId="7FB860E2" w:rsidR="007F46D0" w:rsidRDefault="00F64D43" w:rsidP="009A3EBC">
      <w:pPr>
        <w:pStyle w:val="BodyText1"/>
      </w:pPr>
      <w:r>
        <w:t xml:space="preserve">In case </w:t>
      </w:r>
      <w:r w:rsidR="009A3EBC">
        <w:t xml:space="preserve">an </w:t>
      </w:r>
      <w:r w:rsidR="009A3EBC" w:rsidRPr="00985924">
        <w:t xml:space="preserve">ADI </w:t>
      </w:r>
      <w:r>
        <w:t>is not aware of</w:t>
      </w:r>
      <w:r w:rsidR="009A3EBC" w:rsidRPr="00985924">
        <w:t xml:space="preserve"> the delinquency status</w:t>
      </w:r>
      <w:r w:rsidR="009A3EBC">
        <w:t xml:space="preserve"> (paragraphs </w:t>
      </w:r>
      <w:r w:rsidR="00C95F07">
        <w:fldChar w:fldCharType="begin"/>
      </w:r>
      <w:r w:rsidR="00C95F07">
        <w:instrText xml:space="preserve"> REF _Ref465331532 \r \h </w:instrText>
      </w:r>
      <w:r w:rsidR="00C95F07">
        <w:fldChar w:fldCharType="separate"/>
      </w:r>
      <w:r w:rsidR="00642B90">
        <w:t>22</w:t>
      </w:r>
      <w:r w:rsidR="00C95F07">
        <w:fldChar w:fldCharType="end"/>
      </w:r>
      <w:r w:rsidR="009A3EBC">
        <w:t xml:space="preserve"> and </w:t>
      </w:r>
      <w:r w:rsidR="00C95F07">
        <w:fldChar w:fldCharType="begin"/>
      </w:r>
      <w:r w:rsidR="00C95F07">
        <w:instrText xml:space="preserve"> REF _Ref465331601 \r \h </w:instrText>
      </w:r>
      <w:r w:rsidR="00C95F07">
        <w:fldChar w:fldCharType="separate"/>
      </w:r>
      <w:r w:rsidR="00642B90">
        <w:t>23</w:t>
      </w:r>
      <w:r w:rsidR="00C95F07">
        <w:fldChar w:fldCharType="end"/>
      </w:r>
      <w:r w:rsidR="009A3EBC">
        <w:t xml:space="preserve"> of this Attachment)</w:t>
      </w:r>
      <w:r w:rsidR="009A3EBC" w:rsidRPr="00985924">
        <w:t xml:space="preserve"> for </w:t>
      </w:r>
      <w:r>
        <w:t xml:space="preserve">no </w:t>
      </w:r>
      <w:r w:rsidR="009A3EBC" w:rsidRPr="00985924">
        <w:t xml:space="preserve">more than </w:t>
      </w:r>
      <w:r w:rsidR="00D94AAD">
        <w:t>five</w:t>
      </w:r>
      <w:r w:rsidR="009A3EBC" w:rsidRPr="00985924">
        <w:t xml:space="preserve"> per cent of underlying exposures in the pool, the ADI may use the </w:t>
      </w:r>
      <w:r w:rsidR="009A3EBC">
        <w:t xml:space="preserve">supervisory formula approach </w:t>
      </w:r>
      <w:r w:rsidR="009A3EBC" w:rsidRPr="00985924">
        <w:t>by adjusting its calculation of K</w:t>
      </w:r>
      <w:r w:rsidR="009A3EBC" w:rsidRPr="00985924">
        <w:rPr>
          <w:vertAlign w:val="subscript"/>
        </w:rPr>
        <w:t>A</w:t>
      </w:r>
      <w:r w:rsidR="009A3EBC" w:rsidRPr="00985924">
        <w:t xml:space="preserve"> as follow</w:t>
      </w:r>
      <w:r w:rsidR="009A3EBC">
        <w:t>s:</w:t>
      </w:r>
    </w:p>
    <w:p w14:paraId="1AE18CBB" w14:textId="0368984B" w:rsidR="009A3EBC" w:rsidRPr="00C01CF1" w:rsidRDefault="00B440D2" w:rsidP="002D7F23">
      <w:pPr>
        <w:ind w:firstLine="426"/>
        <w:rPr>
          <w:rFonts w:eastAsiaTheme="minorEastAsia"/>
          <w:sz w:val="20"/>
          <w:szCs w:val="20"/>
        </w:rPr>
      </w:pPr>
      <w:r w:rsidRPr="00B440D2">
        <w:rPr>
          <w:noProof/>
        </w:rPr>
        <w:drawing>
          <wp:inline distT="0" distB="0" distL="0" distR="0" wp14:anchorId="1CD8A8FE" wp14:editId="5C496391">
            <wp:extent cx="5276850" cy="466725"/>
            <wp:effectExtent l="0" t="0" r="0" b="0"/>
            <wp:docPr id="8" name="Picture 8" descr="A formula to adjust the calculation of K subscript A in the case an ADI is not aware of the delinquency status for no more than 5% of underlying exposures in the pool and the ADI may use the supervisory formula approa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formula to adjust the calculation of K subscript A in the case an ADI is not aware of the delinquency status for no more than 5% of underlying exposures in the pool and the ADI may use the supervisory formula approach. "/>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6850" cy="466725"/>
                    </a:xfrm>
                    <a:prstGeom prst="rect">
                      <a:avLst/>
                    </a:prstGeom>
                    <a:noFill/>
                    <a:ln>
                      <a:noFill/>
                    </a:ln>
                  </pic:spPr>
                </pic:pic>
              </a:graphicData>
            </a:graphic>
          </wp:inline>
        </w:drawing>
      </w:r>
    </w:p>
    <w:p w14:paraId="1AE18CBC" w14:textId="77777777" w:rsidR="009A3EBC" w:rsidRDefault="009A3EBC" w:rsidP="009A3EBC">
      <w:pPr>
        <w:pStyle w:val="BodyText1"/>
        <w:numPr>
          <w:ilvl w:val="0"/>
          <w:numId w:val="0"/>
        </w:numPr>
        <w:ind w:left="567"/>
      </w:pPr>
      <w:r>
        <w:t>where:</w:t>
      </w:r>
    </w:p>
    <w:p w14:paraId="1AE18CBD" w14:textId="77777777" w:rsidR="009A3EBC" w:rsidRPr="007F46D0" w:rsidRDefault="009A3EBC" w:rsidP="009A3EBC">
      <w:pPr>
        <w:pStyle w:val="BodyText1"/>
        <w:numPr>
          <w:ilvl w:val="0"/>
          <w:numId w:val="0"/>
        </w:numPr>
        <w:ind w:left="567"/>
      </w:pPr>
      <w:r>
        <w:rPr>
          <w:rFonts w:eastAsiaTheme="minorEastAsia"/>
        </w:rPr>
        <w:t xml:space="preserve">Exposure </w:t>
      </w:r>
      <w:r w:rsidRPr="00E837E0">
        <w:rPr>
          <w:rFonts w:eastAsiaTheme="minorEastAsia"/>
        </w:rPr>
        <w:t xml:space="preserve">is the exposure </w:t>
      </w:r>
      <w:r>
        <w:rPr>
          <w:rFonts w:eastAsiaTheme="minorEastAsia"/>
        </w:rPr>
        <w:t>amount determined under APS 112</w:t>
      </w:r>
      <w:r w:rsidR="009440FB">
        <w:rPr>
          <w:rFonts w:eastAsiaTheme="minorEastAsia"/>
        </w:rPr>
        <w:t>.</w:t>
      </w:r>
    </w:p>
    <w:p w14:paraId="1AE18CBE" w14:textId="77777777" w:rsidR="00BB71D3" w:rsidRDefault="009A3EBC" w:rsidP="009A3EBC">
      <w:pPr>
        <w:pStyle w:val="BodyText1"/>
      </w:pPr>
      <w:r w:rsidRPr="00EC0A5A">
        <w:t xml:space="preserve">If the ADI </w:t>
      </w:r>
      <w:r>
        <w:t xml:space="preserve">is not aware of </w:t>
      </w:r>
      <w:r w:rsidRPr="00EC0A5A">
        <w:t xml:space="preserve">the delinquency status for more than </w:t>
      </w:r>
      <w:r w:rsidR="00D94AAD">
        <w:t xml:space="preserve">five </w:t>
      </w:r>
      <w:r>
        <w:t>per cent of the underlying pool</w:t>
      </w:r>
      <w:r w:rsidRPr="00EC0A5A">
        <w:t xml:space="preserve">, the securitisation exposure must be </w:t>
      </w:r>
      <w:r>
        <w:t>deducted from Common Equity Tier 1 Capital.</w:t>
      </w:r>
    </w:p>
    <w:p w14:paraId="1AE18CBF" w14:textId="77777777" w:rsidR="009A3EBC" w:rsidRDefault="009A3EBC" w:rsidP="009A3EBC">
      <w:pPr>
        <w:pStyle w:val="Heading3"/>
      </w:pPr>
      <w:r>
        <w:t>Definition of attachment point (A) and detachment point (D)</w:t>
      </w:r>
      <w:r w:rsidRPr="00AE0141">
        <w:rPr>
          <w:rStyle w:val="FootnoteReference"/>
        </w:rPr>
        <w:footnoteReference w:id="45"/>
      </w:r>
    </w:p>
    <w:p w14:paraId="1AE18CC0" w14:textId="77777777" w:rsidR="009A3EBC" w:rsidRDefault="009A3EBC" w:rsidP="009A3EBC">
      <w:pPr>
        <w:pStyle w:val="BodyText1"/>
      </w:pPr>
      <w:bookmarkStart w:id="91" w:name="_Ref465158501"/>
      <w:r w:rsidRPr="007A4005">
        <w:t xml:space="preserve">The attachment point (A) represents the threshold at which losses within the underlying pool would first be allocated to the securitisation exposure. This input, </w:t>
      </w:r>
      <w:r>
        <w:t>expressed in decimal form</w:t>
      </w:r>
      <w:r w:rsidRPr="007A4005">
        <w:t xml:space="preserve">, </w:t>
      </w:r>
      <w:r>
        <w:t>is</w:t>
      </w:r>
      <w:r w:rsidRPr="007A4005">
        <w:t xml:space="preserve"> the greater of</w:t>
      </w:r>
      <w:r>
        <w:t>:</w:t>
      </w:r>
      <w:bookmarkEnd w:id="91"/>
    </w:p>
    <w:p w14:paraId="1AE18CC1" w14:textId="77777777" w:rsidR="009A3EBC" w:rsidRDefault="009A3EBC" w:rsidP="009A3EBC">
      <w:pPr>
        <w:pStyle w:val="BodyText2"/>
      </w:pPr>
      <w:r w:rsidRPr="007A4005">
        <w:t>zero; a</w:t>
      </w:r>
      <w:r>
        <w:t>nd</w:t>
      </w:r>
    </w:p>
    <w:p w14:paraId="1AE18CC2" w14:textId="77777777" w:rsidR="009A3EBC" w:rsidRDefault="009A3EBC" w:rsidP="009A3EBC">
      <w:pPr>
        <w:pStyle w:val="BodyText2"/>
      </w:pPr>
      <w:r w:rsidRPr="007A4005">
        <w:t>the ratio of</w:t>
      </w:r>
      <w:r>
        <w:t xml:space="preserve"> (</w:t>
      </w:r>
      <w:proofErr w:type="spellStart"/>
      <w:r w:rsidRPr="00C515E0">
        <w:t>i</w:t>
      </w:r>
      <w:proofErr w:type="spellEnd"/>
      <w:r w:rsidRPr="00C515E0">
        <w:t xml:space="preserve">) the outstanding balance of all underlying assets in the securitisation </w:t>
      </w:r>
      <w:r>
        <w:t>less</w:t>
      </w:r>
      <w:r w:rsidRPr="00C515E0">
        <w:t xml:space="preserve"> the outstanding balance of all tranches that rank senior or </w:t>
      </w:r>
      <w:proofErr w:type="spellStart"/>
      <w:r w:rsidRPr="00C515E0">
        <w:rPr>
          <w:i/>
        </w:rPr>
        <w:t>pari</w:t>
      </w:r>
      <w:proofErr w:type="spellEnd"/>
      <w:r w:rsidRPr="00C515E0">
        <w:rPr>
          <w:i/>
        </w:rPr>
        <w:t xml:space="preserve"> passu</w:t>
      </w:r>
      <w:r w:rsidRPr="00C515E0">
        <w:t xml:space="preserve"> to the tranche that contains the securitisation exposure of the </w:t>
      </w:r>
      <w:r>
        <w:t>ADI</w:t>
      </w:r>
      <w:r w:rsidRPr="00C515E0">
        <w:t xml:space="preserve"> (including the exposure itself) to (ii) the outstanding balance of all underlying assets in the securitisation</w:t>
      </w:r>
      <w:r>
        <w:t>.</w:t>
      </w:r>
    </w:p>
    <w:p w14:paraId="1AE18CC3" w14:textId="77777777" w:rsidR="009A3EBC" w:rsidRDefault="009A3EBC" w:rsidP="009A3EBC">
      <w:pPr>
        <w:pStyle w:val="BodyText1"/>
      </w:pPr>
      <w:bookmarkStart w:id="92" w:name="_Ref465158753"/>
      <w:r w:rsidRPr="00C515E0">
        <w:t xml:space="preserve">The detachment point (D) represents the threshold at which losses within the underlying pool result in a total loss of principal for the tranche in which a securitisation exposure resides. This input, </w:t>
      </w:r>
      <w:r>
        <w:t>expressed in decimal form, is</w:t>
      </w:r>
      <w:r w:rsidRPr="00C515E0">
        <w:t xml:space="preserve"> the greater</w:t>
      </w:r>
      <w:r>
        <w:t xml:space="preserve"> of:</w:t>
      </w:r>
      <w:bookmarkEnd w:id="92"/>
    </w:p>
    <w:p w14:paraId="1AE18CC4" w14:textId="77777777" w:rsidR="009A3EBC" w:rsidRDefault="009A3EBC" w:rsidP="009A3EBC">
      <w:pPr>
        <w:pStyle w:val="BodyText2"/>
      </w:pPr>
      <w:r>
        <w:t>zero; and</w:t>
      </w:r>
    </w:p>
    <w:p w14:paraId="1AE18CC5" w14:textId="77777777" w:rsidR="009A3EBC" w:rsidRDefault="009A3EBC" w:rsidP="009A3EBC">
      <w:pPr>
        <w:pStyle w:val="BodyText2"/>
      </w:pPr>
      <w:r w:rsidRPr="00C515E0">
        <w:lastRenderedPageBreak/>
        <w:t>the ratio of (</w:t>
      </w:r>
      <w:proofErr w:type="spellStart"/>
      <w:r w:rsidRPr="00C515E0">
        <w:t>i</w:t>
      </w:r>
      <w:proofErr w:type="spellEnd"/>
      <w:r w:rsidRPr="00C515E0">
        <w:t xml:space="preserve">) the outstanding balance of all underlying assets in the securitisation </w:t>
      </w:r>
      <w:r>
        <w:t xml:space="preserve">less </w:t>
      </w:r>
      <w:r w:rsidRPr="00C515E0">
        <w:t xml:space="preserve">the outstanding balance of all tranches that rank senior to the tranche that contains the securitisation exposure of the </w:t>
      </w:r>
      <w:r>
        <w:t>ADI</w:t>
      </w:r>
      <w:r w:rsidRPr="00C515E0">
        <w:t xml:space="preserve"> to (ii) the outstanding balance of all underlying assets in the securitisation</w:t>
      </w:r>
      <w:r w:rsidR="00317EEC">
        <w:t>.</w:t>
      </w:r>
    </w:p>
    <w:p w14:paraId="1AE18CC6" w14:textId="76352DF9" w:rsidR="00317EEC" w:rsidRDefault="00317EEC" w:rsidP="00317EEC">
      <w:pPr>
        <w:pStyle w:val="BodyText1"/>
      </w:pPr>
      <w:r>
        <w:t xml:space="preserve">Subject to paragraph </w:t>
      </w:r>
      <w:r w:rsidR="00F43CC1">
        <w:fldChar w:fldCharType="begin"/>
      </w:r>
      <w:r w:rsidR="00F43CC1">
        <w:instrText xml:space="preserve"> REF _Ref465158753 \r \h </w:instrText>
      </w:r>
      <w:r w:rsidR="00F43CC1">
        <w:fldChar w:fldCharType="separate"/>
      </w:r>
      <w:r w:rsidR="00642B90">
        <w:t>28</w:t>
      </w:r>
      <w:r w:rsidR="00F43CC1">
        <w:fldChar w:fldCharType="end"/>
      </w:r>
      <w:r w:rsidR="00F43CC1">
        <w:t xml:space="preserve"> o</w:t>
      </w:r>
      <w:r>
        <w:t>f this Attachment, f</w:t>
      </w:r>
      <w:r w:rsidRPr="00677352">
        <w:t>or the calculation of A and D</w:t>
      </w:r>
      <w:r>
        <w:t>:</w:t>
      </w:r>
    </w:p>
    <w:p w14:paraId="1AE18CC7" w14:textId="77777777" w:rsidR="00317EEC" w:rsidRDefault="00317EEC" w:rsidP="00317EEC">
      <w:pPr>
        <w:pStyle w:val="BodyText2"/>
      </w:pPr>
      <w:proofErr w:type="spellStart"/>
      <w:r w:rsidRPr="00677352">
        <w:t>overcollateralisation</w:t>
      </w:r>
      <w:proofErr w:type="spellEnd"/>
      <w:r w:rsidRPr="00677352">
        <w:t xml:space="preserve"> and funded reserve accounts must be recognised as tranches;</w:t>
      </w:r>
      <w:r>
        <w:t xml:space="preserve"> and</w:t>
      </w:r>
    </w:p>
    <w:p w14:paraId="1AE18CC8" w14:textId="77777777" w:rsidR="00317EEC" w:rsidRDefault="00317EEC" w:rsidP="00317EEC">
      <w:pPr>
        <w:pStyle w:val="BodyText2"/>
      </w:pPr>
      <w:r w:rsidRPr="00677352">
        <w:t>the assets forming these reserve accounts must be recognised as underlying assets</w:t>
      </w:r>
      <w:r>
        <w:t>.</w:t>
      </w:r>
    </w:p>
    <w:p w14:paraId="1AE18CC9" w14:textId="77777777" w:rsidR="00317EEC" w:rsidRDefault="00317EEC" w:rsidP="00317EEC">
      <w:pPr>
        <w:pStyle w:val="BodyText1"/>
      </w:pPr>
      <w:r w:rsidRPr="00752231">
        <w:t>Unfunded reserve accounts, such as those to be funded from future receipts from the underlying exposures (e.g. unrealised excess spread) and assets that do not provide credit enhancement</w:t>
      </w:r>
      <w:r>
        <w:t>,</w:t>
      </w:r>
      <w:r w:rsidRPr="00752231">
        <w:t xml:space="preserve"> must not be included in the calculation of A and D.</w:t>
      </w:r>
    </w:p>
    <w:p w14:paraId="1AE18CCA" w14:textId="77777777" w:rsidR="00317EEC" w:rsidRDefault="00317EEC" w:rsidP="00317EEC">
      <w:pPr>
        <w:pStyle w:val="BodyText1"/>
      </w:pPr>
      <w:bookmarkStart w:id="93" w:name="_Ref465158515"/>
      <w:r w:rsidRPr="00D50DA4">
        <w:t xml:space="preserve">In the case where an ADI provides </w:t>
      </w:r>
      <w:proofErr w:type="spellStart"/>
      <w:r w:rsidRPr="00D50DA4">
        <w:t>tranched</w:t>
      </w:r>
      <w:proofErr w:type="spellEnd"/>
      <w:r w:rsidRPr="00D50DA4">
        <w:t xml:space="preserve"> credit protection to a securitisation exposure, the parameters A and D must be calculated separately for each of the sub-tranches as if the</w:t>
      </w:r>
      <w:r>
        <w:t>y</w:t>
      </w:r>
      <w:r w:rsidRPr="00D50DA4">
        <w:t xml:space="preserve"> would have been directly issued as separate tranches at the inception of the transaction. The value for K</w:t>
      </w:r>
      <w:r w:rsidRPr="00D50DA4">
        <w:rPr>
          <w:vertAlign w:val="subscript"/>
        </w:rPr>
        <w:t>SA</w:t>
      </w:r>
      <w:r w:rsidRPr="00D50DA4">
        <w:t xml:space="preserve"> is calculated on the underlying pool of exposures of the original transaction. For a sub</w:t>
      </w:r>
      <w:r>
        <w:t>-</w:t>
      </w:r>
      <w:r w:rsidRPr="00D50DA4">
        <w:t xml:space="preserve">tranche of lower-priority, the ADI must treat the exposure as a </w:t>
      </w:r>
      <w:r>
        <w:t>non-senior</w:t>
      </w:r>
      <w:r w:rsidRPr="00D50DA4">
        <w:t xml:space="preserve"> securitisation exposure even if the original securitisation exposure prior to protection is a senior securitisation exposure</w:t>
      </w:r>
      <w:r>
        <w:t>.</w:t>
      </w:r>
      <w:bookmarkEnd w:id="93"/>
    </w:p>
    <w:p w14:paraId="1AE18CCB" w14:textId="77777777" w:rsidR="00317EEC" w:rsidRDefault="00317EEC" w:rsidP="00317EEC">
      <w:pPr>
        <w:pStyle w:val="Heading3"/>
      </w:pPr>
      <w:r>
        <w:t>Capital requirements as calculated under the Supervisory Formula Approach</w:t>
      </w:r>
    </w:p>
    <w:p w14:paraId="1AE18CCC" w14:textId="77777777" w:rsidR="00317EEC" w:rsidRDefault="00317EEC" w:rsidP="00317EEC">
      <w:pPr>
        <w:pStyle w:val="BodyText1"/>
      </w:pPr>
      <w:r>
        <w:t>The capital charge under the supervisory formula is calculated as follows:</w:t>
      </w:r>
    </w:p>
    <w:p w14:paraId="1AE18CCD" w14:textId="32909911" w:rsidR="00317EEC" w:rsidRPr="00CE4C4A" w:rsidRDefault="00DF1C2F" w:rsidP="00317EEC">
      <w:pPr>
        <w:rPr>
          <w:rFonts w:eastAsiaTheme="minorEastAsia"/>
        </w:rPr>
      </w:pPr>
      <w:r w:rsidRPr="00DF1C2F">
        <w:rPr>
          <w:noProof/>
        </w:rPr>
        <w:drawing>
          <wp:inline distT="0" distB="0" distL="0" distR="0" wp14:anchorId="60DC118F" wp14:editId="7FE7B3D9">
            <wp:extent cx="5276850" cy="542925"/>
            <wp:effectExtent l="0" t="0" r="0" b="0"/>
            <wp:docPr id="9" name="Picture 9" descr="Start formula K subscript SSFA open bracket K subscript A close bracket equals start fraction open bracket e superscript a times u, minus e superscript a times l close bracket over a times open bracket u minus l close bracket end fraction end formu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art formula K subscript SSFA open bracket K subscript A close bracket equals start fraction open bracket e superscript a times u, minus e superscript a times l close bracket over a times open bracket u minus l close bracket end fraction end formula. "/>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6850" cy="542925"/>
                    </a:xfrm>
                    <a:prstGeom prst="rect">
                      <a:avLst/>
                    </a:prstGeom>
                    <a:noFill/>
                    <a:ln>
                      <a:noFill/>
                    </a:ln>
                  </pic:spPr>
                </pic:pic>
              </a:graphicData>
            </a:graphic>
          </wp:inline>
        </w:drawing>
      </w:r>
    </w:p>
    <w:p w14:paraId="1AE18CCE" w14:textId="77777777" w:rsidR="00317EEC" w:rsidRDefault="00317EEC" w:rsidP="00317EEC">
      <w:pPr>
        <w:pStyle w:val="BodyText1"/>
        <w:numPr>
          <w:ilvl w:val="0"/>
          <w:numId w:val="0"/>
        </w:numPr>
        <w:ind w:left="567"/>
      </w:pPr>
      <w:r>
        <w:t>where:</w:t>
      </w:r>
    </w:p>
    <w:p w14:paraId="1AE18CCF" w14:textId="77777777" w:rsidR="00317EEC" w:rsidRDefault="00317EEC" w:rsidP="00317EEC">
      <w:pPr>
        <w:pStyle w:val="BodyText1"/>
        <w:numPr>
          <w:ilvl w:val="0"/>
          <w:numId w:val="0"/>
        </w:numPr>
        <w:ind w:left="567"/>
      </w:pPr>
      <w:r w:rsidRPr="0096675B">
        <w:t>K</w:t>
      </w:r>
      <w:r w:rsidRPr="0096675B">
        <w:rPr>
          <w:vertAlign w:val="subscript"/>
        </w:rPr>
        <w:t>SSFA(KA)</w:t>
      </w:r>
      <w:r w:rsidRPr="00C731A7">
        <w:t xml:space="preserve"> is the capital requirement per unit of the securitisation exposure</w:t>
      </w:r>
      <w:r>
        <w:t xml:space="preserve">, </w:t>
      </w:r>
      <w:r w:rsidRPr="004456B5">
        <w:rPr>
          <w:i/>
        </w:rPr>
        <w:t>e</w:t>
      </w:r>
      <w:r>
        <w:t xml:space="preserve"> is the base of the natural logarithm</w:t>
      </w:r>
      <w:r w:rsidRPr="00C731A7">
        <w:t xml:space="preserve"> and the variables </w:t>
      </w:r>
      <w:r w:rsidRPr="004456B5">
        <w:rPr>
          <w:i/>
        </w:rPr>
        <w:t>a</w:t>
      </w:r>
      <w:r w:rsidRPr="00C731A7">
        <w:t xml:space="preserve">, </w:t>
      </w:r>
      <w:r w:rsidRPr="004456B5">
        <w:rPr>
          <w:i/>
        </w:rPr>
        <w:t>u</w:t>
      </w:r>
      <w:r w:rsidRPr="00C731A7">
        <w:t>,</w:t>
      </w:r>
      <w:r>
        <w:t xml:space="preserve"> </w:t>
      </w:r>
      <w:r w:rsidRPr="00C731A7">
        <w:t xml:space="preserve">and </w:t>
      </w:r>
      <w:r w:rsidRPr="004456B5">
        <w:rPr>
          <w:i/>
        </w:rPr>
        <w:t>l</w:t>
      </w:r>
      <w:r w:rsidRPr="00C731A7">
        <w:t xml:space="preserve"> are defined as follows</w:t>
      </w:r>
      <w:r>
        <w:t>:</w:t>
      </w:r>
    </w:p>
    <w:p w14:paraId="1AE18CD0" w14:textId="2AFE1902" w:rsidR="00317EEC" w:rsidRPr="009440FB" w:rsidRDefault="005A3624" w:rsidP="002F56A0">
      <w:pPr>
        <w:ind w:left="1134" w:hanging="1134"/>
        <w:contextualSpacing/>
      </w:pPr>
      <w:r w:rsidRPr="005A3624">
        <w:rPr>
          <w:noProof/>
        </w:rPr>
        <w:drawing>
          <wp:inline distT="0" distB="0" distL="0" distR="0" wp14:anchorId="3CFDD53F" wp14:editId="077C9282">
            <wp:extent cx="5372100" cy="523875"/>
            <wp:effectExtent l="0" t="0" r="0" b="0"/>
            <wp:docPr id="10" name="Picture 10" descr="Start formula a equals start fraction minus 1 over 1 times K subscript A end fraction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rt formula a equals start fraction minus 1 over 1 times K subscript A end fraction end formul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72100" cy="523875"/>
                    </a:xfrm>
                    <a:prstGeom prst="rect">
                      <a:avLst/>
                    </a:prstGeom>
                    <a:noFill/>
                    <a:ln>
                      <a:noFill/>
                    </a:ln>
                  </pic:spPr>
                </pic:pic>
              </a:graphicData>
            </a:graphic>
          </wp:inline>
        </w:drawing>
      </w:r>
    </w:p>
    <w:p w14:paraId="1AE18CD1" w14:textId="77777777" w:rsidR="009440FB" w:rsidRPr="00317EEC" w:rsidRDefault="009440FB" w:rsidP="00317EEC">
      <w:pPr>
        <w:ind w:left="1134"/>
        <w:contextualSpacing/>
        <w:jc w:val="both"/>
      </w:pPr>
    </w:p>
    <w:p w14:paraId="1AE18CD2" w14:textId="4459D7FB" w:rsidR="00317EEC" w:rsidRPr="00317EEC" w:rsidRDefault="005A3624" w:rsidP="005A3624">
      <w:pPr>
        <w:ind w:left="284" w:hanging="284"/>
        <w:rPr>
          <w:rFonts w:eastAsia="Times New Roman"/>
        </w:rPr>
      </w:pPr>
      <w:r w:rsidRPr="005A3624">
        <w:rPr>
          <w:noProof/>
        </w:rPr>
        <w:drawing>
          <wp:inline distT="0" distB="0" distL="0" distR="0" wp14:anchorId="3CCF8517" wp14:editId="39154021">
            <wp:extent cx="5410200" cy="333375"/>
            <wp:effectExtent l="0" t="0" r="0" b="0"/>
            <wp:docPr id="11" name="Picture 11" descr="Start formula u equals D minus K subscript A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art formula u equals D minus K subscript A end formul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10200" cy="333375"/>
                    </a:xfrm>
                    <a:prstGeom prst="rect">
                      <a:avLst/>
                    </a:prstGeom>
                    <a:noFill/>
                    <a:ln>
                      <a:noFill/>
                    </a:ln>
                  </pic:spPr>
                </pic:pic>
              </a:graphicData>
            </a:graphic>
          </wp:inline>
        </w:drawing>
      </w:r>
    </w:p>
    <w:p w14:paraId="1AE18CD4" w14:textId="52FDA517" w:rsidR="00317EEC" w:rsidRPr="00317EEC" w:rsidRDefault="005A3624" w:rsidP="005A3624">
      <w:pPr>
        <w:ind w:left="720" w:hanging="720"/>
        <w:contextualSpacing/>
        <w:jc w:val="both"/>
      </w:pPr>
      <w:r w:rsidRPr="005A3624">
        <w:rPr>
          <w:noProof/>
        </w:rPr>
        <w:drawing>
          <wp:inline distT="0" distB="0" distL="0" distR="0" wp14:anchorId="11D50624" wp14:editId="65C261FF">
            <wp:extent cx="5334000" cy="333375"/>
            <wp:effectExtent l="0" t="0" r="0" b="0"/>
            <wp:docPr id="12" name="Picture 12" descr="Start formula l equals maximum of open square bracket open round bracket A minus K subscript A close round bracket, 0 close square bracket e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rt formula l equals maximum of open square bracket open round bracket A minus K subscript A close round bracket, 0 close square bracket end formul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34000" cy="333375"/>
                    </a:xfrm>
                    <a:prstGeom prst="rect">
                      <a:avLst/>
                    </a:prstGeom>
                    <a:noFill/>
                    <a:ln>
                      <a:noFill/>
                    </a:ln>
                  </pic:spPr>
                </pic:pic>
              </a:graphicData>
            </a:graphic>
          </wp:inline>
        </w:drawing>
      </w:r>
    </w:p>
    <w:p w14:paraId="1AE18CD5" w14:textId="77777777" w:rsidR="00317EEC" w:rsidRDefault="00317EEC" w:rsidP="00317EEC">
      <w:pPr>
        <w:pStyle w:val="BodyText1"/>
      </w:pPr>
      <w:r w:rsidRPr="00C731A7">
        <w:t xml:space="preserve">The </w:t>
      </w:r>
      <w:r>
        <w:t xml:space="preserve">regulatory capital requirement or </w:t>
      </w:r>
      <w:r w:rsidRPr="00C731A7">
        <w:t xml:space="preserve">risk weight assigned to a securitisation exposure is </w:t>
      </w:r>
      <w:r>
        <w:t>c</w:t>
      </w:r>
      <w:r w:rsidRPr="00C731A7">
        <w:t>alculated as follow</w:t>
      </w:r>
      <w:r>
        <w:t>s</w:t>
      </w:r>
      <w:r w:rsidR="00A4224E">
        <w:t>:</w:t>
      </w:r>
    </w:p>
    <w:p w14:paraId="1AE18CD6" w14:textId="77777777" w:rsidR="00317EEC" w:rsidRDefault="00317EEC" w:rsidP="00317EEC">
      <w:pPr>
        <w:pStyle w:val="BodyText2"/>
      </w:pPr>
      <w:r>
        <w:t>w</w:t>
      </w:r>
      <w:r w:rsidRPr="00C731A7">
        <w:t>hen D for a securitisation exposure is less than or equal to K</w:t>
      </w:r>
      <w:r w:rsidRPr="00C731A7">
        <w:rPr>
          <w:vertAlign w:val="subscript"/>
        </w:rPr>
        <w:t>A</w:t>
      </w:r>
      <w:r w:rsidRPr="00C731A7">
        <w:t>, the exposure must be</w:t>
      </w:r>
      <w:r>
        <w:t xml:space="preserve"> deducted from Common Equity Tier 1 Capital;</w:t>
      </w:r>
    </w:p>
    <w:p w14:paraId="1AE18CD7" w14:textId="77777777" w:rsidR="00317EEC" w:rsidRDefault="00317EEC" w:rsidP="00317EEC">
      <w:pPr>
        <w:pStyle w:val="BodyText2"/>
      </w:pPr>
      <w:r>
        <w:lastRenderedPageBreak/>
        <w:t>w</w:t>
      </w:r>
      <w:r w:rsidRPr="00C731A7">
        <w:t>hen A for a securitisation exposure is greater than or equal to K</w:t>
      </w:r>
      <w:r w:rsidRPr="00C731A7">
        <w:rPr>
          <w:vertAlign w:val="subscript"/>
        </w:rPr>
        <w:t>A</w:t>
      </w:r>
      <w:r w:rsidRPr="00C731A7">
        <w:t>, the risk weight of the</w:t>
      </w:r>
      <w:r>
        <w:t xml:space="preserve"> </w:t>
      </w:r>
      <w:r w:rsidRPr="0059238C">
        <w:t>exposure, expressed as a percentage, equal</w:t>
      </w:r>
      <w:r>
        <w:t xml:space="preserve">s </w:t>
      </w:r>
      <w:r w:rsidRPr="0059238C">
        <w:t>K</w:t>
      </w:r>
      <w:r w:rsidRPr="0059238C">
        <w:rPr>
          <w:vertAlign w:val="subscript"/>
        </w:rPr>
        <w:t>SSFA</w:t>
      </w:r>
      <w:r w:rsidRPr="002C46E3">
        <w:rPr>
          <w:vertAlign w:val="subscript"/>
        </w:rPr>
        <w:t>(KA)</w:t>
      </w:r>
      <w:r w:rsidRPr="0059238C">
        <w:t xml:space="preserve"> </w:t>
      </w:r>
      <w:r>
        <w:t>multiplied by</w:t>
      </w:r>
      <w:r w:rsidRPr="0059238C">
        <w:t xml:space="preserve"> 12.5</w:t>
      </w:r>
      <w:r>
        <w:t>; and</w:t>
      </w:r>
    </w:p>
    <w:p w14:paraId="1AE18CD8" w14:textId="77777777" w:rsidR="00317EEC" w:rsidRDefault="00317EEC" w:rsidP="00317EEC">
      <w:pPr>
        <w:pStyle w:val="BodyText2"/>
      </w:pPr>
      <w:r>
        <w:t>w</w:t>
      </w:r>
      <w:r w:rsidRPr="00D96904">
        <w:t>hen A is less than K</w:t>
      </w:r>
      <w:r w:rsidRPr="00D96904">
        <w:rPr>
          <w:vertAlign w:val="subscript"/>
        </w:rPr>
        <w:t>A</w:t>
      </w:r>
      <w:r w:rsidRPr="00D96904">
        <w:t xml:space="preserve"> and D is greater than K</w:t>
      </w:r>
      <w:r w:rsidRPr="00D96904">
        <w:rPr>
          <w:vertAlign w:val="subscript"/>
        </w:rPr>
        <w:t>A</w:t>
      </w:r>
      <w:r w:rsidRPr="00D96904">
        <w:t xml:space="preserve">, the applicable risk weight is </w:t>
      </w:r>
      <w:r>
        <w:t>calculated</w:t>
      </w:r>
      <w:r w:rsidRPr="00D96904">
        <w:t xml:space="preserve"> according to the following formula</w:t>
      </w:r>
      <w:r>
        <w:t>:</w:t>
      </w:r>
    </w:p>
    <w:p w14:paraId="1AE18CDA" w14:textId="0531617B" w:rsidR="00317EEC" w:rsidRDefault="008207CD" w:rsidP="00317EEC">
      <w:pPr>
        <w:jc w:val="both"/>
        <w:rPr>
          <w:noProof/>
        </w:rPr>
      </w:pPr>
      <w:r w:rsidRPr="008207CD">
        <w:rPr>
          <w:noProof/>
        </w:rPr>
        <w:drawing>
          <wp:inline distT="0" distB="0" distL="0" distR="0" wp14:anchorId="00C1CCB7" wp14:editId="20F18109">
            <wp:extent cx="5276850" cy="495300"/>
            <wp:effectExtent l="0" t="0" r="0" b="0"/>
            <wp:docPr id="13" name="Picture 13" descr="A formula to calculate the applicable risk weight when A is less than K subscript A and D is greater than K subscrip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formula to calculate the applicable risk weight when A is less than K subscript A and D is greater than K subscript 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6850" cy="495300"/>
                    </a:xfrm>
                    <a:prstGeom prst="rect">
                      <a:avLst/>
                    </a:prstGeom>
                    <a:noFill/>
                    <a:ln>
                      <a:noFill/>
                    </a:ln>
                  </pic:spPr>
                </pic:pic>
              </a:graphicData>
            </a:graphic>
          </wp:inline>
        </w:drawing>
      </w:r>
      <m:oMath>
        <m:r>
          <m:rPr>
            <m:sty m:val="p"/>
          </m:rPr>
          <w:rPr>
            <w:rFonts w:ascii="Cambria Math" w:eastAsiaTheme="minorEastAsia" w:hAnsi="Cambria Math"/>
          </w:rPr>
          <w:br/>
        </m:r>
      </m:oMath>
    </w:p>
    <w:p w14:paraId="1AE18CDB" w14:textId="77777777" w:rsidR="00317EEC" w:rsidRDefault="00317EEC" w:rsidP="00317EEC">
      <w:pPr>
        <w:pStyle w:val="BodyText1"/>
      </w:pPr>
      <w:bookmarkStart w:id="94" w:name="_Ref465158108"/>
      <w:r>
        <w:t>The resulting risk weight is subject to a risk weight floor of 15 per cent.</w:t>
      </w:r>
      <w:bookmarkEnd w:id="94"/>
    </w:p>
    <w:p w14:paraId="1AE18CDC" w14:textId="77777777" w:rsidR="00317EEC" w:rsidRDefault="00F004D0" w:rsidP="00C031E4">
      <w:pPr>
        <w:pStyle w:val="Attachmentsub-heading"/>
      </w:pPr>
      <w:r>
        <w:t>APRA’s discretion where capital requirement is uncertain</w:t>
      </w:r>
    </w:p>
    <w:p w14:paraId="1AE18CDD" w14:textId="77777777" w:rsidR="00F004D0" w:rsidRDefault="00F004D0" w:rsidP="00F004D0">
      <w:pPr>
        <w:pStyle w:val="BodyText1"/>
      </w:pPr>
      <w:r w:rsidRPr="00482A86">
        <w:t xml:space="preserve">If the nature of a particular securitisation exposure is such that it is uncertain whether or how much regulatory capital is to be held in relation to </w:t>
      </w:r>
      <w:r>
        <w:t>the exposure</w:t>
      </w:r>
      <w:r w:rsidRPr="00482A86">
        <w:t xml:space="preserve"> under this Attachment, APRA may</w:t>
      </w:r>
      <w:r>
        <w:t xml:space="preserve"> </w:t>
      </w:r>
      <w:r w:rsidRPr="00482A86">
        <w:t>agree the amount of regulatory capital, or a method for calculating it, having regard to the nature of the exposure and the general approach taken to similar exposures under this Prudential Standard</w:t>
      </w:r>
      <w:r>
        <w:t>.</w:t>
      </w:r>
    </w:p>
    <w:p w14:paraId="1AE18CDE" w14:textId="77777777" w:rsidR="00F004D0" w:rsidRDefault="00F004D0" w:rsidP="00C031E4">
      <w:pPr>
        <w:pStyle w:val="Attachmentsub-heading"/>
      </w:pPr>
      <w:r>
        <w:t>Mapping of rating grades for Standard and Poor’s, Moody’s and Fitch</w:t>
      </w:r>
    </w:p>
    <w:p w14:paraId="1AE18CDF" w14:textId="77777777" w:rsidR="00F004D0" w:rsidRDefault="00F004D0" w:rsidP="00F004D0">
      <w:pPr>
        <w:pStyle w:val="BodyText1"/>
      </w:pPr>
      <w:r>
        <w:t>For the purposes of Table 1 of this Attachment, where the ECAI is Standard and Poor’s, Moody’s or Fitch, the ratings are to be mapped to the relevant credit rating grades as shown in Table 3 below.</w:t>
      </w:r>
    </w:p>
    <w:p w14:paraId="1AE18CE0" w14:textId="77777777" w:rsidR="00F004D0" w:rsidRDefault="00F004D0" w:rsidP="00F004D0">
      <w:pPr>
        <w:pStyle w:val="BodyText1"/>
        <w:numPr>
          <w:ilvl w:val="0"/>
          <w:numId w:val="0"/>
        </w:numPr>
        <w:ind w:left="567"/>
      </w:pPr>
      <w:r w:rsidRPr="002B7D41">
        <w:t xml:space="preserve">Table </w:t>
      </w:r>
      <w:r>
        <w:t>3</w:t>
      </w:r>
      <w:r w:rsidRPr="002B7D41">
        <w:t>: Recognised short-term ratings and equivalent credit rating grades</w:t>
      </w:r>
    </w:p>
    <w:tbl>
      <w:tblPr>
        <w:tblStyle w:val="TableGrid"/>
        <w:tblW w:w="0" w:type="auto"/>
        <w:tblInd w:w="675" w:type="dxa"/>
        <w:tblLook w:val="04A0" w:firstRow="1" w:lastRow="0" w:firstColumn="1" w:lastColumn="0" w:noHBand="0" w:noVBand="1"/>
      </w:tblPr>
      <w:tblGrid>
        <w:gridCol w:w="1907"/>
        <w:gridCol w:w="1933"/>
        <w:gridCol w:w="1918"/>
        <w:gridCol w:w="1869"/>
      </w:tblGrid>
      <w:tr w:rsidR="00F004D0" w14:paraId="1AE18CE5" w14:textId="77777777" w:rsidTr="00F004D0">
        <w:tc>
          <w:tcPr>
            <w:tcW w:w="1907" w:type="dxa"/>
          </w:tcPr>
          <w:p w14:paraId="1AE18CE1" w14:textId="77777777" w:rsidR="00F004D0" w:rsidRPr="00C53DCE" w:rsidRDefault="00F004D0" w:rsidP="006C0302">
            <w:pPr>
              <w:pStyle w:val="ListParagraph"/>
              <w:keepNext/>
              <w:ind w:left="0"/>
              <w:jc w:val="center"/>
              <w:rPr>
                <w:b/>
              </w:rPr>
            </w:pPr>
            <w:r w:rsidRPr="00C53DCE">
              <w:rPr>
                <w:b/>
              </w:rPr>
              <w:t>Credit rating grade</w:t>
            </w:r>
          </w:p>
        </w:tc>
        <w:tc>
          <w:tcPr>
            <w:tcW w:w="1933" w:type="dxa"/>
          </w:tcPr>
          <w:p w14:paraId="1AE18CE2" w14:textId="77777777" w:rsidR="00F004D0" w:rsidRPr="00C53DCE" w:rsidRDefault="00F004D0" w:rsidP="006C0302">
            <w:pPr>
              <w:pStyle w:val="ListParagraph"/>
              <w:keepNext/>
              <w:ind w:left="0"/>
              <w:jc w:val="center"/>
              <w:rPr>
                <w:b/>
              </w:rPr>
            </w:pPr>
            <w:r w:rsidRPr="00C53DCE">
              <w:rPr>
                <w:b/>
              </w:rPr>
              <w:t>Standard and Poor’s</w:t>
            </w:r>
          </w:p>
        </w:tc>
        <w:tc>
          <w:tcPr>
            <w:tcW w:w="1918" w:type="dxa"/>
          </w:tcPr>
          <w:p w14:paraId="1AE18CE3" w14:textId="77777777" w:rsidR="00F004D0" w:rsidRPr="00C53DCE" w:rsidRDefault="00F004D0" w:rsidP="006C0302">
            <w:pPr>
              <w:pStyle w:val="ListParagraph"/>
              <w:keepNext/>
              <w:ind w:left="0"/>
              <w:jc w:val="center"/>
              <w:rPr>
                <w:b/>
              </w:rPr>
            </w:pPr>
            <w:r w:rsidRPr="00C53DCE">
              <w:rPr>
                <w:b/>
              </w:rPr>
              <w:t>Moody’s</w:t>
            </w:r>
          </w:p>
        </w:tc>
        <w:tc>
          <w:tcPr>
            <w:tcW w:w="1869" w:type="dxa"/>
          </w:tcPr>
          <w:p w14:paraId="1AE18CE4" w14:textId="77777777" w:rsidR="00F004D0" w:rsidRPr="00C53DCE" w:rsidRDefault="00F004D0" w:rsidP="006C0302">
            <w:pPr>
              <w:pStyle w:val="ListParagraph"/>
              <w:keepNext/>
              <w:ind w:left="0"/>
              <w:jc w:val="center"/>
              <w:rPr>
                <w:b/>
              </w:rPr>
            </w:pPr>
            <w:r w:rsidRPr="00C53DCE">
              <w:rPr>
                <w:b/>
              </w:rPr>
              <w:t>Fitch</w:t>
            </w:r>
          </w:p>
        </w:tc>
      </w:tr>
      <w:tr w:rsidR="00F004D0" w14:paraId="1AE18CEA" w14:textId="77777777" w:rsidTr="00F004D0">
        <w:tc>
          <w:tcPr>
            <w:tcW w:w="1907" w:type="dxa"/>
          </w:tcPr>
          <w:p w14:paraId="1AE18CE6" w14:textId="77777777" w:rsidR="00F004D0" w:rsidRPr="00C53DCE" w:rsidRDefault="00F004D0" w:rsidP="006C0302">
            <w:pPr>
              <w:pStyle w:val="ListParagraph"/>
              <w:keepNext/>
              <w:ind w:left="0"/>
              <w:jc w:val="center"/>
              <w:rPr>
                <w:b/>
              </w:rPr>
            </w:pPr>
            <w:r w:rsidRPr="00C53DCE">
              <w:rPr>
                <w:b/>
              </w:rPr>
              <w:t>1</w:t>
            </w:r>
          </w:p>
        </w:tc>
        <w:tc>
          <w:tcPr>
            <w:tcW w:w="1933" w:type="dxa"/>
          </w:tcPr>
          <w:p w14:paraId="1AE18CE7" w14:textId="77777777" w:rsidR="00F004D0" w:rsidRPr="00992979" w:rsidRDefault="00F004D0" w:rsidP="006C0302">
            <w:pPr>
              <w:pStyle w:val="ListParagraph"/>
              <w:keepNext/>
              <w:ind w:left="0"/>
              <w:jc w:val="center"/>
            </w:pPr>
            <w:r w:rsidRPr="00992979">
              <w:t>A1</w:t>
            </w:r>
          </w:p>
        </w:tc>
        <w:tc>
          <w:tcPr>
            <w:tcW w:w="1918" w:type="dxa"/>
          </w:tcPr>
          <w:p w14:paraId="1AE18CE8" w14:textId="77777777" w:rsidR="00F004D0" w:rsidRPr="00992979" w:rsidRDefault="00F004D0" w:rsidP="006C0302">
            <w:pPr>
              <w:pStyle w:val="ListParagraph"/>
              <w:keepNext/>
              <w:ind w:left="0"/>
              <w:jc w:val="center"/>
            </w:pPr>
            <w:r w:rsidRPr="00992979">
              <w:t>P1</w:t>
            </w:r>
          </w:p>
        </w:tc>
        <w:tc>
          <w:tcPr>
            <w:tcW w:w="1869" w:type="dxa"/>
          </w:tcPr>
          <w:p w14:paraId="1AE18CE9" w14:textId="77777777" w:rsidR="00F004D0" w:rsidRPr="00992979" w:rsidRDefault="00F004D0" w:rsidP="006C0302">
            <w:pPr>
              <w:pStyle w:val="ListParagraph"/>
              <w:keepNext/>
              <w:ind w:left="0"/>
              <w:jc w:val="center"/>
            </w:pPr>
            <w:r>
              <w:t>F1</w:t>
            </w:r>
          </w:p>
        </w:tc>
      </w:tr>
      <w:tr w:rsidR="00F004D0" w14:paraId="1AE18CEF" w14:textId="77777777" w:rsidTr="00F004D0">
        <w:tc>
          <w:tcPr>
            <w:tcW w:w="1907" w:type="dxa"/>
          </w:tcPr>
          <w:p w14:paraId="1AE18CEB" w14:textId="77777777" w:rsidR="00F004D0" w:rsidRPr="00C53DCE" w:rsidRDefault="00F004D0" w:rsidP="006C0302">
            <w:pPr>
              <w:pStyle w:val="ListParagraph"/>
              <w:keepNext/>
              <w:ind w:left="0"/>
              <w:jc w:val="center"/>
              <w:rPr>
                <w:b/>
              </w:rPr>
            </w:pPr>
            <w:r w:rsidRPr="00C53DCE">
              <w:rPr>
                <w:b/>
              </w:rPr>
              <w:t>2</w:t>
            </w:r>
          </w:p>
        </w:tc>
        <w:tc>
          <w:tcPr>
            <w:tcW w:w="1933" w:type="dxa"/>
          </w:tcPr>
          <w:p w14:paraId="1AE18CEC" w14:textId="77777777" w:rsidR="00F004D0" w:rsidRPr="00992979" w:rsidRDefault="00F004D0" w:rsidP="006C0302">
            <w:pPr>
              <w:pStyle w:val="ListParagraph"/>
              <w:keepNext/>
              <w:ind w:left="0"/>
              <w:jc w:val="center"/>
            </w:pPr>
            <w:r w:rsidRPr="00992979">
              <w:t>A2</w:t>
            </w:r>
          </w:p>
        </w:tc>
        <w:tc>
          <w:tcPr>
            <w:tcW w:w="1918" w:type="dxa"/>
          </w:tcPr>
          <w:p w14:paraId="1AE18CED" w14:textId="77777777" w:rsidR="00F004D0" w:rsidRPr="00992979" w:rsidRDefault="00F004D0" w:rsidP="006C0302">
            <w:pPr>
              <w:pStyle w:val="ListParagraph"/>
              <w:keepNext/>
              <w:ind w:left="0"/>
              <w:jc w:val="center"/>
            </w:pPr>
            <w:r w:rsidRPr="00992979">
              <w:t>P2</w:t>
            </w:r>
          </w:p>
        </w:tc>
        <w:tc>
          <w:tcPr>
            <w:tcW w:w="1869" w:type="dxa"/>
          </w:tcPr>
          <w:p w14:paraId="1AE18CEE" w14:textId="77777777" w:rsidR="00F004D0" w:rsidRPr="00992979" w:rsidRDefault="00F004D0" w:rsidP="006C0302">
            <w:pPr>
              <w:pStyle w:val="ListParagraph"/>
              <w:keepNext/>
              <w:ind w:left="0"/>
              <w:jc w:val="center"/>
            </w:pPr>
            <w:r>
              <w:t>F2</w:t>
            </w:r>
          </w:p>
        </w:tc>
      </w:tr>
      <w:tr w:rsidR="00F004D0" w14:paraId="1AE18CF4" w14:textId="77777777" w:rsidTr="00F004D0">
        <w:tc>
          <w:tcPr>
            <w:tcW w:w="1907" w:type="dxa"/>
          </w:tcPr>
          <w:p w14:paraId="1AE18CF0" w14:textId="77777777" w:rsidR="00F004D0" w:rsidRPr="00C53DCE" w:rsidRDefault="00F004D0" w:rsidP="006C0302">
            <w:pPr>
              <w:pStyle w:val="ListParagraph"/>
              <w:keepNext/>
              <w:ind w:left="0"/>
              <w:jc w:val="center"/>
              <w:rPr>
                <w:b/>
              </w:rPr>
            </w:pPr>
            <w:r w:rsidRPr="00C53DCE">
              <w:rPr>
                <w:b/>
              </w:rPr>
              <w:t>3</w:t>
            </w:r>
          </w:p>
        </w:tc>
        <w:tc>
          <w:tcPr>
            <w:tcW w:w="1933" w:type="dxa"/>
          </w:tcPr>
          <w:p w14:paraId="1AE18CF1" w14:textId="77777777" w:rsidR="00F004D0" w:rsidRPr="00992979" w:rsidRDefault="00F004D0" w:rsidP="006C0302">
            <w:pPr>
              <w:pStyle w:val="ListParagraph"/>
              <w:keepNext/>
              <w:ind w:left="0"/>
              <w:jc w:val="center"/>
            </w:pPr>
            <w:r w:rsidRPr="00992979">
              <w:t>A3</w:t>
            </w:r>
          </w:p>
        </w:tc>
        <w:tc>
          <w:tcPr>
            <w:tcW w:w="1918" w:type="dxa"/>
          </w:tcPr>
          <w:p w14:paraId="1AE18CF2" w14:textId="77777777" w:rsidR="00F004D0" w:rsidRPr="00992979" w:rsidRDefault="00F004D0" w:rsidP="006C0302">
            <w:pPr>
              <w:pStyle w:val="ListParagraph"/>
              <w:keepNext/>
              <w:ind w:left="0"/>
              <w:jc w:val="center"/>
            </w:pPr>
            <w:r w:rsidRPr="00992979">
              <w:t>P3</w:t>
            </w:r>
          </w:p>
        </w:tc>
        <w:tc>
          <w:tcPr>
            <w:tcW w:w="1869" w:type="dxa"/>
          </w:tcPr>
          <w:p w14:paraId="1AE18CF3" w14:textId="77777777" w:rsidR="00F004D0" w:rsidRPr="00992979" w:rsidRDefault="00F004D0" w:rsidP="006C0302">
            <w:pPr>
              <w:pStyle w:val="ListParagraph"/>
              <w:keepNext/>
              <w:ind w:left="0"/>
              <w:jc w:val="center"/>
            </w:pPr>
            <w:r>
              <w:t>F3</w:t>
            </w:r>
          </w:p>
        </w:tc>
      </w:tr>
      <w:tr w:rsidR="00F004D0" w14:paraId="1AE18CF9" w14:textId="77777777" w:rsidTr="00F004D0">
        <w:tc>
          <w:tcPr>
            <w:tcW w:w="1907" w:type="dxa"/>
          </w:tcPr>
          <w:p w14:paraId="1AE18CF5" w14:textId="77777777" w:rsidR="00F004D0" w:rsidRPr="00C53DCE" w:rsidRDefault="00F004D0" w:rsidP="006C0302">
            <w:pPr>
              <w:pStyle w:val="ListParagraph"/>
              <w:keepNext/>
              <w:ind w:left="0"/>
              <w:jc w:val="center"/>
              <w:rPr>
                <w:b/>
              </w:rPr>
            </w:pPr>
            <w:r w:rsidRPr="00C53DCE">
              <w:rPr>
                <w:b/>
              </w:rPr>
              <w:t>4</w:t>
            </w:r>
          </w:p>
        </w:tc>
        <w:tc>
          <w:tcPr>
            <w:tcW w:w="1933" w:type="dxa"/>
          </w:tcPr>
          <w:p w14:paraId="1AE18CF6" w14:textId="77777777" w:rsidR="00F004D0" w:rsidRPr="00992979" w:rsidRDefault="00F004D0" w:rsidP="006C0302">
            <w:pPr>
              <w:pStyle w:val="ListParagraph"/>
              <w:keepNext/>
              <w:ind w:left="0"/>
              <w:jc w:val="center"/>
            </w:pPr>
            <w:r w:rsidRPr="00992979">
              <w:t>All other ratings</w:t>
            </w:r>
          </w:p>
        </w:tc>
        <w:tc>
          <w:tcPr>
            <w:tcW w:w="1918" w:type="dxa"/>
          </w:tcPr>
          <w:p w14:paraId="1AE18CF7" w14:textId="77777777" w:rsidR="00F004D0" w:rsidRPr="00992979" w:rsidRDefault="00F004D0" w:rsidP="006C0302">
            <w:pPr>
              <w:pStyle w:val="ListParagraph"/>
              <w:keepNext/>
              <w:ind w:left="0"/>
              <w:jc w:val="center"/>
            </w:pPr>
            <w:r w:rsidRPr="00992979">
              <w:t>All other ratings</w:t>
            </w:r>
          </w:p>
        </w:tc>
        <w:tc>
          <w:tcPr>
            <w:tcW w:w="1869" w:type="dxa"/>
          </w:tcPr>
          <w:p w14:paraId="1AE18CF8" w14:textId="77777777" w:rsidR="00F004D0" w:rsidRPr="00992979" w:rsidRDefault="00F004D0" w:rsidP="006C0302">
            <w:pPr>
              <w:pStyle w:val="ListParagraph"/>
              <w:keepNext/>
              <w:ind w:left="0"/>
              <w:jc w:val="center"/>
            </w:pPr>
            <w:r>
              <w:t>All other ratings</w:t>
            </w:r>
          </w:p>
        </w:tc>
      </w:tr>
    </w:tbl>
    <w:p w14:paraId="1AE18CFA" w14:textId="77777777" w:rsidR="00F004D0" w:rsidRPr="00F004D0" w:rsidRDefault="00F004D0" w:rsidP="00F004D0">
      <w:pPr>
        <w:pStyle w:val="BodyText1"/>
        <w:numPr>
          <w:ilvl w:val="0"/>
          <w:numId w:val="0"/>
        </w:numPr>
        <w:ind w:left="567"/>
      </w:pPr>
    </w:p>
    <w:p w14:paraId="1AE18CFB" w14:textId="77777777" w:rsidR="00BB71D3" w:rsidRDefault="00F004D0" w:rsidP="00F004D0">
      <w:pPr>
        <w:pStyle w:val="BodyText1"/>
      </w:pPr>
      <w:r w:rsidRPr="00531E98">
        <w:t xml:space="preserve">For the purposes of Table </w:t>
      </w:r>
      <w:r>
        <w:t>2</w:t>
      </w:r>
      <w:r w:rsidRPr="00531E98">
        <w:t xml:space="preserve"> of this Attachment, where the ECAI is Standard and Poor’s, Moody’s or Fitch, the ratings are to be mapped </w:t>
      </w:r>
      <w:r>
        <w:t xml:space="preserve">to the relevant credit rating grades </w:t>
      </w:r>
      <w:r w:rsidRPr="00531E98">
        <w:t xml:space="preserve">as shown in Table </w:t>
      </w:r>
      <w:r>
        <w:t>4</w:t>
      </w:r>
      <w:r w:rsidRPr="00531E98">
        <w:t xml:space="preserve"> below</w:t>
      </w:r>
      <w:r>
        <w:t>.</w:t>
      </w:r>
    </w:p>
    <w:p w14:paraId="1AE18CFC" w14:textId="77777777" w:rsidR="00F004D0" w:rsidRPr="00C72A19" w:rsidRDefault="00F004D0" w:rsidP="003B5879">
      <w:pPr>
        <w:pStyle w:val="BodyText1"/>
        <w:keepNext/>
        <w:numPr>
          <w:ilvl w:val="0"/>
          <w:numId w:val="0"/>
        </w:numPr>
        <w:ind w:left="567"/>
      </w:pPr>
      <w:r w:rsidRPr="00531E98">
        <w:lastRenderedPageBreak/>
        <w:t xml:space="preserve">Table </w:t>
      </w:r>
      <w:r>
        <w:t>4</w:t>
      </w:r>
      <w:r w:rsidRPr="00531E98">
        <w:t>: Recognised long-term ratings and equivalent credit rating grades</w:t>
      </w:r>
    </w:p>
    <w:tbl>
      <w:tblPr>
        <w:tblStyle w:val="TableGrid"/>
        <w:tblW w:w="0" w:type="auto"/>
        <w:tblInd w:w="675" w:type="dxa"/>
        <w:tblLook w:val="04A0" w:firstRow="1" w:lastRow="0" w:firstColumn="1" w:lastColumn="0" w:noHBand="0" w:noVBand="1"/>
      </w:tblPr>
      <w:tblGrid>
        <w:gridCol w:w="1598"/>
        <w:gridCol w:w="2253"/>
        <w:gridCol w:w="2251"/>
        <w:gridCol w:w="2239"/>
      </w:tblGrid>
      <w:tr w:rsidR="00F004D0" w14:paraId="1AE18D01" w14:textId="77777777" w:rsidTr="00F43CC1">
        <w:trPr>
          <w:tblHeader/>
        </w:trPr>
        <w:tc>
          <w:tcPr>
            <w:tcW w:w="1635" w:type="dxa"/>
          </w:tcPr>
          <w:p w14:paraId="1AE18CFD" w14:textId="77777777" w:rsidR="00F004D0" w:rsidRPr="008877BB" w:rsidRDefault="00F004D0" w:rsidP="003B5879">
            <w:pPr>
              <w:keepNext/>
              <w:jc w:val="center"/>
              <w:rPr>
                <w:b/>
              </w:rPr>
            </w:pPr>
            <w:r w:rsidRPr="008877BB">
              <w:rPr>
                <w:b/>
              </w:rPr>
              <w:t>Credit rating grade</w:t>
            </w:r>
          </w:p>
        </w:tc>
        <w:tc>
          <w:tcPr>
            <w:tcW w:w="2310" w:type="dxa"/>
          </w:tcPr>
          <w:p w14:paraId="1AE18CFE" w14:textId="77777777" w:rsidR="00F004D0" w:rsidRPr="008877BB" w:rsidRDefault="00F004D0" w:rsidP="003B5879">
            <w:pPr>
              <w:keepNext/>
              <w:jc w:val="center"/>
              <w:rPr>
                <w:b/>
              </w:rPr>
            </w:pPr>
            <w:r w:rsidRPr="008877BB">
              <w:rPr>
                <w:b/>
              </w:rPr>
              <w:t>Standard and Poor’s</w:t>
            </w:r>
          </w:p>
        </w:tc>
        <w:tc>
          <w:tcPr>
            <w:tcW w:w="2311" w:type="dxa"/>
          </w:tcPr>
          <w:p w14:paraId="1AE18CFF" w14:textId="77777777" w:rsidR="00F004D0" w:rsidRPr="008877BB" w:rsidRDefault="00F004D0" w:rsidP="003B5879">
            <w:pPr>
              <w:keepNext/>
              <w:jc w:val="center"/>
              <w:rPr>
                <w:b/>
              </w:rPr>
            </w:pPr>
            <w:r w:rsidRPr="008877BB">
              <w:rPr>
                <w:b/>
              </w:rPr>
              <w:t>Moody’s</w:t>
            </w:r>
          </w:p>
        </w:tc>
        <w:tc>
          <w:tcPr>
            <w:tcW w:w="2311" w:type="dxa"/>
          </w:tcPr>
          <w:p w14:paraId="1AE18D00" w14:textId="77777777" w:rsidR="00F004D0" w:rsidRPr="008877BB" w:rsidRDefault="00F004D0" w:rsidP="003B5879">
            <w:pPr>
              <w:keepNext/>
              <w:jc w:val="center"/>
              <w:rPr>
                <w:b/>
              </w:rPr>
            </w:pPr>
            <w:r w:rsidRPr="008877BB">
              <w:rPr>
                <w:b/>
              </w:rPr>
              <w:t>Fitch</w:t>
            </w:r>
          </w:p>
        </w:tc>
      </w:tr>
      <w:tr w:rsidR="00F004D0" w14:paraId="1AE18D06" w14:textId="77777777" w:rsidTr="006C0302">
        <w:tc>
          <w:tcPr>
            <w:tcW w:w="1635" w:type="dxa"/>
          </w:tcPr>
          <w:p w14:paraId="1AE18D02" w14:textId="77777777" w:rsidR="00F004D0" w:rsidRPr="006A3CF0" w:rsidRDefault="00F004D0" w:rsidP="006C0302">
            <w:pPr>
              <w:jc w:val="center"/>
              <w:rPr>
                <w:b/>
              </w:rPr>
            </w:pPr>
            <w:r w:rsidRPr="006A3CF0">
              <w:rPr>
                <w:b/>
              </w:rPr>
              <w:t>1</w:t>
            </w:r>
          </w:p>
        </w:tc>
        <w:tc>
          <w:tcPr>
            <w:tcW w:w="2310" w:type="dxa"/>
          </w:tcPr>
          <w:p w14:paraId="1AE18D03" w14:textId="77777777" w:rsidR="00F004D0" w:rsidRDefault="00F004D0" w:rsidP="006C0302">
            <w:pPr>
              <w:jc w:val="center"/>
            </w:pPr>
            <w:r>
              <w:t>AAA</w:t>
            </w:r>
          </w:p>
        </w:tc>
        <w:tc>
          <w:tcPr>
            <w:tcW w:w="2311" w:type="dxa"/>
          </w:tcPr>
          <w:p w14:paraId="1AE18D04" w14:textId="77777777" w:rsidR="00F004D0" w:rsidRDefault="00F004D0" w:rsidP="006C0302">
            <w:pPr>
              <w:jc w:val="center"/>
            </w:pPr>
            <w:proofErr w:type="spellStart"/>
            <w:r>
              <w:t>Aaa</w:t>
            </w:r>
            <w:proofErr w:type="spellEnd"/>
          </w:p>
        </w:tc>
        <w:tc>
          <w:tcPr>
            <w:tcW w:w="2311" w:type="dxa"/>
          </w:tcPr>
          <w:p w14:paraId="1AE18D05" w14:textId="77777777" w:rsidR="00F004D0" w:rsidRDefault="00F004D0" w:rsidP="006C0302">
            <w:pPr>
              <w:jc w:val="center"/>
            </w:pPr>
            <w:r>
              <w:t>AAA</w:t>
            </w:r>
          </w:p>
        </w:tc>
      </w:tr>
      <w:tr w:rsidR="00F004D0" w14:paraId="1AE18D0B" w14:textId="77777777" w:rsidTr="006C0302">
        <w:tc>
          <w:tcPr>
            <w:tcW w:w="1635" w:type="dxa"/>
          </w:tcPr>
          <w:p w14:paraId="1AE18D07" w14:textId="77777777" w:rsidR="00F004D0" w:rsidRPr="006A3CF0" w:rsidRDefault="00F004D0" w:rsidP="006C0302">
            <w:pPr>
              <w:jc w:val="center"/>
              <w:rPr>
                <w:b/>
              </w:rPr>
            </w:pPr>
            <w:r w:rsidRPr="006A3CF0">
              <w:rPr>
                <w:b/>
              </w:rPr>
              <w:t>2</w:t>
            </w:r>
          </w:p>
        </w:tc>
        <w:tc>
          <w:tcPr>
            <w:tcW w:w="2310" w:type="dxa"/>
          </w:tcPr>
          <w:p w14:paraId="1AE18D08" w14:textId="77777777" w:rsidR="00F004D0" w:rsidRDefault="00F004D0" w:rsidP="006C0302">
            <w:pPr>
              <w:jc w:val="center"/>
            </w:pPr>
            <w:r>
              <w:t>AA+</w:t>
            </w:r>
          </w:p>
        </w:tc>
        <w:tc>
          <w:tcPr>
            <w:tcW w:w="2311" w:type="dxa"/>
          </w:tcPr>
          <w:p w14:paraId="1AE18D09" w14:textId="77777777" w:rsidR="00F004D0" w:rsidRDefault="00F004D0" w:rsidP="006C0302">
            <w:pPr>
              <w:jc w:val="center"/>
            </w:pPr>
            <w:r>
              <w:t>Aa1</w:t>
            </w:r>
          </w:p>
        </w:tc>
        <w:tc>
          <w:tcPr>
            <w:tcW w:w="2311" w:type="dxa"/>
          </w:tcPr>
          <w:p w14:paraId="1AE18D0A" w14:textId="77777777" w:rsidR="00F004D0" w:rsidRDefault="00F004D0" w:rsidP="006C0302">
            <w:pPr>
              <w:jc w:val="center"/>
            </w:pPr>
            <w:r>
              <w:t>AA+</w:t>
            </w:r>
          </w:p>
        </w:tc>
      </w:tr>
      <w:tr w:rsidR="00F004D0" w14:paraId="1AE18D10" w14:textId="77777777" w:rsidTr="006C0302">
        <w:tc>
          <w:tcPr>
            <w:tcW w:w="1635" w:type="dxa"/>
          </w:tcPr>
          <w:p w14:paraId="1AE18D0C" w14:textId="77777777" w:rsidR="00F004D0" w:rsidRPr="006A3CF0" w:rsidRDefault="00F004D0" w:rsidP="006C0302">
            <w:pPr>
              <w:jc w:val="center"/>
              <w:rPr>
                <w:b/>
              </w:rPr>
            </w:pPr>
            <w:r w:rsidRPr="006A3CF0">
              <w:rPr>
                <w:b/>
              </w:rPr>
              <w:t>3</w:t>
            </w:r>
          </w:p>
        </w:tc>
        <w:tc>
          <w:tcPr>
            <w:tcW w:w="2310" w:type="dxa"/>
          </w:tcPr>
          <w:p w14:paraId="1AE18D0D" w14:textId="77777777" w:rsidR="00F004D0" w:rsidRDefault="00F004D0" w:rsidP="006C0302">
            <w:pPr>
              <w:jc w:val="center"/>
            </w:pPr>
            <w:r>
              <w:t>AA</w:t>
            </w:r>
          </w:p>
        </w:tc>
        <w:tc>
          <w:tcPr>
            <w:tcW w:w="2311" w:type="dxa"/>
          </w:tcPr>
          <w:p w14:paraId="1AE18D0E" w14:textId="77777777" w:rsidR="00F004D0" w:rsidRDefault="00F004D0" w:rsidP="006C0302">
            <w:pPr>
              <w:jc w:val="center"/>
            </w:pPr>
            <w:r>
              <w:t>Aa2</w:t>
            </w:r>
          </w:p>
        </w:tc>
        <w:tc>
          <w:tcPr>
            <w:tcW w:w="2311" w:type="dxa"/>
          </w:tcPr>
          <w:p w14:paraId="1AE18D0F" w14:textId="77777777" w:rsidR="00F004D0" w:rsidRDefault="00F004D0" w:rsidP="006C0302">
            <w:pPr>
              <w:jc w:val="center"/>
            </w:pPr>
            <w:r>
              <w:t>AA</w:t>
            </w:r>
          </w:p>
        </w:tc>
      </w:tr>
      <w:tr w:rsidR="00F004D0" w14:paraId="1AE18D15" w14:textId="77777777" w:rsidTr="006C0302">
        <w:tc>
          <w:tcPr>
            <w:tcW w:w="1635" w:type="dxa"/>
          </w:tcPr>
          <w:p w14:paraId="1AE18D11" w14:textId="77777777" w:rsidR="00F004D0" w:rsidRPr="006A3CF0" w:rsidRDefault="00F004D0" w:rsidP="006C0302">
            <w:pPr>
              <w:jc w:val="center"/>
              <w:rPr>
                <w:b/>
              </w:rPr>
            </w:pPr>
            <w:r w:rsidRPr="006A3CF0">
              <w:rPr>
                <w:b/>
              </w:rPr>
              <w:t>4</w:t>
            </w:r>
          </w:p>
        </w:tc>
        <w:tc>
          <w:tcPr>
            <w:tcW w:w="2310" w:type="dxa"/>
          </w:tcPr>
          <w:p w14:paraId="1AE18D12" w14:textId="77777777" w:rsidR="00F004D0" w:rsidRDefault="00F004D0" w:rsidP="006C0302">
            <w:pPr>
              <w:jc w:val="center"/>
            </w:pPr>
            <w:r>
              <w:t>AA-</w:t>
            </w:r>
          </w:p>
        </w:tc>
        <w:tc>
          <w:tcPr>
            <w:tcW w:w="2311" w:type="dxa"/>
          </w:tcPr>
          <w:p w14:paraId="1AE18D13" w14:textId="77777777" w:rsidR="00F004D0" w:rsidRDefault="00F004D0" w:rsidP="006C0302">
            <w:pPr>
              <w:jc w:val="center"/>
            </w:pPr>
            <w:r>
              <w:t>Aa3</w:t>
            </w:r>
          </w:p>
        </w:tc>
        <w:tc>
          <w:tcPr>
            <w:tcW w:w="2311" w:type="dxa"/>
          </w:tcPr>
          <w:p w14:paraId="1AE18D14" w14:textId="77777777" w:rsidR="00F004D0" w:rsidRDefault="00F004D0" w:rsidP="006C0302">
            <w:pPr>
              <w:jc w:val="center"/>
            </w:pPr>
            <w:r>
              <w:t>AA-</w:t>
            </w:r>
          </w:p>
        </w:tc>
      </w:tr>
      <w:tr w:rsidR="00F004D0" w14:paraId="1AE18D1A" w14:textId="77777777" w:rsidTr="006C0302">
        <w:tc>
          <w:tcPr>
            <w:tcW w:w="1635" w:type="dxa"/>
          </w:tcPr>
          <w:p w14:paraId="1AE18D16" w14:textId="77777777" w:rsidR="00F004D0" w:rsidRPr="006A3CF0" w:rsidRDefault="00F004D0" w:rsidP="006C0302">
            <w:pPr>
              <w:jc w:val="center"/>
              <w:rPr>
                <w:b/>
              </w:rPr>
            </w:pPr>
            <w:r w:rsidRPr="006A3CF0">
              <w:rPr>
                <w:b/>
              </w:rPr>
              <w:t>5</w:t>
            </w:r>
          </w:p>
        </w:tc>
        <w:tc>
          <w:tcPr>
            <w:tcW w:w="2310" w:type="dxa"/>
          </w:tcPr>
          <w:p w14:paraId="1AE18D17" w14:textId="77777777" w:rsidR="00F004D0" w:rsidRDefault="00F004D0" w:rsidP="006C0302">
            <w:pPr>
              <w:jc w:val="center"/>
            </w:pPr>
            <w:r>
              <w:t>A+</w:t>
            </w:r>
          </w:p>
        </w:tc>
        <w:tc>
          <w:tcPr>
            <w:tcW w:w="2311" w:type="dxa"/>
          </w:tcPr>
          <w:p w14:paraId="1AE18D18" w14:textId="77777777" w:rsidR="00F004D0" w:rsidRDefault="00F004D0" w:rsidP="006C0302">
            <w:pPr>
              <w:jc w:val="center"/>
            </w:pPr>
            <w:r>
              <w:t>A1</w:t>
            </w:r>
          </w:p>
        </w:tc>
        <w:tc>
          <w:tcPr>
            <w:tcW w:w="2311" w:type="dxa"/>
          </w:tcPr>
          <w:p w14:paraId="1AE18D19" w14:textId="77777777" w:rsidR="00F004D0" w:rsidRDefault="00F004D0" w:rsidP="006C0302">
            <w:pPr>
              <w:jc w:val="center"/>
            </w:pPr>
            <w:r>
              <w:t>A+</w:t>
            </w:r>
          </w:p>
        </w:tc>
      </w:tr>
      <w:tr w:rsidR="00F004D0" w14:paraId="1AE18D1F" w14:textId="77777777" w:rsidTr="006C0302">
        <w:tc>
          <w:tcPr>
            <w:tcW w:w="1635" w:type="dxa"/>
          </w:tcPr>
          <w:p w14:paraId="1AE18D1B" w14:textId="77777777" w:rsidR="00F004D0" w:rsidRPr="006A3CF0" w:rsidRDefault="00F004D0" w:rsidP="006C0302">
            <w:pPr>
              <w:jc w:val="center"/>
              <w:rPr>
                <w:b/>
              </w:rPr>
            </w:pPr>
            <w:r w:rsidRPr="006A3CF0">
              <w:rPr>
                <w:b/>
              </w:rPr>
              <w:t>6</w:t>
            </w:r>
          </w:p>
        </w:tc>
        <w:tc>
          <w:tcPr>
            <w:tcW w:w="2310" w:type="dxa"/>
          </w:tcPr>
          <w:p w14:paraId="1AE18D1C" w14:textId="77777777" w:rsidR="00F004D0" w:rsidRDefault="00F004D0" w:rsidP="006C0302">
            <w:pPr>
              <w:jc w:val="center"/>
            </w:pPr>
            <w:r>
              <w:t>A</w:t>
            </w:r>
          </w:p>
        </w:tc>
        <w:tc>
          <w:tcPr>
            <w:tcW w:w="2311" w:type="dxa"/>
          </w:tcPr>
          <w:p w14:paraId="1AE18D1D" w14:textId="77777777" w:rsidR="00F004D0" w:rsidRDefault="00F004D0" w:rsidP="006C0302">
            <w:pPr>
              <w:jc w:val="center"/>
            </w:pPr>
            <w:r>
              <w:t>A2</w:t>
            </w:r>
          </w:p>
        </w:tc>
        <w:tc>
          <w:tcPr>
            <w:tcW w:w="2311" w:type="dxa"/>
          </w:tcPr>
          <w:p w14:paraId="1AE18D1E" w14:textId="77777777" w:rsidR="00F004D0" w:rsidRDefault="00F004D0" w:rsidP="006C0302">
            <w:pPr>
              <w:jc w:val="center"/>
            </w:pPr>
            <w:r>
              <w:t>A</w:t>
            </w:r>
          </w:p>
        </w:tc>
      </w:tr>
      <w:tr w:rsidR="00F004D0" w14:paraId="1AE18D24" w14:textId="77777777" w:rsidTr="006C0302">
        <w:tc>
          <w:tcPr>
            <w:tcW w:w="1635" w:type="dxa"/>
          </w:tcPr>
          <w:p w14:paraId="1AE18D20" w14:textId="77777777" w:rsidR="00F004D0" w:rsidRPr="006A3CF0" w:rsidRDefault="00F004D0" w:rsidP="006C0302">
            <w:pPr>
              <w:jc w:val="center"/>
              <w:rPr>
                <w:b/>
              </w:rPr>
            </w:pPr>
            <w:r w:rsidRPr="006A3CF0">
              <w:rPr>
                <w:b/>
              </w:rPr>
              <w:t>7</w:t>
            </w:r>
          </w:p>
        </w:tc>
        <w:tc>
          <w:tcPr>
            <w:tcW w:w="2310" w:type="dxa"/>
          </w:tcPr>
          <w:p w14:paraId="1AE18D21" w14:textId="77777777" w:rsidR="00F004D0" w:rsidRDefault="00F004D0" w:rsidP="006C0302">
            <w:pPr>
              <w:jc w:val="center"/>
            </w:pPr>
            <w:r>
              <w:t>A-</w:t>
            </w:r>
          </w:p>
        </w:tc>
        <w:tc>
          <w:tcPr>
            <w:tcW w:w="2311" w:type="dxa"/>
          </w:tcPr>
          <w:p w14:paraId="1AE18D22" w14:textId="77777777" w:rsidR="00F004D0" w:rsidRDefault="00F004D0" w:rsidP="006C0302">
            <w:pPr>
              <w:jc w:val="center"/>
            </w:pPr>
            <w:r>
              <w:t>A3</w:t>
            </w:r>
          </w:p>
        </w:tc>
        <w:tc>
          <w:tcPr>
            <w:tcW w:w="2311" w:type="dxa"/>
          </w:tcPr>
          <w:p w14:paraId="1AE18D23" w14:textId="77777777" w:rsidR="00F004D0" w:rsidRDefault="00F004D0" w:rsidP="006C0302">
            <w:pPr>
              <w:jc w:val="center"/>
            </w:pPr>
            <w:r>
              <w:t>A-</w:t>
            </w:r>
          </w:p>
        </w:tc>
      </w:tr>
      <w:tr w:rsidR="00F004D0" w14:paraId="1AE18D29" w14:textId="77777777" w:rsidTr="006C0302">
        <w:tc>
          <w:tcPr>
            <w:tcW w:w="1635" w:type="dxa"/>
          </w:tcPr>
          <w:p w14:paraId="1AE18D25" w14:textId="77777777" w:rsidR="00F004D0" w:rsidRPr="006A3CF0" w:rsidRDefault="00F004D0" w:rsidP="006C0302">
            <w:pPr>
              <w:jc w:val="center"/>
              <w:rPr>
                <w:b/>
              </w:rPr>
            </w:pPr>
            <w:r w:rsidRPr="006A3CF0">
              <w:rPr>
                <w:b/>
              </w:rPr>
              <w:t>8</w:t>
            </w:r>
          </w:p>
        </w:tc>
        <w:tc>
          <w:tcPr>
            <w:tcW w:w="2310" w:type="dxa"/>
          </w:tcPr>
          <w:p w14:paraId="1AE18D26" w14:textId="77777777" w:rsidR="00F004D0" w:rsidRDefault="00F004D0" w:rsidP="006C0302">
            <w:pPr>
              <w:jc w:val="center"/>
            </w:pPr>
            <w:r>
              <w:t>BBB+</w:t>
            </w:r>
          </w:p>
        </w:tc>
        <w:tc>
          <w:tcPr>
            <w:tcW w:w="2311" w:type="dxa"/>
          </w:tcPr>
          <w:p w14:paraId="1AE18D27" w14:textId="77777777" w:rsidR="00F004D0" w:rsidRDefault="00F004D0" w:rsidP="006C0302">
            <w:pPr>
              <w:jc w:val="center"/>
            </w:pPr>
            <w:r>
              <w:t>Baa1</w:t>
            </w:r>
          </w:p>
        </w:tc>
        <w:tc>
          <w:tcPr>
            <w:tcW w:w="2311" w:type="dxa"/>
          </w:tcPr>
          <w:p w14:paraId="1AE18D28" w14:textId="77777777" w:rsidR="00F004D0" w:rsidRDefault="00F004D0" w:rsidP="006C0302">
            <w:pPr>
              <w:jc w:val="center"/>
            </w:pPr>
            <w:r>
              <w:t>BBB+</w:t>
            </w:r>
          </w:p>
        </w:tc>
      </w:tr>
      <w:tr w:rsidR="00F004D0" w14:paraId="1AE18D2E" w14:textId="77777777" w:rsidTr="006C0302">
        <w:tc>
          <w:tcPr>
            <w:tcW w:w="1635" w:type="dxa"/>
          </w:tcPr>
          <w:p w14:paraId="1AE18D2A" w14:textId="77777777" w:rsidR="00F004D0" w:rsidRPr="006A3CF0" w:rsidRDefault="00F004D0" w:rsidP="006C0302">
            <w:pPr>
              <w:jc w:val="center"/>
              <w:rPr>
                <w:b/>
              </w:rPr>
            </w:pPr>
            <w:r w:rsidRPr="006A3CF0">
              <w:rPr>
                <w:b/>
              </w:rPr>
              <w:t>9</w:t>
            </w:r>
          </w:p>
        </w:tc>
        <w:tc>
          <w:tcPr>
            <w:tcW w:w="2310" w:type="dxa"/>
          </w:tcPr>
          <w:p w14:paraId="1AE18D2B" w14:textId="77777777" w:rsidR="00F004D0" w:rsidRDefault="00F004D0" w:rsidP="006C0302">
            <w:pPr>
              <w:jc w:val="center"/>
            </w:pPr>
            <w:r>
              <w:t>BBB</w:t>
            </w:r>
          </w:p>
        </w:tc>
        <w:tc>
          <w:tcPr>
            <w:tcW w:w="2311" w:type="dxa"/>
          </w:tcPr>
          <w:p w14:paraId="1AE18D2C" w14:textId="77777777" w:rsidR="00F004D0" w:rsidRDefault="00F004D0" w:rsidP="006C0302">
            <w:pPr>
              <w:jc w:val="center"/>
            </w:pPr>
            <w:r>
              <w:t>Baa2</w:t>
            </w:r>
          </w:p>
        </w:tc>
        <w:tc>
          <w:tcPr>
            <w:tcW w:w="2311" w:type="dxa"/>
          </w:tcPr>
          <w:p w14:paraId="1AE18D2D" w14:textId="77777777" w:rsidR="00F004D0" w:rsidRDefault="00F004D0" w:rsidP="006C0302">
            <w:pPr>
              <w:jc w:val="center"/>
            </w:pPr>
            <w:r>
              <w:t>BBB</w:t>
            </w:r>
          </w:p>
        </w:tc>
      </w:tr>
      <w:tr w:rsidR="00F004D0" w14:paraId="1AE18D33" w14:textId="77777777" w:rsidTr="006C0302">
        <w:tc>
          <w:tcPr>
            <w:tcW w:w="1635" w:type="dxa"/>
          </w:tcPr>
          <w:p w14:paraId="1AE18D2F" w14:textId="77777777" w:rsidR="00F004D0" w:rsidRPr="006A3CF0" w:rsidRDefault="00F004D0" w:rsidP="006C0302">
            <w:pPr>
              <w:jc w:val="center"/>
              <w:rPr>
                <w:b/>
              </w:rPr>
            </w:pPr>
            <w:r w:rsidRPr="006A3CF0">
              <w:rPr>
                <w:b/>
              </w:rPr>
              <w:t>10</w:t>
            </w:r>
          </w:p>
        </w:tc>
        <w:tc>
          <w:tcPr>
            <w:tcW w:w="2310" w:type="dxa"/>
          </w:tcPr>
          <w:p w14:paraId="1AE18D30" w14:textId="77777777" w:rsidR="00F004D0" w:rsidRDefault="00F004D0" w:rsidP="006C0302">
            <w:pPr>
              <w:jc w:val="center"/>
            </w:pPr>
            <w:r>
              <w:t>BBB-</w:t>
            </w:r>
          </w:p>
        </w:tc>
        <w:tc>
          <w:tcPr>
            <w:tcW w:w="2311" w:type="dxa"/>
          </w:tcPr>
          <w:p w14:paraId="1AE18D31" w14:textId="77777777" w:rsidR="00F004D0" w:rsidRDefault="00F004D0" w:rsidP="006C0302">
            <w:pPr>
              <w:jc w:val="center"/>
            </w:pPr>
            <w:r>
              <w:t>Baa3</w:t>
            </w:r>
          </w:p>
        </w:tc>
        <w:tc>
          <w:tcPr>
            <w:tcW w:w="2311" w:type="dxa"/>
          </w:tcPr>
          <w:p w14:paraId="1AE18D32" w14:textId="77777777" w:rsidR="00F004D0" w:rsidRDefault="00F004D0" w:rsidP="006C0302">
            <w:pPr>
              <w:jc w:val="center"/>
            </w:pPr>
            <w:r>
              <w:t>BBB-</w:t>
            </w:r>
          </w:p>
        </w:tc>
      </w:tr>
      <w:tr w:rsidR="00F004D0" w14:paraId="1AE18D38" w14:textId="77777777" w:rsidTr="006C0302">
        <w:tc>
          <w:tcPr>
            <w:tcW w:w="1635" w:type="dxa"/>
          </w:tcPr>
          <w:p w14:paraId="1AE18D34" w14:textId="77777777" w:rsidR="00F004D0" w:rsidRPr="006A3CF0" w:rsidRDefault="00F004D0" w:rsidP="006C0302">
            <w:pPr>
              <w:jc w:val="center"/>
              <w:rPr>
                <w:b/>
              </w:rPr>
            </w:pPr>
            <w:r>
              <w:rPr>
                <w:b/>
              </w:rPr>
              <w:t>11</w:t>
            </w:r>
          </w:p>
        </w:tc>
        <w:tc>
          <w:tcPr>
            <w:tcW w:w="2310" w:type="dxa"/>
          </w:tcPr>
          <w:p w14:paraId="1AE18D35" w14:textId="77777777" w:rsidR="00F004D0" w:rsidRDefault="00F004D0" w:rsidP="006C0302">
            <w:pPr>
              <w:jc w:val="center"/>
            </w:pPr>
            <w:r>
              <w:t>All other ratings</w:t>
            </w:r>
          </w:p>
        </w:tc>
        <w:tc>
          <w:tcPr>
            <w:tcW w:w="2311" w:type="dxa"/>
          </w:tcPr>
          <w:p w14:paraId="1AE18D36" w14:textId="77777777" w:rsidR="00F004D0" w:rsidRDefault="00F004D0" w:rsidP="006C0302">
            <w:pPr>
              <w:jc w:val="center"/>
            </w:pPr>
            <w:r>
              <w:t>All other ratings</w:t>
            </w:r>
          </w:p>
        </w:tc>
        <w:tc>
          <w:tcPr>
            <w:tcW w:w="2311" w:type="dxa"/>
          </w:tcPr>
          <w:p w14:paraId="1AE18D37" w14:textId="77777777" w:rsidR="00F004D0" w:rsidRDefault="00F004D0" w:rsidP="006C0302">
            <w:pPr>
              <w:jc w:val="center"/>
            </w:pPr>
            <w:r>
              <w:t>All other ratings</w:t>
            </w:r>
          </w:p>
        </w:tc>
      </w:tr>
    </w:tbl>
    <w:p w14:paraId="1AE18D39" w14:textId="77777777" w:rsidR="00F004D0" w:rsidRDefault="00F004D0" w:rsidP="00F004D0">
      <w:pPr>
        <w:pStyle w:val="BodyText1"/>
        <w:sectPr w:rsidR="00F004D0" w:rsidSect="006C0302">
          <w:footerReference w:type="default" r:id="rId36"/>
          <w:pgSz w:w="11906" w:h="16838"/>
          <w:pgMar w:top="1440" w:right="1440" w:bottom="1440" w:left="1440" w:header="708" w:footer="708" w:gutter="0"/>
          <w:cols w:space="708"/>
          <w:docGrid w:linePitch="360"/>
        </w:sectPr>
      </w:pPr>
    </w:p>
    <w:p w14:paraId="1AE18D3A" w14:textId="77777777" w:rsidR="00F004D0" w:rsidRPr="00BB71D3" w:rsidRDefault="00F004D0" w:rsidP="00F004D0">
      <w:pPr>
        <w:pStyle w:val="Heading2"/>
      </w:pPr>
      <w:bookmarkStart w:id="95" w:name="_Toc465172391"/>
      <w:r>
        <w:lastRenderedPageBreak/>
        <w:t>Attachment D — Facilities and services</w:t>
      </w:r>
      <w:bookmarkEnd w:id="95"/>
    </w:p>
    <w:p w14:paraId="1AE18D3B" w14:textId="77777777" w:rsidR="00BB71D3" w:rsidRPr="00BB71D3" w:rsidRDefault="00F004D0" w:rsidP="00F004D0">
      <w:pPr>
        <w:pStyle w:val="Heading3"/>
      </w:pPr>
      <w:r>
        <w:t>Facilities and services</w:t>
      </w:r>
    </w:p>
    <w:p w14:paraId="1AE18D3C" w14:textId="77777777" w:rsidR="00BB71D3" w:rsidRDefault="00F004D0" w:rsidP="00F004D0">
      <w:pPr>
        <w:pStyle w:val="BodyText1"/>
        <w:numPr>
          <w:ilvl w:val="0"/>
          <w:numId w:val="25"/>
        </w:numPr>
      </w:pPr>
      <w:bookmarkStart w:id="96" w:name="_Ref465158853"/>
      <w:r w:rsidRPr="00E30B5E">
        <w:t>A facility</w:t>
      </w:r>
      <w:r>
        <w:t xml:space="preserve"> or service </w:t>
      </w:r>
      <w:r w:rsidRPr="00E30B5E">
        <w:t>provided by an ADI to a securitisation must comply with the following</w:t>
      </w:r>
      <w:r>
        <w:t>:</w:t>
      </w:r>
      <w:bookmarkEnd w:id="96"/>
    </w:p>
    <w:p w14:paraId="1AE18D3D" w14:textId="77777777" w:rsidR="00F004D0" w:rsidRDefault="00F004D0" w:rsidP="00F004D0">
      <w:pPr>
        <w:pStyle w:val="BodyText2"/>
        <w:numPr>
          <w:ilvl w:val="1"/>
          <w:numId w:val="25"/>
        </w:numPr>
      </w:pPr>
      <w:r w:rsidRPr="00E30B5E">
        <w:t xml:space="preserve">the facility </w:t>
      </w:r>
      <w:r>
        <w:t xml:space="preserve">or service </w:t>
      </w:r>
      <w:r w:rsidRPr="00E30B5E">
        <w:t xml:space="preserve">must be expressly stated in a </w:t>
      </w:r>
      <w:r>
        <w:t xml:space="preserve">formal </w:t>
      </w:r>
      <w:r w:rsidRPr="00E30B5E">
        <w:t>written agreemen</w:t>
      </w:r>
      <w:r>
        <w:t>t, specify the nature and extent of the ADI’s obligations as the provider of the facility or service, and there</w:t>
      </w:r>
      <w:r w:rsidRPr="00E30B5E">
        <w:t xml:space="preserve"> must be no explicit or implied recourse to the ADI beyond the specified contractual obligations</w:t>
      </w:r>
      <w:r>
        <w:t>;</w:t>
      </w:r>
    </w:p>
    <w:p w14:paraId="1AE18D3E" w14:textId="77777777" w:rsidR="00F004D0" w:rsidRDefault="00F004D0" w:rsidP="00F004D0">
      <w:pPr>
        <w:pStyle w:val="BodyText2"/>
        <w:numPr>
          <w:ilvl w:val="1"/>
          <w:numId w:val="25"/>
        </w:numPr>
      </w:pPr>
      <w:bookmarkStart w:id="97" w:name="_Ref465247692"/>
      <w:r w:rsidRPr="00E30B5E">
        <w:t xml:space="preserve">the facility </w:t>
      </w:r>
      <w:r>
        <w:t xml:space="preserve">or service </w:t>
      </w:r>
      <w:r w:rsidRPr="00E30B5E">
        <w:t xml:space="preserve">must be provided on an arm’s-length basis, be subject to the ADI’s normal </w:t>
      </w:r>
      <w:r>
        <w:t xml:space="preserve">credit </w:t>
      </w:r>
      <w:r w:rsidRPr="00E30B5E">
        <w:t>approval and review processes and be transacted on market terms and conditions</w:t>
      </w:r>
      <w:r>
        <w:t>;</w:t>
      </w:r>
      <w:bookmarkEnd w:id="97"/>
    </w:p>
    <w:p w14:paraId="1AE18D3F" w14:textId="30DE0AD1" w:rsidR="00F004D0" w:rsidRDefault="00F004D0" w:rsidP="00F004D0">
      <w:pPr>
        <w:pStyle w:val="BodyText2"/>
        <w:numPr>
          <w:ilvl w:val="1"/>
          <w:numId w:val="25"/>
        </w:numPr>
      </w:pPr>
      <w:bookmarkStart w:id="98" w:name="_Ref465158928"/>
      <w:r w:rsidRPr="00277284">
        <w:t xml:space="preserve">the facility </w:t>
      </w:r>
      <w:r>
        <w:t xml:space="preserve">(other than a servicer cash advance facility (paragraph </w:t>
      </w:r>
      <w:r w:rsidR="00F43CC1">
        <w:fldChar w:fldCharType="begin"/>
      </w:r>
      <w:r w:rsidR="00F43CC1">
        <w:instrText xml:space="preserve"> REF _Ref465156201 \r \h </w:instrText>
      </w:r>
      <w:r w:rsidR="00F43CC1">
        <w:fldChar w:fldCharType="separate"/>
      </w:r>
      <w:r w:rsidR="00642B90">
        <w:t>3</w:t>
      </w:r>
      <w:r w:rsidR="00F43CC1">
        <w:fldChar w:fldCharType="end"/>
      </w:r>
      <w:r w:rsidR="00B9057A">
        <w:t xml:space="preserve"> </w:t>
      </w:r>
      <w:r>
        <w:t xml:space="preserve">of this Attachment)) or service </w:t>
      </w:r>
      <w:r w:rsidRPr="00277284">
        <w:t xml:space="preserve">must be limited to a </w:t>
      </w:r>
      <w:r>
        <w:t xml:space="preserve">specified amount and </w:t>
      </w:r>
      <w:proofErr w:type="gramStart"/>
      <w:r w:rsidRPr="00277284">
        <w:t>time period</w:t>
      </w:r>
      <w:proofErr w:type="gramEnd"/>
      <w:r>
        <w:t>. T</w:t>
      </w:r>
      <w:r w:rsidRPr="00840C7B">
        <w:t>he agreement must end no later than the earlier of the date on which all claims connected with the issue of securities are paid out and the ADI’s replacement as party to the agreement</w:t>
      </w:r>
      <w:r>
        <w:t>. A fixed termination date need not be specified, provided the facility or service extinguishes at the earliest of the scheduled maturity of the securitisation or the date on which the securitisation winds up, and the ADI has the right, at its absolute discretion, to withdraw from the commitment at any time following a reasonable period of notice;</w:t>
      </w:r>
      <w:bookmarkEnd w:id="98"/>
    </w:p>
    <w:p w14:paraId="1AE18D40" w14:textId="77777777" w:rsidR="00F004D0" w:rsidRDefault="00F004D0" w:rsidP="00F004D0">
      <w:pPr>
        <w:pStyle w:val="BodyText2"/>
        <w:numPr>
          <w:ilvl w:val="1"/>
          <w:numId w:val="25"/>
        </w:numPr>
      </w:pPr>
      <w:r w:rsidRPr="001D20A8">
        <w:t>subject to reasonable qualifications, the SPV and/or investors must have the express right to select an alternative party to provide the facility</w:t>
      </w:r>
      <w:r>
        <w:t xml:space="preserve"> or service</w:t>
      </w:r>
      <w:r w:rsidRPr="001D20A8">
        <w:t>;</w:t>
      </w:r>
      <w:r>
        <w:t xml:space="preserve"> and</w:t>
      </w:r>
    </w:p>
    <w:p w14:paraId="1AE18D41" w14:textId="77777777" w:rsidR="00F004D0" w:rsidRDefault="00F004D0" w:rsidP="00F004D0">
      <w:pPr>
        <w:pStyle w:val="BodyText2"/>
        <w:numPr>
          <w:ilvl w:val="1"/>
          <w:numId w:val="25"/>
        </w:numPr>
      </w:pPr>
      <w:r w:rsidRPr="00E30B5E">
        <w:t xml:space="preserve">the facility </w:t>
      </w:r>
      <w:r>
        <w:t xml:space="preserve">or service </w:t>
      </w:r>
      <w:r w:rsidRPr="00E30B5E">
        <w:t xml:space="preserve">must be documented in a manner that clearly separates it from any other facility or service provided by the ADI. The ADI’s obligations under each facility </w:t>
      </w:r>
      <w:r>
        <w:t xml:space="preserve">or service </w:t>
      </w:r>
      <w:r w:rsidRPr="00E30B5E">
        <w:t>must be stand-alone</w:t>
      </w:r>
      <w:r>
        <w:t>.</w:t>
      </w:r>
    </w:p>
    <w:p w14:paraId="1AE18D42" w14:textId="77777777" w:rsidR="00F004D0" w:rsidRDefault="00F004D0" w:rsidP="00F004D0">
      <w:pPr>
        <w:pStyle w:val="Heading3"/>
      </w:pPr>
      <w:r>
        <w:t>Liquidity or other funding facilities</w:t>
      </w:r>
    </w:p>
    <w:p w14:paraId="1AE18D43" w14:textId="7AB151D2" w:rsidR="00F004D0" w:rsidRDefault="00F004D0" w:rsidP="00F004D0">
      <w:pPr>
        <w:pStyle w:val="BodyText1"/>
      </w:pPr>
      <w:bookmarkStart w:id="99" w:name="_Ref465158901"/>
      <w:r w:rsidRPr="000208DA">
        <w:t xml:space="preserve">In addition to the requirements in paragraph </w:t>
      </w:r>
      <w:r w:rsidR="00F43CC1">
        <w:fldChar w:fldCharType="begin"/>
      </w:r>
      <w:r w:rsidR="00F43CC1">
        <w:instrText xml:space="preserve"> REF _Ref465158853 \r \h </w:instrText>
      </w:r>
      <w:r w:rsidR="00F43CC1">
        <w:fldChar w:fldCharType="separate"/>
      </w:r>
      <w:r w:rsidR="00642B90">
        <w:t>1</w:t>
      </w:r>
      <w:r w:rsidR="00F43CC1">
        <w:fldChar w:fldCharType="end"/>
      </w:r>
      <w:r w:rsidR="00F43CC1">
        <w:t xml:space="preserve"> </w:t>
      </w:r>
      <w:r w:rsidRPr="000208DA">
        <w:t xml:space="preserve">of this Attachment, an ADI that provides a </w:t>
      </w:r>
      <w:r>
        <w:t xml:space="preserve">liquidity or other funding </w:t>
      </w:r>
      <w:r w:rsidRPr="000208DA">
        <w:t>facility</w:t>
      </w:r>
      <w:r>
        <w:t xml:space="preserve"> </w:t>
      </w:r>
      <w:r w:rsidRPr="000208DA">
        <w:t>to a</w:t>
      </w:r>
      <w:r>
        <w:t xml:space="preserve"> securitisation </w:t>
      </w:r>
      <w:r w:rsidRPr="000208DA">
        <w:t>must ensure that</w:t>
      </w:r>
      <w:r>
        <w:t>:</w:t>
      </w:r>
      <w:bookmarkEnd w:id="99"/>
    </w:p>
    <w:p w14:paraId="1AE18D44" w14:textId="77777777" w:rsidR="00F004D0" w:rsidRDefault="00F004D0" w:rsidP="00F004D0">
      <w:pPr>
        <w:pStyle w:val="BodyText2"/>
      </w:pPr>
      <w:r w:rsidRPr="00F6505F">
        <w:t>the facility documentation clearly identifies and limits the circumstances under which it may be drawn</w:t>
      </w:r>
      <w:r>
        <w:t>;</w:t>
      </w:r>
    </w:p>
    <w:p w14:paraId="1AE18D45" w14:textId="77777777" w:rsidR="00F004D0" w:rsidRDefault="00F004D0" w:rsidP="00F004D0">
      <w:pPr>
        <w:pStyle w:val="BodyText2"/>
      </w:pPr>
      <w:r w:rsidRPr="00F6505F">
        <w:t xml:space="preserve">drawdowns under the facility are limited to the amount that </w:t>
      </w:r>
      <w:r>
        <w:t xml:space="preserve">the ADI would consider likely at the time of drawdown and is capable of being </w:t>
      </w:r>
      <w:r w:rsidRPr="00F6505F">
        <w:t>fully</w:t>
      </w:r>
      <w:r>
        <w:t xml:space="preserve"> repaid </w:t>
      </w:r>
      <w:r w:rsidRPr="00F6505F">
        <w:t>from the liquidation of the underlying exposures and any other credit enhancements</w:t>
      </w:r>
      <w:r>
        <w:t>;</w:t>
      </w:r>
    </w:p>
    <w:p w14:paraId="1AE18D46" w14:textId="77777777" w:rsidR="00F004D0" w:rsidRDefault="00F004D0" w:rsidP="00F004D0">
      <w:pPr>
        <w:pStyle w:val="BodyText2"/>
      </w:pPr>
      <w:r w:rsidRPr="00F6505F">
        <w:t>the facility does not cover any losses incurred in the underlying pool of exposures prior to drawdown under the facility</w:t>
      </w:r>
      <w:r>
        <w:t>;</w:t>
      </w:r>
    </w:p>
    <w:p w14:paraId="1AE18D47" w14:textId="77777777" w:rsidR="00F004D0" w:rsidRDefault="00F004D0" w:rsidP="00F004D0">
      <w:pPr>
        <w:pStyle w:val="BodyText2"/>
      </w:pPr>
      <w:r>
        <w:lastRenderedPageBreak/>
        <w:t>in the case of a liquidity</w:t>
      </w:r>
      <w:r w:rsidRPr="00F6505F">
        <w:t xml:space="preserve"> facility</w:t>
      </w:r>
      <w:r>
        <w:t>, the facility</w:t>
      </w:r>
      <w:r w:rsidRPr="00F6505F">
        <w:t xml:space="preserve"> is not structured such that drawdown is certain as indicated by continuous draws</w:t>
      </w:r>
      <w:r>
        <w:t>;</w:t>
      </w:r>
    </w:p>
    <w:p w14:paraId="1AE18D48" w14:textId="7E703D22" w:rsidR="00F004D0" w:rsidRDefault="00F004D0" w:rsidP="00F004D0">
      <w:pPr>
        <w:pStyle w:val="BodyText2"/>
      </w:pPr>
      <w:r w:rsidRPr="00F6505F">
        <w:t xml:space="preserve">the facility must be subject to an asset quality test that precludes it from being drawn to cover credit risk exposures that are </w:t>
      </w:r>
      <w:r w:rsidR="00E02F9E">
        <w:t>non-performing</w:t>
      </w:r>
      <w:r w:rsidRPr="00F6505F">
        <w:t xml:space="preserve"> as defined in APS </w:t>
      </w:r>
      <w:r w:rsidR="00E02F9E">
        <w:t>220</w:t>
      </w:r>
      <w:r>
        <w:t>;</w:t>
      </w:r>
    </w:p>
    <w:p w14:paraId="1AE18D49" w14:textId="77777777" w:rsidR="00F004D0" w:rsidRDefault="00F004D0" w:rsidP="00F004D0">
      <w:pPr>
        <w:pStyle w:val="BodyText2"/>
      </w:pPr>
      <w:r w:rsidRPr="00F6505F">
        <w:t>the facility cannot be drawn after all applicable (e.g. transaction-specific and programme-wide) credit enhancements from which the facility would benefit have been exhausted</w:t>
      </w:r>
      <w:r>
        <w:t>; and</w:t>
      </w:r>
    </w:p>
    <w:p w14:paraId="1AE18D4A" w14:textId="494CF584" w:rsidR="00F004D0" w:rsidRDefault="00F004D0" w:rsidP="00F004D0">
      <w:pPr>
        <w:pStyle w:val="BodyText2"/>
      </w:pPr>
      <w:bookmarkStart w:id="100" w:name="_Ref465158998"/>
      <w:r w:rsidRPr="00F6505F">
        <w:t xml:space="preserve">the repayment of draws on the facility </w:t>
      </w:r>
      <w:r>
        <w:t xml:space="preserve">(other than a servicer cash advance facility (paragraph </w:t>
      </w:r>
      <w:r w:rsidR="00F43CC1">
        <w:fldChar w:fldCharType="begin"/>
      </w:r>
      <w:r w:rsidR="00F43CC1">
        <w:instrText xml:space="preserve"> REF _Ref465156201 \r \h </w:instrText>
      </w:r>
      <w:r w:rsidR="00F43CC1">
        <w:fldChar w:fldCharType="separate"/>
      </w:r>
      <w:r w:rsidR="00642B90">
        <w:t>3</w:t>
      </w:r>
      <w:r w:rsidR="00F43CC1">
        <w:fldChar w:fldCharType="end"/>
      </w:r>
      <w:r w:rsidR="00F43CC1">
        <w:t xml:space="preserve"> </w:t>
      </w:r>
      <w:r>
        <w:t xml:space="preserve">of this Attachment)) </w:t>
      </w:r>
      <w:r w:rsidRPr="00F6505F">
        <w:t>must</w:t>
      </w:r>
      <w:r>
        <w:t xml:space="preserve"> never be subordinated to</w:t>
      </w:r>
      <w:r w:rsidRPr="00F6505F">
        <w:t xml:space="preserve"> any interests of any investor in the securitisation </w:t>
      </w:r>
      <w:r>
        <w:t xml:space="preserve">and not be </w:t>
      </w:r>
      <w:r w:rsidRPr="00F6505F">
        <w:t>subject to deferral or waiver</w:t>
      </w:r>
      <w:r>
        <w:t>.</w:t>
      </w:r>
      <w:bookmarkEnd w:id="100"/>
    </w:p>
    <w:p w14:paraId="1AE18D4B" w14:textId="77777777" w:rsidR="00F004D0" w:rsidRDefault="00F004D0" w:rsidP="00F004D0">
      <w:pPr>
        <w:pStyle w:val="Heading3"/>
      </w:pPr>
      <w:r>
        <w:t>Servicer cash advances</w:t>
      </w:r>
    </w:p>
    <w:p w14:paraId="1AE18D4C" w14:textId="1A579DEF" w:rsidR="00F004D0" w:rsidRDefault="00F004D0" w:rsidP="00F004D0">
      <w:pPr>
        <w:pStyle w:val="BodyText1"/>
      </w:pPr>
      <w:bookmarkStart w:id="101" w:name="_Ref465156201"/>
      <w:r>
        <w:t xml:space="preserve">Servicer cash advances may be provided by a servicing ADI to avoid any short term limited interruption to the flow of payments to investors. In addition to the requirements in paragraphs </w:t>
      </w:r>
      <w:r w:rsidR="00F43CC1">
        <w:fldChar w:fldCharType="begin"/>
      </w:r>
      <w:r w:rsidR="00F43CC1">
        <w:instrText xml:space="preserve"> REF _Ref465158853 \r \h </w:instrText>
      </w:r>
      <w:r w:rsidR="00F43CC1">
        <w:fldChar w:fldCharType="separate"/>
      </w:r>
      <w:r w:rsidR="00642B90">
        <w:t>1</w:t>
      </w:r>
      <w:r w:rsidR="00F43CC1">
        <w:fldChar w:fldCharType="end"/>
      </w:r>
      <w:r w:rsidR="00F43CC1">
        <w:t xml:space="preserve"> </w:t>
      </w:r>
      <w:r>
        <w:t xml:space="preserve">and </w:t>
      </w:r>
      <w:r w:rsidR="00F43CC1">
        <w:fldChar w:fldCharType="begin"/>
      </w:r>
      <w:r w:rsidR="00F43CC1">
        <w:instrText xml:space="preserve"> REF _Ref465158901 \r \h </w:instrText>
      </w:r>
      <w:r w:rsidR="00F43CC1">
        <w:fldChar w:fldCharType="separate"/>
      </w:r>
      <w:r w:rsidR="00642B90">
        <w:t>2</w:t>
      </w:r>
      <w:r w:rsidR="00F43CC1">
        <w:fldChar w:fldCharType="end"/>
      </w:r>
      <w:r w:rsidR="00F43CC1">
        <w:t xml:space="preserve"> </w:t>
      </w:r>
      <w:r>
        <w:t xml:space="preserve">of this Attachment, except for the provisions relating to facilities in paragraph </w:t>
      </w:r>
      <w:r w:rsidR="00F43CC1">
        <w:fldChar w:fldCharType="begin"/>
      </w:r>
      <w:r w:rsidR="00F43CC1">
        <w:instrText xml:space="preserve"> REF _Ref465158928 \w \h </w:instrText>
      </w:r>
      <w:r w:rsidR="00F43CC1">
        <w:fldChar w:fldCharType="separate"/>
      </w:r>
      <w:r w:rsidR="00642B90">
        <w:t>1(c)</w:t>
      </w:r>
      <w:r w:rsidR="00F43CC1">
        <w:fldChar w:fldCharType="end"/>
      </w:r>
      <w:r w:rsidR="00F43CC1">
        <w:t xml:space="preserve"> </w:t>
      </w:r>
      <w:r>
        <w:t xml:space="preserve">of this Attachment and those relating to seniority in paragraph </w:t>
      </w:r>
      <w:r w:rsidR="00F43CC1">
        <w:fldChar w:fldCharType="begin"/>
      </w:r>
      <w:r w:rsidR="00F43CC1">
        <w:instrText xml:space="preserve"> REF _Ref465158998 \w \h </w:instrText>
      </w:r>
      <w:r w:rsidR="00F43CC1">
        <w:fldChar w:fldCharType="separate"/>
      </w:r>
      <w:r w:rsidR="00642B90">
        <w:t>2(g)</w:t>
      </w:r>
      <w:r w:rsidR="00F43CC1">
        <w:fldChar w:fldCharType="end"/>
      </w:r>
      <w:r w:rsidR="00B9057A">
        <w:t xml:space="preserve"> </w:t>
      </w:r>
      <w:r>
        <w:t>of this Attachment, a servicing ADI must ensure that:</w:t>
      </w:r>
      <w:bookmarkEnd w:id="101"/>
    </w:p>
    <w:p w14:paraId="1AE18D4D" w14:textId="77777777" w:rsidR="00F004D0" w:rsidRDefault="00F004D0" w:rsidP="00F004D0">
      <w:pPr>
        <w:pStyle w:val="BodyText2"/>
      </w:pPr>
      <w:r>
        <w:t xml:space="preserve">it is entitled to full reimbursement </w:t>
      </w:r>
      <w:r w:rsidRPr="003F5B77">
        <w:t>under the cash advance</w:t>
      </w:r>
      <w:r w:rsidR="00B9057A">
        <w:t>;</w:t>
      </w:r>
    </w:p>
    <w:p w14:paraId="1AE18D4E" w14:textId="77777777" w:rsidR="00F004D0" w:rsidRDefault="00F004D0" w:rsidP="00F004D0">
      <w:pPr>
        <w:pStyle w:val="BodyText2"/>
      </w:pPr>
      <w:r>
        <w:t xml:space="preserve">repayments of drawings under the cash advance rank the most senior to all other claims and must not be </w:t>
      </w:r>
      <w:r w:rsidRPr="00F6505F">
        <w:t>subject to deferral or waiver</w:t>
      </w:r>
      <w:r>
        <w:t>;</w:t>
      </w:r>
      <w:r>
        <w:rPr>
          <w:rStyle w:val="FootnoteReference"/>
        </w:rPr>
        <w:footnoteReference w:id="46"/>
      </w:r>
      <w:r>
        <w:t xml:space="preserve"> and</w:t>
      </w:r>
    </w:p>
    <w:p w14:paraId="1AE18D4F" w14:textId="77777777" w:rsidR="00F004D0" w:rsidRDefault="00F004D0" w:rsidP="00F004D0">
      <w:pPr>
        <w:pStyle w:val="BodyText2"/>
      </w:pPr>
      <w:r>
        <w:t xml:space="preserve">the </w:t>
      </w:r>
      <w:r w:rsidRPr="003F5B77">
        <w:t xml:space="preserve">cash advance </w:t>
      </w:r>
      <w:r>
        <w:t>facility is limited to a specified amount and is unconditionally cancellable without prior notice by the servicing ADI. The cash advance</w:t>
      </w:r>
      <w:r w:rsidRPr="00E642EA">
        <w:rPr>
          <w:lang w:eastAsia="en-US"/>
        </w:rPr>
        <w:t xml:space="preserve"> facility must otherwise extinguish </w:t>
      </w:r>
      <w:r>
        <w:rPr>
          <w:lang w:eastAsia="en-US"/>
        </w:rPr>
        <w:t xml:space="preserve">no later than the earlier </w:t>
      </w:r>
      <w:r w:rsidRPr="00E642EA">
        <w:rPr>
          <w:lang w:eastAsia="en-US"/>
        </w:rPr>
        <w:t>of the scheduled maturity of the securitisation, or the date in which the securitisation winds up</w:t>
      </w:r>
      <w:r>
        <w:rPr>
          <w:lang w:eastAsia="en-US"/>
        </w:rPr>
        <w:t>.</w:t>
      </w:r>
    </w:p>
    <w:p w14:paraId="1AE18D50" w14:textId="77777777" w:rsidR="00F004D0" w:rsidRDefault="00F004D0" w:rsidP="00F004D0">
      <w:pPr>
        <w:pStyle w:val="Heading3"/>
      </w:pPr>
      <w:r>
        <w:t>Derivatives transactions</w:t>
      </w:r>
    </w:p>
    <w:p w14:paraId="1AE18D51" w14:textId="3CAE7157" w:rsidR="00F004D0" w:rsidRDefault="00F004D0" w:rsidP="00F004D0">
      <w:pPr>
        <w:pStyle w:val="BodyText1"/>
      </w:pPr>
      <w:r>
        <w:t xml:space="preserve">Subject to paragraphs </w:t>
      </w:r>
      <w:r w:rsidR="00F43CC1">
        <w:fldChar w:fldCharType="begin"/>
      </w:r>
      <w:r w:rsidR="00F43CC1">
        <w:instrText xml:space="preserve"> REF _Ref465159012 \w \h </w:instrText>
      </w:r>
      <w:r w:rsidR="00F43CC1">
        <w:fldChar w:fldCharType="separate"/>
      </w:r>
      <w:r w:rsidR="00642B90">
        <w:t>5</w:t>
      </w:r>
      <w:r w:rsidR="00F43CC1">
        <w:fldChar w:fldCharType="end"/>
      </w:r>
      <w:r w:rsidR="00F43CC1">
        <w:t xml:space="preserve"> </w:t>
      </w:r>
      <w:r>
        <w:t xml:space="preserve">and </w:t>
      </w:r>
      <w:r w:rsidR="00F43CC1">
        <w:fldChar w:fldCharType="begin"/>
      </w:r>
      <w:r w:rsidR="00F43CC1">
        <w:instrText xml:space="preserve"> REF _Ref465159021 \w \h </w:instrText>
      </w:r>
      <w:r w:rsidR="00F43CC1">
        <w:fldChar w:fldCharType="separate"/>
      </w:r>
      <w:r w:rsidR="00642B90">
        <w:t>6</w:t>
      </w:r>
      <w:r w:rsidR="00F43CC1">
        <w:fldChar w:fldCharType="end"/>
      </w:r>
      <w:r w:rsidR="00F43CC1">
        <w:t xml:space="preserve"> </w:t>
      </w:r>
      <w:r>
        <w:t>of this Attachment, d</w:t>
      </w:r>
      <w:r w:rsidRPr="00343795">
        <w:t xml:space="preserve">erivatives transactions conducted </w:t>
      </w:r>
      <w:r>
        <w:t xml:space="preserve">by an </w:t>
      </w:r>
      <w:r w:rsidRPr="00343795">
        <w:t>ADI</w:t>
      </w:r>
      <w:r>
        <w:t xml:space="preserve"> in </w:t>
      </w:r>
      <w:r w:rsidRPr="00343795">
        <w:t>a</w:t>
      </w:r>
      <w:r>
        <w:t xml:space="preserve"> securitisation</w:t>
      </w:r>
      <w:r w:rsidRPr="00343795">
        <w:t xml:space="preserve"> must meet the requirements in </w:t>
      </w:r>
      <w:r w:rsidR="00D94AAD" w:rsidRPr="00343795">
        <w:t>paragraph</w:t>
      </w:r>
      <w:r w:rsidR="00D94AAD">
        <w:t> </w:t>
      </w:r>
      <w:r w:rsidR="00D94AAD">
        <w:fldChar w:fldCharType="begin"/>
      </w:r>
      <w:r w:rsidR="00D94AAD">
        <w:instrText xml:space="preserve"> REF _Ref465158853 \r \h </w:instrText>
      </w:r>
      <w:r w:rsidR="00D94AAD">
        <w:fldChar w:fldCharType="separate"/>
      </w:r>
      <w:r w:rsidR="00642B90">
        <w:t>1</w:t>
      </w:r>
      <w:r w:rsidR="00D94AAD">
        <w:fldChar w:fldCharType="end"/>
      </w:r>
      <w:r w:rsidR="00D94AAD">
        <w:t xml:space="preserve"> </w:t>
      </w:r>
      <w:r w:rsidRPr="00343795">
        <w:t>of this Attachment</w:t>
      </w:r>
      <w:r>
        <w:t>.</w:t>
      </w:r>
    </w:p>
    <w:p w14:paraId="1AE18D52" w14:textId="3519F116" w:rsidR="00F004D0" w:rsidRDefault="00F004D0" w:rsidP="00F004D0">
      <w:pPr>
        <w:pStyle w:val="BodyText1"/>
      </w:pPr>
      <w:bookmarkStart w:id="102" w:name="_Ref465159012"/>
      <w:r w:rsidRPr="00343795">
        <w:t xml:space="preserve">An originating ADI may provide a basis swap to an SPV that does not </w:t>
      </w:r>
      <w:r>
        <w:t xml:space="preserve">meet </w:t>
      </w:r>
      <w:r w:rsidRPr="00343795">
        <w:t>all the requirements of paragraph</w:t>
      </w:r>
      <w:r>
        <w:t xml:space="preserve"> </w:t>
      </w:r>
      <w:r w:rsidR="00625FA2">
        <w:fldChar w:fldCharType="begin"/>
      </w:r>
      <w:r w:rsidR="00625FA2">
        <w:instrText xml:space="preserve"> REF _Ref465247692 \w \h </w:instrText>
      </w:r>
      <w:r w:rsidR="00625FA2">
        <w:fldChar w:fldCharType="separate"/>
      </w:r>
      <w:r w:rsidR="00642B90">
        <w:t>1(b)</w:t>
      </w:r>
      <w:r w:rsidR="00625FA2">
        <w:fldChar w:fldCharType="end"/>
      </w:r>
      <w:r w:rsidRPr="00343795">
        <w:t xml:space="preserve"> of this Attachment provided the swap is constructed with sufficient margin such that the ADI is not expected to be a net payer over the life of the transaction, including in the event contingencies </w:t>
      </w:r>
      <w:r>
        <w:t xml:space="preserve">(e.g. changes in funding costs or changes in funding composition) </w:t>
      </w:r>
      <w:r w:rsidRPr="00343795">
        <w:t>that may affect the margin received or paid on the swap</w:t>
      </w:r>
      <w:r>
        <w:t xml:space="preserve"> are triggered.</w:t>
      </w:r>
      <w:bookmarkEnd w:id="102"/>
    </w:p>
    <w:p w14:paraId="1AE18D53" w14:textId="77777777" w:rsidR="00F004D0" w:rsidRDefault="00F004D0" w:rsidP="00F004D0">
      <w:pPr>
        <w:pStyle w:val="BodyText1"/>
      </w:pPr>
      <w:bookmarkStart w:id="103" w:name="_Ref465159021"/>
      <w:r>
        <w:lastRenderedPageBreak/>
        <w:t>Derivatives transactions conducted by an ADI in a securitisation must not be subordinated</w:t>
      </w:r>
      <w:r w:rsidRPr="00651E9A">
        <w:t xml:space="preserve"> to any interests of any investor in the securitisation </w:t>
      </w:r>
      <w:r>
        <w:t xml:space="preserve">or </w:t>
      </w:r>
      <w:r w:rsidRPr="00651E9A">
        <w:t>subject to deferral or waiver</w:t>
      </w:r>
      <w:r>
        <w:t>.</w:t>
      </w:r>
      <w:bookmarkEnd w:id="103"/>
    </w:p>
    <w:p w14:paraId="1AE18D54" w14:textId="77777777" w:rsidR="00F004D0" w:rsidRDefault="00F004D0" w:rsidP="00F004D0">
      <w:pPr>
        <w:pStyle w:val="Heading3"/>
      </w:pPr>
      <w:r>
        <w:t>Services</w:t>
      </w:r>
    </w:p>
    <w:p w14:paraId="1AE18D55" w14:textId="5C127BDB" w:rsidR="00F004D0" w:rsidRDefault="00F004D0" w:rsidP="00F004D0">
      <w:pPr>
        <w:pStyle w:val="BodyText1"/>
      </w:pPr>
      <w:r w:rsidRPr="00654E1E">
        <w:t xml:space="preserve">In addition to the requirements in paragraph </w:t>
      </w:r>
      <w:r w:rsidR="00F43CC1">
        <w:fldChar w:fldCharType="begin"/>
      </w:r>
      <w:r w:rsidR="00F43CC1">
        <w:instrText xml:space="preserve"> REF _Ref465158853 \w \h </w:instrText>
      </w:r>
      <w:r w:rsidR="00F43CC1">
        <w:fldChar w:fldCharType="separate"/>
      </w:r>
      <w:r w:rsidR="00642B90">
        <w:t>1</w:t>
      </w:r>
      <w:r w:rsidR="00F43CC1">
        <w:fldChar w:fldCharType="end"/>
      </w:r>
      <w:r w:rsidR="00F43CC1">
        <w:t xml:space="preserve"> </w:t>
      </w:r>
      <w:r w:rsidRPr="00654E1E">
        <w:t xml:space="preserve">of this Attachment, an ADI that provides a </w:t>
      </w:r>
      <w:r>
        <w:t xml:space="preserve">service </w:t>
      </w:r>
      <w:r w:rsidRPr="00654E1E">
        <w:t>to a securitisation must ensure that</w:t>
      </w:r>
      <w:r>
        <w:t xml:space="preserve"> the </w:t>
      </w:r>
      <w:r w:rsidRPr="00D705E1">
        <w:t xml:space="preserve">formal written agreement specifies the services to be provided and any required standards of performance. These standards must be reasonable and in accordance with normal market practice. </w:t>
      </w:r>
      <w:r>
        <w:t>T</w:t>
      </w:r>
      <w:r w:rsidRPr="00D705E1">
        <w:t>he agreement must explicitly state that the ADI has no liability with regard to the performance of the pool</w:t>
      </w:r>
      <w:r>
        <w:t>.</w:t>
      </w:r>
    </w:p>
    <w:p w14:paraId="1AE18D56" w14:textId="77777777" w:rsidR="00F004D0" w:rsidRDefault="00F004D0" w:rsidP="00F004D0">
      <w:pPr>
        <w:pStyle w:val="BodyText1"/>
      </w:pPr>
      <w:r w:rsidRPr="00D705E1">
        <w:t xml:space="preserve">There must not be an obligation for a servicing or managing ADI to remit funds to an SPV </w:t>
      </w:r>
      <w:r>
        <w:t>and/</w:t>
      </w:r>
      <w:r w:rsidRPr="00D705E1">
        <w:t xml:space="preserve">or investors until the funds are received from the pool, except where this is otherwise provided for in a separate facility (e.g. liquidity </w:t>
      </w:r>
      <w:r>
        <w:t xml:space="preserve">or other funding </w:t>
      </w:r>
      <w:r w:rsidRPr="00D705E1">
        <w:t>facility)</w:t>
      </w:r>
      <w:r>
        <w:t>.</w:t>
      </w:r>
    </w:p>
    <w:p w14:paraId="1AE18D57" w14:textId="77777777" w:rsidR="00F004D0" w:rsidRDefault="00F004D0" w:rsidP="00F004D0">
      <w:pPr>
        <w:pStyle w:val="BodyText1"/>
      </w:pPr>
      <w:r w:rsidRPr="00D705E1">
        <w:t xml:space="preserve">An originating ADI providing a service to a securitisation must </w:t>
      </w:r>
      <w:r>
        <w:t>not</w:t>
      </w:r>
      <w:r w:rsidRPr="00D705E1">
        <w:t xml:space="preserve"> subordinate, defer or waive the receipt of contracted fees or other income for its role as a service provider</w:t>
      </w:r>
      <w:r>
        <w:t>.</w:t>
      </w:r>
    </w:p>
    <w:p w14:paraId="1AE18D58" w14:textId="77777777" w:rsidR="00F004D0" w:rsidRPr="00FF56AE" w:rsidRDefault="00F004D0" w:rsidP="00F004D0">
      <w:pPr>
        <w:pStyle w:val="Heading3"/>
      </w:pPr>
      <w:r>
        <w:t>Representations and warranties</w:t>
      </w:r>
    </w:p>
    <w:p w14:paraId="1AE18D59" w14:textId="77777777" w:rsidR="00F004D0" w:rsidRDefault="00F004D0" w:rsidP="00F004D0">
      <w:pPr>
        <w:pStyle w:val="BodyText1"/>
      </w:pPr>
      <w:r w:rsidRPr="00B831D2">
        <w:t>An ADI that provides facilities</w:t>
      </w:r>
      <w:r>
        <w:t xml:space="preserve"> or s</w:t>
      </w:r>
      <w:r w:rsidRPr="00B831D2">
        <w:t xml:space="preserve">ervices </w:t>
      </w:r>
      <w:r>
        <w:t xml:space="preserve">to </w:t>
      </w:r>
      <w:r w:rsidRPr="00B831D2">
        <w:t>a</w:t>
      </w:r>
      <w:r>
        <w:t xml:space="preserve"> securitisation </w:t>
      </w:r>
      <w:r w:rsidRPr="00B831D2">
        <w:t xml:space="preserve">may make representations and warranties concerning those </w:t>
      </w:r>
      <w:r>
        <w:t xml:space="preserve">facilities or </w:t>
      </w:r>
      <w:r w:rsidRPr="00B831D2">
        <w:t>services, provided the representations and warranties do not constitute</w:t>
      </w:r>
      <w:r>
        <w:t xml:space="preserve"> </w:t>
      </w:r>
      <w:r w:rsidRPr="00B831D2">
        <w:t>implicit support. In particular, they must</w:t>
      </w:r>
      <w:r>
        <w:t>:</w:t>
      </w:r>
    </w:p>
    <w:p w14:paraId="1AE18D5A" w14:textId="77777777" w:rsidR="00F004D0" w:rsidRDefault="00F004D0" w:rsidP="00F004D0">
      <w:pPr>
        <w:pStyle w:val="BodyText2"/>
      </w:pPr>
      <w:r w:rsidRPr="00B831D2">
        <w:t>be provided by way of a formal written agreement and be in accordance with market practice</w:t>
      </w:r>
      <w:r>
        <w:t>;</w:t>
      </w:r>
    </w:p>
    <w:p w14:paraId="1AE18D5B" w14:textId="77777777" w:rsidR="00F004D0" w:rsidRDefault="00F004D0" w:rsidP="00F004D0">
      <w:pPr>
        <w:pStyle w:val="BodyText2"/>
      </w:pPr>
      <w:r w:rsidRPr="00B831D2">
        <w:t xml:space="preserve">refer to an existing state of facts </w:t>
      </w:r>
      <w:r w:rsidR="00942559">
        <w:t xml:space="preserve">that </w:t>
      </w:r>
      <w:r>
        <w:t>are</w:t>
      </w:r>
      <w:r w:rsidRPr="00B831D2">
        <w:t xml:space="preserve"> capable of being verified by the ADI, and is within control of the ADI, at the time the </w:t>
      </w:r>
      <w:r>
        <w:t xml:space="preserve">facilities or </w:t>
      </w:r>
      <w:r w:rsidRPr="00B831D2">
        <w:t>services are contracted</w:t>
      </w:r>
      <w:r>
        <w:t>; and</w:t>
      </w:r>
    </w:p>
    <w:p w14:paraId="1AE18D5C" w14:textId="77777777" w:rsidR="00BB71D3" w:rsidRPr="00BB71D3" w:rsidRDefault="00F004D0" w:rsidP="00BB71D3">
      <w:pPr>
        <w:pStyle w:val="BodyText2"/>
      </w:pPr>
      <w:r w:rsidRPr="00B831D2">
        <w:t xml:space="preserve">not be open-ended and, in particular, not relate to the future creditworthiness of the exposures, the performance of the SPV </w:t>
      </w:r>
      <w:r>
        <w:t xml:space="preserve">or </w:t>
      </w:r>
      <w:r w:rsidRPr="00B831D2">
        <w:t>the securities issue</w:t>
      </w:r>
      <w:r>
        <w:t>d in a securitisation.</w:t>
      </w:r>
    </w:p>
    <w:sectPr w:rsidR="00BB71D3" w:rsidRPr="00BB71D3" w:rsidSect="000D63A8">
      <w:footerReference w:type="default" r:id="rId37"/>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75E9" w14:textId="77777777" w:rsidR="00875C15" w:rsidRDefault="00875C15" w:rsidP="006A6A52">
      <w:pPr>
        <w:spacing w:after="0"/>
      </w:pPr>
      <w:r>
        <w:separator/>
      </w:r>
    </w:p>
  </w:endnote>
  <w:endnote w:type="continuationSeparator" w:id="0">
    <w:p w14:paraId="6F401FA9" w14:textId="77777777" w:rsidR="00875C15" w:rsidRDefault="00875C15" w:rsidP="006A6A52">
      <w:pPr>
        <w:spacing w:after="0"/>
      </w:pPr>
      <w:r>
        <w:continuationSeparator/>
      </w:r>
    </w:p>
  </w:endnote>
  <w:endnote w:type="continuationNotice" w:id="1">
    <w:p w14:paraId="79A8BCCF" w14:textId="77777777" w:rsidR="00875C15" w:rsidRDefault="00875C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2674" w14:textId="77777777" w:rsidR="00F62C6D" w:rsidRDefault="00F62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4AEC" w14:textId="133DC8B9" w:rsidR="004966A8" w:rsidRDefault="00496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8994" w14:textId="77777777" w:rsidR="00F62C6D" w:rsidRDefault="00F62C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55C56" w14:textId="0C0F5FF9" w:rsidR="002E3AA9" w:rsidRDefault="002E3AA9">
    <w:pPr>
      <w:pStyle w:val="Footer"/>
    </w:pPr>
    <w:r>
      <w:t xml:space="preserve">APS 120 - </w:t>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1312C" w14:textId="2AB80AD2" w:rsidR="00A472FC" w:rsidRDefault="00AB4B76" w:rsidP="00A41329">
    <w:pPr>
      <w:pStyle w:val="Footer"/>
    </w:pPr>
    <w:r>
      <w:fldChar w:fldCharType="begin"/>
    </w:r>
    <w:r>
      <w:instrText xml:space="preserve"> STYLEREF  "PS No. field text"  \* MERGEFORMAT </w:instrText>
    </w:r>
    <w:r>
      <w:fldChar w:fldCharType="separate"/>
    </w:r>
    <w:r w:rsidR="004966A8">
      <w:rPr>
        <w:noProof/>
      </w:rPr>
      <w:t>APS 120</w:t>
    </w:r>
    <w:r>
      <w:rPr>
        <w:noProof/>
      </w:rPr>
      <w:fldChar w:fldCharType="end"/>
    </w:r>
    <w:r w:rsidR="00A472FC">
      <w:t xml:space="preserve"> - </w:t>
    </w:r>
    <w:r w:rsidR="00A472FC">
      <w:fldChar w:fldCharType="begin"/>
    </w:r>
    <w:r w:rsidR="00A472FC">
      <w:instrText xml:space="preserve"> PAGE  \* Arabic </w:instrText>
    </w:r>
    <w:r w:rsidR="00A472FC">
      <w:fldChar w:fldCharType="separate"/>
    </w:r>
    <w:r w:rsidR="00A472FC">
      <w:t>2</w:t>
    </w:r>
    <w:r w:rsidR="00A472FC">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8D69" w14:textId="2E9F8EE5" w:rsidR="0048794C" w:rsidRPr="00842FBD" w:rsidRDefault="00AB4B76" w:rsidP="00842FBD">
    <w:pPr>
      <w:pStyle w:val="Footer"/>
    </w:pPr>
    <w:r>
      <w:fldChar w:fldCharType="begin"/>
    </w:r>
    <w:r>
      <w:instrText xml:space="preserve"> STYLEREF  "PS No. field text"  \* MERGEFORMAT </w:instrText>
    </w:r>
    <w:r>
      <w:fldChar w:fldCharType="separate"/>
    </w:r>
    <w:r>
      <w:rPr>
        <w:noProof/>
      </w:rPr>
      <w:t>APS 120</w:t>
    </w:r>
    <w:r>
      <w:rPr>
        <w:noProof/>
      </w:rPr>
      <w:fldChar w:fldCharType="end"/>
    </w:r>
    <w:r w:rsidR="0048794C">
      <w:t xml:space="preserve"> – Attachment </w:t>
    </w:r>
    <w:r>
      <w:fldChar w:fldCharType="begin"/>
    </w:r>
    <w:r>
      <w:instrText xml:space="preserve"> SEQ Attach\* ALPHABETIC\c  \* MERGEFORMAT </w:instrText>
    </w:r>
    <w:r>
      <w:fldChar w:fldCharType="separate"/>
    </w:r>
    <w:r>
      <w:rPr>
        <w:noProof/>
      </w:rPr>
      <w:t>A</w:t>
    </w:r>
    <w:r>
      <w:rPr>
        <w:noProof/>
      </w:rPr>
      <w:fldChar w:fldCharType="end"/>
    </w:r>
    <w:r w:rsidR="0048794C">
      <w:t xml:space="preserve"> - </w:t>
    </w:r>
    <w:r w:rsidR="0048794C" w:rsidRPr="00842FBD">
      <w:fldChar w:fldCharType="begin"/>
    </w:r>
    <w:r w:rsidR="0048794C" w:rsidRPr="00842FBD">
      <w:instrText xml:space="preserve"> PAGE </w:instrText>
    </w:r>
    <w:r w:rsidR="0048794C" w:rsidRPr="00842FBD">
      <w:fldChar w:fldCharType="separate"/>
    </w:r>
    <w:r w:rsidR="0048794C">
      <w:rPr>
        <w:noProof/>
      </w:rPr>
      <w:t>24</w:t>
    </w:r>
    <w:r w:rsidR="0048794C" w:rsidRPr="00842FB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8D6A" w14:textId="56941B73" w:rsidR="0048794C" w:rsidRPr="00842FBD" w:rsidRDefault="00AB4B76" w:rsidP="00842FBD">
    <w:pPr>
      <w:pStyle w:val="Footer"/>
    </w:pPr>
    <w:r>
      <w:fldChar w:fldCharType="begin"/>
    </w:r>
    <w:r>
      <w:instrText xml:space="preserve"> STYLEREF  "PS No. field text"  \* MERGEFORMAT </w:instrText>
    </w:r>
    <w:r>
      <w:fldChar w:fldCharType="separate"/>
    </w:r>
    <w:r>
      <w:rPr>
        <w:noProof/>
      </w:rPr>
      <w:t>APS 120</w:t>
    </w:r>
    <w:r>
      <w:rPr>
        <w:noProof/>
      </w:rPr>
      <w:fldChar w:fldCharType="end"/>
    </w:r>
    <w:r w:rsidR="0048794C">
      <w:t xml:space="preserve"> – Attachment B - </w:t>
    </w:r>
    <w:r w:rsidR="0048794C" w:rsidRPr="00842FBD">
      <w:fldChar w:fldCharType="begin"/>
    </w:r>
    <w:r w:rsidR="0048794C" w:rsidRPr="00842FBD">
      <w:instrText xml:space="preserve"> PAGE </w:instrText>
    </w:r>
    <w:r w:rsidR="0048794C" w:rsidRPr="00842FBD">
      <w:fldChar w:fldCharType="separate"/>
    </w:r>
    <w:r w:rsidR="0048794C">
      <w:rPr>
        <w:noProof/>
      </w:rPr>
      <w:t>27</w:t>
    </w:r>
    <w:r w:rsidR="0048794C" w:rsidRPr="00842FB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8D6B" w14:textId="77777777" w:rsidR="0048794C" w:rsidRPr="00F004D0" w:rsidRDefault="0048794C" w:rsidP="006C0302">
    <w:pPr>
      <w:pStyle w:val="Footer"/>
    </w:pPr>
    <w:r>
      <w:tab/>
    </w:r>
    <w:r>
      <w:tab/>
    </w:r>
    <w:r w:rsidRPr="00F004D0">
      <w:t xml:space="preserve">APS 120 Attachment C - </w:t>
    </w:r>
    <w:r w:rsidRPr="00F004D0">
      <w:fldChar w:fldCharType="begin"/>
    </w:r>
    <w:r w:rsidRPr="00F004D0">
      <w:instrText xml:space="preserve"> PAGE </w:instrText>
    </w:r>
    <w:r w:rsidRPr="00F004D0">
      <w:fldChar w:fldCharType="separate"/>
    </w:r>
    <w:r>
      <w:rPr>
        <w:noProof/>
      </w:rPr>
      <w:t>36</w:t>
    </w:r>
    <w:r w:rsidRPr="00F004D0">
      <w:fldChar w:fldCharType="end"/>
    </w:r>
  </w:p>
  <w:p w14:paraId="1AE18D6C" w14:textId="77777777" w:rsidR="0048794C" w:rsidRPr="006B41AE" w:rsidRDefault="0048794C" w:rsidP="006C030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8D6D" w14:textId="34E4CC16" w:rsidR="0048794C" w:rsidRPr="00842FBD" w:rsidRDefault="00AB4B76" w:rsidP="00842FBD">
    <w:pPr>
      <w:pStyle w:val="Footer"/>
    </w:pPr>
    <w:r>
      <w:fldChar w:fldCharType="begin"/>
    </w:r>
    <w:r>
      <w:instrText xml:space="preserve"> STYLEREF  "PS No. field text"  \* MERGEFORMAT </w:instrText>
    </w:r>
    <w:r>
      <w:fldChar w:fldCharType="separate"/>
    </w:r>
    <w:r>
      <w:rPr>
        <w:noProof/>
      </w:rPr>
      <w:t>APS 120</w:t>
    </w:r>
    <w:r>
      <w:rPr>
        <w:noProof/>
      </w:rPr>
      <w:fldChar w:fldCharType="end"/>
    </w:r>
    <w:r w:rsidR="0048794C">
      <w:t xml:space="preserve"> – Attachment D - </w:t>
    </w:r>
    <w:r w:rsidR="0048794C" w:rsidRPr="00842FBD">
      <w:fldChar w:fldCharType="begin"/>
    </w:r>
    <w:r w:rsidR="0048794C" w:rsidRPr="00842FBD">
      <w:instrText xml:space="preserve"> PAGE </w:instrText>
    </w:r>
    <w:r w:rsidR="0048794C" w:rsidRPr="00842FBD">
      <w:fldChar w:fldCharType="separate"/>
    </w:r>
    <w:r w:rsidR="0048794C">
      <w:rPr>
        <w:noProof/>
      </w:rPr>
      <w:t>39</w:t>
    </w:r>
    <w:r w:rsidR="0048794C" w:rsidRPr="00842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48095" w14:textId="77777777" w:rsidR="00875C15" w:rsidRDefault="00875C15" w:rsidP="006A6A52">
      <w:pPr>
        <w:spacing w:after="0"/>
      </w:pPr>
      <w:r>
        <w:separator/>
      </w:r>
    </w:p>
  </w:footnote>
  <w:footnote w:type="continuationSeparator" w:id="0">
    <w:p w14:paraId="114C7EAC" w14:textId="77777777" w:rsidR="00875C15" w:rsidRDefault="00875C15" w:rsidP="006A6A52">
      <w:pPr>
        <w:spacing w:after="0"/>
      </w:pPr>
      <w:r>
        <w:continuationSeparator/>
      </w:r>
    </w:p>
  </w:footnote>
  <w:footnote w:type="continuationNotice" w:id="1">
    <w:p w14:paraId="3D05DFC0" w14:textId="77777777" w:rsidR="00875C15" w:rsidRDefault="00875C15">
      <w:pPr>
        <w:spacing w:after="0"/>
      </w:pPr>
    </w:p>
  </w:footnote>
  <w:footnote w:id="2">
    <w:p w14:paraId="5285DD98" w14:textId="086F18E1" w:rsidR="00E87B32" w:rsidRDefault="00E87B32" w:rsidP="00E87B32">
      <w:pPr>
        <w:pStyle w:val="FootnoteText"/>
      </w:pPr>
      <w:r>
        <w:rPr>
          <w:rStyle w:val="FootnoteReference"/>
        </w:rPr>
        <w:footnoteRef/>
      </w:r>
      <w:r>
        <w:t xml:space="preserve"> </w:t>
      </w:r>
      <w:r>
        <w:tab/>
      </w:r>
      <w:r w:rsidR="005D23B6" w:rsidRPr="00445137">
        <w:rPr>
          <w:i/>
        </w:rPr>
        <w:t>p</w:t>
      </w:r>
      <w:r w:rsidRPr="00445137">
        <w:rPr>
          <w:i/>
        </w:rPr>
        <w:t xml:space="preserve">rescribed New Zealand </w:t>
      </w:r>
      <w:r w:rsidR="00542D2A" w:rsidRPr="00445137">
        <w:rPr>
          <w:i/>
        </w:rPr>
        <w:t>authority</w:t>
      </w:r>
      <w:r w:rsidR="00542D2A">
        <w:t xml:space="preserve"> has the meaning given in subsection 5(1) of the Banking Act</w:t>
      </w:r>
      <w:r>
        <w:t>.</w:t>
      </w:r>
    </w:p>
  </w:footnote>
  <w:footnote w:id="3">
    <w:p w14:paraId="1AE18D6E" w14:textId="77777777" w:rsidR="0048794C" w:rsidRDefault="0048794C">
      <w:pPr>
        <w:pStyle w:val="FootnoteText"/>
      </w:pPr>
      <w:r>
        <w:rPr>
          <w:rStyle w:val="FootnoteReference"/>
        </w:rPr>
        <w:footnoteRef/>
      </w:r>
      <w:r>
        <w:t xml:space="preserve"> </w:t>
      </w:r>
      <w:r>
        <w:tab/>
      </w:r>
      <w:r w:rsidRPr="008247B0">
        <w:t>Payments to investors depend upon the performance of the underlying exposures, as opposed to being derived from an obligation of the entity originating those exposures. The tranched structures that characterise securitisation differ from ordinary senior/subordinated debt in that non-senior securitisation tranches can absorb losses without interrupting contractual payments to senior tranches, whereas subordination in a senior/subordinated debt structure is a matter of priority of rights to the proceeds of liquidation</w:t>
      </w:r>
      <w:r>
        <w:t>.</w:t>
      </w:r>
    </w:p>
  </w:footnote>
  <w:footnote w:id="4">
    <w:p w14:paraId="1AE18D6F" w14:textId="77777777" w:rsidR="0048794C" w:rsidRDefault="0048794C">
      <w:pPr>
        <w:pStyle w:val="FootnoteText"/>
      </w:pPr>
      <w:r>
        <w:rPr>
          <w:rStyle w:val="FootnoteReference"/>
        </w:rPr>
        <w:footnoteRef/>
      </w:r>
      <w:r>
        <w:t xml:space="preserve"> </w:t>
      </w:r>
      <w:r>
        <w:tab/>
      </w:r>
      <w:r w:rsidRPr="008247B0">
        <w:t>If a senior tranche is itself retranched or partially hedged, only the most senior tranche or hedged portion would be treated as senior for regulatory capital purposes</w:t>
      </w:r>
      <w:r>
        <w:t>.</w:t>
      </w:r>
    </w:p>
  </w:footnote>
  <w:footnote w:id="5">
    <w:p w14:paraId="1AE18D70" w14:textId="77777777" w:rsidR="0048794C" w:rsidRDefault="0048794C">
      <w:pPr>
        <w:pStyle w:val="FootnoteText"/>
      </w:pPr>
      <w:r>
        <w:rPr>
          <w:rStyle w:val="FootnoteReference"/>
        </w:rPr>
        <w:footnoteRef/>
      </w:r>
      <w:r>
        <w:t xml:space="preserve"> </w:t>
      </w:r>
      <w:r>
        <w:tab/>
      </w:r>
      <w:r w:rsidRPr="00A60F2B">
        <w:rPr>
          <w:szCs w:val="20"/>
        </w:rPr>
        <w:t>Claims such as a swap claim, servicer cash advance, taxes and similar imposts and fees to service providers may be more senior in the cash flow waterfall and may be disregarded for the purpose of determining which positions are treated as senior</w:t>
      </w:r>
      <w:r>
        <w:rPr>
          <w:szCs w:val="20"/>
        </w:rPr>
        <w:t>.</w:t>
      </w:r>
    </w:p>
  </w:footnote>
  <w:footnote w:id="6">
    <w:p w14:paraId="1AE18D71" w14:textId="77777777" w:rsidR="0048794C" w:rsidRDefault="0048794C">
      <w:pPr>
        <w:pStyle w:val="FootnoteText"/>
      </w:pPr>
      <w:r>
        <w:rPr>
          <w:rStyle w:val="FootnoteReference"/>
        </w:rPr>
        <w:footnoteRef/>
      </w:r>
      <w:r>
        <w:t xml:space="preserve"> </w:t>
      </w:r>
      <w:r>
        <w:tab/>
      </w:r>
      <w:r w:rsidRPr="00A60F2B">
        <w:rPr>
          <w:szCs w:val="20"/>
        </w:rPr>
        <w:t>The material effects of differing tranche maturities are captured by maturity adjustments to the risk weights assigned to the securitisation exposures under this Prudential Standard</w:t>
      </w:r>
      <w:r>
        <w:rPr>
          <w:szCs w:val="20"/>
        </w:rPr>
        <w:t>.</w:t>
      </w:r>
    </w:p>
  </w:footnote>
  <w:footnote w:id="7">
    <w:p w14:paraId="1AE18D72" w14:textId="77777777" w:rsidR="0048794C" w:rsidRDefault="0048794C">
      <w:pPr>
        <w:pStyle w:val="FootnoteText"/>
      </w:pPr>
      <w:r>
        <w:rPr>
          <w:rStyle w:val="FootnoteReference"/>
        </w:rPr>
        <w:footnoteRef/>
      </w:r>
      <w:r>
        <w:t xml:space="preserve"> </w:t>
      </w:r>
      <w:r>
        <w:tab/>
      </w:r>
      <w:r w:rsidRPr="00B34D59">
        <w:t>In a self-securitisation, the originating ADI may ‘repurchase’ securities issued by the SPV under the repurchase agreement with the RBA.</w:t>
      </w:r>
      <w:r>
        <w:t xml:space="preserve"> </w:t>
      </w:r>
      <w:r w:rsidRPr="00B34D59">
        <w:t xml:space="preserve">In a self-securitisation, the originating ADI may </w:t>
      </w:r>
      <w:r>
        <w:t xml:space="preserve">also </w:t>
      </w:r>
      <w:r w:rsidRPr="00B34D59">
        <w:t xml:space="preserve">repurchase </w:t>
      </w:r>
      <w:r>
        <w:t xml:space="preserve">(or replace) </w:t>
      </w:r>
      <w:r w:rsidRPr="00B34D59">
        <w:t>exposures out of the pool held in the securitisation to m</w:t>
      </w:r>
      <w:r>
        <w:t>eet</w:t>
      </w:r>
      <w:r w:rsidRPr="00B34D59">
        <w:t xml:space="preserve"> a security's eligibility for purchase </w:t>
      </w:r>
      <w:r>
        <w:t>under the repurchase agreement with the RBA</w:t>
      </w:r>
      <w:r w:rsidRPr="00B34D59">
        <w:t>.</w:t>
      </w:r>
    </w:p>
  </w:footnote>
  <w:footnote w:id="8">
    <w:p w14:paraId="1AE18D73" w14:textId="775561FD" w:rsidR="0048794C" w:rsidRDefault="0048794C">
      <w:pPr>
        <w:pStyle w:val="FootnoteText"/>
      </w:pPr>
      <w:r>
        <w:rPr>
          <w:rStyle w:val="FootnoteReference"/>
        </w:rPr>
        <w:footnoteRef/>
      </w:r>
      <w:r>
        <w:t xml:space="preserve"> </w:t>
      </w:r>
      <w:r>
        <w:tab/>
      </w:r>
      <w:r w:rsidRPr="00A60F2B">
        <w:rPr>
          <w:szCs w:val="20"/>
        </w:rPr>
        <w:t xml:space="preserve">For the purpose of paragraph </w:t>
      </w:r>
      <w:r w:rsidR="00B67418">
        <w:rPr>
          <w:szCs w:val="20"/>
        </w:rPr>
        <w:fldChar w:fldCharType="begin"/>
      </w:r>
      <w:r w:rsidR="00B67418">
        <w:rPr>
          <w:szCs w:val="20"/>
        </w:rPr>
        <w:instrText xml:space="preserve"> REF _Ref464806346 \r \h </w:instrText>
      </w:r>
      <w:r w:rsidR="00B67418">
        <w:rPr>
          <w:szCs w:val="20"/>
        </w:rPr>
      </w:r>
      <w:r w:rsidR="00B67418">
        <w:rPr>
          <w:szCs w:val="20"/>
        </w:rPr>
        <w:fldChar w:fldCharType="separate"/>
      </w:r>
      <w:r w:rsidR="00642B90">
        <w:rPr>
          <w:szCs w:val="20"/>
        </w:rPr>
        <w:t>16</w:t>
      </w:r>
      <w:r w:rsidR="00B67418">
        <w:rPr>
          <w:szCs w:val="20"/>
        </w:rPr>
        <w:fldChar w:fldCharType="end"/>
      </w:r>
      <w:r w:rsidRPr="00A60F2B">
        <w:rPr>
          <w:szCs w:val="20"/>
        </w:rPr>
        <w:t>, any shareholding in an SPV over and above an entitlement to a residual interest distribution is considered material</w:t>
      </w:r>
      <w:r>
        <w:rPr>
          <w:szCs w:val="20"/>
        </w:rPr>
        <w:t>.</w:t>
      </w:r>
    </w:p>
  </w:footnote>
  <w:footnote w:id="9">
    <w:p w14:paraId="1AE18D74" w14:textId="255CB06D" w:rsidR="0048794C" w:rsidRDefault="0048794C">
      <w:pPr>
        <w:pStyle w:val="FootnoteText"/>
      </w:pPr>
      <w:r>
        <w:rPr>
          <w:rStyle w:val="FootnoteReference"/>
        </w:rPr>
        <w:footnoteRef/>
      </w:r>
      <w:r>
        <w:t xml:space="preserve"> </w:t>
      </w:r>
      <w:r>
        <w:tab/>
      </w:r>
      <w:r w:rsidRPr="00281D8F">
        <w:rPr>
          <w:szCs w:val="20"/>
        </w:rPr>
        <w:t>For the purpose of paragraph</w:t>
      </w:r>
      <w:r>
        <w:rPr>
          <w:szCs w:val="20"/>
        </w:rPr>
        <w:t xml:space="preserve"> </w:t>
      </w:r>
      <w:r>
        <w:rPr>
          <w:szCs w:val="20"/>
        </w:rPr>
        <w:fldChar w:fldCharType="begin"/>
      </w:r>
      <w:r>
        <w:rPr>
          <w:szCs w:val="20"/>
        </w:rPr>
        <w:instrText xml:space="preserve"> REF _Ref465155834 \r \h </w:instrText>
      </w:r>
      <w:r>
        <w:rPr>
          <w:szCs w:val="20"/>
        </w:rPr>
      </w:r>
      <w:r>
        <w:rPr>
          <w:szCs w:val="20"/>
        </w:rPr>
        <w:fldChar w:fldCharType="separate"/>
      </w:r>
      <w:r w:rsidR="00642B90">
        <w:rPr>
          <w:szCs w:val="20"/>
        </w:rPr>
        <w:t>19</w:t>
      </w:r>
      <w:r>
        <w:rPr>
          <w:szCs w:val="20"/>
        </w:rPr>
        <w:fldChar w:fldCharType="end"/>
      </w:r>
      <w:r w:rsidRPr="00281D8F">
        <w:rPr>
          <w:szCs w:val="20"/>
        </w:rPr>
        <w:t xml:space="preserve">, an originating ADI’s servicing of the exposures </w:t>
      </w:r>
      <w:r>
        <w:rPr>
          <w:szCs w:val="20"/>
        </w:rPr>
        <w:t>may</w:t>
      </w:r>
      <w:r w:rsidRPr="00281D8F">
        <w:rPr>
          <w:szCs w:val="20"/>
        </w:rPr>
        <w:t xml:space="preserve"> not constitute effective or indirect control of the exposures provided the ADI complies with Attachment D</w:t>
      </w:r>
      <w:r>
        <w:rPr>
          <w:szCs w:val="20"/>
        </w:rPr>
        <w:t>.</w:t>
      </w:r>
    </w:p>
  </w:footnote>
  <w:footnote w:id="10">
    <w:p w14:paraId="1AE18D75" w14:textId="0E8EB113" w:rsidR="0048794C" w:rsidRDefault="0048794C">
      <w:pPr>
        <w:pStyle w:val="FootnoteText"/>
      </w:pPr>
      <w:r>
        <w:rPr>
          <w:rStyle w:val="FootnoteReference"/>
        </w:rPr>
        <w:footnoteRef/>
      </w:r>
      <w:r>
        <w:t xml:space="preserve"> </w:t>
      </w:r>
      <w:r>
        <w:tab/>
        <w:t xml:space="preserve">Refer to footnote </w:t>
      </w:r>
      <w:r w:rsidR="0081509E">
        <w:t>6</w:t>
      </w:r>
      <w:r>
        <w:t>.</w:t>
      </w:r>
    </w:p>
  </w:footnote>
  <w:footnote w:id="11">
    <w:p w14:paraId="1AE18D76" w14:textId="77777777" w:rsidR="0048794C" w:rsidRDefault="0048794C">
      <w:pPr>
        <w:pStyle w:val="FootnoteText"/>
      </w:pPr>
      <w:r>
        <w:rPr>
          <w:rStyle w:val="FootnoteReference"/>
        </w:rPr>
        <w:footnoteRef/>
      </w:r>
      <w:r>
        <w:t xml:space="preserve"> </w:t>
      </w:r>
      <w:r>
        <w:tab/>
        <w:t xml:space="preserve">In a self-securitisation, the originating ADI may give an </w:t>
      </w:r>
      <w:r w:rsidRPr="004E7607">
        <w:t xml:space="preserve">undertaking to </w:t>
      </w:r>
      <w:r>
        <w:t>‘</w:t>
      </w:r>
      <w:r w:rsidRPr="004E7607">
        <w:t>r</w:t>
      </w:r>
      <w:r>
        <w:t>epurchase’ the securities under the repurchase agreement with the RBA</w:t>
      </w:r>
      <w:r w:rsidRPr="004E7607">
        <w:t>.</w:t>
      </w:r>
    </w:p>
  </w:footnote>
  <w:footnote w:id="12">
    <w:p w14:paraId="1AE18D77" w14:textId="132BE299" w:rsidR="0048794C" w:rsidRDefault="0048794C">
      <w:pPr>
        <w:pStyle w:val="FootnoteText"/>
      </w:pPr>
      <w:r>
        <w:rPr>
          <w:rStyle w:val="FootnoteReference"/>
        </w:rPr>
        <w:footnoteRef/>
      </w:r>
      <w:r>
        <w:t xml:space="preserve"> </w:t>
      </w:r>
      <w:r>
        <w:tab/>
        <w:t xml:space="preserve">Refer to footnote </w:t>
      </w:r>
      <w:r w:rsidR="0081509E">
        <w:t>6</w:t>
      </w:r>
      <w:r>
        <w:t>.</w:t>
      </w:r>
    </w:p>
  </w:footnote>
  <w:footnote w:id="13">
    <w:p w14:paraId="1AE18D78" w14:textId="77777777" w:rsidR="0048794C" w:rsidRDefault="0048794C">
      <w:pPr>
        <w:pStyle w:val="FootnoteText"/>
      </w:pPr>
      <w:r>
        <w:rPr>
          <w:rStyle w:val="FootnoteReference"/>
        </w:rPr>
        <w:footnoteRef/>
      </w:r>
      <w:r>
        <w:t xml:space="preserve"> </w:t>
      </w:r>
      <w:r>
        <w:tab/>
      </w:r>
      <w:r w:rsidRPr="00281D8F">
        <w:rPr>
          <w:szCs w:val="20"/>
        </w:rPr>
        <w:t xml:space="preserve">For example, the instruments used to transfer credit risk </w:t>
      </w:r>
      <w:r>
        <w:rPr>
          <w:szCs w:val="20"/>
        </w:rPr>
        <w:t xml:space="preserve">in a synthetic securitisation </w:t>
      </w:r>
      <w:r w:rsidRPr="00281D8F">
        <w:rPr>
          <w:szCs w:val="20"/>
        </w:rPr>
        <w:t xml:space="preserve">must not contain clauses that allow for the early termination of the protection due to deterioration in the credit quality of the underlying exposures, significant materiality thresholds below which credit protection is deemed not to be triggered even if a credit event occurs or early amortisation provisions in </w:t>
      </w:r>
      <w:r>
        <w:rPr>
          <w:szCs w:val="20"/>
        </w:rPr>
        <w:t xml:space="preserve">a </w:t>
      </w:r>
      <w:r w:rsidRPr="00281D8F">
        <w:rPr>
          <w:szCs w:val="20"/>
        </w:rPr>
        <w:t xml:space="preserve">securitisation </w:t>
      </w:r>
      <w:r>
        <w:rPr>
          <w:szCs w:val="20"/>
        </w:rPr>
        <w:t xml:space="preserve">of revolving credit facilities </w:t>
      </w:r>
      <w:r w:rsidRPr="00281D8F">
        <w:rPr>
          <w:szCs w:val="20"/>
        </w:rPr>
        <w:t>that subordinate the originating ADI’s interest</w:t>
      </w:r>
      <w:r>
        <w:rPr>
          <w:szCs w:val="20"/>
        </w:rPr>
        <w:t>.</w:t>
      </w:r>
    </w:p>
  </w:footnote>
  <w:footnote w:id="14">
    <w:p w14:paraId="1AE18D79" w14:textId="57BC3EAB" w:rsidR="0048794C" w:rsidRDefault="0048794C">
      <w:pPr>
        <w:pStyle w:val="FootnoteText"/>
      </w:pPr>
      <w:r>
        <w:rPr>
          <w:rStyle w:val="FootnoteReference"/>
        </w:rPr>
        <w:footnoteRef/>
      </w:r>
      <w:r>
        <w:t xml:space="preserve"> </w:t>
      </w:r>
      <w:r>
        <w:tab/>
      </w:r>
      <w:r w:rsidRPr="00281D8F">
        <w:rPr>
          <w:szCs w:val="20"/>
        </w:rPr>
        <w:t xml:space="preserve">For the purpose of paragraph </w:t>
      </w:r>
      <w:r w:rsidR="00B7081B">
        <w:rPr>
          <w:szCs w:val="20"/>
        </w:rPr>
        <w:fldChar w:fldCharType="begin"/>
      </w:r>
      <w:r w:rsidR="00B7081B">
        <w:rPr>
          <w:szCs w:val="20"/>
        </w:rPr>
        <w:instrText xml:space="preserve"> REF _Ref126917511 \r \h </w:instrText>
      </w:r>
      <w:r w:rsidR="00B7081B">
        <w:rPr>
          <w:szCs w:val="20"/>
        </w:rPr>
      </w:r>
      <w:r w:rsidR="00B7081B">
        <w:rPr>
          <w:szCs w:val="20"/>
        </w:rPr>
        <w:fldChar w:fldCharType="separate"/>
      </w:r>
      <w:r w:rsidR="00642B90">
        <w:rPr>
          <w:szCs w:val="20"/>
        </w:rPr>
        <w:t>34</w:t>
      </w:r>
      <w:r w:rsidR="00B7081B">
        <w:rPr>
          <w:szCs w:val="20"/>
        </w:rPr>
        <w:fldChar w:fldCharType="end"/>
      </w:r>
      <w:r w:rsidRPr="00281D8F">
        <w:rPr>
          <w:szCs w:val="20"/>
        </w:rPr>
        <w:t>, an originating ADI need not have regard to the interposed structure whe</w:t>
      </w:r>
      <w:r>
        <w:rPr>
          <w:szCs w:val="20"/>
        </w:rPr>
        <w:t xml:space="preserve">n assigning risk weights to the </w:t>
      </w:r>
      <w:r w:rsidRPr="00281D8F">
        <w:rPr>
          <w:szCs w:val="20"/>
        </w:rPr>
        <w:t>underlying exposures in the pool</w:t>
      </w:r>
      <w:r>
        <w:rPr>
          <w:szCs w:val="20"/>
        </w:rPr>
        <w:t xml:space="preserve"> under APS 112 or APS 113.</w:t>
      </w:r>
    </w:p>
  </w:footnote>
  <w:footnote w:id="15">
    <w:p w14:paraId="1AE18D7A" w14:textId="4E130243" w:rsidR="0048794C" w:rsidRDefault="0048794C">
      <w:pPr>
        <w:pStyle w:val="FootnoteText"/>
      </w:pPr>
      <w:r>
        <w:rPr>
          <w:rStyle w:val="FootnoteReference"/>
        </w:rPr>
        <w:footnoteRef/>
      </w:r>
      <w:r>
        <w:t xml:space="preserve"> </w:t>
      </w:r>
      <w:r>
        <w:tab/>
        <w:t xml:space="preserve">For the purpose of paragraph </w:t>
      </w:r>
      <w:r w:rsidR="00B7081B">
        <w:fldChar w:fldCharType="begin"/>
      </w:r>
      <w:r w:rsidR="00B7081B">
        <w:instrText xml:space="preserve"> REF _Ref464808082 \r \h </w:instrText>
      </w:r>
      <w:r w:rsidR="00B7081B">
        <w:fldChar w:fldCharType="separate"/>
      </w:r>
      <w:r w:rsidR="00642B90">
        <w:t>36</w:t>
      </w:r>
      <w:r w:rsidR="00B7081B">
        <w:fldChar w:fldCharType="end"/>
      </w:r>
      <w:r>
        <w:t xml:space="preserve">, an originating ADI does not include an ADI whose </w:t>
      </w:r>
      <w:r w:rsidRPr="00A85644">
        <w:t xml:space="preserve">role </w:t>
      </w:r>
      <w:r>
        <w:t xml:space="preserve">in </w:t>
      </w:r>
      <w:r w:rsidRPr="00A85644">
        <w:t xml:space="preserve">a </w:t>
      </w:r>
      <w:r>
        <w:t>s</w:t>
      </w:r>
      <w:r w:rsidRPr="00A85644">
        <w:t xml:space="preserve">ecuritisation </w:t>
      </w:r>
      <w:r>
        <w:t xml:space="preserve">of revolving credit facilities is </w:t>
      </w:r>
      <w:r w:rsidRPr="00A85644">
        <w:t xml:space="preserve">limited </w:t>
      </w:r>
      <w:r>
        <w:t xml:space="preserve">solely </w:t>
      </w:r>
      <w:r w:rsidRPr="00A85644">
        <w:t>to managing the scheme</w:t>
      </w:r>
      <w:r>
        <w:t>.</w:t>
      </w:r>
    </w:p>
  </w:footnote>
  <w:footnote w:id="16">
    <w:p w14:paraId="1AE18D7B" w14:textId="2AF6A425" w:rsidR="0048794C" w:rsidRDefault="0048794C">
      <w:pPr>
        <w:pStyle w:val="FootnoteText"/>
      </w:pPr>
      <w:r>
        <w:rPr>
          <w:rStyle w:val="FootnoteReference"/>
        </w:rPr>
        <w:footnoteRef/>
      </w:r>
      <w:r>
        <w:t xml:space="preserve"> </w:t>
      </w:r>
      <w:r>
        <w:tab/>
      </w:r>
      <w:r w:rsidRPr="00A85644">
        <w:t xml:space="preserve">For the purpose of paragraph </w:t>
      </w:r>
      <w:r w:rsidR="00B7081B">
        <w:fldChar w:fldCharType="begin"/>
      </w:r>
      <w:r w:rsidR="00B7081B">
        <w:instrText xml:space="preserve"> REF _Ref464808090 \r \h </w:instrText>
      </w:r>
      <w:r w:rsidR="00B7081B">
        <w:fldChar w:fldCharType="separate"/>
      </w:r>
      <w:r w:rsidR="00642B90">
        <w:t>37</w:t>
      </w:r>
      <w:r w:rsidR="00B7081B">
        <w:fldChar w:fldCharType="end"/>
      </w:r>
      <w:r>
        <w:t xml:space="preserve">, </w:t>
      </w:r>
      <w:r w:rsidRPr="00A85644">
        <w:t>an originating ADI does not include an ADI whose role in a</w:t>
      </w:r>
      <w:r>
        <w:t xml:space="preserve">n ABCP securitisation </w:t>
      </w:r>
      <w:r w:rsidRPr="00A85644">
        <w:t xml:space="preserve">is limited </w:t>
      </w:r>
      <w:r>
        <w:t xml:space="preserve">solely </w:t>
      </w:r>
      <w:r w:rsidRPr="00A85644">
        <w:t>to managing the scheme</w:t>
      </w:r>
      <w:r>
        <w:t>.</w:t>
      </w:r>
    </w:p>
  </w:footnote>
  <w:footnote w:id="17">
    <w:p w14:paraId="1AE18D7C" w14:textId="77777777" w:rsidR="0048794C" w:rsidRDefault="0048794C">
      <w:pPr>
        <w:pStyle w:val="FootnoteText"/>
      </w:pPr>
      <w:r>
        <w:rPr>
          <w:rStyle w:val="FootnoteReference"/>
        </w:rPr>
        <w:footnoteRef/>
      </w:r>
      <w:r>
        <w:t xml:space="preserve"> </w:t>
      </w:r>
      <w:r>
        <w:tab/>
      </w:r>
      <w:r w:rsidRPr="00A27363">
        <w:t>For this purpose, eligible collateral pledged by SPVs is recognised</w:t>
      </w:r>
      <w:r>
        <w:t>.</w:t>
      </w:r>
    </w:p>
  </w:footnote>
  <w:footnote w:id="18">
    <w:p w14:paraId="1AE18D7D" w14:textId="77777777" w:rsidR="0048794C" w:rsidRDefault="0048794C">
      <w:pPr>
        <w:pStyle w:val="FootnoteText"/>
      </w:pPr>
      <w:r>
        <w:rPr>
          <w:rStyle w:val="FootnoteReference"/>
        </w:rPr>
        <w:footnoteRef/>
      </w:r>
      <w:r>
        <w:t xml:space="preserve"> </w:t>
      </w:r>
      <w:r>
        <w:tab/>
      </w:r>
      <w:r w:rsidRPr="00A27363">
        <w:t>For this purpose, SPVs are not recognised as eligible</w:t>
      </w:r>
      <w:r>
        <w:t xml:space="preserve"> </w:t>
      </w:r>
      <w:r w:rsidRPr="00A27363">
        <w:t>guarantors</w:t>
      </w:r>
      <w:r>
        <w:t>.</w:t>
      </w:r>
    </w:p>
  </w:footnote>
  <w:footnote w:id="19">
    <w:p w14:paraId="1AE18D7E" w14:textId="77777777" w:rsidR="0048794C" w:rsidRDefault="0048794C">
      <w:pPr>
        <w:pStyle w:val="FootnoteText"/>
      </w:pPr>
      <w:r>
        <w:rPr>
          <w:rStyle w:val="FootnoteReference"/>
        </w:rPr>
        <w:footnoteRef/>
      </w:r>
      <w:r>
        <w:t xml:space="preserve"> </w:t>
      </w:r>
      <w:r>
        <w:tab/>
      </w:r>
      <w:r w:rsidRPr="00A27363">
        <w:t>For this purpose, SPVs are not recognised as eligible</w:t>
      </w:r>
      <w:r>
        <w:t xml:space="preserve"> </w:t>
      </w:r>
      <w:r w:rsidRPr="00A27363">
        <w:t>credit protection providers</w:t>
      </w:r>
      <w:r>
        <w:t>.</w:t>
      </w:r>
    </w:p>
  </w:footnote>
  <w:footnote w:id="20">
    <w:p w14:paraId="1AE18D7F" w14:textId="77777777" w:rsidR="0048794C" w:rsidRDefault="0048794C">
      <w:pPr>
        <w:pStyle w:val="FootnoteText"/>
      </w:pPr>
      <w:r>
        <w:rPr>
          <w:rStyle w:val="FootnoteReference"/>
        </w:rPr>
        <w:footnoteRef/>
      </w:r>
      <w:r>
        <w:t xml:space="preserve"> </w:t>
      </w:r>
      <w:r>
        <w:tab/>
        <w:t>In the case of tranched credit protection to a securitisation exposure, the original securitisation tranche is decomposed into protected and unprotected sub-tranches. The decomposition is not treated as a new securitisation transaction. The resulting sub-tranches are not considered resecuritisation exposures solely due to the presence of credit protection.</w:t>
      </w:r>
    </w:p>
  </w:footnote>
  <w:footnote w:id="21">
    <w:p w14:paraId="1AE18D80" w14:textId="573D7655" w:rsidR="0048794C" w:rsidRDefault="0048794C">
      <w:pPr>
        <w:pStyle w:val="FootnoteText"/>
      </w:pPr>
      <w:r>
        <w:rPr>
          <w:rStyle w:val="FootnoteReference"/>
        </w:rPr>
        <w:footnoteRef/>
      </w:r>
      <w:r>
        <w:t xml:space="preserve"> </w:t>
      </w:r>
      <w:r>
        <w:tab/>
        <w:t xml:space="preserve">For the purpose of paragraph </w:t>
      </w:r>
      <w:r w:rsidR="008F7115">
        <w:fldChar w:fldCharType="begin"/>
      </w:r>
      <w:r w:rsidR="008F7115">
        <w:instrText xml:space="preserve"> REF _Ref465156403 \r \h </w:instrText>
      </w:r>
      <w:r w:rsidR="008F7115">
        <w:fldChar w:fldCharType="separate"/>
      </w:r>
      <w:r w:rsidR="00642B90">
        <w:t>54</w:t>
      </w:r>
      <w:r w:rsidR="008F7115">
        <w:fldChar w:fldCharType="end"/>
      </w:r>
      <w:r>
        <w:t>, ‘w</w:t>
      </w:r>
      <w:r w:rsidRPr="003C3DB3">
        <w:t>holesale clients’ has the meaning given by section 761A of the</w:t>
      </w:r>
      <w:r>
        <w:t xml:space="preserve"> </w:t>
      </w:r>
      <w:r w:rsidRPr="003D324A">
        <w:rPr>
          <w:i/>
        </w:rPr>
        <w:t>Corporations Act</w:t>
      </w:r>
      <w:r>
        <w:rPr>
          <w:i/>
        </w:rPr>
        <w:t xml:space="preserve"> 2001</w:t>
      </w:r>
      <w:r w:rsidRPr="003C3DB3">
        <w:t xml:space="preserve"> </w:t>
      </w:r>
      <w:r w:rsidRPr="003D324A">
        <w:t>(</w:t>
      </w:r>
      <w:r w:rsidRPr="00BF2E15">
        <w:rPr>
          <w:b/>
        </w:rPr>
        <w:t>Corporations Act</w:t>
      </w:r>
      <w:r w:rsidRPr="003D324A">
        <w:t>)</w:t>
      </w:r>
      <w:r w:rsidRPr="003C3DB3">
        <w:t>.</w:t>
      </w:r>
    </w:p>
  </w:footnote>
  <w:footnote w:id="22">
    <w:p w14:paraId="1AE18D81" w14:textId="29E67F35" w:rsidR="0048794C" w:rsidRDefault="0048794C">
      <w:pPr>
        <w:pStyle w:val="FootnoteText"/>
      </w:pPr>
      <w:r>
        <w:rPr>
          <w:rStyle w:val="FootnoteReference"/>
        </w:rPr>
        <w:footnoteRef/>
      </w:r>
      <w:r>
        <w:t xml:space="preserve"> </w:t>
      </w:r>
      <w:r>
        <w:tab/>
      </w:r>
      <w:r w:rsidRPr="00D10A96">
        <w:rPr>
          <w:rFonts w:cstheme="minorHAnsi"/>
        </w:rPr>
        <w:t>For the purpose of paragraph</w:t>
      </w:r>
      <w:r>
        <w:rPr>
          <w:rFonts w:cstheme="minorHAnsi"/>
        </w:rPr>
        <w:t xml:space="preserve"> </w:t>
      </w:r>
      <w:r w:rsidR="008F7115">
        <w:rPr>
          <w:rFonts w:cstheme="minorHAnsi"/>
        </w:rPr>
        <w:fldChar w:fldCharType="begin"/>
      </w:r>
      <w:r w:rsidR="008F7115">
        <w:rPr>
          <w:rFonts w:cstheme="minorHAnsi"/>
        </w:rPr>
        <w:instrText xml:space="preserve"> REF _Ref465156419 \r \h </w:instrText>
      </w:r>
      <w:r w:rsidR="008F7115">
        <w:rPr>
          <w:rFonts w:cstheme="minorHAnsi"/>
        </w:rPr>
      </w:r>
      <w:r w:rsidR="008F7115">
        <w:rPr>
          <w:rFonts w:cstheme="minorHAnsi"/>
        </w:rPr>
        <w:fldChar w:fldCharType="separate"/>
      </w:r>
      <w:r w:rsidR="00642B90">
        <w:rPr>
          <w:rFonts w:cstheme="minorHAnsi"/>
        </w:rPr>
        <w:t>57</w:t>
      </w:r>
      <w:r w:rsidR="008F7115">
        <w:rPr>
          <w:rFonts w:cstheme="minorHAnsi"/>
        </w:rPr>
        <w:fldChar w:fldCharType="end"/>
      </w:r>
      <w:r w:rsidRPr="00D10A96">
        <w:rPr>
          <w:rFonts w:cstheme="minorHAnsi"/>
        </w:rPr>
        <w:t xml:space="preserve">, </w:t>
      </w:r>
      <w:r>
        <w:rPr>
          <w:rFonts w:cstheme="minorHAnsi"/>
        </w:rPr>
        <w:t xml:space="preserve">a </w:t>
      </w:r>
      <w:r w:rsidRPr="00D10A96">
        <w:rPr>
          <w:rFonts w:cstheme="minorHAnsi"/>
        </w:rPr>
        <w:t xml:space="preserve">liquidity facility that </w:t>
      </w:r>
      <w:r>
        <w:rPr>
          <w:rFonts w:cstheme="minorHAnsi"/>
        </w:rPr>
        <w:t xml:space="preserve">only </w:t>
      </w:r>
      <w:r w:rsidRPr="00D10A96">
        <w:rPr>
          <w:rFonts w:cstheme="minorHAnsi"/>
        </w:rPr>
        <w:t xml:space="preserve">covers </w:t>
      </w:r>
      <w:r>
        <w:t>timing mismatches between receipts of funds on underlying exposures and payments on securities issued by the SPV</w:t>
      </w:r>
      <w:r>
        <w:rPr>
          <w:rFonts w:cstheme="minorHAnsi"/>
        </w:rPr>
        <w:t>, and is limited and</w:t>
      </w:r>
      <w:r w:rsidRPr="00D10A96">
        <w:rPr>
          <w:rFonts w:cstheme="minorHAnsi"/>
        </w:rPr>
        <w:t xml:space="preserve"> sized as a relatively small proportion of the pool, </w:t>
      </w:r>
      <w:r>
        <w:rPr>
          <w:rFonts w:cstheme="minorHAnsi"/>
        </w:rPr>
        <w:t xml:space="preserve">is not </w:t>
      </w:r>
      <w:r w:rsidRPr="00D10A96">
        <w:rPr>
          <w:rFonts w:cstheme="minorHAnsi"/>
        </w:rPr>
        <w:t xml:space="preserve">considered </w:t>
      </w:r>
      <w:r>
        <w:rPr>
          <w:rFonts w:cstheme="minorHAnsi"/>
        </w:rPr>
        <w:t>‘unfunded support’</w:t>
      </w:r>
      <w:r w:rsidRPr="00D10A96">
        <w:rPr>
          <w:rFonts w:cstheme="minorHAnsi"/>
        </w:rPr>
        <w:t>.</w:t>
      </w:r>
      <w:r w:rsidRPr="001245BD">
        <w:t xml:space="preserve"> </w:t>
      </w:r>
      <w:r>
        <w:t>Derivatives transactions</w:t>
      </w:r>
      <w:r w:rsidRPr="001245BD">
        <w:rPr>
          <w:rFonts w:cstheme="minorHAnsi"/>
        </w:rPr>
        <w:t xml:space="preserve"> </w:t>
      </w:r>
      <w:r>
        <w:rPr>
          <w:rFonts w:cstheme="minorHAnsi"/>
        </w:rPr>
        <w:t xml:space="preserve">are not </w:t>
      </w:r>
      <w:r w:rsidRPr="001245BD">
        <w:rPr>
          <w:rFonts w:cstheme="minorHAnsi"/>
        </w:rPr>
        <w:t xml:space="preserve">considered </w:t>
      </w:r>
      <w:r>
        <w:rPr>
          <w:rFonts w:cstheme="minorHAnsi"/>
        </w:rPr>
        <w:t xml:space="preserve">unfunded </w:t>
      </w:r>
      <w:r w:rsidRPr="001245BD">
        <w:rPr>
          <w:rFonts w:cstheme="minorHAnsi"/>
        </w:rPr>
        <w:t xml:space="preserve">support </w:t>
      </w:r>
      <w:r>
        <w:rPr>
          <w:rFonts w:cstheme="minorHAnsi"/>
        </w:rPr>
        <w:t xml:space="preserve">where </w:t>
      </w:r>
      <w:r w:rsidRPr="001245BD">
        <w:rPr>
          <w:rFonts w:cstheme="minorHAnsi"/>
        </w:rPr>
        <w:t>they</w:t>
      </w:r>
      <w:r>
        <w:rPr>
          <w:rFonts w:cstheme="minorHAnsi"/>
        </w:rPr>
        <w:t xml:space="preserve"> do</w:t>
      </w:r>
      <w:r w:rsidRPr="001245BD">
        <w:rPr>
          <w:rFonts w:cstheme="minorHAnsi"/>
        </w:rPr>
        <w:t xml:space="preserve"> </w:t>
      </w:r>
      <w:r>
        <w:rPr>
          <w:rFonts w:cstheme="minorHAnsi"/>
        </w:rPr>
        <w:t xml:space="preserve">not </w:t>
      </w:r>
      <w:r w:rsidRPr="001245BD">
        <w:rPr>
          <w:rFonts w:cstheme="minorHAnsi"/>
        </w:rPr>
        <w:t>provide credit enhancement</w:t>
      </w:r>
      <w:r>
        <w:rPr>
          <w:rFonts w:cstheme="minorHAnsi"/>
        </w:rPr>
        <w:t>.</w:t>
      </w:r>
    </w:p>
  </w:footnote>
  <w:footnote w:id="23">
    <w:p w14:paraId="1AE18D82" w14:textId="77777777" w:rsidR="0048794C" w:rsidRDefault="0048794C">
      <w:pPr>
        <w:pStyle w:val="FootnoteText"/>
      </w:pPr>
      <w:r>
        <w:rPr>
          <w:rStyle w:val="FootnoteReference"/>
        </w:rPr>
        <w:footnoteRef/>
      </w:r>
      <w:r>
        <w:t xml:space="preserve"> </w:t>
      </w:r>
      <w:r>
        <w:tab/>
      </w:r>
      <w:r w:rsidRPr="00281D8F">
        <w:rPr>
          <w:szCs w:val="20"/>
        </w:rPr>
        <w:t xml:space="preserve">The deduction does not apply to an originating ADI where the originating ADI </w:t>
      </w:r>
      <w:r>
        <w:rPr>
          <w:szCs w:val="20"/>
        </w:rPr>
        <w:t>in</w:t>
      </w:r>
      <w:r w:rsidRPr="00281D8F">
        <w:rPr>
          <w:szCs w:val="20"/>
        </w:rPr>
        <w:t>clude</w:t>
      </w:r>
      <w:r>
        <w:rPr>
          <w:szCs w:val="20"/>
        </w:rPr>
        <w:t>s</w:t>
      </w:r>
      <w:r w:rsidRPr="00281D8F">
        <w:rPr>
          <w:szCs w:val="20"/>
        </w:rPr>
        <w:t xml:space="preserve"> the underlying exposures in the pool in the calculation of its regulatory capital for credit risk under APS 112 or APS 113</w:t>
      </w:r>
      <w:r>
        <w:rPr>
          <w:szCs w:val="20"/>
        </w:rPr>
        <w:t>.</w:t>
      </w:r>
    </w:p>
  </w:footnote>
  <w:footnote w:id="24">
    <w:p w14:paraId="1AE18D83" w14:textId="77777777" w:rsidR="0048794C" w:rsidRDefault="0048794C">
      <w:pPr>
        <w:pStyle w:val="FootnoteText"/>
      </w:pPr>
      <w:r>
        <w:rPr>
          <w:rStyle w:val="FootnoteReference"/>
        </w:rPr>
        <w:footnoteRef/>
      </w:r>
      <w:r>
        <w:t xml:space="preserve"> </w:t>
      </w:r>
      <w:r>
        <w:tab/>
      </w:r>
      <w:r w:rsidRPr="00C548D2">
        <w:t>Services do not overlap as the cash collateral required to collateralise services provided by an ADI does not relate to any particular facility or other exposure</w:t>
      </w:r>
      <w:r>
        <w:t>.</w:t>
      </w:r>
    </w:p>
  </w:footnote>
  <w:footnote w:id="25">
    <w:p w14:paraId="1AE18D84" w14:textId="77777777" w:rsidR="0048794C" w:rsidRDefault="0048794C">
      <w:pPr>
        <w:pStyle w:val="FootnoteText"/>
      </w:pPr>
      <w:r>
        <w:rPr>
          <w:rStyle w:val="FootnoteReference"/>
        </w:rPr>
        <w:footnoteRef/>
      </w:r>
      <w:r>
        <w:t xml:space="preserve"> </w:t>
      </w:r>
      <w:r>
        <w:tab/>
        <w:t>An originating ADI is not required to hold regulatory capital for cash collateral where treated as a securitisation exposure, where</w:t>
      </w:r>
      <w:r w:rsidRPr="00DE4C1B">
        <w:t xml:space="preserve"> </w:t>
      </w:r>
      <w:r>
        <w:t>the</w:t>
      </w:r>
      <w:r w:rsidRPr="00DE4C1B">
        <w:t xml:space="preserve"> originating ADI </w:t>
      </w:r>
      <w:r>
        <w:t>includes</w:t>
      </w:r>
      <w:r w:rsidRPr="00DE4C1B">
        <w:t xml:space="preserve"> the underlying exposures in the pool in the calculation of its regulatory capital for credit risk under APS 112 or APS 113</w:t>
      </w:r>
      <w:r>
        <w:t>.</w:t>
      </w:r>
    </w:p>
  </w:footnote>
  <w:footnote w:id="26">
    <w:p w14:paraId="1AE18D85" w14:textId="77777777" w:rsidR="0048794C" w:rsidRDefault="0048794C">
      <w:pPr>
        <w:pStyle w:val="FootnoteText"/>
      </w:pPr>
      <w:r>
        <w:rPr>
          <w:rStyle w:val="FootnoteReference"/>
        </w:rPr>
        <w:footnoteRef/>
      </w:r>
      <w:r>
        <w:t xml:space="preserve"> </w:t>
      </w:r>
      <w:r>
        <w:tab/>
        <w:t>An originating ADI is not required to hold regulatory capital for a redraw funding facility to the SPV, where the originating ADI</w:t>
      </w:r>
      <w:r w:rsidRPr="00DF0EEA">
        <w:t xml:space="preserve"> </w:t>
      </w:r>
      <w:r>
        <w:t>in</w:t>
      </w:r>
      <w:r w:rsidRPr="00DF0EEA">
        <w:t>clude</w:t>
      </w:r>
      <w:r>
        <w:t>s</w:t>
      </w:r>
      <w:r w:rsidRPr="00DF0EEA">
        <w:t xml:space="preserve"> the underlying exposures </w:t>
      </w:r>
      <w:r>
        <w:t>i</w:t>
      </w:r>
      <w:r w:rsidRPr="00DF0EEA">
        <w:t>n the pool in the calculation of its regulatory capital for credit risk under APS 112 or APS 113.</w:t>
      </w:r>
    </w:p>
  </w:footnote>
  <w:footnote w:id="27">
    <w:p w14:paraId="1AE18D86" w14:textId="77777777" w:rsidR="0048794C" w:rsidRDefault="0048794C">
      <w:pPr>
        <w:pStyle w:val="FootnoteText"/>
      </w:pPr>
      <w:r>
        <w:rPr>
          <w:rStyle w:val="FootnoteReference"/>
        </w:rPr>
        <w:footnoteRef/>
      </w:r>
      <w:r>
        <w:t xml:space="preserve"> </w:t>
      </w:r>
      <w:r>
        <w:tab/>
        <w:t>In the absence of a</w:t>
      </w:r>
      <w:r w:rsidRPr="00894889">
        <w:t xml:space="preserve"> clean-up call, an originating </w:t>
      </w:r>
      <w:r>
        <w:t xml:space="preserve">ADI </w:t>
      </w:r>
      <w:r w:rsidRPr="00894889">
        <w:t>must apply and APRA agree to a fixed period for transition</w:t>
      </w:r>
      <w:r>
        <w:t>.</w:t>
      </w:r>
    </w:p>
  </w:footnote>
  <w:footnote w:id="28">
    <w:p w14:paraId="1AE18D87" w14:textId="77777777" w:rsidR="0048794C" w:rsidRDefault="0048794C">
      <w:pPr>
        <w:pStyle w:val="FootnoteText"/>
      </w:pPr>
      <w:r>
        <w:rPr>
          <w:rStyle w:val="FootnoteReference"/>
        </w:rPr>
        <w:footnoteRef/>
      </w:r>
      <w:r>
        <w:t xml:space="preserve"> </w:t>
      </w:r>
      <w:r>
        <w:tab/>
        <w:t>Refer to subsection 11AF(2) of the Banking Act.</w:t>
      </w:r>
    </w:p>
  </w:footnote>
  <w:footnote w:id="29">
    <w:p w14:paraId="1AE18D88" w14:textId="77777777" w:rsidR="0048794C" w:rsidRDefault="0048794C">
      <w:pPr>
        <w:pStyle w:val="FootnoteText"/>
      </w:pPr>
      <w:r>
        <w:rPr>
          <w:rStyle w:val="FootnoteReference"/>
        </w:rPr>
        <w:footnoteRef/>
      </w:r>
      <w:r>
        <w:t xml:space="preserve"> </w:t>
      </w:r>
      <w:r>
        <w:tab/>
        <w:t>This does not include</w:t>
      </w:r>
      <w:r w:rsidRPr="00DD4D8F">
        <w:t xml:space="preserve"> a member of a group </w:t>
      </w:r>
      <w:r>
        <w:t xml:space="preserve">that </w:t>
      </w:r>
      <w:r w:rsidRPr="00DD4D8F">
        <w:t>act</w:t>
      </w:r>
      <w:r>
        <w:t>s</w:t>
      </w:r>
      <w:r w:rsidRPr="00DD4D8F">
        <w:t xml:space="preserve"> </w:t>
      </w:r>
      <w:r>
        <w:t xml:space="preserve">independently </w:t>
      </w:r>
      <w:r w:rsidRPr="00DD4D8F">
        <w:t>on behalf of third parties</w:t>
      </w:r>
      <w:r>
        <w:t xml:space="preserve"> e.g. </w:t>
      </w:r>
      <w:r w:rsidRPr="00DD4D8F">
        <w:t>statutory funds of life insurance companies, responsible entities, trustees or custodians acting on behalf of beneficiaries or members</w:t>
      </w:r>
      <w:r>
        <w:t>.</w:t>
      </w:r>
    </w:p>
  </w:footnote>
  <w:footnote w:id="30">
    <w:p w14:paraId="1AE18D89" w14:textId="77777777" w:rsidR="0048794C" w:rsidRDefault="0048794C">
      <w:pPr>
        <w:pStyle w:val="FootnoteText"/>
      </w:pPr>
      <w:r>
        <w:rPr>
          <w:rStyle w:val="FootnoteReference"/>
        </w:rPr>
        <w:footnoteRef/>
      </w:r>
      <w:r>
        <w:t xml:space="preserve"> </w:t>
      </w:r>
      <w:r>
        <w:tab/>
        <w:t>For the purpose of determining the amount of loss cover held, funded or provided by an originating ADI, an originating ADI may disregard any increase in loss cover arising from its entitlement to residual income.</w:t>
      </w:r>
    </w:p>
  </w:footnote>
  <w:footnote w:id="31">
    <w:p w14:paraId="1AE18D8A" w14:textId="722A6E98" w:rsidR="0048794C" w:rsidRPr="00A2654C" w:rsidRDefault="0048794C">
      <w:pPr>
        <w:pStyle w:val="FootnoteText"/>
        <w:rPr>
          <w:b/>
        </w:rPr>
      </w:pPr>
      <w:r>
        <w:rPr>
          <w:rStyle w:val="FootnoteReference"/>
        </w:rPr>
        <w:footnoteRef/>
      </w:r>
      <w:r>
        <w:t xml:space="preserve"> </w:t>
      </w:r>
      <w:r>
        <w:tab/>
      </w:r>
      <w:r w:rsidRPr="00BF2E15">
        <w:t>In these circumstances, the maximum holding</w:t>
      </w:r>
      <w:r>
        <w:t xml:space="preserve"> or funding </w:t>
      </w:r>
      <w:r w:rsidRPr="00BF2E15">
        <w:t xml:space="preserve">of </w:t>
      </w:r>
      <w:r>
        <w:t>non-senior</w:t>
      </w:r>
      <w:r w:rsidRPr="00BF2E15">
        <w:t xml:space="preserve"> securities or </w:t>
      </w:r>
      <w:r>
        <w:t>holding, funding or provision of other loss positions or credit enhancements</w:t>
      </w:r>
      <w:r w:rsidRPr="00BF2E15">
        <w:t xml:space="preserve"> specified in paragraphs</w:t>
      </w:r>
      <w:r>
        <w:t xml:space="preserve"> </w:t>
      </w:r>
      <w:r>
        <w:fldChar w:fldCharType="begin"/>
      </w:r>
      <w:r>
        <w:instrText xml:space="preserve"> REF _Ref465072757 \r \h </w:instrText>
      </w:r>
      <w:r>
        <w:fldChar w:fldCharType="separate"/>
      </w:r>
      <w:r w:rsidR="00642B90">
        <w:t>1(a)</w:t>
      </w:r>
      <w:r>
        <w:fldChar w:fldCharType="end"/>
      </w:r>
      <w:r w:rsidRPr="00BF2E15">
        <w:t xml:space="preserve"> and </w:t>
      </w:r>
      <w:r>
        <w:fldChar w:fldCharType="begin"/>
      </w:r>
      <w:r>
        <w:instrText xml:space="preserve"> REF _Ref465072845 \r \h </w:instrText>
      </w:r>
      <w:r>
        <w:fldChar w:fldCharType="separate"/>
      </w:r>
      <w:r w:rsidR="00642B90">
        <w:t>1(b)</w:t>
      </w:r>
      <w:r>
        <w:fldChar w:fldCharType="end"/>
      </w:r>
      <w:r w:rsidRPr="00BF2E15">
        <w:t xml:space="preserve"> of this Attachment are multiplied by the proportion of assets originated in the pool to the total amount of assets in the pool. </w:t>
      </w:r>
      <w:r>
        <w:t xml:space="preserve">The maximum holding or funding of non-senior securities or holding, funding or provision of other loss positions or credit enhancements for </w:t>
      </w:r>
      <w:r w:rsidRPr="00BF2E15">
        <w:t xml:space="preserve">a managing ADI </w:t>
      </w:r>
      <w:r>
        <w:t xml:space="preserve">is based on the lowest proportion of assets originated into the pool by any originator, except in the case of a third party managing ADI (an ADI that does not contribute any assets into the pool), where the third party managing ADI </w:t>
      </w:r>
      <w:r w:rsidRPr="00BF2E15">
        <w:t>must apply the tests in paragraphs</w:t>
      </w:r>
      <w:r>
        <w:t xml:space="preserve"> </w:t>
      </w:r>
      <w:r>
        <w:fldChar w:fldCharType="begin"/>
      </w:r>
      <w:r>
        <w:instrText xml:space="preserve"> REF _Ref465072757 \r \h </w:instrText>
      </w:r>
      <w:r>
        <w:fldChar w:fldCharType="separate"/>
      </w:r>
      <w:r w:rsidR="00642B90">
        <w:t>1(a)</w:t>
      </w:r>
      <w:r>
        <w:fldChar w:fldCharType="end"/>
      </w:r>
      <w:r>
        <w:t xml:space="preserve"> a</w:t>
      </w:r>
      <w:r w:rsidRPr="00BF2E15">
        <w:t>nd</w:t>
      </w:r>
      <w:r>
        <w:t xml:space="preserve"> </w:t>
      </w:r>
      <w:r>
        <w:fldChar w:fldCharType="begin"/>
      </w:r>
      <w:r>
        <w:instrText xml:space="preserve"> REF _Ref465072845 \r \h </w:instrText>
      </w:r>
      <w:r>
        <w:fldChar w:fldCharType="separate"/>
      </w:r>
      <w:r w:rsidR="00642B90">
        <w:t>1(b)</w:t>
      </w:r>
      <w:r>
        <w:fldChar w:fldCharType="end"/>
      </w:r>
      <w:r>
        <w:t xml:space="preserve"> </w:t>
      </w:r>
      <w:r w:rsidRPr="00BF2E15">
        <w:t>of this Attachment as if the ADI ha</w:t>
      </w:r>
      <w:r>
        <w:t>d</w:t>
      </w:r>
      <w:r w:rsidRPr="00BF2E15">
        <w:t xml:space="preserve"> originated all the assets in the pool</w:t>
      </w:r>
      <w:r>
        <w:t>.</w:t>
      </w:r>
    </w:p>
  </w:footnote>
  <w:footnote w:id="32">
    <w:p w14:paraId="1AE18D8B" w14:textId="4BB751D0" w:rsidR="0048794C" w:rsidRDefault="0048794C">
      <w:pPr>
        <w:pStyle w:val="FootnoteText"/>
      </w:pPr>
      <w:r>
        <w:rPr>
          <w:rStyle w:val="FootnoteReference"/>
        </w:rPr>
        <w:footnoteRef/>
      </w:r>
      <w:r>
        <w:t xml:space="preserve"> </w:t>
      </w:r>
      <w:r>
        <w:tab/>
      </w:r>
      <w:r w:rsidRPr="009B250C">
        <w:t xml:space="preserve">For the purposes of paragraph </w:t>
      </w:r>
      <w:r>
        <w:fldChar w:fldCharType="begin"/>
      </w:r>
      <w:r>
        <w:instrText xml:space="preserve"> REF _Ref465170467 \r \h </w:instrText>
      </w:r>
      <w:r>
        <w:fldChar w:fldCharType="separate"/>
      </w:r>
      <w:r w:rsidR="00642B90">
        <w:t>9</w:t>
      </w:r>
      <w:r>
        <w:fldChar w:fldCharType="end"/>
      </w:r>
      <w:r w:rsidRPr="009B250C">
        <w:t xml:space="preserve"> of this Attachment, an originating ADI does not include an ADI whose role in a securitisation of revolving credit facilities or ABCP securitisation is limited solely to managing the scheme</w:t>
      </w:r>
      <w:r>
        <w:t>.</w:t>
      </w:r>
    </w:p>
  </w:footnote>
  <w:footnote w:id="33">
    <w:p w14:paraId="1AE18D8C" w14:textId="77777777" w:rsidR="0048794C" w:rsidRDefault="0048794C">
      <w:pPr>
        <w:pStyle w:val="FootnoteText"/>
      </w:pPr>
      <w:r>
        <w:rPr>
          <w:rStyle w:val="FootnoteReference"/>
        </w:rPr>
        <w:footnoteRef/>
      </w:r>
      <w:r>
        <w:t xml:space="preserve"> </w:t>
      </w:r>
      <w:r>
        <w:tab/>
      </w:r>
      <w:r w:rsidRPr="00B82A83">
        <w:t>In a self-securitisation</w:t>
      </w:r>
      <w:r>
        <w:t>, the</w:t>
      </w:r>
      <w:r w:rsidRPr="00B82A83">
        <w:t xml:space="preserve"> originating ADI may </w:t>
      </w:r>
      <w:r>
        <w:t>‘</w:t>
      </w:r>
      <w:r w:rsidRPr="00B82A83">
        <w:t>repurchase</w:t>
      </w:r>
      <w:r>
        <w:t>’</w:t>
      </w:r>
      <w:r w:rsidRPr="00B82A83">
        <w:t xml:space="preserve"> securities issued by the SPV</w:t>
      </w:r>
      <w:r>
        <w:t xml:space="preserve"> </w:t>
      </w:r>
      <w:r w:rsidRPr="00B82A83">
        <w:t>under the repurchase agreemen</w:t>
      </w:r>
      <w:r>
        <w:t>t with the RBA.</w:t>
      </w:r>
    </w:p>
  </w:footnote>
  <w:footnote w:id="34">
    <w:p w14:paraId="1AE18D8D" w14:textId="15A0C002" w:rsidR="0048794C" w:rsidRDefault="0048794C">
      <w:pPr>
        <w:pStyle w:val="FootnoteText"/>
      </w:pPr>
      <w:r>
        <w:rPr>
          <w:rStyle w:val="FootnoteReference"/>
        </w:rPr>
        <w:footnoteRef/>
      </w:r>
      <w:r>
        <w:t xml:space="preserve"> </w:t>
      </w:r>
      <w:r>
        <w:tab/>
        <w:t>Refer to footnote 3</w:t>
      </w:r>
      <w:r w:rsidR="0081509E">
        <w:t>2</w:t>
      </w:r>
      <w:r>
        <w:t>.</w:t>
      </w:r>
    </w:p>
  </w:footnote>
  <w:footnote w:id="35">
    <w:p w14:paraId="1AE18D8E" w14:textId="52F2B796" w:rsidR="0048794C" w:rsidRDefault="0048794C">
      <w:pPr>
        <w:pStyle w:val="FootnoteText"/>
      </w:pPr>
      <w:r>
        <w:rPr>
          <w:rStyle w:val="FootnoteReference"/>
        </w:rPr>
        <w:footnoteRef/>
      </w:r>
      <w:r>
        <w:t xml:space="preserve"> </w:t>
      </w:r>
      <w:r>
        <w:tab/>
        <w:t>Refer to footnote 3</w:t>
      </w:r>
      <w:r w:rsidR="0081509E">
        <w:t>2</w:t>
      </w:r>
      <w:r>
        <w:t>.</w:t>
      </w:r>
    </w:p>
  </w:footnote>
  <w:footnote w:id="36">
    <w:p w14:paraId="1AE18D8F" w14:textId="77777777" w:rsidR="0048794C" w:rsidRDefault="0048794C">
      <w:pPr>
        <w:pStyle w:val="FootnoteText"/>
      </w:pPr>
      <w:r>
        <w:rPr>
          <w:rStyle w:val="FootnoteReference"/>
        </w:rPr>
        <w:footnoteRef/>
      </w:r>
      <w:r>
        <w:t xml:space="preserve"> </w:t>
      </w:r>
      <w:r>
        <w:tab/>
      </w:r>
      <w:r w:rsidRPr="00A827C1">
        <w:t>In the case of synthetic securitisation, the clean-up call must only be exercisable when 10 per cent or less of the original reference pool value remains</w:t>
      </w:r>
      <w:r>
        <w:t>.</w:t>
      </w:r>
    </w:p>
  </w:footnote>
  <w:footnote w:id="37">
    <w:p w14:paraId="1AE18D90" w14:textId="77777777" w:rsidR="0048794C" w:rsidRDefault="0048794C">
      <w:pPr>
        <w:pStyle w:val="FootnoteText"/>
      </w:pPr>
      <w:r>
        <w:rPr>
          <w:rStyle w:val="FootnoteReference"/>
        </w:rPr>
        <w:footnoteRef/>
      </w:r>
      <w:r>
        <w:t xml:space="preserve"> </w:t>
      </w:r>
      <w:r>
        <w:tab/>
      </w:r>
      <w:r w:rsidRPr="00F43BC5">
        <w:t xml:space="preserve">Any pay-out arising from scheduled or early amortisation and similar provisions must be funded from the cash flows emanating from the existing pool of underlying exposures and provide for payments on a </w:t>
      </w:r>
      <w:r w:rsidRPr="00BF218A">
        <w:rPr>
          <w:i/>
        </w:rPr>
        <w:t>pro rata</w:t>
      </w:r>
      <w:r w:rsidRPr="00F43BC5">
        <w:t xml:space="preserve"> basis (principal repayment, interest payments and expenses) to the originating ADI and investors according to their interest in the pool</w:t>
      </w:r>
      <w:r>
        <w:t>.</w:t>
      </w:r>
    </w:p>
  </w:footnote>
  <w:footnote w:id="38">
    <w:p w14:paraId="1AE18D91" w14:textId="77777777" w:rsidR="0048794C" w:rsidRDefault="0048794C">
      <w:pPr>
        <w:pStyle w:val="FootnoteText"/>
      </w:pPr>
      <w:r>
        <w:rPr>
          <w:rStyle w:val="FootnoteReference"/>
        </w:rPr>
        <w:footnoteRef/>
      </w:r>
      <w:r>
        <w:t xml:space="preserve"> </w:t>
      </w:r>
      <w:r>
        <w:tab/>
        <w:t>Refer to Table 3 of this Attachment.</w:t>
      </w:r>
    </w:p>
  </w:footnote>
  <w:footnote w:id="39">
    <w:p w14:paraId="1AE18D92" w14:textId="77777777" w:rsidR="0048794C" w:rsidRDefault="0048794C">
      <w:pPr>
        <w:pStyle w:val="FootnoteText"/>
      </w:pPr>
      <w:r>
        <w:rPr>
          <w:rStyle w:val="FootnoteReference"/>
        </w:rPr>
        <w:footnoteRef/>
      </w:r>
      <w:r>
        <w:t xml:space="preserve"> </w:t>
      </w:r>
      <w:r>
        <w:tab/>
        <w:t>Refer to Table 4 of this Attachment.</w:t>
      </w:r>
    </w:p>
  </w:footnote>
  <w:footnote w:id="40">
    <w:p w14:paraId="1AE18D93" w14:textId="77777777" w:rsidR="0048794C" w:rsidRDefault="0048794C">
      <w:pPr>
        <w:pStyle w:val="FootnoteText"/>
      </w:pPr>
      <w:r>
        <w:rPr>
          <w:rStyle w:val="FootnoteReference"/>
        </w:rPr>
        <w:footnoteRef/>
      </w:r>
      <w:r>
        <w:t xml:space="preserve"> </w:t>
      </w:r>
      <w:r>
        <w:tab/>
      </w:r>
      <w:r w:rsidRPr="00E375C9">
        <w:t>If such unconditional contractual payment dates are not available, the final legal maturity must be used</w:t>
      </w:r>
      <w:r>
        <w:t>.</w:t>
      </w:r>
    </w:p>
    <w:p w14:paraId="1AE18D94" w14:textId="77777777" w:rsidR="0048794C" w:rsidRDefault="0048794C">
      <w:pPr>
        <w:pStyle w:val="FootnoteText"/>
      </w:pPr>
    </w:p>
  </w:footnote>
  <w:footnote w:id="41">
    <w:p w14:paraId="1AE18D95" w14:textId="77777777" w:rsidR="0048794C" w:rsidRDefault="0048794C">
      <w:pPr>
        <w:pStyle w:val="FootnoteText"/>
      </w:pPr>
      <w:r>
        <w:rPr>
          <w:rStyle w:val="FootnoteReference"/>
        </w:rPr>
        <w:footnoteRef/>
      </w:r>
      <w:r>
        <w:t xml:space="preserve"> </w:t>
      </w:r>
      <w:r>
        <w:tab/>
      </w:r>
      <w:r w:rsidRPr="00C4443F">
        <w:t xml:space="preserve">In the case of tranched credit protection, the original securitisation tranche </w:t>
      </w:r>
      <w:r>
        <w:t>is</w:t>
      </w:r>
      <w:r w:rsidRPr="00C4443F">
        <w:t xml:space="preserve"> decomposed</w:t>
      </w:r>
      <w:r>
        <w:t xml:space="preserve"> </w:t>
      </w:r>
      <w:r w:rsidRPr="00C4443F">
        <w:t>into protected and unprotected sub-tranches</w:t>
      </w:r>
      <w:r>
        <w:t>.</w:t>
      </w:r>
    </w:p>
  </w:footnote>
  <w:footnote w:id="42">
    <w:p w14:paraId="1AE18D96" w14:textId="77777777" w:rsidR="0048794C" w:rsidRDefault="0048794C">
      <w:pPr>
        <w:pStyle w:val="FootnoteText"/>
      </w:pPr>
      <w:r>
        <w:rPr>
          <w:rStyle w:val="FootnoteReference"/>
        </w:rPr>
        <w:footnoteRef/>
      </w:r>
      <w:r>
        <w:t xml:space="preserve"> </w:t>
      </w:r>
      <w:r>
        <w:tab/>
        <w:t>K</w:t>
      </w:r>
      <w:r w:rsidRPr="007F46D0">
        <w:rPr>
          <w:vertAlign w:val="subscript"/>
        </w:rPr>
        <w:t>SA</w:t>
      </w:r>
      <w:r>
        <w:t xml:space="preserve"> is expressed as a decimal between zero and one (e.g. a weighted average risk weight of 100 per cent would result in K</w:t>
      </w:r>
      <w:r w:rsidRPr="007F46D0">
        <w:rPr>
          <w:vertAlign w:val="subscript"/>
        </w:rPr>
        <w:t>SA</w:t>
      </w:r>
      <w:r>
        <w:t xml:space="preserve"> equal to 0.08).</w:t>
      </w:r>
    </w:p>
  </w:footnote>
  <w:footnote w:id="43">
    <w:p w14:paraId="1AE18D97" w14:textId="77777777" w:rsidR="0048794C" w:rsidRPr="005151BF" w:rsidRDefault="0048794C" w:rsidP="007F46D0">
      <w:pPr>
        <w:pStyle w:val="FootnoteText"/>
      </w:pPr>
      <w:r w:rsidRPr="005151BF">
        <w:rPr>
          <w:rStyle w:val="FootnoteReference"/>
        </w:rPr>
        <w:footnoteRef/>
      </w:r>
      <w:r w:rsidRPr="005151BF">
        <w:t xml:space="preserve"> </w:t>
      </w:r>
      <w:r>
        <w:tab/>
      </w:r>
      <w:r w:rsidRPr="005151BF">
        <w:t>In the case of swaps other than credit derivatives, the numerator of K</w:t>
      </w:r>
      <w:r w:rsidRPr="005151BF">
        <w:rPr>
          <w:vertAlign w:val="subscript"/>
        </w:rPr>
        <w:t>SA</w:t>
      </w:r>
      <w:r w:rsidRPr="005151BF">
        <w:t xml:space="preserve"> must include the positive current market value </w:t>
      </w:r>
      <w:r>
        <w:t>multiplied by</w:t>
      </w:r>
      <w:r w:rsidRPr="005151BF">
        <w:t xml:space="preserve"> the risk weight of the swap provider </w:t>
      </w:r>
      <w:r>
        <w:t>multiplied by 8 per cent</w:t>
      </w:r>
      <w:r w:rsidRPr="005151BF">
        <w:t>. The denominator must not take into account such a swap, as such a swap would not provide a credit enhancement to any tranche.</w:t>
      </w:r>
    </w:p>
  </w:footnote>
  <w:footnote w:id="44">
    <w:p w14:paraId="1AE18D98" w14:textId="77777777" w:rsidR="0048794C" w:rsidRPr="00D006FA" w:rsidRDefault="0048794C" w:rsidP="007F46D0">
      <w:pPr>
        <w:pStyle w:val="FootnoteText"/>
      </w:pPr>
      <w:r w:rsidRPr="00D006FA">
        <w:rPr>
          <w:rStyle w:val="FootnoteReference"/>
        </w:rPr>
        <w:footnoteRef/>
      </w:r>
      <w:r w:rsidRPr="00D006FA">
        <w:t xml:space="preserve"> </w:t>
      </w:r>
      <w:r>
        <w:tab/>
      </w:r>
      <w:r w:rsidRPr="00D006FA">
        <w:t>In the case of swaps other than credit derivatives, the numerator of K</w:t>
      </w:r>
      <w:r w:rsidRPr="00D006FA">
        <w:rPr>
          <w:vertAlign w:val="subscript"/>
        </w:rPr>
        <w:t>SA</w:t>
      </w:r>
      <w:r w:rsidRPr="00D006FA">
        <w:t xml:space="preserve"> must include the exposure amount of the collateral </w:t>
      </w:r>
      <w:r>
        <w:t xml:space="preserve">multiplied by </w:t>
      </w:r>
      <w:r w:rsidRPr="00D006FA">
        <w:t xml:space="preserve">its risk weight </w:t>
      </w:r>
      <w:r>
        <w:t>multiplied by 8 per cent</w:t>
      </w:r>
      <w:r w:rsidRPr="00D006FA">
        <w:t>. The denominator must be calculated without recognition of the collateral.</w:t>
      </w:r>
    </w:p>
  </w:footnote>
  <w:footnote w:id="45">
    <w:p w14:paraId="1AE18D99" w14:textId="77777777" w:rsidR="0048794C" w:rsidRPr="00752231" w:rsidRDefault="0048794C" w:rsidP="009A3EBC">
      <w:pPr>
        <w:pStyle w:val="FootnoteText"/>
      </w:pPr>
      <w:r w:rsidRPr="00D006FA">
        <w:rPr>
          <w:rStyle w:val="FootnoteReference"/>
        </w:rPr>
        <w:footnoteRef/>
      </w:r>
      <w:r w:rsidRPr="00D006FA">
        <w:t xml:space="preserve"> </w:t>
      </w:r>
      <w:r>
        <w:tab/>
      </w:r>
      <w:r w:rsidRPr="00D006FA">
        <w:t>Where the only difference between exposures to a transaction is related to maturity, A and D will be the same.</w:t>
      </w:r>
    </w:p>
  </w:footnote>
  <w:footnote w:id="46">
    <w:p w14:paraId="1AE18D9A" w14:textId="77777777" w:rsidR="0048794C" w:rsidRPr="00476C54" w:rsidRDefault="0048794C" w:rsidP="00F004D0">
      <w:pPr>
        <w:pStyle w:val="FootnoteText"/>
        <w:rPr>
          <w:szCs w:val="20"/>
        </w:rPr>
      </w:pPr>
      <w:r w:rsidRPr="00476C54">
        <w:rPr>
          <w:rStyle w:val="FootnoteReference"/>
          <w:szCs w:val="20"/>
        </w:rPr>
        <w:footnoteRef/>
      </w:r>
      <w:r w:rsidRPr="00BD5599">
        <w:rPr>
          <w:rFonts w:cstheme="minorHAnsi"/>
        </w:rPr>
        <w:t xml:space="preserve"> </w:t>
      </w:r>
      <w:r>
        <w:rPr>
          <w:rFonts w:cstheme="minorHAnsi"/>
        </w:rPr>
        <w:tab/>
        <w:t>Claims such as a swap claim, taxes and similar imposts, and fees to service providers may be more senior in the cash flow waterfall and these</w:t>
      </w:r>
      <w:r w:rsidRPr="00B26DD7">
        <w:rPr>
          <w:rFonts w:cstheme="minorHAnsi"/>
        </w:rPr>
        <w:t xml:space="preserve"> may be disregarded for the purpose of determining wh</w:t>
      </w:r>
      <w:r>
        <w:rPr>
          <w:rFonts w:cstheme="minorHAnsi"/>
        </w:rPr>
        <w:t>ether</w:t>
      </w:r>
      <w:r w:rsidRPr="00B26DD7">
        <w:rPr>
          <w:rFonts w:cstheme="minorHAnsi"/>
        </w:rPr>
        <w:t xml:space="preserve"> </w:t>
      </w:r>
      <w:r>
        <w:rPr>
          <w:rFonts w:cstheme="minorHAnsi"/>
        </w:rPr>
        <w:t xml:space="preserve">servicer cash advance facilities </w:t>
      </w:r>
      <w:r w:rsidRPr="00B26DD7">
        <w:rPr>
          <w:rFonts w:cstheme="minorHAnsi"/>
        </w:rPr>
        <w:t xml:space="preserve">are treated as </w:t>
      </w:r>
      <w:r>
        <w:rPr>
          <w:rFonts w:cstheme="minorHAnsi"/>
        </w:rPr>
        <w:t xml:space="preserve">most </w:t>
      </w:r>
      <w:r w:rsidRPr="00B26DD7">
        <w:rPr>
          <w:rFonts w:cstheme="minorHAnsi"/>
        </w:rPr>
        <w:t>senior.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7154" w14:textId="77777777" w:rsidR="00F62C6D" w:rsidRDefault="00F62C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D1CB" w14:textId="04643479" w:rsidR="00F62C6D" w:rsidRDefault="00F62C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470E" w14:textId="77777777" w:rsidR="00F62C6D" w:rsidRDefault="00F62C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EB13" w14:textId="77777777" w:rsidR="002E3AA9" w:rsidRDefault="002E3AA9">
    <w:pPr>
      <w:pStyle w:val="Header"/>
    </w:pPr>
    <w:r>
      <w:t>January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99B21" w14:textId="4BEE430A" w:rsidR="00A472FC" w:rsidRDefault="00A472FC">
    <w:pPr>
      <w:pStyle w:val="Header"/>
    </w:pPr>
    <w:r>
      <w:rPr>
        <w:b w:val="0"/>
      </w:rPr>
      <w:t>January</w:t>
    </w:r>
    <w:r w:rsidRPr="009D7D7E">
      <w:rPr>
        <w:b w:val="0"/>
      </w:rPr>
      <w:t xml:space="preserve"> 20</w:t>
    </w:r>
    <w:r>
      <w:rPr>
        <w:b w:val="0"/>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954EC2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C2CAEEC"/>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C4826C4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463545"/>
    <w:multiLevelType w:val="multilevel"/>
    <w:tmpl w:val="ABD0F4EC"/>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E51166"/>
    <w:multiLevelType w:val="hybridMultilevel"/>
    <w:tmpl w:val="B84CCF58"/>
    <w:lvl w:ilvl="0" w:tplc="0C090001">
      <w:start w:val="1"/>
      <w:numFmt w:val="bullet"/>
      <w:lvlText w:val=""/>
      <w:lvlJc w:val="left"/>
      <w:pPr>
        <w:ind w:left="2220" w:hanging="360"/>
      </w:pPr>
      <w:rPr>
        <w:rFonts w:ascii="Symbol" w:hAnsi="Symbol" w:hint="default"/>
      </w:rPr>
    </w:lvl>
    <w:lvl w:ilvl="1" w:tplc="0C090003" w:tentative="1">
      <w:start w:val="1"/>
      <w:numFmt w:val="bullet"/>
      <w:lvlText w:val="o"/>
      <w:lvlJc w:val="left"/>
      <w:pPr>
        <w:ind w:left="2940" w:hanging="360"/>
      </w:pPr>
      <w:rPr>
        <w:rFonts w:ascii="Courier New" w:hAnsi="Courier New" w:cs="Courier New" w:hint="default"/>
      </w:rPr>
    </w:lvl>
    <w:lvl w:ilvl="2" w:tplc="0C090005" w:tentative="1">
      <w:start w:val="1"/>
      <w:numFmt w:val="bullet"/>
      <w:lvlText w:val=""/>
      <w:lvlJc w:val="left"/>
      <w:pPr>
        <w:ind w:left="3660" w:hanging="360"/>
      </w:pPr>
      <w:rPr>
        <w:rFonts w:ascii="Wingdings" w:hAnsi="Wingdings" w:hint="default"/>
      </w:rPr>
    </w:lvl>
    <w:lvl w:ilvl="3" w:tplc="0C090001" w:tentative="1">
      <w:start w:val="1"/>
      <w:numFmt w:val="bullet"/>
      <w:lvlText w:val=""/>
      <w:lvlJc w:val="left"/>
      <w:pPr>
        <w:ind w:left="4380" w:hanging="360"/>
      </w:pPr>
      <w:rPr>
        <w:rFonts w:ascii="Symbol" w:hAnsi="Symbol" w:hint="default"/>
      </w:rPr>
    </w:lvl>
    <w:lvl w:ilvl="4" w:tplc="0C090003" w:tentative="1">
      <w:start w:val="1"/>
      <w:numFmt w:val="bullet"/>
      <w:lvlText w:val="o"/>
      <w:lvlJc w:val="left"/>
      <w:pPr>
        <w:ind w:left="5100" w:hanging="360"/>
      </w:pPr>
      <w:rPr>
        <w:rFonts w:ascii="Courier New" w:hAnsi="Courier New" w:cs="Courier New" w:hint="default"/>
      </w:rPr>
    </w:lvl>
    <w:lvl w:ilvl="5" w:tplc="0C090005" w:tentative="1">
      <w:start w:val="1"/>
      <w:numFmt w:val="bullet"/>
      <w:lvlText w:val=""/>
      <w:lvlJc w:val="left"/>
      <w:pPr>
        <w:ind w:left="5820" w:hanging="360"/>
      </w:pPr>
      <w:rPr>
        <w:rFonts w:ascii="Wingdings" w:hAnsi="Wingdings" w:hint="default"/>
      </w:rPr>
    </w:lvl>
    <w:lvl w:ilvl="6" w:tplc="0C090001" w:tentative="1">
      <w:start w:val="1"/>
      <w:numFmt w:val="bullet"/>
      <w:lvlText w:val=""/>
      <w:lvlJc w:val="left"/>
      <w:pPr>
        <w:ind w:left="6540" w:hanging="360"/>
      </w:pPr>
      <w:rPr>
        <w:rFonts w:ascii="Symbol" w:hAnsi="Symbol" w:hint="default"/>
      </w:rPr>
    </w:lvl>
    <w:lvl w:ilvl="7" w:tplc="0C090003" w:tentative="1">
      <w:start w:val="1"/>
      <w:numFmt w:val="bullet"/>
      <w:lvlText w:val="o"/>
      <w:lvlJc w:val="left"/>
      <w:pPr>
        <w:ind w:left="7260" w:hanging="360"/>
      </w:pPr>
      <w:rPr>
        <w:rFonts w:ascii="Courier New" w:hAnsi="Courier New" w:cs="Courier New" w:hint="default"/>
      </w:rPr>
    </w:lvl>
    <w:lvl w:ilvl="8" w:tplc="0C090005" w:tentative="1">
      <w:start w:val="1"/>
      <w:numFmt w:val="bullet"/>
      <w:lvlText w:val=""/>
      <w:lvlJc w:val="left"/>
      <w:pPr>
        <w:ind w:left="7980" w:hanging="360"/>
      </w:pPr>
      <w:rPr>
        <w:rFonts w:ascii="Wingdings" w:hAnsi="Wingdings" w:hint="default"/>
      </w:rPr>
    </w:lvl>
  </w:abstractNum>
  <w:abstractNum w:abstractNumId="8"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551298B"/>
    <w:multiLevelType w:val="hybridMultilevel"/>
    <w:tmpl w:val="E4FC5596"/>
    <w:lvl w:ilvl="0" w:tplc="13E6DDDA">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2"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13"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4"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5"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7C55CD3"/>
    <w:multiLevelType w:val="hybridMultilevel"/>
    <w:tmpl w:val="AD8AFDFC"/>
    <w:lvl w:ilvl="0" w:tplc="0C09000F">
      <w:start w:val="1"/>
      <w:numFmt w:val="decimal"/>
      <w:lvlText w:val="%1."/>
      <w:lvlJc w:val="left"/>
      <w:pPr>
        <w:ind w:left="360" w:hanging="360"/>
      </w:pPr>
    </w:lvl>
    <w:lvl w:ilvl="1" w:tplc="E4FC2854">
      <w:start w:val="1"/>
      <w:numFmt w:val="lowerLetter"/>
      <w:lvlText w:val="(%2)"/>
      <w:lvlJc w:val="left"/>
      <w:pPr>
        <w:ind w:left="1080" w:hanging="360"/>
      </w:pPr>
      <w:rPr>
        <w:rFonts w:hint="default"/>
        <w:b w:val="0"/>
        <w:i w:val="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59BF2C75"/>
    <w:multiLevelType w:val="hybridMultilevel"/>
    <w:tmpl w:val="5A7E12F4"/>
    <w:lvl w:ilvl="0" w:tplc="87463356">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1" w15:restartNumberingAfterBreak="0">
    <w:nsid w:val="5FA3303B"/>
    <w:multiLevelType w:val="hybridMultilevel"/>
    <w:tmpl w:val="7672951C"/>
    <w:lvl w:ilvl="0" w:tplc="0C09000F">
      <w:start w:val="1"/>
      <w:numFmt w:val="decimal"/>
      <w:lvlText w:val="%1."/>
      <w:lvlJc w:val="left"/>
      <w:pPr>
        <w:ind w:left="786" w:hanging="360"/>
      </w:pPr>
    </w:lvl>
    <w:lvl w:ilvl="1" w:tplc="E4FC2854">
      <w:start w:val="1"/>
      <w:numFmt w:val="lowerLetter"/>
      <w:lvlText w:val="(%2)"/>
      <w:lvlJc w:val="left"/>
      <w:pPr>
        <w:ind w:left="1440" w:hanging="360"/>
      </w:pPr>
      <w:rPr>
        <w:rFonts w:hint="default"/>
        <w:b w:val="0"/>
        <w:i w:val="0"/>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3"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2A4B89"/>
    <w:multiLevelType w:val="hybridMultilevel"/>
    <w:tmpl w:val="003ECC9A"/>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5"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956064385">
    <w:abstractNumId w:val="11"/>
  </w:num>
  <w:num w:numId="2" w16cid:durableId="986201048">
    <w:abstractNumId w:val="14"/>
  </w:num>
  <w:num w:numId="3" w16cid:durableId="2027780646">
    <w:abstractNumId w:val="4"/>
  </w:num>
  <w:num w:numId="4" w16cid:durableId="1988432336">
    <w:abstractNumId w:val="10"/>
  </w:num>
  <w:num w:numId="5" w16cid:durableId="274481333">
    <w:abstractNumId w:val="25"/>
  </w:num>
  <w:num w:numId="6" w16cid:durableId="994528841">
    <w:abstractNumId w:val="8"/>
  </w:num>
  <w:num w:numId="7" w16cid:durableId="727412303">
    <w:abstractNumId w:val="23"/>
  </w:num>
  <w:num w:numId="8" w16cid:durableId="292519331">
    <w:abstractNumId w:val="20"/>
  </w:num>
  <w:num w:numId="9" w16cid:durableId="84234086">
    <w:abstractNumId w:val="22"/>
  </w:num>
  <w:num w:numId="10" w16cid:durableId="1619877001">
    <w:abstractNumId w:val="16"/>
  </w:num>
  <w:num w:numId="11" w16cid:durableId="65612848">
    <w:abstractNumId w:val="3"/>
  </w:num>
  <w:num w:numId="12" w16cid:durableId="203753228">
    <w:abstractNumId w:val="0"/>
  </w:num>
  <w:num w:numId="13" w16cid:durableId="1657222272">
    <w:abstractNumId w:val="2"/>
  </w:num>
  <w:num w:numId="14" w16cid:durableId="1311515218">
    <w:abstractNumId w:val="1"/>
  </w:num>
  <w:num w:numId="15" w16cid:durableId="470636226">
    <w:abstractNumId w:val="15"/>
  </w:num>
  <w:num w:numId="16" w16cid:durableId="355232023">
    <w:abstractNumId w:val="5"/>
  </w:num>
  <w:num w:numId="17" w16cid:durableId="68962229">
    <w:abstractNumId w:val="13"/>
  </w:num>
  <w:num w:numId="18" w16cid:durableId="771436944">
    <w:abstractNumId w:val="12"/>
  </w:num>
  <w:num w:numId="19" w16cid:durableId="1500386009">
    <w:abstractNumId w:val="6"/>
  </w:num>
  <w:num w:numId="20" w16cid:durableId="20085541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3083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6686864">
    <w:abstractNumId w:val="18"/>
  </w:num>
  <w:num w:numId="23" w16cid:durableId="1936219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62328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41701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4192422">
    <w:abstractNumId w:val="21"/>
  </w:num>
  <w:num w:numId="27" w16cid:durableId="230391137">
    <w:abstractNumId w:val="7"/>
  </w:num>
  <w:num w:numId="28" w16cid:durableId="1942295571">
    <w:abstractNumId w:val="24"/>
  </w:num>
  <w:num w:numId="29" w16cid:durableId="358628385">
    <w:abstractNumId w:val="9"/>
  </w:num>
  <w:num w:numId="30" w16cid:durableId="825586778">
    <w:abstractNumId w:val="19"/>
  </w:num>
  <w:num w:numId="31" w16cid:durableId="4244966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C"/>
    <w:rsid w:val="0000183A"/>
    <w:rsid w:val="00001D43"/>
    <w:rsid w:val="000070F7"/>
    <w:rsid w:val="00020BA4"/>
    <w:rsid w:val="00021E80"/>
    <w:rsid w:val="0002417B"/>
    <w:rsid w:val="00024841"/>
    <w:rsid w:val="00025E91"/>
    <w:rsid w:val="00026B26"/>
    <w:rsid w:val="000279CE"/>
    <w:rsid w:val="00047FD0"/>
    <w:rsid w:val="000513D1"/>
    <w:rsid w:val="000518B9"/>
    <w:rsid w:val="000571C6"/>
    <w:rsid w:val="0006010F"/>
    <w:rsid w:val="00061DD0"/>
    <w:rsid w:val="0006337F"/>
    <w:rsid w:val="0006533D"/>
    <w:rsid w:val="00065DC5"/>
    <w:rsid w:val="000730AA"/>
    <w:rsid w:val="00074AEE"/>
    <w:rsid w:val="00080902"/>
    <w:rsid w:val="000822EC"/>
    <w:rsid w:val="00082FA4"/>
    <w:rsid w:val="00087D3E"/>
    <w:rsid w:val="000B1374"/>
    <w:rsid w:val="000D63A8"/>
    <w:rsid w:val="000D7A9C"/>
    <w:rsid w:val="000E0BCF"/>
    <w:rsid w:val="000E106C"/>
    <w:rsid w:val="000E7F39"/>
    <w:rsid w:val="000F04C9"/>
    <w:rsid w:val="000F0E72"/>
    <w:rsid w:val="000F209F"/>
    <w:rsid w:val="00102EF7"/>
    <w:rsid w:val="00110682"/>
    <w:rsid w:val="00110917"/>
    <w:rsid w:val="00110A0F"/>
    <w:rsid w:val="0012106F"/>
    <w:rsid w:val="001227FB"/>
    <w:rsid w:val="00124725"/>
    <w:rsid w:val="00125DEA"/>
    <w:rsid w:val="00127FBB"/>
    <w:rsid w:val="0013237B"/>
    <w:rsid w:val="00141CA6"/>
    <w:rsid w:val="00143DBD"/>
    <w:rsid w:val="00156857"/>
    <w:rsid w:val="00157619"/>
    <w:rsid w:val="00160FD8"/>
    <w:rsid w:val="0016173B"/>
    <w:rsid w:val="00167098"/>
    <w:rsid w:val="00167BC9"/>
    <w:rsid w:val="00172D22"/>
    <w:rsid w:val="00173A04"/>
    <w:rsid w:val="001775C1"/>
    <w:rsid w:val="00182FA1"/>
    <w:rsid w:val="00190B85"/>
    <w:rsid w:val="0019314F"/>
    <w:rsid w:val="001A785E"/>
    <w:rsid w:val="001B2502"/>
    <w:rsid w:val="001B3288"/>
    <w:rsid w:val="001B390E"/>
    <w:rsid w:val="001B50B3"/>
    <w:rsid w:val="001B7076"/>
    <w:rsid w:val="001C1EC7"/>
    <w:rsid w:val="001C297B"/>
    <w:rsid w:val="001C2F34"/>
    <w:rsid w:val="001C755C"/>
    <w:rsid w:val="001C77C6"/>
    <w:rsid w:val="001D11D7"/>
    <w:rsid w:val="001D18F9"/>
    <w:rsid w:val="001E0FCB"/>
    <w:rsid w:val="001E3F66"/>
    <w:rsid w:val="001E7EA9"/>
    <w:rsid w:val="001F0BBC"/>
    <w:rsid w:val="001F0D4A"/>
    <w:rsid w:val="001F5BC7"/>
    <w:rsid w:val="001F6B8D"/>
    <w:rsid w:val="00203EAC"/>
    <w:rsid w:val="00205A84"/>
    <w:rsid w:val="0021002F"/>
    <w:rsid w:val="00210460"/>
    <w:rsid w:val="0022483C"/>
    <w:rsid w:val="0023732C"/>
    <w:rsid w:val="002500F9"/>
    <w:rsid w:val="00254586"/>
    <w:rsid w:val="002568D4"/>
    <w:rsid w:val="00260AD7"/>
    <w:rsid w:val="0026719F"/>
    <w:rsid w:val="00280A64"/>
    <w:rsid w:val="00282BFC"/>
    <w:rsid w:val="00284A4A"/>
    <w:rsid w:val="00290CA6"/>
    <w:rsid w:val="0029455F"/>
    <w:rsid w:val="00296FBF"/>
    <w:rsid w:val="002974B3"/>
    <w:rsid w:val="002A07F8"/>
    <w:rsid w:val="002B3BE5"/>
    <w:rsid w:val="002B5959"/>
    <w:rsid w:val="002B6460"/>
    <w:rsid w:val="002C3BBC"/>
    <w:rsid w:val="002D7CDC"/>
    <w:rsid w:val="002D7F23"/>
    <w:rsid w:val="002E3AA9"/>
    <w:rsid w:val="002F1EE2"/>
    <w:rsid w:val="002F55D3"/>
    <w:rsid w:val="002F56A0"/>
    <w:rsid w:val="002F56AD"/>
    <w:rsid w:val="002F7B8F"/>
    <w:rsid w:val="00304811"/>
    <w:rsid w:val="00304FA1"/>
    <w:rsid w:val="0030633C"/>
    <w:rsid w:val="00317EEC"/>
    <w:rsid w:val="0032220E"/>
    <w:rsid w:val="003307FA"/>
    <w:rsid w:val="00334566"/>
    <w:rsid w:val="00346AAD"/>
    <w:rsid w:val="0035584A"/>
    <w:rsid w:val="00365AED"/>
    <w:rsid w:val="00371695"/>
    <w:rsid w:val="0037343B"/>
    <w:rsid w:val="0038413F"/>
    <w:rsid w:val="00387754"/>
    <w:rsid w:val="00391AD7"/>
    <w:rsid w:val="00392CA0"/>
    <w:rsid w:val="003936EA"/>
    <w:rsid w:val="003944D2"/>
    <w:rsid w:val="00394BAC"/>
    <w:rsid w:val="003A4403"/>
    <w:rsid w:val="003B52EB"/>
    <w:rsid w:val="003B5879"/>
    <w:rsid w:val="003C46D7"/>
    <w:rsid w:val="003C4904"/>
    <w:rsid w:val="003D5032"/>
    <w:rsid w:val="003E15B5"/>
    <w:rsid w:val="003E21A6"/>
    <w:rsid w:val="003E40F8"/>
    <w:rsid w:val="003E482E"/>
    <w:rsid w:val="003E6201"/>
    <w:rsid w:val="003F3181"/>
    <w:rsid w:val="003F7201"/>
    <w:rsid w:val="00400D35"/>
    <w:rsid w:val="00410187"/>
    <w:rsid w:val="00414ED2"/>
    <w:rsid w:val="004323FD"/>
    <w:rsid w:val="00435BC7"/>
    <w:rsid w:val="00435C27"/>
    <w:rsid w:val="00436746"/>
    <w:rsid w:val="00445137"/>
    <w:rsid w:val="00453209"/>
    <w:rsid w:val="00453E3A"/>
    <w:rsid w:val="004560E3"/>
    <w:rsid w:val="00461829"/>
    <w:rsid w:val="00465348"/>
    <w:rsid w:val="004674F9"/>
    <w:rsid w:val="004707B3"/>
    <w:rsid w:val="004776D4"/>
    <w:rsid w:val="004776F1"/>
    <w:rsid w:val="0048511B"/>
    <w:rsid w:val="004857A5"/>
    <w:rsid w:val="00487732"/>
    <w:rsid w:val="0048794C"/>
    <w:rsid w:val="004966A8"/>
    <w:rsid w:val="004A38D2"/>
    <w:rsid w:val="004A593E"/>
    <w:rsid w:val="004C3D07"/>
    <w:rsid w:val="004C5031"/>
    <w:rsid w:val="004D670E"/>
    <w:rsid w:val="004D7C1C"/>
    <w:rsid w:val="004E29F5"/>
    <w:rsid w:val="004E7607"/>
    <w:rsid w:val="004F12F3"/>
    <w:rsid w:val="004F2AC1"/>
    <w:rsid w:val="00501E60"/>
    <w:rsid w:val="005050E8"/>
    <w:rsid w:val="00506079"/>
    <w:rsid w:val="005066BE"/>
    <w:rsid w:val="005116C4"/>
    <w:rsid w:val="00511FE8"/>
    <w:rsid w:val="0051583A"/>
    <w:rsid w:val="00521673"/>
    <w:rsid w:val="005216CB"/>
    <w:rsid w:val="00526E79"/>
    <w:rsid w:val="005314A2"/>
    <w:rsid w:val="00531862"/>
    <w:rsid w:val="00534FFE"/>
    <w:rsid w:val="00540B01"/>
    <w:rsid w:val="00542D2A"/>
    <w:rsid w:val="00543B5C"/>
    <w:rsid w:val="00544072"/>
    <w:rsid w:val="00547A6F"/>
    <w:rsid w:val="00550265"/>
    <w:rsid w:val="00551C22"/>
    <w:rsid w:val="00552ADC"/>
    <w:rsid w:val="005624DA"/>
    <w:rsid w:val="00576882"/>
    <w:rsid w:val="00582258"/>
    <w:rsid w:val="00587764"/>
    <w:rsid w:val="00596014"/>
    <w:rsid w:val="005A0FCF"/>
    <w:rsid w:val="005A3624"/>
    <w:rsid w:val="005A523C"/>
    <w:rsid w:val="005A75C6"/>
    <w:rsid w:val="005A77D8"/>
    <w:rsid w:val="005B4B0D"/>
    <w:rsid w:val="005B6DC2"/>
    <w:rsid w:val="005D078E"/>
    <w:rsid w:val="005D227E"/>
    <w:rsid w:val="005D23B6"/>
    <w:rsid w:val="005E5663"/>
    <w:rsid w:val="005E5910"/>
    <w:rsid w:val="005F6F74"/>
    <w:rsid w:val="00603B71"/>
    <w:rsid w:val="00612587"/>
    <w:rsid w:val="00615DB8"/>
    <w:rsid w:val="00622480"/>
    <w:rsid w:val="006241B7"/>
    <w:rsid w:val="00625FA2"/>
    <w:rsid w:val="00642B90"/>
    <w:rsid w:val="00644E5A"/>
    <w:rsid w:val="00645EFF"/>
    <w:rsid w:val="00647D58"/>
    <w:rsid w:val="0065323B"/>
    <w:rsid w:val="00656699"/>
    <w:rsid w:val="00656D42"/>
    <w:rsid w:val="0066379D"/>
    <w:rsid w:val="0066403F"/>
    <w:rsid w:val="00664E2D"/>
    <w:rsid w:val="00664E87"/>
    <w:rsid w:val="00670EB1"/>
    <w:rsid w:val="00677180"/>
    <w:rsid w:val="0068166E"/>
    <w:rsid w:val="0068374C"/>
    <w:rsid w:val="00684F73"/>
    <w:rsid w:val="006865AB"/>
    <w:rsid w:val="00695591"/>
    <w:rsid w:val="00696E43"/>
    <w:rsid w:val="006A2381"/>
    <w:rsid w:val="006A653E"/>
    <w:rsid w:val="006A6955"/>
    <w:rsid w:val="006A6A52"/>
    <w:rsid w:val="006B1CC1"/>
    <w:rsid w:val="006B4537"/>
    <w:rsid w:val="006B4C94"/>
    <w:rsid w:val="006C0302"/>
    <w:rsid w:val="006C06E6"/>
    <w:rsid w:val="006C3C3B"/>
    <w:rsid w:val="006E0369"/>
    <w:rsid w:val="006E5DD8"/>
    <w:rsid w:val="007031F4"/>
    <w:rsid w:val="00710914"/>
    <w:rsid w:val="00717A42"/>
    <w:rsid w:val="00721C60"/>
    <w:rsid w:val="0072405F"/>
    <w:rsid w:val="00725AA6"/>
    <w:rsid w:val="00725C4C"/>
    <w:rsid w:val="00743765"/>
    <w:rsid w:val="00745B81"/>
    <w:rsid w:val="00760DE1"/>
    <w:rsid w:val="007614F9"/>
    <w:rsid w:val="00776D66"/>
    <w:rsid w:val="00777ACD"/>
    <w:rsid w:val="00780A08"/>
    <w:rsid w:val="00782D8C"/>
    <w:rsid w:val="0078405C"/>
    <w:rsid w:val="00787FA9"/>
    <w:rsid w:val="007A2B5C"/>
    <w:rsid w:val="007A33E6"/>
    <w:rsid w:val="007A41CF"/>
    <w:rsid w:val="007A53AC"/>
    <w:rsid w:val="007A6E4C"/>
    <w:rsid w:val="007C0C50"/>
    <w:rsid w:val="007C5B01"/>
    <w:rsid w:val="007D2D7F"/>
    <w:rsid w:val="007E2024"/>
    <w:rsid w:val="007E6BAF"/>
    <w:rsid w:val="007F46D0"/>
    <w:rsid w:val="007F700E"/>
    <w:rsid w:val="008007FF"/>
    <w:rsid w:val="00804686"/>
    <w:rsid w:val="008060B8"/>
    <w:rsid w:val="008130D2"/>
    <w:rsid w:val="00813B2C"/>
    <w:rsid w:val="00814466"/>
    <w:rsid w:val="0081509E"/>
    <w:rsid w:val="0081710E"/>
    <w:rsid w:val="008207CD"/>
    <w:rsid w:val="008209CB"/>
    <w:rsid w:val="00827E96"/>
    <w:rsid w:val="008335FA"/>
    <w:rsid w:val="00841694"/>
    <w:rsid w:val="0084257E"/>
    <w:rsid w:val="00842FBD"/>
    <w:rsid w:val="008562C7"/>
    <w:rsid w:val="0086194F"/>
    <w:rsid w:val="008639A4"/>
    <w:rsid w:val="00867092"/>
    <w:rsid w:val="00871FAB"/>
    <w:rsid w:val="00875C15"/>
    <w:rsid w:val="00880A90"/>
    <w:rsid w:val="00886EB3"/>
    <w:rsid w:val="00887222"/>
    <w:rsid w:val="00895C62"/>
    <w:rsid w:val="008A1199"/>
    <w:rsid w:val="008A22A0"/>
    <w:rsid w:val="008B1611"/>
    <w:rsid w:val="008B5083"/>
    <w:rsid w:val="008B6F02"/>
    <w:rsid w:val="008C3D9F"/>
    <w:rsid w:val="008C60D8"/>
    <w:rsid w:val="008D5381"/>
    <w:rsid w:val="008D76C5"/>
    <w:rsid w:val="008E0471"/>
    <w:rsid w:val="008E51B0"/>
    <w:rsid w:val="008E7F3E"/>
    <w:rsid w:val="008F53AC"/>
    <w:rsid w:val="008F7115"/>
    <w:rsid w:val="009002D8"/>
    <w:rsid w:val="00905C4E"/>
    <w:rsid w:val="00906001"/>
    <w:rsid w:val="009101E1"/>
    <w:rsid w:val="009208FE"/>
    <w:rsid w:val="009235F7"/>
    <w:rsid w:val="00942559"/>
    <w:rsid w:val="009440FB"/>
    <w:rsid w:val="009508E1"/>
    <w:rsid w:val="009512AB"/>
    <w:rsid w:val="0096675B"/>
    <w:rsid w:val="00971180"/>
    <w:rsid w:val="009727F9"/>
    <w:rsid w:val="00977E4D"/>
    <w:rsid w:val="00985C35"/>
    <w:rsid w:val="009871FB"/>
    <w:rsid w:val="0099712F"/>
    <w:rsid w:val="009A1099"/>
    <w:rsid w:val="009A18C7"/>
    <w:rsid w:val="009A3EBC"/>
    <w:rsid w:val="009A699D"/>
    <w:rsid w:val="009B0A33"/>
    <w:rsid w:val="009B28A5"/>
    <w:rsid w:val="009B6212"/>
    <w:rsid w:val="009B69DB"/>
    <w:rsid w:val="009B7F20"/>
    <w:rsid w:val="009C02F0"/>
    <w:rsid w:val="009C5357"/>
    <w:rsid w:val="009C5368"/>
    <w:rsid w:val="009C77A0"/>
    <w:rsid w:val="009D467A"/>
    <w:rsid w:val="009D7D7E"/>
    <w:rsid w:val="009E2547"/>
    <w:rsid w:val="009E55ED"/>
    <w:rsid w:val="009F3413"/>
    <w:rsid w:val="009F7699"/>
    <w:rsid w:val="00A01C92"/>
    <w:rsid w:val="00A0279A"/>
    <w:rsid w:val="00A03C0B"/>
    <w:rsid w:val="00A04B5B"/>
    <w:rsid w:val="00A13998"/>
    <w:rsid w:val="00A171CB"/>
    <w:rsid w:val="00A2654C"/>
    <w:rsid w:val="00A31FA9"/>
    <w:rsid w:val="00A41329"/>
    <w:rsid w:val="00A4224E"/>
    <w:rsid w:val="00A42ABB"/>
    <w:rsid w:val="00A456BC"/>
    <w:rsid w:val="00A472FC"/>
    <w:rsid w:val="00A50372"/>
    <w:rsid w:val="00A5159D"/>
    <w:rsid w:val="00A52BFA"/>
    <w:rsid w:val="00A55F12"/>
    <w:rsid w:val="00A63A2B"/>
    <w:rsid w:val="00A658A1"/>
    <w:rsid w:val="00A71013"/>
    <w:rsid w:val="00A7169F"/>
    <w:rsid w:val="00A7610F"/>
    <w:rsid w:val="00A77565"/>
    <w:rsid w:val="00A85F7A"/>
    <w:rsid w:val="00A928ED"/>
    <w:rsid w:val="00A93915"/>
    <w:rsid w:val="00A97802"/>
    <w:rsid w:val="00AB1036"/>
    <w:rsid w:val="00AB4214"/>
    <w:rsid w:val="00AB4B76"/>
    <w:rsid w:val="00AB6DAB"/>
    <w:rsid w:val="00AC2517"/>
    <w:rsid w:val="00AC32E9"/>
    <w:rsid w:val="00AC3B8E"/>
    <w:rsid w:val="00AC4948"/>
    <w:rsid w:val="00AD671E"/>
    <w:rsid w:val="00AE1650"/>
    <w:rsid w:val="00AE369E"/>
    <w:rsid w:val="00AE6590"/>
    <w:rsid w:val="00AE7787"/>
    <w:rsid w:val="00AF275A"/>
    <w:rsid w:val="00B02EB1"/>
    <w:rsid w:val="00B04B20"/>
    <w:rsid w:val="00B15106"/>
    <w:rsid w:val="00B15736"/>
    <w:rsid w:val="00B273B3"/>
    <w:rsid w:val="00B27C52"/>
    <w:rsid w:val="00B310FA"/>
    <w:rsid w:val="00B34D59"/>
    <w:rsid w:val="00B440D2"/>
    <w:rsid w:val="00B45DDA"/>
    <w:rsid w:val="00B47BD7"/>
    <w:rsid w:val="00B557DC"/>
    <w:rsid w:val="00B567EB"/>
    <w:rsid w:val="00B578D7"/>
    <w:rsid w:val="00B6068B"/>
    <w:rsid w:val="00B62BA6"/>
    <w:rsid w:val="00B67418"/>
    <w:rsid w:val="00B7081B"/>
    <w:rsid w:val="00B766FA"/>
    <w:rsid w:val="00B872F5"/>
    <w:rsid w:val="00B8733F"/>
    <w:rsid w:val="00B9057A"/>
    <w:rsid w:val="00BA4C45"/>
    <w:rsid w:val="00BA6D10"/>
    <w:rsid w:val="00BB0730"/>
    <w:rsid w:val="00BB117C"/>
    <w:rsid w:val="00BB41DB"/>
    <w:rsid w:val="00BB71D3"/>
    <w:rsid w:val="00BC11F1"/>
    <w:rsid w:val="00BC2D08"/>
    <w:rsid w:val="00BC3D3B"/>
    <w:rsid w:val="00BD2B9F"/>
    <w:rsid w:val="00BE08D0"/>
    <w:rsid w:val="00BE4B90"/>
    <w:rsid w:val="00BE5424"/>
    <w:rsid w:val="00BE59F9"/>
    <w:rsid w:val="00BF0BD1"/>
    <w:rsid w:val="00BF218A"/>
    <w:rsid w:val="00BF5B03"/>
    <w:rsid w:val="00BF6CDF"/>
    <w:rsid w:val="00C0020C"/>
    <w:rsid w:val="00C0120F"/>
    <w:rsid w:val="00C01CF1"/>
    <w:rsid w:val="00C031E4"/>
    <w:rsid w:val="00C04965"/>
    <w:rsid w:val="00C12AED"/>
    <w:rsid w:val="00C14367"/>
    <w:rsid w:val="00C14730"/>
    <w:rsid w:val="00C21A2A"/>
    <w:rsid w:val="00C23232"/>
    <w:rsid w:val="00C2472B"/>
    <w:rsid w:val="00C252F1"/>
    <w:rsid w:val="00C26FBF"/>
    <w:rsid w:val="00C302FA"/>
    <w:rsid w:val="00C33D43"/>
    <w:rsid w:val="00C36C9F"/>
    <w:rsid w:val="00C459DD"/>
    <w:rsid w:val="00C45EF9"/>
    <w:rsid w:val="00C50BCE"/>
    <w:rsid w:val="00C51A8A"/>
    <w:rsid w:val="00C52B5C"/>
    <w:rsid w:val="00C5686C"/>
    <w:rsid w:val="00C64B1F"/>
    <w:rsid w:val="00C6788C"/>
    <w:rsid w:val="00C67A76"/>
    <w:rsid w:val="00C73151"/>
    <w:rsid w:val="00C73220"/>
    <w:rsid w:val="00C74819"/>
    <w:rsid w:val="00C76B35"/>
    <w:rsid w:val="00C80D7E"/>
    <w:rsid w:val="00C83F45"/>
    <w:rsid w:val="00C86748"/>
    <w:rsid w:val="00C95F07"/>
    <w:rsid w:val="00CA4672"/>
    <w:rsid w:val="00CA6032"/>
    <w:rsid w:val="00CA6CB3"/>
    <w:rsid w:val="00CB373C"/>
    <w:rsid w:val="00CB7762"/>
    <w:rsid w:val="00CC26CD"/>
    <w:rsid w:val="00CD0354"/>
    <w:rsid w:val="00CE0AFB"/>
    <w:rsid w:val="00CE0C46"/>
    <w:rsid w:val="00CE1700"/>
    <w:rsid w:val="00CE6E92"/>
    <w:rsid w:val="00CF1A2C"/>
    <w:rsid w:val="00CF2830"/>
    <w:rsid w:val="00D01427"/>
    <w:rsid w:val="00D03604"/>
    <w:rsid w:val="00D124EA"/>
    <w:rsid w:val="00D16A4F"/>
    <w:rsid w:val="00D16BD3"/>
    <w:rsid w:val="00D17B55"/>
    <w:rsid w:val="00D2025D"/>
    <w:rsid w:val="00D22147"/>
    <w:rsid w:val="00D23974"/>
    <w:rsid w:val="00D26858"/>
    <w:rsid w:val="00D2719C"/>
    <w:rsid w:val="00D310C8"/>
    <w:rsid w:val="00D3164C"/>
    <w:rsid w:val="00D3278A"/>
    <w:rsid w:val="00D41655"/>
    <w:rsid w:val="00D47051"/>
    <w:rsid w:val="00D566F9"/>
    <w:rsid w:val="00D62EFA"/>
    <w:rsid w:val="00D64906"/>
    <w:rsid w:val="00D66137"/>
    <w:rsid w:val="00D66F11"/>
    <w:rsid w:val="00D7742F"/>
    <w:rsid w:val="00D80A68"/>
    <w:rsid w:val="00D857C7"/>
    <w:rsid w:val="00D8750A"/>
    <w:rsid w:val="00D87FBF"/>
    <w:rsid w:val="00D94355"/>
    <w:rsid w:val="00D94AAD"/>
    <w:rsid w:val="00DA0C94"/>
    <w:rsid w:val="00DA3651"/>
    <w:rsid w:val="00DA3B9A"/>
    <w:rsid w:val="00DC1BBA"/>
    <w:rsid w:val="00DC52E3"/>
    <w:rsid w:val="00DD1BB1"/>
    <w:rsid w:val="00DD4E06"/>
    <w:rsid w:val="00DE3174"/>
    <w:rsid w:val="00DF1C2F"/>
    <w:rsid w:val="00DF52A8"/>
    <w:rsid w:val="00DF539C"/>
    <w:rsid w:val="00DF6DC7"/>
    <w:rsid w:val="00DF7529"/>
    <w:rsid w:val="00E02F9E"/>
    <w:rsid w:val="00E03DF3"/>
    <w:rsid w:val="00E05BC3"/>
    <w:rsid w:val="00E0695E"/>
    <w:rsid w:val="00E07168"/>
    <w:rsid w:val="00E07F40"/>
    <w:rsid w:val="00E15497"/>
    <w:rsid w:val="00E16DD9"/>
    <w:rsid w:val="00E201A8"/>
    <w:rsid w:val="00E35462"/>
    <w:rsid w:val="00E36172"/>
    <w:rsid w:val="00E3738B"/>
    <w:rsid w:val="00E375C9"/>
    <w:rsid w:val="00E37C17"/>
    <w:rsid w:val="00E4314F"/>
    <w:rsid w:val="00E44CCB"/>
    <w:rsid w:val="00E620BA"/>
    <w:rsid w:val="00E74F00"/>
    <w:rsid w:val="00E82B01"/>
    <w:rsid w:val="00E83A76"/>
    <w:rsid w:val="00E85665"/>
    <w:rsid w:val="00E87B32"/>
    <w:rsid w:val="00E87FB2"/>
    <w:rsid w:val="00E90C89"/>
    <w:rsid w:val="00E90D5E"/>
    <w:rsid w:val="00E94663"/>
    <w:rsid w:val="00E96A63"/>
    <w:rsid w:val="00E96B6D"/>
    <w:rsid w:val="00E97FBA"/>
    <w:rsid w:val="00EB182E"/>
    <w:rsid w:val="00EB6922"/>
    <w:rsid w:val="00EC326D"/>
    <w:rsid w:val="00EC4A3A"/>
    <w:rsid w:val="00EC5653"/>
    <w:rsid w:val="00EC6EDD"/>
    <w:rsid w:val="00ED3CBB"/>
    <w:rsid w:val="00EF4938"/>
    <w:rsid w:val="00F004D0"/>
    <w:rsid w:val="00F12CEF"/>
    <w:rsid w:val="00F16D46"/>
    <w:rsid w:val="00F231CA"/>
    <w:rsid w:val="00F43CC1"/>
    <w:rsid w:val="00F476F0"/>
    <w:rsid w:val="00F57DAB"/>
    <w:rsid w:val="00F616F4"/>
    <w:rsid w:val="00F62C6D"/>
    <w:rsid w:val="00F6431E"/>
    <w:rsid w:val="00F64D43"/>
    <w:rsid w:val="00F70AEA"/>
    <w:rsid w:val="00F711A7"/>
    <w:rsid w:val="00F73DF4"/>
    <w:rsid w:val="00F74803"/>
    <w:rsid w:val="00F7706D"/>
    <w:rsid w:val="00F81DDA"/>
    <w:rsid w:val="00F821D6"/>
    <w:rsid w:val="00F83DFB"/>
    <w:rsid w:val="00F86281"/>
    <w:rsid w:val="00F96A04"/>
    <w:rsid w:val="00F96C14"/>
    <w:rsid w:val="00F9782E"/>
    <w:rsid w:val="00F979B5"/>
    <w:rsid w:val="00FA5345"/>
    <w:rsid w:val="00FB28E8"/>
    <w:rsid w:val="00FC4771"/>
    <w:rsid w:val="00FC6FFB"/>
    <w:rsid w:val="00FE530B"/>
    <w:rsid w:val="00FF0F1C"/>
    <w:rsid w:val="00FF513E"/>
    <w:rsid w:val="00FF51CC"/>
    <w:rsid w:val="00FF56AE"/>
    <w:rsid w:val="00FF7CA9"/>
    <w:rsid w:val="6E8859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1AE1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6" w:unhideWhenUsed="1" w:qFormat="1"/>
    <w:lsdException w:name="heading 3" w:semiHidden="1" w:uiPriority="0" w:unhideWhenUsed="1" w:qFormat="1"/>
    <w:lsdException w:name="heading 4" w:semiHidden="1" w:uiPriority="3" w:unhideWhenUsed="1" w:qFormat="1"/>
    <w:lsdException w:name="heading 5" w:semiHidden="1" w:uiPriority="4" w:unhideWhenUsed="1" w:qFormat="1"/>
    <w:lsdException w:name="heading 6" w:semiHidden="1" w:uiPriority="8"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4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611"/>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026B26"/>
    <w:pPr>
      <w:numPr>
        <w:ilvl w:val="1"/>
        <w:numId w:val="19"/>
      </w:numPr>
      <w:jc w:val="both"/>
    </w:pPr>
  </w:style>
  <w:style w:type="character" w:customStyle="1" w:styleId="BodyText2Char">
    <w:name w:val="Body Text 2 Char"/>
    <w:basedOn w:val="DefaultParagraphFont"/>
    <w:link w:val="BodyText2"/>
    <w:rsid w:val="00026B26"/>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uiPriority w:val="1"/>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1"/>
    <w:rsid w:val="00E83A76"/>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E83A76"/>
    <w:rPr>
      <w:b/>
    </w:rPr>
  </w:style>
  <w:style w:type="paragraph" w:styleId="FootnoteText">
    <w:name w:val="footnote text"/>
    <w:basedOn w:val="Normal"/>
    <w:link w:val="FootnoteTextChar"/>
    <w:uiPriority w:val="99"/>
    <w:rsid w:val="00E83A76"/>
    <w:pPr>
      <w:spacing w:after="0"/>
      <w:ind w:left="567" w:hanging="567"/>
      <w:jc w:val="both"/>
    </w:pPr>
    <w:rPr>
      <w:sz w:val="20"/>
    </w:rPr>
  </w:style>
  <w:style w:type="character" w:customStyle="1" w:styleId="FootnoteTextChar">
    <w:name w:val="Footnote Text Char"/>
    <w:basedOn w:val="DefaultParagraphFont"/>
    <w:link w:val="FootnoteText"/>
    <w:uiPriority w:val="99"/>
    <w:rsid w:val="00E83A76"/>
    <w:rPr>
      <w:sz w:val="20"/>
    </w:rPr>
  </w:style>
  <w:style w:type="character" w:styleId="FootnoteReference">
    <w:name w:val="footnote reference"/>
    <w:basedOn w:val="DefaultParagraphFont"/>
    <w:uiPriority w:val="99"/>
    <w:semiHidden/>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19"/>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qFormat/>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E83A76"/>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19"/>
      </w:numPr>
    </w:pPr>
  </w:style>
  <w:style w:type="paragraph" w:styleId="ListParagraph">
    <w:name w:val="List Paragraph"/>
    <w:basedOn w:val="Normal"/>
    <w:uiPriority w:val="34"/>
    <w:qFormat/>
    <w:rsid w:val="00871FAB"/>
    <w:pPr>
      <w:ind w:left="720"/>
      <w:contextualSpacing/>
    </w:pPr>
  </w:style>
  <w:style w:type="paragraph" w:customStyle="1" w:styleId="Attachmentsub-heading">
    <w:name w:val="Attachment sub-heading"/>
    <w:basedOn w:val="Normal"/>
    <w:qFormat/>
    <w:rsid w:val="00C031E4"/>
    <w:pPr>
      <w:keepNext/>
    </w:pPr>
    <w:rPr>
      <w:rFonts w:ascii="Arial" w:hAnsi="Arial" w:cs="Arial"/>
      <w:b/>
    </w:rPr>
  </w:style>
  <w:style w:type="paragraph" w:customStyle="1" w:styleId="IntroTo">
    <w:name w:val="IntroTo:"/>
    <w:basedOn w:val="Normal"/>
    <w:rsid w:val="008209CB"/>
    <w:pPr>
      <w:spacing w:after="0"/>
      <w:ind w:left="720" w:hanging="720"/>
    </w:pPr>
    <w:rPr>
      <w:rFonts w:eastAsia="Times New Roman"/>
      <w:szCs w:val="20"/>
      <w:lang w:eastAsia="en-US"/>
    </w:rPr>
  </w:style>
  <w:style w:type="paragraph" w:customStyle="1" w:styleId="IP">
    <w:name w:val="IP"/>
    <w:aliases w:val="Interpretation paragraph"/>
    <w:basedOn w:val="Normal"/>
    <w:next w:val="Normal"/>
    <w:rsid w:val="008209CB"/>
    <w:pPr>
      <w:keepNext/>
      <w:tabs>
        <w:tab w:val="right" w:pos="794"/>
      </w:tabs>
      <w:spacing w:before="120" w:after="0" w:line="260" w:lineRule="exact"/>
      <w:ind w:left="964" w:hanging="964"/>
      <w:jc w:val="both"/>
    </w:pPr>
    <w:rPr>
      <w:rFonts w:eastAsia="Times New Roman"/>
      <w:lang w:eastAsia="en-US"/>
    </w:rPr>
  </w:style>
  <w:style w:type="paragraph" w:customStyle="1" w:styleId="definition">
    <w:name w:val="definition"/>
    <w:basedOn w:val="Normal"/>
    <w:rsid w:val="008209CB"/>
    <w:pPr>
      <w:spacing w:before="80" w:after="0" w:line="260" w:lineRule="exact"/>
      <w:jc w:val="both"/>
    </w:pPr>
    <w:rPr>
      <w:rFonts w:eastAsia="Times New Roman"/>
      <w:lang w:eastAsia="en-US"/>
    </w:rPr>
  </w:style>
  <w:style w:type="paragraph" w:customStyle="1" w:styleId="AS">
    <w:name w:val="AS"/>
    <w:aliases w:val="Schedule title Amendment"/>
    <w:basedOn w:val="Normal"/>
    <w:next w:val="Normal"/>
    <w:rsid w:val="008209CB"/>
    <w:pPr>
      <w:keepNext/>
      <w:autoSpaceDE w:val="0"/>
      <w:autoSpaceDN w:val="0"/>
      <w:spacing w:before="480" w:after="0"/>
      <w:ind w:left="2410" w:hanging="2410"/>
    </w:pPr>
    <w:rPr>
      <w:rFonts w:ascii="Arial" w:eastAsia="Times New Roman" w:hAnsi="Arial" w:cs="Arial"/>
      <w:b/>
      <w:bCs/>
      <w:sz w:val="32"/>
      <w:szCs w:val="32"/>
    </w:rPr>
  </w:style>
  <w:style w:type="character" w:customStyle="1" w:styleId="CharSchNo">
    <w:name w:val="CharSchNo"/>
    <w:basedOn w:val="DefaultParagraphFont"/>
    <w:rsid w:val="008209CB"/>
  </w:style>
  <w:style w:type="paragraph" w:customStyle="1" w:styleId="CoverAct">
    <w:name w:val="CoverAct"/>
    <w:basedOn w:val="Normal"/>
    <w:next w:val="Normal"/>
    <w:rsid w:val="008209CB"/>
    <w:pPr>
      <w:pBdr>
        <w:bottom w:val="single" w:sz="4" w:space="3" w:color="auto"/>
      </w:pBdr>
      <w:spacing w:after="0"/>
    </w:pPr>
    <w:rPr>
      <w:rFonts w:ascii="Arial" w:eastAsia="Times New Roman" w:hAnsi="Arial"/>
      <w:i/>
      <w:noProof/>
      <w:sz w:val="28"/>
    </w:rPr>
  </w:style>
  <w:style w:type="paragraph" w:customStyle="1" w:styleId="CoverStatRule">
    <w:name w:val="CoverStatRule"/>
    <w:basedOn w:val="Normal"/>
    <w:next w:val="Normal"/>
    <w:rsid w:val="008209CB"/>
    <w:pPr>
      <w:spacing w:before="240" w:after="0"/>
    </w:pPr>
    <w:rPr>
      <w:rFonts w:ascii="Arial" w:eastAsia="Times New Roman" w:hAnsi="Arial"/>
      <w:b/>
    </w:rPr>
  </w:style>
  <w:style w:type="character" w:styleId="CommentReference">
    <w:name w:val="annotation reference"/>
    <w:basedOn w:val="DefaultParagraphFont"/>
    <w:uiPriority w:val="49"/>
    <w:semiHidden/>
    <w:unhideWhenUsed/>
    <w:rsid w:val="00C04965"/>
    <w:rPr>
      <w:sz w:val="16"/>
      <w:szCs w:val="16"/>
    </w:rPr>
  </w:style>
  <w:style w:type="paragraph" w:styleId="CommentText">
    <w:name w:val="annotation text"/>
    <w:basedOn w:val="Normal"/>
    <w:link w:val="CommentTextChar"/>
    <w:uiPriority w:val="49"/>
    <w:semiHidden/>
    <w:unhideWhenUsed/>
    <w:rsid w:val="00C04965"/>
    <w:rPr>
      <w:sz w:val="20"/>
      <w:szCs w:val="20"/>
    </w:rPr>
  </w:style>
  <w:style w:type="character" w:customStyle="1" w:styleId="CommentTextChar">
    <w:name w:val="Comment Text Char"/>
    <w:basedOn w:val="DefaultParagraphFont"/>
    <w:link w:val="CommentText"/>
    <w:uiPriority w:val="49"/>
    <w:semiHidden/>
    <w:rsid w:val="00C04965"/>
    <w:rPr>
      <w:sz w:val="20"/>
      <w:szCs w:val="20"/>
    </w:rPr>
  </w:style>
  <w:style w:type="paragraph" w:styleId="CommentSubject">
    <w:name w:val="annotation subject"/>
    <w:basedOn w:val="CommentText"/>
    <w:next w:val="CommentText"/>
    <w:link w:val="CommentSubjectChar"/>
    <w:uiPriority w:val="49"/>
    <w:semiHidden/>
    <w:unhideWhenUsed/>
    <w:rsid w:val="00C04965"/>
    <w:rPr>
      <w:b/>
      <w:bCs/>
    </w:rPr>
  </w:style>
  <w:style w:type="character" w:customStyle="1" w:styleId="CommentSubjectChar">
    <w:name w:val="Comment Subject Char"/>
    <w:basedOn w:val="CommentTextChar"/>
    <w:link w:val="CommentSubject"/>
    <w:uiPriority w:val="49"/>
    <w:semiHidden/>
    <w:rsid w:val="00C04965"/>
    <w:rPr>
      <w:b/>
      <w:bCs/>
      <w:sz w:val="20"/>
      <w:szCs w:val="20"/>
    </w:rPr>
  </w:style>
  <w:style w:type="paragraph" w:styleId="NormalWeb">
    <w:name w:val="Normal (Web)"/>
    <w:basedOn w:val="Normal"/>
    <w:uiPriority w:val="99"/>
    <w:semiHidden/>
    <w:unhideWhenUsed/>
    <w:rsid w:val="00B578D7"/>
    <w:pPr>
      <w:spacing w:before="100" w:beforeAutospacing="1" w:after="100" w:afterAutospacing="1"/>
    </w:pPr>
    <w:rPr>
      <w:rFonts w:eastAsia="Times New Roman"/>
    </w:rPr>
  </w:style>
  <w:style w:type="paragraph" w:styleId="Revision">
    <w:name w:val="Revision"/>
    <w:hidden/>
    <w:uiPriority w:val="99"/>
    <w:semiHidden/>
    <w:rsid w:val="009C02F0"/>
    <w:pPr>
      <w:spacing w:after="0"/>
    </w:pPr>
  </w:style>
  <w:style w:type="paragraph" w:customStyle="1" w:styleId="ActTitle">
    <w:name w:val="Act Title"/>
    <w:basedOn w:val="Normal"/>
    <w:next w:val="IntroTo"/>
    <w:rsid w:val="000730AA"/>
    <w:pPr>
      <w:pBdr>
        <w:bottom w:val="single" w:sz="4" w:space="3" w:color="auto"/>
      </w:pBdr>
      <w:spacing w:before="480"/>
    </w:pPr>
    <w:rPr>
      <w:rFonts w:ascii="Arial" w:eastAsia="Times New Roman" w:hAnsi="Arial"/>
      <w:i/>
      <w:iCs/>
      <w:sz w:val="28"/>
      <w:szCs w:val="20"/>
    </w:rPr>
  </w:style>
  <w:style w:type="paragraph" w:customStyle="1" w:styleId="IH">
    <w:name w:val="IH"/>
    <w:aliases w:val="Interpretation heading"/>
    <w:basedOn w:val="Normal"/>
    <w:next w:val="Normal"/>
    <w:rsid w:val="000730AA"/>
    <w:pPr>
      <w:keepNext/>
      <w:spacing w:before="480" w:after="0"/>
      <w:ind w:left="964" w:hanging="964"/>
    </w:pPr>
    <w:rPr>
      <w:rFonts w:ascii="Arial" w:eastAsia="Times New Roman" w:hAnsi="Arial"/>
      <w:b/>
      <w:lang w:eastAsia="en-US"/>
    </w:rPr>
  </w:style>
  <w:style w:type="paragraph" w:customStyle="1" w:styleId="ASref">
    <w:name w:val="AS ref"/>
    <w:basedOn w:val="Normal"/>
    <w:next w:val="Normal"/>
    <w:rsid w:val="000730AA"/>
    <w:pPr>
      <w:keepNext/>
      <w:autoSpaceDE w:val="0"/>
      <w:autoSpaceDN w:val="0"/>
      <w:spacing w:before="60" w:after="0" w:line="200" w:lineRule="exact"/>
      <w:ind w:left="2410"/>
    </w:pPr>
    <w:rPr>
      <w:rFonts w:ascii="Arial" w:eastAsia="Times New Roman" w:hAnsi="Arial" w:cs="Arial"/>
      <w:sz w:val="18"/>
      <w:szCs w:val="18"/>
    </w:rPr>
  </w:style>
  <w:style w:type="character" w:customStyle="1" w:styleId="CharSchText">
    <w:name w:val="CharSchText"/>
    <w:basedOn w:val="DefaultParagraphFont"/>
    <w:rsid w:val="00073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4.emf"/><Relationship Id="rId39" Type="http://schemas.openxmlformats.org/officeDocument/2006/relationships/theme" Target="theme/theme1.xml"/><Relationship Id="rId21" Type="http://schemas.openxmlformats.org/officeDocument/2006/relationships/header" Target="header5.xml"/><Relationship Id="rId34" Type="http://schemas.openxmlformats.org/officeDocument/2006/relationships/image" Target="media/image12.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emf"/><Relationship Id="rId33" Type="http://schemas.openxmlformats.org/officeDocument/2006/relationships/image" Target="media/image11.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7.xml"/><Relationship Id="rId32" Type="http://schemas.openxmlformats.org/officeDocument/2006/relationships/image" Target="media/image10.emf"/><Relationship Id="rId37"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6.emf"/><Relationship Id="rId36"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image" Target="media/image5.emf"/><Relationship Id="rId30" Type="http://schemas.openxmlformats.org/officeDocument/2006/relationships/image" Target="media/image8.emf"/><Relationship Id="rId35" Type="http://schemas.openxmlformats.org/officeDocument/2006/relationships/image" Target="media/image13.emf"/><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2a8a7e8-49a1-4017-acf0-0edc7cce208b">
      <UserInfo>
        <DisplayName>Francesca Zwolinsky</DisplayName>
        <AccountId>114</AccountId>
        <AccountType/>
      </UserInfo>
      <UserInfo>
        <DisplayName>Robert Street</DisplayName>
        <AccountId>220</AccountId>
        <AccountType/>
      </UserInfo>
      <UserInfo>
        <DisplayName>Clive Leeds</DisplayName>
        <AccountId>289</AccountId>
        <AccountType/>
      </UserInfo>
      <UserInfo>
        <DisplayName>Vasili Pirozek</DisplayName>
        <AccountId>211</AccountId>
        <AccountType/>
      </UserInfo>
      <UserInfo>
        <DisplayName>Kara Hooper</DisplayName>
        <AccountId>35</AccountId>
        <AccountType/>
      </UserInfo>
      <UserInfo>
        <DisplayName>Toni Michalis</DisplayName>
        <AccountId>342</AccountId>
        <AccountType/>
      </UserInfo>
      <UserInfo>
        <DisplayName>Gideon Holland</DisplayName>
        <AccountId>23</AccountId>
        <AccountType/>
      </UserInfo>
    </SharedWithUsers>
    <k4bcc0d734474fea9fb713d9c415b4b0 xmlns="92a8a7e8-49a1-4017-acf0-0edc7cce208b">
      <Terms xmlns="http://schemas.microsoft.com/office/infopath/2007/PartnerControls"/>
    </k4bcc0d734474fea9fb713d9c415b4b0>
    <APRASecurityClassification xmlns="92a8a7e8-49a1-4017-acf0-0edc7cce208b">OFFICIAL: Sensitive</APRASecurityClassification>
    <i05115a133414b4dabee2531e4b46b67 xmlns="92a8a7e8-49a1-4017-acf0-0edc7cce208b">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92a8a7e8-49a1-4017-acf0-0edc7cce208b">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s>
    </h67caa35a4114acd8e15fe89b3f29f9e>
    <l003ee8eff60461aa1bd0027aba92ea4 xmlns="92a8a7e8-49a1-4017-acf0-0edc7cce208b">
      <Terms xmlns="http://schemas.microsoft.com/office/infopath/2007/PartnerControls"/>
    </l003ee8eff60461aa1bd0027aba92ea4>
    <_ExtendedDescription xmlns="http://schemas.microsoft.com/sharepoint/v3" xsi:nil="true"/>
    <TaxCatchAll xmlns="92a8a7e8-49a1-4017-acf0-0edc7cce208b">
      <Value>142</Value>
      <Value>109</Value>
      <Value>10</Value>
      <Value>58</Value>
      <Value>19</Value>
    </TaxCatchAll>
    <j163382b748246d3b6e7caae71dbeeb0 xmlns="92a8a7e8-49a1-4017-acf0-0edc7cce208b">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b37d8d7e823543f58f89056343a9035c xmlns="92a8a7e8-49a1-4017-acf0-0edc7cce208b">
      <Terms xmlns="http://schemas.microsoft.com/office/infopath/2007/PartnerControls"/>
    </b37d8d7e823543f58f89056343a9035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0D163DB4DEE504FAB457909715FEC45" ma:contentTypeVersion="17" ma:contentTypeDescription="Create a new document." ma:contentTypeScope="" ma:versionID="2331766db4130645ec45f560b66a01a7">
  <xsd:schema xmlns:xsd="http://www.w3.org/2001/XMLSchema" xmlns:xs="http://www.w3.org/2001/XMLSchema" xmlns:p="http://schemas.microsoft.com/office/2006/metadata/properties" xmlns:ns1="http://schemas.microsoft.com/sharepoint/v3" xmlns:ns2="92a8a7e8-49a1-4017-acf0-0edc7cce208b" xmlns:ns3="f4148c6b-f494-43bd-afec-4c4bbfd3890b" targetNamespace="http://schemas.microsoft.com/office/2006/metadata/properties" ma:root="true" ma:fieldsID="c7b84690dd511863869f0c959d2cd8df" ns1:_="" ns2:_="" ns3:_="">
    <xsd:import namespace="http://schemas.microsoft.com/sharepoint/v3"/>
    <xsd:import namespace="92a8a7e8-49a1-4017-acf0-0edc7cce208b"/>
    <xsd:import namespace="f4148c6b-f494-43bd-afec-4c4bbfd3890b"/>
    <xsd:element name="properties">
      <xsd:complexType>
        <xsd:sequence>
          <xsd:element name="documentManagement">
            <xsd:complexType>
              <xsd:all>
                <xsd:element ref="ns2:i05115a133414b4dabee2531e4b46b67" minOccurs="0"/>
                <xsd:element ref="ns2:TaxCatchAll" minOccurs="0"/>
                <xsd:element ref="ns2:h67caa35a4114acd8e15fe89b3f29f9e" minOccurs="0"/>
                <xsd:element ref="ns2:k4bcc0d734474fea9fb713d9c415b4b0" minOccurs="0"/>
                <xsd:element ref="ns2:l003ee8eff60461aa1bd0027aba92ea4" minOccurs="0"/>
                <xsd:element ref="ns2:b37d8d7e823543f58f89056343a9035c" minOccurs="0"/>
                <xsd:element ref="ns2:j163382b748246d3b6e7caae71dbeeb0" minOccurs="0"/>
                <xsd:element ref="ns1:_ExtendedDescription" minOccurs="0"/>
                <xsd:element ref="ns2:APRASecurityClassification" minOccurs="0"/>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ExtendedDescription" ma:index="17" nillable="true" ma:displayName="Description" ma:internalName="_Extended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a8a7e8-49a1-4017-acf0-0edc7cce208b" elementFormDefault="qualified">
    <xsd:import namespace="http://schemas.microsoft.com/office/2006/documentManagement/types"/>
    <xsd:import namespace="http://schemas.microsoft.com/office/infopath/2007/PartnerControls"/>
    <xsd:element name="i05115a133414b4dabee2531e4b46b67" ma:index="8" nillable="true" ma:taxonomy="true" ma:internalName="i05115a133414b4dabee2531e4b46b67" ma:taxonomyFieldName="APRAActivity" ma:displayName="Activity" ma:readOnly="false" ma:fieldId="{205115a1-3341-4b4d-abee-2531e4b46b67}" ma:taxonomyMulti="true" ma:sspId="4ff776a0-f2ac-455d-9889-a581410000f1" ma:termSetId="0a2aee47-fbed-4b43-b934-0547b3421a87"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70a7764-7edc-438b-b2cf-51576a8fe6f7}" ma:internalName="TaxCatchAll" ma:showField="CatchAllData" ma:web="92a8a7e8-49a1-4017-acf0-0edc7cce208b">
      <xsd:complexType>
        <xsd:complexContent>
          <xsd:extension base="dms:MultiChoiceLookup">
            <xsd:sequence>
              <xsd:element name="Value" type="dms:Lookup" maxOccurs="unbounded" minOccurs="0" nillable="true"/>
            </xsd:sequence>
          </xsd:extension>
        </xsd:complexContent>
      </xsd:complexType>
    </xsd:element>
    <xsd:element name="h67caa35a4114acd8e15fe89b3f29f9e" ma:index="10" nillable="true" ma:taxonomy="true" ma:internalName="h67caa35a4114acd8e15fe89b3f29f9e" ma:taxonomyFieldName="APRADocumentType" ma:displayName="Document type" ma:readOnly="false" ma:fieldId="{167caa35-a411-4acd-8e15-fe89b3f29f9e}" ma:taxonomyMulti="true" ma:sspId="4ff776a0-f2ac-455d-9889-a581410000f1" ma:termSetId="af1c35f7-5763-4cde-bc1a-b0c7e164f1eb" ma:anchorId="00000000-0000-0000-0000-000000000000" ma:open="false" ma:isKeyword="false">
      <xsd:complexType>
        <xsd:sequence>
          <xsd:element ref="pc:Terms" minOccurs="0" maxOccurs="1"/>
        </xsd:sequence>
      </xsd:complexType>
    </xsd:element>
    <xsd:element name="k4bcc0d734474fea9fb713d9c415b4b0" ma:index="11" nillable="true" ma:taxonomy="true" ma:internalName="k4bcc0d734474fea9fb713d9c415b4b0" ma:taxonomyFieldName="APRAEntityAdviceSupport" ma:displayName="Entity (advice/support)" ma:readOnly="false" ma:fieldId="{44bcc0d7-3447-4fea-9fb7-13d9c415b4b0}" ma:taxonomyMulti="true" ma:sspId="4ff776a0-f2ac-455d-9889-a581410000f1" ma:termSetId="65e4e273-0c24-4815-bb8d-38cd0e8111f8" ma:anchorId="00000000-0000-0000-0000-000000000000" ma:open="false" ma:isKeyword="false">
      <xsd:complexType>
        <xsd:sequence>
          <xsd:element ref="pc:Terms" minOccurs="0" maxOccurs="1"/>
        </xsd:sequence>
      </xsd:complexType>
    </xsd:element>
    <xsd:element name="l003ee8eff60461aa1bd0027aba92ea4" ma:index="12" nillable="true" ma:taxonomy="true" ma:internalName="l003ee8eff60461aa1bd0027aba92ea4" ma:taxonomyFieldName="APRAIndustry" ma:displayName="Industry/Sector" ma:readOnly="false" ma:fieldId="{5003ee8e-ff60-461a-a1bd-0027aba92ea4}" ma:taxonomyMulti="true" ma:sspId="4ff776a0-f2ac-455d-9889-a581410000f1"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13" nillable="true" ma:taxonomy="true" ma:internalName="b37d8d7e823543f58f89056343a9035c" ma:taxonomyFieldName="APRALegislation" ma:displayName="Legislation" ma:readOnly="false" ma:fieldId="{b37d8d7e-8235-43f5-8f89-056343a9035c}" ma:taxonomyMulti="true" ma:sspId="4ff776a0-f2ac-455d-9889-a581410000f1" ma:termSetId="67e0a470-b4af-4691-908a-b900ee38db35" ma:anchorId="00000000-0000-0000-0000-000000000000" ma:open="false" ma:isKeyword="false">
      <xsd:complexType>
        <xsd:sequence>
          <xsd:element ref="pc:Terms" minOccurs="0" maxOccurs="1"/>
        </xsd:sequence>
      </xsd:complexType>
    </xsd:element>
    <xsd:element name="j163382b748246d3b6e7caae71dbeeb0" ma:index="14" nillable="true" ma:taxonomy="true" ma:internalName="j163382b748246d3b6e7caae71dbeeb0" ma:taxonomyFieldName="APRAStatus" ma:displayName="Status" ma:readOnly="false" ma:default="-1;#Draft|0e1556d2-3fe8-443a-ada7-3620563b46b3" ma:fieldId="{3163382b-7482-46d3-b6e7-caae71dbeeb0}" ma:sspId="4ff776a0-f2ac-455d-9889-a581410000f1" ma:termSetId="7eb4e65e-417b-4c63-9676-ecbbffa46ffa" ma:anchorId="00000000-0000-0000-0000-000000000000" ma:open="false" ma:isKeyword="false">
      <xsd:complexType>
        <xsd:sequence>
          <xsd:element ref="pc:Terms" minOccurs="0" maxOccurs="1"/>
        </xsd:sequence>
      </xsd:complexType>
    </xsd:element>
    <xsd:element name="APRASecurityClassification" ma:index="21" nillable="true" ma:displayName="Security classification" ma:default="OFFICIAL: Sensitive" ma:format="Dropdown"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148c6b-f494-43bd-afec-4c4bbfd3890b"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182ABF-C382-4BE8-B309-DD40ADB581DD}">
  <ds:schemaRefs>
    <ds:schemaRef ds:uri="http://www.w3.org/XML/1998/namespace"/>
    <ds:schemaRef ds:uri="http://schemas.openxmlformats.org/package/2006/metadata/core-properties"/>
    <ds:schemaRef ds:uri="79530295-9eea-494d-b82a-9ff74409eafc"/>
    <ds:schemaRef ds:uri="http://purl.org/dc/elements/1.1/"/>
    <ds:schemaRef ds:uri="http://schemas.microsoft.com/office/2006/documentManagement/types"/>
    <ds:schemaRef ds:uri="http://purl.org/dc/dcmitype/"/>
    <ds:schemaRef ds:uri="http://schemas.microsoft.com/office/2006/metadata/properties"/>
    <ds:schemaRef ds:uri="http://schemas.microsoft.com/office/infopath/2007/PartnerControls"/>
    <ds:schemaRef ds:uri="5664482d-1961-4d38-bfc2-b109b3418834"/>
    <ds:schemaRef ds:uri="http://purl.org/dc/terms/"/>
  </ds:schemaRefs>
</ds:datastoreItem>
</file>

<file path=customXml/itemProps2.xml><?xml version="1.0" encoding="utf-8"?>
<ds:datastoreItem xmlns:ds="http://schemas.openxmlformats.org/officeDocument/2006/customXml" ds:itemID="{1680C1A0-EE87-427C-8736-77DAEF1AAF93}">
  <ds:schemaRefs>
    <ds:schemaRef ds:uri="http://schemas.microsoft.com/sharepoint/v3/contenttype/forms"/>
  </ds:schemaRefs>
</ds:datastoreItem>
</file>

<file path=customXml/itemProps3.xml><?xml version="1.0" encoding="utf-8"?>
<ds:datastoreItem xmlns:ds="http://schemas.openxmlformats.org/officeDocument/2006/customXml" ds:itemID="{79274E89-1F34-4D4C-88BD-6E4D334F1308}">
  <ds:schemaRefs>
    <ds:schemaRef ds:uri="http://schemas.openxmlformats.org/officeDocument/2006/bibliography"/>
  </ds:schemaRefs>
</ds:datastoreItem>
</file>

<file path=customXml/itemProps4.xml><?xml version="1.0" encoding="utf-8"?>
<ds:datastoreItem xmlns:ds="http://schemas.openxmlformats.org/officeDocument/2006/customXml" ds:itemID="{37BA0F60-7EE5-4814-A6A1-B75F3A432DBC}"/>
</file>

<file path=docProps/app.xml><?xml version="1.0" encoding="utf-8"?>
<Properties xmlns="http://schemas.openxmlformats.org/officeDocument/2006/extended-properties" xmlns:vt="http://schemas.openxmlformats.org/officeDocument/2006/docPropsVTypes">
  <Template>Normal.dotm</Template>
  <TotalTime>0</TotalTime>
  <Pages>41</Pages>
  <Words>12095</Words>
  <Characters>63698</Characters>
  <Application>Microsoft Office Word</Application>
  <DocSecurity>0</DocSecurity>
  <Lines>1360</Lines>
  <Paragraphs>592</Paragraphs>
  <ScaleCrop>false</ScaleCrop>
  <HeadingPairs>
    <vt:vector size="2" baseType="variant">
      <vt:variant>
        <vt:lpstr>Title</vt:lpstr>
      </vt:variant>
      <vt:variant>
        <vt:i4>1</vt:i4>
      </vt:variant>
    </vt:vector>
  </HeadingPairs>
  <TitlesOfParts>
    <vt:vector size="1" baseType="lpstr">
      <vt:lpstr>Banking (prudential standard) determination No. 2 of 2023</vt:lpstr>
    </vt:vector>
  </TitlesOfParts>
  <Manager/>
  <Company/>
  <LinksUpToDate>false</LinksUpToDate>
  <CharactersWithSpaces>75243</CharactersWithSpaces>
  <SharedDoc>false</SharedDoc>
  <HLinks>
    <vt:vector size="120" baseType="variant">
      <vt:variant>
        <vt:i4>1769525</vt:i4>
      </vt:variant>
      <vt:variant>
        <vt:i4>116</vt:i4>
      </vt:variant>
      <vt:variant>
        <vt:i4>0</vt:i4>
      </vt:variant>
      <vt:variant>
        <vt:i4>5</vt:i4>
      </vt:variant>
      <vt:variant>
        <vt:lpwstr/>
      </vt:variant>
      <vt:variant>
        <vt:lpwstr>_Toc465172391</vt:lpwstr>
      </vt:variant>
      <vt:variant>
        <vt:i4>1769525</vt:i4>
      </vt:variant>
      <vt:variant>
        <vt:i4>110</vt:i4>
      </vt:variant>
      <vt:variant>
        <vt:i4>0</vt:i4>
      </vt:variant>
      <vt:variant>
        <vt:i4>5</vt:i4>
      </vt:variant>
      <vt:variant>
        <vt:lpwstr/>
      </vt:variant>
      <vt:variant>
        <vt:lpwstr>_Toc465172390</vt:lpwstr>
      </vt:variant>
      <vt:variant>
        <vt:i4>1703989</vt:i4>
      </vt:variant>
      <vt:variant>
        <vt:i4>104</vt:i4>
      </vt:variant>
      <vt:variant>
        <vt:i4>0</vt:i4>
      </vt:variant>
      <vt:variant>
        <vt:i4>5</vt:i4>
      </vt:variant>
      <vt:variant>
        <vt:lpwstr/>
      </vt:variant>
      <vt:variant>
        <vt:lpwstr>_Toc465172389</vt:lpwstr>
      </vt:variant>
      <vt:variant>
        <vt:i4>1703989</vt:i4>
      </vt:variant>
      <vt:variant>
        <vt:i4>98</vt:i4>
      </vt:variant>
      <vt:variant>
        <vt:i4>0</vt:i4>
      </vt:variant>
      <vt:variant>
        <vt:i4>5</vt:i4>
      </vt:variant>
      <vt:variant>
        <vt:lpwstr/>
      </vt:variant>
      <vt:variant>
        <vt:lpwstr>_Toc465172388</vt:lpwstr>
      </vt:variant>
      <vt:variant>
        <vt:i4>1703989</vt:i4>
      </vt:variant>
      <vt:variant>
        <vt:i4>92</vt:i4>
      </vt:variant>
      <vt:variant>
        <vt:i4>0</vt:i4>
      </vt:variant>
      <vt:variant>
        <vt:i4>5</vt:i4>
      </vt:variant>
      <vt:variant>
        <vt:lpwstr/>
      </vt:variant>
      <vt:variant>
        <vt:lpwstr>_Toc465172387</vt:lpwstr>
      </vt:variant>
      <vt:variant>
        <vt:i4>1703989</vt:i4>
      </vt:variant>
      <vt:variant>
        <vt:i4>86</vt:i4>
      </vt:variant>
      <vt:variant>
        <vt:i4>0</vt:i4>
      </vt:variant>
      <vt:variant>
        <vt:i4>5</vt:i4>
      </vt:variant>
      <vt:variant>
        <vt:lpwstr/>
      </vt:variant>
      <vt:variant>
        <vt:lpwstr>_Toc465172386</vt:lpwstr>
      </vt:variant>
      <vt:variant>
        <vt:i4>1703989</vt:i4>
      </vt:variant>
      <vt:variant>
        <vt:i4>80</vt:i4>
      </vt:variant>
      <vt:variant>
        <vt:i4>0</vt:i4>
      </vt:variant>
      <vt:variant>
        <vt:i4>5</vt:i4>
      </vt:variant>
      <vt:variant>
        <vt:lpwstr/>
      </vt:variant>
      <vt:variant>
        <vt:lpwstr>_Toc465172385</vt:lpwstr>
      </vt:variant>
      <vt:variant>
        <vt:i4>1703989</vt:i4>
      </vt:variant>
      <vt:variant>
        <vt:i4>74</vt:i4>
      </vt:variant>
      <vt:variant>
        <vt:i4>0</vt:i4>
      </vt:variant>
      <vt:variant>
        <vt:i4>5</vt:i4>
      </vt:variant>
      <vt:variant>
        <vt:lpwstr/>
      </vt:variant>
      <vt:variant>
        <vt:lpwstr>_Toc465172384</vt:lpwstr>
      </vt:variant>
      <vt:variant>
        <vt:i4>1703989</vt:i4>
      </vt:variant>
      <vt:variant>
        <vt:i4>68</vt:i4>
      </vt:variant>
      <vt:variant>
        <vt:i4>0</vt:i4>
      </vt:variant>
      <vt:variant>
        <vt:i4>5</vt:i4>
      </vt:variant>
      <vt:variant>
        <vt:lpwstr/>
      </vt:variant>
      <vt:variant>
        <vt:lpwstr>_Toc465172383</vt:lpwstr>
      </vt:variant>
      <vt:variant>
        <vt:i4>1703989</vt:i4>
      </vt:variant>
      <vt:variant>
        <vt:i4>62</vt:i4>
      </vt:variant>
      <vt:variant>
        <vt:i4>0</vt:i4>
      </vt:variant>
      <vt:variant>
        <vt:i4>5</vt:i4>
      </vt:variant>
      <vt:variant>
        <vt:lpwstr/>
      </vt:variant>
      <vt:variant>
        <vt:lpwstr>_Toc465172382</vt:lpwstr>
      </vt:variant>
      <vt:variant>
        <vt:i4>1703989</vt:i4>
      </vt:variant>
      <vt:variant>
        <vt:i4>56</vt:i4>
      </vt:variant>
      <vt:variant>
        <vt:i4>0</vt:i4>
      </vt:variant>
      <vt:variant>
        <vt:i4>5</vt:i4>
      </vt:variant>
      <vt:variant>
        <vt:lpwstr/>
      </vt:variant>
      <vt:variant>
        <vt:lpwstr>_Toc465172381</vt:lpwstr>
      </vt:variant>
      <vt:variant>
        <vt:i4>1703989</vt:i4>
      </vt:variant>
      <vt:variant>
        <vt:i4>50</vt:i4>
      </vt:variant>
      <vt:variant>
        <vt:i4>0</vt:i4>
      </vt:variant>
      <vt:variant>
        <vt:i4>5</vt:i4>
      </vt:variant>
      <vt:variant>
        <vt:lpwstr/>
      </vt:variant>
      <vt:variant>
        <vt:lpwstr>_Toc465172380</vt:lpwstr>
      </vt:variant>
      <vt:variant>
        <vt:i4>1376309</vt:i4>
      </vt:variant>
      <vt:variant>
        <vt:i4>44</vt:i4>
      </vt:variant>
      <vt:variant>
        <vt:i4>0</vt:i4>
      </vt:variant>
      <vt:variant>
        <vt:i4>5</vt:i4>
      </vt:variant>
      <vt:variant>
        <vt:lpwstr/>
      </vt:variant>
      <vt:variant>
        <vt:lpwstr>_Toc465172379</vt:lpwstr>
      </vt:variant>
      <vt:variant>
        <vt:i4>1376309</vt:i4>
      </vt:variant>
      <vt:variant>
        <vt:i4>38</vt:i4>
      </vt:variant>
      <vt:variant>
        <vt:i4>0</vt:i4>
      </vt:variant>
      <vt:variant>
        <vt:i4>5</vt:i4>
      </vt:variant>
      <vt:variant>
        <vt:lpwstr/>
      </vt:variant>
      <vt:variant>
        <vt:lpwstr>_Toc465172378</vt:lpwstr>
      </vt:variant>
      <vt:variant>
        <vt:i4>1376309</vt:i4>
      </vt:variant>
      <vt:variant>
        <vt:i4>32</vt:i4>
      </vt:variant>
      <vt:variant>
        <vt:i4>0</vt:i4>
      </vt:variant>
      <vt:variant>
        <vt:i4>5</vt:i4>
      </vt:variant>
      <vt:variant>
        <vt:lpwstr/>
      </vt:variant>
      <vt:variant>
        <vt:lpwstr>_Toc465172377</vt:lpwstr>
      </vt:variant>
      <vt:variant>
        <vt:i4>1376309</vt:i4>
      </vt:variant>
      <vt:variant>
        <vt:i4>26</vt:i4>
      </vt:variant>
      <vt:variant>
        <vt:i4>0</vt:i4>
      </vt:variant>
      <vt:variant>
        <vt:i4>5</vt:i4>
      </vt:variant>
      <vt:variant>
        <vt:lpwstr/>
      </vt:variant>
      <vt:variant>
        <vt:lpwstr>_Toc465172376</vt:lpwstr>
      </vt:variant>
      <vt:variant>
        <vt:i4>1376309</vt:i4>
      </vt:variant>
      <vt:variant>
        <vt:i4>20</vt:i4>
      </vt:variant>
      <vt:variant>
        <vt:i4>0</vt:i4>
      </vt:variant>
      <vt:variant>
        <vt:i4>5</vt:i4>
      </vt:variant>
      <vt:variant>
        <vt:lpwstr/>
      </vt:variant>
      <vt:variant>
        <vt:lpwstr>_Toc465172375</vt:lpwstr>
      </vt:variant>
      <vt:variant>
        <vt:i4>1376309</vt:i4>
      </vt:variant>
      <vt:variant>
        <vt:i4>14</vt:i4>
      </vt:variant>
      <vt:variant>
        <vt:i4>0</vt:i4>
      </vt:variant>
      <vt:variant>
        <vt:i4>5</vt:i4>
      </vt:variant>
      <vt:variant>
        <vt:lpwstr/>
      </vt:variant>
      <vt:variant>
        <vt:lpwstr>_Toc465172374</vt:lpwstr>
      </vt:variant>
      <vt:variant>
        <vt:i4>1376309</vt:i4>
      </vt:variant>
      <vt:variant>
        <vt:i4>8</vt:i4>
      </vt:variant>
      <vt:variant>
        <vt:i4>0</vt:i4>
      </vt:variant>
      <vt:variant>
        <vt:i4>5</vt:i4>
      </vt:variant>
      <vt:variant>
        <vt:lpwstr/>
      </vt:variant>
      <vt:variant>
        <vt:lpwstr>_Toc465172373</vt:lpwstr>
      </vt:variant>
      <vt:variant>
        <vt:i4>1376309</vt:i4>
      </vt:variant>
      <vt:variant>
        <vt:i4>2</vt:i4>
      </vt:variant>
      <vt:variant>
        <vt:i4>0</vt:i4>
      </vt:variant>
      <vt:variant>
        <vt:i4>5</vt:i4>
      </vt:variant>
      <vt:variant>
        <vt:lpwstr/>
      </vt:variant>
      <vt:variant>
        <vt:lpwstr>_Toc465172372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2 of 2023</dc:title>
  <dc:subject/>
  <dc:creator/>
  <cp:keywords>[SEC=OFFICIAL]</cp:keywords>
  <cp:lastModifiedBy/>
  <cp:revision>1</cp:revision>
  <dcterms:created xsi:type="dcterms:W3CDTF">2023-11-28T03:25:00Z</dcterms:created>
  <dcterms:modified xsi:type="dcterms:W3CDTF">2023-11-28T03:25:00Z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Locked">
    <vt:lpwstr>False</vt:lpwstr>
  </property>
  <property fmtid="{D5CDD505-2E9C-101B-9397-08002B2CF9AE}" pid="3" name="RecordPoint_SubmissionDate">
    <vt:lpwstr/>
  </property>
  <property fmtid="{D5CDD505-2E9C-101B-9397-08002B2CF9AE}" pid="4" name="MSIP_Label_c0129afb-6481-4f92-bc9f-5a4a6346364d_SiteId">
    <vt:lpwstr>c05e3ffd-b491-4431-9809-e61d4dc78816</vt:lpwstr>
  </property>
  <property fmtid="{D5CDD505-2E9C-101B-9397-08002B2CF9AE}" pid="5" name="MSIP_Label_c0129afb-6481-4f92-bc9f-5a4a6346364d_Method">
    <vt:lpwstr>Privileged</vt:lpwstr>
  </property>
  <property fmtid="{D5CDD505-2E9C-101B-9397-08002B2CF9AE}" pid="6" name="PM_Originator_Hash_SHA1">
    <vt:lpwstr>2CBCB4AD3B7FB4FD5099F12BB02129F49D9A583F</vt:lpwstr>
  </property>
  <property fmtid="{D5CDD505-2E9C-101B-9397-08002B2CF9AE}" pid="7" name="RecordPoint_RecordNumberSubmitted">
    <vt:lpwstr/>
  </property>
  <property fmtid="{D5CDD505-2E9C-101B-9397-08002B2CF9AE}" pid="8" name="PMUuid">
    <vt:lpwstr>v=2022.2;d=gov.au;g=46DD6D7C-8107-577B-BC6E-F348953B2E44</vt:lpwstr>
  </property>
  <property fmtid="{D5CDD505-2E9C-101B-9397-08002B2CF9AE}" pid="9" name="PM_OriginatorDomainName_SHA256">
    <vt:lpwstr>ECBDE2B44A971754412B3FB70606937A119CC0D4B6C1B658A40FBD41C30BE3EC</vt:lpwstr>
  </property>
  <property fmtid="{D5CDD505-2E9C-101B-9397-08002B2CF9AE}" pid="10" name="MSIP_Label_c0129afb-6481-4f92-bc9f-5a4a6346364d_ContentBits">
    <vt:lpwstr>0</vt:lpwstr>
  </property>
  <property fmtid="{D5CDD505-2E9C-101B-9397-08002B2CF9AE}" pid="11" name="PM_ProtectiveMarkingImage_Header">
    <vt:lpwstr>C:\Program Files\Common Files\janusNET Shared\janusSEAL\Images\DocumentSlashBlue.png</vt:lpwstr>
  </property>
  <property fmtid="{D5CDD505-2E9C-101B-9397-08002B2CF9AE}" pid="12"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13" name="ContentTypeId">
    <vt:lpwstr>0x01010080D163DB4DEE504FAB457909715FEC45</vt:lpwstr>
  </property>
  <property fmtid="{D5CDD505-2E9C-101B-9397-08002B2CF9AE}" pid="14" name="PM_Note">
    <vt:lpwstr/>
  </property>
  <property fmtid="{D5CDD505-2E9C-101B-9397-08002B2CF9AE}" pid="15" name="PM_Markers">
    <vt:lpwstr/>
  </property>
  <property fmtid="{D5CDD505-2E9C-101B-9397-08002B2CF9AE}" pid="16" name="MSIP_Label_c0129afb-6481-4f92-bc9f-5a4a6346364d_Enabled">
    <vt:lpwstr>true</vt:lpwstr>
  </property>
  <property fmtid="{D5CDD505-2E9C-101B-9397-08002B2CF9AE}" pid="17" name="PM_ProtectiveMarkingImage_Footer">
    <vt:lpwstr>C:\Program Files\Common Files\janusNET Shared\janusSEAL\Images\DocumentSlashBlue.png</vt:lpwstr>
  </property>
  <property fmtid="{D5CDD505-2E9C-101B-9397-08002B2CF9AE}" pid="18" name="RecordPoint_WorkflowType">
    <vt:lpwstr>ActiveSubmitStub</vt:lpwstr>
  </property>
  <property fmtid="{D5CDD505-2E9C-101B-9397-08002B2CF9AE}" pid="19" name="PM_Qualifier_Prev">
    <vt:lpwstr/>
  </property>
  <property fmtid="{D5CDD505-2E9C-101B-9397-08002B2CF9AE}" pid="20" name="PM_Originating_FileId">
    <vt:lpwstr>15D5E60E1B9249F4ABCE320DA8677D45</vt:lpwstr>
  </property>
  <property fmtid="{D5CDD505-2E9C-101B-9397-08002B2CF9AE}" pid="21" name="PM_Version">
    <vt:lpwstr>2018.4</vt:lpwstr>
  </property>
  <property fmtid="{D5CDD505-2E9C-101B-9397-08002B2CF9AE}" pid="22" name="APRAPRSG">
    <vt:lpwstr/>
  </property>
  <property fmtid="{D5CDD505-2E9C-101B-9397-08002B2CF9AE}" pid="23" name="APRADocumentType">
    <vt:lpwstr>58;#Legal instrument|71fd6ed3-d6d6-4975-ba99-bfe45802e734;#142;#Prudential standard|6ce5a155-9ab2-41e3-9b2a-5baab4b7f1d1</vt:lpwstr>
  </property>
  <property fmtid="{D5CDD505-2E9C-101B-9397-08002B2CF9AE}" pid="24" name="APRAStatus">
    <vt:lpwstr>19;#Final|84d6b2d0-8498-4d62-bf46-bab38babbe9e</vt:lpwstr>
  </property>
  <property fmtid="{D5CDD505-2E9C-101B-9397-08002B2CF9AE}" pid="25" name="RecordPoint_ActiveItemSiteId">
    <vt:lpwstr>{88691c01-5bbb-4215-adc0-66cb7065b0af}</vt:lpwstr>
  </property>
  <property fmtid="{D5CDD505-2E9C-101B-9397-08002B2CF9AE}" pid="26" name="PM_Display">
    <vt:lpwstr>OFFICIAL</vt:lpwstr>
  </property>
  <property fmtid="{D5CDD505-2E9C-101B-9397-08002B2CF9AE}" pid="27" name="PM_Qualifier">
    <vt:lpwstr/>
  </property>
  <property fmtid="{D5CDD505-2E9C-101B-9397-08002B2CF9AE}" pid="28" name="PM_SecurityClassification_Prev">
    <vt:lpwstr>OFFICIAL</vt:lpwstr>
  </property>
  <property fmtid="{D5CDD505-2E9C-101B-9397-08002B2CF9AE}" pid="29" name="APRAActivity">
    <vt:lpwstr>10;#Registration|390476ce-d76d-4e8d-905f-28e32d2df127;#109;#Statutory instrument|fe68928c-5a9c-4caf-bc8c-6c18cedcb17f</vt:lpwstr>
  </property>
  <property fmtid="{D5CDD505-2E9C-101B-9397-08002B2CF9AE}" pid="30" name="APRAEntityAdviceSupport">
    <vt:lpwstr/>
  </property>
  <property fmtid="{D5CDD505-2E9C-101B-9397-08002B2CF9AE}" pid="31" name="RecordPoint_ActiveItemListId">
    <vt:lpwstr>{0e59e171-09d8-4401-800a-327154450cb3}</vt:lpwstr>
  </property>
  <property fmtid="{D5CDD505-2E9C-101B-9397-08002B2CF9AE}" pid="32" name="MSIP_Label_c0129afb-6481-4f92-bc9f-5a4a6346364d_SetDate">
    <vt:lpwstr>2022-12-05T06:03:08Z</vt:lpwstr>
  </property>
  <property fmtid="{D5CDD505-2E9C-101B-9397-08002B2CF9AE}" pid="33" name="APRAYear">
    <vt:lpwstr/>
  </property>
  <property fmtid="{D5CDD505-2E9C-101B-9397-08002B2CF9AE}" pid="34" name="APRAIndustry">
    <vt:lpwstr/>
  </property>
  <property fmtid="{D5CDD505-2E9C-101B-9397-08002B2CF9AE}" pid="35" name="APRALegislation">
    <vt:lpwstr/>
  </property>
  <property fmtid="{D5CDD505-2E9C-101B-9397-08002B2CF9AE}" pid="36" name="RecordPoint_ActiveItemUniqueId">
    <vt:lpwstr>{2d5966b2-87d9-45de-abd6-2130c9385061}</vt:lpwstr>
  </property>
  <property fmtid="{D5CDD505-2E9C-101B-9397-08002B2CF9AE}" pid="37" name="RecordPoint_SubmissionCompleted">
    <vt:lpwstr/>
  </property>
  <property fmtid="{D5CDD505-2E9C-101B-9397-08002B2CF9AE}" pid="38" name="RecordPoint_ActiveItemMoved">
    <vt:lpwstr/>
  </property>
  <property fmtid="{D5CDD505-2E9C-101B-9397-08002B2CF9AE}" pid="39" name="RecordPoint_RecordFormat">
    <vt:lpwstr/>
  </property>
  <property fmtid="{D5CDD505-2E9C-101B-9397-08002B2CF9AE}" pid="40" name="PM_OriginatorUserAccountName_SHA256">
    <vt:lpwstr>39842B6CBDF7E011F4EE41652891E4F5264F812484841ED99866508E9E04668D</vt:lpwstr>
  </property>
  <property fmtid="{D5CDD505-2E9C-101B-9397-08002B2CF9AE}" pid="41" name="PM_ProtectiveMarkingValue_Footer">
    <vt:lpwstr>OFFICIAL</vt:lpwstr>
  </property>
  <property fmtid="{D5CDD505-2E9C-101B-9397-08002B2CF9AE}" pid="42" name="PM_InsertionValue">
    <vt:lpwstr>OFFICIAL</vt:lpwstr>
  </property>
  <property fmtid="{D5CDD505-2E9C-101B-9397-08002B2CF9AE}" pid="43" name="Language">
    <vt:lpwstr>English</vt:lpwstr>
  </property>
  <property fmtid="{D5CDD505-2E9C-101B-9397-08002B2CF9AE}" pid="44" name="APRAExternalOrganisation">
    <vt:lpwstr/>
  </property>
  <property fmtid="{D5CDD505-2E9C-101B-9397-08002B2CF9AE}" pid="45" name="PM_SecurityClassification">
    <vt:lpwstr>OFFICIAL</vt:lpwstr>
  </property>
  <property fmtid="{D5CDD505-2E9C-101B-9397-08002B2CF9AE}" pid="46" name="PM_OriginationTimeStamp">
    <vt:lpwstr>2022-12-05T06:03:08Z</vt:lpwstr>
  </property>
  <property fmtid="{D5CDD505-2E9C-101B-9397-08002B2CF9AE}" pid="47" name="APRAIRTR">
    <vt:lpwstr/>
  </property>
  <property fmtid="{D5CDD505-2E9C-101B-9397-08002B2CF9AE}" pid="48" name="APRAPeriod">
    <vt:lpwstr/>
  </property>
  <property fmtid="{D5CDD505-2E9C-101B-9397-08002B2CF9AE}" pid="49" name="PM_Caveats_Count">
    <vt:lpwstr>0</vt:lpwstr>
  </property>
  <property fmtid="{D5CDD505-2E9C-101B-9397-08002B2CF9AE}" pid="50" name="RecordPoint_ActiveItemWebId">
    <vt:lpwstr>{75a71c27-8d66-4282-ae60-1bfc22a83be1}</vt:lpwstr>
  </property>
  <property fmtid="{D5CDD505-2E9C-101B-9397-08002B2CF9AE}" pid="51" name="PM_Namespace">
    <vt:lpwstr>gov.au</vt:lpwstr>
  </property>
  <property fmtid="{D5CDD505-2E9C-101B-9397-08002B2CF9AE}" pid="52" name="MSIP_Label_c0129afb-6481-4f92-bc9f-5a4a6346364d_Name">
    <vt:lpwstr>OFFICIAL</vt:lpwstr>
  </property>
  <property fmtid="{D5CDD505-2E9C-101B-9397-08002B2CF9AE}" pid="53" name="PM_DisplayValueSecClassificationWithQualifier">
    <vt:lpwstr>OFFICIAL</vt:lpwstr>
  </property>
  <property fmtid="{D5CDD505-2E9C-101B-9397-08002B2CF9AE}" pid="54" name="PM_Hash_Version">
    <vt:lpwstr>2022.1</vt:lpwstr>
  </property>
  <property fmtid="{D5CDD505-2E9C-101B-9397-08002B2CF9AE}" pid="55" name="PM_ProtectiveMarkingValue_Header">
    <vt:lpwstr>OFFICIAL</vt:lpwstr>
  </property>
  <property fmtid="{D5CDD505-2E9C-101B-9397-08002B2CF9AE}" pid="56" name="IT system type">
    <vt:lpwstr/>
  </property>
  <property fmtid="{D5CDD505-2E9C-101B-9397-08002B2CF9AE}" pid="57" name="APRACategory">
    <vt:lpwstr/>
  </property>
  <property fmtid="{D5CDD505-2E9C-101B-9397-08002B2CF9AE}" pid="58" name="_dlc_DocIdItemGuid">
    <vt:lpwstr>2d5966b2-87d9-45de-abd6-2130c9385061</vt:lpwstr>
  </property>
  <property fmtid="{D5CDD505-2E9C-101B-9397-08002B2CF9AE}" pid="59" name="PM_Hash_Salt_Prev">
    <vt:lpwstr>5B47A6BDEF44127A2D5776C3226432C7</vt:lpwstr>
  </property>
  <property fmtid="{D5CDD505-2E9C-101B-9397-08002B2CF9AE}" pid="60" name="PM_Hash_Salt">
    <vt:lpwstr>5A3AAAC9AB6FB8F2DF64DEFC17D8B07E</vt:lpwstr>
  </property>
  <property fmtid="{D5CDD505-2E9C-101B-9397-08002B2CF9AE}" pid="61" name="MSIP_Label_c0129afb-6481-4f92-bc9f-5a4a6346364d_ActionId">
    <vt:lpwstr>c56842dd21d04daab244cc4241ce4a2a</vt:lpwstr>
  </property>
  <property fmtid="{D5CDD505-2E9C-101B-9397-08002B2CF9AE}" pid="62" name="PMHMAC">
    <vt:lpwstr>v=2022.1;a=SHA256;h=595424C2311380C7A3B31AAEFFEEDBFD041B80E5B047CB244626FCD26821AD05</vt:lpwstr>
  </property>
  <property fmtid="{D5CDD505-2E9C-101B-9397-08002B2CF9AE}" pid="63" name="PM_Hash_SHA1">
    <vt:lpwstr>632C7DBB9771E321F5FD18BD88F0BFB366C9CA62</vt:lpwstr>
  </property>
</Properties>
</file>