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1A03" w14:textId="77777777" w:rsidR="00CD1877" w:rsidRDefault="00CD1877" w:rsidP="00AA7CD4">
      <w:pPr>
        <w:spacing w:after="0"/>
      </w:pPr>
    </w:p>
    <w:p w14:paraId="3BC28FB0" w14:textId="77777777" w:rsidR="000945B6" w:rsidRPr="00E80020" w:rsidRDefault="000945B6" w:rsidP="000945B6">
      <w:pPr>
        <w:rPr>
          <w:color w:val="000000"/>
        </w:rPr>
      </w:pPr>
      <w:bookmarkStart w:id="0" w:name="_Toc168113228"/>
      <w:r>
        <w:rPr>
          <w:noProof/>
          <w:color w:val="000000"/>
        </w:rPr>
        <w:drawing>
          <wp:inline distT="0" distB="0" distL="0" distR="0" wp14:anchorId="0167DAD0" wp14:editId="0841FE29">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20F2583" w14:textId="79241CBD" w:rsidR="000945B6" w:rsidRPr="00660F4B" w:rsidRDefault="000945B6" w:rsidP="000945B6">
      <w:pPr>
        <w:pStyle w:val="Title"/>
        <w:spacing w:before="360"/>
        <w:rPr>
          <w:color w:val="000000"/>
        </w:rPr>
      </w:pPr>
      <w:r w:rsidRPr="00660F4B">
        <w:rPr>
          <w:color w:val="000000"/>
        </w:rPr>
        <w:t>Banking (prudential standard) determination N</w:t>
      </w:r>
      <w:r w:rsidRPr="001D657C">
        <w:rPr>
          <w:color w:val="000000"/>
        </w:rPr>
        <w:t xml:space="preserve">o. </w:t>
      </w:r>
      <w:r w:rsidR="00866D12" w:rsidRPr="001D657C">
        <w:rPr>
          <w:color w:val="000000"/>
        </w:rPr>
        <w:t>5</w:t>
      </w:r>
      <w:r w:rsidRPr="001D657C">
        <w:rPr>
          <w:color w:val="000000"/>
        </w:rPr>
        <w:t xml:space="preserve"> of</w:t>
      </w:r>
      <w:r w:rsidRPr="00660F4B">
        <w:rPr>
          <w:color w:val="000000"/>
        </w:rPr>
        <w:t xml:space="preserve"> 2023 </w:t>
      </w:r>
    </w:p>
    <w:p w14:paraId="0A1ED7FA" w14:textId="4D6931CE" w:rsidR="000945B6" w:rsidRPr="00230D47" w:rsidRDefault="000945B6" w:rsidP="000945B6">
      <w:pPr>
        <w:pStyle w:val="Title"/>
        <w:spacing w:before="360" w:after="120"/>
        <w:rPr>
          <w:color w:val="000000"/>
          <w:sz w:val="28"/>
          <w:szCs w:val="28"/>
        </w:rPr>
      </w:pPr>
      <w:r w:rsidRPr="00230D47">
        <w:rPr>
          <w:color w:val="000000"/>
          <w:sz w:val="28"/>
          <w:szCs w:val="28"/>
        </w:rPr>
        <w:t xml:space="preserve">Prudential Standard </w:t>
      </w:r>
      <w:r w:rsidRPr="000945B6">
        <w:rPr>
          <w:color w:val="000000"/>
          <w:sz w:val="28"/>
          <w:szCs w:val="28"/>
        </w:rPr>
        <w:t>APS 180</w:t>
      </w:r>
      <w:r>
        <w:rPr>
          <w:color w:val="000000"/>
          <w:sz w:val="28"/>
          <w:szCs w:val="28"/>
        </w:rPr>
        <w:t xml:space="preserve"> </w:t>
      </w:r>
      <w:r w:rsidRPr="000945B6">
        <w:rPr>
          <w:color w:val="000000"/>
          <w:sz w:val="28"/>
          <w:szCs w:val="28"/>
        </w:rPr>
        <w:t>Capital Adequacy: Counterparty Credit Risk</w:t>
      </w:r>
    </w:p>
    <w:p w14:paraId="5C504CF0" w14:textId="77777777" w:rsidR="000945B6" w:rsidRPr="00E80020" w:rsidRDefault="000945B6" w:rsidP="000945B6">
      <w:pPr>
        <w:pStyle w:val="ActTitle"/>
        <w:spacing w:before="360"/>
        <w:rPr>
          <w:color w:val="000000"/>
        </w:rPr>
      </w:pPr>
      <w:r w:rsidRPr="00E80020">
        <w:rPr>
          <w:color w:val="000000"/>
        </w:rPr>
        <w:t>Banking Act 1959</w:t>
      </w:r>
    </w:p>
    <w:p w14:paraId="0FA47918" w14:textId="77777777" w:rsidR="000945B6" w:rsidRPr="00230D47" w:rsidRDefault="000945B6" w:rsidP="000945B6">
      <w:pPr>
        <w:pStyle w:val="IntroTo"/>
        <w:rPr>
          <w:rFonts w:ascii="Arial" w:hAnsi="Arial" w:cs="Arial"/>
          <w:color w:val="000000"/>
          <w:sz w:val="22"/>
          <w:szCs w:val="22"/>
        </w:rPr>
      </w:pPr>
    </w:p>
    <w:p w14:paraId="33C64265" w14:textId="472321DB" w:rsidR="000945B6" w:rsidRPr="00230D47" w:rsidRDefault="000945B6" w:rsidP="000945B6">
      <w:pPr>
        <w:rPr>
          <w:rFonts w:ascii="Arial" w:hAnsi="Arial" w:cs="Arial"/>
          <w:sz w:val="22"/>
          <w:szCs w:val="22"/>
          <w:highlight w:val="yellow"/>
        </w:rPr>
      </w:pPr>
      <w:r w:rsidRPr="00230D47">
        <w:rPr>
          <w:rFonts w:ascii="Arial" w:hAnsi="Arial" w:cs="Arial"/>
          <w:sz w:val="22"/>
          <w:szCs w:val="22"/>
        </w:rPr>
        <w:t xml:space="preserve">I, </w:t>
      </w:r>
      <w:r w:rsidR="00CA3055" w:rsidRPr="00CA3055">
        <w:rPr>
          <w:rFonts w:ascii="Arial" w:hAnsi="Arial" w:cs="Arial"/>
          <w:sz w:val="22"/>
          <w:szCs w:val="22"/>
        </w:rPr>
        <w:t>Clare Gibney</w:t>
      </w:r>
      <w:r w:rsidRPr="00230D47">
        <w:rPr>
          <w:rFonts w:ascii="Arial" w:hAnsi="Arial" w:cs="Arial"/>
          <w:sz w:val="22"/>
          <w:szCs w:val="22"/>
        </w:rPr>
        <w:t xml:space="preserve">, </w:t>
      </w:r>
      <w:r w:rsidR="00BC7444">
        <w:rPr>
          <w:rFonts w:ascii="Arial" w:hAnsi="Arial" w:cs="Arial"/>
          <w:sz w:val="22"/>
          <w:szCs w:val="22"/>
        </w:rPr>
        <w:t xml:space="preserve">a </w:t>
      </w:r>
      <w:r w:rsidRPr="00230D47">
        <w:rPr>
          <w:rFonts w:ascii="Arial" w:hAnsi="Arial" w:cs="Arial"/>
          <w:sz w:val="22"/>
          <w:szCs w:val="22"/>
        </w:rPr>
        <w:t>delegate of APRA:</w:t>
      </w:r>
    </w:p>
    <w:p w14:paraId="57EDEAC4" w14:textId="77777777" w:rsidR="000945B6" w:rsidRPr="00230D47" w:rsidRDefault="000945B6" w:rsidP="000945B6">
      <w:pPr>
        <w:pStyle w:val="IntroTo"/>
        <w:ind w:left="0" w:firstLine="0"/>
        <w:jc w:val="both"/>
        <w:rPr>
          <w:rFonts w:ascii="Arial" w:hAnsi="Arial" w:cs="Arial"/>
          <w:sz w:val="22"/>
          <w:szCs w:val="22"/>
        </w:rPr>
      </w:pPr>
    </w:p>
    <w:p w14:paraId="5D544561" w14:textId="092CAE5C" w:rsidR="000945B6" w:rsidRDefault="000945B6" w:rsidP="000945B6">
      <w:pPr>
        <w:pStyle w:val="IntroTo"/>
        <w:numPr>
          <w:ilvl w:val="0"/>
          <w:numId w:val="45"/>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3) of the </w:t>
      </w:r>
      <w:r w:rsidRPr="007E1E02">
        <w:rPr>
          <w:rFonts w:ascii="Arial" w:hAnsi="Arial" w:cs="Arial"/>
          <w:i/>
          <w:color w:val="000000"/>
          <w:sz w:val="22"/>
          <w:szCs w:val="22"/>
        </w:rPr>
        <w:t>Banking Act 1959</w:t>
      </w:r>
      <w:r w:rsidRPr="00230D47">
        <w:rPr>
          <w:rFonts w:ascii="Arial" w:hAnsi="Arial" w:cs="Arial"/>
          <w:color w:val="000000"/>
          <w:sz w:val="22"/>
          <w:szCs w:val="22"/>
        </w:rPr>
        <w:t xml:space="preserve"> (the Act) REVOKE </w:t>
      </w:r>
      <w:r w:rsidRPr="001D657C">
        <w:rPr>
          <w:rFonts w:ascii="Arial" w:hAnsi="Arial" w:cs="Arial"/>
          <w:i/>
          <w:color w:val="000000"/>
          <w:sz w:val="22"/>
          <w:szCs w:val="22"/>
        </w:rPr>
        <w:t xml:space="preserve">Banking (prudential standard) determination No. </w:t>
      </w:r>
      <w:r w:rsidR="001E4D64" w:rsidRPr="001D657C">
        <w:rPr>
          <w:rFonts w:ascii="Arial" w:hAnsi="Arial" w:cs="Arial"/>
          <w:i/>
          <w:color w:val="000000"/>
          <w:sz w:val="22"/>
          <w:szCs w:val="22"/>
        </w:rPr>
        <w:t>12</w:t>
      </w:r>
      <w:r w:rsidRPr="001D657C">
        <w:rPr>
          <w:rFonts w:ascii="Arial" w:hAnsi="Arial" w:cs="Arial"/>
          <w:i/>
          <w:color w:val="000000"/>
          <w:sz w:val="22"/>
          <w:szCs w:val="22"/>
        </w:rPr>
        <w:t xml:space="preserve"> of </w:t>
      </w:r>
      <w:r w:rsidR="001E4D64" w:rsidRPr="001D657C">
        <w:rPr>
          <w:rFonts w:ascii="Arial" w:hAnsi="Arial" w:cs="Arial"/>
          <w:i/>
          <w:color w:val="000000"/>
          <w:sz w:val="22"/>
          <w:szCs w:val="22"/>
        </w:rPr>
        <w:t>2022</w:t>
      </w:r>
      <w:r w:rsidRPr="00230D47">
        <w:rPr>
          <w:rFonts w:ascii="Arial" w:hAnsi="Arial" w:cs="Arial"/>
          <w:color w:val="000000"/>
          <w:sz w:val="22"/>
          <w:szCs w:val="22"/>
        </w:rPr>
        <w:t xml:space="preserve">, including </w:t>
      </w:r>
      <w:r w:rsidRPr="00230D47">
        <w:rPr>
          <w:rFonts w:ascii="Arial" w:hAnsi="Arial" w:cs="Arial"/>
          <w:i/>
          <w:color w:val="000000"/>
          <w:sz w:val="22"/>
          <w:szCs w:val="22"/>
        </w:rPr>
        <w:t xml:space="preserve">Prudential Standard APS </w:t>
      </w:r>
      <w:r w:rsidRPr="000945B6">
        <w:rPr>
          <w:rFonts w:ascii="Arial" w:hAnsi="Arial" w:cs="Arial"/>
          <w:i/>
          <w:color w:val="000000"/>
          <w:sz w:val="22"/>
          <w:szCs w:val="22"/>
        </w:rPr>
        <w:t>180 Capital Adequacy: Counterparty Credit Risk</w:t>
      </w:r>
      <w:r>
        <w:rPr>
          <w:rFonts w:ascii="Arial" w:hAnsi="Arial" w:cs="Arial"/>
          <w:i/>
          <w:color w:val="000000"/>
          <w:sz w:val="22"/>
          <w:szCs w:val="22"/>
        </w:rPr>
        <w:t xml:space="preserve"> </w:t>
      </w:r>
      <w:r w:rsidRPr="00230D47">
        <w:rPr>
          <w:rFonts w:ascii="Arial" w:hAnsi="Arial" w:cs="Arial"/>
          <w:color w:val="000000"/>
          <w:sz w:val="22"/>
          <w:szCs w:val="22"/>
        </w:rPr>
        <w:t xml:space="preserve">made under that </w:t>
      </w:r>
      <w:r>
        <w:rPr>
          <w:rFonts w:ascii="Arial" w:hAnsi="Arial" w:cs="Arial"/>
          <w:color w:val="000000"/>
          <w:sz w:val="22"/>
          <w:szCs w:val="22"/>
        </w:rPr>
        <w:t>d</w:t>
      </w:r>
      <w:r w:rsidRPr="00230D47">
        <w:rPr>
          <w:rFonts w:ascii="Arial" w:hAnsi="Arial" w:cs="Arial"/>
          <w:color w:val="000000"/>
          <w:sz w:val="22"/>
          <w:szCs w:val="22"/>
        </w:rPr>
        <w:t>etermination; and</w:t>
      </w:r>
    </w:p>
    <w:p w14:paraId="04F694D3" w14:textId="77777777" w:rsidR="000945B6" w:rsidRPr="00230D47" w:rsidRDefault="000945B6" w:rsidP="000945B6">
      <w:pPr>
        <w:pStyle w:val="IntroTo"/>
        <w:ind w:firstLine="0"/>
        <w:jc w:val="both"/>
        <w:rPr>
          <w:rFonts w:ascii="Arial" w:hAnsi="Arial" w:cs="Arial"/>
          <w:color w:val="000000"/>
          <w:sz w:val="22"/>
          <w:szCs w:val="22"/>
        </w:rPr>
      </w:pPr>
    </w:p>
    <w:p w14:paraId="02B81C6D" w14:textId="3B0B4BEF" w:rsidR="000945B6" w:rsidRPr="00230D47" w:rsidRDefault="000945B6" w:rsidP="000945B6">
      <w:pPr>
        <w:pStyle w:val="IntroTo"/>
        <w:numPr>
          <w:ilvl w:val="0"/>
          <w:numId w:val="45"/>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1) of the Act DETERMINE </w:t>
      </w:r>
      <w:r w:rsidRPr="00230D47">
        <w:rPr>
          <w:rFonts w:ascii="Arial" w:hAnsi="Arial" w:cs="Arial"/>
          <w:i/>
          <w:color w:val="000000"/>
          <w:sz w:val="22"/>
          <w:szCs w:val="22"/>
        </w:rPr>
        <w:t xml:space="preserve">Prudential Standard APS </w:t>
      </w:r>
      <w:r w:rsidRPr="000945B6">
        <w:rPr>
          <w:rFonts w:ascii="Arial" w:hAnsi="Arial" w:cs="Arial"/>
          <w:i/>
          <w:color w:val="000000"/>
          <w:sz w:val="22"/>
          <w:szCs w:val="22"/>
        </w:rPr>
        <w:t>180 Capital Adequacy: Counterparty Credit Risk</w:t>
      </w:r>
      <w:r w:rsidRPr="00230D47">
        <w:rPr>
          <w:rFonts w:ascii="Arial" w:hAnsi="Arial" w:cs="Arial"/>
          <w:color w:val="000000"/>
          <w:sz w:val="22"/>
          <w:szCs w:val="22"/>
        </w:rPr>
        <w:t xml:space="preserve">, in the form set out in the </w:t>
      </w:r>
      <w:r>
        <w:rPr>
          <w:rFonts w:ascii="Arial" w:hAnsi="Arial" w:cs="Arial"/>
          <w:color w:val="000000"/>
          <w:sz w:val="22"/>
          <w:szCs w:val="22"/>
        </w:rPr>
        <w:t>s</w:t>
      </w:r>
      <w:r w:rsidRPr="00230D47">
        <w:rPr>
          <w:rFonts w:ascii="Arial" w:hAnsi="Arial" w:cs="Arial"/>
          <w:color w:val="000000"/>
          <w:sz w:val="22"/>
          <w:szCs w:val="22"/>
        </w:rPr>
        <w:t xml:space="preserve">chedule, </w:t>
      </w:r>
      <w:r w:rsidR="003712F6">
        <w:rPr>
          <w:rFonts w:ascii="Arial" w:hAnsi="Arial" w:cs="Arial"/>
          <w:color w:val="000000"/>
          <w:sz w:val="22"/>
          <w:szCs w:val="22"/>
        </w:rPr>
        <w:t xml:space="preserve">which applies to </w:t>
      </w:r>
      <w:r w:rsidR="0036698A" w:rsidRPr="0036698A">
        <w:rPr>
          <w:rFonts w:ascii="Arial" w:hAnsi="Arial" w:cs="Arial"/>
          <w:color w:val="000000"/>
          <w:sz w:val="22"/>
          <w:szCs w:val="22"/>
        </w:rPr>
        <w:t>all ADIs and authorised NOHCs to the extent provided in paragraphs 2 to 4 of the prudential standard.</w:t>
      </w:r>
    </w:p>
    <w:p w14:paraId="6C2736CB" w14:textId="77777777" w:rsidR="000945B6" w:rsidRPr="00230D47" w:rsidRDefault="000945B6" w:rsidP="000945B6">
      <w:pPr>
        <w:jc w:val="both"/>
        <w:rPr>
          <w:rFonts w:ascii="Arial" w:hAnsi="Arial" w:cs="Arial"/>
          <w:sz w:val="22"/>
          <w:szCs w:val="22"/>
        </w:rPr>
      </w:pPr>
    </w:p>
    <w:p w14:paraId="376E089A" w14:textId="1C468C9E" w:rsidR="000945B6" w:rsidRDefault="000945B6" w:rsidP="000945B6">
      <w:pPr>
        <w:jc w:val="both"/>
        <w:rPr>
          <w:rFonts w:ascii="Arial" w:hAnsi="Arial" w:cs="Arial"/>
          <w:sz w:val="22"/>
          <w:szCs w:val="22"/>
        </w:rPr>
      </w:pPr>
      <w:r w:rsidRPr="00230D47">
        <w:rPr>
          <w:rFonts w:ascii="Arial" w:hAnsi="Arial" w:cs="Arial"/>
          <w:sz w:val="22"/>
          <w:szCs w:val="22"/>
        </w:rPr>
        <w:t xml:space="preserve">This instrument </w:t>
      </w:r>
      <w:r>
        <w:rPr>
          <w:rFonts w:ascii="Arial" w:hAnsi="Arial" w:cs="Arial"/>
          <w:sz w:val="22"/>
          <w:szCs w:val="22"/>
        </w:rPr>
        <w:t>commences</w:t>
      </w:r>
      <w:r w:rsidRPr="00230D47">
        <w:rPr>
          <w:rFonts w:ascii="Arial" w:hAnsi="Arial" w:cs="Arial"/>
          <w:sz w:val="22"/>
          <w:szCs w:val="22"/>
        </w:rPr>
        <w:t xml:space="preserve"> on </w:t>
      </w:r>
      <w:r w:rsidR="00414DD0">
        <w:rPr>
          <w:rFonts w:ascii="Arial" w:hAnsi="Arial" w:cs="Arial"/>
          <w:sz w:val="22"/>
          <w:szCs w:val="22"/>
        </w:rPr>
        <w:t>1 January 2024</w:t>
      </w:r>
      <w:r w:rsidRPr="00E07CCC">
        <w:rPr>
          <w:rFonts w:ascii="Arial" w:hAnsi="Arial" w:cs="Arial"/>
          <w:sz w:val="22"/>
          <w:szCs w:val="22"/>
        </w:rPr>
        <w:t>.</w:t>
      </w:r>
    </w:p>
    <w:p w14:paraId="134CDA48" w14:textId="77777777" w:rsidR="000945B6" w:rsidRPr="00230D47" w:rsidRDefault="000945B6" w:rsidP="000945B6">
      <w:pPr>
        <w:jc w:val="both"/>
        <w:rPr>
          <w:rFonts w:ascii="Arial" w:hAnsi="Arial" w:cs="Arial"/>
          <w:sz w:val="22"/>
          <w:szCs w:val="22"/>
        </w:rPr>
      </w:pPr>
    </w:p>
    <w:p w14:paraId="065EC9F0" w14:textId="5EAE0D6C" w:rsidR="000945B6" w:rsidRPr="00230D47" w:rsidRDefault="000945B6" w:rsidP="000945B6">
      <w:pPr>
        <w:jc w:val="both"/>
        <w:rPr>
          <w:rFonts w:ascii="Arial" w:hAnsi="Arial" w:cs="Arial"/>
          <w:sz w:val="22"/>
          <w:szCs w:val="22"/>
        </w:rPr>
      </w:pPr>
      <w:r w:rsidRPr="00230D47">
        <w:rPr>
          <w:rFonts w:ascii="Arial" w:hAnsi="Arial" w:cs="Arial"/>
          <w:sz w:val="22"/>
          <w:szCs w:val="22"/>
        </w:rPr>
        <w:t xml:space="preserve">Dated: </w:t>
      </w:r>
      <w:r w:rsidR="00F721D5">
        <w:rPr>
          <w:rFonts w:ascii="Arial" w:hAnsi="Arial" w:cs="Arial"/>
          <w:sz w:val="22"/>
          <w:szCs w:val="22"/>
        </w:rPr>
        <w:t>21 November 2023</w:t>
      </w:r>
    </w:p>
    <w:p w14:paraId="7D759E20" w14:textId="77777777" w:rsidR="000945B6" w:rsidRPr="00230D47" w:rsidRDefault="000945B6" w:rsidP="000945B6">
      <w:pPr>
        <w:jc w:val="both"/>
        <w:rPr>
          <w:rFonts w:ascii="Arial" w:hAnsi="Arial" w:cs="Arial"/>
          <w:color w:val="000000"/>
          <w:sz w:val="22"/>
          <w:szCs w:val="22"/>
          <w:highlight w:val="yellow"/>
        </w:rPr>
      </w:pPr>
    </w:p>
    <w:p w14:paraId="24403CB2" w14:textId="77777777" w:rsidR="000945B6" w:rsidRDefault="000945B6" w:rsidP="000945B6">
      <w:pPr>
        <w:rPr>
          <w:rFonts w:ascii="Arial" w:hAnsi="Arial" w:cs="Arial"/>
          <w:sz w:val="22"/>
          <w:szCs w:val="22"/>
        </w:rPr>
      </w:pPr>
    </w:p>
    <w:p w14:paraId="006A6A1D" w14:textId="29D6B849" w:rsidR="00A352CC" w:rsidRDefault="00CA3055" w:rsidP="001D657C">
      <w:pPr>
        <w:spacing w:after="120"/>
        <w:jc w:val="both"/>
        <w:rPr>
          <w:rFonts w:ascii="Arial" w:hAnsi="Arial" w:cs="Arial"/>
          <w:sz w:val="22"/>
          <w:szCs w:val="22"/>
        </w:rPr>
      </w:pPr>
      <w:r w:rsidRPr="00CA3055">
        <w:rPr>
          <w:rFonts w:ascii="Arial" w:hAnsi="Arial" w:cs="Arial"/>
          <w:sz w:val="22"/>
          <w:szCs w:val="22"/>
        </w:rPr>
        <w:t>Clare Gibney</w:t>
      </w:r>
    </w:p>
    <w:p w14:paraId="72F108EF" w14:textId="6F4D3801" w:rsidR="001E4D64" w:rsidRDefault="000945B6" w:rsidP="001D657C">
      <w:pPr>
        <w:spacing w:after="120"/>
        <w:jc w:val="both"/>
        <w:rPr>
          <w:rFonts w:ascii="Arial" w:hAnsi="Arial" w:cs="Arial"/>
          <w:sz w:val="22"/>
          <w:szCs w:val="22"/>
        </w:rPr>
      </w:pPr>
      <w:r>
        <w:rPr>
          <w:rFonts w:ascii="Arial" w:hAnsi="Arial" w:cs="Arial"/>
          <w:sz w:val="22"/>
          <w:szCs w:val="22"/>
        </w:rPr>
        <w:t xml:space="preserve">Executive Director </w:t>
      </w:r>
    </w:p>
    <w:p w14:paraId="12514225" w14:textId="2D688750" w:rsidR="000945B6" w:rsidRPr="00230D47" w:rsidRDefault="00CA3055" w:rsidP="001D657C">
      <w:pPr>
        <w:spacing w:after="120"/>
        <w:jc w:val="both"/>
        <w:rPr>
          <w:rFonts w:ascii="Arial" w:hAnsi="Arial" w:cs="Arial"/>
          <w:sz w:val="22"/>
          <w:szCs w:val="22"/>
        </w:rPr>
      </w:pPr>
      <w:r>
        <w:rPr>
          <w:rFonts w:ascii="Arial" w:hAnsi="Arial" w:cs="Arial"/>
          <w:sz w:val="22"/>
          <w:szCs w:val="22"/>
        </w:rPr>
        <w:t>Policy and Advice</w:t>
      </w:r>
      <w:r w:rsidR="000945B6">
        <w:rPr>
          <w:rFonts w:ascii="Arial" w:hAnsi="Arial" w:cs="Arial"/>
          <w:sz w:val="22"/>
          <w:szCs w:val="22"/>
        </w:rPr>
        <w:t xml:space="preserve"> </w:t>
      </w:r>
      <w:r w:rsidR="001E4D64">
        <w:rPr>
          <w:rFonts w:ascii="Arial" w:hAnsi="Arial" w:cs="Arial"/>
          <w:sz w:val="22"/>
          <w:szCs w:val="22"/>
        </w:rPr>
        <w:t>Division</w:t>
      </w:r>
    </w:p>
    <w:p w14:paraId="5263455B" w14:textId="77777777" w:rsidR="000945B6" w:rsidRPr="00230D47" w:rsidRDefault="000945B6" w:rsidP="000945B6">
      <w:pPr>
        <w:pStyle w:val="IH"/>
        <w:ind w:left="0" w:firstLine="0"/>
        <w:rPr>
          <w:rFonts w:cs="Arial"/>
          <w:color w:val="000000"/>
          <w:sz w:val="22"/>
          <w:szCs w:val="22"/>
        </w:rPr>
      </w:pPr>
      <w:r w:rsidRPr="00230D47">
        <w:rPr>
          <w:rFonts w:cs="Arial"/>
          <w:color w:val="000000"/>
          <w:sz w:val="22"/>
          <w:szCs w:val="22"/>
        </w:rPr>
        <w:lastRenderedPageBreak/>
        <w:t>Interpretation</w:t>
      </w:r>
    </w:p>
    <w:p w14:paraId="45688B93" w14:textId="77777777" w:rsidR="000945B6" w:rsidRPr="00230D47" w:rsidRDefault="000945B6" w:rsidP="000945B6">
      <w:pPr>
        <w:pStyle w:val="IP"/>
        <w:spacing w:line="240" w:lineRule="auto"/>
        <w:rPr>
          <w:rFonts w:ascii="Arial" w:hAnsi="Arial" w:cs="Arial"/>
          <w:color w:val="000000"/>
          <w:sz w:val="22"/>
          <w:szCs w:val="22"/>
        </w:rPr>
      </w:pPr>
      <w:r w:rsidRPr="00230D47">
        <w:rPr>
          <w:rFonts w:ascii="Arial" w:hAnsi="Arial" w:cs="Arial"/>
          <w:color w:val="000000"/>
          <w:sz w:val="22"/>
          <w:szCs w:val="22"/>
        </w:rPr>
        <w:t xml:space="preserve">In this </w:t>
      </w:r>
      <w:r>
        <w:rPr>
          <w:rFonts w:ascii="Arial" w:hAnsi="Arial" w:cs="Arial"/>
          <w:color w:val="000000"/>
          <w:sz w:val="22"/>
          <w:szCs w:val="22"/>
        </w:rPr>
        <w:t>instrument</w:t>
      </w:r>
      <w:r w:rsidRPr="00230D47">
        <w:rPr>
          <w:rFonts w:ascii="Arial" w:hAnsi="Arial" w:cs="Arial"/>
          <w:color w:val="000000"/>
          <w:sz w:val="22"/>
          <w:szCs w:val="22"/>
        </w:rPr>
        <w:t>:</w:t>
      </w:r>
    </w:p>
    <w:p w14:paraId="673B7BD6" w14:textId="77777777" w:rsidR="00E63607" w:rsidRPr="00230D47" w:rsidRDefault="00E63607" w:rsidP="00E63607">
      <w:pPr>
        <w:pStyle w:val="IntroTo"/>
        <w:spacing w:before="120"/>
        <w:ind w:left="0" w:firstLine="0"/>
        <w:jc w:val="both"/>
        <w:rPr>
          <w:rFonts w:ascii="Arial" w:hAnsi="Arial" w:cs="Arial"/>
          <w:color w:val="000000"/>
          <w:sz w:val="22"/>
          <w:szCs w:val="22"/>
        </w:rPr>
      </w:pPr>
      <w:r w:rsidRPr="00230D47">
        <w:rPr>
          <w:rFonts w:ascii="Arial" w:hAnsi="Arial" w:cs="Arial"/>
          <w:b/>
          <w:i/>
          <w:color w:val="000000"/>
          <w:sz w:val="22"/>
          <w:szCs w:val="22"/>
        </w:rPr>
        <w:t>APRA</w:t>
      </w:r>
      <w:r w:rsidRPr="00230D47">
        <w:rPr>
          <w:rFonts w:ascii="Arial" w:hAnsi="Arial" w:cs="Arial"/>
          <w:color w:val="000000"/>
          <w:sz w:val="22"/>
          <w:szCs w:val="22"/>
        </w:rPr>
        <w:t xml:space="preserve"> means the Australian Prudential Regulation Authority.</w:t>
      </w:r>
    </w:p>
    <w:p w14:paraId="7D8C3C9E" w14:textId="3A7D0BAD" w:rsidR="0036698A" w:rsidRPr="0036698A" w:rsidRDefault="0036698A" w:rsidP="0036698A">
      <w:pPr>
        <w:pStyle w:val="IntroTo"/>
        <w:spacing w:before="120"/>
        <w:ind w:left="0" w:firstLine="0"/>
        <w:jc w:val="both"/>
        <w:rPr>
          <w:rFonts w:ascii="Arial" w:hAnsi="Arial" w:cs="Arial"/>
          <w:color w:val="000000"/>
          <w:sz w:val="22"/>
          <w:szCs w:val="22"/>
        </w:rPr>
      </w:pPr>
      <w:r w:rsidRPr="001D657C">
        <w:rPr>
          <w:rFonts w:ascii="Arial" w:hAnsi="Arial" w:cs="Arial"/>
          <w:b/>
          <w:i/>
          <w:color w:val="000000"/>
          <w:sz w:val="22"/>
          <w:szCs w:val="22"/>
        </w:rPr>
        <w:t>ADI</w:t>
      </w:r>
      <w:r w:rsidRPr="0036698A">
        <w:rPr>
          <w:rFonts w:ascii="Arial" w:hAnsi="Arial" w:cs="Arial"/>
          <w:color w:val="000000"/>
          <w:sz w:val="22"/>
          <w:szCs w:val="22"/>
        </w:rPr>
        <w:t xml:space="preserve"> and </w:t>
      </w:r>
      <w:r w:rsidRPr="001D657C">
        <w:rPr>
          <w:rFonts w:ascii="Arial" w:hAnsi="Arial" w:cs="Arial"/>
          <w:b/>
          <w:i/>
          <w:color w:val="000000"/>
          <w:sz w:val="22"/>
          <w:szCs w:val="22"/>
        </w:rPr>
        <w:t>authorised NOHC</w:t>
      </w:r>
      <w:r w:rsidRPr="0036698A">
        <w:rPr>
          <w:rFonts w:ascii="Arial" w:hAnsi="Arial" w:cs="Arial"/>
          <w:color w:val="000000"/>
          <w:sz w:val="22"/>
          <w:szCs w:val="22"/>
        </w:rPr>
        <w:t xml:space="preserve"> have their respective meanings given in section 5 of the Act.</w:t>
      </w:r>
    </w:p>
    <w:p w14:paraId="3667FACF" w14:textId="5361CE01" w:rsidR="000945B6" w:rsidRDefault="000945B6" w:rsidP="000945B6">
      <w:pPr>
        <w:rPr>
          <w:rStyle w:val="CharSchNo"/>
          <w:rFonts w:ascii="Arial" w:hAnsi="Arial" w:cs="Arial"/>
          <w:b/>
          <w:bCs/>
          <w:color w:val="000000"/>
          <w:sz w:val="32"/>
          <w:szCs w:val="32"/>
        </w:rPr>
      </w:pPr>
    </w:p>
    <w:p w14:paraId="4E0D9D08" w14:textId="77777777" w:rsidR="000945B6" w:rsidRPr="006D4237" w:rsidRDefault="000945B6" w:rsidP="000945B6">
      <w:pPr>
        <w:pStyle w:val="AS"/>
        <w:spacing w:before="0" w:after="240"/>
        <w:ind w:left="0" w:firstLine="0"/>
        <w:rPr>
          <w:rStyle w:val="CharSchText"/>
          <w:color w:val="000000"/>
        </w:rPr>
      </w:pPr>
      <w:r w:rsidRPr="006D4237">
        <w:rPr>
          <w:rStyle w:val="CharSchNo"/>
          <w:color w:val="000000"/>
        </w:rPr>
        <w:t xml:space="preserve">Schedule </w:t>
      </w:r>
    </w:p>
    <w:p w14:paraId="7B4E20D5" w14:textId="77777777" w:rsidR="000945B6" w:rsidRPr="00230D47" w:rsidRDefault="000945B6" w:rsidP="000945B6">
      <w:pPr>
        <w:pStyle w:val="ASref"/>
        <w:rPr>
          <w:color w:val="000000"/>
          <w:sz w:val="22"/>
          <w:szCs w:val="22"/>
        </w:rPr>
      </w:pPr>
    </w:p>
    <w:p w14:paraId="7F4E7EEA" w14:textId="6A007A5C" w:rsidR="000945B6" w:rsidRPr="00660F4B" w:rsidRDefault="000945B6" w:rsidP="000945B6">
      <w:pPr>
        <w:rPr>
          <w:rFonts w:ascii="Arial" w:hAnsi="Arial" w:cs="Arial"/>
          <w:sz w:val="40"/>
          <w:szCs w:val="40"/>
        </w:rPr>
        <w:sectPr w:rsidR="000945B6" w:rsidRPr="00660F4B" w:rsidSect="001E4D64">
          <w:footerReference w:type="default" r:id="rId12"/>
          <w:pgSz w:w="11907" w:h="16840" w:code="9"/>
          <w:pgMar w:top="1440" w:right="1797" w:bottom="1440" w:left="1797" w:header="720" w:footer="425" w:gutter="0"/>
          <w:pgNumType w:start="1"/>
          <w:cols w:space="720"/>
          <w:docGrid w:linePitch="272"/>
        </w:sectPr>
      </w:pPr>
      <w:r w:rsidRPr="00660F4B">
        <w:rPr>
          <w:rFonts w:ascii="Arial" w:hAnsi="Arial" w:cs="Arial"/>
          <w:i/>
          <w:color w:val="000000"/>
          <w:sz w:val="22"/>
          <w:szCs w:val="22"/>
        </w:rPr>
        <w:t xml:space="preserve">Prudential Standard </w:t>
      </w:r>
      <w:smartTag w:uri="urn:schemas-microsoft-com:office:smarttags" w:element="stockticker">
        <w:r w:rsidRPr="00660F4B">
          <w:rPr>
            <w:rFonts w:ascii="Arial" w:hAnsi="Arial" w:cs="Arial"/>
            <w:i/>
            <w:color w:val="000000"/>
            <w:sz w:val="22"/>
            <w:szCs w:val="22"/>
          </w:rPr>
          <w:t>APS</w:t>
        </w:r>
      </w:smartTag>
      <w:r w:rsidRPr="00660F4B">
        <w:rPr>
          <w:rFonts w:ascii="Arial" w:hAnsi="Arial" w:cs="Arial"/>
          <w:i/>
          <w:color w:val="000000"/>
          <w:sz w:val="22"/>
          <w:szCs w:val="22"/>
        </w:rPr>
        <w:t xml:space="preserve"> </w:t>
      </w:r>
      <w:r w:rsidR="001E4D64" w:rsidRPr="001E4D64">
        <w:rPr>
          <w:rFonts w:ascii="Arial" w:hAnsi="Arial" w:cs="Arial"/>
          <w:i/>
          <w:color w:val="000000"/>
          <w:sz w:val="22"/>
          <w:szCs w:val="22"/>
        </w:rPr>
        <w:t>180 Capital Adequacy: Counterparty Credit Risk</w:t>
      </w:r>
      <w:r w:rsidR="001E4D64">
        <w:rPr>
          <w:rFonts w:ascii="Arial" w:hAnsi="Arial" w:cs="Arial"/>
          <w:i/>
          <w:color w:val="000000"/>
          <w:sz w:val="22"/>
          <w:szCs w:val="22"/>
        </w:rPr>
        <w:t xml:space="preserve"> </w:t>
      </w:r>
      <w:r w:rsidRPr="00660F4B">
        <w:rPr>
          <w:rFonts w:ascii="Arial" w:hAnsi="Arial" w:cs="Arial"/>
          <w:bCs/>
          <w:sz w:val="22"/>
          <w:szCs w:val="22"/>
        </w:rPr>
        <w:t>comprises the document commencing on the following page</w:t>
      </w:r>
      <w:bookmarkEnd w:id="0"/>
    </w:p>
    <w:p w14:paraId="5C603CD9" w14:textId="3D6CCF97" w:rsidR="003B52EB" w:rsidRPr="009A59D5" w:rsidRDefault="00506079" w:rsidP="00AA7CD4">
      <w:pPr>
        <w:spacing w:after="0"/>
      </w:pPr>
      <w:r w:rsidRPr="009A59D5">
        <w:rPr>
          <w:noProof/>
        </w:rPr>
        <w:lastRenderedPageBreak/>
        <w:drawing>
          <wp:inline distT="0" distB="0" distL="0" distR="0" wp14:anchorId="3FE65BD1" wp14:editId="33C72124">
            <wp:extent cx="1485900" cy="1095375"/>
            <wp:effectExtent l="0" t="0" r="0" b="9525"/>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730B2CD7" w14:textId="547A690C" w:rsidR="00DA3651" w:rsidRPr="00801062" w:rsidRDefault="006A6A52" w:rsidP="001F6B8D">
      <w:pPr>
        <w:pStyle w:val="Title"/>
      </w:pPr>
      <w:bookmarkStart w:id="1" w:name="_Toc326937696"/>
      <w:r w:rsidRPr="009A59D5">
        <w:t>Prudential Standard</w:t>
      </w:r>
      <w:r w:rsidRPr="009A59D5">
        <w:rPr>
          <w:rStyle w:val="PSNofieldtext"/>
        </w:rPr>
        <w:t xml:space="preserve"> </w:t>
      </w:r>
      <w:r w:rsidR="00E90ABF">
        <w:rPr>
          <w:rStyle w:val="PSNofieldtext"/>
        </w:rPr>
        <w:t>APS 180</w:t>
      </w:r>
    </w:p>
    <w:bookmarkEnd w:id="1"/>
    <w:p w14:paraId="0EC43669" w14:textId="71EAF1D9" w:rsidR="00BC2D08" w:rsidRPr="009A59D5" w:rsidRDefault="004B173D" w:rsidP="00B803EC">
      <w:pPr>
        <w:pStyle w:val="Title"/>
        <w:jc w:val="both"/>
      </w:pPr>
      <w:r w:rsidRPr="009A59D5">
        <w:rPr>
          <w:rStyle w:val="PSNamefieldtext"/>
        </w:rPr>
        <w:t>Capital A</w:t>
      </w:r>
      <w:r w:rsidR="00644F1B" w:rsidRPr="009A59D5">
        <w:rPr>
          <w:rStyle w:val="PSNamefieldtext"/>
        </w:rPr>
        <w:t>d</w:t>
      </w:r>
      <w:r w:rsidRPr="009A59D5">
        <w:rPr>
          <w:rStyle w:val="PSNamefieldtext"/>
        </w:rPr>
        <w:t>equacy: Counterparty Credit Risk</w:t>
      </w:r>
    </w:p>
    <w:tbl>
      <w:tblPr>
        <w:tblStyle w:val="TableGrid"/>
        <w:tblW w:w="0" w:type="auto"/>
        <w:shd w:val="clear" w:color="auto" w:fill="DDDDDD"/>
        <w:tblLook w:val="04A0" w:firstRow="1" w:lastRow="0" w:firstColumn="1" w:lastColumn="0" w:noHBand="0" w:noVBand="1"/>
      </w:tblPr>
      <w:tblGrid>
        <w:gridCol w:w="8302"/>
      </w:tblGrid>
      <w:tr w:rsidR="0048511B" w:rsidRPr="009A59D5" w14:paraId="24C61C42" w14:textId="77777777" w:rsidTr="00A97802">
        <w:trPr>
          <w:tblHeader/>
        </w:trPr>
        <w:tc>
          <w:tcPr>
            <w:tcW w:w="8528" w:type="dxa"/>
            <w:shd w:val="clear" w:color="auto" w:fill="DDDDDD"/>
          </w:tcPr>
          <w:p w14:paraId="186808D4" w14:textId="77777777" w:rsidR="003C46D7" w:rsidRPr="009A59D5" w:rsidRDefault="003C46D7" w:rsidP="00656D42">
            <w:pPr>
              <w:pStyle w:val="BoxHeading"/>
            </w:pPr>
            <w:r w:rsidRPr="009A59D5">
              <w:t>Objectives and key requirements of this Prudential Standard</w:t>
            </w:r>
          </w:p>
          <w:p w14:paraId="6A2766B5" w14:textId="60AB6D56" w:rsidR="00E06139" w:rsidRPr="009A59D5" w:rsidRDefault="00E06139" w:rsidP="007D2F6D">
            <w:pPr>
              <w:ind w:right="125"/>
              <w:jc w:val="both"/>
            </w:pPr>
            <w:r w:rsidRPr="009A59D5">
              <w:t>This Prudential Standard requires an authorised deposit-taking institution to adopt risk management practices and hold sufficient regulatory capital for counterparty credit risk exposures arising from over-the-counter de</w:t>
            </w:r>
            <w:r w:rsidR="00D851A2" w:rsidRPr="009A59D5">
              <w:t>rivative transactions, exchange-</w:t>
            </w:r>
            <w:r w:rsidRPr="009A59D5">
              <w:t>traded derivative transactions, securities financing transactions and long settlement transactions.</w:t>
            </w:r>
          </w:p>
          <w:p w14:paraId="049C28B7" w14:textId="77777777" w:rsidR="00E06139" w:rsidRPr="009A59D5" w:rsidRDefault="00E06139" w:rsidP="007D2F6D">
            <w:pPr>
              <w:ind w:right="125"/>
              <w:jc w:val="both"/>
            </w:pPr>
            <w:r w:rsidRPr="009A59D5">
              <w:t>The key requirements of this Prudential Standard are that an authorised deposit-taking institution must:</w:t>
            </w:r>
          </w:p>
          <w:p w14:paraId="75D2AABA" w14:textId="1205F5F8" w:rsidR="00E06139" w:rsidRPr="009A59D5" w:rsidRDefault="00E06139" w:rsidP="007D2F6D">
            <w:pPr>
              <w:pStyle w:val="BoxBullet"/>
              <w:ind w:right="125"/>
              <w:jc w:val="both"/>
            </w:pPr>
            <w:r w:rsidRPr="009A59D5">
              <w:t xml:space="preserve">calculate counterparty credit risk exposure amounts according to the standardised approach for measuring counterparty credit risk exposures or the </w:t>
            </w:r>
            <w:r w:rsidR="00993870" w:rsidRPr="009A59D5">
              <w:t xml:space="preserve">adjusted </w:t>
            </w:r>
            <w:r w:rsidRPr="009A59D5">
              <w:t xml:space="preserve">current exposure </w:t>
            </w:r>
            <w:proofErr w:type="gramStart"/>
            <w:r w:rsidRPr="009A59D5">
              <w:t>method;</w:t>
            </w:r>
            <w:proofErr w:type="gramEnd"/>
          </w:p>
          <w:p w14:paraId="2DEC8EE4" w14:textId="2CD74A88" w:rsidR="00E06139" w:rsidRPr="009A59D5" w:rsidRDefault="00E06139" w:rsidP="007D2F6D">
            <w:pPr>
              <w:pStyle w:val="BoxBullet"/>
              <w:ind w:right="125"/>
              <w:jc w:val="both"/>
            </w:pPr>
            <w:r w:rsidRPr="009A59D5">
              <w:t>apply risk</w:t>
            </w:r>
            <w:r w:rsidR="00557D5E" w:rsidRPr="009A59D5">
              <w:t xml:space="preserve"> </w:t>
            </w:r>
            <w:r w:rsidRPr="009A59D5">
              <w:t xml:space="preserve">weights to counterparty credit risk exposure amounts for capital adequacy </w:t>
            </w:r>
            <w:proofErr w:type="gramStart"/>
            <w:r w:rsidRPr="009A59D5">
              <w:t>purposes;</w:t>
            </w:r>
            <w:proofErr w:type="gramEnd"/>
          </w:p>
          <w:p w14:paraId="67329B44" w14:textId="77777777" w:rsidR="00E06139" w:rsidRPr="009A59D5" w:rsidRDefault="00E06139" w:rsidP="007D2F6D">
            <w:pPr>
              <w:pStyle w:val="BoxBullet"/>
              <w:ind w:right="125"/>
              <w:jc w:val="both"/>
            </w:pPr>
            <w:r w:rsidRPr="009A59D5">
              <w:t xml:space="preserve">where applicable, calculate and hold a credit valuation adjustment risk capital </w:t>
            </w:r>
            <w:proofErr w:type="gramStart"/>
            <w:r w:rsidRPr="009A59D5">
              <w:t>charge;</w:t>
            </w:r>
            <w:proofErr w:type="gramEnd"/>
          </w:p>
          <w:p w14:paraId="1B7B62C3" w14:textId="77777777" w:rsidR="00E06139" w:rsidRPr="009A59D5" w:rsidRDefault="00E06139" w:rsidP="007D2F6D">
            <w:pPr>
              <w:pStyle w:val="BoxBullet"/>
              <w:ind w:right="125"/>
              <w:jc w:val="both"/>
            </w:pPr>
            <w:r w:rsidRPr="009A59D5">
              <w:t>where applicable, calculate and hold a default fund capital charge for default fund contributions to a qualifying central counterparty; and</w:t>
            </w:r>
          </w:p>
          <w:p w14:paraId="67888B42" w14:textId="77777777" w:rsidR="00E06139" w:rsidRPr="009A59D5" w:rsidRDefault="00E06139" w:rsidP="007D2F6D">
            <w:pPr>
              <w:pStyle w:val="BoxBullet"/>
              <w:ind w:right="125"/>
              <w:jc w:val="both"/>
            </w:pPr>
            <w:r w:rsidRPr="009A59D5">
              <w:t>adopt risk management practices for bilateral and centrally cleared counterparty credit risk exposures.</w:t>
            </w:r>
          </w:p>
          <w:p w14:paraId="7C535A8F" w14:textId="77777777" w:rsidR="00173A04" w:rsidRPr="009A59D5" w:rsidRDefault="00173A04" w:rsidP="00173A04">
            <w:pPr>
              <w:keepNext/>
            </w:pPr>
          </w:p>
        </w:tc>
      </w:tr>
    </w:tbl>
    <w:p w14:paraId="5F36D0A3" w14:textId="77777777" w:rsidR="00BC2D08" w:rsidRPr="009A59D5" w:rsidRDefault="00BC2D08" w:rsidP="00BC2D08">
      <w:pPr>
        <w:spacing w:after="0"/>
      </w:pPr>
    </w:p>
    <w:p w14:paraId="54EEF40D" w14:textId="77777777" w:rsidR="00C67A76" w:rsidRPr="009A59D5" w:rsidRDefault="00C67A76" w:rsidP="00C67A76"/>
    <w:p w14:paraId="6E1573B5" w14:textId="77777777" w:rsidR="00C67A76" w:rsidRPr="009A59D5" w:rsidRDefault="00C67A76" w:rsidP="00C67A76">
      <w:pPr>
        <w:sectPr w:rsidR="00C67A76" w:rsidRPr="009A59D5" w:rsidSect="002361C9">
          <w:headerReference w:type="default" r:id="rId14"/>
          <w:footerReference w:type="default" r:id="rId15"/>
          <w:headerReference w:type="first" r:id="rId16"/>
          <w:footerReference w:type="first" r:id="rId17"/>
          <w:pgSz w:w="11906" w:h="16838" w:code="9"/>
          <w:pgMar w:top="1440" w:right="1797" w:bottom="1440" w:left="1797" w:header="709" w:footer="709" w:gutter="0"/>
          <w:pgNumType w:start="1"/>
          <w:cols w:space="708"/>
          <w:docGrid w:linePitch="360"/>
        </w:sectPr>
      </w:pPr>
    </w:p>
    <w:p w14:paraId="4804D08D" w14:textId="14ECEEFF" w:rsidR="00C6788C" w:rsidRPr="0002363E" w:rsidRDefault="00006251" w:rsidP="001F6B8D">
      <w:pPr>
        <w:pStyle w:val="TOCHeading"/>
      </w:pPr>
      <w:bookmarkStart w:id="2" w:name="_Toc326676936"/>
      <w:bookmarkStart w:id="3" w:name="_Toc326756341"/>
      <w:bookmarkStart w:id="4" w:name="_Toc256519850"/>
      <w:r w:rsidRPr="009A59D5">
        <w:lastRenderedPageBreak/>
        <w:t>Table of c</w:t>
      </w:r>
      <w:r w:rsidR="009D467A" w:rsidRPr="009A59D5">
        <w:t>ontents</w:t>
      </w:r>
    </w:p>
    <w:p w14:paraId="14906C6E" w14:textId="62D7A56C" w:rsidR="009D467A" w:rsidRPr="009A59D5" w:rsidRDefault="009D467A" w:rsidP="00FF513E">
      <w:pPr>
        <w:pStyle w:val="NoSpacing"/>
      </w:pPr>
      <w:bookmarkStart w:id="5" w:name="_Toc326937698"/>
      <w:bookmarkStart w:id="6" w:name="_Toc326938615"/>
      <w:bookmarkStart w:id="7" w:name="_Toc326938830"/>
      <w:bookmarkEnd w:id="2"/>
      <w:bookmarkEnd w:id="3"/>
    </w:p>
    <w:bookmarkStart w:id="8" w:name="_Toc314733116"/>
    <w:bookmarkStart w:id="9" w:name="_Toc341686774"/>
    <w:bookmarkEnd w:id="4"/>
    <w:bookmarkEnd w:id="5"/>
    <w:bookmarkEnd w:id="6"/>
    <w:bookmarkEnd w:id="7"/>
    <w:p w14:paraId="0F94D140" w14:textId="17F8E941" w:rsidR="002452CA" w:rsidRPr="009A59D5" w:rsidRDefault="004024F2">
      <w:pPr>
        <w:pStyle w:val="TOC1"/>
        <w:rPr>
          <w:rFonts w:asciiTheme="minorHAnsi" w:eastAsiaTheme="minorEastAsia" w:hAnsiTheme="minorHAnsi" w:cstheme="minorBidi"/>
          <w:sz w:val="22"/>
          <w:szCs w:val="22"/>
        </w:rPr>
      </w:pPr>
      <w:r w:rsidRPr="009A59D5">
        <w:fldChar w:fldCharType="begin"/>
      </w:r>
      <w:r w:rsidRPr="009A59D5">
        <w:instrText xml:space="preserve"> TOC \o "1-2" \h \z \u </w:instrText>
      </w:r>
      <w:r w:rsidRPr="009A59D5">
        <w:fldChar w:fldCharType="separate"/>
      </w:r>
      <w:hyperlink w:anchor="_Toc511230290" w:history="1">
        <w:r w:rsidR="002452CA" w:rsidRPr="009A59D5">
          <w:rPr>
            <w:rStyle w:val="Hyperlink"/>
          </w:rPr>
          <w:t>Authority</w:t>
        </w:r>
        <w:r w:rsidR="002452CA" w:rsidRPr="009A59D5">
          <w:rPr>
            <w:webHidden/>
          </w:rPr>
          <w:tab/>
        </w:r>
        <w:r w:rsidR="002452CA" w:rsidRPr="009A59D5">
          <w:rPr>
            <w:webHidden/>
          </w:rPr>
          <w:fldChar w:fldCharType="begin"/>
        </w:r>
        <w:r w:rsidR="002452CA" w:rsidRPr="009A59D5">
          <w:rPr>
            <w:webHidden/>
          </w:rPr>
          <w:instrText xml:space="preserve"> PAGEREF _Toc511230290 \h </w:instrText>
        </w:r>
        <w:r w:rsidR="002452CA" w:rsidRPr="009A59D5">
          <w:rPr>
            <w:webHidden/>
          </w:rPr>
        </w:r>
        <w:r w:rsidR="002452CA" w:rsidRPr="009A59D5">
          <w:rPr>
            <w:webHidden/>
          </w:rPr>
          <w:fldChar w:fldCharType="separate"/>
        </w:r>
        <w:r w:rsidR="00B401AE">
          <w:rPr>
            <w:webHidden/>
          </w:rPr>
          <w:t>3</w:t>
        </w:r>
        <w:r w:rsidR="002452CA" w:rsidRPr="009A59D5">
          <w:rPr>
            <w:webHidden/>
          </w:rPr>
          <w:fldChar w:fldCharType="end"/>
        </w:r>
      </w:hyperlink>
    </w:p>
    <w:p w14:paraId="5B2C407E" w14:textId="67E122CA" w:rsidR="002452CA" w:rsidRPr="009A59D5" w:rsidRDefault="00744650">
      <w:pPr>
        <w:pStyle w:val="TOC1"/>
        <w:rPr>
          <w:rFonts w:asciiTheme="minorHAnsi" w:eastAsiaTheme="minorEastAsia" w:hAnsiTheme="minorHAnsi" w:cstheme="minorBidi"/>
          <w:sz w:val="22"/>
          <w:szCs w:val="22"/>
        </w:rPr>
      </w:pPr>
      <w:hyperlink w:anchor="_Toc511230291" w:history="1">
        <w:r w:rsidR="002452CA" w:rsidRPr="009A59D5">
          <w:rPr>
            <w:rStyle w:val="Hyperlink"/>
          </w:rPr>
          <w:t>Application</w:t>
        </w:r>
        <w:r w:rsidR="002452CA" w:rsidRPr="009A59D5">
          <w:rPr>
            <w:webHidden/>
          </w:rPr>
          <w:tab/>
        </w:r>
        <w:r w:rsidR="002452CA" w:rsidRPr="009A59D5">
          <w:rPr>
            <w:webHidden/>
          </w:rPr>
          <w:fldChar w:fldCharType="begin"/>
        </w:r>
        <w:r w:rsidR="002452CA" w:rsidRPr="009A59D5">
          <w:rPr>
            <w:webHidden/>
          </w:rPr>
          <w:instrText xml:space="preserve"> PAGEREF _Toc511230291 \h </w:instrText>
        </w:r>
        <w:r w:rsidR="002452CA" w:rsidRPr="009A59D5">
          <w:rPr>
            <w:webHidden/>
          </w:rPr>
        </w:r>
        <w:r w:rsidR="002452CA" w:rsidRPr="009A59D5">
          <w:rPr>
            <w:webHidden/>
          </w:rPr>
          <w:fldChar w:fldCharType="separate"/>
        </w:r>
        <w:r w:rsidR="00B401AE">
          <w:rPr>
            <w:webHidden/>
          </w:rPr>
          <w:t>3</w:t>
        </w:r>
        <w:r w:rsidR="002452CA" w:rsidRPr="009A59D5">
          <w:rPr>
            <w:webHidden/>
          </w:rPr>
          <w:fldChar w:fldCharType="end"/>
        </w:r>
      </w:hyperlink>
    </w:p>
    <w:p w14:paraId="4BB2FD1C" w14:textId="0750ADB0" w:rsidR="002452CA" w:rsidRPr="009A59D5" w:rsidRDefault="00744650">
      <w:pPr>
        <w:pStyle w:val="TOC1"/>
        <w:rPr>
          <w:rFonts w:asciiTheme="minorHAnsi" w:eastAsiaTheme="minorEastAsia" w:hAnsiTheme="minorHAnsi" w:cstheme="minorBidi"/>
          <w:sz w:val="22"/>
          <w:szCs w:val="22"/>
        </w:rPr>
      </w:pPr>
      <w:hyperlink w:anchor="_Toc511230292" w:history="1">
        <w:r w:rsidR="002452CA" w:rsidRPr="009A59D5">
          <w:rPr>
            <w:rStyle w:val="Hyperlink"/>
          </w:rPr>
          <w:t>Interpretation</w:t>
        </w:r>
        <w:r w:rsidR="002452CA" w:rsidRPr="009A59D5">
          <w:rPr>
            <w:webHidden/>
          </w:rPr>
          <w:tab/>
        </w:r>
        <w:r w:rsidR="002452CA" w:rsidRPr="009A59D5">
          <w:rPr>
            <w:webHidden/>
          </w:rPr>
          <w:fldChar w:fldCharType="begin"/>
        </w:r>
        <w:r w:rsidR="002452CA" w:rsidRPr="009A59D5">
          <w:rPr>
            <w:webHidden/>
          </w:rPr>
          <w:instrText xml:space="preserve"> PAGEREF _Toc511230292 \h </w:instrText>
        </w:r>
        <w:r w:rsidR="002452CA" w:rsidRPr="009A59D5">
          <w:rPr>
            <w:webHidden/>
          </w:rPr>
        </w:r>
        <w:r w:rsidR="002452CA" w:rsidRPr="009A59D5">
          <w:rPr>
            <w:webHidden/>
          </w:rPr>
          <w:fldChar w:fldCharType="separate"/>
        </w:r>
        <w:r w:rsidR="00B401AE">
          <w:rPr>
            <w:webHidden/>
          </w:rPr>
          <w:t>3</w:t>
        </w:r>
        <w:r w:rsidR="002452CA" w:rsidRPr="009A59D5">
          <w:rPr>
            <w:webHidden/>
          </w:rPr>
          <w:fldChar w:fldCharType="end"/>
        </w:r>
      </w:hyperlink>
    </w:p>
    <w:p w14:paraId="2CA5051F" w14:textId="282599AE" w:rsidR="002452CA" w:rsidRPr="009A59D5" w:rsidRDefault="00744650">
      <w:pPr>
        <w:pStyle w:val="TOC1"/>
        <w:rPr>
          <w:rFonts w:asciiTheme="minorHAnsi" w:eastAsiaTheme="minorEastAsia" w:hAnsiTheme="minorHAnsi" w:cstheme="minorBidi"/>
          <w:sz w:val="22"/>
          <w:szCs w:val="22"/>
        </w:rPr>
      </w:pPr>
      <w:hyperlink w:anchor="_Toc511230293" w:history="1">
        <w:r w:rsidR="002452CA" w:rsidRPr="009A59D5">
          <w:rPr>
            <w:rStyle w:val="Hyperlink"/>
          </w:rPr>
          <w:t>Definitions</w:t>
        </w:r>
        <w:r w:rsidR="002452CA" w:rsidRPr="009A59D5">
          <w:rPr>
            <w:webHidden/>
          </w:rPr>
          <w:tab/>
        </w:r>
        <w:r w:rsidR="002452CA" w:rsidRPr="009A59D5">
          <w:rPr>
            <w:webHidden/>
          </w:rPr>
          <w:fldChar w:fldCharType="begin"/>
        </w:r>
        <w:r w:rsidR="002452CA" w:rsidRPr="009A59D5">
          <w:rPr>
            <w:webHidden/>
          </w:rPr>
          <w:instrText xml:space="preserve"> PAGEREF _Toc511230293 \h </w:instrText>
        </w:r>
        <w:r w:rsidR="002452CA" w:rsidRPr="009A59D5">
          <w:rPr>
            <w:webHidden/>
          </w:rPr>
        </w:r>
        <w:r w:rsidR="002452CA" w:rsidRPr="009A59D5">
          <w:rPr>
            <w:webHidden/>
          </w:rPr>
          <w:fldChar w:fldCharType="separate"/>
        </w:r>
        <w:r w:rsidR="00B401AE">
          <w:rPr>
            <w:webHidden/>
          </w:rPr>
          <w:t>4</w:t>
        </w:r>
        <w:r w:rsidR="002452CA" w:rsidRPr="009A59D5">
          <w:rPr>
            <w:webHidden/>
          </w:rPr>
          <w:fldChar w:fldCharType="end"/>
        </w:r>
      </w:hyperlink>
    </w:p>
    <w:p w14:paraId="51C249F5" w14:textId="29D02CF4" w:rsidR="002452CA" w:rsidRPr="009A59D5" w:rsidRDefault="00744650">
      <w:pPr>
        <w:pStyle w:val="TOC1"/>
        <w:rPr>
          <w:rFonts w:asciiTheme="minorHAnsi" w:eastAsiaTheme="minorEastAsia" w:hAnsiTheme="minorHAnsi" w:cstheme="minorBidi"/>
          <w:sz w:val="22"/>
          <w:szCs w:val="22"/>
        </w:rPr>
      </w:pPr>
      <w:hyperlink w:anchor="_Toc511230294" w:history="1">
        <w:r w:rsidR="002452CA" w:rsidRPr="009A59D5">
          <w:rPr>
            <w:rStyle w:val="Hyperlink"/>
          </w:rPr>
          <w:t>Key principles</w:t>
        </w:r>
        <w:r w:rsidR="002452CA" w:rsidRPr="009A59D5">
          <w:rPr>
            <w:webHidden/>
          </w:rPr>
          <w:tab/>
        </w:r>
        <w:r w:rsidR="002452CA" w:rsidRPr="009A59D5">
          <w:rPr>
            <w:webHidden/>
          </w:rPr>
          <w:fldChar w:fldCharType="begin"/>
        </w:r>
        <w:r w:rsidR="002452CA" w:rsidRPr="009A59D5">
          <w:rPr>
            <w:webHidden/>
          </w:rPr>
          <w:instrText xml:space="preserve"> PAGEREF _Toc511230294 \h </w:instrText>
        </w:r>
        <w:r w:rsidR="002452CA" w:rsidRPr="009A59D5">
          <w:rPr>
            <w:webHidden/>
          </w:rPr>
        </w:r>
        <w:r w:rsidR="002452CA" w:rsidRPr="009A59D5">
          <w:rPr>
            <w:webHidden/>
          </w:rPr>
          <w:fldChar w:fldCharType="separate"/>
        </w:r>
        <w:r w:rsidR="00B401AE">
          <w:rPr>
            <w:webHidden/>
          </w:rPr>
          <w:t>7</w:t>
        </w:r>
        <w:r w:rsidR="002452CA" w:rsidRPr="009A59D5">
          <w:rPr>
            <w:webHidden/>
          </w:rPr>
          <w:fldChar w:fldCharType="end"/>
        </w:r>
      </w:hyperlink>
    </w:p>
    <w:p w14:paraId="259C11B9" w14:textId="28C924DC" w:rsidR="002452CA" w:rsidRPr="009A59D5" w:rsidRDefault="00744650">
      <w:pPr>
        <w:pStyle w:val="TOC1"/>
        <w:rPr>
          <w:rFonts w:asciiTheme="minorHAnsi" w:eastAsiaTheme="minorEastAsia" w:hAnsiTheme="minorHAnsi" w:cstheme="minorBidi"/>
          <w:sz w:val="22"/>
          <w:szCs w:val="22"/>
        </w:rPr>
      </w:pPr>
      <w:hyperlink w:anchor="_Toc511230295" w:history="1">
        <w:r w:rsidR="002452CA" w:rsidRPr="009A59D5">
          <w:rPr>
            <w:rStyle w:val="Hyperlink"/>
          </w:rPr>
          <w:t>Risk-weighting approach</w:t>
        </w:r>
        <w:r w:rsidR="002452CA" w:rsidRPr="009A59D5">
          <w:rPr>
            <w:webHidden/>
          </w:rPr>
          <w:tab/>
        </w:r>
        <w:r w:rsidR="002452CA" w:rsidRPr="009A59D5">
          <w:rPr>
            <w:webHidden/>
          </w:rPr>
          <w:fldChar w:fldCharType="begin"/>
        </w:r>
        <w:r w:rsidR="002452CA" w:rsidRPr="009A59D5">
          <w:rPr>
            <w:webHidden/>
          </w:rPr>
          <w:instrText xml:space="preserve"> PAGEREF _Toc511230295 \h </w:instrText>
        </w:r>
        <w:r w:rsidR="002452CA" w:rsidRPr="009A59D5">
          <w:rPr>
            <w:webHidden/>
          </w:rPr>
        </w:r>
        <w:r w:rsidR="002452CA" w:rsidRPr="009A59D5">
          <w:rPr>
            <w:webHidden/>
          </w:rPr>
          <w:fldChar w:fldCharType="separate"/>
        </w:r>
        <w:r w:rsidR="00B401AE">
          <w:rPr>
            <w:webHidden/>
          </w:rPr>
          <w:t>8</w:t>
        </w:r>
        <w:r w:rsidR="002452CA" w:rsidRPr="009A59D5">
          <w:rPr>
            <w:webHidden/>
          </w:rPr>
          <w:fldChar w:fldCharType="end"/>
        </w:r>
      </w:hyperlink>
    </w:p>
    <w:p w14:paraId="6F60B840" w14:textId="277ED0B9" w:rsidR="002452CA" w:rsidRPr="009A59D5" w:rsidRDefault="00744650">
      <w:pPr>
        <w:pStyle w:val="TOC1"/>
        <w:rPr>
          <w:rFonts w:asciiTheme="minorHAnsi" w:eastAsiaTheme="minorEastAsia" w:hAnsiTheme="minorHAnsi" w:cstheme="minorBidi"/>
          <w:sz w:val="22"/>
          <w:szCs w:val="22"/>
        </w:rPr>
      </w:pPr>
      <w:hyperlink w:anchor="_Toc511230296" w:history="1">
        <w:r w:rsidR="002452CA" w:rsidRPr="009A59D5">
          <w:rPr>
            <w:rStyle w:val="Hyperlink"/>
          </w:rPr>
          <w:t>Historical rate rollovers</w:t>
        </w:r>
        <w:r w:rsidR="002452CA" w:rsidRPr="009A59D5">
          <w:rPr>
            <w:webHidden/>
          </w:rPr>
          <w:tab/>
        </w:r>
        <w:r w:rsidR="002452CA" w:rsidRPr="009A59D5">
          <w:rPr>
            <w:webHidden/>
          </w:rPr>
          <w:fldChar w:fldCharType="begin"/>
        </w:r>
        <w:r w:rsidR="002452CA" w:rsidRPr="009A59D5">
          <w:rPr>
            <w:webHidden/>
          </w:rPr>
          <w:instrText xml:space="preserve"> PAGEREF _Toc511230296 \h </w:instrText>
        </w:r>
        <w:r w:rsidR="002452CA" w:rsidRPr="009A59D5">
          <w:rPr>
            <w:webHidden/>
          </w:rPr>
        </w:r>
        <w:r w:rsidR="002452CA" w:rsidRPr="009A59D5">
          <w:rPr>
            <w:webHidden/>
          </w:rPr>
          <w:fldChar w:fldCharType="separate"/>
        </w:r>
        <w:r w:rsidR="00B401AE">
          <w:rPr>
            <w:webHidden/>
          </w:rPr>
          <w:t>9</w:t>
        </w:r>
        <w:r w:rsidR="002452CA" w:rsidRPr="009A59D5">
          <w:rPr>
            <w:webHidden/>
          </w:rPr>
          <w:fldChar w:fldCharType="end"/>
        </w:r>
      </w:hyperlink>
    </w:p>
    <w:p w14:paraId="6C896B7B" w14:textId="4E7AAF28" w:rsidR="002452CA" w:rsidRPr="009A59D5" w:rsidRDefault="00744650">
      <w:pPr>
        <w:pStyle w:val="TOC1"/>
        <w:rPr>
          <w:rFonts w:asciiTheme="minorHAnsi" w:eastAsiaTheme="minorEastAsia" w:hAnsiTheme="minorHAnsi" w:cstheme="minorBidi"/>
          <w:sz w:val="22"/>
          <w:szCs w:val="22"/>
        </w:rPr>
      </w:pPr>
      <w:hyperlink w:anchor="_Toc511230297" w:history="1">
        <w:r w:rsidR="002452CA" w:rsidRPr="009A59D5">
          <w:rPr>
            <w:rStyle w:val="Hyperlink"/>
          </w:rPr>
          <w:t>Adjustments and exclusions</w:t>
        </w:r>
        <w:r w:rsidR="002452CA" w:rsidRPr="009A59D5">
          <w:rPr>
            <w:webHidden/>
          </w:rPr>
          <w:tab/>
        </w:r>
        <w:r w:rsidR="002452CA" w:rsidRPr="009A59D5">
          <w:rPr>
            <w:webHidden/>
          </w:rPr>
          <w:fldChar w:fldCharType="begin"/>
        </w:r>
        <w:r w:rsidR="002452CA" w:rsidRPr="009A59D5">
          <w:rPr>
            <w:webHidden/>
          </w:rPr>
          <w:instrText xml:space="preserve"> PAGEREF _Toc511230297 \h </w:instrText>
        </w:r>
        <w:r w:rsidR="002452CA" w:rsidRPr="009A59D5">
          <w:rPr>
            <w:webHidden/>
          </w:rPr>
        </w:r>
        <w:r w:rsidR="002452CA" w:rsidRPr="009A59D5">
          <w:rPr>
            <w:webHidden/>
          </w:rPr>
          <w:fldChar w:fldCharType="separate"/>
        </w:r>
        <w:r w:rsidR="00B401AE">
          <w:rPr>
            <w:webHidden/>
          </w:rPr>
          <w:t>9</w:t>
        </w:r>
        <w:r w:rsidR="002452CA" w:rsidRPr="009A59D5">
          <w:rPr>
            <w:webHidden/>
          </w:rPr>
          <w:fldChar w:fldCharType="end"/>
        </w:r>
      </w:hyperlink>
    </w:p>
    <w:p w14:paraId="6EED2DD0" w14:textId="7DBE01DF" w:rsidR="002452CA" w:rsidRPr="009A59D5" w:rsidRDefault="00744650">
      <w:pPr>
        <w:pStyle w:val="TOC1"/>
        <w:rPr>
          <w:rFonts w:asciiTheme="minorHAnsi" w:eastAsiaTheme="minorEastAsia" w:hAnsiTheme="minorHAnsi" w:cstheme="minorBidi"/>
          <w:sz w:val="22"/>
          <w:szCs w:val="22"/>
        </w:rPr>
      </w:pPr>
      <w:hyperlink w:anchor="_Toc511230298" w:history="1">
        <w:r w:rsidR="002452CA" w:rsidRPr="009A59D5">
          <w:rPr>
            <w:rStyle w:val="Hyperlink"/>
          </w:rPr>
          <w:t>Previous exercise of discretion</w:t>
        </w:r>
        <w:r w:rsidR="002452CA" w:rsidRPr="009A59D5">
          <w:rPr>
            <w:webHidden/>
          </w:rPr>
          <w:tab/>
        </w:r>
        <w:r w:rsidR="002452CA" w:rsidRPr="009A59D5">
          <w:rPr>
            <w:webHidden/>
          </w:rPr>
          <w:fldChar w:fldCharType="begin"/>
        </w:r>
        <w:r w:rsidR="002452CA" w:rsidRPr="009A59D5">
          <w:rPr>
            <w:webHidden/>
          </w:rPr>
          <w:instrText xml:space="preserve"> PAGEREF _Toc511230298 \h </w:instrText>
        </w:r>
        <w:r w:rsidR="002452CA" w:rsidRPr="009A59D5">
          <w:rPr>
            <w:webHidden/>
          </w:rPr>
        </w:r>
        <w:r w:rsidR="002452CA" w:rsidRPr="009A59D5">
          <w:rPr>
            <w:webHidden/>
          </w:rPr>
          <w:fldChar w:fldCharType="separate"/>
        </w:r>
        <w:r w:rsidR="00B401AE">
          <w:rPr>
            <w:webHidden/>
          </w:rPr>
          <w:t>9</w:t>
        </w:r>
        <w:r w:rsidR="002452CA" w:rsidRPr="009A59D5">
          <w:rPr>
            <w:webHidden/>
          </w:rPr>
          <w:fldChar w:fldCharType="end"/>
        </w:r>
      </w:hyperlink>
    </w:p>
    <w:p w14:paraId="1C038691" w14:textId="1FC26C17" w:rsidR="002452CA" w:rsidRPr="009A59D5" w:rsidRDefault="00744650" w:rsidP="00AB3263">
      <w:pPr>
        <w:pStyle w:val="TOC2"/>
        <w:rPr>
          <w:rFonts w:asciiTheme="minorHAnsi" w:eastAsiaTheme="minorEastAsia" w:hAnsiTheme="minorHAnsi" w:cstheme="minorBidi"/>
          <w:sz w:val="22"/>
          <w:szCs w:val="22"/>
        </w:rPr>
      </w:pPr>
      <w:hyperlink w:anchor="_Toc511230299" w:history="1">
        <w:r w:rsidR="002452CA" w:rsidRPr="009A59D5">
          <w:rPr>
            <w:rStyle w:val="Hyperlink"/>
          </w:rPr>
          <w:t>Attachment A — Counterparty credit risk requirements for bilateral transactions</w:t>
        </w:r>
        <w:r w:rsidR="002452CA" w:rsidRPr="009A59D5">
          <w:rPr>
            <w:webHidden/>
          </w:rPr>
          <w:tab/>
        </w:r>
        <w:r w:rsidR="002452CA" w:rsidRPr="009A59D5">
          <w:rPr>
            <w:webHidden/>
          </w:rPr>
          <w:fldChar w:fldCharType="begin"/>
        </w:r>
        <w:r w:rsidR="002452CA" w:rsidRPr="009A59D5">
          <w:rPr>
            <w:webHidden/>
          </w:rPr>
          <w:instrText xml:space="preserve"> PAGEREF _Toc511230299 \h </w:instrText>
        </w:r>
        <w:r w:rsidR="002452CA" w:rsidRPr="009A59D5">
          <w:rPr>
            <w:webHidden/>
          </w:rPr>
        </w:r>
        <w:r w:rsidR="002452CA" w:rsidRPr="009A59D5">
          <w:rPr>
            <w:webHidden/>
          </w:rPr>
          <w:fldChar w:fldCharType="separate"/>
        </w:r>
        <w:r w:rsidR="00B401AE">
          <w:rPr>
            <w:webHidden/>
          </w:rPr>
          <w:t>10</w:t>
        </w:r>
        <w:r w:rsidR="002452CA" w:rsidRPr="009A59D5">
          <w:rPr>
            <w:webHidden/>
          </w:rPr>
          <w:fldChar w:fldCharType="end"/>
        </w:r>
      </w:hyperlink>
    </w:p>
    <w:p w14:paraId="4E4E21D8" w14:textId="65D098AF" w:rsidR="002452CA" w:rsidRPr="009A59D5" w:rsidRDefault="00744650" w:rsidP="00026C49">
      <w:pPr>
        <w:pStyle w:val="TOC2"/>
        <w:rPr>
          <w:rFonts w:asciiTheme="minorHAnsi" w:eastAsiaTheme="minorEastAsia" w:hAnsiTheme="minorHAnsi" w:cstheme="minorBidi"/>
          <w:sz w:val="22"/>
          <w:szCs w:val="22"/>
        </w:rPr>
      </w:pPr>
      <w:hyperlink w:anchor="_Toc511230300" w:history="1">
        <w:r w:rsidR="002452CA" w:rsidRPr="009A59D5">
          <w:rPr>
            <w:rStyle w:val="Hyperlink"/>
          </w:rPr>
          <w:t>Attachment B — Counterparty credit risk requirements for centrally cleared transactions</w:t>
        </w:r>
        <w:r w:rsidR="002452CA" w:rsidRPr="009A59D5">
          <w:rPr>
            <w:webHidden/>
          </w:rPr>
          <w:tab/>
        </w:r>
        <w:r w:rsidR="002452CA" w:rsidRPr="009A59D5">
          <w:rPr>
            <w:webHidden/>
          </w:rPr>
          <w:fldChar w:fldCharType="begin"/>
        </w:r>
        <w:r w:rsidR="002452CA" w:rsidRPr="009A59D5">
          <w:rPr>
            <w:webHidden/>
          </w:rPr>
          <w:instrText xml:space="preserve"> PAGEREF _Toc511230300 \h </w:instrText>
        </w:r>
        <w:r w:rsidR="002452CA" w:rsidRPr="009A59D5">
          <w:rPr>
            <w:webHidden/>
          </w:rPr>
        </w:r>
        <w:r w:rsidR="002452CA" w:rsidRPr="009A59D5">
          <w:rPr>
            <w:webHidden/>
          </w:rPr>
          <w:fldChar w:fldCharType="separate"/>
        </w:r>
        <w:r w:rsidR="00B401AE">
          <w:rPr>
            <w:webHidden/>
          </w:rPr>
          <w:t>16</w:t>
        </w:r>
        <w:r w:rsidR="002452CA" w:rsidRPr="009A59D5">
          <w:rPr>
            <w:webHidden/>
          </w:rPr>
          <w:fldChar w:fldCharType="end"/>
        </w:r>
      </w:hyperlink>
    </w:p>
    <w:p w14:paraId="26754C03" w14:textId="1FB26C8A" w:rsidR="002452CA" w:rsidRPr="009A59D5" w:rsidRDefault="00744650" w:rsidP="00026C49">
      <w:pPr>
        <w:pStyle w:val="TOC2"/>
        <w:rPr>
          <w:rFonts w:asciiTheme="minorHAnsi" w:eastAsiaTheme="minorEastAsia" w:hAnsiTheme="minorHAnsi" w:cstheme="minorBidi"/>
          <w:sz w:val="22"/>
          <w:szCs w:val="22"/>
        </w:rPr>
      </w:pPr>
      <w:hyperlink w:anchor="_Toc511230301" w:history="1">
        <w:r w:rsidR="002452CA" w:rsidRPr="009A59D5">
          <w:rPr>
            <w:rStyle w:val="Hyperlink"/>
          </w:rPr>
          <w:t>Attachment C — Capital charge for default fund exposure to a QCCP</w:t>
        </w:r>
        <w:r w:rsidR="002452CA" w:rsidRPr="009A59D5">
          <w:rPr>
            <w:webHidden/>
          </w:rPr>
          <w:tab/>
        </w:r>
        <w:r w:rsidR="002452CA" w:rsidRPr="009A59D5">
          <w:rPr>
            <w:webHidden/>
          </w:rPr>
          <w:fldChar w:fldCharType="begin"/>
        </w:r>
        <w:r w:rsidR="002452CA" w:rsidRPr="009A59D5">
          <w:rPr>
            <w:webHidden/>
          </w:rPr>
          <w:instrText xml:space="preserve"> PAGEREF _Toc511230301 \h </w:instrText>
        </w:r>
        <w:r w:rsidR="002452CA" w:rsidRPr="009A59D5">
          <w:rPr>
            <w:webHidden/>
          </w:rPr>
        </w:r>
        <w:r w:rsidR="002452CA" w:rsidRPr="009A59D5">
          <w:rPr>
            <w:webHidden/>
          </w:rPr>
          <w:fldChar w:fldCharType="separate"/>
        </w:r>
        <w:r w:rsidR="00B401AE">
          <w:rPr>
            <w:webHidden/>
          </w:rPr>
          <w:t>25</w:t>
        </w:r>
        <w:r w:rsidR="002452CA" w:rsidRPr="009A59D5">
          <w:rPr>
            <w:webHidden/>
          </w:rPr>
          <w:fldChar w:fldCharType="end"/>
        </w:r>
      </w:hyperlink>
    </w:p>
    <w:p w14:paraId="7CF1E22F" w14:textId="1FBEAA55" w:rsidR="002452CA" w:rsidRPr="009A59D5" w:rsidRDefault="00744650" w:rsidP="00026C49">
      <w:pPr>
        <w:pStyle w:val="TOC2"/>
        <w:rPr>
          <w:rFonts w:asciiTheme="minorHAnsi" w:eastAsiaTheme="minorEastAsia" w:hAnsiTheme="minorHAnsi" w:cstheme="minorBidi"/>
          <w:sz w:val="22"/>
          <w:szCs w:val="22"/>
        </w:rPr>
      </w:pPr>
      <w:hyperlink w:anchor="_Toc511230302" w:history="1">
        <w:r w:rsidR="002452CA" w:rsidRPr="009A59D5">
          <w:rPr>
            <w:rStyle w:val="Hyperlink"/>
          </w:rPr>
          <w:t>Attachment D — The standardised approach for measuring counterparty credit risk exposures (SA-CCR)</w:t>
        </w:r>
        <w:r w:rsidR="002452CA" w:rsidRPr="009A59D5">
          <w:rPr>
            <w:webHidden/>
          </w:rPr>
          <w:tab/>
        </w:r>
        <w:r w:rsidR="002452CA" w:rsidRPr="009A59D5">
          <w:rPr>
            <w:webHidden/>
          </w:rPr>
          <w:fldChar w:fldCharType="begin"/>
        </w:r>
        <w:r w:rsidR="002452CA" w:rsidRPr="009A59D5">
          <w:rPr>
            <w:webHidden/>
          </w:rPr>
          <w:instrText xml:space="preserve"> PAGEREF _Toc511230302 \h </w:instrText>
        </w:r>
        <w:r w:rsidR="002452CA" w:rsidRPr="009A59D5">
          <w:rPr>
            <w:webHidden/>
          </w:rPr>
        </w:r>
        <w:r w:rsidR="002452CA" w:rsidRPr="009A59D5">
          <w:rPr>
            <w:webHidden/>
          </w:rPr>
          <w:fldChar w:fldCharType="separate"/>
        </w:r>
        <w:r w:rsidR="00B401AE">
          <w:rPr>
            <w:webHidden/>
          </w:rPr>
          <w:t>30</w:t>
        </w:r>
        <w:r w:rsidR="002452CA" w:rsidRPr="009A59D5">
          <w:rPr>
            <w:webHidden/>
          </w:rPr>
          <w:fldChar w:fldCharType="end"/>
        </w:r>
      </w:hyperlink>
    </w:p>
    <w:p w14:paraId="667F0FC5" w14:textId="41C2EC7F" w:rsidR="002452CA" w:rsidRPr="009A59D5" w:rsidRDefault="00744650" w:rsidP="00026C49">
      <w:pPr>
        <w:pStyle w:val="TOC2"/>
        <w:rPr>
          <w:rFonts w:asciiTheme="minorHAnsi" w:eastAsiaTheme="minorEastAsia" w:hAnsiTheme="minorHAnsi" w:cstheme="minorBidi"/>
          <w:sz w:val="22"/>
          <w:szCs w:val="22"/>
        </w:rPr>
      </w:pPr>
      <w:hyperlink w:anchor="_Toc511230303" w:history="1">
        <w:r w:rsidR="002452CA" w:rsidRPr="009A59D5">
          <w:rPr>
            <w:rStyle w:val="Hyperlink"/>
          </w:rPr>
          <w:t>Attachment E — The adjusted current exposure method (adjusted CEM)</w:t>
        </w:r>
        <w:r w:rsidR="002452CA" w:rsidRPr="009A59D5">
          <w:rPr>
            <w:webHidden/>
          </w:rPr>
          <w:tab/>
        </w:r>
        <w:r w:rsidR="002452CA" w:rsidRPr="009A59D5">
          <w:rPr>
            <w:webHidden/>
          </w:rPr>
          <w:fldChar w:fldCharType="begin"/>
        </w:r>
        <w:r w:rsidR="002452CA" w:rsidRPr="009A59D5">
          <w:rPr>
            <w:webHidden/>
          </w:rPr>
          <w:instrText xml:space="preserve"> PAGEREF _Toc511230303 \h </w:instrText>
        </w:r>
        <w:r w:rsidR="002452CA" w:rsidRPr="009A59D5">
          <w:rPr>
            <w:webHidden/>
          </w:rPr>
        </w:r>
        <w:r w:rsidR="002452CA" w:rsidRPr="009A59D5">
          <w:rPr>
            <w:webHidden/>
          </w:rPr>
          <w:fldChar w:fldCharType="separate"/>
        </w:r>
        <w:r w:rsidR="00B401AE">
          <w:rPr>
            <w:webHidden/>
          </w:rPr>
          <w:t>52</w:t>
        </w:r>
        <w:r w:rsidR="002452CA" w:rsidRPr="009A59D5">
          <w:rPr>
            <w:webHidden/>
          </w:rPr>
          <w:fldChar w:fldCharType="end"/>
        </w:r>
      </w:hyperlink>
    </w:p>
    <w:p w14:paraId="039C77E1" w14:textId="05E2741B" w:rsidR="00E96B6D" w:rsidRPr="009A59D5" w:rsidRDefault="004024F2" w:rsidP="001F6B8D">
      <w:pPr>
        <w:pStyle w:val="Heading1"/>
        <w:sectPr w:rsidR="00E96B6D" w:rsidRPr="009A59D5" w:rsidSect="000D63A8">
          <w:pgSz w:w="11906" w:h="16838" w:code="9"/>
          <w:pgMar w:top="1440" w:right="1797" w:bottom="1440" w:left="1797" w:header="709" w:footer="709" w:gutter="0"/>
          <w:cols w:space="708"/>
          <w:docGrid w:linePitch="360"/>
        </w:sectPr>
      </w:pPr>
      <w:r w:rsidRPr="009A59D5">
        <w:fldChar w:fldCharType="end"/>
      </w:r>
    </w:p>
    <w:p w14:paraId="24AFA3E5" w14:textId="77777777" w:rsidR="00E07F40" w:rsidRPr="009A59D5" w:rsidRDefault="00E07F40" w:rsidP="001F6B8D">
      <w:pPr>
        <w:pStyle w:val="Heading1"/>
      </w:pPr>
      <w:bookmarkStart w:id="10" w:name="_Toc487712206"/>
      <w:bookmarkStart w:id="11" w:name="_Toc488397507"/>
      <w:bookmarkStart w:id="12" w:name="_Toc507406381"/>
      <w:bookmarkStart w:id="13" w:name="_Toc507406449"/>
      <w:bookmarkStart w:id="14" w:name="_Toc511230071"/>
      <w:bookmarkStart w:id="15" w:name="_Toc511230290"/>
      <w:r w:rsidRPr="009A59D5">
        <w:lastRenderedPageBreak/>
        <w:t>Authority</w:t>
      </w:r>
      <w:bookmarkEnd w:id="8"/>
      <w:bookmarkEnd w:id="9"/>
      <w:bookmarkEnd w:id="10"/>
      <w:bookmarkEnd w:id="11"/>
      <w:bookmarkEnd w:id="12"/>
      <w:bookmarkEnd w:id="13"/>
      <w:bookmarkEnd w:id="14"/>
      <w:bookmarkEnd w:id="15"/>
    </w:p>
    <w:p w14:paraId="012F41AA" w14:textId="25656A62" w:rsidR="00E07F40" w:rsidRPr="009A59D5" w:rsidRDefault="00E07F40" w:rsidP="001C755C">
      <w:pPr>
        <w:pStyle w:val="BodyText1"/>
      </w:pPr>
      <w:r w:rsidRPr="009A59D5">
        <w:t xml:space="preserve">This Prudential Standard is made under section 11AF of the </w:t>
      </w:r>
      <w:r w:rsidRPr="009A59D5">
        <w:rPr>
          <w:i/>
          <w:iCs/>
        </w:rPr>
        <w:t xml:space="preserve">Banking Act 1959 </w:t>
      </w:r>
      <w:r w:rsidRPr="009A59D5">
        <w:t xml:space="preserve">(the </w:t>
      </w:r>
      <w:r w:rsidRPr="009A59D5">
        <w:rPr>
          <w:b/>
        </w:rPr>
        <w:t>Banking Act</w:t>
      </w:r>
      <w:r w:rsidRPr="009A59D5">
        <w:t>).</w:t>
      </w:r>
    </w:p>
    <w:p w14:paraId="0CF6D673" w14:textId="77777777" w:rsidR="00E07F40" w:rsidRPr="009A59D5" w:rsidRDefault="00E07F40" w:rsidP="001F6B8D">
      <w:pPr>
        <w:pStyle w:val="Heading1"/>
      </w:pPr>
      <w:bookmarkStart w:id="16" w:name="_Toc314733118"/>
      <w:bookmarkStart w:id="17" w:name="_Toc341686775"/>
      <w:bookmarkStart w:id="18" w:name="_Toc487712207"/>
      <w:bookmarkStart w:id="19" w:name="_Toc488397508"/>
      <w:bookmarkStart w:id="20" w:name="_Toc507406382"/>
      <w:bookmarkStart w:id="21" w:name="_Toc507406450"/>
      <w:bookmarkStart w:id="22" w:name="_Toc511230072"/>
      <w:bookmarkStart w:id="23" w:name="_Toc511230291"/>
      <w:r w:rsidRPr="009A59D5">
        <w:t>Application</w:t>
      </w:r>
      <w:bookmarkEnd w:id="16"/>
      <w:bookmarkEnd w:id="17"/>
      <w:bookmarkEnd w:id="18"/>
      <w:bookmarkEnd w:id="19"/>
      <w:bookmarkEnd w:id="20"/>
      <w:bookmarkEnd w:id="21"/>
      <w:bookmarkEnd w:id="22"/>
      <w:bookmarkEnd w:id="23"/>
    </w:p>
    <w:p w14:paraId="748DBC63" w14:textId="77777777" w:rsidR="00E06139" w:rsidRPr="009A59D5" w:rsidRDefault="00E07F40" w:rsidP="00E06139">
      <w:pPr>
        <w:pStyle w:val="BodyText1"/>
      </w:pPr>
      <w:bookmarkStart w:id="24" w:name="_Ref454389904"/>
      <w:r w:rsidRPr="009A59D5">
        <w:t xml:space="preserve">This </w:t>
      </w:r>
      <w:bookmarkEnd w:id="24"/>
      <w:r w:rsidR="00E06139" w:rsidRPr="009A59D5">
        <w:t xml:space="preserve">Prudential Standard applies to all </w:t>
      </w:r>
      <w:r w:rsidR="00E06139" w:rsidRPr="009A59D5">
        <w:rPr>
          <w:b/>
        </w:rPr>
        <w:t xml:space="preserve">authorised deposit-taking institutions </w:t>
      </w:r>
      <w:r w:rsidR="00E06139" w:rsidRPr="009A59D5">
        <w:t>(</w:t>
      </w:r>
      <w:r w:rsidR="00E06139" w:rsidRPr="009A59D5">
        <w:rPr>
          <w:b/>
        </w:rPr>
        <w:t>ADIs</w:t>
      </w:r>
      <w:r w:rsidR="00E06139" w:rsidRPr="009A59D5">
        <w:t xml:space="preserve">) </w:t>
      </w:r>
      <w:proofErr w:type="gramStart"/>
      <w:r w:rsidR="00E06139" w:rsidRPr="009A59D5">
        <w:t>with the exception of</w:t>
      </w:r>
      <w:proofErr w:type="gramEnd"/>
      <w:r w:rsidR="00E06139" w:rsidRPr="009A59D5">
        <w:t>:</w:t>
      </w:r>
    </w:p>
    <w:p w14:paraId="7C8119A9" w14:textId="255015E9" w:rsidR="00E06139" w:rsidRPr="009A59D5" w:rsidRDefault="00E06139" w:rsidP="00E06139">
      <w:pPr>
        <w:pStyle w:val="BodyText2"/>
      </w:pPr>
      <w:r w:rsidRPr="009A59D5">
        <w:rPr>
          <w:b/>
        </w:rPr>
        <w:t xml:space="preserve">foreign </w:t>
      </w:r>
      <w:proofErr w:type="gramStart"/>
      <w:r w:rsidRPr="009A59D5">
        <w:rPr>
          <w:b/>
        </w:rPr>
        <w:t>ADIs</w:t>
      </w:r>
      <w:r w:rsidRPr="009A59D5">
        <w:t>;</w:t>
      </w:r>
      <w:proofErr w:type="gramEnd"/>
      <w:r w:rsidRPr="009A59D5">
        <w:t xml:space="preserve"> </w:t>
      </w:r>
    </w:p>
    <w:p w14:paraId="4CB8E4E2" w14:textId="77777777" w:rsidR="00EF6466" w:rsidRPr="00EF6466" w:rsidRDefault="00E06139" w:rsidP="00E06139">
      <w:pPr>
        <w:pStyle w:val="BodyText2"/>
      </w:pPr>
      <w:r w:rsidRPr="009A59D5">
        <w:rPr>
          <w:b/>
        </w:rPr>
        <w:t>purchased payment facility providers</w:t>
      </w:r>
      <w:r w:rsidR="00EF6466" w:rsidRPr="00EF6466">
        <w:t>; and</w:t>
      </w:r>
    </w:p>
    <w:p w14:paraId="7FC25C01" w14:textId="0592889F" w:rsidR="00E06139" w:rsidRPr="009A59D5" w:rsidRDefault="00EF6466" w:rsidP="00E06139">
      <w:pPr>
        <w:pStyle w:val="BodyText2"/>
      </w:pPr>
      <w:r>
        <w:rPr>
          <w:b/>
        </w:rPr>
        <w:t>non</w:t>
      </w:r>
      <w:r w:rsidRPr="00EF6466">
        <w:rPr>
          <w:b/>
        </w:rPr>
        <w:t>-significant financial institutions</w:t>
      </w:r>
      <w:r w:rsidR="00E06139" w:rsidRPr="009A59D5">
        <w:t>.</w:t>
      </w:r>
    </w:p>
    <w:p w14:paraId="5E509D0E" w14:textId="77777777" w:rsidR="00E06139" w:rsidRPr="009A59D5" w:rsidRDefault="00E06139" w:rsidP="00E06139">
      <w:pPr>
        <w:pStyle w:val="BodyText1"/>
      </w:pPr>
      <w:r w:rsidRPr="009A59D5">
        <w:t>A reference to an ADI in this Prudential Standard, unless otherwise indicated, is a reference to:</w:t>
      </w:r>
    </w:p>
    <w:p w14:paraId="55A60451" w14:textId="77777777" w:rsidR="00E06139" w:rsidRPr="009A59D5" w:rsidRDefault="00E06139" w:rsidP="0027754F">
      <w:pPr>
        <w:pStyle w:val="BodyText2"/>
      </w:pPr>
      <w:r w:rsidRPr="009A59D5">
        <w:t xml:space="preserve">an ADI on a </w:t>
      </w:r>
      <w:r w:rsidRPr="009A59D5">
        <w:rPr>
          <w:b/>
        </w:rPr>
        <w:t>Level 1</w:t>
      </w:r>
      <w:r w:rsidRPr="009A59D5">
        <w:t xml:space="preserve"> basis; and</w:t>
      </w:r>
    </w:p>
    <w:p w14:paraId="5D007649" w14:textId="77777777" w:rsidR="00E06139" w:rsidRPr="009A59D5" w:rsidRDefault="00E06139" w:rsidP="00B803EC">
      <w:pPr>
        <w:pStyle w:val="BodyText2"/>
      </w:pPr>
      <w:r w:rsidRPr="009A59D5">
        <w:t xml:space="preserve">a </w:t>
      </w:r>
      <w:r w:rsidRPr="009A59D5">
        <w:rPr>
          <w:b/>
        </w:rPr>
        <w:t>group</w:t>
      </w:r>
      <w:r w:rsidRPr="009A59D5">
        <w:t xml:space="preserve"> of which an ADI is a member on a </w:t>
      </w:r>
      <w:r w:rsidRPr="009A59D5">
        <w:rPr>
          <w:b/>
        </w:rPr>
        <w:t>Level 2</w:t>
      </w:r>
      <w:r w:rsidRPr="009A59D5">
        <w:t xml:space="preserve"> basis.</w:t>
      </w:r>
    </w:p>
    <w:p w14:paraId="75C6A6B5" w14:textId="77777777" w:rsidR="00E06139" w:rsidRPr="009A59D5" w:rsidRDefault="00E06139" w:rsidP="00E06139">
      <w:pPr>
        <w:pStyle w:val="BodyText1"/>
      </w:pPr>
      <w:r w:rsidRPr="009A59D5">
        <w:t>If an ADI to which this Prudential Standard applies is:</w:t>
      </w:r>
    </w:p>
    <w:p w14:paraId="60F665F0" w14:textId="77777777" w:rsidR="00E06139" w:rsidRPr="009A59D5" w:rsidRDefault="00E06139" w:rsidP="0027754F">
      <w:pPr>
        <w:pStyle w:val="BodyText2"/>
      </w:pPr>
      <w:r w:rsidRPr="009A59D5">
        <w:t xml:space="preserve">the holding company for a group of bodies corporate, the ADI must ensure that the requirements in this Prudential Standard are met on a Level 2 basis, where </w:t>
      </w:r>
      <w:proofErr w:type="gramStart"/>
      <w:r w:rsidRPr="009A59D5">
        <w:t>applicable;</w:t>
      </w:r>
      <w:proofErr w:type="gramEnd"/>
      <w:r w:rsidRPr="009A59D5">
        <w:t xml:space="preserve"> or</w:t>
      </w:r>
    </w:p>
    <w:p w14:paraId="67B18F83" w14:textId="77777777" w:rsidR="00E06139" w:rsidRPr="009A59D5" w:rsidRDefault="00E06139" w:rsidP="0027754F">
      <w:pPr>
        <w:pStyle w:val="BodyText2"/>
      </w:pPr>
      <w:r w:rsidRPr="009A59D5">
        <w:t xml:space="preserve">a </w:t>
      </w:r>
      <w:r w:rsidRPr="009A59D5">
        <w:rPr>
          <w:b/>
        </w:rPr>
        <w:t>subsidiary</w:t>
      </w:r>
      <w:r w:rsidRPr="009A59D5">
        <w:t xml:space="preserve"> of an authorised non-operating holding company (</w:t>
      </w:r>
      <w:r w:rsidRPr="009A59D5">
        <w:rPr>
          <w:b/>
        </w:rPr>
        <w:t>authorised NOHC</w:t>
      </w:r>
      <w:r w:rsidRPr="009A59D5">
        <w:t>), the authorised NOHC must ensure that the requirements in this Prudential Standard are met on a Level 2 basis, where applicable.</w:t>
      </w:r>
    </w:p>
    <w:p w14:paraId="21DB80F0" w14:textId="77777777" w:rsidR="00E83A76" w:rsidRPr="009A59D5" w:rsidRDefault="00903B6A" w:rsidP="00903B6A">
      <w:pPr>
        <w:pStyle w:val="Heading1"/>
      </w:pPr>
      <w:bookmarkStart w:id="25" w:name="_Toc487712208"/>
      <w:bookmarkStart w:id="26" w:name="_Toc488397509"/>
      <w:bookmarkStart w:id="27" w:name="_Toc507406383"/>
      <w:bookmarkStart w:id="28" w:name="_Toc507406451"/>
      <w:bookmarkStart w:id="29" w:name="_Toc511230073"/>
      <w:bookmarkStart w:id="30" w:name="_Toc511230292"/>
      <w:r w:rsidRPr="009A59D5">
        <w:t>Interpretation</w:t>
      </w:r>
      <w:bookmarkEnd w:id="25"/>
      <w:bookmarkEnd w:id="26"/>
      <w:bookmarkEnd w:id="27"/>
      <w:bookmarkEnd w:id="28"/>
      <w:bookmarkEnd w:id="29"/>
      <w:bookmarkEnd w:id="30"/>
    </w:p>
    <w:p w14:paraId="7CEE43B0" w14:textId="77777777" w:rsidR="00903B6A" w:rsidRPr="009A59D5" w:rsidRDefault="00903B6A" w:rsidP="00903B6A">
      <w:pPr>
        <w:pStyle w:val="BodyText1"/>
      </w:pPr>
      <w:r w:rsidRPr="009A59D5">
        <w:t xml:space="preserve">Terms that are defined in </w:t>
      </w:r>
      <w:r w:rsidRPr="009A59D5">
        <w:rPr>
          <w:i/>
        </w:rPr>
        <w:t>Prudential Standard APS 001 Definitions</w:t>
      </w:r>
      <w:r w:rsidRPr="009A59D5">
        <w:t xml:space="preserve"> appear in bold the first time they are used in this Prudential Standard.</w:t>
      </w:r>
    </w:p>
    <w:p w14:paraId="780B9E5F" w14:textId="77777777" w:rsidR="00DE79F4" w:rsidRPr="009A59D5" w:rsidRDefault="00903B6A" w:rsidP="00903B6A">
      <w:pPr>
        <w:pStyle w:val="BodyText1"/>
      </w:pPr>
      <w:r w:rsidRPr="009A59D5">
        <w:t>Where this Prudential Standard provides for APRA to exercise a power or discretion, this power or discretion will be exercised in writing.</w:t>
      </w:r>
    </w:p>
    <w:p w14:paraId="12580EFC" w14:textId="12E94F12" w:rsidR="003A2E9F" w:rsidRPr="009A59D5" w:rsidRDefault="00DE79F4" w:rsidP="00DE79F4">
      <w:pPr>
        <w:pStyle w:val="BodyText1"/>
      </w:pPr>
      <w:r w:rsidRPr="009A59D5">
        <w:t>In this Prudential Standard, unless the contrary intention appears, a reference to an Act, Regulations or Prudential Standard is a reference to the Act, Regulations or Prudential Standard as in force from time to time.</w:t>
      </w:r>
    </w:p>
    <w:p w14:paraId="47D784A5" w14:textId="649BEC5B" w:rsidR="00903B6A" w:rsidRPr="009A59D5" w:rsidRDefault="00903B6A" w:rsidP="00D10BB7">
      <w:pPr>
        <w:pStyle w:val="BodyText1"/>
        <w:numPr>
          <w:ilvl w:val="0"/>
          <w:numId w:val="0"/>
        </w:numPr>
      </w:pPr>
    </w:p>
    <w:p w14:paraId="31CCBE7C" w14:textId="79C7ED8C" w:rsidR="002B0F69" w:rsidRPr="009A59D5" w:rsidRDefault="002B0F69" w:rsidP="00D10BB7">
      <w:pPr>
        <w:pStyle w:val="BodyText1"/>
        <w:numPr>
          <w:ilvl w:val="0"/>
          <w:numId w:val="0"/>
        </w:numPr>
      </w:pPr>
    </w:p>
    <w:p w14:paraId="61A04BDB" w14:textId="685E4357" w:rsidR="00ED78EF" w:rsidRPr="009A59D5" w:rsidRDefault="00ED78EF" w:rsidP="00D10BB7">
      <w:pPr>
        <w:pStyle w:val="BodyText2"/>
        <w:numPr>
          <w:ilvl w:val="0"/>
          <w:numId w:val="0"/>
        </w:numPr>
        <w:ind w:left="567"/>
      </w:pPr>
    </w:p>
    <w:p w14:paraId="17E14A93" w14:textId="453C3FC7" w:rsidR="00455EDA" w:rsidRPr="009A59D5" w:rsidRDefault="00455EDA" w:rsidP="00D10BB7">
      <w:pPr>
        <w:pStyle w:val="BodyText1"/>
        <w:numPr>
          <w:ilvl w:val="0"/>
          <w:numId w:val="0"/>
        </w:numPr>
      </w:pPr>
    </w:p>
    <w:p w14:paraId="19240670" w14:textId="77777777" w:rsidR="00BF2068" w:rsidRPr="009A59D5" w:rsidRDefault="00BF2068" w:rsidP="00BF2068">
      <w:pPr>
        <w:pStyle w:val="Heading1"/>
      </w:pPr>
      <w:bookmarkStart w:id="31" w:name="_Toc487712210"/>
      <w:bookmarkStart w:id="32" w:name="_Toc488397511"/>
      <w:bookmarkStart w:id="33" w:name="_Toc507406385"/>
      <w:bookmarkStart w:id="34" w:name="_Toc507406453"/>
      <w:bookmarkStart w:id="35" w:name="_Toc511230074"/>
      <w:bookmarkStart w:id="36" w:name="_Toc511230293"/>
      <w:r w:rsidRPr="009A59D5">
        <w:lastRenderedPageBreak/>
        <w:t>Definitions</w:t>
      </w:r>
      <w:bookmarkEnd w:id="31"/>
      <w:bookmarkEnd w:id="32"/>
      <w:bookmarkEnd w:id="33"/>
      <w:bookmarkEnd w:id="34"/>
      <w:bookmarkEnd w:id="35"/>
      <w:bookmarkEnd w:id="36"/>
    </w:p>
    <w:p w14:paraId="1617BFAC" w14:textId="77777777" w:rsidR="00BF2068" w:rsidRPr="009A59D5" w:rsidRDefault="00BF2068" w:rsidP="00BF2068">
      <w:pPr>
        <w:pStyle w:val="BodyText1"/>
      </w:pPr>
      <w:bookmarkStart w:id="37" w:name="_Ref460313176"/>
      <w:r w:rsidRPr="009A59D5">
        <w:t>The following definitions are used in this Prudential Standard:</w:t>
      </w:r>
      <w:bookmarkEnd w:id="37"/>
    </w:p>
    <w:p w14:paraId="2B3DB193" w14:textId="4F6E207E" w:rsidR="00097426" w:rsidRPr="009A59D5" w:rsidRDefault="008D1D76" w:rsidP="00BF2068">
      <w:pPr>
        <w:pStyle w:val="BodyText2"/>
      </w:pPr>
      <w:r w:rsidRPr="009A59D5">
        <w:t>a</w:t>
      </w:r>
      <w:r w:rsidR="00097426" w:rsidRPr="009A59D5">
        <w:t>djusted</w:t>
      </w:r>
      <w:r w:rsidRPr="009A59D5">
        <w:t xml:space="preserve"> current exposure method</w:t>
      </w:r>
      <w:r w:rsidR="00097426" w:rsidRPr="009A59D5">
        <w:t xml:space="preserve"> </w:t>
      </w:r>
      <w:r w:rsidRPr="009A59D5">
        <w:t>(</w:t>
      </w:r>
      <w:r w:rsidR="00097426" w:rsidRPr="009A59D5">
        <w:t>CEM</w:t>
      </w:r>
      <w:r w:rsidRPr="009A59D5">
        <w:t>)</w:t>
      </w:r>
      <w:r w:rsidR="00097426" w:rsidRPr="009A59D5">
        <w:t xml:space="preserve"> — </w:t>
      </w:r>
      <w:r w:rsidR="00AE0D81" w:rsidRPr="009A59D5">
        <w:t>the adjusted CEM approach for measuring counterparty credit risk exposures is the methodology set out</w:t>
      </w:r>
      <w:r w:rsidR="00097426" w:rsidRPr="009A59D5">
        <w:t xml:space="preserve"> in Attachment E of this Prudential </w:t>
      </w:r>
      <w:proofErr w:type="gramStart"/>
      <w:r w:rsidR="00097426" w:rsidRPr="009A59D5">
        <w:t>Standard;</w:t>
      </w:r>
      <w:proofErr w:type="gramEnd"/>
    </w:p>
    <w:p w14:paraId="2820D9D1" w14:textId="143549F9" w:rsidR="00BF2068" w:rsidRPr="009A59D5" w:rsidRDefault="00BF2068" w:rsidP="00BF2068">
      <w:pPr>
        <w:pStyle w:val="BodyText2"/>
      </w:pPr>
      <w:r w:rsidRPr="009A59D5">
        <w:t xml:space="preserve">central counterparty (CCP) </w:t>
      </w:r>
      <w:r w:rsidR="00715061" w:rsidRPr="009A59D5">
        <w:t>—</w:t>
      </w:r>
      <w:r w:rsidRPr="009A59D5">
        <w:t xml:space="preserve"> </w:t>
      </w:r>
      <w:r w:rsidR="00806BDC" w:rsidRPr="009A59D5">
        <w:t xml:space="preserve">is </w:t>
      </w:r>
      <w:r w:rsidRPr="009A59D5">
        <w:t xml:space="preserve">a clearing house that interposes itself between counterparties to contracts traded in one or more financial markets, becoming the buyer to every seller and the seller to every buyer. A CCP becomes counterparty to trades with market participants through novation, an open offer system or another legally binding arrangement. For the purposes of the capital framework, a CCP is a </w:t>
      </w:r>
      <w:r w:rsidRPr="009A59D5">
        <w:rPr>
          <w:b/>
        </w:rPr>
        <w:t xml:space="preserve">financial </w:t>
      </w:r>
      <w:proofErr w:type="gramStart"/>
      <w:r w:rsidRPr="009A59D5">
        <w:rPr>
          <w:b/>
        </w:rPr>
        <w:t>institution</w:t>
      </w:r>
      <w:r w:rsidRPr="009A59D5">
        <w:t>;</w:t>
      </w:r>
      <w:proofErr w:type="gramEnd"/>
    </w:p>
    <w:p w14:paraId="0F50E079" w14:textId="66C088ED" w:rsidR="00BF2068" w:rsidRPr="009A59D5" w:rsidRDefault="00BF2068" w:rsidP="00BF2068">
      <w:pPr>
        <w:pStyle w:val="BodyText2"/>
      </w:pPr>
      <w:r w:rsidRPr="009A59D5">
        <w:t xml:space="preserve">clearing member </w:t>
      </w:r>
      <w:r w:rsidR="00715061" w:rsidRPr="009A59D5">
        <w:t>—</w:t>
      </w:r>
      <w:r w:rsidRPr="009A59D5">
        <w:t xml:space="preserve"> </w:t>
      </w:r>
      <w:r w:rsidR="00806BDC" w:rsidRPr="009A59D5">
        <w:t xml:space="preserve">is </w:t>
      </w:r>
      <w:r w:rsidRPr="009A59D5">
        <w:t xml:space="preserve">a member of, or a direct participant in, a CCP that is entitled to enter into a transaction with the </w:t>
      </w:r>
      <w:proofErr w:type="gramStart"/>
      <w:r w:rsidRPr="009A59D5">
        <w:t>CCP;</w:t>
      </w:r>
      <w:proofErr w:type="gramEnd"/>
    </w:p>
    <w:p w14:paraId="2CC0489E" w14:textId="37533054" w:rsidR="00BF2068" w:rsidRPr="009A59D5" w:rsidRDefault="00BF2068" w:rsidP="00BF2068">
      <w:pPr>
        <w:pStyle w:val="BodyText2"/>
      </w:pPr>
      <w:r w:rsidRPr="009A59D5">
        <w:t xml:space="preserve">client of a clearing member </w:t>
      </w:r>
      <w:r w:rsidR="00715061" w:rsidRPr="009A59D5">
        <w:t xml:space="preserve">— </w:t>
      </w:r>
      <w:r w:rsidR="00806BDC" w:rsidRPr="009A59D5">
        <w:t xml:space="preserve">is </w:t>
      </w:r>
      <w:r w:rsidRPr="009A59D5">
        <w:t xml:space="preserve">a party to a transaction with a CCP through either a clearing member acting as a financial intermediary, or a clearing member guaranteeing the performance of the client to the </w:t>
      </w:r>
      <w:proofErr w:type="gramStart"/>
      <w:r w:rsidRPr="009A59D5">
        <w:t>CCP;</w:t>
      </w:r>
      <w:proofErr w:type="gramEnd"/>
    </w:p>
    <w:p w14:paraId="67AE93E3" w14:textId="70A52355" w:rsidR="00BF2068" w:rsidRPr="009A59D5" w:rsidRDefault="00BF2068" w:rsidP="00BF2068">
      <w:pPr>
        <w:pStyle w:val="BodyText2"/>
      </w:pPr>
      <w:r w:rsidRPr="009A59D5">
        <w:t xml:space="preserve">close-out netting </w:t>
      </w:r>
      <w:r w:rsidR="00715061" w:rsidRPr="009A59D5">
        <w:t xml:space="preserve">— </w:t>
      </w:r>
      <w:r w:rsidR="00806BDC" w:rsidRPr="009A59D5">
        <w:t xml:space="preserve">is </w:t>
      </w:r>
      <w:r w:rsidRPr="009A59D5">
        <w:t xml:space="preserve">the process of combining all outstanding transactions and reducing them to a single net payment in the event of default by a counterparty to a netting </w:t>
      </w:r>
      <w:proofErr w:type="gramStart"/>
      <w:r w:rsidRPr="009A59D5">
        <w:t>agreement;</w:t>
      </w:r>
      <w:proofErr w:type="gramEnd"/>
    </w:p>
    <w:p w14:paraId="2F6C580A" w14:textId="3BF1D361" w:rsidR="00BF2068" w:rsidRPr="009A59D5" w:rsidRDefault="00BF2068" w:rsidP="00BF2068">
      <w:pPr>
        <w:pStyle w:val="BodyText2"/>
      </w:pPr>
      <w:r w:rsidRPr="009A59D5">
        <w:t xml:space="preserve">counterparty credit risk </w:t>
      </w:r>
      <w:r w:rsidR="00715061" w:rsidRPr="009A59D5">
        <w:t xml:space="preserve">— </w:t>
      </w:r>
      <w:r w:rsidR="00806BDC" w:rsidRPr="009A59D5">
        <w:t xml:space="preserve">is </w:t>
      </w:r>
      <w:r w:rsidRPr="009A59D5">
        <w:t xml:space="preserve">the risk that the counterparty to a transaction could default before the final settlement of the transaction’s cash flows. An economic loss would occur if the transactions or portfolio of transactions with the counterparty has a positive economic value at the time of </w:t>
      </w:r>
      <w:proofErr w:type="gramStart"/>
      <w:r w:rsidRPr="009A59D5">
        <w:t>default;</w:t>
      </w:r>
      <w:proofErr w:type="gramEnd"/>
    </w:p>
    <w:p w14:paraId="6A7A32AD" w14:textId="201CC0B2" w:rsidR="00BF2068" w:rsidRPr="009A59D5" w:rsidRDefault="00BF2068" w:rsidP="00BF2068">
      <w:pPr>
        <w:pStyle w:val="BodyText2"/>
      </w:pPr>
      <w:r w:rsidRPr="009A59D5">
        <w:t xml:space="preserve">default funds </w:t>
      </w:r>
      <w:r w:rsidR="00715061" w:rsidRPr="009A59D5">
        <w:t xml:space="preserve">— </w:t>
      </w:r>
      <w:r w:rsidR="00806BDC" w:rsidRPr="009A59D5">
        <w:t xml:space="preserve">are </w:t>
      </w:r>
      <w:r w:rsidRPr="009A59D5">
        <w:t xml:space="preserve">clearing </w:t>
      </w:r>
      <w:proofErr w:type="gramStart"/>
      <w:r w:rsidRPr="009A59D5">
        <w:t>members’</w:t>
      </w:r>
      <w:proofErr w:type="gramEnd"/>
      <w:r w:rsidRPr="009A59D5">
        <w:t xml:space="preserve"> funded or unfunded contributions towards, or underwriting of, a CCP’s mutualised loss-sharing arrangements;</w:t>
      </w:r>
    </w:p>
    <w:p w14:paraId="6CF6F5C8" w14:textId="33DA3A07" w:rsidR="00BF2068" w:rsidRPr="009A59D5" w:rsidRDefault="00BF2068" w:rsidP="00BF2068">
      <w:pPr>
        <w:pStyle w:val="BodyText2"/>
      </w:pPr>
      <w:r w:rsidRPr="009A59D5">
        <w:t xml:space="preserve">eligible bilateral netting agreement </w:t>
      </w:r>
      <w:r w:rsidR="00715061" w:rsidRPr="009A59D5">
        <w:t xml:space="preserve">— </w:t>
      </w:r>
      <w:r w:rsidRPr="009A59D5">
        <w:t xml:space="preserve">has the meaning </w:t>
      </w:r>
      <w:r w:rsidR="00AF20FA">
        <w:t xml:space="preserve">given </w:t>
      </w:r>
      <w:r w:rsidRPr="009A59D5">
        <w:t xml:space="preserve">in </w:t>
      </w:r>
      <w:r w:rsidR="00230558" w:rsidRPr="009A59D5">
        <w:rPr>
          <w:i/>
        </w:rPr>
        <w:t xml:space="preserve">Prudential Standard APS 112 Capital Adequacy: Standardised Approach to Credit Risk </w:t>
      </w:r>
      <w:r w:rsidR="00230558" w:rsidRPr="009A59D5">
        <w:t>(</w:t>
      </w:r>
      <w:r w:rsidRPr="009A59D5">
        <w:t>APS 112</w:t>
      </w:r>
      <w:proofErr w:type="gramStart"/>
      <w:r w:rsidR="00230558" w:rsidRPr="009A59D5">
        <w:t>)</w:t>
      </w:r>
      <w:r w:rsidRPr="009A59D5">
        <w:t>;</w:t>
      </w:r>
      <w:proofErr w:type="gramEnd"/>
    </w:p>
    <w:p w14:paraId="593FD8D0" w14:textId="4A84BAAB" w:rsidR="00BF2068" w:rsidRPr="009A59D5" w:rsidRDefault="00BF2068" w:rsidP="00BF2068">
      <w:pPr>
        <w:pStyle w:val="BodyText2"/>
      </w:pPr>
      <w:r w:rsidRPr="009A59D5">
        <w:t>exchange</w:t>
      </w:r>
      <w:r w:rsidR="00D851A2" w:rsidRPr="009A59D5">
        <w:t>-</w:t>
      </w:r>
      <w:r w:rsidRPr="009A59D5">
        <w:t xml:space="preserve">traded derivative </w:t>
      </w:r>
      <w:r w:rsidR="00715061" w:rsidRPr="009A59D5">
        <w:t xml:space="preserve">— </w:t>
      </w:r>
      <w:r w:rsidR="00806BDC" w:rsidRPr="009A59D5">
        <w:t xml:space="preserve">is </w:t>
      </w:r>
      <w:r w:rsidRPr="009A59D5">
        <w:t xml:space="preserve">a derivative that is transacted directly through an organised, licensed and regulated </w:t>
      </w:r>
      <w:proofErr w:type="gramStart"/>
      <w:r w:rsidRPr="009A59D5">
        <w:t>exchange;</w:t>
      </w:r>
      <w:proofErr w:type="gramEnd"/>
    </w:p>
    <w:p w14:paraId="016D97C8" w14:textId="7B09DB08" w:rsidR="00BF2068" w:rsidRPr="009A59D5" w:rsidRDefault="00715061" w:rsidP="00BF2068">
      <w:pPr>
        <w:pStyle w:val="BodyText2"/>
      </w:pPr>
      <w:r w:rsidRPr="009A59D5">
        <w:t>hedging set</w:t>
      </w:r>
      <w:r w:rsidR="00BF2068" w:rsidRPr="009A59D5">
        <w:t xml:space="preserve"> </w:t>
      </w:r>
      <w:r w:rsidRPr="009A59D5">
        <w:t xml:space="preserve">— </w:t>
      </w:r>
      <w:r w:rsidR="00BF2068" w:rsidRPr="009A59D5">
        <w:t xml:space="preserve">under the SA-CCR, a set of transactions under a single netting set within which partial or full offsetting may be recognised for the purposes of calculating the potential future exposure </w:t>
      </w:r>
      <w:proofErr w:type="gramStart"/>
      <w:r w:rsidR="00BF2068" w:rsidRPr="009A59D5">
        <w:t>add-on;</w:t>
      </w:r>
      <w:proofErr w:type="gramEnd"/>
    </w:p>
    <w:p w14:paraId="49475C57" w14:textId="77777777" w:rsidR="00F73EFE" w:rsidRPr="009A59D5" w:rsidRDefault="00BF2068" w:rsidP="00BF2068">
      <w:pPr>
        <w:pStyle w:val="BodyText2"/>
      </w:pPr>
      <w:r w:rsidRPr="009A59D5">
        <w:t xml:space="preserve">independent collateral amount (ICA) </w:t>
      </w:r>
      <w:r w:rsidR="00715061" w:rsidRPr="009A59D5">
        <w:t xml:space="preserve">— </w:t>
      </w:r>
      <w:r w:rsidRPr="009A59D5">
        <w:t>represents</w:t>
      </w:r>
      <w:r w:rsidR="00F73EFE" w:rsidRPr="009A59D5">
        <w:t>:</w:t>
      </w:r>
    </w:p>
    <w:p w14:paraId="7FC5095A" w14:textId="65158822" w:rsidR="00F73EFE" w:rsidRPr="009A59D5" w:rsidRDefault="00BF2068" w:rsidP="00765110">
      <w:pPr>
        <w:pStyle w:val="BodyText3"/>
      </w:pPr>
      <w:r w:rsidRPr="009A59D5">
        <w:t>collateral (other than variation margin) posted by a counterparty that an ADI may seize upon default of the counterparty, the amount of which does not change in response to the value of the transactions it secures</w:t>
      </w:r>
      <w:r w:rsidR="00F73EFE" w:rsidRPr="009A59D5">
        <w:t>;</w:t>
      </w:r>
      <w:r w:rsidRPr="009A59D5">
        <w:t xml:space="preserve"> and/or</w:t>
      </w:r>
    </w:p>
    <w:p w14:paraId="6C74858D" w14:textId="77777777" w:rsidR="00765110" w:rsidRPr="009A59D5" w:rsidRDefault="00BF2068" w:rsidP="00765110">
      <w:pPr>
        <w:pStyle w:val="BodyText3"/>
      </w:pPr>
      <w:r w:rsidRPr="009A59D5">
        <w:lastRenderedPageBreak/>
        <w:t>the Independent Amount parameter as defined in standard industry documentation.</w:t>
      </w:r>
    </w:p>
    <w:p w14:paraId="64647C91" w14:textId="67A9F017" w:rsidR="00BF2068" w:rsidRPr="009A59D5" w:rsidRDefault="00EB62B1" w:rsidP="00765110">
      <w:pPr>
        <w:pStyle w:val="BodyText3"/>
        <w:numPr>
          <w:ilvl w:val="0"/>
          <w:numId w:val="0"/>
        </w:numPr>
        <w:ind w:left="1134"/>
      </w:pPr>
      <w:r w:rsidRPr="009A59D5">
        <w:t xml:space="preserve">While </w:t>
      </w:r>
      <w:r w:rsidR="00BF2068" w:rsidRPr="009A59D5">
        <w:t>ICA does not change in response to the value of the transactions it secure</w:t>
      </w:r>
      <w:r w:rsidR="009B3661" w:rsidRPr="009A59D5">
        <w:t>s</w:t>
      </w:r>
      <w:r w:rsidR="00BF2068" w:rsidRPr="009A59D5">
        <w:t xml:space="preserve">, </w:t>
      </w:r>
      <w:r w:rsidRPr="009A59D5">
        <w:t xml:space="preserve">it </w:t>
      </w:r>
      <w:r w:rsidR="00BF2068" w:rsidRPr="009A59D5">
        <w:t xml:space="preserve">may change in response to factors such as the value of the collateral or a change in the number of transactions in the netting set. For clarity, initial margin for both centrally cleared and non-centrally cleared derivative transactions is included as ICA within the SA-CCR </w:t>
      </w:r>
      <w:r w:rsidR="00765110" w:rsidRPr="009A59D5">
        <w:t>methodology</w:t>
      </w:r>
      <w:r w:rsidR="00BF2068" w:rsidRPr="009A59D5">
        <w:t xml:space="preserve"> outlined in Attachment D</w:t>
      </w:r>
      <w:r w:rsidR="003D037A" w:rsidRPr="009A59D5">
        <w:t xml:space="preserve"> of this Prudential </w:t>
      </w:r>
      <w:proofErr w:type="gramStart"/>
      <w:r w:rsidR="003D037A" w:rsidRPr="009A59D5">
        <w:t>Standard</w:t>
      </w:r>
      <w:r w:rsidR="00BF2068" w:rsidRPr="009A59D5">
        <w:t>;</w:t>
      </w:r>
      <w:proofErr w:type="gramEnd"/>
    </w:p>
    <w:p w14:paraId="7E0BA742" w14:textId="4ED6591B" w:rsidR="00BF2068" w:rsidRPr="009A59D5" w:rsidRDefault="00BF2068" w:rsidP="00BF2068">
      <w:pPr>
        <w:pStyle w:val="BodyText2"/>
      </w:pPr>
      <w:r w:rsidRPr="009A59D5">
        <w:t xml:space="preserve">initial margin </w:t>
      </w:r>
      <w:r w:rsidR="00715061" w:rsidRPr="009A59D5">
        <w:t xml:space="preserve">— </w:t>
      </w:r>
      <w:r w:rsidR="00806BDC" w:rsidRPr="009A59D5">
        <w:t xml:space="preserve">is </w:t>
      </w:r>
      <w:r w:rsidRPr="009A59D5">
        <w:t xml:space="preserve">collateral that is collected to cover the potential future exposure that could arise from future changes in the market value of a derivative transaction over the close-out period in the event of a counterparty </w:t>
      </w:r>
      <w:proofErr w:type="gramStart"/>
      <w:r w:rsidRPr="009A59D5">
        <w:t>default;</w:t>
      </w:r>
      <w:proofErr w:type="gramEnd"/>
    </w:p>
    <w:p w14:paraId="7ED5A94A" w14:textId="524699A8" w:rsidR="005D2ADC" w:rsidRPr="009A59D5" w:rsidRDefault="00603EF9" w:rsidP="00BF2068">
      <w:pPr>
        <w:pStyle w:val="BodyText2"/>
      </w:pPr>
      <w:r w:rsidRPr="009A59D5">
        <w:t>IRB ADI —</w:t>
      </w:r>
      <w:r w:rsidR="005D2ADC" w:rsidRPr="009A59D5">
        <w:t xml:space="preserve"> is an ADI with approval from APRA to use </w:t>
      </w:r>
      <w:r w:rsidR="004E16D8" w:rsidRPr="009A59D5">
        <w:t>an</w:t>
      </w:r>
      <w:r w:rsidR="005D2ADC" w:rsidRPr="009A59D5">
        <w:t xml:space="preserve"> internal ratings-based (IRB) approach to credit </w:t>
      </w:r>
      <w:proofErr w:type="gramStart"/>
      <w:r w:rsidR="005D2ADC" w:rsidRPr="009A59D5">
        <w:t>risk;</w:t>
      </w:r>
      <w:proofErr w:type="gramEnd"/>
    </w:p>
    <w:p w14:paraId="201C7974" w14:textId="185D01F2" w:rsidR="00BF2068" w:rsidRPr="009A59D5" w:rsidRDefault="00BF2068" w:rsidP="00BF2068">
      <w:pPr>
        <w:pStyle w:val="BodyText2"/>
      </w:pPr>
      <w:r w:rsidRPr="009A59D5">
        <w:t xml:space="preserve">long settlement transaction </w:t>
      </w:r>
      <w:r w:rsidR="00715061" w:rsidRPr="009A59D5">
        <w:t xml:space="preserve">— </w:t>
      </w:r>
      <w:r w:rsidR="00806BDC" w:rsidRPr="009A59D5">
        <w:t xml:space="preserve">is </w:t>
      </w:r>
      <w:r w:rsidRPr="009A59D5">
        <w:t xml:space="preserve">a transaction where a counterparty undertakes to receive or deliver a security, a commodity or a foreign exchange amount against cash, other financial instruments or commodities at a contractually specified settlement or delivery date that is more than the </w:t>
      </w:r>
      <w:r w:rsidR="001F4D10" w:rsidRPr="009A59D5">
        <w:t xml:space="preserve">lesser </w:t>
      </w:r>
      <w:r w:rsidRPr="009A59D5">
        <w:t>of (</w:t>
      </w:r>
      <w:proofErr w:type="spellStart"/>
      <w:r w:rsidRPr="009A59D5">
        <w:t>i</w:t>
      </w:r>
      <w:proofErr w:type="spellEnd"/>
      <w:r w:rsidRPr="009A59D5">
        <w:t>) the market standard for the particular instrument</w:t>
      </w:r>
      <w:r w:rsidR="001F4D10" w:rsidRPr="009A59D5">
        <w:t>,</w:t>
      </w:r>
      <w:r w:rsidRPr="009A59D5">
        <w:t xml:space="preserve"> and (ii) five business days after the date on which the parties enter into the </w:t>
      </w:r>
      <w:proofErr w:type="gramStart"/>
      <w:r w:rsidRPr="009A59D5">
        <w:t>transaction;</w:t>
      </w:r>
      <w:proofErr w:type="gramEnd"/>
    </w:p>
    <w:p w14:paraId="7F6C0EF5" w14:textId="36F1F26A" w:rsidR="00BF2068" w:rsidRPr="009A59D5" w:rsidRDefault="00BF2068" w:rsidP="00BF2068">
      <w:pPr>
        <w:pStyle w:val="BodyText2"/>
      </w:pPr>
      <w:bookmarkStart w:id="38" w:name="_Ref460313165"/>
      <w:r w:rsidRPr="009A59D5">
        <w:t xml:space="preserve">margin period of risk (MPOR) </w:t>
      </w:r>
      <w:r w:rsidR="00715061" w:rsidRPr="009A59D5">
        <w:t xml:space="preserve">— </w:t>
      </w:r>
      <w:r w:rsidR="00806BDC" w:rsidRPr="009A59D5">
        <w:t xml:space="preserve">is </w:t>
      </w:r>
      <w:r w:rsidRPr="009A59D5">
        <w:t xml:space="preserve">an estimated </w:t>
      </w:r>
      <w:proofErr w:type="gramStart"/>
      <w:r w:rsidRPr="009A59D5">
        <w:t>time period</w:t>
      </w:r>
      <w:proofErr w:type="gramEnd"/>
      <w:r w:rsidRPr="009A59D5">
        <w:t xml:space="preserve"> from the last exchange of collateral covering a netting set of transactions with a defaulting counterparty until the counterparty is closed out and the resulting market risk is re-hedged. For the purposes of measuring counterparty credit risk exposures using SA-CCR, MPOR must satisfy the conditions of the minimum holding period specified in paragraphs </w:t>
      </w:r>
      <w:r w:rsidR="00EC57F7">
        <w:t>30</w:t>
      </w:r>
      <w:r w:rsidR="00EC57F7" w:rsidRPr="009A59D5">
        <w:t xml:space="preserve"> </w:t>
      </w:r>
      <w:r w:rsidRPr="009A59D5">
        <w:t xml:space="preserve">and </w:t>
      </w:r>
      <w:r w:rsidR="00EC57F7">
        <w:t>31</w:t>
      </w:r>
      <w:r w:rsidR="00EC57F7" w:rsidRPr="009A59D5">
        <w:t xml:space="preserve"> </w:t>
      </w:r>
      <w:r w:rsidRPr="009A59D5">
        <w:t>of Attachment</w:t>
      </w:r>
      <w:r w:rsidR="00DF477B" w:rsidRPr="009A59D5">
        <w:t> </w:t>
      </w:r>
      <w:r w:rsidR="000E1EC7" w:rsidRPr="009A59D5">
        <w:t>G</w:t>
      </w:r>
      <w:r w:rsidRPr="009A59D5">
        <w:t xml:space="preserve"> of APS 112. MPOR must be measured in </w:t>
      </w:r>
      <w:proofErr w:type="gramStart"/>
      <w:r w:rsidRPr="009A59D5">
        <w:t>years;</w:t>
      </w:r>
      <w:bookmarkEnd w:id="38"/>
      <w:proofErr w:type="gramEnd"/>
    </w:p>
    <w:p w14:paraId="6F86D991" w14:textId="393BE849" w:rsidR="00BF2068" w:rsidRPr="009A59D5" w:rsidRDefault="00BF2068" w:rsidP="00BF2068">
      <w:pPr>
        <w:pStyle w:val="BodyText2"/>
      </w:pPr>
      <w:r w:rsidRPr="009A59D5">
        <w:t xml:space="preserve">net independent collateral amount (NICA) </w:t>
      </w:r>
      <w:r w:rsidR="00715061" w:rsidRPr="009A59D5">
        <w:t xml:space="preserve">— </w:t>
      </w:r>
      <w:r w:rsidR="00806BDC" w:rsidRPr="009A59D5">
        <w:t xml:space="preserve">is </w:t>
      </w:r>
      <w:r w:rsidRPr="009A59D5">
        <w:t>the amount of collateral that an ADI may use to offset its exposure on the default of the counterparty. NICA is equal to any ICA (segregated or unsegregated) received by the ADI less the unsegregated ICA posted by the ADI. NICA does not include any collateral an ADI has posted to a segregated, bankruptcy</w:t>
      </w:r>
      <w:r w:rsidR="00F73EFE" w:rsidRPr="009A59D5">
        <w:t>-</w:t>
      </w:r>
      <w:r w:rsidRPr="009A59D5">
        <w:t xml:space="preserve">remote account that would be returned to the ADI upon the bankruptcy of the </w:t>
      </w:r>
      <w:proofErr w:type="gramStart"/>
      <w:r w:rsidRPr="009A59D5">
        <w:t>counterparty;</w:t>
      </w:r>
      <w:proofErr w:type="gramEnd"/>
    </w:p>
    <w:p w14:paraId="23558697" w14:textId="2B48CEA2" w:rsidR="00BF2068" w:rsidRPr="009A59D5" w:rsidRDefault="00BF2068" w:rsidP="00BF2068">
      <w:pPr>
        <w:pStyle w:val="BodyText2"/>
      </w:pPr>
      <w:r w:rsidRPr="009A59D5">
        <w:t xml:space="preserve">netting </w:t>
      </w:r>
      <w:r w:rsidR="00047F3D" w:rsidRPr="009A59D5">
        <w:t xml:space="preserve">— </w:t>
      </w:r>
      <w:r w:rsidR="00806BDC" w:rsidRPr="009A59D5">
        <w:t xml:space="preserve">is </w:t>
      </w:r>
      <w:r w:rsidRPr="009A59D5">
        <w:t xml:space="preserve">the process under a netting agreement of combining all relevant outstanding transactions between two counterparties and reducing them to a single net sum for a party to either pay or </w:t>
      </w:r>
      <w:proofErr w:type="gramStart"/>
      <w:r w:rsidRPr="009A59D5">
        <w:t>receive;</w:t>
      </w:r>
      <w:proofErr w:type="gramEnd"/>
    </w:p>
    <w:p w14:paraId="23190C86" w14:textId="1D453C5F" w:rsidR="00BF2068" w:rsidRPr="009A59D5" w:rsidRDefault="00BF2068" w:rsidP="00BF2068">
      <w:pPr>
        <w:pStyle w:val="BodyText2"/>
      </w:pPr>
      <w:r w:rsidRPr="009A59D5">
        <w:t xml:space="preserve">netting by novation </w:t>
      </w:r>
      <w:r w:rsidR="00047F3D" w:rsidRPr="009A59D5">
        <w:t xml:space="preserve">— </w:t>
      </w:r>
      <w:r w:rsidR="00806BDC" w:rsidRPr="009A59D5">
        <w:t xml:space="preserve">is </w:t>
      </w:r>
      <w:r w:rsidRPr="009A59D5">
        <w:t xml:space="preserve">a netting agreement between two counterparties under which any obligation between the parties to deliver a given currency (or equity, debt instrument or commodity) on a given date is automatically amalgamated with all other obligations under the netting agreement for the same currency (or other instrument or commodity) and value date. The </w:t>
      </w:r>
      <w:r w:rsidRPr="009A59D5">
        <w:lastRenderedPageBreak/>
        <w:t xml:space="preserve">result is to legally substitute a single net amount for the previous gross </w:t>
      </w:r>
      <w:proofErr w:type="gramStart"/>
      <w:r w:rsidRPr="009A59D5">
        <w:t>obligations;</w:t>
      </w:r>
      <w:proofErr w:type="gramEnd"/>
    </w:p>
    <w:p w14:paraId="130236F7" w14:textId="7159C98B" w:rsidR="00BF2068" w:rsidRPr="009A59D5" w:rsidRDefault="00BF2068" w:rsidP="00BF2068">
      <w:pPr>
        <w:pStyle w:val="BodyText2"/>
      </w:pPr>
      <w:r w:rsidRPr="009A59D5">
        <w:t xml:space="preserve">netting set </w:t>
      </w:r>
      <w:r w:rsidR="00047F3D" w:rsidRPr="009A59D5">
        <w:t xml:space="preserve">— </w:t>
      </w:r>
      <w:r w:rsidR="00806BDC" w:rsidRPr="009A59D5">
        <w:t xml:space="preserve">is </w:t>
      </w:r>
      <w:r w:rsidRPr="009A59D5">
        <w:t xml:space="preserve">a group of transactions with a single counterparty that </w:t>
      </w:r>
      <w:r w:rsidR="00582119" w:rsidRPr="009A59D5">
        <w:t>is</w:t>
      </w:r>
      <w:r w:rsidRPr="009A59D5">
        <w:t xml:space="preserve"> subject to an eligible bilateral netting agreement under this Prudential Standard. If a transaction with a counterparty is not subject to an eligible bilateral netting agreement, it comprises its own netting </w:t>
      </w:r>
      <w:proofErr w:type="gramStart"/>
      <w:r w:rsidRPr="009A59D5">
        <w:t>set;</w:t>
      </w:r>
      <w:proofErr w:type="gramEnd"/>
    </w:p>
    <w:p w14:paraId="570363BE" w14:textId="2567C433" w:rsidR="00BF2068" w:rsidRPr="009A59D5" w:rsidRDefault="00BF2068" w:rsidP="00BF2068">
      <w:pPr>
        <w:pStyle w:val="BodyText2"/>
      </w:pPr>
      <w:r w:rsidRPr="009A59D5">
        <w:t xml:space="preserve">offsetting transaction </w:t>
      </w:r>
      <w:r w:rsidR="00047F3D" w:rsidRPr="009A59D5">
        <w:t xml:space="preserve">— </w:t>
      </w:r>
      <w:r w:rsidR="003F3702" w:rsidRPr="009A59D5">
        <w:t xml:space="preserve">is </w:t>
      </w:r>
      <w:r w:rsidRPr="009A59D5">
        <w:t>the transaction leg between the clearing member and the CCP when the clearing member acts on behalf of a client (</w:t>
      </w:r>
      <w:proofErr w:type="gramStart"/>
      <w:r w:rsidRPr="009A59D5">
        <w:t>e.g.</w:t>
      </w:r>
      <w:proofErr w:type="gramEnd"/>
      <w:r w:rsidRPr="009A59D5">
        <w:t xml:space="preserve"> when a clearing member clears or novates a client’s trade);</w:t>
      </w:r>
    </w:p>
    <w:p w14:paraId="38164AD6" w14:textId="3ABD21A4" w:rsidR="00BF2068" w:rsidRPr="009A59D5" w:rsidRDefault="00BF2068" w:rsidP="00BF2068">
      <w:pPr>
        <w:pStyle w:val="BodyText2"/>
      </w:pPr>
      <w:r w:rsidRPr="009A59D5">
        <w:t xml:space="preserve">over-collateralisation </w:t>
      </w:r>
      <w:r w:rsidR="00047F3D" w:rsidRPr="009A59D5">
        <w:t xml:space="preserve">— </w:t>
      </w:r>
      <w:r w:rsidR="003F3702" w:rsidRPr="009A59D5">
        <w:t xml:space="preserve">is </w:t>
      </w:r>
      <w:r w:rsidRPr="009A59D5">
        <w:t xml:space="preserve">when the haircut value of collateral held is greater than the net market value of the derivative contracts covered by the collateral. Conversely, under-collateralisation occurs when the haircut value of collateral held is less than the net market value of the derivative </w:t>
      </w:r>
      <w:proofErr w:type="gramStart"/>
      <w:r w:rsidRPr="009A59D5">
        <w:t>contracts;</w:t>
      </w:r>
      <w:proofErr w:type="gramEnd"/>
    </w:p>
    <w:p w14:paraId="4A41D347" w14:textId="24853BAD" w:rsidR="00BF2068" w:rsidRPr="009A59D5" w:rsidRDefault="00BF2068" w:rsidP="00BF2068">
      <w:pPr>
        <w:pStyle w:val="BodyText2"/>
      </w:pPr>
      <w:proofErr w:type="gramStart"/>
      <w:r w:rsidRPr="009A59D5">
        <w:t>over-the-counter</w:t>
      </w:r>
      <w:proofErr w:type="gramEnd"/>
      <w:r w:rsidRPr="009A59D5">
        <w:t xml:space="preserve"> (OTC) derivative transaction </w:t>
      </w:r>
      <w:r w:rsidR="00047F3D" w:rsidRPr="009A59D5">
        <w:t xml:space="preserve">— </w:t>
      </w:r>
      <w:r w:rsidR="003F3702" w:rsidRPr="009A59D5">
        <w:t xml:space="preserve">is </w:t>
      </w:r>
      <w:r w:rsidRPr="009A59D5">
        <w:t>a customised, privately negotiated, risk-shifting agreement, the value of which is derived from the value of an underlying asset;</w:t>
      </w:r>
    </w:p>
    <w:p w14:paraId="5A5314F8" w14:textId="3B4DDAFC" w:rsidR="00BF2068" w:rsidRPr="009A59D5" w:rsidRDefault="00BF2068" w:rsidP="00BF2068">
      <w:pPr>
        <w:pStyle w:val="BodyText2"/>
      </w:pPr>
      <w:bookmarkStart w:id="39" w:name="_Ref460255058"/>
      <w:r w:rsidRPr="009A59D5">
        <w:t xml:space="preserve">qualifying CCP (QCCP) </w:t>
      </w:r>
      <w:r w:rsidR="00047F3D" w:rsidRPr="009A59D5">
        <w:t xml:space="preserve">— </w:t>
      </w:r>
      <w:r w:rsidR="003F3702" w:rsidRPr="009A59D5">
        <w:t xml:space="preserve">is </w:t>
      </w:r>
      <w:r w:rsidRPr="009A59D5">
        <w:t>an entity that is licensed to operate as a CCP (including a licence granted by way of confirming an exemption</w:t>
      </w:r>
      <w:proofErr w:type="gramStart"/>
      <w:r w:rsidRPr="009A59D5">
        <w:t>), and</w:t>
      </w:r>
      <w:proofErr w:type="gramEnd"/>
      <w:r w:rsidRPr="009A59D5">
        <w:t xml:space="preserve"> is permitted by the CCP’s regulator/supervisor to operate as such with respect to the products offered. The entity must be based and prudentially supervised in a jurisdiction where the relevant regulator/overseer has established</w:t>
      </w:r>
      <w:r w:rsidR="00582119" w:rsidRPr="009A59D5">
        <w:t>,</w:t>
      </w:r>
      <w:r w:rsidRPr="009A59D5">
        <w:t xml:space="preserve"> and publicly indicated that it applies to the CCP on an ongoing basis, domestic rules and regulations that are consistent with the Committee on Payment</w:t>
      </w:r>
      <w:r w:rsidR="00E73CF0" w:rsidRPr="009A59D5">
        <w:t>s and Market Infrastructure</w:t>
      </w:r>
      <w:r w:rsidR="005D43E7" w:rsidRPr="009A59D5">
        <w:t>s</w:t>
      </w:r>
      <w:r w:rsidRPr="009A59D5">
        <w:t xml:space="preserve"> and International Organization of Securities Commissions (</w:t>
      </w:r>
      <w:r w:rsidR="00FC60E5" w:rsidRPr="009A59D5">
        <w:t>CPMI</w:t>
      </w:r>
      <w:r w:rsidRPr="009A59D5">
        <w:t xml:space="preserve">-IOSCO) </w:t>
      </w:r>
      <w:r w:rsidRPr="009A59D5">
        <w:rPr>
          <w:i/>
        </w:rPr>
        <w:t>Principles for Financial Market Infrastructures</w:t>
      </w:r>
      <w:r w:rsidR="00DC46DF">
        <w:t xml:space="preserve"> as it exists </w:t>
      </w:r>
      <w:r w:rsidR="00817148">
        <w:t>from time to time</w:t>
      </w:r>
      <w:r w:rsidRPr="009A59D5">
        <w:t xml:space="preserve">. In order for a CCP to be a QCCP, it must also calculate or make available the necessary data to allow for the calculation of an ADI’s default fund capital </w:t>
      </w:r>
      <w:proofErr w:type="gramStart"/>
      <w:r w:rsidRPr="009A59D5">
        <w:t>charge;</w:t>
      </w:r>
      <w:bookmarkEnd w:id="39"/>
      <w:proofErr w:type="gramEnd"/>
    </w:p>
    <w:p w14:paraId="4058678E" w14:textId="7F5C804F" w:rsidR="00BF2068" w:rsidRPr="009A59D5" w:rsidRDefault="00BF2068" w:rsidP="00BF2068">
      <w:pPr>
        <w:pStyle w:val="BodyText2"/>
      </w:pPr>
      <w:r w:rsidRPr="009A59D5">
        <w:t xml:space="preserve">reference entity </w:t>
      </w:r>
      <w:r w:rsidR="00047F3D" w:rsidRPr="009A59D5">
        <w:t xml:space="preserve">— </w:t>
      </w:r>
      <w:r w:rsidRPr="009A59D5">
        <w:t xml:space="preserve">the entity or entities whose obligations are used to determine whether a credit event has occurred under the terms of a credit derivative </w:t>
      </w:r>
      <w:proofErr w:type="gramStart"/>
      <w:r w:rsidRPr="009A59D5">
        <w:t>contract;</w:t>
      </w:r>
      <w:proofErr w:type="gramEnd"/>
    </w:p>
    <w:p w14:paraId="1A8976EC" w14:textId="5062C067" w:rsidR="00BF2068" w:rsidRPr="009A59D5" w:rsidRDefault="00BF2068" w:rsidP="00BF2068">
      <w:pPr>
        <w:pStyle w:val="BodyText2"/>
      </w:pPr>
      <w:r w:rsidRPr="009A59D5">
        <w:t xml:space="preserve">reference obligation </w:t>
      </w:r>
      <w:r w:rsidR="00047F3D" w:rsidRPr="009A59D5">
        <w:t xml:space="preserve">— </w:t>
      </w:r>
      <w:r w:rsidRPr="009A59D5">
        <w:t>the obligation used to calculate the amount payable when a credit event occurs under the terms of a credit derivative contract. A reference obligation is relevant for obligations that are to be cash settled (on a par-less-recovery basis)</w:t>
      </w:r>
      <w:r w:rsidR="0027754F" w:rsidRPr="009A59D5">
        <w:t>;</w:t>
      </w:r>
      <w:r w:rsidR="0027754F" w:rsidRPr="009A59D5">
        <w:rPr>
          <w:rStyle w:val="FootnoteReference"/>
        </w:rPr>
        <w:footnoteReference w:id="2"/>
      </w:r>
    </w:p>
    <w:p w14:paraId="26A40863" w14:textId="13275CC4" w:rsidR="00BF2068" w:rsidRPr="009A59D5" w:rsidRDefault="00BF2068" w:rsidP="00BF2068">
      <w:pPr>
        <w:pStyle w:val="BodyText2"/>
      </w:pPr>
      <w:r w:rsidRPr="009A59D5">
        <w:t xml:space="preserve">SA-CCR </w:t>
      </w:r>
      <w:r w:rsidR="00047F3D" w:rsidRPr="009A59D5">
        <w:t xml:space="preserve">— </w:t>
      </w:r>
      <w:r w:rsidRPr="009A59D5">
        <w:t xml:space="preserve">the standardised approach for measuring counterparty credit risk exposures </w:t>
      </w:r>
      <w:r w:rsidR="00042F91" w:rsidRPr="009A59D5">
        <w:t xml:space="preserve">(SA-CCR) is the </w:t>
      </w:r>
      <w:r w:rsidRPr="009A59D5">
        <w:t>methodology set out in Attachment D</w:t>
      </w:r>
      <w:r w:rsidR="00AE0D81" w:rsidRPr="009A59D5">
        <w:t xml:space="preserve"> of this Prudential </w:t>
      </w:r>
      <w:proofErr w:type="gramStart"/>
      <w:r w:rsidR="00AE0D81" w:rsidRPr="009A59D5">
        <w:t>Standard</w:t>
      </w:r>
      <w:r w:rsidRPr="009A59D5">
        <w:t>;</w:t>
      </w:r>
      <w:proofErr w:type="gramEnd"/>
    </w:p>
    <w:p w14:paraId="7DE290D5" w14:textId="015BB43A" w:rsidR="00BF2068" w:rsidRPr="009A59D5" w:rsidRDefault="00BF2068" w:rsidP="00BF2068">
      <w:pPr>
        <w:pStyle w:val="BodyText2"/>
      </w:pPr>
      <w:r w:rsidRPr="009A59D5">
        <w:lastRenderedPageBreak/>
        <w:t xml:space="preserve">securities financing transactions (SFTs) </w:t>
      </w:r>
      <w:r w:rsidR="00047F3D" w:rsidRPr="009A59D5">
        <w:t xml:space="preserve">— </w:t>
      </w:r>
      <w:r w:rsidR="003F3702" w:rsidRPr="009A59D5">
        <w:t xml:space="preserve">are </w:t>
      </w:r>
      <w:r w:rsidRPr="009A59D5">
        <w:t xml:space="preserve">transactions such as repurchase agreements, reverse repurchase agreements and securities lending and borrowing transactions where the value of the transactions depends on the market valuation of securities and the transactions are typically subject to margin </w:t>
      </w:r>
      <w:proofErr w:type="gramStart"/>
      <w:r w:rsidRPr="009A59D5">
        <w:t>agreements;</w:t>
      </w:r>
      <w:proofErr w:type="gramEnd"/>
    </w:p>
    <w:p w14:paraId="5574836E" w14:textId="5DBF5541" w:rsidR="00663E09" w:rsidRPr="009A59D5" w:rsidRDefault="005B51F2" w:rsidP="00C727FF">
      <w:pPr>
        <w:pStyle w:val="BodyText2"/>
      </w:pPr>
      <w:bookmarkStart w:id="40" w:name="_Ref460259507"/>
      <w:r w:rsidRPr="009A59D5">
        <w:t>settled</w:t>
      </w:r>
      <w:r w:rsidR="00A521F4" w:rsidRPr="009A59D5">
        <w:t>-</w:t>
      </w:r>
      <w:r w:rsidRPr="009A59D5">
        <w:t>to</w:t>
      </w:r>
      <w:r w:rsidR="00A521F4" w:rsidRPr="009A59D5">
        <w:t>-</w:t>
      </w:r>
      <w:r w:rsidRPr="009A59D5">
        <w:t xml:space="preserve">market </w:t>
      </w:r>
      <w:r w:rsidR="001D740D" w:rsidRPr="009A59D5">
        <w:t>—</w:t>
      </w:r>
      <w:r w:rsidRPr="009A59D5">
        <w:t xml:space="preserve"> </w:t>
      </w:r>
      <w:r w:rsidR="00FD6559" w:rsidRPr="009A59D5">
        <w:t xml:space="preserve">refers to </w:t>
      </w:r>
      <w:r w:rsidR="00147A4F" w:rsidRPr="009A59D5">
        <w:t>a centrally cleared derivative transaction</w:t>
      </w:r>
      <w:r w:rsidR="00FA5DD6" w:rsidRPr="009A59D5">
        <w:t xml:space="preserve"> </w:t>
      </w:r>
      <w:r w:rsidR="009B6779" w:rsidRPr="009A59D5">
        <w:t>where</w:t>
      </w:r>
      <w:r w:rsidR="005D4696" w:rsidRPr="009A59D5">
        <w:t xml:space="preserve"> </w:t>
      </w:r>
      <w:r w:rsidR="0066419C" w:rsidRPr="009A59D5">
        <w:t>the variation margin</w:t>
      </w:r>
      <w:r w:rsidR="00FA5DD6" w:rsidRPr="009A59D5">
        <w:t xml:space="preserve"> paid</w:t>
      </w:r>
      <w:r w:rsidR="005D4696" w:rsidRPr="009A59D5">
        <w:t xml:space="preserve"> </w:t>
      </w:r>
      <w:r w:rsidR="00FA5DD6" w:rsidRPr="009A59D5">
        <w:t>constitutes</w:t>
      </w:r>
      <w:r w:rsidR="009B6779" w:rsidRPr="009A59D5">
        <w:t xml:space="preserve"> </w:t>
      </w:r>
      <w:r w:rsidR="0066419C" w:rsidRPr="009A59D5">
        <w:t xml:space="preserve">settlement </w:t>
      </w:r>
      <w:r w:rsidR="002E075D" w:rsidRPr="009A59D5">
        <w:t xml:space="preserve">of </w:t>
      </w:r>
      <w:r w:rsidR="00CC22E1" w:rsidRPr="009A59D5">
        <w:t>an</w:t>
      </w:r>
      <w:r w:rsidR="002E075D" w:rsidRPr="009A59D5">
        <w:t xml:space="preserve"> exposure</w:t>
      </w:r>
      <w:r w:rsidR="00FD03C5" w:rsidRPr="009A59D5">
        <w:t>,</w:t>
      </w:r>
      <w:r w:rsidR="002E075D" w:rsidRPr="009A59D5">
        <w:t xml:space="preserve"> as opposed to </w:t>
      </w:r>
      <w:r w:rsidR="00405B60" w:rsidRPr="009A59D5">
        <w:t xml:space="preserve">the </w:t>
      </w:r>
      <w:r w:rsidR="00892F95" w:rsidRPr="009A59D5">
        <w:t xml:space="preserve">posting of </w:t>
      </w:r>
      <w:proofErr w:type="gramStart"/>
      <w:r w:rsidR="002E075D" w:rsidRPr="009A59D5">
        <w:t>collateral</w:t>
      </w:r>
      <w:r w:rsidR="001A0D88" w:rsidRPr="009A59D5">
        <w:t>;</w:t>
      </w:r>
      <w:proofErr w:type="gramEnd"/>
    </w:p>
    <w:p w14:paraId="755B77F3" w14:textId="1435585A" w:rsidR="00A94FF8" w:rsidRPr="009A59D5" w:rsidRDefault="00A94FF8">
      <w:pPr>
        <w:pStyle w:val="BodyText2"/>
      </w:pPr>
      <w:r w:rsidRPr="009A59D5">
        <w:t xml:space="preserve">standardised ADI — </w:t>
      </w:r>
      <w:r w:rsidR="00856833" w:rsidRPr="009A59D5">
        <w:t xml:space="preserve">is </w:t>
      </w:r>
      <w:r w:rsidRPr="009A59D5">
        <w:t xml:space="preserve">an ADI that does not have approval from APRA to use an IRB approach to credit </w:t>
      </w:r>
      <w:proofErr w:type="gramStart"/>
      <w:r w:rsidRPr="009A59D5">
        <w:t>risk;</w:t>
      </w:r>
      <w:proofErr w:type="gramEnd"/>
    </w:p>
    <w:p w14:paraId="396EABCB" w14:textId="478BF755" w:rsidR="00243182" w:rsidRPr="009A59D5" w:rsidRDefault="00243182">
      <w:pPr>
        <w:pStyle w:val="BodyText2"/>
      </w:pPr>
      <w:r w:rsidRPr="009A59D5">
        <w:t xml:space="preserve">threshold — is the amount specified in a margin agreement that defines the level of exposure above which margin will be posted. The threshold represents the amount of uncollateralised exposure allowed under the margin </w:t>
      </w:r>
      <w:proofErr w:type="gramStart"/>
      <w:r w:rsidRPr="009A59D5">
        <w:t>agreement;</w:t>
      </w:r>
      <w:proofErr w:type="gramEnd"/>
    </w:p>
    <w:p w14:paraId="77DB3788" w14:textId="61C1975B" w:rsidR="00BF2068" w:rsidRPr="009A59D5" w:rsidRDefault="00BF2068">
      <w:pPr>
        <w:pStyle w:val="BodyText2"/>
      </w:pPr>
      <w:bookmarkStart w:id="41" w:name="_Ref488400365"/>
      <w:r w:rsidRPr="009A59D5">
        <w:t xml:space="preserve">trade exposure </w:t>
      </w:r>
      <w:r w:rsidR="00047F3D" w:rsidRPr="009A59D5">
        <w:t xml:space="preserve">— </w:t>
      </w:r>
      <w:r w:rsidR="003F3702" w:rsidRPr="009A59D5">
        <w:t xml:space="preserve">is </w:t>
      </w:r>
      <w:r w:rsidRPr="009A59D5">
        <w:t>an exposure a clearing member or a client of a clearing member has to a CCP reflecting a measure of the current mark-to-market value (replacement cost) and the potential future exposure arising from OTC derivative transactions, exchange</w:t>
      </w:r>
      <w:r w:rsidR="00D851A2" w:rsidRPr="009A59D5">
        <w:t>-</w:t>
      </w:r>
      <w:r w:rsidRPr="009A59D5">
        <w:t>traded derivative transactions, SFTs and long settlement transactions. Trade exposure is calculated on a bilateral basis, and must include the initial margin posted by an ADI, as well as any variation margin due to the ADI from the CCP that has not yet been received; and</w:t>
      </w:r>
      <w:bookmarkEnd w:id="40"/>
      <w:bookmarkEnd w:id="41"/>
    </w:p>
    <w:p w14:paraId="2FEE5BDC" w14:textId="1E2A76E9" w:rsidR="00BF2068" w:rsidRPr="009A59D5" w:rsidRDefault="00BF2068">
      <w:pPr>
        <w:pStyle w:val="BodyText2"/>
      </w:pPr>
      <w:r w:rsidRPr="009A59D5">
        <w:t xml:space="preserve">variation margin </w:t>
      </w:r>
      <w:r w:rsidR="00047F3D" w:rsidRPr="009A59D5">
        <w:t xml:space="preserve">— </w:t>
      </w:r>
      <w:r w:rsidR="003F3702" w:rsidRPr="009A59D5">
        <w:t xml:space="preserve">is </w:t>
      </w:r>
      <w:r w:rsidRPr="009A59D5">
        <w:t>collateral that is collected</w:t>
      </w:r>
      <w:r w:rsidR="000A7F77" w:rsidRPr="009A59D5">
        <w:t xml:space="preserve"> or paid</w:t>
      </w:r>
      <w:r w:rsidRPr="009A59D5">
        <w:t xml:space="preserve"> to reflect the current mark-to-market exposure resulting from changes in the market value of a derivative.</w:t>
      </w:r>
    </w:p>
    <w:p w14:paraId="6646DFB6" w14:textId="77777777" w:rsidR="0027754F" w:rsidRPr="009A59D5" w:rsidRDefault="0027754F" w:rsidP="00AF1EE7">
      <w:pPr>
        <w:pStyle w:val="Heading1"/>
      </w:pPr>
      <w:bookmarkStart w:id="42" w:name="_Toc487712211"/>
      <w:bookmarkStart w:id="43" w:name="_Toc488397512"/>
      <w:bookmarkStart w:id="44" w:name="_Toc507406386"/>
      <w:bookmarkStart w:id="45" w:name="_Toc507406454"/>
      <w:bookmarkStart w:id="46" w:name="_Toc511230075"/>
      <w:bookmarkStart w:id="47" w:name="_Toc511230294"/>
      <w:r w:rsidRPr="009A59D5">
        <w:t>Key principles</w:t>
      </w:r>
      <w:bookmarkEnd w:id="42"/>
      <w:bookmarkEnd w:id="43"/>
      <w:bookmarkEnd w:id="44"/>
      <w:bookmarkEnd w:id="45"/>
      <w:bookmarkEnd w:id="46"/>
      <w:bookmarkEnd w:id="47"/>
    </w:p>
    <w:p w14:paraId="48012C52" w14:textId="051C1E99" w:rsidR="0027754F" w:rsidRPr="009A59D5" w:rsidRDefault="0027754F" w:rsidP="0027754F">
      <w:pPr>
        <w:pStyle w:val="BodyText1"/>
      </w:pPr>
      <w:r w:rsidRPr="009A59D5">
        <w:t>An ADI must include all OTC deriv</w:t>
      </w:r>
      <w:r w:rsidR="00D851A2" w:rsidRPr="009A59D5">
        <w:t>ative transactions and exchange-</w:t>
      </w:r>
      <w:r w:rsidRPr="009A59D5">
        <w:t>traded derivative transactions (collectively ‘derivative transactions’</w:t>
      </w:r>
      <w:r w:rsidR="00BB23D3" w:rsidRPr="009A59D5">
        <w:t>), long settlement transactions</w:t>
      </w:r>
      <w:r w:rsidR="00BB23D3" w:rsidRPr="009A59D5">
        <w:rPr>
          <w:rStyle w:val="FootnoteReference"/>
        </w:rPr>
        <w:footnoteReference w:id="3"/>
      </w:r>
      <w:r w:rsidRPr="009A59D5">
        <w:t xml:space="preserve"> and SFTs held in the banking and trading books in applying the counterparty credit risk requirements set out in this Prudential Standard.</w:t>
      </w:r>
    </w:p>
    <w:p w14:paraId="700E3282" w14:textId="0408D7E4" w:rsidR="0027754F" w:rsidRPr="009A59D5" w:rsidRDefault="00C06078" w:rsidP="0027754F">
      <w:pPr>
        <w:pStyle w:val="BodyText1"/>
      </w:pPr>
      <w:r w:rsidRPr="009A59D5">
        <w:t>A</w:t>
      </w:r>
      <w:r w:rsidR="0027754F" w:rsidRPr="009A59D5">
        <w:t>n ADI must apply the counterparty credit risk requirements:</w:t>
      </w:r>
    </w:p>
    <w:p w14:paraId="6BB49491" w14:textId="16D698E5" w:rsidR="0027754F" w:rsidRPr="009A59D5" w:rsidRDefault="0027754F" w:rsidP="007B3A61">
      <w:pPr>
        <w:pStyle w:val="BodyText2"/>
      </w:pPr>
      <w:r w:rsidRPr="009A59D5">
        <w:t xml:space="preserve">for all bilateral transactions, </w:t>
      </w:r>
      <w:r w:rsidR="00A838D9" w:rsidRPr="009A59D5">
        <w:t xml:space="preserve">as </w:t>
      </w:r>
      <w:r w:rsidRPr="009A59D5">
        <w:t>set out in Attachment A</w:t>
      </w:r>
      <w:r w:rsidR="00BB59E1" w:rsidRPr="009A59D5">
        <w:t xml:space="preserve"> of this Prudential </w:t>
      </w:r>
      <w:proofErr w:type="gramStart"/>
      <w:r w:rsidR="00BB59E1" w:rsidRPr="009A59D5">
        <w:t>Stan</w:t>
      </w:r>
      <w:r w:rsidR="0036738A" w:rsidRPr="009A59D5">
        <w:t>d</w:t>
      </w:r>
      <w:r w:rsidR="00BB59E1" w:rsidRPr="009A59D5">
        <w:t>ard</w:t>
      </w:r>
      <w:r w:rsidRPr="009A59D5">
        <w:t>;</w:t>
      </w:r>
      <w:proofErr w:type="gramEnd"/>
    </w:p>
    <w:p w14:paraId="09B47BE2" w14:textId="21252B44" w:rsidR="0027754F" w:rsidRPr="009A59D5" w:rsidRDefault="0027754F" w:rsidP="007B3A61">
      <w:pPr>
        <w:pStyle w:val="BodyText2"/>
      </w:pPr>
      <w:r w:rsidRPr="009A59D5">
        <w:t>for all centrally cleared transactions, as set out in Attachment B</w:t>
      </w:r>
      <w:r w:rsidR="00BB59E1" w:rsidRPr="009A59D5">
        <w:t xml:space="preserve"> of this Prudential Standard</w:t>
      </w:r>
      <w:r w:rsidRPr="009A59D5">
        <w:t>; and</w:t>
      </w:r>
    </w:p>
    <w:p w14:paraId="0AC2A5BA" w14:textId="348894CE" w:rsidR="0038637A" w:rsidRPr="009A59D5" w:rsidRDefault="0027754F" w:rsidP="007B3A61">
      <w:pPr>
        <w:pStyle w:val="BodyText2"/>
      </w:pPr>
      <w:r w:rsidRPr="009A59D5">
        <w:t>for any default fund contribution to a QCCP, as set out in Attachment C</w:t>
      </w:r>
      <w:r w:rsidR="00BB59E1" w:rsidRPr="009A59D5">
        <w:t xml:space="preserve"> of this Prudential </w:t>
      </w:r>
      <w:proofErr w:type="gramStart"/>
      <w:r w:rsidR="00BB59E1" w:rsidRPr="009A59D5">
        <w:t>Standard</w:t>
      </w:r>
      <w:r w:rsidR="0038637A" w:rsidRPr="009A59D5">
        <w:t>;</w:t>
      </w:r>
      <w:proofErr w:type="gramEnd"/>
    </w:p>
    <w:p w14:paraId="674BB49B" w14:textId="41B438D9" w:rsidR="0038637A" w:rsidRPr="009A59D5" w:rsidRDefault="0038637A" w:rsidP="0038637A">
      <w:pPr>
        <w:pStyle w:val="BodyText2"/>
      </w:pPr>
      <w:r w:rsidRPr="009A59D5">
        <w:lastRenderedPageBreak/>
        <w:t xml:space="preserve">for an ADI with approval from APRA to use an </w:t>
      </w:r>
      <w:r w:rsidRPr="009A59D5">
        <w:rPr>
          <w:b/>
        </w:rPr>
        <w:t>internal ratings-based (IRB) approach to credit risk</w:t>
      </w:r>
      <w:r w:rsidRPr="009A59D5">
        <w:t xml:space="preserve"> (IRB ADI), the standardised approach for measuring counterparty credit risk exposures (SA-CCR) </w:t>
      </w:r>
      <w:r w:rsidR="00A838D9" w:rsidRPr="009A59D5">
        <w:t xml:space="preserve">as </w:t>
      </w:r>
      <w:r w:rsidR="004948D1" w:rsidRPr="009A59D5">
        <w:t xml:space="preserve">set out </w:t>
      </w:r>
      <w:r w:rsidRPr="009A59D5">
        <w:t>in Attachment D</w:t>
      </w:r>
      <w:r w:rsidR="00666B72" w:rsidRPr="009A59D5">
        <w:t xml:space="preserve"> of this Prudential Standard</w:t>
      </w:r>
      <w:r w:rsidRPr="009A59D5">
        <w:t xml:space="preserve"> to calculate its counterparty credit risk exposure amount; or</w:t>
      </w:r>
    </w:p>
    <w:p w14:paraId="62F67895" w14:textId="1799CABF" w:rsidR="00C30B83" w:rsidRDefault="0038637A" w:rsidP="0038637A">
      <w:pPr>
        <w:pStyle w:val="BodyText2"/>
      </w:pPr>
      <w:r w:rsidRPr="009A59D5">
        <w:t xml:space="preserve">for an ADI that does not have approval from APRA to use an IRB approach to credit risk (standardised ADI), the adjusted CEM </w:t>
      </w:r>
      <w:r w:rsidR="00A838D9" w:rsidRPr="009A59D5">
        <w:t xml:space="preserve">as </w:t>
      </w:r>
      <w:r w:rsidR="004948D1" w:rsidRPr="009A59D5">
        <w:t xml:space="preserve">set out </w:t>
      </w:r>
      <w:r w:rsidRPr="009A59D5">
        <w:t xml:space="preserve">in Attachment E </w:t>
      </w:r>
      <w:r w:rsidR="00666B72" w:rsidRPr="009A59D5">
        <w:t xml:space="preserve">of this Prudential Standard </w:t>
      </w:r>
      <w:r w:rsidRPr="009A59D5">
        <w:t>to calculate its counterparty credit risk exposure amount</w:t>
      </w:r>
      <w:r w:rsidR="00C30B83">
        <w:t>; and</w:t>
      </w:r>
    </w:p>
    <w:p w14:paraId="6C0154A8" w14:textId="02C2BFA0" w:rsidR="0027754F" w:rsidRPr="009A59D5" w:rsidRDefault="00C30B83" w:rsidP="0038637A">
      <w:pPr>
        <w:pStyle w:val="BodyText2"/>
      </w:pPr>
      <w:r>
        <w:t xml:space="preserve">for the purpose of calculating the Level 2 Regulatory Capital requirement for the </w:t>
      </w:r>
      <w:r w:rsidR="00DD4E82">
        <w:t xml:space="preserve">credit </w:t>
      </w:r>
      <w:r>
        <w:t xml:space="preserve">exposures </w:t>
      </w:r>
      <w:r w:rsidR="008C76F2">
        <w:t>of an overseas banking subsidiary that is prudentially regulated by a prescribed New Zealand authority, an ADI must calculate RWA using the prescribed New Zealand authority’s equivalent prudential rules as in force from time to time.</w:t>
      </w:r>
      <w:r w:rsidR="008C76F2" w:rsidRPr="008C76F2">
        <w:rPr>
          <w:rStyle w:val="FootnoteReference"/>
        </w:rPr>
        <w:t xml:space="preserve"> </w:t>
      </w:r>
      <w:r w:rsidR="008C76F2" w:rsidRPr="009A59D5">
        <w:rPr>
          <w:rStyle w:val="FootnoteReference"/>
        </w:rPr>
        <w:footnoteReference w:id="4"/>
      </w:r>
    </w:p>
    <w:p w14:paraId="3D6F0C87" w14:textId="32C87605" w:rsidR="006A4B94" w:rsidRPr="009A59D5" w:rsidRDefault="006A4B94" w:rsidP="006A4B94">
      <w:pPr>
        <w:pStyle w:val="BodyText1"/>
      </w:pPr>
      <w:r w:rsidRPr="009A59D5">
        <w:t>APRA may, upon request of a standardised ADI, approve the ADI to use the SA-CCR to calculate its counterparty credit risk exposure amount.</w:t>
      </w:r>
    </w:p>
    <w:p w14:paraId="4E024901" w14:textId="68407E84" w:rsidR="006A4B94" w:rsidRPr="009A59D5" w:rsidRDefault="006A4B94" w:rsidP="006A4B94">
      <w:pPr>
        <w:pStyle w:val="BodyText1"/>
      </w:pPr>
      <w:r w:rsidRPr="009A59D5">
        <w:t>APRA may require a standardised ADI to use the SA-CCR to calculate its counterparty credit risk exposure amount.</w:t>
      </w:r>
    </w:p>
    <w:p w14:paraId="0A199CC8" w14:textId="77777777" w:rsidR="0027754F" w:rsidRPr="009A59D5" w:rsidRDefault="0027754F" w:rsidP="0027754F">
      <w:pPr>
        <w:pStyle w:val="BodyText1"/>
      </w:pPr>
      <w:r w:rsidRPr="009A59D5">
        <w:t>The counterparty credit risk requirements comprise:</w:t>
      </w:r>
    </w:p>
    <w:p w14:paraId="72A82632" w14:textId="77777777" w:rsidR="0027754F" w:rsidRPr="009A59D5" w:rsidRDefault="0027754F" w:rsidP="00D10BB7">
      <w:pPr>
        <w:pStyle w:val="BodyText2"/>
      </w:pPr>
      <w:r w:rsidRPr="009A59D5">
        <w:t>the risk-weighted credit exposures for counterparty credit risk, calculated as the sum of any applicable:</w:t>
      </w:r>
    </w:p>
    <w:p w14:paraId="37CE3CC8" w14:textId="77777777" w:rsidR="0027754F" w:rsidRPr="009A59D5" w:rsidRDefault="0027754F" w:rsidP="00D10BB7">
      <w:pPr>
        <w:pStyle w:val="BodyText3"/>
      </w:pPr>
      <w:r w:rsidRPr="009A59D5">
        <w:t>risk-weighted credit exposures for counterparty credit default risk (‘default risk RWE’</w:t>
      </w:r>
      <w:proofErr w:type="gramStart"/>
      <w:r w:rsidRPr="009A59D5">
        <w:t>);</w:t>
      </w:r>
      <w:proofErr w:type="gramEnd"/>
    </w:p>
    <w:p w14:paraId="7DFE9ECB" w14:textId="5348B816" w:rsidR="0027754F" w:rsidRPr="009A59D5" w:rsidRDefault="0027754F" w:rsidP="00D10BB7">
      <w:pPr>
        <w:pStyle w:val="BodyText3"/>
      </w:pPr>
      <w:r w:rsidRPr="009A59D5">
        <w:t>risk-weighted credit exposures for counterparty credit default risk arising from trade exposure to a CCP (‘trade exposure RWE’); and</w:t>
      </w:r>
    </w:p>
    <w:p w14:paraId="2C1EBF4B" w14:textId="77777777" w:rsidR="0027754F" w:rsidRPr="009A59D5" w:rsidRDefault="0027754F" w:rsidP="00D10BB7">
      <w:pPr>
        <w:pStyle w:val="BodyText3"/>
      </w:pPr>
      <w:r w:rsidRPr="009A59D5">
        <w:t>risk-weighted credit exposure arising from a default fund contribution to a non-qualifying CCP (‘default fund RWE’</w:t>
      </w:r>
      <w:proofErr w:type="gramStart"/>
      <w:r w:rsidRPr="009A59D5">
        <w:t>);</w:t>
      </w:r>
      <w:proofErr w:type="gramEnd"/>
    </w:p>
    <w:p w14:paraId="329D694D" w14:textId="12453CE6" w:rsidR="0027754F" w:rsidRPr="009A59D5" w:rsidRDefault="0027754F" w:rsidP="00D10BB7">
      <w:pPr>
        <w:pStyle w:val="BodyText2"/>
      </w:pPr>
      <w:r w:rsidRPr="009A59D5">
        <w:t xml:space="preserve">any applicable </w:t>
      </w:r>
      <w:r w:rsidR="00AE24ED" w:rsidRPr="009A59D5">
        <w:t>credit valuation adjustment (</w:t>
      </w:r>
      <w:r w:rsidRPr="009A59D5">
        <w:t>CVA</w:t>
      </w:r>
      <w:r w:rsidR="00AE24ED" w:rsidRPr="009A59D5">
        <w:t>)</w:t>
      </w:r>
      <w:r w:rsidRPr="009A59D5">
        <w:t xml:space="preserve"> risk capital charge; and</w:t>
      </w:r>
    </w:p>
    <w:p w14:paraId="5BDD8CA2" w14:textId="77777777" w:rsidR="0027754F" w:rsidRPr="009A59D5" w:rsidRDefault="0027754F" w:rsidP="00D10BB7">
      <w:pPr>
        <w:pStyle w:val="BodyText2"/>
      </w:pPr>
      <w:r w:rsidRPr="009A59D5">
        <w:t>any applicable default fund capital charge for any default fund contribution to a QCCP.</w:t>
      </w:r>
    </w:p>
    <w:p w14:paraId="5D68FEA3" w14:textId="3859B760" w:rsidR="007B3A61" w:rsidRPr="009A59D5" w:rsidRDefault="007B3A61" w:rsidP="007B3A61">
      <w:pPr>
        <w:pStyle w:val="BodyText1"/>
      </w:pPr>
      <w:r w:rsidRPr="009A59D5">
        <w:t xml:space="preserve">For all centrally cleared transactions, an ADI must apply the risk management requirements in paragraphs </w:t>
      </w:r>
      <w:r w:rsidR="00701FCB" w:rsidRPr="009A59D5">
        <w:fldChar w:fldCharType="begin"/>
      </w:r>
      <w:r w:rsidR="00701FCB" w:rsidRPr="009A59D5">
        <w:instrText xml:space="preserve"> REF _Ref460258472 \r \h </w:instrText>
      </w:r>
      <w:r w:rsidR="00365041" w:rsidRPr="009A59D5">
        <w:instrText xml:space="preserve"> \* MERGEFORMAT </w:instrText>
      </w:r>
      <w:r w:rsidR="00701FCB" w:rsidRPr="009A59D5">
        <w:fldChar w:fldCharType="separate"/>
      </w:r>
      <w:r w:rsidR="00B401AE">
        <w:t>30</w:t>
      </w:r>
      <w:r w:rsidR="00701FCB" w:rsidRPr="009A59D5">
        <w:fldChar w:fldCharType="end"/>
      </w:r>
      <w:r w:rsidRPr="009A59D5">
        <w:t xml:space="preserve"> to </w:t>
      </w:r>
      <w:r w:rsidR="00B803EC" w:rsidRPr="009A59D5">
        <w:fldChar w:fldCharType="begin"/>
      </w:r>
      <w:r w:rsidR="00B803EC" w:rsidRPr="009A59D5">
        <w:instrText xml:space="preserve"> REF _Ref489457369 \r \h </w:instrText>
      </w:r>
      <w:r w:rsidR="009A59D5">
        <w:instrText xml:space="preserve"> \* MERGEFORMAT </w:instrText>
      </w:r>
      <w:r w:rsidR="00B803EC" w:rsidRPr="009A59D5">
        <w:fldChar w:fldCharType="separate"/>
      </w:r>
      <w:r w:rsidR="00B401AE">
        <w:t>39</w:t>
      </w:r>
      <w:r w:rsidR="00B803EC" w:rsidRPr="009A59D5">
        <w:fldChar w:fldCharType="end"/>
      </w:r>
      <w:r w:rsidRPr="009A59D5">
        <w:t xml:space="preserve"> of Attachment B.</w:t>
      </w:r>
    </w:p>
    <w:p w14:paraId="1FFDA09D" w14:textId="77777777" w:rsidR="00E83A76" w:rsidRPr="009A59D5" w:rsidRDefault="007B3A61" w:rsidP="007B3A61">
      <w:pPr>
        <w:pStyle w:val="Heading1"/>
      </w:pPr>
      <w:bookmarkStart w:id="48" w:name="_Toc487712212"/>
      <w:bookmarkStart w:id="49" w:name="_Toc488397513"/>
      <w:bookmarkStart w:id="50" w:name="_Toc507406387"/>
      <w:bookmarkStart w:id="51" w:name="_Toc507406455"/>
      <w:bookmarkStart w:id="52" w:name="_Toc511230076"/>
      <w:bookmarkStart w:id="53" w:name="_Toc511230295"/>
      <w:r w:rsidRPr="009A59D5">
        <w:t>Risk-weighting approach</w:t>
      </w:r>
      <w:bookmarkEnd w:id="48"/>
      <w:bookmarkEnd w:id="49"/>
      <w:bookmarkEnd w:id="50"/>
      <w:bookmarkEnd w:id="51"/>
      <w:bookmarkEnd w:id="52"/>
      <w:bookmarkEnd w:id="53"/>
    </w:p>
    <w:p w14:paraId="60076201" w14:textId="70CAB3F7" w:rsidR="007B3A61" w:rsidRPr="009A59D5" w:rsidRDefault="007B3A61" w:rsidP="007B3A61">
      <w:pPr>
        <w:pStyle w:val="BodyText1"/>
      </w:pPr>
      <w:r w:rsidRPr="009A59D5">
        <w:t xml:space="preserve">For the purposes of determining the risk-weighted credit exposures for counterparty credit risk, this paragraph must be read in conjunction with APS 112 </w:t>
      </w:r>
      <w:r w:rsidR="000C75D0" w:rsidRPr="009A59D5">
        <w:t>and</w:t>
      </w:r>
      <w:r w:rsidRPr="009A59D5">
        <w:t xml:space="preserve">, for an </w:t>
      </w:r>
      <w:r w:rsidR="000C75D0" w:rsidRPr="009A59D5">
        <w:t xml:space="preserve">IRB </w:t>
      </w:r>
      <w:r w:rsidRPr="009A59D5">
        <w:t xml:space="preserve">ADI, </w:t>
      </w:r>
      <w:r w:rsidRPr="009A59D5">
        <w:rPr>
          <w:i/>
        </w:rPr>
        <w:t xml:space="preserve">Prudential Standard APS 113 Capital Adequacy: Internal </w:t>
      </w:r>
      <w:r w:rsidRPr="009A59D5">
        <w:rPr>
          <w:i/>
        </w:rPr>
        <w:lastRenderedPageBreak/>
        <w:t>Ratings-based Approach to Credit Risk</w:t>
      </w:r>
      <w:r w:rsidRPr="009A59D5">
        <w:t xml:space="preserve"> (APS 113). Risk</w:t>
      </w:r>
      <w:r w:rsidR="00557D5E" w:rsidRPr="009A59D5">
        <w:t xml:space="preserve"> </w:t>
      </w:r>
      <w:r w:rsidRPr="009A59D5">
        <w:t>weights must be determined in the following manner:</w:t>
      </w:r>
    </w:p>
    <w:p w14:paraId="02D5E008" w14:textId="3A8FF5E6" w:rsidR="006A0335" w:rsidRPr="009A59D5" w:rsidRDefault="007B3A61" w:rsidP="00B62098">
      <w:pPr>
        <w:pStyle w:val="BodyText2"/>
      </w:pPr>
      <w:r w:rsidRPr="009A59D5">
        <w:t xml:space="preserve">an </w:t>
      </w:r>
      <w:r w:rsidR="00B62098" w:rsidRPr="009A59D5">
        <w:t xml:space="preserve">IRB </w:t>
      </w:r>
      <w:r w:rsidRPr="009A59D5">
        <w:t>ADI must</w:t>
      </w:r>
      <w:r w:rsidR="00926FD4" w:rsidRPr="009A59D5">
        <w:t xml:space="preserve"> determine the risk</w:t>
      </w:r>
      <w:r w:rsidR="00557D5E" w:rsidRPr="009A59D5">
        <w:t xml:space="preserve"> </w:t>
      </w:r>
      <w:r w:rsidR="00926FD4" w:rsidRPr="009A59D5">
        <w:t>weights for bilateral transactions in accordance with APS 113;</w:t>
      </w:r>
      <w:r w:rsidR="00926FD4" w:rsidRPr="009A59D5">
        <w:rPr>
          <w:rStyle w:val="FootnoteReference"/>
        </w:rPr>
        <w:footnoteReference w:id="5"/>
      </w:r>
    </w:p>
    <w:p w14:paraId="37EA683F" w14:textId="389A3364" w:rsidR="00097426" w:rsidRPr="009A59D5" w:rsidRDefault="00097426" w:rsidP="00097426">
      <w:pPr>
        <w:pStyle w:val="BodyText2"/>
      </w:pPr>
      <w:r w:rsidRPr="009A59D5">
        <w:t>a standardised ADI must determine the risk</w:t>
      </w:r>
      <w:r w:rsidR="00557D5E" w:rsidRPr="009A59D5">
        <w:t xml:space="preserve"> </w:t>
      </w:r>
      <w:r w:rsidRPr="009A59D5">
        <w:t xml:space="preserve">weights for bilateral transactions in accordance with APS </w:t>
      </w:r>
      <w:proofErr w:type="gramStart"/>
      <w:r w:rsidRPr="009A59D5">
        <w:t>112;</w:t>
      </w:r>
      <w:proofErr w:type="gramEnd"/>
    </w:p>
    <w:p w14:paraId="7CD0AC6F" w14:textId="54740374" w:rsidR="007B3A61" w:rsidRPr="009A59D5" w:rsidRDefault="007B3A61" w:rsidP="007B3A61">
      <w:pPr>
        <w:pStyle w:val="BodyText2"/>
      </w:pPr>
      <w:r w:rsidRPr="009A59D5">
        <w:t>an ADI must determine the risk</w:t>
      </w:r>
      <w:r w:rsidR="00557D5E" w:rsidRPr="009A59D5">
        <w:t xml:space="preserve"> </w:t>
      </w:r>
      <w:r w:rsidRPr="009A59D5">
        <w:t xml:space="preserve">weights for trade exposures with a CCP </w:t>
      </w:r>
      <w:r w:rsidR="00241638" w:rsidRPr="009A59D5">
        <w:t>in accordance with</w:t>
      </w:r>
      <w:r w:rsidRPr="009A59D5">
        <w:t xml:space="preserve"> Attachment B of this Prudential Standard</w:t>
      </w:r>
      <w:r w:rsidR="001F4D10" w:rsidRPr="009A59D5">
        <w:t>.</w:t>
      </w:r>
      <w:r w:rsidRPr="009A59D5">
        <w:t>; and</w:t>
      </w:r>
    </w:p>
    <w:p w14:paraId="6C74098B" w14:textId="3E6D7EAD" w:rsidR="007B3A61" w:rsidRPr="009A59D5" w:rsidRDefault="007B3A61" w:rsidP="007B3A61">
      <w:pPr>
        <w:pStyle w:val="BodyText2"/>
      </w:pPr>
      <w:r w:rsidRPr="009A59D5">
        <w:t>an ADI must determine the risk</w:t>
      </w:r>
      <w:r w:rsidR="00557D5E" w:rsidRPr="009A59D5">
        <w:t xml:space="preserve"> </w:t>
      </w:r>
      <w:r w:rsidRPr="009A59D5">
        <w:t xml:space="preserve">weights for default fund exposures with a non-qualifying CCP </w:t>
      </w:r>
      <w:r w:rsidR="00241638" w:rsidRPr="009A59D5">
        <w:t xml:space="preserve">in accordance with </w:t>
      </w:r>
      <w:r w:rsidRPr="009A59D5">
        <w:t>Attachment B of this Prudential Standard</w:t>
      </w:r>
      <w:r w:rsidR="001F4D10" w:rsidRPr="009A59D5">
        <w:t>.</w:t>
      </w:r>
    </w:p>
    <w:p w14:paraId="3A9F1700" w14:textId="6A48BE67" w:rsidR="007B3A61" w:rsidRPr="009A59D5" w:rsidRDefault="007B3A61" w:rsidP="007B3A61">
      <w:pPr>
        <w:pStyle w:val="BodyText1"/>
      </w:pPr>
      <w:r w:rsidRPr="009A59D5">
        <w:t>APRA may determine a higher or lower risk</w:t>
      </w:r>
      <w:r w:rsidR="00557D5E" w:rsidRPr="009A59D5">
        <w:t xml:space="preserve"> </w:t>
      </w:r>
      <w:r w:rsidRPr="009A59D5">
        <w:t>weight for a particular exposure of an ADI where APRA considers that the ADI has not risk</w:t>
      </w:r>
      <w:r w:rsidR="00557D5E" w:rsidRPr="009A59D5">
        <w:t xml:space="preserve"> </w:t>
      </w:r>
      <w:r w:rsidRPr="009A59D5">
        <w:t>weighted the exposure appropriately.</w:t>
      </w:r>
    </w:p>
    <w:p w14:paraId="04423E6F" w14:textId="77777777" w:rsidR="007B3A61" w:rsidRPr="009A59D5" w:rsidRDefault="007B3A61" w:rsidP="007B3A61">
      <w:pPr>
        <w:pStyle w:val="Heading1"/>
      </w:pPr>
      <w:bookmarkStart w:id="54" w:name="_Toc487712213"/>
      <w:bookmarkStart w:id="55" w:name="_Toc488397514"/>
      <w:bookmarkStart w:id="56" w:name="_Toc507406388"/>
      <w:bookmarkStart w:id="57" w:name="_Toc507406456"/>
      <w:bookmarkStart w:id="58" w:name="_Toc511230077"/>
      <w:bookmarkStart w:id="59" w:name="_Toc511230296"/>
      <w:r w:rsidRPr="009A59D5">
        <w:t>Historical rate rollovers</w:t>
      </w:r>
      <w:bookmarkEnd w:id="54"/>
      <w:bookmarkEnd w:id="55"/>
      <w:bookmarkEnd w:id="56"/>
      <w:bookmarkEnd w:id="57"/>
      <w:bookmarkEnd w:id="58"/>
      <w:bookmarkEnd w:id="59"/>
    </w:p>
    <w:p w14:paraId="7C61DD38" w14:textId="77777777" w:rsidR="007B3A61" w:rsidRPr="009A59D5" w:rsidRDefault="007B3A61" w:rsidP="007B3A61">
      <w:pPr>
        <w:pStyle w:val="BodyText1"/>
      </w:pPr>
      <w:r w:rsidRPr="009A59D5">
        <w:t xml:space="preserve">An ADI must not </w:t>
      </w:r>
      <w:proofErr w:type="gramStart"/>
      <w:r w:rsidRPr="009A59D5">
        <w:t>enter into</w:t>
      </w:r>
      <w:proofErr w:type="gramEnd"/>
      <w:r w:rsidRPr="009A59D5">
        <w:t xml:space="preserve"> market-related contracts at off-market prices other than historical rate rollovers on foreign exchange contracts. An ADI must have a policy framework in place agreed to by APRA that sets out its systems and controls for approving and monitoring these rollovers and adequately restricts the ADI’s capacity to </w:t>
      </w:r>
      <w:proofErr w:type="gramStart"/>
      <w:r w:rsidRPr="009A59D5">
        <w:t>enter into</w:t>
      </w:r>
      <w:proofErr w:type="gramEnd"/>
      <w:r w:rsidRPr="009A59D5">
        <w:t xml:space="preserve"> such contracts. Transactions outside of the agreed framework must be discussed with APRA to determine their appropriate treatment.</w:t>
      </w:r>
    </w:p>
    <w:p w14:paraId="5170B6B0" w14:textId="77777777" w:rsidR="007B3A61" w:rsidRPr="009A59D5" w:rsidRDefault="007B3A61" w:rsidP="007B3A61">
      <w:pPr>
        <w:pStyle w:val="Heading1"/>
      </w:pPr>
      <w:bookmarkStart w:id="60" w:name="_Toc487712214"/>
      <w:bookmarkStart w:id="61" w:name="_Toc488397515"/>
      <w:bookmarkStart w:id="62" w:name="_Toc507406389"/>
      <w:bookmarkStart w:id="63" w:name="_Toc507406457"/>
      <w:bookmarkStart w:id="64" w:name="_Toc511230078"/>
      <w:bookmarkStart w:id="65" w:name="_Toc511230297"/>
      <w:r w:rsidRPr="009A59D5">
        <w:t>Adjustments and exclusions</w:t>
      </w:r>
      <w:bookmarkEnd w:id="60"/>
      <w:bookmarkEnd w:id="61"/>
      <w:bookmarkEnd w:id="62"/>
      <w:bookmarkEnd w:id="63"/>
      <w:bookmarkEnd w:id="64"/>
      <w:bookmarkEnd w:id="65"/>
    </w:p>
    <w:p w14:paraId="6C1D55D3" w14:textId="3ED50DFA" w:rsidR="007B3A61" w:rsidRPr="009A59D5" w:rsidRDefault="007B3A61" w:rsidP="007B3A61">
      <w:pPr>
        <w:pStyle w:val="BodyText1"/>
      </w:pPr>
      <w:r w:rsidRPr="009A59D5">
        <w:t>APRA may adjust or exclude a specific prudential requirement in this Prudential Standard in relation to one or more specified ADIs or authorised NOHCs.</w:t>
      </w:r>
      <w:r w:rsidRPr="009A59D5">
        <w:rPr>
          <w:rStyle w:val="FootnoteReference"/>
        </w:rPr>
        <w:footnoteReference w:id="6"/>
      </w:r>
    </w:p>
    <w:p w14:paraId="4F344360" w14:textId="75ED4C66" w:rsidR="002473F4" w:rsidRPr="009A59D5" w:rsidRDefault="002473F4" w:rsidP="002473F4">
      <w:pPr>
        <w:pStyle w:val="Heading1"/>
      </w:pPr>
      <w:bookmarkStart w:id="66" w:name="_Toc507406390"/>
      <w:bookmarkStart w:id="67" w:name="_Toc507406458"/>
      <w:bookmarkStart w:id="68" w:name="_Toc511230079"/>
      <w:bookmarkStart w:id="69" w:name="_Toc511230298"/>
      <w:r w:rsidRPr="009A59D5">
        <w:t>Previous exercise of discretion</w:t>
      </w:r>
      <w:bookmarkEnd w:id="66"/>
      <w:bookmarkEnd w:id="67"/>
      <w:bookmarkEnd w:id="68"/>
      <w:bookmarkEnd w:id="69"/>
    </w:p>
    <w:p w14:paraId="22E3F61A" w14:textId="7E8DD163" w:rsidR="002473F4" w:rsidRPr="009A59D5" w:rsidRDefault="002473F4" w:rsidP="007B3A61">
      <w:pPr>
        <w:pStyle w:val="BodyText1"/>
      </w:pPr>
      <w:r w:rsidRPr="009A59D5">
        <w:t xml:space="preserve">An ADI must contact APRA if it seeks to place reliance, for the purposes of complying with this Prudential Standard, on a previous exemption or other exercise of discretion by APRA under </w:t>
      </w:r>
      <w:r w:rsidR="00D86BAB">
        <w:t xml:space="preserve">a previous version of this Prudential Standard or </w:t>
      </w:r>
      <w:r w:rsidR="001C714B" w:rsidRPr="009A59D5">
        <w:t>APS</w:t>
      </w:r>
      <w:r w:rsidR="004B0618" w:rsidRPr="009A59D5">
        <w:t xml:space="preserve"> 112</w:t>
      </w:r>
      <w:r w:rsidRPr="009A59D5">
        <w:t>.</w:t>
      </w:r>
    </w:p>
    <w:p w14:paraId="0FFEA1F7" w14:textId="77777777" w:rsidR="0038413F" w:rsidRPr="009A59D5" w:rsidRDefault="0038413F" w:rsidP="006C06E6"/>
    <w:p w14:paraId="36984537" w14:textId="77777777" w:rsidR="0038413F" w:rsidRPr="009A59D5" w:rsidRDefault="0038413F" w:rsidP="0038413F">
      <w:pPr>
        <w:pStyle w:val="BodyText1"/>
        <w:numPr>
          <w:ilvl w:val="0"/>
          <w:numId w:val="0"/>
        </w:numPr>
        <w:sectPr w:rsidR="0038413F" w:rsidRPr="009A59D5" w:rsidSect="000D63A8">
          <w:pgSz w:w="11906" w:h="16838" w:code="9"/>
          <w:pgMar w:top="1440" w:right="1797" w:bottom="1440" w:left="1797" w:header="709" w:footer="709" w:gutter="0"/>
          <w:cols w:space="708"/>
          <w:docGrid w:linePitch="360"/>
        </w:sectPr>
      </w:pPr>
    </w:p>
    <w:p w14:paraId="0AA42993" w14:textId="633CC2A0" w:rsidR="0038413F" w:rsidRPr="009A59D5" w:rsidRDefault="00E16DD9" w:rsidP="008B619D">
      <w:pPr>
        <w:pStyle w:val="Heading2"/>
      </w:pPr>
      <w:bookmarkStart w:id="70" w:name="_Toc487712215"/>
      <w:bookmarkStart w:id="71" w:name="_Toc488397516"/>
      <w:bookmarkStart w:id="72" w:name="_Toc507406391"/>
      <w:bookmarkStart w:id="73" w:name="_Toc511230080"/>
      <w:bookmarkStart w:id="74" w:name="_Toc511230299"/>
      <w:r w:rsidRPr="009A59D5">
        <w:lastRenderedPageBreak/>
        <w:t xml:space="preserve">Attachment </w:t>
      </w:r>
      <w:r w:rsidR="00C91728" w:rsidRPr="009A59D5">
        <w:t xml:space="preserve">A </w:t>
      </w:r>
      <w:r w:rsidR="00047F3D" w:rsidRPr="009A59D5">
        <w:rPr>
          <w:rStyle w:val="Attachmentfieldtext"/>
        </w:rPr>
        <w:t>—</w:t>
      </w:r>
      <w:r w:rsidR="001F6B8D" w:rsidRPr="009A59D5">
        <w:t xml:space="preserve"> </w:t>
      </w:r>
      <w:bookmarkEnd w:id="70"/>
      <w:bookmarkEnd w:id="71"/>
      <w:r w:rsidR="004B173D" w:rsidRPr="009A59D5">
        <w:t>Counterparty credit risk requirements for bilateral transactions</w:t>
      </w:r>
      <w:bookmarkEnd w:id="72"/>
      <w:bookmarkEnd w:id="73"/>
      <w:bookmarkEnd w:id="74"/>
    </w:p>
    <w:p w14:paraId="4049C6AA" w14:textId="77777777" w:rsidR="00BB23D3" w:rsidRPr="009A59D5" w:rsidRDefault="00BB23D3" w:rsidP="00BB23D3">
      <w:pPr>
        <w:pStyle w:val="BodyText1"/>
        <w:numPr>
          <w:ilvl w:val="0"/>
          <w:numId w:val="20"/>
        </w:numPr>
      </w:pPr>
      <w:r w:rsidRPr="009A59D5">
        <w:t>This Attachment applies to OTC derivative transactions, SFTs and long settlement transactions that are not centrally cleared. For the purposes of this Attachment, a long settlement transaction must be treated as an OTC derivative transaction.</w:t>
      </w:r>
    </w:p>
    <w:p w14:paraId="695739BA" w14:textId="4FBF9ABE" w:rsidR="00BB23D3" w:rsidRPr="009A59D5" w:rsidRDefault="00BB23D3" w:rsidP="00BB23D3">
      <w:pPr>
        <w:pStyle w:val="BodyText1"/>
        <w:numPr>
          <w:ilvl w:val="0"/>
          <w:numId w:val="20"/>
        </w:numPr>
      </w:pPr>
      <w:r w:rsidRPr="009A59D5">
        <w:t>This Attachment also applies to centrally cleared t</w:t>
      </w:r>
      <w:r w:rsidR="00D851A2" w:rsidRPr="009A59D5">
        <w:t>ransactions, including exchange-</w:t>
      </w:r>
      <w:r w:rsidRPr="009A59D5">
        <w:t xml:space="preserve">traded derivative </w:t>
      </w:r>
      <w:r w:rsidR="009761F8" w:rsidRPr="009A59D5">
        <w:t>transactions, which</w:t>
      </w:r>
      <w:r w:rsidRPr="009A59D5">
        <w:t xml:space="preserve"> are required to be treated as bilateral transactions under Attachment B.</w:t>
      </w:r>
    </w:p>
    <w:p w14:paraId="524E89D5" w14:textId="02F4F47C" w:rsidR="00BB23D3" w:rsidRPr="009A59D5" w:rsidRDefault="00BB23D3" w:rsidP="00BB23D3">
      <w:pPr>
        <w:pStyle w:val="BodyText1"/>
        <w:numPr>
          <w:ilvl w:val="0"/>
          <w:numId w:val="20"/>
        </w:numPr>
      </w:pPr>
      <w:r w:rsidRPr="009A59D5">
        <w:t>For bilateral OTC derivative transactions, an ADI must calculate each of the following counterparty credit risk requirements:</w:t>
      </w:r>
    </w:p>
    <w:p w14:paraId="2A0A947C" w14:textId="7D3F37FF" w:rsidR="00BB23D3" w:rsidRPr="009A59D5" w:rsidRDefault="00BB23D3" w:rsidP="00BB23D3">
      <w:pPr>
        <w:pStyle w:val="BodyText2"/>
      </w:pPr>
      <w:r w:rsidRPr="009A59D5">
        <w:t xml:space="preserve">default risk RWE, which reflects the potential loss arising from a default of a counterparty (refer to paragraphs </w:t>
      </w:r>
      <w:r w:rsidR="00701FCB" w:rsidRPr="009A59D5">
        <w:fldChar w:fldCharType="begin"/>
      </w:r>
      <w:r w:rsidR="00701FCB" w:rsidRPr="009A59D5">
        <w:instrText xml:space="preserve"> REF _Ref460258558 \r \h </w:instrText>
      </w:r>
      <w:r w:rsidR="00365041" w:rsidRPr="009A59D5">
        <w:instrText xml:space="preserve"> \* MERGEFORMAT </w:instrText>
      </w:r>
      <w:r w:rsidR="00701FCB" w:rsidRPr="009A59D5">
        <w:fldChar w:fldCharType="separate"/>
      </w:r>
      <w:r w:rsidR="00B401AE">
        <w:t>6</w:t>
      </w:r>
      <w:r w:rsidR="00701FCB" w:rsidRPr="009A59D5">
        <w:fldChar w:fldCharType="end"/>
      </w:r>
      <w:r w:rsidRPr="009A59D5">
        <w:t xml:space="preserve"> to </w:t>
      </w:r>
      <w:r w:rsidR="00701FCB" w:rsidRPr="009A59D5">
        <w:fldChar w:fldCharType="begin"/>
      </w:r>
      <w:r w:rsidR="00701FCB" w:rsidRPr="009A59D5">
        <w:instrText xml:space="preserve"> REF _Ref460258565 \r \h </w:instrText>
      </w:r>
      <w:r w:rsidR="00365041" w:rsidRPr="009A59D5">
        <w:instrText xml:space="preserve"> \* MERGEFORMAT </w:instrText>
      </w:r>
      <w:r w:rsidR="00701FCB" w:rsidRPr="009A59D5">
        <w:fldChar w:fldCharType="separate"/>
      </w:r>
      <w:r w:rsidR="00B401AE">
        <w:t>12</w:t>
      </w:r>
      <w:r w:rsidR="00701FCB" w:rsidRPr="009A59D5">
        <w:fldChar w:fldCharType="end"/>
      </w:r>
      <w:r w:rsidRPr="009A59D5">
        <w:t xml:space="preserve"> of this Attachment); and</w:t>
      </w:r>
    </w:p>
    <w:p w14:paraId="72EF264C" w14:textId="7D2366BF" w:rsidR="00BB23D3" w:rsidRPr="009A59D5" w:rsidRDefault="00BB23D3" w:rsidP="00BB23D3">
      <w:pPr>
        <w:pStyle w:val="BodyText2"/>
      </w:pPr>
      <w:r w:rsidRPr="009A59D5">
        <w:t xml:space="preserve">a CVA risk capital charge, which accounts for mark-to-market losses arising from a deterioration in a counterparty’s credit quality (refer to paragraphs </w:t>
      </w:r>
      <w:r w:rsidR="00701FCB" w:rsidRPr="009A59D5">
        <w:fldChar w:fldCharType="begin"/>
      </w:r>
      <w:r w:rsidR="00701FCB" w:rsidRPr="009A59D5">
        <w:instrText xml:space="preserve"> REF _Ref460258572 \r \h </w:instrText>
      </w:r>
      <w:r w:rsidR="00365041" w:rsidRPr="009A59D5">
        <w:instrText xml:space="preserve"> \* MERGEFORMAT </w:instrText>
      </w:r>
      <w:r w:rsidR="00701FCB" w:rsidRPr="009A59D5">
        <w:fldChar w:fldCharType="separate"/>
      </w:r>
      <w:r w:rsidR="00B401AE">
        <w:t>13</w:t>
      </w:r>
      <w:r w:rsidR="00701FCB" w:rsidRPr="009A59D5">
        <w:fldChar w:fldCharType="end"/>
      </w:r>
      <w:r w:rsidRPr="009A59D5">
        <w:t xml:space="preserve"> to </w:t>
      </w:r>
      <w:r w:rsidR="00701FCB" w:rsidRPr="009A59D5">
        <w:fldChar w:fldCharType="begin"/>
      </w:r>
      <w:r w:rsidR="00701FCB" w:rsidRPr="009A59D5">
        <w:instrText xml:space="preserve"> REF _Ref460258583 \r \h </w:instrText>
      </w:r>
      <w:r w:rsidR="00365041" w:rsidRPr="009A59D5">
        <w:instrText xml:space="preserve"> \* MERGEFORMAT </w:instrText>
      </w:r>
      <w:r w:rsidR="00701FCB" w:rsidRPr="009A59D5">
        <w:fldChar w:fldCharType="separate"/>
      </w:r>
      <w:r w:rsidR="00B401AE">
        <w:t>20</w:t>
      </w:r>
      <w:r w:rsidR="00701FCB" w:rsidRPr="009A59D5">
        <w:fldChar w:fldCharType="end"/>
      </w:r>
      <w:r w:rsidRPr="009A59D5">
        <w:t xml:space="preserve"> of this Attachment).</w:t>
      </w:r>
    </w:p>
    <w:p w14:paraId="5B9D15DD" w14:textId="361C3023" w:rsidR="00BB23D3" w:rsidRPr="009A59D5" w:rsidRDefault="00BB23D3" w:rsidP="00BB23D3">
      <w:pPr>
        <w:pStyle w:val="BodyText1"/>
        <w:numPr>
          <w:ilvl w:val="0"/>
          <w:numId w:val="20"/>
        </w:numPr>
      </w:pPr>
      <w:bookmarkStart w:id="75" w:name="_Ref460259339"/>
      <w:r w:rsidRPr="009A59D5">
        <w:t xml:space="preserve">For bilateral SFTs, an ADI must calculate default risk RWE. To determine default risk RWE for SFTs, an ADI must calculate </w:t>
      </w:r>
      <w:r w:rsidR="007A77C6" w:rsidRPr="009A59D5">
        <w:t xml:space="preserve">the </w:t>
      </w:r>
      <w:r w:rsidRPr="009A59D5">
        <w:t>counterparty credit risk exposure amount according to APS 112</w:t>
      </w:r>
      <w:r w:rsidRPr="009A59D5">
        <w:rPr>
          <w:rStyle w:val="FootnoteReference"/>
        </w:rPr>
        <w:footnoteReference w:id="7"/>
      </w:r>
      <w:r w:rsidRPr="009A59D5">
        <w:t xml:space="preserve"> and apply the applicable risk</w:t>
      </w:r>
      <w:r w:rsidR="00557D5E" w:rsidRPr="009A59D5">
        <w:t xml:space="preserve"> </w:t>
      </w:r>
      <w:r w:rsidRPr="009A59D5">
        <w:t>weight according to the requirements of APS 112</w:t>
      </w:r>
      <w:r w:rsidR="00A4138F" w:rsidRPr="009A59D5">
        <w:t>,</w:t>
      </w:r>
      <w:r w:rsidRPr="009A59D5">
        <w:t xml:space="preserve"> or for an </w:t>
      </w:r>
      <w:r w:rsidR="007A77C6" w:rsidRPr="009A59D5">
        <w:t xml:space="preserve">IRB </w:t>
      </w:r>
      <w:r w:rsidRPr="009A59D5">
        <w:t>ADI, according to the requirements of APS 113.</w:t>
      </w:r>
      <w:bookmarkEnd w:id="75"/>
    </w:p>
    <w:p w14:paraId="345C9AA0" w14:textId="6582F106" w:rsidR="00BB23D3" w:rsidRPr="009A59D5" w:rsidRDefault="00BB23D3" w:rsidP="00BB23D3">
      <w:pPr>
        <w:pStyle w:val="BodyText1"/>
        <w:numPr>
          <w:ilvl w:val="0"/>
          <w:numId w:val="20"/>
        </w:numPr>
      </w:pPr>
      <w:r w:rsidRPr="009A59D5">
        <w:t>Bilateral SFTs are not subject to a CVA risk capital charge unless APRA has determined that an ADI’s CVA loss exposure arising from SFTs is material and notified the ADI that it must calculate a CVA risk capital charge accordi</w:t>
      </w:r>
      <w:r w:rsidR="00701FCB" w:rsidRPr="009A59D5">
        <w:t xml:space="preserve">ng to paragraphs </w:t>
      </w:r>
      <w:r w:rsidR="00701FCB" w:rsidRPr="009A59D5">
        <w:fldChar w:fldCharType="begin"/>
      </w:r>
      <w:r w:rsidR="00701FCB" w:rsidRPr="009A59D5">
        <w:instrText xml:space="preserve"> REF _Ref460258572 \r \h </w:instrText>
      </w:r>
      <w:r w:rsidR="00365041" w:rsidRPr="009A59D5">
        <w:instrText xml:space="preserve"> \* MERGEFORMAT </w:instrText>
      </w:r>
      <w:r w:rsidR="00701FCB" w:rsidRPr="009A59D5">
        <w:fldChar w:fldCharType="separate"/>
      </w:r>
      <w:r w:rsidR="00B401AE">
        <w:t>13</w:t>
      </w:r>
      <w:r w:rsidR="00701FCB" w:rsidRPr="009A59D5">
        <w:fldChar w:fldCharType="end"/>
      </w:r>
      <w:r w:rsidRPr="009A59D5">
        <w:t xml:space="preserve"> to </w:t>
      </w:r>
      <w:r w:rsidR="00701FCB" w:rsidRPr="009A59D5">
        <w:fldChar w:fldCharType="begin"/>
      </w:r>
      <w:r w:rsidR="00701FCB" w:rsidRPr="009A59D5">
        <w:instrText xml:space="preserve"> REF _Ref460258583 \r \h </w:instrText>
      </w:r>
      <w:r w:rsidR="00365041" w:rsidRPr="009A59D5">
        <w:instrText xml:space="preserve"> \* MERGEFORMAT </w:instrText>
      </w:r>
      <w:r w:rsidR="00701FCB" w:rsidRPr="009A59D5">
        <w:fldChar w:fldCharType="separate"/>
      </w:r>
      <w:r w:rsidR="00B401AE">
        <w:t>20</w:t>
      </w:r>
      <w:r w:rsidR="00701FCB" w:rsidRPr="009A59D5">
        <w:fldChar w:fldCharType="end"/>
      </w:r>
      <w:r w:rsidRPr="009A59D5">
        <w:t xml:space="preserve"> of this Attachment.</w:t>
      </w:r>
    </w:p>
    <w:p w14:paraId="5FA4AFB5" w14:textId="77777777" w:rsidR="00BB23D3" w:rsidRPr="009A59D5" w:rsidRDefault="00BB23D3" w:rsidP="00405B60">
      <w:pPr>
        <w:pStyle w:val="AttachmentSubheading"/>
      </w:pPr>
      <w:bookmarkStart w:id="76" w:name="_Toc460331426"/>
      <w:bookmarkStart w:id="77" w:name="_Toc461692089"/>
      <w:bookmarkStart w:id="78" w:name="_Toc487712216"/>
      <w:bookmarkStart w:id="79" w:name="_Toc488397517"/>
      <w:bookmarkStart w:id="80" w:name="_Toc488398077"/>
      <w:bookmarkStart w:id="81" w:name="_Toc489463914"/>
      <w:bookmarkStart w:id="82" w:name="_Toc507406207"/>
      <w:bookmarkStart w:id="83" w:name="_Toc507406279"/>
      <w:bookmarkStart w:id="84" w:name="_Toc507406392"/>
      <w:bookmarkStart w:id="85" w:name="_Toc507406459"/>
      <w:bookmarkStart w:id="86" w:name="_Toc507406565"/>
      <w:r w:rsidRPr="009A59D5">
        <w:t>Default risk RWE for OTC derivative transactions</w:t>
      </w:r>
      <w:bookmarkEnd w:id="76"/>
      <w:bookmarkEnd w:id="77"/>
      <w:bookmarkEnd w:id="78"/>
      <w:bookmarkEnd w:id="79"/>
      <w:bookmarkEnd w:id="80"/>
      <w:bookmarkEnd w:id="81"/>
      <w:bookmarkEnd w:id="82"/>
      <w:bookmarkEnd w:id="83"/>
      <w:bookmarkEnd w:id="84"/>
      <w:bookmarkEnd w:id="85"/>
      <w:bookmarkEnd w:id="86"/>
    </w:p>
    <w:p w14:paraId="4BF5ACD0" w14:textId="7F0B60FB" w:rsidR="00BB23D3" w:rsidRPr="009A59D5" w:rsidRDefault="00BB23D3" w:rsidP="00BB23D3">
      <w:pPr>
        <w:pStyle w:val="BodyText1"/>
        <w:numPr>
          <w:ilvl w:val="0"/>
          <w:numId w:val="20"/>
        </w:numPr>
      </w:pPr>
      <w:bookmarkStart w:id="87" w:name="_Ref460258558"/>
      <w:r w:rsidRPr="009A59D5">
        <w:t>To determine default risk RWE for OTC derivative transactions, an ADI must calculate a counterparty credit risk exposure amount and apply the relevant risk</w:t>
      </w:r>
      <w:r w:rsidR="00557D5E" w:rsidRPr="009A59D5">
        <w:t xml:space="preserve"> </w:t>
      </w:r>
      <w:r w:rsidRPr="009A59D5">
        <w:t>weigh</w:t>
      </w:r>
      <w:r w:rsidR="00701FCB" w:rsidRPr="009A59D5">
        <w:t xml:space="preserve">t in accordance with paragraph </w:t>
      </w:r>
      <w:r w:rsidR="00701FCB" w:rsidRPr="009A59D5">
        <w:fldChar w:fldCharType="begin"/>
      </w:r>
      <w:r w:rsidR="00701FCB" w:rsidRPr="009A59D5">
        <w:instrText xml:space="preserve"> REF _Ref460258565 \r \h </w:instrText>
      </w:r>
      <w:r w:rsidR="00365041" w:rsidRPr="009A59D5">
        <w:instrText xml:space="preserve"> \* MERGEFORMAT </w:instrText>
      </w:r>
      <w:r w:rsidR="00701FCB" w:rsidRPr="009A59D5">
        <w:fldChar w:fldCharType="separate"/>
      </w:r>
      <w:r w:rsidR="00B401AE">
        <w:t>12</w:t>
      </w:r>
      <w:r w:rsidR="00701FCB" w:rsidRPr="009A59D5">
        <w:fldChar w:fldCharType="end"/>
      </w:r>
      <w:r w:rsidRPr="009A59D5">
        <w:t xml:space="preserve"> of this Attachment.</w:t>
      </w:r>
      <w:bookmarkEnd w:id="87"/>
    </w:p>
    <w:p w14:paraId="51CC43EC" w14:textId="77777777" w:rsidR="00196496" w:rsidRPr="009A59D5" w:rsidRDefault="00BB23D3" w:rsidP="00BB23D3">
      <w:pPr>
        <w:pStyle w:val="BodyText1"/>
        <w:numPr>
          <w:ilvl w:val="0"/>
          <w:numId w:val="20"/>
        </w:numPr>
      </w:pPr>
      <w:r w:rsidRPr="009A59D5">
        <w:t>The counterparty credit risk exposure amount is</w:t>
      </w:r>
      <w:r w:rsidR="00196496" w:rsidRPr="009A59D5">
        <w:t>:</w:t>
      </w:r>
    </w:p>
    <w:p w14:paraId="40278467" w14:textId="705C6798" w:rsidR="00D5623D" w:rsidRPr="009A59D5" w:rsidRDefault="00D5623D" w:rsidP="00D5623D">
      <w:pPr>
        <w:pStyle w:val="BodyText2"/>
      </w:pPr>
      <w:r w:rsidRPr="009A59D5">
        <w:t>for an IRB ADI, the exposure at default (EAD) calculated according to the SA-CCR</w:t>
      </w:r>
      <w:r w:rsidR="00BE02A3" w:rsidRPr="009A59D5">
        <w:t>; or</w:t>
      </w:r>
    </w:p>
    <w:p w14:paraId="384B0615" w14:textId="36B1D802" w:rsidR="00ED78EF" w:rsidRPr="009A59D5" w:rsidRDefault="00196496" w:rsidP="00ED5796">
      <w:pPr>
        <w:pStyle w:val="BodyText2"/>
      </w:pPr>
      <w:r w:rsidRPr="009A59D5">
        <w:lastRenderedPageBreak/>
        <w:t>f</w:t>
      </w:r>
      <w:r w:rsidR="00BB23D3" w:rsidRPr="009A59D5">
        <w:t>or a</w:t>
      </w:r>
      <w:r w:rsidR="002E0404" w:rsidRPr="009A59D5">
        <w:t xml:space="preserve"> standardised</w:t>
      </w:r>
      <w:r w:rsidR="00BB23D3" w:rsidRPr="009A59D5">
        <w:t xml:space="preserve"> AD</w:t>
      </w:r>
      <w:r w:rsidR="00701FCB" w:rsidRPr="009A59D5">
        <w:t>I</w:t>
      </w:r>
      <w:r w:rsidR="00305F67" w:rsidRPr="009A59D5">
        <w:t>,</w:t>
      </w:r>
      <w:r w:rsidR="00BB23D3" w:rsidRPr="009A59D5">
        <w:t xml:space="preserve"> the credit equivalent amount (CEA) calculated </w:t>
      </w:r>
      <w:r w:rsidR="00D5623D" w:rsidRPr="009A59D5">
        <w:t xml:space="preserve">according to </w:t>
      </w:r>
      <w:r w:rsidR="00BB23D3" w:rsidRPr="009A59D5">
        <w:t xml:space="preserve">the </w:t>
      </w:r>
      <w:r w:rsidR="00D96241" w:rsidRPr="009A59D5">
        <w:t xml:space="preserve">adjusted </w:t>
      </w:r>
      <w:r w:rsidR="00BB23D3" w:rsidRPr="009A59D5">
        <w:t>CEM</w:t>
      </w:r>
      <w:r w:rsidR="00BE02A3" w:rsidRPr="009A59D5">
        <w:t>.</w:t>
      </w:r>
    </w:p>
    <w:p w14:paraId="5A1A0534" w14:textId="77777777" w:rsidR="00BB23D3" w:rsidRPr="009A59D5" w:rsidRDefault="00BB23D3" w:rsidP="00BB23D3">
      <w:pPr>
        <w:pStyle w:val="Heading3"/>
      </w:pPr>
      <w:bookmarkStart w:id="88" w:name="_Toc460331427"/>
      <w:bookmarkStart w:id="89" w:name="_Toc461692090"/>
      <w:bookmarkStart w:id="90" w:name="_Toc487712217"/>
      <w:bookmarkStart w:id="91" w:name="_Toc488397518"/>
      <w:bookmarkStart w:id="92" w:name="_Toc488398078"/>
      <w:bookmarkStart w:id="93" w:name="_Toc489463915"/>
      <w:bookmarkStart w:id="94" w:name="_Toc507406208"/>
      <w:bookmarkStart w:id="95" w:name="_Toc507406280"/>
      <w:bookmarkStart w:id="96" w:name="_Toc507406393"/>
      <w:r w:rsidRPr="009A59D5">
        <w:t>Counterparty credit risk exposure amount under the SA-CCR</w:t>
      </w:r>
      <w:bookmarkEnd w:id="88"/>
      <w:bookmarkEnd w:id="89"/>
      <w:bookmarkEnd w:id="90"/>
      <w:bookmarkEnd w:id="91"/>
      <w:bookmarkEnd w:id="92"/>
      <w:bookmarkEnd w:id="93"/>
      <w:bookmarkEnd w:id="94"/>
      <w:bookmarkEnd w:id="95"/>
      <w:bookmarkEnd w:id="96"/>
    </w:p>
    <w:p w14:paraId="334671C2" w14:textId="46CD96CD" w:rsidR="00BB23D3" w:rsidRPr="009A59D5" w:rsidRDefault="00BB23D3" w:rsidP="00BB23D3">
      <w:pPr>
        <w:pStyle w:val="BodyText1"/>
        <w:numPr>
          <w:ilvl w:val="0"/>
          <w:numId w:val="20"/>
        </w:numPr>
      </w:pPr>
      <w:r w:rsidRPr="009A59D5">
        <w:t xml:space="preserve">Under the SA-CCR, </w:t>
      </w:r>
      <w:r w:rsidR="00DE47BB" w:rsidRPr="009A59D5">
        <w:t xml:space="preserve">the </w:t>
      </w:r>
      <w:r w:rsidRPr="009A59D5">
        <w:t>counterparty credit risk exposure amount is the EAD for all OTC derivative transactions with a given counterparty, calculated according to the SA-CCR methodology in Attachment D. Eligible netting and collateralisation are incorporated in the SA-CCR methodology.</w:t>
      </w:r>
    </w:p>
    <w:p w14:paraId="3086FF76" w14:textId="7171E260" w:rsidR="00BB23D3" w:rsidRPr="009A59D5" w:rsidRDefault="00BB23D3" w:rsidP="00BB23D3">
      <w:pPr>
        <w:pStyle w:val="Heading3"/>
      </w:pPr>
      <w:bookmarkStart w:id="97" w:name="_Toc460331428"/>
      <w:bookmarkStart w:id="98" w:name="_Toc461692091"/>
      <w:bookmarkStart w:id="99" w:name="_Toc487712218"/>
      <w:bookmarkStart w:id="100" w:name="_Toc488397519"/>
      <w:bookmarkStart w:id="101" w:name="_Toc488398079"/>
      <w:bookmarkStart w:id="102" w:name="_Toc489463916"/>
      <w:bookmarkStart w:id="103" w:name="_Toc507406209"/>
      <w:bookmarkStart w:id="104" w:name="_Toc507406281"/>
      <w:bookmarkStart w:id="105" w:name="_Toc507406394"/>
      <w:r w:rsidRPr="009A59D5">
        <w:t xml:space="preserve">Counterparty credit risk exposure amount under </w:t>
      </w:r>
      <w:r w:rsidR="00D96241" w:rsidRPr="009A59D5">
        <w:t xml:space="preserve">the adjusted </w:t>
      </w:r>
      <w:r w:rsidRPr="009A59D5">
        <w:t>CEM</w:t>
      </w:r>
      <w:bookmarkEnd w:id="97"/>
      <w:bookmarkEnd w:id="98"/>
      <w:bookmarkEnd w:id="99"/>
      <w:bookmarkEnd w:id="100"/>
      <w:bookmarkEnd w:id="101"/>
      <w:bookmarkEnd w:id="102"/>
      <w:bookmarkEnd w:id="103"/>
      <w:bookmarkEnd w:id="104"/>
      <w:bookmarkEnd w:id="105"/>
    </w:p>
    <w:p w14:paraId="46031F7E" w14:textId="7B66E3E3" w:rsidR="00BB23D3" w:rsidRPr="009A59D5" w:rsidRDefault="00BB23D3" w:rsidP="00BB23D3">
      <w:pPr>
        <w:pStyle w:val="BodyText1"/>
        <w:numPr>
          <w:ilvl w:val="0"/>
          <w:numId w:val="20"/>
        </w:numPr>
      </w:pPr>
      <w:r w:rsidRPr="009A59D5">
        <w:t>Under the</w:t>
      </w:r>
      <w:r w:rsidR="00D96241" w:rsidRPr="009A59D5">
        <w:t xml:space="preserve"> adjusted</w:t>
      </w:r>
      <w:r w:rsidRPr="009A59D5">
        <w:t xml:space="preserve"> CEM, </w:t>
      </w:r>
      <w:r w:rsidR="00DE47BB" w:rsidRPr="009A59D5">
        <w:t xml:space="preserve">the </w:t>
      </w:r>
      <w:r w:rsidRPr="009A59D5">
        <w:t>counterparty credit risk exposure amount is the CEA for all OTC derivative transactions with a given counterparty, calculated by adding together:</w:t>
      </w:r>
    </w:p>
    <w:p w14:paraId="00DC0583" w14:textId="1BEF45E5" w:rsidR="00BB23D3" w:rsidRPr="009A59D5" w:rsidRDefault="00BB23D3" w:rsidP="00932D01">
      <w:pPr>
        <w:pStyle w:val="BodyText2"/>
      </w:pPr>
      <w:r w:rsidRPr="009A59D5">
        <w:t xml:space="preserve">the transaction-level CEA calculated under the </w:t>
      </w:r>
      <w:r w:rsidR="00D96241" w:rsidRPr="009A59D5">
        <w:t xml:space="preserve">adjusted </w:t>
      </w:r>
      <w:r w:rsidRPr="009A59D5">
        <w:t>CEM methodology in Attachment E for each transaction not covered by an eligible bilateral netting agreement; and</w:t>
      </w:r>
    </w:p>
    <w:p w14:paraId="13CC12D0" w14:textId="7EC2DE7C" w:rsidR="00BB23D3" w:rsidRPr="009A59D5" w:rsidRDefault="00BB23D3" w:rsidP="00932D01">
      <w:pPr>
        <w:pStyle w:val="BodyText2"/>
      </w:pPr>
      <w:r w:rsidRPr="009A59D5">
        <w:t>the CEA calculated under the</w:t>
      </w:r>
      <w:r w:rsidR="00D96241" w:rsidRPr="009A59D5">
        <w:t xml:space="preserve"> adjusted</w:t>
      </w:r>
      <w:r w:rsidRPr="009A59D5">
        <w:t xml:space="preserve"> CEM methodology in Attachment E for transactions covered by an eligible bilateral netting agreement that meet the criteria </w:t>
      </w:r>
      <w:r w:rsidR="00701FCB" w:rsidRPr="009A59D5">
        <w:t>set out in Attachment </w:t>
      </w:r>
      <w:r w:rsidR="00EC57F7">
        <w:t>H</w:t>
      </w:r>
      <w:r w:rsidR="00EC57F7" w:rsidRPr="009A59D5">
        <w:t xml:space="preserve"> </w:t>
      </w:r>
      <w:r w:rsidRPr="009A59D5">
        <w:t xml:space="preserve">of APS </w:t>
      </w:r>
      <w:proofErr w:type="gramStart"/>
      <w:r w:rsidRPr="009A59D5">
        <w:t>112;</w:t>
      </w:r>
      <w:proofErr w:type="gramEnd"/>
    </w:p>
    <w:p w14:paraId="16FA6D17" w14:textId="6DE180C8" w:rsidR="00BB23D3" w:rsidRPr="009A59D5" w:rsidRDefault="00BB23D3" w:rsidP="00932D01">
      <w:pPr>
        <w:pStyle w:val="BodyText1"/>
        <w:numPr>
          <w:ilvl w:val="0"/>
          <w:numId w:val="0"/>
        </w:numPr>
        <w:ind w:left="567"/>
      </w:pPr>
      <w:r w:rsidRPr="009A59D5">
        <w:t>and adjusting the sum for collateral that meets the eligibility criteria for</w:t>
      </w:r>
      <w:r w:rsidR="00D96241" w:rsidRPr="009A59D5">
        <w:t xml:space="preserve"> the</w:t>
      </w:r>
      <w:r w:rsidR="001D7266" w:rsidRPr="009A59D5">
        <w:t xml:space="preserve"> adjusted</w:t>
      </w:r>
      <w:r w:rsidRPr="009A59D5">
        <w:t xml:space="preserve"> CEM set out in Attachment </w:t>
      </w:r>
      <w:r w:rsidR="000E1EC7" w:rsidRPr="009A59D5">
        <w:t>G</w:t>
      </w:r>
      <w:r w:rsidRPr="009A59D5">
        <w:t xml:space="preserve"> of APS 112.</w:t>
      </w:r>
    </w:p>
    <w:p w14:paraId="2037BAD3" w14:textId="151B66FB" w:rsidR="008C473B" w:rsidRPr="009A59D5" w:rsidRDefault="008C473B" w:rsidP="008C473B">
      <w:pPr>
        <w:pStyle w:val="Heading3"/>
      </w:pPr>
      <w:bookmarkStart w:id="106" w:name="_Toc460331429"/>
      <w:bookmarkStart w:id="107" w:name="_Toc461692092"/>
      <w:bookmarkStart w:id="108" w:name="_Toc487712219"/>
      <w:bookmarkStart w:id="109" w:name="_Toc488397520"/>
      <w:bookmarkStart w:id="110" w:name="_Toc488398080"/>
      <w:bookmarkStart w:id="111" w:name="_Toc489463917"/>
      <w:bookmarkStart w:id="112" w:name="_Toc507406210"/>
      <w:bookmarkStart w:id="113" w:name="_Toc507406282"/>
      <w:bookmarkStart w:id="114" w:name="_Toc507406395"/>
      <w:r w:rsidRPr="009A59D5">
        <w:t xml:space="preserve">Adjustment for incurred CVA under </w:t>
      </w:r>
      <w:r w:rsidR="00D96241" w:rsidRPr="009A59D5">
        <w:t xml:space="preserve">the </w:t>
      </w:r>
      <w:r w:rsidRPr="009A59D5">
        <w:t>SA-CCR and</w:t>
      </w:r>
      <w:r w:rsidR="00D96241" w:rsidRPr="009A59D5">
        <w:t xml:space="preserve"> adjusted</w:t>
      </w:r>
      <w:r w:rsidRPr="009A59D5">
        <w:t xml:space="preserve"> CEM</w:t>
      </w:r>
      <w:bookmarkEnd w:id="106"/>
      <w:bookmarkEnd w:id="107"/>
      <w:r w:rsidR="00655BAD" w:rsidRPr="009A59D5">
        <w:rPr>
          <w:rStyle w:val="FootnoteReference"/>
        </w:rPr>
        <w:footnoteReference w:id="8"/>
      </w:r>
      <w:bookmarkEnd w:id="108"/>
      <w:bookmarkEnd w:id="109"/>
      <w:bookmarkEnd w:id="110"/>
      <w:bookmarkEnd w:id="111"/>
      <w:bookmarkEnd w:id="112"/>
      <w:bookmarkEnd w:id="113"/>
      <w:bookmarkEnd w:id="114"/>
    </w:p>
    <w:p w14:paraId="1506F9F9" w14:textId="5F13B981" w:rsidR="008C473B" w:rsidRPr="009A59D5" w:rsidRDefault="008C473B" w:rsidP="008C473B">
      <w:pPr>
        <w:pStyle w:val="BodyText1"/>
        <w:numPr>
          <w:ilvl w:val="0"/>
          <w:numId w:val="20"/>
        </w:numPr>
      </w:pPr>
      <w:r w:rsidRPr="009A59D5">
        <w:t>For all OTC derivative transactions, the counterparty-level EAD or CEA must be adjusted for incurred CVA by subtracting the CVA amount for the counterparty that has already been recognised by the ADI as an incurred write-down (</w:t>
      </w:r>
      <w:proofErr w:type="gramStart"/>
      <w:r w:rsidRPr="009A59D5">
        <w:t>i.e.</w:t>
      </w:r>
      <w:proofErr w:type="gramEnd"/>
      <w:r w:rsidRPr="009A59D5">
        <w:t xml:space="preserve"> a CVA loss). The incurred CVA loss must be calculated according to the ADI’s own valuation methodology and must not include any debit value adjustment (DVA).</w:t>
      </w:r>
      <w:r w:rsidR="00655BAD" w:rsidRPr="009A59D5">
        <w:rPr>
          <w:rStyle w:val="FootnoteReference"/>
        </w:rPr>
        <w:t xml:space="preserve"> </w:t>
      </w:r>
    </w:p>
    <w:p w14:paraId="47B081F6" w14:textId="77777777" w:rsidR="008C473B" w:rsidRPr="009A59D5" w:rsidRDefault="008C473B" w:rsidP="008C473B">
      <w:pPr>
        <w:pStyle w:val="Heading3"/>
      </w:pPr>
      <w:bookmarkStart w:id="115" w:name="_Toc460331430"/>
      <w:bookmarkStart w:id="116" w:name="_Toc461692093"/>
      <w:bookmarkStart w:id="117" w:name="_Toc487712220"/>
      <w:bookmarkStart w:id="118" w:name="_Toc488397521"/>
      <w:bookmarkStart w:id="119" w:name="_Toc488398081"/>
      <w:bookmarkStart w:id="120" w:name="_Toc489463918"/>
      <w:bookmarkStart w:id="121" w:name="_Toc507406211"/>
      <w:bookmarkStart w:id="122" w:name="_Toc507406283"/>
      <w:bookmarkStart w:id="123" w:name="_Toc507406396"/>
      <w:r w:rsidRPr="009A59D5">
        <w:t>Credit risk mitigation</w:t>
      </w:r>
      <w:bookmarkEnd w:id="115"/>
      <w:bookmarkEnd w:id="116"/>
      <w:bookmarkEnd w:id="117"/>
      <w:bookmarkEnd w:id="118"/>
      <w:bookmarkEnd w:id="119"/>
      <w:bookmarkEnd w:id="120"/>
      <w:bookmarkEnd w:id="121"/>
      <w:bookmarkEnd w:id="122"/>
      <w:bookmarkEnd w:id="123"/>
    </w:p>
    <w:p w14:paraId="59769AE9" w14:textId="746047D7" w:rsidR="008C473B" w:rsidRPr="009A59D5" w:rsidRDefault="008C473B" w:rsidP="008C473B">
      <w:pPr>
        <w:pStyle w:val="BodyText1"/>
        <w:numPr>
          <w:ilvl w:val="0"/>
          <w:numId w:val="20"/>
        </w:numPr>
      </w:pPr>
      <w:r w:rsidRPr="009A59D5">
        <w:t>Forms of credit risk mitigation including guarantees and credit derivatives may be used to reduce default risk RWE. The eligibility and other requirements for application are as set out in APS 112.</w:t>
      </w:r>
    </w:p>
    <w:p w14:paraId="3621CB64" w14:textId="26EED055" w:rsidR="008C473B" w:rsidRPr="009A59D5" w:rsidRDefault="008C473B" w:rsidP="008C473B">
      <w:pPr>
        <w:pStyle w:val="Heading3"/>
      </w:pPr>
      <w:bookmarkStart w:id="124" w:name="_Toc460331431"/>
      <w:bookmarkStart w:id="125" w:name="_Toc461692094"/>
      <w:bookmarkStart w:id="126" w:name="_Toc487712221"/>
      <w:bookmarkStart w:id="127" w:name="_Toc488397522"/>
      <w:bookmarkStart w:id="128" w:name="_Toc488398082"/>
      <w:bookmarkStart w:id="129" w:name="_Toc489463919"/>
      <w:bookmarkStart w:id="130" w:name="_Toc507406212"/>
      <w:bookmarkStart w:id="131" w:name="_Toc507406284"/>
      <w:bookmarkStart w:id="132" w:name="_Toc507406397"/>
      <w:r w:rsidRPr="009A59D5">
        <w:t>Risk</w:t>
      </w:r>
      <w:r w:rsidR="00557D5E" w:rsidRPr="009A59D5">
        <w:t xml:space="preserve"> </w:t>
      </w:r>
      <w:r w:rsidRPr="009A59D5">
        <w:t>weighting</w:t>
      </w:r>
      <w:bookmarkEnd w:id="124"/>
      <w:bookmarkEnd w:id="125"/>
      <w:bookmarkEnd w:id="126"/>
      <w:bookmarkEnd w:id="127"/>
      <w:bookmarkEnd w:id="128"/>
      <w:bookmarkEnd w:id="129"/>
      <w:bookmarkEnd w:id="130"/>
      <w:bookmarkEnd w:id="131"/>
      <w:bookmarkEnd w:id="132"/>
    </w:p>
    <w:p w14:paraId="4C760CB6" w14:textId="5F22F29D" w:rsidR="002E0404" w:rsidRPr="009A59D5" w:rsidRDefault="008C473B" w:rsidP="009461C2">
      <w:pPr>
        <w:pStyle w:val="BodyText1"/>
        <w:numPr>
          <w:ilvl w:val="0"/>
          <w:numId w:val="20"/>
        </w:numPr>
      </w:pPr>
      <w:bookmarkStart w:id="133" w:name="_Ref460258565"/>
      <w:r w:rsidRPr="009A59D5">
        <w:t>The applicable risk</w:t>
      </w:r>
      <w:r w:rsidR="00557D5E" w:rsidRPr="009A59D5">
        <w:t xml:space="preserve"> </w:t>
      </w:r>
      <w:r w:rsidRPr="009A59D5">
        <w:t>weight for a counterparty credit risk exposure amount is determined according to the requirements of</w:t>
      </w:r>
      <w:r w:rsidR="002E0404" w:rsidRPr="009A59D5">
        <w:t>:</w:t>
      </w:r>
    </w:p>
    <w:p w14:paraId="2372EE73" w14:textId="14666005" w:rsidR="00DE79F4" w:rsidRPr="009A59D5" w:rsidRDefault="002E0404" w:rsidP="008C473B">
      <w:pPr>
        <w:pStyle w:val="BodyText2"/>
      </w:pPr>
      <w:r w:rsidRPr="009A59D5">
        <w:lastRenderedPageBreak/>
        <w:t>APS 113 for an IRB ADI</w:t>
      </w:r>
      <w:r w:rsidR="00D5623D" w:rsidRPr="009A59D5">
        <w:t>;</w:t>
      </w:r>
      <w:r w:rsidR="00D5623D" w:rsidRPr="009A59D5">
        <w:rPr>
          <w:rStyle w:val="FootnoteReference"/>
        </w:rPr>
        <w:footnoteReference w:id="9"/>
      </w:r>
      <w:r w:rsidR="00D5623D" w:rsidRPr="009A59D5">
        <w:t xml:space="preserve"> or</w:t>
      </w:r>
      <w:bookmarkStart w:id="134" w:name="_Toc460331432"/>
      <w:bookmarkStart w:id="135" w:name="_Toc461692095"/>
      <w:bookmarkEnd w:id="133"/>
    </w:p>
    <w:p w14:paraId="3C41FFD0" w14:textId="268BBFF6" w:rsidR="00D5623D" w:rsidRPr="009A59D5" w:rsidRDefault="00D5623D" w:rsidP="00D5623D">
      <w:pPr>
        <w:pStyle w:val="BodyText2"/>
      </w:pPr>
      <w:r w:rsidRPr="009A59D5">
        <w:t>APS 112 for a standardised ADI.</w:t>
      </w:r>
    </w:p>
    <w:p w14:paraId="7B47C7BA" w14:textId="0B326448" w:rsidR="008C473B" w:rsidRPr="009A59D5" w:rsidRDefault="008C473B" w:rsidP="00405B60">
      <w:pPr>
        <w:pStyle w:val="AttachmentSubheading"/>
      </w:pPr>
      <w:bookmarkStart w:id="136" w:name="_Toc487712222"/>
      <w:bookmarkStart w:id="137" w:name="_Toc488397523"/>
      <w:bookmarkStart w:id="138" w:name="_Toc488398083"/>
      <w:bookmarkStart w:id="139" w:name="_Toc489463920"/>
      <w:bookmarkStart w:id="140" w:name="_Toc507406213"/>
      <w:bookmarkStart w:id="141" w:name="_Toc507406285"/>
      <w:bookmarkStart w:id="142" w:name="_Toc507406398"/>
      <w:bookmarkStart w:id="143" w:name="_Toc507406460"/>
      <w:bookmarkStart w:id="144" w:name="_Toc507406566"/>
      <w:r w:rsidRPr="009A59D5">
        <w:t>CVA risk capital charge</w:t>
      </w:r>
      <w:bookmarkEnd w:id="134"/>
      <w:bookmarkEnd w:id="135"/>
      <w:bookmarkEnd w:id="136"/>
      <w:bookmarkEnd w:id="137"/>
      <w:bookmarkEnd w:id="138"/>
      <w:bookmarkEnd w:id="139"/>
      <w:bookmarkEnd w:id="140"/>
      <w:bookmarkEnd w:id="141"/>
      <w:bookmarkEnd w:id="142"/>
      <w:bookmarkEnd w:id="143"/>
      <w:bookmarkEnd w:id="144"/>
    </w:p>
    <w:p w14:paraId="0BC61499" w14:textId="61FA9BCA" w:rsidR="008C473B" w:rsidRPr="009A59D5" w:rsidRDefault="008C473B" w:rsidP="008C473B">
      <w:pPr>
        <w:pStyle w:val="BodyText1"/>
        <w:numPr>
          <w:ilvl w:val="0"/>
          <w:numId w:val="20"/>
        </w:numPr>
      </w:pPr>
      <w:bookmarkStart w:id="145" w:name="_Ref460258572"/>
      <w:r w:rsidRPr="009A59D5">
        <w:t xml:space="preserve">An ADI must calculate its CVA risk capital charge for the risk of mark-to-market losses on the expected counterparty credit risk (CVA loss) for all bilateral OTC derivative transactions and centrally cleared transactions required to be treated as bilateral. The CVA risk capital charge is calculated using the CVA approach outlined in paragraphs </w:t>
      </w:r>
      <w:r w:rsidR="00367300" w:rsidRPr="009A59D5">
        <w:fldChar w:fldCharType="begin"/>
      </w:r>
      <w:r w:rsidR="00367300" w:rsidRPr="009A59D5">
        <w:instrText xml:space="preserve"> REF _Ref461100785 \n \h </w:instrText>
      </w:r>
      <w:r w:rsidR="00365041" w:rsidRPr="009A59D5">
        <w:instrText xml:space="preserve"> \* MERGEFORMAT </w:instrText>
      </w:r>
      <w:r w:rsidR="00367300" w:rsidRPr="009A59D5">
        <w:fldChar w:fldCharType="separate"/>
      </w:r>
      <w:r w:rsidR="00B401AE">
        <w:t>16</w:t>
      </w:r>
      <w:r w:rsidR="00367300" w:rsidRPr="009A59D5">
        <w:fldChar w:fldCharType="end"/>
      </w:r>
      <w:r w:rsidRPr="009A59D5">
        <w:t xml:space="preserve"> to </w:t>
      </w:r>
      <w:r w:rsidR="00367300" w:rsidRPr="009A59D5">
        <w:fldChar w:fldCharType="begin"/>
      </w:r>
      <w:r w:rsidR="00367300" w:rsidRPr="009A59D5">
        <w:instrText xml:space="preserve"> REF _Ref460258583 \n \h </w:instrText>
      </w:r>
      <w:r w:rsidR="00365041" w:rsidRPr="009A59D5">
        <w:instrText xml:space="preserve"> \* MERGEFORMAT </w:instrText>
      </w:r>
      <w:r w:rsidR="00367300" w:rsidRPr="009A59D5">
        <w:fldChar w:fldCharType="separate"/>
      </w:r>
      <w:r w:rsidR="00B401AE">
        <w:t>20</w:t>
      </w:r>
      <w:r w:rsidR="00367300" w:rsidRPr="009A59D5">
        <w:fldChar w:fldCharType="end"/>
      </w:r>
      <w:r w:rsidRPr="009A59D5">
        <w:t xml:space="preserve"> of this Attachment, unless the conditions under paragraph </w:t>
      </w:r>
      <w:r w:rsidR="00D04F1C" w:rsidRPr="009A59D5">
        <w:fldChar w:fldCharType="begin"/>
      </w:r>
      <w:r w:rsidR="00D04F1C" w:rsidRPr="009A59D5">
        <w:instrText xml:space="preserve"> REF _Ref461622537 \r \h </w:instrText>
      </w:r>
      <w:r w:rsidR="009A59D5">
        <w:instrText xml:space="preserve"> \* MERGEFORMAT </w:instrText>
      </w:r>
      <w:r w:rsidR="00D04F1C" w:rsidRPr="009A59D5">
        <w:fldChar w:fldCharType="separate"/>
      </w:r>
      <w:r w:rsidR="00B401AE">
        <w:t>14</w:t>
      </w:r>
      <w:r w:rsidR="00D04F1C" w:rsidRPr="009A59D5">
        <w:fldChar w:fldCharType="end"/>
      </w:r>
      <w:r w:rsidRPr="009A59D5">
        <w:t xml:space="preserve"> of this Attachment are satisfied.</w:t>
      </w:r>
      <w:bookmarkEnd w:id="145"/>
    </w:p>
    <w:p w14:paraId="4910E5F5" w14:textId="7547C184" w:rsidR="008C473B" w:rsidRPr="009A59D5" w:rsidRDefault="008C473B" w:rsidP="008C473B">
      <w:pPr>
        <w:pStyle w:val="BodyText1"/>
        <w:numPr>
          <w:ilvl w:val="0"/>
          <w:numId w:val="20"/>
        </w:numPr>
      </w:pPr>
      <w:bookmarkStart w:id="146" w:name="_Ref461622537"/>
      <w:r w:rsidRPr="009A59D5">
        <w:t xml:space="preserve">An ADI, other than an ADI with either funded or unfunded default fund contributions to a CCP, may apply to APRA for approval to determine its CVA risk capital requirement according to a simplified approach, instead of the approach set out in paragraphs </w:t>
      </w:r>
      <w:r w:rsidR="00367300" w:rsidRPr="009A59D5">
        <w:fldChar w:fldCharType="begin"/>
      </w:r>
      <w:r w:rsidR="00367300" w:rsidRPr="009A59D5">
        <w:instrText xml:space="preserve"> REF _Ref461100785 \n \h </w:instrText>
      </w:r>
      <w:r w:rsidR="00365041" w:rsidRPr="009A59D5">
        <w:instrText xml:space="preserve"> \* MERGEFORMAT </w:instrText>
      </w:r>
      <w:r w:rsidR="00367300" w:rsidRPr="009A59D5">
        <w:fldChar w:fldCharType="separate"/>
      </w:r>
      <w:r w:rsidR="00B401AE">
        <w:t>16</w:t>
      </w:r>
      <w:r w:rsidR="00367300" w:rsidRPr="009A59D5">
        <w:fldChar w:fldCharType="end"/>
      </w:r>
      <w:r w:rsidRPr="009A59D5">
        <w:t xml:space="preserve"> to </w:t>
      </w:r>
      <w:r w:rsidR="00367300" w:rsidRPr="009A59D5">
        <w:fldChar w:fldCharType="begin"/>
      </w:r>
      <w:r w:rsidR="00367300" w:rsidRPr="009A59D5">
        <w:instrText xml:space="preserve"> REF _Ref460258583 \n \h </w:instrText>
      </w:r>
      <w:r w:rsidR="00365041" w:rsidRPr="009A59D5">
        <w:instrText xml:space="preserve"> \* MERGEFORMAT </w:instrText>
      </w:r>
      <w:r w:rsidR="00367300" w:rsidRPr="009A59D5">
        <w:fldChar w:fldCharType="separate"/>
      </w:r>
      <w:r w:rsidR="00B401AE">
        <w:t>20</w:t>
      </w:r>
      <w:r w:rsidR="00367300" w:rsidRPr="009A59D5">
        <w:fldChar w:fldCharType="end"/>
      </w:r>
      <w:r w:rsidR="00C77C82" w:rsidRPr="009A59D5">
        <w:t xml:space="preserve"> of this Attachment. </w:t>
      </w:r>
      <w:r w:rsidRPr="009A59D5">
        <w:t>APRA may approve an application made under this paragraph.</w:t>
      </w:r>
      <w:bookmarkEnd w:id="146"/>
    </w:p>
    <w:p w14:paraId="2852C092" w14:textId="5B03E770" w:rsidR="008C473B" w:rsidRPr="009A59D5" w:rsidRDefault="008C473B" w:rsidP="008C473B">
      <w:pPr>
        <w:pStyle w:val="BodyText1"/>
        <w:numPr>
          <w:ilvl w:val="0"/>
          <w:numId w:val="20"/>
        </w:numPr>
      </w:pPr>
      <w:r w:rsidRPr="009A59D5">
        <w:t>Where an ADI has obtained approval from APRA</w:t>
      </w:r>
      <w:r w:rsidR="002D5A17" w:rsidRPr="009A59D5">
        <w:t xml:space="preserve"> under paragraph </w:t>
      </w:r>
      <w:r w:rsidR="002D5A17" w:rsidRPr="009A59D5">
        <w:fldChar w:fldCharType="begin"/>
      </w:r>
      <w:r w:rsidR="002D5A17" w:rsidRPr="009A59D5">
        <w:instrText xml:space="preserve"> REF _Ref461622537 \r \h </w:instrText>
      </w:r>
      <w:r w:rsidR="00365041" w:rsidRPr="009A59D5">
        <w:instrText xml:space="preserve"> \* MERGEFORMAT </w:instrText>
      </w:r>
      <w:r w:rsidR="002D5A17" w:rsidRPr="009A59D5">
        <w:fldChar w:fldCharType="separate"/>
      </w:r>
      <w:r w:rsidR="00B401AE">
        <w:t>14</w:t>
      </w:r>
      <w:r w:rsidR="002D5A17" w:rsidRPr="009A59D5">
        <w:fldChar w:fldCharType="end"/>
      </w:r>
      <w:r w:rsidR="001621B5" w:rsidRPr="009A59D5">
        <w:t xml:space="preserve"> of this Attachment</w:t>
      </w:r>
      <w:r w:rsidRPr="009A59D5">
        <w:t>, the ADI must set its CVA risk capital charge equal to the amount of capital required for its risk-weighted credit exposure for counterparty credit default risk.</w:t>
      </w:r>
    </w:p>
    <w:p w14:paraId="09B26F58" w14:textId="29F0CEFC" w:rsidR="008C473B" w:rsidRPr="009A59D5" w:rsidRDefault="008C473B" w:rsidP="008C473B">
      <w:pPr>
        <w:pStyle w:val="BodyText1"/>
        <w:numPr>
          <w:ilvl w:val="0"/>
          <w:numId w:val="20"/>
        </w:numPr>
      </w:pPr>
      <w:bookmarkStart w:id="147" w:name="_Ref461100785"/>
      <w:r w:rsidRPr="009A59D5">
        <w:t xml:space="preserve">An ADI must calculate its CVA risk </w:t>
      </w:r>
      <w:r w:rsidRPr="00A96228">
        <w:rPr>
          <w:rFonts w:asciiTheme="minorHAnsi" w:hAnsiTheme="minorHAnsi" w:cstheme="minorHAnsi"/>
        </w:rPr>
        <w:t>capital charge,</w:t>
      </w:r>
      <w:r w:rsidR="00A96228">
        <w:rPr>
          <w:rFonts w:asciiTheme="minorHAnsi" w:hAnsiTheme="minorHAnsi" w:cstheme="minorHAnsi"/>
        </w:rPr>
        <w:t xml:space="preserve"> </w:t>
      </w:r>
      <w:r w:rsidR="00A96228" w:rsidRPr="00A96228">
        <w:rPr>
          <w:rFonts w:asciiTheme="minorHAnsi" w:hAnsiTheme="minorHAnsi" w:cstheme="minorHAnsi"/>
          <w:i/>
        </w:rPr>
        <w:t>K</w:t>
      </w:r>
      <w:r w:rsidR="00A96228" w:rsidRPr="00A96228">
        <w:rPr>
          <w:rFonts w:asciiTheme="minorHAnsi" w:hAnsiTheme="minorHAnsi" w:cstheme="minorHAnsi"/>
          <w:i/>
          <w:vertAlign w:val="subscript"/>
        </w:rPr>
        <w:t>CVA</w:t>
      </w:r>
      <w:r w:rsidRPr="00A96228">
        <w:rPr>
          <w:rFonts w:asciiTheme="minorHAnsi" w:hAnsiTheme="minorHAnsi" w:cstheme="minorHAnsi"/>
        </w:rPr>
        <w:t>, according</w:t>
      </w:r>
      <w:r w:rsidRPr="009A59D5">
        <w:t xml:space="preserve"> to one of the three following formulae:</w:t>
      </w:r>
      <w:bookmarkEnd w:id="147"/>
    </w:p>
    <w:p w14:paraId="1D662F54" w14:textId="5ABF1E9E" w:rsidR="008C473B" w:rsidRDefault="008C473B" w:rsidP="008C473B">
      <w:pPr>
        <w:pStyle w:val="BodyText2"/>
      </w:pPr>
      <w:r w:rsidRPr="009A59D5">
        <w:t>an ADI that has OTC derivative exposure to only one counterparty must calculate its CVA risk capital charge as:</w:t>
      </w:r>
    </w:p>
    <w:p w14:paraId="71068151" w14:textId="4E608A96" w:rsidR="00037BEF" w:rsidRPr="009A59D5" w:rsidRDefault="00FA2834" w:rsidP="006614F5">
      <w:pPr>
        <w:pStyle w:val="BodyText2"/>
        <w:numPr>
          <w:ilvl w:val="0"/>
          <w:numId w:val="0"/>
        </w:numPr>
        <w:spacing w:after="0"/>
        <w:ind w:left="2694" w:hanging="1276"/>
        <w:jc w:val="center"/>
      </w:pPr>
      <w:r w:rsidRPr="00FA2834">
        <w:rPr>
          <w:noProof/>
        </w:rPr>
        <w:drawing>
          <wp:inline distT="0" distB="0" distL="0" distR="0" wp14:anchorId="40BD53CE" wp14:editId="3235B401">
            <wp:extent cx="4683038" cy="319177"/>
            <wp:effectExtent l="0" t="0" r="0" b="0"/>
            <wp:docPr id="3" name="Picture 3" descr="Start formula K subscript CVA equals 2.33 times w times M times D times Exposure superscript total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rt formula K subscript CVA equals 2.33 times w times M times D times Exposure superscript total end formula."/>
                    <pic:cNvPicPr>
                      <a:picLocks noChangeAspect="1" noChangeArrowheads="1"/>
                    </pic:cNvPicPr>
                  </pic:nvPicPr>
                  <pic:blipFill rotWithShape="1">
                    <a:blip r:embed="rId18">
                      <a:extLst>
                        <a:ext uri="{28A0092B-C50C-407E-A947-70E740481C1C}">
                          <a14:useLocalDpi xmlns:a14="http://schemas.microsoft.com/office/drawing/2010/main" val="0"/>
                        </a:ext>
                      </a:extLst>
                    </a:blip>
                    <a:srcRect l="18469" b="4371"/>
                    <a:stretch/>
                  </pic:blipFill>
                  <pic:spPr bwMode="auto">
                    <a:xfrm>
                      <a:off x="0" y="0"/>
                      <a:ext cx="4710040" cy="321017"/>
                    </a:xfrm>
                    <a:prstGeom prst="rect">
                      <a:avLst/>
                    </a:prstGeom>
                    <a:noFill/>
                    <a:ln>
                      <a:noFill/>
                    </a:ln>
                    <a:extLst>
                      <a:ext uri="{53640926-AAD7-44D8-BBD7-CCE9431645EC}">
                        <a14:shadowObscured xmlns:a14="http://schemas.microsoft.com/office/drawing/2010/main"/>
                      </a:ext>
                    </a:extLst>
                  </pic:spPr>
                </pic:pic>
              </a:graphicData>
            </a:graphic>
          </wp:inline>
        </w:drawing>
      </w:r>
    </w:p>
    <w:p w14:paraId="4E342AC5" w14:textId="77777777" w:rsidR="00007EE4" w:rsidRPr="009A59D5" w:rsidRDefault="00007EE4" w:rsidP="007B61C9">
      <w:pPr>
        <w:pStyle w:val="BodyText1"/>
        <w:numPr>
          <w:ilvl w:val="0"/>
          <w:numId w:val="0"/>
        </w:numPr>
        <w:ind w:left="1134"/>
      </w:pPr>
      <w:r w:rsidRPr="009A59D5">
        <w:t>where:</w:t>
      </w:r>
    </w:p>
    <w:p w14:paraId="425998B7" w14:textId="092CC102" w:rsidR="00007EE4" w:rsidRPr="009A59D5" w:rsidRDefault="00646793" w:rsidP="001A1BCD">
      <w:pPr>
        <w:pStyle w:val="BodyText1"/>
        <w:numPr>
          <w:ilvl w:val="0"/>
          <w:numId w:val="0"/>
        </w:numPr>
        <w:ind w:left="1134"/>
      </w:pPr>
      <w:r>
        <w:rPr>
          <w:i/>
        </w:rPr>
        <w:t>w</w:t>
      </w:r>
      <w:r w:rsidR="00007EE4" w:rsidRPr="009A59D5">
        <w:t xml:space="preserve"> = the weight applicable to the counterparty determined according to paragraph</w:t>
      </w:r>
      <w:r w:rsidR="00C77C82" w:rsidRPr="009A59D5">
        <w:t> </w:t>
      </w:r>
      <w:r w:rsidR="008946E4" w:rsidRPr="009A59D5">
        <w:fldChar w:fldCharType="begin"/>
      </w:r>
      <w:r w:rsidR="008946E4" w:rsidRPr="009A59D5">
        <w:instrText xml:space="preserve"> REF _Ref461102991 \n \h </w:instrText>
      </w:r>
      <w:r w:rsidR="00365041" w:rsidRPr="009A59D5">
        <w:instrText xml:space="preserve"> \* MERGEFORMAT </w:instrText>
      </w:r>
      <w:r w:rsidR="008946E4" w:rsidRPr="009A59D5">
        <w:fldChar w:fldCharType="separate"/>
      </w:r>
      <w:r w:rsidR="00B401AE">
        <w:t>17</w:t>
      </w:r>
      <w:r w:rsidR="008946E4" w:rsidRPr="009A59D5">
        <w:fldChar w:fldCharType="end"/>
      </w:r>
      <w:r w:rsidR="00007EE4" w:rsidRPr="009A59D5">
        <w:t xml:space="preserve"> of this </w:t>
      </w:r>
      <w:proofErr w:type="gramStart"/>
      <w:r w:rsidR="00007EE4" w:rsidRPr="009A59D5">
        <w:t>Attachment;</w:t>
      </w:r>
      <w:proofErr w:type="gramEnd"/>
    </w:p>
    <w:p w14:paraId="02447375" w14:textId="62CD259D" w:rsidR="00007EE4" w:rsidRPr="009A59D5" w:rsidRDefault="00646793" w:rsidP="007B61C9">
      <w:pPr>
        <w:pStyle w:val="BodyText1"/>
        <w:numPr>
          <w:ilvl w:val="0"/>
          <w:numId w:val="0"/>
        </w:numPr>
        <w:ind w:left="1134"/>
      </w:pPr>
      <w:r>
        <w:rPr>
          <w:i/>
        </w:rPr>
        <w:t>M</w:t>
      </w:r>
      <w:r w:rsidR="00007EE4" w:rsidRPr="009A59D5">
        <w:t xml:space="preserve"> = the weighted average maturity in years (weighted by notional amount) of all OTC derivative transactions with the counterparty, determined according to paragraphs </w:t>
      </w:r>
      <w:r w:rsidR="0097261D">
        <w:t>40</w:t>
      </w:r>
      <w:r w:rsidR="0097261D" w:rsidRPr="009A59D5">
        <w:t xml:space="preserve"> </w:t>
      </w:r>
      <w:r w:rsidR="00007EE4" w:rsidRPr="009A59D5">
        <w:t xml:space="preserve">to </w:t>
      </w:r>
      <w:r w:rsidR="0097261D">
        <w:t>46</w:t>
      </w:r>
      <w:r w:rsidR="0097261D" w:rsidRPr="009A59D5">
        <w:t xml:space="preserve"> </w:t>
      </w:r>
      <w:r w:rsidR="00007EE4" w:rsidRPr="009A59D5">
        <w:t xml:space="preserve">of Attachment B of APS 113, except that </w:t>
      </w:r>
      <w:r>
        <w:rPr>
          <w:i/>
        </w:rPr>
        <w:t>M</w:t>
      </w:r>
      <w:r w:rsidR="00007EE4" w:rsidRPr="009A59D5">
        <w:t xml:space="preserve"> is not capped at five </w:t>
      </w:r>
      <w:proofErr w:type="gramStart"/>
      <w:r w:rsidR="00007EE4" w:rsidRPr="009A59D5">
        <w:t>years;</w:t>
      </w:r>
      <w:proofErr w:type="gramEnd"/>
    </w:p>
    <w:p w14:paraId="170E1437" w14:textId="4D530BB5" w:rsidR="00007EE4" w:rsidRPr="009A59D5" w:rsidRDefault="00E26B95" w:rsidP="00751D7D">
      <w:pPr>
        <w:pStyle w:val="BodyText1"/>
        <w:numPr>
          <w:ilvl w:val="0"/>
          <w:numId w:val="0"/>
        </w:numPr>
        <w:spacing w:after="0"/>
        <w:ind w:left="1134"/>
      </w:pPr>
      <w:r w:rsidRPr="00E26B95">
        <w:rPr>
          <w:noProof/>
        </w:rPr>
        <w:drawing>
          <wp:inline distT="0" distB="0" distL="0" distR="0" wp14:anchorId="437A59B0" wp14:editId="4015F5C0">
            <wp:extent cx="1200150" cy="476250"/>
            <wp:effectExtent l="0" t="0" r="0" b="0"/>
            <wp:docPr id="4" name="Picture 4" descr="Start formula D equals start fraction 1 minus e superscript -0.05M over 0.05M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art formula D equals start fraction 1 minus e superscript -0.05M over 0.05M end fraction end formula."/>
                    <pic:cNvPicPr>
                      <a:picLocks noChangeAspect="1" noChangeArrowheads="1"/>
                    </pic:cNvPicPr>
                  </pic:nvPicPr>
                  <pic:blipFill rotWithShape="1">
                    <a:blip r:embed="rId19">
                      <a:extLst>
                        <a:ext uri="{28A0092B-C50C-407E-A947-70E740481C1C}">
                          <a14:useLocalDpi xmlns:a14="http://schemas.microsoft.com/office/drawing/2010/main" val="0"/>
                        </a:ext>
                      </a:extLst>
                    </a:blip>
                    <a:srcRect l="39448" t="-4167" r="35700"/>
                    <a:stretch/>
                  </pic:blipFill>
                  <pic:spPr bwMode="auto">
                    <a:xfrm>
                      <a:off x="0" y="0"/>
                      <a:ext cx="1200150" cy="476250"/>
                    </a:xfrm>
                    <a:prstGeom prst="rect">
                      <a:avLst/>
                    </a:prstGeom>
                    <a:noFill/>
                    <a:ln>
                      <a:noFill/>
                    </a:ln>
                    <a:extLst>
                      <a:ext uri="{53640926-AAD7-44D8-BBD7-CCE9431645EC}">
                        <a14:shadowObscured xmlns:a14="http://schemas.microsoft.com/office/drawing/2010/main"/>
                      </a:ext>
                    </a:extLst>
                  </pic:spPr>
                </pic:pic>
              </a:graphicData>
            </a:graphic>
          </wp:inline>
        </w:drawing>
      </w:r>
      <w:r w:rsidR="00007EE4" w:rsidRPr="009A59D5">
        <w:t>; and</w:t>
      </w:r>
      <w:r w:rsidR="00007EE4" w:rsidRPr="009A59D5">
        <w:rPr>
          <w:rStyle w:val="FootnoteReference"/>
        </w:rPr>
        <w:footnoteReference w:id="10"/>
      </w:r>
    </w:p>
    <w:p w14:paraId="457B15B2" w14:textId="1CF2476B" w:rsidR="00D5623D" w:rsidRPr="009A59D5" w:rsidRDefault="00D5623D" w:rsidP="00D5623D">
      <w:pPr>
        <w:pStyle w:val="BodyText1"/>
        <w:numPr>
          <w:ilvl w:val="0"/>
          <w:numId w:val="0"/>
        </w:numPr>
        <w:ind w:left="1134"/>
      </w:pPr>
      <w:r w:rsidRPr="009A59D5">
        <w:lastRenderedPageBreak/>
        <w:t>For an IRB ADI,</w:t>
      </w:r>
      <w:r w:rsidR="00A96228">
        <w:t xml:space="preserve"> </w:t>
      </w:r>
      <w:proofErr w:type="spellStart"/>
      <w:r w:rsidR="00A96228">
        <w:rPr>
          <w:i/>
        </w:rPr>
        <w:t>Exposure</w:t>
      </w:r>
      <w:r w:rsidR="00A96228">
        <w:rPr>
          <w:i/>
          <w:vertAlign w:val="superscript"/>
        </w:rPr>
        <w:t>total</w:t>
      </w:r>
      <w:proofErr w:type="spellEnd"/>
      <w:r w:rsidRPr="009A59D5">
        <w:t xml:space="preserve"> = the EAD for the counterparty under SA-CCR without any adjustment for incurred </w:t>
      </w:r>
      <w:proofErr w:type="gramStart"/>
      <w:r w:rsidRPr="009A59D5">
        <w:t>CVA;</w:t>
      </w:r>
      <w:proofErr w:type="gramEnd"/>
    </w:p>
    <w:p w14:paraId="122A4B1E" w14:textId="55CDD31F" w:rsidR="00007EE4" w:rsidRPr="009A59D5" w:rsidRDefault="005E06CE" w:rsidP="007B61C9">
      <w:pPr>
        <w:pStyle w:val="BodyText1"/>
        <w:numPr>
          <w:ilvl w:val="0"/>
          <w:numId w:val="0"/>
        </w:numPr>
        <w:ind w:left="1134"/>
      </w:pPr>
      <w:r w:rsidRPr="009A59D5">
        <w:t>For a standardised ADI,</w:t>
      </w:r>
      <w:r w:rsidR="00A96228">
        <w:t xml:space="preserve"> </w:t>
      </w:r>
      <w:proofErr w:type="spellStart"/>
      <w:r w:rsidR="00A96228">
        <w:rPr>
          <w:i/>
        </w:rPr>
        <w:t>Exposure</w:t>
      </w:r>
      <w:r w:rsidR="00A96228">
        <w:rPr>
          <w:i/>
          <w:vertAlign w:val="superscript"/>
        </w:rPr>
        <w:t>total</w:t>
      </w:r>
      <w:proofErr w:type="spellEnd"/>
      <w:r w:rsidR="00A96228">
        <w:rPr>
          <w:i/>
          <w:vertAlign w:val="superscript"/>
        </w:rPr>
        <w:t xml:space="preserve"> </w:t>
      </w:r>
      <w:r w:rsidR="008A4E69" w:rsidRPr="009A59D5">
        <w:t>=</w:t>
      </w:r>
      <w:r w:rsidRPr="009A59D5">
        <w:t xml:space="preserve"> </w:t>
      </w:r>
      <w:r w:rsidR="00655BAD" w:rsidRPr="009A59D5">
        <w:t xml:space="preserve">the counterparty-level CEA under the </w:t>
      </w:r>
      <w:r w:rsidR="00D96241" w:rsidRPr="009A59D5">
        <w:t xml:space="preserve">adjusted </w:t>
      </w:r>
      <w:r w:rsidR="00655BAD" w:rsidRPr="009A59D5">
        <w:t xml:space="preserve">CEM without any adjustment for incurred </w:t>
      </w:r>
      <w:proofErr w:type="gramStart"/>
      <w:r w:rsidR="00655BAD" w:rsidRPr="009A59D5">
        <w:t>CVA</w:t>
      </w:r>
      <w:r w:rsidR="00007EE4" w:rsidRPr="009A59D5">
        <w:t>;</w:t>
      </w:r>
      <w:proofErr w:type="gramEnd"/>
    </w:p>
    <w:p w14:paraId="7B906CCD" w14:textId="58123EEF" w:rsidR="008C473B" w:rsidRPr="009A59D5" w:rsidRDefault="00007EE4" w:rsidP="007B61C9">
      <w:pPr>
        <w:pStyle w:val="BodyText1"/>
        <w:keepLines/>
        <w:numPr>
          <w:ilvl w:val="0"/>
          <w:numId w:val="0"/>
        </w:numPr>
        <w:ind w:left="1134"/>
      </w:pPr>
      <w:r w:rsidRPr="009A59D5">
        <w:t xml:space="preserve">If there is more than one netting set for the counterparty, an ADI must determine </w:t>
      </w:r>
      <m:oMath>
        <m:r>
          <w:rPr>
            <w:rFonts w:ascii="Cambria Math" w:hAnsi="Cambria Math"/>
          </w:rPr>
          <m:t>M</m:t>
        </m:r>
      </m:oMath>
      <w:r w:rsidR="00853CFE" w:rsidRPr="009A59D5">
        <w:t xml:space="preserve">, </w:t>
      </w:r>
      <m:oMath>
        <m:r>
          <w:rPr>
            <w:rFonts w:ascii="Cambria Math" w:hAnsi="Cambria Math"/>
          </w:rPr>
          <m:t>D</m:t>
        </m:r>
      </m:oMath>
      <w:r w:rsidRPr="009A59D5">
        <w:t xml:space="preserve"> and </w:t>
      </w:r>
      <w:proofErr w:type="spellStart"/>
      <w:r w:rsidR="00A96228">
        <w:rPr>
          <w:i/>
        </w:rPr>
        <w:t>Exposure</w:t>
      </w:r>
      <w:r w:rsidR="00A96228">
        <w:rPr>
          <w:i/>
          <w:vertAlign w:val="superscript"/>
        </w:rPr>
        <w:t>total</w:t>
      </w:r>
      <w:proofErr w:type="spellEnd"/>
      <w:r w:rsidR="00853CFE" w:rsidRPr="009A59D5">
        <w:t xml:space="preserve"> </w:t>
      </w:r>
      <w:r w:rsidRPr="009A59D5">
        <w:t>separately for each netting set, and calculate the sum of</w:t>
      </w:r>
      <w:r w:rsidR="00A96228">
        <w:t xml:space="preserve"> </w:t>
      </w:r>
      <w:r w:rsidR="00A96228">
        <w:rPr>
          <w:i/>
        </w:rPr>
        <w:t xml:space="preserve">M </w:t>
      </w:r>
      <w:r w:rsidR="003F1244">
        <w:rPr>
          <w:i/>
        </w:rPr>
        <w:t xml:space="preserve">× D × </w:t>
      </w:r>
      <w:proofErr w:type="spellStart"/>
      <w:r w:rsidR="003F1244">
        <w:rPr>
          <w:i/>
        </w:rPr>
        <w:t>Exposure</w:t>
      </w:r>
      <w:r w:rsidR="003F1244">
        <w:rPr>
          <w:i/>
          <w:vertAlign w:val="superscript"/>
        </w:rPr>
        <w:t>total</w:t>
      </w:r>
      <w:proofErr w:type="spellEnd"/>
      <w:r w:rsidR="003F1244">
        <w:rPr>
          <w:i/>
          <w:vertAlign w:val="superscript"/>
        </w:rPr>
        <w:t xml:space="preserve"> </w:t>
      </w:r>
      <w:r w:rsidRPr="009A59D5">
        <w:t>over all netting sets.</w:t>
      </w:r>
      <w:r w:rsidR="00971F27" w:rsidRPr="009A59D5">
        <w:rPr>
          <w:rStyle w:val="FootnoteReference"/>
        </w:rPr>
        <w:footnoteReference w:id="11"/>
      </w:r>
      <w:r w:rsidRPr="009A59D5">
        <w:t xml:space="preserve"> The calculation of </w:t>
      </w:r>
      <m:oMath>
        <m:r>
          <w:rPr>
            <w:rFonts w:ascii="Cambria Math" w:hAnsi="Cambria Math"/>
          </w:rPr>
          <m:t>M</m:t>
        </m:r>
      </m:oMath>
      <w:r w:rsidRPr="009A59D5">
        <w:t xml:space="preserve"> applies at the netting set </w:t>
      </w:r>
      <w:proofErr w:type="gramStart"/>
      <w:r w:rsidRPr="009A59D5">
        <w:t>level;</w:t>
      </w:r>
      <w:proofErr w:type="gramEnd"/>
    </w:p>
    <w:p w14:paraId="6EAAE96F" w14:textId="3BB749C4" w:rsidR="00853CFE" w:rsidRPr="009A59D5" w:rsidRDefault="00853CFE" w:rsidP="00853CFE">
      <w:pPr>
        <w:pStyle w:val="BodyText2"/>
      </w:pPr>
      <w:bookmarkStart w:id="148" w:name="_Ref508954474"/>
      <w:r w:rsidRPr="009A59D5">
        <w:t xml:space="preserve">an ADI that has OTC derivative exposures to more than one counterparty, but does not allow for CVA hedges in accordance with paragraphs </w:t>
      </w:r>
      <w:r w:rsidR="008946E4" w:rsidRPr="009A59D5">
        <w:fldChar w:fldCharType="begin"/>
      </w:r>
      <w:r w:rsidR="008946E4" w:rsidRPr="009A59D5">
        <w:instrText xml:space="preserve"> REF _Ref461103008 \n \h </w:instrText>
      </w:r>
      <w:r w:rsidR="00365041" w:rsidRPr="009A59D5">
        <w:instrText xml:space="preserve"> \* MERGEFORMAT </w:instrText>
      </w:r>
      <w:r w:rsidR="008946E4" w:rsidRPr="009A59D5">
        <w:fldChar w:fldCharType="separate"/>
      </w:r>
      <w:r w:rsidR="00B401AE">
        <w:t>18</w:t>
      </w:r>
      <w:r w:rsidR="008946E4" w:rsidRPr="009A59D5">
        <w:fldChar w:fldCharType="end"/>
      </w:r>
      <w:r w:rsidR="00C77C82" w:rsidRPr="009A59D5">
        <w:t xml:space="preserve"> to </w:t>
      </w:r>
      <w:r w:rsidR="008946E4" w:rsidRPr="009A59D5">
        <w:fldChar w:fldCharType="begin"/>
      </w:r>
      <w:r w:rsidR="008946E4" w:rsidRPr="009A59D5">
        <w:instrText xml:space="preserve"> REF _Ref460258583 \n \h </w:instrText>
      </w:r>
      <w:r w:rsidR="00365041" w:rsidRPr="009A59D5">
        <w:instrText xml:space="preserve"> \* MERGEFORMAT </w:instrText>
      </w:r>
      <w:r w:rsidR="008946E4" w:rsidRPr="009A59D5">
        <w:fldChar w:fldCharType="separate"/>
      </w:r>
      <w:r w:rsidR="00B401AE">
        <w:t>20</w:t>
      </w:r>
      <w:r w:rsidR="008946E4" w:rsidRPr="009A59D5">
        <w:fldChar w:fldCharType="end"/>
      </w:r>
      <w:r w:rsidRPr="009A59D5">
        <w:t xml:space="preserve"> of this Attachment, must calculate its CVA risk capital charge as:</w:t>
      </w:r>
      <w:bookmarkEnd w:id="148"/>
    </w:p>
    <w:p w14:paraId="5CF7373C" w14:textId="77777777" w:rsidR="00646793" w:rsidRDefault="00DC12F1" w:rsidP="00DC12F1">
      <w:pPr>
        <w:pStyle w:val="BodyText1"/>
        <w:numPr>
          <w:ilvl w:val="0"/>
          <w:numId w:val="0"/>
        </w:numPr>
        <w:ind w:left="1134" w:hanging="1134"/>
      </w:pPr>
      <w:r w:rsidRPr="00DC12F1">
        <w:rPr>
          <w:noProof/>
        </w:rPr>
        <w:drawing>
          <wp:inline distT="0" distB="0" distL="0" distR="0" wp14:anchorId="563F12F0" wp14:editId="2DEB41BA">
            <wp:extent cx="5276850" cy="1038225"/>
            <wp:effectExtent l="0" t="0" r="0" b="0"/>
            <wp:docPr id="5" name="Picture 5" descr="A formula to calculate K subscript CVA for an ADI that has OTC derivative exposures to more than one counterparty but does not allow for CVA hedges in accordance with paragraphs 18 to 20 of this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formula to calculate K subscript CVA for an ADI that has OTC derivative exposures to more than one counterparty but does not allow for CVA hedges in accordance with paragraphs 18 to 20 of this Attach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38225"/>
                    </a:xfrm>
                    <a:prstGeom prst="rect">
                      <a:avLst/>
                    </a:prstGeom>
                    <a:noFill/>
                    <a:ln>
                      <a:noFill/>
                    </a:ln>
                  </pic:spPr>
                </pic:pic>
              </a:graphicData>
            </a:graphic>
          </wp:inline>
        </w:drawing>
      </w:r>
    </w:p>
    <w:p w14:paraId="4186360D" w14:textId="152F91C0" w:rsidR="00853CFE" w:rsidRPr="009A59D5" w:rsidRDefault="00853CFE" w:rsidP="00646793">
      <w:pPr>
        <w:pStyle w:val="BodyText1"/>
        <w:numPr>
          <w:ilvl w:val="0"/>
          <w:numId w:val="0"/>
        </w:numPr>
        <w:ind w:left="1134"/>
      </w:pPr>
      <w:r w:rsidRPr="009A59D5">
        <w:t xml:space="preserve">where the summations (subscript </w:t>
      </w:r>
      <w:proofErr w:type="spellStart"/>
      <w:r w:rsidR="001D518A">
        <w:rPr>
          <w:i/>
        </w:rPr>
        <w:t>i</w:t>
      </w:r>
      <w:proofErr w:type="spellEnd"/>
      <w:r w:rsidRPr="009A59D5">
        <w:t>) are by counterparty; and</w:t>
      </w:r>
    </w:p>
    <w:p w14:paraId="54D47653" w14:textId="1D71BF62" w:rsidR="00853CFE" w:rsidRPr="009A59D5" w:rsidRDefault="00853CFE" w:rsidP="00853CFE">
      <w:pPr>
        <w:pStyle w:val="BodyText2"/>
      </w:pPr>
      <w:bookmarkStart w:id="149" w:name="_Ref460259041"/>
      <w:r w:rsidRPr="009A59D5">
        <w:t xml:space="preserve">an ADI that has OTC derivative exposures to more than one counterparty, and has in place eligible CVA hedges in accordance with paragraphs </w:t>
      </w:r>
      <w:r w:rsidR="008946E4" w:rsidRPr="009A59D5">
        <w:fldChar w:fldCharType="begin"/>
      </w:r>
      <w:r w:rsidR="008946E4" w:rsidRPr="009A59D5">
        <w:instrText xml:space="preserve"> REF _Ref461103008 \n \h </w:instrText>
      </w:r>
      <w:r w:rsidR="00365041" w:rsidRPr="009A59D5">
        <w:instrText xml:space="preserve"> \* MERGEFORMAT </w:instrText>
      </w:r>
      <w:r w:rsidR="008946E4" w:rsidRPr="009A59D5">
        <w:fldChar w:fldCharType="separate"/>
      </w:r>
      <w:r w:rsidR="00B401AE">
        <w:t>18</w:t>
      </w:r>
      <w:r w:rsidR="008946E4" w:rsidRPr="009A59D5">
        <w:fldChar w:fldCharType="end"/>
      </w:r>
      <w:r w:rsidR="00C77C82" w:rsidRPr="009A59D5">
        <w:t xml:space="preserve"> </w:t>
      </w:r>
      <w:r w:rsidRPr="009A59D5">
        <w:t xml:space="preserve">to </w:t>
      </w:r>
      <w:r w:rsidR="008946E4" w:rsidRPr="009A59D5">
        <w:fldChar w:fldCharType="begin"/>
      </w:r>
      <w:r w:rsidR="008946E4" w:rsidRPr="009A59D5">
        <w:instrText xml:space="preserve"> REF _Ref460258583 \n \h </w:instrText>
      </w:r>
      <w:r w:rsidR="00365041" w:rsidRPr="009A59D5">
        <w:instrText xml:space="preserve"> \* MERGEFORMAT </w:instrText>
      </w:r>
      <w:r w:rsidR="008946E4" w:rsidRPr="009A59D5">
        <w:fldChar w:fldCharType="separate"/>
      </w:r>
      <w:r w:rsidR="00B401AE">
        <w:t>20</w:t>
      </w:r>
      <w:r w:rsidR="008946E4" w:rsidRPr="009A59D5">
        <w:fldChar w:fldCharType="end"/>
      </w:r>
      <w:r w:rsidRPr="009A59D5">
        <w:t xml:space="preserve"> of this Attachment, must calculate its CVA risk capital charge as:</w:t>
      </w:r>
      <w:bookmarkEnd w:id="149"/>
    </w:p>
    <w:p w14:paraId="75CC33AD" w14:textId="068B445F" w:rsidR="00853CFE" w:rsidRPr="009A59D5" w:rsidRDefault="00DC12F1" w:rsidP="00DC12F1">
      <w:pPr>
        <w:pStyle w:val="BodyText2"/>
        <w:numPr>
          <w:ilvl w:val="0"/>
          <w:numId w:val="0"/>
        </w:numPr>
        <w:ind w:left="-709"/>
      </w:pPr>
      <w:r w:rsidRPr="00DC12F1">
        <w:rPr>
          <w:noProof/>
        </w:rPr>
        <w:drawing>
          <wp:inline distT="0" distB="0" distL="0" distR="0" wp14:anchorId="70CF3172" wp14:editId="4944BD86">
            <wp:extent cx="5276850" cy="1533525"/>
            <wp:effectExtent l="0" t="0" r="0" b="0"/>
            <wp:docPr id="6" name="Picture 6" descr="A formula to calculate K subscript CVA for an ADI that has OTC derivative exposures to more than one counterparty and has in place eligible CVA hedges in accordance with paragraphs 18 to 20 of this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formula to calculate K subscript CVA for an ADI that has OTC derivative exposures to more than one counterparty and has in place eligible CVA hedges in accordance with paragraphs 18 to 20 of this Attach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533525"/>
                    </a:xfrm>
                    <a:prstGeom prst="rect">
                      <a:avLst/>
                    </a:prstGeom>
                    <a:noFill/>
                    <a:ln>
                      <a:noFill/>
                    </a:ln>
                  </pic:spPr>
                </pic:pic>
              </a:graphicData>
            </a:graphic>
          </wp:inline>
        </w:drawing>
      </w:r>
    </w:p>
    <w:p w14:paraId="35E778C5" w14:textId="77777777" w:rsidR="00853CFE" w:rsidRPr="009A59D5" w:rsidRDefault="00853CFE" w:rsidP="00D94737">
      <w:pPr>
        <w:pStyle w:val="BodyText2"/>
        <w:numPr>
          <w:ilvl w:val="0"/>
          <w:numId w:val="0"/>
        </w:numPr>
        <w:ind w:left="1134"/>
      </w:pPr>
      <w:r w:rsidRPr="009A59D5">
        <w:t>where:</w:t>
      </w:r>
    </w:p>
    <w:p w14:paraId="0C110066" w14:textId="2C80D2FE" w:rsidR="00853CFE" w:rsidRDefault="003F1244" w:rsidP="00D94737">
      <w:pPr>
        <w:pStyle w:val="BodyText2"/>
        <w:numPr>
          <w:ilvl w:val="0"/>
          <w:numId w:val="0"/>
        </w:numPr>
        <w:ind w:left="1134"/>
      </w:pPr>
      <w:proofErr w:type="spellStart"/>
      <w:r>
        <w:rPr>
          <w:i/>
        </w:rPr>
        <w:t>M</w:t>
      </w:r>
      <w:r>
        <w:rPr>
          <w:i/>
          <w:vertAlign w:val="subscript"/>
        </w:rPr>
        <w:t>i</w:t>
      </w:r>
      <w:r>
        <w:rPr>
          <w:i/>
          <w:vertAlign w:val="superscript"/>
        </w:rPr>
        <w:t>hedger</w:t>
      </w:r>
      <w:proofErr w:type="spellEnd"/>
      <w:r>
        <w:rPr>
          <w:i/>
          <w:vertAlign w:val="superscript"/>
        </w:rPr>
        <w:t xml:space="preserve"> </w:t>
      </w:r>
      <w:r w:rsidR="00853CFE" w:rsidRPr="009A59D5">
        <w:t>= the maturity in years of the purchased single name credit default swap (CDS) hedge referencing counterparty</w:t>
      </w:r>
      <w:r>
        <w:rPr>
          <w:i/>
        </w:rPr>
        <w:t xml:space="preserve"> </w:t>
      </w:r>
      <w:proofErr w:type="spellStart"/>
      <w:r>
        <w:rPr>
          <w:i/>
        </w:rPr>
        <w:t>i</w:t>
      </w:r>
      <w:proofErr w:type="spellEnd"/>
      <w:r w:rsidR="00853CFE" w:rsidRPr="009A59D5">
        <w:t xml:space="preserve"> and used to hedge CVA </w:t>
      </w:r>
      <w:proofErr w:type="gramStart"/>
      <w:r w:rsidR="00853CFE" w:rsidRPr="009A59D5">
        <w:t>risk;</w:t>
      </w:r>
      <w:proofErr w:type="gramEnd"/>
    </w:p>
    <w:p w14:paraId="691A23B6" w14:textId="25B735ED" w:rsidR="00F365A0" w:rsidRPr="009A59D5" w:rsidRDefault="00F365A0" w:rsidP="00751D7D">
      <w:pPr>
        <w:pStyle w:val="BodyText2"/>
        <w:numPr>
          <w:ilvl w:val="0"/>
          <w:numId w:val="0"/>
        </w:numPr>
        <w:spacing w:after="0"/>
        <w:ind w:left="1134" w:hanging="992"/>
      </w:pPr>
      <w:r w:rsidRPr="00F365A0">
        <w:rPr>
          <w:noProof/>
        </w:rPr>
        <w:drawing>
          <wp:inline distT="0" distB="0" distL="0" distR="0" wp14:anchorId="61B25952" wp14:editId="473D068B">
            <wp:extent cx="5278120" cy="534670"/>
            <wp:effectExtent l="0" t="0" r="0" b="0"/>
            <wp:docPr id="9" name="Picture 9" descr="Start formula D subscript i superscript hedge equals start fraction  1 minus e superscript -0.05 M subscript i superscript hedge over 0.05 M subscript i superscript hedg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art formula D subscript i superscript hedge equals start fraction  1 minus e superscript -0.05 M subscript i superscript hedge over 0.05 M subscript i superscript hedge end fraction end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120" cy="534670"/>
                    </a:xfrm>
                    <a:prstGeom prst="rect">
                      <a:avLst/>
                    </a:prstGeom>
                    <a:noFill/>
                    <a:ln>
                      <a:noFill/>
                    </a:ln>
                  </pic:spPr>
                </pic:pic>
              </a:graphicData>
            </a:graphic>
          </wp:inline>
        </w:drawing>
      </w:r>
    </w:p>
    <w:p w14:paraId="25683869" w14:textId="405E7345" w:rsidR="00853CFE" w:rsidRPr="009A59D5" w:rsidRDefault="001D518A" w:rsidP="00D94737">
      <w:pPr>
        <w:pStyle w:val="BodyText2"/>
        <w:numPr>
          <w:ilvl w:val="0"/>
          <w:numId w:val="0"/>
        </w:numPr>
        <w:ind w:left="1134"/>
      </w:pPr>
      <w:r>
        <w:rPr>
          <w:i/>
        </w:rPr>
        <w:t>B</w:t>
      </w:r>
      <w:r>
        <w:rPr>
          <w:i/>
          <w:vertAlign w:val="subscript"/>
        </w:rPr>
        <w:t xml:space="preserve">i </w:t>
      </w:r>
      <w:r w:rsidR="00853CFE" w:rsidRPr="009A59D5">
        <w:t xml:space="preserve">= the notional amount of the purchased single-name CDS </w:t>
      </w:r>
      <w:r w:rsidR="0089629E" w:rsidRPr="009A59D5">
        <w:t xml:space="preserve">hedge referencing counterparty </w:t>
      </w:r>
      <w:proofErr w:type="spellStart"/>
      <w:r w:rsidR="007F349A">
        <w:rPr>
          <w:i/>
        </w:rPr>
        <w:t>i</w:t>
      </w:r>
      <w:proofErr w:type="spellEnd"/>
      <w:r w:rsidR="00853CFE" w:rsidRPr="009A59D5">
        <w:t xml:space="preserve"> and used to hedge CVA </w:t>
      </w:r>
      <w:proofErr w:type="gramStart"/>
      <w:r w:rsidR="00853CFE" w:rsidRPr="009A59D5">
        <w:t>risk;</w:t>
      </w:r>
      <w:proofErr w:type="gramEnd"/>
    </w:p>
    <w:p w14:paraId="2A48E8F8" w14:textId="1FF80891" w:rsidR="00853CFE" w:rsidRPr="009A59D5" w:rsidRDefault="003F1244" w:rsidP="00D94737">
      <w:pPr>
        <w:pStyle w:val="BodyText2"/>
        <w:numPr>
          <w:ilvl w:val="0"/>
          <w:numId w:val="0"/>
        </w:numPr>
        <w:ind w:left="1134"/>
      </w:pPr>
      <w:r>
        <w:rPr>
          <w:i/>
        </w:rPr>
        <w:lastRenderedPageBreak/>
        <w:t>w</w:t>
      </w:r>
      <w:r>
        <w:rPr>
          <w:i/>
          <w:vertAlign w:val="subscript"/>
        </w:rPr>
        <w:t>ind</w:t>
      </w:r>
      <w:r w:rsidR="00D94737" w:rsidRPr="009A59D5">
        <w:t xml:space="preserve"> </w:t>
      </w:r>
      <w:r w:rsidR="00853CFE" w:rsidRPr="009A59D5">
        <w:t>= the weight applicable to the ‘</w:t>
      </w:r>
      <w:proofErr w:type="spellStart"/>
      <w:r w:rsidR="00853CFE" w:rsidRPr="009A59D5">
        <w:t>ind</w:t>
      </w:r>
      <w:proofErr w:type="spellEnd"/>
      <w:r w:rsidR="00853CFE" w:rsidRPr="009A59D5">
        <w:t>’ CDS index det</w:t>
      </w:r>
      <w:r w:rsidR="00C77C82" w:rsidRPr="009A59D5">
        <w:t xml:space="preserve">ermined according to paragraph </w:t>
      </w:r>
      <w:r w:rsidR="008946E4" w:rsidRPr="009A59D5">
        <w:fldChar w:fldCharType="begin"/>
      </w:r>
      <w:r w:rsidR="008946E4" w:rsidRPr="009A59D5">
        <w:instrText xml:space="preserve"> REF _Ref461102991 \n \h </w:instrText>
      </w:r>
      <w:r w:rsidR="00365041" w:rsidRPr="009A59D5">
        <w:instrText xml:space="preserve"> \* MERGEFORMAT </w:instrText>
      </w:r>
      <w:r w:rsidR="008946E4" w:rsidRPr="009A59D5">
        <w:fldChar w:fldCharType="separate"/>
      </w:r>
      <w:r w:rsidR="00B401AE">
        <w:t>17</w:t>
      </w:r>
      <w:r w:rsidR="008946E4" w:rsidRPr="009A59D5">
        <w:fldChar w:fldCharType="end"/>
      </w:r>
      <w:r w:rsidR="00853CFE" w:rsidRPr="009A59D5">
        <w:t xml:space="preserve"> of this </w:t>
      </w:r>
      <w:proofErr w:type="gramStart"/>
      <w:r w:rsidR="00853CFE" w:rsidRPr="009A59D5">
        <w:t>Attachment;</w:t>
      </w:r>
      <w:proofErr w:type="gramEnd"/>
    </w:p>
    <w:p w14:paraId="4A1E2DE3" w14:textId="565A3C76" w:rsidR="00853CFE" w:rsidRDefault="003F1244" w:rsidP="00D94737">
      <w:pPr>
        <w:pStyle w:val="BodyText2"/>
        <w:numPr>
          <w:ilvl w:val="0"/>
          <w:numId w:val="0"/>
        </w:numPr>
        <w:ind w:left="1134"/>
      </w:pPr>
      <w:r>
        <w:rPr>
          <w:i/>
        </w:rPr>
        <w:t>M</w:t>
      </w:r>
      <w:r>
        <w:rPr>
          <w:i/>
          <w:vertAlign w:val="subscript"/>
        </w:rPr>
        <w:t>ind</w:t>
      </w:r>
      <w:r w:rsidR="00D94737" w:rsidRPr="009A59D5">
        <w:t xml:space="preserve"> </w:t>
      </w:r>
      <w:r w:rsidR="00853CFE" w:rsidRPr="009A59D5">
        <w:t>= the maturity in years of ‘</w:t>
      </w:r>
      <w:proofErr w:type="spellStart"/>
      <w:r w:rsidR="00853CFE" w:rsidRPr="009A59D5">
        <w:t>ind</w:t>
      </w:r>
      <w:proofErr w:type="spellEnd"/>
      <w:r w:rsidR="00853CFE" w:rsidRPr="009A59D5">
        <w:t xml:space="preserve">’ CDS index purchased </w:t>
      </w:r>
      <w:proofErr w:type="gramStart"/>
      <w:r w:rsidR="00853CFE" w:rsidRPr="009A59D5">
        <w:t>protection;</w:t>
      </w:r>
      <w:proofErr w:type="gramEnd"/>
    </w:p>
    <w:p w14:paraId="02D3355C" w14:textId="12F09F3E" w:rsidR="00853CFE" w:rsidRPr="009A59D5" w:rsidRDefault="00D3227F" w:rsidP="00751D7D">
      <w:pPr>
        <w:pStyle w:val="BodyText2"/>
        <w:numPr>
          <w:ilvl w:val="0"/>
          <w:numId w:val="0"/>
        </w:numPr>
        <w:ind w:left="851"/>
        <w:jc w:val="left"/>
      </w:pPr>
      <w:r w:rsidRPr="00D3227F">
        <w:rPr>
          <w:noProof/>
        </w:rPr>
        <w:drawing>
          <wp:inline distT="0" distB="0" distL="0" distR="0" wp14:anchorId="12E4C177" wp14:editId="79E72BA5">
            <wp:extent cx="1492370" cy="508000"/>
            <wp:effectExtent l="0" t="0" r="0" b="0"/>
            <wp:docPr id="10" name="Picture 10" descr="Start formula D subscript ind equals start fraction 1 minus e superscript -0.05 M subscript ind over 0.05 M subscript ind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formula D subscript ind equals start fraction 1 minus e superscript -0.05 M subscript ind over 0.05 M subscript ind end fraction end formula."/>
                    <pic:cNvPicPr>
                      <a:picLocks noChangeAspect="1" noChangeArrowheads="1"/>
                    </pic:cNvPicPr>
                  </pic:nvPicPr>
                  <pic:blipFill rotWithShape="1">
                    <a:blip r:embed="rId23">
                      <a:extLst>
                        <a:ext uri="{28A0092B-C50C-407E-A947-70E740481C1C}">
                          <a14:useLocalDpi xmlns:a14="http://schemas.microsoft.com/office/drawing/2010/main" val="0"/>
                        </a:ext>
                      </a:extLst>
                    </a:blip>
                    <a:srcRect l="34653" r="37037"/>
                    <a:stretch/>
                  </pic:blipFill>
                  <pic:spPr bwMode="auto">
                    <a:xfrm>
                      <a:off x="0" y="0"/>
                      <a:ext cx="1494235" cy="508635"/>
                    </a:xfrm>
                    <a:prstGeom prst="rect">
                      <a:avLst/>
                    </a:prstGeom>
                    <a:noFill/>
                    <a:ln>
                      <a:noFill/>
                    </a:ln>
                    <a:extLst>
                      <a:ext uri="{53640926-AAD7-44D8-BBD7-CCE9431645EC}">
                        <a14:shadowObscured xmlns:a14="http://schemas.microsoft.com/office/drawing/2010/main"/>
                      </a:ext>
                    </a:extLst>
                  </pic:spPr>
                </pic:pic>
              </a:graphicData>
            </a:graphic>
          </wp:inline>
        </w:drawing>
      </w:r>
      <w:r w:rsidR="00853CFE" w:rsidRPr="009A59D5">
        <w:t>; and</w:t>
      </w:r>
    </w:p>
    <w:p w14:paraId="7BB2C05E" w14:textId="6AB4498C" w:rsidR="00007EE4" w:rsidRPr="009A59D5" w:rsidRDefault="003F1244" w:rsidP="00D94737">
      <w:pPr>
        <w:pStyle w:val="BodyText2"/>
        <w:numPr>
          <w:ilvl w:val="0"/>
          <w:numId w:val="0"/>
        </w:numPr>
        <w:ind w:left="1134"/>
      </w:pPr>
      <w:r>
        <w:rPr>
          <w:i/>
        </w:rPr>
        <w:t>B</w:t>
      </w:r>
      <w:r>
        <w:rPr>
          <w:i/>
          <w:vertAlign w:val="subscript"/>
        </w:rPr>
        <w:t>ind</w:t>
      </w:r>
      <w:r w:rsidR="00D94737" w:rsidRPr="009A59D5">
        <w:t xml:space="preserve"> </w:t>
      </w:r>
      <w:r w:rsidR="00853CFE" w:rsidRPr="009A59D5">
        <w:t>= the notional amount of ‘</w:t>
      </w:r>
      <w:proofErr w:type="spellStart"/>
      <w:r w:rsidR="00853CFE" w:rsidRPr="009A59D5">
        <w:t>ind</w:t>
      </w:r>
      <w:proofErr w:type="spellEnd"/>
      <w:r w:rsidR="00853CFE" w:rsidRPr="009A59D5">
        <w:t>’ CDS index purchased protection used to hedge CVA risk.</w:t>
      </w:r>
    </w:p>
    <w:p w14:paraId="138ACDF7" w14:textId="1A8E4EDA" w:rsidR="00D94737" w:rsidRPr="009A59D5" w:rsidRDefault="00D94737" w:rsidP="00D94737">
      <w:pPr>
        <w:pStyle w:val="BodyText2"/>
        <w:numPr>
          <w:ilvl w:val="0"/>
          <w:numId w:val="0"/>
        </w:numPr>
        <w:ind w:left="1134"/>
      </w:pPr>
      <w:r w:rsidRPr="009A59D5">
        <w:t>An ADI that has more than one purchased single-name CDS hedge referencing counterparty</w:t>
      </w:r>
      <w:r w:rsidR="003F1244">
        <w:t xml:space="preserve"> </w:t>
      </w:r>
      <w:proofErr w:type="spellStart"/>
      <w:r w:rsidR="003F1244">
        <w:rPr>
          <w:i/>
        </w:rPr>
        <w:t>i</w:t>
      </w:r>
      <w:proofErr w:type="spellEnd"/>
      <w:r w:rsidRPr="009A59D5">
        <w:t xml:space="preserve"> used to hedge CVA risk, must replace </w:t>
      </w:r>
      <w:proofErr w:type="spellStart"/>
      <w:r w:rsidR="003F1244">
        <w:rPr>
          <w:i/>
        </w:rPr>
        <w:t>M</w:t>
      </w:r>
      <w:r w:rsidR="003F1244">
        <w:rPr>
          <w:i/>
          <w:vertAlign w:val="subscript"/>
        </w:rPr>
        <w:t>i</w:t>
      </w:r>
      <w:r w:rsidR="003F1244">
        <w:rPr>
          <w:i/>
          <w:vertAlign w:val="superscript"/>
        </w:rPr>
        <w:t>hedge</w:t>
      </w:r>
      <w:r w:rsidR="003F1244">
        <w:rPr>
          <w:i/>
        </w:rPr>
        <w:t>D</w:t>
      </w:r>
      <w:r w:rsidR="003F1244">
        <w:rPr>
          <w:i/>
          <w:vertAlign w:val="subscript"/>
        </w:rPr>
        <w:t>i</w:t>
      </w:r>
      <w:r w:rsidR="003F1244">
        <w:rPr>
          <w:i/>
          <w:vertAlign w:val="superscript"/>
        </w:rPr>
        <w:t>hedge</w:t>
      </w:r>
      <w:r w:rsidR="003F1244">
        <w:rPr>
          <w:i/>
        </w:rPr>
        <w:t>B</w:t>
      </w:r>
      <w:r w:rsidR="003F1244">
        <w:rPr>
          <w:i/>
          <w:vertAlign w:val="subscript"/>
        </w:rPr>
        <w:t>i</w:t>
      </w:r>
      <w:proofErr w:type="spellEnd"/>
      <w:r w:rsidRPr="009A59D5">
        <w:t xml:space="preserve"> in the formula above by the sum over all such hedges:</w:t>
      </w:r>
    </w:p>
    <w:p w14:paraId="39DCA4D2" w14:textId="77777777" w:rsidR="00D6748C" w:rsidRPr="00751D7D" w:rsidRDefault="008F0758" w:rsidP="00751D7D">
      <w:pPr>
        <w:pStyle w:val="BodyText2"/>
        <w:numPr>
          <w:ilvl w:val="0"/>
          <w:numId w:val="0"/>
        </w:numPr>
        <w:spacing w:after="0"/>
        <w:ind w:left="1134" w:hanging="142"/>
      </w:pPr>
      <w:r w:rsidRPr="008F0758">
        <w:rPr>
          <w:noProof/>
        </w:rPr>
        <w:drawing>
          <wp:inline distT="0" distB="0" distL="0" distR="0" wp14:anchorId="3FB629F9" wp14:editId="49575D7B">
            <wp:extent cx="2458517" cy="577848"/>
            <wp:effectExtent l="0" t="0" r="0" b="0"/>
            <wp:docPr id="11" name="Picture 11" descr="Start formula M subscript ind D subscript ind B subscript ind equals the sum across j of M subscript ind, j D subscript ind, j B subscript ind, j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rt formula M subscript ind D subscript ind B subscript ind equals the sum across j of M subscript ind, j D subscript ind, j B subscript ind, j end formula."/>
                    <pic:cNvPicPr>
                      <a:picLocks noChangeAspect="1" noChangeArrowheads="1"/>
                    </pic:cNvPicPr>
                  </pic:nvPicPr>
                  <pic:blipFill rotWithShape="1">
                    <a:blip r:embed="rId24">
                      <a:extLst>
                        <a:ext uri="{28A0092B-C50C-407E-A947-70E740481C1C}">
                          <a14:useLocalDpi xmlns:a14="http://schemas.microsoft.com/office/drawing/2010/main" val="0"/>
                        </a:ext>
                      </a:extLst>
                    </a:blip>
                    <a:srcRect l="33341" r="20079"/>
                    <a:stretch/>
                  </pic:blipFill>
                  <pic:spPr bwMode="auto">
                    <a:xfrm>
                      <a:off x="0" y="0"/>
                      <a:ext cx="2458524" cy="577850"/>
                    </a:xfrm>
                    <a:prstGeom prst="rect">
                      <a:avLst/>
                    </a:prstGeom>
                    <a:noFill/>
                    <a:ln>
                      <a:noFill/>
                    </a:ln>
                    <a:extLst>
                      <a:ext uri="{53640926-AAD7-44D8-BBD7-CCE9431645EC}">
                        <a14:shadowObscured xmlns:a14="http://schemas.microsoft.com/office/drawing/2010/main"/>
                      </a:ext>
                    </a:extLst>
                  </pic:spPr>
                </pic:pic>
              </a:graphicData>
            </a:graphic>
          </wp:inline>
        </w:drawing>
      </w:r>
    </w:p>
    <w:p w14:paraId="21E17015" w14:textId="2A38457A" w:rsidR="00D94737" w:rsidRPr="009A59D5" w:rsidRDefault="00D94737" w:rsidP="00D94737">
      <w:pPr>
        <w:pStyle w:val="BodyText2"/>
        <w:numPr>
          <w:ilvl w:val="0"/>
          <w:numId w:val="0"/>
        </w:numPr>
        <w:ind w:left="1134"/>
      </w:pPr>
      <w:r w:rsidRPr="009A59D5">
        <w:t>where each hedge is denoted by the subscript</w:t>
      </w:r>
      <w:r w:rsidR="003F1244">
        <w:t xml:space="preserve"> </w:t>
      </w:r>
      <w:r w:rsidR="003F1244">
        <w:rPr>
          <w:i/>
        </w:rPr>
        <w:t>j = 1,2,3 …</w:t>
      </w:r>
    </w:p>
    <w:p w14:paraId="67517918" w14:textId="7390F2E0" w:rsidR="00EC6B7F" w:rsidRPr="004B4A34" w:rsidRDefault="00D94737" w:rsidP="00BF03DF">
      <w:pPr>
        <w:pStyle w:val="BodyText2"/>
        <w:numPr>
          <w:ilvl w:val="0"/>
          <w:numId w:val="0"/>
        </w:numPr>
        <w:ind w:left="1134"/>
      </w:pPr>
      <w:r w:rsidRPr="009A59D5">
        <w:t>An ADI that has purchased more than one CDS index protection to hedge CVA risk must replace</w:t>
      </w:r>
      <w:r w:rsidR="003F1244">
        <w:t xml:space="preserve"> </w:t>
      </w:r>
      <w:proofErr w:type="spellStart"/>
      <w:r w:rsidR="003F1244">
        <w:rPr>
          <w:i/>
        </w:rPr>
        <w:t>M</w:t>
      </w:r>
      <w:r w:rsidR="003F1244">
        <w:rPr>
          <w:i/>
          <w:vertAlign w:val="subscript"/>
        </w:rPr>
        <w:t>ind</w:t>
      </w:r>
      <w:r w:rsidR="003F1244">
        <w:rPr>
          <w:i/>
        </w:rPr>
        <w:t>D</w:t>
      </w:r>
      <w:r w:rsidR="003F1244">
        <w:rPr>
          <w:i/>
          <w:vertAlign w:val="subscript"/>
        </w:rPr>
        <w:t>ind</w:t>
      </w:r>
      <w:r w:rsidR="003F1244">
        <w:rPr>
          <w:i/>
        </w:rPr>
        <w:t>B</w:t>
      </w:r>
      <w:r w:rsidR="003F1244">
        <w:rPr>
          <w:i/>
          <w:vertAlign w:val="subscript"/>
        </w:rPr>
        <w:t>ind</w:t>
      </w:r>
      <w:proofErr w:type="spellEnd"/>
      <w:r w:rsidR="00EC6B7F" w:rsidRPr="009A59D5">
        <w:t xml:space="preserve"> </w:t>
      </w:r>
      <w:r w:rsidRPr="009A59D5">
        <w:t>in the formula above by the sum over all such hedges:</w:t>
      </w:r>
    </w:p>
    <w:p w14:paraId="71091A6E" w14:textId="65498C0B" w:rsidR="00270747" w:rsidRPr="009A59D5" w:rsidRDefault="00306996" w:rsidP="00D94737">
      <w:pPr>
        <w:pStyle w:val="BodyText2"/>
        <w:numPr>
          <w:ilvl w:val="0"/>
          <w:numId w:val="0"/>
        </w:numPr>
        <w:ind w:left="1134"/>
      </w:pPr>
      <w:r>
        <w:rPr>
          <w:noProof/>
        </w:rPr>
        <w:t xml:space="preserve"> </w:t>
      </w:r>
      <w:r w:rsidR="00270747" w:rsidRPr="008F0758">
        <w:rPr>
          <w:noProof/>
        </w:rPr>
        <w:drawing>
          <wp:inline distT="0" distB="0" distL="0" distR="0" wp14:anchorId="7CC287A0" wp14:editId="4DD9F691">
            <wp:extent cx="2458517" cy="577848"/>
            <wp:effectExtent l="0" t="0" r="0" b="0"/>
            <wp:docPr id="14" name="Picture 14" descr="Start formula M subscript ind D subscript ind B subscript ind equals the sum across j of M subscript ind, j D subscript ind, j B subscript ind, j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rt formula M subscript ind D subscript ind B subscript ind equals the sum across j of M subscript ind, j D subscript ind, j B subscript ind, j end formula."/>
                    <pic:cNvPicPr>
                      <a:picLocks noChangeAspect="1" noChangeArrowheads="1"/>
                    </pic:cNvPicPr>
                  </pic:nvPicPr>
                  <pic:blipFill rotWithShape="1">
                    <a:blip r:embed="rId24">
                      <a:extLst>
                        <a:ext uri="{28A0092B-C50C-407E-A947-70E740481C1C}">
                          <a14:useLocalDpi xmlns:a14="http://schemas.microsoft.com/office/drawing/2010/main" val="0"/>
                        </a:ext>
                      </a:extLst>
                    </a:blip>
                    <a:srcRect l="33341" r="20079"/>
                    <a:stretch/>
                  </pic:blipFill>
                  <pic:spPr bwMode="auto">
                    <a:xfrm>
                      <a:off x="0" y="0"/>
                      <a:ext cx="2458524" cy="577850"/>
                    </a:xfrm>
                    <a:prstGeom prst="rect">
                      <a:avLst/>
                    </a:prstGeom>
                    <a:noFill/>
                    <a:ln>
                      <a:noFill/>
                    </a:ln>
                    <a:extLst>
                      <a:ext uri="{53640926-AAD7-44D8-BBD7-CCE9431645EC}">
                        <a14:shadowObscured xmlns:a14="http://schemas.microsoft.com/office/drawing/2010/main"/>
                      </a:ext>
                    </a:extLst>
                  </pic:spPr>
                </pic:pic>
              </a:graphicData>
            </a:graphic>
          </wp:inline>
        </w:drawing>
      </w:r>
    </w:p>
    <w:p w14:paraId="3B9F7F16" w14:textId="14D83087" w:rsidR="00D94737" w:rsidRPr="009A59D5" w:rsidRDefault="00D94737" w:rsidP="00D94737">
      <w:pPr>
        <w:pStyle w:val="BodyText2"/>
        <w:numPr>
          <w:ilvl w:val="0"/>
          <w:numId w:val="0"/>
        </w:numPr>
        <w:ind w:left="1134"/>
      </w:pPr>
      <w:r w:rsidRPr="009A59D5">
        <w:t xml:space="preserve">where each hedge is denoted by the subscript </w:t>
      </w:r>
      <w:r w:rsidR="003F1244">
        <w:rPr>
          <w:i/>
        </w:rPr>
        <w:t>j = 1,2,3 …</w:t>
      </w:r>
    </w:p>
    <w:p w14:paraId="70DB4203" w14:textId="5043B7FB" w:rsidR="00D94737" w:rsidRPr="009A59D5" w:rsidRDefault="00D94737" w:rsidP="00D94737">
      <w:pPr>
        <w:pStyle w:val="BodyText1"/>
      </w:pPr>
      <w:bookmarkStart w:id="150" w:name="_Ref461102991"/>
      <w:r w:rsidRPr="009A59D5">
        <w:t xml:space="preserve">For the purposes of calculating the CVA risk capital charge, an ADI must determine the weight for a counterparty or credit index by its </w:t>
      </w:r>
      <w:r w:rsidRPr="009A59D5">
        <w:rPr>
          <w:b/>
        </w:rPr>
        <w:t>credit rating grade</w:t>
      </w:r>
      <w:r w:rsidRPr="009A59D5">
        <w:t xml:space="preserve"> according to </w:t>
      </w:r>
      <w:r w:rsidR="004745D9" w:rsidRPr="009A59D5">
        <w:fldChar w:fldCharType="begin"/>
      </w:r>
      <w:r w:rsidR="004745D9" w:rsidRPr="009A59D5">
        <w:instrText xml:space="preserve"> REF _Ref460252135 \h </w:instrText>
      </w:r>
      <w:r w:rsidR="00365041" w:rsidRPr="009A59D5">
        <w:instrText xml:space="preserve"> \* MERGEFORMAT </w:instrText>
      </w:r>
      <w:r w:rsidR="004745D9" w:rsidRPr="009A59D5">
        <w:fldChar w:fldCharType="separate"/>
      </w:r>
      <w:r w:rsidR="00B401AE" w:rsidRPr="009A59D5">
        <w:t xml:space="preserve">Table </w:t>
      </w:r>
      <w:r w:rsidR="00B401AE">
        <w:rPr>
          <w:noProof/>
        </w:rPr>
        <w:t>1</w:t>
      </w:r>
      <w:r w:rsidR="004745D9" w:rsidRPr="009A59D5">
        <w:fldChar w:fldCharType="end"/>
      </w:r>
      <w:r w:rsidR="004745D9" w:rsidRPr="009A59D5">
        <w:t xml:space="preserve"> </w:t>
      </w:r>
      <w:r w:rsidRPr="009A59D5">
        <w:t>below.</w:t>
      </w:r>
      <w:bookmarkEnd w:id="150"/>
    </w:p>
    <w:p w14:paraId="268050D2" w14:textId="13F85D7C" w:rsidR="00D94737" w:rsidRPr="009A59D5" w:rsidRDefault="00D94737" w:rsidP="00D94737">
      <w:pPr>
        <w:pStyle w:val="BodyText1"/>
        <w:numPr>
          <w:ilvl w:val="0"/>
          <w:numId w:val="0"/>
        </w:numPr>
        <w:ind w:left="567"/>
      </w:pPr>
      <w:bookmarkStart w:id="151" w:name="_Ref460252135"/>
      <w:bookmarkStart w:id="152" w:name="_Ref460252108"/>
      <w:r w:rsidRPr="009A59D5">
        <w:t xml:space="preserve">Table </w:t>
      </w:r>
      <w:r w:rsidR="00744650">
        <w:fldChar w:fldCharType="begin"/>
      </w:r>
      <w:r w:rsidR="00744650">
        <w:instrText xml:space="preserve"> SEQ Table \* ARABIC \* MERGEFORMAT </w:instrText>
      </w:r>
      <w:r w:rsidR="00744650">
        <w:fldChar w:fldCharType="separate"/>
      </w:r>
      <w:r w:rsidR="00B401AE">
        <w:rPr>
          <w:noProof/>
        </w:rPr>
        <w:t>1</w:t>
      </w:r>
      <w:r w:rsidR="00744650">
        <w:rPr>
          <w:noProof/>
        </w:rPr>
        <w:fldChar w:fldCharType="end"/>
      </w:r>
      <w:bookmarkEnd w:id="151"/>
      <w:r w:rsidRPr="009A59D5">
        <w:t>: CVA risk capital formula weights</w:t>
      </w:r>
      <w:bookmarkEnd w:id="152"/>
    </w:p>
    <w:tbl>
      <w:tblPr>
        <w:tblStyle w:val="TableGrid"/>
        <w:tblW w:w="0" w:type="auto"/>
        <w:tblInd w:w="567" w:type="dxa"/>
        <w:tblLook w:val="04A0" w:firstRow="1" w:lastRow="0" w:firstColumn="1" w:lastColumn="0" w:noHBand="0" w:noVBand="1"/>
      </w:tblPr>
      <w:tblGrid>
        <w:gridCol w:w="3868"/>
        <w:gridCol w:w="3867"/>
      </w:tblGrid>
      <w:tr w:rsidR="00EC6B7F" w:rsidRPr="009A59D5" w14:paraId="0DE252E8" w14:textId="77777777" w:rsidTr="00187998">
        <w:trPr>
          <w:trHeight w:val="391"/>
        </w:trPr>
        <w:tc>
          <w:tcPr>
            <w:tcW w:w="3868" w:type="dxa"/>
          </w:tcPr>
          <w:p w14:paraId="23A95924" w14:textId="77777777" w:rsidR="00EC6B7F" w:rsidRPr="009A59D5" w:rsidRDefault="00EC6B7F" w:rsidP="001C2D28">
            <w:pPr>
              <w:jc w:val="center"/>
              <w:rPr>
                <w:b/>
              </w:rPr>
            </w:pPr>
            <w:r w:rsidRPr="009A59D5">
              <w:rPr>
                <w:b/>
              </w:rPr>
              <w:t>Long term credit rating grade</w:t>
            </w:r>
          </w:p>
        </w:tc>
        <w:tc>
          <w:tcPr>
            <w:tcW w:w="3867" w:type="dxa"/>
          </w:tcPr>
          <w:p w14:paraId="32CD6D2E" w14:textId="77777777" w:rsidR="00EC6B7F" w:rsidRPr="009A59D5" w:rsidRDefault="00EC6B7F" w:rsidP="001C2D28">
            <w:pPr>
              <w:jc w:val="center"/>
              <w:rPr>
                <w:b/>
              </w:rPr>
            </w:pPr>
            <w:r w:rsidRPr="009A59D5">
              <w:rPr>
                <w:b/>
              </w:rPr>
              <w:t>Weight (%)</w:t>
            </w:r>
          </w:p>
        </w:tc>
      </w:tr>
      <w:tr w:rsidR="00EC6B7F" w:rsidRPr="009A59D5" w14:paraId="68BAACC8" w14:textId="77777777" w:rsidTr="00187998">
        <w:trPr>
          <w:trHeight w:val="391"/>
        </w:trPr>
        <w:tc>
          <w:tcPr>
            <w:tcW w:w="3868" w:type="dxa"/>
          </w:tcPr>
          <w:p w14:paraId="3E9355EA" w14:textId="77777777" w:rsidR="00EC6B7F" w:rsidRPr="009A59D5" w:rsidRDefault="00EC6B7F" w:rsidP="00EC6B7F">
            <w:pPr>
              <w:jc w:val="center"/>
            </w:pPr>
            <w:r w:rsidRPr="009A59D5">
              <w:t>1</w:t>
            </w:r>
          </w:p>
        </w:tc>
        <w:tc>
          <w:tcPr>
            <w:tcW w:w="3867" w:type="dxa"/>
          </w:tcPr>
          <w:p w14:paraId="3553BE5C" w14:textId="77777777" w:rsidR="00EC6B7F" w:rsidRPr="009A59D5" w:rsidRDefault="00EC6B7F" w:rsidP="00EC6B7F">
            <w:pPr>
              <w:jc w:val="center"/>
            </w:pPr>
            <w:r w:rsidRPr="009A59D5">
              <w:t>0.7</w:t>
            </w:r>
          </w:p>
        </w:tc>
      </w:tr>
      <w:tr w:rsidR="00EC6B7F" w:rsidRPr="009A59D5" w14:paraId="774A9B70" w14:textId="77777777" w:rsidTr="00187998">
        <w:trPr>
          <w:trHeight w:val="391"/>
        </w:trPr>
        <w:tc>
          <w:tcPr>
            <w:tcW w:w="3868" w:type="dxa"/>
          </w:tcPr>
          <w:p w14:paraId="5C835AEF" w14:textId="77777777" w:rsidR="00EC6B7F" w:rsidRPr="009A59D5" w:rsidRDefault="00EC6B7F" w:rsidP="00EC6B7F">
            <w:pPr>
              <w:jc w:val="center"/>
            </w:pPr>
            <w:r w:rsidRPr="009A59D5">
              <w:t>2</w:t>
            </w:r>
          </w:p>
        </w:tc>
        <w:tc>
          <w:tcPr>
            <w:tcW w:w="3867" w:type="dxa"/>
          </w:tcPr>
          <w:p w14:paraId="36445A57" w14:textId="77777777" w:rsidR="00EC6B7F" w:rsidRPr="009A59D5" w:rsidRDefault="00EC6B7F" w:rsidP="00EC6B7F">
            <w:pPr>
              <w:jc w:val="center"/>
            </w:pPr>
            <w:r w:rsidRPr="009A59D5">
              <w:t>0.8</w:t>
            </w:r>
          </w:p>
        </w:tc>
      </w:tr>
      <w:tr w:rsidR="00EC6B7F" w:rsidRPr="009A59D5" w14:paraId="7C3806C9" w14:textId="77777777" w:rsidTr="00187998">
        <w:trPr>
          <w:trHeight w:val="391"/>
        </w:trPr>
        <w:tc>
          <w:tcPr>
            <w:tcW w:w="3868" w:type="dxa"/>
          </w:tcPr>
          <w:p w14:paraId="0439FDBE" w14:textId="77777777" w:rsidR="00EC6B7F" w:rsidRPr="009A59D5" w:rsidRDefault="00EC6B7F" w:rsidP="00EC6B7F">
            <w:pPr>
              <w:jc w:val="center"/>
            </w:pPr>
            <w:r w:rsidRPr="009A59D5">
              <w:t>3</w:t>
            </w:r>
          </w:p>
        </w:tc>
        <w:tc>
          <w:tcPr>
            <w:tcW w:w="3867" w:type="dxa"/>
          </w:tcPr>
          <w:p w14:paraId="3FC824C9" w14:textId="77777777" w:rsidR="00EC6B7F" w:rsidRPr="009A59D5" w:rsidRDefault="00EC6B7F" w:rsidP="00EC6B7F">
            <w:pPr>
              <w:jc w:val="center"/>
            </w:pPr>
            <w:r w:rsidRPr="009A59D5">
              <w:t>1.0</w:t>
            </w:r>
          </w:p>
        </w:tc>
      </w:tr>
      <w:tr w:rsidR="00EC6B7F" w:rsidRPr="009A59D5" w14:paraId="6B82DB57" w14:textId="77777777" w:rsidTr="00187998">
        <w:trPr>
          <w:trHeight w:val="391"/>
        </w:trPr>
        <w:tc>
          <w:tcPr>
            <w:tcW w:w="3868" w:type="dxa"/>
          </w:tcPr>
          <w:p w14:paraId="0C695013" w14:textId="77777777" w:rsidR="00EC6B7F" w:rsidRPr="009A59D5" w:rsidRDefault="00EC6B7F" w:rsidP="00EC6B7F">
            <w:pPr>
              <w:jc w:val="center"/>
            </w:pPr>
            <w:r w:rsidRPr="009A59D5">
              <w:t>4 or unrated</w:t>
            </w:r>
          </w:p>
        </w:tc>
        <w:tc>
          <w:tcPr>
            <w:tcW w:w="3867" w:type="dxa"/>
          </w:tcPr>
          <w:p w14:paraId="3F31908A" w14:textId="77777777" w:rsidR="00EC6B7F" w:rsidRPr="009A59D5" w:rsidRDefault="00EC6B7F" w:rsidP="00EC6B7F">
            <w:pPr>
              <w:jc w:val="center"/>
            </w:pPr>
            <w:r w:rsidRPr="009A59D5">
              <w:t>2.0</w:t>
            </w:r>
          </w:p>
        </w:tc>
      </w:tr>
      <w:tr w:rsidR="00EC6B7F" w:rsidRPr="009A59D5" w14:paraId="6B1DF475" w14:textId="77777777" w:rsidTr="00187998">
        <w:trPr>
          <w:trHeight w:val="391"/>
        </w:trPr>
        <w:tc>
          <w:tcPr>
            <w:tcW w:w="3868" w:type="dxa"/>
          </w:tcPr>
          <w:p w14:paraId="16259750" w14:textId="77777777" w:rsidR="00EC6B7F" w:rsidRPr="009A59D5" w:rsidRDefault="00EC6B7F" w:rsidP="00EC6B7F">
            <w:pPr>
              <w:jc w:val="center"/>
            </w:pPr>
            <w:r w:rsidRPr="009A59D5">
              <w:t>5</w:t>
            </w:r>
          </w:p>
        </w:tc>
        <w:tc>
          <w:tcPr>
            <w:tcW w:w="3867" w:type="dxa"/>
          </w:tcPr>
          <w:p w14:paraId="3B2A9188" w14:textId="77777777" w:rsidR="00EC6B7F" w:rsidRPr="009A59D5" w:rsidRDefault="00EC6B7F" w:rsidP="00EC6B7F">
            <w:pPr>
              <w:jc w:val="center"/>
            </w:pPr>
            <w:r w:rsidRPr="009A59D5">
              <w:t>3.0</w:t>
            </w:r>
          </w:p>
        </w:tc>
      </w:tr>
      <w:tr w:rsidR="00EC6B7F" w:rsidRPr="009A59D5" w14:paraId="44BAEDD4" w14:textId="77777777" w:rsidTr="00187998">
        <w:trPr>
          <w:trHeight w:val="391"/>
        </w:trPr>
        <w:tc>
          <w:tcPr>
            <w:tcW w:w="3868" w:type="dxa"/>
          </w:tcPr>
          <w:p w14:paraId="7738157A" w14:textId="77777777" w:rsidR="00EC6B7F" w:rsidRPr="009A59D5" w:rsidRDefault="00EC6B7F" w:rsidP="00EC6B7F">
            <w:pPr>
              <w:jc w:val="center"/>
            </w:pPr>
            <w:r w:rsidRPr="009A59D5">
              <w:t>6</w:t>
            </w:r>
          </w:p>
        </w:tc>
        <w:tc>
          <w:tcPr>
            <w:tcW w:w="3867" w:type="dxa"/>
          </w:tcPr>
          <w:p w14:paraId="3D9CD598" w14:textId="77777777" w:rsidR="00EC6B7F" w:rsidRPr="009A59D5" w:rsidRDefault="00EC6B7F" w:rsidP="00EC6B7F">
            <w:pPr>
              <w:jc w:val="center"/>
            </w:pPr>
            <w:r w:rsidRPr="009A59D5">
              <w:t>10.0</w:t>
            </w:r>
          </w:p>
        </w:tc>
      </w:tr>
    </w:tbl>
    <w:p w14:paraId="5242AE0A" w14:textId="77777777" w:rsidR="00EC6B7F" w:rsidRPr="009A59D5" w:rsidRDefault="00EC6B7F" w:rsidP="00D94737">
      <w:pPr>
        <w:pStyle w:val="BodyText1"/>
        <w:numPr>
          <w:ilvl w:val="0"/>
          <w:numId w:val="0"/>
        </w:numPr>
        <w:ind w:left="567"/>
      </w:pPr>
    </w:p>
    <w:p w14:paraId="631B8F2C" w14:textId="5B3B6BA5" w:rsidR="00EC6B7F" w:rsidRPr="009A59D5" w:rsidRDefault="00EC6B7F" w:rsidP="00EC6B7F">
      <w:pPr>
        <w:pStyle w:val="BodyText1"/>
      </w:pPr>
      <w:bookmarkStart w:id="153" w:name="_Ref461103008"/>
      <w:r w:rsidRPr="009A59D5">
        <w:t xml:space="preserve">An ADI may include eligible CVA hedges in the calculation of the CVA risk capital charge as set out in paragraph </w:t>
      </w:r>
      <w:r w:rsidR="00C77C82" w:rsidRPr="009A59D5">
        <w:fldChar w:fldCharType="begin"/>
      </w:r>
      <w:r w:rsidR="00C77C82" w:rsidRPr="009A59D5">
        <w:instrText xml:space="preserve"> REF _Ref460259041 \r \h </w:instrText>
      </w:r>
      <w:r w:rsidR="00365041" w:rsidRPr="009A59D5">
        <w:instrText xml:space="preserve"> \* MERGEFORMAT </w:instrText>
      </w:r>
      <w:r w:rsidR="00C77C82" w:rsidRPr="009A59D5">
        <w:fldChar w:fldCharType="separate"/>
      </w:r>
      <w:r w:rsidR="00B401AE">
        <w:t>16(c)</w:t>
      </w:r>
      <w:r w:rsidR="00C77C82" w:rsidRPr="009A59D5">
        <w:fldChar w:fldCharType="end"/>
      </w:r>
      <w:r w:rsidRPr="009A59D5">
        <w:t xml:space="preserve"> of this Attachment subject to the following conditions:</w:t>
      </w:r>
      <w:bookmarkEnd w:id="153"/>
    </w:p>
    <w:p w14:paraId="33506726" w14:textId="77777777" w:rsidR="00EC6B7F" w:rsidRPr="009A59D5" w:rsidRDefault="00EC6B7F" w:rsidP="00EC6B7F">
      <w:pPr>
        <w:pStyle w:val="BodyText2"/>
      </w:pPr>
      <w:r w:rsidRPr="009A59D5">
        <w:t xml:space="preserve">to qualify as an eligible CVA hedge, the hedge must be transacted with an external counterparty, used for the purposes of mitigating CVA risk, and managed as </w:t>
      </w:r>
      <w:proofErr w:type="gramStart"/>
      <w:r w:rsidRPr="009A59D5">
        <w:t>such;</w:t>
      </w:r>
      <w:proofErr w:type="gramEnd"/>
    </w:p>
    <w:p w14:paraId="2E91E051" w14:textId="77777777" w:rsidR="00EC6B7F" w:rsidRPr="009A59D5" w:rsidRDefault="00EC6B7F" w:rsidP="00EC6B7F">
      <w:pPr>
        <w:pStyle w:val="BodyText2"/>
      </w:pPr>
      <w:r w:rsidRPr="009A59D5">
        <w:t xml:space="preserve">the only CDS hedges that may qualify as eligible CVA hedges are single-name CDS (including sovereign CDS), single-name contingent CDS, other equivalent hedging instruments referencing the counterparty directly, and index CDS. A </w:t>
      </w:r>
      <w:proofErr w:type="spellStart"/>
      <w:r w:rsidRPr="009A59D5">
        <w:t>tranched</w:t>
      </w:r>
      <w:proofErr w:type="spellEnd"/>
      <w:r w:rsidRPr="009A59D5">
        <w:t xml:space="preserve"> or nth-to-default CDS may not be treated as an eligible CVA hedge; and</w:t>
      </w:r>
    </w:p>
    <w:p w14:paraId="2D575027" w14:textId="00C8696E" w:rsidR="00EC6B7F" w:rsidRPr="009A59D5" w:rsidRDefault="00EC6B7F" w:rsidP="00EC6B7F">
      <w:pPr>
        <w:pStyle w:val="BodyText2"/>
      </w:pPr>
      <w:r w:rsidRPr="009A59D5">
        <w:t xml:space="preserve">an instrument for which the associated payment depends on cross-default (such as a related entity hedged with a reference entity CDS and CDS triggers) may not be treated as an eligible CVA hedge. </w:t>
      </w:r>
    </w:p>
    <w:p w14:paraId="09AAC203" w14:textId="77777777" w:rsidR="00EC6B7F" w:rsidRPr="009A59D5" w:rsidRDefault="00EC6B7F" w:rsidP="00EC6B7F">
      <w:pPr>
        <w:pStyle w:val="BodyText1"/>
      </w:pPr>
      <w:r w:rsidRPr="009A59D5">
        <w:t xml:space="preserve">Other types of counterparty risk hedges must not be reflected within the calculation of the CVA risk capital charge, and these other hedges must be treated as any other instrument in the ADI’s inventory for </w:t>
      </w:r>
      <w:r w:rsidRPr="009A59D5">
        <w:rPr>
          <w:b/>
        </w:rPr>
        <w:t>Regulatory Capital</w:t>
      </w:r>
      <w:r w:rsidRPr="009A59D5">
        <w:t xml:space="preserve"> purposes. Eligible CVA hedges that are included in the CVA risk capital charge must not be included in the ADI’s market risk capital charge calculation under APS 116.</w:t>
      </w:r>
    </w:p>
    <w:p w14:paraId="76E19865" w14:textId="77777777" w:rsidR="00EC6B7F" w:rsidRPr="009A59D5" w:rsidRDefault="00EC6B7F" w:rsidP="00EC6B7F">
      <w:pPr>
        <w:pStyle w:val="BodyText1"/>
      </w:pPr>
      <w:bookmarkStart w:id="154" w:name="_Ref460258583"/>
      <w:r w:rsidRPr="009A59D5">
        <w:t>If a counterparty is also a constituent of an index on which a CDS is used for hedging counterparty credit risk, the notional amount attributable to that single name (as per its reference entity weight) may, with APRA’s approval, be subtracted from the index CDS notional amount and treated as a single name eligible CVA hedge of the individual counterparty with maturity using the maturity of the index.</w:t>
      </w:r>
      <w:bookmarkEnd w:id="154"/>
    </w:p>
    <w:p w14:paraId="47A05A72" w14:textId="77777777" w:rsidR="0029455F" w:rsidRPr="009A59D5" w:rsidRDefault="0029455F" w:rsidP="007D2D7F"/>
    <w:p w14:paraId="6DBA95B6" w14:textId="77777777" w:rsidR="007D2D7F" w:rsidRPr="009A59D5" w:rsidRDefault="007D2D7F" w:rsidP="0038413F">
      <w:pPr>
        <w:pStyle w:val="Heading2"/>
        <w:sectPr w:rsidR="007D2D7F" w:rsidRPr="009A59D5" w:rsidSect="000D63A8">
          <w:footerReference w:type="default" r:id="rId25"/>
          <w:pgSz w:w="11906" w:h="16838" w:code="9"/>
          <w:pgMar w:top="1440" w:right="1797" w:bottom="1440" w:left="1797" w:header="709" w:footer="709" w:gutter="0"/>
          <w:cols w:space="708"/>
          <w:docGrid w:linePitch="360"/>
        </w:sectPr>
      </w:pPr>
    </w:p>
    <w:p w14:paraId="2A0E6034" w14:textId="60057973" w:rsidR="0038413F" w:rsidRPr="009A59D5" w:rsidRDefault="0038413F" w:rsidP="007D41A5">
      <w:pPr>
        <w:pStyle w:val="Heading2"/>
      </w:pPr>
      <w:bookmarkStart w:id="155" w:name="_Toc487712223"/>
      <w:bookmarkStart w:id="156" w:name="_Toc488397524"/>
      <w:bookmarkStart w:id="157" w:name="_Toc507406399"/>
      <w:bookmarkStart w:id="158" w:name="_Toc511230081"/>
      <w:bookmarkStart w:id="159" w:name="_Toc511230300"/>
      <w:r w:rsidRPr="009A59D5">
        <w:lastRenderedPageBreak/>
        <w:t xml:space="preserve">Attachment </w:t>
      </w:r>
      <w:r w:rsidR="00241638" w:rsidRPr="009A59D5">
        <w:t xml:space="preserve">B </w:t>
      </w:r>
      <w:r w:rsidR="00047F3D" w:rsidRPr="009A59D5">
        <w:rPr>
          <w:rStyle w:val="Attachmentfieldtext"/>
        </w:rPr>
        <w:t>—</w:t>
      </w:r>
      <w:r w:rsidR="001F6B8D" w:rsidRPr="009A59D5">
        <w:rPr>
          <w:rStyle w:val="Attachmentfieldtext"/>
        </w:rPr>
        <w:t xml:space="preserve"> </w:t>
      </w:r>
      <w:bookmarkEnd w:id="155"/>
      <w:bookmarkEnd w:id="156"/>
      <w:r w:rsidR="004B173D" w:rsidRPr="009A59D5">
        <w:t xml:space="preserve">Counterparty credit risk requirements for centrally cleared </w:t>
      </w:r>
      <w:proofErr w:type="gramStart"/>
      <w:r w:rsidR="004B173D" w:rsidRPr="009A59D5">
        <w:t>transactions</w:t>
      </w:r>
      <w:bookmarkEnd w:id="157"/>
      <w:bookmarkEnd w:id="158"/>
      <w:bookmarkEnd w:id="159"/>
      <w:proofErr w:type="gramEnd"/>
    </w:p>
    <w:p w14:paraId="4177EAA5" w14:textId="3F84CF9A" w:rsidR="003308EC" w:rsidRPr="009A59D5" w:rsidRDefault="003308EC" w:rsidP="00405B60">
      <w:pPr>
        <w:pStyle w:val="BodyText1"/>
        <w:numPr>
          <w:ilvl w:val="0"/>
          <w:numId w:val="37"/>
        </w:numPr>
      </w:pPr>
      <w:r w:rsidRPr="009A59D5">
        <w:t>This Attachment applies to all transactions that are centrally cleared, including OTC de</w:t>
      </w:r>
      <w:r w:rsidR="00D851A2" w:rsidRPr="009A59D5">
        <w:t>rivative transactions, exchange-</w:t>
      </w:r>
      <w:r w:rsidRPr="009A59D5">
        <w:t>traded derivative transactions, SFTs and long settlement transactions. For the purposes of this Attachment, a long settlement transaction must be treated as an OTC derivative transaction.  Transactions that result in exposures arising from the settlement of cash transactions only (</w:t>
      </w:r>
      <w:proofErr w:type="gramStart"/>
      <w:r w:rsidRPr="009A59D5">
        <w:t>e.g.</w:t>
      </w:r>
      <w:proofErr w:type="gramEnd"/>
      <w:r w:rsidRPr="009A59D5">
        <w:t xml:space="preserve"> equities, fixed income, spot foreign exchange (FX) and spot commodities) are not subject to this treatment.</w:t>
      </w:r>
      <w:r w:rsidR="002B587C" w:rsidRPr="009A59D5">
        <w:rPr>
          <w:rStyle w:val="FootnoteReference"/>
        </w:rPr>
        <w:t xml:space="preserve"> </w:t>
      </w:r>
      <w:r w:rsidR="002B587C" w:rsidRPr="009A59D5">
        <w:rPr>
          <w:rStyle w:val="FootnoteReference"/>
        </w:rPr>
        <w:footnoteReference w:id="12"/>
      </w:r>
    </w:p>
    <w:p w14:paraId="30718CF1" w14:textId="4F360653" w:rsidR="003308EC" w:rsidRPr="009A59D5" w:rsidRDefault="003308EC" w:rsidP="003308EC">
      <w:pPr>
        <w:pStyle w:val="BodyText1"/>
      </w:pPr>
      <w:r w:rsidRPr="009A59D5">
        <w:t xml:space="preserve">For transactions cleared through a QCCP, an ADI must apply the counterparty credit risk requirements for exposures to a QCCP and </w:t>
      </w:r>
      <w:r w:rsidR="001B13B9" w:rsidRPr="009A59D5">
        <w:t>the ADI’s</w:t>
      </w:r>
      <w:r w:rsidRPr="009A59D5">
        <w:t xml:space="preserve"> clients in accordance with paragraphs </w:t>
      </w:r>
      <w:r w:rsidR="00C77C82" w:rsidRPr="009A59D5">
        <w:fldChar w:fldCharType="begin"/>
      </w:r>
      <w:r w:rsidR="00C77C82" w:rsidRPr="009A59D5">
        <w:instrText xml:space="preserve"> REF _Ref460259088 \r \h </w:instrText>
      </w:r>
      <w:r w:rsidR="00365041" w:rsidRPr="009A59D5">
        <w:instrText xml:space="preserve"> \* MERGEFORMAT </w:instrText>
      </w:r>
      <w:r w:rsidR="00C77C82" w:rsidRPr="009A59D5">
        <w:fldChar w:fldCharType="separate"/>
      </w:r>
      <w:r w:rsidR="00B401AE">
        <w:t>9</w:t>
      </w:r>
      <w:r w:rsidR="00C77C82" w:rsidRPr="009A59D5">
        <w:fldChar w:fldCharType="end"/>
      </w:r>
      <w:r w:rsidRPr="009A59D5">
        <w:t xml:space="preserve"> to </w:t>
      </w:r>
      <w:r w:rsidR="00C77C82" w:rsidRPr="009A59D5">
        <w:fldChar w:fldCharType="begin"/>
      </w:r>
      <w:r w:rsidR="00C77C82" w:rsidRPr="009A59D5">
        <w:instrText xml:space="preserve"> REF _Ref460259207 \r \h </w:instrText>
      </w:r>
      <w:r w:rsidR="00365041" w:rsidRPr="009A59D5">
        <w:instrText xml:space="preserve"> \* MERGEFORMAT </w:instrText>
      </w:r>
      <w:r w:rsidR="00C77C82" w:rsidRPr="009A59D5">
        <w:fldChar w:fldCharType="separate"/>
      </w:r>
      <w:r w:rsidR="00B401AE">
        <w:t>28</w:t>
      </w:r>
      <w:r w:rsidR="00C77C82" w:rsidRPr="009A59D5">
        <w:fldChar w:fldCharType="end"/>
      </w:r>
      <w:r w:rsidRPr="009A59D5">
        <w:t xml:space="preserve"> of this Attachment</w:t>
      </w:r>
      <w:r w:rsidR="001B13B9" w:rsidRPr="009A59D5">
        <w:t>,</w:t>
      </w:r>
      <w:r w:rsidRPr="009A59D5">
        <w:t xml:space="preserve"> and the risk management requirements in accordance with paragraphs </w:t>
      </w:r>
      <w:r w:rsidR="00C77C82" w:rsidRPr="009A59D5">
        <w:fldChar w:fldCharType="begin"/>
      </w:r>
      <w:r w:rsidR="00C77C82" w:rsidRPr="009A59D5">
        <w:instrText xml:space="preserve"> REF _Ref460258472 \r \h </w:instrText>
      </w:r>
      <w:r w:rsidR="00365041" w:rsidRPr="009A59D5">
        <w:instrText xml:space="preserve"> \* MERGEFORMAT </w:instrText>
      </w:r>
      <w:r w:rsidR="00C77C82" w:rsidRPr="009A59D5">
        <w:fldChar w:fldCharType="separate"/>
      </w:r>
      <w:r w:rsidR="00B401AE">
        <w:t>30</w:t>
      </w:r>
      <w:r w:rsidR="00C77C82" w:rsidRPr="009A59D5">
        <w:fldChar w:fldCharType="end"/>
      </w:r>
      <w:r w:rsidR="00C77C82" w:rsidRPr="009A59D5">
        <w:t xml:space="preserve"> to </w:t>
      </w:r>
      <w:r w:rsidR="00C77C82" w:rsidRPr="009A59D5">
        <w:fldChar w:fldCharType="begin"/>
      </w:r>
      <w:r w:rsidR="00C77C82" w:rsidRPr="009A59D5">
        <w:instrText xml:space="preserve"> REF _Ref460258481 \r \h </w:instrText>
      </w:r>
      <w:r w:rsidR="00365041" w:rsidRPr="009A59D5">
        <w:instrText xml:space="preserve"> \* MERGEFORMAT </w:instrText>
      </w:r>
      <w:r w:rsidR="00C77C82" w:rsidRPr="009A59D5">
        <w:fldChar w:fldCharType="separate"/>
      </w:r>
      <w:r w:rsidR="00B401AE">
        <w:t>34</w:t>
      </w:r>
      <w:r w:rsidR="00C77C82" w:rsidRPr="009A59D5">
        <w:fldChar w:fldCharType="end"/>
      </w:r>
      <w:r w:rsidRPr="009A59D5">
        <w:t xml:space="preserve"> of this Attachment.</w:t>
      </w:r>
    </w:p>
    <w:p w14:paraId="0F38BA98" w14:textId="3A0F11FB" w:rsidR="003308EC" w:rsidRPr="009A59D5" w:rsidRDefault="003308EC" w:rsidP="003308EC">
      <w:pPr>
        <w:pStyle w:val="BodyText1"/>
      </w:pPr>
      <w:r w:rsidRPr="009A59D5">
        <w:t xml:space="preserve">Where a CCP does not meet the definition of a QCCP in paragraph </w:t>
      </w:r>
      <w:r w:rsidR="00C77C82" w:rsidRPr="009A59D5">
        <w:fldChar w:fldCharType="begin"/>
      </w:r>
      <w:r w:rsidR="00C77C82" w:rsidRPr="009A59D5">
        <w:instrText xml:space="preserve"> REF _Ref460255058 \r \h </w:instrText>
      </w:r>
      <w:r w:rsidR="00365041" w:rsidRPr="009A59D5">
        <w:instrText xml:space="preserve"> \* MERGEFORMAT </w:instrText>
      </w:r>
      <w:r w:rsidR="00C77C82" w:rsidRPr="009A59D5">
        <w:fldChar w:fldCharType="separate"/>
      </w:r>
      <w:r w:rsidR="00B401AE">
        <w:t>8(w)</w:t>
      </w:r>
      <w:r w:rsidR="00C77C82" w:rsidRPr="009A59D5">
        <w:fldChar w:fldCharType="end"/>
      </w:r>
      <w:r w:rsidRPr="009A59D5">
        <w:t xml:space="preserve"> of this Prudential Standard, or where a CCP does not meet all of</w:t>
      </w:r>
      <w:r w:rsidR="00C77C82" w:rsidRPr="009A59D5">
        <w:t xml:space="preserve"> the requirements in paragraph </w:t>
      </w:r>
      <w:r w:rsidR="00C77C82" w:rsidRPr="009A59D5">
        <w:fldChar w:fldCharType="begin"/>
      </w:r>
      <w:r w:rsidR="00C77C82" w:rsidRPr="009A59D5">
        <w:instrText xml:space="preserve"> REF _Ref460259162 \r \h </w:instrText>
      </w:r>
      <w:r w:rsidR="00365041" w:rsidRPr="009A59D5">
        <w:instrText xml:space="preserve"> \* MERGEFORMAT </w:instrText>
      </w:r>
      <w:r w:rsidR="00C77C82" w:rsidRPr="009A59D5">
        <w:fldChar w:fldCharType="separate"/>
      </w:r>
      <w:r w:rsidR="00B401AE">
        <w:t>6</w:t>
      </w:r>
      <w:r w:rsidR="00C77C82" w:rsidRPr="009A59D5">
        <w:fldChar w:fldCharType="end"/>
      </w:r>
      <w:r w:rsidRPr="009A59D5">
        <w:t xml:space="preserve"> of Attachment C, the CCP is considered to be a non-qualifying CCP. An ADI must apply the counterparty credit risk requirements for exposures to a non-qualifying CCP in accordance with paragraph </w:t>
      </w:r>
      <w:r w:rsidR="00C77C82" w:rsidRPr="009A59D5">
        <w:fldChar w:fldCharType="begin"/>
      </w:r>
      <w:r w:rsidR="00C77C82" w:rsidRPr="009A59D5">
        <w:instrText xml:space="preserve"> REF _Ref460259123 \r \h </w:instrText>
      </w:r>
      <w:r w:rsidR="00365041" w:rsidRPr="009A59D5">
        <w:instrText xml:space="preserve"> \* MERGEFORMAT </w:instrText>
      </w:r>
      <w:r w:rsidR="00C77C82" w:rsidRPr="009A59D5">
        <w:fldChar w:fldCharType="separate"/>
      </w:r>
      <w:r w:rsidR="00B401AE">
        <w:t>29</w:t>
      </w:r>
      <w:r w:rsidR="00C77C82" w:rsidRPr="009A59D5">
        <w:fldChar w:fldCharType="end"/>
      </w:r>
      <w:r w:rsidRPr="009A59D5">
        <w:t xml:space="preserve"> of this Attachment and the risk management requirements in accordance with paragraphs </w:t>
      </w:r>
      <w:r w:rsidR="00C77C82" w:rsidRPr="009A59D5">
        <w:fldChar w:fldCharType="begin"/>
      </w:r>
      <w:r w:rsidR="00C77C82" w:rsidRPr="009A59D5">
        <w:instrText xml:space="preserve"> REF _Ref460258472 \r \h </w:instrText>
      </w:r>
      <w:r w:rsidR="00365041" w:rsidRPr="009A59D5">
        <w:instrText xml:space="preserve"> \* MERGEFORMAT </w:instrText>
      </w:r>
      <w:r w:rsidR="00C77C82" w:rsidRPr="009A59D5">
        <w:fldChar w:fldCharType="separate"/>
      </w:r>
      <w:r w:rsidR="00B401AE">
        <w:t>30</w:t>
      </w:r>
      <w:r w:rsidR="00C77C82" w:rsidRPr="009A59D5">
        <w:fldChar w:fldCharType="end"/>
      </w:r>
      <w:r w:rsidR="00C77C82" w:rsidRPr="009A59D5">
        <w:t xml:space="preserve"> to </w:t>
      </w:r>
      <w:r w:rsidR="00C77C82" w:rsidRPr="009A59D5">
        <w:fldChar w:fldCharType="begin"/>
      </w:r>
      <w:r w:rsidR="00C77C82" w:rsidRPr="009A59D5">
        <w:instrText xml:space="preserve"> REF _Ref460258481 \r \h </w:instrText>
      </w:r>
      <w:r w:rsidR="00365041" w:rsidRPr="009A59D5">
        <w:instrText xml:space="preserve"> \* MERGEFORMAT </w:instrText>
      </w:r>
      <w:r w:rsidR="00C77C82" w:rsidRPr="009A59D5">
        <w:fldChar w:fldCharType="separate"/>
      </w:r>
      <w:r w:rsidR="00B401AE">
        <w:t>34</w:t>
      </w:r>
      <w:r w:rsidR="00C77C82" w:rsidRPr="009A59D5">
        <w:fldChar w:fldCharType="end"/>
      </w:r>
      <w:r w:rsidRPr="009A59D5">
        <w:t xml:space="preserve"> of this Attachment.</w:t>
      </w:r>
    </w:p>
    <w:p w14:paraId="0E5AFFCF" w14:textId="5DE17230" w:rsidR="003308EC" w:rsidRPr="009A59D5" w:rsidRDefault="003308EC" w:rsidP="003308EC">
      <w:pPr>
        <w:pStyle w:val="BodyText1"/>
      </w:pPr>
      <w:r w:rsidRPr="009A59D5">
        <w:t xml:space="preserve">Within three months of a CCP ceasing to qualify as a QCCP, unless required otherwise by APRA, the transactions with a former QCCP may, for the purposes of this Attachment, continue to be treated as though they are with a QCCP. After that time, the ADI’s exposures with such a CCP must be treated according to paragraph </w:t>
      </w:r>
      <w:r w:rsidR="00C77C82" w:rsidRPr="009A59D5">
        <w:fldChar w:fldCharType="begin"/>
      </w:r>
      <w:r w:rsidR="00C77C82" w:rsidRPr="009A59D5">
        <w:instrText xml:space="preserve"> REF _Ref460259123 \r \h </w:instrText>
      </w:r>
      <w:r w:rsidR="00365041" w:rsidRPr="009A59D5">
        <w:instrText xml:space="preserve"> \* MERGEFORMAT </w:instrText>
      </w:r>
      <w:r w:rsidR="00C77C82" w:rsidRPr="009A59D5">
        <w:fldChar w:fldCharType="separate"/>
      </w:r>
      <w:r w:rsidR="00B401AE">
        <w:t>29</w:t>
      </w:r>
      <w:r w:rsidR="00C77C82" w:rsidRPr="009A59D5">
        <w:fldChar w:fldCharType="end"/>
      </w:r>
      <w:r w:rsidRPr="009A59D5">
        <w:t xml:space="preserve"> of this Attachment.</w:t>
      </w:r>
    </w:p>
    <w:p w14:paraId="54147094" w14:textId="2B6614EF" w:rsidR="003308EC" w:rsidRPr="009A59D5" w:rsidRDefault="003308EC" w:rsidP="003308EC">
      <w:pPr>
        <w:pStyle w:val="BodyText1"/>
      </w:pPr>
      <w:r w:rsidRPr="009A59D5">
        <w:t>For the purposes of calculating an ADI’s exposure to a CCP:</w:t>
      </w:r>
    </w:p>
    <w:p w14:paraId="2F2FC970" w14:textId="77777777" w:rsidR="003308EC" w:rsidRPr="009A59D5" w:rsidRDefault="003308EC" w:rsidP="003308EC">
      <w:pPr>
        <w:pStyle w:val="BodyText2"/>
      </w:pPr>
      <w:r w:rsidRPr="009A59D5">
        <w:t xml:space="preserve">initial margin is the funded collateral posted to a CCP to mitigate the potential future exposure of the CCP to the clearing member, including collateral deposited by a clearing member or a client that may be </w:t>
      </w:r>
      <w:proofErr w:type="gramStart"/>
      <w:r w:rsidRPr="009A59D5">
        <w:t>in excess of</w:t>
      </w:r>
      <w:proofErr w:type="gramEnd"/>
      <w:r w:rsidRPr="009A59D5">
        <w:t xml:space="preserve"> the minimum required amount provided there are appropriate arrangements in place to prevent the withdrawal of such excess collateral by the clearing member of the client. Initial margin does not include an ADI’s contribution to a CCP for a mutualised loss-sharing arrangement (</w:t>
      </w:r>
      <w:proofErr w:type="gramStart"/>
      <w:r w:rsidRPr="009A59D5">
        <w:t>i.e.</w:t>
      </w:r>
      <w:proofErr w:type="gramEnd"/>
      <w:r w:rsidRPr="009A59D5">
        <w:t xml:space="preserve"> a default fund contribution); and</w:t>
      </w:r>
    </w:p>
    <w:p w14:paraId="574FA833" w14:textId="77777777" w:rsidR="003308EC" w:rsidRPr="009A59D5" w:rsidRDefault="003308EC" w:rsidP="003308EC">
      <w:pPr>
        <w:pStyle w:val="BodyText2"/>
      </w:pPr>
      <w:r w:rsidRPr="009A59D5">
        <w:t>variation margin is the funded collateral posted on a daily or intraday basis to a CCP to mitigate movements in ongoing mark-to-market exposure.</w:t>
      </w:r>
    </w:p>
    <w:p w14:paraId="16B3C691" w14:textId="0B5F6C16" w:rsidR="00AD0142" w:rsidRPr="009A59D5" w:rsidRDefault="00A521F4" w:rsidP="003308EC">
      <w:pPr>
        <w:pStyle w:val="BodyText1"/>
      </w:pPr>
      <w:bookmarkStart w:id="160" w:name="_Ref506561145"/>
      <w:bookmarkStart w:id="161" w:name="_Ref508955052"/>
      <w:r w:rsidRPr="009A59D5">
        <w:lastRenderedPageBreak/>
        <w:t>A</w:t>
      </w:r>
      <w:r w:rsidR="00705FC9" w:rsidRPr="009A59D5">
        <w:t xml:space="preserve">n ADI </w:t>
      </w:r>
      <w:r w:rsidR="00BE1615" w:rsidRPr="009A59D5">
        <w:t>may</w:t>
      </w:r>
      <w:r w:rsidR="007539A0" w:rsidRPr="009A59D5">
        <w:t xml:space="preserve"> treat</w:t>
      </w:r>
      <w:r w:rsidRPr="009A59D5">
        <w:t xml:space="preserve"> </w:t>
      </w:r>
      <w:r w:rsidR="008B3B95" w:rsidRPr="009A59D5">
        <w:t>a</w:t>
      </w:r>
      <w:r w:rsidR="0016391B" w:rsidRPr="009A59D5">
        <w:t xml:space="preserve"> </w:t>
      </w:r>
      <w:r w:rsidR="007E633C" w:rsidRPr="009A59D5">
        <w:t>transactio</w:t>
      </w:r>
      <w:r w:rsidR="00851E18" w:rsidRPr="009A59D5">
        <w:t>n</w:t>
      </w:r>
      <w:r w:rsidR="00705FC9" w:rsidRPr="009A59D5">
        <w:t xml:space="preserve"> as</w:t>
      </w:r>
      <w:r w:rsidR="00B32CF5" w:rsidRPr="009A59D5">
        <w:t xml:space="preserve"> settled-to-market and</w:t>
      </w:r>
      <w:r w:rsidR="00E12973" w:rsidRPr="009A59D5">
        <w:t xml:space="preserve"> </w:t>
      </w:r>
      <w:r w:rsidR="00110BD5" w:rsidRPr="009A59D5">
        <w:t>a</w:t>
      </w:r>
      <w:r w:rsidR="0057797D" w:rsidRPr="009A59D5">
        <w:t>n</w:t>
      </w:r>
      <w:r w:rsidR="00110BD5" w:rsidRPr="009A59D5">
        <w:t xml:space="preserve"> unmargined transaction</w:t>
      </w:r>
      <w:r w:rsidR="007E633C" w:rsidRPr="009A59D5">
        <w:t xml:space="preserve"> </w:t>
      </w:r>
      <w:r w:rsidR="00B32CF5" w:rsidRPr="009A59D5">
        <w:t>with</w:t>
      </w:r>
      <w:r w:rsidRPr="009A59D5">
        <w:t xml:space="preserve"> </w:t>
      </w:r>
      <w:r w:rsidR="00E23B4E" w:rsidRPr="009A59D5">
        <w:t>the remaining</w:t>
      </w:r>
      <w:r w:rsidR="007E633C" w:rsidRPr="009A59D5">
        <w:t xml:space="preserve"> maturity </w:t>
      </w:r>
      <w:r w:rsidR="00B114A8" w:rsidRPr="009A59D5">
        <w:t>(</w:t>
      </w:r>
      <w:r w:rsidR="003F1244">
        <w:rPr>
          <w:i/>
        </w:rPr>
        <w:t>M</w:t>
      </w:r>
      <w:r w:rsidR="003F1244">
        <w:rPr>
          <w:i/>
          <w:vertAlign w:val="subscript"/>
        </w:rPr>
        <w:t>i</w:t>
      </w:r>
      <w:r w:rsidR="00B114A8" w:rsidRPr="009A59D5">
        <w:t xml:space="preserve">) </w:t>
      </w:r>
      <w:r w:rsidR="00E23B4E" w:rsidRPr="009A59D5">
        <w:t xml:space="preserve">equal </w:t>
      </w:r>
      <w:r w:rsidR="007E633C" w:rsidRPr="009A59D5">
        <w:t>to the</w:t>
      </w:r>
      <w:r w:rsidR="00E23B4E" w:rsidRPr="009A59D5">
        <w:t xml:space="preserve"> time until the</w:t>
      </w:r>
      <w:r w:rsidR="007E633C" w:rsidRPr="009A59D5">
        <w:t xml:space="preserve"> next exchange of variation margi</w:t>
      </w:r>
      <w:r w:rsidR="00B30A87" w:rsidRPr="009A59D5">
        <w:t>n if</w:t>
      </w:r>
      <w:r w:rsidR="00AD0142" w:rsidRPr="009A59D5">
        <w:t>:</w:t>
      </w:r>
      <w:bookmarkEnd w:id="160"/>
      <w:bookmarkEnd w:id="161"/>
    </w:p>
    <w:p w14:paraId="189F4EC6" w14:textId="35724ECE" w:rsidR="00AD0142" w:rsidRPr="009A59D5" w:rsidRDefault="00AD0142" w:rsidP="00DC3B64">
      <w:pPr>
        <w:pStyle w:val="BodyText2"/>
      </w:pPr>
      <w:r w:rsidRPr="009A59D5">
        <w:t>the outs</w:t>
      </w:r>
      <w:r w:rsidR="00D07769" w:rsidRPr="009A59D5">
        <w:t>tanding exposure is settled by variation margin</w:t>
      </w:r>
      <w:r w:rsidRPr="009A59D5">
        <w:t xml:space="preserve"> and </w:t>
      </w:r>
      <w:r w:rsidR="00D07769" w:rsidRPr="009A59D5">
        <w:t xml:space="preserve">the </w:t>
      </w:r>
      <w:r w:rsidRPr="009A59D5">
        <w:t>terms</w:t>
      </w:r>
      <w:r w:rsidR="00D07769" w:rsidRPr="009A59D5">
        <w:t xml:space="preserve"> are</w:t>
      </w:r>
      <w:r w:rsidRPr="009A59D5">
        <w:t xml:space="preserve"> reset so that the fair value of the contract is zero; and</w:t>
      </w:r>
    </w:p>
    <w:p w14:paraId="0D628F95" w14:textId="0B89BA1F" w:rsidR="008A4CE4" w:rsidRPr="009A59D5" w:rsidRDefault="00AD0142" w:rsidP="00DC3B64">
      <w:pPr>
        <w:pStyle w:val="BodyText2"/>
      </w:pPr>
      <w:r w:rsidRPr="009A59D5">
        <w:t xml:space="preserve">the ADI </w:t>
      </w:r>
      <w:r w:rsidR="002B62E5" w:rsidRPr="009A59D5">
        <w:t>has legal opinion to support such treatment of variation margin</w:t>
      </w:r>
      <w:r w:rsidR="00B30A87" w:rsidRPr="009A59D5">
        <w:t>.</w:t>
      </w:r>
      <w:r w:rsidR="00B114A8" w:rsidRPr="009A59D5">
        <w:rPr>
          <w:rStyle w:val="FootnoteReference"/>
        </w:rPr>
        <w:footnoteReference w:id="13"/>
      </w:r>
    </w:p>
    <w:p w14:paraId="25F4968E" w14:textId="2639229B" w:rsidR="003308EC" w:rsidRPr="009A59D5" w:rsidRDefault="003308EC" w:rsidP="003308EC">
      <w:pPr>
        <w:pStyle w:val="BodyText1"/>
      </w:pPr>
      <w:r w:rsidRPr="009A59D5">
        <w:t>For an exchange</w:t>
      </w:r>
      <w:r w:rsidR="00D851A2" w:rsidRPr="009A59D5">
        <w:t>-</w:t>
      </w:r>
      <w:r w:rsidRPr="009A59D5">
        <w:t>traded derivative where the transaction between the clearing member and client is conducted under a bilateral agreement, an ADI that is either a clearing member (clearing member ADI) or a client (client ADI) must treat the transaction as an OTC derivative transaction for the purposes of this Attachment.</w:t>
      </w:r>
    </w:p>
    <w:p w14:paraId="334079E3" w14:textId="77777777" w:rsidR="003308EC" w:rsidRPr="009A59D5" w:rsidRDefault="003308EC" w:rsidP="003308EC">
      <w:pPr>
        <w:pStyle w:val="BodyText1"/>
      </w:pPr>
      <w:r w:rsidRPr="009A59D5">
        <w:t>Where the amount of capital required for an ADI’s exposure to a QCCP due to its trade exposure and default fund contribution is higher than would be applied if the CCP were a non-qualifying CCP, the required capital is capped at the amount for a non-qualifying CCP.</w:t>
      </w:r>
    </w:p>
    <w:p w14:paraId="4B90CB10" w14:textId="77777777" w:rsidR="003308EC" w:rsidRPr="009A59D5" w:rsidRDefault="003308EC" w:rsidP="00B578D7">
      <w:pPr>
        <w:pStyle w:val="AttachmentSubheading"/>
      </w:pPr>
      <w:bookmarkStart w:id="162" w:name="_Toc460331434"/>
      <w:bookmarkStart w:id="163" w:name="_Toc461692097"/>
      <w:bookmarkStart w:id="164" w:name="_Toc487712224"/>
      <w:bookmarkStart w:id="165" w:name="_Toc488397525"/>
      <w:bookmarkStart w:id="166" w:name="_Toc488398085"/>
      <w:bookmarkStart w:id="167" w:name="_Toc489463922"/>
      <w:bookmarkStart w:id="168" w:name="_Toc507406215"/>
      <w:bookmarkStart w:id="169" w:name="_Toc507406287"/>
      <w:bookmarkStart w:id="170" w:name="_Toc507406400"/>
      <w:bookmarkStart w:id="171" w:name="_Toc507406461"/>
      <w:bookmarkStart w:id="172" w:name="_Toc507406568"/>
      <w:r w:rsidRPr="009A59D5">
        <w:t xml:space="preserve">Exposures arising from transactions cleared through a </w:t>
      </w:r>
      <w:proofErr w:type="gramStart"/>
      <w:r w:rsidRPr="009A59D5">
        <w:t>QCCP</w:t>
      </w:r>
      <w:bookmarkEnd w:id="162"/>
      <w:bookmarkEnd w:id="163"/>
      <w:bookmarkEnd w:id="164"/>
      <w:bookmarkEnd w:id="165"/>
      <w:bookmarkEnd w:id="166"/>
      <w:bookmarkEnd w:id="167"/>
      <w:bookmarkEnd w:id="168"/>
      <w:bookmarkEnd w:id="169"/>
      <w:bookmarkEnd w:id="170"/>
      <w:bookmarkEnd w:id="171"/>
      <w:bookmarkEnd w:id="172"/>
      <w:proofErr w:type="gramEnd"/>
    </w:p>
    <w:p w14:paraId="0CCAF73D" w14:textId="27F65B6D" w:rsidR="003308EC" w:rsidRPr="009A59D5" w:rsidRDefault="003308EC" w:rsidP="003308EC">
      <w:pPr>
        <w:pStyle w:val="BodyText1"/>
      </w:pPr>
      <w:bookmarkStart w:id="173" w:name="_Ref460259088"/>
      <w:r w:rsidRPr="009A59D5">
        <w:t xml:space="preserve">For transactions cleared through a QCCP, </w:t>
      </w:r>
      <w:r w:rsidR="00130320" w:rsidRPr="009A59D5">
        <w:t xml:space="preserve">a </w:t>
      </w:r>
      <w:r w:rsidRPr="009A59D5">
        <w:t>clearing member ADI must calculate each of the following counterparty credit risk requirements:</w:t>
      </w:r>
      <w:bookmarkEnd w:id="173"/>
    </w:p>
    <w:p w14:paraId="617B8B24" w14:textId="3E8973DB" w:rsidR="003308EC" w:rsidRPr="009A59D5" w:rsidRDefault="003308EC" w:rsidP="003308EC">
      <w:pPr>
        <w:pStyle w:val="BodyText2"/>
      </w:pPr>
      <w:r w:rsidRPr="009A59D5">
        <w:t>trade exposure RWE on the clearing member ADI’s trade exposure</w:t>
      </w:r>
      <w:r w:rsidR="005049E5" w:rsidRPr="009A59D5">
        <w:rPr>
          <w:rStyle w:val="FootnoteReference"/>
        </w:rPr>
        <w:footnoteReference w:id="14"/>
      </w:r>
      <w:r w:rsidRPr="009A59D5">
        <w:t xml:space="preserve"> to the QCCP according to paragraphs </w:t>
      </w:r>
      <w:r w:rsidR="00C77C82" w:rsidRPr="009A59D5">
        <w:fldChar w:fldCharType="begin"/>
      </w:r>
      <w:r w:rsidR="00C77C82" w:rsidRPr="009A59D5">
        <w:instrText xml:space="preserve"> REF _Ref460259245 \r \h </w:instrText>
      </w:r>
      <w:r w:rsidR="00365041" w:rsidRPr="009A59D5">
        <w:instrText xml:space="preserve"> \* MERGEFORMAT </w:instrText>
      </w:r>
      <w:r w:rsidR="00C77C82" w:rsidRPr="009A59D5">
        <w:fldChar w:fldCharType="separate"/>
      </w:r>
      <w:r w:rsidR="00B401AE">
        <w:t>11</w:t>
      </w:r>
      <w:r w:rsidR="00C77C82" w:rsidRPr="009A59D5">
        <w:fldChar w:fldCharType="end"/>
      </w:r>
      <w:r w:rsidR="00C77C82" w:rsidRPr="009A59D5">
        <w:t xml:space="preserve"> to </w:t>
      </w:r>
      <w:r w:rsidR="00C77C82" w:rsidRPr="009A59D5">
        <w:fldChar w:fldCharType="begin"/>
      </w:r>
      <w:r w:rsidR="00C77C82" w:rsidRPr="009A59D5">
        <w:instrText xml:space="preserve"> REF _Ref460258918 \r \h </w:instrText>
      </w:r>
      <w:r w:rsidR="00365041" w:rsidRPr="009A59D5">
        <w:instrText xml:space="preserve"> \* MERGEFORMAT </w:instrText>
      </w:r>
      <w:r w:rsidR="00C77C82" w:rsidRPr="009A59D5">
        <w:fldChar w:fldCharType="separate"/>
      </w:r>
      <w:r w:rsidR="00B401AE">
        <w:t>18</w:t>
      </w:r>
      <w:r w:rsidR="00C77C82" w:rsidRPr="009A59D5">
        <w:fldChar w:fldCharType="end"/>
      </w:r>
      <w:r w:rsidRPr="009A59D5">
        <w:t xml:space="preserve"> of this Attachment; and</w:t>
      </w:r>
    </w:p>
    <w:p w14:paraId="5B95D5D1" w14:textId="45E93B25" w:rsidR="003308EC" w:rsidRPr="009A59D5" w:rsidRDefault="003308EC" w:rsidP="003308EC">
      <w:pPr>
        <w:pStyle w:val="BodyText2"/>
      </w:pPr>
      <w:r w:rsidRPr="009A59D5">
        <w:t>a default fund capital charge on the default fund contribution to the QCCP calculated according to Attachment C</w:t>
      </w:r>
      <w:r w:rsidR="00F83783" w:rsidRPr="009A59D5">
        <w:t xml:space="preserve"> of this Prudential Standard</w:t>
      </w:r>
      <w:r w:rsidRPr="009A59D5">
        <w:t>; and</w:t>
      </w:r>
    </w:p>
    <w:p w14:paraId="1E38A8CA" w14:textId="24F58D10" w:rsidR="003308EC" w:rsidRPr="009A59D5" w:rsidRDefault="003308EC" w:rsidP="003308EC">
      <w:pPr>
        <w:pStyle w:val="BodyText2"/>
      </w:pPr>
      <w:r w:rsidRPr="009A59D5">
        <w:t xml:space="preserve">where a clearing member ADI has provided a guarantee of a client transaction to the QCCP or acts as a financial intermediary between a client and the QCCP (i.e. the clearing member completes an offsetting transaction with the QCCP), default risk RWE and a CVA risk capital charge on the counterparty credit risk exposure to its client, calculated according to paragraph </w:t>
      </w:r>
      <w:r w:rsidR="00C77C82" w:rsidRPr="009A59D5">
        <w:fldChar w:fldCharType="begin"/>
      </w:r>
      <w:r w:rsidR="00C77C82" w:rsidRPr="009A59D5">
        <w:instrText xml:space="preserve"> REF _Ref460258940 \r \h </w:instrText>
      </w:r>
      <w:r w:rsidR="00365041" w:rsidRPr="009A59D5">
        <w:instrText xml:space="preserve"> \* MERGEFORMAT </w:instrText>
      </w:r>
      <w:r w:rsidR="00C77C82" w:rsidRPr="009A59D5">
        <w:fldChar w:fldCharType="separate"/>
      </w:r>
      <w:r w:rsidR="00B401AE">
        <w:t>19</w:t>
      </w:r>
      <w:r w:rsidR="00C77C82" w:rsidRPr="009A59D5">
        <w:fldChar w:fldCharType="end"/>
      </w:r>
      <w:r w:rsidRPr="009A59D5">
        <w:t xml:space="preserve"> of this Attachment; and</w:t>
      </w:r>
    </w:p>
    <w:p w14:paraId="7EB01C81" w14:textId="0D7F985E" w:rsidR="003308EC" w:rsidRPr="009A59D5" w:rsidRDefault="003308EC" w:rsidP="003308EC">
      <w:pPr>
        <w:pStyle w:val="BodyText2"/>
      </w:pPr>
      <w:r w:rsidRPr="009A59D5">
        <w:t xml:space="preserve">where a clearing member ADI has provided a guarantee to a client, by undertaking any obligation to reimburse a client for any losses suffered due to changes in transaction value </w:t>
      </w:r>
      <w:proofErr w:type="gramStart"/>
      <w:r w:rsidRPr="009A59D5">
        <w:t>in the event that</w:t>
      </w:r>
      <w:proofErr w:type="gramEnd"/>
      <w:r w:rsidRPr="009A59D5">
        <w:t xml:space="preserve"> a QCCP defaults, trade exposure RWE and </w:t>
      </w:r>
      <w:r w:rsidR="001B13B9" w:rsidRPr="009A59D5">
        <w:t xml:space="preserve">a </w:t>
      </w:r>
      <w:r w:rsidRPr="009A59D5">
        <w:t>default fund capital charge on the guaranteed transaction.</w:t>
      </w:r>
    </w:p>
    <w:p w14:paraId="454279DF" w14:textId="3ECF792F" w:rsidR="003308EC" w:rsidRPr="009A59D5" w:rsidRDefault="003308EC" w:rsidP="003308EC">
      <w:pPr>
        <w:pStyle w:val="BodyText1"/>
      </w:pPr>
      <w:r w:rsidRPr="009A59D5">
        <w:t xml:space="preserve">For an ADI acting as a client of a clearing member to a QCCP, the client ADI must apply the counterparty credit risk requirements specified in paragraphs </w:t>
      </w:r>
      <w:r w:rsidR="00C77C82" w:rsidRPr="009A59D5">
        <w:fldChar w:fldCharType="begin"/>
      </w:r>
      <w:r w:rsidR="00C77C82" w:rsidRPr="009A59D5">
        <w:instrText xml:space="preserve"> REF _Ref460259273 \r \h </w:instrText>
      </w:r>
      <w:r w:rsidR="00365041" w:rsidRPr="009A59D5">
        <w:instrText xml:space="preserve"> \* MERGEFORMAT </w:instrText>
      </w:r>
      <w:r w:rsidR="00C77C82" w:rsidRPr="009A59D5">
        <w:fldChar w:fldCharType="separate"/>
      </w:r>
      <w:r w:rsidR="00B401AE">
        <w:t>20</w:t>
      </w:r>
      <w:r w:rsidR="00C77C82" w:rsidRPr="009A59D5">
        <w:fldChar w:fldCharType="end"/>
      </w:r>
      <w:r w:rsidRPr="009A59D5">
        <w:t xml:space="preserve"> to </w:t>
      </w:r>
      <w:r w:rsidR="00C77C82" w:rsidRPr="009A59D5">
        <w:fldChar w:fldCharType="begin"/>
      </w:r>
      <w:r w:rsidR="00C77C82" w:rsidRPr="009A59D5">
        <w:instrText xml:space="preserve"> REF _Ref460259282 \r \h </w:instrText>
      </w:r>
      <w:r w:rsidR="00365041" w:rsidRPr="009A59D5">
        <w:instrText xml:space="preserve"> \* MERGEFORMAT </w:instrText>
      </w:r>
      <w:r w:rsidR="00C77C82" w:rsidRPr="009A59D5">
        <w:fldChar w:fldCharType="separate"/>
      </w:r>
      <w:r w:rsidR="00B401AE">
        <w:t>24</w:t>
      </w:r>
      <w:r w:rsidR="00C77C82" w:rsidRPr="009A59D5">
        <w:fldChar w:fldCharType="end"/>
      </w:r>
      <w:r w:rsidRPr="009A59D5">
        <w:t xml:space="preserve"> of this Attachment.</w:t>
      </w:r>
    </w:p>
    <w:p w14:paraId="224A4757" w14:textId="77777777" w:rsidR="003308EC" w:rsidRPr="009A59D5" w:rsidRDefault="003308EC" w:rsidP="00B578D7">
      <w:pPr>
        <w:pStyle w:val="AttachmentSubheading"/>
      </w:pPr>
      <w:bookmarkStart w:id="174" w:name="_Toc460331435"/>
      <w:bookmarkStart w:id="175" w:name="_Toc461692098"/>
      <w:bookmarkStart w:id="176" w:name="_Toc487712225"/>
      <w:bookmarkStart w:id="177" w:name="_Toc488397526"/>
      <w:bookmarkStart w:id="178" w:name="_Toc488398086"/>
      <w:bookmarkStart w:id="179" w:name="_Toc489463923"/>
      <w:bookmarkStart w:id="180" w:name="_Toc507406216"/>
      <w:bookmarkStart w:id="181" w:name="_Toc507406288"/>
      <w:bookmarkStart w:id="182" w:name="_Toc507406401"/>
      <w:bookmarkStart w:id="183" w:name="_Toc507406462"/>
      <w:bookmarkStart w:id="184" w:name="_Toc507406569"/>
      <w:r w:rsidRPr="009A59D5">
        <w:lastRenderedPageBreak/>
        <w:t>Trade exposure RWE for a clearing member ADI’s exposure to a QCCP</w:t>
      </w:r>
      <w:bookmarkEnd w:id="174"/>
      <w:bookmarkEnd w:id="175"/>
      <w:bookmarkEnd w:id="176"/>
      <w:bookmarkEnd w:id="177"/>
      <w:bookmarkEnd w:id="178"/>
      <w:bookmarkEnd w:id="179"/>
      <w:bookmarkEnd w:id="180"/>
      <w:bookmarkEnd w:id="181"/>
      <w:bookmarkEnd w:id="182"/>
      <w:bookmarkEnd w:id="183"/>
      <w:bookmarkEnd w:id="184"/>
    </w:p>
    <w:p w14:paraId="169F9A97" w14:textId="29202703" w:rsidR="003308EC" w:rsidRPr="009A59D5" w:rsidRDefault="003308EC" w:rsidP="003308EC">
      <w:pPr>
        <w:pStyle w:val="BodyText1"/>
      </w:pPr>
      <w:bookmarkStart w:id="185" w:name="_Ref460259245"/>
      <w:r w:rsidRPr="009A59D5">
        <w:t>To calculate trade exposure RWE, a clearing member ADI must calculate its trade exposure to the QCCP and apply the relevant risk</w:t>
      </w:r>
      <w:r w:rsidR="00557D5E" w:rsidRPr="009A59D5">
        <w:t xml:space="preserve"> </w:t>
      </w:r>
      <w:r w:rsidRPr="009A59D5">
        <w:t>w</w:t>
      </w:r>
      <w:r w:rsidR="00C77C82" w:rsidRPr="009A59D5">
        <w:t xml:space="preserve">eights according to paragraphs </w:t>
      </w:r>
      <w:r w:rsidR="00C77C82" w:rsidRPr="009A59D5">
        <w:fldChar w:fldCharType="begin"/>
      </w:r>
      <w:r w:rsidR="00C77C82" w:rsidRPr="009A59D5">
        <w:instrText xml:space="preserve"> REF _Ref460259319 \r \h </w:instrText>
      </w:r>
      <w:r w:rsidR="00365041" w:rsidRPr="009A59D5">
        <w:instrText xml:space="preserve"> \* MERGEFORMAT </w:instrText>
      </w:r>
      <w:r w:rsidR="00C77C82" w:rsidRPr="009A59D5">
        <w:fldChar w:fldCharType="separate"/>
      </w:r>
      <w:r w:rsidR="00B401AE">
        <w:t>12</w:t>
      </w:r>
      <w:r w:rsidR="00C77C82" w:rsidRPr="009A59D5">
        <w:fldChar w:fldCharType="end"/>
      </w:r>
      <w:r w:rsidRPr="009A59D5">
        <w:t xml:space="preserve"> to </w:t>
      </w:r>
      <w:r w:rsidR="00C77C82" w:rsidRPr="009A59D5">
        <w:fldChar w:fldCharType="begin"/>
      </w:r>
      <w:r w:rsidR="00C77C82" w:rsidRPr="009A59D5">
        <w:instrText xml:space="preserve"> REF _Ref460258918 \r \h </w:instrText>
      </w:r>
      <w:r w:rsidR="00365041" w:rsidRPr="009A59D5">
        <w:instrText xml:space="preserve"> \* MERGEFORMAT </w:instrText>
      </w:r>
      <w:r w:rsidR="00C77C82" w:rsidRPr="009A59D5">
        <w:fldChar w:fldCharType="separate"/>
      </w:r>
      <w:r w:rsidR="00B401AE">
        <w:t>18</w:t>
      </w:r>
      <w:r w:rsidR="00C77C82" w:rsidRPr="009A59D5">
        <w:fldChar w:fldCharType="end"/>
      </w:r>
      <w:r w:rsidRPr="009A59D5">
        <w:t xml:space="preserve"> of this Attachment.</w:t>
      </w:r>
      <w:bookmarkEnd w:id="185"/>
    </w:p>
    <w:p w14:paraId="03FA5F5C" w14:textId="21A3A5A8" w:rsidR="003308EC" w:rsidRPr="009A59D5" w:rsidRDefault="003308EC" w:rsidP="003308EC">
      <w:pPr>
        <w:pStyle w:val="BodyText1"/>
      </w:pPr>
      <w:bookmarkStart w:id="186" w:name="_Ref460259319"/>
      <w:r w:rsidRPr="009A59D5">
        <w:t xml:space="preserve">For the clearing member ADI-to-QCCP leg of a transaction cleared through a QCCP, a clearing member ADI must calculate its trade exposure to the QCCP using the SA-CCR (refer to Attachment D) for all derivative transactions and in accordance with the requirements of paragraph </w:t>
      </w:r>
      <w:r w:rsidR="00C77C82" w:rsidRPr="009A59D5">
        <w:fldChar w:fldCharType="begin"/>
      </w:r>
      <w:r w:rsidR="00C77C82" w:rsidRPr="009A59D5">
        <w:instrText xml:space="preserve"> REF _Ref460259339 \r \h </w:instrText>
      </w:r>
      <w:r w:rsidR="00365041" w:rsidRPr="009A59D5">
        <w:instrText xml:space="preserve"> \* MERGEFORMAT </w:instrText>
      </w:r>
      <w:r w:rsidR="00C77C82" w:rsidRPr="009A59D5">
        <w:fldChar w:fldCharType="separate"/>
      </w:r>
      <w:r w:rsidR="00B401AE">
        <w:t>4</w:t>
      </w:r>
      <w:r w:rsidR="00C77C82" w:rsidRPr="009A59D5">
        <w:fldChar w:fldCharType="end"/>
      </w:r>
      <w:r w:rsidRPr="009A59D5">
        <w:t xml:space="preserve"> of Attachment A for all SFTs</w:t>
      </w:r>
      <w:r w:rsidR="00E75B4E" w:rsidRPr="009A59D5">
        <w:t xml:space="preserve">. </w:t>
      </w:r>
      <w:r w:rsidR="007063C4" w:rsidRPr="009A59D5">
        <w:t xml:space="preserve">In addition, </w:t>
      </w:r>
      <w:r w:rsidR="00F3103C" w:rsidRPr="009A59D5">
        <w:t xml:space="preserve">for </w:t>
      </w:r>
      <w:r w:rsidR="00E75B4E" w:rsidRPr="009A59D5">
        <w:t>centrally cleared transaction</w:t>
      </w:r>
      <w:r w:rsidR="00F3103C" w:rsidRPr="009A59D5">
        <w:t>s</w:t>
      </w:r>
      <w:r w:rsidR="00E75B4E" w:rsidRPr="009A59D5">
        <w:t xml:space="preserve"> </w:t>
      </w:r>
      <w:r w:rsidR="00695606" w:rsidRPr="009A59D5">
        <w:t>treated as margined</w:t>
      </w:r>
      <w:r w:rsidR="00A36499" w:rsidRPr="009A59D5">
        <w:t xml:space="preserve"> </w:t>
      </w:r>
      <w:r w:rsidR="00482C44" w:rsidRPr="009A59D5">
        <w:t>transaction</w:t>
      </w:r>
      <w:r w:rsidR="00F3103C" w:rsidRPr="009A59D5">
        <w:t>s,</w:t>
      </w:r>
      <w:r w:rsidR="005E33E7" w:rsidRPr="009A59D5">
        <w:t xml:space="preserve"> </w:t>
      </w:r>
      <w:r w:rsidR="008B3B95" w:rsidRPr="009A59D5">
        <w:t>the following</w:t>
      </w:r>
      <w:r w:rsidR="00E75B4E" w:rsidRPr="009A59D5">
        <w:t xml:space="preserve"> conditions apply</w:t>
      </w:r>
      <w:r w:rsidRPr="009A59D5">
        <w:t>:</w:t>
      </w:r>
      <w:bookmarkEnd w:id="186"/>
    </w:p>
    <w:p w14:paraId="3729115B" w14:textId="77777777" w:rsidR="003308EC" w:rsidRPr="009A59D5" w:rsidRDefault="003308EC" w:rsidP="003308EC">
      <w:pPr>
        <w:pStyle w:val="BodyText2"/>
      </w:pPr>
      <w:r w:rsidRPr="009A59D5">
        <w:t xml:space="preserve">for all OTC derivative transactions, apply a margin period of risk (MPOR) of at least 10 business </w:t>
      </w:r>
      <w:proofErr w:type="gramStart"/>
      <w:r w:rsidRPr="009A59D5">
        <w:t>days;</w:t>
      </w:r>
      <w:proofErr w:type="gramEnd"/>
    </w:p>
    <w:p w14:paraId="3D8BAE18" w14:textId="2DAF314F" w:rsidR="003308EC" w:rsidRPr="009A59D5" w:rsidRDefault="003308EC" w:rsidP="003308EC">
      <w:pPr>
        <w:pStyle w:val="BodyText2"/>
      </w:pPr>
      <w:r w:rsidRPr="009A59D5">
        <w:t xml:space="preserve">for all other transactions, apply a MPOR or holding period that is at least equal to that applicable if the transaction were a bilateral </w:t>
      </w:r>
      <w:proofErr w:type="gramStart"/>
      <w:r w:rsidRPr="009A59D5">
        <w:t>transaction;</w:t>
      </w:r>
      <w:proofErr w:type="gramEnd"/>
    </w:p>
    <w:p w14:paraId="32A2A6FC" w14:textId="4CA4401D" w:rsidR="003308EC" w:rsidRPr="009A59D5" w:rsidRDefault="003308EC" w:rsidP="003308EC">
      <w:pPr>
        <w:pStyle w:val="BodyText2"/>
      </w:pPr>
      <w:r w:rsidRPr="009A59D5">
        <w:t xml:space="preserve">for a netting set where the number of trades exceeds 5,000 at any point during a quarter, the 20-business day floor for MPOR specified in paragraph </w:t>
      </w:r>
      <w:r w:rsidR="007A3B11">
        <w:t>31</w:t>
      </w:r>
      <w:r w:rsidR="007A3B11" w:rsidRPr="009A59D5">
        <w:t xml:space="preserve"> </w:t>
      </w:r>
      <w:r w:rsidRPr="009A59D5">
        <w:t xml:space="preserve">of Attachment </w:t>
      </w:r>
      <w:r w:rsidR="000E1EC7" w:rsidRPr="009A59D5">
        <w:t>G</w:t>
      </w:r>
      <w:r w:rsidRPr="009A59D5">
        <w:t xml:space="preserve"> of APS 112 does not apply if the netting set does not contain any illiquid collateral, exotic </w:t>
      </w:r>
      <w:proofErr w:type="gramStart"/>
      <w:r w:rsidRPr="009A59D5">
        <w:t>trades</w:t>
      </w:r>
      <w:proofErr w:type="gramEnd"/>
      <w:r w:rsidRPr="009A59D5">
        <w:t xml:space="preserve"> or disputed trades; and</w:t>
      </w:r>
    </w:p>
    <w:p w14:paraId="24ECEA57" w14:textId="7002A19C" w:rsidR="003308EC" w:rsidRPr="009A59D5" w:rsidRDefault="003308EC" w:rsidP="003308EC">
      <w:pPr>
        <w:pStyle w:val="BodyText2"/>
      </w:pPr>
      <w:r w:rsidRPr="009A59D5">
        <w:t>where a QCCP retains variation margin against certain transactions and that variation margin is not protected against the insolvency of the QCCP, set the transaction’s maturity factor (</w:t>
      </w:r>
      <w:r w:rsidRPr="009A59D5">
        <w:rPr>
          <w:i/>
        </w:rPr>
        <w:t>MF</w:t>
      </w:r>
      <w:r w:rsidRPr="009A59D5">
        <w:t xml:space="preserve">) under the SA-CCR to that of the unmargined case under paragraph </w:t>
      </w:r>
      <w:r w:rsidR="00C77C82" w:rsidRPr="009A59D5">
        <w:fldChar w:fldCharType="begin"/>
      </w:r>
      <w:r w:rsidR="00C77C82" w:rsidRPr="009A59D5">
        <w:instrText xml:space="preserve"> REF _Ref460259374 \r \h </w:instrText>
      </w:r>
      <w:r w:rsidR="00365041" w:rsidRPr="009A59D5">
        <w:instrText xml:space="preserve"> \* MERGEFORMAT </w:instrText>
      </w:r>
      <w:r w:rsidR="00C77C82" w:rsidRPr="009A59D5">
        <w:fldChar w:fldCharType="separate"/>
      </w:r>
      <w:r w:rsidR="00B401AE">
        <w:t>48</w:t>
      </w:r>
      <w:r w:rsidR="00C77C82" w:rsidRPr="009A59D5">
        <w:fldChar w:fldCharType="end"/>
      </w:r>
      <w:r w:rsidRPr="009A59D5">
        <w:t xml:space="preserve"> of Attachment D.</w:t>
      </w:r>
    </w:p>
    <w:p w14:paraId="2FE6C873" w14:textId="77777777" w:rsidR="003308EC" w:rsidRPr="009A59D5" w:rsidRDefault="003308EC" w:rsidP="003308EC">
      <w:pPr>
        <w:pStyle w:val="BodyText1"/>
      </w:pPr>
      <w:bookmarkStart w:id="187" w:name="_Ref460259463"/>
      <w:r w:rsidRPr="009A59D5">
        <w:t>A clearing member ADI may calculate its trade exposure to a QCCP applying appropriate netting when the below two conditions are satisfied:</w:t>
      </w:r>
      <w:bookmarkEnd w:id="187"/>
    </w:p>
    <w:p w14:paraId="43A4AA23" w14:textId="77777777" w:rsidR="003308EC" w:rsidRPr="009A59D5" w:rsidRDefault="003308EC" w:rsidP="003308EC">
      <w:pPr>
        <w:pStyle w:val="BodyText2"/>
      </w:pPr>
      <w:r w:rsidRPr="009A59D5">
        <w:t>settlement is legally enforceable on a net basis in an event of default regardless of whether the counterparty is insolvent or bankrupt; and</w:t>
      </w:r>
    </w:p>
    <w:p w14:paraId="1F1FC9B3" w14:textId="25A27968" w:rsidR="003308EC" w:rsidRPr="009A59D5" w:rsidRDefault="003308EC" w:rsidP="003308EC">
      <w:pPr>
        <w:pStyle w:val="BodyText2"/>
      </w:pPr>
      <w:r w:rsidRPr="009A59D5">
        <w:t xml:space="preserve">all netting agreements meet the requirements for the bilateral case set out in Attachment </w:t>
      </w:r>
      <w:r w:rsidR="007A3B11">
        <w:t>H</w:t>
      </w:r>
      <w:r w:rsidRPr="009A59D5">
        <w:t xml:space="preserve"> of APS 112.</w:t>
      </w:r>
      <w:r w:rsidRPr="009A59D5">
        <w:rPr>
          <w:rStyle w:val="FootnoteReference"/>
        </w:rPr>
        <w:footnoteReference w:id="15"/>
      </w:r>
    </w:p>
    <w:p w14:paraId="2189885C" w14:textId="5DDADFFB" w:rsidR="003308EC" w:rsidRPr="009A59D5" w:rsidRDefault="003308EC" w:rsidP="003308EC">
      <w:pPr>
        <w:pStyle w:val="BodyText1"/>
      </w:pPr>
      <w:bookmarkStart w:id="188" w:name="_Ref461098977"/>
      <w:r w:rsidRPr="009A59D5">
        <w:t xml:space="preserve">Where a clearing member ADI cannot demonstrate that a netting agreement meets the requirements in paragraph </w:t>
      </w:r>
      <w:r w:rsidR="002E3D04" w:rsidRPr="009A59D5">
        <w:fldChar w:fldCharType="begin"/>
      </w:r>
      <w:r w:rsidR="002E3D04" w:rsidRPr="009A59D5">
        <w:instrText xml:space="preserve"> REF _Ref460259463 \r \h </w:instrText>
      </w:r>
      <w:r w:rsidR="00365041" w:rsidRPr="009A59D5">
        <w:instrText xml:space="preserve"> \* MERGEFORMAT </w:instrText>
      </w:r>
      <w:r w:rsidR="002E3D04" w:rsidRPr="009A59D5">
        <w:fldChar w:fldCharType="separate"/>
      </w:r>
      <w:r w:rsidR="00B401AE">
        <w:t>13</w:t>
      </w:r>
      <w:r w:rsidR="002E3D04" w:rsidRPr="009A59D5">
        <w:fldChar w:fldCharType="end"/>
      </w:r>
      <w:r w:rsidR="00B23974" w:rsidRPr="009A59D5">
        <w:t xml:space="preserve"> of this Attachment</w:t>
      </w:r>
      <w:r w:rsidRPr="009A59D5">
        <w:t>, it must treat each single transaction with the QCCP as a netting set of its own for the calculation of trade exposure.</w:t>
      </w:r>
      <w:bookmarkEnd w:id="188"/>
    </w:p>
    <w:p w14:paraId="3440EAF8" w14:textId="77777777" w:rsidR="003308EC" w:rsidRPr="009A59D5" w:rsidRDefault="003308EC" w:rsidP="003308EC">
      <w:pPr>
        <w:pStyle w:val="BodyText1"/>
      </w:pPr>
      <w:bookmarkStart w:id="189" w:name="_Ref460258899"/>
      <w:r w:rsidRPr="009A59D5">
        <w:t xml:space="preserve">If a clearing member ADI first collects collateral from a client for a client-cleared trade and then this collateral is passed on to the QCCP, the ADI may recognise </w:t>
      </w:r>
      <w:r w:rsidRPr="009A59D5">
        <w:lastRenderedPageBreak/>
        <w:t>this collateral for both the QCCP-to-clearing member leg and the clearing member-to-client leg of the client-cleared transaction.</w:t>
      </w:r>
      <w:bookmarkEnd w:id="189"/>
    </w:p>
    <w:p w14:paraId="3982F2C0" w14:textId="270F75BC" w:rsidR="003308EC" w:rsidRPr="009A59D5" w:rsidRDefault="003308EC" w:rsidP="003308EC">
      <w:pPr>
        <w:pStyle w:val="BodyText1"/>
      </w:pPr>
      <w:bookmarkStart w:id="190" w:name="_Ref483391203"/>
      <w:r w:rsidRPr="009A59D5">
        <w:t>Where a clearing member ADI is transacting with a QCCP for its own purposes, the clearing member ADI must apply a two per cent risk</w:t>
      </w:r>
      <w:r w:rsidR="00557D5E" w:rsidRPr="009A59D5">
        <w:t xml:space="preserve"> </w:t>
      </w:r>
      <w:r w:rsidRPr="009A59D5">
        <w:t>weight to its trade exposure to the QCCP</w:t>
      </w:r>
      <w:r w:rsidR="001E2BF3" w:rsidRPr="009A59D5">
        <w:t xml:space="preserve"> (excluding any posted collateral eligible for a zero risk weight under paragraph </w:t>
      </w:r>
      <w:r w:rsidR="001E2BF3" w:rsidRPr="009A59D5">
        <w:fldChar w:fldCharType="begin"/>
      </w:r>
      <w:r w:rsidR="001E2BF3" w:rsidRPr="009A59D5">
        <w:instrText xml:space="preserve"> REF _Ref483418945 \r \h </w:instrText>
      </w:r>
      <w:r w:rsidR="00365041" w:rsidRPr="009A59D5">
        <w:instrText xml:space="preserve"> \* MERGEFORMAT </w:instrText>
      </w:r>
      <w:r w:rsidR="001E2BF3" w:rsidRPr="009A59D5">
        <w:fldChar w:fldCharType="separate"/>
      </w:r>
      <w:r w:rsidR="00B401AE">
        <w:t>27(a)</w:t>
      </w:r>
      <w:r w:rsidR="001E2BF3" w:rsidRPr="009A59D5">
        <w:fldChar w:fldCharType="end"/>
      </w:r>
      <w:r w:rsidR="001E2BF3" w:rsidRPr="009A59D5">
        <w:t xml:space="preserve"> of this Attachment)</w:t>
      </w:r>
      <w:r w:rsidRPr="009A59D5">
        <w:t>.</w:t>
      </w:r>
      <w:bookmarkEnd w:id="190"/>
    </w:p>
    <w:p w14:paraId="6FA7949A" w14:textId="6DA38F6E" w:rsidR="003308EC" w:rsidRPr="009A59D5" w:rsidRDefault="003308EC" w:rsidP="003308EC">
      <w:pPr>
        <w:pStyle w:val="BodyText1"/>
      </w:pPr>
      <w:bookmarkStart w:id="191" w:name="_Ref460258866"/>
      <w:r w:rsidRPr="009A59D5">
        <w:t>Where a clearing member ADI offers clearing services to clients, the clearing member ADI must apply a two per cent risk</w:t>
      </w:r>
      <w:r w:rsidR="00557D5E" w:rsidRPr="009A59D5">
        <w:t xml:space="preserve"> </w:t>
      </w:r>
      <w:r w:rsidRPr="009A59D5">
        <w:t>weight to its trade exposure</w:t>
      </w:r>
      <w:r w:rsidR="00047F3D" w:rsidRPr="009A59D5">
        <w:t xml:space="preserve"> to the QCCP</w:t>
      </w:r>
      <w:r w:rsidR="001E2BF3" w:rsidRPr="009A59D5">
        <w:t xml:space="preserve"> (excluding any posted collateral eligible for a zero risk weight under paragraph </w:t>
      </w:r>
      <w:r w:rsidR="001E2BF3" w:rsidRPr="009A59D5">
        <w:fldChar w:fldCharType="begin"/>
      </w:r>
      <w:r w:rsidR="001E2BF3" w:rsidRPr="009A59D5">
        <w:instrText xml:space="preserve"> REF _Ref483418945 \r \h </w:instrText>
      </w:r>
      <w:r w:rsidR="00365041" w:rsidRPr="009A59D5">
        <w:instrText xml:space="preserve"> \* MERGEFORMAT </w:instrText>
      </w:r>
      <w:r w:rsidR="001E2BF3" w:rsidRPr="009A59D5">
        <w:fldChar w:fldCharType="separate"/>
      </w:r>
      <w:r w:rsidR="00B401AE">
        <w:t>27(a)</w:t>
      </w:r>
      <w:r w:rsidR="001E2BF3" w:rsidRPr="009A59D5">
        <w:fldChar w:fldCharType="end"/>
      </w:r>
      <w:r w:rsidR="001E2BF3" w:rsidRPr="009A59D5">
        <w:t xml:space="preserve"> of this Attachment)</w:t>
      </w:r>
      <w:r w:rsidRPr="009A59D5">
        <w:t xml:space="preserve"> arising from any obligations to reimburse a client for any losses suffered due to changes in transaction value in the event that the QCCP defaults.</w:t>
      </w:r>
      <w:bookmarkEnd w:id="191"/>
    </w:p>
    <w:p w14:paraId="0AFCC485" w14:textId="7AD36D83" w:rsidR="003308EC" w:rsidRPr="009A59D5" w:rsidRDefault="003308EC" w:rsidP="003308EC">
      <w:pPr>
        <w:pStyle w:val="BodyText1"/>
      </w:pPr>
      <w:bookmarkStart w:id="192" w:name="_Ref460258918"/>
      <w:r w:rsidRPr="009A59D5">
        <w:t>The risk weight applied to any collateral posted by a clearing member ADI to the QCCP that is included in the definition of trade exposure in paragr</w:t>
      </w:r>
      <w:r w:rsidR="002E3D04" w:rsidRPr="009A59D5">
        <w:t>aph</w:t>
      </w:r>
      <w:r w:rsidR="00992112" w:rsidRPr="009A59D5">
        <w:t xml:space="preserve"> </w:t>
      </w:r>
      <w:r w:rsidR="00992112" w:rsidRPr="009A59D5">
        <w:fldChar w:fldCharType="begin"/>
      </w:r>
      <w:r w:rsidR="00992112" w:rsidRPr="009A59D5">
        <w:instrText xml:space="preserve"> REF _Ref488400365 \w \h </w:instrText>
      </w:r>
      <w:r w:rsidR="009A59D5">
        <w:instrText xml:space="preserve"> \* MERGEFORMAT </w:instrText>
      </w:r>
      <w:r w:rsidR="00992112" w:rsidRPr="009A59D5">
        <w:fldChar w:fldCharType="separate"/>
      </w:r>
      <w:r w:rsidR="00B401AE">
        <w:t>8(</w:t>
      </w:r>
      <w:proofErr w:type="spellStart"/>
      <w:r w:rsidR="00B401AE">
        <w:t>ee</w:t>
      </w:r>
      <w:proofErr w:type="spellEnd"/>
      <w:r w:rsidR="00B401AE">
        <w:t>)</w:t>
      </w:r>
      <w:r w:rsidR="00992112" w:rsidRPr="009A59D5">
        <w:fldChar w:fldCharType="end"/>
      </w:r>
      <w:r w:rsidR="002E3D04" w:rsidRPr="009A59D5">
        <w:t xml:space="preserve"> </w:t>
      </w:r>
      <w:r w:rsidRPr="009A59D5">
        <w:t xml:space="preserve">of this Prudential Standard must be determined in accordance with paragraphs </w:t>
      </w:r>
      <w:r w:rsidR="002E3D04" w:rsidRPr="009A59D5">
        <w:fldChar w:fldCharType="begin"/>
      </w:r>
      <w:r w:rsidR="002E3D04" w:rsidRPr="009A59D5">
        <w:instrText xml:space="preserve"> REF _Ref460259486 \r \h </w:instrText>
      </w:r>
      <w:r w:rsidR="00365041" w:rsidRPr="009A59D5">
        <w:instrText xml:space="preserve"> \* MERGEFORMAT </w:instrText>
      </w:r>
      <w:r w:rsidR="002E3D04" w:rsidRPr="009A59D5">
        <w:fldChar w:fldCharType="separate"/>
      </w:r>
      <w:r w:rsidR="00B401AE">
        <w:t>25</w:t>
      </w:r>
      <w:r w:rsidR="002E3D04" w:rsidRPr="009A59D5">
        <w:fldChar w:fldCharType="end"/>
      </w:r>
      <w:r w:rsidR="002E3D04" w:rsidRPr="009A59D5">
        <w:t xml:space="preserve"> to </w:t>
      </w:r>
      <w:r w:rsidR="002E3D04" w:rsidRPr="009A59D5">
        <w:fldChar w:fldCharType="begin"/>
      </w:r>
      <w:r w:rsidR="002E3D04" w:rsidRPr="009A59D5">
        <w:instrText xml:space="preserve"> REF _Ref460259207 \r \h </w:instrText>
      </w:r>
      <w:r w:rsidR="00365041" w:rsidRPr="009A59D5">
        <w:instrText xml:space="preserve"> \* MERGEFORMAT </w:instrText>
      </w:r>
      <w:r w:rsidR="002E3D04" w:rsidRPr="009A59D5">
        <w:fldChar w:fldCharType="separate"/>
      </w:r>
      <w:r w:rsidR="00B401AE">
        <w:t>28</w:t>
      </w:r>
      <w:r w:rsidR="002E3D04" w:rsidRPr="009A59D5">
        <w:fldChar w:fldCharType="end"/>
      </w:r>
      <w:r w:rsidRPr="009A59D5">
        <w:t xml:space="preserve"> of this Attachment.</w:t>
      </w:r>
      <w:bookmarkEnd w:id="192"/>
    </w:p>
    <w:p w14:paraId="1E0BDD70" w14:textId="77777777" w:rsidR="003308EC" w:rsidRPr="009A59D5" w:rsidRDefault="003308EC" w:rsidP="00B578D7">
      <w:pPr>
        <w:pStyle w:val="AttachmentSubheading"/>
      </w:pPr>
      <w:bookmarkStart w:id="193" w:name="_Toc460331436"/>
      <w:bookmarkStart w:id="194" w:name="_Toc461692099"/>
      <w:bookmarkStart w:id="195" w:name="_Toc487712226"/>
      <w:bookmarkStart w:id="196" w:name="_Toc488397527"/>
      <w:bookmarkStart w:id="197" w:name="_Toc488398087"/>
      <w:bookmarkStart w:id="198" w:name="_Toc489463924"/>
      <w:bookmarkStart w:id="199" w:name="_Toc507406217"/>
      <w:bookmarkStart w:id="200" w:name="_Toc507406289"/>
      <w:bookmarkStart w:id="201" w:name="_Toc507406402"/>
      <w:bookmarkStart w:id="202" w:name="_Toc507406463"/>
      <w:bookmarkStart w:id="203" w:name="_Toc507406570"/>
      <w:r w:rsidRPr="009A59D5">
        <w:t>Clearing member ADI’s exposure to clients</w:t>
      </w:r>
      <w:bookmarkEnd w:id="193"/>
      <w:bookmarkEnd w:id="194"/>
      <w:bookmarkEnd w:id="195"/>
      <w:bookmarkEnd w:id="196"/>
      <w:bookmarkEnd w:id="197"/>
      <w:bookmarkEnd w:id="198"/>
      <w:bookmarkEnd w:id="199"/>
      <w:bookmarkEnd w:id="200"/>
      <w:bookmarkEnd w:id="201"/>
      <w:bookmarkEnd w:id="202"/>
      <w:bookmarkEnd w:id="203"/>
    </w:p>
    <w:p w14:paraId="483AD13A" w14:textId="78311D71" w:rsidR="003308EC" w:rsidRPr="009A59D5" w:rsidRDefault="003308EC">
      <w:pPr>
        <w:pStyle w:val="BodyText1"/>
      </w:pPr>
      <w:bookmarkStart w:id="204" w:name="_Ref460258940"/>
      <w:r w:rsidRPr="009A59D5">
        <w:t>For the clearing member ADI-to-client leg of a transaction with a QCCP, a clearing member ADI must calculate its counterparty credit risk requirements on its exposures to its clients following the requirements for bilateral transactions set out in Attachment A (comprising both default risk RWE and a CVA risk capital charge). However, to recognise the shorter close-out period for cleared client derivative transactions, the clearing member ADI may apply a minimum MPOR of five business days in calculating the clearing member ADI’s exposure amounts to its clients under the SA-CCR (refer to Attachment D). The reduced EAD may also be used in the calculation of the CVA risk capital charge.</w:t>
      </w:r>
      <w:bookmarkEnd w:id="204"/>
    </w:p>
    <w:p w14:paraId="1379791C" w14:textId="77777777" w:rsidR="003308EC" w:rsidRPr="009A59D5" w:rsidRDefault="003308EC" w:rsidP="00B578D7">
      <w:pPr>
        <w:pStyle w:val="AttachmentSubheading"/>
      </w:pPr>
      <w:bookmarkStart w:id="205" w:name="_Toc460331437"/>
      <w:bookmarkStart w:id="206" w:name="_Toc461692100"/>
      <w:bookmarkStart w:id="207" w:name="_Toc487712227"/>
      <w:bookmarkStart w:id="208" w:name="_Toc488397528"/>
      <w:bookmarkStart w:id="209" w:name="_Toc488398088"/>
      <w:bookmarkStart w:id="210" w:name="_Toc489463925"/>
      <w:bookmarkStart w:id="211" w:name="_Toc507406218"/>
      <w:bookmarkStart w:id="212" w:name="_Toc507406290"/>
      <w:bookmarkStart w:id="213" w:name="_Toc507406403"/>
      <w:bookmarkStart w:id="214" w:name="_Toc507406464"/>
      <w:bookmarkStart w:id="215" w:name="_Toc507406571"/>
      <w:r w:rsidRPr="009A59D5">
        <w:t>Client ADI’s exposure to a QCCP</w:t>
      </w:r>
      <w:bookmarkEnd w:id="205"/>
      <w:bookmarkEnd w:id="206"/>
      <w:bookmarkEnd w:id="207"/>
      <w:bookmarkEnd w:id="208"/>
      <w:bookmarkEnd w:id="209"/>
      <w:bookmarkEnd w:id="210"/>
      <w:bookmarkEnd w:id="211"/>
      <w:bookmarkEnd w:id="212"/>
      <w:bookmarkEnd w:id="213"/>
      <w:bookmarkEnd w:id="214"/>
      <w:bookmarkEnd w:id="215"/>
    </w:p>
    <w:p w14:paraId="3627F540" w14:textId="73B3CE13" w:rsidR="005049E5" w:rsidRPr="009A59D5" w:rsidRDefault="005049E5" w:rsidP="005049E5">
      <w:pPr>
        <w:pStyle w:val="BodyText1"/>
      </w:pPr>
      <w:bookmarkStart w:id="216" w:name="_Ref460259273"/>
      <w:r w:rsidRPr="009A59D5">
        <w:t xml:space="preserve">An ADI is considered a </w:t>
      </w:r>
      <w:r w:rsidR="00655BAD" w:rsidRPr="009A59D5">
        <w:t>‘</w:t>
      </w:r>
      <w:r w:rsidRPr="009A59D5">
        <w:t>client ADI</w:t>
      </w:r>
      <w:r w:rsidR="00655BAD" w:rsidRPr="009A59D5">
        <w:t>’</w:t>
      </w:r>
      <w:r w:rsidRPr="009A59D5">
        <w:t xml:space="preserve"> where:</w:t>
      </w:r>
      <w:bookmarkEnd w:id="216"/>
    </w:p>
    <w:p w14:paraId="35F85611" w14:textId="77777777" w:rsidR="005049E5" w:rsidRPr="009A59D5" w:rsidRDefault="005049E5" w:rsidP="005049E5">
      <w:pPr>
        <w:pStyle w:val="BodyText2"/>
      </w:pPr>
      <w:r w:rsidRPr="009A59D5">
        <w:t>the ADI clears through a QCCP indirectly as a client of a clearing member acting as a financial intermediary (</w:t>
      </w:r>
      <w:proofErr w:type="gramStart"/>
      <w:r w:rsidRPr="009A59D5">
        <w:t>i.e.</w:t>
      </w:r>
      <w:proofErr w:type="gramEnd"/>
      <w:r w:rsidRPr="009A59D5">
        <w:t xml:space="preserve"> the clearing member completes an offsetting transaction with the QCCP); or</w:t>
      </w:r>
    </w:p>
    <w:p w14:paraId="130A9E66" w14:textId="77777777" w:rsidR="005049E5" w:rsidRPr="009A59D5" w:rsidRDefault="005049E5" w:rsidP="005049E5">
      <w:pPr>
        <w:pStyle w:val="BodyText2"/>
      </w:pPr>
      <w:r w:rsidRPr="009A59D5">
        <w:t xml:space="preserve">the ADI </w:t>
      </w:r>
      <w:proofErr w:type="gramStart"/>
      <w:r w:rsidRPr="009A59D5">
        <w:t>enters into</w:t>
      </w:r>
      <w:proofErr w:type="gramEnd"/>
      <w:r w:rsidRPr="009A59D5">
        <w:t xml:space="preserve"> a transaction with a QCCP, with a clearing member guaranteeing the client ADI’s performance,</w:t>
      </w:r>
    </w:p>
    <w:p w14:paraId="255FE1BB" w14:textId="29FD33EF" w:rsidR="001C520C" w:rsidRPr="009A59D5" w:rsidRDefault="001C520C" w:rsidP="001C520C">
      <w:pPr>
        <w:pStyle w:val="BodyText1"/>
      </w:pPr>
      <w:r w:rsidRPr="009A59D5">
        <w:t>A client ADI</w:t>
      </w:r>
      <w:r w:rsidR="005049E5" w:rsidRPr="009A59D5">
        <w:t xml:space="preserve"> must</w:t>
      </w:r>
      <w:r w:rsidRPr="009A59D5">
        <w:t>:</w:t>
      </w:r>
    </w:p>
    <w:p w14:paraId="6105FB84" w14:textId="61C8FE9E" w:rsidR="001C520C" w:rsidRPr="009A59D5" w:rsidRDefault="005049E5" w:rsidP="00015337">
      <w:pPr>
        <w:pStyle w:val="BodyText2"/>
      </w:pPr>
      <w:r w:rsidRPr="009A59D5">
        <w:t>calculate a trade exposure to the clearing member ADI or QCCP</w:t>
      </w:r>
      <w:proofErr w:type="gramStart"/>
      <w:r w:rsidRPr="009A59D5">
        <w:t xml:space="preserve">, </w:t>
      </w:r>
      <w:r w:rsidR="001C520C" w:rsidRPr="009A59D5">
        <w:t>as the case may be</w:t>
      </w:r>
      <w:r w:rsidRPr="009A59D5">
        <w:t>, using</w:t>
      </w:r>
      <w:proofErr w:type="gramEnd"/>
      <w:r w:rsidR="001C520C" w:rsidRPr="009A59D5">
        <w:t>:</w:t>
      </w:r>
    </w:p>
    <w:p w14:paraId="15231025" w14:textId="0762B9E7" w:rsidR="001C520C" w:rsidRPr="009A59D5" w:rsidRDefault="001C520C" w:rsidP="00015337">
      <w:pPr>
        <w:pStyle w:val="BodyText3"/>
      </w:pPr>
      <w:r w:rsidRPr="009A59D5">
        <w:t xml:space="preserve">for an IRB ADI, </w:t>
      </w:r>
      <w:r w:rsidR="005049E5" w:rsidRPr="009A59D5">
        <w:t>the SA-CCR (refer to Attachment D)</w:t>
      </w:r>
      <w:r w:rsidRPr="009A59D5">
        <w:t>;</w:t>
      </w:r>
      <w:r w:rsidR="00097426" w:rsidRPr="009A59D5">
        <w:t xml:space="preserve"> or</w:t>
      </w:r>
    </w:p>
    <w:p w14:paraId="168EAC42" w14:textId="7DA9B68D" w:rsidR="00097426" w:rsidRPr="009A59D5" w:rsidRDefault="00097426" w:rsidP="00015337">
      <w:pPr>
        <w:pStyle w:val="BodyText3"/>
      </w:pPr>
      <w:r w:rsidRPr="009A59D5">
        <w:t>for a standardised ADI, the adjusted CEM (refer to Attachment E); and</w:t>
      </w:r>
    </w:p>
    <w:p w14:paraId="196B68D4" w14:textId="6CA6D6BB" w:rsidR="005049E5" w:rsidRPr="009A59D5" w:rsidRDefault="005049E5" w:rsidP="00015337">
      <w:pPr>
        <w:pStyle w:val="BodyText2"/>
      </w:pPr>
      <w:r w:rsidRPr="009A59D5">
        <w:lastRenderedPageBreak/>
        <w:t>risk</w:t>
      </w:r>
      <w:r w:rsidR="00557D5E" w:rsidRPr="009A59D5">
        <w:t xml:space="preserve"> </w:t>
      </w:r>
      <w:r w:rsidRPr="009A59D5">
        <w:t xml:space="preserve">weight the trade exposure according to the requirements in paragraphs </w:t>
      </w:r>
      <w:r w:rsidR="002E3D04" w:rsidRPr="009A59D5">
        <w:fldChar w:fldCharType="begin"/>
      </w:r>
      <w:r w:rsidR="002E3D04" w:rsidRPr="009A59D5">
        <w:instrText xml:space="preserve"> REF _Ref460258878 \r \h </w:instrText>
      </w:r>
      <w:r w:rsidR="001C520C" w:rsidRPr="009A59D5">
        <w:instrText xml:space="preserve"> \* MERGEFORMAT </w:instrText>
      </w:r>
      <w:r w:rsidR="002E3D04" w:rsidRPr="009A59D5">
        <w:fldChar w:fldCharType="separate"/>
      </w:r>
      <w:r w:rsidR="00B401AE">
        <w:t>22</w:t>
      </w:r>
      <w:r w:rsidR="002E3D04" w:rsidRPr="009A59D5">
        <w:fldChar w:fldCharType="end"/>
      </w:r>
      <w:r w:rsidRPr="009A59D5">
        <w:t xml:space="preserve"> to </w:t>
      </w:r>
      <w:r w:rsidR="002E3D04" w:rsidRPr="009A59D5">
        <w:fldChar w:fldCharType="begin"/>
      </w:r>
      <w:r w:rsidR="002E3D04" w:rsidRPr="009A59D5">
        <w:instrText xml:space="preserve"> REF _Ref460259282 \r \h </w:instrText>
      </w:r>
      <w:r w:rsidR="001C520C" w:rsidRPr="009A59D5">
        <w:instrText xml:space="preserve"> \* MERGEFORMAT </w:instrText>
      </w:r>
      <w:r w:rsidR="002E3D04" w:rsidRPr="009A59D5">
        <w:fldChar w:fldCharType="separate"/>
      </w:r>
      <w:r w:rsidR="00B401AE">
        <w:t>24</w:t>
      </w:r>
      <w:r w:rsidR="002E3D04" w:rsidRPr="009A59D5">
        <w:fldChar w:fldCharType="end"/>
      </w:r>
      <w:r w:rsidR="001B13B9" w:rsidRPr="009A59D5">
        <w:t xml:space="preserve"> of this Attachment</w:t>
      </w:r>
      <w:r w:rsidRPr="009A59D5">
        <w:t>.</w:t>
      </w:r>
    </w:p>
    <w:p w14:paraId="48A14237" w14:textId="4CE9EBCE" w:rsidR="005049E5" w:rsidRPr="009A59D5" w:rsidRDefault="005049E5" w:rsidP="00DB1E31">
      <w:pPr>
        <w:pStyle w:val="BodyText1"/>
      </w:pPr>
      <w:bookmarkStart w:id="217" w:name="_Ref460258878"/>
      <w:bookmarkStart w:id="218" w:name="_Ref485897789"/>
      <w:r w:rsidRPr="009A59D5">
        <w:t>A client ADI must treat its trade exposure</w:t>
      </w:r>
      <w:r w:rsidR="00DB1E31" w:rsidRPr="009A59D5">
        <w:t xml:space="preserve"> (excluding any posted collateral eligible for a zero risk weight under paragraph </w:t>
      </w:r>
      <w:r w:rsidR="00C2339E" w:rsidRPr="009A59D5">
        <w:fldChar w:fldCharType="begin"/>
      </w:r>
      <w:r w:rsidR="00C2339E" w:rsidRPr="009A59D5">
        <w:instrText xml:space="preserve"> REF _Ref488399996 \w \h </w:instrText>
      </w:r>
      <w:r w:rsidR="00BF6696" w:rsidRPr="009A59D5">
        <w:instrText xml:space="preserve"> \* MERGEFORMAT </w:instrText>
      </w:r>
      <w:r w:rsidR="00C2339E" w:rsidRPr="009A59D5">
        <w:fldChar w:fldCharType="separate"/>
      </w:r>
      <w:r w:rsidR="00B401AE">
        <w:t>28(a)</w:t>
      </w:r>
      <w:r w:rsidR="00C2339E" w:rsidRPr="009A59D5">
        <w:fldChar w:fldCharType="end"/>
      </w:r>
      <w:r w:rsidR="00DB1E31" w:rsidRPr="009A59D5">
        <w:t xml:space="preserve"> of this Attachment)</w:t>
      </w:r>
      <w:r w:rsidRPr="009A59D5">
        <w:t xml:space="preserve">, as if it were a clearing member ADI’s trade exposure to the QCCP, and apply the requirements set out in paragraphs </w:t>
      </w:r>
      <w:r w:rsidR="002E3D04" w:rsidRPr="009A59D5">
        <w:fldChar w:fldCharType="begin"/>
      </w:r>
      <w:r w:rsidR="002E3D04" w:rsidRPr="009A59D5">
        <w:instrText xml:space="preserve"> REF _Ref460259245 \r \h </w:instrText>
      </w:r>
      <w:r w:rsidR="00365041" w:rsidRPr="009A59D5">
        <w:instrText xml:space="preserve"> \* MERGEFORMAT </w:instrText>
      </w:r>
      <w:r w:rsidR="002E3D04" w:rsidRPr="009A59D5">
        <w:fldChar w:fldCharType="separate"/>
      </w:r>
      <w:r w:rsidR="00B401AE">
        <w:t>11</w:t>
      </w:r>
      <w:r w:rsidR="002E3D04" w:rsidRPr="009A59D5">
        <w:fldChar w:fldCharType="end"/>
      </w:r>
      <w:r w:rsidRPr="009A59D5">
        <w:t xml:space="preserve"> to </w:t>
      </w:r>
      <w:r w:rsidR="005E2C57" w:rsidRPr="009A59D5">
        <w:fldChar w:fldCharType="begin"/>
      </w:r>
      <w:r w:rsidR="005E2C57" w:rsidRPr="009A59D5">
        <w:instrText xml:space="preserve"> REF _Ref483391203 \r \h </w:instrText>
      </w:r>
      <w:r w:rsidR="00365041" w:rsidRPr="009A59D5">
        <w:instrText xml:space="preserve"> \* MERGEFORMAT </w:instrText>
      </w:r>
      <w:r w:rsidR="005E2C57" w:rsidRPr="009A59D5">
        <w:fldChar w:fldCharType="separate"/>
      </w:r>
      <w:r w:rsidR="00B401AE">
        <w:t>16</w:t>
      </w:r>
      <w:r w:rsidR="005E2C57" w:rsidRPr="009A59D5">
        <w:fldChar w:fldCharType="end"/>
      </w:r>
      <w:r w:rsidRPr="009A59D5">
        <w:t xml:space="preserve"> of this Attachment when the following three conditions are met:</w:t>
      </w:r>
      <w:bookmarkEnd w:id="217"/>
      <w:bookmarkEnd w:id="218"/>
    </w:p>
    <w:p w14:paraId="6D761078" w14:textId="77777777" w:rsidR="005049E5" w:rsidRPr="009A59D5" w:rsidRDefault="005049E5" w:rsidP="005049E5">
      <w:pPr>
        <w:pStyle w:val="BodyText2"/>
      </w:pPr>
      <w:bookmarkStart w:id="219" w:name="_Ref461098782"/>
      <w:r w:rsidRPr="009A59D5">
        <w:t xml:space="preserve">the offsetting transactions are identified by the QCCP as client transactions and the collateral to support the offsetting transactions is held in a manner that prevents any losses to the client ADI due to either the default or insolvency of the clearing member, or the default or insolvency of the clearing member’s other clients. Additionally, the client ADI must have conducted a sufficient legal </w:t>
      </w:r>
      <w:proofErr w:type="gramStart"/>
      <w:r w:rsidRPr="009A59D5">
        <w:t>review, and</w:t>
      </w:r>
      <w:proofErr w:type="gramEnd"/>
      <w:r w:rsidRPr="009A59D5">
        <w:t xml:space="preserve"> undertake further review as necessary to ensure continuing enforceability of the arrangements. The client ADI must have a well-founded basis to conclude that, in the event of legal challenge, the relevant courts and administrative authorities would find that the arrangements would be legal, valid, binding and enforceable under the relevant laws of the relevant jurisdiction(s</w:t>
      </w:r>
      <w:proofErr w:type="gramStart"/>
      <w:r w:rsidRPr="009A59D5">
        <w:t>);</w:t>
      </w:r>
      <w:bookmarkEnd w:id="219"/>
      <w:proofErr w:type="gramEnd"/>
    </w:p>
    <w:p w14:paraId="6562B949" w14:textId="77777777" w:rsidR="005049E5" w:rsidRPr="009A59D5" w:rsidRDefault="005049E5" w:rsidP="005049E5">
      <w:pPr>
        <w:pStyle w:val="BodyText2"/>
      </w:pPr>
      <w:bookmarkStart w:id="220" w:name="_Ref461098891"/>
      <w:r w:rsidRPr="009A59D5">
        <w:t xml:space="preserve">the collateral supporting the offsetting transactions is held in a manner that prevents any losses to the client ADI due to the joint default or insolvency of the clearing member and any of its other clients. Additionally, the client ADI must have conducted a sufficient legal </w:t>
      </w:r>
      <w:proofErr w:type="gramStart"/>
      <w:r w:rsidRPr="009A59D5">
        <w:t>review, and</w:t>
      </w:r>
      <w:proofErr w:type="gramEnd"/>
      <w:r w:rsidRPr="009A59D5">
        <w:t xml:space="preserve"> undertake further review as necessary to ensure continuing enforceability of the arrangements. The client ADI must have a well-founded basis to conclude that, in the event of legal challenge, the relevant courts and administrative authorities would find that the arrangements would be legal, valid, </w:t>
      </w:r>
      <w:proofErr w:type="gramStart"/>
      <w:r w:rsidRPr="009A59D5">
        <w:t>binding</w:t>
      </w:r>
      <w:proofErr w:type="gramEnd"/>
      <w:r w:rsidRPr="009A59D5">
        <w:t xml:space="preserve"> and enforceable under the relevant laws of the relevant jurisdiction(s); and</w:t>
      </w:r>
      <w:bookmarkEnd w:id="220"/>
    </w:p>
    <w:p w14:paraId="176B22BA" w14:textId="4DC606DB" w:rsidR="005049E5" w:rsidRPr="009A59D5" w:rsidRDefault="005049E5" w:rsidP="005049E5">
      <w:pPr>
        <w:pStyle w:val="BodyText2"/>
      </w:pPr>
      <w:bookmarkStart w:id="221" w:name="_Ref461098788"/>
      <w:r w:rsidRPr="009A59D5">
        <w:t>the relevant laws, regulation, rules, contractual or administrative arrangements provide that the offsetting transactions with the defaulted or insolvent clearing member are highly likely to continue to be indirectly transacted through the QCCP, or by the QCCP, if the clearing member defaults or becomes insolvent. In such circumstances, the client positions and collateral with the QCCP will be transferred at market value unless the client ADI requests to close out the position at market value.</w:t>
      </w:r>
      <w:bookmarkEnd w:id="221"/>
    </w:p>
    <w:p w14:paraId="0420010E" w14:textId="26BF41A3" w:rsidR="005049E5" w:rsidRPr="009A59D5" w:rsidRDefault="005049E5" w:rsidP="00DB1E31">
      <w:pPr>
        <w:pStyle w:val="BodyText1"/>
      </w:pPr>
      <w:r w:rsidRPr="009A59D5">
        <w:t>Where only conditions</w:t>
      </w:r>
      <w:r w:rsidR="00AE1F23" w:rsidRPr="009A59D5">
        <w:t xml:space="preserve"> (a)</w:t>
      </w:r>
      <w:r w:rsidR="00C2339E" w:rsidRPr="009A59D5">
        <w:t xml:space="preserve"> </w:t>
      </w:r>
      <w:r w:rsidRPr="009A59D5">
        <w:t xml:space="preserve">and </w:t>
      </w:r>
      <w:r w:rsidR="00AE1F23" w:rsidRPr="009A59D5">
        <w:t>(c)</w:t>
      </w:r>
      <w:r w:rsidRPr="009A59D5">
        <w:t xml:space="preserve"> of paragraph </w:t>
      </w:r>
      <w:r w:rsidR="002E3D04" w:rsidRPr="009A59D5">
        <w:fldChar w:fldCharType="begin"/>
      </w:r>
      <w:r w:rsidR="002E3D04" w:rsidRPr="009A59D5">
        <w:instrText xml:space="preserve"> REF _Ref460258878 \r \h </w:instrText>
      </w:r>
      <w:r w:rsidR="00365041" w:rsidRPr="009A59D5">
        <w:instrText xml:space="preserve"> \* MERGEFORMAT </w:instrText>
      </w:r>
      <w:r w:rsidR="002E3D04" w:rsidRPr="009A59D5">
        <w:fldChar w:fldCharType="separate"/>
      </w:r>
      <w:r w:rsidR="00B401AE">
        <w:t>22</w:t>
      </w:r>
      <w:r w:rsidR="002E3D04" w:rsidRPr="009A59D5">
        <w:fldChar w:fldCharType="end"/>
      </w:r>
      <w:r w:rsidRPr="009A59D5">
        <w:t xml:space="preserve"> </w:t>
      </w:r>
      <w:r w:rsidR="00E900B6" w:rsidRPr="009A59D5">
        <w:t xml:space="preserve">of this Attachment </w:t>
      </w:r>
      <w:r w:rsidRPr="009A59D5">
        <w:t>are satisfied, the client ADI must apply a risk</w:t>
      </w:r>
      <w:r w:rsidR="00557D5E" w:rsidRPr="009A59D5">
        <w:t xml:space="preserve"> </w:t>
      </w:r>
      <w:r w:rsidRPr="009A59D5">
        <w:t>weight of four per cent to its calculated trade exposure to the QCCP</w:t>
      </w:r>
      <w:r w:rsidR="00DB1E31" w:rsidRPr="009A59D5">
        <w:t xml:space="preserve"> (excluding any posted collateral eligible for a zero risk</w:t>
      </w:r>
      <w:r w:rsidR="00557D5E" w:rsidRPr="009A59D5">
        <w:t xml:space="preserve"> </w:t>
      </w:r>
      <w:r w:rsidR="00DB1E31" w:rsidRPr="009A59D5">
        <w:t xml:space="preserve">weight under paragraph </w:t>
      </w:r>
      <w:r w:rsidR="00C2339E" w:rsidRPr="009A59D5">
        <w:fldChar w:fldCharType="begin"/>
      </w:r>
      <w:r w:rsidR="00C2339E" w:rsidRPr="009A59D5">
        <w:instrText xml:space="preserve"> REF _Ref488399996 \w \h </w:instrText>
      </w:r>
      <w:r w:rsidR="00112996" w:rsidRPr="009A59D5">
        <w:instrText xml:space="preserve"> \* MERGEFORMAT </w:instrText>
      </w:r>
      <w:r w:rsidR="00C2339E" w:rsidRPr="009A59D5">
        <w:fldChar w:fldCharType="separate"/>
      </w:r>
      <w:r w:rsidR="00B401AE">
        <w:t>28(a)</w:t>
      </w:r>
      <w:r w:rsidR="00C2339E" w:rsidRPr="009A59D5">
        <w:fldChar w:fldCharType="end"/>
      </w:r>
      <w:r w:rsidR="00C2339E" w:rsidRPr="009A59D5">
        <w:t xml:space="preserve"> </w:t>
      </w:r>
      <w:r w:rsidR="00DB1E31" w:rsidRPr="009A59D5">
        <w:t>of this Attachment)</w:t>
      </w:r>
      <w:r w:rsidRPr="009A59D5">
        <w:t>. The applicable risk</w:t>
      </w:r>
      <w:r w:rsidR="00557D5E" w:rsidRPr="009A59D5">
        <w:t xml:space="preserve"> </w:t>
      </w:r>
      <w:r w:rsidRPr="009A59D5">
        <w:t xml:space="preserve">weight on collateral posted by the client ADI that is included in the definition of trade exposure must be determined according to paragraphs </w:t>
      </w:r>
      <w:r w:rsidR="002E3D04" w:rsidRPr="009A59D5">
        <w:fldChar w:fldCharType="begin"/>
      </w:r>
      <w:r w:rsidR="002E3D04" w:rsidRPr="009A59D5">
        <w:instrText xml:space="preserve"> REF _Ref460259486 \r \h </w:instrText>
      </w:r>
      <w:r w:rsidR="00365041" w:rsidRPr="009A59D5">
        <w:instrText xml:space="preserve"> \* MERGEFORMAT </w:instrText>
      </w:r>
      <w:r w:rsidR="002E3D04" w:rsidRPr="009A59D5">
        <w:fldChar w:fldCharType="separate"/>
      </w:r>
      <w:r w:rsidR="00B401AE">
        <w:t>25</w:t>
      </w:r>
      <w:r w:rsidR="002E3D04" w:rsidRPr="009A59D5">
        <w:fldChar w:fldCharType="end"/>
      </w:r>
      <w:r w:rsidRPr="009A59D5">
        <w:t xml:space="preserve"> to </w:t>
      </w:r>
      <w:r w:rsidR="002E3D04" w:rsidRPr="009A59D5">
        <w:fldChar w:fldCharType="begin"/>
      </w:r>
      <w:r w:rsidR="002E3D04" w:rsidRPr="009A59D5">
        <w:instrText xml:space="preserve"> REF _Ref460259207 \r \h </w:instrText>
      </w:r>
      <w:r w:rsidR="00365041" w:rsidRPr="009A59D5">
        <w:instrText xml:space="preserve"> \* MERGEFORMAT </w:instrText>
      </w:r>
      <w:r w:rsidR="002E3D04" w:rsidRPr="009A59D5">
        <w:fldChar w:fldCharType="separate"/>
      </w:r>
      <w:r w:rsidR="00B401AE">
        <w:t>28</w:t>
      </w:r>
      <w:r w:rsidR="002E3D04" w:rsidRPr="009A59D5">
        <w:fldChar w:fldCharType="end"/>
      </w:r>
      <w:r w:rsidRPr="009A59D5">
        <w:t xml:space="preserve"> of this Attachment.</w:t>
      </w:r>
      <w:r w:rsidR="003E7F41" w:rsidRPr="009A59D5">
        <w:rPr>
          <w:rStyle w:val="FootnoteReference"/>
        </w:rPr>
        <w:footnoteReference w:id="16"/>
      </w:r>
    </w:p>
    <w:p w14:paraId="5AD53480" w14:textId="677B13BF" w:rsidR="005049E5" w:rsidRPr="009A59D5" w:rsidRDefault="005049E5" w:rsidP="005049E5">
      <w:pPr>
        <w:pStyle w:val="BodyText1"/>
      </w:pPr>
      <w:bookmarkStart w:id="222" w:name="_Ref460259282"/>
      <w:r w:rsidRPr="009A59D5">
        <w:t xml:space="preserve">In any other case, the client ADI must treat the exposure as bilateral for the purposes of all counterparty credit risk requirements and apply the treatment set </w:t>
      </w:r>
      <w:r w:rsidRPr="009A59D5">
        <w:lastRenderedPageBreak/>
        <w:t>out in Attachment A (comprising both default risk RWE and a CVA risk capital charge).</w:t>
      </w:r>
      <w:bookmarkEnd w:id="222"/>
    </w:p>
    <w:p w14:paraId="404BF81A" w14:textId="77777777" w:rsidR="005A75C6" w:rsidRPr="009A59D5" w:rsidRDefault="005049E5" w:rsidP="00B578D7">
      <w:pPr>
        <w:pStyle w:val="AttachmentSubheading"/>
      </w:pPr>
      <w:bookmarkStart w:id="223" w:name="_Toc460331438"/>
      <w:bookmarkStart w:id="224" w:name="_Toc461692101"/>
      <w:bookmarkStart w:id="225" w:name="_Toc487712228"/>
      <w:bookmarkStart w:id="226" w:name="_Toc488397529"/>
      <w:bookmarkStart w:id="227" w:name="_Toc488398089"/>
      <w:bookmarkStart w:id="228" w:name="_Toc489463926"/>
      <w:bookmarkStart w:id="229" w:name="_Toc507406219"/>
      <w:bookmarkStart w:id="230" w:name="_Toc507406291"/>
      <w:bookmarkStart w:id="231" w:name="_Toc507406404"/>
      <w:bookmarkStart w:id="232" w:name="_Toc507406465"/>
      <w:bookmarkStart w:id="233" w:name="_Toc507406572"/>
      <w:r w:rsidRPr="009A59D5">
        <w:t xml:space="preserve">Exposures arising from collateral posted to a </w:t>
      </w:r>
      <w:proofErr w:type="gramStart"/>
      <w:r w:rsidRPr="009A59D5">
        <w:t>QCCP</w:t>
      </w:r>
      <w:bookmarkEnd w:id="223"/>
      <w:bookmarkEnd w:id="224"/>
      <w:bookmarkEnd w:id="225"/>
      <w:bookmarkEnd w:id="226"/>
      <w:bookmarkEnd w:id="227"/>
      <w:bookmarkEnd w:id="228"/>
      <w:bookmarkEnd w:id="229"/>
      <w:bookmarkEnd w:id="230"/>
      <w:bookmarkEnd w:id="231"/>
      <w:bookmarkEnd w:id="232"/>
      <w:bookmarkEnd w:id="233"/>
      <w:proofErr w:type="gramEnd"/>
    </w:p>
    <w:p w14:paraId="3D79E2F9" w14:textId="7F46ACE0" w:rsidR="00386EE4" w:rsidRPr="009A59D5" w:rsidRDefault="00386EE4" w:rsidP="00386EE4">
      <w:pPr>
        <w:pStyle w:val="BodyText1"/>
      </w:pPr>
      <w:bookmarkStart w:id="234" w:name="_Ref460259486"/>
      <w:r w:rsidRPr="009A59D5">
        <w:t xml:space="preserve">For the purposes of this Attachment, collateral posted by an ADI to the QCCP includes but is not limited </w:t>
      </w:r>
      <w:proofErr w:type="gramStart"/>
      <w:r w:rsidRPr="009A59D5">
        <w:t>to</w:t>
      </w:r>
      <w:r w:rsidR="001C0CEC" w:rsidRPr="009A59D5">
        <w:t>:</w:t>
      </w:r>
      <w:proofErr w:type="gramEnd"/>
      <w:r w:rsidRPr="009A59D5">
        <w:t xml:space="preserve"> initial </w:t>
      </w:r>
      <w:r w:rsidR="001C0CEC" w:rsidRPr="009A59D5">
        <w:t>margin,</w:t>
      </w:r>
      <w:r w:rsidRPr="009A59D5">
        <w:t xml:space="preserve"> any variation margin due to the ADI from the QCCP but not yet received, cash, securities, other pledged assets and any excess initial or variation margin. Posted collateral does not include any default fund contribution.</w:t>
      </w:r>
      <w:bookmarkEnd w:id="234"/>
    </w:p>
    <w:p w14:paraId="08054905" w14:textId="72530E03" w:rsidR="00386EE4" w:rsidRPr="009A59D5" w:rsidRDefault="00386EE4" w:rsidP="00386EE4">
      <w:pPr>
        <w:pStyle w:val="BodyText1"/>
      </w:pPr>
      <w:r w:rsidRPr="009A59D5">
        <w:t>An ADI that has posted collateral to a QCCP must risk</w:t>
      </w:r>
      <w:r w:rsidR="00557D5E" w:rsidRPr="009A59D5">
        <w:t xml:space="preserve"> </w:t>
      </w:r>
      <w:r w:rsidRPr="009A59D5">
        <w:t xml:space="preserve">weight those assets in accordance with the relevant banking book or trading book treatment that would otherwise apply </w:t>
      </w:r>
      <w:proofErr w:type="gramStart"/>
      <w:r w:rsidRPr="009A59D5">
        <w:t>regardless of the fact that</w:t>
      </w:r>
      <w:proofErr w:type="gramEnd"/>
      <w:r w:rsidRPr="009A59D5">
        <w:t xml:space="preserve"> such assets have been posted as collateral.</w:t>
      </w:r>
    </w:p>
    <w:p w14:paraId="4DCF0122" w14:textId="77777777" w:rsidR="00386EE4" w:rsidRPr="009A59D5" w:rsidRDefault="00386EE4" w:rsidP="00386EE4">
      <w:pPr>
        <w:pStyle w:val="BodyText1"/>
      </w:pPr>
      <w:r w:rsidRPr="009A59D5">
        <w:t>For collateral posted by a clearing member ADI to a QCCP, the ADI:</w:t>
      </w:r>
    </w:p>
    <w:p w14:paraId="196B57A9" w14:textId="7256ABA6" w:rsidR="00386EE4" w:rsidRPr="009A59D5" w:rsidRDefault="00386EE4" w:rsidP="00386EE4">
      <w:pPr>
        <w:pStyle w:val="BodyText2"/>
      </w:pPr>
      <w:bookmarkStart w:id="235" w:name="_Ref483418945"/>
      <w:r w:rsidRPr="009A59D5">
        <w:t xml:space="preserve">may apply a </w:t>
      </w:r>
      <w:proofErr w:type="gramStart"/>
      <w:r w:rsidRPr="009A59D5">
        <w:t>zero risk</w:t>
      </w:r>
      <w:proofErr w:type="gramEnd"/>
      <w:r w:rsidR="00557D5E" w:rsidRPr="009A59D5">
        <w:t xml:space="preserve"> </w:t>
      </w:r>
      <w:r w:rsidRPr="009A59D5">
        <w:t>weight to all posted collateral that is held by a custodian where that collateral is bankruptcy</w:t>
      </w:r>
      <w:r w:rsidR="00391B26" w:rsidRPr="009A59D5">
        <w:t xml:space="preserve"> </w:t>
      </w:r>
      <w:r w:rsidRPr="009A59D5">
        <w:t>remote from the QCCP;</w:t>
      </w:r>
      <w:r w:rsidR="00713038" w:rsidRPr="009A59D5">
        <w:rPr>
          <w:rStyle w:val="FootnoteReference"/>
        </w:rPr>
        <w:footnoteReference w:id="17"/>
      </w:r>
      <w:r w:rsidR="00713038" w:rsidRPr="009A59D5">
        <w:rPr>
          <w:rStyle w:val="FootnoteReference"/>
        </w:rPr>
        <w:t>,</w:t>
      </w:r>
      <w:r w:rsidR="00F35F08" w:rsidRPr="009A59D5">
        <w:rPr>
          <w:rStyle w:val="FootnoteReference"/>
        </w:rPr>
        <w:footnoteReference w:id="18"/>
      </w:r>
      <w:r w:rsidRPr="009A59D5">
        <w:t xml:space="preserve"> and</w:t>
      </w:r>
      <w:bookmarkEnd w:id="235"/>
    </w:p>
    <w:p w14:paraId="460EADDC" w14:textId="6DAC45DB" w:rsidR="00386EE4" w:rsidRPr="009A59D5" w:rsidRDefault="00386EE4" w:rsidP="00386EE4">
      <w:pPr>
        <w:pStyle w:val="BodyText2"/>
      </w:pPr>
      <w:r w:rsidRPr="009A59D5">
        <w:t>must apply a two per cent risk</w:t>
      </w:r>
      <w:r w:rsidR="00557D5E" w:rsidRPr="009A59D5">
        <w:t xml:space="preserve"> </w:t>
      </w:r>
      <w:r w:rsidRPr="009A59D5">
        <w:t>weight to all posted collateral held by the QCCP where that collateral is not held in a bankruptcy</w:t>
      </w:r>
      <w:r w:rsidR="00391B26" w:rsidRPr="009A59D5">
        <w:t xml:space="preserve"> </w:t>
      </w:r>
      <w:r w:rsidRPr="009A59D5">
        <w:t>remote manner.</w:t>
      </w:r>
      <w:r w:rsidR="00713038" w:rsidRPr="009A59D5">
        <w:rPr>
          <w:rStyle w:val="FootnoteReference"/>
        </w:rPr>
        <w:footnoteReference w:id="19"/>
      </w:r>
    </w:p>
    <w:p w14:paraId="3C30A4FE" w14:textId="77777777" w:rsidR="00386EE4" w:rsidRPr="009A59D5" w:rsidRDefault="00386EE4" w:rsidP="00386EE4">
      <w:pPr>
        <w:pStyle w:val="BodyText1"/>
      </w:pPr>
      <w:bookmarkStart w:id="236" w:name="_Ref460259207"/>
      <w:r w:rsidRPr="009A59D5">
        <w:t>For collateral posted by a client ADI to a QCCP, the ADI:</w:t>
      </w:r>
      <w:bookmarkEnd w:id="236"/>
    </w:p>
    <w:p w14:paraId="31367679" w14:textId="4A05C347" w:rsidR="00386EE4" w:rsidRPr="009A59D5" w:rsidRDefault="00386EE4" w:rsidP="00386EE4">
      <w:pPr>
        <w:pStyle w:val="BodyText2"/>
      </w:pPr>
      <w:bookmarkStart w:id="237" w:name="_Ref488399996"/>
      <w:r w:rsidRPr="009A59D5">
        <w:t xml:space="preserve">may apply a </w:t>
      </w:r>
      <w:proofErr w:type="gramStart"/>
      <w:r w:rsidRPr="009A59D5">
        <w:t>zero risk</w:t>
      </w:r>
      <w:proofErr w:type="gramEnd"/>
      <w:r w:rsidR="00557D5E" w:rsidRPr="009A59D5">
        <w:t xml:space="preserve"> </w:t>
      </w:r>
      <w:r w:rsidRPr="009A59D5">
        <w:t>weight to all posted collateral that is held by a custodian where the collateral is bankruptcy remote from the QCCP, the clearing member, and the clearing member’s other clients;</w:t>
      </w:r>
      <w:bookmarkEnd w:id="237"/>
    </w:p>
    <w:p w14:paraId="116BBD67" w14:textId="5C5F7AC7" w:rsidR="00386EE4" w:rsidRPr="009A59D5" w:rsidRDefault="00386EE4" w:rsidP="00386EE4">
      <w:pPr>
        <w:pStyle w:val="BodyText2"/>
      </w:pPr>
      <w:r w:rsidRPr="009A59D5">
        <w:t>must apply a two per cent risk</w:t>
      </w:r>
      <w:r w:rsidR="00557D5E" w:rsidRPr="009A59D5">
        <w:t xml:space="preserve"> </w:t>
      </w:r>
      <w:r w:rsidRPr="009A59D5">
        <w:t xml:space="preserve">weight to all posted collateral held by the QCCP if the collateral is not bankruptcy remote from the QCCP, and all conditions </w:t>
      </w:r>
      <w:r w:rsidR="00683E43" w:rsidRPr="009A59D5">
        <w:fldChar w:fldCharType="begin"/>
      </w:r>
      <w:r w:rsidR="00683E43" w:rsidRPr="009A59D5">
        <w:instrText xml:space="preserve"> REF _Ref461098782 \n \h </w:instrText>
      </w:r>
      <w:r w:rsidR="00365041" w:rsidRPr="009A59D5">
        <w:instrText xml:space="preserve"> \* MERGEFORMAT </w:instrText>
      </w:r>
      <w:r w:rsidR="00683E43" w:rsidRPr="009A59D5">
        <w:fldChar w:fldCharType="separate"/>
      </w:r>
      <w:r w:rsidR="00B401AE">
        <w:t>(a)</w:t>
      </w:r>
      <w:r w:rsidR="00683E43" w:rsidRPr="009A59D5">
        <w:fldChar w:fldCharType="end"/>
      </w:r>
      <w:r w:rsidRPr="009A59D5">
        <w:t xml:space="preserve">, </w:t>
      </w:r>
      <w:r w:rsidR="00683E43" w:rsidRPr="009A59D5">
        <w:fldChar w:fldCharType="begin"/>
      </w:r>
      <w:r w:rsidR="00683E43" w:rsidRPr="009A59D5">
        <w:instrText xml:space="preserve"> REF _Ref461098891 \n \h </w:instrText>
      </w:r>
      <w:r w:rsidR="00365041" w:rsidRPr="009A59D5">
        <w:instrText xml:space="preserve"> \* MERGEFORMAT </w:instrText>
      </w:r>
      <w:r w:rsidR="00683E43" w:rsidRPr="009A59D5">
        <w:fldChar w:fldCharType="separate"/>
      </w:r>
      <w:r w:rsidR="00B401AE">
        <w:t>(b)</w:t>
      </w:r>
      <w:r w:rsidR="00683E43" w:rsidRPr="009A59D5">
        <w:fldChar w:fldCharType="end"/>
      </w:r>
      <w:r w:rsidRPr="009A59D5">
        <w:t xml:space="preserve"> and </w:t>
      </w:r>
      <w:r w:rsidR="00683E43" w:rsidRPr="009A59D5">
        <w:fldChar w:fldCharType="begin"/>
      </w:r>
      <w:r w:rsidR="00683E43" w:rsidRPr="009A59D5">
        <w:instrText xml:space="preserve"> REF _Ref461098788 \n \h </w:instrText>
      </w:r>
      <w:r w:rsidR="00365041" w:rsidRPr="009A59D5">
        <w:instrText xml:space="preserve"> \* MERGEFORMAT </w:instrText>
      </w:r>
      <w:r w:rsidR="00683E43" w:rsidRPr="009A59D5">
        <w:fldChar w:fldCharType="separate"/>
      </w:r>
      <w:r w:rsidR="00B401AE">
        <w:t>(c)</w:t>
      </w:r>
      <w:r w:rsidR="00683E43" w:rsidRPr="009A59D5">
        <w:fldChar w:fldCharType="end"/>
      </w:r>
      <w:r w:rsidRPr="009A59D5">
        <w:t xml:space="preserve"> in paragraph </w:t>
      </w:r>
      <w:r w:rsidR="002E3D04" w:rsidRPr="009A59D5">
        <w:fldChar w:fldCharType="begin"/>
      </w:r>
      <w:r w:rsidR="002E3D04" w:rsidRPr="009A59D5">
        <w:instrText xml:space="preserve"> REF _Ref460258878 \r \h </w:instrText>
      </w:r>
      <w:r w:rsidR="00365041" w:rsidRPr="009A59D5">
        <w:instrText xml:space="preserve"> \* MERGEFORMAT </w:instrText>
      </w:r>
      <w:r w:rsidR="002E3D04" w:rsidRPr="009A59D5">
        <w:fldChar w:fldCharType="separate"/>
      </w:r>
      <w:r w:rsidR="00B401AE">
        <w:t>22</w:t>
      </w:r>
      <w:r w:rsidR="002E3D04" w:rsidRPr="009A59D5">
        <w:fldChar w:fldCharType="end"/>
      </w:r>
      <w:r w:rsidRPr="009A59D5">
        <w:t xml:space="preserve"> of this Attachment are satisfied; and</w:t>
      </w:r>
    </w:p>
    <w:p w14:paraId="6D4DC9CB" w14:textId="3D5614BC" w:rsidR="00386EE4" w:rsidRPr="009A59D5" w:rsidRDefault="00386EE4" w:rsidP="00386EE4">
      <w:pPr>
        <w:pStyle w:val="BodyText2"/>
      </w:pPr>
      <w:r w:rsidRPr="009A59D5">
        <w:t>must apply a four per cent risk</w:t>
      </w:r>
      <w:r w:rsidR="00557D5E" w:rsidRPr="009A59D5">
        <w:t xml:space="preserve"> </w:t>
      </w:r>
      <w:r w:rsidRPr="009A59D5">
        <w:t xml:space="preserve">weight to all posted collateral held by the QCCP if the collateral is not bankruptcy remote from the QCCP and only conditions </w:t>
      </w:r>
      <w:r w:rsidR="00683E43" w:rsidRPr="009A59D5">
        <w:fldChar w:fldCharType="begin"/>
      </w:r>
      <w:r w:rsidR="00683E43" w:rsidRPr="009A59D5">
        <w:instrText xml:space="preserve"> REF _Ref461098782 \n \h </w:instrText>
      </w:r>
      <w:r w:rsidR="00365041" w:rsidRPr="009A59D5">
        <w:instrText xml:space="preserve"> \* MERGEFORMAT </w:instrText>
      </w:r>
      <w:r w:rsidR="00683E43" w:rsidRPr="009A59D5">
        <w:fldChar w:fldCharType="separate"/>
      </w:r>
      <w:r w:rsidR="00B401AE">
        <w:t>(a)</w:t>
      </w:r>
      <w:r w:rsidR="00683E43" w:rsidRPr="009A59D5">
        <w:fldChar w:fldCharType="end"/>
      </w:r>
      <w:r w:rsidRPr="009A59D5">
        <w:t xml:space="preserve"> and </w:t>
      </w:r>
      <w:r w:rsidR="00683E43" w:rsidRPr="009A59D5">
        <w:fldChar w:fldCharType="begin"/>
      </w:r>
      <w:r w:rsidR="00683E43" w:rsidRPr="009A59D5">
        <w:instrText xml:space="preserve"> REF _Ref461098788 \n \h </w:instrText>
      </w:r>
      <w:r w:rsidR="00365041" w:rsidRPr="009A59D5">
        <w:instrText xml:space="preserve"> \* MERGEFORMAT </w:instrText>
      </w:r>
      <w:r w:rsidR="00683E43" w:rsidRPr="009A59D5">
        <w:fldChar w:fldCharType="separate"/>
      </w:r>
      <w:r w:rsidR="00B401AE">
        <w:t>(c)</w:t>
      </w:r>
      <w:r w:rsidR="00683E43" w:rsidRPr="009A59D5">
        <w:fldChar w:fldCharType="end"/>
      </w:r>
      <w:r w:rsidRPr="009A59D5">
        <w:t xml:space="preserve"> in paragraph </w:t>
      </w:r>
      <w:r w:rsidR="002E3D04" w:rsidRPr="009A59D5">
        <w:fldChar w:fldCharType="begin"/>
      </w:r>
      <w:r w:rsidR="002E3D04" w:rsidRPr="009A59D5">
        <w:instrText xml:space="preserve"> REF _Ref460258878 \r \h </w:instrText>
      </w:r>
      <w:r w:rsidR="00365041" w:rsidRPr="009A59D5">
        <w:instrText xml:space="preserve"> \* MERGEFORMAT </w:instrText>
      </w:r>
      <w:r w:rsidR="002E3D04" w:rsidRPr="009A59D5">
        <w:fldChar w:fldCharType="separate"/>
      </w:r>
      <w:r w:rsidR="00B401AE">
        <w:t>22</w:t>
      </w:r>
      <w:r w:rsidR="002E3D04" w:rsidRPr="009A59D5">
        <w:fldChar w:fldCharType="end"/>
      </w:r>
      <w:r w:rsidRPr="009A59D5">
        <w:t xml:space="preserve"> of this Attachment are satisfied.</w:t>
      </w:r>
    </w:p>
    <w:p w14:paraId="5C43657C" w14:textId="77777777" w:rsidR="00386EE4" w:rsidRPr="009A59D5" w:rsidRDefault="00386EE4" w:rsidP="00B578D7">
      <w:pPr>
        <w:pStyle w:val="AttachmentSubheading"/>
      </w:pPr>
      <w:bookmarkStart w:id="238" w:name="_Toc460331439"/>
      <w:bookmarkStart w:id="239" w:name="_Toc461692102"/>
      <w:bookmarkStart w:id="240" w:name="_Toc487712229"/>
      <w:bookmarkStart w:id="241" w:name="_Toc488397530"/>
      <w:bookmarkStart w:id="242" w:name="_Toc488398090"/>
      <w:bookmarkStart w:id="243" w:name="_Toc489463927"/>
      <w:bookmarkStart w:id="244" w:name="_Toc507406220"/>
      <w:bookmarkStart w:id="245" w:name="_Toc507406292"/>
      <w:bookmarkStart w:id="246" w:name="_Toc507406405"/>
      <w:bookmarkStart w:id="247" w:name="_Toc507406466"/>
      <w:bookmarkStart w:id="248" w:name="_Toc507406573"/>
      <w:r w:rsidRPr="009A59D5">
        <w:t xml:space="preserve">Exposures arising from transactions cleared through a non-qualifying </w:t>
      </w:r>
      <w:proofErr w:type="gramStart"/>
      <w:r w:rsidRPr="009A59D5">
        <w:t>CCP</w:t>
      </w:r>
      <w:bookmarkEnd w:id="238"/>
      <w:bookmarkEnd w:id="239"/>
      <w:bookmarkEnd w:id="240"/>
      <w:bookmarkEnd w:id="241"/>
      <w:bookmarkEnd w:id="242"/>
      <w:bookmarkEnd w:id="243"/>
      <w:bookmarkEnd w:id="244"/>
      <w:bookmarkEnd w:id="245"/>
      <w:bookmarkEnd w:id="246"/>
      <w:bookmarkEnd w:id="247"/>
      <w:bookmarkEnd w:id="248"/>
      <w:proofErr w:type="gramEnd"/>
    </w:p>
    <w:p w14:paraId="20991FE3" w14:textId="77777777" w:rsidR="00386EE4" w:rsidRPr="009A59D5" w:rsidRDefault="00386EE4" w:rsidP="00386EE4">
      <w:pPr>
        <w:pStyle w:val="BodyText1"/>
      </w:pPr>
      <w:bookmarkStart w:id="249" w:name="_Ref460259123"/>
      <w:r w:rsidRPr="009A59D5">
        <w:lastRenderedPageBreak/>
        <w:t>For all transactions with a non-qualifying CCP, an ADI must calculate the following counterparty credit risk requirements:</w:t>
      </w:r>
      <w:bookmarkEnd w:id="249"/>
    </w:p>
    <w:p w14:paraId="6BB0F4E4" w14:textId="4FCB8B69" w:rsidR="00F2759D" w:rsidRPr="009A59D5" w:rsidRDefault="00386EE4" w:rsidP="00F2759D">
      <w:pPr>
        <w:pStyle w:val="BodyText2"/>
      </w:pPr>
      <w:r w:rsidRPr="009A59D5">
        <w:t xml:space="preserve">trade exposure RWE in respect of the ADI’s </w:t>
      </w:r>
      <w:r w:rsidR="004044F4" w:rsidRPr="009A59D5">
        <w:t xml:space="preserve">trade </w:t>
      </w:r>
      <w:r w:rsidRPr="009A59D5">
        <w:t xml:space="preserve">exposure to the non-qualifying CCP </w:t>
      </w:r>
      <w:r w:rsidR="004044F4" w:rsidRPr="009A59D5">
        <w:t>(including any exposure to the non-qualifying CCP that arises due to the ADI guaranteeing a client trade)</w:t>
      </w:r>
      <w:r w:rsidRPr="009A59D5">
        <w:t>, calculated in accordance with Attachment A of this Prudential Standard, and risk</w:t>
      </w:r>
      <w:r w:rsidR="00557D5E" w:rsidRPr="009A59D5">
        <w:t xml:space="preserve"> </w:t>
      </w:r>
      <w:r w:rsidRPr="009A59D5">
        <w:t>weighted in accordance with APS 112</w:t>
      </w:r>
      <w:r w:rsidR="006A3315" w:rsidRPr="009A59D5">
        <w:t>;</w:t>
      </w:r>
      <w:r w:rsidR="006A3315" w:rsidRPr="009A59D5">
        <w:rPr>
          <w:rStyle w:val="FootnoteReference"/>
        </w:rPr>
        <w:footnoteReference w:id="20"/>
      </w:r>
    </w:p>
    <w:p w14:paraId="336CC995" w14:textId="77777777" w:rsidR="00F2759D" w:rsidRPr="009A59D5" w:rsidRDefault="004044F4" w:rsidP="00122D3B">
      <w:pPr>
        <w:pStyle w:val="BodyText2"/>
      </w:pPr>
      <w:r w:rsidRPr="009A59D5">
        <w:t>trade exposure RWE in respect of any exposure to the ADI’s clients, calculated in accordance with Attachment A of this Prudential Standard and</w:t>
      </w:r>
      <w:r w:rsidR="00F2759D" w:rsidRPr="009A59D5">
        <w:t>:</w:t>
      </w:r>
    </w:p>
    <w:p w14:paraId="15927F8A" w14:textId="4C33C998" w:rsidR="004044F4" w:rsidRPr="009A59D5" w:rsidRDefault="00FF61BF" w:rsidP="00F2759D">
      <w:pPr>
        <w:pStyle w:val="BodyText3"/>
      </w:pPr>
      <w:r w:rsidRPr="009A59D5">
        <w:t>for an IRB ADI,</w:t>
      </w:r>
      <w:r w:rsidR="00F2759D" w:rsidRPr="009A59D5">
        <w:t xml:space="preserve"> risk</w:t>
      </w:r>
      <w:r w:rsidR="00557D5E" w:rsidRPr="009A59D5">
        <w:t xml:space="preserve"> </w:t>
      </w:r>
      <w:r w:rsidR="00F2759D" w:rsidRPr="009A59D5">
        <w:t xml:space="preserve">weighted </w:t>
      </w:r>
      <w:r w:rsidR="00122D3B" w:rsidRPr="009A59D5">
        <w:t>in accordance with</w:t>
      </w:r>
      <w:r w:rsidR="00F2759D" w:rsidRPr="009A59D5">
        <w:t xml:space="preserve"> to APS 113</w:t>
      </w:r>
      <w:r w:rsidR="004044F4" w:rsidRPr="009A59D5">
        <w:t>;</w:t>
      </w:r>
      <w:r w:rsidR="00713038" w:rsidRPr="009A59D5">
        <w:rPr>
          <w:rStyle w:val="FootnoteReference"/>
        </w:rPr>
        <w:footnoteReference w:id="21"/>
      </w:r>
      <w:r w:rsidR="00097426" w:rsidRPr="009A59D5">
        <w:t xml:space="preserve"> or</w:t>
      </w:r>
    </w:p>
    <w:p w14:paraId="0ABD79B0" w14:textId="2ED5C42A" w:rsidR="00097426" w:rsidRPr="009A59D5" w:rsidRDefault="00097426" w:rsidP="00097426">
      <w:pPr>
        <w:pStyle w:val="BodyText3"/>
      </w:pPr>
      <w:r w:rsidRPr="009A59D5">
        <w:t xml:space="preserve">for a standardised ADI, risk weighted in accordance with APS </w:t>
      </w:r>
      <w:proofErr w:type="gramStart"/>
      <w:r w:rsidRPr="009A59D5">
        <w:t>112;</w:t>
      </w:r>
      <w:proofErr w:type="gramEnd"/>
    </w:p>
    <w:p w14:paraId="33F62D1B" w14:textId="77777777" w:rsidR="00386EE4" w:rsidRPr="009A59D5" w:rsidRDefault="00386EE4" w:rsidP="006A3315">
      <w:pPr>
        <w:pStyle w:val="BodyText2"/>
      </w:pPr>
      <w:r w:rsidRPr="009A59D5">
        <w:t>a CVA risk capital charge in respect of the non-qualifying CCP and any clients, calculated in accordance with Attachment A of this Prudential Standard; and</w:t>
      </w:r>
    </w:p>
    <w:p w14:paraId="062D330A" w14:textId="42BA9717" w:rsidR="00386EE4" w:rsidRPr="009A59D5" w:rsidRDefault="00386EE4" w:rsidP="006A3315">
      <w:pPr>
        <w:pStyle w:val="BodyText2"/>
      </w:pPr>
      <w:r w:rsidRPr="009A59D5">
        <w:t>where the ADI is a clearing member of the non-qualifying CCP, default fund RWE, given by:</w:t>
      </w:r>
    </w:p>
    <w:p w14:paraId="0CDB44AB" w14:textId="77777777" w:rsidR="00646793" w:rsidRDefault="004B4A34" w:rsidP="004B4A34">
      <w:pPr>
        <w:pStyle w:val="BodyText2"/>
        <w:numPr>
          <w:ilvl w:val="0"/>
          <w:numId w:val="0"/>
        </w:numPr>
        <w:ind w:left="1134" w:hanging="1134"/>
      </w:pPr>
      <w:r w:rsidRPr="004B4A34">
        <w:rPr>
          <w:noProof/>
        </w:rPr>
        <w:drawing>
          <wp:inline distT="0" distB="0" distL="0" distR="0" wp14:anchorId="4A8C0430" wp14:editId="62D1F4C6">
            <wp:extent cx="5278120" cy="301625"/>
            <wp:effectExtent l="0" t="0" r="0" b="0"/>
            <wp:docPr id="15" name="Picture 15" descr="Start formula RWE equals 1250% times DF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art formula RWE equals 1250% times DF end formul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120" cy="301625"/>
                    </a:xfrm>
                    <a:prstGeom prst="rect">
                      <a:avLst/>
                    </a:prstGeom>
                    <a:noFill/>
                    <a:ln>
                      <a:noFill/>
                    </a:ln>
                  </pic:spPr>
                </pic:pic>
              </a:graphicData>
            </a:graphic>
          </wp:inline>
        </w:drawing>
      </w:r>
    </w:p>
    <w:p w14:paraId="4DD32E28" w14:textId="1A4CBC2A" w:rsidR="006A3315" w:rsidRPr="009A59D5" w:rsidRDefault="006A3315" w:rsidP="00646793">
      <w:pPr>
        <w:pStyle w:val="BodyText2"/>
        <w:numPr>
          <w:ilvl w:val="0"/>
          <w:numId w:val="0"/>
        </w:numPr>
        <w:ind w:left="1134"/>
      </w:pPr>
      <w:r w:rsidRPr="009A59D5">
        <w:t>where:</w:t>
      </w:r>
    </w:p>
    <w:p w14:paraId="399E956A" w14:textId="36F0741A" w:rsidR="006A3315" w:rsidRPr="009A59D5" w:rsidRDefault="007E2E97" w:rsidP="006A3315">
      <w:pPr>
        <w:pStyle w:val="BodyText2"/>
        <w:numPr>
          <w:ilvl w:val="0"/>
          <w:numId w:val="0"/>
        </w:numPr>
        <w:ind w:left="1134"/>
      </w:pPr>
      <w:r>
        <w:rPr>
          <w:i/>
        </w:rPr>
        <w:t>RWE =</w:t>
      </w:r>
      <w:r w:rsidR="006A3315" w:rsidRPr="009A59D5">
        <w:t xml:space="preserve"> the clearing member ADI’s risk-weighted exposure (RWE) in respect of its default fund exposure to the non-qualifying CCP; and</w:t>
      </w:r>
    </w:p>
    <w:p w14:paraId="13D6D808" w14:textId="0CC6604A" w:rsidR="006A3315" w:rsidRPr="009A59D5" w:rsidRDefault="007E2E97" w:rsidP="006A3315">
      <w:pPr>
        <w:pStyle w:val="BodyText2"/>
        <w:numPr>
          <w:ilvl w:val="0"/>
          <w:numId w:val="0"/>
        </w:numPr>
        <w:ind w:left="1134"/>
      </w:pPr>
      <w:r>
        <w:rPr>
          <w:i/>
        </w:rPr>
        <w:t>DF =</w:t>
      </w:r>
      <w:r w:rsidR="006E2460" w:rsidRPr="009A59D5">
        <w:t xml:space="preserve"> the clearing member ADI’s pre-</w:t>
      </w:r>
      <w:r w:rsidR="006A3315" w:rsidRPr="009A59D5">
        <w:t>funded contribution to the default fund of the non-qualifying CCP, plus a proportion, to be specified by APRA, of the ADI’s unfunded contributions that are liable to be paid should the CCP so require.</w:t>
      </w:r>
    </w:p>
    <w:p w14:paraId="342A5A30" w14:textId="77777777" w:rsidR="006A3315" w:rsidRPr="009A59D5" w:rsidRDefault="006A3315" w:rsidP="00405B60">
      <w:pPr>
        <w:pStyle w:val="AttachmentSubheading"/>
        <w:keepNext/>
      </w:pPr>
      <w:bookmarkStart w:id="250" w:name="_Toc460331440"/>
      <w:bookmarkStart w:id="251" w:name="_Toc461692103"/>
      <w:bookmarkStart w:id="252" w:name="_Toc487712230"/>
      <w:bookmarkStart w:id="253" w:name="_Toc488397531"/>
      <w:bookmarkStart w:id="254" w:name="_Toc488398091"/>
      <w:bookmarkStart w:id="255" w:name="_Toc489463928"/>
      <w:bookmarkStart w:id="256" w:name="_Toc507406221"/>
      <w:bookmarkStart w:id="257" w:name="_Toc507406293"/>
      <w:bookmarkStart w:id="258" w:name="_Toc507406406"/>
      <w:bookmarkStart w:id="259" w:name="_Toc507406467"/>
      <w:bookmarkStart w:id="260" w:name="_Toc507406574"/>
      <w:r w:rsidRPr="009A59D5">
        <w:t xml:space="preserve">Risk management requirements for centrally cleared </w:t>
      </w:r>
      <w:proofErr w:type="gramStart"/>
      <w:r w:rsidRPr="009A59D5">
        <w:t>exposures</w:t>
      </w:r>
      <w:bookmarkEnd w:id="250"/>
      <w:bookmarkEnd w:id="251"/>
      <w:bookmarkEnd w:id="252"/>
      <w:bookmarkEnd w:id="253"/>
      <w:bookmarkEnd w:id="254"/>
      <w:bookmarkEnd w:id="255"/>
      <w:bookmarkEnd w:id="256"/>
      <w:bookmarkEnd w:id="257"/>
      <w:bookmarkEnd w:id="258"/>
      <w:bookmarkEnd w:id="259"/>
      <w:bookmarkEnd w:id="260"/>
      <w:proofErr w:type="gramEnd"/>
    </w:p>
    <w:p w14:paraId="57D2AE84" w14:textId="78254135" w:rsidR="006A3315" w:rsidRPr="009A59D5" w:rsidRDefault="006A3315" w:rsidP="00405B60">
      <w:pPr>
        <w:pStyle w:val="BodyText1"/>
        <w:keepNext/>
      </w:pPr>
      <w:bookmarkStart w:id="261" w:name="_Ref460258472"/>
      <w:r w:rsidRPr="009A59D5">
        <w:t xml:space="preserve">An ADI must establish a process for monitoring by, and regular reporting to, senior management </w:t>
      </w:r>
      <w:r w:rsidR="00EF077E" w:rsidRPr="009A59D5">
        <w:t xml:space="preserve">of </w:t>
      </w:r>
      <w:proofErr w:type="gramStart"/>
      <w:r w:rsidRPr="009A59D5">
        <w:t>all of</w:t>
      </w:r>
      <w:proofErr w:type="gramEnd"/>
      <w:r w:rsidRPr="009A59D5">
        <w:t xml:space="preserve"> its exposures to CCPs, including exposures arising from trading through a CCP and exposures arising from CCP membership obligations such as default fund contributions. An ADI must also establish a </w:t>
      </w:r>
      <w:r w:rsidRPr="009A59D5">
        <w:lastRenderedPageBreak/>
        <w:t>process for regular reporting of material exposures to CCPs to the appropriate committee of the Board</w:t>
      </w:r>
      <w:r w:rsidR="00F6321D" w:rsidRPr="009A59D5">
        <w:t xml:space="preserve"> of directors (Board)</w:t>
      </w:r>
      <w:r w:rsidRPr="009A59D5">
        <w:t>.</w:t>
      </w:r>
      <w:bookmarkEnd w:id="261"/>
    </w:p>
    <w:p w14:paraId="487DD7F1" w14:textId="300BFFD6" w:rsidR="006A3315" w:rsidRPr="009A59D5" w:rsidRDefault="006A3315" w:rsidP="006A3315">
      <w:pPr>
        <w:pStyle w:val="BodyText1"/>
      </w:pPr>
      <w:r w:rsidRPr="009A59D5">
        <w:t>An ADI must ensure that it maintains adequate capital for its exposures to CCPs, regardless of whether a CCP is classified as a QCCP. In particular, an ADI must consider whether it might need to hold capital in excess of the minimum capital requirements if, for example, (</w:t>
      </w:r>
      <w:proofErr w:type="spellStart"/>
      <w:r w:rsidRPr="009A59D5">
        <w:t>i</w:t>
      </w:r>
      <w:proofErr w:type="spellEnd"/>
      <w:r w:rsidRPr="009A59D5">
        <w:t>) its dealings with a CCP give rise to higher risk exposure or (ii) where it is unclear whether a CCP meets the def</w:t>
      </w:r>
      <w:r w:rsidR="002E3D04" w:rsidRPr="009A59D5">
        <w:t xml:space="preserve">inition of a QCCP in paragraph </w:t>
      </w:r>
      <w:r w:rsidR="002E3D04" w:rsidRPr="009A59D5">
        <w:fldChar w:fldCharType="begin"/>
      </w:r>
      <w:r w:rsidR="002E3D04" w:rsidRPr="009A59D5">
        <w:instrText xml:space="preserve"> REF _Ref460255058 \r \h </w:instrText>
      </w:r>
      <w:r w:rsidR="00365041" w:rsidRPr="009A59D5">
        <w:instrText xml:space="preserve"> \* MERGEFORMAT </w:instrText>
      </w:r>
      <w:r w:rsidR="002E3D04" w:rsidRPr="009A59D5">
        <w:fldChar w:fldCharType="separate"/>
      </w:r>
      <w:r w:rsidR="00B401AE">
        <w:t>8(w)</w:t>
      </w:r>
      <w:r w:rsidR="002E3D04" w:rsidRPr="009A59D5">
        <w:fldChar w:fldCharType="end"/>
      </w:r>
      <w:r w:rsidRPr="009A59D5">
        <w:t xml:space="preserve"> of this Prudential Standard based on the ADI’s dealings with the CCP.</w:t>
      </w:r>
    </w:p>
    <w:p w14:paraId="1ED21829" w14:textId="77777777" w:rsidR="006A3315" w:rsidRPr="009A59D5" w:rsidRDefault="006A3315" w:rsidP="006A3315">
      <w:pPr>
        <w:pStyle w:val="BodyText1"/>
      </w:pPr>
      <w:r w:rsidRPr="009A59D5">
        <w:t xml:space="preserve">For all exposures to CCPs, a clearing member ADI must assess through appropriate scenario analysis and stress testing whether the level of capital held against exposures to a CCP adequately addresses the inherent risks of those transactions. The assessment must include potential future or contingent exposure resulting from future drawings on default fund commitments, and/or from any secondary commitments to take over or replace offsetting transactions from clients of another clearing member </w:t>
      </w:r>
      <w:proofErr w:type="gramStart"/>
      <w:r w:rsidRPr="009A59D5">
        <w:t>in the event that</w:t>
      </w:r>
      <w:proofErr w:type="gramEnd"/>
      <w:r w:rsidRPr="009A59D5">
        <w:t xml:space="preserve"> the clearing member defaults or becomes insolvent.</w:t>
      </w:r>
    </w:p>
    <w:p w14:paraId="7CF5AE0A" w14:textId="24886FBA" w:rsidR="006A3315" w:rsidRPr="009A59D5" w:rsidRDefault="006A3315" w:rsidP="006A3315">
      <w:pPr>
        <w:pStyle w:val="BodyText1"/>
      </w:pPr>
      <w:r w:rsidRPr="009A59D5">
        <w:t>Where a CCP is</w:t>
      </w:r>
      <w:r w:rsidR="00476001" w:rsidRPr="009A59D5">
        <w:t xml:space="preserve"> </w:t>
      </w:r>
      <w:r w:rsidR="0079475B" w:rsidRPr="009A59D5">
        <w:t xml:space="preserve">not </w:t>
      </w:r>
      <w:r w:rsidR="00476001" w:rsidRPr="009A59D5">
        <w:t>based and prudentially supervised</w:t>
      </w:r>
      <w:r w:rsidRPr="009A59D5">
        <w:t xml:space="preserve"> in a jurisdiction </w:t>
      </w:r>
      <w:r w:rsidR="00476001" w:rsidRPr="009A59D5">
        <w:t>where the relevant</w:t>
      </w:r>
      <w:r w:rsidRPr="009A59D5">
        <w:t xml:space="preserve"> regulator</w:t>
      </w:r>
      <w:r w:rsidR="00476001" w:rsidRPr="009A59D5">
        <w:t>/overseer has publicly indicated that it applies domestic rules and regulations that are consistent with</w:t>
      </w:r>
      <w:r w:rsidRPr="009A59D5">
        <w:t xml:space="preserve"> the CP</w:t>
      </w:r>
      <w:r w:rsidR="00E73CF0" w:rsidRPr="009A59D5">
        <w:t>MI</w:t>
      </w:r>
      <w:r w:rsidR="00DD1AFD" w:rsidRPr="009A59D5">
        <w:t>-</w:t>
      </w:r>
      <w:r w:rsidRPr="009A59D5">
        <w:t xml:space="preserve">IOSCO </w:t>
      </w:r>
      <w:r w:rsidRPr="009A59D5">
        <w:rPr>
          <w:i/>
        </w:rPr>
        <w:t>Principles for Financial Market Infrastructures</w:t>
      </w:r>
      <w:r w:rsidRPr="009A59D5">
        <w:t xml:space="preserve"> </w:t>
      </w:r>
      <w:r w:rsidR="002D445E">
        <w:t xml:space="preserve">as it exists </w:t>
      </w:r>
      <w:r w:rsidR="00817148">
        <w:t xml:space="preserve">from time to time </w:t>
      </w:r>
      <w:r w:rsidRPr="009A59D5">
        <w:t>to the CCP</w:t>
      </w:r>
      <w:r w:rsidR="00476001" w:rsidRPr="009A59D5">
        <w:t xml:space="preserve"> on an ongoing basis</w:t>
      </w:r>
      <w:r w:rsidRPr="009A59D5">
        <w:t>, that CCP must be treated as a non-qualifying CCP unless APRA makes a determination that it may be treated as a QCCP.</w:t>
      </w:r>
    </w:p>
    <w:p w14:paraId="7822AAF8" w14:textId="77777777" w:rsidR="00F86304" w:rsidRPr="009A59D5" w:rsidRDefault="006A3315" w:rsidP="006A3315">
      <w:pPr>
        <w:pStyle w:val="BodyText1"/>
      </w:pPr>
      <w:bookmarkStart w:id="262" w:name="_Ref460258481"/>
      <w:r w:rsidRPr="009A59D5">
        <w:t>APRA may require an ADI to hold additional capital against its exposures to a QCCP if an external assessment has found material shortcomings in the regulation of the QCCP and the CCP regulator has not since publicly addressed the issues identified.</w:t>
      </w:r>
      <w:bookmarkEnd w:id="262"/>
    </w:p>
    <w:p w14:paraId="1B000AC4" w14:textId="4E65CBB6" w:rsidR="00A06C64" w:rsidRPr="009A59D5" w:rsidRDefault="00A06C64" w:rsidP="00D10BB7">
      <w:pPr>
        <w:pStyle w:val="AttachmentSubheading"/>
      </w:pPr>
      <w:bookmarkStart w:id="263" w:name="_Toc487712231"/>
      <w:bookmarkStart w:id="264" w:name="_Toc488397532"/>
      <w:bookmarkStart w:id="265" w:name="_Toc488398092"/>
      <w:bookmarkStart w:id="266" w:name="_Toc489463929"/>
      <w:bookmarkStart w:id="267" w:name="_Toc507406222"/>
      <w:bookmarkStart w:id="268" w:name="_Toc507406294"/>
      <w:bookmarkStart w:id="269" w:name="_Toc507406407"/>
      <w:bookmarkStart w:id="270" w:name="_Toc507406468"/>
      <w:bookmarkStart w:id="271" w:name="_Toc507406575"/>
      <w:r w:rsidRPr="009A59D5">
        <w:t>Membership of CCPs</w:t>
      </w:r>
      <w:bookmarkEnd w:id="263"/>
      <w:bookmarkEnd w:id="264"/>
      <w:bookmarkEnd w:id="265"/>
      <w:bookmarkEnd w:id="266"/>
      <w:bookmarkEnd w:id="267"/>
      <w:bookmarkEnd w:id="268"/>
      <w:bookmarkEnd w:id="269"/>
      <w:bookmarkEnd w:id="270"/>
      <w:bookmarkEnd w:id="271"/>
    </w:p>
    <w:p w14:paraId="020940D7" w14:textId="72AB2472" w:rsidR="00540C62" w:rsidRPr="009A59D5" w:rsidRDefault="00BA5E4B" w:rsidP="00476001">
      <w:pPr>
        <w:pStyle w:val="BodyText1"/>
      </w:pPr>
      <w:r w:rsidRPr="009A59D5">
        <w:t>A clearing member</w:t>
      </w:r>
      <w:r w:rsidR="00A06C64" w:rsidRPr="009A59D5">
        <w:t xml:space="preserve"> ADI must</w:t>
      </w:r>
      <w:r w:rsidR="00540C62" w:rsidRPr="009A59D5">
        <w:t xml:space="preserve"> have an appropriate risk management framework to cover its activities as a clearing member. Such a framework must include, as a minimum:</w:t>
      </w:r>
    </w:p>
    <w:p w14:paraId="7A202BE5" w14:textId="4A775301" w:rsidR="00540C62" w:rsidRPr="009A59D5" w:rsidRDefault="00540C62" w:rsidP="00476001">
      <w:pPr>
        <w:pStyle w:val="BodyText2"/>
      </w:pPr>
      <w:r w:rsidRPr="009A59D5">
        <w:t xml:space="preserve">assessment of the risk (financial, operational and reputational) that might arise from membership of and conduct of business through a </w:t>
      </w:r>
      <w:r w:rsidR="00ED25E5" w:rsidRPr="009A59D5">
        <w:t>CCP</w:t>
      </w:r>
      <w:r w:rsidRPr="009A59D5">
        <w:t xml:space="preserve"> and from any similar engagement with multiple </w:t>
      </w:r>
      <w:proofErr w:type="gramStart"/>
      <w:r w:rsidR="00336304" w:rsidRPr="009A59D5">
        <w:t>CCPs</w:t>
      </w:r>
      <w:r w:rsidRPr="009A59D5">
        <w:t>;</w:t>
      </w:r>
      <w:proofErr w:type="gramEnd"/>
    </w:p>
    <w:p w14:paraId="324A1D9B" w14:textId="6647CE2E" w:rsidR="00540C62" w:rsidRPr="009A59D5" w:rsidRDefault="00540C62" w:rsidP="00476001">
      <w:pPr>
        <w:pStyle w:val="BodyText2"/>
      </w:pPr>
      <w:r w:rsidRPr="009A59D5">
        <w:t xml:space="preserve">application of appropriate systems and controls to monitor, on a continuing basis, the risk that membership of and conduct of business through a </w:t>
      </w:r>
      <w:r w:rsidR="00ED25E5" w:rsidRPr="009A59D5">
        <w:t>CCP</w:t>
      </w:r>
      <w:r w:rsidRPr="009A59D5">
        <w:t xml:space="preserve"> or multiple </w:t>
      </w:r>
      <w:r w:rsidR="00ED25E5" w:rsidRPr="009A59D5">
        <w:t>CCPs</w:t>
      </w:r>
      <w:r w:rsidRPr="009A59D5">
        <w:t xml:space="preserve"> may create and to manage such risk. This would include application of limits on potential risk exposures; and</w:t>
      </w:r>
    </w:p>
    <w:p w14:paraId="2E8F321F" w14:textId="4973ED32" w:rsidR="00336304" w:rsidRPr="009A59D5" w:rsidRDefault="00540C62" w:rsidP="00476001">
      <w:pPr>
        <w:pStyle w:val="BodyText2"/>
        <w:numPr>
          <w:ilvl w:val="1"/>
          <w:numId w:val="19"/>
        </w:numPr>
      </w:pPr>
      <w:r w:rsidRPr="009A59D5">
        <w:t xml:space="preserve">maintenance of appropriate capital cover against the risks that may arise from membership of and the conduct of business through a </w:t>
      </w:r>
      <w:r w:rsidR="00370D35" w:rsidRPr="009A59D5">
        <w:t>CCP</w:t>
      </w:r>
      <w:r w:rsidRPr="009A59D5">
        <w:t xml:space="preserve"> and multiple </w:t>
      </w:r>
      <w:r w:rsidR="00370D35" w:rsidRPr="009A59D5">
        <w:t>CCPs</w:t>
      </w:r>
      <w:r w:rsidRPr="009A59D5">
        <w:t xml:space="preserve">. This would include capital cover relating to business conducted through the </w:t>
      </w:r>
      <w:r w:rsidR="00370D35" w:rsidRPr="009A59D5">
        <w:t>CCP</w:t>
      </w:r>
      <w:r w:rsidRPr="009A59D5">
        <w:t xml:space="preserve"> and any funded support provided to a </w:t>
      </w:r>
      <w:r w:rsidR="00BA5E4B" w:rsidRPr="009A59D5">
        <w:t>CCP</w:t>
      </w:r>
      <w:r w:rsidRPr="009A59D5">
        <w:t xml:space="preserve"> or </w:t>
      </w:r>
      <w:r w:rsidRPr="009A59D5">
        <w:lastRenderedPageBreak/>
        <w:t>any conti</w:t>
      </w:r>
      <w:r w:rsidR="00BA5E4B" w:rsidRPr="009A59D5">
        <w:t>ngent support to which the ADI</w:t>
      </w:r>
      <w:r w:rsidRPr="009A59D5">
        <w:t xml:space="preserve"> may be committed to provide to a </w:t>
      </w:r>
      <w:r w:rsidR="00BA5E4B" w:rsidRPr="009A59D5">
        <w:t>CCP</w:t>
      </w:r>
      <w:r w:rsidR="00336304" w:rsidRPr="009A59D5">
        <w:t>.</w:t>
      </w:r>
    </w:p>
    <w:p w14:paraId="3BE5B5EE" w14:textId="092ED260" w:rsidR="00BA5E4B" w:rsidRPr="009A59D5" w:rsidRDefault="00BA5E4B" w:rsidP="00476001">
      <w:pPr>
        <w:pStyle w:val="BodyText1"/>
        <w:numPr>
          <w:ilvl w:val="0"/>
          <w:numId w:val="19"/>
        </w:numPr>
      </w:pPr>
      <w:r w:rsidRPr="009A59D5">
        <w:t xml:space="preserve">Membership of a CCP must not expose </w:t>
      </w:r>
      <w:r w:rsidR="00336304" w:rsidRPr="009A59D5">
        <w:t>an</w:t>
      </w:r>
      <w:r w:rsidRPr="009A59D5">
        <w:t xml:space="preserve"> ADI to an unlimited contingent liability to support the CCP.</w:t>
      </w:r>
    </w:p>
    <w:p w14:paraId="0625CB93" w14:textId="4492D2FF" w:rsidR="00BA5E4B" w:rsidRPr="009A59D5" w:rsidRDefault="00ED25E5" w:rsidP="00476001">
      <w:pPr>
        <w:pStyle w:val="BodyText1"/>
        <w:numPr>
          <w:ilvl w:val="0"/>
          <w:numId w:val="19"/>
        </w:numPr>
      </w:pPr>
      <w:r w:rsidRPr="009A59D5">
        <w:t>A</w:t>
      </w:r>
      <w:r w:rsidR="00540C62" w:rsidRPr="009A59D5">
        <w:t xml:space="preserve">n ADI </w:t>
      </w:r>
      <w:r w:rsidR="00BA5E4B" w:rsidRPr="009A59D5">
        <w:t xml:space="preserve">must notify APRA </w:t>
      </w:r>
      <w:r w:rsidR="003918A4" w:rsidRPr="009A59D5">
        <w:t>prior to applying for membership of a CCP</w:t>
      </w:r>
      <w:r w:rsidR="00BA5E4B" w:rsidRPr="009A59D5">
        <w:t>.</w:t>
      </w:r>
    </w:p>
    <w:p w14:paraId="00D325A1" w14:textId="66E9A980" w:rsidR="00540C62" w:rsidRPr="009A59D5" w:rsidRDefault="00ED25E5" w:rsidP="00540C62">
      <w:pPr>
        <w:pStyle w:val="BodyText1"/>
      </w:pPr>
      <w:r w:rsidRPr="009A59D5">
        <w:t>A</w:t>
      </w:r>
      <w:r w:rsidR="00BA5E4B" w:rsidRPr="009A59D5">
        <w:t>n ADI</w:t>
      </w:r>
      <w:r w:rsidR="00540C62" w:rsidRPr="009A59D5">
        <w:t xml:space="preserve"> </w:t>
      </w:r>
      <w:r w:rsidRPr="009A59D5">
        <w:t xml:space="preserve">that </w:t>
      </w:r>
      <w:r w:rsidR="00540C62" w:rsidRPr="009A59D5">
        <w:t xml:space="preserve">is a member of a </w:t>
      </w:r>
      <w:r w:rsidRPr="009A59D5">
        <w:t>CCP must notify APRA of any proposed</w:t>
      </w:r>
      <w:r w:rsidR="00540C62" w:rsidRPr="009A59D5">
        <w:t xml:space="preserve"> change</w:t>
      </w:r>
      <w:r w:rsidRPr="009A59D5">
        <w:t>s to</w:t>
      </w:r>
      <w:r w:rsidR="00540C62" w:rsidRPr="009A59D5">
        <w:t xml:space="preserve"> the contractual provisions or rules governing its membership and business undertaken through the </w:t>
      </w:r>
      <w:r w:rsidRPr="009A59D5">
        <w:t>CCP</w:t>
      </w:r>
      <w:r w:rsidR="00540C62" w:rsidRPr="009A59D5">
        <w:t xml:space="preserve"> </w:t>
      </w:r>
      <w:r w:rsidRPr="009A59D5">
        <w:t>that</w:t>
      </w:r>
      <w:r w:rsidR="00540C62" w:rsidRPr="009A59D5">
        <w:t xml:space="preserve"> may have the potential to impact on the level of exposure incurred from conducting business through the </w:t>
      </w:r>
      <w:r w:rsidRPr="009A59D5">
        <w:t>CCP</w:t>
      </w:r>
      <w:r w:rsidR="00540C62" w:rsidRPr="009A59D5">
        <w:t xml:space="preserve"> or from any support that </w:t>
      </w:r>
      <w:proofErr w:type="gramStart"/>
      <w:r w:rsidR="00540C62" w:rsidRPr="009A59D5">
        <w:t>has to</w:t>
      </w:r>
      <w:proofErr w:type="gramEnd"/>
      <w:r w:rsidR="00540C62" w:rsidRPr="009A59D5">
        <w:t xml:space="preserve"> be provided (funded or unfunded) to the </w:t>
      </w:r>
      <w:r w:rsidRPr="009A59D5">
        <w:t>CCP</w:t>
      </w:r>
      <w:r w:rsidR="00540C62" w:rsidRPr="009A59D5">
        <w:t>.</w:t>
      </w:r>
    </w:p>
    <w:p w14:paraId="614E13E7" w14:textId="017B5AD9" w:rsidR="00336304" w:rsidRPr="009A59D5" w:rsidRDefault="00336304" w:rsidP="00476001">
      <w:pPr>
        <w:pStyle w:val="BodyText1"/>
        <w:numPr>
          <w:ilvl w:val="0"/>
          <w:numId w:val="19"/>
        </w:numPr>
      </w:pPr>
      <w:bookmarkStart w:id="272" w:name="_Ref489457369"/>
      <w:r w:rsidRPr="009A59D5">
        <w:t xml:space="preserve">An ADI must notify APRA of any operational or financial risks arising from membership of </w:t>
      </w:r>
      <w:r w:rsidR="00647A7A" w:rsidRPr="009A59D5">
        <w:t>and</w:t>
      </w:r>
      <w:r w:rsidRPr="009A59D5">
        <w:t xml:space="preserve"> conduct of business through a CCP that may have a potential material adverse impact on the ADI’s operations, financial </w:t>
      </w:r>
      <w:proofErr w:type="gramStart"/>
      <w:r w:rsidRPr="009A59D5">
        <w:t>position</w:t>
      </w:r>
      <w:proofErr w:type="gramEnd"/>
      <w:r w:rsidRPr="009A59D5">
        <w:t xml:space="preserve"> or reputation. This would include any pertinent rulings, </w:t>
      </w:r>
      <w:proofErr w:type="gramStart"/>
      <w:r w:rsidRPr="009A59D5">
        <w:t>advice</w:t>
      </w:r>
      <w:proofErr w:type="gramEnd"/>
      <w:r w:rsidRPr="009A59D5">
        <w:t xml:space="preserve"> or actions by those entities responsible for the oversight or regulation of the conduct of business undertaken through the CCP or of membership of the CCP.</w:t>
      </w:r>
      <w:bookmarkEnd w:id="272"/>
    </w:p>
    <w:p w14:paraId="6505D750" w14:textId="728E9F6A" w:rsidR="00F86304" w:rsidRPr="009A59D5" w:rsidRDefault="00F86304" w:rsidP="00F86304">
      <w:pPr>
        <w:pStyle w:val="BodyText1"/>
        <w:numPr>
          <w:ilvl w:val="0"/>
          <w:numId w:val="0"/>
        </w:numPr>
        <w:ind w:left="567" w:hanging="567"/>
      </w:pPr>
    </w:p>
    <w:p w14:paraId="2C221592" w14:textId="77777777" w:rsidR="00F86304" w:rsidRPr="009A59D5" w:rsidRDefault="00F86304" w:rsidP="00F86304">
      <w:pPr>
        <w:pStyle w:val="BodyText1"/>
        <w:numPr>
          <w:ilvl w:val="0"/>
          <w:numId w:val="0"/>
        </w:numPr>
        <w:ind w:left="567" w:hanging="567"/>
        <w:sectPr w:rsidR="00F86304" w:rsidRPr="009A59D5" w:rsidSect="000D63A8">
          <w:footerReference w:type="default" r:id="rId27"/>
          <w:pgSz w:w="11906" w:h="16838" w:code="9"/>
          <w:pgMar w:top="1440" w:right="1797" w:bottom="1440" w:left="1797" w:header="709" w:footer="709" w:gutter="0"/>
          <w:cols w:space="708"/>
          <w:docGrid w:linePitch="360"/>
        </w:sectPr>
      </w:pPr>
    </w:p>
    <w:p w14:paraId="32A23F08" w14:textId="4AF764C9" w:rsidR="00F86304" w:rsidRPr="009A59D5" w:rsidRDefault="00F86304" w:rsidP="00F86304">
      <w:pPr>
        <w:pStyle w:val="Heading2"/>
      </w:pPr>
      <w:bookmarkStart w:id="273" w:name="_Toc487712232"/>
      <w:bookmarkStart w:id="274" w:name="_Toc488397533"/>
      <w:bookmarkStart w:id="275" w:name="_Toc507406408"/>
      <w:bookmarkStart w:id="276" w:name="_Toc511230082"/>
      <w:bookmarkStart w:id="277" w:name="_Toc511230301"/>
      <w:r w:rsidRPr="009A59D5">
        <w:lastRenderedPageBreak/>
        <w:t xml:space="preserve">Attachment </w:t>
      </w:r>
      <w:r w:rsidR="00241638" w:rsidRPr="009A59D5">
        <w:t>C —</w:t>
      </w:r>
      <w:r w:rsidRPr="009A59D5">
        <w:rPr>
          <w:rStyle w:val="Attachmentfieldtext"/>
        </w:rPr>
        <w:t xml:space="preserve"> </w:t>
      </w:r>
      <w:bookmarkEnd w:id="273"/>
      <w:bookmarkEnd w:id="274"/>
      <w:r w:rsidR="004B173D" w:rsidRPr="009A59D5">
        <w:t>Capital charge for default fund exposure to a QCCP</w:t>
      </w:r>
      <w:bookmarkEnd w:id="275"/>
      <w:bookmarkEnd w:id="276"/>
      <w:bookmarkEnd w:id="277"/>
    </w:p>
    <w:p w14:paraId="0F1D8DA2" w14:textId="5291F99F" w:rsidR="000E54AC" w:rsidRPr="009A59D5" w:rsidRDefault="000E54AC" w:rsidP="00EF0C22">
      <w:pPr>
        <w:pStyle w:val="BodyText1"/>
        <w:numPr>
          <w:ilvl w:val="0"/>
          <w:numId w:val="38"/>
        </w:numPr>
      </w:pPr>
      <w:r w:rsidRPr="009A59D5">
        <w:t>The default fund capital charge applies only to an ADI that is a clearing member to a QCCP. A client ADI is not required to calculate this capital charge.</w:t>
      </w:r>
    </w:p>
    <w:p w14:paraId="7BCF30ED" w14:textId="019D392B" w:rsidR="000E54AC" w:rsidRPr="009A59D5" w:rsidRDefault="000E54AC" w:rsidP="000E54AC">
      <w:pPr>
        <w:pStyle w:val="BodyText1"/>
      </w:pPr>
      <w:r w:rsidRPr="009A59D5">
        <w:t>Where a default fund is shared between products or types of business with settlement risk only and products or types of business that give rise to counterparty credit risk (i.e. OTC derivative transactions, exchange</w:t>
      </w:r>
      <w:r w:rsidR="00D851A2" w:rsidRPr="009A59D5">
        <w:t>-</w:t>
      </w:r>
      <w:r w:rsidRPr="009A59D5">
        <w:t>traded derivative transactions, SFTs or long settlement transactions), all of the default fund contributions will receive the risk</w:t>
      </w:r>
      <w:r w:rsidR="00557D5E" w:rsidRPr="009A59D5">
        <w:t xml:space="preserve"> </w:t>
      </w:r>
      <w:r w:rsidRPr="009A59D5">
        <w:t xml:space="preserve">weight determined according to the methodology outlined in paragraphs </w:t>
      </w:r>
      <w:r w:rsidR="002E3D04" w:rsidRPr="009A59D5">
        <w:fldChar w:fldCharType="begin"/>
      </w:r>
      <w:r w:rsidR="002E3D04" w:rsidRPr="009A59D5">
        <w:instrText xml:space="preserve"> REF _Ref460259665 \r \h </w:instrText>
      </w:r>
      <w:r w:rsidR="00365041" w:rsidRPr="009A59D5">
        <w:instrText xml:space="preserve"> \* MERGEFORMAT </w:instrText>
      </w:r>
      <w:r w:rsidR="002E3D04" w:rsidRPr="009A59D5">
        <w:fldChar w:fldCharType="separate"/>
      </w:r>
      <w:r w:rsidR="00B401AE">
        <w:t>3</w:t>
      </w:r>
      <w:r w:rsidR="002E3D04" w:rsidRPr="009A59D5">
        <w:fldChar w:fldCharType="end"/>
      </w:r>
      <w:r w:rsidRPr="009A59D5">
        <w:t xml:space="preserve"> to </w:t>
      </w:r>
      <w:r w:rsidR="002E3D04" w:rsidRPr="009A59D5">
        <w:fldChar w:fldCharType="begin"/>
      </w:r>
      <w:r w:rsidR="002E3D04" w:rsidRPr="009A59D5">
        <w:instrText xml:space="preserve"> REF _Ref460259674 \r \h </w:instrText>
      </w:r>
      <w:r w:rsidR="00365041" w:rsidRPr="009A59D5">
        <w:instrText xml:space="preserve"> \* MERGEFORMAT </w:instrText>
      </w:r>
      <w:r w:rsidR="002E3D04" w:rsidRPr="009A59D5">
        <w:fldChar w:fldCharType="separate"/>
      </w:r>
      <w:r w:rsidR="00B401AE">
        <w:t>15</w:t>
      </w:r>
      <w:r w:rsidR="002E3D04" w:rsidRPr="009A59D5">
        <w:fldChar w:fldCharType="end"/>
      </w:r>
      <w:r w:rsidRPr="009A59D5">
        <w:t xml:space="preserve"> of this Attachment, without apportioning to different classes or types of business or products under paragraph</w:t>
      </w:r>
      <w:r w:rsidR="001C0CEC" w:rsidRPr="009A59D5">
        <w:t> </w:t>
      </w:r>
      <w:r w:rsidR="001C0CEC" w:rsidRPr="009A59D5">
        <w:fldChar w:fldCharType="begin"/>
      </w:r>
      <w:r w:rsidR="001C0CEC" w:rsidRPr="009A59D5">
        <w:instrText xml:space="preserve"> REF _Ref460259665 \r \h </w:instrText>
      </w:r>
      <w:r w:rsidR="00365041" w:rsidRPr="009A59D5">
        <w:instrText xml:space="preserve"> \* MERGEFORMAT </w:instrText>
      </w:r>
      <w:r w:rsidR="001C0CEC" w:rsidRPr="009A59D5">
        <w:fldChar w:fldCharType="separate"/>
      </w:r>
      <w:r w:rsidR="00B401AE">
        <w:t>3</w:t>
      </w:r>
      <w:r w:rsidR="001C0CEC" w:rsidRPr="009A59D5">
        <w:fldChar w:fldCharType="end"/>
      </w:r>
      <w:r w:rsidR="00D74D15" w:rsidRPr="009A59D5">
        <w:t xml:space="preserve"> of this Attachment</w:t>
      </w:r>
      <w:r w:rsidRPr="009A59D5">
        <w:t>.</w:t>
      </w:r>
    </w:p>
    <w:p w14:paraId="5694F353" w14:textId="01583F1A" w:rsidR="000E54AC" w:rsidRPr="009A59D5" w:rsidRDefault="000E54AC" w:rsidP="000E54AC">
      <w:pPr>
        <w:pStyle w:val="BodyText1"/>
      </w:pPr>
      <w:bookmarkStart w:id="278" w:name="_Ref460259665"/>
      <w:r w:rsidRPr="009A59D5">
        <w:t>Where the default fund is segregated by product types and only accessible for specific product types, the capital charge for those default fund exposures must be calculated for each specific product giving rise to counterparty credit risk.</w:t>
      </w:r>
      <w:bookmarkEnd w:id="278"/>
    </w:p>
    <w:p w14:paraId="2B47A17A" w14:textId="2E01AC33" w:rsidR="000E54AC" w:rsidRPr="009A59D5" w:rsidRDefault="000E54AC" w:rsidP="000E54AC">
      <w:pPr>
        <w:pStyle w:val="BodyText1"/>
      </w:pPr>
      <w:r w:rsidRPr="009A59D5">
        <w:t>When a QCCP’s pre</w:t>
      </w:r>
      <w:r w:rsidR="006E2460" w:rsidRPr="009A59D5">
        <w:t>-</w:t>
      </w:r>
      <w:r w:rsidRPr="009A59D5">
        <w:t>funded own resources are shared among product types, those funds</w:t>
      </w:r>
      <w:r w:rsidR="007B3C94" w:rsidRPr="009A59D5">
        <w:t xml:space="preserve"> must be allocated</w:t>
      </w:r>
      <w:r w:rsidRPr="009A59D5">
        <w:t xml:space="preserve"> to each of the calculations in proportion to the respective </w:t>
      </w:r>
      <w:proofErr w:type="gramStart"/>
      <w:r w:rsidRPr="009A59D5">
        <w:t>product-specific</w:t>
      </w:r>
      <w:proofErr w:type="gramEnd"/>
      <w:r w:rsidRPr="009A59D5">
        <w:t xml:space="preserve"> EADs </w:t>
      </w:r>
      <w:r w:rsidR="007B3C94" w:rsidRPr="009A59D5">
        <w:t xml:space="preserve">in the </w:t>
      </w:r>
      <w:r w:rsidRPr="009A59D5">
        <w:t>calculati</w:t>
      </w:r>
      <w:r w:rsidR="007B3C94" w:rsidRPr="009A59D5">
        <w:t>o</w:t>
      </w:r>
      <w:r w:rsidRPr="009A59D5">
        <w:t>n</w:t>
      </w:r>
      <w:r w:rsidR="007B3C94" w:rsidRPr="009A59D5">
        <w:t xml:space="preserve"> of the ADI’s</w:t>
      </w:r>
      <w:r w:rsidRPr="009A59D5">
        <w:t xml:space="preserve"> own default fund exposure to that QCCP.</w:t>
      </w:r>
    </w:p>
    <w:p w14:paraId="760A957E" w14:textId="77777777" w:rsidR="000E54AC" w:rsidRPr="009A59D5" w:rsidRDefault="000E54AC" w:rsidP="000E54AC">
      <w:pPr>
        <w:pStyle w:val="BodyText1"/>
      </w:pPr>
      <w:r w:rsidRPr="009A59D5">
        <w:t>The default fund capital charge for a clearing member ADI’s default fund exposure is obtained by following a two-step process:</w:t>
      </w:r>
    </w:p>
    <w:p w14:paraId="0F15EA41" w14:textId="1442E6B8" w:rsidR="000E54AC" w:rsidRPr="009A59D5" w:rsidRDefault="000E54AC" w:rsidP="000E54AC">
      <w:pPr>
        <w:pStyle w:val="BodyText2"/>
      </w:pPr>
      <w:r w:rsidRPr="009A59D5">
        <w:t xml:space="preserve">Step 1 - the calculation of a risk-sensitive measure of the exposure a QCCP has to all its clearing members and their clients (refer to paragraphs </w:t>
      </w:r>
      <w:r w:rsidR="002E3D04" w:rsidRPr="009A59D5">
        <w:fldChar w:fldCharType="begin"/>
      </w:r>
      <w:r w:rsidR="002E3D04" w:rsidRPr="009A59D5">
        <w:instrText xml:space="preserve"> REF _Ref460259698 \r \h </w:instrText>
      </w:r>
      <w:r w:rsidR="00365041" w:rsidRPr="009A59D5">
        <w:instrText xml:space="preserve"> \* MERGEFORMAT </w:instrText>
      </w:r>
      <w:r w:rsidR="002E3D04" w:rsidRPr="009A59D5">
        <w:fldChar w:fldCharType="separate"/>
      </w:r>
      <w:r w:rsidR="00B401AE">
        <w:t>7</w:t>
      </w:r>
      <w:r w:rsidR="002E3D04" w:rsidRPr="009A59D5">
        <w:fldChar w:fldCharType="end"/>
      </w:r>
      <w:r w:rsidRPr="009A59D5">
        <w:t xml:space="preserve"> to </w:t>
      </w:r>
      <w:r w:rsidR="002E3D04" w:rsidRPr="009A59D5">
        <w:fldChar w:fldCharType="begin"/>
      </w:r>
      <w:r w:rsidR="002E3D04" w:rsidRPr="009A59D5">
        <w:instrText xml:space="preserve"> REF _Ref460259686 \r \h </w:instrText>
      </w:r>
      <w:r w:rsidR="00365041" w:rsidRPr="009A59D5">
        <w:instrText xml:space="preserve"> \* MERGEFORMAT </w:instrText>
      </w:r>
      <w:r w:rsidR="002E3D04" w:rsidRPr="009A59D5">
        <w:fldChar w:fldCharType="separate"/>
      </w:r>
      <w:r w:rsidR="00B401AE">
        <w:t>14</w:t>
      </w:r>
      <w:r w:rsidR="002E3D04" w:rsidRPr="009A59D5">
        <w:fldChar w:fldCharType="end"/>
      </w:r>
      <w:r w:rsidR="00D74D15" w:rsidRPr="009A59D5">
        <w:t xml:space="preserve"> of this Attachment</w:t>
      </w:r>
      <w:r w:rsidRPr="009A59D5">
        <w:t>); and</w:t>
      </w:r>
    </w:p>
    <w:p w14:paraId="56C86D3E" w14:textId="5B9826C2" w:rsidR="000E54AC" w:rsidRPr="009A59D5" w:rsidRDefault="000E54AC" w:rsidP="000E54AC">
      <w:pPr>
        <w:pStyle w:val="BodyText2"/>
      </w:pPr>
      <w:r w:rsidRPr="009A59D5">
        <w:t xml:space="preserve">Step 2 - the calculation of the default fund capital charge for the clearing </w:t>
      </w:r>
      <w:r w:rsidR="002E3D04" w:rsidRPr="009A59D5">
        <w:t xml:space="preserve">member ADI (refer to paragraph </w:t>
      </w:r>
      <w:r w:rsidR="002E3D04" w:rsidRPr="009A59D5">
        <w:fldChar w:fldCharType="begin"/>
      </w:r>
      <w:r w:rsidR="002E3D04" w:rsidRPr="009A59D5">
        <w:instrText xml:space="preserve"> REF _Ref460259674 \r \h </w:instrText>
      </w:r>
      <w:r w:rsidR="00365041" w:rsidRPr="009A59D5">
        <w:instrText xml:space="preserve"> \* MERGEFORMAT </w:instrText>
      </w:r>
      <w:r w:rsidR="002E3D04" w:rsidRPr="009A59D5">
        <w:fldChar w:fldCharType="separate"/>
      </w:r>
      <w:r w:rsidR="00B401AE">
        <w:t>15</w:t>
      </w:r>
      <w:r w:rsidR="002E3D04" w:rsidRPr="009A59D5">
        <w:fldChar w:fldCharType="end"/>
      </w:r>
      <w:r w:rsidR="00D74D15" w:rsidRPr="009A59D5">
        <w:t xml:space="preserve"> of this Attachment</w:t>
      </w:r>
      <w:r w:rsidRPr="009A59D5">
        <w:t>).</w:t>
      </w:r>
    </w:p>
    <w:p w14:paraId="6213D51D" w14:textId="5920FC18" w:rsidR="000E54AC" w:rsidRPr="009A59D5" w:rsidRDefault="000E54AC" w:rsidP="000E54AC">
      <w:pPr>
        <w:pStyle w:val="BodyText1"/>
      </w:pPr>
      <w:bookmarkStart w:id="279" w:name="_Ref460259162"/>
      <w:r w:rsidRPr="009A59D5">
        <w:t xml:space="preserve">A clearing member ADI may rely on the QCCP to undertake the calculations in paragraphs </w:t>
      </w:r>
      <w:r w:rsidR="002E3D04" w:rsidRPr="009A59D5">
        <w:fldChar w:fldCharType="begin"/>
      </w:r>
      <w:r w:rsidR="002E3D04" w:rsidRPr="009A59D5">
        <w:instrText xml:space="preserve"> REF _Ref460259698 \r \h </w:instrText>
      </w:r>
      <w:r w:rsidR="00365041" w:rsidRPr="009A59D5">
        <w:instrText xml:space="preserve"> \* MERGEFORMAT </w:instrText>
      </w:r>
      <w:r w:rsidR="002E3D04" w:rsidRPr="009A59D5">
        <w:fldChar w:fldCharType="separate"/>
      </w:r>
      <w:r w:rsidR="00B401AE">
        <w:t>7</w:t>
      </w:r>
      <w:r w:rsidR="002E3D04" w:rsidRPr="009A59D5">
        <w:fldChar w:fldCharType="end"/>
      </w:r>
      <w:r w:rsidRPr="009A59D5">
        <w:t xml:space="preserve"> to </w:t>
      </w:r>
      <w:r w:rsidR="002E3D04" w:rsidRPr="009A59D5">
        <w:fldChar w:fldCharType="begin"/>
      </w:r>
      <w:r w:rsidR="002E3D04" w:rsidRPr="009A59D5">
        <w:instrText xml:space="preserve"> REF _Ref460259686 \r \h </w:instrText>
      </w:r>
      <w:r w:rsidR="00365041" w:rsidRPr="009A59D5">
        <w:instrText xml:space="preserve"> \* MERGEFORMAT </w:instrText>
      </w:r>
      <w:r w:rsidR="002E3D04" w:rsidRPr="009A59D5">
        <w:fldChar w:fldCharType="separate"/>
      </w:r>
      <w:r w:rsidR="00B401AE">
        <w:t>14</w:t>
      </w:r>
      <w:r w:rsidR="002E3D04" w:rsidRPr="009A59D5">
        <w:fldChar w:fldCharType="end"/>
      </w:r>
      <w:r w:rsidRPr="009A59D5">
        <w:t xml:space="preserve"> </w:t>
      </w:r>
      <w:r w:rsidR="00D74D15" w:rsidRPr="009A59D5">
        <w:t xml:space="preserve">of this Attachment </w:t>
      </w:r>
      <w:r w:rsidRPr="009A59D5">
        <w:t>and provide to the clearing member ADI the necessary data to calculate its default fund capital charge, provided any calculations undertaken by the QCCP meet the following conditions:</w:t>
      </w:r>
      <w:bookmarkEnd w:id="279"/>
    </w:p>
    <w:p w14:paraId="2DE3A176" w14:textId="4638236A" w:rsidR="000E54AC" w:rsidRPr="009A59D5" w:rsidRDefault="000E54AC" w:rsidP="000E54AC">
      <w:pPr>
        <w:pStyle w:val="BodyText2"/>
      </w:pPr>
      <w:r w:rsidRPr="009A59D5">
        <w:t xml:space="preserve">the QCCP’s calculations are undertaken in a transparent manner with sufficient shared information </w:t>
      </w:r>
      <w:proofErr w:type="gramStart"/>
      <w:r w:rsidRPr="009A59D5">
        <w:t>so as to</w:t>
      </w:r>
      <w:proofErr w:type="gramEnd"/>
      <w:r w:rsidRPr="009A59D5">
        <w:t xml:space="preserve"> permit:</w:t>
      </w:r>
    </w:p>
    <w:p w14:paraId="10B6033D" w14:textId="77777777" w:rsidR="000E54AC" w:rsidRPr="009A59D5" w:rsidRDefault="000E54AC" w:rsidP="000E54AC">
      <w:pPr>
        <w:pStyle w:val="BodyText3"/>
      </w:pPr>
      <w:r w:rsidRPr="009A59D5">
        <w:t xml:space="preserve">a supervisor of the QCCP to oversee those </w:t>
      </w:r>
      <w:proofErr w:type="gramStart"/>
      <w:r w:rsidRPr="009A59D5">
        <w:t>calculations;</w:t>
      </w:r>
      <w:proofErr w:type="gramEnd"/>
    </w:p>
    <w:p w14:paraId="31A6E6B2" w14:textId="77777777" w:rsidR="000E54AC" w:rsidRPr="009A59D5" w:rsidRDefault="000E54AC" w:rsidP="000E54AC">
      <w:pPr>
        <w:pStyle w:val="BodyText3"/>
      </w:pPr>
      <w:r w:rsidRPr="009A59D5">
        <w:t>the clearing member ADI to calculate the default fund capital charge on its own default fund contributions; and</w:t>
      </w:r>
    </w:p>
    <w:p w14:paraId="6AED0298" w14:textId="77777777" w:rsidR="000E54AC" w:rsidRPr="009A59D5" w:rsidRDefault="000E54AC" w:rsidP="000E54AC">
      <w:pPr>
        <w:pStyle w:val="BodyText3"/>
      </w:pPr>
      <w:r w:rsidRPr="009A59D5">
        <w:t xml:space="preserve">APRA to review and confirm such calculations upon </w:t>
      </w:r>
      <w:proofErr w:type="gramStart"/>
      <w:r w:rsidRPr="009A59D5">
        <w:t>request;</w:t>
      </w:r>
      <w:proofErr w:type="gramEnd"/>
    </w:p>
    <w:p w14:paraId="21896972" w14:textId="775596E5" w:rsidR="000E54AC" w:rsidRPr="009A59D5" w:rsidRDefault="000E54AC" w:rsidP="000E54AC">
      <w:pPr>
        <w:pStyle w:val="BodyText2"/>
      </w:pPr>
      <w:r w:rsidRPr="009A59D5">
        <w:t xml:space="preserve">all calculations, including both steps and the inputs to both steps, must be repeated upon any material change (such as the QCCP clearing a new </w:t>
      </w:r>
      <w:r w:rsidRPr="009A59D5">
        <w:lastRenderedPageBreak/>
        <w:t>product, or when there are material changes to the number of</w:t>
      </w:r>
      <w:r w:rsidR="001B13B9" w:rsidRPr="009A59D5">
        <w:t xml:space="preserve"> or</w:t>
      </w:r>
      <w:r w:rsidRPr="009A59D5">
        <w:t xml:space="preserve"> </w:t>
      </w:r>
      <w:r w:rsidR="007367B6" w:rsidRPr="009A59D5">
        <w:t xml:space="preserve">the </w:t>
      </w:r>
      <w:r w:rsidRPr="009A59D5">
        <w:t>exposure of cleared transactions or material changes to the financial resources of the QCCP), and, in any case, at least quarterly. APRA may request a refreshed or more frequent recalculation at any time; and</w:t>
      </w:r>
    </w:p>
    <w:p w14:paraId="2F9F075E" w14:textId="41E0C283" w:rsidR="000E54AC" w:rsidRPr="009A59D5" w:rsidRDefault="000E54AC" w:rsidP="000E54AC">
      <w:pPr>
        <w:pStyle w:val="BodyText2"/>
      </w:pPr>
      <w:r w:rsidRPr="009A59D5">
        <w:t>sufficient aggregate information about the composition of the QCCP’s exposures to its clearing members, as well as any information</w:t>
      </w:r>
      <w:r w:rsidRPr="009A59D5">
        <w:rPr>
          <w:rStyle w:val="FootnoteReference"/>
        </w:rPr>
        <w:footnoteReference w:id="22"/>
      </w:r>
      <w:r w:rsidRPr="009A59D5">
        <w:t xml:space="preserve"> provided to the ADI for calculation purposes, is made available to APRA at least quarterly, or upon request</w:t>
      </w:r>
      <w:r w:rsidR="001B13B9" w:rsidRPr="009A59D5">
        <w:t>.</w:t>
      </w:r>
    </w:p>
    <w:p w14:paraId="02EA6989" w14:textId="24E214DE" w:rsidR="000E54AC" w:rsidRPr="009A59D5" w:rsidRDefault="000E54AC" w:rsidP="000E54AC">
      <w:pPr>
        <w:pStyle w:val="BodyText1"/>
        <w:numPr>
          <w:ilvl w:val="0"/>
          <w:numId w:val="0"/>
        </w:numPr>
        <w:ind w:left="567"/>
      </w:pPr>
      <w:r w:rsidRPr="009A59D5">
        <w:t xml:space="preserve">Where any of these conditions </w:t>
      </w:r>
      <w:r w:rsidR="006E78C4" w:rsidRPr="009A59D5">
        <w:t>are</w:t>
      </w:r>
      <w:r w:rsidRPr="009A59D5">
        <w:t xml:space="preserve"> not met, an ADI must treat its default fund exposure as if it were to a non-qualifying CCP and calculate default fund </w:t>
      </w:r>
      <w:r w:rsidR="001B13B9" w:rsidRPr="009A59D5">
        <w:t>RWE</w:t>
      </w:r>
      <w:r w:rsidRPr="009A59D5">
        <w:t xml:space="preserve"> in accordance with Attachment B.</w:t>
      </w:r>
    </w:p>
    <w:p w14:paraId="23D4DEF1" w14:textId="7EEBA29B" w:rsidR="001B4C69" w:rsidRDefault="000E54AC" w:rsidP="00B578D7">
      <w:pPr>
        <w:pStyle w:val="BodyText1"/>
      </w:pPr>
      <w:bookmarkStart w:id="280" w:name="_Ref460259698"/>
      <w:r w:rsidRPr="009A59D5">
        <w:t>Step 1 is to compute the hypothetical capital requirement of the QCCP,</w:t>
      </w:r>
      <w:r w:rsidR="007E2E97">
        <w:t xml:space="preserve"> </w:t>
      </w:r>
      <w:r w:rsidR="007E2E97">
        <w:rPr>
          <w:i/>
        </w:rPr>
        <w:t>K</w:t>
      </w:r>
      <w:r w:rsidR="007E2E97">
        <w:rPr>
          <w:i/>
          <w:vertAlign w:val="subscript"/>
        </w:rPr>
        <w:t>CCP</w:t>
      </w:r>
      <w:r w:rsidRPr="009A59D5">
        <w:t>,</w:t>
      </w:r>
      <w:r w:rsidRPr="009A59D5">
        <w:rPr>
          <w:rStyle w:val="FootnoteReference"/>
        </w:rPr>
        <w:footnoteReference w:id="23"/>
      </w:r>
      <w:r w:rsidRPr="009A59D5">
        <w:t xml:space="preserve"> due to its counterparty credit risk exposures to </w:t>
      </w:r>
      <w:proofErr w:type="gramStart"/>
      <w:r w:rsidRPr="009A59D5">
        <w:t>all of</w:t>
      </w:r>
      <w:proofErr w:type="gramEnd"/>
      <w:r w:rsidRPr="009A59D5">
        <w:t xml:space="preserve"> its clearing members and their clients. </w:t>
      </w:r>
      <w:r w:rsidR="007E2E97">
        <w:rPr>
          <w:i/>
        </w:rPr>
        <w:t>K</w:t>
      </w:r>
      <w:r w:rsidR="007E2E97">
        <w:rPr>
          <w:i/>
          <w:vertAlign w:val="subscript"/>
        </w:rPr>
        <w:t>QCCP</w:t>
      </w:r>
      <w:r w:rsidR="00405186" w:rsidRPr="009A59D5">
        <w:t xml:space="preserve"> m</w:t>
      </w:r>
      <w:r w:rsidRPr="009A59D5">
        <w:t>ust be calculated according to:</w:t>
      </w:r>
      <w:bookmarkEnd w:id="280"/>
      <w:r w:rsidR="001B4C69" w:rsidRPr="001B4C69">
        <w:t xml:space="preserve"> </w:t>
      </w:r>
    </w:p>
    <w:p w14:paraId="75DF4BB6" w14:textId="2DC619B4" w:rsidR="000E54AC" w:rsidRPr="009A59D5" w:rsidRDefault="001B4C69" w:rsidP="00751D7D">
      <w:pPr>
        <w:pStyle w:val="BodyText1"/>
        <w:numPr>
          <w:ilvl w:val="0"/>
          <w:numId w:val="0"/>
        </w:numPr>
        <w:tabs>
          <w:tab w:val="left" w:pos="284"/>
        </w:tabs>
        <w:ind w:left="-284"/>
      </w:pPr>
      <w:r w:rsidRPr="00BF03DF">
        <w:rPr>
          <w:noProof/>
        </w:rPr>
        <w:drawing>
          <wp:inline distT="0" distB="0" distL="0" distR="0" wp14:anchorId="55E94AFC" wp14:editId="71EE82AE">
            <wp:extent cx="2924355" cy="414095"/>
            <wp:effectExtent l="0" t="0" r="0" b="5080"/>
            <wp:docPr id="17" name="Picture 17" descr="Start formula K subscript QCCP equals RW times 8% times the sum across m of EAD subscript m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art formula K subscript QCCP equals RW times 8% times the sum across m of EAD subscript m end formul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448" cy="424870"/>
                    </a:xfrm>
                    <a:prstGeom prst="rect">
                      <a:avLst/>
                    </a:prstGeom>
                    <a:noFill/>
                    <a:ln>
                      <a:noFill/>
                    </a:ln>
                  </pic:spPr>
                </pic:pic>
              </a:graphicData>
            </a:graphic>
          </wp:inline>
        </w:drawing>
      </w:r>
    </w:p>
    <w:p w14:paraId="54C8FAD4" w14:textId="77777777" w:rsidR="009C6FD7" w:rsidRPr="009A59D5" w:rsidRDefault="009C6FD7" w:rsidP="00187998">
      <w:pPr>
        <w:pStyle w:val="BodyText"/>
        <w:spacing w:after="240"/>
        <w:ind w:left="567"/>
        <w:jc w:val="both"/>
      </w:pPr>
      <w:r w:rsidRPr="009A59D5">
        <w:t>where:</w:t>
      </w:r>
    </w:p>
    <w:p w14:paraId="3D4B6CCF" w14:textId="0BA5F9CB" w:rsidR="009C6FD7" w:rsidRPr="009A59D5" w:rsidRDefault="007E2E97" w:rsidP="00187998">
      <w:pPr>
        <w:pStyle w:val="BodyText"/>
        <w:spacing w:after="240"/>
        <w:ind w:left="567"/>
        <w:jc w:val="both"/>
      </w:pPr>
      <w:r>
        <w:rPr>
          <w:i/>
        </w:rPr>
        <w:t xml:space="preserve">RW = </w:t>
      </w:r>
      <w:r w:rsidR="009C6FD7" w:rsidRPr="009A59D5">
        <w:t>20 per cent, except where APRA has determined that a higher risk weight must be used; and</w:t>
      </w:r>
    </w:p>
    <w:p w14:paraId="7E6468E1" w14:textId="0ABC87EC" w:rsidR="00134E32" w:rsidRPr="009A59D5" w:rsidRDefault="007E2E97" w:rsidP="007E1CF2">
      <w:pPr>
        <w:pStyle w:val="BodyText"/>
        <w:spacing w:after="240"/>
        <w:ind w:left="567"/>
        <w:jc w:val="both"/>
      </w:pPr>
      <w:proofErr w:type="spellStart"/>
      <w:r>
        <w:rPr>
          <w:i/>
        </w:rPr>
        <w:t>EAD</w:t>
      </w:r>
      <w:r>
        <w:rPr>
          <w:i/>
          <w:vertAlign w:val="subscript"/>
        </w:rPr>
        <w:t>m</w:t>
      </w:r>
      <w:proofErr w:type="spellEnd"/>
      <w:r>
        <w:t xml:space="preserve"> = </w:t>
      </w:r>
      <w:r w:rsidR="009C6FD7" w:rsidRPr="009A59D5">
        <w:t xml:space="preserve">the exposure amount of the QCCP to the </w:t>
      </w:r>
      <w:proofErr w:type="spellStart"/>
      <w:r>
        <w:rPr>
          <w:i/>
        </w:rPr>
        <w:t>m</w:t>
      </w:r>
      <w:r>
        <w:rPr>
          <w:i/>
          <w:vertAlign w:val="superscript"/>
        </w:rPr>
        <w:t>th</w:t>
      </w:r>
      <w:proofErr w:type="spellEnd"/>
      <w:r w:rsidR="009C6FD7" w:rsidRPr="009A59D5">
        <w:t xml:space="preserve"> clearing member, which must be calculated according to paragraphs </w:t>
      </w:r>
      <w:r w:rsidR="002A53CF" w:rsidRPr="009A59D5">
        <w:fldChar w:fldCharType="begin"/>
      </w:r>
      <w:r w:rsidR="002A53CF" w:rsidRPr="009A59D5">
        <w:instrText xml:space="preserve"> REF _Ref461103763 \n \h </w:instrText>
      </w:r>
      <w:r w:rsidR="00365041" w:rsidRPr="009A59D5">
        <w:instrText xml:space="preserve"> \* MERGEFORMAT </w:instrText>
      </w:r>
      <w:r w:rsidR="002A53CF" w:rsidRPr="009A59D5">
        <w:fldChar w:fldCharType="separate"/>
      </w:r>
      <w:r w:rsidR="00B401AE">
        <w:t>8</w:t>
      </w:r>
      <w:r w:rsidR="002A53CF" w:rsidRPr="009A59D5">
        <w:fldChar w:fldCharType="end"/>
      </w:r>
      <w:r w:rsidR="009C6FD7" w:rsidRPr="009A59D5">
        <w:t xml:space="preserve"> to </w:t>
      </w:r>
      <w:r w:rsidR="002A53CF" w:rsidRPr="009A59D5">
        <w:fldChar w:fldCharType="begin"/>
      </w:r>
      <w:r w:rsidR="002A53CF" w:rsidRPr="009A59D5">
        <w:instrText xml:space="preserve"> REF _Ref460259686 \n \h </w:instrText>
      </w:r>
      <w:r w:rsidR="00365041" w:rsidRPr="009A59D5">
        <w:instrText xml:space="preserve"> \* MERGEFORMAT </w:instrText>
      </w:r>
      <w:r w:rsidR="002A53CF" w:rsidRPr="009A59D5">
        <w:fldChar w:fldCharType="separate"/>
      </w:r>
      <w:r w:rsidR="00B401AE">
        <w:t>14</w:t>
      </w:r>
      <w:r w:rsidR="002A53CF" w:rsidRPr="009A59D5">
        <w:fldChar w:fldCharType="end"/>
      </w:r>
      <w:r w:rsidR="009C6FD7" w:rsidRPr="009A59D5">
        <w:t xml:space="preserve"> of this Attachment.</w:t>
      </w:r>
    </w:p>
    <w:p w14:paraId="296C1301" w14:textId="46B26D70" w:rsidR="007E1CF2" w:rsidRPr="009A59D5" w:rsidRDefault="003C6695" w:rsidP="00656B77">
      <w:pPr>
        <w:pStyle w:val="BodyText1"/>
        <w:numPr>
          <w:ilvl w:val="0"/>
          <w:numId w:val="0"/>
        </w:numPr>
        <w:ind w:left="567"/>
      </w:pPr>
      <w:r w:rsidRPr="009A59D5">
        <w:t>In the circumstances w</w:t>
      </w:r>
      <w:r w:rsidR="0008594B" w:rsidRPr="009A59D5">
        <w:t xml:space="preserve">here a </w:t>
      </w:r>
      <w:r w:rsidR="007E1CF2" w:rsidRPr="009A59D5">
        <w:t>CCP does not calculate</w:t>
      </w:r>
      <w:r w:rsidR="00FF61BF" w:rsidRPr="009A59D5">
        <w:t xml:space="preserve"> and make available</w:t>
      </w:r>
      <w:r w:rsidR="007E1CF2" w:rsidRPr="009A59D5">
        <w:t xml:space="preserve"> </w:t>
      </w:r>
      <w:r w:rsidR="007E2E97">
        <w:rPr>
          <w:i/>
        </w:rPr>
        <w:t>K</w:t>
      </w:r>
      <w:r w:rsidR="007E2E97">
        <w:rPr>
          <w:i/>
          <w:vertAlign w:val="subscript"/>
        </w:rPr>
        <w:t>QCCP</w:t>
      </w:r>
      <w:r w:rsidR="007E1CF2" w:rsidRPr="009A59D5">
        <w:t xml:space="preserve"> </w:t>
      </w:r>
      <w:r w:rsidR="00FF61BF" w:rsidRPr="009A59D5">
        <w:t xml:space="preserve">to </w:t>
      </w:r>
      <w:r w:rsidR="007E1CF2" w:rsidRPr="009A59D5">
        <w:t>a clearing member ADI</w:t>
      </w:r>
      <w:r w:rsidR="0008594B" w:rsidRPr="009A59D5">
        <w:t xml:space="preserve"> but otherwise satisfies the definition of QCCP</w:t>
      </w:r>
      <w:r w:rsidR="00FF61BF" w:rsidRPr="009A59D5">
        <w:t>, the ADI</w:t>
      </w:r>
      <w:r w:rsidR="007E1CF2" w:rsidRPr="009A59D5">
        <w:t xml:space="preserve"> must </w:t>
      </w:r>
      <w:r w:rsidR="005077A9" w:rsidRPr="009A59D5">
        <w:t>seek</w:t>
      </w:r>
      <w:r w:rsidR="007E1CF2" w:rsidRPr="009A59D5">
        <w:t xml:space="preserve"> </w:t>
      </w:r>
      <w:r w:rsidR="005077A9" w:rsidRPr="009A59D5">
        <w:t>APRA</w:t>
      </w:r>
      <w:r w:rsidR="00656B77" w:rsidRPr="009A59D5">
        <w:t>’s</w:t>
      </w:r>
      <w:r w:rsidR="005077A9" w:rsidRPr="009A59D5">
        <w:t xml:space="preserve"> approval for alternative arrangements for calculating its default fund capital </w:t>
      </w:r>
      <w:r w:rsidRPr="009A59D5">
        <w:t>charge</w:t>
      </w:r>
      <w:r w:rsidR="00FF61BF" w:rsidRPr="009A59D5">
        <w:t>.</w:t>
      </w:r>
      <w:r w:rsidRPr="009A59D5">
        <w:t xml:space="preserve"> APRA may approve an application made under this paragraph.</w:t>
      </w:r>
    </w:p>
    <w:p w14:paraId="12688600" w14:textId="77777777" w:rsidR="00405186" w:rsidRPr="009A59D5" w:rsidRDefault="00405186" w:rsidP="00EF0C22">
      <w:pPr>
        <w:pStyle w:val="BodyText1"/>
      </w:pPr>
      <w:bookmarkStart w:id="281" w:name="_Ref461103763"/>
      <w:r w:rsidRPr="009A59D5">
        <w:t>The exposure or the EAD amount must be calculated separately for derivative transactions and SFTs. The specific treatment depends on whether the clearing member provides client services and whether the client transactions and collaterals are held in separate sub-accounts to the clearing member’s house sub-account.</w:t>
      </w:r>
      <w:bookmarkEnd w:id="281"/>
    </w:p>
    <w:p w14:paraId="4EE96260" w14:textId="55EA09DD" w:rsidR="00405186" w:rsidRDefault="00405186" w:rsidP="00EF0C22">
      <w:pPr>
        <w:pStyle w:val="BodyText1"/>
      </w:pPr>
      <w:r w:rsidRPr="009A59D5">
        <w:t xml:space="preserve">When a clearing member </w:t>
      </w:r>
      <w:r w:rsidRPr="009A59D5">
        <w:rPr>
          <w:i/>
        </w:rPr>
        <w:t>m</w:t>
      </w:r>
      <w:r w:rsidRPr="009A59D5">
        <w:t xml:space="preserve"> provides client services to multiple clients (a client is denoted by </w:t>
      </w:r>
      <w:r w:rsidR="007E2E97">
        <w:rPr>
          <w:i/>
        </w:rPr>
        <w:t>c</w:t>
      </w:r>
      <w:r w:rsidRPr="009A59D5">
        <w:t xml:space="preserve">), and the client transactions and collaterals are held in separate (individual or omnibus) sub-accounts to clearing member </w:t>
      </w:r>
      <w:r w:rsidR="007E2E97">
        <w:rPr>
          <w:i/>
        </w:rPr>
        <w:t>m</w:t>
      </w:r>
      <w:r w:rsidRPr="009A59D5">
        <w:t xml:space="preserve">’s house sub-account for proprietary business, the exposure for clearing member </w:t>
      </w:r>
      <w:r w:rsidR="007E2E97">
        <w:rPr>
          <w:i/>
        </w:rPr>
        <w:t>m</w:t>
      </w:r>
      <w:r w:rsidRPr="009A59D5">
        <w:t xml:space="preserve">, </w:t>
      </w:r>
      <w:proofErr w:type="spellStart"/>
      <w:r w:rsidR="007E2E97">
        <w:rPr>
          <w:i/>
        </w:rPr>
        <w:t>EAD</w:t>
      </w:r>
      <w:r w:rsidR="007E2E97">
        <w:rPr>
          <w:i/>
          <w:vertAlign w:val="subscript"/>
        </w:rPr>
        <w:t>m</w:t>
      </w:r>
      <w:proofErr w:type="spellEnd"/>
      <w:r w:rsidRPr="009A59D5">
        <w:t xml:space="preserve">, must be </w:t>
      </w:r>
      <w:r w:rsidRPr="009A59D5">
        <w:lastRenderedPageBreak/>
        <w:t>calculated separately for each client sub-account and the house sub-account, according to:</w:t>
      </w:r>
    </w:p>
    <w:p w14:paraId="63FCF243" w14:textId="32EAD003" w:rsidR="0090516A" w:rsidRDefault="00340F7C" w:rsidP="00751D7D">
      <w:pPr>
        <w:pStyle w:val="BodyText1"/>
        <w:numPr>
          <w:ilvl w:val="0"/>
          <w:numId w:val="0"/>
        </w:numPr>
        <w:spacing w:after="0"/>
        <w:ind w:left="567" w:hanging="1843"/>
      </w:pPr>
      <w:r w:rsidRPr="00586F05">
        <w:rPr>
          <w:noProof/>
        </w:rPr>
        <w:drawing>
          <wp:inline distT="0" distB="0" distL="0" distR="0" wp14:anchorId="6122B47E" wp14:editId="255333FA">
            <wp:extent cx="6085197" cy="552893"/>
            <wp:effectExtent l="0" t="0" r="0" b="0"/>
            <wp:docPr id="31" name="Picture 31" descr="A formula for EAD subscript m when a clearing member m provides client services to multiple clients and the client transactions and collaterals are held in separate sub-accounts to the clearing member m's house sub-account for proprietary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formula for EAD subscript m when a clearing member m provides client services to multiple clients and the client transactions and collaterals are held in separate sub-accounts to the clearing member m's house sub-account for proprietary busine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8166" cy="563157"/>
                    </a:xfrm>
                    <a:prstGeom prst="rect">
                      <a:avLst/>
                    </a:prstGeom>
                    <a:noFill/>
                    <a:ln>
                      <a:noFill/>
                    </a:ln>
                  </pic:spPr>
                </pic:pic>
              </a:graphicData>
            </a:graphic>
          </wp:inline>
        </w:drawing>
      </w:r>
    </w:p>
    <w:p w14:paraId="5F5C1E59" w14:textId="2C26B510" w:rsidR="002E725E" w:rsidRPr="009A59D5" w:rsidRDefault="002E725E" w:rsidP="002E725E">
      <w:pPr>
        <w:pStyle w:val="BodyText1"/>
        <w:numPr>
          <w:ilvl w:val="0"/>
          <w:numId w:val="0"/>
        </w:numPr>
        <w:ind w:left="567"/>
      </w:pPr>
      <w:r w:rsidRPr="009A59D5">
        <w:t>where:</w:t>
      </w:r>
    </w:p>
    <w:p w14:paraId="6C05356A" w14:textId="320A6EF3" w:rsidR="002E725E" w:rsidRPr="009A59D5" w:rsidRDefault="007E2E97" w:rsidP="002E725E">
      <w:pPr>
        <w:pStyle w:val="BodyText1"/>
        <w:numPr>
          <w:ilvl w:val="0"/>
          <w:numId w:val="0"/>
        </w:numPr>
        <w:ind w:left="567"/>
      </w:pPr>
      <w:proofErr w:type="spellStart"/>
      <w:r>
        <w:rPr>
          <w:i/>
        </w:rPr>
        <w:t>EAD</w:t>
      </w:r>
      <w:r>
        <w:rPr>
          <w:i/>
          <w:vertAlign w:val="subscript"/>
        </w:rPr>
        <w:t>m</w:t>
      </w:r>
      <w:r>
        <w:rPr>
          <w:i/>
          <w:vertAlign w:val="superscript"/>
        </w:rPr>
        <w:t>TYPE</w:t>
      </w:r>
      <w:proofErr w:type="spellEnd"/>
      <w:r>
        <w:t xml:space="preserve"> = </w:t>
      </w:r>
      <w:r w:rsidR="002E725E" w:rsidRPr="009A59D5">
        <w:t xml:space="preserve">the EAD of the QCCP to clearing member </w:t>
      </w:r>
      <w:r>
        <w:rPr>
          <w:i/>
        </w:rPr>
        <w:t>m</w:t>
      </w:r>
      <w:r w:rsidR="002E725E" w:rsidRPr="009A59D5">
        <w:t>’s house sub-account for a given type of transaction; and</w:t>
      </w:r>
    </w:p>
    <w:p w14:paraId="1EDF11BB" w14:textId="3BE97062" w:rsidR="002E725E" w:rsidRPr="009A59D5" w:rsidRDefault="007E2E97" w:rsidP="002E725E">
      <w:pPr>
        <w:pStyle w:val="BodyText1"/>
        <w:numPr>
          <w:ilvl w:val="0"/>
          <w:numId w:val="0"/>
        </w:numPr>
        <w:ind w:left="567"/>
      </w:pPr>
      <w:proofErr w:type="spellStart"/>
      <w:proofErr w:type="gramStart"/>
      <w:r>
        <w:rPr>
          <w:i/>
        </w:rPr>
        <w:t>EAD</w:t>
      </w:r>
      <w:r>
        <w:rPr>
          <w:i/>
          <w:vertAlign w:val="subscript"/>
        </w:rPr>
        <w:t>m,c</w:t>
      </w:r>
      <w:r>
        <w:rPr>
          <w:i/>
          <w:vertAlign w:val="superscript"/>
        </w:rPr>
        <w:t>TYPE</w:t>
      </w:r>
      <w:proofErr w:type="spellEnd"/>
      <w:proofErr w:type="gramEnd"/>
      <w:r>
        <w:t xml:space="preserve"> = </w:t>
      </w:r>
      <w:r w:rsidR="002E725E" w:rsidRPr="009A59D5">
        <w:t xml:space="preserve">the EAD of the QCCP to client </w:t>
      </w:r>
      <w:r w:rsidR="00D64F8F">
        <w:rPr>
          <w:i/>
        </w:rPr>
        <w:t>c</w:t>
      </w:r>
      <w:r w:rsidR="002E725E" w:rsidRPr="009A59D5">
        <w:t xml:space="preserve">’s sub-account for </w:t>
      </w:r>
      <w:r w:rsidR="001B13B9" w:rsidRPr="009A59D5">
        <w:t>a given</w:t>
      </w:r>
      <w:r w:rsidR="002E725E" w:rsidRPr="009A59D5">
        <w:t xml:space="preserve"> type of transaction.</w:t>
      </w:r>
    </w:p>
    <w:p w14:paraId="6EB7EDE6" w14:textId="16CE7211" w:rsidR="00B91B2B" w:rsidRPr="009A59D5" w:rsidRDefault="00B91B2B" w:rsidP="00EF0C22">
      <w:pPr>
        <w:pStyle w:val="BodyText1"/>
      </w:pPr>
      <w:r w:rsidRPr="009A59D5">
        <w:t xml:space="preserve">When a clearing member </w:t>
      </w:r>
      <w:r w:rsidR="00D64F8F">
        <w:rPr>
          <w:i/>
        </w:rPr>
        <w:t xml:space="preserve">m </w:t>
      </w:r>
      <w:r w:rsidRPr="009A59D5">
        <w:t xml:space="preserve">provides client services and those client transactions and collateral are not held in separate sub-accounts to the clearing member’s house sub-account, then the exposure of </w:t>
      </w:r>
      <w:r w:rsidRPr="00646793">
        <w:rPr>
          <w:i/>
        </w:rPr>
        <w:t>m</w:t>
      </w:r>
      <w:r w:rsidRPr="009A59D5">
        <w:t xml:space="preserve"> and </w:t>
      </w:r>
      <w:proofErr w:type="gramStart"/>
      <w:r w:rsidRPr="009A59D5">
        <w:t>all of</w:t>
      </w:r>
      <w:proofErr w:type="gramEnd"/>
      <w:r w:rsidRPr="009A59D5">
        <w:t xml:space="preserve"> its clients must be calculated together, according to:</w:t>
      </w:r>
    </w:p>
    <w:p w14:paraId="1DC10A82" w14:textId="37F17552" w:rsidR="0008548D" w:rsidRDefault="0008548D" w:rsidP="0008548D">
      <w:pPr>
        <w:pStyle w:val="BodyText1"/>
        <w:numPr>
          <w:ilvl w:val="0"/>
          <w:numId w:val="0"/>
        </w:numPr>
        <w:ind w:left="1843"/>
      </w:pPr>
      <w:r w:rsidRPr="0008548D">
        <w:rPr>
          <w:noProof/>
        </w:rPr>
        <w:drawing>
          <wp:inline distT="0" distB="0" distL="0" distR="0" wp14:anchorId="73921987" wp14:editId="6B9F5C94">
            <wp:extent cx="3342995" cy="266651"/>
            <wp:effectExtent l="0" t="0" r="0" b="635"/>
            <wp:docPr id="25" name="Picture 25" descr="Start formula EAD subscript m equals EAD subscript m, sum of c superscript derivatives plus EAD subscript m, sum of c superscript SF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art formula EAD subscript m equals EAD subscript m, sum of c superscript derivatives plus EAD subscript m, sum of c superscript SFT end formul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5990" cy="276462"/>
                    </a:xfrm>
                    <a:prstGeom prst="rect">
                      <a:avLst/>
                    </a:prstGeom>
                    <a:noFill/>
                    <a:ln>
                      <a:noFill/>
                    </a:ln>
                  </pic:spPr>
                </pic:pic>
              </a:graphicData>
            </a:graphic>
          </wp:inline>
        </w:drawing>
      </w:r>
    </w:p>
    <w:p w14:paraId="122C5789" w14:textId="77777777" w:rsidR="002E725E" w:rsidRPr="009A59D5" w:rsidRDefault="002E725E" w:rsidP="002E725E">
      <w:pPr>
        <w:pStyle w:val="BodyText1"/>
        <w:numPr>
          <w:ilvl w:val="0"/>
          <w:numId w:val="0"/>
        </w:numPr>
        <w:ind w:left="567"/>
      </w:pPr>
      <w:r w:rsidRPr="009A59D5">
        <w:t>where:</w:t>
      </w:r>
    </w:p>
    <w:p w14:paraId="4A26D7AB" w14:textId="46C01D6C" w:rsidR="002E725E" w:rsidRPr="009A59D5" w:rsidRDefault="00D64F8F" w:rsidP="002E725E">
      <w:pPr>
        <w:pStyle w:val="BodyText1"/>
        <w:numPr>
          <w:ilvl w:val="0"/>
          <w:numId w:val="0"/>
        </w:numPr>
        <w:ind w:left="567"/>
      </w:pPr>
      <w:proofErr w:type="spellStart"/>
      <w:proofErr w:type="gramStart"/>
      <w:r>
        <w:rPr>
          <w:i/>
        </w:rPr>
        <w:t>EAD</w:t>
      </w:r>
      <w:r>
        <w:rPr>
          <w:i/>
          <w:vertAlign w:val="subscript"/>
        </w:rPr>
        <w:t>m</w:t>
      </w:r>
      <w:proofErr w:type="spellEnd"/>
      <w:r>
        <w:rPr>
          <w:i/>
          <w:vertAlign w:val="subscript"/>
        </w:rPr>
        <w:t>,∑</w:t>
      </w:r>
      <w:proofErr w:type="spellStart"/>
      <w:proofErr w:type="gramEnd"/>
      <w:r>
        <w:rPr>
          <w:i/>
          <w:vertAlign w:val="subscript"/>
        </w:rPr>
        <w:t>c</w:t>
      </w:r>
      <w:r>
        <w:rPr>
          <w:i/>
          <w:vertAlign w:val="superscript"/>
        </w:rPr>
        <w:t>TYPE</w:t>
      </w:r>
      <w:proofErr w:type="spellEnd"/>
      <w:r>
        <w:t xml:space="preserve"> = </w:t>
      </w:r>
      <w:r w:rsidR="002E725E" w:rsidRPr="009A59D5">
        <w:t xml:space="preserve">the EAD of the QCCP to both clearing member </w:t>
      </w:r>
      <w:r>
        <w:rPr>
          <w:i/>
        </w:rPr>
        <w:t>m</w:t>
      </w:r>
      <w:r w:rsidR="002E725E" w:rsidRPr="009A59D5">
        <w:t>’s house sub-account, and all of its clients’ sub-accounts for</w:t>
      </w:r>
      <w:r w:rsidR="001B13B9" w:rsidRPr="009A59D5">
        <w:t xml:space="preserve"> a given</w:t>
      </w:r>
      <w:r w:rsidR="002E725E" w:rsidRPr="009A59D5">
        <w:t xml:space="preserve"> type of transaction.</w:t>
      </w:r>
    </w:p>
    <w:p w14:paraId="4F2C9E1A" w14:textId="4FC22119" w:rsidR="00B91B2B" w:rsidRPr="009A59D5" w:rsidRDefault="00B91B2B" w:rsidP="00EF0C22">
      <w:pPr>
        <w:pStyle w:val="BodyText1"/>
      </w:pPr>
      <w:r w:rsidRPr="009A59D5">
        <w:t xml:space="preserve">Where a clearing member </w:t>
      </w:r>
      <m:oMath>
        <m:r>
          <w:rPr>
            <w:rFonts w:ascii="Cambria Math" w:hAnsi="Cambria Math"/>
          </w:rPr>
          <m:t>m</m:t>
        </m:r>
      </m:oMath>
      <w:r w:rsidR="00E254A7" w:rsidRPr="009A59D5" w:rsidDel="00E254A7">
        <w:t xml:space="preserve"> </w:t>
      </w:r>
      <w:r w:rsidRPr="009A59D5">
        <w:t xml:space="preserve">does not provide any client services, </w:t>
      </w:r>
      <w:proofErr w:type="spellStart"/>
      <w:r w:rsidR="00D64F8F">
        <w:rPr>
          <w:i/>
        </w:rPr>
        <w:t>EAD</w:t>
      </w:r>
      <w:r w:rsidR="00D64F8F">
        <w:rPr>
          <w:i/>
          <w:vertAlign w:val="subscript"/>
        </w:rPr>
        <w:t>m</w:t>
      </w:r>
      <w:proofErr w:type="spellEnd"/>
      <w:r w:rsidR="00D64F8F">
        <w:rPr>
          <w:i/>
        </w:rPr>
        <w:t xml:space="preserve"> </w:t>
      </w:r>
      <w:r w:rsidRPr="009A59D5">
        <w:t>must be calculated simply as:</w:t>
      </w:r>
    </w:p>
    <w:p w14:paraId="40116BAA" w14:textId="7B0C73C3" w:rsidR="002B44C4" w:rsidRDefault="002B44C4" w:rsidP="002B44C4">
      <w:pPr>
        <w:pStyle w:val="BodyText1"/>
        <w:numPr>
          <w:ilvl w:val="0"/>
          <w:numId w:val="0"/>
        </w:numPr>
        <w:ind w:left="2552" w:hanging="709"/>
      </w:pPr>
      <w:r w:rsidRPr="002B44C4">
        <w:rPr>
          <w:noProof/>
        </w:rPr>
        <w:drawing>
          <wp:inline distT="0" distB="0" distL="0" distR="0" wp14:anchorId="76A07851" wp14:editId="1AB5504D">
            <wp:extent cx="3498111" cy="233572"/>
            <wp:effectExtent l="0" t="0" r="0" b="0"/>
            <wp:docPr id="26" name="Picture 26" descr="Start formula EAD subscript m equals EAD subscript m superscript derivatives plus EAD subscript m superscript SF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tart formula EAD subscript m equals EAD subscript m superscript derivatives plus EAD subscript m superscript SFT end formul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3154" cy="237247"/>
                    </a:xfrm>
                    <a:prstGeom prst="rect">
                      <a:avLst/>
                    </a:prstGeom>
                    <a:noFill/>
                    <a:ln>
                      <a:noFill/>
                    </a:ln>
                  </pic:spPr>
                </pic:pic>
              </a:graphicData>
            </a:graphic>
          </wp:inline>
        </w:drawing>
      </w:r>
    </w:p>
    <w:p w14:paraId="68E796AE" w14:textId="77777777" w:rsidR="00B11A9F" w:rsidRPr="009A59D5" w:rsidRDefault="00B11A9F" w:rsidP="00B11A9F">
      <w:pPr>
        <w:pStyle w:val="BodyText1"/>
        <w:numPr>
          <w:ilvl w:val="0"/>
          <w:numId w:val="0"/>
        </w:numPr>
        <w:ind w:left="567"/>
      </w:pPr>
      <w:r w:rsidRPr="009A59D5">
        <w:t>where:</w:t>
      </w:r>
    </w:p>
    <w:p w14:paraId="178C8D38" w14:textId="031D61B4" w:rsidR="00B11A9F" w:rsidRPr="009A59D5" w:rsidRDefault="00D64F8F" w:rsidP="00B11A9F">
      <w:pPr>
        <w:pStyle w:val="BodyText1"/>
        <w:numPr>
          <w:ilvl w:val="0"/>
          <w:numId w:val="0"/>
        </w:numPr>
        <w:ind w:left="567"/>
      </w:pPr>
      <w:proofErr w:type="spellStart"/>
      <w:r>
        <w:rPr>
          <w:i/>
        </w:rPr>
        <w:t>EAD</w:t>
      </w:r>
      <w:r>
        <w:rPr>
          <w:i/>
          <w:vertAlign w:val="subscript"/>
        </w:rPr>
        <w:t>m</w:t>
      </w:r>
      <w:r>
        <w:rPr>
          <w:i/>
          <w:vertAlign w:val="superscript"/>
        </w:rPr>
        <w:t>TYPE</w:t>
      </w:r>
      <w:proofErr w:type="spellEnd"/>
      <w:r>
        <w:t xml:space="preserve"> =</w:t>
      </w:r>
      <w:r w:rsidR="00B11A9F" w:rsidRPr="009A59D5">
        <w:t xml:space="preserve">the EAD of the QCCP to clearing member </w:t>
      </w:r>
      <w:r>
        <w:rPr>
          <w:i/>
        </w:rPr>
        <w:t>m</w:t>
      </w:r>
      <w:r w:rsidR="00B11A9F" w:rsidRPr="009A59D5">
        <w:t>’s house sub-account for a given type of transaction.</w:t>
      </w:r>
    </w:p>
    <w:p w14:paraId="0612686D" w14:textId="77777777" w:rsidR="0015197A" w:rsidRPr="009A59D5" w:rsidRDefault="0015197A" w:rsidP="00EF0C22">
      <w:pPr>
        <w:pStyle w:val="BodyText1"/>
      </w:pPr>
      <w:r w:rsidRPr="009A59D5">
        <w:t>In calculating each sub account-level EAD amount the following three conditions must be satisfied:</w:t>
      </w:r>
    </w:p>
    <w:p w14:paraId="0B3CD13A" w14:textId="48B58280" w:rsidR="0015197A" w:rsidRPr="009A59D5" w:rsidRDefault="0015197A" w:rsidP="0015197A">
      <w:pPr>
        <w:pStyle w:val="BodyText2"/>
      </w:pPr>
      <w:r w:rsidRPr="009A59D5">
        <w:t xml:space="preserve">the netting sets that are applicable to regulated clearing members (and their clients) of the QCCP must be the same as those referred to in paragraphs </w:t>
      </w:r>
      <w:r w:rsidR="00683E43" w:rsidRPr="009A59D5">
        <w:fldChar w:fldCharType="begin"/>
      </w:r>
      <w:r w:rsidR="00683E43" w:rsidRPr="009A59D5">
        <w:instrText xml:space="preserve"> REF _Ref460259463 \n \h </w:instrText>
      </w:r>
      <w:r w:rsidR="00365041" w:rsidRPr="009A59D5">
        <w:instrText xml:space="preserve"> \* MERGEFORMAT </w:instrText>
      </w:r>
      <w:r w:rsidR="00683E43" w:rsidRPr="009A59D5">
        <w:fldChar w:fldCharType="separate"/>
      </w:r>
      <w:r w:rsidR="00B401AE">
        <w:t>13</w:t>
      </w:r>
      <w:r w:rsidR="00683E43" w:rsidRPr="009A59D5">
        <w:fldChar w:fldCharType="end"/>
      </w:r>
      <w:r w:rsidRPr="009A59D5">
        <w:t xml:space="preserve"> and </w:t>
      </w:r>
      <w:r w:rsidR="00683E43" w:rsidRPr="009A59D5">
        <w:fldChar w:fldCharType="begin"/>
      </w:r>
      <w:r w:rsidR="00683E43" w:rsidRPr="009A59D5">
        <w:instrText xml:space="preserve"> REF _Ref461098977 \n \h </w:instrText>
      </w:r>
      <w:r w:rsidR="00365041" w:rsidRPr="009A59D5">
        <w:instrText xml:space="preserve"> \* MERGEFORMAT </w:instrText>
      </w:r>
      <w:r w:rsidR="00683E43" w:rsidRPr="009A59D5">
        <w:fldChar w:fldCharType="separate"/>
      </w:r>
      <w:r w:rsidR="00B401AE">
        <w:t>14</w:t>
      </w:r>
      <w:r w:rsidR="00683E43" w:rsidRPr="009A59D5">
        <w:fldChar w:fldCharType="end"/>
      </w:r>
      <w:r w:rsidRPr="009A59D5">
        <w:t xml:space="preserve"> of Attachment B. All other clearing members (and their clients) of the QCCP must otherwise follow the netting rules as laid out by the QCCP based upon notification of each of its clearing members. Where APRA is not satisfied with these netting rules, APRA may request an ADI to ensure that more granular netting sets than as laid out by the QCCP are used in the </w:t>
      </w:r>
      <w:proofErr w:type="gramStart"/>
      <w:r w:rsidRPr="009A59D5">
        <w:t>calculation;</w:t>
      </w:r>
      <w:proofErr w:type="gramEnd"/>
    </w:p>
    <w:p w14:paraId="37335751" w14:textId="77777777" w:rsidR="0015197A" w:rsidRPr="009A59D5" w:rsidRDefault="0015197A" w:rsidP="0015197A">
      <w:pPr>
        <w:pStyle w:val="BodyText2"/>
      </w:pPr>
      <w:r w:rsidRPr="009A59D5">
        <w:t xml:space="preserve">if the default fund contributions of the clearing member of the QCCP are not split </w:t>
      </w:r>
      <w:proofErr w:type="gramStart"/>
      <w:r w:rsidRPr="009A59D5">
        <w:t>with regard to</w:t>
      </w:r>
      <w:proofErr w:type="gramEnd"/>
      <w:r w:rsidRPr="009A59D5">
        <w:t xml:space="preserve"> client and house sub-accounts, these default fund contributions must each be allocated per sub-account according to the </w:t>
      </w:r>
      <w:r w:rsidRPr="009A59D5">
        <w:lastRenderedPageBreak/>
        <w:t>respective fraction the initial margin of that sub-margin has in relation to the total initial margin posted by or for the account of the clearing member; and</w:t>
      </w:r>
    </w:p>
    <w:p w14:paraId="47A98F93" w14:textId="18F71905" w:rsidR="0015197A" w:rsidRPr="009A59D5" w:rsidRDefault="0015197A" w:rsidP="0015197A">
      <w:pPr>
        <w:pStyle w:val="BodyText2"/>
      </w:pPr>
      <w:r w:rsidRPr="009A59D5">
        <w:t>within each sub-account (of both the client and the house), the pre</w:t>
      </w:r>
      <w:r w:rsidR="006E2460" w:rsidRPr="009A59D5">
        <w:t>-</w:t>
      </w:r>
      <w:r w:rsidRPr="009A59D5">
        <w:t xml:space="preserve">funded initial margin provided by the clearing member or client, as well as the default fund contribution provided by the clearing member or apportioned to the client, must be allocated to the derivative and SFT exposures in proportion to the respective product specific EADs, calculated in accordance with the SA-CCR methodology without including the effects of collateral for derivative transactions; or as the exposure value under Attachment </w:t>
      </w:r>
      <w:r w:rsidR="002B2A27">
        <w:t>G</w:t>
      </w:r>
      <w:r w:rsidR="002B2A27" w:rsidRPr="009A59D5">
        <w:t xml:space="preserve"> </w:t>
      </w:r>
      <w:r w:rsidRPr="009A59D5">
        <w:t>of APS 112 for SFTs.</w:t>
      </w:r>
    </w:p>
    <w:p w14:paraId="4EF5C960" w14:textId="5F19D6C8" w:rsidR="0015197A" w:rsidRPr="009A59D5" w:rsidRDefault="0015197A" w:rsidP="00EF0C22">
      <w:pPr>
        <w:pStyle w:val="BodyText1"/>
      </w:pPr>
      <w:r w:rsidRPr="009A59D5">
        <w:t>For derivative transactions, each sub account-level EAD must be calculated as the bilateral trade exposure the QCCP has against the clearing member ADI or client ADI using the SA-CCR methodology and is subject to the following two requirements:</w:t>
      </w:r>
    </w:p>
    <w:p w14:paraId="463B52F3" w14:textId="4BDCFB9D" w:rsidR="0015197A" w:rsidRPr="009A59D5" w:rsidRDefault="0015197A" w:rsidP="0015197A">
      <w:pPr>
        <w:pStyle w:val="BodyText2"/>
      </w:pPr>
      <w:r w:rsidRPr="009A59D5">
        <w:t>all collateral</w:t>
      </w:r>
      <w:r w:rsidRPr="009A59D5">
        <w:rPr>
          <w:rStyle w:val="FootnoteReference"/>
        </w:rPr>
        <w:footnoteReference w:id="24"/>
      </w:r>
      <w:r w:rsidRPr="009A59D5">
        <w:t xml:space="preserve"> held by the QCCP to which it has a legal claim in the event of the default of the member or client, must be used to offset the QCCP’s EAD to that member or client through inclusion in the potential future exposure (PFE) multiplier in accordance </w:t>
      </w:r>
      <w:r w:rsidR="002E3D04" w:rsidRPr="009A59D5">
        <w:t xml:space="preserve">with paragraph </w:t>
      </w:r>
      <w:r w:rsidR="002E3D04" w:rsidRPr="009A59D5">
        <w:fldChar w:fldCharType="begin"/>
      </w:r>
      <w:r w:rsidR="002E3D04" w:rsidRPr="009A59D5">
        <w:instrText xml:space="preserve"> REF _Ref460259767 \r \h </w:instrText>
      </w:r>
      <w:r w:rsidR="00365041" w:rsidRPr="009A59D5">
        <w:instrText xml:space="preserve"> \* MERGEFORMAT </w:instrText>
      </w:r>
      <w:r w:rsidR="002E3D04" w:rsidRPr="009A59D5">
        <w:fldChar w:fldCharType="separate"/>
      </w:r>
      <w:r w:rsidR="00B401AE">
        <w:t>14</w:t>
      </w:r>
      <w:r w:rsidR="002E3D04" w:rsidRPr="009A59D5">
        <w:fldChar w:fldCharType="end"/>
      </w:r>
      <w:r w:rsidR="00B11A9F" w:rsidRPr="009A59D5">
        <w:t xml:space="preserve"> of Attachment </w:t>
      </w:r>
      <w:r w:rsidRPr="009A59D5">
        <w:t>D</w:t>
      </w:r>
      <w:r w:rsidR="00E20457" w:rsidRPr="009A59D5">
        <w:t xml:space="preserve"> of this Prudential Standard</w:t>
      </w:r>
      <w:r w:rsidR="00511D60" w:rsidRPr="009A59D5">
        <w:t>; and</w:t>
      </w:r>
    </w:p>
    <w:p w14:paraId="6CE9FD68" w14:textId="77777777" w:rsidR="0015197A" w:rsidRPr="009A59D5" w:rsidRDefault="0015197A" w:rsidP="0015197A">
      <w:pPr>
        <w:pStyle w:val="BodyText2"/>
      </w:pPr>
      <w:r w:rsidRPr="009A59D5">
        <w:t>a MPOR of 10 business days must be used for the calculation of the EAD.</w:t>
      </w:r>
      <w:bookmarkStart w:id="282" w:name="_Ref460259820"/>
      <w:r w:rsidRPr="009A59D5">
        <w:rPr>
          <w:rStyle w:val="FootnoteReference"/>
        </w:rPr>
        <w:footnoteReference w:id="25"/>
      </w:r>
      <w:bookmarkEnd w:id="282"/>
    </w:p>
    <w:p w14:paraId="67AB6368" w14:textId="77777777" w:rsidR="0015197A" w:rsidRPr="009A59D5" w:rsidRDefault="0015197A" w:rsidP="00EF0C22">
      <w:pPr>
        <w:pStyle w:val="BodyText1"/>
      </w:pPr>
      <w:bookmarkStart w:id="283" w:name="_Ref460259686"/>
      <w:r w:rsidRPr="009A59D5">
        <w:t>For SFTs, each sub account-level EAD amount must be calculated according to the following formula:</w:t>
      </w:r>
      <w:bookmarkEnd w:id="283"/>
    </w:p>
    <w:p w14:paraId="36EF376F" w14:textId="7D7EDAC8" w:rsidR="00241137" w:rsidRDefault="00241137" w:rsidP="00241137">
      <w:pPr>
        <w:pStyle w:val="BodyText1"/>
        <w:numPr>
          <w:ilvl w:val="0"/>
          <w:numId w:val="0"/>
        </w:numPr>
        <w:ind w:left="567" w:firstLine="1276"/>
      </w:pPr>
      <w:r w:rsidRPr="00241137">
        <w:rPr>
          <w:noProof/>
        </w:rPr>
        <w:drawing>
          <wp:inline distT="0" distB="0" distL="0" distR="0" wp14:anchorId="07945D63" wp14:editId="1F863A3C">
            <wp:extent cx="3200400" cy="225629"/>
            <wp:effectExtent l="0" t="0" r="0" b="3175"/>
            <wp:docPr id="27" name="Picture 27" descr="Start formula EAD subscript i superscript SFT equals the maximum of open brackets EBRM subscript i minus IM subscript i minus DF subscript i; zero close brackets.&#10;to calculate each sub account-level EAD amount for SF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tart formula EAD subscript i superscript SFT equals the maximum of open brackets EBRM subscript i minus IM subscript i minus DF subscript i; zero close brackets.&#10;to calculate each sub account-level EAD amount for SF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4934" cy="232999"/>
                    </a:xfrm>
                    <a:prstGeom prst="rect">
                      <a:avLst/>
                    </a:prstGeom>
                    <a:noFill/>
                    <a:ln>
                      <a:noFill/>
                    </a:ln>
                  </pic:spPr>
                </pic:pic>
              </a:graphicData>
            </a:graphic>
          </wp:inline>
        </w:drawing>
      </w:r>
    </w:p>
    <w:p w14:paraId="7D09F4D6" w14:textId="77777777" w:rsidR="00B11A9F" w:rsidRPr="009A59D5" w:rsidRDefault="00B11A9F" w:rsidP="00B11A9F">
      <w:pPr>
        <w:pStyle w:val="BodyText1"/>
        <w:numPr>
          <w:ilvl w:val="0"/>
          <w:numId w:val="0"/>
        </w:numPr>
        <w:ind w:left="567"/>
      </w:pPr>
      <w:r w:rsidRPr="009A59D5">
        <w:t>where:</w:t>
      </w:r>
    </w:p>
    <w:p w14:paraId="0202B5CC" w14:textId="42ADFBF4" w:rsidR="00B11A9F" w:rsidRPr="009A59D5" w:rsidRDefault="00D64F8F" w:rsidP="00B11A9F">
      <w:pPr>
        <w:pStyle w:val="BodyText1"/>
        <w:numPr>
          <w:ilvl w:val="0"/>
          <w:numId w:val="0"/>
        </w:numPr>
        <w:ind w:left="567"/>
      </w:pPr>
      <w:proofErr w:type="spellStart"/>
      <w:r>
        <w:rPr>
          <w:i/>
        </w:rPr>
        <w:t>EAD</w:t>
      </w:r>
      <w:r>
        <w:rPr>
          <w:i/>
          <w:vertAlign w:val="subscript"/>
        </w:rPr>
        <w:t>i</w:t>
      </w:r>
      <w:r>
        <w:rPr>
          <w:i/>
          <w:vertAlign w:val="superscript"/>
        </w:rPr>
        <w:t>SFT</w:t>
      </w:r>
      <w:proofErr w:type="spellEnd"/>
      <w:r>
        <w:rPr>
          <w:i/>
          <w:vertAlign w:val="superscript"/>
        </w:rPr>
        <w:t xml:space="preserve"> </w:t>
      </w:r>
      <w:r>
        <w:t>=</w:t>
      </w:r>
      <w:r w:rsidR="00B11A9F" w:rsidRPr="009A59D5">
        <w:t xml:space="preserve"> the EAD amount of the QCCP to the SFT exposure originated from party</w:t>
      </w:r>
      <w:r w:rsidR="00B11A9F" w:rsidRPr="009A59D5">
        <w:rPr>
          <w:rStyle w:val="FootnoteReference"/>
        </w:rPr>
        <w:footnoteReference w:id="26"/>
      </w:r>
      <w:r w:rsidR="00B11A9F" w:rsidRPr="009A59D5">
        <w:t xml:space="preserve"> </w:t>
      </w:r>
      <w:proofErr w:type="spellStart"/>
      <w:proofErr w:type="gramStart"/>
      <w:r>
        <w:rPr>
          <w:i/>
        </w:rPr>
        <w:t>i</w:t>
      </w:r>
      <w:proofErr w:type="spellEnd"/>
      <w:r w:rsidR="00B11A9F" w:rsidRPr="009A59D5">
        <w:t>;</w:t>
      </w:r>
      <w:proofErr w:type="gramEnd"/>
    </w:p>
    <w:p w14:paraId="3D0516EC" w14:textId="6F13F7BC" w:rsidR="00B11A9F" w:rsidRPr="009A59D5" w:rsidRDefault="00D64F8F" w:rsidP="00B11A9F">
      <w:pPr>
        <w:pStyle w:val="BodyText1"/>
        <w:numPr>
          <w:ilvl w:val="0"/>
          <w:numId w:val="0"/>
        </w:numPr>
        <w:ind w:left="567"/>
      </w:pPr>
      <w:proofErr w:type="spellStart"/>
      <w:r>
        <w:rPr>
          <w:i/>
        </w:rPr>
        <w:t>EBRM</w:t>
      </w:r>
      <w:r>
        <w:rPr>
          <w:i/>
          <w:vertAlign w:val="subscript"/>
        </w:rPr>
        <w:t>i</w:t>
      </w:r>
      <w:proofErr w:type="spellEnd"/>
      <w:r>
        <w:rPr>
          <w:i/>
        </w:rPr>
        <w:t xml:space="preserve"> </w:t>
      </w:r>
      <w:r>
        <w:t>=</w:t>
      </w:r>
      <w:r>
        <w:rPr>
          <w:i/>
        </w:rPr>
        <w:t xml:space="preserve"> </w:t>
      </w:r>
      <w:r w:rsidR="00B11A9F" w:rsidRPr="009A59D5">
        <w:t xml:space="preserve">the exposure value of the SFTs that a QCCP has against party </w:t>
      </w:r>
      <w:proofErr w:type="spellStart"/>
      <w:r>
        <w:rPr>
          <w:i/>
        </w:rPr>
        <w:t>i</w:t>
      </w:r>
      <w:proofErr w:type="spellEnd"/>
      <w:r w:rsidR="00B11A9F" w:rsidRPr="009A59D5">
        <w:t xml:space="preserve"> before risk mitigation under </w:t>
      </w:r>
      <w:r w:rsidR="00B11A9F" w:rsidRPr="00CD1630">
        <w:t xml:space="preserve">Attachment </w:t>
      </w:r>
      <w:r w:rsidR="00A37F54" w:rsidRPr="00CD1630">
        <w:t>G</w:t>
      </w:r>
      <w:r w:rsidR="00A37F54" w:rsidRPr="009A59D5">
        <w:t xml:space="preserve"> </w:t>
      </w:r>
      <w:r w:rsidR="00B11A9F" w:rsidRPr="009A59D5">
        <w:t xml:space="preserve">of APS 112. The mark-to-market value of the SFTs must incorporate the variation margin that has been exchanged before the margin called on the final margin call of the calculation </w:t>
      </w:r>
      <w:proofErr w:type="gramStart"/>
      <w:r w:rsidR="00B11A9F" w:rsidRPr="009A59D5">
        <w:t>date;</w:t>
      </w:r>
      <w:proofErr w:type="gramEnd"/>
    </w:p>
    <w:p w14:paraId="074D1DFA" w14:textId="729C8086" w:rsidR="00B11A9F" w:rsidRPr="009A59D5" w:rsidRDefault="00D64F8F" w:rsidP="00B11A9F">
      <w:pPr>
        <w:pStyle w:val="BodyText1"/>
        <w:numPr>
          <w:ilvl w:val="0"/>
          <w:numId w:val="0"/>
        </w:numPr>
        <w:ind w:left="567"/>
      </w:pPr>
      <w:proofErr w:type="spellStart"/>
      <w:proofErr w:type="gramStart"/>
      <w:r>
        <w:rPr>
          <w:i/>
        </w:rPr>
        <w:t>IM</w:t>
      </w:r>
      <w:r>
        <w:rPr>
          <w:i/>
          <w:vertAlign w:val="subscript"/>
        </w:rPr>
        <w:t>i</w:t>
      </w:r>
      <w:proofErr w:type="spellEnd"/>
      <w:r>
        <w:rPr>
          <w:i/>
        </w:rPr>
        <w:t xml:space="preserve"> </w:t>
      </w:r>
      <w:r>
        <w:rPr>
          <w:i/>
          <w:vertAlign w:val="subscript"/>
        </w:rPr>
        <w:t xml:space="preserve"> </w:t>
      </w:r>
      <w:r>
        <w:t>=</w:t>
      </w:r>
      <w:proofErr w:type="gramEnd"/>
      <w:r>
        <w:rPr>
          <w:i/>
        </w:rPr>
        <w:t xml:space="preserve"> </w:t>
      </w:r>
      <w:r w:rsidR="00B11A9F" w:rsidRPr="009A59D5">
        <w:t>initial margin allocated to SFT exposures posted by party</w:t>
      </w:r>
      <w:r>
        <w:t xml:space="preserve"> </w:t>
      </w:r>
      <w:proofErr w:type="spellStart"/>
      <w:r>
        <w:rPr>
          <w:i/>
        </w:rPr>
        <w:t>i</w:t>
      </w:r>
      <w:proofErr w:type="spellEnd"/>
      <w:r w:rsidR="00B11A9F" w:rsidRPr="009A59D5">
        <w:t xml:space="preserve"> with the QCCP; and</w:t>
      </w:r>
    </w:p>
    <w:p w14:paraId="3483B9D1" w14:textId="7DA94677" w:rsidR="00B11A9F" w:rsidRPr="009A59D5" w:rsidRDefault="00D64F8F" w:rsidP="00B11A9F">
      <w:pPr>
        <w:pStyle w:val="BodyText1"/>
        <w:numPr>
          <w:ilvl w:val="0"/>
          <w:numId w:val="0"/>
        </w:numPr>
        <w:ind w:left="567"/>
      </w:pPr>
      <w:proofErr w:type="spellStart"/>
      <w:r>
        <w:rPr>
          <w:i/>
        </w:rPr>
        <w:t>DF</w:t>
      </w:r>
      <w:r>
        <w:rPr>
          <w:i/>
          <w:vertAlign w:val="subscript"/>
        </w:rPr>
        <w:t>i</w:t>
      </w:r>
      <w:proofErr w:type="spellEnd"/>
      <w:r>
        <w:rPr>
          <w:i/>
          <w:vertAlign w:val="subscript"/>
        </w:rPr>
        <w:t xml:space="preserve"> </w:t>
      </w:r>
      <w:r>
        <w:t>=</w:t>
      </w:r>
      <w:r>
        <w:rPr>
          <w:i/>
        </w:rPr>
        <w:t xml:space="preserve"> </w:t>
      </w:r>
      <w:r w:rsidR="00B11A9F" w:rsidRPr="009A59D5">
        <w:t>the pre</w:t>
      </w:r>
      <w:r w:rsidR="006E2460" w:rsidRPr="009A59D5">
        <w:t>-</w:t>
      </w:r>
      <w:r w:rsidR="00B11A9F" w:rsidRPr="009A59D5">
        <w:t xml:space="preserve">funded default fund contribution allocated to the SFT exposure by party </w:t>
      </w:r>
      <w:proofErr w:type="spellStart"/>
      <w:r>
        <w:rPr>
          <w:i/>
        </w:rPr>
        <w:t>i</w:t>
      </w:r>
      <w:proofErr w:type="spellEnd"/>
      <w:r w:rsidR="00B11A9F" w:rsidRPr="009A59D5">
        <w:t xml:space="preserve">, that will be applied upon the default of </w:t>
      </w:r>
      <w:proofErr w:type="spellStart"/>
      <w:r>
        <w:rPr>
          <w:i/>
        </w:rPr>
        <w:t>i</w:t>
      </w:r>
      <w:proofErr w:type="spellEnd"/>
      <w:r w:rsidR="00B11A9F" w:rsidRPr="009A59D5">
        <w:t xml:space="preserve"> if </w:t>
      </w:r>
      <w:proofErr w:type="spellStart"/>
      <w:r>
        <w:rPr>
          <w:i/>
        </w:rPr>
        <w:t>i</w:t>
      </w:r>
      <w:proofErr w:type="spellEnd"/>
      <w:r w:rsidR="00B11A9F" w:rsidRPr="009A59D5">
        <w:t xml:space="preserve"> is a clearing member, or of </w:t>
      </w:r>
      <w:r>
        <w:rPr>
          <w:i/>
        </w:rPr>
        <w:lastRenderedPageBreak/>
        <w:t>i</w:t>
      </w:r>
      <w:r w:rsidR="00B11A9F" w:rsidRPr="009A59D5">
        <w:t xml:space="preserve">’s clearing member </w:t>
      </w:r>
      <w:proofErr w:type="gramStart"/>
      <w:r w:rsidR="00B11A9F" w:rsidRPr="009A59D5">
        <w:t>if  is</w:t>
      </w:r>
      <w:proofErr w:type="gramEnd"/>
      <w:r w:rsidR="00B11A9F" w:rsidRPr="009A59D5">
        <w:t xml:space="preserve"> a client, either along with or immediately following the posted initial margin to reduce the QCCP’s loss.</w:t>
      </w:r>
    </w:p>
    <w:p w14:paraId="3C7C5108" w14:textId="45D90D38" w:rsidR="00B11A9F" w:rsidRPr="009A59D5" w:rsidRDefault="00B11A9F" w:rsidP="00205907">
      <w:pPr>
        <w:pStyle w:val="BodyText1"/>
        <w:numPr>
          <w:ilvl w:val="0"/>
          <w:numId w:val="0"/>
        </w:numPr>
        <w:ind w:left="567"/>
      </w:pPr>
      <w:r w:rsidRPr="009A59D5">
        <w:t xml:space="preserve">In calculating </w:t>
      </w:r>
      <w:proofErr w:type="spellStart"/>
      <w:r w:rsidR="00D64F8F">
        <w:rPr>
          <w:i/>
        </w:rPr>
        <w:t>EAD</w:t>
      </w:r>
      <w:r w:rsidR="00D64F8F">
        <w:rPr>
          <w:i/>
          <w:vertAlign w:val="subscript"/>
        </w:rPr>
        <w:t>i</w:t>
      </w:r>
      <w:r w:rsidR="00D64F8F">
        <w:rPr>
          <w:i/>
          <w:vertAlign w:val="superscript"/>
        </w:rPr>
        <w:t>SFT</w:t>
      </w:r>
      <w:proofErr w:type="spellEnd"/>
      <w:r w:rsidRPr="009A59D5">
        <w:t xml:space="preserve">, the minimum holding period used in the bilateral case for SFTs outlined in paragraph </w:t>
      </w:r>
      <w:r w:rsidR="003F088E">
        <w:t>30</w:t>
      </w:r>
      <w:r w:rsidR="003F088E" w:rsidRPr="009A59D5">
        <w:t xml:space="preserve"> </w:t>
      </w:r>
      <w:r w:rsidRPr="009A59D5">
        <w:t xml:space="preserve">of Attachment </w:t>
      </w:r>
      <w:r w:rsidR="005E74CA" w:rsidRPr="009A59D5">
        <w:t xml:space="preserve">G </w:t>
      </w:r>
      <w:r w:rsidRPr="009A59D5">
        <w:t>of APS 112 must be applied.</w:t>
      </w:r>
      <w:r w:rsidR="00205907" w:rsidRPr="009A59D5">
        <w:rPr>
          <w:rStyle w:val="FootnoteReference"/>
        </w:rPr>
        <w:footnoteReference w:id="27"/>
      </w:r>
    </w:p>
    <w:p w14:paraId="083D6C0A" w14:textId="4D4B8851" w:rsidR="0015197A" w:rsidRPr="009A59D5" w:rsidRDefault="0015197A" w:rsidP="00EF0C22">
      <w:pPr>
        <w:pStyle w:val="BodyText1"/>
      </w:pPr>
      <w:bookmarkStart w:id="284" w:name="_Ref460259674"/>
      <w:r w:rsidRPr="009A59D5">
        <w:t xml:space="preserve">Step 2 is to compute the default fund capital charge for an ADI, </w:t>
      </w:r>
      <w:r w:rsidR="00D64F8F">
        <w:rPr>
          <w:i/>
        </w:rPr>
        <w:t>K</w:t>
      </w:r>
      <w:r w:rsidR="00D64F8F">
        <w:rPr>
          <w:i/>
          <w:vertAlign w:val="subscript"/>
        </w:rPr>
        <w:t>ADI</w:t>
      </w:r>
      <w:r w:rsidRPr="009A59D5">
        <w:t xml:space="preserve">, as a fraction of </w:t>
      </w:r>
      <w:r w:rsidR="00D64F8F">
        <w:rPr>
          <w:i/>
        </w:rPr>
        <w:t>K</w:t>
      </w:r>
      <w:r w:rsidR="00D64F8F">
        <w:rPr>
          <w:i/>
          <w:vertAlign w:val="subscript"/>
        </w:rPr>
        <w:t>QCCP</w:t>
      </w:r>
      <w:r w:rsidRPr="009A59D5">
        <w:t>. The capital charge for an ADI (</w:t>
      </w:r>
      <w:r w:rsidR="00D64F8F">
        <w:rPr>
          <w:i/>
        </w:rPr>
        <w:t>K</w:t>
      </w:r>
      <w:r w:rsidR="00D64F8F">
        <w:rPr>
          <w:i/>
          <w:vertAlign w:val="subscript"/>
        </w:rPr>
        <w:t>ADI</w:t>
      </w:r>
      <w:r w:rsidRPr="009A59D5">
        <w:t>) is subject to a floor of 0.16 per cent (corresponding to a default fund exposure risk weight of two per cent) on an ADI pre</w:t>
      </w:r>
      <w:r w:rsidR="006E2460" w:rsidRPr="009A59D5">
        <w:t>-</w:t>
      </w:r>
      <w:r w:rsidRPr="009A59D5">
        <w:t xml:space="preserve">funded default fund contribution. </w:t>
      </w:r>
      <w:r w:rsidR="00D64F8F">
        <w:rPr>
          <w:i/>
        </w:rPr>
        <w:t>K</w:t>
      </w:r>
      <w:r w:rsidR="00D64F8F">
        <w:rPr>
          <w:i/>
          <w:vertAlign w:val="subscript"/>
        </w:rPr>
        <w:t>ADI</w:t>
      </w:r>
      <w:r w:rsidR="001B13B9" w:rsidRPr="009A59D5">
        <w:t xml:space="preserve"> </w:t>
      </w:r>
      <w:r w:rsidRPr="009A59D5">
        <w:t>is determined by the ratio of the ADI’s pre</w:t>
      </w:r>
      <w:r w:rsidR="006E2460" w:rsidRPr="009A59D5">
        <w:t>-</w:t>
      </w:r>
      <w:r w:rsidRPr="009A59D5">
        <w:t>funded default fund contribution to the total of all pre</w:t>
      </w:r>
      <w:r w:rsidR="006E2460" w:rsidRPr="009A59D5">
        <w:t>-</w:t>
      </w:r>
      <w:r w:rsidRPr="009A59D5">
        <w:t xml:space="preserve">funded resources and contributions from the QCCP itself and </w:t>
      </w:r>
      <w:proofErr w:type="gramStart"/>
      <w:r w:rsidRPr="009A59D5">
        <w:t>all of</w:t>
      </w:r>
      <w:proofErr w:type="gramEnd"/>
      <w:r w:rsidRPr="009A59D5">
        <w:t xml:space="preserve"> its clearing members, according to:</w:t>
      </w:r>
      <w:bookmarkEnd w:id="284"/>
    </w:p>
    <w:p w14:paraId="5D2D8EDA" w14:textId="566E2336" w:rsidR="00805EEE" w:rsidRDefault="006F3123" w:rsidP="00751D7D">
      <w:pPr>
        <w:pStyle w:val="BodyText1"/>
        <w:numPr>
          <w:ilvl w:val="0"/>
          <w:numId w:val="0"/>
        </w:numPr>
        <w:spacing w:after="0"/>
        <w:ind w:left="-709"/>
      </w:pPr>
      <w:r w:rsidRPr="007403DB">
        <w:rPr>
          <w:noProof/>
        </w:rPr>
        <w:drawing>
          <wp:inline distT="0" distB="0" distL="0" distR="0" wp14:anchorId="5A49A755" wp14:editId="58BEABA3">
            <wp:extent cx="6218428" cy="542261"/>
            <wp:effectExtent l="0" t="0" r="0" b="0"/>
            <wp:docPr id="32" name="Picture 32" descr="A formula for K subscript ADI, the default fund capital charge for an ADI which is a fraction of K subscript QC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formula for K subscript ADI, the default fund capital charge for an ADI which is a fraction of K subscript QCC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56394" cy="545572"/>
                    </a:xfrm>
                    <a:prstGeom prst="rect">
                      <a:avLst/>
                    </a:prstGeom>
                    <a:noFill/>
                    <a:ln>
                      <a:noFill/>
                    </a:ln>
                  </pic:spPr>
                </pic:pic>
              </a:graphicData>
            </a:graphic>
          </wp:inline>
        </w:drawing>
      </w:r>
    </w:p>
    <w:p w14:paraId="6D2674D8" w14:textId="77777777" w:rsidR="005D4111" w:rsidRPr="009A59D5" w:rsidRDefault="005D4111" w:rsidP="005D4111">
      <w:pPr>
        <w:pStyle w:val="BodyText1"/>
        <w:numPr>
          <w:ilvl w:val="0"/>
          <w:numId w:val="0"/>
        </w:numPr>
        <w:ind w:left="567"/>
      </w:pPr>
      <w:r w:rsidRPr="009A59D5">
        <w:t>where:</w:t>
      </w:r>
    </w:p>
    <w:p w14:paraId="775D7F39" w14:textId="38D32895" w:rsidR="005D4111" w:rsidRPr="009A59D5" w:rsidRDefault="00D64F8F" w:rsidP="005D4111">
      <w:pPr>
        <w:pStyle w:val="BodyText1"/>
        <w:numPr>
          <w:ilvl w:val="0"/>
          <w:numId w:val="0"/>
        </w:numPr>
        <w:ind w:left="567"/>
      </w:pPr>
      <w:r>
        <w:rPr>
          <w:i/>
        </w:rPr>
        <w:t>DF</w:t>
      </w:r>
      <w:r>
        <w:rPr>
          <w:i/>
          <w:vertAlign w:val="subscript"/>
        </w:rPr>
        <w:t>ADI</w:t>
      </w:r>
      <w:r>
        <w:rPr>
          <w:i/>
        </w:rPr>
        <w:t xml:space="preserve"> </w:t>
      </w:r>
      <w:r>
        <w:t xml:space="preserve">= </w:t>
      </w:r>
      <w:r w:rsidR="005D4111" w:rsidRPr="009A59D5">
        <w:t>the pre</w:t>
      </w:r>
      <w:r w:rsidR="006E2460" w:rsidRPr="009A59D5">
        <w:t>-</w:t>
      </w:r>
      <w:r w:rsidR="005D4111" w:rsidRPr="009A59D5">
        <w:t xml:space="preserve">funded default fund contributions provided by the </w:t>
      </w:r>
      <w:proofErr w:type="gramStart"/>
      <w:r w:rsidR="005D4111" w:rsidRPr="009A59D5">
        <w:t>ADI;</w:t>
      </w:r>
      <w:proofErr w:type="gramEnd"/>
    </w:p>
    <w:p w14:paraId="58E6982E" w14:textId="3F32D407" w:rsidR="005D4111" w:rsidRPr="009A59D5" w:rsidRDefault="00D64F8F" w:rsidP="005D4111">
      <w:pPr>
        <w:pStyle w:val="BodyText1"/>
        <w:numPr>
          <w:ilvl w:val="0"/>
          <w:numId w:val="0"/>
        </w:numPr>
        <w:ind w:left="567"/>
      </w:pPr>
      <w:proofErr w:type="gramStart"/>
      <w:r w:rsidRPr="00D64F8F">
        <w:rPr>
          <w:i/>
        </w:rPr>
        <w:t>DF</w:t>
      </w:r>
      <w:r>
        <w:rPr>
          <w:i/>
          <w:vertAlign w:val="subscript"/>
        </w:rPr>
        <w:t>CM</w:t>
      </w:r>
      <w:r>
        <w:rPr>
          <w:i/>
        </w:rPr>
        <w:t xml:space="preserve">  </w:t>
      </w:r>
      <w:r>
        <w:t>=</w:t>
      </w:r>
      <w:proofErr w:type="gramEnd"/>
      <w:r>
        <w:t xml:space="preserve"> </w:t>
      </w:r>
      <w:r w:rsidR="005D4111" w:rsidRPr="009A59D5">
        <w:t>the total pre</w:t>
      </w:r>
      <w:r w:rsidR="006E2460" w:rsidRPr="009A59D5">
        <w:t>-</w:t>
      </w:r>
      <w:r w:rsidR="005D4111" w:rsidRPr="009A59D5">
        <w:t>funded default fund contributions from all clearing members of the QCCP; and</w:t>
      </w:r>
    </w:p>
    <w:p w14:paraId="2168FAE6" w14:textId="74F4ED90" w:rsidR="0015197A" w:rsidRPr="009A59D5" w:rsidRDefault="00D64F8F" w:rsidP="005D4111">
      <w:pPr>
        <w:pStyle w:val="BodyText1"/>
        <w:numPr>
          <w:ilvl w:val="0"/>
          <w:numId w:val="0"/>
        </w:numPr>
        <w:ind w:left="567"/>
      </w:pPr>
      <w:r>
        <w:rPr>
          <w:i/>
        </w:rPr>
        <w:t>DF</w:t>
      </w:r>
      <w:r>
        <w:rPr>
          <w:i/>
          <w:vertAlign w:val="subscript"/>
        </w:rPr>
        <w:t>CCP</w:t>
      </w:r>
      <w:r>
        <w:t xml:space="preserve"> = </w:t>
      </w:r>
      <w:r w:rsidR="005D4111" w:rsidRPr="009A59D5">
        <w:t>the QCCP’s pre</w:t>
      </w:r>
      <w:r w:rsidR="006E2460" w:rsidRPr="009A59D5">
        <w:t>-</w:t>
      </w:r>
      <w:r w:rsidR="005D4111" w:rsidRPr="009A59D5">
        <w:t xml:space="preserve">funded own resources which are contributed to the default waterfall, where these are junior or </w:t>
      </w:r>
      <w:proofErr w:type="spellStart"/>
      <w:r w:rsidR="005D4111" w:rsidRPr="009A59D5">
        <w:rPr>
          <w:i/>
        </w:rPr>
        <w:t>pari</w:t>
      </w:r>
      <w:proofErr w:type="spellEnd"/>
      <w:r w:rsidR="005D4111" w:rsidRPr="009A59D5">
        <w:rPr>
          <w:i/>
        </w:rPr>
        <w:t xml:space="preserve"> passu</w:t>
      </w:r>
      <w:r w:rsidR="005D4111" w:rsidRPr="009A59D5">
        <w:t xml:space="preserve"> to pre</w:t>
      </w:r>
      <w:r w:rsidR="006E2460" w:rsidRPr="009A59D5">
        <w:t>-</w:t>
      </w:r>
      <w:r w:rsidR="005D4111" w:rsidRPr="009A59D5">
        <w:t>funded member contributions.</w:t>
      </w:r>
    </w:p>
    <w:p w14:paraId="536E0965" w14:textId="77777777" w:rsidR="002E725E" w:rsidRPr="009A59D5" w:rsidRDefault="002E725E" w:rsidP="005D4111">
      <w:pPr>
        <w:pStyle w:val="BodyText1"/>
        <w:numPr>
          <w:ilvl w:val="0"/>
          <w:numId w:val="0"/>
        </w:numPr>
      </w:pPr>
    </w:p>
    <w:p w14:paraId="3F6B383D" w14:textId="77777777" w:rsidR="00205907" w:rsidRPr="009A59D5" w:rsidRDefault="00205907" w:rsidP="005D4111">
      <w:pPr>
        <w:pStyle w:val="BodyText1"/>
        <w:numPr>
          <w:ilvl w:val="0"/>
          <w:numId w:val="0"/>
        </w:numPr>
        <w:sectPr w:rsidR="00205907" w:rsidRPr="009A59D5" w:rsidSect="000D63A8">
          <w:footerReference w:type="default" r:id="rId34"/>
          <w:pgSz w:w="11906" w:h="16838" w:code="9"/>
          <w:pgMar w:top="1440" w:right="1797" w:bottom="1440" w:left="1797" w:header="709" w:footer="709" w:gutter="0"/>
          <w:cols w:space="708"/>
          <w:docGrid w:linePitch="360"/>
        </w:sectPr>
      </w:pPr>
    </w:p>
    <w:p w14:paraId="0F59601E" w14:textId="687B80F0" w:rsidR="00205907" w:rsidRPr="009A59D5" w:rsidRDefault="00205907" w:rsidP="00205907">
      <w:pPr>
        <w:pStyle w:val="Heading2"/>
      </w:pPr>
      <w:bookmarkStart w:id="285" w:name="_Toc487712233"/>
      <w:bookmarkStart w:id="286" w:name="_Toc488397534"/>
      <w:bookmarkStart w:id="287" w:name="_Toc507406409"/>
      <w:bookmarkStart w:id="288" w:name="_Toc511230083"/>
      <w:bookmarkStart w:id="289" w:name="_Toc511230302"/>
      <w:r w:rsidRPr="009A59D5">
        <w:lastRenderedPageBreak/>
        <w:t xml:space="preserve">Attachment </w:t>
      </w:r>
      <w:bookmarkEnd w:id="285"/>
      <w:bookmarkEnd w:id="286"/>
      <w:r w:rsidR="00241638" w:rsidRPr="009A59D5">
        <w:t xml:space="preserve">D </w:t>
      </w:r>
      <w:r w:rsidR="00047F3D" w:rsidRPr="009A59D5">
        <w:rPr>
          <w:rStyle w:val="Attachmentfieldtext"/>
        </w:rPr>
        <w:t>—</w:t>
      </w:r>
      <w:r w:rsidRPr="009A59D5">
        <w:rPr>
          <w:rStyle w:val="Attachmentfieldtext"/>
        </w:rPr>
        <w:t xml:space="preserve"> </w:t>
      </w:r>
      <w:r w:rsidR="004B173D" w:rsidRPr="009A59D5">
        <w:t xml:space="preserve">The standardised approach for measuring counterparty credit risk exposures </w:t>
      </w:r>
      <w:r w:rsidR="00B81F20" w:rsidRPr="009A59D5">
        <w:t>(SA-CCR)</w:t>
      </w:r>
      <w:bookmarkEnd w:id="287"/>
      <w:bookmarkEnd w:id="288"/>
      <w:bookmarkEnd w:id="289"/>
    </w:p>
    <w:p w14:paraId="2898EA1D" w14:textId="279F8447" w:rsidR="00976E44" w:rsidRPr="009A59D5" w:rsidRDefault="00976E44" w:rsidP="00EF0C22">
      <w:pPr>
        <w:pStyle w:val="BodyText1"/>
        <w:numPr>
          <w:ilvl w:val="0"/>
          <w:numId w:val="39"/>
        </w:numPr>
      </w:pPr>
      <w:r w:rsidRPr="009A59D5">
        <w:t xml:space="preserve">This Attachment </w:t>
      </w:r>
      <w:r w:rsidR="00C51AEB" w:rsidRPr="009A59D5">
        <w:t>applies to an IRB ADI</w:t>
      </w:r>
      <w:r w:rsidR="00F93530" w:rsidRPr="009A59D5">
        <w:t>.</w:t>
      </w:r>
      <w:r w:rsidR="00C51AEB" w:rsidRPr="009A59D5">
        <w:t xml:space="preserve"> </w:t>
      </w:r>
      <w:r w:rsidR="001B13B9" w:rsidRPr="009A59D5">
        <w:t xml:space="preserve">The </w:t>
      </w:r>
      <w:r w:rsidRPr="009A59D5">
        <w:t>SA-CCR applies to OTC derivative transactions, exchange</w:t>
      </w:r>
      <w:r w:rsidR="00D851A2" w:rsidRPr="009A59D5">
        <w:t>-</w:t>
      </w:r>
      <w:r w:rsidRPr="009A59D5">
        <w:t xml:space="preserve">traded derivative </w:t>
      </w:r>
      <w:proofErr w:type="gramStart"/>
      <w:r w:rsidRPr="009A59D5">
        <w:t>transactions</w:t>
      </w:r>
      <w:proofErr w:type="gramEnd"/>
      <w:r w:rsidRPr="009A59D5">
        <w:t xml:space="preserve"> and long settlement transactions. For the purposes of this Attachment, a long settlement transaction must be treated as an OTC derivative transaction. </w:t>
      </w:r>
      <w:r w:rsidR="00B578D7" w:rsidRPr="009A59D5">
        <w:t xml:space="preserve">The </w:t>
      </w:r>
      <w:r w:rsidRPr="009A59D5">
        <w:t>SA-CCR does not apply to SFTs.</w:t>
      </w:r>
    </w:p>
    <w:p w14:paraId="0D5A34FA" w14:textId="3DA1DB31" w:rsidR="00976E44" w:rsidRPr="009A59D5" w:rsidRDefault="001B13B9" w:rsidP="00976E44">
      <w:pPr>
        <w:pStyle w:val="BodyText1"/>
      </w:pPr>
      <w:r w:rsidRPr="009A59D5">
        <w:t xml:space="preserve">The </w:t>
      </w:r>
      <w:r w:rsidR="00976E44" w:rsidRPr="009A59D5">
        <w:t xml:space="preserve">SA-CCR must be used for bilateral and </w:t>
      </w:r>
      <w:proofErr w:type="gramStart"/>
      <w:r w:rsidR="00976E44" w:rsidRPr="009A59D5">
        <w:t>centrally-cleared</w:t>
      </w:r>
      <w:proofErr w:type="gramEnd"/>
      <w:r w:rsidR="00976E44" w:rsidRPr="009A59D5">
        <w:t xml:space="preserve"> derivative transactions. </w:t>
      </w:r>
      <w:r w:rsidR="00B578D7" w:rsidRPr="009A59D5">
        <w:t xml:space="preserve">The </w:t>
      </w:r>
      <w:r w:rsidR="00976E44" w:rsidRPr="009A59D5">
        <w:t>SA-CCR must be used for both margined</w:t>
      </w:r>
      <w:r w:rsidR="00976E44" w:rsidRPr="009A59D5">
        <w:rPr>
          <w:rStyle w:val="FootnoteReference"/>
        </w:rPr>
        <w:footnoteReference w:id="28"/>
      </w:r>
      <w:r w:rsidR="00976E44" w:rsidRPr="009A59D5">
        <w:t xml:space="preserve"> and unmargined</w:t>
      </w:r>
      <w:r w:rsidR="00976E44" w:rsidRPr="009A59D5">
        <w:rPr>
          <w:rStyle w:val="FootnoteReference"/>
        </w:rPr>
        <w:footnoteReference w:id="29"/>
      </w:r>
      <w:r w:rsidR="00976E44" w:rsidRPr="009A59D5">
        <w:t xml:space="preserve"> derivative transactions.</w:t>
      </w:r>
    </w:p>
    <w:p w14:paraId="6E23215B" w14:textId="77777777" w:rsidR="00A867DF" w:rsidRPr="009A59D5" w:rsidRDefault="00A867DF" w:rsidP="00405B60">
      <w:pPr>
        <w:pStyle w:val="AttachmentSubheading"/>
      </w:pPr>
      <w:bookmarkStart w:id="290" w:name="_Toc448152772"/>
      <w:bookmarkStart w:id="291" w:name="_Toc448735080"/>
      <w:bookmarkStart w:id="292" w:name="_Toc448736552"/>
      <w:bookmarkStart w:id="293" w:name="_Toc448991243"/>
      <w:bookmarkStart w:id="294" w:name="_Toc449533021"/>
      <w:bookmarkStart w:id="295" w:name="_Toc461692106"/>
      <w:bookmarkStart w:id="296" w:name="_Toc487712234"/>
      <w:bookmarkStart w:id="297" w:name="_Toc488397535"/>
      <w:bookmarkStart w:id="298" w:name="_Toc488398095"/>
      <w:bookmarkStart w:id="299" w:name="_Toc489463932"/>
      <w:bookmarkStart w:id="300" w:name="_Toc507406225"/>
      <w:bookmarkStart w:id="301" w:name="_Toc507406297"/>
      <w:bookmarkStart w:id="302" w:name="_Toc507406410"/>
      <w:bookmarkStart w:id="303" w:name="_Toc507406469"/>
      <w:bookmarkStart w:id="304" w:name="_Toc507406578"/>
      <w:bookmarkStart w:id="305" w:name="_Toc444501866"/>
      <w:bookmarkStart w:id="306" w:name="_Toc444502560"/>
      <w:bookmarkStart w:id="307" w:name="_Toc444504280"/>
      <w:bookmarkStart w:id="308" w:name="_Toc444504782"/>
      <w:r w:rsidRPr="009A59D5">
        <w:t>Exposure at default (EAD)</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sidRPr="009A59D5" w:rsidDel="00630FD5">
        <w:t xml:space="preserve"> </w:t>
      </w:r>
      <w:bookmarkEnd w:id="305"/>
      <w:bookmarkEnd w:id="306"/>
      <w:bookmarkEnd w:id="307"/>
      <w:bookmarkEnd w:id="308"/>
    </w:p>
    <w:p w14:paraId="58AF1783" w14:textId="77777777" w:rsidR="00976E44" w:rsidRPr="009A59D5" w:rsidRDefault="00976E44" w:rsidP="00976E44">
      <w:pPr>
        <w:pStyle w:val="BodyText1"/>
      </w:pPr>
      <w:r w:rsidRPr="009A59D5">
        <w:t>To calculate EAD for:</w:t>
      </w:r>
    </w:p>
    <w:p w14:paraId="5025DB60" w14:textId="0758C557" w:rsidR="00976E44" w:rsidRPr="009A59D5" w:rsidRDefault="00976E44" w:rsidP="00976E44">
      <w:pPr>
        <w:pStyle w:val="BodyText2"/>
      </w:pPr>
      <w:r w:rsidRPr="009A59D5">
        <w:t>unmargined transactions, app</w:t>
      </w:r>
      <w:r w:rsidR="00B342DD" w:rsidRPr="009A59D5">
        <w:t xml:space="preserve">ly the treatment in paragraphs </w:t>
      </w:r>
      <w:r w:rsidR="00B342DD" w:rsidRPr="009A59D5">
        <w:fldChar w:fldCharType="begin"/>
      </w:r>
      <w:r w:rsidR="00B342DD" w:rsidRPr="009A59D5">
        <w:instrText xml:space="preserve"> REF _Ref460312975 \r \h </w:instrText>
      </w:r>
      <w:r w:rsidR="00365041" w:rsidRPr="009A59D5">
        <w:instrText xml:space="preserve"> \* MERGEFORMAT </w:instrText>
      </w:r>
      <w:r w:rsidR="00B342DD" w:rsidRPr="009A59D5">
        <w:fldChar w:fldCharType="separate"/>
      </w:r>
      <w:r w:rsidR="00B401AE">
        <w:t>4</w:t>
      </w:r>
      <w:r w:rsidR="00B342DD" w:rsidRPr="009A59D5">
        <w:fldChar w:fldCharType="end"/>
      </w:r>
      <w:r w:rsidR="00B342DD" w:rsidRPr="009A59D5">
        <w:t xml:space="preserve"> to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Pr="009A59D5">
        <w:t xml:space="preserve"> of this Attachment;</w:t>
      </w:r>
    </w:p>
    <w:p w14:paraId="575DC319" w14:textId="2888EAC9" w:rsidR="00976E44" w:rsidRPr="009A59D5" w:rsidRDefault="00976E44" w:rsidP="00976E44">
      <w:pPr>
        <w:pStyle w:val="BodyText2"/>
      </w:pPr>
      <w:r w:rsidRPr="009A59D5">
        <w:t>margined transactions where the set of transactions under a margin agreement and within the netting set coincide, app</w:t>
      </w:r>
      <w:r w:rsidR="00B342DD" w:rsidRPr="009A59D5">
        <w:t xml:space="preserve">ly the treatment in paragraphs </w:t>
      </w:r>
      <w:r w:rsidR="00B342DD" w:rsidRPr="009A59D5">
        <w:fldChar w:fldCharType="begin"/>
      </w:r>
      <w:r w:rsidR="00B342DD" w:rsidRPr="009A59D5">
        <w:instrText xml:space="preserve"> REF _Ref460312975 \r \h </w:instrText>
      </w:r>
      <w:r w:rsidR="00365041" w:rsidRPr="009A59D5">
        <w:instrText xml:space="preserve"> \* MERGEFORMAT </w:instrText>
      </w:r>
      <w:r w:rsidR="00B342DD" w:rsidRPr="009A59D5">
        <w:fldChar w:fldCharType="separate"/>
      </w:r>
      <w:r w:rsidR="00B401AE">
        <w:t>4</w:t>
      </w:r>
      <w:r w:rsidR="00B342DD" w:rsidRPr="009A59D5">
        <w:fldChar w:fldCharType="end"/>
      </w:r>
      <w:r w:rsidRPr="009A59D5">
        <w:t xml:space="preserve"> to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Pr="009A59D5">
        <w:t xml:space="preserve"> of this Attachment;</w:t>
      </w:r>
    </w:p>
    <w:p w14:paraId="43126C06" w14:textId="468409F8" w:rsidR="00976E44" w:rsidRPr="009A59D5" w:rsidRDefault="00976E44" w:rsidP="00976E44">
      <w:pPr>
        <w:pStyle w:val="BodyText2"/>
      </w:pPr>
      <w:r w:rsidRPr="009A59D5">
        <w:t xml:space="preserve">margined transactions where the set of transactions under a margin agreement and within the netting set differ, apply the treatment in paragraphs </w:t>
      </w:r>
      <w:r w:rsidR="00B342DD" w:rsidRPr="009A59D5">
        <w:fldChar w:fldCharType="begin"/>
      </w:r>
      <w:r w:rsidR="00B342DD" w:rsidRPr="009A59D5">
        <w:instrText xml:space="preserve"> REF _Ref460313012 \r \h </w:instrText>
      </w:r>
      <w:r w:rsidR="00365041" w:rsidRPr="009A59D5">
        <w:instrText xml:space="preserve"> \* MERGEFORMAT </w:instrText>
      </w:r>
      <w:r w:rsidR="00B342DD" w:rsidRPr="009A59D5">
        <w:fldChar w:fldCharType="separate"/>
      </w:r>
      <w:r w:rsidR="00B401AE">
        <w:t>50</w:t>
      </w:r>
      <w:r w:rsidR="00B342DD" w:rsidRPr="009A59D5">
        <w:fldChar w:fldCharType="end"/>
      </w:r>
      <w:r w:rsidRPr="009A59D5">
        <w:t xml:space="preserve"> to </w:t>
      </w:r>
      <w:r w:rsidR="00B342DD" w:rsidRPr="009A59D5">
        <w:fldChar w:fldCharType="begin"/>
      </w:r>
      <w:r w:rsidR="00B342DD" w:rsidRPr="009A59D5">
        <w:instrText xml:space="preserve"> REF _Ref460313005 \r \h </w:instrText>
      </w:r>
      <w:r w:rsidR="00365041" w:rsidRPr="009A59D5">
        <w:instrText xml:space="preserve"> \* MERGEFORMAT </w:instrText>
      </w:r>
      <w:r w:rsidR="00B342DD" w:rsidRPr="009A59D5">
        <w:fldChar w:fldCharType="separate"/>
      </w:r>
      <w:r w:rsidR="00B401AE">
        <w:t>52</w:t>
      </w:r>
      <w:r w:rsidR="00B342DD" w:rsidRPr="009A59D5">
        <w:fldChar w:fldCharType="end"/>
      </w:r>
      <w:r w:rsidRPr="009A59D5">
        <w:t xml:space="preserve"> of this Attachment</w:t>
      </w:r>
      <w:r w:rsidR="00AE601C" w:rsidRPr="009A59D5">
        <w:t>; and</w:t>
      </w:r>
    </w:p>
    <w:p w14:paraId="18CBA1B4" w14:textId="7AC9EBB7" w:rsidR="00AE601C" w:rsidRPr="009A59D5" w:rsidRDefault="00AE601C" w:rsidP="00976E44">
      <w:pPr>
        <w:pStyle w:val="BodyText2"/>
      </w:pPr>
      <w:r w:rsidRPr="009A59D5">
        <w:t>transactions where eligible collateral</w:t>
      </w:r>
      <w:r w:rsidR="005D4E79" w:rsidRPr="009A59D5">
        <w:t xml:space="preserve"> </w:t>
      </w:r>
      <w:r w:rsidRPr="009A59D5">
        <w:t xml:space="preserve">is taken outside </w:t>
      </w:r>
      <w:r w:rsidR="005D4E79" w:rsidRPr="009A59D5">
        <w:t>of</w:t>
      </w:r>
      <w:r w:rsidRPr="009A59D5">
        <w:t xml:space="preserve"> netting set</w:t>
      </w:r>
      <w:r w:rsidR="005D4E79" w:rsidRPr="009A59D5">
        <w:t>s</w:t>
      </w:r>
      <w:r w:rsidRPr="009A59D5">
        <w:t xml:space="preserve"> but is available to offset</w:t>
      </w:r>
      <w:r w:rsidR="005D4E79" w:rsidRPr="009A59D5">
        <w:t xml:space="preserve"> default </w:t>
      </w:r>
      <w:r w:rsidRPr="009A59D5">
        <w:t>losses, apply the treatment in paragraph</w:t>
      </w:r>
      <w:r w:rsidR="007E73EC" w:rsidRPr="009A59D5">
        <w:t xml:space="preserve"> </w:t>
      </w:r>
      <w:r w:rsidR="007E73EC" w:rsidRPr="009A59D5">
        <w:fldChar w:fldCharType="begin"/>
      </w:r>
      <w:r w:rsidR="007E73EC" w:rsidRPr="009A59D5">
        <w:instrText xml:space="preserve"> REF _Ref506901262 \r \h </w:instrText>
      </w:r>
      <w:r w:rsidR="009A59D5">
        <w:instrText xml:space="preserve"> \* MERGEFORMAT </w:instrText>
      </w:r>
      <w:r w:rsidR="007E73EC" w:rsidRPr="009A59D5">
        <w:fldChar w:fldCharType="separate"/>
      </w:r>
      <w:r w:rsidR="00B401AE">
        <w:t>53</w:t>
      </w:r>
      <w:r w:rsidR="007E73EC" w:rsidRPr="009A59D5">
        <w:fldChar w:fldCharType="end"/>
      </w:r>
      <w:r w:rsidRPr="009A59D5">
        <w:t xml:space="preserve"> of this Attachment.</w:t>
      </w:r>
    </w:p>
    <w:p w14:paraId="34C70922" w14:textId="77777777" w:rsidR="00976E44" w:rsidRPr="009A59D5" w:rsidRDefault="00976E44" w:rsidP="00976E44">
      <w:pPr>
        <w:pStyle w:val="BodyText1"/>
      </w:pPr>
      <w:bookmarkStart w:id="309" w:name="_Ref460312975"/>
      <w:r w:rsidRPr="009A59D5">
        <w:t>The EAD for all derivative transactions with a counterparty must be calculated as the sum of the EAD for each netting set with the counterparty. The EAD for a netting set must be calculated as:</w:t>
      </w:r>
      <w:bookmarkEnd w:id="309"/>
    </w:p>
    <w:p w14:paraId="5AF0FA76" w14:textId="77777777" w:rsidR="00073A75" w:rsidRPr="00751D7D" w:rsidRDefault="00073A75" w:rsidP="00073A75">
      <w:pPr>
        <w:pStyle w:val="BodyText1"/>
        <w:numPr>
          <w:ilvl w:val="0"/>
          <w:numId w:val="0"/>
        </w:numPr>
        <w:ind w:left="1276" w:firstLine="709"/>
      </w:pPr>
      <w:r w:rsidRPr="00073A75">
        <w:rPr>
          <w:noProof/>
        </w:rPr>
        <w:drawing>
          <wp:inline distT="0" distB="0" distL="0" distR="0" wp14:anchorId="29863050" wp14:editId="10463C44">
            <wp:extent cx="2943225" cy="201882"/>
            <wp:effectExtent l="0" t="0" r="0" b="8255"/>
            <wp:docPr id="33" name="Picture 33" descr="Start formula EAD equals 1.4 times open bracket RC plus PFE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tart formula EAD equals 1.4 times open bracket RC plus PFE close bracket end formul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0253" cy="208537"/>
                    </a:xfrm>
                    <a:prstGeom prst="rect">
                      <a:avLst/>
                    </a:prstGeom>
                    <a:noFill/>
                    <a:ln>
                      <a:noFill/>
                    </a:ln>
                  </pic:spPr>
                </pic:pic>
              </a:graphicData>
            </a:graphic>
          </wp:inline>
        </w:drawing>
      </w:r>
    </w:p>
    <w:p w14:paraId="30FD80AB" w14:textId="6787929F" w:rsidR="00976E44" w:rsidRPr="009A59D5" w:rsidRDefault="00976E44" w:rsidP="00976E44">
      <w:pPr>
        <w:pStyle w:val="BodyText1"/>
        <w:numPr>
          <w:ilvl w:val="0"/>
          <w:numId w:val="0"/>
        </w:numPr>
        <w:ind w:left="567"/>
      </w:pPr>
      <w:r w:rsidRPr="009A59D5">
        <w:t xml:space="preserve">where </w:t>
      </w:r>
      <w:r w:rsidR="00FC59C4">
        <w:rPr>
          <w:i/>
        </w:rPr>
        <w:t xml:space="preserve">RC </w:t>
      </w:r>
      <w:r w:rsidRPr="009A59D5">
        <w:t xml:space="preserve">is the replacement cost (refer to paragraphs </w:t>
      </w:r>
      <w:r w:rsidR="00B342DD" w:rsidRPr="009A59D5">
        <w:fldChar w:fldCharType="begin"/>
      </w:r>
      <w:r w:rsidR="00B342DD" w:rsidRPr="009A59D5">
        <w:instrText xml:space="preserve"> REF _Ref460313095 \r \h </w:instrText>
      </w:r>
      <w:r w:rsidR="00365041" w:rsidRPr="009A59D5">
        <w:instrText xml:space="preserve"> \* MERGEFORMAT </w:instrText>
      </w:r>
      <w:r w:rsidR="00B342DD" w:rsidRPr="009A59D5">
        <w:fldChar w:fldCharType="separate"/>
      </w:r>
      <w:r w:rsidR="00B401AE">
        <w:t>8</w:t>
      </w:r>
      <w:r w:rsidR="00B342DD" w:rsidRPr="009A59D5">
        <w:fldChar w:fldCharType="end"/>
      </w:r>
      <w:r w:rsidRPr="009A59D5">
        <w:t xml:space="preserve"> to </w:t>
      </w:r>
      <w:r w:rsidR="00B342DD" w:rsidRPr="009A59D5">
        <w:fldChar w:fldCharType="begin"/>
      </w:r>
      <w:r w:rsidR="00B342DD" w:rsidRPr="009A59D5">
        <w:instrText xml:space="preserve"> REF _Ref460313101 \r \h </w:instrText>
      </w:r>
      <w:r w:rsidR="00365041" w:rsidRPr="009A59D5">
        <w:instrText xml:space="preserve"> \* MERGEFORMAT </w:instrText>
      </w:r>
      <w:r w:rsidR="00B342DD" w:rsidRPr="009A59D5">
        <w:fldChar w:fldCharType="separate"/>
      </w:r>
      <w:r w:rsidR="00B401AE">
        <w:t>10</w:t>
      </w:r>
      <w:r w:rsidR="00B342DD" w:rsidRPr="009A59D5">
        <w:fldChar w:fldCharType="end"/>
      </w:r>
      <w:r w:rsidRPr="009A59D5">
        <w:t xml:space="preserve"> of this Attachment) and </w:t>
      </w:r>
      <w:r w:rsidR="00FC59C4">
        <w:rPr>
          <w:i/>
        </w:rPr>
        <w:t xml:space="preserve">PFE </w:t>
      </w:r>
      <w:r w:rsidRPr="009A59D5">
        <w:t xml:space="preserve">is the potential future exposure (refer to paragraphs </w:t>
      </w:r>
      <w:r w:rsidR="00B342DD" w:rsidRPr="009A59D5">
        <w:fldChar w:fldCharType="begin"/>
      </w:r>
      <w:r w:rsidR="00B342DD" w:rsidRPr="009A59D5">
        <w:instrText xml:space="preserve"> REF _Ref460313107 \r \h </w:instrText>
      </w:r>
      <w:r w:rsidR="00365041" w:rsidRPr="009A59D5">
        <w:instrText xml:space="preserve"> \* MERGEFORMAT </w:instrText>
      </w:r>
      <w:r w:rsidR="00B342DD" w:rsidRPr="009A59D5">
        <w:fldChar w:fldCharType="separate"/>
      </w:r>
      <w:r w:rsidR="00B401AE">
        <w:t>12</w:t>
      </w:r>
      <w:r w:rsidR="00B342DD" w:rsidRPr="009A59D5">
        <w:fldChar w:fldCharType="end"/>
      </w:r>
      <w:r w:rsidRPr="009A59D5">
        <w:t xml:space="preserve"> to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Pr="009A59D5">
        <w:t xml:space="preserve"> of this Attachment).</w:t>
      </w:r>
    </w:p>
    <w:p w14:paraId="083DE330" w14:textId="39D8C42B" w:rsidR="00976E44" w:rsidRPr="009A59D5" w:rsidRDefault="00C06078" w:rsidP="00976E44">
      <w:pPr>
        <w:pStyle w:val="BodyText1"/>
      </w:pPr>
      <w:r w:rsidRPr="009A59D5">
        <w:t>B</w:t>
      </w:r>
      <w:r w:rsidR="00976E44" w:rsidRPr="009A59D5">
        <w:t xml:space="preserve">ilateral transactions must be treated as margined where a transaction is subject to exchange of variation margin. Bilateral transactions with a one-way margining </w:t>
      </w:r>
      <w:r w:rsidR="00976E44" w:rsidRPr="009A59D5">
        <w:lastRenderedPageBreak/>
        <w:t>agreement in favour of an ADI’s counterparty (that is, where an ADI posts, but does not collect, variation margin) must be treated as unmargined transactions.</w:t>
      </w:r>
      <w:r w:rsidR="00487B74" w:rsidRPr="009A59D5">
        <w:t xml:space="preserve"> </w:t>
      </w:r>
      <w:r w:rsidR="00124E27" w:rsidRPr="009A59D5">
        <w:t xml:space="preserve">Centrally cleared transactions </w:t>
      </w:r>
      <w:r w:rsidR="006A7729" w:rsidRPr="009A59D5">
        <w:t>must be</w:t>
      </w:r>
      <w:r w:rsidR="00124E27" w:rsidRPr="009A59D5">
        <w:t xml:space="preserve"> treated as either margined or unmargined transactions in accordance with the treatment adopted under paragraph </w:t>
      </w:r>
      <w:r w:rsidR="003E2D59" w:rsidRPr="009A59D5">
        <w:fldChar w:fldCharType="begin"/>
      </w:r>
      <w:r w:rsidR="003E2D59" w:rsidRPr="009A59D5">
        <w:instrText xml:space="preserve"> REF _Ref508955052 \r \h </w:instrText>
      </w:r>
      <w:r w:rsidR="009A59D5">
        <w:instrText xml:space="preserve"> \* MERGEFORMAT </w:instrText>
      </w:r>
      <w:r w:rsidR="003E2D59" w:rsidRPr="009A59D5">
        <w:fldChar w:fldCharType="separate"/>
      </w:r>
      <w:r w:rsidR="00B401AE">
        <w:t>6</w:t>
      </w:r>
      <w:r w:rsidR="003E2D59" w:rsidRPr="009A59D5">
        <w:fldChar w:fldCharType="end"/>
      </w:r>
      <w:r w:rsidR="00124E27" w:rsidRPr="009A59D5">
        <w:t xml:space="preserve"> of Attachment B</w:t>
      </w:r>
      <w:r w:rsidR="000D76F8" w:rsidRPr="009A59D5">
        <w:t xml:space="preserve"> of this Prudential Standard</w:t>
      </w:r>
      <w:r w:rsidR="00124E27" w:rsidRPr="009A59D5">
        <w:t>.</w:t>
      </w:r>
    </w:p>
    <w:p w14:paraId="392E740C" w14:textId="77777777" w:rsidR="00631337" w:rsidRPr="009A59D5" w:rsidRDefault="00976E44" w:rsidP="00656B77">
      <w:pPr>
        <w:pStyle w:val="BodyText1"/>
      </w:pPr>
      <w:r w:rsidRPr="009A59D5">
        <w:t>The maximum EAD for a margined netting set is the EAD of the same netting set calculated as if it were unmargined.</w:t>
      </w:r>
    </w:p>
    <w:p w14:paraId="397A5596" w14:textId="77777777" w:rsidR="0044243A" w:rsidRPr="009A59D5" w:rsidRDefault="00083DF1" w:rsidP="00656B77">
      <w:pPr>
        <w:pStyle w:val="BodyText1"/>
      </w:pPr>
      <w:r w:rsidRPr="009A59D5">
        <w:t>An ADI may set EAD to zero f</w:t>
      </w:r>
      <w:r w:rsidR="005E4660" w:rsidRPr="009A59D5">
        <w:t>or</w:t>
      </w:r>
      <w:r w:rsidR="00C97202" w:rsidRPr="009A59D5">
        <w:t xml:space="preserve"> </w:t>
      </w:r>
      <w:r w:rsidR="005E4660" w:rsidRPr="009A59D5">
        <w:t>sold options</w:t>
      </w:r>
      <w:r w:rsidR="0044243A" w:rsidRPr="009A59D5">
        <w:t xml:space="preserve"> that</w:t>
      </w:r>
      <w:r w:rsidR="005E4660" w:rsidRPr="009A59D5">
        <w:t xml:space="preserve"> are</w:t>
      </w:r>
      <w:r w:rsidR="0044243A" w:rsidRPr="009A59D5">
        <w:t>:</w:t>
      </w:r>
    </w:p>
    <w:p w14:paraId="217DC205" w14:textId="77777777" w:rsidR="0044243A" w:rsidRPr="009A59D5" w:rsidRDefault="005E4660" w:rsidP="00656B77">
      <w:pPr>
        <w:pStyle w:val="BodyText2"/>
      </w:pPr>
      <w:r w:rsidRPr="009A59D5">
        <w:t xml:space="preserve"> not in any netting or margining agreements</w:t>
      </w:r>
      <w:r w:rsidR="0044243A" w:rsidRPr="009A59D5">
        <w:t>; or</w:t>
      </w:r>
    </w:p>
    <w:p w14:paraId="210846C8" w14:textId="0B778DAE" w:rsidR="0044243A" w:rsidRPr="009A59D5" w:rsidRDefault="0044243A" w:rsidP="00656B77">
      <w:pPr>
        <w:pStyle w:val="BodyText2"/>
      </w:pPr>
      <w:r w:rsidRPr="009A59D5">
        <w:t>the only</w:t>
      </w:r>
      <w:r w:rsidR="00656B77" w:rsidRPr="009A59D5">
        <w:t xml:space="preserve"> types of </w:t>
      </w:r>
      <w:r w:rsidRPr="009A59D5">
        <w:t>exposures in a netting set,</w:t>
      </w:r>
    </w:p>
    <w:p w14:paraId="117B0CF8" w14:textId="58842551" w:rsidR="00DC5F87" w:rsidRPr="009A59D5" w:rsidRDefault="004801AD" w:rsidP="00DC5F87">
      <w:pPr>
        <w:pStyle w:val="BodyText2"/>
        <w:numPr>
          <w:ilvl w:val="0"/>
          <w:numId w:val="0"/>
        </w:numPr>
        <w:ind w:left="567"/>
      </w:pPr>
      <w:r w:rsidRPr="009A59D5">
        <w:t xml:space="preserve">where </w:t>
      </w:r>
      <w:r w:rsidR="005E4660" w:rsidRPr="009A59D5">
        <w:t>all premiums</w:t>
      </w:r>
      <w:r w:rsidR="00083DF1" w:rsidRPr="009A59D5">
        <w:t xml:space="preserve"> have been paid upfront</w:t>
      </w:r>
      <w:r w:rsidR="005E4660" w:rsidRPr="009A59D5">
        <w:t>.</w:t>
      </w:r>
    </w:p>
    <w:p w14:paraId="68F4AE42" w14:textId="77777777" w:rsidR="00976E44" w:rsidRPr="009A59D5" w:rsidRDefault="00976E44" w:rsidP="00405B60">
      <w:pPr>
        <w:pStyle w:val="AttachmentSubheading"/>
      </w:pPr>
      <w:bookmarkStart w:id="310" w:name="_Toc460331443"/>
      <w:bookmarkStart w:id="311" w:name="_Toc461692107"/>
      <w:bookmarkStart w:id="312" w:name="_Toc487712235"/>
      <w:bookmarkStart w:id="313" w:name="_Toc488397536"/>
      <w:bookmarkStart w:id="314" w:name="_Toc488398096"/>
      <w:bookmarkStart w:id="315" w:name="_Toc489463933"/>
      <w:bookmarkStart w:id="316" w:name="_Toc507406226"/>
      <w:bookmarkStart w:id="317" w:name="_Toc507406298"/>
      <w:bookmarkStart w:id="318" w:name="_Toc507406411"/>
      <w:bookmarkStart w:id="319" w:name="_Toc507406470"/>
      <w:bookmarkStart w:id="320" w:name="_Toc507406579"/>
      <w:r w:rsidRPr="009A59D5">
        <w:t>Replacement cost (RC)</w:t>
      </w:r>
      <w:bookmarkEnd w:id="310"/>
      <w:bookmarkEnd w:id="311"/>
      <w:bookmarkEnd w:id="312"/>
      <w:bookmarkEnd w:id="313"/>
      <w:bookmarkEnd w:id="314"/>
      <w:bookmarkEnd w:id="315"/>
      <w:bookmarkEnd w:id="316"/>
      <w:bookmarkEnd w:id="317"/>
      <w:bookmarkEnd w:id="318"/>
      <w:bookmarkEnd w:id="319"/>
      <w:bookmarkEnd w:id="320"/>
    </w:p>
    <w:p w14:paraId="0DCE0FC4" w14:textId="77777777" w:rsidR="00976E44" w:rsidRPr="009A59D5" w:rsidRDefault="00976E44" w:rsidP="00976E44">
      <w:pPr>
        <w:pStyle w:val="BodyText1"/>
      </w:pPr>
      <w:bookmarkStart w:id="321" w:name="_Ref460313095"/>
      <w:r w:rsidRPr="009A59D5">
        <w:t>The RC must be calculated for each netting set according to:</w:t>
      </w:r>
      <w:bookmarkEnd w:id="321"/>
    </w:p>
    <w:p w14:paraId="353F9A5C" w14:textId="7A740E37" w:rsidR="00976E44" w:rsidRPr="009A59D5" w:rsidRDefault="00976E44" w:rsidP="00976E44">
      <w:pPr>
        <w:pStyle w:val="BodyText2"/>
      </w:pPr>
      <w:r w:rsidRPr="009A59D5">
        <w:t xml:space="preserve">paragraph </w:t>
      </w:r>
      <w:r w:rsidR="00B342DD" w:rsidRPr="009A59D5">
        <w:fldChar w:fldCharType="begin"/>
      </w:r>
      <w:r w:rsidR="00B342DD" w:rsidRPr="009A59D5">
        <w:instrText xml:space="preserve"> REF _Ref460313132 \r \h </w:instrText>
      </w:r>
      <w:r w:rsidR="00365041" w:rsidRPr="009A59D5">
        <w:instrText xml:space="preserve"> \* MERGEFORMAT </w:instrText>
      </w:r>
      <w:r w:rsidR="00B342DD" w:rsidRPr="009A59D5">
        <w:fldChar w:fldCharType="separate"/>
      </w:r>
      <w:r w:rsidR="00B401AE">
        <w:t>9</w:t>
      </w:r>
      <w:r w:rsidR="00B342DD" w:rsidRPr="009A59D5">
        <w:fldChar w:fldCharType="end"/>
      </w:r>
      <w:r w:rsidRPr="009A59D5">
        <w:t xml:space="preserve"> for a netting set of unmargined transactions; or</w:t>
      </w:r>
    </w:p>
    <w:p w14:paraId="64119230" w14:textId="5B388611" w:rsidR="00976E44" w:rsidRPr="009A59D5" w:rsidRDefault="00976E44" w:rsidP="00976E44">
      <w:pPr>
        <w:pStyle w:val="BodyText2"/>
      </w:pPr>
      <w:r w:rsidRPr="009A59D5">
        <w:t xml:space="preserve">paragraph </w:t>
      </w:r>
      <w:r w:rsidR="00B342DD" w:rsidRPr="009A59D5">
        <w:fldChar w:fldCharType="begin"/>
      </w:r>
      <w:r w:rsidR="00B342DD" w:rsidRPr="009A59D5">
        <w:instrText xml:space="preserve"> REF _Ref460313101 \r \h </w:instrText>
      </w:r>
      <w:r w:rsidR="00365041" w:rsidRPr="009A59D5">
        <w:instrText xml:space="preserve"> \* MERGEFORMAT </w:instrText>
      </w:r>
      <w:r w:rsidR="00B342DD" w:rsidRPr="009A59D5">
        <w:fldChar w:fldCharType="separate"/>
      </w:r>
      <w:r w:rsidR="00B401AE">
        <w:t>10</w:t>
      </w:r>
      <w:r w:rsidR="00B342DD" w:rsidRPr="009A59D5">
        <w:fldChar w:fldCharType="end"/>
      </w:r>
      <w:r w:rsidRPr="009A59D5">
        <w:t xml:space="preserve"> for a netting set of margined transactions.</w:t>
      </w:r>
    </w:p>
    <w:p w14:paraId="11222251" w14:textId="77777777" w:rsidR="00976E44" w:rsidRPr="009A59D5" w:rsidRDefault="00976E44" w:rsidP="00976E44">
      <w:pPr>
        <w:pStyle w:val="Heading3"/>
      </w:pPr>
      <w:bookmarkStart w:id="322" w:name="_Toc460331444"/>
      <w:bookmarkStart w:id="323" w:name="_Toc461692108"/>
      <w:bookmarkStart w:id="324" w:name="_Toc487712236"/>
      <w:bookmarkStart w:id="325" w:name="_Toc488397537"/>
      <w:bookmarkStart w:id="326" w:name="_Toc488398097"/>
      <w:bookmarkStart w:id="327" w:name="_Toc489463934"/>
      <w:bookmarkStart w:id="328" w:name="_Toc507406227"/>
      <w:bookmarkStart w:id="329" w:name="_Toc507406299"/>
      <w:bookmarkStart w:id="330" w:name="_Toc507406412"/>
      <w:r w:rsidRPr="009A59D5">
        <w:t>RC for an unmargined netting set</w:t>
      </w:r>
      <w:bookmarkEnd w:id="322"/>
      <w:bookmarkEnd w:id="323"/>
      <w:bookmarkEnd w:id="324"/>
      <w:bookmarkEnd w:id="325"/>
      <w:bookmarkEnd w:id="326"/>
      <w:bookmarkEnd w:id="327"/>
      <w:bookmarkEnd w:id="328"/>
      <w:bookmarkEnd w:id="329"/>
      <w:bookmarkEnd w:id="330"/>
    </w:p>
    <w:p w14:paraId="658B3FF6" w14:textId="77777777" w:rsidR="00976E44" w:rsidRPr="009A59D5" w:rsidRDefault="00976E44" w:rsidP="00976E44">
      <w:pPr>
        <w:pStyle w:val="BodyText1"/>
      </w:pPr>
      <w:bookmarkStart w:id="331" w:name="_Ref460313132"/>
      <w:r w:rsidRPr="009A59D5">
        <w:t>For an unmargined netting set, the RC must be calculated as:</w:t>
      </w:r>
      <w:bookmarkEnd w:id="331"/>
    </w:p>
    <w:p w14:paraId="16A2B376" w14:textId="4A9E53B2" w:rsidR="00100677" w:rsidRDefault="00100677" w:rsidP="00100677">
      <w:pPr>
        <w:pStyle w:val="BodyText1"/>
        <w:numPr>
          <w:ilvl w:val="0"/>
          <w:numId w:val="0"/>
        </w:numPr>
        <w:ind w:left="2268"/>
      </w:pPr>
      <w:r w:rsidRPr="00100677">
        <w:rPr>
          <w:noProof/>
        </w:rPr>
        <w:drawing>
          <wp:inline distT="0" distB="0" distL="0" distR="0" wp14:anchorId="7F57C3FE" wp14:editId="5AA03FB4">
            <wp:extent cx="2905125" cy="183493"/>
            <wp:effectExtent l="0" t="0" r="0" b="7620"/>
            <wp:docPr id="34" name="Picture 34" descr="Start formula RC equals maximum open curly bracket V minus C subscript H open round bracket 1 year close round bracket, 0 close curly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tart formula RC equals maximum open curly bracket V minus C subscript H open round bracket 1 year close round bracket, 0 close curly bracket end formul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5410" cy="189827"/>
                    </a:xfrm>
                    <a:prstGeom prst="rect">
                      <a:avLst/>
                    </a:prstGeom>
                    <a:noFill/>
                    <a:ln>
                      <a:noFill/>
                    </a:ln>
                  </pic:spPr>
                </pic:pic>
              </a:graphicData>
            </a:graphic>
          </wp:inline>
        </w:drawing>
      </w:r>
    </w:p>
    <w:p w14:paraId="67DAA144" w14:textId="77777777" w:rsidR="00976E44" w:rsidRPr="009A59D5" w:rsidRDefault="00976E44" w:rsidP="0076117A">
      <w:pPr>
        <w:pStyle w:val="BodyText1"/>
        <w:numPr>
          <w:ilvl w:val="0"/>
          <w:numId w:val="0"/>
        </w:numPr>
        <w:ind w:left="567"/>
      </w:pPr>
      <w:r w:rsidRPr="009A59D5">
        <w:t>where:</w:t>
      </w:r>
    </w:p>
    <w:p w14:paraId="4969A0DE" w14:textId="3C130E9D" w:rsidR="00976E44" w:rsidRPr="009A59D5" w:rsidRDefault="00FC59C4" w:rsidP="0076117A">
      <w:pPr>
        <w:pStyle w:val="BodyText1"/>
        <w:numPr>
          <w:ilvl w:val="0"/>
          <w:numId w:val="0"/>
        </w:numPr>
        <w:ind w:left="567"/>
      </w:pPr>
      <w:r>
        <w:rPr>
          <w:i/>
        </w:rPr>
        <w:t>V</w:t>
      </w:r>
      <w:r>
        <w:t xml:space="preserve"> = </w:t>
      </w:r>
      <w:r w:rsidR="00976E44" w:rsidRPr="009A59D5">
        <w:t>the total current market value of all the derivative transactions within the netting set; and</w:t>
      </w:r>
    </w:p>
    <w:p w14:paraId="744D4574" w14:textId="0DB6C804" w:rsidR="00976E44" w:rsidRPr="009A59D5" w:rsidRDefault="00FC59C4" w:rsidP="0076117A">
      <w:pPr>
        <w:pStyle w:val="BodyText1"/>
        <w:numPr>
          <w:ilvl w:val="0"/>
          <w:numId w:val="0"/>
        </w:numPr>
        <w:ind w:left="567"/>
      </w:pPr>
      <w:r w:rsidRPr="00FC59C4">
        <w:rPr>
          <w:i/>
        </w:rPr>
        <w:t>C</w:t>
      </w:r>
      <w:r>
        <w:rPr>
          <w:i/>
          <w:vertAlign w:val="subscript"/>
        </w:rPr>
        <w:t xml:space="preserve">H </w:t>
      </w:r>
      <w:r>
        <w:t xml:space="preserve">(1 year) = </w:t>
      </w:r>
      <w:r w:rsidR="00976E44" w:rsidRPr="009A59D5">
        <w:t>the haircut value of net collateral held by the ADI calculated</w:t>
      </w:r>
      <w:r w:rsidR="004C6D01" w:rsidRPr="009A59D5">
        <w:t xml:space="preserve"> in accordance with</w:t>
      </w:r>
      <w:r w:rsidR="00976E44" w:rsidRPr="009A59D5">
        <w:t xml:space="preserve"> paragraph </w:t>
      </w:r>
      <w:r w:rsidR="004C6D01" w:rsidRPr="009A59D5">
        <w:fldChar w:fldCharType="begin"/>
      </w:r>
      <w:r w:rsidR="004C6D01" w:rsidRPr="009A59D5">
        <w:instrText xml:space="preserve"> REF _Ref483486577 \r \h </w:instrText>
      </w:r>
      <w:r w:rsidR="00365041" w:rsidRPr="009A59D5">
        <w:instrText xml:space="preserve"> \* MERGEFORMAT </w:instrText>
      </w:r>
      <w:r w:rsidR="004C6D01" w:rsidRPr="009A59D5">
        <w:fldChar w:fldCharType="separate"/>
      </w:r>
      <w:r w:rsidR="00B401AE">
        <w:t>11</w:t>
      </w:r>
      <w:r w:rsidR="004C6D01" w:rsidRPr="009A59D5">
        <w:fldChar w:fldCharType="end"/>
      </w:r>
      <w:r w:rsidR="00976E44" w:rsidRPr="009A59D5">
        <w:t xml:space="preserve"> of </w:t>
      </w:r>
      <w:r w:rsidR="004C6D01" w:rsidRPr="009A59D5">
        <w:t xml:space="preserve">this </w:t>
      </w:r>
      <w:r w:rsidR="00976E44" w:rsidRPr="009A59D5">
        <w:t>Attachment</w:t>
      </w:r>
      <w:r w:rsidR="004C6D01" w:rsidRPr="009A59D5">
        <w:t>,</w:t>
      </w:r>
      <w:r w:rsidR="00976E44" w:rsidRPr="009A59D5">
        <w:t xml:space="preserve"> with a holding period of one year.</w:t>
      </w:r>
    </w:p>
    <w:p w14:paraId="536E670E" w14:textId="17799C18" w:rsidR="00976E44" w:rsidRPr="009A59D5" w:rsidRDefault="00976E44" w:rsidP="00976E44">
      <w:pPr>
        <w:pStyle w:val="Heading3"/>
      </w:pPr>
      <w:bookmarkStart w:id="332" w:name="_Toc460331445"/>
      <w:bookmarkStart w:id="333" w:name="_Toc461692109"/>
      <w:bookmarkStart w:id="334" w:name="_Toc487712237"/>
      <w:bookmarkStart w:id="335" w:name="_Toc488397538"/>
      <w:bookmarkStart w:id="336" w:name="_Toc488398098"/>
      <w:bookmarkStart w:id="337" w:name="_Toc489463935"/>
      <w:bookmarkStart w:id="338" w:name="_Toc507406228"/>
      <w:bookmarkStart w:id="339" w:name="_Toc507406300"/>
      <w:bookmarkStart w:id="340" w:name="_Toc507406413"/>
      <w:r w:rsidRPr="009A59D5">
        <w:t>RC for a margined netting set</w:t>
      </w:r>
      <w:bookmarkEnd w:id="332"/>
      <w:bookmarkEnd w:id="333"/>
      <w:bookmarkEnd w:id="334"/>
      <w:bookmarkEnd w:id="335"/>
      <w:bookmarkEnd w:id="336"/>
      <w:bookmarkEnd w:id="337"/>
      <w:bookmarkEnd w:id="338"/>
      <w:bookmarkEnd w:id="339"/>
      <w:bookmarkEnd w:id="340"/>
    </w:p>
    <w:p w14:paraId="4D745DED" w14:textId="2F661019" w:rsidR="00976E44" w:rsidRPr="009A59D5" w:rsidRDefault="00976E44" w:rsidP="00976E44">
      <w:pPr>
        <w:pStyle w:val="BodyText1"/>
      </w:pPr>
      <w:bookmarkStart w:id="341" w:name="_Ref460313101"/>
      <w:r w:rsidRPr="009A59D5">
        <w:t>For a margined netting set, the RC must be calculated as:</w:t>
      </w:r>
      <w:bookmarkEnd w:id="341"/>
    </w:p>
    <w:p w14:paraId="130BA30F" w14:textId="4D8DAB2B" w:rsidR="004C77C3" w:rsidRDefault="004C77C3" w:rsidP="0076117A">
      <w:pPr>
        <w:pStyle w:val="BodyText1"/>
        <w:numPr>
          <w:ilvl w:val="0"/>
          <w:numId w:val="0"/>
        </w:numPr>
        <w:ind w:left="567"/>
      </w:pPr>
      <w:r w:rsidRPr="008A2C79">
        <w:rPr>
          <w:noProof/>
        </w:rPr>
        <w:drawing>
          <wp:inline distT="0" distB="0" distL="0" distR="0" wp14:anchorId="4EEC7ADE" wp14:editId="5B3240BB">
            <wp:extent cx="5278120" cy="332620"/>
            <wp:effectExtent l="0" t="0" r="0" b="0"/>
            <wp:docPr id="36" name="Picture 36" descr="Start formula RC equals maximum open curly bracket V minus C subscript H open round bracket MPOR close round bracket, TH plus MTA minus NICA, 0 close curly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tart formula RC equals maximum open curly bracket V minus C subscript H open round bracket MPOR close round bracket, TH plus MTA minus NICA, 0 close curly bracket end formu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120" cy="332620"/>
                    </a:xfrm>
                    <a:prstGeom prst="rect">
                      <a:avLst/>
                    </a:prstGeom>
                    <a:noFill/>
                    <a:ln>
                      <a:noFill/>
                    </a:ln>
                  </pic:spPr>
                </pic:pic>
              </a:graphicData>
            </a:graphic>
          </wp:inline>
        </w:drawing>
      </w:r>
    </w:p>
    <w:p w14:paraId="445D44F5" w14:textId="77777777" w:rsidR="0076117A" w:rsidRPr="009A59D5" w:rsidRDefault="0076117A" w:rsidP="0076117A">
      <w:pPr>
        <w:pStyle w:val="BodyText1"/>
        <w:numPr>
          <w:ilvl w:val="0"/>
          <w:numId w:val="0"/>
        </w:numPr>
        <w:ind w:left="567"/>
      </w:pPr>
      <w:r w:rsidRPr="009A59D5">
        <w:t>where:</w:t>
      </w:r>
    </w:p>
    <w:p w14:paraId="492B393B" w14:textId="2C85B1F4" w:rsidR="0076117A" w:rsidRPr="009A59D5" w:rsidRDefault="00FC59C4" w:rsidP="0076117A">
      <w:pPr>
        <w:pStyle w:val="BodyText1"/>
        <w:numPr>
          <w:ilvl w:val="0"/>
          <w:numId w:val="0"/>
        </w:numPr>
        <w:ind w:left="567"/>
      </w:pPr>
      <w:r>
        <w:rPr>
          <w:i/>
        </w:rPr>
        <w:t xml:space="preserve">V </w:t>
      </w:r>
      <w:r>
        <w:t xml:space="preserve">= </w:t>
      </w:r>
      <w:r w:rsidR="0076117A" w:rsidRPr="009A59D5">
        <w:t xml:space="preserve">the total current market value of all the derivative transactions within the netting </w:t>
      </w:r>
      <w:proofErr w:type="gramStart"/>
      <w:r w:rsidR="0076117A" w:rsidRPr="009A59D5">
        <w:t>set;</w:t>
      </w:r>
      <w:proofErr w:type="gramEnd"/>
    </w:p>
    <w:p w14:paraId="1A3F5830" w14:textId="56EDFAD4" w:rsidR="0076117A" w:rsidRPr="009A59D5" w:rsidRDefault="00FC59C4" w:rsidP="0076117A">
      <w:pPr>
        <w:pStyle w:val="BodyText1"/>
        <w:numPr>
          <w:ilvl w:val="0"/>
          <w:numId w:val="0"/>
        </w:numPr>
        <w:ind w:left="567"/>
      </w:pPr>
      <w:r>
        <w:rPr>
          <w:i/>
        </w:rPr>
        <w:lastRenderedPageBreak/>
        <w:t xml:space="preserve">MPOR = </w:t>
      </w:r>
      <w:r w:rsidR="0076117A" w:rsidRPr="009A59D5">
        <w:t xml:space="preserve">the margin period of risk as defined in paragraph </w:t>
      </w:r>
      <w:r w:rsidR="00B342DD" w:rsidRPr="009A59D5">
        <w:fldChar w:fldCharType="begin"/>
      </w:r>
      <w:r w:rsidR="00B342DD" w:rsidRPr="009A59D5">
        <w:instrText xml:space="preserve"> REF _Ref460313165 \r \h </w:instrText>
      </w:r>
      <w:r w:rsidR="00365041" w:rsidRPr="009A59D5">
        <w:instrText xml:space="preserve"> \* MERGEFORMAT </w:instrText>
      </w:r>
      <w:r w:rsidR="00B342DD" w:rsidRPr="009A59D5">
        <w:fldChar w:fldCharType="separate"/>
      </w:r>
      <w:r w:rsidR="00B401AE">
        <w:t>8(o)</w:t>
      </w:r>
      <w:r w:rsidR="00B342DD" w:rsidRPr="009A59D5">
        <w:fldChar w:fldCharType="end"/>
      </w:r>
      <w:r w:rsidR="0076117A" w:rsidRPr="009A59D5">
        <w:t xml:space="preserve"> of this Prudential </w:t>
      </w:r>
      <w:proofErr w:type="gramStart"/>
      <w:r w:rsidR="0076117A" w:rsidRPr="009A59D5">
        <w:t>Standard;</w:t>
      </w:r>
      <w:proofErr w:type="gramEnd"/>
    </w:p>
    <w:p w14:paraId="0B26F56B" w14:textId="159DCC91" w:rsidR="0076117A" w:rsidRPr="009A59D5" w:rsidRDefault="00FC59C4" w:rsidP="0076117A">
      <w:pPr>
        <w:pStyle w:val="BodyText1"/>
        <w:numPr>
          <w:ilvl w:val="0"/>
          <w:numId w:val="0"/>
        </w:numPr>
        <w:ind w:left="567"/>
      </w:pPr>
      <w:r>
        <w:rPr>
          <w:i/>
        </w:rPr>
        <w:t>C</w:t>
      </w:r>
      <w:r>
        <w:rPr>
          <w:i/>
          <w:vertAlign w:val="subscript"/>
        </w:rPr>
        <w:t>H</w:t>
      </w:r>
      <w:r>
        <w:rPr>
          <w:i/>
        </w:rPr>
        <w:t xml:space="preserve">(MPOR) </w:t>
      </w:r>
      <w:r>
        <w:t xml:space="preserve">= </w:t>
      </w:r>
      <w:r w:rsidR="0076117A" w:rsidRPr="009A59D5">
        <w:t xml:space="preserve">the haircut value of net collateral held by the ADI calculated </w:t>
      </w:r>
      <w:r w:rsidR="004C6D01" w:rsidRPr="009A59D5">
        <w:t>in accordance with</w:t>
      </w:r>
      <w:r w:rsidR="0076117A" w:rsidRPr="009A59D5">
        <w:t xml:space="preserve"> paragraph </w:t>
      </w:r>
      <w:r w:rsidR="004C6D01" w:rsidRPr="009A59D5">
        <w:fldChar w:fldCharType="begin"/>
      </w:r>
      <w:r w:rsidR="004C6D01" w:rsidRPr="009A59D5">
        <w:instrText xml:space="preserve"> REF _Ref483486577 \r \h </w:instrText>
      </w:r>
      <w:r w:rsidR="00365041" w:rsidRPr="009A59D5">
        <w:instrText xml:space="preserve"> \* MERGEFORMAT </w:instrText>
      </w:r>
      <w:r w:rsidR="004C6D01" w:rsidRPr="009A59D5">
        <w:fldChar w:fldCharType="separate"/>
      </w:r>
      <w:r w:rsidR="00B401AE">
        <w:t>11</w:t>
      </w:r>
      <w:r w:rsidR="004C6D01" w:rsidRPr="009A59D5">
        <w:fldChar w:fldCharType="end"/>
      </w:r>
      <w:r w:rsidR="0076117A" w:rsidRPr="009A59D5">
        <w:t xml:space="preserve"> of </w:t>
      </w:r>
      <w:r w:rsidR="004C6D01" w:rsidRPr="009A59D5">
        <w:t xml:space="preserve">this </w:t>
      </w:r>
      <w:r w:rsidR="0076117A" w:rsidRPr="009A59D5">
        <w:t>Attachment</w:t>
      </w:r>
      <w:r w:rsidR="004C6D01" w:rsidRPr="009A59D5">
        <w:t>,</w:t>
      </w:r>
      <w:r w:rsidR="0076117A" w:rsidRPr="009A59D5">
        <w:t xml:space="preserve"> with a holding period equal to the </w:t>
      </w:r>
      <w:proofErr w:type="gramStart"/>
      <w:r w:rsidR="00646793">
        <w:rPr>
          <w:i/>
        </w:rPr>
        <w:t>MPOR</w:t>
      </w:r>
      <w:r w:rsidR="0076117A" w:rsidRPr="009A59D5">
        <w:t>;</w:t>
      </w:r>
      <w:proofErr w:type="gramEnd"/>
    </w:p>
    <w:p w14:paraId="70A1C463" w14:textId="37EF7370" w:rsidR="0076117A" w:rsidRPr="009A59D5" w:rsidRDefault="00FC59C4" w:rsidP="0076117A">
      <w:pPr>
        <w:pStyle w:val="BodyText1"/>
        <w:numPr>
          <w:ilvl w:val="0"/>
          <w:numId w:val="0"/>
        </w:numPr>
        <w:ind w:left="567"/>
      </w:pPr>
      <w:r>
        <w:rPr>
          <w:i/>
        </w:rPr>
        <w:t xml:space="preserve">TH = </w:t>
      </w:r>
      <w:r w:rsidR="0076117A" w:rsidRPr="009A59D5">
        <w:t xml:space="preserve">the positive threshold above which the counterparty must send the ADI collateral as specified in the margin </w:t>
      </w:r>
      <w:proofErr w:type="gramStart"/>
      <w:r w:rsidR="0076117A" w:rsidRPr="009A59D5">
        <w:t>agreement;</w:t>
      </w:r>
      <w:proofErr w:type="gramEnd"/>
    </w:p>
    <w:p w14:paraId="08F804DA" w14:textId="3CD94AA2" w:rsidR="0076117A" w:rsidRPr="009A59D5" w:rsidRDefault="00FC59C4" w:rsidP="0076117A">
      <w:pPr>
        <w:pStyle w:val="BodyText1"/>
        <w:numPr>
          <w:ilvl w:val="0"/>
          <w:numId w:val="0"/>
        </w:numPr>
        <w:ind w:left="567"/>
      </w:pPr>
      <w:r>
        <w:rPr>
          <w:i/>
        </w:rPr>
        <w:t xml:space="preserve">MTA = </w:t>
      </w:r>
      <w:r w:rsidR="0076117A" w:rsidRPr="009A59D5">
        <w:t>the minimum transfer amount applicable to the counterparty as specified in the margin agreement; and</w:t>
      </w:r>
    </w:p>
    <w:p w14:paraId="2DDECE7A" w14:textId="4B3EED37" w:rsidR="00976E44" w:rsidRPr="009A59D5" w:rsidRDefault="00FC59C4" w:rsidP="0076117A">
      <w:pPr>
        <w:pStyle w:val="BodyText1"/>
        <w:numPr>
          <w:ilvl w:val="0"/>
          <w:numId w:val="0"/>
        </w:numPr>
        <w:ind w:left="567"/>
      </w:pPr>
      <w:r>
        <w:rPr>
          <w:i/>
        </w:rPr>
        <w:t xml:space="preserve">NICA = </w:t>
      </w:r>
      <w:r w:rsidR="0076117A" w:rsidRPr="009A59D5">
        <w:t>the net independent collateral amount.</w:t>
      </w:r>
    </w:p>
    <w:p w14:paraId="0690B5A2" w14:textId="0EA1EA7F" w:rsidR="00C51AEB" w:rsidRDefault="00656B77" w:rsidP="00C51AEB">
      <w:pPr>
        <w:pStyle w:val="BodyText1"/>
      </w:pPr>
      <w:bookmarkStart w:id="342" w:name="_Ref483486577"/>
      <w:r w:rsidRPr="009A59D5">
        <w:t>T</w:t>
      </w:r>
      <w:r w:rsidR="00C51AEB" w:rsidRPr="009A59D5">
        <w:t>he following haircut</w:t>
      </w:r>
      <w:r w:rsidRPr="009A59D5">
        <w:t xml:space="preserve"> formula </w:t>
      </w:r>
      <w:r w:rsidR="00C51AEB" w:rsidRPr="009A59D5">
        <w:t>must be applied to the current value of the net collateral (</w:t>
      </w:r>
      <w:r w:rsidR="00FE4527" w:rsidRPr="009A59D5">
        <w:rPr>
          <w:i/>
        </w:rPr>
        <w:t>C</w:t>
      </w:r>
      <w:r w:rsidR="00C51AEB" w:rsidRPr="009A59D5">
        <w:t>) held by an ADI</w:t>
      </w:r>
      <w:r w:rsidR="00DE79F4" w:rsidRPr="009A59D5">
        <w:t xml:space="preserve"> </w:t>
      </w:r>
      <w:r w:rsidR="00884C13" w:rsidRPr="009A59D5">
        <w:t>within th</w:t>
      </w:r>
      <w:r w:rsidRPr="009A59D5">
        <w:t>e RC calculation for both the margined and unmargined cases</w:t>
      </w:r>
      <w:r w:rsidR="00C51AEB" w:rsidRPr="009A59D5">
        <w:t>:</w:t>
      </w:r>
      <w:bookmarkEnd w:id="342"/>
    </w:p>
    <w:p w14:paraId="74ADC9BF" w14:textId="283DAC2F" w:rsidR="00771B05" w:rsidRPr="009A59D5" w:rsidRDefault="00771B05" w:rsidP="00751D7D">
      <w:pPr>
        <w:pStyle w:val="BodyText1"/>
        <w:numPr>
          <w:ilvl w:val="0"/>
          <w:numId w:val="0"/>
        </w:numPr>
        <w:ind w:left="567" w:firstLine="1418"/>
      </w:pPr>
      <w:r w:rsidRPr="00771B05">
        <w:rPr>
          <w:noProof/>
        </w:rPr>
        <w:drawing>
          <wp:inline distT="0" distB="0" distL="0" distR="0" wp14:anchorId="02FBE357" wp14:editId="209ED455">
            <wp:extent cx="2990850" cy="382492"/>
            <wp:effectExtent l="0" t="0" r="0" b="0"/>
            <wp:docPr id="37" name="Picture 37" descr="A formula for the haircut that must be applied to the current value of the net collateral held by an ADI within the RC calculation for both the margined and unmargined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formula for the haircut that must be applied to the current value of the net collateral held by an ADI within the RC calculation for both the margined and unmargined cas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9337" cy="386135"/>
                    </a:xfrm>
                    <a:prstGeom prst="rect">
                      <a:avLst/>
                    </a:prstGeom>
                    <a:noFill/>
                    <a:ln>
                      <a:noFill/>
                    </a:ln>
                  </pic:spPr>
                </pic:pic>
              </a:graphicData>
            </a:graphic>
          </wp:inline>
        </w:drawing>
      </w:r>
    </w:p>
    <w:p w14:paraId="02CC339F" w14:textId="77777777" w:rsidR="00C51AEB" w:rsidRPr="009A59D5" w:rsidRDefault="00C51AEB" w:rsidP="00656B77">
      <w:pPr>
        <w:pStyle w:val="BodyText1"/>
        <w:numPr>
          <w:ilvl w:val="0"/>
          <w:numId w:val="0"/>
        </w:numPr>
        <w:ind w:firstLine="567"/>
      </w:pPr>
      <w:r w:rsidRPr="009A59D5">
        <w:t>where:</w:t>
      </w:r>
    </w:p>
    <w:p w14:paraId="6EE51D25" w14:textId="02FFA035" w:rsidR="00C51AEB" w:rsidRPr="009A59D5" w:rsidRDefault="00FC59C4" w:rsidP="00656B77">
      <w:pPr>
        <w:pStyle w:val="BodyText1"/>
        <w:numPr>
          <w:ilvl w:val="0"/>
          <w:numId w:val="0"/>
        </w:numPr>
        <w:ind w:left="567"/>
      </w:pPr>
      <w:r>
        <w:rPr>
          <w:i/>
        </w:rPr>
        <w:t>C</w:t>
      </w:r>
      <w:r w:rsidR="004C6D01" w:rsidRPr="009A59D5">
        <w:t xml:space="preserve"> </w:t>
      </w:r>
      <w:r w:rsidR="00C51AEB" w:rsidRPr="009A59D5">
        <w:t>=</w:t>
      </w:r>
      <w:r w:rsidR="004C6D01" w:rsidRPr="009A59D5">
        <w:t xml:space="preserve"> </w:t>
      </w:r>
      <w:r w:rsidR="00C51AEB" w:rsidRPr="009A59D5">
        <w:t>the current mark-to-market value of the net collateral held by an ADI</w:t>
      </w:r>
      <w:r w:rsidR="003B6885" w:rsidRPr="009A59D5">
        <w:t>. This includes</w:t>
      </w:r>
      <w:r w:rsidR="005B5351" w:rsidRPr="009A59D5">
        <w:t xml:space="preserve"> all initial and variation margin</w:t>
      </w:r>
      <w:r w:rsidR="00E231BD" w:rsidRPr="009A59D5">
        <w:t xml:space="preserve"> posted and held by the ADI</w:t>
      </w:r>
      <w:r w:rsidR="005B5351" w:rsidRPr="009A59D5">
        <w:t xml:space="preserve"> except for </w:t>
      </w:r>
      <w:r w:rsidR="00E231BD" w:rsidRPr="009A59D5">
        <w:t>collateral</w:t>
      </w:r>
      <w:r w:rsidR="005B5351" w:rsidRPr="009A59D5">
        <w:t xml:space="preserve"> </w:t>
      </w:r>
      <w:r w:rsidR="003125D1" w:rsidRPr="009A59D5">
        <w:t>posted by the ADI</w:t>
      </w:r>
      <w:r w:rsidR="005B5351" w:rsidRPr="009A59D5">
        <w:t xml:space="preserve"> in a bankruptcy remote </w:t>
      </w:r>
      <w:proofErr w:type="gramStart"/>
      <w:r w:rsidR="005B5351" w:rsidRPr="009A59D5">
        <w:t>manner</w:t>
      </w:r>
      <w:r w:rsidR="000A6BA6" w:rsidRPr="009A59D5">
        <w:t>;</w:t>
      </w:r>
      <w:proofErr w:type="gramEnd"/>
    </w:p>
    <w:p w14:paraId="669C1219" w14:textId="79EC3E07" w:rsidR="00C51AEB" w:rsidRPr="009A59D5" w:rsidRDefault="00FC59C4" w:rsidP="00656B77">
      <w:pPr>
        <w:pStyle w:val="BodyText1"/>
        <w:numPr>
          <w:ilvl w:val="0"/>
          <w:numId w:val="0"/>
        </w:numPr>
        <w:ind w:left="567"/>
      </w:pPr>
      <w:r>
        <w:rPr>
          <w:i/>
        </w:rPr>
        <w:t>C</w:t>
      </w:r>
      <w:r>
        <w:rPr>
          <w:i/>
          <w:vertAlign w:val="subscript"/>
        </w:rPr>
        <w:t>H</w:t>
      </w:r>
      <w:r>
        <w:rPr>
          <w:i/>
        </w:rPr>
        <w:t>(t)</w:t>
      </w:r>
      <w:r>
        <w:t xml:space="preserve"> =</w:t>
      </w:r>
      <w:r w:rsidR="004C6D01" w:rsidRPr="009A59D5">
        <w:t xml:space="preserve"> </w:t>
      </w:r>
      <w:r w:rsidR="000A6BA6" w:rsidRPr="009A59D5">
        <w:t xml:space="preserve">the </w:t>
      </w:r>
      <w:r w:rsidR="00C51AEB" w:rsidRPr="009A59D5">
        <w:t xml:space="preserve">haircut value of net collateral </w:t>
      </w:r>
      <w:proofErr w:type="gramStart"/>
      <w:r w:rsidR="00C51AEB" w:rsidRPr="009A59D5">
        <w:t>held</w:t>
      </w:r>
      <w:r w:rsidR="006D3348" w:rsidRPr="009A59D5">
        <w:t>;</w:t>
      </w:r>
      <w:proofErr w:type="gramEnd"/>
    </w:p>
    <w:p w14:paraId="0C6F2B04" w14:textId="27D3567B" w:rsidR="00C51AEB" w:rsidRPr="009A59D5" w:rsidRDefault="00FC59C4" w:rsidP="00656B77">
      <w:pPr>
        <w:pStyle w:val="BodyText1"/>
        <w:numPr>
          <w:ilvl w:val="0"/>
          <w:numId w:val="0"/>
        </w:numPr>
        <w:ind w:left="567"/>
      </w:pPr>
      <w:r>
        <w:rPr>
          <w:i/>
        </w:rPr>
        <w:t>t</w:t>
      </w:r>
      <w:r w:rsidR="004C6D01" w:rsidRPr="009A59D5">
        <w:t xml:space="preserve"> = </w:t>
      </w:r>
      <w:r w:rsidR="000A6BA6" w:rsidRPr="009A59D5">
        <w:t xml:space="preserve">the </w:t>
      </w:r>
      <w:r w:rsidR="00C51AEB" w:rsidRPr="009A59D5">
        <w:t>holding period applicable to the collateral</w:t>
      </w:r>
      <w:r w:rsidR="006D3348" w:rsidRPr="009A59D5">
        <w:t>; and</w:t>
      </w:r>
    </w:p>
    <w:p w14:paraId="7F070542" w14:textId="59C7F91E" w:rsidR="00C51AEB" w:rsidRPr="009A59D5" w:rsidRDefault="00FC59C4" w:rsidP="0033740C">
      <w:pPr>
        <w:pStyle w:val="BodyText1"/>
        <w:numPr>
          <w:ilvl w:val="0"/>
          <w:numId w:val="0"/>
        </w:numPr>
        <w:ind w:left="567"/>
      </w:pPr>
      <w:r w:rsidRPr="00FC59C4">
        <w:rPr>
          <w:i/>
        </w:rPr>
        <w:t xml:space="preserve">H(t) </w:t>
      </w:r>
      <w:r w:rsidR="00C51AEB" w:rsidRPr="009A59D5">
        <w:t>=</w:t>
      </w:r>
      <w:r w:rsidR="004C6D01" w:rsidRPr="009A59D5">
        <w:t xml:space="preserve"> </w:t>
      </w:r>
      <w:r w:rsidR="000A6BA6" w:rsidRPr="009A59D5">
        <w:t xml:space="preserve">the </w:t>
      </w:r>
      <w:r w:rsidR="00C51AEB" w:rsidRPr="009A59D5">
        <w:t>haircut appropriate to the collat</w:t>
      </w:r>
      <w:r w:rsidR="0033740C" w:rsidRPr="009A59D5">
        <w:t>eral using a holding period of</w:t>
      </w:r>
      <w:r w:rsidR="006C77CB" w:rsidRPr="009A59D5">
        <w:t xml:space="preserve"> </w:t>
      </w:r>
      <w:r>
        <w:rPr>
          <w:i/>
        </w:rPr>
        <w:t>t</w:t>
      </w:r>
      <w:r w:rsidR="006C77CB" w:rsidRPr="009A59D5">
        <w:t xml:space="preserve">, </w:t>
      </w:r>
      <w:r w:rsidR="0033740C" w:rsidRPr="009A59D5">
        <w:t>determined in accordance with</w:t>
      </w:r>
      <w:r w:rsidR="000106F8" w:rsidRPr="009A59D5">
        <w:t xml:space="preserve"> paragraphs </w:t>
      </w:r>
      <w:r w:rsidR="005857A4">
        <w:t>28</w:t>
      </w:r>
      <w:r w:rsidR="005857A4" w:rsidRPr="009A59D5">
        <w:t xml:space="preserve"> </w:t>
      </w:r>
      <w:r w:rsidR="000106F8" w:rsidRPr="009A59D5">
        <w:t xml:space="preserve">to </w:t>
      </w:r>
      <w:r w:rsidR="005857A4">
        <w:t>33</w:t>
      </w:r>
      <w:r w:rsidR="005857A4" w:rsidRPr="009A59D5">
        <w:t xml:space="preserve"> </w:t>
      </w:r>
      <w:r w:rsidR="000106F8" w:rsidRPr="009A59D5">
        <w:t>of</w:t>
      </w:r>
      <w:r w:rsidR="0033740C" w:rsidRPr="009A59D5">
        <w:t xml:space="preserve"> Attachment </w:t>
      </w:r>
      <w:r w:rsidR="00E8537C" w:rsidRPr="009A59D5">
        <w:t>G</w:t>
      </w:r>
      <w:r w:rsidR="0033740C" w:rsidRPr="009A59D5">
        <w:t xml:space="preserve"> of APS 112</w:t>
      </w:r>
      <w:r w:rsidR="0005514A" w:rsidRPr="009A59D5">
        <w:t xml:space="preserve"> (including FX haircuts)</w:t>
      </w:r>
      <w:r w:rsidR="00C51AEB" w:rsidRPr="009A59D5">
        <w:t>.</w:t>
      </w:r>
    </w:p>
    <w:p w14:paraId="57A3E966" w14:textId="77777777" w:rsidR="0076117A" w:rsidRPr="009A59D5" w:rsidRDefault="0076117A" w:rsidP="00405B60">
      <w:pPr>
        <w:pStyle w:val="AttachmentSubheading"/>
      </w:pPr>
      <w:bookmarkStart w:id="343" w:name="_Toc460331446"/>
      <w:bookmarkStart w:id="344" w:name="_Toc461692110"/>
      <w:bookmarkStart w:id="345" w:name="_Toc487712238"/>
      <w:bookmarkStart w:id="346" w:name="_Toc488397539"/>
      <w:bookmarkStart w:id="347" w:name="_Toc488398099"/>
      <w:bookmarkStart w:id="348" w:name="_Toc489463936"/>
      <w:bookmarkStart w:id="349" w:name="_Toc507406229"/>
      <w:bookmarkStart w:id="350" w:name="_Toc507406301"/>
      <w:bookmarkStart w:id="351" w:name="_Toc507406414"/>
      <w:bookmarkStart w:id="352" w:name="_Toc507406471"/>
      <w:bookmarkStart w:id="353" w:name="_Toc507406580"/>
      <w:r w:rsidRPr="009A59D5">
        <w:t>Potential future exposure (PFE)</w:t>
      </w:r>
      <w:bookmarkEnd w:id="343"/>
      <w:bookmarkEnd w:id="344"/>
      <w:bookmarkEnd w:id="345"/>
      <w:bookmarkEnd w:id="346"/>
      <w:bookmarkEnd w:id="347"/>
      <w:bookmarkEnd w:id="348"/>
      <w:bookmarkEnd w:id="349"/>
      <w:bookmarkEnd w:id="350"/>
      <w:bookmarkEnd w:id="351"/>
      <w:bookmarkEnd w:id="352"/>
      <w:bookmarkEnd w:id="353"/>
    </w:p>
    <w:p w14:paraId="463DC80B" w14:textId="662D4940" w:rsidR="0076117A" w:rsidRPr="009A59D5" w:rsidRDefault="0076117A" w:rsidP="0076117A">
      <w:pPr>
        <w:pStyle w:val="BodyText1"/>
      </w:pPr>
      <w:bookmarkStart w:id="354" w:name="_Ref460313107"/>
      <w:r w:rsidRPr="009A59D5">
        <w:t xml:space="preserve">The PFE for a netting set is determined by the aggregated PFE add-on factors for each asset class within a given netting set and a multiplier allowing partial recognition of excess collateral. The five asset classes are interest rate, foreign exchange, credit, </w:t>
      </w:r>
      <w:proofErr w:type="gramStart"/>
      <w:r w:rsidRPr="009A59D5">
        <w:t>equity</w:t>
      </w:r>
      <w:proofErr w:type="gramEnd"/>
      <w:r w:rsidRPr="009A59D5">
        <w:t xml:space="preserve"> and commodity.</w:t>
      </w:r>
      <w:bookmarkEnd w:id="354"/>
    </w:p>
    <w:p w14:paraId="4B302D9B" w14:textId="3EA94B82" w:rsidR="0076117A" w:rsidRPr="009A59D5" w:rsidRDefault="0076117A" w:rsidP="0076117A">
      <w:pPr>
        <w:pStyle w:val="BodyText1"/>
      </w:pPr>
      <w:r w:rsidRPr="009A59D5">
        <w:t>An ADI must either assign each transaction to one of the five asset classes based on the single risk factor referenced by its underlying instrument, or, where a transaction is exposed to multiple risk factors referencing multiple asset classes, an ADI must follow the app</w:t>
      </w:r>
      <w:r w:rsidR="00B342DD" w:rsidRPr="009A59D5">
        <w:t xml:space="preserve">roach set out in paragraph </w:t>
      </w:r>
      <w:r w:rsidR="00683E43" w:rsidRPr="009A59D5">
        <w:fldChar w:fldCharType="begin"/>
      </w:r>
      <w:r w:rsidR="00683E43" w:rsidRPr="009A59D5">
        <w:instrText xml:space="preserve"> REF _Ref461099038 \n \h </w:instrText>
      </w:r>
      <w:r w:rsidR="00365041" w:rsidRPr="009A59D5">
        <w:instrText xml:space="preserve"> \* MERGEFORMAT </w:instrText>
      </w:r>
      <w:r w:rsidR="00683E43" w:rsidRPr="009A59D5">
        <w:fldChar w:fldCharType="separate"/>
      </w:r>
      <w:r w:rsidR="00B401AE">
        <w:t>20</w:t>
      </w:r>
      <w:r w:rsidR="00683E43" w:rsidRPr="009A59D5">
        <w:fldChar w:fldCharType="end"/>
      </w:r>
      <w:r w:rsidRPr="009A59D5">
        <w:t xml:space="preserve"> of this Attachment.</w:t>
      </w:r>
    </w:p>
    <w:p w14:paraId="12526476" w14:textId="6B6BE24C" w:rsidR="0076117A" w:rsidRPr="009A59D5" w:rsidRDefault="0076117A" w:rsidP="0076117A">
      <w:pPr>
        <w:pStyle w:val="BodyText1"/>
      </w:pPr>
      <w:bookmarkStart w:id="355" w:name="_Ref460259767"/>
      <w:r w:rsidRPr="009A59D5">
        <w:t>The PFE must be calculated as:</w:t>
      </w:r>
      <w:bookmarkEnd w:id="355"/>
    </w:p>
    <w:p w14:paraId="75DB4214" w14:textId="05BFE031" w:rsidR="001E5AA3" w:rsidRDefault="001E5AA3" w:rsidP="001E5AA3">
      <w:pPr>
        <w:pStyle w:val="BodyText1"/>
        <w:numPr>
          <w:ilvl w:val="0"/>
          <w:numId w:val="0"/>
        </w:numPr>
        <w:ind w:left="567" w:firstLine="1418"/>
      </w:pPr>
      <w:r w:rsidRPr="001E5AA3">
        <w:rPr>
          <w:noProof/>
        </w:rPr>
        <w:drawing>
          <wp:inline distT="0" distB="0" distL="0" distR="0" wp14:anchorId="1C142758" wp14:editId="10CD20C7">
            <wp:extent cx="3000375" cy="189509"/>
            <wp:effectExtent l="0" t="0" r="0" b="0"/>
            <wp:docPr id="38" name="Picture 38" descr="Start formula PFE equals m times AddOn superscript aggregat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tart formula PFE equals m times AddOn superscript aggregate end formul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14060" cy="196690"/>
                    </a:xfrm>
                    <a:prstGeom prst="rect">
                      <a:avLst/>
                    </a:prstGeom>
                    <a:noFill/>
                    <a:ln>
                      <a:noFill/>
                    </a:ln>
                  </pic:spPr>
                </pic:pic>
              </a:graphicData>
            </a:graphic>
          </wp:inline>
        </w:drawing>
      </w:r>
    </w:p>
    <w:p w14:paraId="48935265" w14:textId="261FFC6A" w:rsidR="0076117A" w:rsidRPr="009A59D5" w:rsidRDefault="00CC3130" w:rsidP="00CC3130">
      <w:pPr>
        <w:pStyle w:val="BodyText1"/>
        <w:numPr>
          <w:ilvl w:val="0"/>
          <w:numId w:val="0"/>
        </w:numPr>
        <w:ind w:left="567"/>
      </w:pPr>
      <w:r w:rsidRPr="009A59D5">
        <w:lastRenderedPageBreak/>
        <w:t xml:space="preserve">with </w:t>
      </w:r>
      <w:r w:rsidR="00FC59C4">
        <w:rPr>
          <w:i/>
        </w:rPr>
        <w:t>m</w:t>
      </w:r>
      <w:r w:rsidRPr="009A59D5">
        <w:t xml:space="preserve"> and</w:t>
      </w:r>
      <w:r w:rsidR="00FC59C4">
        <w:t xml:space="preserve"> </w:t>
      </w:r>
      <w:proofErr w:type="spellStart"/>
      <w:r w:rsidR="00FC59C4">
        <w:rPr>
          <w:i/>
        </w:rPr>
        <w:t>AddOn</w:t>
      </w:r>
      <w:r w:rsidR="00FC59C4">
        <w:rPr>
          <w:i/>
          <w:vertAlign w:val="superscript"/>
        </w:rPr>
        <w:t>aggregrate</w:t>
      </w:r>
      <w:proofErr w:type="spellEnd"/>
      <w:r w:rsidRPr="009A59D5">
        <w:t xml:space="preserve"> calculated as:</w:t>
      </w:r>
    </w:p>
    <w:p w14:paraId="7A35AD7F" w14:textId="76A0F72D" w:rsidR="008C1030" w:rsidRDefault="008C1030" w:rsidP="008C1030">
      <w:pPr>
        <w:pStyle w:val="ListParagraph"/>
        <w:ind w:firstLine="273"/>
        <w:rPr>
          <w:rFonts w:eastAsia="Times New Roman"/>
        </w:rPr>
      </w:pPr>
      <w:r w:rsidRPr="008C1030">
        <w:rPr>
          <w:noProof/>
        </w:rPr>
        <w:drawing>
          <wp:inline distT="0" distB="0" distL="0" distR="0" wp14:anchorId="051A975C" wp14:editId="65AC1833">
            <wp:extent cx="5057775" cy="517525"/>
            <wp:effectExtent l="0" t="0" r="0" b="0"/>
            <wp:docPr id="39" name="Picture 39" descr="A formula for m which is used in the formula for PFE. m is the multiplier that allows for recognition of over-collateralisation or negative mark-to-market value of the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formula for m which is used in the formula for PFE. m is the multiplier that allows for recognition of over-collateralisation or negative mark-to-market value of the transac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7775" cy="517525"/>
                    </a:xfrm>
                    <a:prstGeom prst="rect">
                      <a:avLst/>
                    </a:prstGeom>
                    <a:noFill/>
                    <a:ln>
                      <a:noFill/>
                    </a:ln>
                  </pic:spPr>
                </pic:pic>
              </a:graphicData>
            </a:graphic>
          </wp:inline>
        </w:drawing>
      </w:r>
    </w:p>
    <w:p w14:paraId="48F3E16C" w14:textId="3D05DCC7" w:rsidR="008C1030" w:rsidRPr="009A59D5" w:rsidRDefault="008C1030" w:rsidP="008C1030">
      <w:pPr>
        <w:pStyle w:val="ListParagraph"/>
        <w:ind w:firstLine="1407"/>
      </w:pPr>
      <w:r w:rsidRPr="008C1030">
        <w:rPr>
          <w:rFonts w:eastAsia="Times New Roman"/>
          <w:noProof/>
        </w:rPr>
        <w:drawing>
          <wp:inline distT="0" distB="0" distL="0" distR="0" wp14:anchorId="39ABD16A" wp14:editId="0C07314E">
            <wp:extent cx="2838450" cy="435503"/>
            <wp:effectExtent l="0" t="0" r="0" b="3175"/>
            <wp:docPr id="40" name="Picture 40" descr="A formula for AddOn superscript aggregate used in the formula for PFE and which contains AddOn superscript a, the add-on factor for asset clas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formula for AddOn superscript aggregate used in the formula for PFE and which contains AddOn superscript a, the add-on factor for asset class 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7115" cy="444504"/>
                    </a:xfrm>
                    <a:prstGeom prst="rect">
                      <a:avLst/>
                    </a:prstGeom>
                    <a:noFill/>
                    <a:ln>
                      <a:noFill/>
                    </a:ln>
                  </pic:spPr>
                </pic:pic>
              </a:graphicData>
            </a:graphic>
          </wp:inline>
        </w:drawing>
      </w:r>
    </w:p>
    <w:p w14:paraId="519701ED" w14:textId="77777777" w:rsidR="00CC3130" w:rsidRPr="009A59D5" w:rsidRDefault="00CC3130" w:rsidP="00CC3130">
      <w:pPr>
        <w:pStyle w:val="BodyText1"/>
        <w:numPr>
          <w:ilvl w:val="0"/>
          <w:numId w:val="0"/>
        </w:numPr>
        <w:ind w:left="567"/>
      </w:pPr>
      <w:r w:rsidRPr="009A59D5">
        <w:t>where:</w:t>
      </w:r>
    </w:p>
    <w:p w14:paraId="2931CF3E" w14:textId="44D0FDFA" w:rsidR="00CC3130" w:rsidRPr="009A59D5" w:rsidRDefault="00FC59C4" w:rsidP="00CC3130">
      <w:pPr>
        <w:pStyle w:val="BodyText1"/>
        <w:numPr>
          <w:ilvl w:val="0"/>
          <w:numId w:val="0"/>
        </w:numPr>
        <w:ind w:left="567"/>
      </w:pPr>
      <w:r>
        <w:rPr>
          <w:i/>
        </w:rPr>
        <w:t>m =</w:t>
      </w:r>
      <w:r w:rsidR="00CC3130" w:rsidRPr="009A59D5">
        <w:t xml:space="preserve"> the multiplier that allows for the recognition of over-collateralisation or negative mark-to-market value of the transactions. </w:t>
      </w:r>
      <w:r>
        <w:rPr>
          <w:i/>
        </w:rPr>
        <w:t>m</w:t>
      </w:r>
      <w:r w:rsidR="00CC3130" w:rsidRPr="009A59D5">
        <w:t xml:space="preserve"> decreases to a minimum value of five per cent as excess collateral </w:t>
      </w:r>
      <w:proofErr w:type="gramStart"/>
      <w:r w:rsidR="00CC3130" w:rsidRPr="009A59D5">
        <w:t>increases;</w:t>
      </w:r>
      <w:proofErr w:type="gramEnd"/>
    </w:p>
    <w:p w14:paraId="76E857CF" w14:textId="2883110C" w:rsidR="00CC3130" w:rsidRPr="009A59D5" w:rsidRDefault="00FC59C4" w:rsidP="00CC3130">
      <w:pPr>
        <w:pStyle w:val="BodyText1"/>
        <w:numPr>
          <w:ilvl w:val="0"/>
          <w:numId w:val="0"/>
        </w:numPr>
        <w:ind w:left="567"/>
      </w:pPr>
      <w:r>
        <w:rPr>
          <w:i/>
        </w:rPr>
        <w:t>V =</w:t>
      </w:r>
      <w:r w:rsidR="00CC3130" w:rsidRPr="009A59D5">
        <w:t xml:space="preserve"> the total current market value of all the derivative transactions within the netting </w:t>
      </w:r>
      <w:proofErr w:type="gramStart"/>
      <w:r w:rsidR="00CC3130" w:rsidRPr="009A59D5">
        <w:t>set;</w:t>
      </w:r>
      <w:proofErr w:type="gramEnd"/>
    </w:p>
    <w:p w14:paraId="4A7D9BAE" w14:textId="58EA42A9" w:rsidR="00CC3130" w:rsidRPr="009A59D5" w:rsidRDefault="00FC59C4" w:rsidP="00CC3130">
      <w:pPr>
        <w:pStyle w:val="BodyText1"/>
        <w:numPr>
          <w:ilvl w:val="0"/>
          <w:numId w:val="0"/>
        </w:numPr>
        <w:ind w:left="567"/>
      </w:pPr>
      <w:r w:rsidRPr="00FC59C4">
        <w:rPr>
          <w:i/>
        </w:rPr>
        <w:t>C</w:t>
      </w:r>
      <w:r w:rsidRPr="00FC59C4">
        <w:rPr>
          <w:i/>
          <w:vertAlign w:val="subscript"/>
        </w:rPr>
        <w:t>H</w:t>
      </w:r>
      <w:r w:rsidRPr="00FC59C4">
        <w:rPr>
          <w:i/>
        </w:rPr>
        <w:t>(⸱) = C</w:t>
      </w:r>
      <w:r w:rsidRPr="00FC59C4">
        <w:rPr>
          <w:i/>
          <w:vertAlign w:val="subscript"/>
        </w:rPr>
        <w:t>H</w:t>
      </w:r>
      <w:r w:rsidRPr="00FC59C4">
        <w:rPr>
          <w:i/>
        </w:rPr>
        <w:t>(1 year)</w:t>
      </w:r>
      <w:r w:rsidR="00CC3130" w:rsidRPr="009A59D5">
        <w:t xml:space="preserve"> for unmargined transactions and</w:t>
      </w:r>
      <w:r>
        <w:t xml:space="preserve"> </w:t>
      </w:r>
      <w:r>
        <w:rPr>
          <w:i/>
        </w:rPr>
        <w:t>C</w:t>
      </w:r>
      <w:r>
        <w:rPr>
          <w:i/>
          <w:vertAlign w:val="subscript"/>
        </w:rPr>
        <w:t>H</w:t>
      </w:r>
      <w:r>
        <w:rPr>
          <w:i/>
        </w:rPr>
        <w:t>(MPOR)</w:t>
      </w:r>
      <w:r w:rsidR="00CC3130" w:rsidRPr="009A59D5">
        <w:t xml:space="preserve"> for margined transactions (refer to paragraphs </w:t>
      </w:r>
      <w:r w:rsidR="00683E43" w:rsidRPr="009A59D5">
        <w:fldChar w:fldCharType="begin"/>
      </w:r>
      <w:r w:rsidR="00683E43" w:rsidRPr="009A59D5">
        <w:instrText xml:space="preserve"> REF _Ref460313132 \n \h </w:instrText>
      </w:r>
      <w:r w:rsidR="00365041" w:rsidRPr="009A59D5">
        <w:instrText xml:space="preserve"> \* MERGEFORMAT </w:instrText>
      </w:r>
      <w:r w:rsidR="00683E43" w:rsidRPr="009A59D5">
        <w:fldChar w:fldCharType="separate"/>
      </w:r>
      <w:r w:rsidR="00B401AE">
        <w:t>9</w:t>
      </w:r>
      <w:r w:rsidR="00683E43" w:rsidRPr="009A59D5">
        <w:fldChar w:fldCharType="end"/>
      </w:r>
      <w:r w:rsidR="00CC3130" w:rsidRPr="009A59D5">
        <w:t xml:space="preserve"> and </w:t>
      </w:r>
      <w:r w:rsidR="00683E43" w:rsidRPr="009A59D5">
        <w:fldChar w:fldCharType="begin"/>
      </w:r>
      <w:r w:rsidR="00683E43" w:rsidRPr="009A59D5">
        <w:instrText xml:space="preserve"> REF _Ref460313101 \n \h </w:instrText>
      </w:r>
      <w:r w:rsidR="00365041" w:rsidRPr="009A59D5">
        <w:instrText xml:space="preserve"> \* MERGEFORMAT </w:instrText>
      </w:r>
      <w:r w:rsidR="00683E43" w:rsidRPr="009A59D5">
        <w:fldChar w:fldCharType="separate"/>
      </w:r>
      <w:r w:rsidR="00B401AE">
        <w:t>10</w:t>
      </w:r>
      <w:r w:rsidR="00683E43" w:rsidRPr="009A59D5">
        <w:fldChar w:fldCharType="end"/>
      </w:r>
      <w:r w:rsidR="00CC3130" w:rsidRPr="009A59D5">
        <w:t xml:space="preserve"> of this Attachment, respectively);</w:t>
      </w:r>
    </w:p>
    <w:p w14:paraId="4FCA493D" w14:textId="750E65C0" w:rsidR="00CC3130" w:rsidRPr="009A59D5" w:rsidRDefault="00FC59C4" w:rsidP="00CC3130">
      <w:pPr>
        <w:pStyle w:val="BodyText1"/>
        <w:numPr>
          <w:ilvl w:val="0"/>
          <w:numId w:val="0"/>
        </w:numPr>
        <w:ind w:left="567"/>
      </w:pPr>
      <w:proofErr w:type="spellStart"/>
      <w:r>
        <w:rPr>
          <w:i/>
        </w:rPr>
        <w:t>AddOn</w:t>
      </w:r>
      <w:r>
        <w:rPr>
          <w:i/>
          <w:vertAlign w:val="superscript"/>
        </w:rPr>
        <w:t>a</w:t>
      </w:r>
      <w:proofErr w:type="spellEnd"/>
      <w:r>
        <w:rPr>
          <w:i/>
        </w:rPr>
        <w:t xml:space="preserve"> </w:t>
      </w:r>
      <w:r>
        <w:t xml:space="preserve">= </w:t>
      </w:r>
      <w:r w:rsidR="00CC3130" w:rsidRPr="009A59D5">
        <w:t xml:space="preserve">the add-on factor for asset class </w:t>
      </w:r>
      <w:r>
        <w:rPr>
          <w:i/>
        </w:rPr>
        <w:t>a</w:t>
      </w:r>
      <w:r w:rsidR="00CC3130" w:rsidRPr="009A59D5">
        <w:t>; and</w:t>
      </w:r>
    </w:p>
    <w:p w14:paraId="1E6879A3" w14:textId="7D8106AF" w:rsidR="00CC3130" w:rsidRPr="009A59D5" w:rsidRDefault="00FC59C4" w:rsidP="00CC3130">
      <w:pPr>
        <w:pStyle w:val="BodyText1"/>
        <w:numPr>
          <w:ilvl w:val="0"/>
          <w:numId w:val="0"/>
        </w:numPr>
        <w:ind w:left="567"/>
      </w:pPr>
      <w:r>
        <w:rPr>
          <w:i/>
        </w:rPr>
        <w:t xml:space="preserve">A = </w:t>
      </w:r>
      <w:r w:rsidR="00CC3130" w:rsidRPr="009A59D5">
        <w:t xml:space="preserve">the set containing all asset classes (interest rate, foreign exchange, credit, </w:t>
      </w:r>
      <w:proofErr w:type="gramStart"/>
      <w:r w:rsidR="00CC3130" w:rsidRPr="009A59D5">
        <w:t>equity</w:t>
      </w:r>
      <w:proofErr w:type="gramEnd"/>
      <w:r w:rsidR="00CC3130" w:rsidRPr="009A59D5">
        <w:t xml:space="preserve"> and commodity).</w:t>
      </w:r>
    </w:p>
    <w:p w14:paraId="290F18D7" w14:textId="1FE70415" w:rsidR="00CC3130" w:rsidRPr="009A59D5" w:rsidRDefault="00CC3130" w:rsidP="00CC3130">
      <w:pPr>
        <w:pStyle w:val="BodyText1"/>
      </w:pPr>
      <w:bookmarkStart w:id="356" w:name="_Ref460313825"/>
      <w:r w:rsidRPr="009A59D5">
        <w:t xml:space="preserve">For each asset class </w:t>
      </w:r>
      <w:r w:rsidR="00FC59C4">
        <w:rPr>
          <w:i/>
        </w:rPr>
        <w:t>a</w:t>
      </w:r>
      <w:r w:rsidRPr="009A59D5">
        <w:t>, the add-on factor</w:t>
      </w:r>
      <w:r w:rsidR="00FC59C4">
        <w:t xml:space="preserve"> </w:t>
      </w:r>
      <w:proofErr w:type="spellStart"/>
      <w:r w:rsidR="00FC59C4">
        <w:rPr>
          <w:i/>
        </w:rPr>
        <w:t>AddOn</w:t>
      </w:r>
      <w:r w:rsidR="00FC59C4">
        <w:rPr>
          <w:i/>
          <w:vertAlign w:val="superscript"/>
        </w:rPr>
        <w:t>a</w:t>
      </w:r>
      <w:proofErr w:type="spellEnd"/>
      <w:r w:rsidRPr="009A59D5">
        <w:t xml:space="preserve"> must be calculated as the sum of all hedging set level</w:t>
      </w:r>
      <w:r w:rsidR="00FC59C4">
        <w:t xml:space="preserve"> </w:t>
      </w:r>
      <w:r w:rsidR="00FC59C4">
        <w:rPr>
          <w:i/>
        </w:rPr>
        <w:t>(j)</w:t>
      </w:r>
      <w:r w:rsidR="00FC59C4">
        <w:rPr>
          <w:i/>
          <w:vertAlign w:val="superscript"/>
        </w:rPr>
        <w:t>29</w:t>
      </w:r>
      <w:r w:rsidR="00FC59C4">
        <w:rPr>
          <w:i/>
        </w:rPr>
        <w:t xml:space="preserve"> </w:t>
      </w:r>
      <w:r w:rsidRPr="009A59D5">
        <w:t xml:space="preserve">add-ons within asset class </w:t>
      </w:r>
      <w:r w:rsidR="00FC59C4">
        <w:rPr>
          <w:i/>
        </w:rPr>
        <w:t>a</w:t>
      </w:r>
      <w:r w:rsidRPr="009A59D5">
        <w:t>:</w:t>
      </w:r>
      <w:bookmarkEnd w:id="356"/>
    </w:p>
    <w:p w14:paraId="6D52A40D" w14:textId="77777777" w:rsidR="00D32E06" w:rsidRPr="00751D7D" w:rsidRDefault="00D32E06" w:rsidP="00D32E06">
      <w:pPr>
        <w:pStyle w:val="BodyText1"/>
        <w:numPr>
          <w:ilvl w:val="0"/>
          <w:numId w:val="0"/>
        </w:numPr>
        <w:ind w:left="567" w:firstLine="1418"/>
      </w:pPr>
      <w:r w:rsidRPr="00D32E06">
        <w:rPr>
          <w:noProof/>
        </w:rPr>
        <w:drawing>
          <wp:inline distT="0" distB="0" distL="0" distR="0" wp14:anchorId="3A6838A0" wp14:editId="3424083A">
            <wp:extent cx="2600325" cy="422435"/>
            <wp:effectExtent l="0" t="0" r="0" b="0"/>
            <wp:docPr id="41" name="Picture 41" descr="Start formula AddOn superscript a equals the sum across j of AddOn subscript j superscript a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tart formula AddOn superscript a equals the sum across j of AddOn subscript j superscript a end formul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8620" cy="423783"/>
                    </a:xfrm>
                    <a:prstGeom prst="rect">
                      <a:avLst/>
                    </a:prstGeom>
                    <a:noFill/>
                    <a:ln>
                      <a:noFill/>
                    </a:ln>
                  </pic:spPr>
                </pic:pic>
              </a:graphicData>
            </a:graphic>
          </wp:inline>
        </w:drawing>
      </w:r>
    </w:p>
    <w:p w14:paraId="714CA140" w14:textId="77777777" w:rsidR="007A2532" w:rsidRPr="009A59D5" w:rsidRDefault="007A2532" w:rsidP="00751D7D">
      <w:pPr>
        <w:pStyle w:val="BodyText1"/>
        <w:numPr>
          <w:ilvl w:val="0"/>
          <w:numId w:val="0"/>
        </w:numPr>
        <w:ind w:left="567"/>
      </w:pPr>
      <w:r w:rsidRPr="009A59D5">
        <w:t>where:</w:t>
      </w:r>
    </w:p>
    <w:p w14:paraId="23D31893" w14:textId="5D16BB80" w:rsidR="007A2532" w:rsidRPr="009A59D5" w:rsidRDefault="00FC59C4" w:rsidP="007A2532">
      <w:pPr>
        <w:pStyle w:val="BodyText1"/>
        <w:numPr>
          <w:ilvl w:val="0"/>
          <w:numId w:val="0"/>
        </w:numPr>
        <w:ind w:left="567"/>
      </w:pPr>
      <w:proofErr w:type="spellStart"/>
      <w:r>
        <w:rPr>
          <w:i/>
        </w:rPr>
        <w:t>AddOn</w:t>
      </w:r>
      <w:r>
        <w:rPr>
          <w:i/>
          <w:vertAlign w:val="subscript"/>
        </w:rPr>
        <w:t>j</w:t>
      </w:r>
      <w:r>
        <w:rPr>
          <w:i/>
          <w:vertAlign w:val="superscript"/>
        </w:rPr>
        <w:t>a</w:t>
      </w:r>
      <w:proofErr w:type="spellEnd"/>
      <w:r>
        <w:rPr>
          <w:i/>
        </w:rPr>
        <w:t xml:space="preserve"> = </w:t>
      </w:r>
      <w:r w:rsidR="007A2532" w:rsidRPr="009A59D5">
        <w:t xml:space="preserve">the positive add-on factor for hedging set </w:t>
      </w:r>
      <w:r>
        <w:rPr>
          <w:i/>
        </w:rPr>
        <w:t>j</w:t>
      </w:r>
      <w:r w:rsidR="007A2532" w:rsidRPr="009A59D5">
        <w:t xml:space="preserve"> within asset class </w:t>
      </w:r>
      <w:r>
        <w:rPr>
          <w:i/>
        </w:rPr>
        <w:t>a</w:t>
      </w:r>
      <w:r w:rsidR="007A2532" w:rsidRPr="009A59D5">
        <w:t>.</w:t>
      </w:r>
    </w:p>
    <w:p w14:paraId="746290D9" w14:textId="028001CE" w:rsidR="007A2532" w:rsidRPr="009A59D5" w:rsidRDefault="007A2532" w:rsidP="007A2532">
      <w:pPr>
        <w:pStyle w:val="BodyText1"/>
      </w:pPr>
      <w:r w:rsidRPr="009A59D5">
        <w:t xml:space="preserve">The definition of a hedging set for each asset class is provided in paragraph </w:t>
      </w:r>
      <w:r w:rsidR="00B342DD" w:rsidRPr="009A59D5">
        <w:fldChar w:fldCharType="begin"/>
      </w:r>
      <w:r w:rsidR="00B342DD" w:rsidRPr="009A59D5">
        <w:instrText xml:space="preserve"> REF _Ref460313691 \r \h </w:instrText>
      </w:r>
      <w:r w:rsidR="00365041" w:rsidRPr="009A59D5">
        <w:instrText xml:space="preserve"> \* MERGEFORMAT </w:instrText>
      </w:r>
      <w:r w:rsidR="00B342DD" w:rsidRPr="009A59D5">
        <w:fldChar w:fldCharType="separate"/>
      </w:r>
      <w:r w:rsidR="00B401AE">
        <w:t>19</w:t>
      </w:r>
      <w:r w:rsidR="00B342DD" w:rsidRPr="009A59D5">
        <w:fldChar w:fldCharType="end"/>
      </w:r>
      <w:r w:rsidRPr="009A59D5">
        <w:t xml:space="preserve"> of this Attachment. Treatment of basis and volatility transactions is provided in paragraph</w:t>
      </w:r>
      <w:r w:rsidR="00B342DD" w:rsidRPr="009A59D5">
        <w:t xml:space="preserve"> </w:t>
      </w:r>
      <w:r w:rsidR="00B342DD" w:rsidRPr="009A59D5">
        <w:fldChar w:fldCharType="begin"/>
      </w:r>
      <w:r w:rsidR="00B342DD" w:rsidRPr="009A59D5">
        <w:instrText xml:space="preserve"> REF _Ref460313703 \r \h </w:instrText>
      </w:r>
      <w:r w:rsidR="00365041" w:rsidRPr="009A59D5">
        <w:instrText xml:space="preserve"> \* MERGEFORMAT </w:instrText>
      </w:r>
      <w:r w:rsidR="00B342DD" w:rsidRPr="009A59D5">
        <w:fldChar w:fldCharType="separate"/>
      </w:r>
      <w:r w:rsidR="00B401AE">
        <w:t>17</w:t>
      </w:r>
      <w:r w:rsidR="00B342DD" w:rsidRPr="009A59D5">
        <w:fldChar w:fldCharType="end"/>
      </w:r>
      <w:r w:rsidR="0081141D" w:rsidRPr="009A59D5">
        <w:t xml:space="preserve"> of this Attachment</w:t>
      </w:r>
      <w:r w:rsidRPr="009A59D5">
        <w:t>. The calculation of the add-on factor for a hedging set within each asset class is defined in the following paragraphs of this Attachment:</w:t>
      </w:r>
    </w:p>
    <w:p w14:paraId="045BBFAF" w14:textId="72668B2F" w:rsidR="00D073B8" w:rsidRPr="009A59D5" w:rsidRDefault="00D073B8" w:rsidP="00D073B8">
      <w:pPr>
        <w:pStyle w:val="BodyText2"/>
      </w:pPr>
      <w:r w:rsidRPr="009A59D5">
        <w:t xml:space="preserve">interest rate asset class, paragraphs </w:t>
      </w:r>
      <w:r w:rsidR="00B342DD" w:rsidRPr="009A59D5">
        <w:fldChar w:fldCharType="begin"/>
      </w:r>
      <w:r w:rsidR="00B342DD" w:rsidRPr="009A59D5">
        <w:instrText xml:space="preserve"> REF _Ref460313710 \r \h </w:instrText>
      </w:r>
      <w:r w:rsidR="00365041" w:rsidRPr="009A59D5">
        <w:instrText xml:space="preserve"> \* MERGEFORMAT </w:instrText>
      </w:r>
      <w:r w:rsidR="00B342DD" w:rsidRPr="009A59D5">
        <w:fldChar w:fldCharType="separate"/>
      </w:r>
      <w:r w:rsidR="00B401AE">
        <w:t>22</w:t>
      </w:r>
      <w:r w:rsidR="00B342DD" w:rsidRPr="009A59D5">
        <w:fldChar w:fldCharType="end"/>
      </w:r>
      <w:r w:rsidRPr="009A59D5">
        <w:t xml:space="preserve"> to </w:t>
      </w:r>
      <w:r w:rsidR="00B342DD" w:rsidRPr="009A59D5">
        <w:fldChar w:fldCharType="begin"/>
      </w:r>
      <w:r w:rsidR="00B342DD" w:rsidRPr="009A59D5">
        <w:instrText xml:space="preserve"> REF _Ref460313717 \r \h </w:instrText>
      </w:r>
      <w:r w:rsidR="00365041" w:rsidRPr="009A59D5">
        <w:instrText xml:space="preserve"> \* MERGEFORMAT </w:instrText>
      </w:r>
      <w:r w:rsidR="00B342DD" w:rsidRPr="009A59D5">
        <w:fldChar w:fldCharType="separate"/>
      </w:r>
      <w:r w:rsidR="00B401AE">
        <w:t>25</w:t>
      </w:r>
      <w:r w:rsidR="00B342DD" w:rsidRPr="009A59D5">
        <w:fldChar w:fldCharType="end"/>
      </w:r>
      <w:r w:rsidRPr="009A59D5">
        <w:t>;</w:t>
      </w:r>
    </w:p>
    <w:p w14:paraId="4ED550F3" w14:textId="0AFB15C4" w:rsidR="00D073B8" w:rsidRPr="009A59D5" w:rsidRDefault="00D073B8" w:rsidP="00D073B8">
      <w:pPr>
        <w:pStyle w:val="BodyText2"/>
      </w:pPr>
      <w:r w:rsidRPr="009A59D5">
        <w:t xml:space="preserve">foreign exchange asset class, paragraphs </w:t>
      </w:r>
      <w:r w:rsidR="00B342DD" w:rsidRPr="009A59D5">
        <w:fldChar w:fldCharType="begin"/>
      </w:r>
      <w:r w:rsidR="00B342DD" w:rsidRPr="009A59D5">
        <w:instrText xml:space="preserve"> REF _Ref460313722 \r \h </w:instrText>
      </w:r>
      <w:r w:rsidR="00365041" w:rsidRPr="009A59D5">
        <w:instrText xml:space="preserve"> \* MERGEFORMAT </w:instrText>
      </w:r>
      <w:r w:rsidR="00B342DD" w:rsidRPr="009A59D5">
        <w:fldChar w:fldCharType="separate"/>
      </w:r>
      <w:r w:rsidR="00B401AE">
        <w:t>26</w:t>
      </w:r>
      <w:r w:rsidR="00B342DD" w:rsidRPr="009A59D5">
        <w:fldChar w:fldCharType="end"/>
      </w:r>
      <w:r w:rsidRPr="009A59D5">
        <w:t xml:space="preserve"> to </w:t>
      </w:r>
      <w:r w:rsidR="00B342DD" w:rsidRPr="009A59D5">
        <w:fldChar w:fldCharType="begin"/>
      </w:r>
      <w:r w:rsidR="00B342DD" w:rsidRPr="009A59D5">
        <w:instrText xml:space="preserve"> REF _Ref460313730 \r \h </w:instrText>
      </w:r>
      <w:r w:rsidR="00365041" w:rsidRPr="009A59D5">
        <w:instrText xml:space="preserve"> \* MERGEFORMAT </w:instrText>
      </w:r>
      <w:r w:rsidR="00B342DD" w:rsidRPr="009A59D5">
        <w:fldChar w:fldCharType="separate"/>
      </w:r>
      <w:r w:rsidR="00B401AE">
        <w:t>28</w:t>
      </w:r>
      <w:r w:rsidR="00B342DD" w:rsidRPr="009A59D5">
        <w:fldChar w:fldCharType="end"/>
      </w:r>
      <w:r w:rsidRPr="009A59D5">
        <w:t>;</w:t>
      </w:r>
    </w:p>
    <w:p w14:paraId="688F52D7" w14:textId="2AAB37F8" w:rsidR="00D073B8" w:rsidRPr="009A59D5" w:rsidRDefault="00D073B8" w:rsidP="00D073B8">
      <w:pPr>
        <w:pStyle w:val="BodyText2"/>
      </w:pPr>
      <w:r w:rsidRPr="009A59D5">
        <w:t xml:space="preserve">credit asset class, paragraphs </w:t>
      </w:r>
      <w:r w:rsidR="00B342DD" w:rsidRPr="009A59D5">
        <w:fldChar w:fldCharType="begin"/>
      </w:r>
      <w:r w:rsidR="00B342DD" w:rsidRPr="009A59D5">
        <w:instrText xml:space="preserve"> REF _Ref460313736 \r \h </w:instrText>
      </w:r>
      <w:r w:rsidR="00365041" w:rsidRPr="009A59D5">
        <w:instrText xml:space="preserve"> \* MERGEFORMAT </w:instrText>
      </w:r>
      <w:r w:rsidR="00B342DD" w:rsidRPr="009A59D5">
        <w:fldChar w:fldCharType="separate"/>
      </w:r>
      <w:r w:rsidR="00B401AE">
        <w:t>29</w:t>
      </w:r>
      <w:r w:rsidR="00B342DD" w:rsidRPr="009A59D5">
        <w:fldChar w:fldCharType="end"/>
      </w:r>
      <w:r w:rsidRPr="009A59D5">
        <w:t xml:space="preserve"> to </w:t>
      </w:r>
      <w:r w:rsidR="001806EE" w:rsidRPr="009A59D5">
        <w:fldChar w:fldCharType="begin"/>
      </w:r>
      <w:r w:rsidR="001806EE" w:rsidRPr="009A59D5">
        <w:instrText xml:space="preserve"> REF _Ref511293896 \r \h </w:instrText>
      </w:r>
      <w:r w:rsidR="009A59D5">
        <w:instrText xml:space="preserve"> \* MERGEFORMAT </w:instrText>
      </w:r>
      <w:r w:rsidR="001806EE" w:rsidRPr="009A59D5">
        <w:fldChar w:fldCharType="separate"/>
      </w:r>
      <w:r w:rsidR="00B401AE">
        <w:t>33</w:t>
      </w:r>
      <w:r w:rsidR="001806EE" w:rsidRPr="009A59D5">
        <w:fldChar w:fldCharType="end"/>
      </w:r>
      <w:r w:rsidRPr="009A59D5">
        <w:t>;</w:t>
      </w:r>
    </w:p>
    <w:p w14:paraId="5D69F6C4" w14:textId="1C44A562" w:rsidR="00D073B8" w:rsidRPr="009A59D5" w:rsidRDefault="00D073B8" w:rsidP="00D073B8">
      <w:pPr>
        <w:pStyle w:val="BodyText2"/>
      </w:pPr>
      <w:r w:rsidRPr="009A59D5">
        <w:t xml:space="preserve">equity asset class, paragraphs </w:t>
      </w:r>
      <w:r w:rsidR="00B342DD" w:rsidRPr="009A59D5">
        <w:fldChar w:fldCharType="begin"/>
      </w:r>
      <w:r w:rsidR="00B342DD" w:rsidRPr="009A59D5">
        <w:instrText xml:space="preserve"> REF _Ref460313753 \r \h </w:instrText>
      </w:r>
      <w:r w:rsidR="00365041" w:rsidRPr="009A59D5">
        <w:instrText xml:space="preserve"> \* MERGEFORMAT </w:instrText>
      </w:r>
      <w:r w:rsidR="00B342DD" w:rsidRPr="009A59D5">
        <w:fldChar w:fldCharType="separate"/>
      </w:r>
      <w:r w:rsidR="00B401AE">
        <w:t>34</w:t>
      </w:r>
      <w:r w:rsidR="00B342DD" w:rsidRPr="009A59D5">
        <w:fldChar w:fldCharType="end"/>
      </w:r>
      <w:r w:rsidRPr="009A59D5">
        <w:t xml:space="preserve"> to </w:t>
      </w:r>
      <w:r w:rsidR="00B342DD" w:rsidRPr="009A59D5">
        <w:fldChar w:fldCharType="begin"/>
      </w:r>
      <w:r w:rsidR="00B342DD" w:rsidRPr="009A59D5">
        <w:instrText xml:space="preserve"> REF _Ref460313762 \r \h </w:instrText>
      </w:r>
      <w:r w:rsidR="00365041" w:rsidRPr="009A59D5">
        <w:instrText xml:space="preserve"> \* MERGEFORMAT </w:instrText>
      </w:r>
      <w:r w:rsidR="00B342DD" w:rsidRPr="009A59D5">
        <w:fldChar w:fldCharType="separate"/>
      </w:r>
      <w:r w:rsidR="00B401AE">
        <w:t>37</w:t>
      </w:r>
      <w:r w:rsidR="00B342DD" w:rsidRPr="009A59D5">
        <w:fldChar w:fldCharType="end"/>
      </w:r>
      <w:r w:rsidRPr="009A59D5">
        <w:t>; and</w:t>
      </w:r>
    </w:p>
    <w:p w14:paraId="452CB64A" w14:textId="62962688" w:rsidR="00D073B8" w:rsidRPr="009A59D5" w:rsidRDefault="00D073B8" w:rsidP="00D073B8">
      <w:pPr>
        <w:pStyle w:val="BodyText2"/>
      </w:pPr>
      <w:r w:rsidRPr="009A59D5">
        <w:t xml:space="preserve">commodity asset class, paragraphs </w:t>
      </w:r>
      <w:r w:rsidR="00B342DD" w:rsidRPr="009A59D5">
        <w:fldChar w:fldCharType="begin"/>
      </w:r>
      <w:r w:rsidR="00B342DD" w:rsidRPr="009A59D5">
        <w:instrText xml:space="preserve"> REF _Ref460313770 \r \h </w:instrText>
      </w:r>
      <w:r w:rsidR="00365041" w:rsidRPr="009A59D5">
        <w:instrText xml:space="preserve"> \* MERGEFORMAT </w:instrText>
      </w:r>
      <w:r w:rsidR="00B342DD" w:rsidRPr="009A59D5">
        <w:fldChar w:fldCharType="separate"/>
      </w:r>
      <w:r w:rsidR="00B401AE">
        <w:t>38</w:t>
      </w:r>
      <w:r w:rsidR="00B342DD" w:rsidRPr="009A59D5">
        <w:fldChar w:fldCharType="end"/>
      </w:r>
      <w:r w:rsidR="00B342DD" w:rsidRPr="009A59D5">
        <w:t xml:space="preserve"> to </w:t>
      </w:r>
      <w:r w:rsidR="00B342DD" w:rsidRPr="009A59D5">
        <w:fldChar w:fldCharType="begin"/>
      </w:r>
      <w:r w:rsidR="00B342DD" w:rsidRPr="009A59D5">
        <w:instrText xml:space="preserve"> REF _Ref460313777 \r \h </w:instrText>
      </w:r>
      <w:r w:rsidR="00365041" w:rsidRPr="009A59D5">
        <w:instrText xml:space="preserve"> \* MERGEFORMAT </w:instrText>
      </w:r>
      <w:r w:rsidR="00B342DD" w:rsidRPr="009A59D5">
        <w:fldChar w:fldCharType="separate"/>
      </w:r>
      <w:r w:rsidR="00B401AE">
        <w:t>41</w:t>
      </w:r>
      <w:r w:rsidR="00B342DD" w:rsidRPr="009A59D5">
        <w:fldChar w:fldCharType="end"/>
      </w:r>
      <w:r w:rsidRPr="009A59D5">
        <w:t>.</w:t>
      </w:r>
    </w:p>
    <w:p w14:paraId="5F59FCBD" w14:textId="31E65235" w:rsidR="00D073B8" w:rsidRPr="009A59D5" w:rsidRDefault="00D073B8" w:rsidP="00D073B8">
      <w:pPr>
        <w:pStyle w:val="BodyText1"/>
      </w:pPr>
      <w:bookmarkStart w:id="357" w:name="_Ref460313703"/>
      <w:r w:rsidRPr="009A59D5">
        <w:lastRenderedPageBreak/>
        <w:t>Within each asset class, basis and volatility transactions must form separate hedging sets:</w:t>
      </w:r>
      <w:bookmarkEnd w:id="357"/>
    </w:p>
    <w:p w14:paraId="1A41BFEB" w14:textId="23F09448" w:rsidR="00D073B8" w:rsidRPr="009A59D5" w:rsidRDefault="00D073B8" w:rsidP="009537DE">
      <w:pPr>
        <w:pStyle w:val="BodyText2"/>
      </w:pPr>
      <w:r w:rsidRPr="009A59D5">
        <w:t>A basis transaction is a non-foreign exchange transaction (</w:t>
      </w:r>
      <w:proofErr w:type="gramStart"/>
      <w:r w:rsidRPr="009A59D5">
        <w:t>i</w:t>
      </w:r>
      <w:r w:rsidR="009537DE" w:rsidRPr="009A59D5">
        <w:t>.</w:t>
      </w:r>
      <w:r w:rsidRPr="009A59D5">
        <w:t>e</w:t>
      </w:r>
      <w:r w:rsidR="009537DE" w:rsidRPr="009A59D5">
        <w:t>.</w:t>
      </w:r>
      <w:proofErr w:type="gramEnd"/>
      <w:r w:rsidRPr="009A59D5">
        <w:t xml:space="preserve"> both legs are denominated in the same currency) in which the cash flows of both legs depend on different risk factors from the same asset class.</w:t>
      </w:r>
      <w:r w:rsidR="009537DE" w:rsidRPr="009A59D5">
        <w:rPr>
          <w:rStyle w:val="FootnoteReference"/>
        </w:rPr>
        <w:footnoteReference w:id="30"/>
      </w:r>
      <w:r w:rsidR="009537DE" w:rsidRPr="009A59D5">
        <w:t xml:space="preserve"> A separate hedging set</w:t>
      </w:r>
      <w:r w:rsidR="009537DE" w:rsidRPr="009A59D5">
        <w:rPr>
          <w:rStyle w:val="FootnoteReference"/>
        </w:rPr>
        <w:footnoteReference w:id="31"/>
      </w:r>
      <w:r w:rsidRPr="009A59D5">
        <w:t xml:space="preserve"> must be used for each basis risk (i.e. for each specific pair of risk factors). For a hedging set consisting of basis transactions:</w:t>
      </w:r>
    </w:p>
    <w:p w14:paraId="1B8B8397" w14:textId="05E44DA0" w:rsidR="00292D9A" w:rsidRPr="009A59D5" w:rsidRDefault="00292D9A" w:rsidP="00292D9A">
      <w:pPr>
        <w:pStyle w:val="BodyText3"/>
      </w:pPr>
      <w:r w:rsidRPr="009A59D5">
        <w:t xml:space="preserve">the same hedging set category definition must be applied given the particular asset class (refer to paragraph </w:t>
      </w:r>
      <w:r w:rsidRPr="009A59D5">
        <w:fldChar w:fldCharType="begin"/>
      </w:r>
      <w:r w:rsidRPr="009A59D5">
        <w:instrText xml:space="preserve"> REF _Ref460313691 \r \h  \* MERGEFORMAT </w:instrText>
      </w:r>
      <w:r w:rsidRPr="009A59D5">
        <w:fldChar w:fldCharType="separate"/>
      </w:r>
      <w:r w:rsidR="00B401AE">
        <w:t>19</w:t>
      </w:r>
      <w:r w:rsidRPr="009A59D5">
        <w:fldChar w:fldCharType="end"/>
      </w:r>
      <w:r w:rsidRPr="009A59D5">
        <w:t xml:space="preserve"> of this Attachment); and</w:t>
      </w:r>
    </w:p>
    <w:p w14:paraId="455FDC8D" w14:textId="3C2BCD82" w:rsidR="00D073B8" w:rsidRPr="009A59D5" w:rsidRDefault="00D073B8" w:rsidP="009537DE">
      <w:pPr>
        <w:pStyle w:val="BodyText3"/>
      </w:pPr>
      <w:r w:rsidRPr="009A59D5">
        <w:t>the supervisory factor (</w:t>
      </w:r>
      <w:proofErr w:type="spellStart"/>
      <w:r w:rsidR="000E6D30">
        <w:rPr>
          <w:i/>
        </w:rPr>
        <w:t>SF</w:t>
      </w:r>
      <w:r w:rsidR="000E6D30">
        <w:rPr>
          <w:i/>
          <w:vertAlign w:val="superscript"/>
        </w:rPr>
        <w:t>a</w:t>
      </w:r>
      <w:proofErr w:type="spellEnd"/>
      <w:r w:rsidRPr="009A59D5">
        <w:t xml:space="preserve">) applicable to a given asset class </w:t>
      </w:r>
      <w:r w:rsidR="00646793">
        <w:rPr>
          <w:i/>
        </w:rPr>
        <w:t>a</w:t>
      </w:r>
      <w:r w:rsidRPr="009A59D5">
        <w:t xml:space="preserve"> as defined in paragraph </w:t>
      </w:r>
      <w:r w:rsidR="00B342DD" w:rsidRPr="009A59D5">
        <w:fldChar w:fldCharType="begin"/>
      </w:r>
      <w:r w:rsidR="00B342DD" w:rsidRPr="009A59D5">
        <w:instrText xml:space="preserve"> REF _Ref460313792 \r \h </w:instrText>
      </w:r>
      <w:r w:rsidR="00365041" w:rsidRPr="009A59D5">
        <w:instrText xml:space="preserve"> \* MERGEFORMAT </w:instrText>
      </w:r>
      <w:r w:rsidR="00B342DD" w:rsidRPr="009A59D5">
        <w:fldChar w:fldCharType="separate"/>
      </w:r>
      <w:r w:rsidR="00B401AE">
        <w:t>21</w:t>
      </w:r>
      <w:r w:rsidR="00B342DD" w:rsidRPr="009A59D5">
        <w:fldChar w:fldCharType="end"/>
      </w:r>
      <w:r w:rsidRPr="009A59D5">
        <w:t xml:space="preserve"> of this Attachment must be multiplied by one-half</w:t>
      </w:r>
      <w:r w:rsidR="001B13B9" w:rsidRPr="009A59D5">
        <w:t>.</w:t>
      </w:r>
    </w:p>
    <w:p w14:paraId="099CDA2D" w14:textId="77777777" w:rsidR="00D073B8" w:rsidRPr="009A59D5" w:rsidRDefault="00D073B8" w:rsidP="009537DE">
      <w:pPr>
        <w:pStyle w:val="BodyText2"/>
      </w:pPr>
      <w:r w:rsidRPr="009A59D5">
        <w:t>A volatility transaction is one in which the reference asset depends on the volatility (historical or implied) of a risk factor. For a hedging set consisting of volatility transactions:</w:t>
      </w:r>
    </w:p>
    <w:p w14:paraId="616AB8BA" w14:textId="479131B9" w:rsidR="00D073B8" w:rsidRPr="009A59D5" w:rsidRDefault="00D073B8" w:rsidP="009537DE">
      <w:pPr>
        <w:pStyle w:val="BodyText3"/>
      </w:pPr>
      <w:r w:rsidRPr="009A59D5">
        <w:t xml:space="preserve">the same hedging set category definition must be applied given the particular asset class (refer to paragraph </w:t>
      </w:r>
      <w:r w:rsidR="00B342DD" w:rsidRPr="009A59D5">
        <w:fldChar w:fldCharType="begin"/>
      </w:r>
      <w:r w:rsidR="00B342DD" w:rsidRPr="009A59D5">
        <w:instrText xml:space="preserve"> REF _Ref460313691 \r \h </w:instrText>
      </w:r>
      <w:r w:rsidR="00365041" w:rsidRPr="009A59D5">
        <w:instrText xml:space="preserve"> \* MERGEFORMAT </w:instrText>
      </w:r>
      <w:r w:rsidR="00B342DD" w:rsidRPr="009A59D5">
        <w:fldChar w:fldCharType="separate"/>
      </w:r>
      <w:r w:rsidR="00B401AE">
        <w:t>19</w:t>
      </w:r>
      <w:r w:rsidR="00B342DD" w:rsidRPr="009A59D5">
        <w:fldChar w:fldCharType="end"/>
      </w:r>
      <w:r w:rsidRPr="009A59D5">
        <w:t xml:space="preserve"> of this Attachment); and</w:t>
      </w:r>
    </w:p>
    <w:p w14:paraId="563DA33E" w14:textId="6EAB0AF6" w:rsidR="00D073B8" w:rsidRPr="009A59D5" w:rsidRDefault="00D073B8" w:rsidP="009537DE">
      <w:pPr>
        <w:pStyle w:val="BodyText3"/>
      </w:pPr>
      <w:r w:rsidRPr="009A59D5">
        <w:t>the supervisory factor (</w:t>
      </w:r>
      <w:proofErr w:type="spellStart"/>
      <w:r w:rsidR="000E6D30">
        <w:rPr>
          <w:i/>
        </w:rPr>
        <w:t>SF</w:t>
      </w:r>
      <w:r w:rsidR="000E6D30">
        <w:rPr>
          <w:i/>
          <w:vertAlign w:val="superscript"/>
        </w:rPr>
        <w:t>a</w:t>
      </w:r>
      <w:proofErr w:type="spellEnd"/>
      <w:r w:rsidRPr="009A59D5">
        <w:t xml:space="preserve">) applicable to a given asset class </w:t>
      </w:r>
      <w:r w:rsidR="000E6D30">
        <w:rPr>
          <w:i/>
        </w:rPr>
        <w:t>a</w:t>
      </w:r>
      <w:r w:rsidR="009537DE" w:rsidRPr="009A59D5">
        <w:t xml:space="preserve"> </w:t>
      </w:r>
      <w:r w:rsidRPr="009A59D5">
        <w:t xml:space="preserve">as defined in paragraph </w:t>
      </w:r>
      <w:r w:rsidR="00B342DD" w:rsidRPr="009A59D5">
        <w:fldChar w:fldCharType="begin"/>
      </w:r>
      <w:r w:rsidR="00B342DD" w:rsidRPr="009A59D5">
        <w:instrText xml:space="preserve"> REF _Ref460313792 \r \h </w:instrText>
      </w:r>
      <w:r w:rsidR="00365041" w:rsidRPr="009A59D5">
        <w:instrText xml:space="preserve"> \* MERGEFORMAT </w:instrText>
      </w:r>
      <w:r w:rsidR="00B342DD" w:rsidRPr="009A59D5">
        <w:fldChar w:fldCharType="separate"/>
      </w:r>
      <w:r w:rsidR="00B401AE">
        <w:t>21</w:t>
      </w:r>
      <w:r w:rsidR="00B342DD" w:rsidRPr="009A59D5">
        <w:fldChar w:fldCharType="end"/>
      </w:r>
      <w:r w:rsidRPr="009A59D5">
        <w:t xml:space="preserve"> of this Attachment must be multiplied by five.</w:t>
      </w:r>
    </w:p>
    <w:p w14:paraId="15AC5C0A" w14:textId="022E27A3" w:rsidR="00D073B8" w:rsidRPr="009A59D5" w:rsidRDefault="00D073B8" w:rsidP="00D073B8">
      <w:pPr>
        <w:pStyle w:val="BodyText1"/>
      </w:pPr>
      <w:r w:rsidRPr="009A59D5">
        <w:t xml:space="preserve">Aggregation of the add-on factors for basis and volatility hedging sets with those from other hedging sets within the same asset class must be performed according to the hedging set aggregation rule set out in paragraph </w:t>
      </w:r>
      <w:r w:rsidR="00B342DD" w:rsidRPr="009A59D5">
        <w:fldChar w:fldCharType="begin"/>
      </w:r>
      <w:r w:rsidR="00B342DD" w:rsidRPr="009A59D5">
        <w:instrText xml:space="preserve"> REF _Ref460313825 \r \h </w:instrText>
      </w:r>
      <w:r w:rsidR="00365041" w:rsidRPr="009A59D5">
        <w:instrText xml:space="preserve"> \* MERGEFORMAT </w:instrText>
      </w:r>
      <w:r w:rsidR="00B342DD" w:rsidRPr="009A59D5">
        <w:fldChar w:fldCharType="separate"/>
      </w:r>
      <w:r w:rsidR="00B401AE">
        <w:t>15</w:t>
      </w:r>
      <w:r w:rsidR="00B342DD" w:rsidRPr="009A59D5">
        <w:fldChar w:fldCharType="end"/>
      </w:r>
      <w:r w:rsidRPr="009A59D5">
        <w:t xml:space="preserve"> of this Attachment.</w:t>
      </w:r>
    </w:p>
    <w:p w14:paraId="1053AF4C" w14:textId="37176461" w:rsidR="00D073B8" w:rsidRPr="009A59D5" w:rsidRDefault="00D073B8" w:rsidP="00D073B8">
      <w:pPr>
        <w:pStyle w:val="BodyText1"/>
      </w:pPr>
      <w:bookmarkStart w:id="358" w:name="_Ref460313691"/>
      <w:r w:rsidRPr="009A59D5">
        <w:t>No offsetting is permitted across different hedging sets. Partial or full offsetting may be permitted within a single hedging set.</w:t>
      </w:r>
      <w:r w:rsidR="009537DE" w:rsidRPr="009A59D5">
        <w:rPr>
          <w:rStyle w:val="FootnoteReference"/>
        </w:rPr>
        <w:footnoteReference w:id="32"/>
      </w:r>
      <w:r w:rsidRPr="009A59D5">
        <w:t xml:space="preserve"> Permitted offsetting varies based on the particular asset class</w:t>
      </w:r>
      <w:r w:rsidR="00435117" w:rsidRPr="009A59D5">
        <w:t xml:space="preserve"> </w:t>
      </w:r>
      <w:r w:rsidR="00A94BEC" w:rsidRPr="009A59D5">
        <w:t>as</w:t>
      </w:r>
      <w:r w:rsidRPr="009A59D5">
        <w:t xml:space="preserve"> summarised in</w:t>
      </w:r>
      <w:r w:rsidR="002B359A">
        <w:t xml:space="preserve"> Table 2</w:t>
      </w:r>
      <w:r w:rsidRPr="009A59D5">
        <w:t>.</w:t>
      </w:r>
      <w:bookmarkEnd w:id="358"/>
      <w:r w:rsidR="00292D9A" w:rsidRPr="009A59D5">
        <w:rPr>
          <w:rStyle w:val="FootnoteReference"/>
        </w:rPr>
        <w:footnoteReference w:id="33"/>
      </w:r>
    </w:p>
    <w:p w14:paraId="2A9756FA" w14:textId="77777777" w:rsidR="009E639F" w:rsidRPr="009A59D5" w:rsidRDefault="009E639F" w:rsidP="009537DE">
      <w:pPr>
        <w:pStyle w:val="BodyText1"/>
        <w:numPr>
          <w:ilvl w:val="0"/>
          <w:numId w:val="0"/>
        </w:numPr>
        <w:ind w:left="567"/>
      </w:pPr>
      <w:bookmarkStart w:id="359" w:name="_Ref460252203"/>
    </w:p>
    <w:p w14:paraId="7578AAE8" w14:textId="504085BF" w:rsidR="00D073B8" w:rsidRPr="009A59D5" w:rsidRDefault="00D073B8" w:rsidP="009537DE">
      <w:pPr>
        <w:pStyle w:val="BodyText1"/>
        <w:numPr>
          <w:ilvl w:val="0"/>
          <w:numId w:val="0"/>
        </w:numPr>
        <w:ind w:left="567"/>
      </w:pPr>
      <w:r w:rsidRPr="009A59D5">
        <w:t xml:space="preserve">Table </w:t>
      </w:r>
      <w:r w:rsidR="00744650">
        <w:fldChar w:fldCharType="begin"/>
      </w:r>
      <w:r w:rsidR="00744650">
        <w:instrText xml:space="preserve"> SEQ Table \* ARABIC \* MERGEFORMAT </w:instrText>
      </w:r>
      <w:r w:rsidR="00744650">
        <w:fldChar w:fldCharType="separate"/>
      </w:r>
      <w:r w:rsidR="00B401AE">
        <w:rPr>
          <w:noProof/>
        </w:rPr>
        <w:t>2</w:t>
      </w:r>
      <w:r w:rsidR="00744650">
        <w:rPr>
          <w:noProof/>
        </w:rPr>
        <w:fldChar w:fldCharType="end"/>
      </w:r>
      <w:bookmarkEnd w:id="359"/>
      <w:r w:rsidRPr="009A59D5">
        <w:t>: Definition of hedging sets and categories</w:t>
      </w:r>
      <w:r w:rsidR="001B13B9" w:rsidRPr="009A59D5">
        <w:t>,</w:t>
      </w:r>
      <w:r w:rsidRPr="009A59D5">
        <w:t xml:space="preserve"> and permitted offsetting within a single hedging set for each asset </w:t>
      </w:r>
      <w:proofErr w:type="gramStart"/>
      <w:r w:rsidRPr="009A59D5">
        <w:t>class</w:t>
      </w:r>
      <w:proofErr w:type="gramEnd"/>
    </w:p>
    <w:tbl>
      <w:tblPr>
        <w:tblStyle w:val="TableGrid"/>
        <w:tblW w:w="0" w:type="auto"/>
        <w:tblInd w:w="567" w:type="dxa"/>
        <w:tblLook w:val="04A0" w:firstRow="1" w:lastRow="0" w:firstColumn="1" w:lastColumn="0" w:noHBand="0" w:noVBand="1"/>
      </w:tblPr>
      <w:tblGrid>
        <w:gridCol w:w="1555"/>
        <w:gridCol w:w="3090"/>
        <w:gridCol w:w="3090"/>
      </w:tblGrid>
      <w:tr w:rsidR="00D32B1F" w:rsidRPr="009A59D5" w14:paraId="2935AF9C" w14:textId="77777777" w:rsidTr="00DC1E36">
        <w:tc>
          <w:tcPr>
            <w:tcW w:w="1555" w:type="dxa"/>
          </w:tcPr>
          <w:p w14:paraId="31417E3E" w14:textId="77777777" w:rsidR="00D32B1F" w:rsidRPr="009A59D5" w:rsidRDefault="00D32B1F" w:rsidP="00A859D5">
            <w:pPr>
              <w:keepNext/>
              <w:spacing w:after="0"/>
              <w:rPr>
                <w:b/>
              </w:rPr>
            </w:pPr>
            <w:r w:rsidRPr="009A59D5">
              <w:rPr>
                <w:b/>
              </w:rPr>
              <w:lastRenderedPageBreak/>
              <w:t>Asset class</w:t>
            </w:r>
          </w:p>
        </w:tc>
        <w:tc>
          <w:tcPr>
            <w:tcW w:w="3090" w:type="dxa"/>
          </w:tcPr>
          <w:p w14:paraId="3894E305" w14:textId="77777777" w:rsidR="00D32B1F" w:rsidRPr="009A59D5" w:rsidRDefault="00D32B1F">
            <w:pPr>
              <w:keepNext/>
              <w:spacing w:after="0"/>
              <w:rPr>
                <w:b/>
              </w:rPr>
            </w:pPr>
            <w:r w:rsidRPr="009A59D5">
              <w:rPr>
                <w:b/>
              </w:rPr>
              <w:t>Definition of hedging sets and categories</w:t>
            </w:r>
          </w:p>
        </w:tc>
        <w:tc>
          <w:tcPr>
            <w:tcW w:w="3090" w:type="dxa"/>
          </w:tcPr>
          <w:p w14:paraId="42D61022" w14:textId="77777777" w:rsidR="00D32B1F" w:rsidRPr="009A59D5" w:rsidRDefault="00D32B1F">
            <w:pPr>
              <w:keepNext/>
              <w:spacing w:after="0"/>
              <w:rPr>
                <w:b/>
              </w:rPr>
            </w:pPr>
            <w:r w:rsidRPr="009A59D5">
              <w:rPr>
                <w:b/>
              </w:rPr>
              <w:t>Permitted offsetting within a single hedging set</w:t>
            </w:r>
          </w:p>
        </w:tc>
      </w:tr>
      <w:tr w:rsidR="00D32B1F" w:rsidRPr="009A59D5" w14:paraId="1335A8E1" w14:textId="77777777" w:rsidTr="00DC1E36">
        <w:tc>
          <w:tcPr>
            <w:tcW w:w="1555" w:type="dxa"/>
          </w:tcPr>
          <w:p w14:paraId="0B9EC38D" w14:textId="77777777" w:rsidR="00D32B1F" w:rsidRPr="009A59D5" w:rsidRDefault="00D32B1F" w:rsidP="00187998">
            <w:pPr>
              <w:spacing w:after="0"/>
            </w:pPr>
            <w:r w:rsidRPr="009A59D5">
              <w:t>Interest rate</w:t>
            </w:r>
          </w:p>
        </w:tc>
        <w:tc>
          <w:tcPr>
            <w:tcW w:w="3090" w:type="dxa"/>
          </w:tcPr>
          <w:p w14:paraId="64C09D76" w14:textId="77777777" w:rsidR="00D32B1F" w:rsidRPr="009A59D5" w:rsidRDefault="00D32B1F" w:rsidP="00AE7D4E">
            <w:r w:rsidRPr="009A59D5">
              <w:t>A separate hedging set must be established for all transactions that reference interest rates of the same currency.</w:t>
            </w:r>
          </w:p>
          <w:p w14:paraId="4C659C45" w14:textId="77777777" w:rsidR="00D32B1F" w:rsidRPr="009A59D5" w:rsidRDefault="00D32B1F" w:rsidP="00187998">
            <w:pPr>
              <w:spacing w:after="0"/>
            </w:pPr>
            <w:r w:rsidRPr="009A59D5">
              <w:t>Each hedging set is further divided into three separate maturity categories.</w:t>
            </w:r>
          </w:p>
        </w:tc>
        <w:tc>
          <w:tcPr>
            <w:tcW w:w="3090" w:type="dxa"/>
          </w:tcPr>
          <w:p w14:paraId="7128EC30" w14:textId="77777777" w:rsidR="00DC1E36" w:rsidRPr="009A59D5" w:rsidRDefault="00DC1E36" w:rsidP="00AE7D4E">
            <w:r w:rsidRPr="009A59D5">
              <w:t>Full offsetting is permitted in the same maturity category within each hedging set.</w:t>
            </w:r>
          </w:p>
          <w:p w14:paraId="49F9E792" w14:textId="77777777" w:rsidR="00D32B1F" w:rsidRPr="009A59D5" w:rsidRDefault="00DC1E36" w:rsidP="00187998">
            <w:pPr>
              <w:spacing w:after="0"/>
            </w:pPr>
            <w:r w:rsidRPr="009A59D5">
              <w:t>Partial offsetting may be recognised across different maturity categories within each hedging set.</w:t>
            </w:r>
          </w:p>
        </w:tc>
      </w:tr>
      <w:tr w:rsidR="00D32B1F" w:rsidRPr="009A59D5" w14:paraId="3BC03690" w14:textId="77777777" w:rsidTr="00DC1E36">
        <w:tc>
          <w:tcPr>
            <w:tcW w:w="1555" w:type="dxa"/>
          </w:tcPr>
          <w:p w14:paraId="0C9C753E" w14:textId="77777777" w:rsidR="00D32B1F" w:rsidRPr="009A59D5" w:rsidRDefault="00D32B1F" w:rsidP="00187998">
            <w:pPr>
              <w:spacing w:after="0"/>
            </w:pPr>
            <w:r w:rsidRPr="009A59D5">
              <w:t>Foreign exchange</w:t>
            </w:r>
          </w:p>
        </w:tc>
        <w:tc>
          <w:tcPr>
            <w:tcW w:w="3090" w:type="dxa"/>
          </w:tcPr>
          <w:p w14:paraId="694A7329" w14:textId="77777777" w:rsidR="00D32B1F" w:rsidRPr="009A59D5" w:rsidRDefault="00D32B1F" w:rsidP="00AE7D4E">
            <w:r w:rsidRPr="009A59D5">
              <w:t>A separate hedging set must be established for each currency pair.</w:t>
            </w:r>
          </w:p>
          <w:p w14:paraId="6830C91A" w14:textId="77777777" w:rsidR="00D32B1F" w:rsidRPr="009A59D5" w:rsidRDefault="00D32B1F" w:rsidP="00187998">
            <w:pPr>
              <w:spacing w:after="0"/>
            </w:pPr>
            <w:r w:rsidRPr="009A59D5">
              <w:t>No categories are defined within a hedging set.</w:t>
            </w:r>
          </w:p>
        </w:tc>
        <w:tc>
          <w:tcPr>
            <w:tcW w:w="3090" w:type="dxa"/>
          </w:tcPr>
          <w:p w14:paraId="329FE926" w14:textId="77777777" w:rsidR="00D32B1F" w:rsidRPr="009A59D5" w:rsidRDefault="00DC1E36" w:rsidP="00187998">
            <w:pPr>
              <w:spacing w:after="0"/>
            </w:pPr>
            <w:r w:rsidRPr="009A59D5">
              <w:t>Full offsetting is permitted within each hedging set.</w:t>
            </w:r>
          </w:p>
        </w:tc>
      </w:tr>
      <w:tr w:rsidR="00D32B1F" w:rsidRPr="009A59D5" w14:paraId="6643E44D" w14:textId="77777777" w:rsidTr="00DC1E36">
        <w:tc>
          <w:tcPr>
            <w:tcW w:w="1555" w:type="dxa"/>
          </w:tcPr>
          <w:p w14:paraId="57FA1165" w14:textId="77777777" w:rsidR="00D32B1F" w:rsidRPr="009A59D5" w:rsidRDefault="00D32B1F" w:rsidP="00187998">
            <w:pPr>
              <w:spacing w:after="0"/>
            </w:pPr>
            <w:r w:rsidRPr="009A59D5">
              <w:t>Credit</w:t>
            </w:r>
          </w:p>
        </w:tc>
        <w:tc>
          <w:tcPr>
            <w:tcW w:w="3090" w:type="dxa"/>
          </w:tcPr>
          <w:p w14:paraId="2F7A3CCA" w14:textId="77777777" w:rsidR="00D32B1F" w:rsidRPr="009A59D5" w:rsidRDefault="00D32B1F" w:rsidP="00AE7D4E">
            <w:r w:rsidRPr="009A59D5">
              <w:t>All transactions form a single core hedging set.</w:t>
            </w:r>
          </w:p>
          <w:p w14:paraId="7F7AD6D6" w14:textId="77777777" w:rsidR="00D32B1F" w:rsidRPr="009A59D5" w:rsidRDefault="00D32B1F" w:rsidP="00187998">
            <w:pPr>
              <w:spacing w:after="0"/>
            </w:pPr>
            <w:r w:rsidRPr="009A59D5">
              <w:t>The hedging set is further divided into separate categories for each reference entity, either single name or index.</w:t>
            </w:r>
          </w:p>
        </w:tc>
        <w:tc>
          <w:tcPr>
            <w:tcW w:w="3090" w:type="dxa"/>
          </w:tcPr>
          <w:p w14:paraId="2690DE8F" w14:textId="77777777" w:rsidR="00DC1E36" w:rsidRPr="009A59D5" w:rsidRDefault="00DC1E36" w:rsidP="00AE7D4E">
            <w:r w:rsidRPr="009A59D5">
              <w:t>Full offsetting is permitted within the same reference entity category within each hedging set.</w:t>
            </w:r>
          </w:p>
          <w:p w14:paraId="1EB6CF85" w14:textId="77777777" w:rsidR="00D32B1F" w:rsidRPr="009A59D5" w:rsidRDefault="00DC1E36" w:rsidP="00187998">
            <w:pPr>
              <w:spacing w:after="0"/>
            </w:pPr>
            <w:r w:rsidRPr="009A59D5">
              <w:t>Partial offsetting may be recognised across different reference entity categories within each hedging set.</w:t>
            </w:r>
          </w:p>
        </w:tc>
      </w:tr>
      <w:tr w:rsidR="00D32B1F" w:rsidRPr="009A59D5" w14:paraId="1C96200B" w14:textId="77777777" w:rsidTr="00DC1E36">
        <w:tc>
          <w:tcPr>
            <w:tcW w:w="1555" w:type="dxa"/>
          </w:tcPr>
          <w:p w14:paraId="559A46A6" w14:textId="77777777" w:rsidR="00D32B1F" w:rsidRPr="009A59D5" w:rsidRDefault="00D32B1F" w:rsidP="00187998">
            <w:pPr>
              <w:spacing w:after="0"/>
            </w:pPr>
            <w:r w:rsidRPr="009A59D5">
              <w:t>Equity</w:t>
            </w:r>
          </w:p>
        </w:tc>
        <w:tc>
          <w:tcPr>
            <w:tcW w:w="3090" w:type="dxa"/>
          </w:tcPr>
          <w:p w14:paraId="1A951EA1" w14:textId="77777777" w:rsidR="00D32B1F" w:rsidRPr="009A59D5" w:rsidRDefault="00D32B1F" w:rsidP="00AE7D4E">
            <w:r w:rsidRPr="009A59D5">
              <w:t>All transactions form a single core hedging set.</w:t>
            </w:r>
          </w:p>
          <w:p w14:paraId="65C4D589" w14:textId="77777777" w:rsidR="00D32B1F" w:rsidRPr="009A59D5" w:rsidRDefault="00D32B1F" w:rsidP="00187998">
            <w:pPr>
              <w:spacing w:after="0"/>
            </w:pPr>
            <w:r w:rsidRPr="009A59D5">
              <w:t>The hedging set is further divided into separate categories for each reference entity, either single name or index.</w:t>
            </w:r>
          </w:p>
        </w:tc>
        <w:tc>
          <w:tcPr>
            <w:tcW w:w="3090" w:type="dxa"/>
          </w:tcPr>
          <w:p w14:paraId="4B40DACF" w14:textId="77777777" w:rsidR="00DC1E36" w:rsidRPr="009A59D5" w:rsidRDefault="00DC1E36" w:rsidP="00AE7D4E">
            <w:r w:rsidRPr="009A59D5">
              <w:t>Full offsetting is permitted within the same reference entity category within each hedging set.</w:t>
            </w:r>
          </w:p>
          <w:p w14:paraId="12172293" w14:textId="77777777" w:rsidR="00D32B1F" w:rsidRPr="009A59D5" w:rsidRDefault="00DC1E36" w:rsidP="00187998">
            <w:pPr>
              <w:spacing w:after="0"/>
            </w:pPr>
            <w:r w:rsidRPr="009A59D5">
              <w:t>Partial offsetting may be recognised across different reference entity categories within each hedging set.</w:t>
            </w:r>
          </w:p>
        </w:tc>
      </w:tr>
      <w:tr w:rsidR="00D32B1F" w:rsidRPr="009A59D5" w14:paraId="38B6BA4B" w14:textId="77777777" w:rsidTr="00DC1E36">
        <w:tc>
          <w:tcPr>
            <w:tcW w:w="1555" w:type="dxa"/>
          </w:tcPr>
          <w:p w14:paraId="46581A24" w14:textId="77777777" w:rsidR="00D32B1F" w:rsidRPr="009A59D5" w:rsidRDefault="00D32B1F" w:rsidP="00187998">
            <w:pPr>
              <w:spacing w:after="0"/>
            </w:pPr>
            <w:r w:rsidRPr="009A59D5">
              <w:t>Commodity</w:t>
            </w:r>
          </w:p>
        </w:tc>
        <w:tc>
          <w:tcPr>
            <w:tcW w:w="3090" w:type="dxa"/>
          </w:tcPr>
          <w:p w14:paraId="3CEFB03E" w14:textId="2C7F4CC0" w:rsidR="00D32B1F" w:rsidRPr="009A59D5" w:rsidRDefault="00D32B1F" w:rsidP="00AE7D4E">
            <w:r w:rsidRPr="009A59D5">
              <w:t>A separate hedging set must be established for each of four broad groups of commodities:</w:t>
            </w:r>
          </w:p>
          <w:p w14:paraId="52491A35" w14:textId="77777777" w:rsidR="00D32B1F" w:rsidRPr="009A59D5" w:rsidRDefault="00D32B1F" w:rsidP="00187998">
            <w:pPr>
              <w:pStyle w:val="ListParagraph"/>
              <w:numPr>
                <w:ilvl w:val="0"/>
                <w:numId w:val="28"/>
              </w:numPr>
              <w:spacing w:after="0"/>
              <w:ind w:left="428"/>
            </w:pPr>
            <w:r w:rsidRPr="009A59D5">
              <w:t>e</w:t>
            </w:r>
            <w:r w:rsidR="00DC1E36" w:rsidRPr="009A59D5">
              <w:t>nergy</w:t>
            </w:r>
            <w:r w:rsidRPr="009A59D5">
              <w:t>;</w:t>
            </w:r>
            <w:r w:rsidR="00DC1E36" w:rsidRPr="009A59D5">
              <w:rPr>
                <w:rStyle w:val="FootnoteReference"/>
              </w:rPr>
              <w:footnoteReference w:id="34"/>
            </w:r>
          </w:p>
          <w:p w14:paraId="597F3B5E" w14:textId="7FF891C1" w:rsidR="00D32B1F" w:rsidRPr="009A59D5" w:rsidRDefault="00D32B1F" w:rsidP="00187998">
            <w:pPr>
              <w:pStyle w:val="ListParagraph"/>
              <w:numPr>
                <w:ilvl w:val="0"/>
                <w:numId w:val="28"/>
              </w:numPr>
              <w:spacing w:after="0"/>
              <w:ind w:left="428"/>
            </w:pPr>
            <w:r w:rsidRPr="009A59D5">
              <w:t>metals;</w:t>
            </w:r>
            <w:r w:rsidR="00E85A3D" w:rsidRPr="009A59D5">
              <w:rPr>
                <w:rStyle w:val="FootnoteReference"/>
              </w:rPr>
              <w:footnoteReference w:id="35"/>
            </w:r>
          </w:p>
          <w:p w14:paraId="0115765F" w14:textId="77777777" w:rsidR="00D32B1F" w:rsidRPr="009A59D5" w:rsidRDefault="00D32B1F" w:rsidP="00187998">
            <w:pPr>
              <w:pStyle w:val="ListParagraph"/>
              <w:numPr>
                <w:ilvl w:val="0"/>
                <w:numId w:val="28"/>
              </w:numPr>
              <w:spacing w:after="0"/>
              <w:ind w:left="428"/>
            </w:pPr>
            <w:r w:rsidRPr="009A59D5">
              <w:t xml:space="preserve">agricultural; and </w:t>
            </w:r>
          </w:p>
          <w:p w14:paraId="2F6AB93C" w14:textId="77777777" w:rsidR="00D32B1F" w:rsidRPr="009A59D5" w:rsidRDefault="00D32B1F" w:rsidP="00AE7D4E">
            <w:pPr>
              <w:pStyle w:val="ListParagraph"/>
              <w:numPr>
                <w:ilvl w:val="0"/>
                <w:numId w:val="28"/>
              </w:numPr>
              <w:ind w:left="428"/>
            </w:pPr>
            <w:r w:rsidRPr="009A59D5">
              <w:t>other commodities.</w:t>
            </w:r>
          </w:p>
          <w:p w14:paraId="2C50F868" w14:textId="77777777" w:rsidR="00D32B1F" w:rsidRPr="009A59D5" w:rsidRDefault="00D32B1F" w:rsidP="00187998">
            <w:pPr>
              <w:spacing w:after="0"/>
            </w:pPr>
            <w:r w:rsidRPr="009A59D5">
              <w:t>Each hedging set is further divided into separate ADI-</w:t>
            </w:r>
            <w:r w:rsidRPr="009A59D5">
              <w:lastRenderedPageBreak/>
              <w:t>defined categories based on commodity type.</w:t>
            </w:r>
          </w:p>
        </w:tc>
        <w:tc>
          <w:tcPr>
            <w:tcW w:w="3090" w:type="dxa"/>
          </w:tcPr>
          <w:p w14:paraId="3956894F" w14:textId="77777777" w:rsidR="00DC1E36" w:rsidRPr="009A59D5" w:rsidRDefault="00DC1E36" w:rsidP="00AE7D4E">
            <w:r w:rsidRPr="009A59D5">
              <w:lastRenderedPageBreak/>
              <w:t>Full offsetting is permitted in the same commodity type category within each hedging set.</w:t>
            </w:r>
          </w:p>
          <w:p w14:paraId="47DE5D86" w14:textId="77777777" w:rsidR="00D32B1F" w:rsidRPr="009A59D5" w:rsidRDefault="00DC1E36" w:rsidP="00187998">
            <w:pPr>
              <w:spacing w:after="0"/>
            </w:pPr>
            <w:r w:rsidRPr="009A59D5">
              <w:t>Partial offsetting may be recognised across different commodity type categories within each hedging set.</w:t>
            </w:r>
          </w:p>
        </w:tc>
      </w:tr>
    </w:tbl>
    <w:p w14:paraId="55159634" w14:textId="77777777" w:rsidR="00C141D1" w:rsidRPr="009A59D5" w:rsidRDefault="00C141D1" w:rsidP="00187998">
      <w:pPr>
        <w:pStyle w:val="BodyText1"/>
        <w:numPr>
          <w:ilvl w:val="0"/>
          <w:numId w:val="0"/>
        </w:numPr>
        <w:spacing w:after="120"/>
        <w:ind w:left="567"/>
      </w:pPr>
    </w:p>
    <w:p w14:paraId="38302341" w14:textId="77777777" w:rsidR="00DC1E36" w:rsidRPr="009A59D5" w:rsidRDefault="00DC1E36" w:rsidP="00DC1E36">
      <w:pPr>
        <w:pStyle w:val="Heading3"/>
      </w:pPr>
      <w:bookmarkStart w:id="360" w:name="_Toc460331447"/>
      <w:bookmarkStart w:id="361" w:name="_Toc461692111"/>
      <w:bookmarkStart w:id="362" w:name="_Toc487712239"/>
      <w:bookmarkStart w:id="363" w:name="_Toc488397540"/>
      <w:bookmarkStart w:id="364" w:name="_Toc488398100"/>
      <w:bookmarkStart w:id="365" w:name="_Toc489463937"/>
      <w:bookmarkStart w:id="366" w:name="_Toc507406230"/>
      <w:bookmarkStart w:id="367" w:name="_Toc507406302"/>
      <w:bookmarkStart w:id="368" w:name="_Toc507406415"/>
      <w:r w:rsidRPr="009A59D5">
        <w:t>Allocation of a transaction to one or more asset classes</w:t>
      </w:r>
      <w:bookmarkEnd w:id="360"/>
      <w:bookmarkEnd w:id="361"/>
      <w:bookmarkEnd w:id="362"/>
      <w:bookmarkEnd w:id="363"/>
      <w:bookmarkEnd w:id="364"/>
      <w:bookmarkEnd w:id="365"/>
      <w:bookmarkEnd w:id="366"/>
      <w:bookmarkEnd w:id="367"/>
      <w:bookmarkEnd w:id="368"/>
    </w:p>
    <w:p w14:paraId="29C550B4" w14:textId="77777777" w:rsidR="00DC1E36" w:rsidRPr="009A59D5" w:rsidRDefault="00DC1E36" w:rsidP="00DC1E36">
      <w:pPr>
        <w:pStyle w:val="BodyText1"/>
      </w:pPr>
      <w:bookmarkStart w:id="369" w:name="_Ref461099038"/>
      <w:r w:rsidRPr="009A59D5">
        <w:t>An ADI must treat transactions with multiple risk factors in a consistent manner. When a transaction is exposed to multiple risk factors referencing multiple asset classes (</w:t>
      </w:r>
      <w:proofErr w:type="gramStart"/>
      <w:r w:rsidRPr="009A59D5">
        <w:t>e.g.</w:t>
      </w:r>
      <w:proofErr w:type="gramEnd"/>
      <w:r w:rsidRPr="009A59D5">
        <w:t xml:space="preserve"> multi-asset or hybrid derivative transactions), an ADI must:</w:t>
      </w:r>
      <w:bookmarkEnd w:id="369"/>
    </w:p>
    <w:p w14:paraId="11B5C5F0" w14:textId="77777777" w:rsidR="00DC1E36" w:rsidRPr="009A59D5" w:rsidRDefault="00DC1E36" w:rsidP="002F03FF">
      <w:pPr>
        <w:pStyle w:val="BodyText2"/>
      </w:pPr>
      <w:r w:rsidRPr="009A59D5">
        <w:t xml:space="preserve">measure and record the sensitivities and volatilities of each risk factor of that </w:t>
      </w:r>
      <w:proofErr w:type="gramStart"/>
      <w:r w:rsidRPr="009A59D5">
        <w:t>transaction;</w:t>
      </w:r>
      <w:proofErr w:type="gramEnd"/>
    </w:p>
    <w:p w14:paraId="057732AD" w14:textId="77777777" w:rsidR="00DC1E36" w:rsidRPr="009A59D5" w:rsidRDefault="00DC1E36" w:rsidP="002F03FF">
      <w:pPr>
        <w:pStyle w:val="BodyText2"/>
      </w:pPr>
      <w:r w:rsidRPr="009A59D5">
        <w:t>repeat the process at regular intervals or when substantial market movements take place; and</w:t>
      </w:r>
    </w:p>
    <w:p w14:paraId="48DFC9F3" w14:textId="77777777" w:rsidR="00DC1E36" w:rsidRPr="009A59D5" w:rsidRDefault="00DC1E36" w:rsidP="002F03FF">
      <w:pPr>
        <w:pStyle w:val="BodyText2"/>
      </w:pPr>
      <w:r w:rsidRPr="009A59D5">
        <w:t>assign the transaction to:</w:t>
      </w:r>
    </w:p>
    <w:p w14:paraId="4C534478" w14:textId="77777777" w:rsidR="00DC1E36" w:rsidRPr="009A59D5" w:rsidRDefault="00DC1E36" w:rsidP="002F03FF">
      <w:pPr>
        <w:pStyle w:val="BodyText3"/>
      </w:pPr>
      <w:r w:rsidRPr="009A59D5">
        <w:t>a single asset class where the ADI has determined that the transaction has a primary risk factor that is the clear main driver of profit and loss (P&amp;L) volatility based on sensitivities and risk factor volatilities; or</w:t>
      </w:r>
    </w:p>
    <w:p w14:paraId="31769D97" w14:textId="77777777" w:rsidR="00DC1E36" w:rsidRPr="009A59D5" w:rsidRDefault="00DC1E36" w:rsidP="002F03FF">
      <w:pPr>
        <w:pStyle w:val="BodyText3"/>
      </w:pPr>
      <w:r w:rsidRPr="009A59D5">
        <w:t>all applicable asset classes where the transaction does not have a primary risk factor and multiple risk factors are significant drivers of P&amp;L volatility based on sensitivities and risk factor volatilities, except where APRA has granted approval to assign the transaction to a single asset class.</w:t>
      </w:r>
    </w:p>
    <w:p w14:paraId="2E887635" w14:textId="77777777" w:rsidR="00DC1E36" w:rsidRPr="009A59D5" w:rsidRDefault="00DC1E36" w:rsidP="002F03FF">
      <w:pPr>
        <w:pStyle w:val="Heading3"/>
      </w:pPr>
      <w:bookmarkStart w:id="370" w:name="_Toc460331448"/>
      <w:bookmarkStart w:id="371" w:name="_Toc461692112"/>
      <w:bookmarkStart w:id="372" w:name="_Toc487712240"/>
      <w:bookmarkStart w:id="373" w:name="_Toc488397541"/>
      <w:bookmarkStart w:id="374" w:name="_Toc488398101"/>
      <w:bookmarkStart w:id="375" w:name="_Toc489463938"/>
      <w:bookmarkStart w:id="376" w:name="_Toc507406231"/>
      <w:bookmarkStart w:id="377" w:name="_Toc507406303"/>
      <w:bookmarkStart w:id="378" w:name="_Toc507406416"/>
      <w:r w:rsidRPr="009A59D5">
        <w:t>Definition and notation of key parameters</w:t>
      </w:r>
      <w:bookmarkEnd w:id="370"/>
      <w:bookmarkEnd w:id="371"/>
      <w:bookmarkEnd w:id="372"/>
      <w:bookmarkEnd w:id="373"/>
      <w:bookmarkEnd w:id="374"/>
      <w:bookmarkEnd w:id="375"/>
      <w:bookmarkEnd w:id="376"/>
      <w:bookmarkEnd w:id="377"/>
      <w:bookmarkEnd w:id="378"/>
    </w:p>
    <w:p w14:paraId="442BAC9D" w14:textId="6C8EF488" w:rsidR="00DC1E36" w:rsidRPr="009A59D5" w:rsidRDefault="00DC1E36" w:rsidP="00DC1E36">
      <w:pPr>
        <w:pStyle w:val="BodyText1"/>
      </w:pPr>
      <w:bookmarkStart w:id="379" w:name="_Ref460313792"/>
      <w:r w:rsidRPr="009A59D5">
        <w:t>An ADI must</w:t>
      </w:r>
      <w:r w:rsidR="002F03FF" w:rsidRPr="009A59D5">
        <w:t xml:space="preserve"> use the definitions in </w:t>
      </w:r>
      <w:r w:rsidR="004745D9" w:rsidRPr="009A59D5">
        <w:fldChar w:fldCharType="begin"/>
      </w:r>
      <w:r w:rsidR="004745D9" w:rsidRPr="009A59D5">
        <w:instrText xml:space="preserve"> REF _Ref460252296 \h </w:instrText>
      </w:r>
      <w:r w:rsidR="00365041" w:rsidRPr="009A59D5">
        <w:instrText xml:space="preserve"> \* MERGEFORMAT </w:instrText>
      </w:r>
      <w:r w:rsidR="004745D9" w:rsidRPr="009A59D5">
        <w:fldChar w:fldCharType="separate"/>
      </w:r>
      <w:r w:rsidR="00B401AE" w:rsidRPr="009A59D5">
        <w:t xml:space="preserve">Table </w:t>
      </w:r>
      <w:r w:rsidR="00B401AE">
        <w:rPr>
          <w:noProof/>
        </w:rPr>
        <w:t>3</w:t>
      </w:r>
      <w:r w:rsidR="004745D9" w:rsidRPr="009A59D5">
        <w:fldChar w:fldCharType="end"/>
      </w:r>
      <w:r w:rsidR="004745D9" w:rsidRPr="009A59D5">
        <w:t xml:space="preserve"> </w:t>
      </w:r>
      <w:r w:rsidRPr="009A59D5">
        <w:t xml:space="preserve">and paragraphs </w:t>
      </w:r>
      <w:r w:rsidR="00B342DD" w:rsidRPr="009A59D5">
        <w:fldChar w:fldCharType="begin"/>
      </w:r>
      <w:r w:rsidR="00B342DD" w:rsidRPr="009A59D5">
        <w:instrText xml:space="preserve"> REF _Ref460313856 \r \h </w:instrText>
      </w:r>
      <w:r w:rsidR="00365041" w:rsidRPr="009A59D5">
        <w:instrText xml:space="preserve"> \* MERGEFORMAT </w:instrText>
      </w:r>
      <w:r w:rsidR="00B342DD" w:rsidRPr="009A59D5">
        <w:fldChar w:fldCharType="separate"/>
      </w:r>
      <w:r w:rsidR="00B401AE">
        <w:t>42</w:t>
      </w:r>
      <w:r w:rsidR="00B342DD" w:rsidRPr="009A59D5">
        <w:fldChar w:fldCharType="end"/>
      </w:r>
      <w:r w:rsidRPr="009A59D5">
        <w:t xml:space="preserve"> to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Pr="009A59D5">
        <w:t xml:space="preserve"> of this Attachment when calculating the PFE add-ons. Transaction-level parameters are denoted with subscript</w:t>
      </w:r>
      <w:r w:rsidR="000E6D30">
        <w:t xml:space="preserve"> </w:t>
      </w:r>
      <w:proofErr w:type="spellStart"/>
      <w:r w:rsidR="000E6D30">
        <w:rPr>
          <w:i/>
        </w:rPr>
        <w:t>i</w:t>
      </w:r>
      <w:proofErr w:type="spellEnd"/>
      <w:r w:rsidRPr="009A59D5">
        <w:t xml:space="preserve"> representing transaction </w:t>
      </w:r>
      <w:bookmarkEnd w:id="379"/>
      <w:proofErr w:type="spellStart"/>
      <w:r w:rsidR="000E6D30">
        <w:rPr>
          <w:i/>
        </w:rPr>
        <w:t>i</w:t>
      </w:r>
      <w:proofErr w:type="spellEnd"/>
      <w:r w:rsidR="000E6D30">
        <w:rPr>
          <w:i/>
        </w:rPr>
        <w:t>.</w:t>
      </w:r>
      <w:r w:rsidR="00C06AB9" w:rsidRPr="009A59D5">
        <w:rPr>
          <w:rStyle w:val="FootnoteReference"/>
        </w:rPr>
        <w:footnoteReference w:id="36"/>
      </w:r>
    </w:p>
    <w:p w14:paraId="5A89E950" w14:textId="36F2DE6A" w:rsidR="00DC1E36" w:rsidRPr="009A59D5" w:rsidRDefault="00DC1E36" w:rsidP="00194686">
      <w:pPr>
        <w:pStyle w:val="BodyText1"/>
        <w:numPr>
          <w:ilvl w:val="0"/>
          <w:numId w:val="0"/>
        </w:numPr>
        <w:ind w:left="567"/>
      </w:pPr>
      <w:bookmarkStart w:id="380" w:name="_Ref460252296"/>
      <w:r w:rsidRPr="009A59D5">
        <w:t xml:space="preserve">Table </w:t>
      </w:r>
      <w:r w:rsidR="00744650">
        <w:fldChar w:fldCharType="begin"/>
      </w:r>
      <w:r w:rsidR="00744650">
        <w:instrText xml:space="preserve"> SEQ Table \* ARABIC \* MERGEFORMAT </w:instrText>
      </w:r>
      <w:r w:rsidR="00744650">
        <w:fldChar w:fldCharType="separate"/>
      </w:r>
      <w:r w:rsidR="00B401AE">
        <w:rPr>
          <w:noProof/>
        </w:rPr>
        <w:t>3</w:t>
      </w:r>
      <w:r w:rsidR="00744650">
        <w:rPr>
          <w:noProof/>
        </w:rPr>
        <w:fldChar w:fldCharType="end"/>
      </w:r>
      <w:bookmarkEnd w:id="380"/>
      <w:r w:rsidRPr="009A59D5">
        <w:t>: Definition of transaction-level and supervisory parameters</w:t>
      </w:r>
    </w:p>
    <w:tbl>
      <w:tblPr>
        <w:tblStyle w:val="TableGrid"/>
        <w:tblW w:w="0" w:type="auto"/>
        <w:tblInd w:w="567" w:type="dxa"/>
        <w:tblLook w:val="04A0" w:firstRow="1" w:lastRow="0" w:firstColumn="1" w:lastColumn="0" w:noHBand="0" w:noVBand="1"/>
      </w:tblPr>
      <w:tblGrid>
        <w:gridCol w:w="1129"/>
        <w:gridCol w:w="2127"/>
        <w:gridCol w:w="4479"/>
      </w:tblGrid>
      <w:tr w:rsidR="00090D00" w:rsidRPr="009A59D5" w14:paraId="5B0E48B2" w14:textId="77777777" w:rsidTr="00EB512E">
        <w:trPr>
          <w:tblHeader/>
        </w:trPr>
        <w:tc>
          <w:tcPr>
            <w:tcW w:w="1129" w:type="dxa"/>
          </w:tcPr>
          <w:p w14:paraId="77C87993" w14:textId="77777777" w:rsidR="004745D9" w:rsidRPr="009A59D5" w:rsidRDefault="004745D9" w:rsidP="00E0278B">
            <w:pPr>
              <w:pStyle w:val="BodyText1"/>
              <w:numPr>
                <w:ilvl w:val="0"/>
                <w:numId w:val="0"/>
              </w:numPr>
              <w:jc w:val="center"/>
              <w:rPr>
                <w:b/>
              </w:rPr>
            </w:pPr>
            <w:r w:rsidRPr="009A59D5">
              <w:rPr>
                <w:b/>
              </w:rPr>
              <w:t>Symbol</w:t>
            </w:r>
          </w:p>
        </w:tc>
        <w:tc>
          <w:tcPr>
            <w:tcW w:w="2127" w:type="dxa"/>
          </w:tcPr>
          <w:p w14:paraId="60ED0299" w14:textId="77777777" w:rsidR="004745D9" w:rsidRPr="009A59D5" w:rsidRDefault="004745D9" w:rsidP="00E0278B">
            <w:pPr>
              <w:pStyle w:val="BodyText1"/>
              <w:numPr>
                <w:ilvl w:val="0"/>
                <w:numId w:val="0"/>
              </w:numPr>
              <w:jc w:val="center"/>
              <w:rPr>
                <w:b/>
              </w:rPr>
            </w:pPr>
            <w:r w:rsidRPr="009A59D5">
              <w:rPr>
                <w:b/>
              </w:rPr>
              <w:t>Parameter</w:t>
            </w:r>
          </w:p>
        </w:tc>
        <w:tc>
          <w:tcPr>
            <w:tcW w:w="4479" w:type="dxa"/>
          </w:tcPr>
          <w:p w14:paraId="7F898DB5" w14:textId="77777777" w:rsidR="004745D9" w:rsidRPr="009A59D5" w:rsidRDefault="004745D9" w:rsidP="00E0278B">
            <w:pPr>
              <w:pStyle w:val="BodyText1"/>
              <w:numPr>
                <w:ilvl w:val="0"/>
                <w:numId w:val="0"/>
              </w:numPr>
              <w:jc w:val="center"/>
              <w:rPr>
                <w:b/>
              </w:rPr>
            </w:pPr>
            <w:r w:rsidRPr="009A59D5">
              <w:rPr>
                <w:b/>
              </w:rPr>
              <w:t>Definition</w:t>
            </w:r>
          </w:p>
        </w:tc>
      </w:tr>
      <w:tr w:rsidR="00090D00" w:rsidRPr="009A59D5" w14:paraId="0D1133DD" w14:textId="77777777" w:rsidTr="00090D00">
        <w:tc>
          <w:tcPr>
            <w:tcW w:w="1129" w:type="dxa"/>
          </w:tcPr>
          <w:p w14:paraId="4E07BCE4" w14:textId="28DC6B16" w:rsidR="004745D9" w:rsidRPr="000E6D30" w:rsidRDefault="000E6D30" w:rsidP="000E6D30">
            <w:pPr>
              <w:pStyle w:val="BodyText1"/>
              <w:numPr>
                <w:ilvl w:val="0"/>
                <w:numId w:val="0"/>
              </w:numPr>
              <w:jc w:val="center"/>
              <w:rPr>
                <w:i/>
                <w:vertAlign w:val="superscript"/>
              </w:rPr>
            </w:pPr>
            <w:proofErr w:type="spellStart"/>
            <w:r>
              <w:rPr>
                <w:i/>
              </w:rPr>
              <w:t>d</w:t>
            </w:r>
            <w:r>
              <w:rPr>
                <w:i/>
                <w:vertAlign w:val="subscript"/>
              </w:rPr>
              <w:t>i</w:t>
            </w:r>
            <w:r>
              <w:rPr>
                <w:i/>
                <w:vertAlign w:val="superscript"/>
              </w:rPr>
              <w:t>a</w:t>
            </w:r>
            <w:proofErr w:type="spellEnd"/>
          </w:p>
        </w:tc>
        <w:tc>
          <w:tcPr>
            <w:tcW w:w="2127" w:type="dxa"/>
          </w:tcPr>
          <w:p w14:paraId="19E643B5" w14:textId="77777777" w:rsidR="00090D00" w:rsidRPr="009A59D5" w:rsidRDefault="00090D00" w:rsidP="00090D00">
            <w:pPr>
              <w:pStyle w:val="BodyText1"/>
              <w:numPr>
                <w:ilvl w:val="0"/>
                <w:numId w:val="0"/>
              </w:numPr>
              <w:jc w:val="left"/>
            </w:pPr>
            <w:r w:rsidRPr="009A59D5">
              <w:t xml:space="preserve">Adjusted notional </w:t>
            </w:r>
            <w:proofErr w:type="gramStart"/>
            <w:r w:rsidRPr="009A59D5">
              <w:t>amount</w:t>
            </w:r>
            <w:proofErr w:type="gramEnd"/>
            <w:r w:rsidRPr="009A59D5">
              <w:t xml:space="preserve"> </w:t>
            </w:r>
          </w:p>
          <w:p w14:paraId="31C0382B" w14:textId="008E6967" w:rsidR="004745D9" w:rsidRPr="009A59D5" w:rsidRDefault="00090D00" w:rsidP="00AD61FC">
            <w:pPr>
              <w:pStyle w:val="BodyText1"/>
              <w:numPr>
                <w:ilvl w:val="0"/>
                <w:numId w:val="0"/>
              </w:numPr>
              <w:spacing w:after="0"/>
              <w:jc w:val="left"/>
            </w:pPr>
            <w:r w:rsidRPr="009A59D5">
              <w:t>(</w:t>
            </w:r>
            <w:proofErr w:type="gramStart"/>
            <w:r w:rsidR="00AD61FC" w:rsidRPr="009A59D5">
              <w:t>refer</w:t>
            </w:r>
            <w:proofErr w:type="gramEnd"/>
            <w:r w:rsidR="00AD61FC" w:rsidRPr="009A59D5">
              <w:t xml:space="preserve"> to</w:t>
            </w:r>
            <w:r w:rsidRPr="009A59D5">
              <w:t xml:space="preserve"> paragraph </w:t>
            </w:r>
            <w:r w:rsidR="00B342DD" w:rsidRPr="009A59D5">
              <w:fldChar w:fldCharType="begin"/>
            </w:r>
            <w:r w:rsidR="00B342DD" w:rsidRPr="009A59D5">
              <w:instrText xml:space="preserve"> REF _Ref460313856 \r \h </w:instrText>
            </w:r>
            <w:r w:rsidR="0016540D" w:rsidRPr="009A59D5">
              <w:instrText xml:space="preserve"> \* MERGEFORMAT </w:instrText>
            </w:r>
            <w:r w:rsidR="00B342DD" w:rsidRPr="009A59D5">
              <w:fldChar w:fldCharType="separate"/>
            </w:r>
            <w:r w:rsidR="00B401AE">
              <w:t>42</w:t>
            </w:r>
            <w:r w:rsidR="00B342DD" w:rsidRPr="009A59D5">
              <w:fldChar w:fldCharType="end"/>
            </w:r>
            <w:r w:rsidRPr="009A59D5">
              <w:t>)</w:t>
            </w:r>
          </w:p>
        </w:tc>
        <w:tc>
          <w:tcPr>
            <w:tcW w:w="4479" w:type="dxa"/>
          </w:tcPr>
          <w:p w14:paraId="3637930D" w14:textId="41421D60" w:rsidR="004745D9" w:rsidRPr="009A59D5" w:rsidRDefault="00090D00" w:rsidP="00090D00">
            <w:pPr>
              <w:pStyle w:val="BodyText1"/>
              <w:numPr>
                <w:ilvl w:val="0"/>
                <w:numId w:val="0"/>
              </w:numPr>
              <w:jc w:val="left"/>
            </w:pPr>
            <w:r w:rsidRPr="009A59D5">
              <w:t xml:space="preserve">The transaction-level adjusted notional amount for transaction </w:t>
            </w:r>
            <w:proofErr w:type="spellStart"/>
            <w:r w:rsidR="000E6D30">
              <w:rPr>
                <w:i/>
              </w:rPr>
              <w:t>i</w:t>
            </w:r>
            <w:proofErr w:type="spellEnd"/>
            <w:r w:rsidRPr="009A59D5">
              <w:t xml:space="preserve"> belonging to asset class </w:t>
            </w:r>
            <w:r w:rsidR="000E6D30">
              <w:rPr>
                <w:i/>
              </w:rPr>
              <w:t>a</w:t>
            </w:r>
            <w:r w:rsidRPr="009A59D5">
              <w:t>.</w:t>
            </w:r>
          </w:p>
        </w:tc>
      </w:tr>
      <w:tr w:rsidR="00090D00" w:rsidRPr="009A59D5" w14:paraId="559F7CF1" w14:textId="77777777" w:rsidTr="00090D00">
        <w:tc>
          <w:tcPr>
            <w:tcW w:w="1129" w:type="dxa"/>
          </w:tcPr>
          <w:p w14:paraId="67FF6C77" w14:textId="478EF17A" w:rsidR="004745D9" w:rsidRPr="000E6D30" w:rsidRDefault="000E6D30" w:rsidP="000E6D30">
            <w:pPr>
              <w:pStyle w:val="BodyText1"/>
              <w:numPr>
                <w:ilvl w:val="0"/>
                <w:numId w:val="0"/>
              </w:numPr>
              <w:jc w:val="center"/>
              <w:rPr>
                <w:i/>
                <w:vertAlign w:val="subscript"/>
              </w:rPr>
            </w:pPr>
            <w:proofErr w:type="spellStart"/>
            <w:r>
              <w:rPr>
                <w:i/>
              </w:rPr>
              <w:t>MF</w:t>
            </w:r>
            <w:r>
              <w:rPr>
                <w:i/>
                <w:vertAlign w:val="subscript"/>
              </w:rPr>
              <w:t>i</w:t>
            </w:r>
            <w:proofErr w:type="spellEnd"/>
          </w:p>
        </w:tc>
        <w:tc>
          <w:tcPr>
            <w:tcW w:w="2127" w:type="dxa"/>
          </w:tcPr>
          <w:p w14:paraId="4CF10080" w14:textId="77777777" w:rsidR="00090D00" w:rsidRPr="009A59D5" w:rsidRDefault="00090D00" w:rsidP="00090D00">
            <w:pPr>
              <w:pStyle w:val="BodyText1"/>
              <w:numPr>
                <w:ilvl w:val="0"/>
                <w:numId w:val="0"/>
              </w:numPr>
              <w:jc w:val="left"/>
            </w:pPr>
            <w:r w:rsidRPr="009A59D5">
              <w:t xml:space="preserve">Maturity factor </w:t>
            </w:r>
          </w:p>
          <w:p w14:paraId="54ACFE39" w14:textId="0AF43770" w:rsidR="004745D9" w:rsidRPr="009A59D5" w:rsidRDefault="00090D00" w:rsidP="00AD61FC">
            <w:pPr>
              <w:pStyle w:val="BodyText1"/>
              <w:numPr>
                <w:ilvl w:val="0"/>
                <w:numId w:val="0"/>
              </w:numPr>
              <w:jc w:val="left"/>
            </w:pPr>
            <w:r w:rsidRPr="009A59D5">
              <w:t>(</w:t>
            </w:r>
            <w:proofErr w:type="gramStart"/>
            <w:r w:rsidR="00AD61FC" w:rsidRPr="009A59D5">
              <w:t>refer</w:t>
            </w:r>
            <w:proofErr w:type="gramEnd"/>
            <w:r w:rsidR="00AD61FC" w:rsidRPr="009A59D5">
              <w:t xml:space="preserve"> to</w:t>
            </w:r>
            <w:r w:rsidRPr="009A59D5">
              <w:t xml:space="preserve"> paragraph </w:t>
            </w:r>
            <w:r w:rsidR="00B342DD" w:rsidRPr="009A59D5">
              <w:fldChar w:fldCharType="begin"/>
            </w:r>
            <w:r w:rsidR="00B342DD" w:rsidRPr="009A59D5">
              <w:instrText xml:space="preserve"> REF _Ref460259374 \r \h </w:instrText>
            </w:r>
            <w:r w:rsidR="00365041" w:rsidRPr="009A59D5">
              <w:instrText xml:space="preserve"> \* MERGEFORMAT </w:instrText>
            </w:r>
            <w:r w:rsidR="00B342DD" w:rsidRPr="009A59D5">
              <w:fldChar w:fldCharType="separate"/>
            </w:r>
            <w:r w:rsidR="00B401AE">
              <w:t>48</w:t>
            </w:r>
            <w:r w:rsidR="00B342DD" w:rsidRPr="009A59D5">
              <w:fldChar w:fldCharType="end"/>
            </w:r>
            <w:r w:rsidRPr="009A59D5">
              <w:t>)</w:t>
            </w:r>
          </w:p>
        </w:tc>
        <w:tc>
          <w:tcPr>
            <w:tcW w:w="4479" w:type="dxa"/>
          </w:tcPr>
          <w:p w14:paraId="0BA1B4BD" w14:textId="7330628A" w:rsidR="004745D9" w:rsidRPr="009A59D5" w:rsidRDefault="00090D00" w:rsidP="00187998">
            <w:pPr>
              <w:pStyle w:val="BodyText1"/>
              <w:numPr>
                <w:ilvl w:val="0"/>
                <w:numId w:val="0"/>
              </w:numPr>
              <w:spacing w:after="0"/>
              <w:jc w:val="left"/>
            </w:pPr>
            <w:r w:rsidRPr="009A59D5">
              <w:t xml:space="preserve">A multiplier used in determining the effective notional amount for transaction </w:t>
            </w:r>
            <w:proofErr w:type="spellStart"/>
            <w:r w:rsidR="000E6D30">
              <w:rPr>
                <w:i/>
              </w:rPr>
              <w:t>i</w:t>
            </w:r>
            <w:proofErr w:type="spellEnd"/>
            <w:r w:rsidRPr="009A59D5">
              <w:t>. The maturity factor is calculated differently for margined and unmargined transactions.</w:t>
            </w:r>
          </w:p>
        </w:tc>
      </w:tr>
      <w:tr w:rsidR="00090D00" w:rsidRPr="009A59D5" w14:paraId="36F084ED" w14:textId="77777777" w:rsidTr="00090D00">
        <w:tc>
          <w:tcPr>
            <w:tcW w:w="1129" w:type="dxa"/>
          </w:tcPr>
          <w:p w14:paraId="628911ED" w14:textId="03365EAD" w:rsidR="004745D9" w:rsidRPr="000E6D30" w:rsidRDefault="000E6D30" w:rsidP="000E6D30">
            <w:pPr>
              <w:pStyle w:val="BodyText1"/>
              <w:numPr>
                <w:ilvl w:val="0"/>
                <w:numId w:val="0"/>
              </w:numPr>
              <w:jc w:val="center"/>
              <w:rPr>
                <w:i/>
                <w:vertAlign w:val="subscript"/>
              </w:rPr>
            </w:pPr>
            <w:r w:rsidRPr="000E6D30">
              <w:rPr>
                <w:i/>
              </w:rPr>
              <w:lastRenderedPageBreak/>
              <w:t>ẟ</w:t>
            </w:r>
            <w:proofErr w:type="spellStart"/>
            <w:r>
              <w:rPr>
                <w:i/>
                <w:vertAlign w:val="subscript"/>
              </w:rPr>
              <w:t>i</w:t>
            </w:r>
            <w:proofErr w:type="spellEnd"/>
          </w:p>
        </w:tc>
        <w:tc>
          <w:tcPr>
            <w:tcW w:w="2127" w:type="dxa"/>
          </w:tcPr>
          <w:p w14:paraId="3F818BE9" w14:textId="77777777" w:rsidR="004745D9" w:rsidRPr="009A59D5" w:rsidRDefault="00090D00" w:rsidP="00090D00">
            <w:pPr>
              <w:pStyle w:val="BodyText1"/>
              <w:numPr>
                <w:ilvl w:val="0"/>
                <w:numId w:val="0"/>
              </w:numPr>
              <w:jc w:val="left"/>
            </w:pPr>
            <w:r w:rsidRPr="009A59D5">
              <w:t>Supervisory delta adjustment</w:t>
            </w:r>
          </w:p>
          <w:p w14:paraId="67E1492D" w14:textId="74BFBD21" w:rsidR="00090D00" w:rsidRPr="009A59D5" w:rsidRDefault="00090D00" w:rsidP="00AD61FC">
            <w:pPr>
              <w:pStyle w:val="BodyText1"/>
              <w:numPr>
                <w:ilvl w:val="0"/>
                <w:numId w:val="0"/>
              </w:numPr>
              <w:spacing w:after="0"/>
              <w:jc w:val="left"/>
            </w:pPr>
            <w:r w:rsidRPr="009A59D5">
              <w:t>(</w:t>
            </w:r>
            <w:proofErr w:type="gramStart"/>
            <w:r w:rsidR="00AD61FC" w:rsidRPr="009A59D5">
              <w:t>refer</w:t>
            </w:r>
            <w:proofErr w:type="gramEnd"/>
            <w:r w:rsidR="00AD61FC" w:rsidRPr="009A59D5">
              <w:t xml:space="preserve"> to</w:t>
            </w:r>
            <w:r w:rsidRPr="009A59D5">
              <w:t xml:space="preserve"> paragraph</w:t>
            </w:r>
            <w:r w:rsidR="00B342DD" w:rsidRPr="009A59D5">
              <w:t>s</w:t>
            </w:r>
            <w:r w:rsidRPr="009A59D5">
              <w:t xml:space="preserve"> </w:t>
            </w:r>
            <w:r w:rsidR="00B342DD" w:rsidRPr="009A59D5">
              <w:fldChar w:fldCharType="begin"/>
            </w:r>
            <w:r w:rsidR="00B342DD" w:rsidRPr="009A59D5">
              <w:instrText xml:space="preserve"> REF _Ref460313888 \r \h </w:instrText>
            </w:r>
            <w:r w:rsidR="00365041" w:rsidRPr="009A59D5">
              <w:instrText xml:space="preserve"> \* MERGEFORMAT </w:instrText>
            </w:r>
            <w:r w:rsidR="00B342DD" w:rsidRPr="009A59D5">
              <w:fldChar w:fldCharType="separate"/>
            </w:r>
            <w:r w:rsidR="00B401AE">
              <w:t>43</w:t>
            </w:r>
            <w:r w:rsidR="00B342DD" w:rsidRPr="009A59D5">
              <w:fldChar w:fldCharType="end"/>
            </w:r>
            <w:r w:rsidR="00B342DD" w:rsidRPr="009A59D5">
              <w:t xml:space="preserve"> to </w:t>
            </w:r>
            <w:r w:rsidR="005D766C" w:rsidRPr="009A59D5">
              <w:t>47</w:t>
            </w:r>
            <w:r w:rsidRPr="009A59D5">
              <w:t>)</w:t>
            </w:r>
          </w:p>
        </w:tc>
        <w:tc>
          <w:tcPr>
            <w:tcW w:w="4479" w:type="dxa"/>
          </w:tcPr>
          <w:p w14:paraId="48C133E4" w14:textId="77061A5E" w:rsidR="004745D9" w:rsidRPr="009A59D5" w:rsidRDefault="00AB46AB" w:rsidP="00090D00">
            <w:pPr>
              <w:pStyle w:val="BodyText1"/>
              <w:numPr>
                <w:ilvl w:val="0"/>
                <w:numId w:val="0"/>
              </w:numPr>
              <w:jc w:val="left"/>
            </w:pPr>
            <w:r w:rsidRPr="009A59D5">
              <w:t xml:space="preserve">A transaction-level supervisory delta adjustment reflecting the direction and non-linearity of transaction </w:t>
            </w:r>
            <w:proofErr w:type="spellStart"/>
            <w:r w:rsidR="000E6D30">
              <w:rPr>
                <w:i/>
              </w:rPr>
              <w:t>i</w:t>
            </w:r>
            <w:proofErr w:type="spellEnd"/>
            <w:r w:rsidRPr="009A59D5">
              <w:t>.</w:t>
            </w:r>
          </w:p>
        </w:tc>
      </w:tr>
      <w:tr w:rsidR="00090D00" w:rsidRPr="009A59D5" w14:paraId="45E550BC" w14:textId="77777777" w:rsidTr="00090D00">
        <w:tc>
          <w:tcPr>
            <w:tcW w:w="1129" w:type="dxa"/>
          </w:tcPr>
          <w:p w14:paraId="44283C6F" w14:textId="452CAA3D" w:rsidR="004745D9" w:rsidRPr="000E6D30" w:rsidRDefault="000E6D30" w:rsidP="000E6D30">
            <w:pPr>
              <w:pStyle w:val="BodyText1"/>
              <w:numPr>
                <w:ilvl w:val="0"/>
                <w:numId w:val="0"/>
              </w:numPr>
              <w:jc w:val="center"/>
              <w:rPr>
                <w:i/>
                <w:vertAlign w:val="superscript"/>
              </w:rPr>
            </w:pPr>
            <w:r>
              <w:rPr>
                <w:i/>
              </w:rPr>
              <w:t>p</w:t>
            </w:r>
            <w:r>
              <w:rPr>
                <w:i/>
                <w:vertAlign w:val="superscript"/>
              </w:rPr>
              <w:t>a</w:t>
            </w:r>
          </w:p>
        </w:tc>
        <w:tc>
          <w:tcPr>
            <w:tcW w:w="2127" w:type="dxa"/>
          </w:tcPr>
          <w:p w14:paraId="56A33AFA" w14:textId="77777777" w:rsidR="004745D9" w:rsidRPr="009A59D5" w:rsidRDefault="00090D00" w:rsidP="00090D00">
            <w:pPr>
              <w:pStyle w:val="BodyText1"/>
              <w:numPr>
                <w:ilvl w:val="0"/>
                <w:numId w:val="0"/>
              </w:numPr>
              <w:jc w:val="left"/>
            </w:pPr>
            <w:r w:rsidRPr="009A59D5">
              <w:t>Supervisory correlation parameter</w:t>
            </w:r>
          </w:p>
          <w:p w14:paraId="4F1A5BB1" w14:textId="5662DAEE" w:rsidR="00090D00" w:rsidRPr="009A59D5" w:rsidRDefault="00090D00" w:rsidP="00AD61FC">
            <w:pPr>
              <w:pStyle w:val="BodyText1"/>
              <w:numPr>
                <w:ilvl w:val="0"/>
                <w:numId w:val="0"/>
              </w:numPr>
              <w:spacing w:after="0"/>
              <w:jc w:val="left"/>
            </w:pPr>
            <w:r w:rsidRPr="009A59D5">
              <w:t>(</w:t>
            </w:r>
            <w:proofErr w:type="gramStart"/>
            <w:r w:rsidR="00AD61FC" w:rsidRPr="009A59D5">
              <w:t>refer</w:t>
            </w:r>
            <w:proofErr w:type="gramEnd"/>
            <w:r w:rsidR="00AD61FC" w:rsidRPr="009A59D5">
              <w:t xml:space="preserve"> to</w:t>
            </w:r>
            <w:r w:rsidRPr="009A59D5">
              <w:t xml:space="preserve"> paragraph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Pr="009A59D5">
              <w:t>)</w:t>
            </w:r>
          </w:p>
        </w:tc>
        <w:tc>
          <w:tcPr>
            <w:tcW w:w="4479" w:type="dxa"/>
          </w:tcPr>
          <w:p w14:paraId="413C6B18" w14:textId="77777777" w:rsidR="004745D9" w:rsidRPr="009A59D5" w:rsidRDefault="00AB46AB" w:rsidP="00187998">
            <w:pPr>
              <w:pStyle w:val="BodyText1"/>
              <w:numPr>
                <w:ilvl w:val="0"/>
                <w:numId w:val="0"/>
              </w:numPr>
              <w:spacing w:after="0"/>
              <w:jc w:val="left"/>
            </w:pPr>
            <w:r w:rsidRPr="009A59D5">
              <w:t xml:space="preserve">A supervisory parameter specifying the weight between systematic and idiosyncratic components in the one-factor model used in the credit, </w:t>
            </w:r>
            <w:proofErr w:type="gramStart"/>
            <w:r w:rsidRPr="009A59D5">
              <w:t>equity</w:t>
            </w:r>
            <w:proofErr w:type="gramEnd"/>
            <w:r w:rsidRPr="009A59D5">
              <w:t xml:space="preserve"> and commodity asset classes only.</w:t>
            </w:r>
          </w:p>
        </w:tc>
      </w:tr>
      <w:tr w:rsidR="00090D00" w:rsidRPr="009A59D5" w14:paraId="1C5D7A4B" w14:textId="77777777" w:rsidTr="00090D00">
        <w:tc>
          <w:tcPr>
            <w:tcW w:w="1129" w:type="dxa"/>
          </w:tcPr>
          <w:p w14:paraId="09570E0C" w14:textId="7AC12C9E" w:rsidR="004745D9" w:rsidRPr="00A071FD" w:rsidRDefault="00A071FD" w:rsidP="00A071FD">
            <w:pPr>
              <w:pStyle w:val="BodyText1"/>
              <w:numPr>
                <w:ilvl w:val="0"/>
                <w:numId w:val="0"/>
              </w:numPr>
              <w:spacing w:after="0"/>
              <w:jc w:val="center"/>
              <w:rPr>
                <w:i/>
                <w:vertAlign w:val="superscript"/>
              </w:rPr>
            </w:pPr>
            <w:proofErr w:type="spellStart"/>
            <w:r>
              <w:rPr>
                <w:i/>
              </w:rPr>
              <w:t>SF</w:t>
            </w:r>
            <w:r>
              <w:rPr>
                <w:i/>
                <w:vertAlign w:val="superscript"/>
              </w:rPr>
              <w:t>a</w:t>
            </w:r>
            <w:proofErr w:type="spellEnd"/>
          </w:p>
        </w:tc>
        <w:tc>
          <w:tcPr>
            <w:tcW w:w="2127" w:type="dxa"/>
          </w:tcPr>
          <w:p w14:paraId="17BD91F8" w14:textId="5E95A22C" w:rsidR="001B13B9" w:rsidRPr="009A59D5" w:rsidRDefault="00090D00" w:rsidP="007B61C9">
            <w:pPr>
              <w:pStyle w:val="BodyText1"/>
              <w:numPr>
                <w:ilvl w:val="0"/>
                <w:numId w:val="0"/>
              </w:numPr>
              <w:jc w:val="left"/>
            </w:pPr>
            <w:r w:rsidRPr="009A59D5">
              <w:t>Supervisory factor</w:t>
            </w:r>
          </w:p>
          <w:p w14:paraId="23F5192A" w14:textId="240D7794" w:rsidR="00090D00" w:rsidRPr="009A59D5" w:rsidRDefault="00090D00" w:rsidP="00AD61FC">
            <w:pPr>
              <w:pStyle w:val="BodyText1"/>
              <w:numPr>
                <w:ilvl w:val="0"/>
                <w:numId w:val="0"/>
              </w:numPr>
              <w:spacing w:after="0"/>
              <w:jc w:val="left"/>
            </w:pPr>
            <w:r w:rsidRPr="009A59D5">
              <w:t>(</w:t>
            </w:r>
            <w:proofErr w:type="gramStart"/>
            <w:r w:rsidR="00AD61FC" w:rsidRPr="009A59D5">
              <w:t>refer</w:t>
            </w:r>
            <w:proofErr w:type="gramEnd"/>
            <w:r w:rsidR="00AD61FC" w:rsidRPr="009A59D5">
              <w:t xml:space="preserve"> to</w:t>
            </w:r>
            <w:r w:rsidRPr="009A59D5">
              <w:t xml:space="preserve"> paragraph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Pr="009A59D5">
              <w:t>)</w:t>
            </w:r>
          </w:p>
        </w:tc>
        <w:tc>
          <w:tcPr>
            <w:tcW w:w="4479" w:type="dxa"/>
          </w:tcPr>
          <w:p w14:paraId="0CD32C77" w14:textId="77777777" w:rsidR="004745D9" w:rsidRPr="009A59D5" w:rsidRDefault="00EE355D" w:rsidP="00187998">
            <w:pPr>
              <w:pStyle w:val="BodyText1"/>
              <w:numPr>
                <w:ilvl w:val="0"/>
                <w:numId w:val="0"/>
              </w:numPr>
              <w:spacing w:after="0"/>
              <w:jc w:val="left"/>
            </w:pPr>
            <w:r w:rsidRPr="009A59D5">
              <w:t>A factor or factors specific to each asset class used to convert the effective notional amount into Effective expected positive exposure (Effective EPE) based on the measured volatility of the asset class.</w:t>
            </w:r>
          </w:p>
        </w:tc>
      </w:tr>
      <w:tr w:rsidR="00090D00" w:rsidRPr="009A59D5" w14:paraId="38DD892D" w14:textId="77777777" w:rsidTr="00090D00">
        <w:tc>
          <w:tcPr>
            <w:tcW w:w="1129" w:type="dxa"/>
          </w:tcPr>
          <w:p w14:paraId="49295767" w14:textId="651E3CFC" w:rsidR="004745D9" w:rsidRPr="00A071FD" w:rsidRDefault="00A071FD" w:rsidP="00A071FD">
            <w:pPr>
              <w:pStyle w:val="BodyText1"/>
              <w:numPr>
                <w:ilvl w:val="0"/>
                <w:numId w:val="0"/>
              </w:numPr>
              <w:jc w:val="center"/>
              <w:rPr>
                <w:i/>
                <w:vertAlign w:val="subscript"/>
              </w:rPr>
            </w:pPr>
            <w:r>
              <w:rPr>
                <w:i/>
              </w:rPr>
              <w:t>M</w:t>
            </w:r>
            <w:r>
              <w:rPr>
                <w:i/>
                <w:vertAlign w:val="subscript"/>
              </w:rPr>
              <w:t>i</w:t>
            </w:r>
          </w:p>
        </w:tc>
        <w:tc>
          <w:tcPr>
            <w:tcW w:w="2127" w:type="dxa"/>
          </w:tcPr>
          <w:p w14:paraId="520AE12F" w14:textId="77777777" w:rsidR="004745D9" w:rsidRPr="009A59D5" w:rsidRDefault="00090D00" w:rsidP="00090D00">
            <w:pPr>
              <w:pStyle w:val="BodyText1"/>
              <w:numPr>
                <w:ilvl w:val="0"/>
                <w:numId w:val="0"/>
              </w:numPr>
              <w:jc w:val="left"/>
            </w:pPr>
            <w:r w:rsidRPr="009A59D5">
              <w:t>Maturity date</w:t>
            </w:r>
          </w:p>
        </w:tc>
        <w:tc>
          <w:tcPr>
            <w:tcW w:w="4479" w:type="dxa"/>
          </w:tcPr>
          <w:p w14:paraId="066DAEF4" w14:textId="4244A26C" w:rsidR="004745D9" w:rsidRPr="009A59D5" w:rsidRDefault="00EE355D" w:rsidP="00187998">
            <w:pPr>
              <w:pStyle w:val="BodyText1"/>
              <w:numPr>
                <w:ilvl w:val="0"/>
                <w:numId w:val="0"/>
              </w:numPr>
              <w:spacing w:after="0"/>
              <w:jc w:val="left"/>
            </w:pPr>
            <w:r w:rsidRPr="009A59D5">
              <w:t xml:space="preserve">The time interval between the calculation date (today) and the latest date when transaction </w:t>
            </w:r>
            <w:proofErr w:type="spellStart"/>
            <w:r w:rsidR="00A071FD">
              <w:rPr>
                <w:i/>
              </w:rPr>
              <w:t>i</w:t>
            </w:r>
            <w:proofErr w:type="spellEnd"/>
            <w:r w:rsidRPr="009A59D5">
              <w:t xml:space="preserve"> may still be active, measured in years. If transaction </w:t>
            </w:r>
            <w:proofErr w:type="spellStart"/>
            <w:r w:rsidR="00A071FD">
              <w:rPr>
                <w:i/>
              </w:rPr>
              <w:t>i</w:t>
            </w:r>
            <w:proofErr w:type="spellEnd"/>
            <w:r w:rsidRPr="009A59D5">
              <w:t xml:space="preserve"> has another </w:t>
            </w:r>
            <w:r w:rsidR="00651BD7" w:rsidRPr="009A59D5">
              <w:t>derivative contract as its underlying (</w:t>
            </w:r>
            <w:proofErr w:type="gramStart"/>
            <w:r w:rsidR="00651BD7" w:rsidRPr="009A59D5">
              <w:t>e.g.</w:t>
            </w:r>
            <w:proofErr w:type="gramEnd"/>
            <w:r w:rsidR="00651BD7" w:rsidRPr="009A59D5">
              <w:t xml:space="preserve"> a swaption) and may be physically exercised into the underlying contract (</w:t>
            </w:r>
            <w:r w:rsidR="009E033F" w:rsidRPr="009A59D5">
              <w:t>i.e. an ADI would assume a position in the underlying contract in the event of exercise</w:t>
            </w:r>
            <w:r w:rsidR="00651BD7" w:rsidRPr="009A59D5">
              <w:t>)</w:t>
            </w:r>
            <w:r w:rsidR="009E033F" w:rsidRPr="009A59D5">
              <w:t xml:space="preserve">, then </w:t>
            </w:r>
            <w:r w:rsidR="00A071FD">
              <w:rPr>
                <w:i/>
              </w:rPr>
              <w:t>M</w:t>
            </w:r>
            <w:r w:rsidR="00A071FD">
              <w:rPr>
                <w:i/>
                <w:vertAlign w:val="subscript"/>
              </w:rPr>
              <w:t>i</w:t>
            </w:r>
            <w:r w:rsidR="009E033F" w:rsidRPr="009A59D5">
              <w:t xml:space="preserve"> must be set as the time interval between the calculation date and the final settlement date of the underlying derivative contract.</w:t>
            </w:r>
          </w:p>
        </w:tc>
      </w:tr>
      <w:tr w:rsidR="00090D00" w:rsidRPr="009A59D5" w14:paraId="00502C5D" w14:textId="77777777" w:rsidTr="00090D00">
        <w:tc>
          <w:tcPr>
            <w:tcW w:w="1129" w:type="dxa"/>
          </w:tcPr>
          <w:p w14:paraId="25E46894" w14:textId="6304E163" w:rsidR="004745D9" w:rsidRPr="00A071FD" w:rsidRDefault="00A071FD" w:rsidP="00A071FD">
            <w:pPr>
              <w:pStyle w:val="BodyText1"/>
              <w:numPr>
                <w:ilvl w:val="0"/>
                <w:numId w:val="0"/>
              </w:numPr>
              <w:jc w:val="center"/>
              <w:rPr>
                <w:i/>
                <w:vertAlign w:val="subscript"/>
              </w:rPr>
            </w:pPr>
            <w:r>
              <w:rPr>
                <w:i/>
              </w:rPr>
              <w:t>S</w:t>
            </w:r>
            <w:r>
              <w:rPr>
                <w:i/>
                <w:vertAlign w:val="subscript"/>
              </w:rPr>
              <w:t>i</w:t>
            </w:r>
          </w:p>
        </w:tc>
        <w:tc>
          <w:tcPr>
            <w:tcW w:w="2127" w:type="dxa"/>
          </w:tcPr>
          <w:p w14:paraId="468CB874" w14:textId="77777777" w:rsidR="004745D9" w:rsidRPr="009A59D5" w:rsidRDefault="00090D00" w:rsidP="00090D00">
            <w:pPr>
              <w:pStyle w:val="BodyText1"/>
              <w:numPr>
                <w:ilvl w:val="0"/>
                <w:numId w:val="0"/>
              </w:numPr>
              <w:jc w:val="left"/>
            </w:pPr>
            <w:r w:rsidRPr="009A59D5">
              <w:t>Start date</w:t>
            </w:r>
          </w:p>
        </w:tc>
        <w:tc>
          <w:tcPr>
            <w:tcW w:w="4479" w:type="dxa"/>
          </w:tcPr>
          <w:p w14:paraId="1F8D06F2" w14:textId="7ADA1F15" w:rsidR="004745D9" w:rsidRPr="009A59D5" w:rsidRDefault="009E033F" w:rsidP="00187998">
            <w:pPr>
              <w:pStyle w:val="BodyText1"/>
              <w:numPr>
                <w:ilvl w:val="0"/>
                <w:numId w:val="0"/>
              </w:numPr>
              <w:spacing w:after="0"/>
              <w:jc w:val="left"/>
            </w:pPr>
            <w:r w:rsidRPr="009A59D5">
              <w:t xml:space="preserve">The time interval between the calculation date (today) and the start date of the </w:t>
            </w:r>
            <w:proofErr w:type="gramStart"/>
            <w:r w:rsidRPr="009A59D5">
              <w:t>time period</w:t>
            </w:r>
            <w:proofErr w:type="gramEnd"/>
            <w:r w:rsidRPr="009A59D5">
              <w:t xml:space="preserve"> referenced by transaction </w:t>
            </w:r>
            <w:proofErr w:type="spellStart"/>
            <w:r w:rsidR="00A071FD">
              <w:rPr>
                <w:i/>
              </w:rPr>
              <w:t>i</w:t>
            </w:r>
            <w:proofErr w:type="spellEnd"/>
            <w:r w:rsidRPr="009A59D5">
              <w:t xml:space="preserve">, measured in years. The </w:t>
            </w:r>
            <w:proofErr w:type="gramStart"/>
            <w:r w:rsidRPr="009A59D5">
              <w:t>time period</w:t>
            </w:r>
            <w:proofErr w:type="gramEnd"/>
            <w:r w:rsidRPr="009A59D5">
              <w:t xml:space="preserve"> referenced by transaction </w:t>
            </w:r>
            <w:proofErr w:type="spellStart"/>
            <w:r w:rsidR="00A071FD">
              <w:rPr>
                <w:i/>
              </w:rPr>
              <w:t>i</w:t>
            </w:r>
            <w:proofErr w:type="spellEnd"/>
            <w:r w:rsidRPr="009A59D5">
              <w:t xml:space="preserve"> is subject to a floor of 10 business days. If the start date has occurred (</w:t>
            </w:r>
            <w:proofErr w:type="gramStart"/>
            <w:r w:rsidRPr="009A59D5">
              <w:t>e.g.</w:t>
            </w:r>
            <w:proofErr w:type="gramEnd"/>
            <w:r w:rsidRPr="009A59D5">
              <w:t xml:space="preserve"> an ongoing interest rate swap),</w:t>
            </w:r>
            <w:r w:rsidR="00A071FD">
              <w:t xml:space="preserve"> </w:t>
            </w:r>
            <w:r w:rsidR="00A071FD">
              <w:rPr>
                <w:i/>
              </w:rPr>
              <w:t>S</w:t>
            </w:r>
            <w:r w:rsidR="00A071FD">
              <w:rPr>
                <w:i/>
                <w:vertAlign w:val="subscript"/>
              </w:rPr>
              <w:t>i</w:t>
            </w:r>
            <w:r w:rsidRPr="009A59D5">
              <w:t xml:space="preserve"> must be set to zero. If transaction </w:t>
            </w:r>
            <w:proofErr w:type="spellStart"/>
            <w:r w:rsidR="00646793">
              <w:rPr>
                <w:i/>
              </w:rPr>
              <w:t>i</w:t>
            </w:r>
            <w:proofErr w:type="spellEnd"/>
            <w:r w:rsidRPr="009A59D5">
              <w:t xml:space="preserve"> references the value of another interest rate or credit instrument (</w:t>
            </w:r>
            <w:proofErr w:type="gramStart"/>
            <w:r w:rsidRPr="009A59D5">
              <w:t>e.g.</w:t>
            </w:r>
            <w:proofErr w:type="gramEnd"/>
            <w:r w:rsidRPr="009A59D5">
              <w:t xml:space="preserve"> a swaption or bond option)</w:t>
            </w:r>
            <w:r w:rsidR="0089782B" w:rsidRPr="009A59D5">
              <w:t xml:space="preserve">, the time period must be determined on the basis of the underlying instrument. This parameter, </w:t>
            </w:r>
            <w:r w:rsidR="00A071FD">
              <w:rPr>
                <w:i/>
              </w:rPr>
              <w:t>S</w:t>
            </w:r>
            <w:r w:rsidR="00A071FD">
              <w:rPr>
                <w:i/>
                <w:vertAlign w:val="subscript"/>
              </w:rPr>
              <w:t>i</w:t>
            </w:r>
            <w:r w:rsidR="0089782B" w:rsidRPr="009A59D5">
              <w:t>, applies only to interest rate and credit transactions.</w:t>
            </w:r>
            <w:r w:rsidRPr="009A59D5">
              <w:t xml:space="preserve"> </w:t>
            </w:r>
          </w:p>
        </w:tc>
      </w:tr>
      <w:tr w:rsidR="00090D00" w:rsidRPr="009A59D5" w14:paraId="49E435D3" w14:textId="77777777" w:rsidTr="00090D00">
        <w:tc>
          <w:tcPr>
            <w:tcW w:w="1129" w:type="dxa"/>
          </w:tcPr>
          <w:p w14:paraId="1EC292FA" w14:textId="44BDA880" w:rsidR="004745D9" w:rsidRPr="00A071FD" w:rsidRDefault="00A071FD" w:rsidP="00A071FD">
            <w:pPr>
              <w:pStyle w:val="BodyText1"/>
              <w:numPr>
                <w:ilvl w:val="0"/>
                <w:numId w:val="0"/>
              </w:numPr>
              <w:jc w:val="center"/>
              <w:rPr>
                <w:i/>
                <w:vertAlign w:val="subscript"/>
              </w:rPr>
            </w:pPr>
            <w:proofErr w:type="spellStart"/>
            <w:r>
              <w:rPr>
                <w:i/>
              </w:rPr>
              <w:t>E</w:t>
            </w:r>
            <w:r>
              <w:rPr>
                <w:i/>
                <w:vertAlign w:val="subscript"/>
              </w:rPr>
              <w:t>i</w:t>
            </w:r>
            <w:proofErr w:type="spellEnd"/>
          </w:p>
        </w:tc>
        <w:tc>
          <w:tcPr>
            <w:tcW w:w="2127" w:type="dxa"/>
          </w:tcPr>
          <w:p w14:paraId="298D3439" w14:textId="77777777" w:rsidR="004745D9" w:rsidRPr="009A59D5" w:rsidRDefault="00090D00" w:rsidP="00090D00">
            <w:pPr>
              <w:pStyle w:val="BodyText1"/>
              <w:numPr>
                <w:ilvl w:val="0"/>
                <w:numId w:val="0"/>
              </w:numPr>
              <w:jc w:val="left"/>
            </w:pPr>
            <w:r w:rsidRPr="009A59D5">
              <w:t>End date</w:t>
            </w:r>
          </w:p>
        </w:tc>
        <w:tc>
          <w:tcPr>
            <w:tcW w:w="4479" w:type="dxa"/>
          </w:tcPr>
          <w:p w14:paraId="291947CC" w14:textId="6DF6AD1F" w:rsidR="004745D9" w:rsidRPr="009A59D5" w:rsidRDefault="0089782B" w:rsidP="00187998">
            <w:pPr>
              <w:pStyle w:val="BodyText1"/>
              <w:numPr>
                <w:ilvl w:val="0"/>
                <w:numId w:val="0"/>
              </w:numPr>
              <w:spacing w:after="0"/>
              <w:jc w:val="left"/>
            </w:pPr>
            <w:r w:rsidRPr="009A59D5">
              <w:t xml:space="preserve">The time interval between the calculation date (today) and the end date of the </w:t>
            </w:r>
            <w:proofErr w:type="gramStart"/>
            <w:r w:rsidRPr="009A59D5">
              <w:t>time period</w:t>
            </w:r>
            <w:proofErr w:type="gramEnd"/>
            <w:r w:rsidRPr="009A59D5">
              <w:t xml:space="preserve"> referenced by transaction</w:t>
            </w:r>
            <w:r w:rsidR="00A071FD">
              <w:t xml:space="preserve"> </w:t>
            </w:r>
            <w:proofErr w:type="spellStart"/>
            <w:r w:rsidR="00A071FD">
              <w:rPr>
                <w:i/>
              </w:rPr>
              <w:t>i</w:t>
            </w:r>
            <w:proofErr w:type="spellEnd"/>
            <w:r w:rsidRPr="009A59D5">
              <w:t xml:space="preserve">, measured in years. The </w:t>
            </w:r>
            <w:proofErr w:type="gramStart"/>
            <w:r w:rsidRPr="009A59D5">
              <w:t>time period</w:t>
            </w:r>
            <w:proofErr w:type="gramEnd"/>
            <w:r w:rsidRPr="009A59D5">
              <w:t xml:space="preserve"> referenced by transaction </w:t>
            </w:r>
            <w:proofErr w:type="spellStart"/>
            <w:r w:rsidR="00A071FD">
              <w:rPr>
                <w:i/>
              </w:rPr>
              <w:t>i</w:t>
            </w:r>
            <w:proofErr w:type="spellEnd"/>
            <w:r w:rsidRPr="009A59D5">
              <w:t xml:space="preserve"> is subject to a floor of 10 business days. If the start date </w:t>
            </w:r>
            <w:r w:rsidRPr="009A59D5">
              <w:lastRenderedPageBreak/>
              <w:t>has occurred (</w:t>
            </w:r>
            <w:proofErr w:type="gramStart"/>
            <w:r w:rsidRPr="009A59D5">
              <w:t>e.g.</w:t>
            </w:r>
            <w:proofErr w:type="gramEnd"/>
            <w:r w:rsidRPr="009A59D5">
              <w:t xml:space="preserve"> an ongoing interest rate swap), </w:t>
            </w:r>
            <w:r w:rsidR="00A071FD">
              <w:rPr>
                <w:i/>
              </w:rPr>
              <w:t>S</w:t>
            </w:r>
            <w:r w:rsidR="00A071FD">
              <w:rPr>
                <w:i/>
                <w:vertAlign w:val="subscript"/>
              </w:rPr>
              <w:t>i</w:t>
            </w:r>
            <w:r w:rsidR="00A071FD" w:rsidRPr="009A59D5">
              <w:t xml:space="preserve"> </w:t>
            </w:r>
            <w:r w:rsidRPr="009A59D5">
              <w:t xml:space="preserve">must be set to zero. If transaction </w:t>
            </w:r>
            <w:proofErr w:type="spellStart"/>
            <w:r w:rsidR="00A071FD">
              <w:rPr>
                <w:i/>
              </w:rPr>
              <w:t>i</w:t>
            </w:r>
            <w:proofErr w:type="spellEnd"/>
            <w:r w:rsidRPr="009A59D5">
              <w:t xml:space="preserve"> references the value of another interest rate or credit instrument (</w:t>
            </w:r>
            <w:proofErr w:type="gramStart"/>
            <w:r w:rsidRPr="009A59D5">
              <w:t>e.g.</w:t>
            </w:r>
            <w:proofErr w:type="gramEnd"/>
            <w:r w:rsidRPr="009A59D5">
              <w:t xml:space="preserve"> a swaption or bond option), the time period must be determined on the basis of the underlying instrument. This parameter, </w:t>
            </w:r>
            <w:proofErr w:type="spellStart"/>
            <w:r w:rsidR="00A071FD">
              <w:rPr>
                <w:i/>
              </w:rPr>
              <w:t>E</w:t>
            </w:r>
            <w:r w:rsidR="00A071FD">
              <w:rPr>
                <w:i/>
                <w:vertAlign w:val="subscript"/>
              </w:rPr>
              <w:t>i</w:t>
            </w:r>
            <w:proofErr w:type="spellEnd"/>
            <w:r w:rsidRPr="009A59D5">
              <w:t>, applies only to interest rate and credit transactions.</w:t>
            </w:r>
          </w:p>
        </w:tc>
      </w:tr>
    </w:tbl>
    <w:p w14:paraId="3BEB9343" w14:textId="03716C0E" w:rsidR="00B21DCB" w:rsidRPr="009A59D5" w:rsidRDefault="00B21DCB" w:rsidP="00C06AB9">
      <w:pPr>
        <w:pStyle w:val="BodyText1"/>
        <w:numPr>
          <w:ilvl w:val="0"/>
          <w:numId w:val="0"/>
        </w:numPr>
        <w:spacing w:after="120"/>
      </w:pPr>
    </w:p>
    <w:p w14:paraId="1EC1E44F" w14:textId="7A2D012B" w:rsidR="00194686" w:rsidRPr="009A59D5" w:rsidRDefault="00194686" w:rsidP="00194686">
      <w:pPr>
        <w:pStyle w:val="Heading3"/>
      </w:pPr>
      <w:bookmarkStart w:id="381" w:name="_Toc460331449"/>
      <w:bookmarkStart w:id="382" w:name="_Toc461692113"/>
      <w:bookmarkStart w:id="383" w:name="_Toc487712241"/>
      <w:bookmarkStart w:id="384" w:name="_Toc488397542"/>
      <w:bookmarkStart w:id="385" w:name="_Toc488398102"/>
      <w:bookmarkStart w:id="386" w:name="_Toc489463939"/>
      <w:bookmarkStart w:id="387" w:name="_Toc507406232"/>
      <w:bookmarkStart w:id="388" w:name="_Toc507406304"/>
      <w:bookmarkStart w:id="389" w:name="_Toc507406417"/>
      <w:r w:rsidRPr="009A59D5">
        <w:t>Add-on for interest rate derivative transactions</w:t>
      </w:r>
      <w:bookmarkEnd w:id="381"/>
      <w:bookmarkEnd w:id="382"/>
      <w:bookmarkEnd w:id="383"/>
      <w:bookmarkEnd w:id="384"/>
      <w:bookmarkEnd w:id="385"/>
      <w:bookmarkEnd w:id="386"/>
      <w:bookmarkEnd w:id="387"/>
      <w:bookmarkEnd w:id="388"/>
      <w:bookmarkEnd w:id="389"/>
    </w:p>
    <w:p w14:paraId="0F60734F" w14:textId="2632F49F" w:rsidR="00194686" w:rsidRPr="009A59D5" w:rsidRDefault="00194686" w:rsidP="00194686">
      <w:pPr>
        <w:pStyle w:val="BodyText1"/>
      </w:pPr>
      <w:bookmarkStart w:id="390" w:name="_Ref460313710"/>
      <w:r w:rsidRPr="009A59D5">
        <w:t>For the interest rate asset class, within each hedging set (</w:t>
      </w:r>
      <w:r w:rsidR="00AA7BE9" w:rsidRPr="009A59D5">
        <w:t>refer to</w:t>
      </w:r>
      <w:r w:rsidRPr="009A59D5">
        <w:t xml:space="preserve"> paragraph </w:t>
      </w:r>
      <w:r w:rsidR="00B342DD" w:rsidRPr="009A59D5">
        <w:fldChar w:fldCharType="begin"/>
      </w:r>
      <w:r w:rsidR="00B342DD" w:rsidRPr="009A59D5">
        <w:instrText xml:space="preserve"> REF _Ref460313691 \r \h </w:instrText>
      </w:r>
      <w:r w:rsidR="00365041" w:rsidRPr="009A59D5">
        <w:instrText xml:space="preserve"> \* MERGEFORMAT </w:instrText>
      </w:r>
      <w:r w:rsidR="00B342DD" w:rsidRPr="009A59D5">
        <w:fldChar w:fldCharType="separate"/>
      </w:r>
      <w:r w:rsidR="00B401AE">
        <w:t>19</w:t>
      </w:r>
      <w:r w:rsidR="00B342DD" w:rsidRPr="009A59D5">
        <w:fldChar w:fldCharType="end"/>
      </w:r>
      <w:r w:rsidRPr="009A59D5">
        <w:t xml:space="preserve"> of this Attachment), transactions must be divided into three maturity categories based on the end date of the transaction: less than one year (</w:t>
      </w:r>
      <w:r w:rsidR="00A071FD">
        <w:rPr>
          <w:i/>
        </w:rPr>
        <w:t>k = 1</w:t>
      </w:r>
      <w:r w:rsidRPr="009A59D5">
        <w:t>), between one to five years (</w:t>
      </w:r>
      <w:r w:rsidR="00A071FD">
        <w:rPr>
          <w:i/>
        </w:rPr>
        <w:t>k = 2</w:t>
      </w:r>
      <w:r w:rsidRPr="009A59D5">
        <w:t>) and more than five years (</w:t>
      </w:r>
      <w:r w:rsidR="00A071FD">
        <w:rPr>
          <w:i/>
        </w:rPr>
        <w:t>k = 3</w:t>
      </w:r>
      <w:r w:rsidRPr="009A59D5">
        <w:t>).</w:t>
      </w:r>
      <w:bookmarkEnd w:id="390"/>
    </w:p>
    <w:p w14:paraId="2C295C60" w14:textId="5E48C8BE" w:rsidR="00194686" w:rsidRDefault="00194686">
      <w:pPr>
        <w:pStyle w:val="BodyText1"/>
      </w:pPr>
      <w:r w:rsidRPr="009A59D5">
        <w:t xml:space="preserve">For the </w:t>
      </w:r>
      <w:r w:rsidR="001B13B9" w:rsidRPr="009A59D5">
        <w:t xml:space="preserve">interest rate </w:t>
      </w:r>
      <w:r w:rsidRPr="009A59D5">
        <w:t xml:space="preserve">asset class, the add-on for each hedging set </w:t>
      </w:r>
      <w:r w:rsidR="00A071FD">
        <w:rPr>
          <w:i/>
        </w:rPr>
        <w:t>j</w:t>
      </w:r>
      <w:r w:rsidRPr="009A59D5">
        <w:t xml:space="preserve">, </w:t>
      </w:r>
      <w:proofErr w:type="spellStart"/>
      <w:r w:rsidR="00A071FD">
        <w:rPr>
          <w:i/>
        </w:rPr>
        <w:t>AddOn</w:t>
      </w:r>
      <w:r w:rsidR="00A071FD">
        <w:rPr>
          <w:i/>
          <w:vertAlign w:val="subscript"/>
        </w:rPr>
        <w:t>j</w:t>
      </w:r>
      <w:r w:rsidR="00A071FD">
        <w:rPr>
          <w:i/>
          <w:vertAlign w:val="superscript"/>
        </w:rPr>
        <w:t>IR</w:t>
      </w:r>
      <w:proofErr w:type="spellEnd"/>
      <w:r w:rsidRPr="009A59D5">
        <w:t>, must be calculated</w:t>
      </w:r>
      <w:r w:rsidR="001B13B9" w:rsidRPr="009A59D5">
        <w:t xml:space="preserve"> </w:t>
      </w:r>
      <w:bookmarkStart w:id="391" w:name="_Ref460313949"/>
      <w:r w:rsidRPr="009A59D5">
        <w:t>as:</w:t>
      </w:r>
      <w:bookmarkEnd w:id="391"/>
    </w:p>
    <w:p w14:paraId="4A5783E6" w14:textId="4434000A" w:rsidR="00D32E06" w:rsidRPr="009A59D5" w:rsidRDefault="00D32E06" w:rsidP="00751D7D">
      <w:pPr>
        <w:pStyle w:val="BodyText1"/>
        <w:numPr>
          <w:ilvl w:val="0"/>
          <w:numId w:val="0"/>
        </w:numPr>
        <w:spacing w:after="0"/>
        <w:ind w:left="567" w:firstLine="1843"/>
      </w:pPr>
      <w:r w:rsidRPr="00CF0E8F">
        <w:rPr>
          <w:noProof/>
        </w:rPr>
        <w:drawing>
          <wp:inline distT="0" distB="0" distL="0" distR="0" wp14:anchorId="19F253C8" wp14:editId="38AED8AF">
            <wp:extent cx="2699797" cy="333375"/>
            <wp:effectExtent l="0" t="0" r="0" b="0"/>
            <wp:docPr id="8" name="Picture 8" descr="Start formula AddOn subscript j superscript IR equals SF superscript IR times EffectiveNotional subscript j superscript IR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rt formula AddOn subscript j superscript IR equals SF superscript IR times EffectiveNotional subscript j superscript IR end formula."/>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8173" t="3" r="36173" b="7345"/>
                    <a:stretch/>
                  </pic:blipFill>
                  <pic:spPr bwMode="auto">
                    <a:xfrm>
                      <a:off x="0" y="0"/>
                      <a:ext cx="2711192" cy="334782"/>
                    </a:xfrm>
                    <a:prstGeom prst="rect">
                      <a:avLst/>
                    </a:prstGeom>
                    <a:noFill/>
                    <a:ln>
                      <a:noFill/>
                    </a:ln>
                    <a:extLst>
                      <a:ext uri="{53640926-AAD7-44D8-BBD7-CCE9431645EC}">
                        <a14:shadowObscured xmlns:a14="http://schemas.microsoft.com/office/drawing/2010/main"/>
                      </a:ext>
                    </a:extLst>
                  </pic:spPr>
                </pic:pic>
              </a:graphicData>
            </a:graphic>
          </wp:inline>
        </w:drawing>
      </w:r>
    </w:p>
    <w:p w14:paraId="5532A17F" w14:textId="77777777" w:rsidR="00194686" w:rsidRPr="009A59D5" w:rsidRDefault="00194686" w:rsidP="00194686">
      <w:pPr>
        <w:pStyle w:val="BodyText1"/>
        <w:numPr>
          <w:ilvl w:val="0"/>
          <w:numId w:val="0"/>
        </w:numPr>
        <w:ind w:left="567"/>
      </w:pPr>
      <w:r w:rsidRPr="009A59D5">
        <w:t>where:</w:t>
      </w:r>
    </w:p>
    <w:p w14:paraId="126A5C95" w14:textId="2E21F65A" w:rsidR="00194686" w:rsidRPr="009A59D5" w:rsidRDefault="00A071FD" w:rsidP="00194686">
      <w:pPr>
        <w:pStyle w:val="BodyText1"/>
        <w:numPr>
          <w:ilvl w:val="0"/>
          <w:numId w:val="0"/>
        </w:numPr>
        <w:ind w:left="567"/>
      </w:pPr>
      <w:r>
        <w:rPr>
          <w:i/>
        </w:rPr>
        <w:t>SF</w:t>
      </w:r>
      <w:r>
        <w:rPr>
          <w:i/>
          <w:vertAlign w:val="superscript"/>
        </w:rPr>
        <w:t>IR</w:t>
      </w:r>
      <w:r>
        <w:rPr>
          <w:i/>
        </w:rPr>
        <w:t xml:space="preserve"> = </w:t>
      </w:r>
      <w:r w:rsidR="00194686" w:rsidRPr="009A59D5">
        <w:t>the supervisory factor for the interest rate asset class (</w:t>
      </w:r>
      <w:r w:rsidR="00AA7BE9" w:rsidRPr="009A59D5">
        <w:t>refer to</w:t>
      </w:r>
      <w:r w:rsidR="00194686" w:rsidRPr="009A59D5">
        <w:t xml:space="preserve"> paragraph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00194686" w:rsidRPr="009A59D5">
        <w:t>); and</w:t>
      </w:r>
    </w:p>
    <w:p w14:paraId="156E72A2" w14:textId="2CF074CB" w:rsidR="00194686" w:rsidRPr="009A59D5" w:rsidRDefault="00A071FD" w:rsidP="00194686">
      <w:pPr>
        <w:pStyle w:val="BodyText1"/>
        <w:numPr>
          <w:ilvl w:val="0"/>
          <w:numId w:val="0"/>
        </w:numPr>
        <w:ind w:left="567"/>
      </w:pPr>
      <w:proofErr w:type="spellStart"/>
      <w:r>
        <w:rPr>
          <w:i/>
        </w:rPr>
        <w:t>EffectiveNotional</w:t>
      </w:r>
      <w:r>
        <w:rPr>
          <w:i/>
          <w:vertAlign w:val="subscript"/>
        </w:rPr>
        <w:t>j</w:t>
      </w:r>
      <w:r>
        <w:rPr>
          <w:i/>
          <w:vertAlign w:val="superscript"/>
        </w:rPr>
        <w:t>IR</w:t>
      </w:r>
      <w:proofErr w:type="spellEnd"/>
      <w:r>
        <w:t xml:space="preserve"> = </w:t>
      </w:r>
      <w:r w:rsidR="00194686" w:rsidRPr="009A59D5">
        <w:t>the hedging set level (</w:t>
      </w:r>
      <w:r>
        <w:rPr>
          <w:i/>
        </w:rPr>
        <w:t>j</w:t>
      </w:r>
      <w:r w:rsidR="00194686" w:rsidRPr="009A59D5">
        <w:t xml:space="preserve">) effective notional amount defined in paragraph </w:t>
      </w:r>
      <w:r w:rsidR="00B342DD" w:rsidRPr="009A59D5">
        <w:fldChar w:fldCharType="begin"/>
      </w:r>
      <w:r w:rsidR="00B342DD" w:rsidRPr="009A59D5">
        <w:instrText xml:space="preserve"> REF _Ref460313978 \r \h </w:instrText>
      </w:r>
      <w:r w:rsidR="00365041" w:rsidRPr="009A59D5">
        <w:instrText xml:space="preserve"> \* MERGEFORMAT </w:instrText>
      </w:r>
      <w:r w:rsidR="00B342DD" w:rsidRPr="009A59D5">
        <w:fldChar w:fldCharType="separate"/>
      </w:r>
      <w:r w:rsidR="00B401AE">
        <w:t>24</w:t>
      </w:r>
      <w:r w:rsidR="00B342DD" w:rsidRPr="009A59D5">
        <w:fldChar w:fldCharType="end"/>
      </w:r>
      <w:r w:rsidR="001612C3" w:rsidRPr="009A59D5">
        <w:t xml:space="preserve"> of this Attachment</w:t>
      </w:r>
      <w:r w:rsidR="00194686" w:rsidRPr="009A59D5">
        <w:t>.</w:t>
      </w:r>
    </w:p>
    <w:p w14:paraId="493074A9" w14:textId="5D733CE3" w:rsidR="00EA198C" w:rsidRDefault="00EA198C" w:rsidP="00EA198C">
      <w:pPr>
        <w:pStyle w:val="BodyText1"/>
      </w:pPr>
      <w:bookmarkStart w:id="392" w:name="_Ref460313978"/>
      <w:r w:rsidRPr="009A59D5">
        <w:t xml:space="preserve">The effective notional amount for hedging set </w:t>
      </w:r>
      <w:r w:rsidR="00A071FD">
        <w:rPr>
          <w:i/>
        </w:rPr>
        <w:t>j</w:t>
      </w:r>
      <w:r w:rsidRPr="009A59D5">
        <w:t xml:space="preserve">, </w:t>
      </w:r>
      <w:proofErr w:type="spellStart"/>
      <w:r w:rsidR="00A071FD">
        <w:rPr>
          <w:i/>
        </w:rPr>
        <w:t>EffectiveNotional</w:t>
      </w:r>
      <w:r w:rsidR="00A071FD">
        <w:rPr>
          <w:i/>
          <w:vertAlign w:val="subscript"/>
        </w:rPr>
        <w:t>j</w:t>
      </w:r>
      <w:r w:rsidR="00A071FD">
        <w:rPr>
          <w:i/>
          <w:vertAlign w:val="superscript"/>
        </w:rPr>
        <w:t>IR</w:t>
      </w:r>
      <w:proofErr w:type="spellEnd"/>
      <w:r w:rsidRPr="009A59D5">
        <w:t>, is the aggregate effective notional amounts across the three maturity categories. An ADI must aggregate the three category-level (</w:t>
      </w:r>
      <w:r w:rsidR="00A071FD">
        <w:rPr>
          <w:i/>
        </w:rPr>
        <w:t>k</w:t>
      </w:r>
      <w:r w:rsidRPr="009A59D5">
        <w:t xml:space="preserve">) effective notional amounts </w:t>
      </w:r>
      <w:r w:rsidR="003D2B7B" w:rsidRPr="009A59D5">
        <w:t xml:space="preserve">using </w:t>
      </w:r>
      <w:r w:rsidRPr="009A59D5">
        <w:t xml:space="preserve">the following </w:t>
      </w:r>
      <w:r w:rsidR="006A6F6F" w:rsidRPr="009A59D5">
        <w:t>formula where partial offsetting is recognised</w:t>
      </w:r>
      <w:r w:rsidRPr="009A59D5">
        <w:t>:</w:t>
      </w:r>
      <w:bookmarkEnd w:id="392"/>
    </w:p>
    <w:p w14:paraId="574C741E" w14:textId="3D6C2741" w:rsidR="009C711A" w:rsidRPr="009A59D5" w:rsidRDefault="009C711A" w:rsidP="00751D7D">
      <w:pPr>
        <w:pStyle w:val="BodyText1"/>
        <w:numPr>
          <w:ilvl w:val="0"/>
          <w:numId w:val="0"/>
        </w:numPr>
        <w:ind w:left="567"/>
      </w:pPr>
      <w:r w:rsidRPr="009C711A">
        <w:rPr>
          <w:noProof/>
        </w:rPr>
        <w:drawing>
          <wp:inline distT="0" distB="0" distL="0" distR="0" wp14:anchorId="739477D8" wp14:editId="47E61688">
            <wp:extent cx="4743450" cy="874845"/>
            <wp:effectExtent l="0" t="0" r="0" b="1905"/>
            <wp:docPr id="45" name="Picture 45" descr="A formula for EffectiveNotional subscript j superscript IR used to aggregate the three category level k effective notional amounts where partial offsetting is recogni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formula for EffectiveNotional subscript j superscript IR used to aggregate the three category level k effective notional amounts where partial offsetting is recognised.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6887" cy="877323"/>
                    </a:xfrm>
                    <a:prstGeom prst="rect">
                      <a:avLst/>
                    </a:prstGeom>
                    <a:noFill/>
                    <a:ln>
                      <a:noFill/>
                    </a:ln>
                  </pic:spPr>
                </pic:pic>
              </a:graphicData>
            </a:graphic>
          </wp:inline>
        </w:drawing>
      </w:r>
    </w:p>
    <w:p w14:paraId="458257FB" w14:textId="02ADFEED" w:rsidR="00511D60" w:rsidRPr="009A59D5" w:rsidRDefault="006A6F6F" w:rsidP="00187998">
      <w:pPr>
        <w:pStyle w:val="BodyText1"/>
        <w:numPr>
          <w:ilvl w:val="0"/>
          <w:numId w:val="0"/>
        </w:numPr>
        <w:spacing w:after="120"/>
        <w:ind w:left="567"/>
      </w:pPr>
      <w:r w:rsidRPr="009A59D5">
        <w:t xml:space="preserve">Alternatively, an ADI may </w:t>
      </w:r>
      <w:r w:rsidR="00AB41DB" w:rsidRPr="009A59D5">
        <w:t>elect</w:t>
      </w:r>
      <w:r w:rsidRPr="009A59D5">
        <w:t xml:space="preserve"> to </w:t>
      </w:r>
      <w:r w:rsidR="00AB41DB" w:rsidRPr="009A59D5">
        <w:t xml:space="preserve">not </w:t>
      </w:r>
      <w:r w:rsidRPr="009A59D5">
        <w:t xml:space="preserve">recognise </w:t>
      </w:r>
      <w:r w:rsidR="00AB41DB" w:rsidRPr="009A59D5">
        <w:t xml:space="preserve">any </w:t>
      </w:r>
      <w:r w:rsidRPr="009A59D5">
        <w:t xml:space="preserve">offsetting across maturity categories </w:t>
      </w:r>
      <w:r w:rsidR="006920B7" w:rsidRPr="009A59D5">
        <w:t xml:space="preserve">in which case </w:t>
      </w:r>
      <w:r w:rsidR="00EF3DA5" w:rsidRPr="009A59D5">
        <w:t>the formula</w:t>
      </w:r>
      <w:r w:rsidR="00EB7A4C" w:rsidRPr="009A59D5">
        <w:t xml:space="preserve"> to be used</w:t>
      </w:r>
      <w:r w:rsidR="00EF3DA5" w:rsidRPr="009A59D5">
        <w:t xml:space="preserve"> is: </w:t>
      </w:r>
    </w:p>
    <w:p w14:paraId="1A90F7AA" w14:textId="1DC5B874" w:rsidR="009C711A" w:rsidRDefault="009C711A" w:rsidP="00187998">
      <w:pPr>
        <w:pStyle w:val="BodyText1"/>
        <w:numPr>
          <w:ilvl w:val="0"/>
          <w:numId w:val="0"/>
        </w:numPr>
        <w:ind w:left="567"/>
        <w:jc w:val="center"/>
      </w:pPr>
      <w:r w:rsidRPr="009C711A">
        <w:rPr>
          <w:noProof/>
        </w:rPr>
        <w:drawing>
          <wp:inline distT="0" distB="0" distL="0" distR="0" wp14:anchorId="288AD398" wp14:editId="3AA3558D">
            <wp:extent cx="3057318" cy="457200"/>
            <wp:effectExtent l="0" t="0" r="0" b="0"/>
            <wp:docPr id="47" name="Picture 47" descr="A formula for EffectiveNotional subscript j superscript IR where an ADI elects to not recognise any offsetting across maturity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formula for EffectiveNotional subscript j superscript IR where an ADI elects to not recognise any offsetting across maturity categori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8862" cy="458926"/>
                    </a:xfrm>
                    <a:prstGeom prst="rect">
                      <a:avLst/>
                    </a:prstGeom>
                    <a:noFill/>
                    <a:ln>
                      <a:noFill/>
                    </a:ln>
                  </pic:spPr>
                </pic:pic>
              </a:graphicData>
            </a:graphic>
          </wp:inline>
        </w:drawing>
      </w:r>
    </w:p>
    <w:p w14:paraId="12AB69DF" w14:textId="4054B37E" w:rsidR="00EA198C" w:rsidRPr="009A59D5" w:rsidRDefault="00EA198C" w:rsidP="00EA198C">
      <w:pPr>
        <w:pStyle w:val="BodyText1"/>
        <w:numPr>
          <w:ilvl w:val="0"/>
          <w:numId w:val="0"/>
        </w:numPr>
        <w:ind w:left="567"/>
      </w:pPr>
      <w:r w:rsidRPr="009A59D5">
        <w:t>where</w:t>
      </w:r>
      <w:r w:rsidR="00A071FD">
        <w:t xml:space="preserve"> </w:t>
      </w:r>
      <w:proofErr w:type="spellStart"/>
      <w:proofErr w:type="gramStart"/>
      <w:r w:rsidR="00A071FD">
        <w:rPr>
          <w:i/>
        </w:rPr>
        <w:t>D</w:t>
      </w:r>
      <w:r w:rsidR="00A071FD">
        <w:rPr>
          <w:i/>
          <w:vertAlign w:val="subscript"/>
        </w:rPr>
        <w:t>j,k</w:t>
      </w:r>
      <w:r w:rsidR="00A071FD">
        <w:rPr>
          <w:i/>
          <w:vertAlign w:val="superscript"/>
        </w:rPr>
        <w:t>IR</w:t>
      </w:r>
      <w:proofErr w:type="spellEnd"/>
      <w:proofErr w:type="gramEnd"/>
      <w:r w:rsidRPr="009A59D5">
        <w:t xml:space="preserve"> </w:t>
      </w:r>
      <w:r w:rsidR="00A071FD">
        <w:t xml:space="preserve">= </w:t>
      </w:r>
      <w:r w:rsidRPr="009A59D5">
        <w:t xml:space="preserve">the effective notional amount for category </w:t>
      </w:r>
      <w:r w:rsidR="00A071FD">
        <w:rPr>
          <w:i/>
        </w:rPr>
        <w:t>k</w:t>
      </w:r>
      <w:r w:rsidRPr="009A59D5">
        <w:t>, defined in paragraph </w:t>
      </w:r>
      <w:r w:rsidR="00B342DD" w:rsidRPr="009A59D5">
        <w:fldChar w:fldCharType="begin"/>
      </w:r>
      <w:r w:rsidR="00B342DD" w:rsidRPr="009A59D5">
        <w:instrText xml:space="preserve"> REF _Ref460313717 \r \h </w:instrText>
      </w:r>
      <w:r w:rsidR="00365041" w:rsidRPr="009A59D5">
        <w:instrText xml:space="preserve"> \* MERGEFORMAT </w:instrText>
      </w:r>
      <w:r w:rsidR="00B342DD" w:rsidRPr="009A59D5">
        <w:fldChar w:fldCharType="separate"/>
      </w:r>
      <w:r w:rsidR="00B401AE">
        <w:t>25</w:t>
      </w:r>
      <w:r w:rsidR="00B342DD" w:rsidRPr="009A59D5">
        <w:fldChar w:fldCharType="end"/>
      </w:r>
      <w:r w:rsidR="00542E87" w:rsidRPr="009A59D5">
        <w:t xml:space="preserve"> of this Attachment</w:t>
      </w:r>
      <w:r w:rsidRPr="009A59D5">
        <w:t>.</w:t>
      </w:r>
    </w:p>
    <w:p w14:paraId="5509401E" w14:textId="28C05004" w:rsidR="00EA198C" w:rsidRPr="009A59D5" w:rsidRDefault="00EA198C" w:rsidP="00EA198C">
      <w:pPr>
        <w:pStyle w:val="BodyText1"/>
      </w:pPr>
      <w:bookmarkStart w:id="393" w:name="_Ref460313717"/>
      <w:r w:rsidRPr="009A59D5">
        <w:lastRenderedPageBreak/>
        <w:t xml:space="preserve">The effective notional amount for category </w:t>
      </w:r>
      <w:r w:rsidR="00A071FD">
        <w:rPr>
          <w:i/>
        </w:rPr>
        <w:t>k</w:t>
      </w:r>
      <w:r w:rsidRPr="009A59D5">
        <w:t xml:space="preserve">, denoted by </w:t>
      </w:r>
      <w:proofErr w:type="spellStart"/>
      <w:proofErr w:type="gramStart"/>
      <w:r w:rsidR="00A071FD">
        <w:rPr>
          <w:i/>
        </w:rPr>
        <w:t>D</w:t>
      </w:r>
      <w:r w:rsidR="00A071FD">
        <w:rPr>
          <w:i/>
          <w:vertAlign w:val="subscript"/>
        </w:rPr>
        <w:t>j,k</w:t>
      </w:r>
      <w:r w:rsidR="00A071FD">
        <w:rPr>
          <w:i/>
          <w:vertAlign w:val="superscript"/>
        </w:rPr>
        <w:t>IR</w:t>
      </w:r>
      <w:proofErr w:type="spellEnd"/>
      <w:proofErr w:type="gramEnd"/>
      <w:r w:rsidRPr="009A59D5">
        <w:t>, must be calculated as the sum of all individual transaction level (</w:t>
      </w:r>
      <w:proofErr w:type="spellStart"/>
      <w:r w:rsidR="00A071FD">
        <w:rPr>
          <w:i/>
        </w:rPr>
        <w:t>i</w:t>
      </w:r>
      <w:proofErr w:type="spellEnd"/>
      <w:r w:rsidRPr="009A59D5">
        <w:t>) quantities, according to:</w:t>
      </w:r>
      <w:bookmarkEnd w:id="393"/>
    </w:p>
    <w:p w14:paraId="5EEDA0E7" w14:textId="63C69967" w:rsidR="00EA198C" w:rsidRPr="009A59D5" w:rsidRDefault="009C711A" w:rsidP="009C711A">
      <w:pPr>
        <w:pStyle w:val="BodyText1"/>
        <w:numPr>
          <w:ilvl w:val="0"/>
          <w:numId w:val="0"/>
        </w:numPr>
        <w:ind w:left="567" w:firstLine="284"/>
      </w:pPr>
      <w:r w:rsidRPr="009C711A">
        <w:rPr>
          <w:noProof/>
        </w:rPr>
        <w:drawing>
          <wp:inline distT="0" distB="0" distL="0" distR="0" wp14:anchorId="4D5D4F5A" wp14:editId="3210EDED">
            <wp:extent cx="4846084" cy="428625"/>
            <wp:effectExtent l="0" t="0" r="0" b="0"/>
            <wp:docPr id="49" name="Picture 49" descr="A formula for D subscript j, k superscript IR, the effective notional amount for category k which is calculated as the sum of all individual transaction level qua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formula for D subscript j, k superscript IR, the effective notional amount for category k which is calculated as the sum of all individual transaction level quantiti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5784" cy="431252"/>
                    </a:xfrm>
                    <a:prstGeom prst="rect">
                      <a:avLst/>
                    </a:prstGeom>
                    <a:noFill/>
                    <a:ln>
                      <a:noFill/>
                    </a:ln>
                  </pic:spPr>
                </pic:pic>
              </a:graphicData>
            </a:graphic>
          </wp:inline>
        </w:drawing>
      </w:r>
    </w:p>
    <w:p w14:paraId="5D42AE3C" w14:textId="77777777" w:rsidR="001065A2" w:rsidRPr="009A59D5" w:rsidRDefault="001065A2" w:rsidP="001065A2">
      <w:pPr>
        <w:pStyle w:val="BodyText1"/>
        <w:numPr>
          <w:ilvl w:val="0"/>
          <w:numId w:val="0"/>
        </w:numPr>
        <w:ind w:left="567"/>
      </w:pPr>
      <w:r w:rsidRPr="009A59D5">
        <w:t>where:</w:t>
      </w:r>
    </w:p>
    <w:p w14:paraId="62231859" w14:textId="0A79E3B0" w:rsidR="001065A2" w:rsidRPr="009A59D5" w:rsidRDefault="00A071FD" w:rsidP="001065A2">
      <w:pPr>
        <w:pStyle w:val="BodyText1"/>
        <w:numPr>
          <w:ilvl w:val="0"/>
          <w:numId w:val="0"/>
        </w:numPr>
        <w:ind w:left="567"/>
      </w:pPr>
      <w:r>
        <w:rPr>
          <w:i/>
        </w:rPr>
        <w:t>I(</w:t>
      </w:r>
      <w:proofErr w:type="spellStart"/>
      <w:proofErr w:type="gramStart"/>
      <w:r>
        <w:rPr>
          <w:i/>
        </w:rPr>
        <w:t>j,k</w:t>
      </w:r>
      <w:proofErr w:type="spellEnd"/>
      <w:proofErr w:type="gramEnd"/>
      <w:r>
        <w:rPr>
          <w:i/>
        </w:rPr>
        <w:t xml:space="preserve">) </w:t>
      </w:r>
      <w:r>
        <w:t xml:space="preserve">= </w:t>
      </w:r>
      <w:r w:rsidR="001065A2" w:rsidRPr="009A59D5">
        <w:t xml:space="preserve">the set of all interest rate transactions belonging to maturity category </w:t>
      </w:r>
      <w:r>
        <w:rPr>
          <w:i/>
        </w:rPr>
        <w:t>k</w:t>
      </w:r>
      <w:r w:rsidR="001065A2" w:rsidRPr="009A59D5">
        <w:t xml:space="preserve"> and hedging set </w:t>
      </w:r>
      <w:r>
        <w:rPr>
          <w:i/>
        </w:rPr>
        <w:t>j</w:t>
      </w:r>
      <w:r w:rsidR="001065A2" w:rsidRPr="009A59D5">
        <w:t>;</w:t>
      </w:r>
    </w:p>
    <w:p w14:paraId="776A0564" w14:textId="42A1D7E1" w:rsidR="001065A2" w:rsidRPr="009A59D5" w:rsidRDefault="00942134" w:rsidP="001065A2">
      <w:pPr>
        <w:pStyle w:val="BodyText1"/>
        <w:numPr>
          <w:ilvl w:val="0"/>
          <w:numId w:val="0"/>
        </w:numPr>
        <w:ind w:left="567"/>
      </w:pPr>
      <w:r w:rsidRPr="00942134">
        <w:rPr>
          <w:i/>
        </w:rPr>
        <w:t>ẟ</w:t>
      </w:r>
      <w:proofErr w:type="spellStart"/>
      <w:r>
        <w:rPr>
          <w:vertAlign w:val="subscript"/>
        </w:rPr>
        <w:t>i</w:t>
      </w:r>
      <w:proofErr w:type="spellEnd"/>
      <w:r>
        <w:t xml:space="preserve"> =</w:t>
      </w:r>
      <w:r w:rsidR="001065A2" w:rsidRPr="009A59D5">
        <w:t xml:space="preserve"> the supervisory delta adjustment for transaction </w:t>
      </w:r>
      <w:proofErr w:type="spellStart"/>
      <w:r>
        <w:rPr>
          <w:i/>
        </w:rPr>
        <w:t>i</w:t>
      </w:r>
      <w:proofErr w:type="spellEnd"/>
      <w:r w:rsidR="001065A2" w:rsidRPr="009A59D5">
        <w:t>, calcu</w:t>
      </w:r>
      <w:r w:rsidR="00B342DD" w:rsidRPr="009A59D5">
        <w:t xml:space="preserve">lated according to paragraphs </w:t>
      </w:r>
      <w:r w:rsidR="00B342DD" w:rsidRPr="009A59D5">
        <w:fldChar w:fldCharType="begin"/>
      </w:r>
      <w:r w:rsidR="00B342DD" w:rsidRPr="009A59D5">
        <w:instrText xml:space="preserve"> REF _Ref460313888 \r \h </w:instrText>
      </w:r>
      <w:r w:rsidR="00365041" w:rsidRPr="009A59D5">
        <w:instrText xml:space="preserve"> \* MERGEFORMAT </w:instrText>
      </w:r>
      <w:r w:rsidR="00B342DD" w:rsidRPr="009A59D5">
        <w:fldChar w:fldCharType="separate"/>
      </w:r>
      <w:r w:rsidR="00B401AE">
        <w:t>43</w:t>
      </w:r>
      <w:r w:rsidR="00B342DD" w:rsidRPr="009A59D5">
        <w:fldChar w:fldCharType="end"/>
      </w:r>
      <w:r w:rsidR="001065A2" w:rsidRPr="009A59D5">
        <w:t xml:space="preserve"> to </w:t>
      </w:r>
      <w:r w:rsidR="00542E87" w:rsidRPr="009A59D5">
        <w:t xml:space="preserve">47 of this </w:t>
      </w:r>
      <w:proofErr w:type="gramStart"/>
      <w:r w:rsidR="00542E87" w:rsidRPr="009A59D5">
        <w:t>Attachment</w:t>
      </w:r>
      <w:r w:rsidR="001065A2" w:rsidRPr="009A59D5">
        <w:t>;</w:t>
      </w:r>
      <w:proofErr w:type="gramEnd"/>
    </w:p>
    <w:p w14:paraId="395DBF38" w14:textId="1C04288F" w:rsidR="001065A2" w:rsidRPr="009A59D5" w:rsidRDefault="00942134" w:rsidP="001065A2">
      <w:pPr>
        <w:pStyle w:val="BodyText1"/>
        <w:numPr>
          <w:ilvl w:val="0"/>
          <w:numId w:val="0"/>
        </w:numPr>
        <w:ind w:left="567"/>
      </w:pPr>
      <w:proofErr w:type="spellStart"/>
      <w:r>
        <w:rPr>
          <w:i/>
        </w:rPr>
        <w:t>MF</w:t>
      </w:r>
      <w:r>
        <w:rPr>
          <w:i/>
          <w:vertAlign w:val="subscript"/>
        </w:rPr>
        <w:t>i</w:t>
      </w:r>
      <w:proofErr w:type="spellEnd"/>
      <w:r>
        <w:rPr>
          <w:i/>
        </w:rPr>
        <w:t xml:space="preserve"> = </w:t>
      </w:r>
      <w:r w:rsidR="001065A2" w:rsidRPr="009A59D5">
        <w:t>the m</w:t>
      </w:r>
      <w:r w:rsidR="00051509" w:rsidRPr="009A59D5">
        <w:t xml:space="preserve">aturity factor for transaction </w:t>
      </w:r>
      <w:proofErr w:type="spellStart"/>
      <w:r>
        <w:rPr>
          <w:i/>
        </w:rPr>
        <w:t>i</w:t>
      </w:r>
      <w:proofErr w:type="spellEnd"/>
      <w:r w:rsidR="001065A2" w:rsidRPr="009A59D5">
        <w:t xml:space="preserve">, calculated according to paragraph </w:t>
      </w:r>
      <w:r w:rsidR="00B342DD" w:rsidRPr="009A59D5">
        <w:fldChar w:fldCharType="begin"/>
      </w:r>
      <w:r w:rsidR="00B342DD" w:rsidRPr="009A59D5">
        <w:instrText xml:space="preserve"> REF _Ref460259374 \r \h </w:instrText>
      </w:r>
      <w:r w:rsidR="00365041" w:rsidRPr="009A59D5">
        <w:instrText xml:space="preserve"> \* MERGEFORMAT </w:instrText>
      </w:r>
      <w:r w:rsidR="00B342DD" w:rsidRPr="009A59D5">
        <w:fldChar w:fldCharType="separate"/>
      </w:r>
      <w:r w:rsidR="00B401AE">
        <w:t>48</w:t>
      </w:r>
      <w:r w:rsidR="00B342DD" w:rsidRPr="009A59D5">
        <w:fldChar w:fldCharType="end"/>
      </w:r>
      <w:r w:rsidR="00542E87" w:rsidRPr="009A59D5">
        <w:t xml:space="preserve"> of this Attachment</w:t>
      </w:r>
      <w:r w:rsidR="001065A2" w:rsidRPr="009A59D5">
        <w:t>; and</w:t>
      </w:r>
    </w:p>
    <w:p w14:paraId="5C7DA4C7" w14:textId="62B3FE8C" w:rsidR="00194686" w:rsidRPr="009A59D5" w:rsidRDefault="00942134" w:rsidP="001065A2">
      <w:pPr>
        <w:pStyle w:val="BodyText1"/>
        <w:numPr>
          <w:ilvl w:val="0"/>
          <w:numId w:val="0"/>
        </w:numPr>
        <w:ind w:left="567"/>
      </w:pPr>
      <w:proofErr w:type="spellStart"/>
      <w:r>
        <w:rPr>
          <w:i/>
        </w:rPr>
        <w:t>d</w:t>
      </w:r>
      <w:r>
        <w:rPr>
          <w:i/>
          <w:vertAlign w:val="subscript"/>
        </w:rPr>
        <w:t>i</w:t>
      </w:r>
      <w:r>
        <w:rPr>
          <w:i/>
          <w:vertAlign w:val="superscript"/>
        </w:rPr>
        <w:t>IR</w:t>
      </w:r>
      <w:proofErr w:type="spellEnd"/>
      <w:r>
        <w:rPr>
          <w:i/>
          <w:vertAlign w:val="superscript"/>
        </w:rPr>
        <w:t xml:space="preserve"> </w:t>
      </w:r>
      <w:r>
        <w:t xml:space="preserve">= </w:t>
      </w:r>
      <w:r w:rsidR="001065A2" w:rsidRPr="009A59D5">
        <w:t xml:space="preserve">the adjusted notional amount for transaction </w:t>
      </w:r>
      <w:proofErr w:type="spellStart"/>
      <w:r w:rsidRPr="00942134">
        <w:rPr>
          <w:i/>
        </w:rPr>
        <w:t>i</w:t>
      </w:r>
      <w:proofErr w:type="spellEnd"/>
      <w:r>
        <w:t>,</w:t>
      </w:r>
      <w:r w:rsidR="001065A2" w:rsidRPr="009A59D5">
        <w:t xml:space="preserve"> and must be calculated as:</w:t>
      </w:r>
    </w:p>
    <w:p w14:paraId="1E7AEA5F" w14:textId="66300B90" w:rsidR="000610F1" w:rsidRPr="00751D7D" w:rsidRDefault="000610F1" w:rsidP="000610F1">
      <w:pPr>
        <w:pStyle w:val="BodyText1"/>
        <w:numPr>
          <w:ilvl w:val="0"/>
          <w:numId w:val="0"/>
        </w:numPr>
        <w:ind w:left="567" w:firstLine="1418"/>
      </w:pPr>
      <w:r w:rsidRPr="000610F1">
        <w:rPr>
          <w:noProof/>
        </w:rPr>
        <w:drawing>
          <wp:inline distT="0" distB="0" distL="0" distR="0" wp14:anchorId="394D50F5" wp14:editId="24F0894B">
            <wp:extent cx="3095625" cy="452501"/>
            <wp:effectExtent l="0" t="0" r="0" b="5080"/>
            <wp:docPr id="50" name="Picture 50" descr="A formula for d subscript i superscript IR, the adjusted notional amount for transaction i which is used in the formula for D subscript j, k superscript 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formula for d subscript i superscript IR, the adjusted notional amount for transaction i which is used in the formula for D subscript j, k superscript I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11174" cy="454774"/>
                    </a:xfrm>
                    <a:prstGeom prst="rect">
                      <a:avLst/>
                    </a:prstGeom>
                    <a:noFill/>
                    <a:ln>
                      <a:noFill/>
                    </a:ln>
                  </pic:spPr>
                </pic:pic>
              </a:graphicData>
            </a:graphic>
          </wp:inline>
        </w:drawing>
      </w:r>
    </w:p>
    <w:p w14:paraId="0EBCA888" w14:textId="77777777" w:rsidR="007F372E" w:rsidRPr="009A59D5" w:rsidRDefault="007F372E" w:rsidP="00B342DD">
      <w:pPr>
        <w:pStyle w:val="BodyText2"/>
        <w:numPr>
          <w:ilvl w:val="0"/>
          <w:numId w:val="0"/>
        </w:numPr>
        <w:ind w:left="1134"/>
      </w:pPr>
      <w:r w:rsidRPr="009A59D5">
        <w:t>where:</w:t>
      </w:r>
    </w:p>
    <w:p w14:paraId="769A233F" w14:textId="71F4F818" w:rsidR="007F372E" w:rsidRPr="009A59D5" w:rsidRDefault="00942134" w:rsidP="00B342DD">
      <w:pPr>
        <w:pStyle w:val="BodyText2"/>
        <w:numPr>
          <w:ilvl w:val="0"/>
          <w:numId w:val="0"/>
        </w:numPr>
        <w:ind w:left="1134"/>
      </w:pPr>
      <w:r>
        <w:rPr>
          <w:i/>
        </w:rPr>
        <w:t>N</w:t>
      </w:r>
      <w:r>
        <w:rPr>
          <w:i/>
          <w:vertAlign w:val="subscript"/>
        </w:rPr>
        <w:t xml:space="preserve">i </w:t>
      </w:r>
      <w:r w:rsidRPr="00942134">
        <w:t>=</w:t>
      </w:r>
      <w:r>
        <w:rPr>
          <w:i/>
        </w:rPr>
        <w:t xml:space="preserve"> </w:t>
      </w:r>
      <w:r w:rsidR="007F372E" w:rsidRPr="009A59D5">
        <w:t xml:space="preserve">the notional amount of transaction </w:t>
      </w:r>
      <w:proofErr w:type="spellStart"/>
      <w:r>
        <w:rPr>
          <w:i/>
        </w:rPr>
        <w:t>i</w:t>
      </w:r>
      <w:proofErr w:type="spellEnd"/>
      <w:r w:rsidR="007F372E" w:rsidRPr="009A59D5">
        <w:t xml:space="preserve">, converted to AUD, using the exchange rate on the calculation date. The parameter </w:t>
      </w:r>
      <w:r>
        <w:rPr>
          <w:i/>
        </w:rPr>
        <w:t>N</w:t>
      </w:r>
      <w:r>
        <w:rPr>
          <w:i/>
          <w:vertAlign w:val="subscript"/>
        </w:rPr>
        <w:t>i</w:t>
      </w:r>
      <w:r>
        <w:t xml:space="preserve"> </w:t>
      </w:r>
      <w:r w:rsidR="007F372E" w:rsidRPr="009A59D5">
        <w:t xml:space="preserve">is also subject to the requirements in paragraph </w:t>
      </w:r>
      <w:r w:rsidR="001F1E20" w:rsidRPr="009A59D5">
        <w:fldChar w:fldCharType="begin"/>
      </w:r>
      <w:r w:rsidR="001F1E20" w:rsidRPr="009A59D5">
        <w:instrText xml:space="preserve"> REF _Ref460313856 \r \h </w:instrText>
      </w:r>
      <w:r w:rsidR="00365041" w:rsidRPr="009A59D5">
        <w:instrText xml:space="preserve"> \* MERGEFORMAT </w:instrText>
      </w:r>
      <w:r w:rsidR="001F1E20" w:rsidRPr="009A59D5">
        <w:fldChar w:fldCharType="separate"/>
      </w:r>
      <w:r w:rsidR="00B401AE">
        <w:t>42</w:t>
      </w:r>
      <w:r w:rsidR="001F1E20" w:rsidRPr="009A59D5">
        <w:fldChar w:fldCharType="end"/>
      </w:r>
      <w:r w:rsidR="007F372E" w:rsidRPr="009A59D5">
        <w:t xml:space="preserve"> of this </w:t>
      </w:r>
      <w:proofErr w:type="gramStart"/>
      <w:r w:rsidR="007F372E" w:rsidRPr="009A59D5">
        <w:t>Attachment;</w:t>
      </w:r>
      <w:proofErr w:type="gramEnd"/>
    </w:p>
    <w:p w14:paraId="124730C9" w14:textId="50812B1E" w:rsidR="007F372E" w:rsidRPr="009A59D5" w:rsidRDefault="00942134" w:rsidP="00B342DD">
      <w:pPr>
        <w:pStyle w:val="BodyText2"/>
        <w:numPr>
          <w:ilvl w:val="0"/>
          <w:numId w:val="0"/>
        </w:numPr>
        <w:ind w:left="1134"/>
      </w:pPr>
      <w:r>
        <w:rPr>
          <w:i/>
        </w:rPr>
        <w:t>S</w:t>
      </w:r>
      <w:r>
        <w:rPr>
          <w:i/>
          <w:vertAlign w:val="subscript"/>
        </w:rPr>
        <w:t>i</w:t>
      </w:r>
      <w:r>
        <w:t xml:space="preserve"> = </w:t>
      </w:r>
      <w:r w:rsidR="007F372E" w:rsidRPr="009A59D5">
        <w:t xml:space="preserve">the start date for transaction </w:t>
      </w:r>
      <w:proofErr w:type="spellStart"/>
      <w:r>
        <w:rPr>
          <w:i/>
        </w:rPr>
        <w:t>i</w:t>
      </w:r>
      <w:proofErr w:type="spellEnd"/>
      <w:r w:rsidR="007F372E" w:rsidRPr="009A59D5">
        <w:t>; and</w:t>
      </w:r>
    </w:p>
    <w:p w14:paraId="50273D1A" w14:textId="729BD9EC" w:rsidR="007F372E" w:rsidRPr="009A59D5" w:rsidRDefault="00942134" w:rsidP="00B342DD">
      <w:pPr>
        <w:pStyle w:val="BodyText2"/>
        <w:numPr>
          <w:ilvl w:val="0"/>
          <w:numId w:val="0"/>
        </w:numPr>
        <w:ind w:left="1134"/>
      </w:pPr>
      <w:proofErr w:type="spellStart"/>
      <w:r>
        <w:rPr>
          <w:i/>
        </w:rPr>
        <w:t>E</w:t>
      </w:r>
      <w:r>
        <w:rPr>
          <w:i/>
          <w:vertAlign w:val="subscript"/>
        </w:rPr>
        <w:t>i</w:t>
      </w:r>
      <w:proofErr w:type="spellEnd"/>
      <w:r>
        <w:rPr>
          <w:i/>
          <w:vertAlign w:val="subscript"/>
        </w:rPr>
        <w:t xml:space="preserve"> </w:t>
      </w:r>
      <w:r w:rsidRPr="00942134">
        <w:t>=</w:t>
      </w:r>
      <w:r>
        <w:rPr>
          <w:i/>
        </w:rPr>
        <w:t xml:space="preserve"> </w:t>
      </w:r>
      <w:r w:rsidR="007F372E" w:rsidRPr="009A59D5">
        <w:t xml:space="preserve">the end date for transaction </w:t>
      </w:r>
      <w:proofErr w:type="spellStart"/>
      <w:r>
        <w:rPr>
          <w:i/>
        </w:rPr>
        <w:t>i</w:t>
      </w:r>
      <w:proofErr w:type="spellEnd"/>
      <w:r w:rsidR="007F372E" w:rsidRPr="009A59D5">
        <w:t>.</w:t>
      </w:r>
    </w:p>
    <w:p w14:paraId="0C5FDD20" w14:textId="77777777" w:rsidR="004944A2" w:rsidRPr="009A59D5" w:rsidRDefault="004944A2" w:rsidP="007F372E">
      <w:pPr>
        <w:pStyle w:val="Heading3"/>
      </w:pPr>
      <w:bookmarkStart w:id="394" w:name="_Toc460331450"/>
      <w:bookmarkStart w:id="395" w:name="_Toc461692114"/>
      <w:bookmarkStart w:id="396" w:name="_Toc487712242"/>
      <w:bookmarkStart w:id="397" w:name="_Toc488397543"/>
      <w:bookmarkStart w:id="398" w:name="_Toc488398103"/>
      <w:bookmarkStart w:id="399" w:name="_Toc489463940"/>
      <w:bookmarkStart w:id="400" w:name="_Toc507406233"/>
      <w:bookmarkStart w:id="401" w:name="_Toc507406305"/>
      <w:bookmarkStart w:id="402" w:name="_Toc507406418"/>
      <w:r w:rsidRPr="009A59D5">
        <w:t>Add-on for foreign exchange derivative transactions</w:t>
      </w:r>
      <w:bookmarkEnd w:id="394"/>
      <w:bookmarkEnd w:id="395"/>
      <w:bookmarkEnd w:id="396"/>
      <w:bookmarkEnd w:id="397"/>
      <w:bookmarkEnd w:id="398"/>
      <w:bookmarkEnd w:id="399"/>
      <w:bookmarkEnd w:id="400"/>
      <w:bookmarkEnd w:id="401"/>
      <w:bookmarkEnd w:id="402"/>
    </w:p>
    <w:p w14:paraId="54B2BD76" w14:textId="267B6F25" w:rsidR="007F372E" w:rsidRPr="009A59D5" w:rsidRDefault="004944A2" w:rsidP="007F372E">
      <w:pPr>
        <w:pStyle w:val="BodyText1"/>
      </w:pPr>
      <w:bookmarkStart w:id="403" w:name="_Ref460313722"/>
      <w:r w:rsidRPr="009A59D5">
        <w:t>For the foreign exchange asset class, hedging sets must be constructed according to pa</w:t>
      </w:r>
      <w:r w:rsidR="007F372E" w:rsidRPr="009A59D5">
        <w:t xml:space="preserve">ragraph </w:t>
      </w:r>
      <w:r w:rsidR="00B342DD" w:rsidRPr="009A59D5">
        <w:fldChar w:fldCharType="begin"/>
      </w:r>
      <w:r w:rsidR="00B342DD" w:rsidRPr="009A59D5">
        <w:instrText xml:space="preserve"> REF _Ref460313691 \r \h </w:instrText>
      </w:r>
      <w:r w:rsidR="00365041" w:rsidRPr="009A59D5">
        <w:instrText xml:space="preserve"> \* MERGEFORMAT </w:instrText>
      </w:r>
      <w:r w:rsidR="00B342DD" w:rsidRPr="009A59D5">
        <w:fldChar w:fldCharType="separate"/>
      </w:r>
      <w:r w:rsidR="00B401AE">
        <w:t>19</w:t>
      </w:r>
      <w:r w:rsidR="00B342DD" w:rsidRPr="009A59D5">
        <w:fldChar w:fldCharType="end"/>
      </w:r>
      <w:r w:rsidR="007F372E" w:rsidRPr="009A59D5">
        <w:t xml:space="preserve"> of this Attachment.</w:t>
      </w:r>
      <w:bookmarkEnd w:id="403"/>
    </w:p>
    <w:p w14:paraId="681B317B" w14:textId="41AD750B" w:rsidR="00205907" w:rsidRPr="009A59D5" w:rsidRDefault="004944A2" w:rsidP="007F372E">
      <w:pPr>
        <w:pStyle w:val="BodyText1"/>
      </w:pPr>
      <w:r w:rsidRPr="009A59D5">
        <w:t xml:space="preserve">The add-on for each hedging set </w:t>
      </w:r>
      <w:r w:rsidR="00942134">
        <w:rPr>
          <w:i/>
        </w:rPr>
        <w:t>j</w:t>
      </w:r>
      <w:r w:rsidRPr="009A59D5">
        <w:t xml:space="preserve">, </w:t>
      </w:r>
      <w:proofErr w:type="spellStart"/>
      <w:r w:rsidR="00942134">
        <w:rPr>
          <w:i/>
        </w:rPr>
        <w:t>AddOn</w:t>
      </w:r>
      <w:r w:rsidR="00942134">
        <w:rPr>
          <w:i/>
          <w:vertAlign w:val="subscript"/>
        </w:rPr>
        <w:t>j</w:t>
      </w:r>
      <w:r w:rsidR="00942134">
        <w:rPr>
          <w:i/>
          <w:vertAlign w:val="superscript"/>
        </w:rPr>
        <w:t>FX</w:t>
      </w:r>
      <w:proofErr w:type="spellEnd"/>
      <w:r w:rsidR="00942134">
        <w:t xml:space="preserve">, </w:t>
      </w:r>
      <w:r w:rsidRPr="009A59D5">
        <w:t>must be calculated as:</w:t>
      </w:r>
    </w:p>
    <w:p w14:paraId="3C39ADE0" w14:textId="118FFFCA" w:rsidR="002E3F43" w:rsidRDefault="002E3F43" w:rsidP="002E3F43">
      <w:pPr>
        <w:pStyle w:val="BodyText1"/>
        <w:numPr>
          <w:ilvl w:val="0"/>
          <w:numId w:val="0"/>
        </w:numPr>
        <w:ind w:firstLine="709"/>
      </w:pPr>
      <w:r w:rsidRPr="00953D37">
        <w:rPr>
          <w:noProof/>
        </w:rPr>
        <w:drawing>
          <wp:inline distT="0" distB="0" distL="0" distR="0" wp14:anchorId="5C54B435" wp14:editId="0D60E98D">
            <wp:extent cx="4800600" cy="304800"/>
            <wp:effectExtent l="0" t="0" r="0" b="0"/>
            <wp:docPr id="52" name="Picture 52" descr="A formula for AddOn subscript j superscript FX which is the add-on for each hedging set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formula for AddOn subscript j superscript FX which is the add-on for each hedging set j."/>
                    <pic:cNvPicPr>
                      <a:picLocks noChangeAspect="1" noChangeArrowheads="1"/>
                    </pic:cNvPicPr>
                  </pic:nvPicPr>
                  <pic:blipFill rotWithShape="1">
                    <a:blip r:embed="rId48">
                      <a:extLst>
                        <a:ext uri="{28A0092B-C50C-407E-A947-70E740481C1C}">
                          <a14:useLocalDpi xmlns:a14="http://schemas.microsoft.com/office/drawing/2010/main" val="0"/>
                        </a:ext>
                      </a:extLst>
                    </a:blip>
                    <a:srcRect l="25336" t="-12268" r="23990" b="30470"/>
                    <a:stretch/>
                  </pic:blipFill>
                  <pic:spPr bwMode="auto">
                    <a:xfrm>
                      <a:off x="0" y="0"/>
                      <a:ext cx="4852383" cy="308088"/>
                    </a:xfrm>
                    <a:prstGeom prst="rect">
                      <a:avLst/>
                    </a:prstGeom>
                    <a:noFill/>
                    <a:ln>
                      <a:noFill/>
                    </a:ln>
                    <a:extLst>
                      <a:ext uri="{53640926-AAD7-44D8-BBD7-CCE9431645EC}">
                        <a14:shadowObscured xmlns:a14="http://schemas.microsoft.com/office/drawing/2010/main"/>
                      </a:ext>
                    </a:extLst>
                  </pic:spPr>
                </pic:pic>
              </a:graphicData>
            </a:graphic>
          </wp:inline>
        </w:drawing>
      </w:r>
    </w:p>
    <w:p w14:paraId="7B18F750" w14:textId="77777777" w:rsidR="007F372E" w:rsidRPr="009A59D5" w:rsidRDefault="007F372E" w:rsidP="007F372E">
      <w:pPr>
        <w:pStyle w:val="BodyText1"/>
        <w:numPr>
          <w:ilvl w:val="0"/>
          <w:numId w:val="0"/>
        </w:numPr>
        <w:ind w:left="567"/>
      </w:pPr>
      <w:r w:rsidRPr="009A59D5">
        <w:t>where:</w:t>
      </w:r>
    </w:p>
    <w:p w14:paraId="07D4ABAE" w14:textId="3EC99270" w:rsidR="007F372E" w:rsidRPr="009A59D5" w:rsidRDefault="00942134" w:rsidP="007F372E">
      <w:pPr>
        <w:pStyle w:val="BodyText1"/>
        <w:numPr>
          <w:ilvl w:val="0"/>
          <w:numId w:val="0"/>
        </w:numPr>
        <w:ind w:left="567"/>
      </w:pPr>
      <w:r>
        <w:rPr>
          <w:i/>
        </w:rPr>
        <w:t>SF</w:t>
      </w:r>
      <w:r>
        <w:rPr>
          <w:i/>
          <w:vertAlign w:val="superscript"/>
        </w:rPr>
        <w:t xml:space="preserve">FX </w:t>
      </w:r>
      <w:r>
        <w:rPr>
          <w:i/>
        </w:rPr>
        <w:t xml:space="preserve">= </w:t>
      </w:r>
      <w:r w:rsidR="007F372E" w:rsidRPr="009A59D5">
        <w:t>the supervisory factor for the foreign excha</w:t>
      </w:r>
      <w:r w:rsidR="00B342DD" w:rsidRPr="009A59D5">
        <w:t>nge asset class (</w:t>
      </w:r>
      <w:r w:rsidR="00AA7BE9" w:rsidRPr="009A59D5">
        <w:t>refer to</w:t>
      </w:r>
      <w:r w:rsidR="00B342DD" w:rsidRPr="009A59D5">
        <w:t xml:space="preserve"> paragraph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004F27CB" w:rsidRPr="009A59D5">
        <w:t xml:space="preserve"> of this Attachment</w:t>
      </w:r>
      <w:r w:rsidR="007F372E" w:rsidRPr="009A59D5">
        <w:t>); and</w:t>
      </w:r>
    </w:p>
    <w:p w14:paraId="04CAF02E" w14:textId="63160A35" w:rsidR="00EA198C" w:rsidRPr="009A59D5" w:rsidRDefault="00942134" w:rsidP="007F372E">
      <w:pPr>
        <w:pStyle w:val="BodyText1"/>
        <w:numPr>
          <w:ilvl w:val="0"/>
          <w:numId w:val="0"/>
        </w:numPr>
        <w:ind w:left="567"/>
      </w:pPr>
      <w:proofErr w:type="spellStart"/>
      <w:r>
        <w:rPr>
          <w:i/>
        </w:rPr>
        <w:t>EffectiveNotional</w:t>
      </w:r>
      <w:r>
        <w:rPr>
          <w:i/>
          <w:vertAlign w:val="subscript"/>
        </w:rPr>
        <w:t>j</w:t>
      </w:r>
      <w:r>
        <w:rPr>
          <w:i/>
          <w:vertAlign w:val="superscript"/>
        </w:rPr>
        <w:t>FX</w:t>
      </w:r>
      <w:proofErr w:type="spellEnd"/>
      <w:r>
        <w:t xml:space="preserve"> =</w:t>
      </w:r>
      <w:r w:rsidR="007F372E" w:rsidRPr="009A59D5">
        <w:t xml:space="preserve"> effective notional amount for hedging set </w:t>
      </w:r>
      <w:r>
        <w:rPr>
          <w:i/>
        </w:rPr>
        <w:t>j</w:t>
      </w:r>
      <w:r w:rsidR="007F372E" w:rsidRPr="009A59D5">
        <w:t xml:space="preserve">, calculated according to paragraph </w:t>
      </w:r>
      <w:r w:rsidR="00B342DD" w:rsidRPr="009A59D5">
        <w:fldChar w:fldCharType="begin"/>
      </w:r>
      <w:r w:rsidR="00B342DD" w:rsidRPr="009A59D5">
        <w:instrText xml:space="preserve"> REF _Ref460313730 \r \h </w:instrText>
      </w:r>
      <w:r w:rsidR="00365041" w:rsidRPr="009A59D5">
        <w:instrText xml:space="preserve"> \* MERGEFORMAT </w:instrText>
      </w:r>
      <w:r w:rsidR="00B342DD" w:rsidRPr="009A59D5">
        <w:fldChar w:fldCharType="separate"/>
      </w:r>
      <w:r w:rsidR="00B401AE">
        <w:t>28</w:t>
      </w:r>
      <w:r w:rsidR="00B342DD" w:rsidRPr="009A59D5">
        <w:fldChar w:fldCharType="end"/>
      </w:r>
      <w:r w:rsidR="004F27CB" w:rsidRPr="009A59D5">
        <w:t xml:space="preserve"> of this Attachment</w:t>
      </w:r>
      <w:r w:rsidR="007F372E" w:rsidRPr="009A59D5">
        <w:t>.</w:t>
      </w:r>
    </w:p>
    <w:p w14:paraId="786CD080" w14:textId="682DFFE5" w:rsidR="007F372E" w:rsidRPr="009A59D5" w:rsidRDefault="007F372E" w:rsidP="007F372E">
      <w:pPr>
        <w:pStyle w:val="BodyText1"/>
      </w:pPr>
      <w:bookmarkStart w:id="404" w:name="_Ref460313730"/>
      <w:r w:rsidRPr="009A59D5">
        <w:lastRenderedPageBreak/>
        <w:t xml:space="preserve">The effective notional amount for hedging set </w:t>
      </w:r>
      <w:r w:rsidR="00942134">
        <w:rPr>
          <w:i/>
        </w:rPr>
        <w:t>j</w:t>
      </w:r>
      <w:r w:rsidRPr="009A59D5">
        <w:t xml:space="preserve">, denoted </w:t>
      </w:r>
      <w:proofErr w:type="gramStart"/>
      <w:r w:rsidRPr="009A59D5">
        <w:t>by</w:t>
      </w:r>
      <w:r w:rsidR="00624E69" w:rsidRPr="009A59D5">
        <w:t xml:space="preserve"> </w:t>
      </w:r>
      <w:r w:rsidR="00942134">
        <w:t xml:space="preserve"> </w:t>
      </w:r>
      <w:proofErr w:type="spellStart"/>
      <w:r w:rsidR="00942134">
        <w:rPr>
          <w:i/>
        </w:rPr>
        <w:t>EffectiveNotional</w:t>
      </w:r>
      <w:r w:rsidR="00942134">
        <w:rPr>
          <w:i/>
          <w:vertAlign w:val="subscript"/>
        </w:rPr>
        <w:t>j</w:t>
      </w:r>
      <w:r w:rsidR="00942134">
        <w:rPr>
          <w:i/>
          <w:vertAlign w:val="superscript"/>
        </w:rPr>
        <w:t>FX</w:t>
      </w:r>
      <w:proofErr w:type="spellEnd"/>
      <w:proofErr w:type="gramEnd"/>
      <w:r w:rsidRPr="009A59D5">
        <w:t>, must be calculated as the sum of all</w:t>
      </w:r>
      <w:r w:rsidR="00624E69" w:rsidRPr="009A59D5">
        <w:t xml:space="preserve"> individual transaction level (</w:t>
      </w:r>
      <w:proofErr w:type="spellStart"/>
      <w:r w:rsidR="00942134">
        <w:rPr>
          <w:i/>
        </w:rPr>
        <w:t>i</w:t>
      </w:r>
      <w:proofErr w:type="spellEnd"/>
      <w:r w:rsidRPr="009A59D5">
        <w:t>) quantities, according to:</w:t>
      </w:r>
      <w:bookmarkEnd w:id="404"/>
    </w:p>
    <w:p w14:paraId="23734397" w14:textId="348A6759" w:rsidR="00207D7B" w:rsidRDefault="00207D7B" w:rsidP="001062BB">
      <w:pPr>
        <w:pStyle w:val="BodyText1"/>
        <w:numPr>
          <w:ilvl w:val="0"/>
          <w:numId w:val="0"/>
        </w:numPr>
        <w:spacing w:after="0"/>
        <w:ind w:hanging="284"/>
      </w:pPr>
      <w:r w:rsidRPr="00207D7B">
        <w:rPr>
          <w:noProof/>
        </w:rPr>
        <w:drawing>
          <wp:inline distT="0" distB="0" distL="0" distR="0" wp14:anchorId="3CAB8238" wp14:editId="289462B4">
            <wp:extent cx="5721910" cy="543464"/>
            <wp:effectExtent l="0" t="0" r="0" b="0"/>
            <wp:docPr id="12" name="Picture 12" descr="A formula for EffectiveNotional subscript j superscript FX, the effective notional amount for hedging set j, which is calculated as the sum of all individual transaction level qua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formula for EffectiveNotional subscript j superscript FX, the effective notional amount for hedging set j, which is calculated as the sum of all individual transaction level quantiti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826" cy="546780"/>
                    </a:xfrm>
                    <a:prstGeom prst="rect">
                      <a:avLst/>
                    </a:prstGeom>
                    <a:noFill/>
                    <a:ln>
                      <a:noFill/>
                    </a:ln>
                  </pic:spPr>
                </pic:pic>
              </a:graphicData>
            </a:graphic>
          </wp:inline>
        </w:drawing>
      </w:r>
    </w:p>
    <w:p w14:paraId="4F611480" w14:textId="77777777" w:rsidR="00624E69" w:rsidRPr="009A59D5" w:rsidRDefault="00624E69" w:rsidP="00624E69">
      <w:pPr>
        <w:pStyle w:val="BodyText1"/>
        <w:numPr>
          <w:ilvl w:val="0"/>
          <w:numId w:val="0"/>
        </w:numPr>
        <w:ind w:left="567"/>
      </w:pPr>
      <w:r w:rsidRPr="009A59D5">
        <w:t>where:</w:t>
      </w:r>
    </w:p>
    <w:p w14:paraId="5A5C4AEA" w14:textId="2A95BDC0" w:rsidR="00624E69" w:rsidRPr="009A59D5" w:rsidRDefault="00942134" w:rsidP="00624E69">
      <w:pPr>
        <w:pStyle w:val="BodyText1"/>
        <w:numPr>
          <w:ilvl w:val="0"/>
          <w:numId w:val="0"/>
        </w:numPr>
        <w:ind w:left="567"/>
      </w:pPr>
      <w:r>
        <w:rPr>
          <w:i/>
        </w:rPr>
        <w:t xml:space="preserve">I(j) </w:t>
      </w:r>
      <w:r>
        <w:t xml:space="preserve">= </w:t>
      </w:r>
      <w:r w:rsidR="00624E69" w:rsidRPr="009A59D5">
        <w:t>the set of all foreign exchange transac</w:t>
      </w:r>
      <w:r w:rsidR="002B26AB" w:rsidRPr="009A59D5">
        <w:t xml:space="preserve">tions belonging to hedging set </w:t>
      </w:r>
      <w:proofErr w:type="gramStart"/>
      <w:r>
        <w:rPr>
          <w:i/>
        </w:rPr>
        <w:t>j</w:t>
      </w:r>
      <w:r w:rsidR="00624E69" w:rsidRPr="009A59D5">
        <w:t>;</w:t>
      </w:r>
      <w:proofErr w:type="gramEnd"/>
    </w:p>
    <w:p w14:paraId="21B2E533" w14:textId="1418EDB9" w:rsidR="00624E69" w:rsidRPr="009A59D5" w:rsidRDefault="00942134" w:rsidP="00624E69">
      <w:pPr>
        <w:pStyle w:val="BodyText1"/>
        <w:numPr>
          <w:ilvl w:val="0"/>
          <w:numId w:val="0"/>
        </w:numPr>
        <w:ind w:left="567"/>
      </w:pPr>
      <w:r w:rsidRPr="00942134">
        <w:rPr>
          <w:i/>
        </w:rPr>
        <w:t>ẟ</w:t>
      </w:r>
      <w:proofErr w:type="spellStart"/>
      <w:r w:rsidRPr="00942134">
        <w:rPr>
          <w:i/>
          <w:vertAlign w:val="subscript"/>
        </w:rPr>
        <w:t>i</w:t>
      </w:r>
      <w:proofErr w:type="spellEnd"/>
      <w:r>
        <w:rPr>
          <w:i/>
          <w:vertAlign w:val="subscript"/>
        </w:rPr>
        <w:t xml:space="preserve"> </w:t>
      </w:r>
      <w:r>
        <w:t xml:space="preserve">= </w:t>
      </w:r>
      <w:r w:rsidR="00624E69" w:rsidRPr="009A59D5">
        <w:t xml:space="preserve">the supervisory delta adjustment for transaction </w:t>
      </w:r>
      <w:proofErr w:type="spellStart"/>
      <w:r>
        <w:rPr>
          <w:i/>
        </w:rPr>
        <w:t>i</w:t>
      </w:r>
      <w:proofErr w:type="spellEnd"/>
      <w:r w:rsidR="00624E69" w:rsidRPr="009A59D5">
        <w:t xml:space="preserve">, calculated according to paragraphs </w:t>
      </w:r>
      <w:r w:rsidR="00B342DD" w:rsidRPr="009A59D5">
        <w:fldChar w:fldCharType="begin"/>
      </w:r>
      <w:r w:rsidR="00B342DD" w:rsidRPr="009A59D5">
        <w:instrText xml:space="preserve"> REF _Ref460313888 \r \h </w:instrText>
      </w:r>
      <w:r w:rsidR="00365041" w:rsidRPr="009A59D5">
        <w:instrText xml:space="preserve"> \* MERGEFORMAT </w:instrText>
      </w:r>
      <w:r w:rsidR="00B342DD" w:rsidRPr="009A59D5">
        <w:fldChar w:fldCharType="separate"/>
      </w:r>
      <w:r w:rsidR="00B401AE">
        <w:t>43</w:t>
      </w:r>
      <w:r w:rsidR="00B342DD" w:rsidRPr="009A59D5">
        <w:fldChar w:fldCharType="end"/>
      </w:r>
      <w:r w:rsidR="00B342DD" w:rsidRPr="009A59D5">
        <w:t xml:space="preserve"> to </w:t>
      </w:r>
      <w:r w:rsidR="008A7FD6" w:rsidRPr="009A59D5">
        <w:t xml:space="preserve">47 of this </w:t>
      </w:r>
      <w:proofErr w:type="gramStart"/>
      <w:r w:rsidR="008A7FD6" w:rsidRPr="009A59D5">
        <w:t>Attachment</w:t>
      </w:r>
      <w:r w:rsidR="00624E69" w:rsidRPr="009A59D5">
        <w:t>;</w:t>
      </w:r>
      <w:proofErr w:type="gramEnd"/>
    </w:p>
    <w:p w14:paraId="670FA879" w14:textId="7CC22137" w:rsidR="00624E69" w:rsidRPr="009A59D5" w:rsidRDefault="00942134" w:rsidP="00624E69">
      <w:pPr>
        <w:pStyle w:val="BodyText1"/>
        <w:numPr>
          <w:ilvl w:val="0"/>
          <w:numId w:val="0"/>
        </w:numPr>
        <w:ind w:left="567"/>
      </w:pPr>
      <w:proofErr w:type="spellStart"/>
      <w:r>
        <w:rPr>
          <w:i/>
        </w:rPr>
        <w:t>MF</w:t>
      </w:r>
      <w:r>
        <w:rPr>
          <w:i/>
          <w:vertAlign w:val="subscript"/>
        </w:rPr>
        <w:t>i</w:t>
      </w:r>
      <w:proofErr w:type="spellEnd"/>
      <w:r>
        <w:rPr>
          <w:i/>
        </w:rPr>
        <w:t xml:space="preserve"> =</w:t>
      </w:r>
      <w:r>
        <w:t xml:space="preserve"> </w:t>
      </w:r>
      <w:r w:rsidR="00624E69" w:rsidRPr="009A59D5">
        <w:t xml:space="preserve">the maturity factor for transaction </w:t>
      </w:r>
      <w:proofErr w:type="spellStart"/>
      <w:r>
        <w:rPr>
          <w:i/>
        </w:rPr>
        <w:t>i</w:t>
      </w:r>
      <w:proofErr w:type="spellEnd"/>
      <w:r w:rsidR="00624E69" w:rsidRPr="009A59D5">
        <w:t>, cal</w:t>
      </w:r>
      <w:r w:rsidR="00B342DD" w:rsidRPr="009A59D5">
        <w:t xml:space="preserve">culated according to paragraph </w:t>
      </w:r>
      <w:r w:rsidR="00B342DD" w:rsidRPr="009A59D5">
        <w:fldChar w:fldCharType="begin"/>
      </w:r>
      <w:r w:rsidR="00B342DD" w:rsidRPr="009A59D5">
        <w:instrText xml:space="preserve"> REF _Ref460259374 \r \h </w:instrText>
      </w:r>
      <w:r w:rsidR="00365041" w:rsidRPr="009A59D5">
        <w:instrText xml:space="preserve"> \* MERGEFORMAT </w:instrText>
      </w:r>
      <w:r w:rsidR="00B342DD" w:rsidRPr="009A59D5">
        <w:fldChar w:fldCharType="separate"/>
      </w:r>
      <w:r w:rsidR="00B401AE">
        <w:t>48</w:t>
      </w:r>
      <w:r w:rsidR="00B342DD" w:rsidRPr="009A59D5">
        <w:fldChar w:fldCharType="end"/>
      </w:r>
      <w:r w:rsidR="008A7FD6" w:rsidRPr="009A59D5">
        <w:t xml:space="preserve"> of this Attachment</w:t>
      </w:r>
      <w:r w:rsidR="00624E69" w:rsidRPr="009A59D5">
        <w:t>; and</w:t>
      </w:r>
    </w:p>
    <w:p w14:paraId="5EBF06B7" w14:textId="7C1F0A8B" w:rsidR="00220F7A" w:rsidRPr="009A59D5" w:rsidRDefault="00942134" w:rsidP="00624E69">
      <w:pPr>
        <w:pStyle w:val="BodyText1"/>
        <w:numPr>
          <w:ilvl w:val="0"/>
          <w:numId w:val="0"/>
        </w:numPr>
        <w:ind w:left="567"/>
      </w:pPr>
      <w:proofErr w:type="spellStart"/>
      <w:r>
        <w:rPr>
          <w:i/>
        </w:rPr>
        <w:t>d</w:t>
      </w:r>
      <w:r>
        <w:rPr>
          <w:i/>
          <w:vertAlign w:val="subscript"/>
        </w:rPr>
        <w:t>i</w:t>
      </w:r>
      <w:r w:rsidR="008D7E21">
        <w:rPr>
          <w:i/>
          <w:vertAlign w:val="superscript"/>
        </w:rPr>
        <w:t>FX</w:t>
      </w:r>
      <w:proofErr w:type="spellEnd"/>
      <w:r>
        <w:rPr>
          <w:i/>
        </w:rPr>
        <w:t xml:space="preserve"> </w:t>
      </w:r>
      <w:r w:rsidR="008D7E21">
        <w:t xml:space="preserve">= </w:t>
      </w:r>
      <w:r w:rsidR="00624E69" w:rsidRPr="009A59D5">
        <w:t xml:space="preserve">the adjusted notional amount for transaction </w:t>
      </w:r>
      <w:proofErr w:type="spellStart"/>
      <w:r w:rsidR="008D7E21">
        <w:rPr>
          <w:i/>
        </w:rPr>
        <w:t>i</w:t>
      </w:r>
      <w:proofErr w:type="spellEnd"/>
      <w:r w:rsidR="00624E69" w:rsidRPr="009A59D5">
        <w:t xml:space="preserve">. It must be set as the notional of the foreign currency leg of transaction </w:t>
      </w:r>
      <w:proofErr w:type="spellStart"/>
      <w:r w:rsidR="008D7E21">
        <w:rPr>
          <w:i/>
        </w:rPr>
        <w:t>i</w:t>
      </w:r>
      <w:proofErr w:type="spellEnd"/>
      <w:r w:rsidR="00624E69" w:rsidRPr="009A59D5">
        <w:t xml:space="preserve">, converted to AUD using the exchange rate on the calculation date. If both legs are denominated in currencies other than AUD, the notional amount of each leg must first be converted to AUD using the exchange rate on the calculation date and </w:t>
      </w:r>
      <w:proofErr w:type="spellStart"/>
      <w:r w:rsidR="008D7E21">
        <w:rPr>
          <w:i/>
        </w:rPr>
        <w:t>d</w:t>
      </w:r>
      <w:r w:rsidR="008D7E21">
        <w:rPr>
          <w:i/>
          <w:vertAlign w:val="subscript"/>
        </w:rPr>
        <w:t>i</w:t>
      </w:r>
      <w:r w:rsidR="008D7E21">
        <w:rPr>
          <w:i/>
          <w:vertAlign w:val="superscript"/>
        </w:rPr>
        <w:t>FX</w:t>
      </w:r>
      <w:proofErr w:type="spellEnd"/>
      <w:r w:rsidR="008D7E21">
        <w:t xml:space="preserve"> </w:t>
      </w:r>
      <w:r w:rsidR="00624E69" w:rsidRPr="009A59D5">
        <w:t xml:space="preserve">must be set as the leg with the larger AUD value. The adjusted notional amount is also subject to the requirements in paragraph </w:t>
      </w:r>
      <w:r w:rsidR="001F1E20" w:rsidRPr="009A59D5">
        <w:fldChar w:fldCharType="begin"/>
      </w:r>
      <w:r w:rsidR="001F1E20" w:rsidRPr="009A59D5">
        <w:instrText xml:space="preserve"> REF _Ref460313856 \r \h </w:instrText>
      </w:r>
      <w:r w:rsidR="00365041" w:rsidRPr="009A59D5">
        <w:instrText xml:space="preserve"> \* MERGEFORMAT </w:instrText>
      </w:r>
      <w:r w:rsidR="001F1E20" w:rsidRPr="009A59D5">
        <w:fldChar w:fldCharType="separate"/>
      </w:r>
      <w:r w:rsidR="00B401AE">
        <w:t>42</w:t>
      </w:r>
      <w:r w:rsidR="001F1E20" w:rsidRPr="009A59D5">
        <w:fldChar w:fldCharType="end"/>
      </w:r>
      <w:r w:rsidR="00624E69" w:rsidRPr="009A59D5">
        <w:t xml:space="preserve"> of this Attachment.</w:t>
      </w:r>
    </w:p>
    <w:p w14:paraId="617195BC" w14:textId="77777777" w:rsidR="00C952D4" w:rsidRPr="009A59D5" w:rsidRDefault="00C952D4" w:rsidP="00C952D4">
      <w:pPr>
        <w:pStyle w:val="Heading3"/>
      </w:pPr>
      <w:bookmarkStart w:id="405" w:name="_Toc460331451"/>
      <w:bookmarkStart w:id="406" w:name="_Toc461692115"/>
      <w:bookmarkStart w:id="407" w:name="_Toc487712243"/>
      <w:bookmarkStart w:id="408" w:name="_Toc488397544"/>
      <w:bookmarkStart w:id="409" w:name="_Toc488398104"/>
      <w:bookmarkStart w:id="410" w:name="_Toc489463941"/>
      <w:bookmarkStart w:id="411" w:name="_Toc507406234"/>
      <w:bookmarkStart w:id="412" w:name="_Toc507406306"/>
      <w:bookmarkStart w:id="413" w:name="_Toc507406419"/>
      <w:r w:rsidRPr="009A59D5">
        <w:t>Add-on for credit derivative transactions</w:t>
      </w:r>
      <w:bookmarkEnd w:id="405"/>
      <w:bookmarkEnd w:id="406"/>
      <w:bookmarkEnd w:id="407"/>
      <w:bookmarkEnd w:id="408"/>
      <w:bookmarkEnd w:id="409"/>
      <w:bookmarkEnd w:id="410"/>
      <w:bookmarkEnd w:id="411"/>
      <w:bookmarkEnd w:id="412"/>
      <w:bookmarkEnd w:id="413"/>
    </w:p>
    <w:p w14:paraId="5D8A45C8" w14:textId="60E26A54" w:rsidR="00C952D4" w:rsidRPr="009A59D5" w:rsidRDefault="00C952D4" w:rsidP="00C952D4">
      <w:pPr>
        <w:pStyle w:val="BodyText1"/>
      </w:pPr>
      <w:bookmarkStart w:id="414" w:name="_Ref460313736"/>
      <w:proofErr w:type="gramStart"/>
      <w:r w:rsidRPr="009A59D5">
        <w:t>With the exception of</w:t>
      </w:r>
      <w:proofErr w:type="gramEnd"/>
      <w:r w:rsidRPr="009A59D5">
        <w:t xml:space="preserve"> separate hedging sets for basis and volatility transactions, a single core hedging set must be used for all credit derivative transactions. Within the core hedging set (</w:t>
      </w:r>
      <w:r w:rsidR="00EB7413" w:rsidRPr="009A59D5">
        <w:t>refer to</w:t>
      </w:r>
      <w:r w:rsidRPr="009A59D5">
        <w:t xml:space="preserve"> paragraph </w:t>
      </w:r>
      <w:r w:rsidR="00B342DD" w:rsidRPr="009A59D5">
        <w:fldChar w:fldCharType="begin"/>
      </w:r>
      <w:r w:rsidR="00B342DD" w:rsidRPr="009A59D5">
        <w:instrText xml:space="preserve"> REF _Ref460313691 \r \h </w:instrText>
      </w:r>
      <w:r w:rsidR="00365041" w:rsidRPr="009A59D5">
        <w:instrText xml:space="preserve"> \* MERGEFORMAT </w:instrText>
      </w:r>
      <w:r w:rsidR="00B342DD" w:rsidRPr="009A59D5">
        <w:fldChar w:fldCharType="separate"/>
      </w:r>
      <w:r w:rsidR="00B401AE">
        <w:t>19</w:t>
      </w:r>
      <w:r w:rsidR="00B342DD" w:rsidRPr="009A59D5">
        <w:fldChar w:fldCharType="end"/>
      </w:r>
      <w:r w:rsidRPr="009A59D5">
        <w:t xml:space="preserve"> of this Attachment), transactions must be further divided into different categories, with each category (</w:t>
      </w:r>
      <w:r w:rsidR="008D7E21">
        <w:rPr>
          <w:i/>
        </w:rPr>
        <w:t>k</w:t>
      </w:r>
      <w:r w:rsidRPr="009A59D5">
        <w:t>) containing all the transactions referencing the same entity</w:t>
      </w:r>
      <w:r w:rsidR="008D7E21">
        <w:t xml:space="preserve"> </w:t>
      </w:r>
      <w:r w:rsidR="008D7E21">
        <w:rPr>
          <w:i/>
        </w:rPr>
        <w:t>k</w:t>
      </w:r>
      <w:r w:rsidRPr="009A59D5">
        <w:t>. Each single name entity or index is a separate category.</w:t>
      </w:r>
      <w:bookmarkEnd w:id="414"/>
    </w:p>
    <w:p w14:paraId="1CA3E67F" w14:textId="6112CBCB" w:rsidR="00624E69" w:rsidRDefault="00C952D4" w:rsidP="00C952D4">
      <w:pPr>
        <w:pStyle w:val="BodyText1"/>
      </w:pPr>
      <w:r w:rsidRPr="009A59D5">
        <w:t xml:space="preserve">The add-on factor for the single core hedging set for the credit asset class, </w:t>
      </w:r>
      <w:proofErr w:type="spellStart"/>
      <w:r w:rsidR="008D7E21">
        <w:rPr>
          <w:i/>
        </w:rPr>
        <w:t>AddOn</w:t>
      </w:r>
      <w:r w:rsidR="008D7E21">
        <w:rPr>
          <w:i/>
          <w:vertAlign w:val="subscript"/>
        </w:rPr>
        <w:t>CORE</w:t>
      </w:r>
      <w:r w:rsidR="008D7E21">
        <w:rPr>
          <w:i/>
          <w:vertAlign w:val="superscript"/>
        </w:rPr>
        <w:t>CR</w:t>
      </w:r>
      <w:proofErr w:type="spellEnd"/>
      <w:r w:rsidRPr="009A59D5">
        <w:t>, must be calculated as:</w:t>
      </w:r>
    </w:p>
    <w:p w14:paraId="7FB980DD" w14:textId="78AE422A" w:rsidR="00C7504C" w:rsidRPr="009A59D5" w:rsidRDefault="00C7504C" w:rsidP="00751D7D">
      <w:pPr>
        <w:pStyle w:val="BodyText1"/>
        <w:numPr>
          <w:ilvl w:val="0"/>
          <w:numId w:val="0"/>
        </w:numPr>
        <w:ind w:left="567"/>
      </w:pPr>
      <w:r w:rsidRPr="00C7504C">
        <w:rPr>
          <w:noProof/>
        </w:rPr>
        <w:drawing>
          <wp:inline distT="0" distB="0" distL="0" distR="0" wp14:anchorId="0A0794AE" wp14:editId="4403C819">
            <wp:extent cx="4533900" cy="874379"/>
            <wp:effectExtent l="0" t="0" r="0" b="2540"/>
            <wp:docPr id="54" name="Picture 54" descr="A formula for AddOn subscript CORE superscript CR, which is the add-on factor for the single core hedging set for the credit asse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formula for AddOn subscript CORE superscript CR, which is the add-on factor for the single core hedging set for the credit asset clas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47054" cy="876916"/>
                    </a:xfrm>
                    <a:prstGeom prst="rect">
                      <a:avLst/>
                    </a:prstGeom>
                    <a:noFill/>
                    <a:ln>
                      <a:noFill/>
                    </a:ln>
                  </pic:spPr>
                </pic:pic>
              </a:graphicData>
            </a:graphic>
          </wp:inline>
        </w:drawing>
      </w:r>
    </w:p>
    <w:p w14:paraId="43387A37" w14:textId="77777777" w:rsidR="00C952D4" w:rsidRPr="009A59D5" w:rsidRDefault="00C952D4" w:rsidP="00C952D4">
      <w:pPr>
        <w:pStyle w:val="BodyText1"/>
        <w:numPr>
          <w:ilvl w:val="0"/>
          <w:numId w:val="0"/>
        </w:numPr>
        <w:ind w:left="567"/>
      </w:pPr>
      <w:r w:rsidRPr="009A59D5">
        <w:t>where:</w:t>
      </w:r>
    </w:p>
    <w:p w14:paraId="68B56D30" w14:textId="4F93AF65" w:rsidR="00C952D4" w:rsidRPr="009A59D5" w:rsidRDefault="008D7E21" w:rsidP="00C952D4">
      <w:pPr>
        <w:pStyle w:val="BodyText1"/>
        <w:numPr>
          <w:ilvl w:val="0"/>
          <w:numId w:val="0"/>
        </w:numPr>
        <w:ind w:left="567"/>
      </w:pPr>
      <w:proofErr w:type="spellStart"/>
      <w:r>
        <w:rPr>
          <w:i/>
        </w:rPr>
        <w:t>p</w:t>
      </w:r>
      <w:r>
        <w:rPr>
          <w:i/>
          <w:vertAlign w:val="subscript"/>
        </w:rPr>
        <w:t>k</w:t>
      </w:r>
      <w:r>
        <w:rPr>
          <w:i/>
          <w:vertAlign w:val="superscript"/>
        </w:rPr>
        <w:t>CR</w:t>
      </w:r>
      <w:proofErr w:type="spellEnd"/>
      <w:r>
        <w:t xml:space="preserve"> = </w:t>
      </w:r>
      <w:r w:rsidR="00C952D4" w:rsidRPr="009A59D5">
        <w:t xml:space="preserve">the supervisory correlation parameter for category </w:t>
      </w:r>
      <w:r>
        <w:rPr>
          <w:i/>
        </w:rPr>
        <w:t>k</w:t>
      </w:r>
      <w:r w:rsidR="00C952D4" w:rsidRPr="009A59D5">
        <w:t xml:space="preserve">. An ADI must determine </w:t>
      </w:r>
      <w:proofErr w:type="spellStart"/>
      <w:r>
        <w:rPr>
          <w:i/>
        </w:rPr>
        <w:t>p</w:t>
      </w:r>
      <w:r>
        <w:rPr>
          <w:i/>
          <w:vertAlign w:val="subscript"/>
        </w:rPr>
        <w:t>k</w:t>
      </w:r>
      <w:r>
        <w:rPr>
          <w:i/>
          <w:vertAlign w:val="superscript"/>
        </w:rPr>
        <w:t>CR</w:t>
      </w:r>
      <w:proofErr w:type="spellEnd"/>
      <w:r>
        <w:rPr>
          <w:i/>
        </w:rPr>
        <w:t xml:space="preserve"> </w:t>
      </w:r>
      <w:r w:rsidR="00C952D4" w:rsidRPr="009A59D5">
        <w:t xml:space="preserve">depending on whether </w:t>
      </w:r>
      <w:r>
        <w:rPr>
          <w:i/>
        </w:rPr>
        <w:t>k</w:t>
      </w:r>
      <w:r w:rsidR="00C952D4" w:rsidRPr="009A59D5">
        <w:t xml:space="preserve"> is a single name or index</w:t>
      </w:r>
      <w:r w:rsidR="00B342DD" w:rsidRPr="009A59D5">
        <w:t xml:space="preserve"> entity according to paragraph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001557B9" w:rsidRPr="009A59D5">
        <w:t xml:space="preserve"> of this Attachment</w:t>
      </w:r>
      <w:r w:rsidR="00C952D4" w:rsidRPr="009A59D5">
        <w:t>; and</w:t>
      </w:r>
    </w:p>
    <w:p w14:paraId="132AC925" w14:textId="2E8AD536" w:rsidR="00C952D4" w:rsidRPr="009A59D5" w:rsidRDefault="008D7E21" w:rsidP="00C952D4">
      <w:pPr>
        <w:pStyle w:val="BodyText1"/>
        <w:numPr>
          <w:ilvl w:val="0"/>
          <w:numId w:val="0"/>
        </w:numPr>
        <w:ind w:left="567"/>
      </w:pPr>
      <w:proofErr w:type="spellStart"/>
      <w:proofErr w:type="gramStart"/>
      <w:r>
        <w:rPr>
          <w:i/>
        </w:rPr>
        <w:t>AddOn</w:t>
      </w:r>
      <w:r>
        <w:rPr>
          <w:i/>
          <w:vertAlign w:val="subscript"/>
        </w:rPr>
        <w:t>CORE,k</w:t>
      </w:r>
      <w:r>
        <w:rPr>
          <w:i/>
          <w:vertAlign w:val="superscript"/>
        </w:rPr>
        <w:t>CR</w:t>
      </w:r>
      <w:proofErr w:type="spellEnd"/>
      <w:proofErr w:type="gramEnd"/>
      <w:r>
        <w:t xml:space="preserve"> = </w:t>
      </w:r>
      <w:r w:rsidR="00C952D4" w:rsidRPr="009A59D5">
        <w:t xml:space="preserve">the add-on factor for category </w:t>
      </w:r>
      <w:r>
        <w:rPr>
          <w:i/>
        </w:rPr>
        <w:t>k</w:t>
      </w:r>
      <w:r w:rsidR="00C952D4" w:rsidRPr="009A59D5">
        <w:t xml:space="preserve">, calculated according to paragraph </w:t>
      </w:r>
      <w:r w:rsidR="00B342DD" w:rsidRPr="009A59D5">
        <w:fldChar w:fldCharType="begin"/>
      </w:r>
      <w:r w:rsidR="00B342DD" w:rsidRPr="009A59D5">
        <w:instrText xml:space="preserve"> REF _Ref460314291 \r \h </w:instrText>
      </w:r>
      <w:r w:rsidR="00365041" w:rsidRPr="009A59D5">
        <w:instrText xml:space="preserve"> \* MERGEFORMAT </w:instrText>
      </w:r>
      <w:r w:rsidR="00B342DD" w:rsidRPr="009A59D5">
        <w:fldChar w:fldCharType="separate"/>
      </w:r>
      <w:r w:rsidR="00B401AE">
        <w:t>31</w:t>
      </w:r>
      <w:r w:rsidR="00B342DD" w:rsidRPr="009A59D5">
        <w:fldChar w:fldCharType="end"/>
      </w:r>
      <w:r w:rsidR="001557B9" w:rsidRPr="009A59D5">
        <w:t xml:space="preserve"> of this Attachment</w:t>
      </w:r>
      <w:r w:rsidR="00C952D4" w:rsidRPr="009A59D5">
        <w:t>.</w:t>
      </w:r>
    </w:p>
    <w:p w14:paraId="6B7349D6" w14:textId="44FB94F3" w:rsidR="00C952D4" w:rsidRPr="009A59D5" w:rsidRDefault="00C952D4" w:rsidP="00C952D4">
      <w:pPr>
        <w:pStyle w:val="BodyText1"/>
      </w:pPr>
      <w:bookmarkStart w:id="415" w:name="_Ref460314291"/>
      <w:r w:rsidRPr="009A59D5">
        <w:lastRenderedPageBreak/>
        <w:t>The add-on factor for category</w:t>
      </w:r>
      <w:r w:rsidR="00CF585D">
        <w:t xml:space="preserve"> </w:t>
      </w:r>
      <w:r w:rsidR="00CF585D">
        <w:rPr>
          <w:i/>
        </w:rPr>
        <w:t xml:space="preserve">k, </w:t>
      </w:r>
      <w:proofErr w:type="spellStart"/>
      <w:proofErr w:type="gramStart"/>
      <w:r w:rsidR="00CF585D">
        <w:rPr>
          <w:i/>
        </w:rPr>
        <w:t>AddOn</w:t>
      </w:r>
      <w:r w:rsidR="00CF585D">
        <w:rPr>
          <w:i/>
          <w:vertAlign w:val="subscript"/>
        </w:rPr>
        <w:t>CORE,k</w:t>
      </w:r>
      <w:r w:rsidR="00CF585D">
        <w:rPr>
          <w:i/>
          <w:vertAlign w:val="superscript"/>
        </w:rPr>
        <w:t>CR</w:t>
      </w:r>
      <w:proofErr w:type="spellEnd"/>
      <w:proofErr w:type="gramEnd"/>
      <w:r w:rsidRPr="009A59D5">
        <w:t>, must be calculated as:</w:t>
      </w:r>
      <w:bookmarkEnd w:id="415"/>
    </w:p>
    <w:p w14:paraId="2D37A8ED" w14:textId="0288DB1C" w:rsidR="006D53AB" w:rsidRDefault="006D53AB" w:rsidP="00751D7D">
      <w:pPr>
        <w:pStyle w:val="BodyText1"/>
        <w:numPr>
          <w:ilvl w:val="0"/>
          <w:numId w:val="0"/>
        </w:numPr>
        <w:spacing w:after="0"/>
        <w:ind w:left="567" w:firstLine="709"/>
      </w:pPr>
      <w:r w:rsidRPr="00753979">
        <w:rPr>
          <w:noProof/>
        </w:rPr>
        <w:drawing>
          <wp:inline distT="0" distB="0" distL="0" distR="0" wp14:anchorId="574A7266" wp14:editId="006320A6">
            <wp:extent cx="3929059" cy="381000"/>
            <wp:effectExtent l="0" t="0" r="0" b="0"/>
            <wp:docPr id="56" name="Picture 56" descr="A formula for AddOn subscript CORE, k superscript CR, which is the add-on factor for category k, and is used in the formula for AddOn subscript CORE superscript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formula for AddOn subscript CORE, k superscript CR, which is the add-on factor for category k, and is used in the formula for AddOn subscript CORE superscript CR."/>
                    <pic:cNvPicPr>
                      <a:picLocks noChangeAspect="1" noChangeArrowheads="1"/>
                    </pic:cNvPicPr>
                  </pic:nvPicPr>
                  <pic:blipFill rotWithShape="1">
                    <a:blip r:embed="rId51">
                      <a:extLst>
                        <a:ext uri="{28A0092B-C50C-407E-A947-70E740481C1C}">
                          <a14:useLocalDpi xmlns:a14="http://schemas.microsoft.com/office/drawing/2010/main" val="0"/>
                        </a:ext>
                      </a:extLst>
                    </a:blip>
                    <a:srcRect l="30514" t="-9317" r="25792" b="-1"/>
                    <a:stretch/>
                  </pic:blipFill>
                  <pic:spPr bwMode="auto">
                    <a:xfrm>
                      <a:off x="0" y="0"/>
                      <a:ext cx="3935136" cy="381589"/>
                    </a:xfrm>
                    <a:prstGeom prst="rect">
                      <a:avLst/>
                    </a:prstGeom>
                    <a:noFill/>
                    <a:ln>
                      <a:noFill/>
                    </a:ln>
                    <a:extLst>
                      <a:ext uri="{53640926-AAD7-44D8-BBD7-CCE9431645EC}">
                        <a14:shadowObscured xmlns:a14="http://schemas.microsoft.com/office/drawing/2010/main"/>
                      </a:ext>
                    </a:extLst>
                  </pic:spPr>
                </pic:pic>
              </a:graphicData>
            </a:graphic>
          </wp:inline>
        </w:drawing>
      </w:r>
    </w:p>
    <w:p w14:paraId="17890CD3" w14:textId="77777777" w:rsidR="00C952D4" w:rsidRPr="009A59D5" w:rsidRDefault="00C952D4" w:rsidP="00C952D4">
      <w:pPr>
        <w:pStyle w:val="BodyText1"/>
        <w:numPr>
          <w:ilvl w:val="0"/>
          <w:numId w:val="0"/>
        </w:numPr>
        <w:ind w:left="567"/>
      </w:pPr>
      <w:r w:rsidRPr="009A59D5">
        <w:t>where:</w:t>
      </w:r>
    </w:p>
    <w:p w14:paraId="7FBDC713" w14:textId="00388168" w:rsidR="00C952D4" w:rsidRPr="009A59D5" w:rsidRDefault="00CF585D" w:rsidP="00C952D4">
      <w:pPr>
        <w:pStyle w:val="BodyText1"/>
        <w:numPr>
          <w:ilvl w:val="0"/>
          <w:numId w:val="0"/>
        </w:numPr>
        <w:ind w:left="567"/>
      </w:pPr>
      <w:proofErr w:type="spellStart"/>
      <w:r>
        <w:rPr>
          <w:i/>
        </w:rPr>
        <w:t>SF</w:t>
      </w:r>
      <w:r>
        <w:rPr>
          <w:i/>
          <w:vertAlign w:val="subscript"/>
        </w:rPr>
        <w:t>k</w:t>
      </w:r>
      <w:r>
        <w:rPr>
          <w:i/>
          <w:vertAlign w:val="superscript"/>
        </w:rPr>
        <w:t>CR</w:t>
      </w:r>
      <w:proofErr w:type="spellEnd"/>
      <w:r>
        <w:t xml:space="preserve"> = </w:t>
      </w:r>
      <w:r w:rsidR="00C952D4" w:rsidRPr="009A59D5">
        <w:t xml:space="preserve">the supervisory factor for the rating class of category </w:t>
      </w:r>
      <w:r>
        <w:rPr>
          <w:i/>
        </w:rPr>
        <w:t>k</w:t>
      </w:r>
      <w:r w:rsidR="00C952D4" w:rsidRPr="009A59D5">
        <w:t xml:space="preserve"> (</w:t>
      </w:r>
      <w:proofErr w:type="gramStart"/>
      <w:r w:rsidR="00C952D4" w:rsidRPr="009A59D5">
        <w:t>i.e.</w:t>
      </w:r>
      <w:proofErr w:type="gramEnd"/>
      <w:r w:rsidR="00C952D4" w:rsidRPr="009A59D5">
        <w:t xml:space="preserve"> reference entity </w:t>
      </w:r>
      <w:r>
        <w:rPr>
          <w:i/>
        </w:rPr>
        <w:t>k</w:t>
      </w:r>
      <w:r w:rsidR="00C952D4" w:rsidRPr="009A59D5">
        <w:t xml:space="preserve">) determined according to paragraph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001557B9" w:rsidRPr="009A59D5">
        <w:t xml:space="preserve"> of this Attachment</w:t>
      </w:r>
      <w:r w:rsidR="00C952D4" w:rsidRPr="009A59D5">
        <w:t>; and</w:t>
      </w:r>
    </w:p>
    <w:p w14:paraId="2E8B2E99" w14:textId="4B547210" w:rsidR="00C952D4" w:rsidRPr="009A59D5" w:rsidRDefault="00CF585D" w:rsidP="00C952D4">
      <w:pPr>
        <w:pStyle w:val="BodyText1"/>
        <w:numPr>
          <w:ilvl w:val="0"/>
          <w:numId w:val="0"/>
        </w:numPr>
        <w:ind w:left="567"/>
      </w:pPr>
      <w:proofErr w:type="spellStart"/>
      <w:proofErr w:type="gramStart"/>
      <w:r>
        <w:rPr>
          <w:i/>
        </w:rPr>
        <w:t>EffectiveNotional</w:t>
      </w:r>
      <w:r>
        <w:rPr>
          <w:i/>
          <w:vertAlign w:val="subscript"/>
        </w:rPr>
        <w:t>CORE,k</w:t>
      </w:r>
      <w:r>
        <w:rPr>
          <w:i/>
          <w:vertAlign w:val="superscript"/>
        </w:rPr>
        <w:t>CR</w:t>
      </w:r>
      <w:proofErr w:type="spellEnd"/>
      <w:proofErr w:type="gramEnd"/>
      <w:r>
        <w:t xml:space="preserve"> = </w:t>
      </w:r>
      <w:r w:rsidR="00C952D4" w:rsidRPr="009A59D5">
        <w:t>the category-level (</w:t>
      </w:r>
      <w:r>
        <w:rPr>
          <w:i/>
        </w:rPr>
        <w:t>k</w:t>
      </w:r>
      <w:r w:rsidR="00C952D4" w:rsidRPr="009A59D5">
        <w:t xml:space="preserve">) effective notional amount, calculated according to paragraph </w:t>
      </w:r>
      <w:r w:rsidR="00B342DD" w:rsidRPr="009A59D5">
        <w:fldChar w:fldCharType="begin"/>
      </w:r>
      <w:r w:rsidR="00B342DD" w:rsidRPr="009A59D5">
        <w:instrText xml:space="preserve"> REF _Ref460313747 \r \h </w:instrText>
      </w:r>
      <w:r w:rsidR="00365041" w:rsidRPr="009A59D5">
        <w:instrText xml:space="preserve"> \* MERGEFORMAT </w:instrText>
      </w:r>
      <w:r w:rsidR="00B342DD" w:rsidRPr="009A59D5">
        <w:fldChar w:fldCharType="separate"/>
      </w:r>
      <w:r w:rsidR="00B401AE">
        <w:t>32</w:t>
      </w:r>
      <w:r w:rsidR="00B342DD" w:rsidRPr="009A59D5">
        <w:fldChar w:fldCharType="end"/>
      </w:r>
      <w:r w:rsidR="00C952D4" w:rsidRPr="009A59D5">
        <w:t>.</w:t>
      </w:r>
    </w:p>
    <w:p w14:paraId="2C875F74" w14:textId="4DEF72F7" w:rsidR="00A20914" w:rsidRPr="009A59D5" w:rsidRDefault="00A20914" w:rsidP="00A20914">
      <w:pPr>
        <w:pStyle w:val="BodyText1"/>
      </w:pPr>
      <w:bookmarkStart w:id="416" w:name="_Ref460313747"/>
      <w:r w:rsidRPr="009A59D5">
        <w:t>The effective notional amount for category</w:t>
      </w:r>
      <w:r w:rsidR="00CF585D">
        <w:t xml:space="preserve"> </w:t>
      </w:r>
      <w:r w:rsidR="00CF585D">
        <w:rPr>
          <w:i/>
        </w:rPr>
        <w:t xml:space="preserve">k, </w:t>
      </w:r>
      <w:proofErr w:type="spellStart"/>
      <w:proofErr w:type="gramStart"/>
      <w:r w:rsidR="00CF585D">
        <w:rPr>
          <w:i/>
        </w:rPr>
        <w:t>EffectiveNotional</w:t>
      </w:r>
      <w:r w:rsidR="00CF585D">
        <w:rPr>
          <w:i/>
          <w:vertAlign w:val="subscript"/>
        </w:rPr>
        <w:t>CORE,k</w:t>
      </w:r>
      <w:r w:rsidR="00CF585D">
        <w:rPr>
          <w:i/>
          <w:vertAlign w:val="superscript"/>
        </w:rPr>
        <w:t>CR</w:t>
      </w:r>
      <w:proofErr w:type="spellEnd"/>
      <w:proofErr w:type="gramEnd"/>
      <w:r w:rsidRPr="009A59D5">
        <w:t>, must be calculated as the sum of all individual transaction level (</w:t>
      </w:r>
      <w:proofErr w:type="spellStart"/>
      <w:r w:rsidR="00CF585D">
        <w:rPr>
          <w:i/>
        </w:rPr>
        <w:t>i</w:t>
      </w:r>
      <w:proofErr w:type="spellEnd"/>
      <w:r w:rsidRPr="009A59D5">
        <w:t>) quantities, according to:</w:t>
      </w:r>
      <w:bookmarkEnd w:id="416"/>
    </w:p>
    <w:p w14:paraId="3BB7070C" w14:textId="2810696F" w:rsidR="00212135" w:rsidRPr="00751D7D" w:rsidRDefault="00212135" w:rsidP="00751D7D">
      <w:pPr>
        <w:pStyle w:val="BodyText1"/>
        <w:numPr>
          <w:ilvl w:val="0"/>
          <w:numId w:val="0"/>
        </w:numPr>
        <w:spacing w:after="0"/>
        <w:ind w:left="567" w:firstLine="992"/>
      </w:pPr>
      <w:r w:rsidRPr="007627F3">
        <w:rPr>
          <w:noProof/>
        </w:rPr>
        <w:drawing>
          <wp:inline distT="0" distB="0" distL="0" distR="0" wp14:anchorId="18A99B19" wp14:editId="0435215B">
            <wp:extent cx="4101701" cy="504825"/>
            <wp:effectExtent l="0" t="0" r="0" b="0"/>
            <wp:docPr id="58" name="Picture 58" descr="A formula for EffectiveNotional subscript CORE, k superscript CR, which is the effective notional amount for category k and must be calculated as the sum of all individual transaction level qua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formula for EffectiveNotional subscript CORE, k superscript CR, which is the effective notional amount for category k and must be calculated as the sum of all individual transaction level quantities."/>
                    <pic:cNvPicPr>
                      <a:picLocks noChangeAspect="1" noChangeArrowheads="1"/>
                    </pic:cNvPicPr>
                  </pic:nvPicPr>
                  <pic:blipFill rotWithShape="1">
                    <a:blip r:embed="rId52">
                      <a:extLst>
                        <a:ext uri="{28A0092B-C50C-407E-A947-70E740481C1C}">
                          <a14:useLocalDpi xmlns:a14="http://schemas.microsoft.com/office/drawing/2010/main" val="0"/>
                        </a:ext>
                      </a:extLst>
                    </a:blip>
                    <a:srcRect l="30699" t="-2941" r="22349" b="8824"/>
                    <a:stretch/>
                  </pic:blipFill>
                  <pic:spPr bwMode="auto">
                    <a:xfrm>
                      <a:off x="0" y="0"/>
                      <a:ext cx="4111976" cy="506090"/>
                    </a:xfrm>
                    <a:prstGeom prst="rect">
                      <a:avLst/>
                    </a:prstGeom>
                    <a:noFill/>
                    <a:ln>
                      <a:noFill/>
                    </a:ln>
                    <a:extLst>
                      <a:ext uri="{53640926-AAD7-44D8-BBD7-CCE9431645EC}">
                        <a14:shadowObscured xmlns:a14="http://schemas.microsoft.com/office/drawing/2010/main"/>
                      </a:ext>
                    </a:extLst>
                  </pic:spPr>
                </pic:pic>
              </a:graphicData>
            </a:graphic>
          </wp:inline>
        </w:drawing>
      </w:r>
    </w:p>
    <w:p w14:paraId="355D4E68" w14:textId="77777777" w:rsidR="00A20914" w:rsidRPr="009A59D5" w:rsidRDefault="00A20914" w:rsidP="00A20914">
      <w:pPr>
        <w:pStyle w:val="BodyText1"/>
        <w:numPr>
          <w:ilvl w:val="0"/>
          <w:numId w:val="0"/>
        </w:numPr>
        <w:ind w:left="567"/>
      </w:pPr>
      <w:r w:rsidRPr="009A59D5">
        <w:t>where:</w:t>
      </w:r>
    </w:p>
    <w:p w14:paraId="5795BD9A" w14:textId="260F29A2" w:rsidR="00A20914" w:rsidRPr="009A59D5" w:rsidRDefault="00CF585D" w:rsidP="00A20914">
      <w:pPr>
        <w:pStyle w:val="BodyText1"/>
        <w:numPr>
          <w:ilvl w:val="0"/>
          <w:numId w:val="0"/>
        </w:numPr>
        <w:ind w:left="567"/>
      </w:pPr>
      <w:r>
        <w:rPr>
          <w:i/>
        </w:rPr>
        <w:t>I(</w:t>
      </w:r>
      <w:proofErr w:type="spellStart"/>
      <w:proofErr w:type="gramStart"/>
      <w:r>
        <w:rPr>
          <w:i/>
        </w:rPr>
        <w:t>CORE,k</w:t>
      </w:r>
      <w:proofErr w:type="spellEnd"/>
      <w:proofErr w:type="gramEnd"/>
      <w:r>
        <w:rPr>
          <w:i/>
        </w:rPr>
        <w:t xml:space="preserve">) </w:t>
      </w:r>
      <w:r>
        <w:t>=</w:t>
      </w:r>
      <w:r w:rsidR="005501AF" w:rsidRPr="009A59D5">
        <w:t xml:space="preserve"> </w:t>
      </w:r>
      <w:r w:rsidR="00A20914" w:rsidRPr="009A59D5">
        <w:t xml:space="preserve">the set of all transactions belonging to category </w:t>
      </w:r>
      <w:r>
        <w:rPr>
          <w:i/>
        </w:rPr>
        <w:t>k</w:t>
      </w:r>
      <w:r w:rsidR="00A20914" w:rsidRPr="009A59D5">
        <w:t xml:space="preserve"> (i.e. reference entity </w:t>
      </w:r>
      <w:r>
        <w:rPr>
          <w:i/>
        </w:rPr>
        <w:t>k</w:t>
      </w:r>
      <w:r w:rsidR="00A20914" w:rsidRPr="009A59D5">
        <w:t>) within the core credit hedging set;</w:t>
      </w:r>
    </w:p>
    <w:p w14:paraId="2697A446" w14:textId="3D1655B0" w:rsidR="00A20914" w:rsidRPr="009A59D5" w:rsidRDefault="00CF585D" w:rsidP="00A20914">
      <w:pPr>
        <w:pStyle w:val="BodyText1"/>
        <w:numPr>
          <w:ilvl w:val="0"/>
          <w:numId w:val="0"/>
        </w:numPr>
        <w:ind w:left="567"/>
      </w:pPr>
      <w:r w:rsidRPr="00CF585D">
        <w:rPr>
          <w:i/>
        </w:rPr>
        <w:t>ẟ</w:t>
      </w:r>
      <w:proofErr w:type="spellStart"/>
      <w:r w:rsidRPr="00CF585D">
        <w:rPr>
          <w:i/>
          <w:vertAlign w:val="subscript"/>
        </w:rPr>
        <w:t>i</w:t>
      </w:r>
      <w:proofErr w:type="spellEnd"/>
      <w:r>
        <w:rPr>
          <w:i/>
          <w:vertAlign w:val="subscript"/>
        </w:rPr>
        <w:t xml:space="preserve"> </w:t>
      </w:r>
      <w:r>
        <w:t xml:space="preserve">= </w:t>
      </w:r>
      <w:r w:rsidR="00A20914" w:rsidRPr="009A59D5">
        <w:t xml:space="preserve">the supervisory delta adjustment for transaction </w:t>
      </w:r>
      <w:proofErr w:type="spellStart"/>
      <w:r>
        <w:rPr>
          <w:i/>
        </w:rPr>
        <w:t>i</w:t>
      </w:r>
      <w:proofErr w:type="spellEnd"/>
      <w:r w:rsidR="00A20914" w:rsidRPr="009A59D5">
        <w:t xml:space="preserve">, calculated according to paragraphs </w:t>
      </w:r>
      <w:r w:rsidR="00B342DD" w:rsidRPr="009A59D5">
        <w:fldChar w:fldCharType="begin"/>
      </w:r>
      <w:r w:rsidR="00B342DD" w:rsidRPr="009A59D5">
        <w:instrText xml:space="preserve"> REF _Ref460313888 \r \h </w:instrText>
      </w:r>
      <w:r w:rsidR="00365041" w:rsidRPr="009A59D5">
        <w:instrText xml:space="preserve"> \* MERGEFORMAT </w:instrText>
      </w:r>
      <w:r w:rsidR="00B342DD" w:rsidRPr="009A59D5">
        <w:fldChar w:fldCharType="separate"/>
      </w:r>
      <w:r w:rsidR="00B401AE">
        <w:t>43</w:t>
      </w:r>
      <w:r w:rsidR="00B342DD" w:rsidRPr="009A59D5">
        <w:fldChar w:fldCharType="end"/>
      </w:r>
      <w:r w:rsidR="00B342DD" w:rsidRPr="009A59D5">
        <w:t xml:space="preserve"> to </w:t>
      </w:r>
      <w:r w:rsidR="00DE4521" w:rsidRPr="009A59D5">
        <w:t xml:space="preserve">47 of this </w:t>
      </w:r>
      <w:proofErr w:type="gramStart"/>
      <w:r w:rsidR="00DE4521" w:rsidRPr="009A59D5">
        <w:t>Attachment</w:t>
      </w:r>
      <w:r w:rsidR="00A20914" w:rsidRPr="009A59D5">
        <w:t>;</w:t>
      </w:r>
      <w:proofErr w:type="gramEnd"/>
    </w:p>
    <w:p w14:paraId="2285D76A" w14:textId="26D71C33" w:rsidR="00A20914" w:rsidRPr="009A59D5" w:rsidRDefault="00CF585D" w:rsidP="00A20914">
      <w:pPr>
        <w:pStyle w:val="BodyText1"/>
        <w:numPr>
          <w:ilvl w:val="0"/>
          <w:numId w:val="0"/>
        </w:numPr>
        <w:ind w:left="567"/>
      </w:pPr>
      <w:proofErr w:type="spellStart"/>
      <w:r>
        <w:rPr>
          <w:i/>
        </w:rPr>
        <w:t>MF</w:t>
      </w:r>
      <w:r>
        <w:rPr>
          <w:i/>
          <w:vertAlign w:val="subscript"/>
        </w:rPr>
        <w:t>i</w:t>
      </w:r>
      <w:proofErr w:type="spellEnd"/>
      <w:r>
        <w:rPr>
          <w:i/>
        </w:rPr>
        <w:t xml:space="preserve"> </w:t>
      </w:r>
      <w:r>
        <w:t xml:space="preserve">= </w:t>
      </w:r>
      <w:r w:rsidR="00A20914" w:rsidRPr="009A59D5">
        <w:t xml:space="preserve">the maturity factor for transaction </w:t>
      </w:r>
      <w:proofErr w:type="spellStart"/>
      <w:r>
        <w:rPr>
          <w:i/>
        </w:rPr>
        <w:t>i</w:t>
      </w:r>
      <w:proofErr w:type="spellEnd"/>
      <w:r w:rsidR="00A20914" w:rsidRPr="009A59D5">
        <w:t xml:space="preserve"> calculated according to paragraph </w:t>
      </w:r>
      <w:r w:rsidR="00B342DD" w:rsidRPr="009A59D5">
        <w:fldChar w:fldCharType="begin"/>
      </w:r>
      <w:r w:rsidR="00B342DD" w:rsidRPr="009A59D5">
        <w:instrText xml:space="preserve"> REF _Ref460259374 \r \h </w:instrText>
      </w:r>
      <w:r w:rsidR="00365041" w:rsidRPr="009A59D5">
        <w:instrText xml:space="preserve"> \* MERGEFORMAT </w:instrText>
      </w:r>
      <w:r w:rsidR="00B342DD" w:rsidRPr="009A59D5">
        <w:fldChar w:fldCharType="separate"/>
      </w:r>
      <w:r w:rsidR="00B401AE">
        <w:t>48</w:t>
      </w:r>
      <w:r w:rsidR="00B342DD" w:rsidRPr="009A59D5">
        <w:fldChar w:fldCharType="end"/>
      </w:r>
      <w:r w:rsidR="00DE4521" w:rsidRPr="009A59D5">
        <w:t xml:space="preserve"> of this Attachment</w:t>
      </w:r>
      <w:r w:rsidR="00A20914" w:rsidRPr="009A59D5">
        <w:t>; and</w:t>
      </w:r>
    </w:p>
    <w:p w14:paraId="03A5CA03" w14:textId="7997DFDC" w:rsidR="00C952D4" w:rsidRPr="009A59D5" w:rsidRDefault="00CF585D" w:rsidP="00A20914">
      <w:pPr>
        <w:pStyle w:val="BodyText1"/>
        <w:numPr>
          <w:ilvl w:val="0"/>
          <w:numId w:val="0"/>
        </w:numPr>
        <w:ind w:left="567"/>
      </w:pPr>
      <w:proofErr w:type="spellStart"/>
      <w:r>
        <w:rPr>
          <w:i/>
        </w:rPr>
        <w:t>d</w:t>
      </w:r>
      <w:r>
        <w:rPr>
          <w:i/>
          <w:vertAlign w:val="subscript"/>
        </w:rPr>
        <w:t>i</w:t>
      </w:r>
      <w:r>
        <w:rPr>
          <w:i/>
          <w:vertAlign w:val="superscript"/>
        </w:rPr>
        <w:t>CR</w:t>
      </w:r>
      <w:proofErr w:type="spellEnd"/>
      <w:r>
        <w:t xml:space="preserve"> = </w:t>
      </w:r>
      <w:r w:rsidR="00A20914" w:rsidRPr="009A59D5">
        <w:t xml:space="preserve">the adjusted notional amount for transaction </w:t>
      </w:r>
      <w:proofErr w:type="spellStart"/>
      <w:r>
        <w:rPr>
          <w:i/>
        </w:rPr>
        <w:t>i</w:t>
      </w:r>
      <w:proofErr w:type="spellEnd"/>
      <w:r w:rsidR="00A20914" w:rsidRPr="009A59D5">
        <w:t>, calculated as:</w:t>
      </w:r>
    </w:p>
    <w:p w14:paraId="7865A58E" w14:textId="67B7561D" w:rsidR="00D5093D" w:rsidRDefault="00D5093D" w:rsidP="00D5093D">
      <w:pPr>
        <w:pStyle w:val="BodyText1"/>
        <w:numPr>
          <w:ilvl w:val="0"/>
          <w:numId w:val="0"/>
        </w:numPr>
        <w:ind w:left="567" w:firstLine="1418"/>
      </w:pPr>
      <w:r w:rsidRPr="00D5093D">
        <w:rPr>
          <w:noProof/>
        </w:rPr>
        <w:drawing>
          <wp:inline distT="0" distB="0" distL="0" distR="0" wp14:anchorId="4AF313EA" wp14:editId="602E52F4">
            <wp:extent cx="2990850" cy="437185"/>
            <wp:effectExtent l="0" t="0" r="0" b="1270"/>
            <wp:docPr id="59" name="Picture 59" descr="A formula for d subscript i superscript CR which is the adjusted notional amount for transaction i and used in the formula for EffectiveNotional subscript CORE, k superscript 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formula for d subscript i superscript CR which is the adjusted notional amount for transaction i and used in the formula for EffectiveNotional subscript CORE, k superscript 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98853" cy="438355"/>
                    </a:xfrm>
                    <a:prstGeom prst="rect">
                      <a:avLst/>
                    </a:prstGeom>
                    <a:noFill/>
                    <a:ln>
                      <a:noFill/>
                    </a:ln>
                  </pic:spPr>
                </pic:pic>
              </a:graphicData>
            </a:graphic>
          </wp:inline>
        </w:drawing>
      </w:r>
    </w:p>
    <w:p w14:paraId="5E78B637" w14:textId="77777777" w:rsidR="00A20914" w:rsidRPr="009A59D5" w:rsidRDefault="00A20914" w:rsidP="00A20914">
      <w:pPr>
        <w:pStyle w:val="BodyText2"/>
        <w:numPr>
          <w:ilvl w:val="0"/>
          <w:numId w:val="0"/>
        </w:numPr>
        <w:ind w:left="1134"/>
      </w:pPr>
      <w:r w:rsidRPr="009A59D5">
        <w:t>where:</w:t>
      </w:r>
    </w:p>
    <w:p w14:paraId="57F3343F" w14:textId="2EE8A8C9" w:rsidR="00A20914" w:rsidRPr="009A59D5" w:rsidRDefault="00CF585D" w:rsidP="00A20914">
      <w:pPr>
        <w:pStyle w:val="BodyText2"/>
        <w:numPr>
          <w:ilvl w:val="0"/>
          <w:numId w:val="0"/>
        </w:numPr>
        <w:ind w:left="1134"/>
      </w:pPr>
      <w:r>
        <w:rPr>
          <w:i/>
        </w:rPr>
        <w:t>N</w:t>
      </w:r>
      <w:r>
        <w:rPr>
          <w:i/>
          <w:vertAlign w:val="subscript"/>
        </w:rPr>
        <w:t>i</w:t>
      </w:r>
      <w:r>
        <w:rPr>
          <w:i/>
        </w:rPr>
        <w:t xml:space="preserve"> </w:t>
      </w:r>
      <w:r w:rsidR="00A20914" w:rsidRPr="009A59D5">
        <w:t xml:space="preserve">is the notional amount of transaction </w:t>
      </w:r>
      <w:proofErr w:type="spellStart"/>
      <w:r>
        <w:rPr>
          <w:i/>
        </w:rPr>
        <w:t>i</w:t>
      </w:r>
      <w:proofErr w:type="spellEnd"/>
      <w:r w:rsidR="00A20914" w:rsidRPr="009A59D5">
        <w:t xml:space="preserve">, converted to AUD, using the exchange rate on the calculation date. The parameter </w:t>
      </w:r>
      <w:r w:rsidR="00B24B3B">
        <w:rPr>
          <w:i/>
        </w:rPr>
        <w:t>N</w:t>
      </w:r>
      <w:r w:rsidR="00B24B3B">
        <w:rPr>
          <w:i/>
          <w:vertAlign w:val="subscript"/>
        </w:rPr>
        <w:t>i</w:t>
      </w:r>
      <w:r w:rsidR="00B24B3B">
        <w:rPr>
          <w:i/>
        </w:rPr>
        <w:t xml:space="preserve"> </w:t>
      </w:r>
      <w:r w:rsidR="00A20914" w:rsidRPr="009A59D5">
        <w:t xml:space="preserve">is also subject to the requirements in paragraph </w:t>
      </w:r>
      <w:r w:rsidR="001F1E20" w:rsidRPr="009A59D5">
        <w:fldChar w:fldCharType="begin"/>
      </w:r>
      <w:r w:rsidR="001F1E20" w:rsidRPr="009A59D5">
        <w:instrText xml:space="preserve"> REF _Ref460313856 \r \h </w:instrText>
      </w:r>
      <w:r w:rsidR="00365041" w:rsidRPr="009A59D5">
        <w:instrText xml:space="preserve"> \* MERGEFORMAT </w:instrText>
      </w:r>
      <w:r w:rsidR="001F1E20" w:rsidRPr="009A59D5">
        <w:fldChar w:fldCharType="separate"/>
      </w:r>
      <w:r w:rsidR="00B401AE">
        <w:t>42</w:t>
      </w:r>
      <w:r w:rsidR="001F1E20" w:rsidRPr="009A59D5">
        <w:fldChar w:fldCharType="end"/>
      </w:r>
      <w:r w:rsidR="00A20914" w:rsidRPr="009A59D5">
        <w:t xml:space="preserve"> of this </w:t>
      </w:r>
      <w:proofErr w:type="gramStart"/>
      <w:r w:rsidR="00A20914" w:rsidRPr="009A59D5">
        <w:t>Attachment;</w:t>
      </w:r>
      <w:proofErr w:type="gramEnd"/>
    </w:p>
    <w:p w14:paraId="28282DAE" w14:textId="4E72C37E" w:rsidR="00A20914" w:rsidRPr="009A59D5" w:rsidRDefault="00B24B3B" w:rsidP="00A20914">
      <w:pPr>
        <w:pStyle w:val="BodyText2"/>
        <w:numPr>
          <w:ilvl w:val="0"/>
          <w:numId w:val="0"/>
        </w:numPr>
        <w:ind w:left="1134"/>
      </w:pPr>
      <w:r>
        <w:rPr>
          <w:i/>
        </w:rPr>
        <w:t>S</w:t>
      </w:r>
      <w:r>
        <w:rPr>
          <w:i/>
          <w:vertAlign w:val="subscript"/>
        </w:rPr>
        <w:t>i</w:t>
      </w:r>
      <w:r>
        <w:t xml:space="preserve"> </w:t>
      </w:r>
      <w:r w:rsidR="00A20914" w:rsidRPr="009A59D5">
        <w:t xml:space="preserve">is the start date for transaction </w:t>
      </w:r>
      <w:proofErr w:type="spellStart"/>
      <w:r>
        <w:rPr>
          <w:i/>
        </w:rPr>
        <w:t>i</w:t>
      </w:r>
      <w:proofErr w:type="spellEnd"/>
      <w:r w:rsidR="00A20914" w:rsidRPr="009A59D5">
        <w:t>; and</w:t>
      </w:r>
    </w:p>
    <w:p w14:paraId="286D290E" w14:textId="60BBFD43" w:rsidR="00DC5F87" w:rsidRPr="009A59D5" w:rsidRDefault="00B24B3B" w:rsidP="00A20914">
      <w:pPr>
        <w:pStyle w:val="BodyText2"/>
        <w:numPr>
          <w:ilvl w:val="0"/>
          <w:numId w:val="0"/>
        </w:numPr>
        <w:ind w:left="1134"/>
      </w:pPr>
      <w:proofErr w:type="spellStart"/>
      <w:r>
        <w:rPr>
          <w:i/>
        </w:rPr>
        <w:t>E</w:t>
      </w:r>
      <w:r>
        <w:rPr>
          <w:i/>
          <w:vertAlign w:val="subscript"/>
        </w:rPr>
        <w:t>i</w:t>
      </w:r>
      <w:proofErr w:type="spellEnd"/>
      <w:r>
        <w:rPr>
          <w:i/>
        </w:rPr>
        <w:t xml:space="preserve"> </w:t>
      </w:r>
      <w:r w:rsidR="00A20914" w:rsidRPr="009A59D5">
        <w:t xml:space="preserve">is the end date for transaction </w:t>
      </w:r>
      <w:proofErr w:type="spellStart"/>
      <w:r>
        <w:rPr>
          <w:i/>
        </w:rPr>
        <w:t>i</w:t>
      </w:r>
      <w:proofErr w:type="spellEnd"/>
      <w:r w:rsidR="00A20914" w:rsidRPr="009A59D5">
        <w:t>.</w:t>
      </w:r>
    </w:p>
    <w:p w14:paraId="4FCAB113" w14:textId="669F9598" w:rsidR="00A20914" w:rsidRPr="009A59D5" w:rsidRDefault="00DC5F87" w:rsidP="00A94BEC">
      <w:pPr>
        <w:pStyle w:val="BodyText1"/>
      </w:pPr>
      <w:bookmarkStart w:id="417" w:name="_Ref511293896"/>
      <w:r w:rsidRPr="009A59D5">
        <w:t>For transaction</w:t>
      </w:r>
      <w:r w:rsidR="00D90888" w:rsidRPr="009A59D5">
        <w:t xml:space="preserve"> </w:t>
      </w:r>
      <w:proofErr w:type="spellStart"/>
      <w:r w:rsidR="00B24B3B">
        <w:rPr>
          <w:i/>
        </w:rPr>
        <w:t>i</w:t>
      </w:r>
      <w:proofErr w:type="spellEnd"/>
      <w:r w:rsidR="006920B7" w:rsidRPr="009A59D5">
        <w:t>,</w:t>
      </w:r>
      <w:r w:rsidR="00D90888" w:rsidRPr="009A59D5">
        <w:t xml:space="preserve"> </w:t>
      </w:r>
      <w:r w:rsidRPr="009A59D5">
        <w:t>where</w:t>
      </w:r>
      <w:r w:rsidR="00D90888" w:rsidRPr="009A59D5">
        <w:t xml:space="preserve"> </w:t>
      </w:r>
      <w:r w:rsidR="006920B7" w:rsidRPr="009A59D5">
        <w:t>an</w:t>
      </w:r>
      <w:r w:rsidR="00D90888" w:rsidRPr="009A59D5">
        <w:t xml:space="preserve"> ADI is the credit protection seller and the transaction is not in any netting or margin agreements</w:t>
      </w:r>
      <w:r w:rsidR="00B37B53" w:rsidRPr="009A59D5">
        <w:t xml:space="preserve">, the ADI may cap the EAD to the amount of unpaid premiums. An ADI may also remove a transaction from </w:t>
      </w:r>
      <w:r w:rsidR="008A3D9E" w:rsidRPr="009A59D5">
        <w:t>its</w:t>
      </w:r>
      <w:r w:rsidR="00413A58" w:rsidRPr="009A59D5">
        <w:t xml:space="preserve"> netting set</w:t>
      </w:r>
      <w:r w:rsidR="006920B7" w:rsidRPr="009A59D5">
        <w:t xml:space="preserve"> where it is the credit protection seller</w:t>
      </w:r>
      <w:r w:rsidR="00413A58" w:rsidRPr="009A59D5">
        <w:t xml:space="preserve"> and treat </w:t>
      </w:r>
      <w:r w:rsidR="006920B7" w:rsidRPr="009A59D5">
        <w:t>the transaction</w:t>
      </w:r>
      <w:r w:rsidR="00B37B53" w:rsidRPr="009A59D5">
        <w:t xml:space="preserve"> as </w:t>
      </w:r>
      <w:r w:rsidR="00413A58" w:rsidRPr="009A59D5">
        <w:t xml:space="preserve">an </w:t>
      </w:r>
      <w:r w:rsidR="00B37B53" w:rsidRPr="009A59D5">
        <w:t>in</w:t>
      </w:r>
      <w:r w:rsidR="008A3D9E" w:rsidRPr="009A59D5">
        <w:t>dividual</w:t>
      </w:r>
      <w:r w:rsidR="00413A58" w:rsidRPr="009A59D5">
        <w:t xml:space="preserve"> </w:t>
      </w:r>
      <w:r w:rsidR="008A3D9E" w:rsidRPr="009A59D5">
        <w:t xml:space="preserve">unmargined </w:t>
      </w:r>
      <w:r w:rsidR="00413A58" w:rsidRPr="009A59D5">
        <w:t>transaction</w:t>
      </w:r>
      <w:r w:rsidR="00B37B53" w:rsidRPr="009A59D5">
        <w:t xml:space="preserve"> </w:t>
      </w:r>
      <w:proofErr w:type="gramStart"/>
      <w:r w:rsidR="00B37B53" w:rsidRPr="009A59D5">
        <w:t>in order to</w:t>
      </w:r>
      <w:proofErr w:type="gramEnd"/>
      <w:r w:rsidR="00B37B53" w:rsidRPr="009A59D5">
        <w:t xml:space="preserve"> apply the cap.</w:t>
      </w:r>
      <w:bookmarkEnd w:id="417"/>
    </w:p>
    <w:p w14:paraId="7ECCC471" w14:textId="77777777" w:rsidR="00A20914" w:rsidRPr="009A59D5" w:rsidRDefault="00A20914" w:rsidP="00B607AF">
      <w:pPr>
        <w:pStyle w:val="Heading3"/>
      </w:pPr>
      <w:bookmarkStart w:id="418" w:name="_Toc460331452"/>
      <w:bookmarkStart w:id="419" w:name="_Toc461692116"/>
      <w:bookmarkStart w:id="420" w:name="_Toc487712244"/>
      <w:bookmarkStart w:id="421" w:name="_Toc488397545"/>
      <w:bookmarkStart w:id="422" w:name="_Toc488398105"/>
      <w:bookmarkStart w:id="423" w:name="_Toc489463942"/>
      <w:bookmarkStart w:id="424" w:name="_Toc507406235"/>
      <w:bookmarkStart w:id="425" w:name="_Toc507406307"/>
      <w:bookmarkStart w:id="426" w:name="_Toc507406420"/>
      <w:r w:rsidRPr="009A59D5">
        <w:lastRenderedPageBreak/>
        <w:t>Add-on for equity derivative transactions</w:t>
      </w:r>
      <w:bookmarkEnd w:id="418"/>
      <w:bookmarkEnd w:id="419"/>
      <w:bookmarkEnd w:id="420"/>
      <w:bookmarkEnd w:id="421"/>
      <w:bookmarkEnd w:id="422"/>
      <w:bookmarkEnd w:id="423"/>
      <w:bookmarkEnd w:id="424"/>
      <w:bookmarkEnd w:id="425"/>
      <w:bookmarkEnd w:id="426"/>
    </w:p>
    <w:p w14:paraId="10991266" w14:textId="5883B7C1" w:rsidR="00A20914" w:rsidRPr="009A59D5" w:rsidRDefault="00A20914" w:rsidP="00A20914">
      <w:pPr>
        <w:pStyle w:val="BodyText1"/>
      </w:pPr>
      <w:bookmarkStart w:id="427" w:name="_Ref460313753"/>
      <w:proofErr w:type="gramStart"/>
      <w:r w:rsidRPr="009A59D5">
        <w:t>With the exception of</w:t>
      </w:r>
      <w:proofErr w:type="gramEnd"/>
      <w:r w:rsidRPr="009A59D5">
        <w:t xml:space="preserve"> separate hedging sets for basis and volatility transactions, a single core hedging set must be used for all equity derivative transactions. Within the co</w:t>
      </w:r>
      <w:r w:rsidR="00B342DD" w:rsidRPr="009A59D5">
        <w:t>re hedging set (</w:t>
      </w:r>
      <w:r w:rsidR="00CC3315" w:rsidRPr="009A59D5">
        <w:t>refer to</w:t>
      </w:r>
      <w:r w:rsidR="00B342DD" w:rsidRPr="009A59D5">
        <w:t xml:space="preserve"> paragraph </w:t>
      </w:r>
      <w:r w:rsidR="00B342DD" w:rsidRPr="009A59D5">
        <w:fldChar w:fldCharType="begin"/>
      </w:r>
      <w:r w:rsidR="00B342DD" w:rsidRPr="009A59D5">
        <w:instrText xml:space="preserve"> REF _Ref460313691 \r \h </w:instrText>
      </w:r>
      <w:r w:rsidR="00365041" w:rsidRPr="009A59D5">
        <w:instrText xml:space="preserve"> \* MERGEFORMAT </w:instrText>
      </w:r>
      <w:r w:rsidR="00B342DD" w:rsidRPr="009A59D5">
        <w:fldChar w:fldCharType="separate"/>
      </w:r>
      <w:r w:rsidR="00B401AE">
        <w:t>19</w:t>
      </w:r>
      <w:r w:rsidR="00B342DD" w:rsidRPr="009A59D5">
        <w:fldChar w:fldCharType="end"/>
      </w:r>
      <w:r w:rsidRPr="009A59D5">
        <w:t xml:space="preserve"> of this Attachment), transactions must be further divided into categories, with each category (</w:t>
      </w:r>
      <w:r w:rsidR="00B24B3B">
        <w:rPr>
          <w:i/>
        </w:rPr>
        <w:t>k</w:t>
      </w:r>
      <w:r w:rsidRPr="009A59D5">
        <w:t xml:space="preserve">) containing all the transactions referencing the same entity </w:t>
      </w:r>
      <w:r w:rsidR="00B24B3B">
        <w:rPr>
          <w:i/>
        </w:rPr>
        <w:t>k</w:t>
      </w:r>
      <w:r w:rsidRPr="009A59D5">
        <w:t>. Each single name entity or index is a separate category.</w:t>
      </w:r>
      <w:bookmarkEnd w:id="427"/>
    </w:p>
    <w:p w14:paraId="5B638388" w14:textId="5E5A13AD" w:rsidR="00F873D6" w:rsidRDefault="00F873D6" w:rsidP="00F873D6">
      <w:pPr>
        <w:pStyle w:val="BodyText1"/>
      </w:pPr>
      <w:r w:rsidRPr="009A59D5">
        <w:t>The add-on factor for the single core hedging set for the equity asset class,</w:t>
      </w:r>
      <w:r w:rsidR="00B24B3B">
        <w:t xml:space="preserve"> </w:t>
      </w:r>
      <w:proofErr w:type="spellStart"/>
      <w:r w:rsidR="00B24B3B">
        <w:rPr>
          <w:i/>
        </w:rPr>
        <w:t>AddOn</w:t>
      </w:r>
      <w:r w:rsidR="00B24B3B">
        <w:rPr>
          <w:i/>
          <w:vertAlign w:val="subscript"/>
        </w:rPr>
        <w:t>CORE</w:t>
      </w:r>
      <w:r w:rsidR="00B24B3B">
        <w:rPr>
          <w:i/>
          <w:vertAlign w:val="superscript"/>
        </w:rPr>
        <w:t>EQ</w:t>
      </w:r>
      <w:proofErr w:type="spellEnd"/>
      <w:r w:rsidR="00B24B3B">
        <w:t xml:space="preserve">, </w:t>
      </w:r>
      <w:r w:rsidRPr="009A59D5">
        <w:t>must be calculated as:</w:t>
      </w:r>
    </w:p>
    <w:p w14:paraId="4745E40C" w14:textId="2F7B3296" w:rsidR="00D5093D" w:rsidRPr="009A59D5" w:rsidRDefault="00D5093D" w:rsidP="00751D7D">
      <w:pPr>
        <w:pStyle w:val="BodyText1"/>
        <w:numPr>
          <w:ilvl w:val="0"/>
          <w:numId w:val="0"/>
        </w:numPr>
        <w:ind w:left="567" w:firstLine="284"/>
      </w:pPr>
      <w:r w:rsidRPr="00D5093D">
        <w:rPr>
          <w:noProof/>
        </w:rPr>
        <w:drawing>
          <wp:inline distT="0" distB="0" distL="0" distR="0" wp14:anchorId="6425CA69" wp14:editId="4FF16CF1">
            <wp:extent cx="4352925" cy="860949"/>
            <wp:effectExtent l="0" t="0" r="0" b="0"/>
            <wp:docPr id="60" name="Picture 60" descr="A formula for AddOn subscript CORE superscript EQ which is the add-on factor for the single core hedging set for the equity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formula for AddOn subscript CORE superscript EQ which is the add-on factor for the single core hedging set for the equity clas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72498" cy="864820"/>
                    </a:xfrm>
                    <a:prstGeom prst="rect">
                      <a:avLst/>
                    </a:prstGeom>
                    <a:noFill/>
                    <a:ln>
                      <a:noFill/>
                    </a:ln>
                  </pic:spPr>
                </pic:pic>
              </a:graphicData>
            </a:graphic>
          </wp:inline>
        </w:drawing>
      </w:r>
    </w:p>
    <w:p w14:paraId="5DC30A07" w14:textId="77777777" w:rsidR="00F873D6" w:rsidRPr="009A59D5" w:rsidRDefault="00F873D6" w:rsidP="00F873D6">
      <w:pPr>
        <w:pStyle w:val="BodyText1"/>
        <w:numPr>
          <w:ilvl w:val="0"/>
          <w:numId w:val="0"/>
        </w:numPr>
        <w:ind w:left="567"/>
      </w:pPr>
      <w:r w:rsidRPr="009A59D5">
        <w:t>where:</w:t>
      </w:r>
    </w:p>
    <w:p w14:paraId="1E649426" w14:textId="4C0B810F" w:rsidR="00F873D6" w:rsidRPr="009A59D5" w:rsidRDefault="00B24B3B" w:rsidP="00F873D6">
      <w:pPr>
        <w:pStyle w:val="BodyText1"/>
        <w:numPr>
          <w:ilvl w:val="0"/>
          <w:numId w:val="0"/>
        </w:numPr>
        <w:ind w:left="567"/>
      </w:pPr>
      <w:proofErr w:type="spellStart"/>
      <w:r>
        <w:rPr>
          <w:i/>
        </w:rPr>
        <w:t>p</w:t>
      </w:r>
      <w:r>
        <w:rPr>
          <w:i/>
          <w:vertAlign w:val="subscript"/>
        </w:rPr>
        <w:t>k</w:t>
      </w:r>
      <w:r>
        <w:rPr>
          <w:i/>
          <w:vertAlign w:val="superscript"/>
        </w:rPr>
        <w:t>EQ</w:t>
      </w:r>
      <w:proofErr w:type="spellEnd"/>
      <w:r>
        <w:rPr>
          <w:i/>
          <w:vertAlign w:val="superscript"/>
        </w:rPr>
        <w:t xml:space="preserve"> </w:t>
      </w:r>
      <w:r>
        <w:rPr>
          <w:i/>
        </w:rPr>
        <w:t>=</w:t>
      </w:r>
      <w:r>
        <w:t xml:space="preserve"> </w:t>
      </w:r>
      <w:r w:rsidR="00F873D6" w:rsidRPr="009A59D5">
        <w:t xml:space="preserve">the supervisory correlation parameter for category </w:t>
      </w:r>
      <w:r>
        <w:rPr>
          <w:i/>
        </w:rPr>
        <w:t>k</w:t>
      </w:r>
      <w:r w:rsidR="00F873D6" w:rsidRPr="009A59D5">
        <w:t>. An ADI must determine</w:t>
      </w:r>
      <w:r>
        <w:t xml:space="preserve"> </w:t>
      </w:r>
      <w:proofErr w:type="spellStart"/>
      <w:r>
        <w:rPr>
          <w:i/>
        </w:rPr>
        <w:t>p</w:t>
      </w:r>
      <w:r>
        <w:rPr>
          <w:i/>
          <w:vertAlign w:val="subscript"/>
        </w:rPr>
        <w:t>k</w:t>
      </w:r>
      <w:r>
        <w:rPr>
          <w:i/>
          <w:vertAlign w:val="superscript"/>
        </w:rPr>
        <w:t>EQ</w:t>
      </w:r>
      <w:proofErr w:type="spellEnd"/>
      <w:r w:rsidR="00F873D6" w:rsidRPr="009A59D5">
        <w:t xml:space="preserve"> depending on whether </w:t>
      </w:r>
      <w:r>
        <w:rPr>
          <w:i/>
        </w:rPr>
        <w:t xml:space="preserve">k </w:t>
      </w:r>
      <w:r w:rsidR="00F873D6" w:rsidRPr="009A59D5">
        <w:t>is a single name or index entity, according to parag</w:t>
      </w:r>
      <w:r w:rsidR="00B342DD" w:rsidRPr="009A59D5">
        <w:t xml:space="preserve">raph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00F873D6" w:rsidRPr="009A59D5">
        <w:t xml:space="preserve"> of this Attachment; and</w:t>
      </w:r>
    </w:p>
    <w:p w14:paraId="139434F9" w14:textId="1EF9CD48" w:rsidR="00F873D6" w:rsidRPr="009A59D5" w:rsidRDefault="00B24B3B" w:rsidP="00F873D6">
      <w:pPr>
        <w:pStyle w:val="BodyText1"/>
        <w:numPr>
          <w:ilvl w:val="0"/>
          <w:numId w:val="0"/>
        </w:numPr>
        <w:ind w:left="567"/>
      </w:pPr>
      <w:proofErr w:type="spellStart"/>
      <w:proofErr w:type="gramStart"/>
      <w:r>
        <w:rPr>
          <w:i/>
        </w:rPr>
        <w:t>AddOn</w:t>
      </w:r>
      <w:r>
        <w:rPr>
          <w:i/>
          <w:vertAlign w:val="subscript"/>
        </w:rPr>
        <w:t>CORE,k</w:t>
      </w:r>
      <w:r>
        <w:rPr>
          <w:i/>
          <w:vertAlign w:val="superscript"/>
        </w:rPr>
        <w:t>EQ</w:t>
      </w:r>
      <w:proofErr w:type="spellEnd"/>
      <w:proofErr w:type="gramEnd"/>
      <w:r>
        <w:rPr>
          <w:i/>
        </w:rPr>
        <w:t xml:space="preserve"> </w:t>
      </w:r>
      <w:r>
        <w:t xml:space="preserve">= </w:t>
      </w:r>
      <w:r w:rsidR="00F873D6" w:rsidRPr="009A59D5">
        <w:t xml:space="preserve">the add-on factor for category </w:t>
      </w:r>
      <w:r>
        <w:rPr>
          <w:i/>
        </w:rPr>
        <w:t>k</w:t>
      </w:r>
      <w:r w:rsidR="00F873D6" w:rsidRPr="009A59D5">
        <w:t xml:space="preserve">, calculated according to paragraph </w:t>
      </w:r>
      <w:r w:rsidR="00B342DD" w:rsidRPr="009A59D5">
        <w:fldChar w:fldCharType="begin"/>
      </w:r>
      <w:r w:rsidR="00B342DD" w:rsidRPr="009A59D5">
        <w:instrText xml:space="preserve"> REF _Ref460314381 \r \h </w:instrText>
      </w:r>
      <w:r w:rsidR="00365041" w:rsidRPr="009A59D5">
        <w:instrText xml:space="preserve"> \* MERGEFORMAT </w:instrText>
      </w:r>
      <w:r w:rsidR="00B342DD" w:rsidRPr="009A59D5">
        <w:fldChar w:fldCharType="separate"/>
      </w:r>
      <w:r w:rsidR="00B401AE">
        <w:t>36</w:t>
      </w:r>
      <w:r w:rsidR="00B342DD" w:rsidRPr="009A59D5">
        <w:fldChar w:fldCharType="end"/>
      </w:r>
      <w:r w:rsidR="001327FB" w:rsidRPr="009A59D5">
        <w:t xml:space="preserve"> of this Attachment</w:t>
      </w:r>
      <w:r w:rsidR="00F873D6" w:rsidRPr="009A59D5">
        <w:t>.</w:t>
      </w:r>
    </w:p>
    <w:p w14:paraId="37C0ECA7" w14:textId="3CDCA940" w:rsidR="00F873D6" w:rsidRPr="009A59D5" w:rsidRDefault="00F873D6" w:rsidP="00F873D6">
      <w:pPr>
        <w:pStyle w:val="BodyText1"/>
      </w:pPr>
      <w:bookmarkStart w:id="428" w:name="_Ref460314381"/>
      <w:r w:rsidRPr="009A59D5">
        <w:t>The add-on factor for category</w:t>
      </w:r>
      <w:r w:rsidR="00B24B3B">
        <w:t xml:space="preserve"> </w:t>
      </w:r>
      <w:r w:rsidR="00B24B3B">
        <w:rPr>
          <w:i/>
        </w:rPr>
        <w:t xml:space="preserve">k, </w:t>
      </w:r>
      <w:proofErr w:type="spellStart"/>
      <w:proofErr w:type="gramStart"/>
      <w:r w:rsidR="00B24B3B">
        <w:rPr>
          <w:i/>
        </w:rPr>
        <w:t>AddOn</w:t>
      </w:r>
      <w:r w:rsidR="00B24B3B">
        <w:rPr>
          <w:i/>
          <w:vertAlign w:val="subscript"/>
        </w:rPr>
        <w:t>CORE,k</w:t>
      </w:r>
      <w:r w:rsidR="00B24B3B">
        <w:rPr>
          <w:i/>
          <w:vertAlign w:val="superscript"/>
        </w:rPr>
        <w:t>EQ</w:t>
      </w:r>
      <w:proofErr w:type="spellEnd"/>
      <w:proofErr w:type="gramEnd"/>
      <w:r w:rsidRPr="009A59D5">
        <w:t>, must be calculated as:</w:t>
      </w:r>
      <w:bookmarkEnd w:id="428"/>
    </w:p>
    <w:p w14:paraId="6AF32C27" w14:textId="7737A106" w:rsidR="00595837" w:rsidRDefault="00595837" w:rsidP="00751D7D">
      <w:pPr>
        <w:pStyle w:val="BodyText1"/>
        <w:numPr>
          <w:ilvl w:val="0"/>
          <w:numId w:val="0"/>
        </w:numPr>
        <w:spacing w:after="0"/>
        <w:ind w:left="567"/>
      </w:pPr>
      <w:r w:rsidRPr="00595837">
        <w:rPr>
          <w:noProof/>
        </w:rPr>
        <w:drawing>
          <wp:inline distT="0" distB="0" distL="0" distR="0" wp14:anchorId="18820AA4" wp14:editId="729AFA59">
            <wp:extent cx="5278120" cy="350520"/>
            <wp:effectExtent l="0" t="0" r="0" b="0"/>
            <wp:docPr id="61" name="Picture 61" descr="A formula for AddOn subscript CORE, k superscript EQ which is the add-on factor for category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formula for AddOn subscript CORE, k superscript EQ which is the add-on factor for category 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8120" cy="350520"/>
                    </a:xfrm>
                    <a:prstGeom prst="rect">
                      <a:avLst/>
                    </a:prstGeom>
                    <a:noFill/>
                    <a:ln>
                      <a:noFill/>
                    </a:ln>
                  </pic:spPr>
                </pic:pic>
              </a:graphicData>
            </a:graphic>
          </wp:inline>
        </w:drawing>
      </w:r>
    </w:p>
    <w:p w14:paraId="612B29A3" w14:textId="77777777" w:rsidR="00F873D6" w:rsidRPr="009A59D5" w:rsidRDefault="00F873D6" w:rsidP="00F873D6">
      <w:pPr>
        <w:pStyle w:val="BodyText1"/>
        <w:numPr>
          <w:ilvl w:val="0"/>
          <w:numId w:val="0"/>
        </w:numPr>
        <w:ind w:left="567"/>
      </w:pPr>
      <w:r w:rsidRPr="009A59D5">
        <w:t>where:</w:t>
      </w:r>
    </w:p>
    <w:p w14:paraId="4FE9380B" w14:textId="2409503F" w:rsidR="00F873D6" w:rsidRPr="009A59D5" w:rsidRDefault="00B24B3B" w:rsidP="00F873D6">
      <w:pPr>
        <w:pStyle w:val="BodyText1"/>
        <w:numPr>
          <w:ilvl w:val="0"/>
          <w:numId w:val="0"/>
        </w:numPr>
        <w:ind w:left="567"/>
      </w:pPr>
      <w:proofErr w:type="spellStart"/>
      <w:r>
        <w:rPr>
          <w:i/>
        </w:rPr>
        <w:t>SF</w:t>
      </w:r>
      <w:r>
        <w:rPr>
          <w:i/>
          <w:vertAlign w:val="subscript"/>
        </w:rPr>
        <w:t>k</w:t>
      </w:r>
      <w:r>
        <w:rPr>
          <w:i/>
          <w:vertAlign w:val="superscript"/>
        </w:rPr>
        <w:t>EQ</w:t>
      </w:r>
      <w:proofErr w:type="spellEnd"/>
      <w:r>
        <w:rPr>
          <w:i/>
          <w:vertAlign w:val="superscript"/>
        </w:rPr>
        <w:t xml:space="preserve"> </w:t>
      </w:r>
      <w:r>
        <w:rPr>
          <w:i/>
        </w:rPr>
        <w:t xml:space="preserve">= </w:t>
      </w:r>
      <w:r w:rsidR="00F873D6" w:rsidRPr="009A59D5">
        <w:t xml:space="preserve">the supervisory factor for category </w:t>
      </w:r>
      <w:r>
        <w:rPr>
          <w:i/>
        </w:rPr>
        <w:t>k</w:t>
      </w:r>
      <w:r w:rsidR="00F873D6" w:rsidRPr="009A59D5">
        <w:t xml:space="preserve"> determined according to paragraph</w:t>
      </w:r>
      <w:r w:rsidR="00B342DD" w:rsidRPr="009A59D5">
        <w:t> </w:t>
      </w:r>
      <w:r w:rsidR="00B342DD" w:rsidRPr="009A59D5">
        <w:fldChar w:fldCharType="begin"/>
      </w:r>
      <w:r w:rsidR="00B342DD" w:rsidRPr="009A59D5">
        <w:instrText xml:space="preserve"> REF _Ref460312993 \r \h </w:instrText>
      </w:r>
      <w:r w:rsidR="00365041" w:rsidRPr="009A59D5">
        <w:instrText xml:space="preserve"> \* MERGEFORMAT </w:instrText>
      </w:r>
      <w:r w:rsidR="00B342DD" w:rsidRPr="009A59D5">
        <w:fldChar w:fldCharType="separate"/>
      </w:r>
      <w:r w:rsidR="00B401AE">
        <w:t>49</w:t>
      </w:r>
      <w:r w:rsidR="00B342DD" w:rsidRPr="009A59D5">
        <w:fldChar w:fldCharType="end"/>
      </w:r>
      <w:r w:rsidR="00E66C4F" w:rsidRPr="009A59D5">
        <w:t xml:space="preserve"> of this Attachment</w:t>
      </w:r>
      <w:r w:rsidR="00F873D6" w:rsidRPr="009A59D5">
        <w:t>; and</w:t>
      </w:r>
    </w:p>
    <w:p w14:paraId="4117D211" w14:textId="17FD1887" w:rsidR="00F873D6" w:rsidRPr="009A59D5" w:rsidRDefault="00B24B3B" w:rsidP="00F873D6">
      <w:pPr>
        <w:pStyle w:val="BodyText1"/>
        <w:numPr>
          <w:ilvl w:val="0"/>
          <w:numId w:val="0"/>
        </w:numPr>
        <w:ind w:left="567"/>
      </w:pPr>
      <w:proofErr w:type="spellStart"/>
      <w:proofErr w:type="gramStart"/>
      <w:r>
        <w:rPr>
          <w:i/>
        </w:rPr>
        <w:t>EffectiveNotional</w:t>
      </w:r>
      <w:r>
        <w:rPr>
          <w:i/>
          <w:vertAlign w:val="subscript"/>
        </w:rPr>
        <w:t>CORE,k</w:t>
      </w:r>
      <w:r>
        <w:rPr>
          <w:i/>
          <w:vertAlign w:val="superscript"/>
        </w:rPr>
        <w:t>EQ</w:t>
      </w:r>
      <w:proofErr w:type="spellEnd"/>
      <w:proofErr w:type="gramEnd"/>
      <w:r>
        <w:t xml:space="preserve"> = </w:t>
      </w:r>
      <w:r w:rsidR="00F873D6" w:rsidRPr="009A59D5">
        <w:t>the category-level (</w:t>
      </w:r>
      <w:r>
        <w:rPr>
          <w:i/>
        </w:rPr>
        <w:t>k</w:t>
      </w:r>
      <w:r w:rsidR="00F873D6" w:rsidRPr="009A59D5">
        <w:t xml:space="preserve">) effective notional amount, calculated according to paragraph </w:t>
      </w:r>
      <w:r w:rsidR="00B342DD" w:rsidRPr="009A59D5">
        <w:fldChar w:fldCharType="begin"/>
      </w:r>
      <w:r w:rsidR="00B342DD" w:rsidRPr="009A59D5">
        <w:instrText xml:space="preserve"> REF _Ref460313762 \r \h </w:instrText>
      </w:r>
      <w:r w:rsidR="00365041" w:rsidRPr="009A59D5">
        <w:instrText xml:space="preserve"> \* MERGEFORMAT </w:instrText>
      </w:r>
      <w:r w:rsidR="00B342DD" w:rsidRPr="009A59D5">
        <w:fldChar w:fldCharType="separate"/>
      </w:r>
      <w:r w:rsidR="00B401AE">
        <w:t>37</w:t>
      </w:r>
      <w:r w:rsidR="00B342DD" w:rsidRPr="009A59D5">
        <w:fldChar w:fldCharType="end"/>
      </w:r>
      <w:r w:rsidR="00E66C4F" w:rsidRPr="009A59D5">
        <w:t xml:space="preserve"> of this Attachment</w:t>
      </w:r>
      <w:r w:rsidR="00F873D6" w:rsidRPr="009A59D5">
        <w:t>.</w:t>
      </w:r>
    </w:p>
    <w:p w14:paraId="49E2A85F" w14:textId="2A039FC8" w:rsidR="00F873D6" w:rsidRPr="009A59D5" w:rsidRDefault="00F873D6" w:rsidP="00F873D6">
      <w:pPr>
        <w:pStyle w:val="BodyText1"/>
      </w:pPr>
      <w:bookmarkStart w:id="429" w:name="_Ref460313762"/>
      <w:r w:rsidRPr="009A59D5">
        <w:t xml:space="preserve">The effective notional amount for category </w:t>
      </w:r>
      <w:r w:rsidR="00B24B3B">
        <w:rPr>
          <w:i/>
        </w:rPr>
        <w:t>k</w:t>
      </w:r>
      <w:r w:rsidRPr="009A59D5">
        <w:t>, denoted by</w:t>
      </w:r>
      <w:r w:rsidR="00984446" w:rsidRPr="009A59D5">
        <w:t xml:space="preserve"> </w:t>
      </w:r>
      <w:proofErr w:type="spellStart"/>
      <w:proofErr w:type="gramStart"/>
      <w:r w:rsidR="00B24B3B">
        <w:rPr>
          <w:i/>
        </w:rPr>
        <w:t>EffectiveNotional</w:t>
      </w:r>
      <w:r w:rsidR="00B24B3B">
        <w:rPr>
          <w:i/>
          <w:vertAlign w:val="subscript"/>
        </w:rPr>
        <w:t>CORE,k</w:t>
      </w:r>
      <w:r w:rsidR="00B24B3B">
        <w:rPr>
          <w:i/>
          <w:vertAlign w:val="superscript"/>
        </w:rPr>
        <w:t>EQ</w:t>
      </w:r>
      <w:proofErr w:type="spellEnd"/>
      <w:proofErr w:type="gramEnd"/>
      <w:r w:rsidR="00B24B3B">
        <w:rPr>
          <w:i/>
        </w:rPr>
        <w:t xml:space="preserve">, </w:t>
      </w:r>
      <w:r w:rsidRPr="009A59D5">
        <w:t>must be calculated as the sum of all individual transaction level (</w:t>
      </w:r>
      <w:proofErr w:type="spellStart"/>
      <w:r w:rsidR="00B24B3B">
        <w:rPr>
          <w:i/>
        </w:rPr>
        <w:t>i</w:t>
      </w:r>
      <w:proofErr w:type="spellEnd"/>
      <w:r w:rsidRPr="009A59D5">
        <w:t>) quantities, according to:</w:t>
      </w:r>
      <w:bookmarkEnd w:id="429"/>
    </w:p>
    <w:p w14:paraId="27B430A6" w14:textId="6B1FB6F0" w:rsidR="00595837" w:rsidRDefault="00595837" w:rsidP="00751D7D">
      <w:pPr>
        <w:pStyle w:val="BodyText1"/>
        <w:numPr>
          <w:ilvl w:val="0"/>
          <w:numId w:val="0"/>
        </w:numPr>
        <w:spacing w:after="0"/>
        <w:ind w:left="567" w:firstLine="851"/>
      </w:pPr>
      <w:r w:rsidRPr="00A84B05">
        <w:rPr>
          <w:noProof/>
        </w:rPr>
        <w:drawing>
          <wp:inline distT="0" distB="0" distL="0" distR="0" wp14:anchorId="3ABA0701" wp14:editId="35174537">
            <wp:extent cx="4522749" cy="514350"/>
            <wp:effectExtent l="0" t="0" r="0" b="0"/>
            <wp:docPr id="16" name="Picture 16" descr="A formula for EffectiveNotional subscript CORE, k superscript EQ which is the effective notional amount for category k and must be calculated as the sum of all individual transaction level qua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formula for EffectiveNotional subscript CORE, k superscript EQ which is the effective notional amount for category k and must be calculated as the sum of all individual transaction level quantities."/>
                    <pic:cNvPicPr>
                      <a:picLocks noChangeAspect="1" noChangeArrowheads="1"/>
                    </pic:cNvPicPr>
                  </pic:nvPicPr>
                  <pic:blipFill rotWithShape="1">
                    <a:blip r:embed="rId56">
                      <a:extLst>
                        <a:ext uri="{28A0092B-C50C-407E-A947-70E740481C1C}">
                          <a14:useLocalDpi xmlns:a14="http://schemas.microsoft.com/office/drawing/2010/main" val="0"/>
                        </a:ext>
                      </a:extLst>
                    </a:blip>
                    <a:srcRect l="31783" r="22165" b="14700"/>
                    <a:stretch/>
                  </pic:blipFill>
                  <pic:spPr bwMode="auto">
                    <a:xfrm>
                      <a:off x="0" y="0"/>
                      <a:ext cx="4538984" cy="516196"/>
                    </a:xfrm>
                    <a:prstGeom prst="rect">
                      <a:avLst/>
                    </a:prstGeom>
                    <a:noFill/>
                    <a:ln>
                      <a:noFill/>
                    </a:ln>
                    <a:extLst>
                      <a:ext uri="{53640926-AAD7-44D8-BBD7-CCE9431645EC}">
                        <a14:shadowObscured xmlns:a14="http://schemas.microsoft.com/office/drawing/2010/main"/>
                      </a:ext>
                    </a:extLst>
                  </pic:spPr>
                </pic:pic>
              </a:graphicData>
            </a:graphic>
          </wp:inline>
        </w:drawing>
      </w:r>
    </w:p>
    <w:p w14:paraId="2BB1832B" w14:textId="77777777" w:rsidR="00984446" w:rsidRPr="009A59D5" w:rsidRDefault="00984446" w:rsidP="006F7BB6">
      <w:pPr>
        <w:pStyle w:val="BodyText1"/>
        <w:keepNext/>
        <w:numPr>
          <w:ilvl w:val="0"/>
          <w:numId w:val="0"/>
        </w:numPr>
        <w:ind w:left="567"/>
      </w:pPr>
      <w:r w:rsidRPr="009A59D5">
        <w:lastRenderedPageBreak/>
        <w:t>where:</w:t>
      </w:r>
    </w:p>
    <w:p w14:paraId="5401D6FF" w14:textId="48FFCE60" w:rsidR="00984446" w:rsidRPr="009A59D5" w:rsidRDefault="00B24B3B" w:rsidP="006F7BB6">
      <w:pPr>
        <w:pStyle w:val="BodyText1"/>
        <w:keepNext/>
        <w:numPr>
          <w:ilvl w:val="0"/>
          <w:numId w:val="0"/>
        </w:numPr>
        <w:ind w:left="567"/>
      </w:pPr>
      <w:r>
        <w:rPr>
          <w:i/>
        </w:rPr>
        <w:t>I(</w:t>
      </w:r>
      <w:proofErr w:type="spellStart"/>
      <w:proofErr w:type="gramStart"/>
      <w:r>
        <w:rPr>
          <w:i/>
        </w:rPr>
        <w:t>CORE,k</w:t>
      </w:r>
      <w:proofErr w:type="spellEnd"/>
      <w:proofErr w:type="gramEnd"/>
      <w:r>
        <w:rPr>
          <w:i/>
        </w:rPr>
        <w:t xml:space="preserve">) </w:t>
      </w:r>
      <w:r>
        <w:t xml:space="preserve">= </w:t>
      </w:r>
      <w:r w:rsidR="00984446" w:rsidRPr="009A59D5">
        <w:t xml:space="preserve">the set of all transactions belonging to category </w:t>
      </w:r>
      <w:r>
        <w:rPr>
          <w:i/>
        </w:rPr>
        <w:t>k</w:t>
      </w:r>
      <w:r w:rsidR="00984446" w:rsidRPr="009A59D5">
        <w:t xml:space="preserve"> (i.e. reference entity </w:t>
      </w:r>
      <w:r>
        <w:rPr>
          <w:i/>
        </w:rPr>
        <w:t>k</w:t>
      </w:r>
      <w:r w:rsidR="00984446" w:rsidRPr="009A59D5">
        <w:t>) within the core equity hedging set;</w:t>
      </w:r>
    </w:p>
    <w:p w14:paraId="65A1CE53" w14:textId="75A0DDD1" w:rsidR="00984446" w:rsidRPr="009A59D5" w:rsidRDefault="00B24B3B" w:rsidP="00984446">
      <w:pPr>
        <w:pStyle w:val="BodyText1"/>
        <w:numPr>
          <w:ilvl w:val="0"/>
          <w:numId w:val="0"/>
        </w:numPr>
        <w:ind w:left="567"/>
      </w:pPr>
      <w:r w:rsidRPr="00B24B3B">
        <w:rPr>
          <w:i/>
        </w:rPr>
        <w:t>ẟ</w:t>
      </w:r>
      <w:proofErr w:type="spellStart"/>
      <w:r w:rsidRPr="00B24B3B">
        <w:rPr>
          <w:i/>
          <w:vertAlign w:val="subscript"/>
        </w:rPr>
        <w:t>i</w:t>
      </w:r>
      <w:proofErr w:type="spellEnd"/>
      <w:r>
        <w:t xml:space="preserve"> = </w:t>
      </w:r>
      <w:r w:rsidR="00984446" w:rsidRPr="009A59D5">
        <w:t xml:space="preserve">the supervisory delta adjustment for transaction </w:t>
      </w:r>
      <w:proofErr w:type="spellStart"/>
      <w:r>
        <w:rPr>
          <w:i/>
        </w:rPr>
        <w:t>i</w:t>
      </w:r>
      <w:proofErr w:type="spellEnd"/>
      <w:r w:rsidR="00984446" w:rsidRPr="009A59D5">
        <w:t xml:space="preserve">, calculated according to paragraphs </w:t>
      </w:r>
      <w:r w:rsidR="00B342DD" w:rsidRPr="009A59D5">
        <w:fldChar w:fldCharType="begin"/>
      </w:r>
      <w:r w:rsidR="00B342DD" w:rsidRPr="009A59D5">
        <w:instrText xml:space="preserve"> REF _Ref460313888 \r \h </w:instrText>
      </w:r>
      <w:r w:rsidR="00365041" w:rsidRPr="009A59D5">
        <w:instrText xml:space="preserve"> \* MERGEFORMAT </w:instrText>
      </w:r>
      <w:r w:rsidR="00B342DD" w:rsidRPr="009A59D5">
        <w:fldChar w:fldCharType="separate"/>
      </w:r>
      <w:r w:rsidR="00B401AE">
        <w:t>43</w:t>
      </w:r>
      <w:r w:rsidR="00B342DD" w:rsidRPr="009A59D5">
        <w:fldChar w:fldCharType="end"/>
      </w:r>
      <w:r w:rsidR="00984446" w:rsidRPr="009A59D5">
        <w:t xml:space="preserve"> to</w:t>
      </w:r>
      <w:r w:rsidR="00CC3315" w:rsidRPr="009A59D5">
        <w:t xml:space="preserve"> </w:t>
      </w:r>
      <w:r w:rsidR="00CC3315" w:rsidRPr="009A59D5">
        <w:fldChar w:fldCharType="begin"/>
      </w:r>
      <w:r w:rsidR="00CC3315" w:rsidRPr="009A59D5">
        <w:instrText xml:space="preserve"> REF _Ref506828576 \r \h </w:instrText>
      </w:r>
      <w:r w:rsidR="009A59D5">
        <w:instrText xml:space="preserve"> \* MERGEFORMAT </w:instrText>
      </w:r>
      <w:r w:rsidR="00CC3315" w:rsidRPr="009A59D5">
        <w:fldChar w:fldCharType="separate"/>
      </w:r>
      <w:r w:rsidR="00B401AE">
        <w:t>47</w:t>
      </w:r>
      <w:r w:rsidR="00CC3315" w:rsidRPr="009A59D5">
        <w:fldChar w:fldCharType="end"/>
      </w:r>
      <w:r w:rsidR="00984446" w:rsidRPr="009A59D5">
        <w:t>;</w:t>
      </w:r>
    </w:p>
    <w:p w14:paraId="29C8E8E2" w14:textId="113B2264" w:rsidR="00984446" w:rsidRPr="009A59D5" w:rsidRDefault="00B24B3B" w:rsidP="00984446">
      <w:pPr>
        <w:pStyle w:val="BodyText1"/>
        <w:numPr>
          <w:ilvl w:val="0"/>
          <w:numId w:val="0"/>
        </w:numPr>
        <w:ind w:left="567"/>
      </w:pPr>
      <w:proofErr w:type="spellStart"/>
      <w:r>
        <w:rPr>
          <w:i/>
        </w:rPr>
        <w:t>d</w:t>
      </w:r>
      <w:r>
        <w:rPr>
          <w:i/>
          <w:vertAlign w:val="subscript"/>
        </w:rPr>
        <w:t>i</w:t>
      </w:r>
      <w:r>
        <w:rPr>
          <w:i/>
          <w:vertAlign w:val="superscript"/>
        </w:rPr>
        <w:t>EQ</w:t>
      </w:r>
      <w:proofErr w:type="spellEnd"/>
      <w:r>
        <w:t xml:space="preserve"> = </w:t>
      </w:r>
      <w:r w:rsidR="00984446" w:rsidRPr="009A59D5">
        <w:t xml:space="preserve">the adjusted notional amount for transaction </w:t>
      </w:r>
      <w:proofErr w:type="spellStart"/>
      <w:r>
        <w:rPr>
          <w:i/>
        </w:rPr>
        <w:t>i</w:t>
      </w:r>
      <w:proofErr w:type="spellEnd"/>
      <w:r w:rsidR="00984446" w:rsidRPr="009A59D5">
        <w:t xml:space="preserve">, and must be calculated as the product of the current price of one unit of the stock and the number of units referenced by transaction </w:t>
      </w:r>
      <w:proofErr w:type="spellStart"/>
      <w:r>
        <w:rPr>
          <w:i/>
        </w:rPr>
        <w:t>i</w:t>
      </w:r>
      <w:proofErr w:type="spellEnd"/>
      <w:r>
        <w:rPr>
          <w:i/>
        </w:rPr>
        <w:t xml:space="preserve"> </w:t>
      </w:r>
      <w:r w:rsidR="00EC6A93" w:rsidRPr="009A59D5">
        <w:t>except w</w:t>
      </w:r>
      <w:r w:rsidR="00C97202" w:rsidRPr="009A59D5">
        <w:t xml:space="preserve">here transaction </w:t>
      </w:r>
      <w:proofErr w:type="spellStart"/>
      <w:r>
        <w:rPr>
          <w:i/>
        </w:rPr>
        <w:t>i</w:t>
      </w:r>
      <w:proofErr w:type="spellEnd"/>
      <w:r w:rsidR="00C97202" w:rsidRPr="009A59D5">
        <w:t xml:space="preserve"> is an equity volatility transaction,</w:t>
      </w:r>
      <w:r w:rsidR="00EC6A93" w:rsidRPr="009A59D5">
        <w:t xml:space="preserve"> in which case</w:t>
      </w:r>
      <w:r w:rsidR="00C97202" w:rsidRPr="009A59D5">
        <w:t xml:space="preserve"> the adjusted notional amount for transaction</w:t>
      </w:r>
      <w:r>
        <w:t xml:space="preserve"> </w:t>
      </w:r>
      <w:proofErr w:type="spellStart"/>
      <w:r>
        <w:rPr>
          <w:i/>
        </w:rPr>
        <w:t>i</w:t>
      </w:r>
      <w:proofErr w:type="spellEnd"/>
      <w:r>
        <w:rPr>
          <w:i/>
        </w:rPr>
        <w:t xml:space="preserve"> </w:t>
      </w:r>
      <w:r w:rsidR="00C97202" w:rsidRPr="009A59D5">
        <w:t xml:space="preserve">must be calculated as the product of the underlying volatility or variance referenced by transaction </w:t>
      </w:r>
      <w:proofErr w:type="spellStart"/>
      <w:r>
        <w:rPr>
          <w:i/>
        </w:rPr>
        <w:t>i</w:t>
      </w:r>
      <w:proofErr w:type="spellEnd"/>
      <w:r w:rsidR="00C97202" w:rsidRPr="009A59D5">
        <w:t xml:space="preserve"> and the contractual notional amount of transaction </w:t>
      </w:r>
      <w:proofErr w:type="spellStart"/>
      <w:r>
        <w:rPr>
          <w:i/>
        </w:rPr>
        <w:t>i</w:t>
      </w:r>
      <w:proofErr w:type="spellEnd"/>
      <w:r w:rsidR="00C97202" w:rsidRPr="009A59D5">
        <w:t xml:space="preserve">. </w:t>
      </w:r>
      <w:r w:rsidR="00984446" w:rsidRPr="009A59D5">
        <w:t xml:space="preserve">The adjusted notional amount is also subject to the requirements in paragraph </w:t>
      </w:r>
      <w:r w:rsidR="001F1E20" w:rsidRPr="009A59D5">
        <w:fldChar w:fldCharType="begin"/>
      </w:r>
      <w:r w:rsidR="001F1E20" w:rsidRPr="009A59D5">
        <w:instrText xml:space="preserve"> REF _Ref460313856 \r \h </w:instrText>
      </w:r>
      <w:r w:rsidR="00365041" w:rsidRPr="009A59D5">
        <w:instrText xml:space="preserve"> \* MERGEFORMAT </w:instrText>
      </w:r>
      <w:r w:rsidR="001F1E20" w:rsidRPr="009A59D5">
        <w:fldChar w:fldCharType="separate"/>
      </w:r>
      <w:r w:rsidR="00B401AE">
        <w:t>42</w:t>
      </w:r>
      <w:r w:rsidR="001F1E20" w:rsidRPr="009A59D5">
        <w:fldChar w:fldCharType="end"/>
      </w:r>
      <w:r w:rsidR="00984446" w:rsidRPr="009A59D5">
        <w:t xml:space="preserve"> of this Attachment</w:t>
      </w:r>
      <w:r w:rsidR="006C77CB" w:rsidRPr="009A59D5">
        <w:t>; and</w:t>
      </w:r>
    </w:p>
    <w:p w14:paraId="25E1F28A" w14:textId="1C0FA8C8" w:rsidR="006C77CB" w:rsidRPr="009A59D5" w:rsidRDefault="00B24B3B" w:rsidP="006C77CB">
      <w:pPr>
        <w:pStyle w:val="BodyText1"/>
        <w:numPr>
          <w:ilvl w:val="0"/>
          <w:numId w:val="0"/>
        </w:numPr>
        <w:ind w:left="567"/>
      </w:pPr>
      <w:proofErr w:type="spellStart"/>
      <w:r>
        <w:rPr>
          <w:i/>
        </w:rPr>
        <w:t>MF</w:t>
      </w:r>
      <w:r>
        <w:rPr>
          <w:i/>
          <w:vertAlign w:val="subscript"/>
        </w:rPr>
        <w:t>i</w:t>
      </w:r>
      <w:proofErr w:type="spellEnd"/>
      <w:r>
        <w:t xml:space="preserve"> = </w:t>
      </w:r>
      <w:r w:rsidR="006C77CB" w:rsidRPr="009A59D5">
        <w:t xml:space="preserve">the maturity factor for transaction </w:t>
      </w:r>
      <w:proofErr w:type="spellStart"/>
      <w:r>
        <w:rPr>
          <w:i/>
        </w:rPr>
        <w:t>i</w:t>
      </w:r>
      <w:proofErr w:type="spellEnd"/>
      <w:r w:rsidR="006C77CB" w:rsidRPr="009A59D5">
        <w:t xml:space="preserve">, calculated according to paragraph </w:t>
      </w:r>
      <w:r w:rsidR="006C77CB" w:rsidRPr="009A59D5">
        <w:fldChar w:fldCharType="begin"/>
      </w:r>
      <w:r w:rsidR="006C77CB" w:rsidRPr="009A59D5">
        <w:instrText xml:space="preserve"> REF _Ref460259374 \r \h  \* MERGEFORMAT </w:instrText>
      </w:r>
      <w:r w:rsidR="006C77CB" w:rsidRPr="009A59D5">
        <w:fldChar w:fldCharType="separate"/>
      </w:r>
      <w:r w:rsidR="00B401AE">
        <w:t>48</w:t>
      </w:r>
      <w:r w:rsidR="006C77CB" w:rsidRPr="009A59D5">
        <w:fldChar w:fldCharType="end"/>
      </w:r>
      <w:r w:rsidR="00E66C4F" w:rsidRPr="009A59D5">
        <w:t xml:space="preserve"> of this Attachment</w:t>
      </w:r>
      <w:r w:rsidR="006C77CB" w:rsidRPr="009A59D5">
        <w:t>.</w:t>
      </w:r>
    </w:p>
    <w:p w14:paraId="1B9AF394" w14:textId="77777777" w:rsidR="00984446" w:rsidRPr="009A59D5" w:rsidRDefault="00984446" w:rsidP="00C71EB5">
      <w:pPr>
        <w:pStyle w:val="Heading3"/>
      </w:pPr>
      <w:bookmarkStart w:id="430" w:name="_Toc460331453"/>
      <w:bookmarkStart w:id="431" w:name="_Toc461692117"/>
      <w:bookmarkStart w:id="432" w:name="_Toc487712245"/>
      <w:bookmarkStart w:id="433" w:name="_Toc488397546"/>
      <w:bookmarkStart w:id="434" w:name="_Toc488398106"/>
      <w:bookmarkStart w:id="435" w:name="_Toc489463943"/>
      <w:bookmarkStart w:id="436" w:name="_Toc507406236"/>
      <w:bookmarkStart w:id="437" w:name="_Toc507406308"/>
      <w:bookmarkStart w:id="438" w:name="_Toc507406421"/>
      <w:r w:rsidRPr="009A59D5">
        <w:t>Add-on for commodity derivative transactions</w:t>
      </w:r>
      <w:bookmarkEnd w:id="430"/>
      <w:bookmarkEnd w:id="431"/>
      <w:bookmarkEnd w:id="432"/>
      <w:bookmarkEnd w:id="433"/>
      <w:bookmarkEnd w:id="434"/>
      <w:bookmarkEnd w:id="435"/>
      <w:bookmarkEnd w:id="436"/>
      <w:bookmarkEnd w:id="437"/>
      <w:bookmarkEnd w:id="438"/>
    </w:p>
    <w:p w14:paraId="227F4790" w14:textId="2A244EA6" w:rsidR="00984446" w:rsidRPr="009A59D5" w:rsidRDefault="00984446" w:rsidP="00984446">
      <w:pPr>
        <w:pStyle w:val="BodyText1"/>
      </w:pPr>
      <w:bookmarkStart w:id="439" w:name="_Ref460313770"/>
      <w:r w:rsidRPr="009A59D5">
        <w:t>For the commodity asset class, within ea</w:t>
      </w:r>
      <w:r w:rsidR="00B342DD" w:rsidRPr="009A59D5">
        <w:t>ch hedging set (</w:t>
      </w:r>
      <w:r w:rsidR="000E6644" w:rsidRPr="009A59D5">
        <w:t>refer to</w:t>
      </w:r>
      <w:r w:rsidR="00B342DD" w:rsidRPr="009A59D5">
        <w:t xml:space="preserve"> paragraph </w:t>
      </w:r>
      <w:r w:rsidR="00B342DD" w:rsidRPr="009A59D5">
        <w:fldChar w:fldCharType="begin"/>
      </w:r>
      <w:r w:rsidR="00B342DD" w:rsidRPr="009A59D5">
        <w:instrText xml:space="preserve"> REF _Ref460313691 \r \h </w:instrText>
      </w:r>
      <w:r w:rsidR="00365041" w:rsidRPr="009A59D5">
        <w:instrText xml:space="preserve"> \* MERGEFORMAT </w:instrText>
      </w:r>
      <w:r w:rsidR="00B342DD" w:rsidRPr="009A59D5">
        <w:fldChar w:fldCharType="separate"/>
      </w:r>
      <w:r w:rsidR="00B401AE">
        <w:t>19</w:t>
      </w:r>
      <w:r w:rsidR="00B342DD" w:rsidRPr="009A59D5">
        <w:fldChar w:fldCharType="end"/>
      </w:r>
      <w:r w:rsidRPr="009A59D5">
        <w:t xml:space="preserve"> of this Attachment), transactions must be further divided into categories, each one (</w:t>
      </w:r>
      <w:r w:rsidR="00B24B3B">
        <w:rPr>
          <w:i/>
        </w:rPr>
        <w:t>k</w:t>
      </w:r>
      <w:r w:rsidRPr="009A59D5">
        <w:t>) containing all the transactions belonging to the same commodity type. An ADI must specify categories based on commodity type that are more granular than the four broad commodit</w:t>
      </w:r>
      <w:r w:rsidR="00B342DD" w:rsidRPr="009A59D5">
        <w:t xml:space="preserve">y groups defined in paragraph </w:t>
      </w:r>
      <w:r w:rsidR="008A653E" w:rsidRPr="009A59D5">
        <w:fldChar w:fldCharType="begin"/>
      </w:r>
      <w:r w:rsidR="008A653E" w:rsidRPr="009A59D5">
        <w:instrText xml:space="preserve"> REF _Ref460313691 \r \h </w:instrText>
      </w:r>
      <w:r w:rsidR="00365041" w:rsidRPr="009A59D5">
        <w:instrText xml:space="preserve"> \* MERGEFORMAT </w:instrText>
      </w:r>
      <w:r w:rsidR="008A653E" w:rsidRPr="009A59D5">
        <w:fldChar w:fldCharType="separate"/>
      </w:r>
      <w:r w:rsidR="00B401AE">
        <w:t>19</w:t>
      </w:r>
      <w:r w:rsidR="008A653E" w:rsidRPr="009A59D5">
        <w:fldChar w:fldCharType="end"/>
      </w:r>
      <w:r w:rsidRPr="009A59D5">
        <w:t xml:space="preserve"> of this Attachment. An ADI must determine the commodity types suc</w:t>
      </w:r>
      <w:r w:rsidR="000B2D32" w:rsidRPr="009A59D5">
        <w:t>h that all material basis risks</w:t>
      </w:r>
      <w:r w:rsidR="000B2D32" w:rsidRPr="009A59D5">
        <w:rPr>
          <w:rStyle w:val="FootnoteReference"/>
        </w:rPr>
        <w:footnoteReference w:id="37"/>
      </w:r>
      <w:r w:rsidRPr="009A59D5">
        <w:t xml:space="preserve"> are captured. All uncaptured basis risks must be formally identified and regularly monitored. An ADI must also regularly review and update the categorisation of commodity types to reflect any significant changes in materiality. Where an ADI is unable to demonstrate to APRA’s satisfaction that the basis risks are appropriately captured or monitored, APRA may require the ADI to use a more refined set of commodity types.</w:t>
      </w:r>
      <w:bookmarkEnd w:id="439"/>
    </w:p>
    <w:p w14:paraId="07E92E24" w14:textId="5FAEA444" w:rsidR="00984446" w:rsidRPr="009A59D5" w:rsidRDefault="00984446" w:rsidP="00984446">
      <w:pPr>
        <w:pStyle w:val="BodyText1"/>
      </w:pPr>
      <w:r w:rsidRPr="009A59D5">
        <w:t>The add-on for each of the four hedging sets</w:t>
      </w:r>
      <w:r w:rsidR="00B24B3B">
        <w:t xml:space="preserve"> </w:t>
      </w:r>
      <w:r w:rsidR="00B24B3B">
        <w:rPr>
          <w:i/>
        </w:rPr>
        <w:t xml:space="preserve">j, </w:t>
      </w:r>
      <w:proofErr w:type="spellStart"/>
      <w:r w:rsidR="00B24B3B">
        <w:rPr>
          <w:i/>
        </w:rPr>
        <w:t>AddOn</w:t>
      </w:r>
      <w:r w:rsidR="00B24B3B">
        <w:rPr>
          <w:i/>
          <w:vertAlign w:val="subscript"/>
        </w:rPr>
        <w:t>j</w:t>
      </w:r>
      <w:r w:rsidR="00B24B3B">
        <w:rPr>
          <w:i/>
          <w:vertAlign w:val="superscript"/>
        </w:rPr>
        <w:t>COM</w:t>
      </w:r>
      <w:proofErr w:type="spellEnd"/>
      <w:r w:rsidRPr="009A59D5">
        <w:t>, must be calculated as:</w:t>
      </w:r>
    </w:p>
    <w:p w14:paraId="2737C603" w14:textId="7047E590" w:rsidR="00595837" w:rsidRDefault="00595837" w:rsidP="00595837">
      <w:pPr>
        <w:pStyle w:val="BodyText1"/>
        <w:numPr>
          <w:ilvl w:val="0"/>
          <w:numId w:val="0"/>
        </w:numPr>
        <w:ind w:left="567" w:firstLine="284"/>
      </w:pPr>
      <w:r w:rsidRPr="00595837">
        <w:rPr>
          <w:noProof/>
        </w:rPr>
        <w:drawing>
          <wp:inline distT="0" distB="0" distL="0" distR="0" wp14:anchorId="71C74600" wp14:editId="757DC33E">
            <wp:extent cx="4391025" cy="888031"/>
            <wp:effectExtent l="0" t="0" r="0" b="7620"/>
            <wp:docPr id="63" name="Picture 63" descr="A formula for AddOn subscript j superscript COM, which is the add-on for each of the four hedging sets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formula for AddOn subscript j superscript COM, which is the add-on for each of the four hedging sets j."/>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99429" cy="889731"/>
                    </a:xfrm>
                    <a:prstGeom prst="rect">
                      <a:avLst/>
                    </a:prstGeom>
                    <a:noFill/>
                    <a:ln>
                      <a:noFill/>
                    </a:ln>
                  </pic:spPr>
                </pic:pic>
              </a:graphicData>
            </a:graphic>
          </wp:inline>
        </w:drawing>
      </w:r>
    </w:p>
    <w:p w14:paraId="4FCE6991" w14:textId="77777777" w:rsidR="00C06725" w:rsidRPr="009A59D5" w:rsidRDefault="00C06725" w:rsidP="00C06725">
      <w:pPr>
        <w:pStyle w:val="BodyText1"/>
        <w:numPr>
          <w:ilvl w:val="0"/>
          <w:numId w:val="0"/>
        </w:numPr>
        <w:ind w:left="567"/>
      </w:pPr>
      <w:r w:rsidRPr="009A59D5">
        <w:t>where:</w:t>
      </w:r>
    </w:p>
    <w:p w14:paraId="3CB4C38E" w14:textId="567AA07B" w:rsidR="00C06725" w:rsidRPr="009A59D5" w:rsidRDefault="00B24B3B" w:rsidP="00C06725">
      <w:pPr>
        <w:pStyle w:val="BodyText1"/>
        <w:numPr>
          <w:ilvl w:val="0"/>
          <w:numId w:val="0"/>
        </w:numPr>
        <w:ind w:left="567"/>
      </w:pPr>
      <w:proofErr w:type="spellStart"/>
      <w:r>
        <w:rPr>
          <w:i/>
        </w:rPr>
        <w:t>p</w:t>
      </w:r>
      <w:r>
        <w:rPr>
          <w:i/>
          <w:vertAlign w:val="superscript"/>
        </w:rPr>
        <w:t>COM</w:t>
      </w:r>
      <w:proofErr w:type="spellEnd"/>
      <w:r>
        <w:t xml:space="preserve"> = </w:t>
      </w:r>
      <w:r w:rsidR="00C06725" w:rsidRPr="009A59D5">
        <w:t>the supervisory correlation parameter for the commodity asset class; and</w:t>
      </w:r>
    </w:p>
    <w:p w14:paraId="7DBEFD4B" w14:textId="3E64AE69" w:rsidR="00C06725" w:rsidRPr="009A59D5" w:rsidRDefault="00B24B3B" w:rsidP="00C06725">
      <w:pPr>
        <w:pStyle w:val="BodyText1"/>
        <w:numPr>
          <w:ilvl w:val="0"/>
          <w:numId w:val="0"/>
        </w:numPr>
        <w:ind w:left="567"/>
      </w:pPr>
      <w:proofErr w:type="spellStart"/>
      <w:proofErr w:type="gramStart"/>
      <w:r>
        <w:rPr>
          <w:i/>
        </w:rPr>
        <w:lastRenderedPageBreak/>
        <w:t>AddOn</w:t>
      </w:r>
      <w:r>
        <w:rPr>
          <w:i/>
          <w:vertAlign w:val="subscript"/>
        </w:rPr>
        <w:t>j,k</w:t>
      </w:r>
      <w:r>
        <w:rPr>
          <w:i/>
          <w:vertAlign w:val="superscript"/>
        </w:rPr>
        <w:t>COM</w:t>
      </w:r>
      <w:proofErr w:type="spellEnd"/>
      <w:proofErr w:type="gramEnd"/>
      <w:r>
        <w:t xml:space="preserve"> = </w:t>
      </w:r>
      <w:r w:rsidR="00C06725" w:rsidRPr="009A59D5">
        <w:t xml:space="preserve">the add-on factor for category </w:t>
      </w:r>
      <w:r>
        <w:rPr>
          <w:i/>
        </w:rPr>
        <w:t>k</w:t>
      </w:r>
      <w:r w:rsidR="00C06725" w:rsidRPr="009A59D5">
        <w:t xml:space="preserve">, calculated </w:t>
      </w:r>
      <w:r w:rsidR="00F3389B" w:rsidRPr="009A59D5">
        <w:t>according to paragraph </w:t>
      </w:r>
      <w:r w:rsidR="00F3389B" w:rsidRPr="009A59D5">
        <w:fldChar w:fldCharType="begin"/>
      </w:r>
      <w:r w:rsidR="00F3389B" w:rsidRPr="009A59D5">
        <w:instrText xml:space="preserve"> REF _Ref460328606 \r \h </w:instrText>
      </w:r>
      <w:r w:rsidR="00365041" w:rsidRPr="009A59D5">
        <w:instrText xml:space="preserve"> \* MERGEFORMAT </w:instrText>
      </w:r>
      <w:r w:rsidR="00F3389B" w:rsidRPr="009A59D5">
        <w:fldChar w:fldCharType="separate"/>
      </w:r>
      <w:r w:rsidR="00B401AE">
        <w:t>40</w:t>
      </w:r>
      <w:r w:rsidR="00F3389B" w:rsidRPr="009A59D5">
        <w:fldChar w:fldCharType="end"/>
      </w:r>
      <w:r w:rsidR="00266D66" w:rsidRPr="009A59D5">
        <w:t xml:space="preserve"> of this Attachment</w:t>
      </w:r>
      <w:r w:rsidR="00C06725" w:rsidRPr="009A59D5">
        <w:t>.</w:t>
      </w:r>
    </w:p>
    <w:p w14:paraId="230816DE" w14:textId="2DD02DC1" w:rsidR="00C06725" w:rsidRPr="009A59D5" w:rsidRDefault="00C06725" w:rsidP="00C06725">
      <w:pPr>
        <w:pStyle w:val="BodyText1"/>
      </w:pPr>
      <w:bookmarkStart w:id="440" w:name="_Ref460328606"/>
      <w:r w:rsidRPr="009A59D5">
        <w:t xml:space="preserve">The add-on factor for category </w:t>
      </w:r>
      <w:r w:rsidR="00B24B3B">
        <w:rPr>
          <w:i/>
        </w:rPr>
        <w:t>k</w:t>
      </w:r>
      <w:r w:rsidRPr="009A59D5">
        <w:t xml:space="preserve"> within hedging set</w:t>
      </w:r>
      <w:r w:rsidR="00B24B3B">
        <w:t xml:space="preserve"> </w:t>
      </w:r>
      <w:r w:rsidR="00B24B3B">
        <w:rPr>
          <w:i/>
        </w:rPr>
        <w:t xml:space="preserve">j, </w:t>
      </w:r>
      <w:proofErr w:type="spellStart"/>
      <w:proofErr w:type="gramStart"/>
      <w:r w:rsidR="00B24B3B">
        <w:rPr>
          <w:i/>
        </w:rPr>
        <w:t>AddOn</w:t>
      </w:r>
      <w:r w:rsidR="00B24B3B">
        <w:rPr>
          <w:i/>
          <w:vertAlign w:val="subscript"/>
        </w:rPr>
        <w:t>j,k</w:t>
      </w:r>
      <w:r w:rsidR="00B24B3B">
        <w:rPr>
          <w:i/>
          <w:vertAlign w:val="superscript"/>
        </w:rPr>
        <w:t>COM</w:t>
      </w:r>
      <w:proofErr w:type="spellEnd"/>
      <w:proofErr w:type="gramEnd"/>
      <w:r w:rsidRPr="009A59D5">
        <w:t>, must be calculated as:</w:t>
      </w:r>
      <w:bookmarkEnd w:id="440"/>
    </w:p>
    <w:p w14:paraId="02217819" w14:textId="5D470BCC" w:rsidR="00A87B97" w:rsidRPr="00751D7D" w:rsidRDefault="00A87B97" w:rsidP="00751D7D">
      <w:pPr>
        <w:pStyle w:val="BodyText1"/>
        <w:numPr>
          <w:ilvl w:val="0"/>
          <w:numId w:val="0"/>
        </w:numPr>
        <w:spacing w:after="0"/>
        <w:ind w:left="567" w:firstLine="851"/>
      </w:pPr>
      <w:r w:rsidRPr="00A84B05">
        <w:rPr>
          <w:noProof/>
        </w:rPr>
        <w:drawing>
          <wp:inline distT="0" distB="0" distL="0" distR="0" wp14:anchorId="099C6781" wp14:editId="436B6D0F">
            <wp:extent cx="3821906" cy="285750"/>
            <wp:effectExtent l="0" t="0" r="0" b="0"/>
            <wp:docPr id="18" name="Picture 18" descr="Start formula AddOn subscript j, k superscript COM equals SF subscript k superscript COM times EffectiveNotional subscript j, k superscript COM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art formula AddOn subscript j, k superscript COM equals SF subscript k superscript COM times EffectiveNotional subscript j, k superscript COM end formula."/>
                    <pic:cNvPicPr>
                      <a:picLocks noChangeAspect="1" noChangeArrowheads="1"/>
                    </pic:cNvPicPr>
                  </pic:nvPicPr>
                  <pic:blipFill rotWithShape="1">
                    <a:blip r:embed="rId58">
                      <a:extLst>
                        <a:ext uri="{28A0092B-C50C-407E-A947-70E740481C1C}">
                          <a14:useLocalDpi xmlns:a14="http://schemas.microsoft.com/office/drawing/2010/main" val="0"/>
                        </a:ext>
                      </a:extLst>
                    </a:blip>
                    <a:srcRect l="32394" t="4601" r="28876" b="21779"/>
                    <a:stretch/>
                  </pic:blipFill>
                  <pic:spPr bwMode="auto">
                    <a:xfrm>
                      <a:off x="0" y="0"/>
                      <a:ext cx="3833855" cy="286643"/>
                    </a:xfrm>
                    <a:prstGeom prst="rect">
                      <a:avLst/>
                    </a:prstGeom>
                    <a:noFill/>
                    <a:ln>
                      <a:noFill/>
                    </a:ln>
                    <a:extLst>
                      <a:ext uri="{53640926-AAD7-44D8-BBD7-CCE9431645EC}">
                        <a14:shadowObscured xmlns:a14="http://schemas.microsoft.com/office/drawing/2010/main"/>
                      </a:ext>
                    </a:extLst>
                  </pic:spPr>
                </pic:pic>
              </a:graphicData>
            </a:graphic>
          </wp:inline>
        </w:drawing>
      </w:r>
    </w:p>
    <w:p w14:paraId="31377AC8" w14:textId="77777777" w:rsidR="00C348A5" w:rsidRPr="009A59D5" w:rsidRDefault="00C348A5" w:rsidP="00C348A5">
      <w:pPr>
        <w:pStyle w:val="BodyText1"/>
        <w:numPr>
          <w:ilvl w:val="0"/>
          <w:numId w:val="0"/>
        </w:numPr>
        <w:ind w:left="567"/>
      </w:pPr>
      <w:r w:rsidRPr="009A59D5">
        <w:t>where:</w:t>
      </w:r>
    </w:p>
    <w:p w14:paraId="386E1390" w14:textId="57FE5FA8" w:rsidR="00C348A5" w:rsidRPr="009A59D5" w:rsidRDefault="00B24B3B" w:rsidP="00C348A5">
      <w:pPr>
        <w:pStyle w:val="BodyText1"/>
        <w:numPr>
          <w:ilvl w:val="0"/>
          <w:numId w:val="0"/>
        </w:numPr>
        <w:ind w:left="567"/>
      </w:pPr>
      <w:proofErr w:type="spellStart"/>
      <w:r>
        <w:rPr>
          <w:i/>
        </w:rPr>
        <w:t>SF</w:t>
      </w:r>
      <w:r>
        <w:rPr>
          <w:i/>
          <w:vertAlign w:val="subscript"/>
        </w:rPr>
        <w:t>k</w:t>
      </w:r>
      <w:r>
        <w:rPr>
          <w:i/>
          <w:vertAlign w:val="superscript"/>
        </w:rPr>
        <w:t>COM</w:t>
      </w:r>
      <w:proofErr w:type="spellEnd"/>
      <w:r>
        <w:t xml:space="preserve"> = </w:t>
      </w:r>
      <w:r w:rsidR="00C348A5" w:rsidRPr="009A59D5">
        <w:t>the supervisory factor for the commodity group</w:t>
      </w:r>
      <w:r w:rsidR="00C348A5" w:rsidRPr="009A59D5">
        <w:rPr>
          <w:rStyle w:val="FootnoteReference"/>
        </w:rPr>
        <w:footnoteReference w:id="38"/>
      </w:r>
      <w:r w:rsidR="00C348A5" w:rsidRPr="009A59D5">
        <w:t xml:space="preserve"> for category (</w:t>
      </w:r>
      <w:proofErr w:type="gramStart"/>
      <w:r w:rsidR="00C348A5" w:rsidRPr="009A59D5">
        <w:t>i.e.</w:t>
      </w:r>
      <w:proofErr w:type="gramEnd"/>
      <w:r w:rsidR="00C348A5" w:rsidRPr="009A59D5">
        <w:t xml:space="preserve"> commodity type) </w:t>
      </w:r>
      <w:r>
        <w:rPr>
          <w:i/>
        </w:rPr>
        <w:t>k</w:t>
      </w:r>
      <w:r w:rsidR="00C348A5" w:rsidRPr="009A59D5">
        <w:t xml:space="preserve">, calculated according to paragraph </w:t>
      </w:r>
      <w:r w:rsidR="00F3389B" w:rsidRPr="009A59D5">
        <w:fldChar w:fldCharType="begin"/>
      </w:r>
      <w:r w:rsidR="00F3389B" w:rsidRPr="009A59D5">
        <w:instrText xml:space="preserve"> REF _Ref460312993 \r \h </w:instrText>
      </w:r>
      <w:r w:rsidR="00365041" w:rsidRPr="009A59D5">
        <w:instrText xml:space="preserve"> \* MERGEFORMAT </w:instrText>
      </w:r>
      <w:r w:rsidR="00F3389B" w:rsidRPr="009A59D5">
        <w:fldChar w:fldCharType="separate"/>
      </w:r>
      <w:r w:rsidR="00B401AE">
        <w:t>49</w:t>
      </w:r>
      <w:r w:rsidR="00F3389B" w:rsidRPr="009A59D5">
        <w:fldChar w:fldCharType="end"/>
      </w:r>
      <w:r w:rsidR="00266D66" w:rsidRPr="009A59D5">
        <w:t xml:space="preserve"> of this Attachment</w:t>
      </w:r>
      <w:r w:rsidR="00C348A5" w:rsidRPr="009A59D5">
        <w:t>; and</w:t>
      </w:r>
    </w:p>
    <w:p w14:paraId="71F14B09" w14:textId="6036E7C3" w:rsidR="00C348A5" w:rsidRPr="009A59D5" w:rsidRDefault="00B24B3B" w:rsidP="00C348A5">
      <w:pPr>
        <w:pStyle w:val="BodyText1"/>
        <w:numPr>
          <w:ilvl w:val="0"/>
          <w:numId w:val="0"/>
        </w:numPr>
        <w:ind w:left="567"/>
      </w:pPr>
      <w:proofErr w:type="spellStart"/>
      <w:proofErr w:type="gramStart"/>
      <w:r>
        <w:rPr>
          <w:i/>
        </w:rPr>
        <w:t>EffectiveNotional</w:t>
      </w:r>
      <w:r>
        <w:rPr>
          <w:i/>
          <w:vertAlign w:val="subscript"/>
        </w:rPr>
        <w:t>j,k</w:t>
      </w:r>
      <w:r>
        <w:rPr>
          <w:i/>
          <w:vertAlign w:val="superscript"/>
        </w:rPr>
        <w:t>COM</w:t>
      </w:r>
      <w:proofErr w:type="spellEnd"/>
      <w:proofErr w:type="gramEnd"/>
      <w:r>
        <w:t xml:space="preserve"> = </w:t>
      </w:r>
      <w:r w:rsidR="00C348A5" w:rsidRPr="009A59D5">
        <w:t xml:space="preserve">the effective notional amount for category </w:t>
      </w:r>
      <w:r>
        <w:rPr>
          <w:i/>
        </w:rPr>
        <w:t>k</w:t>
      </w:r>
      <w:r w:rsidR="00C348A5" w:rsidRPr="009A59D5">
        <w:t xml:space="preserve">, calculated according to paragraph </w:t>
      </w:r>
      <w:r w:rsidR="00F3389B" w:rsidRPr="009A59D5">
        <w:fldChar w:fldCharType="begin"/>
      </w:r>
      <w:r w:rsidR="00F3389B" w:rsidRPr="009A59D5">
        <w:instrText xml:space="preserve"> REF _Ref460313777 \r \h </w:instrText>
      </w:r>
      <w:r w:rsidR="00365041" w:rsidRPr="009A59D5">
        <w:instrText xml:space="preserve"> \* MERGEFORMAT </w:instrText>
      </w:r>
      <w:r w:rsidR="00F3389B" w:rsidRPr="009A59D5">
        <w:fldChar w:fldCharType="separate"/>
      </w:r>
      <w:r w:rsidR="00B401AE">
        <w:t>41</w:t>
      </w:r>
      <w:r w:rsidR="00F3389B" w:rsidRPr="009A59D5">
        <w:fldChar w:fldCharType="end"/>
      </w:r>
      <w:r w:rsidR="00266D66" w:rsidRPr="009A59D5">
        <w:t xml:space="preserve"> of this Attachment</w:t>
      </w:r>
      <w:r w:rsidR="00C348A5" w:rsidRPr="009A59D5">
        <w:t>.</w:t>
      </w:r>
    </w:p>
    <w:p w14:paraId="50D87C4C" w14:textId="0CBC5467" w:rsidR="00C348A5" w:rsidRPr="009A59D5" w:rsidRDefault="00C348A5" w:rsidP="00C348A5">
      <w:pPr>
        <w:pStyle w:val="BodyText1"/>
      </w:pPr>
      <w:bookmarkStart w:id="441" w:name="_Ref460313777"/>
      <w:r w:rsidRPr="009A59D5">
        <w:t xml:space="preserve">The effective notional amount for category </w:t>
      </w:r>
      <w:r w:rsidR="00B24B3B">
        <w:rPr>
          <w:i/>
        </w:rPr>
        <w:t>k</w:t>
      </w:r>
      <w:r w:rsidRPr="009A59D5">
        <w:t xml:space="preserve">, denoted by </w:t>
      </w:r>
      <w:proofErr w:type="spellStart"/>
      <w:proofErr w:type="gramStart"/>
      <w:r w:rsidR="00B24B3B">
        <w:rPr>
          <w:i/>
        </w:rPr>
        <w:t>EffectiveNotional</w:t>
      </w:r>
      <w:r w:rsidR="00B24B3B">
        <w:rPr>
          <w:i/>
          <w:vertAlign w:val="subscript"/>
        </w:rPr>
        <w:t>j,k</w:t>
      </w:r>
      <w:r w:rsidR="00B24B3B">
        <w:rPr>
          <w:i/>
          <w:vertAlign w:val="superscript"/>
        </w:rPr>
        <w:t>COM</w:t>
      </w:r>
      <w:proofErr w:type="spellEnd"/>
      <w:proofErr w:type="gramEnd"/>
      <w:r w:rsidRPr="009A59D5">
        <w:t>, must be calculated as the sum of all individual transaction level (</w:t>
      </w:r>
      <w:proofErr w:type="spellStart"/>
      <w:r w:rsidRPr="00646793">
        <w:rPr>
          <w:i/>
        </w:rPr>
        <w:t>i</w:t>
      </w:r>
      <w:proofErr w:type="spellEnd"/>
      <w:r w:rsidRPr="009A59D5">
        <w:t>) quantities, according to:</w:t>
      </w:r>
      <w:bookmarkEnd w:id="441"/>
    </w:p>
    <w:p w14:paraId="47FDEAB3" w14:textId="622EA13A" w:rsidR="007B1EC2" w:rsidRDefault="007B1EC2" w:rsidP="00751D7D">
      <w:pPr>
        <w:pStyle w:val="BodyText1"/>
        <w:numPr>
          <w:ilvl w:val="0"/>
          <w:numId w:val="0"/>
        </w:numPr>
        <w:spacing w:after="0"/>
        <w:ind w:left="567" w:firstLine="1134"/>
      </w:pPr>
      <w:r w:rsidRPr="00A84B05">
        <w:rPr>
          <w:noProof/>
        </w:rPr>
        <w:drawing>
          <wp:inline distT="0" distB="0" distL="0" distR="0" wp14:anchorId="31EC2788" wp14:editId="7BAF458A">
            <wp:extent cx="3284971" cy="533400"/>
            <wp:effectExtent l="0" t="0" r="0" b="0"/>
            <wp:docPr id="19" name="Picture 19" descr="A formula for EffectiveNotional subscript j, k superscript COM which is the effective notional amount for category k which must be calculated as the sum of all individual transaction level qua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formula for EffectiveNotional subscript j, k superscript COM which is the effective notional amount for category k which must be calculated as the sum of all individual transaction level quantities."/>
                    <pic:cNvPicPr>
                      <a:picLocks noChangeAspect="1" noChangeArrowheads="1"/>
                    </pic:cNvPicPr>
                  </pic:nvPicPr>
                  <pic:blipFill rotWithShape="1">
                    <a:blip r:embed="rId59">
                      <a:extLst>
                        <a:ext uri="{28A0092B-C50C-407E-A947-70E740481C1C}">
                          <a14:useLocalDpi xmlns:a14="http://schemas.microsoft.com/office/drawing/2010/main" val="0"/>
                        </a:ext>
                      </a:extLst>
                    </a:blip>
                    <a:srcRect l="33886" t="1943" r="29036"/>
                    <a:stretch/>
                  </pic:blipFill>
                  <pic:spPr bwMode="auto">
                    <a:xfrm>
                      <a:off x="0" y="0"/>
                      <a:ext cx="3286351" cy="533624"/>
                    </a:xfrm>
                    <a:prstGeom prst="rect">
                      <a:avLst/>
                    </a:prstGeom>
                    <a:noFill/>
                    <a:ln>
                      <a:noFill/>
                    </a:ln>
                    <a:extLst>
                      <a:ext uri="{53640926-AAD7-44D8-BBD7-CCE9431645EC}">
                        <a14:shadowObscured xmlns:a14="http://schemas.microsoft.com/office/drawing/2010/main"/>
                      </a:ext>
                    </a:extLst>
                  </pic:spPr>
                </pic:pic>
              </a:graphicData>
            </a:graphic>
          </wp:inline>
        </w:drawing>
      </w:r>
    </w:p>
    <w:p w14:paraId="6053F1DB" w14:textId="77777777" w:rsidR="00C348A5" w:rsidRPr="009A59D5" w:rsidRDefault="00C348A5" w:rsidP="00C348A5">
      <w:pPr>
        <w:pStyle w:val="BodyText1"/>
        <w:numPr>
          <w:ilvl w:val="0"/>
          <w:numId w:val="0"/>
        </w:numPr>
        <w:ind w:left="567"/>
      </w:pPr>
      <w:r w:rsidRPr="009A59D5">
        <w:t>where:</w:t>
      </w:r>
    </w:p>
    <w:p w14:paraId="0F725B9E" w14:textId="008E5458" w:rsidR="00C348A5" w:rsidRPr="009A59D5" w:rsidRDefault="00D95499" w:rsidP="00C348A5">
      <w:pPr>
        <w:pStyle w:val="BodyText1"/>
        <w:numPr>
          <w:ilvl w:val="0"/>
          <w:numId w:val="0"/>
        </w:numPr>
        <w:ind w:left="567"/>
      </w:pPr>
      <w:r>
        <w:rPr>
          <w:i/>
        </w:rPr>
        <w:t>I(</w:t>
      </w:r>
      <w:proofErr w:type="spellStart"/>
      <w:proofErr w:type="gramStart"/>
      <w:r>
        <w:rPr>
          <w:i/>
        </w:rPr>
        <w:t>j,k</w:t>
      </w:r>
      <w:proofErr w:type="spellEnd"/>
      <w:proofErr w:type="gramEnd"/>
      <w:r>
        <w:rPr>
          <w:i/>
        </w:rPr>
        <w:t>)</w:t>
      </w:r>
      <w:r>
        <w:t xml:space="preserve"> = </w:t>
      </w:r>
      <w:r w:rsidR="00C348A5" w:rsidRPr="009A59D5">
        <w:t xml:space="preserve">the set of all transactions belonging to category </w:t>
      </w:r>
      <w:r>
        <w:rPr>
          <w:i/>
        </w:rPr>
        <w:t xml:space="preserve">k </w:t>
      </w:r>
      <w:r w:rsidR="00C348A5" w:rsidRPr="009A59D5">
        <w:t xml:space="preserve">and hedging set </w:t>
      </w:r>
      <w:r>
        <w:rPr>
          <w:i/>
        </w:rPr>
        <w:t>j</w:t>
      </w:r>
      <w:r w:rsidR="00C348A5" w:rsidRPr="009A59D5">
        <w:t>;</w:t>
      </w:r>
    </w:p>
    <w:p w14:paraId="313175F2" w14:textId="24F86B6D" w:rsidR="00C348A5" w:rsidRPr="009A59D5" w:rsidRDefault="00D95499" w:rsidP="00C348A5">
      <w:pPr>
        <w:pStyle w:val="BodyText1"/>
        <w:numPr>
          <w:ilvl w:val="0"/>
          <w:numId w:val="0"/>
        </w:numPr>
        <w:ind w:left="567"/>
      </w:pPr>
      <w:r w:rsidRPr="00D95499">
        <w:rPr>
          <w:i/>
        </w:rPr>
        <w:t>ẟ</w:t>
      </w:r>
      <w:proofErr w:type="spellStart"/>
      <w:r w:rsidRPr="00D95499">
        <w:rPr>
          <w:i/>
          <w:vertAlign w:val="subscript"/>
        </w:rPr>
        <w:t>i</w:t>
      </w:r>
      <w:proofErr w:type="spellEnd"/>
      <w:r>
        <w:t xml:space="preserve"> = </w:t>
      </w:r>
      <w:r w:rsidR="00C348A5" w:rsidRPr="009A59D5">
        <w:t xml:space="preserve">the supervisory delta adjustment for transaction </w:t>
      </w:r>
      <w:proofErr w:type="spellStart"/>
      <w:r>
        <w:rPr>
          <w:i/>
        </w:rPr>
        <w:t>i</w:t>
      </w:r>
      <w:proofErr w:type="spellEnd"/>
      <w:r w:rsidR="00C348A5" w:rsidRPr="009A59D5">
        <w:t xml:space="preserve">, calculated according to paragraphs </w:t>
      </w:r>
      <w:r w:rsidR="00F3389B" w:rsidRPr="009A59D5">
        <w:fldChar w:fldCharType="begin"/>
      </w:r>
      <w:r w:rsidR="00F3389B" w:rsidRPr="009A59D5">
        <w:instrText xml:space="preserve"> REF _Ref460313888 \r \h </w:instrText>
      </w:r>
      <w:r w:rsidR="00365041" w:rsidRPr="009A59D5">
        <w:instrText xml:space="preserve"> \* MERGEFORMAT </w:instrText>
      </w:r>
      <w:r w:rsidR="00F3389B" w:rsidRPr="009A59D5">
        <w:fldChar w:fldCharType="separate"/>
      </w:r>
      <w:r w:rsidR="00B401AE">
        <w:t>43</w:t>
      </w:r>
      <w:r w:rsidR="00F3389B" w:rsidRPr="009A59D5">
        <w:fldChar w:fldCharType="end"/>
      </w:r>
      <w:r w:rsidR="00C348A5" w:rsidRPr="009A59D5">
        <w:t xml:space="preserve"> to </w:t>
      </w:r>
      <w:r w:rsidR="00266D66" w:rsidRPr="009A59D5">
        <w:t xml:space="preserve">47 of this </w:t>
      </w:r>
      <w:proofErr w:type="gramStart"/>
      <w:r w:rsidR="00266D66" w:rsidRPr="009A59D5">
        <w:t>Attachment</w:t>
      </w:r>
      <w:r w:rsidR="00C348A5" w:rsidRPr="009A59D5">
        <w:t>;</w:t>
      </w:r>
      <w:proofErr w:type="gramEnd"/>
    </w:p>
    <w:p w14:paraId="51868B92" w14:textId="0C6F13DB" w:rsidR="00C348A5" w:rsidRPr="009A59D5" w:rsidRDefault="00D95499" w:rsidP="00C348A5">
      <w:pPr>
        <w:pStyle w:val="BodyText1"/>
        <w:numPr>
          <w:ilvl w:val="0"/>
          <w:numId w:val="0"/>
        </w:numPr>
        <w:ind w:left="567"/>
      </w:pPr>
      <w:proofErr w:type="spellStart"/>
      <w:r>
        <w:rPr>
          <w:i/>
        </w:rPr>
        <w:t>MF</w:t>
      </w:r>
      <w:r>
        <w:rPr>
          <w:i/>
          <w:vertAlign w:val="subscript"/>
        </w:rPr>
        <w:t>i</w:t>
      </w:r>
      <w:proofErr w:type="spellEnd"/>
      <w:r>
        <w:t xml:space="preserve"> = </w:t>
      </w:r>
      <w:r w:rsidR="00C348A5" w:rsidRPr="009A59D5">
        <w:t xml:space="preserve">the maturity factor for transaction </w:t>
      </w:r>
      <w:proofErr w:type="spellStart"/>
      <w:r>
        <w:rPr>
          <w:i/>
        </w:rPr>
        <w:t>i</w:t>
      </w:r>
      <w:proofErr w:type="spellEnd"/>
      <w:r>
        <w:t>,</w:t>
      </w:r>
      <w:r w:rsidR="00C348A5" w:rsidRPr="009A59D5">
        <w:t xml:space="preserve"> calculated according to paragraph </w:t>
      </w:r>
      <w:r w:rsidR="00F3389B" w:rsidRPr="009A59D5">
        <w:fldChar w:fldCharType="begin"/>
      </w:r>
      <w:r w:rsidR="00F3389B" w:rsidRPr="009A59D5">
        <w:instrText xml:space="preserve"> REF _Ref460259374 \r \h </w:instrText>
      </w:r>
      <w:r w:rsidR="00365041" w:rsidRPr="009A59D5">
        <w:instrText xml:space="preserve"> \* MERGEFORMAT </w:instrText>
      </w:r>
      <w:r w:rsidR="00F3389B" w:rsidRPr="009A59D5">
        <w:fldChar w:fldCharType="separate"/>
      </w:r>
      <w:r w:rsidR="00B401AE">
        <w:t>48</w:t>
      </w:r>
      <w:r w:rsidR="00F3389B" w:rsidRPr="009A59D5">
        <w:fldChar w:fldCharType="end"/>
      </w:r>
      <w:r w:rsidR="00266D66" w:rsidRPr="009A59D5">
        <w:t xml:space="preserve"> of this Attachment</w:t>
      </w:r>
      <w:r w:rsidR="00C348A5" w:rsidRPr="009A59D5">
        <w:t>; and</w:t>
      </w:r>
    </w:p>
    <w:p w14:paraId="31A544E5" w14:textId="2CEE8E50" w:rsidR="00A20914" w:rsidRPr="009A59D5" w:rsidRDefault="00D95499" w:rsidP="00C348A5">
      <w:pPr>
        <w:pStyle w:val="BodyText1"/>
        <w:numPr>
          <w:ilvl w:val="0"/>
          <w:numId w:val="0"/>
        </w:numPr>
        <w:ind w:left="567"/>
      </w:pPr>
      <w:proofErr w:type="spellStart"/>
      <w:r>
        <w:rPr>
          <w:i/>
        </w:rPr>
        <w:t>d</w:t>
      </w:r>
      <w:r>
        <w:rPr>
          <w:i/>
          <w:vertAlign w:val="subscript"/>
        </w:rPr>
        <w:t>i</w:t>
      </w:r>
      <w:r>
        <w:rPr>
          <w:i/>
          <w:vertAlign w:val="superscript"/>
        </w:rPr>
        <w:t>COM</w:t>
      </w:r>
      <w:proofErr w:type="spellEnd"/>
      <w:r>
        <w:t xml:space="preserve"> = </w:t>
      </w:r>
      <w:r w:rsidR="00C348A5" w:rsidRPr="009A59D5">
        <w:t xml:space="preserve">the adjusted notional amount for transaction </w:t>
      </w:r>
      <w:proofErr w:type="spellStart"/>
      <w:r>
        <w:rPr>
          <w:i/>
        </w:rPr>
        <w:t>i</w:t>
      </w:r>
      <w:proofErr w:type="spellEnd"/>
      <w:r>
        <w:rPr>
          <w:i/>
        </w:rPr>
        <w:t>,</w:t>
      </w:r>
      <w:r w:rsidR="00C348A5" w:rsidRPr="009A59D5">
        <w:t xml:space="preserve"> and must be calculated as the product of the current price of one unit of the commodity and the number of units referenced by transaction </w:t>
      </w:r>
      <w:proofErr w:type="spellStart"/>
      <w:r>
        <w:rPr>
          <w:i/>
        </w:rPr>
        <w:t>i</w:t>
      </w:r>
      <w:proofErr w:type="spellEnd"/>
      <w:r w:rsidR="00EC6A93" w:rsidRPr="009A59D5">
        <w:t xml:space="preserve"> except w</w:t>
      </w:r>
      <w:r w:rsidR="007C45CF" w:rsidRPr="009A59D5">
        <w:t xml:space="preserve">here transaction </w:t>
      </w:r>
      <w:proofErr w:type="spellStart"/>
      <w:r>
        <w:rPr>
          <w:i/>
        </w:rPr>
        <w:t>i</w:t>
      </w:r>
      <w:proofErr w:type="spellEnd"/>
      <w:r w:rsidR="007C45CF" w:rsidRPr="009A59D5">
        <w:t xml:space="preserve"> is a commodity volatility transaction,</w:t>
      </w:r>
      <w:r w:rsidR="00EC6A93" w:rsidRPr="009A59D5">
        <w:t xml:space="preserve"> in which case</w:t>
      </w:r>
      <w:r w:rsidR="007C45CF" w:rsidRPr="009A59D5">
        <w:t xml:space="preserve"> the adjusted notional amount for </w:t>
      </w:r>
      <w:r w:rsidR="00C97202" w:rsidRPr="009A59D5">
        <w:t>transaction</w:t>
      </w:r>
      <w:r>
        <w:t xml:space="preserve"> </w:t>
      </w:r>
      <w:proofErr w:type="spellStart"/>
      <w:r w:rsidRPr="00926070">
        <w:rPr>
          <w:i/>
        </w:rPr>
        <w:t>i</w:t>
      </w:r>
      <w:proofErr w:type="spellEnd"/>
      <w:r w:rsidR="007C45CF" w:rsidRPr="009A59D5">
        <w:t xml:space="preserve"> must be calculated as the product of the underlying volatility or variance referenced by transaction </w:t>
      </w:r>
      <w:proofErr w:type="spellStart"/>
      <w:r w:rsidR="00926070">
        <w:rPr>
          <w:i/>
        </w:rPr>
        <w:t>i</w:t>
      </w:r>
      <w:proofErr w:type="spellEnd"/>
      <w:r w:rsidR="007C45CF" w:rsidRPr="009A59D5">
        <w:t xml:space="preserve"> and </w:t>
      </w:r>
      <w:r w:rsidR="00C97202" w:rsidRPr="009A59D5">
        <w:t>the contractual notional amount of</w:t>
      </w:r>
      <w:r w:rsidR="007C45CF" w:rsidRPr="009A59D5">
        <w:t xml:space="preserve"> transaction </w:t>
      </w:r>
      <w:proofErr w:type="spellStart"/>
      <w:r w:rsidR="00926070">
        <w:rPr>
          <w:i/>
        </w:rPr>
        <w:t>i</w:t>
      </w:r>
      <w:proofErr w:type="spellEnd"/>
      <w:r w:rsidR="007C45CF" w:rsidRPr="009A59D5">
        <w:t xml:space="preserve">. </w:t>
      </w:r>
      <w:r w:rsidR="00C348A5" w:rsidRPr="009A59D5">
        <w:t xml:space="preserve">The adjusted notional amount is also subject to the requirements in paragraph </w:t>
      </w:r>
      <w:r w:rsidR="001F1E20" w:rsidRPr="009A59D5">
        <w:fldChar w:fldCharType="begin"/>
      </w:r>
      <w:r w:rsidR="001F1E20" w:rsidRPr="009A59D5">
        <w:instrText xml:space="preserve"> REF _Ref460313856 \r \h </w:instrText>
      </w:r>
      <w:r w:rsidR="00365041" w:rsidRPr="009A59D5">
        <w:instrText xml:space="preserve"> \* MERGEFORMAT </w:instrText>
      </w:r>
      <w:r w:rsidR="001F1E20" w:rsidRPr="009A59D5">
        <w:fldChar w:fldCharType="separate"/>
      </w:r>
      <w:r w:rsidR="00B401AE">
        <w:t>42</w:t>
      </w:r>
      <w:r w:rsidR="001F1E20" w:rsidRPr="009A59D5">
        <w:fldChar w:fldCharType="end"/>
      </w:r>
      <w:r w:rsidR="00C348A5" w:rsidRPr="009A59D5">
        <w:t xml:space="preserve"> of this Attachment.</w:t>
      </w:r>
    </w:p>
    <w:p w14:paraId="2C50CB67" w14:textId="77777777" w:rsidR="00C348A5" w:rsidRPr="009A59D5" w:rsidRDefault="00C348A5" w:rsidP="008E0ED4">
      <w:pPr>
        <w:pStyle w:val="AttachmentSubheading"/>
        <w:keepNext/>
      </w:pPr>
      <w:bookmarkStart w:id="442" w:name="_Toc460331454"/>
      <w:bookmarkStart w:id="443" w:name="_Toc461692118"/>
      <w:bookmarkStart w:id="444" w:name="_Toc487712246"/>
      <w:bookmarkStart w:id="445" w:name="_Toc488397547"/>
      <w:bookmarkStart w:id="446" w:name="_Toc488398107"/>
      <w:bookmarkStart w:id="447" w:name="_Toc489463944"/>
      <w:bookmarkStart w:id="448" w:name="_Toc507406237"/>
      <w:bookmarkStart w:id="449" w:name="_Toc507406309"/>
      <w:bookmarkStart w:id="450" w:name="_Toc507406422"/>
      <w:bookmarkStart w:id="451" w:name="_Toc507406472"/>
      <w:bookmarkStart w:id="452" w:name="_Toc507406581"/>
      <w:r w:rsidRPr="009A59D5">
        <w:t>Transaction-level and supervisory parameters</w:t>
      </w:r>
      <w:bookmarkEnd w:id="442"/>
      <w:bookmarkEnd w:id="443"/>
      <w:bookmarkEnd w:id="444"/>
      <w:bookmarkEnd w:id="445"/>
      <w:bookmarkEnd w:id="446"/>
      <w:bookmarkEnd w:id="447"/>
      <w:bookmarkEnd w:id="448"/>
      <w:bookmarkEnd w:id="449"/>
      <w:bookmarkEnd w:id="450"/>
      <w:bookmarkEnd w:id="451"/>
      <w:bookmarkEnd w:id="452"/>
    </w:p>
    <w:p w14:paraId="3297E976" w14:textId="77777777" w:rsidR="00C348A5" w:rsidRPr="009A59D5" w:rsidRDefault="00C348A5" w:rsidP="008E0ED4">
      <w:pPr>
        <w:pStyle w:val="Heading3"/>
      </w:pPr>
      <w:bookmarkStart w:id="453" w:name="_Toc460331455"/>
      <w:bookmarkStart w:id="454" w:name="_Toc461692119"/>
      <w:bookmarkStart w:id="455" w:name="_Toc487712247"/>
      <w:bookmarkStart w:id="456" w:name="_Toc488397548"/>
      <w:bookmarkStart w:id="457" w:name="_Toc488398108"/>
      <w:bookmarkStart w:id="458" w:name="_Toc489463945"/>
      <w:bookmarkStart w:id="459" w:name="_Toc507406238"/>
      <w:bookmarkStart w:id="460" w:name="_Toc507406310"/>
      <w:bookmarkStart w:id="461" w:name="_Toc507406423"/>
      <w:r w:rsidRPr="009A59D5">
        <w:t xml:space="preserve">Adjusted notional </w:t>
      </w:r>
      <w:proofErr w:type="gramStart"/>
      <w:r w:rsidRPr="009A59D5">
        <w:t>amount</w:t>
      </w:r>
      <w:bookmarkEnd w:id="453"/>
      <w:bookmarkEnd w:id="454"/>
      <w:bookmarkEnd w:id="455"/>
      <w:bookmarkEnd w:id="456"/>
      <w:bookmarkEnd w:id="457"/>
      <w:bookmarkEnd w:id="458"/>
      <w:bookmarkEnd w:id="459"/>
      <w:bookmarkEnd w:id="460"/>
      <w:bookmarkEnd w:id="461"/>
      <w:proofErr w:type="gramEnd"/>
    </w:p>
    <w:p w14:paraId="08E432CE" w14:textId="0A056E03" w:rsidR="00C348A5" w:rsidRPr="009A59D5" w:rsidRDefault="00C348A5" w:rsidP="00C348A5">
      <w:pPr>
        <w:pStyle w:val="BodyText1"/>
      </w:pPr>
      <w:bookmarkStart w:id="462" w:name="_Ref460313856"/>
      <w:r w:rsidRPr="009A59D5">
        <w:t xml:space="preserve">For each transaction </w:t>
      </w:r>
      <w:proofErr w:type="spellStart"/>
      <w:r w:rsidR="00926070">
        <w:rPr>
          <w:i/>
        </w:rPr>
        <w:t>i</w:t>
      </w:r>
      <w:proofErr w:type="spellEnd"/>
      <w:r w:rsidRPr="009A59D5">
        <w:t xml:space="preserve"> in all asset classes,</w:t>
      </w:r>
      <w:r w:rsidR="00907E70" w:rsidRPr="009A59D5">
        <w:t xml:space="preserve"> the adjusted notional amount,</w:t>
      </w:r>
      <w:r w:rsidR="00926070">
        <w:t xml:space="preserve"> </w:t>
      </w:r>
      <w:proofErr w:type="spellStart"/>
      <w:r w:rsidR="00926070">
        <w:rPr>
          <w:i/>
        </w:rPr>
        <w:t>d</w:t>
      </w:r>
      <w:r w:rsidR="00926070">
        <w:rPr>
          <w:i/>
          <w:vertAlign w:val="subscript"/>
        </w:rPr>
        <w:t>i</w:t>
      </w:r>
      <w:r w:rsidR="00926070">
        <w:rPr>
          <w:i/>
          <w:vertAlign w:val="superscript"/>
        </w:rPr>
        <w:t>a</w:t>
      </w:r>
      <w:proofErr w:type="spellEnd"/>
      <w:r w:rsidRPr="009A59D5">
        <w:t xml:space="preserve">, is derived from transaction </w:t>
      </w:r>
      <w:r w:rsidR="00926070">
        <w:rPr>
          <w:i/>
        </w:rPr>
        <w:t>i</w:t>
      </w:r>
      <w:r w:rsidRPr="009A59D5">
        <w:t xml:space="preserve">’s trade notional amount. In many cases the trade notional amount is stated clearly and fixed until maturity. Where this is not the </w:t>
      </w:r>
      <w:r w:rsidRPr="009A59D5">
        <w:lastRenderedPageBreak/>
        <w:t>case, an ADI must apply the following rules to determine the trade notional amount:</w:t>
      </w:r>
      <w:bookmarkEnd w:id="462"/>
    </w:p>
    <w:p w14:paraId="347A318E" w14:textId="77777777" w:rsidR="00C348A5" w:rsidRPr="009A59D5" w:rsidRDefault="00C348A5" w:rsidP="00AE0CB1">
      <w:pPr>
        <w:pStyle w:val="BodyText2"/>
      </w:pPr>
      <w:r w:rsidRPr="009A59D5">
        <w:t xml:space="preserve">where the notional is a formula of market values, an ADI must use the current market values to determine the trade notional </w:t>
      </w:r>
      <w:proofErr w:type="gramStart"/>
      <w:r w:rsidRPr="009A59D5">
        <w:t>amount;</w:t>
      </w:r>
      <w:proofErr w:type="gramEnd"/>
    </w:p>
    <w:p w14:paraId="4ECBD5EC" w14:textId="6FB15CBB" w:rsidR="00C348A5" w:rsidRPr="009A59D5" w:rsidRDefault="00C348A5" w:rsidP="00AE0CB1">
      <w:pPr>
        <w:pStyle w:val="BodyText2"/>
      </w:pPr>
      <w:r w:rsidRPr="009A59D5">
        <w:t>for interest rate and credit derivative transactions with variable notional amounts specified by the contract such as amortising and accreting swaps, an ADI must use the time</w:t>
      </w:r>
      <w:r w:rsidR="00757695" w:rsidRPr="009A59D5">
        <w:t>-</w:t>
      </w:r>
      <w:r w:rsidRPr="009A59D5">
        <w:t xml:space="preserve">weighted average notional over the remaining life of the swap as the trade notional </w:t>
      </w:r>
      <w:proofErr w:type="gramStart"/>
      <w:r w:rsidRPr="009A59D5">
        <w:t>amount;</w:t>
      </w:r>
      <w:proofErr w:type="gramEnd"/>
    </w:p>
    <w:p w14:paraId="7CDAA78E" w14:textId="77777777" w:rsidR="00C348A5" w:rsidRPr="009A59D5" w:rsidRDefault="00C348A5" w:rsidP="00AE0CB1">
      <w:pPr>
        <w:pStyle w:val="BodyText2"/>
      </w:pPr>
      <w:r w:rsidRPr="009A59D5">
        <w:t xml:space="preserve">for a leveraged swap, the transaction must be converted to the notional of the equivalent unleveraged swap; that is, where all rates in a swap are multiplied by a factor, the stated notional must be multiplied by the factor on the interest </w:t>
      </w:r>
      <w:proofErr w:type="gramStart"/>
      <w:r w:rsidRPr="009A59D5">
        <w:t>rates;</w:t>
      </w:r>
      <w:proofErr w:type="gramEnd"/>
    </w:p>
    <w:p w14:paraId="6B5AF735" w14:textId="77777777" w:rsidR="00C348A5" w:rsidRPr="009A59D5" w:rsidRDefault="00C348A5" w:rsidP="00AE0CB1">
      <w:pPr>
        <w:pStyle w:val="BodyText2"/>
      </w:pPr>
      <w:r w:rsidRPr="009A59D5">
        <w:t>for a derivative contract with multiple exchanges of principal, the notional is multiplied by the number of exchanges of principal in the derivative contract; and</w:t>
      </w:r>
    </w:p>
    <w:p w14:paraId="1BCA9994" w14:textId="086A4562" w:rsidR="00C348A5" w:rsidRPr="009A59D5" w:rsidRDefault="00C348A5" w:rsidP="00194BAC">
      <w:pPr>
        <w:pStyle w:val="BodyText2"/>
      </w:pPr>
      <w:r w:rsidRPr="009A59D5">
        <w:t xml:space="preserve">for a derivative contract that is structured such that on specified dates any outstanding exposure is </w:t>
      </w:r>
      <w:proofErr w:type="gramStart"/>
      <w:r w:rsidRPr="009A59D5">
        <w:t>settled</w:t>
      </w:r>
      <w:proofErr w:type="gramEnd"/>
      <w:r w:rsidRPr="009A59D5">
        <w:t xml:space="preserve"> and the terms are reset so that the fair value of the contract is zero, the remaining maturity </w:t>
      </w:r>
      <w:r w:rsidR="004D1A8E" w:rsidRPr="009A59D5">
        <w:t>(</w:t>
      </w:r>
      <w:r w:rsidR="00926070">
        <w:rPr>
          <w:i/>
        </w:rPr>
        <w:t>M</w:t>
      </w:r>
      <w:r w:rsidR="00926070">
        <w:rPr>
          <w:i/>
          <w:vertAlign w:val="subscript"/>
        </w:rPr>
        <w:t>i</w:t>
      </w:r>
      <w:r w:rsidR="004D1A8E" w:rsidRPr="009A59D5">
        <w:t xml:space="preserve">) </w:t>
      </w:r>
      <w:r w:rsidRPr="009A59D5">
        <w:t>equals the time until the next reset date.</w:t>
      </w:r>
      <w:r w:rsidR="007C45CF" w:rsidRPr="009A59D5">
        <w:rPr>
          <w:rStyle w:val="FootnoteReference"/>
        </w:rPr>
        <w:footnoteReference w:id="39"/>
      </w:r>
    </w:p>
    <w:p w14:paraId="467276D7" w14:textId="7481F798" w:rsidR="00C348A5" w:rsidRPr="009A59D5" w:rsidRDefault="00C348A5" w:rsidP="00AE0CB1">
      <w:pPr>
        <w:pStyle w:val="Heading3"/>
      </w:pPr>
      <w:bookmarkStart w:id="463" w:name="_Toc460331456"/>
      <w:bookmarkStart w:id="464" w:name="_Toc461692120"/>
      <w:bookmarkStart w:id="465" w:name="_Toc487712248"/>
      <w:bookmarkStart w:id="466" w:name="_Toc488397549"/>
      <w:bookmarkStart w:id="467" w:name="_Toc488398109"/>
      <w:bookmarkStart w:id="468" w:name="_Toc489463946"/>
      <w:bookmarkStart w:id="469" w:name="_Toc507406239"/>
      <w:bookmarkStart w:id="470" w:name="_Toc507406311"/>
      <w:bookmarkStart w:id="471" w:name="_Toc507406424"/>
      <w:r w:rsidRPr="009A59D5">
        <w:t>Supervisory delta adjustment</w:t>
      </w:r>
      <w:bookmarkEnd w:id="463"/>
      <w:bookmarkEnd w:id="464"/>
      <w:bookmarkEnd w:id="465"/>
      <w:bookmarkEnd w:id="466"/>
      <w:bookmarkEnd w:id="467"/>
      <w:bookmarkEnd w:id="468"/>
      <w:r w:rsidR="001649F1" w:rsidRPr="009A59D5">
        <w:t xml:space="preserve"> and treatment of options</w:t>
      </w:r>
      <w:bookmarkEnd w:id="469"/>
      <w:bookmarkEnd w:id="470"/>
      <w:bookmarkEnd w:id="471"/>
    </w:p>
    <w:p w14:paraId="3045F929" w14:textId="173DCE03" w:rsidR="00AE0CB1" w:rsidRPr="009A59D5" w:rsidRDefault="00AE0CB1" w:rsidP="00AE0CB1">
      <w:pPr>
        <w:pStyle w:val="BodyText1"/>
      </w:pPr>
      <w:bookmarkStart w:id="472" w:name="_Ref460313888"/>
      <w:r w:rsidRPr="009A59D5">
        <w:t>For each transaction (other than options o</w:t>
      </w:r>
      <w:r w:rsidR="00F3389B" w:rsidRPr="009A59D5">
        <w:t xml:space="preserve">r </w:t>
      </w:r>
      <w:r w:rsidR="00352454" w:rsidRPr="009A59D5">
        <w:t>collateralised debt obligation (</w:t>
      </w:r>
      <w:r w:rsidR="00F3389B" w:rsidRPr="009A59D5">
        <w:t>CDO</w:t>
      </w:r>
      <w:r w:rsidR="00352454" w:rsidRPr="009A59D5">
        <w:t>)</w:t>
      </w:r>
      <w:r w:rsidR="00F3389B" w:rsidRPr="009A59D5">
        <w:t xml:space="preserve"> tranches, </w:t>
      </w:r>
      <w:r w:rsidR="001C714B" w:rsidRPr="009A59D5">
        <w:t xml:space="preserve">refer to </w:t>
      </w:r>
      <w:r w:rsidR="00F3389B" w:rsidRPr="009A59D5">
        <w:t xml:space="preserve">paragraphs </w:t>
      </w:r>
      <w:r w:rsidR="00F3389B" w:rsidRPr="009A59D5">
        <w:fldChar w:fldCharType="begin"/>
      </w:r>
      <w:r w:rsidR="00F3389B" w:rsidRPr="009A59D5">
        <w:instrText xml:space="preserve"> REF _Ref460328667 \r \h </w:instrText>
      </w:r>
      <w:r w:rsidR="00365041" w:rsidRPr="009A59D5">
        <w:instrText xml:space="preserve"> \* MERGEFORMAT </w:instrText>
      </w:r>
      <w:r w:rsidR="00F3389B" w:rsidRPr="009A59D5">
        <w:fldChar w:fldCharType="separate"/>
      </w:r>
      <w:r w:rsidR="00B401AE">
        <w:t>44</w:t>
      </w:r>
      <w:r w:rsidR="00F3389B" w:rsidRPr="009A59D5">
        <w:fldChar w:fldCharType="end"/>
      </w:r>
      <w:r w:rsidRPr="009A59D5">
        <w:t xml:space="preserve"> </w:t>
      </w:r>
      <w:r w:rsidR="007319BD" w:rsidRPr="009A59D5">
        <w:t xml:space="preserve">to </w:t>
      </w:r>
      <w:r w:rsidR="005A079C" w:rsidRPr="009A59D5">
        <w:fldChar w:fldCharType="begin"/>
      </w:r>
      <w:r w:rsidR="005A079C" w:rsidRPr="009A59D5">
        <w:instrText xml:space="preserve"> REF _Ref506828576 \r \h </w:instrText>
      </w:r>
      <w:r w:rsidR="009A59D5">
        <w:instrText xml:space="preserve"> \* MERGEFORMAT </w:instrText>
      </w:r>
      <w:r w:rsidR="005A079C" w:rsidRPr="009A59D5">
        <w:fldChar w:fldCharType="separate"/>
      </w:r>
      <w:r w:rsidR="00B401AE">
        <w:t>47</w:t>
      </w:r>
      <w:r w:rsidR="005A079C" w:rsidRPr="009A59D5">
        <w:fldChar w:fldCharType="end"/>
      </w:r>
      <w:r w:rsidR="001D2E6E" w:rsidRPr="009A59D5">
        <w:t xml:space="preserve"> of this Attachment</w:t>
      </w:r>
      <w:r w:rsidRPr="009A59D5">
        <w:t xml:space="preserve">), the supervisory delta adjustment, </w:t>
      </w:r>
      <w:r w:rsidR="00926070">
        <w:rPr>
          <w:i/>
        </w:rPr>
        <w:t>ẟ</w:t>
      </w:r>
      <w:proofErr w:type="spellStart"/>
      <w:r w:rsidR="00926070">
        <w:rPr>
          <w:vertAlign w:val="subscript"/>
        </w:rPr>
        <w:t>i</w:t>
      </w:r>
      <w:proofErr w:type="spellEnd"/>
      <w:r w:rsidRPr="009A59D5">
        <w:t xml:space="preserve">, must be assigned based on whether transaction </w:t>
      </w:r>
      <w:proofErr w:type="spellStart"/>
      <w:r w:rsidR="00926070">
        <w:rPr>
          <w:i/>
        </w:rPr>
        <w:t>i</w:t>
      </w:r>
      <w:proofErr w:type="spellEnd"/>
      <w:r w:rsidRPr="009A59D5">
        <w:t xml:space="preserve"> is long or short in either: (</w:t>
      </w:r>
      <w:proofErr w:type="spellStart"/>
      <w:r w:rsidRPr="009A59D5">
        <w:t>i</w:t>
      </w:r>
      <w:proofErr w:type="spellEnd"/>
      <w:r w:rsidRPr="009A59D5">
        <w:t xml:space="preserve">) the risk factor if </w:t>
      </w:r>
      <w:proofErr w:type="spellStart"/>
      <w:r w:rsidR="00926070">
        <w:rPr>
          <w:i/>
        </w:rPr>
        <w:t>i</w:t>
      </w:r>
      <w:proofErr w:type="spellEnd"/>
      <w:r w:rsidR="00926070">
        <w:rPr>
          <w:i/>
        </w:rPr>
        <w:t xml:space="preserve"> </w:t>
      </w:r>
      <w:r w:rsidRPr="009A59D5">
        <w:t xml:space="preserve">is exposed to </w:t>
      </w:r>
      <w:r w:rsidR="003B7F9A" w:rsidRPr="009A59D5">
        <w:t xml:space="preserve">a </w:t>
      </w:r>
      <w:r w:rsidRPr="009A59D5">
        <w:t xml:space="preserve">single risk factor, or (ii) the primary risk factor if </w:t>
      </w:r>
      <w:proofErr w:type="spellStart"/>
      <w:r w:rsidR="00926070">
        <w:rPr>
          <w:i/>
        </w:rPr>
        <w:t>i</w:t>
      </w:r>
      <w:proofErr w:type="spellEnd"/>
      <w:r w:rsidR="00926070">
        <w:rPr>
          <w:i/>
        </w:rPr>
        <w:t xml:space="preserve"> </w:t>
      </w:r>
      <w:r w:rsidRPr="009A59D5">
        <w:t>is exposed to multiple risk factors:</w:t>
      </w:r>
      <w:bookmarkEnd w:id="472"/>
    </w:p>
    <w:p w14:paraId="077478AF" w14:textId="55FE7113" w:rsidR="00AE0CB1" w:rsidRPr="009A59D5" w:rsidRDefault="00AE0CB1" w:rsidP="00907E70">
      <w:pPr>
        <w:pStyle w:val="BodyText2"/>
      </w:pPr>
      <w:r w:rsidRPr="009A59D5">
        <w:t xml:space="preserve">Transaction </w:t>
      </w:r>
      <w:proofErr w:type="spellStart"/>
      <w:r w:rsidR="00926070">
        <w:rPr>
          <w:i/>
        </w:rPr>
        <w:t>i</w:t>
      </w:r>
      <w:proofErr w:type="spellEnd"/>
      <w:r w:rsidRPr="009A59D5">
        <w:t xml:space="preserve"> is long in the risk factor if the market value of </w:t>
      </w:r>
      <w:proofErr w:type="spellStart"/>
      <w:r w:rsidR="00926070">
        <w:rPr>
          <w:i/>
        </w:rPr>
        <w:t>i</w:t>
      </w:r>
      <w:proofErr w:type="spellEnd"/>
      <w:r w:rsidRPr="009A59D5">
        <w:t xml:space="preserve"> increases when the risk factor increases. Where transaction </w:t>
      </w:r>
      <w:proofErr w:type="spellStart"/>
      <w:r w:rsidR="00926070">
        <w:rPr>
          <w:i/>
        </w:rPr>
        <w:t>i</w:t>
      </w:r>
      <w:proofErr w:type="spellEnd"/>
      <w:r w:rsidRPr="009A59D5">
        <w:t xml:space="preserve"> is long in the risk factor, the supervisory delta adjustment </w:t>
      </w:r>
      <w:r w:rsidR="00926070">
        <w:rPr>
          <w:i/>
        </w:rPr>
        <w:t>ẟ</w:t>
      </w:r>
      <w:proofErr w:type="spellStart"/>
      <w:r w:rsidR="00926070">
        <w:rPr>
          <w:i/>
          <w:vertAlign w:val="subscript"/>
        </w:rPr>
        <w:t>i</w:t>
      </w:r>
      <w:proofErr w:type="spellEnd"/>
      <w:r w:rsidR="00907E70" w:rsidRPr="009A59D5">
        <w:t xml:space="preserve"> </w:t>
      </w:r>
      <w:r w:rsidRPr="009A59D5">
        <w:t>must be set to the value of 1.</w:t>
      </w:r>
    </w:p>
    <w:p w14:paraId="1A467C70" w14:textId="7E1BFB3A" w:rsidR="00AE0CB1" w:rsidRPr="009A59D5" w:rsidRDefault="00AE0CB1" w:rsidP="00907E70">
      <w:pPr>
        <w:pStyle w:val="BodyText2"/>
      </w:pPr>
      <w:r w:rsidRPr="009A59D5">
        <w:t xml:space="preserve">Transaction </w:t>
      </w:r>
      <w:proofErr w:type="spellStart"/>
      <w:r w:rsidR="00926070">
        <w:rPr>
          <w:i/>
        </w:rPr>
        <w:t>i</w:t>
      </w:r>
      <w:proofErr w:type="spellEnd"/>
      <w:r w:rsidRPr="009A59D5">
        <w:t xml:space="preserve"> is short in the risk factor if the market value of </w:t>
      </w:r>
      <w:proofErr w:type="spellStart"/>
      <w:r w:rsidR="00926070">
        <w:rPr>
          <w:i/>
        </w:rPr>
        <w:t>i</w:t>
      </w:r>
      <w:proofErr w:type="spellEnd"/>
      <w:r w:rsidRPr="009A59D5">
        <w:t xml:space="preserve"> decreases when the risk factor increases. Where transaction </w:t>
      </w:r>
      <w:proofErr w:type="spellStart"/>
      <w:r w:rsidR="00646793">
        <w:rPr>
          <w:i/>
        </w:rPr>
        <w:t>i</w:t>
      </w:r>
      <w:proofErr w:type="spellEnd"/>
      <w:r w:rsidRPr="009A59D5">
        <w:t xml:space="preserve"> is short in the risk factor, the supervisory delta adjustment </w:t>
      </w:r>
      <w:r w:rsidR="00926070">
        <w:rPr>
          <w:i/>
        </w:rPr>
        <w:t>ẟ</w:t>
      </w:r>
      <w:proofErr w:type="spellStart"/>
      <w:r w:rsidR="00926070">
        <w:rPr>
          <w:i/>
          <w:vertAlign w:val="subscript"/>
        </w:rPr>
        <w:t>i</w:t>
      </w:r>
      <w:proofErr w:type="spellEnd"/>
      <w:r w:rsidR="00907E70" w:rsidRPr="009A59D5">
        <w:t xml:space="preserve"> </w:t>
      </w:r>
      <w:r w:rsidRPr="009A59D5">
        <w:t>must be set to the value of -1.</w:t>
      </w:r>
    </w:p>
    <w:p w14:paraId="1D208445" w14:textId="2B315297" w:rsidR="00AE0CB1" w:rsidRPr="009A59D5" w:rsidRDefault="00AE0CB1" w:rsidP="00AE0CB1">
      <w:pPr>
        <w:pStyle w:val="BodyText1"/>
      </w:pPr>
      <w:bookmarkStart w:id="473" w:name="_Ref460328667"/>
      <w:bookmarkStart w:id="474" w:name="_Ref506827376"/>
      <w:r w:rsidRPr="009A59D5">
        <w:t>For options in all asset classes</w:t>
      </w:r>
      <w:r w:rsidR="002B2B01" w:rsidRPr="009A59D5">
        <w:t xml:space="preserve"> (with the exception of </w:t>
      </w:r>
      <w:r w:rsidR="00DD052A" w:rsidRPr="009A59D5">
        <w:t>those</w:t>
      </w:r>
      <w:r w:rsidR="002B2B01" w:rsidRPr="009A59D5">
        <w:t xml:space="preserve"> in paragraph </w:t>
      </w:r>
      <w:r w:rsidR="002B2B01" w:rsidRPr="009A59D5">
        <w:fldChar w:fldCharType="begin"/>
      </w:r>
      <w:r w:rsidR="002B2B01" w:rsidRPr="009A59D5">
        <w:instrText xml:space="preserve"> REF _Ref506818915 \r \h </w:instrText>
      </w:r>
      <w:r w:rsidR="00A45432" w:rsidRPr="009A59D5">
        <w:instrText xml:space="preserve"> \* MERGEFORMAT </w:instrText>
      </w:r>
      <w:r w:rsidR="002B2B01" w:rsidRPr="009A59D5">
        <w:fldChar w:fldCharType="separate"/>
      </w:r>
      <w:r w:rsidR="00B401AE">
        <w:t>45</w:t>
      </w:r>
      <w:r w:rsidR="002B2B01" w:rsidRPr="009A59D5">
        <w:fldChar w:fldCharType="end"/>
      </w:r>
      <w:r w:rsidR="00EB7A4C" w:rsidRPr="009A59D5">
        <w:t xml:space="preserve"> of this Attachment</w:t>
      </w:r>
      <w:r w:rsidR="002B2B01" w:rsidRPr="009A59D5">
        <w:t>)</w:t>
      </w:r>
      <w:r w:rsidRPr="009A59D5">
        <w:t>, the supervisory delta adjustment</w:t>
      </w:r>
      <w:r w:rsidR="0011098E" w:rsidRPr="009A59D5">
        <w:t xml:space="preserve"> </w:t>
      </w:r>
      <w:r w:rsidR="00926070">
        <w:rPr>
          <w:i/>
        </w:rPr>
        <w:t>ẟ</w:t>
      </w:r>
      <w:proofErr w:type="spellStart"/>
      <w:r w:rsidR="00926070">
        <w:rPr>
          <w:i/>
          <w:vertAlign w:val="subscript"/>
        </w:rPr>
        <w:t>i</w:t>
      </w:r>
      <w:proofErr w:type="spellEnd"/>
      <w:r w:rsidR="00A05F42" w:rsidRPr="009A59D5">
        <w:t xml:space="preserve"> must be </w:t>
      </w:r>
      <w:r w:rsidR="00D96DDE" w:rsidRPr="009A59D5">
        <w:t xml:space="preserve">calculated </w:t>
      </w:r>
      <w:r w:rsidR="00A05F42" w:rsidRPr="009A59D5">
        <w:t>according to</w:t>
      </w:r>
      <w:r w:rsidR="001649F1" w:rsidRPr="009A59D5">
        <w:t xml:space="preserve"> the formula</w:t>
      </w:r>
      <w:r w:rsidR="00A22B03" w:rsidRPr="009A59D5">
        <w:t xml:space="preserve"> in</w:t>
      </w:r>
      <w:r w:rsidR="00A05F42" w:rsidRPr="009A59D5">
        <w:t xml:space="preserve"> </w:t>
      </w:r>
      <w:r w:rsidR="00A05F42" w:rsidRPr="009A59D5">
        <w:fldChar w:fldCharType="begin"/>
      </w:r>
      <w:r w:rsidR="00A05F42" w:rsidRPr="009A59D5">
        <w:instrText xml:space="preserve"> REF _Ref460253901 \h </w:instrText>
      </w:r>
      <w:r w:rsidR="00365041" w:rsidRPr="009A59D5">
        <w:instrText xml:space="preserve"> \* MERGEFORMAT </w:instrText>
      </w:r>
      <w:r w:rsidR="00A05F42" w:rsidRPr="009A59D5">
        <w:fldChar w:fldCharType="separate"/>
      </w:r>
      <w:r w:rsidR="00B401AE" w:rsidRPr="009A59D5">
        <w:t xml:space="preserve">Table </w:t>
      </w:r>
      <w:r w:rsidR="00B401AE">
        <w:rPr>
          <w:noProof/>
        </w:rPr>
        <w:t>4</w:t>
      </w:r>
      <w:r w:rsidR="00A05F42" w:rsidRPr="009A59D5">
        <w:fldChar w:fldCharType="end"/>
      </w:r>
      <w:r w:rsidRPr="009A59D5">
        <w:t xml:space="preserve"> </w:t>
      </w:r>
      <w:r w:rsidR="001649F1" w:rsidRPr="009A59D5">
        <w:t>and</w:t>
      </w:r>
      <w:r w:rsidR="00D96DDE" w:rsidRPr="009A59D5">
        <w:t xml:space="preserve"> the</w:t>
      </w:r>
      <w:r w:rsidR="001649F1" w:rsidRPr="009A59D5">
        <w:t xml:space="preserve"> requirements in paragraph </w:t>
      </w:r>
      <w:r w:rsidR="001649F1" w:rsidRPr="009A59D5">
        <w:fldChar w:fldCharType="begin"/>
      </w:r>
      <w:r w:rsidR="001649F1" w:rsidRPr="009A59D5">
        <w:instrText xml:space="preserve"> REF _Ref506830073 \r \h  \* MERGEFORMAT </w:instrText>
      </w:r>
      <w:r w:rsidR="001649F1" w:rsidRPr="009A59D5">
        <w:fldChar w:fldCharType="separate"/>
      </w:r>
      <w:r w:rsidR="00B401AE">
        <w:t>47</w:t>
      </w:r>
      <w:r w:rsidR="001649F1" w:rsidRPr="009A59D5">
        <w:fldChar w:fldCharType="end"/>
      </w:r>
      <w:r w:rsidR="00A74CE8" w:rsidRPr="009A59D5">
        <w:t xml:space="preserve"> of this Attachment.</w:t>
      </w:r>
      <w:bookmarkEnd w:id="473"/>
      <w:bookmarkEnd w:id="474"/>
    </w:p>
    <w:p w14:paraId="037F0BA9" w14:textId="52235278" w:rsidR="00AE0CB1" w:rsidRPr="009A59D5" w:rsidRDefault="00AE0CB1" w:rsidP="00AE0CB1">
      <w:pPr>
        <w:pStyle w:val="BodyText1"/>
        <w:numPr>
          <w:ilvl w:val="0"/>
          <w:numId w:val="0"/>
        </w:numPr>
        <w:ind w:left="567"/>
      </w:pPr>
      <w:bookmarkStart w:id="475" w:name="_Ref460253901"/>
      <w:r w:rsidRPr="009A59D5">
        <w:lastRenderedPageBreak/>
        <w:t>Table</w:t>
      </w:r>
      <w:r w:rsidR="0089782B" w:rsidRPr="009A59D5">
        <w:t xml:space="preserve"> </w:t>
      </w:r>
      <w:r w:rsidR="00744650">
        <w:fldChar w:fldCharType="begin"/>
      </w:r>
      <w:r w:rsidR="00744650">
        <w:instrText xml:space="preserve"> SEQ Table\* Arab</w:instrText>
      </w:r>
      <w:r w:rsidR="00744650">
        <w:instrText xml:space="preserve">ic \* MERGEFORMAT </w:instrText>
      </w:r>
      <w:r w:rsidR="00744650">
        <w:fldChar w:fldCharType="separate"/>
      </w:r>
      <w:r w:rsidR="00B401AE">
        <w:rPr>
          <w:noProof/>
        </w:rPr>
        <w:t>4</w:t>
      </w:r>
      <w:r w:rsidR="00744650">
        <w:rPr>
          <w:noProof/>
        </w:rPr>
        <w:fldChar w:fldCharType="end"/>
      </w:r>
      <w:bookmarkEnd w:id="475"/>
      <w:r w:rsidRPr="009A59D5">
        <w:t xml:space="preserve">: </w:t>
      </w:r>
      <w:r w:rsidR="00A22B03" w:rsidRPr="009A59D5">
        <w:t>Formula for s</w:t>
      </w:r>
      <w:r w:rsidRPr="009A59D5">
        <w:t>upervisory delta adjustment</w:t>
      </w:r>
    </w:p>
    <w:tbl>
      <w:tblPr>
        <w:tblStyle w:val="TableGrid"/>
        <w:tblW w:w="0" w:type="auto"/>
        <w:tblInd w:w="567" w:type="dxa"/>
        <w:tblLayout w:type="fixed"/>
        <w:tblLook w:val="04A0" w:firstRow="1" w:lastRow="0" w:firstColumn="1" w:lastColumn="0" w:noHBand="0" w:noVBand="1"/>
      </w:tblPr>
      <w:tblGrid>
        <w:gridCol w:w="1039"/>
        <w:gridCol w:w="3348"/>
        <w:gridCol w:w="3348"/>
      </w:tblGrid>
      <w:tr w:rsidR="00A879BC" w:rsidRPr="009A59D5" w14:paraId="3A3F44C1" w14:textId="77777777" w:rsidTr="00A879BC">
        <w:tc>
          <w:tcPr>
            <w:tcW w:w="1039" w:type="dxa"/>
          </w:tcPr>
          <w:p w14:paraId="3BEEF589" w14:textId="77777777" w:rsidR="00A879BC" w:rsidRPr="009A59D5" w:rsidRDefault="00A879BC" w:rsidP="006726BE">
            <w:pPr>
              <w:keepNext/>
              <w:jc w:val="center"/>
            </w:pPr>
          </w:p>
        </w:tc>
        <w:tc>
          <w:tcPr>
            <w:tcW w:w="3348" w:type="dxa"/>
          </w:tcPr>
          <w:p w14:paraId="594E69E0" w14:textId="77777777" w:rsidR="00A879BC" w:rsidRPr="009A59D5" w:rsidRDefault="00A879BC" w:rsidP="007C45CF">
            <w:pPr>
              <w:keepNext/>
              <w:jc w:val="center"/>
              <w:rPr>
                <w:b/>
              </w:rPr>
            </w:pPr>
            <w:r w:rsidRPr="009A59D5">
              <w:rPr>
                <w:b/>
              </w:rPr>
              <w:t>Bought</w:t>
            </w:r>
          </w:p>
        </w:tc>
        <w:tc>
          <w:tcPr>
            <w:tcW w:w="3348" w:type="dxa"/>
          </w:tcPr>
          <w:p w14:paraId="30409FCD" w14:textId="77777777" w:rsidR="00A879BC" w:rsidRPr="009A59D5" w:rsidRDefault="00A879BC" w:rsidP="007C45CF">
            <w:pPr>
              <w:keepNext/>
              <w:jc w:val="center"/>
              <w:rPr>
                <w:b/>
              </w:rPr>
            </w:pPr>
            <w:r w:rsidRPr="009A59D5">
              <w:rPr>
                <w:b/>
              </w:rPr>
              <w:t>Sold</w:t>
            </w:r>
          </w:p>
        </w:tc>
      </w:tr>
      <w:tr w:rsidR="00A879BC" w:rsidRPr="009A59D5" w14:paraId="42823876" w14:textId="77777777" w:rsidTr="00A879BC">
        <w:tc>
          <w:tcPr>
            <w:tcW w:w="1039" w:type="dxa"/>
          </w:tcPr>
          <w:p w14:paraId="283D6C51" w14:textId="34D87E58" w:rsidR="00A879BC" w:rsidRPr="009A59D5" w:rsidRDefault="00A879BC" w:rsidP="002B2B01">
            <w:r w:rsidRPr="009A59D5">
              <w:t>Call options</w:t>
            </w:r>
            <w:r w:rsidR="009C5018" w:rsidRPr="009A59D5">
              <w:t xml:space="preserve"> </w:t>
            </w:r>
          </w:p>
        </w:tc>
        <w:tc>
          <w:tcPr>
            <w:tcW w:w="3348" w:type="dxa"/>
          </w:tcPr>
          <w:p w14:paraId="57712ED9" w14:textId="57178566" w:rsidR="00A879BC" w:rsidRPr="009A59D5" w:rsidRDefault="00B05D35" w:rsidP="002D43F8">
            <w:pPr>
              <w:pStyle w:val="BodyText1"/>
              <w:numPr>
                <w:ilvl w:val="0"/>
                <w:numId w:val="0"/>
              </w:numPr>
              <w:spacing w:after="0"/>
              <w:ind w:left="-308" w:firstLine="425"/>
            </w:pPr>
            <w:r>
              <w:rPr>
                <w:noProof/>
              </w:rPr>
              <w:drawing>
                <wp:anchor distT="0" distB="0" distL="114300" distR="114300" simplePos="0" relativeHeight="251658240" behindDoc="0" locked="0" layoutInCell="1" allowOverlap="1" wp14:anchorId="3C6588F3" wp14:editId="0D2980D2">
                  <wp:simplePos x="0" y="0"/>
                  <wp:positionH relativeFrom="column">
                    <wp:posOffset>62865</wp:posOffset>
                  </wp:positionH>
                  <wp:positionV relativeFrom="paragraph">
                    <wp:posOffset>95250</wp:posOffset>
                  </wp:positionV>
                  <wp:extent cx="1866139" cy="685800"/>
                  <wp:effectExtent l="0" t="0" r="1270" b="0"/>
                  <wp:wrapTopAndBottom/>
                  <wp:docPr id="67" name="Picture 67" descr="A formula for the supervisory delta adjustment for a bought c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formula for the supervisory delta adjustment for a bought call option."/>
                          <pic:cNvPicPr/>
                        </pic:nvPicPr>
                        <pic:blipFill>
                          <a:blip r:embed="rId60"/>
                          <a:stretch>
                            <a:fillRect/>
                          </a:stretch>
                        </pic:blipFill>
                        <pic:spPr>
                          <a:xfrm>
                            <a:off x="0" y="0"/>
                            <a:ext cx="1866139" cy="685800"/>
                          </a:xfrm>
                          <a:prstGeom prst="rect">
                            <a:avLst/>
                          </a:prstGeom>
                        </pic:spPr>
                      </pic:pic>
                    </a:graphicData>
                  </a:graphic>
                </wp:anchor>
              </w:drawing>
            </w:r>
          </w:p>
        </w:tc>
        <w:tc>
          <w:tcPr>
            <w:tcW w:w="3348" w:type="dxa"/>
          </w:tcPr>
          <w:p w14:paraId="2C1F295A" w14:textId="1C4067A4" w:rsidR="00A879BC" w:rsidRPr="009A59D5" w:rsidRDefault="00B05D35" w:rsidP="001E377B">
            <w:pPr>
              <w:pStyle w:val="BodyText1"/>
              <w:numPr>
                <w:ilvl w:val="0"/>
                <w:numId w:val="0"/>
              </w:numPr>
              <w:spacing w:before="120" w:after="0"/>
            </w:pPr>
            <w:r>
              <w:rPr>
                <w:noProof/>
              </w:rPr>
              <w:drawing>
                <wp:inline distT="0" distB="0" distL="0" distR="0" wp14:anchorId="6DD4D185" wp14:editId="207655A0">
                  <wp:extent cx="1923415" cy="716061"/>
                  <wp:effectExtent l="0" t="0" r="635" b="8255"/>
                  <wp:docPr id="68" name="Picture 68" descr="A formula for the supervisory delta adjustment for a sold c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formula for the supervisory delta adjustment for a sold call option."/>
                          <pic:cNvPicPr/>
                        </pic:nvPicPr>
                        <pic:blipFill>
                          <a:blip r:embed="rId61"/>
                          <a:stretch>
                            <a:fillRect/>
                          </a:stretch>
                        </pic:blipFill>
                        <pic:spPr>
                          <a:xfrm>
                            <a:off x="0" y="0"/>
                            <a:ext cx="1927492" cy="717579"/>
                          </a:xfrm>
                          <a:prstGeom prst="rect">
                            <a:avLst/>
                          </a:prstGeom>
                        </pic:spPr>
                      </pic:pic>
                    </a:graphicData>
                  </a:graphic>
                </wp:inline>
              </w:drawing>
            </w:r>
          </w:p>
        </w:tc>
      </w:tr>
      <w:tr w:rsidR="00A879BC" w:rsidRPr="009A59D5" w14:paraId="50788A6A" w14:textId="77777777" w:rsidTr="00B05D35">
        <w:trPr>
          <w:trHeight w:val="1273"/>
        </w:trPr>
        <w:tc>
          <w:tcPr>
            <w:tcW w:w="1039" w:type="dxa"/>
          </w:tcPr>
          <w:p w14:paraId="18BCEDBF" w14:textId="67136BE9" w:rsidR="009C5018" w:rsidRPr="009A59D5" w:rsidRDefault="00A879BC" w:rsidP="002B2B01">
            <w:r w:rsidRPr="009A59D5">
              <w:t>Put options</w:t>
            </w:r>
            <w:r w:rsidR="009C5018" w:rsidRPr="009A59D5">
              <w:t xml:space="preserve"> </w:t>
            </w:r>
          </w:p>
        </w:tc>
        <w:tc>
          <w:tcPr>
            <w:tcW w:w="3348" w:type="dxa"/>
          </w:tcPr>
          <w:p w14:paraId="22F97AED" w14:textId="0BBAF009" w:rsidR="00A879BC" w:rsidRPr="009A59D5" w:rsidRDefault="00B05D35" w:rsidP="007E290B">
            <w:pPr>
              <w:pStyle w:val="BodyText1"/>
              <w:numPr>
                <w:ilvl w:val="0"/>
                <w:numId w:val="0"/>
              </w:numPr>
              <w:spacing w:before="120" w:after="0"/>
              <w:ind w:left="-23"/>
            </w:pPr>
            <w:r>
              <w:rPr>
                <w:noProof/>
              </w:rPr>
              <w:drawing>
                <wp:inline distT="0" distB="0" distL="0" distR="0" wp14:anchorId="1D973E52" wp14:editId="1AEDD01B">
                  <wp:extent cx="1885950" cy="647317"/>
                  <wp:effectExtent l="0" t="0" r="0" b="635"/>
                  <wp:docPr id="69" name="Picture 69" descr="A formula for the supervisory delta adjustment for a bought pu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formula for the supervisory delta adjustment for a bought put option."/>
                          <pic:cNvPicPr/>
                        </pic:nvPicPr>
                        <pic:blipFill>
                          <a:blip r:embed="rId62"/>
                          <a:stretch>
                            <a:fillRect/>
                          </a:stretch>
                        </pic:blipFill>
                        <pic:spPr>
                          <a:xfrm>
                            <a:off x="0" y="0"/>
                            <a:ext cx="1895116" cy="650463"/>
                          </a:xfrm>
                          <a:prstGeom prst="rect">
                            <a:avLst/>
                          </a:prstGeom>
                        </pic:spPr>
                      </pic:pic>
                    </a:graphicData>
                  </a:graphic>
                </wp:inline>
              </w:drawing>
            </w:r>
          </w:p>
        </w:tc>
        <w:tc>
          <w:tcPr>
            <w:tcW w:w="3348" w:type="dxa"/>
          </w:tcPr>
          <w:p w14:paraId="57ED94F6" w14:textId="675A631A" w:rsidR="00A879BC" w:rsidRPr="009A59D5" w:rsidRDefault="00B05D35" w:rsidP="007E290B">
            <w:pPr>
              <w:pStyle w:val="BodyText1"/>
              <w:numPr>
                <w:ilvl w:val="0"/>
                <w:numId w:val="0"/>
              </w:numPr>
              <w:spacing w:before="120" w:after="0"/>
            </w:pPr>
            <w:r>
              <w:rPr>
                <w:noProof/>
              </w:rPr>
              <w:drawing>
                <wp:inline distT="0" distB="0" distL="0" distR="0" wp14:anchorId="1198C1FA" wp14:editId="76F27F23">
                  <wp:extent cx="1876425" cy="665017"/>
                  <wp:effectExtent l="0" t="0" r="0" b="1905"/>
                  <wp:docPr id="70" name="Picture 70" descr="A formula for the supervisory delta adjustment for a sold pu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formula for the supervisory delta adjustment for a sold put option."/>
                          <pic:cNvPicPr/>
                        </pic:nvPicPr>
                        <pic:blipFill>
                          <a:blip r:embed="rId63"/>
                          <a:stretch>
                            <a:fillRect/>
                          </a:stretch>
                        </pic:blipFill>
                        <pic:spPr>
                          <a:xfrm>
                            <a:off x="0" y="0"/>
                            <a:ext cx="1887768" cy="669037"/>
                          </a:xfrm>
                          <a:prstGeom prst="rect">
                            <a:avLst/>
                          </a:prstGeom>
                        </pic:spPr>
                      </pic:pic>
                    </a:graphicData>
                  </a:graphic>
                </wp:inline>
              </w:drawing>
            </w:r>
          </w:p>
        </w:tc>
      </w:tr>
    </w:tbl>
    <w:p w14:paraId="3B62F7AC" w14:textId="77777777" w:rsidR="00A879BC" w:rsidRPr="009A59D5" w:rsidRDefault="00A879BC" w:rsidP="00A879BC">
      <w:pPr>
        <w:pStyle w:val="BodyText1"/>
        <w:numPr>
          <w:ilvl w:val="0"/>
          <w:numId w:val="0"/>
        </w:numPr>
        <w:spacing w:before="240"/>
        <w:ind w:left="567"/>
      </w:pPr>
      <w:r w:rsidRPr="009A59D5">
        <w:t xml:space="preserve">where: </w:t>
      </w:r>
    </w:p>
    <w:p w14:paraId="5EC4624A" w14:textId="01EBF81B" w:rsidR="00A879BC" w:rsidRPr="009A59D5" w:rsidRDefault="008B1FCC" w:rsidP="00A879BC">
      <w:pPr>
        <w:pStyle w:val="BodyText1"/>
        <w:numPr>
          <w:ilvl w:val="0"/>
          <w:numId w:val="0"/>
        </w:numPr>
        <w:ind w:left="567"/>
      </w:pPr>
      <w:proofErr w:type="gramStart"/>
      <w:r w:rsidRPr="008B1FCC">
        <w:rPr>
          <w:i/>
        </w:rPr>
        <w:t>ϕ</w:t>
      </w:r>
      <w:r w:rsidR="00926070" w:rsidRPr="00926070">
        <w:rPr>
          <w:i/>
        </w:rPr>
        <w:t>(</w:t>
      </w:r>
      <w:proofErr w:type="gramEnd"/>
      <w:r w:rsidR="00926070" w:rsidRPr="00926070">
        <w:rPr>
          <w:i/>
        </w:rPr>
        <w:t>⸱)</w:t>
      </w:r>
      <w:r w:rsidR="00926070">
        <w:t xml:space="preserve"> </w:t>
      </w:r>
      <w:r w:rsidR="00A879BC" w:rsidRPr="009A59D5">
        <w:t>represents the standard normal cumulative distribution function;</w:t>
      </w:r>
    </w:p>
    <w:p w14:paraId="2EFBA4CC" w14:textId="65901DB0" w:rsidR="00A879BC" w:rsidRPr="009A59D5" w:rsidRDefault="008B1FCC" w:rsidP="00A879BC">
      <w:pPr>
        <w:pStyle w:val="BodyText1"/>
        <w:numPr>
          <w:ilvl w:val="0"/>
          <w:numId w:val="0"/>
        </w:numPr>
        <w:ind w:left="567"/>
      </w:pPr>
      <w:proofErr w:type="spellStart"/>
      <w:r>
        <w:rPr>
          <w:i/>
        </w:rPr>
        <w:t>T</w:t>
      </w:r>
      <w:r>
        <w:rPr>
          <w:vertAlign w:val="subscript"/>
        </w:rPr>
        <w:t>i</w:t>
      </w:r>
      <w:proofErr w:type="spellEnd"/>
      <w:r>
        <w:t xml:space="preserve"> = </w:t>
      </w:r>
      <w:r w:rsidR="00A879BC" w:rsidRPr="009A59D5">
        <w:t xml:space="preserve">the time interval between the calculation date (today) and the latest contractual exercise date as referenced by transaction </w:t>
      </w:r>
      <w:proofErr w:type="spellStart"/>
      <w:r>
        <w:rPr>
          <w:i/>
        </w:rPr>
        <w:t>i</w:t>
      </w:r>
      <w:proofErr w:type="spellEnd"/>
      <w:r w:rsidR="00A879BC" w:rsidRPr="009A59D5">
        <w:t xml:space="preserve">, measured in </w:t>
      </w:r>
      <w:proofErr w:type="gramStart"/>
      <w:r w:rsidR="00A879BC" w:rsidRPr="009A59D5">
        <w:t>years;</w:t>
      </w:r>
      <w:proofErr w:type="gramEnd"/>
    </w:p>
    <w:p w14:paraId="06EDFFE1" w14:textId="19BC0774" w:rsidR="00A879BC" w:rsidRPr="009A59D5" w:rsidRDefault="008B1FCC" w:rsidP="00A879BC">
      <w:pPr>
        <w:pStyle w:val="BodyText1"/>
        <w:numPr>
          <w:ilvl w:val="0"/>
          <w:numId w:val="0"/>
        </w:numPr>
        <w:ind w:left="567"/>
      </w:pPr>
      <w:r>
        <w:rPr>
          <w:i/>
        </w:rPr>
        <w:t>P</w:t>
      </w:r>
      <w:r>
        <w:rPr>
          <w:i/>
          <w:vertAlign w:val="subscript"/>
        </w:rPr>
        <w:t xml:space="preserve">i </w:t>
      </w:r>
      <w:r>
        <w:t xml:space="preserve">= </w:t>
      </w:r>
      <w:r w:rsidR="00230005" w:rsidRPr="009A59D5">
        <w:t>the underlying price</w:t>
      </w:r>
      <w:r w:rsidR="00230005" w:rsidRPr="009A59D5">
        <w:rPr>
          <w:rStyle w:val="FootnoteReference"/>
        </w:rPr>
        <w:footnoteReference w:id="40"/>
      </w:r>
      <w:r w:rsidR="00A879BC" w:rsidRPr="009A59D5">
        <w:t xml:space="preserve"> of option </w:t>
      </w:r>
      <w:proofErr w:type="spellStart"/>
      <w:proofErr w:type="gramStart"/>
      <w:r>
        <w:rPr>
          <w:i/>
        </w:rPr>
        <w:t>i</w:t>
      </w:r>
      <w:proofErr w:type="spellEnd"/>
      <w:r w:rsidR="00A879BC" w:rsidRPr="009A59D5">
        <w:t>;</w:t>
      </w:r>
      <w:proofErr w:type="gramEnd"/>
    </w:p>
    <w:p w14:paraId="737DFF13" w14:textId="17536280" w:rsidR="00A879BC" w:rsidRPr="009A59D5" w:rsidRDefault="008B1FCC" w:rsidP="00A879BC">
      <w:pPr>
        <w:pStyle w:val="BodyText1"/>
        <w:numPr>
          <w:ilvl w:val="0"/>
          <w:numId w:val="0"/>
        </w:numPr>
        <w:ind w:left="567"/>
      </w:pPr>
      <w:r>
        <w:rPr>
          <w:i/>
        </w:rPr>
        <w:t>K</w:t>
      </w:r>
      <w:r>
        <w:rPr>
          <w:i/>
          <w:vertAlign w:val="subscript"/>
        </w:rPr>
        <w:t xml:space="preserve">i </w:t>
      </w:r>
      <w:r>
        <w:t xml:space="preserve">= </w:t>
      </w:r>
      <w:r w:rsidR="00A879BC" w:rsidRPr="009A59D5">
        <w:t xml:space="preserve">the strike price of option </w:t>
      </w:r>
      <w:proofErr w:type="spellStart"/>
      <w:r>
        <w:rPr>
          <w:i/>
        </w:rPr>
        <w:t>i</w:t>
      </w:r>
      <w:proofErr w:type="spellEnd"/>
      <w:r w:rsidR="00A879BC" w:rsidRPr="009A59D5">
        <w:t>; and</w:t>
      </w:r>
    </w:p>
    <w:p w14:paraId="7E04AD64" w14:textId="5A43E7C4" w:rsidR="007F2832" w:rsidRPr="009A59D5" w:rsidRDefault="008B1FCC" w:rsidP="002314BF">
      <w:pPr>
        <w:pStyle w:val="BodyText1"/>
        <w:numPr>
          <w:ilvl w:val="0"/>
          <w:numId w:val="0"/>
        </w:numPr>
        <w:ind w:left="567"/>
      </w:pPr>
      <w:proofErr w:type="spellStart"/>
      <w:r w:rsidRPr="008B1FCC">
        <w:rPr>
          <w:i/>
        </w:rPr>
        <w:t>σ</w:t>
      </w:r>
      <w:r w:rsidRPr="008B1FCC">
        <w:rPr>
          <w:i/>
          <w:vertAlign w:val="subscript"/>
        </w:rPr>
        <w:t>i</w:t>
      </w:r>
      <w:proofErr w:type="spellEnd"/>
      <w:r w:rsidR="00307BAF" w:rsidRPr="009A59D5">
        <w:t xml:space="preserve"> </w:t>
      </w:r>
      <w:r>
        <w:t xml:space="preserve">= </w:t>
      </w:r>
      <w:r w:rsidR="00A879BC" w:rsidRPr="009A59D5">
        <w:t xml:space="preserve">the supervisory volatility of the option </w:t>
      </w:r>
      <w:proofErr w:type="spellStart"/>
      <w:r>
        <w:rPr>
          <w:i/>
        </w:rPr>
        <w:t>i</w:t>
      </w:r>
      <w:proofErr w:type="spellEnd"/>
      <w:r w:rsidR="00A879BC" w:rsidRPr="009A59D5">
        <w:t>.</w:t>
      </w:r>
      <w:bookmarkStart w:id="476" w:name="_Ref460313895"/>
    </w:p>
    <w:p w14:paraId="3BEB6073" w14:textId="45EA0827" w:rsidR="00E17844" w:rsidRPr="009A59D5" w:rsidRDefault="002B2B01" w:rsidP="00A879BC">
      <w:pPr>
        <w:pStyle w:val="BodyText1"/>
      </w:pPr>
      <w:bookmarkStart w:id="477" w:name="_Ref506818915"/>
      <w:bookmarkStart w:id="478" w:name="_Ref506825462"/>
      <w:bookmarkStart w:id="479" w:name="_Ref506827383"/>
      <w:r w:rsidRPr="009A59D5">
        <w:t xml:space="preserve">For </w:t>
      </w:r>
      <w:r w:rsidR="006E7D16" w:rsidRPr="009A59D5">
        <w:t>all</w:t>
      </w:r>
      <w:r w:rsidR="007319BD" w:rsidRPr="009A59D5">
        <w:t xml:space="preserve"> </w:t>
      </w:r>
      <w:r w:rsidR="006E7D16" w:rsidRPr="009A59D5">
        <w:t xml:space="preserve">interest rate options in currency </w:t>
      </w:r>
      <w:r w:rsidR="008B1FCC">
        <w:rPr>
          <w:i/>
        </w:rPr>
        <w:t>j</w:t>
      </w:r>
      <w:r w:rsidR="006E7D16" w:rsidRPr="009A59D5">
        <w:t xml:space="preserve"> </w:t>
      </w:r>
      <w:r w:rsidRPr="009A59D5">
        <w:t>where the supervisory delta adjustment</w:t>
      </w:r>
      <w:r w:rsidR="00B9578F" w:rsidRPr="009A59D5">
        <w:t xml:space="preserve"> </w:t>
      </w:r>
      <w:r w:rsidR="008B1FCC" w:rsidRPr="008B1FCC">
        <w:rPr>
          <w:i/>
        </w:rPr>
        <w:t>ẟ</w:t>
      </w:r>
      <w:proofErr w:type="spellStart"/>
      <w:r w:rsidR="008B1FCC" w:rsidRPr="008B1FCC">
        <w:rPr>
          <w:i/>
          <w:vertAlign w:val="subscript"/>
        </w:rPr>
        <w:t>i</w:t>
      </w:r>
      <w:proofErr w:type="spellEnd"/>
      <w:r w:rsidR="008B1FCC">
        <w:t xml:space="preserve"> </w:t>
      </w:r>
      <w:r w:rsidR="006E7D16" w:rsidRPr="009A59D5">
        <w:t>for at least one</w:t>
      </w:r>
      <w:r w:rsidR="00F87B52" w:rsidRPr="009A59D5">
        <w:t xml:space="preserve"> of </w:t>
      </w:r>
      <w:r w:rsidR="00097C98" w:rsidRPr="009A59D5">
        <w:t>those</w:t>
      </w:r>
      <w:r w:rsidR="006E7D16" w:rsidRPr="009A59D5">
        <w:t xml:space="preserve"> option</w:t>
      </w:r>
      <w:r w:rsidR="00F87B52" w:rsidRPr="009A59D5">
        <w:t>s</w:t>
      </w:r>
      <w:r w:rsidR="006E7D16" w:rsidRPr="009A59D5">
        <w:t xml:space="preserve"> </w:t>
      </w:r>
      <w:r w:rsidRPr="009A59D5">
        <w:t xml:space="preserve">cannot be </w:t>
      </w:r>
      <w:r w:rsidR="00B10819" w:rsidRPr="009A59D5">
        <w:t>calculated</w:t>
      </w:r>
      <w:r w:rsidRPr="009A59D5">
        <w:t xml:space="preserve"> (</w:t>
      </w:r>
      <w:r w:rsidR="00A827E4" w:rsidRPr="009A59D5">
        <w:t>i.e.</w:t>
      </w:r>
      <w:r w:rsidR="00097C98" w:rsidRPr="009A59D5">
        <w:t xml:space="preserve"> where</w:t>
      </w:r>
      <w:r w:rsidR="008B1FCC">
        <w:t xml:space="preserve"> </w:t>
      </w:r>
      <w:r w:rsidR="008B1FCC">
        <w:rPr>
          <w:i/>
        </w:rPr>
        <w:t>P≤0</w:t>
      </w:r>
      <w:r w:rsidR="00A827E4" w:rsidRPr="009A59D5">
        <w:t xml:space="preserve"> </w:t>
      </w:r>
      <w:r w:rsidR="00C86F4D" w:rsidRPr="009A59D5">
        <w:t>and/</w:t>
      </w:r>
      <w:r w:rsidR="00A827E4" w:rsidRPr="009A59D5">
        <w:t>or</w:t>
      </w:r>
      <w:r w:rsidRPr="009A59D5">
        <w:t xml:space="preserve"> </w:t>
      </w:r>
      <w:r w:rsidR="008B1FCC">
        <w:rPr>
          <w:i/>
        </w:rPr>
        <w:t>K≤0</w:t>
      </w:r>
      <w:r w:rsidR="00A827E4" w:rsidRPr="009A59D5">
        <w:t>)</w:t>
      </w:r>
      <w:r w:rsidR="003C0C82" w:rsidRPr="009A59D5">
        <w:t>,</w:t>
      </w:r>
      <w:r w:rsidR="008B1FCC" w:rsidRPr="008B1FCC">
        <w:rPr>
          <w:i/>
        </w:rPr>
        <w:t xml:space="preserve"> ẟ</w:t>
      </w:r>
      <w:proofErr w:type="spellStart"/>
      <w:r w:rsidR="008B1FCC" w:rsidRPr="008B1FCC">
        <w:rPr>
          <w:i/>
          <w:vertAlign w:val="subscript"/>
        </w:rPr>
        <w:t>i</w:t>
      </w:r>
      <w:proofErr w:type="spellEnd"/>
      <w:r w:rsidR="008B1FCC" w:rsidRPr="009A59D5">
        <w:t xml:space="preserve"> </w:t>
      </w:r>
      <w:r w:rsidR="00AD1AF8" w:rsidRPr="009A59D5">
        <w:t xml:space="preserve">must be </w:t>
      </w:r>
      <w:r w:rsidR="001649F1" w:rsidRPr="009A59D5">
        <w:t>calculated</w:t>
      </w:r>
      <w:r w:rsidR="00217843" w:rsidRPr="009A59D5">
        <w:t xml:space="preserve"> </w:t>
      </w:r>
      <w:r w:rsidR="00F87B52" w:rsidRPr="009A59D5">
        <w:t>according to</w:t>
      </w:r>
      <w:r w:rsidR="00A22B03" w:rsidRPr="009A59D5">
        <w:t xml:space="preserve"> the formula</w:t>
      </w:r>
      <w:r w:rsidR="00F87B52" w:rsidRPr="009A59D5">
        <w:t xml:space="preserve"> </w:t>
      </w:r>
      <w:r w:rsidR="00B01885" w:rsidRPr="009A59D5">
        <w:t xml:space="preserve">in </w:t>
      </w:r>
      <w:r w:rsidR="00AD1AF8" w:rsidRPr="009A59D5">
        <w:t>Table 5</w:t>
      </w:r>
      <w:r w:rsidR="007319BD" w:rsidRPr="009A59D5">
        <w:t xml:space="preserve"> and</w:t>
      </w:r>
      <w:r w:rsidR="00B01885" w:rsidRPr="009A59D5">
        <w:t xml:space="preserve"> the </w:t>
      </w:r>
      <w:r w:rsidR="001649F1" w:rsidRPr="009A59D5">
        <w:t>requirements</w:t>
      </w:r>
      <w:r w:rsidR="00B01885" w:rsidRPr="009A59D5">
        <w:t xml:space="preserve"> in</w:t>
      </w:r>
      <w:r w:rsidR="007319BD" w:rsidRPr="009A59D5">
        <w:t xml:space="preserve"> paragraph </w:t>
      </w:r>
      <w:r w:rsidR="007319BD" w:rsidRPr="009A59D5">
        <w:fldChar w:fldCharType="begin"/>
      </w:r>
      <w:r w:rsidR="007319BD" w:rsidRPr="009A59D5">
        <w:instrText xml:space="preserve"> REF _Ref506828576 \r \h  \* MERGEFORMAT </w:instrText>
      </w:r>
      <w:r w:rsidR="007319BD" w:rsidRPr="009A59D5">
        <w:fldChar w:fldCharType="separate"/>
      </w:r>
      <w:r w:rsidR="00B401AE">
        <w:t>47</w:t>
      </w:r>
      <w:r w:rsidR="007319BD" w:rsidRPr="009A59D5">
        <w:fldChar w:fldCharType="end"/>
      </w:r>
      <w:r w:rsidR="00A74CE8" w:rsidRPr="009A59D5">
        <w:t xml:space="preserve"> of this Attachment</w:t>
      </w:r>
      <w:r w:rsidR="00217843" w:rsidRPr="009A59D5">
        <w:t>.</w:t>
      </w:r>
      <w:r w:rsidR="006E7D16" w:rsidRPr="009A59D5">
        <w:rPr>
          <w:rStyle w:val="FootnoteReference"/>
        </w:rPr>
        <w:footnoteReference w:id="41"/>
      </w:r>
      <w:r w:rsidR="00AD1AF8" w:rsidRPr="009A59D5">
        <w:t xml:space="preserve"> </w:t>
      </w:r>
      <w:r w:rsidR="00A74CE8" w:rsidRPr="009A59D5">
        <w:t>An ADI must seek approval</w:t>
      </w:r>
      <w:r w:rsidR="00983DAB" w:rsidRPr="009A59D5">
        <w:t xml:space="preserve"> from APRA</w:t>
      </w:r>
      <w:r w:rsidR="00A74CE8" w:rsidRPr="009A59D5">
        <w:t xml:space="preserve"> for t</w:t>
      </w:r>
      <w:r w:rsidR="00FC3557" w:rsidRPr="009A59D5">
        <w:t xml:space="preserve">he </w:t>
      </w:r>
      <w:r w:rsidR="008B10F0" w:rsidRPr="009A59D5">
        <w:t xml:space="preserve">specification and </w:t>
      </w:r>
      <w:r w:rsidR="00217843" w:rsidRPr="009A59D5">
        <w:t>value</w:t>
      </w:r>
      <w:r w:rsidR="00FC3557" w:rsidRPr="009A59D5">
        <w:t xml:space="preserve"> of </w:t>
      </w:r>
      <w:proofErr w:type="spellStart"/>
      <w:r w:rsidR="008B1FCC" w:rsidRPr="008B1FCC">
        <w:rPr>
          <w:i/>
        </w:rPr>
        <w:t>λ</w:t>
      </w:r>
      <w:r w:rsidR="008B1FCC" w:rsidRPr="008B1FCC">
        <w:rPr>
          <w:i/>
          <w:vertAlign w:val="subscript"/>
        </w:rPr>
        <w:t>j</w:t>
      </w:r>
      <w:proofErr w:type="spellEnd"/>
      <w:r w:rsidR="003E4EE3" w:rsidRPr="009A59D5">
        <w:t>.</w:t>
      </w:r>
      <w:bookmarkEnd w:id="477"/>
      <w:r w:rsidR="003E4EE3" w:rsidRPr="009A59D5">
        <w:t xml:space="preserve"> </w:t>
      </w:r>
      <w:r w:rsidR="00AD1AF8" w:rsidRPr="009A59D5">
        <w:t xml:space="preserve">APRA may </w:t>
      </w:r>
      <w:r w:rsidR="003E4EE3" w:rsidRPr="009A59D5">
        <w:t>require</w:t>
      </w:r>
      <w:r w:rsidR="00AD1AF8" w:rsidRPr="009A59D5">
        <w:t xml:space="preserve"> </w:t>
      </w:r>
      <w:r w:rsidR="003E4EE3" w:rsidRPr="009A59D5">
        <w:t>an ADI</w:t>
      </w:r>
      <w:r w:rsidR="00983DAB" w:rsidRPr="009A59D5">
        <w:t xml:space="preserve"> to</w:t>
      </w:r>
      <w:r w:rsidR="003E4EE3" w:rsidRPr="009A59D5">
        <w:t xml:space="preserve"> use the alternative formula or that </w:t>
      </w:r>
      <w:r w:rsidR="00AD1AF8" w:rsidRPr="009A59D5">
        <w:t xml:space="preserve">a </w:t>
      </w:r>
      <w:r w:rsidR="003C0C82" w:rsidRPr="009A59D5">
        <w:t xml:space="preserve">particular </w:t>
      </w:r>
      <w:r w:rsidR="00AD1AF8" w:rsidRPr="009A59D5">
        <w:t xml:space="preserve">value </w:t>
      </w:r>
      <w:r w:rsidR="00983DAB" w:rsidRPr="009A59D5">
        <w:t>of</w:t>
      </w:r>
      <w:r w:rsidR="00AD1AF8" w:rsidRPr="009A59D5">
        <w:t xml:space="preserve"> </w:t>
      </w:r>
      <w:proofErr w:type="spellStart"/>
      <w:r w:rsidR="008B1FCC" w:rsidRPr="008B1FCC">
        <w:rPr>
          <w:i/>
        </w:rPr>
        <w:t>λ</w:t>
      </w:r>
      <w:r w:rsidR="008B1FCC" w:rsidRPr="008B1FCC">
        <w:rPr>
          <w:i/>
          <w:vertAlign w:val="subscript"/>
        </w:rPr>
        <w:t>j</w:t>
      </w:r>
      <w:proofErr w:type="spellEnd"/>
      <w:r w:rsidR="003C0C82" w:rsidRPr="009A59D5">
        <w:t xml:space="preserve"> </w:t>
      </w:r>
      <w:r w:rsidR="00983DAB" w:rsidRPr="009A59D5">
        <w:t xml:space="preserve">to </w:t>
      </w:r>
      <w:r w:rsidR="003C0C82" w:rsidRPr="009A59D5">
        <w:t>be applied.</w:t>
      </w:r>
      <w:bookmarkEnd w:id="478"/>
      <w:bookmarkEnd w:id="479"/>
    </w:p>
    <w:p w14:paraId="435C69F4" w14:textId="74A723C8" w:rsidR="003C0C82" w:rsidRPr="009A59D5" w:rsidRDefault="003C0C82" w:rsidP="00757695">
      <w:pPr>
        <w:pStyle w:val="BodyText1"/>
        <w:keepNext/>
        <w:numPr>
          <w:ilvl w:val="0"/>
          <w:numId w:val="0"/>
        </w:numPr>
        <w:ind w:left="567"/>
      </w:pPr>
      <w:r w:rsidRPr="009A59D5">
        <w:lastRenderedPageBreak/>
        <w:t xml:space="preserve">Table 5: </w:t>
      </w:r>
      <w:r w:rsidR="00F87B52" w:rsidRPr="009A59D5">
        <w:t>Alternative formula</w:t>
      </w:r>
      <w:r w:rsidR="00A22B03" w:rsidRPr="009A59D5">
        <w:t xml:space="preserve"> for supervisory delta adjustment</w:t>
      </w:r>
    </w:p>
    <w:tbl>
      <w:tblPr>
        <w:tblStyle w:val="TableGrid"/>
        <w:tblW w:w="0" w:type="auto"/>
        <w:tblInd w:w="567" w:type="dxa"/>
        <w:tblLayout w:type="fixed"/>
        <w:tblLook w:val="04A0" w:firstRow="1" w:lastRow="0" w:firstColumn="1" w:lastColumn="0" w:noHBand="0" w:noVBand="1"/>
      </w:tblPr>
      <w:tblGrid>
        <w:gridCol w:w="1039"/>
        <w:gridCol w:w="3348"/>
        <w:gridCol w:w="3348"/>
      </w:tblGrid>
      <w:tr w:rsidR="003C0C82" w:rsidRPr="009A59D5" w14:paraId="7B0899A8" w14:textId="77777777" w:rsidTr="00A47C92">
        <w:tc>
          <w:tcPr>
            <w:tcW w:w="1039" w:type="dxa"/>
          </w:tcPr>
          <w:p w14:paraId="0CE5A6D9" w14:textId="77777777" w:rsidR="003C0C82" w:rsidRPr="009A59D5" w:rsidRDefault="003C0C82" w:rsidP="00757695">
            <w:pPr>
              <w:keepNext/>
              <w:jc w:val="center"/>
            </w:pPr>
          </w:p>
        </w:tc>
        <w:tc>
          <w:tcPr>
            <w:tcW w:w="3348" w:type="dxa"/>
          </w:tcPr>
          <w:p w14:paraId="613E984A" w14:textId="77777777" w:rsidR="003C0C82" w:rsidRPr="009A59D5" w:rsidRDefault="003C0C82" w:rsidP="00757695">
            <w:pPr>
              <w:keepNext/>
              <w:jc w:val="center"/>
              <w:rPr>
                <w:b/>
              </w:rPr>
            </w:pPr>
            <w:r w:rsidRPr="009A59D5">
              <w:rPr>
                <w:b/>
              </w:rPr>
              <w:t>Bought</w:t>
            </w:r>
          </w:p>
        </w:tc>
        <w:tc>
          <w:tcPr>
            <w:tcW w:w="3348" w:type="dxa"/>
          </w:tcPr>
          <w:p w14:paraId="39653755" w14:textId="77777777" w:rsidR="003C0C82" w:rsidRPr="009A59D5" w:rsidRDefault="003C0C82" w:rsidP="00757695">
            <w:pPr>
              <w:keepNext/>
              <w:jc w:val="center"/>
              <w:rPr>
                <w:b/>
              </w:rPr>
            </w:pPr>
            <w:r w:rsidRPr="009A59D5">
              <w:rPr>
                <w:b/>
              </w:rPr>
              <w:t>Sold</w:t>
            </w:r>
          </w:p>
        </w:tc>
      </w:tr>
      <w:tr w:rsidR="003C0C82" w:rsidRPr="009A59D5" w14:paraId="7A97849F" w14:textId="77777777" w:rsidTr="00A47C92">
        <w:tc>
          <w:tcPr>
            <w:tcW w:w="1039" w:type="dxa"/>
          </w:tcPr>
          <w:p w14:paraId="35C325BB" w14:textId="38514AB1" w:rsidR="003C0C82" w:rsidRPr="009A59D5" w:rsidRDefault="003C0C82" w:rsidP="00757695">
            <w:pPr>
              <w:keepNext/>
            </w:pPr>
            <w:r w:rsidRPr="009A59D5">
              <w:t xml:space="preserve">Call options </w:t>
            </w:r>
          </w:p>
        </w:tc>
        <w:tc>
          <w:tcPr>
            <w:tcW w:w="3348" w:type="dxa"/>
          </w:tcPr>
          <w:p w14:paraId="1A8B459C" w14:textId="60A551C9" w:rsidR="003C0C82" w:rsidRPr="003F6E80" w:rsidRDefault="000C7465" w:rsidP="00757695">
            <w:pPr>
              <w:pStyle w:val="BodyText1"/>
              <w:keepNext/>
              <w:numPr>
                <w:ilvl w:val="0"/>
                <w:numId w:val="0"/>
              </w:numPr>
              <w:rPr>
                <w:rFonts w:eastAsia="Calibri"/>
                <w:sz w:val="20"/>
                <w:szCs w:val="20"/>
              </w:rPr>
            </w:pPr>
            <w:r>
              <w:rPr>
                <w:rFonts w:eastAsia="Calibri"/>
                <w:noProof/>
                <w:sz w:val="20"/>
                <w:szCs w:val="20"/>
              </w:rPr>
              <w:drawing>
                <wp:inline distT="0" distB="0" distL="0" distR="0" wp14:anchorId="57D7D6AF" wp14:editId="2F2AA334">
                  <wp:extent cx="1950720" cy="640080"/>
                  <wp:effectExtent l="0" t="0" r="0" b="7620"/>
                  <wp:docPr id="53" name="Picture 53" descr="An alternative formula for the supervisory delta adjustment for a bought c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n alternative formula for the supervisory delta adjustment for a bought call op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50720" cy="640080"/>
                          </a:xfrm>
                          <a:prstGeom prst="rect">
                            <a:avLst/>
                          </a:prstGeom>
                          <a:noFill/>
                        </pic:spPr>
                      </pic:pic>
                    </a:graphicData>
                  </a:graphic>
                </wp:inline>
              </w:drawing>
            </w:r>
          </w:p>
        </w:tc>
        <w:tc>
          <w:tcPr>
            <w:tcW w:w="3348" w:type="dxa"/>
          </w:tcPr>
          <w:p w14:paraId="6BFA40DE" w14:textId="2D211661" w:rsidR="003C0C82" w:rsidRPr="009A59D5" w:rsidRDefault="00B05D35" w:rsidP="00757695">
            <w:pPr>
              <w:pStyle w:val="BodyText1"/>
              <w:keepNext/>
              <w:numPr>
                <w:ilvl w:val="0"/>
                <w:numId w:val="0"/>
              </w:numPr>
              <w:rPr>
                <w:sz w:val="20"/>
                <w:szCs w:val="20"/>
              </w:rPr>
            </w:pPr>
            <w:r>
              <w:rPr>
                <w:noProof/>
                <w:sz w:val="20"/>
                <w:szCs w:val="20"/>
              </w:rPr>
              <w:drawing>
                <wp:inline distT="0" distB="0" distL="0" distR="0" wp14:anchorId="0EC5ACFD" wp14:editId="63019B68">
                  <wp:extent cx="1969135" cy="640080"/>
                  <wp:effectExtent l="0" t="0" r="0" b="7620"/>
                  <wp:docPr id="71" name="Picture 71" descr="An alternative formula for the supervisory delta adjustment for a sold c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n alternative formula for the supervisory delta adjustment for a sold call op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69135" cy="640080"/>
                          </a:xfrm>
                          <a:prstGeom prst="rect">
                            <a:avLst/>
                          </a:prstGeom>
                          <a:noFill/>
                        </pic:spPr>
                      </pic:pic>
                    </a:graphicData>
                  </a:graphic>
                </wp:inline>
              </w:drawing>
            </w:r>
          </w:p>
        </w:tc>
      </w:tr>
      <w:tr w:rsidR="003C0C82" w:rsidRPr="009A59D5" w14:paraId="7F1F5E74" w14:textId="77777777" w:rsidTr="00A47C92">
        <w:tc>
          <w:tcPr>
            <w:tcW w:w="1039" w:type="dxa"/>
          </w:tcPr>
          <w:p w14:paraId="21C7D142" w14:textId="40CA9398" w:rsidR="003C0C82" w:rsidRPr="009A59D5" w:rsidRDefault="003C0C82" w:rsidP="00757695">
            <w:pPr>
              <w:keepNext/>
            </w:pPr>
            <w:r w:rsidRPr="009A59D5">
              <w:t xml:space="preserve">Put options </w:t>
            </w:r>
          </w:p>
        </w:tc>
        <w:tc>
          <w:tcPr>
            <w:tcW w:w="3348" w:type="dxa"/>
          </w:tcPr>
          <w:p w14:paraId="09B39072" w14:textId="6F54EA25" w:rsidR="003C0C82" w:rsidRPr="009A59D5" w:rsidRDefault="00B05D35" w:rsidP="00757695">
            <w:pPr>
              <w:pStyle w:val="BodyText1"/>
              <w:keepNext/>
              <w:numPr>
                <w:ilvl w:val="0"/>
                <w:numId w:val="0"/>
              </w:numPr>
              <w:rPr>
                <w:rFonts w:eastAsia="Calibri"/>
                <w:sz w:val="20"/>
                <w:szCs w:val="20"/>
              </w:rPr>
            </w:pPr>
            <w:r>
              <w:rPr>
                <w:rFonts w:eastAsia="Calibri"/>
                <w:noProof/>
                <w:sz w:val="20"/>
                <w:szCs w:val="20"/>
              </w:rPr>
              <w:drawing>
                <wp:inline distT="0" distB="0" distL="0" distR="0" wp14:anchorId="15B7B2D2" wp14:editId="70C30280">
                  <wp:extent cx="1981200" cy="628015"/>
                  <wp:effectExtent l="0" t="0" r="0" b="635"/>
                  <wp:docPr id="72" name="Picture 72" descr="An alternative formula for the supervisory delta adjustment for a bought pu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n alternative formula for the supervisory delta adjustment for a bought put op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81200" cy="628015"/>
                          </a:xfrm>
                          <a:prstGeom prst="rect">
                            <a:avLst/>
                          </a:prstGeom>
                          <a:noFill/>
                        </pic:spPr>
                      </pic:pic>
                    </a:graphicData>
                  </a:graphic>
                </wp:inline>
              </w:drawing>
            </w:r>
          </w:p>
        </w:tc>
        <w:tc>
          <w:tcPr>
            <w:tcW w:w="3348" w:type="dxa"/>
          </w:tcPr>
          <w:p w14:paraId="48B9131F" w14:textId="70FF9348" w:rsidR="003C0C82" w:rsidRPr="009A59D5" w:rsidRDefault="009C787D" w:rsidP="00757695">
            <w:pPr>
              <w:pStyle w:val="BodyText1"/>
              <w:keepNext/>
              <w:numPr>
                <w:ilvl w:val="0"/>
                <w:numId w:val="0"/>
              </w:numPr>
              <w:rPr>
                <w:sz w:val="20"/>
                <w:szCs w:val="20"/>
              </w:rPr>
            </w:pPr>
            <w:r w:rsidRPr="00E8617E">
              <w:rPr>
                <w:rStyle w:val="eop"/>
                <w:noProof/>
                <w:sz w:val="20"/>
                <w:szCs w:val="20"/>
              </w:rPr>
              <w:drawing>
                <wp:inline distT="0" distB="0" distL="0" distR="0" wp14:anchorId="17C2242D" wp14:editId="1E3BC06B">
                  <wp:extent cx="1945808" cy="615371"/>
                  <wp:effectExtent l="0" t="0" r="0" b="0"/>
                  <wp:docPr id="57" name="Picture 57" descr="An alternative formula for the supervisory delta adjustment for a sold pu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n alternative formula for the supervisory delta adjustment for a sold put option."/>
                          <pic:cNvPicPr/>
                        </pic:nvPicPr>
                        <pic:blipFill>
                          <a:blip r:embed="rId67"/>
                          <a:stretch>
                            <a:fillRect/>
                          </a:stretch>
                        </pic:blipFill>
                        <pic:spPr>
                          <a:xfrm>
                            <a:off x="0" y="0"/>
                            <a:ext cx="2003899" cy="633743"/>
                          </a:xfrm>
                          <a:prstGeom prst="rect">
                            <a:avLst/>
                          </a:prstGeom>
                        </pic:spPr>
                      </pic:pic>
                    </a:graphicData>
                  </a:graphic>
                </wp:inline>
              </w:drawing>
            </w:r>
          </w:p>
        </w:tc>
      </w:tr>
    </w:tbl>
    <w:p w14:paraId="4F1FBEA1" w14:textId="5CDE7A86" w:rsidR="003C0C82" w:rsidRPr="009A59D5" w:rsidRDefault="003C0C82" w:rsidP="00D10BB7">
      <w:pPr>
        <w:pStyle w:val="BodyText1"/>
        <w:numPr>
          <w:ilvl w:val="0"/>
          <w:numId w:val="0"/>
        </w:numPr>
        <w:spacing w:before="240"/>
        <w:ind w:left="567"/>
      </w:pPr>
      <w:r w:rsidRPr="009A59D5">
        <w:t xml:space="preserve">where: </w:t>
      </w:r>
    </w:p>
    <w:p w14:paraId="20BBFDF7" w14:textId="16BD7855" w:rsidR="003C0C82" w:rsidRPr="009A59D5" w:rsidRDefault="008B1FCC" w:rsidP="00D10BB7">
      <w:pPr>
        <w:pStyle w:val="BodyText1"/>
        <w:numPr>
          <w:ilvl w:val="0"/>
          <w:numId w:val="0"/>
        </w:numPr>
        <w:ind w:left="567"/>
      </w:pPr>
      <w:proofErr w:type="spellStart"/>
      <w:r w:rsidRPr="008B1FCC">
        <w:rPr>
          <w:i/>
        </w:rPr>
        <w:t>λ</w:t>
      </w:r>
      <w:r w:rsidRPr="008B1FCC">
        <w:rPr>
          <w:i/>
          <w:vertAlign w:val="subscript"/>
        </w:rPr>
        <w:t>i</w:t>
      </w:r>
      <w:proofErr w:type="spellEnd"/>
      <w:r>
        <w:rPr>
          <w:vertAlign w:val="subscript"/>
        </w:rPr>
        <w:t xml:space="preserve"> </w:t>
      </w:r>
      <w:r>
        <w:t xml:space="preserve">= </w:t>
      </w:r>
      <w:r w:rsidR="00217843" w:rsidRPr="009A59D5">
        <w:t xml:space="preserve">the shift parameter applying to the set of all interest rate options in currency </w:t>
      </w:r>
      <w:r>
        <w:rPr>
          <w:i/>
        </w:rPr>
        <w:t>j</w:t>
      </w:r>
      <w:r w:rsidR="00217843" w:rsidRPr="009A59D5">
        <w:t xml:space="preserve"> where </w:t>
      </w:r>
      <w:proofErr w:type="spellStart"/>
      <w:r w:rsidRPr="008B1FCC">
        <w:rPr>
          <w:i/>
        </w:rPr>
        <w:t>λ</w:t>
      </w:r>
      <w:r>
        <w:rPr>
          <w:i/>
          <w:vertAlign w:val="subscript"/>
        </w:rPr>
        <w:t>j</w:t>
      </w:r>
      <w:proofErr w:type="spellEnd"/>
      <w:r w:rsidR="003C0C82" w:rsidRPr="009A59D5">
        <w:t xml:space="preserve"> </w:t>
      </w:r>
      <w:r w:rsidR="008B10F0" w:rsidRPr="009A59D5">
        <w:t xml:space="preserve">would </w:t>
      </w:r>
      <w:r w:rsidR="00A00E00" w:rsidRPr="009A59D5">
        <w:t>represent</w:t>
      </w:r>
      <w:r w:rsidR="003C0C82" w:rsidRPr="009A59D5">
        <w:t xml:space="preserve"> the extent to which</w:t>
      </w:r>
      <w:r w:rsidR="003557DB" w:rsidRPr="009A59D5">
        <w:t xml:space="preserve"> affected</w:t>
      </w:r>
      <w:r w:rsidR="003C0C82" w:rsidRPr="009A59D5">
        <w:t xml:space="preserve"> currency </w:t>
      </w:r>
      <w:r>
        <w:rPr>
          <w:i/>
        </w:rPr>
        <w:t>j</w:t>
      </w:r>
      <w:r w:rsidR="003C0C82" w:rsidRPr="009A59D5">
        <w:t xml:space="preserve"> can be negative</w:t>
      </w:r>
      <w:r w:rsidR="00D244D0" w:rsidRPr="009A59D5">
        <w:t>.</w:t>
      </w:r>
      <w:r w:rsidR="00F87B52" w:rsidRPr="009A59D5">
        <w:t xml:space="preserve"> </w:t>
      </w:r>
      <w:r w:rsidR="00D244D0" w:rsidRPr="009A59D5">
        <w:t>This</w:t>
      </w:r>
      <w:r w:rsidR="00440B91" w:rsidRPr="009A59D5">
        <w:t xml:space="preserve"> </w:t>
      </w:r>
      <w:r w:rsidR="004F67C3" w:rsidRPr="009A59D5">
        <w:t>would</w:t>
      </w:r>
      <w:r w:rsidR="00440B91" w:rsidRPr="009A59D5">
        <w:t xml:space="preserve"> be set to </w:t>
      </w:r>
      <w:r w:rsidR="00D244D0" w:rsidRPr="009A59D5">
        <w:t xml:space="preserve">allow computation of the supervisory delta adjustment </w:t>
      </w:r>
      <w:r w:rsidR="004F67C3" w:rsidRPr="009A59D5">
        <w:t xml:space="preserve">with the objective </w:t>
      </w:r>
      <w:r w:rsidR="00097C98" w:rsidRPr="009A59D5">
        <w:t>that</w:t>
      </w:r>
      <w:r>
        <w:t xml:space="preserve"> </w:t>
      </w:r>
      <w:proofErr w:type="spellStart"/>
      <w:r w:rsidRPr="008B1FCC">
        <w:rPr>
          <w:i/>
        </w:rPr>
        <w:t>λ</w:t>
      </w:r>
      <w:r>
        <w:rPr>
          <w:i/>
          <w:vertAlign w:val="subscript"/>
        </w:rPr>
        <w:t>j</w:t>
      </w:r>
      <w:proofErr w:type="spellEnd"/>
      <w:r w:rsidR="004F0905" w:rsidRPr="009A59D5">
        <w:t xml:space="preserve"> </w:t>
      </w:r>
      <w:r w:rsidR="00097C98" w:rsidRPr="009A59D5">
        <w:t xml:space="preserve">is </w:t>
      </w:r>
      <w:r w:rsidR="004F67C3" w:rsidRPr="009A59D5">
        <w:t>to</w:t>
      </w:r>
      <w:r w:rsidR="00D244D0" w:rsidRPr="009A59D5">
        <w:t xml:space="preserve"> </w:t>
      </w:r>
      <w:r w:rsidR="00B816FE" w:rsidRPr="009A59D5">
        <w:t xml:space="preserve">be </w:t>
      </w:r>
      <w:r w:rsidR="004F0905" w:rsidRPr="009A59D5">
        <w:t xml:space="preserve">set </w:t>
      </w:r>
      <w:r w:rsidR="00440B91" w:rsidRPr="009A59D5">
        <w:t>as low as possible</w:t>
      </w:r>
      <w:r w:rsidR="003C0C82" w:rsidRPr="009A59D5">
        <w:t>.</w:t>
      </w:r>
    </w:p>
    <w:p w14:paraId="3EC5C325" w14:textId="5FD4AFD1" w:rsidR="00A879BC" w:rsidRPr="009A59D5" w:rsidRDefault="00A879BC" w:rsidP="00A879BC">
      <w:pPr>
        <w:pStyle w:val="BodyText1"/>
      </w:pPr>
      <w:bookmarkStart w:id="480" w:name="_Ref506828455"/>
      <w:r w:rsidRPr="009A59D5">
        <w:t>For tranches of CDOs</w:t>
      </w:r>
      <w:r w:rsidR="00DC05E7" w:rsidRPr="009A59D5">
        <w:t xml:space="preserve"> and nth</w:t>
      </w:r>
      <w:r w:rsidR="00067C29" w:rsidRPr="009A59D5">
        <w:t>-</w:t>
      </w:r>
      <w:r w:rsidR="00DC05E7" w:rsidRPr="009A59D5">
        <w:t>to</w:t>
      </w:r>
      <w:r w:rsidR="00067C29" w:rsidRPr="009A59D5">
        <w:t>-</w:t>
      </w:r>
      <w:r w:rsidR="00DC05E7" w:rsidRPr="009A59D5">
        <w:t>default transactions</w:t>
      </w:r>
      <w:r w:rsidRPr="009A59D5">
        <w:t xml:space="preserve"> in the credit asset class, the supervisory delta adjustment </w:t>
      </w:r>
      <w:r w:rsidR="008B1FCC" w:rsidRPr="008B1FCC">
        <w:rPr>
          <w:i/>
        </w:rPr>
        <w:t>ẟ</w:t>
      </w:r>
      <w:proofErr w:type="spellStart"/>
      <w:r w:rsidR="008B1FCC" w:rsidRPr="008B1FCC">
        <w:rPr>
          <w:i/>
          <w:vertAlign w:val="subscript"/>
        </w:rPr>
        <w:t>i</w:t>
      </w:r>
      <w:proofErr w:type="spellEnd"/>
      <w:r w:rsidR="008B1FCC">
        <w:t xml:space="preserve"> </w:t>
      </w:r>
      <w:r w:rsidRPr="009A59D5">
        <w:t>must be set according to</w:t>
      </w:r>
      <w:r w:rsidR="00170127" w:rsidRPr="009A59D5">
        <w:t xml:space="preserve"> </w:t>
      </w:r>
      <w:r w:rsidR="00170127" w:rsidRPr="009A59D5">
        <w:fldChar w:fldCharType="begin"/>
      </w:r>
      <w:r w:rsidR="00170127" w:rsidRPr="009A59D5">
        <w:instrText xml:space="preserve"> REF _Ref460253939 \h </w:instrText>
      </w:r>
      <w:r w:rsidR="00365041" w:rsidRPr="009A59D5">
        <w:instrText xml:space="preserve"> \* MERGEFORMAT </w:instrText>
      </w:r>
      <w:r w:rsidR="00170127" w:rsidRPr="009A59D5">
        <w:fldChar w:fldCharType="separate"/>
      </w:r>
      <w:r w:rsidR="00B401AE" w:rsidRPr="009A59D5">
        <w:t xml:space="preserve">Table </w:t>
      </w:r>
      <w:r w:rsidR="00170127" w:rsidRPr="009A59D5">
        <w:fldChar w:fldCharType="end"/>
      </w:r>
      <w:r w:rsidR="003357FA" w:rsidRPr="009A59D5">
        <w:t>6</w:t>
      </w:r>
      <w:r w:rsidRPr="009A59D5">
        <w:t>:</w:t>
      </w:r>
      <w:bookmarkEnd w:id="476"/>
      <w:bookmarkEnd w:id="480"/>
    </w:p>
    <w:p w14:paraId="43DC31B7" w14:textId="4350E238" w:rsidR="009A7A47" w:rsidRPr="009A59D5" w:rsidRDefault="00A879BC" w:rsidP="00A879BC">
      <w:pPr>
        <w:pStyle w:val="BodyText1"/>
        <w:numPr>
          <w:ilvl w:val="0"/>
          <w:numId w:val="0"/>
        </w:numPr>
        <w:ind w:left="567"/>
      </w:pPr>
      <w:bookmarkStart w:id="481" w:name="_Ref460253939"/>
      <w:r w:rsidRPr="009A59D5">
        <w:t>Table</w:t>
      </w:r>
      <w:r w:rsidR="003357FA" w:rsidRPr="009A59D5">
        <w:t xml:space="preserve"> </w:t>
      </w:r>
      <w:bookmarkEnd w:id="481"/>
      <w:r w:rsidR="003357FA" w:rsidRPr="009A59D5">
        <w:rPr>
          <w:noProof/>
        </w:rPr>
        <w:t>6</w:t>
      </w:r>
      <w:r w:rsidRPr="009A59D5">
        <w:t>: Supervisory delta adjustment for CDO tranches</w:t>
      </w:r>
    </w:p>
    <w:tbl>
      <w:tblPr>
        <w:tblStyle w:val="TableGrid"/>
        <w:tblW w:w="0" w:type="auto"/>
        <w:tblInd w:w="567" w:type="dxa"/>
        <w:tblLook w:val="04A0" w:firstRow="1" w:lastRow="0" w:firstColumn="1" w:lastColumn="0" w:noHBand="0" w:noVBand="1"/>
      </w:tblPr>
      <w:tblGrid>
        <w:gridCol w:w="3868"/>
        <w:gridCol w:w="3867"/>
      </w:tblGrid>
      <w:tr w:rsidR="00CC3D8D" w:rsidRPr="009A59D5" w14:paraId="76E27C6A" w14:textId="77777777" w:rsidTr="00CC3D8D">
        <w:tc>
          <w:tcPr>
            <w:tcW w:w="3868" w:type="dxa"/>
          </w:tcPr>
          <w:p w14:paraId="716C1A0F" w14:textId="77777777" w:rsidR="00CC3D8D" w:rsidRPr="009A59D5" w:rsidRDefault="00CC3D8D" w:rsidP="00CC3D8D">
            <w:pPr>
              <w:jc w:val="center"/>
              <w:rPr>
                <w:b/>
              </w:rPr>
            </w:pPr>
            <w:r w:rsidRPr="009A59D5">
              <w:rPr>
                <w:b/>
              </w:rPr>
              <w:t>Purchased (long protection)</w:t>
            </w:r>
          </w:p>
        </w:tc>
        <w:tc>
          <w:tcPr>
            <w:tcW w:w="3867" w:type="dxa"/>
          </w:tcPr>
          <w:p w14:paraId="5B30B6D2" w14:textId="77777777" w:rsidR="00CC3D8D" w:rsidRPr="009A59D5" w:rsidRDefault="00CC3D8D" w:rsidP="00CC3D8D">
            <w:pPr>
              <w:jc w:val="center"/>
              <w:rPr>
                <w:b/>
              </w:rPr>
            </w:pPr>
            <w:r w:rsidRPr="009A59D5">
              <w:rPr>
                <w:b/>
              </w:rPr>
              <w:t>Sold (short protection)</w:t>
            </w:r>
          </w:p>
        </w:tc>
      </w:tr>
      <w:tr w:rsidR="00CC3D8D" w:rsidRPr="009A59D5" w14:paraId="244F553E" w14:textId="77777777" w:rsidTr="00CC3D8D">
        <w:tc>
          <w:tcPr>
            <w:tcW w:w="3868" w:type="dxa"/>
          </w:tcPr>
          <w:p w14:paraId="69CBDE73" w14:textId="04A15524" w:rsidR="00CC3D8D" w:rsidRPr="009A59D5" w:rsidRDefault="0020002A" w:rsidP="00751D7D">
            <w:pPr>
              <w:pStyle w:val="BodyText1"/>
              <w:numPr>
                <w:ilvl w:val="0"/>
                <w:numId w:val="0"/>
              </w:numPr>
              <w:spacing w:before="60"/>
              <w:jc w:val="center"/>
            </w:pPr>
            <w:r w:rsidRPr="00677AD4">
              <w:rPr>
                <w:noProof/>
              </w:rPr>
              <w:drawing>
                <wp:inline distT="0" distB="0" distL="0" distR="0" wp14:anchorId="7769CAAC" wp14:editId="1268C5FB">
                  <wp:extent cx="1526875" cy="377508"/>
                  <wp:effectExtent l="0" t="0" r="0" b="3810"/>
                  <wp:docPr id="28" name="Picture 28" descr="Start formula start fraction 15 over open round bracket 14A subscript i plus 1 close round bracket times open round bracket 14D subscript i plus 1 close round bracke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tart formula start fraction 15 over open round bracket 14A subscript i plus 1 close round bracket times open round bracket 14D subscript i plus 1 close round bracket end fraction end formula."/>
                          <pic:cNvPicPr>
                            <a:picLocks noChangeAspect="1" noChangeArrowheads="1"/>
                          </pic:cNvPicPr>
                        </pic:nvPicPr>
                        <pic:blipFill rotWithShape="1">
                          <a:blip r:embed="rId68">
                            <a:extLst>
                              <a:ext uri="{28A0092B-C50C-407E-A947-70E740481C1C}">
                                <a14:useLocalDpi xmlns:a14="http://schemas.microsoft.com/office/drawing/2010/main" val="0"/>
                              </a:ext>
                            </a:extLst>
                          </a:blip>
                          <a:srcRect l="34897" t="-8009" r="34777" b="26696"/>
                          <a:stretch/>
                        </pic:blipFill>
                        <pic:spPr bwMode="auto">
                          <a:xfrm>
                            <a:off x="0" y="0"/>
                            <a:ext cx="1556790" cy="3849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67" w:type="dxa"/>
          </w:tcPr>
          <w:p w14:paraId="4D21CA01" w14:textId="27A50696" w:rsidR="00CC3D8D" w:rsidRPr="009A59D5" w:rsidRDefault="006B1737" w:rsidP="00751D7D">
            <w:pPr>
              <w:pStyle w:val="BodyText1"/>
              <w:numPr>
                <w:ilvl w:val="0"/>
                <w:numId w:val="0"/>
              </w:numPr>
              <w:spacing w:before="120"/>
              <w:jc w:val="center"/>
            </w:pPr>
            <w:r w:rsidRPr="00CA222F">
              <w:rPr>
                <w:noProof/>
              </w:rPr>
              <w:drawing>
                <wp:inline distT="0" distB="0" distL="0" distR="0" wp14:anchorId="5A429D34" wp14:editId="3DD035E5">
                  <wp:extent cx="1439967" cy="342684"/>
                  <wp:effectExtent l="0" t="0" r="0" b="635"/>
                  <wp:docPr id="7" name="Picture 7" descr="Start formula negative start fraction 15 over open round bracket 14A subscript i plus 1 close round bracket times open round bracket 14D subscript i plus 1 close round bracke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art formula negative start fraction 15 over open round bracket 14A subscript i plus 1 close round bracket times open round bracket 14D subscript i plus 1 close round bracket end fraction end formula."/>
                          <pic:cNvPicPr>
                            <a:picLocks noChangeAspect="1" noChangeArrowheads="1"/>
                          </pic:cNvPicPr>
                        </pic:nvPicPr>
                        <pic:blipFill rotWithShape="1">
                          <a:blip r:embed="rId69">
                            <a:extLst>
                              <a:ext uri="{28A0092B-C50C-407E-A947-70E740481C1C}">
                                <a14:useLocalDpi xmlns:a14="http://schemas.microsoft.com/office/drawing/2010/main" val="0"/>
                              </a:ext>
                            </a:extLst>
                          </a:blip>
                          <a:srcRect l="3994" r="75729" b="33320"/>
                          <a:stretch/>
                        </pic:blipFill>
                        <pic:spPr bwMode="auto">
                          <a:xfrm>
                            <a:off x="0" y="0"/>
                            <a:ext cx="1466775" cy="3490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285ECF0" w14:textId="77777777" w:rsidR="00CC3D8D" w:rsidRPr="009A59D5" w:rsidRDefault="00CC3D8D" w:rsidP="00CC3D8D">
      <w:pPr>
        <w:pStyle w:val="BodyText1"/>
        <w:numPr>
          <w:ilvl w:val="0"/>
          <w:numId w:val="0"/>
        </w:numPr>
        <w:spacing w:before="240"/>
        <w:ind w:left="567"/>
      </w:pPr>
      <w:r w:rsidRPr="009A59D5">
        <w:t>where:</w:t>
      </w:r>
    </w:p>
    <w:p w14:paraId="36DF7C9E" w14:textId="7474CF09" w:rsidR="00CC3D8D" w:rsidRPr="009A59D5" w:rsidRDefault="008B1FCC" w:rsidP="00CC3D8D">
      <w:pPr>
        <w:pStyle w:val="BodyText1"/>
        <w:numPr>
          <w:ilvl w:val="0"/>
          <w:numId w:val="0"/>
        </w:numPr>
        <w:ind w:left="567"/>
      </w:pPr>
      <w:r>
        <w:rPr>
          <w:i/>
        </w:rPr>
        <w:t>A</w:t>
      </w:r>
      <w:r>
        <w:rPr>
          <w:i/>
          <w:vertAlign w:val="subscript"/>
        </w:rPr>
        <w:t xml:space="preserve">i </w:t>
      </w:r>
      <w:r>
        <w:t xml:space="preserve">= </w:t>
      </w:r>
      <w:r w:rsidR="00CC3D8D" w:rsidRPr="009A59D5">
        <w:t xml:space="preserve">the attachment </w:t>
      </w:r>
      <w:proofErr w:type="gramStart"/>
      <w:r w:rsidR="00CC3D8D" w:rsidRPr="009A59D5">
        <w:t>point</w:t>
      </w:r>
      <w:proofErr w:type="gramEnd"/>
      <w:r w:rsidR="00CC3D8D" w:rsidRPr="009A59D5">
        <w:t xml:space="preserve"> of the CDO tranche </w:t>
      </w:r>
      <w:r w:rsidR="00DC05E7" w:rsidRPr="009A59D5">
        <w:t xml:space="preserve">or </w:t>
      </w:r>
      <w:r>
        <w:rPr>
          <w:i/>
        </w:rPr>
        <w:t>(n – 1)/m</w:t>
      </w:r>
      <w:r>
        <w:t xml:space="preserve"> </w:t>
      </w:r>
      <w:r w:rsidR="00DC05E7" w:rsidRPr="009A59D5">
        <w:t>for a</w:t>
      </w:r>
      <w:r w:rsidR="00067C29" w:rsidRPr="009A59D5">
        <w:t>n</w:t>
      </w:r>
      <w:r w:rsidR="00DC05E7" w:rsidRPr="009A59D5">
        <w:t xml:space="preserve"> nth</w:t>
      </w:r>
      <w:r w:rsidR="00067C29" w:rsidRPr="009A59D5">
        <w:t>-</w:t>
      </w:r>
      <w:r w:rsidR="00DC05E7" w:rsidRPr="009A59D5">
        <w:t>to</w:t>
      </w:r>
      <w:r w:rsidR="00067C29" w:rsidRPr="009A59D5">
        <w:t>-</w:t>
      </w:r>
      <w:r w:rsidR="00DC05E7" w:rsidRPr="009A59D5">
        <w:t xml:space="preserve">default transaction on a pool of </w:t>
      </w:r>
      <w:r w:rsidR="00DC05E7" w:rsidRPr="00646793">
        <w:rPr>
          <w:i/>
        </w:rPr>
        <w:t>m</w:t>
      </w:r>
      <w:r w:rsidR="00DC05E7" w:rsidRPr="009A59D5">
        <w:t xml:space="preserve"> reference names </w:t>
      </w:r>
      <w:r w:rsidR="00CC3D8D" w:rsidRPr="009A59D5">
        <w:t xml:space="preserve">for transaction </w:t>
      </w:r>
      <w:proofErr w:type="spellStart"/>
      <w:r>
        <w:rPr>
          <w:i/>
        </w:rPr>
        <w:t>i</w:t>
      </w:r>
      <w:proofErr w:type="spellEnd"/>
      <w:r w:rsidR="00352454" w:rsidRPr="009A59D5">
        <w:t>; and</w:t>
      </w:r>
    </w:p>
    <w:p w14:paraId="3C5BC9CD" w14:textId="66123B06" w:rsidR="003357FA" w:rsidRPr="009A59D5" w:rsidRDefault="008B1FCC" w:rsidP="00D10BB7">
      <w:pPr>
        <w:pStyle w:val="BodyText1"/>
        <w:numPr>
          <w:ilvl w:val="0"/>
          <w:numId w:val="0"/>
        </w:numPr>
        <w:ind w:left="567"/>
      </w:pPr>
      <w:r>
        <w:rPr>
          <w:i/>
        </w:rPr>
        <w:t>D</w:t>
      </w:r>
      <w:r>
        <w:rPr>
          <w:i/>
          <w:vertAlign w:val="subscript"/>
        </w:rPr>
        <w:t>i</w:t>
      </w:r>
      <w:r>
        <w:t xml:space="preserve"> = </w:t>
      </w:r>
      <w:r w:rsidR="00CC3D8D" w:rsidRPr="009A59D5">
        <w:t xml:space="preserve">the detachment </w:t>
      </w:r>
      <w:proofErr w:type="gramStart"/>
      <w:r w:rsidR="00CC3D8D" w:rsidRPr="009A59D5">
        <w:t>point</w:t>
      </w:r>
      <w:proofErr w:type="gramEnd"/>
      <w:r w:rsidR="00CC3D8D" w:rsidRPr="009A59D5">
        <w:t xml:space="preserve"> of the CDO tranche </w:t>
      </w:r>
      <w:r w:rsidR="00362206" w:rsidRPr="009A59D5">
        <w:t>or</w:t>
      </w:r>
      <w:r>
        <w:t xml:space="preserve"> </w:t>
      </w:r>
      <w:r>
        <w:rPr>
          <w:i/>
        </w:rPr>
        <w:t>n/m</w:t>
      </w:r>
      <w:r w:rsidR="00362206" w:rsidRPr="009A59D5">
        <w:t xml:space="preserve"> for a nth</w:t>
      </w:r>
      <w:r w:rsidR="00067C29" w:rsidRPr="009A59D5">
        <w:t>-</w:t>
      </w:r>
      <w:r w:rsidR="00362206" w:rsidRPr="009A59D5">
        <w:t>to</w:t>
      </w:r>
      <w:r w:rsidR="00067C29" w:rsidRPr="009A59D5">
        <w:t>-</w:t>
      </w:r>
      <w:r w:rsidR="00362206" w:rsidRPr="009A59D5">
        <w:t xml:space="preserve">default transaction on a pool of </w:t>
      </w:r>
      <w:r w:rsidR="00362206" w:rsidRPr="00646793">
        <w:rPr>
          <w:i/>
        </w:rPr>
        <w:t>m</w:t>
      </w:r>
      <w:r w:rsidR="00362206" w:rsidRPr="009A59D5">
        <w:t xml:space="preserve"> reference names </w:t>
      </w:r>
      <w:r w:rsidR="00CC3D8D" w:rsidRPr="009A59D5">
        <w:t xml:space="preserve">for transaction </w:t>
      </w:r>
      <w:proofErr w:type="spellStart"/>
      <w:r>
        <w:rPr>
          <w:i/>
        </w:rPr>
        <w:t>i</w:t>
      </w:r>
      <w:proofErr w:type="spellEnd"/>
      <w:r w:rsidR="00CC3D8D" w:rsidRPr="009A59D5">
        <w:t>.</w:t>
      </w:r>
    </w:p>
    <w:p w14:paraId="0BCE4953" w14:textId="0D2C0899" w:rsidR="00D96DDE" w:rsidRPr="009A59D5" w:rsidRDefault="001649F1" w:rsidP="00D96DDE">
      <w:pPr>
        <w:pStyle w:val="BodyText1"/>
      </w:pPr>
      <w:bookmarkStart w:id="482" w:name="_Ref506828576"/>
      <w:bookmarkStart w:id="483" w:name="_Toc460331457"/>
      <w:bookmarkStart w:id="484" w:name="_Toc461692121"/>
      <w:bookmarkStart w:id="485" w:name="_Toc487712249"/>
      <w:bookmarkStart w:id="486" w:name="_Toc488397550"/>
      <w:bookmarkStart w:id="487" w:name="_Toc488398110"/>
      <w:bookmarkStart w:id="488" w:name="_Toc489463947"/>
      <w:r w:rsidRPr="009A59D5">
        <w:t>For options, the</w:t>
      </w:r>
      <w:r w:rsidR="00D96DDE" w:rsidRPr="009A59D5">
        <w:t xml:space="preserve"> </w:t>
      </w:r>
      <w:bookmarkStart w:id="489" w:name="_Ref506830073"/>
      <w:r w:rsidRPr="009A59D5">
        <w:t xml:space="preserve">calculation of </w:t>
      </w:r>
      <w:r w:rsidR="00F9368B" w:rsidRPr="009A59D5">
        <w:t>transaction</w:t>
      </w:r>
      <w:r w:rsidR="007C49A4" w:rsidRPr="009A59D5">
        <w:t xml:space="preserve"> level </w:t>
      </w:r>
      <w:r w:rsidR="00D96DDE" w:rsidRPr="009A59D5">
        <w:t xml:space="preserve">effective notional </w:t>
      </w:r>
      <w:r w:rsidR="00105432" w:rsidRPr="009A59D5">
        <w:t xml:space="preserve">amount </w:t>
      </w:r>
      <w:r w:rsidR="00D96DDE" w:rsidRPr="009A59D5">
        <w:t>differs</w:t>
      </w:r>
      <w:r w:rsidRPr="009A59D5">
        <w:t xml:space="preserve"> </w:t>
      </w:r>
      <w:r w:rsidR="007C49A4" w:rsidRPr="009A59D5">
        <w:t>depending</w:t>
      </w:r>
      <w:r w:rsidRPr="009A59D5">
        <w:t xml:space="preserve"> </w:t>
      </w:r>
      <w:r w:rsidR="00702F9E" w:rsidRPr="009A59D5">
        <w:t>on</w:t>
      </w:r>
      <w:r w:rsidR="00D96DDE" w:rsidRPr="009A59D5">
        <w:t xml:space="preserve"> the</w:t>
      </w:r>
      <w:r w:rsidR="007C49A4" w:rsidRPr="009A59D5">
        <w:t xml:space="preserve"> </w:t>
      </w:r>
      <w:r w:rsidR="00D96DDE" w:rsidRPr="009A59D5">
        <w:t>nature of the option payoff and must be calculated as follows:</w:t>
      </w:r>
      <w:bookmarkEnd w:id="482"/>
      <w:bookmarkEnd w:id="489"/>
    </w:p>
    <w:p w14:paraId="03DF9F91" w14:textId="5B647494" w:rsidR="00D96DDE" w:rsidRPr="009A59D5" w:rsidRDefault="00F0730A" w:rsidP="00D96DDE">
      <w:pPr>
        <w:pStyle w:val="BodyText2"/>
      </w:pPr>
      <w:r w:rsidRPr="009A59D5">
        <w:t>s</w:t>
      </w:r>
      <w:r w:rsidR="00D96DDE" w:rsidRPr="009A59D5">
        <w:t xml:space="preserve">ingle payment European options must use the supervisory delta adjustment formulas in paragraph </w:t>
      </w:r>
      <w:r w:rsidR="00D96DDE" w:rsidRPr="009A59D5">
        <w:fldChar w:fldCharType="begin"/>
      </w:r>
      <w:r w:rsidR="00D96DDE" w:rsidRPr="009A59D5">
        <w:instrText xml:space="preserve"> REF _Ref506827376 \r \h </w:instrText>
      </w:r>
      <w:r w:rsidR="00467179" w:rsidRPr="009A59D5">
        <w:instrText xml:space="preserve"> \* MERGEFORMAT </w:instrText>
      </w:r>
      <w:r w:rsidR="00D96DDE" w:rsidRPr="009A59D5">
        <w:fldChar w:fldCharType="separate"/>
      </w:r>
      <w:r w:rsidR="00B401AE">
        <w:t>44</w:t>
      </w:r>
      <w:r w:rsidR="00D96DDE" w:rsidRPr="009A59D5">
        <w:fldChar w:fldCharType="end"/>
      </w:r>
      <w:r w:rsidR="00D96DDE" w:rsidRPr="009A59D5">
        <w:t xml:space="preserve"> and </w:t>
      </w:r>
      <w:r w:rsidR="00D96DDE" w:rsidRPr="009A59D5">
        <w:fldChar w:fldCharType="begin"/>
      </w:r>
      <w:r w:rsidR="00D96DDE" w:rsidRPr="009A59D5">
        <w:instrText xml:space="preserve"> REF _Ref506827383 \r \h </w:instrText>
      </w:r>
      <w:r w:rsidR="00467179" w:rsidRPr="009A59D5">
        <w:instrText xml:space="preserve"> \* MERGEFORMAT </w:instrText>
      </w:r>
      <w:r w:rsidR="00D96DDE" w:rsidRPr="009A59D5">
        <w:fldChar w:fldCharType="separate"/>
      </w:r>
      <w:r w:rsidR="00B401AE">
        <w:t>45</w:t>
      </w:r>
      <w:r w:rsidR="00D96DDE" w:rsidRPr="009A59D5">
        <w:fldChar w:fldCharType="end"/>
      </w:r>
      <w:r w:rsidR="004A57AF" w:rsidRPr="009A59D5">
        <w:t xml:space="preserve"> of this Attachment</w:t>
      </w:r>
      <w:r w:rsidR="00D96DDE" w:rsidRPr="009A59D5">
        <w:t>;</w:t>
      </w:r>
    </w:p>
    <w:p w14:paraId="34F929CF" w14:textId="78D2AF52" w:rsidR="00D96DDE" w:rsidRPr="009A59D5" w:rsidRDefault="00F0730A" w:rsidP="00D96DDE">
      <w:pPr>
        <w:pStyle w:val="BodyText2"/>
      </w:pPr>
      <w:r w:rsidRPr="009A59D5">
        <w:t>s</w:t>
      </w:r>
      <w:r w:rsidR="00D96DDE" w:rsidRPr="009A59D5">
        <w:t>ingle payment Asian options must use the</w:t>
      </w:r>
      <w:r w:rsidR="0098444E" w:rsidRPr="009A59D5">
        <w:t xml:space="preserve"> </w:t>
      </w:r>
      <w:r w:rsidR="00D96DDE" w:rsidRPr="009A59D5">
        <w:t xml:space="preserve">formulas in paragraph </w:t>
      </w:r>
      <w:r w:rsidR="00D96DDE" w:rsidRPr="009A59D5">
        <w:fldChar w:fldCharType="begin"/>
      </w:r>
      <w:r w:rsidR="00D96DDE" w:rsidRPr="009A59D5">
        <w:instrText xml:space="preserve"> REF _Ref506827376 \r \h </w:instrText>
      </w:r>
      <w:r w:rsidR="00467179" w:rsidRPr="009A59D5">
        <w:instrText xml:space="preserve"> \* MERGEFORMAT </w:instrText>
      </w:r>
      <w:r w:rsidR="00D96DDE" w:rsidRPr="009A59D5">
        <w:fldChar w:fldCharType="separate"/>
      </w:r>
      <w:r w:rsidR="00B401AE">
        <w:t>44</w:t>
      </w:r>
      <w:r w:rsidR="00D96DDE" w:rsidRPr="009A59D5">
        <w:fldChar w:fldCharType="end"/>
      </w:r>
      <w:r w:rsidR="00D96DDE" w:rsidRPr="009A59D5">
        <w:t xml:space="preserve"> and </w:t>
      </w:r>
      <w:r w:rsidR="00D96DDE" w:rsidRPr="009A59D5">
        <w:fldChar w:fldCharType="begin"/>
      </w:r>
      <w:r w:rsidR="00D96DDE" w:rsidRPr="009A59D5">
        <w:instrText xml:space="preserve"> REF _Ref506827383 \r \h </w:instrText>
      </w:r>
      <w:r w:rsidR="00467179" w:rsidRPr="009A59D5">
        <w:instrText xml:space="preserve"> \* MERGEFORMAT </w:instrText>
      </w:r>
      <w:r w:rsidR="00D96DDE" w:rsidRPr="009A59D5">
        <w:fldChar w:fldCharType="separate"/>
      </w:r>
      <w:r w:rsidR="00B401AE">
        <w:t>45</w:t>
      </w:r>
      <w:r w:rsidR="00D96DDE" w:rsidRPr="009A59D5">
        <w:fldChar w:fldCharType="end"/>
      </w:r>
      <w:r w:rsidR="00D96DDE" w:rsidRPr="009A59D5">
        <w:t xml:space="preserve"> </w:t>
      </w:r>
      <w:r w:rsidR="004A57AF" w:rsidRPr="009A59D5">
        <w:t xml:space="preserve">of this Attachment </w:t>
      </w:r>
      <w:r w:rsidR="00D96DDE" w:rsidRPr="009A59D5">
        <w:t xml:space="preserve">with </w:t>
      </w:r>
      <w:r w:rsidR="00F21102">
        <w:rPr>
          <w:i/>
        </w:rPr>
        <w:t>P</w:t>
      </w:r>
      <w:r w:rsidR="00F21102">
        <w:rPr>
          <w:i/>
          <w:vertAlign w:val="subscript"/>
        </w:rPr>
        <w:t>i</w:t>
      </w:r>
      <w:r w:rsidR="00D96DDE" w:rsidRPr="009A59D5">
        <w:t xml:space="preserve"> set equal to the current value of the average used in the payoff;</w:t>
      </w:r>
    </w:p>
    <w:p w14:paraId="55C5C383" w14:textId="01D2DB1A" w:rsidR="00D96DDE" w:rsidRPr="009A59D5" w:rsidRDefault="00F0730A" w:rsidP="00D96DDE">
      <w:pPr>
        <w:pStyle w:val="BodyText2"/>
      </w:pPr>
      <w:r w:rsidRPr="009A59D5">
        <w:lastRenderedPageBreak/>
        <w:t>s</w:t>
      </w:r>
      <w:r w:rsidR="00D96DDE" w:rsidRPr="009A59D5">
        <w:t xml:space="preserve">ingle payment American and Bermudan options must use the formulas in paragraph </w:t>
      </w:r>
      <w:r w:rsidR="00D96DDE" w:rsidRPr="009A59D5">
        <w:fldChar w:fldCharType="begin"/>
      </w:r>
      <w:r w:rsidR="00D96DDE" w:rsidRPr="009A59D5">
        <w:instrText xml:space="preserve"> REF _Ref506827376 \r \h </w:instrText>
      </w:r>
      <w:r w:rsidR="00467179" w:rsidRPr="009A59D5">
        <w:instrText xml:space="preserve"> \* MERGEFORMAT </w:instrText>
      </w:r>
      <w:r w:rsidR="00D96DDE" w:rsidRPr="009A59D5">
        <w:fldChar w:fldCharType="separate"/>
      </w:r>
      <w:r w:rsidR="00B401AE">
        <w:t>44</w:t>
      </w:r>
      <w:r w:rsidR="00D96DDE" w:rsidRPr="009A59D5">
        <w:fldChar w:fldCharType="end"/>
      </w:r>
      <w:r w:rsidR="00D96DDE" w:rsidRPr="009A59D5">
        <w:t xml:space="preserve"> and </w:t>
      </w:r>
      <w:r w:rsidR="00D96DDE" w:rsidRPr="009A59D5">
        <w:fldChar w:fldCharType="begin"/>
      </w:r>
      <w:r w:rsidR="00D96DDE" w:rsidRPr="009A59D5">
        <w:instrText xml:space="preserve"> REF _Ref506827383 \r \h </w:instrText>
      </w:r>
      <w:r w:rsidR="00467179" w:rsidRPr="009A59D5">
        <w:instrText xml:space="preserve"> \* MERGEFORMAT </w:instrText>
      </w:r>
      <w:r w:rsidR="00D96DDE" w:rsidRPr="009A59D5">
        <w:fldChar w:fldCharType="separate"/>
      </w:r>
      <w:r w:rsidR="00B401AE">
        <w:t>45</w:t>
      </w:r>
      <w:r w:rsidR="00D96DDE" w:rsidRPr="009A59D5">
        <w:fldChar w:fldCharType="end"/>
      </w:r>
      <w:r w:rsidR="00D96DDE" w:rsidRPr="009A59D5">
        <w:t xml:space="preserve"> </w:t>
      </w:r>
      <w:r w:rsidR="004A57AF" w:rsidRPr="009A59D5">
        <w:t xml:space="preserve">of this Attachment </w:t>
      </w:r>
      <w:r w:rsidR="00D96DDE" w:rsidRPr="009A59D5">
        <w:t xml:space="preserve">with </w:t>
      </w:r>
      <w:proofErr w:type="spellStart"/>
      <w:r w:rsidR="00F21102">
        <w:rPr>
          <w:i/>
        </w:rPr>
        <w:t>T</w:t>
      </w:r>
      <w:r w:rsidR="00F21102">
        <w:rPr>
          <w:i/>
          <w:vertAlign w:val="subscript"/>
        </w:rPr>
        <w:t>i</w:t>
      </w:r>
      <w:proofErr w:type="spellEnd"/>
      <w:r w:rsidR="00D96DDE" w:rsidRPr="009A59D5">
        <w:t xml:space="preserve"> set equal to the latest allowed exercise date;</w:t>
      </w:r>
    </w:p>
    <w:p w14:paraId="7630A1EC" w14:textId="64C548C3" w:rsidR="002B47C5" w:rsidRPr="009A59D5" w:rsidRDefault="00F0730A" w:rsidP="00D10BB7">
      <w:pPr>
        <w:pStyle w:val="BodyText2"/>
      </w:pPr>
      <w:r w:rsidRPr="009A59D5">
        <w:t>s</w:t>
      </w:r>
      <w:r w:rsidR="00D96DDE" w:rsidRPr="009A59D5">
        <w:t xml:space="preserve">ingle payment Bermudan swaptions </w:t>
      </w:r>
      <w:proofErr w:type="gramStart"/>
      <w:r w:rsidR="00D96DDE" w:rsidRPr="009A59D5">
        <w:t>must</w:t>
      </w:r>
      <w:r w:rsidR="0098444E" w:rsidRPr="009A59D5">
        <w:t xml:space="preserve">  set</w:t>
      </w:r>
      <w:proofErr w:type="gramEnd"/>
      <w:r w:rsidR="0098444E" w:rsidRPr="009A59D5">
        <w:t xml:space="preserve"> the start date </w:t>
      </w:r>
      <w:r w:rsidR="00F21102">
        <w:rPr>
          <w:i/>
        </w:rPr>
        <w:t>S</w:t>
      </w:r>
      <w:r w:rsidR="00F21102">
        <w:rPr>
          <w:i/>
          <w:vertAlign w:val="subscript"/>
        </w:rPr>
        <w:t>i</w:t>
      </w:r>
      <w:r w:rsidR="0098444E" w:rsidRPr="009A59D5">
        <w:t xml:space="preserve"> equal to the earliest allowed exercise date, and the end date </w:t>
      </w:r>
      <w:proofErr w:type="spellStart"/>
      <w:r w:rsidR="00F21102">
        <w:rPr>
          <w:i/>
        </w:rPr>
        <w:t>E</w:t>
      </w:r>
      <w:r w:rsidR="00F21102">
        <w:rPr>
          <w:i/>
          <w:vertAlign w:val="subscript"/>
        </w:rPr>
        <w:t>i</w:t>
      </w:r>
      <w:proofErr w:type="spellEnd"/>
      <w:r w:rsidR="00D96DDE" w:rsidRPr="009A59D5">
        <w:t xml:space="preserve"> </w:t>
      </w:r>
      <w:r w:rsidR="0098444E" w:rsidRPr="009A59D5">
        <w:t xml:space="preserve">equal to </w:t>
      </w:r>
      <w:r w:rsidR="00660A12" w:rsidRPr="009A59D5">
        <w:t>the end date of the underlying swap in the form</w:t>
      </w:r>
      <w:r w:rsidR="007723C3" w:rsidRPr="009A59D5">
        <w:t>ulas</w:t>
      </w:r>
      <w:r w:rsidR="00660A12" w:rsidRPr="009A59D5">
        <w:t xml:space="preserve"> in paragraph </w:t>
      </w:r>
      <w:r w:rsidR="00660A12" w:rsidRPr="009A59D5">
        <w:fldChar w:fldCharType="begin"/>
      </w:r>
      <w:r w:rsidR="00660A12" w:rsidRPr="009A59D5">
        <w:instrText xml:space="preserve"> REF _Ref460313717 \r \h </w:instrText>
      </w:r>
      <w:r w:rsidR="00467179" w:rsidRPr="009A59D5">
        <w:instrText xml:space="preserve"> \* MERGEFORMAT </w:instrText>
      </w:r>
      <w:r w:rsidR="00660A12" w:rsidRPr="009A59D5">
        <w:fldChar w:fldCharType="separate"/>
      </w:r>
      <w:r w:rsidR="00B401AE">
        <w:t>25</w:t>
      </w:r>
      <w:r w:rsidR="00660A12" w:rsidRPr="009A59D5">
        <w:fldChar w:fldCharType="end"/>
      </w:r>
      <w:r w:rsidR="00660A12" w:rsidRPr="009A59D5">
        <w:t>;</w:t>
      </w:r>
    </w:p>
    <w:p w14:paraId="31C9C1D8" w14:textId="4F23661F" w:rsidR="007723C3" w:rsidRPr="009A59D5" w:rsidRDefault="00F0730A" w:rsidP="00D10BB7">
      <w:pPr>
        <w:pStyle w:val="BodyText2"/>
      </w:pPr>
      <w:r w:rsidRPr="009A59D5">
        <w:t>s</w:t>
      </w:r>
      <w:r w:rsidR="005A079C" w:rsidRPr="009A59D5">
        <w:t>ingle payment d</w:t>
      </w:r>
      <w:r w:rsidR="00660A12" w:rsidRPr="009A59D5">
        <w:t xml:space="preserve">igital or binary options with strike </w:t>
      </w:r>
      <w:r w:rsidR="00F21102">
        <w:rPr>
          <w:i/>
        </w:rPr>
        <w:t>K</w:t>
      </w:r>
      <w:r w:rsidR="00F21102">
        <w:rPr>
          <w:i/>
          <w:vertAlign w:val="subscript"/>
        </w:rPr>
        <w:t>i</w:t>
      </w:r>
      <w:r w:rsidR="00660A12" w:rsidRPr="009A59D5">
        <w:t xml:space="preserve"> must have the payoff approximated via a collar combination of bought and sold European options of the same type (call or put) with strikes set equal to 0.95 </w:t>
      </w:r>
      <w:r w:rsidR="00F21102">
        <w:rPr>
          <w:i/>
        </w:rPr>
        <w:t>K</w:t>
      </w:r>
      <w:r w:rsidR="00F21102">
        <w:rPr>
          <w:i/>
          <w:vertAlign w:val="subscript"/>
        </w:rPr>
        <w:t>i</w:t>
      </w:r>
      <w:r w:rsidR="00660A12" w:rsidRPr="009A59D5">
        <w:t xml:space="preserve"> and 1.05</w:t>
      </w:r>
      <w:r w:rsidR="00F21102">
        <w:t xml:space="preserve"> </w:t>
      </w:r>
      <w:proofErr w:type="spellStart"/>
      <w:r w:rsidR="00F21102">
        <w:rPr>
          <w:i/>
        </w:rPr>
        <w:t>K</w:t>
      </w:r>
      <w:r w:rsidR="00F21102">
        <w:rPr>
          <w:i/>
          <w:vertAlign w:val="subscript"/>
        </w:rPr>
        <w:t>j</w:t>
      </w:r>
      <w:proofErr w:type="spellEnd"/>
      <w:r w:rsidR="00660A12" w:rsidRPr="009A59D5">
        <w:t>.</w:t>
      </w:r>
      <w:r w:rsidR="005A079C" w:rsidRPr="009A59D5">
        <w:t xml:space="preserve"> The size of the position in the collar components must be such that the digital payoff is reproduced exactly outside the region between the two strikes.</w:t>
      </w:r>
      <w:r w:rsidR="003C3B8C" w:rsidRPr="009A59D5">
        <w:t xml:space="preserve"> The effective notional for each component European optio</w:t>
      </w:r>
      <w:r w:rsidR="002F6D6D" w:rsidRPr="009A59D5">
        <w:t>n</w:t>
      </w:r>
      <w:r w:rsidR="003C3B8C" w:rsidRPr="009A59D5">
        <w:t xml:space="preserve"> mu</w:t>
      </w:r>
      <w:r w:rsidR="002F6D6D" w:rsidRPr="009A59D5">
        <w:t>st be calculated separately using</w:t>
      </w:r>
      <w:r w:rsidR="003C3B8C" w:rsidRPr="009A59D5">
        <w:t xml:space="preserve"> the </w:t>
      </w:r>
      <w:r w:rsidR="002F6D6D" w:rsidRPr="009A59D5">
        <w:t xml:space="preserve">formulas in paragraph </w:t>
      </w:r>
      <w:r w:rsidR="002F6D6D" w:rsidRPr="009A59D5">
        <w:fldChar w:fldCharType="begin"/>
      </w:r>
      <w:r w:rsidR="002F6D6D" w:rsidRPr="009A59D5">
        <w:instrText xml:space="preserve"> REF _Ref506827376 \r \h  \* MERGEFORMAT </w:instrText>
      </w:r>
      <w:r w:rsidR="002F6D6D" w:rsidRPr="009A59D5">
        <w:fldChar w:fldCharType="separate"/>
      </w:r>
      <w:r w:rsidR="00B401AE">
        <w:t>44</w:t>
      </w:r>
      <w:r w:rsidR="002F6D6D" w:rsidRPr="009A59D5">
        <w:fldChar w:fldCharType="end"/>
      </w:r>
      <w:r w:rsidR="002F6D6D" w:rsidRPr="009A59D5">
        <w:t xml:space="preserve"> and </w:t>
      </w:r>
      <w:r w:rsidR="002F6D6D" w:rsidRPr="009A59D5">
        <w:fldChar w:fldCharType="begin"/>
      </w:r>
      <w:r w:rsidR="002F6D6D" w:rsidRPr="009A59D5">
        <w:instrText xml:space="preserve"> REF _Ref506827383 \r \h  \* MERGEFORMAT </w:instrText>
      </w:r>
      <w:r w:rsidR="002F6D6D" w:rsidRPr="009A59D5">
        <w:fldChar w:fldCharType="separate"/>
      </w:r>
      <w:r w:rsidR="00B401AE">
        <w:t>45</w:t>
      </w:r>
      <w:r w:rsidR="002F6D6D" w:rsidRPr="009A59D5">
        <w:fldChar w:fldCharType="end"/>
      </w:r>
      <w:r w:rsidR="002F6D6D" w:rsidRPr="009A59D5">
        <w:t xml:space="preserve"> </w:t>
      </w:r>
      <w:r w:rsidR="004A57AF" w:rsidRPr="009A59D5">
        <w:t xml:space="preserve">of this Attachment </w:t>
      </w:r>
      <w:r w:rsidR="002F6D6D" w:rsidRPr="009A59D5">
        <w:t>with</w:t>
      </w:r>
      <w:r w:rsidR="003C3B8C" w:rsidRPr="009A59D5">
        <w:t xml:space="preserve"> </w:t>
      </w:r>
      <w:proofErr w:type="spellStart"/>
      <w:r w:rsidR="00F21102">
        <w:rPr>
          <w:i/>
        </w:rPr>
        <w:t>T</w:t>
      </w:r>
      <w:r w:rsidR="00F21102">
        <w:rPr>
          <w:i/>
          <w:vertAlign w:val="subscript"/>
        </w:rPr>
        <w:t>i</w:t>
      </w:r>
      <w:proofErr w:type="spellEnd"/>
      <w:r w:rsidR="002F6D6D" w:rsidRPr="009A59D5">
        <w:t xml:space="preserve"> set equal to the exercise date of the digital option and </w:t>
      </w:r>
      <w:r w:rsidR="00F21102">
        <w:rPr>
          <w:i/>
        </w:rPr>
        <w:t>P</w:t>
      </w:r>
      <w:r w:rsidR="00F21102">
        <w:rPr>
          <w:i/>
          <w:vertAlign w:val="subscript"/>
        </w:rPr>
        <w:t>i</w:t>
      </w:r>
      <w:r w:rsidR="00F21102">
        <w:rPr>
          <w:i/>
        </w:rPr>
        <w:t xml:space="preserve"> </w:t>
      </w:r>
      <w:r w:rsidR="002F6D6D" w:rsidRPr="009A59D5">
        <w:t xml:space="preserve">set equal to the current value of the underlying for the digital option. The absolute value of the digital option effective notional must be capped by the </w:t>
      </w:r>
      <w:r w:rsidR="005946D8" w:rsidRPr="009A59D5">
        <w:t>ratio</w:t>
      </w:r>
      <w:r w:rsidR="0044447F" w:rsidRPr="009A59D5">
        <w:t xml:space="preserve"> of the digital payoff </w:t>
      </w:r>
      <w:r w:rsidR="005946D8" w:rsidRPr="009A59D5">
        <w:t>to</w:t>
      </w:r>
      <w:r w:rsidR="007723C3" w:rsidRPr="009A59D5">
        <w:t xml:space="preserve"> </w:t>
      </w:r>
      <w:r w:rsidR="00ED185E" w:rsidRPr="009A59D5">
        <w:t xml:space="preserve">the relevant supervisory </w:t>
      </w:r>
      <w:r w:rsidR="00F71824" w:rsidRPr="009A59D5">
        <w:t>factor. An</w:t>
      </w:r>
      <w:r w:rsidR="00672D51" w:rsidRPr="009A59D5">
        <w:t xml:space="preserve"> ADI may use a different treatment in this case, subject to APRA’s </w:t>
      </w:r>
      <w:proofErr w:type="gramStart"/>
      <w:r w:rsidR="00672D51" w:rsidRPr="009A59D5">
        <w:t>approval;</w:t>
      </w:r>
      <w:proofErr w:type="gramEnd"/>
    </w:p>
    <w:p w14:paraId="0CEE79BB" w14:textId="20FAE4E3" w:rsidR="00ED185E" w:rsidRPr="009A59D5" w:rsidRDefault="00F0730A" w:rsidP="00D10BB7">
      <w:pPr>
        <w:pStyle w:val="BodyText2"/>
      </w:pPr>
      <w:r w:rsidRPr="009A59D5">
        <w:t>s</w:t>
      </w:r>
      <w:r w:rsidR="00F2634D" w:rsidRPr="009A59D5">
        <w:t>ingle payment o</w:t>
      </w:r>
      <w:r w:rsidR="007723C3" w:rsidRPr="009A59D5">
        <w:t xml:space="preserve">ptions </w:t>
      </w:r>
      <w:r w:rsidR="00F02AD7" w:rsidRPr="009A59D5">
        <w:t>that</w:t>
      </w:r>
      <w:r w:rsidR="007723C3" w:rsidRPr="009A59D5">
        <w:t xml:space="preserve"> can be represented as a combination of single payment European options</w:t>
      </w:r>
      <w:r w:rsidR="00ED185E" w:rsidRPr="009A59D5">
        <w:t xml:space="preserve"> must be decomposed and</w:t>
      </w:r>
      <w:r w:rsidR="0044447F" w:rsidRPr="009A59D5">
        <w:t xml:space="preserve"> the effective notional</w:t>
      </w:r>
      <w:r w:rsidR="00105432" w:rsidRPr="009A59D5">
        <w:t xml:space="preserve"> amount</w:t>
      </w:r>
      <w:r w:rsidR="0044447F" w:rsidRPr="009A59D5">
        <w:t xml:space="preserve"> for</w:t>
      </w:r>
      <w:r w:rsidR="00ED185E" w:rsidRPr="009A59D5">
        <w:t xml:space="preserve"> each component European option must be </w:t>
      </w:r>
      <w:r w:rsidR="0044447F" w:rsidRPr="009A59D5">
        <w:t>calculated</w:t>
      </w:r>
      <w:r w:rsidR="00ED185E" w:rsidRPr="009A59D5">
        <w:t xml:space="preserve"> separately;</w:t>
      </w:r>
      <w:r w:rsidR="002F6D6D" w:rsidRPr="009A59D5">
        <w:t xml:space="preserve"> </w:t>
      </w:r>
      <w:r w:rsidR="00ED185E" w:rsidRPr="009A59D5">
        <w:t>and</w:t>
      </w:r>
    </w:p>
    <w:p w14:paraId="5B07A477" w14:textId="67D2C1E0" w:rsidR="002314BF" w:rsidRPr="009A59D5" w:rsidRDefault="002314BF" w:rsidP="002314BF">
      <w:pPr>
        <w:pStyle w:val="BodyText2"/>
      </w:pPr>
      <w:r w:rsidRPr="009A59D5">
        <w:t>multi-payment options may be represented as a combination of single payment options for the purpose of effective notional calculations. If the multi-payment option is decomposed, then the effective notional amount for each component option must be calculated separately.</w:t>
      </w:r>
      <w:r w:rsidRPr="009A59D5" w:rsidDel="00E80C74">
        <w:t xml:space="preserve"> </w:t>
      </w:r>
      <w:r w:rsidRPr="009A59D5">
        <w:t xml:space="preserve">Interest rate caps and floors may be represented as a portfolio of individual caplets and floorlets, where each caplet or floorlet is treated as a European option on the floating interest rate over a specific coupon period. For each caplet or floorlet, the start date </w:t>
      </w:r>
      <w:r w:rsidR="00F21102">
        <w:rPr>
          <w:i/>
        </w:rPr>
        <w:t>S</w:t>
      </w:r>
      <w:r w:rsidR="00F21102">
        <w:rPr>
          <w:i/>
          <w:vertAlign w:val="subscript"/>
        </w:rPr>
        <w:t>i</w:t>
      </w:r>
      <w:r w:rsidRPr="009A59D5">
        <w:t xml:space="preserve"> and exercise date </w:t>
      </w:r>
      <w:proofErr w:type="spellStart"/>
      <w:r w:rsidR="00F21102">
        <w:rPr>
          <w:i/>
        </w:rPr>
        <w:t>T</w:t>
      </w:r>
      <w:r w:rsidR="00F21102">
        <w:rPr>
          <w:i/>
          <w:vertAlign w:val="subscript"/>
        </w:rPr>
        <w:t>i</w:t>
      </w:r>
      <w:proofErr w:type="spellEnd"/>
      <w:r w:rsidRPr="009A59D5">
        <w:t xml:space="preserve"> must be set equal to the start of the coupon period, while the end date </w:t>
      </w:r>
      <w:proofErr w:type="spellStart"/>
      <w:r w:rsidR="00F21102">
        <w:rPr>
          <w:i/>
        </w:rPr>
        <w:t>E</w:t>
      </w:r>
      <w:r w:rsidR="00F21102">
        <w:rPr>
          <w:i/>
          <w:vertAlign w:val="subscript"/>
        </w:rPr>
        <w:t>i</w:t>
      </w:r>
      <w:proofErr w:type="spellEnd"/>
      <w:r w:rsidRPr="009A59D5">
        <w:t xml:space="preserve"> must be set equal to the end of the coupon period</w:t>
      </w:r>
      <w:r w:rsidR="004A57AF" w:rsidRPr="009A59D5">
        <w:t>.</w:t>
      </w:r>
    </w:p>
    <w:p w14:paraId="7B74DC50" w14:textId="77777777" w:rsidR="00CC3D8D" w:rsidRPr="009A59D5" w:rsidRDefault="00CC3D8D" w:rsidP="00CC3D8D">
      <w:pPr>
        <w:pStyle w:val="Heading3"/>
      </w:pPr>
      <w:bookmarkStart w:id="490" w:name="_Toc507406240"/>
      <w:bookmarkStart w:id="491" w:name="_Toc507406312"/>
      <w:bookmarkStart w:id="492" w:name="_Toc507406425"/>
      <w:r w:rsidRPr="009A59D5">
        <w:t>Maturity Factor</w:t>
      </w:r>
      <w:bookmarkEnd w:id="483"/>
      <w:bookmarkEnd w:id="484"/>
      <w:bookmarkEnd w:id="485"/>
      <w:bookmarkEnd w:id="486"/>
      <w:bookmarkEnd w:id="487"/>
      <w:bookmarkEnd w:id="488"/>
      <w:bookmarkEnd w:id="490"/>
      <w:bookmarkEnd w:id="491"/>
      <w:bookmarkEnd w:id="492"/>
    </w:p>
    <w:p w14:paraId="4D34D855" w14:textId="6EB53352" w:rsidR="00CC3D8D" w:rsidRPr="009A59D5" w:rsidRDefault="00CC3D8D" w:rsidP="00CC3D8D">
      <w:pPr>
        <w:pStyle w:val="BodyText1"/>
      </w:pPr>
      <w:bookmarkStart w:id="493" w:name="_Ref460259374"/>
      <w:r w:rsidRPr="009A59D5">
        <w:t xml:space="preserve">The maturity factor is set differently for margined and unmargined transactions.  When the SA-CCR methodology is used by a clearing member ADI, the clearing member ADI must determine the MPOR and the maturity factor in conjunction with the requirements of paragraphs </w:t>
      </w:r>
      <w:r w:rsidR="002372EB" w:rsidRPr="009A59D5">
        <w:fldChar w:fldCharType="begin"/>
      </w:r>
      <w:r w:rsidR="002372EB" w:rsidRPr="009A59D5">
        <w:instrText xml:space="preserve"> REF _Ref460259319 \r \h  \* MERGEFORMAT </w:instrText>
      </w:r>
      <w:r w:rsidR="002372EB" w:rsidRPr="009A59D5">
        <w:fldChar w:fldCharType="separate"/>
      </w:r>
      <w:r w:rsidR="00B401AE">
        <w:t>12</w:t>
      </w:r>
      <w:r w:rsidR="002372EB" w:rsidRPr="009A59D5">
        <w:fldChar w:fldCharType="end"/>
      </w:r>
      <w:r w:rsidRPr="009A59D5">
        <w:t xml:space="preserve"> and </w:t>
      </w:r>
      <w:r w:rsidR="002372EB" w:rsidRPr="009A59D5">
        <w:fldChar w:fldCharType="begin"/>
      </w:r>
      <w:r w:rsidR="002372EB" w:rsidRPr="009A59D5">
        <w:instrText xml:space="preserve"> REF _Ref460258940 \r \h  \* MERGEFORMAT </w:instrText>
      </w:r>
      <w:r w:rsidR="002372EB" w:rsidRPr="009A59D5">
        <w:fldChar w:fldCharType="separate"/>
      </w:r>
      <w:r w:rsidR="00B401AE">
        <w:t>19</w:t>
      </w:r>
      <w:r w:rsidR="002372EB" w:rsidRPr="009A59D5">
        <w:fldChar w:fldCharType="end"/>
      </w:r>
      <w:r w:rsidRPr="009A59D5">
        <w:t xml:space="preserve"> of Attachment B</w:t>
      </w:r>
      <w:r w:rsidR="00E96835" w:rsidRPr="009A59D5">
        <w:t xml:space="preserve"> of this Prudential Standard</w:t>
      </w:r>
      <w:r w:rsidRPr="009A59D5">
        <w:t>.</w:t>
      </w:r>
      <w:bookmarkEnd w:id="493"/>
    </w:p>
    <w:p w14:paraId="7F5C04AD" w14:textId="2C3F5EA0" w:rsidR="00CC3D8D" w:rsidRPr="009A59D5" w:rsidRDefault="00CC3D8D" w:rsidP="00CC3D8D">
      <w:pPr>
        <w:pStyle w:val="BodyText2"/>
      </w:pPr>
      <w:bookmarkStart w:id="494" w:name="_Ref506909542"/>
      <w:r w:rsidRPr="009A59D5">
        <w:t xml:space="preserve">For an unmargined transaction, the maturity factor </w:t>
      </w:r>
      <w:proofErr w:type="spellStart"/>
      <w:r w:rsidR="00F21102">
        <w:rPr>
          <w:i/>
        </w:rPr>
        <w:t>MF</w:t>
      </w:r>
      <w:r w:rsidR="00F21102">
        <w:rPr>
          <w:i/>
          <w:vertAlign w:val="subscript"/>
        </w:rPr>
        <w:t>i</w:t>
      </w:r>
      <w:proofErr w:type="spellEnd"/>
      <w:r w:rsidRPr="009A59D5">
        <w:t xml:space="preserve"> must be set as:</w:t>
      </w:r>
      <w:bookmarkEnd w:id="494"/>
    </w:p>
    <w:p w14:paraId="4BB72A14" w14:textId="77777777" w:rsidR="00276654" w:rsidRPr="00751D7D" w:rsidRDefault="00276654" w:rsidP="00751D7D">
      <w:pPr>
        <w:pStyle w:val="BodyText2"/>
        <w:numPr>
          <w:ilvl w:val="0"/>
          <w:numId w:val="0"/>
        </w:numPr>
        <w:spacing w:after="0"/>
        <w:ind w:left="3260"/>
      </w:pPr>
      <w:r w:rsidRPr="00276654">
        <w:rPr>
          <w:noProof/>
        </w:rPr>
        <w:drawing>
          <wp:inline distT="0" distB="0" distL="0" distR="0" wp14:anchorId="6B27D7C2" wp14:editId="2C8CA51C">
            <wp:extent cx="1504950" cy="333375"/>
            <wp:effectExtent l="0" t="0" r="0" b="0"/>
            <wp:docPr id="13" name="Picture 13" descr="Start formula MF subscript i equals square root of minimum open bracket M subscript i, 1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rt formula MF subscript i equals square root of minimum open bracket M subscript i, 1 close bracket end formula."/>
                    <pic:cNvPicPr>
                      <a:picLocks noChangeAspect="1" noChangeArrowheads="1"/>
                    </pic:cNvPicPr>
                  </pic:nvPicPr>
                  <pic:blipFill rotWithShape="1">
                    <a:blip r:embed="rId70">
                      <a:extLst>
                        <a:ext uri="{28A0092B-C50C-407E-A947-70E740481C1C}">
                          <a14:useLocalDpi xmlns:a14="http://schemas.microsoft.com/office/drawing/2010/main" val="0"/>
                        </a:ext>
                      </a:extLst>
                    </a:blip>
                    <a:srcRect l="42419" t="1" r="29061" b="10255"/>
                    <a:stretch/>
                  </pic:blipFill>
                  <pic:spPr bwMode="auto">
                    <a:xfrm>
                      <a:off x="0" y="0"/>
                      <a:ext cx="1504950" cy="333375"/>
                    </a:xfrm>
                    <a:prstGeom prst="rect">
                      <a:avLst/>
                    </a:prstGeom>
                    <a:noFill/>
                    <a:ln>
                      <a:noFill/>
                    </a:ln>
                    <a:extLst>
                      <a:ext uri="{53640926-AAD7-44D8-BBD7-CCE9431645EC}">
                        <a14:shadowObscured xmlns:a14="http://schemas.microsoft.com/office/drawing/2010/main"/>
                      </a:ext>
                    </a:extLst>
                  </pic:spPr>
                </pic:pic>
              </a:graphicData>
            </a:graphic>
          </wp:inline>
        </w:drawing>
      </w:r>
    </w:p>
    <w:p w14:paraId="266685FF" w14:textId="77777777" w:rsidR="00CC3D8D" w:rsidRPr="009A59D5" w:rsidRDefault="00CC3D8D" w:rsidP="00352454">
      <w:pPr>
        <w:pStyle w:val="BodyText1"/>
        <w:numPr>
          <w:ilvl w:val="0"/>
          <w:numId w:val="0"/>
        </w:numPr>
        <w:ind w:left="1134"/>
      </w:pPr>
      <w:r w:rsidRPr="009A59D5">
        <w:t>where:</w:t>
      </w:r>
    </w:p>
    <w:p w14:paraId="462F4A06" w14:textId="02513F49" w:rsidR="00CC3D8D" w:rsidRPr="009A59D5" w:rsidRDefault="00F21102" w:rsidP="00352454">
      <w:pPr>
        <w:pStyle w:val="BodyText1"/>
        <w:numPr>
          <w:ilvl w:val="0"/>
          <w:numId w:val="0"/>
        </w:numPr>
        <w:ind w:left="1134"/>
      </w:pPr>
      <w:r>
        <w:rPr>
          <w:i/>
        </w:rPr>
        <w:t>M</w:t>
      </w:r>
      <w:r>
        <w:rPr>
          <w:i/>
          <w:vertAlign w:val="subscript"/>
        </w:rPr>
        <w:t>i</w:t>
      </w:r>
      <w:r>
        <w:rPr>
          <w:i/>
        </w:rPr>
        <w:t xml:space="preserve"> </w:t>
      </w:r>
      <w:r w:rsidR="00CC3D8D" w:rsidRPr="009A59D5">
        <w:t xml:space="preserve">is the maturity date for transaction </w:t>
      </w:r>
      <w:proofErr w:type="spellStart"/>
      <w:r>
        <w:rPr>
          <w:i/>
        </w:rPr>
        <w:t>i</w:t>
      </w:r>
      <w:proofErr w:type="spellEnd"/>
      <w:r>
        <w:rPr>
          <w:i/>
        </w:rPr>
        <w:t xml:space="preserve"> </w:t>
      </w:r>
      <w:r w:rsidR="00CC3D8D" w:rsidRPr="009A59D5">
        <w:t xml:space="preserve">as defined in paragraph </w:t>
      </w:r>
      <w:r w:rsidR="002372EB" w:rsidRPr="009A59D5">
        <w:fldChar w:fldCharType="begin"/>
      </w:r>
      <w:r w:rsidR="002372EB" w:rsidRPr="009A59D5">
        <w:instrText xml:space="preserve"> REF _Ref460313792 \r \h </w:instrText>
      </w:r>
      <w:r w:rsidR="00365041" w:rsidRPr="009A59D5">
        <w:instrText xml:space="preserve"> \* MERGEFORMAT </w:instrText>
      </w:r>
      <w:r w:rsidR="002372EB" w:rsidRPr="009A59D5">
        <w:fldChar w:fldCharType="separate"/>
      </w:r>
      <w:r w:rsidR="00B401AE">
        <w:t>21</w:t>
      </w:r>
      <w:r w:rsidR="002372EB" w:rsidRPr="009A59D5">
        <w:fldChar w:fldCharType="end"/>
      </w:r>
      <w:r w:rsidR="00CC3D8D" w:rsidRPr="009A59D5">
        <w:t xml:space="preserve"> of this Attachment</w:t>
      </w:r>
      <w:r w:rsidR="00352454" w:rsidRPr="009A59D5">
        <w:t>,</w:t>
      </w:r>
      <w:r w:rsidR="00CC3D8D" w:rsidRPr="009A59D5">
        <w:t xml:space="preserve"> subject to a floor of 10 business days.</w:t>
      </w:r>
    </w:p>
    <w:p w14:paraId="1F379F79" w14:textId="449011D0" w:rsidR="00CC3D8D" w:rsidRPr="009A59D5" w:rsidRDefault="00CC3D8D" w:rsidP="00CC3D8D">
      <w:pPr>
        <w:pStyle w:val="BodyText2"/>
      </w:pPr>
      <w:r w:rsidRPr="009A59D5">
        <w:t xml:space="preserve">For a margined transaction, the maturity factor </w:t>
      </w:r>
      <w:proofErr w:type="spellStart"/>
      <w:r w:rsidR="00F21102">
        <w:rPr>
          <w:i/>
        </w:rPr>
        <w:t>MF</w:t>
      </w:r>
      <w:r w:rsidR="00F21102">
        <w:rPr>
          <w:i/>
          <w:vertAlign w:val="subscript"/>
        </w:rPr>
        <w:t>i</w:t>
      </w:r>
      <w:proofErr w:type="spellEnd"/>
      <w:r w:rsidRPr="009A59D5">
        <w:t xml:space="preserve"> must be set as:</w:t>
      </w:r>
    </w:p>
    <w:p w14:paraId="33EDAFE3" w14:textId="226B6F75" w:rsidR="00CC3D8D" w:rsidRPr="009A59D5" w:rsidRDefault="001C1162" w:rsidP="00751D7D">
      <w:pPr>
        <w:pStyle w:val="BodyText2"/>
        <w:numPr>
          <w:ilvl w:val="0"/>
          <w:numId w:val="0"/>
        </w:numPr>
        <w:spacing w:after="0"/>
        <w:ind w:left="567" w:hanging="567"/>
      </w:pPr>
      <w:r w:rsidRPr="001C1162">
        <w:rPr>
          <w:noProof/>
        </w:rPr>
        <w:drawing>
          <wp:inline distT="0" distB="0" distL="0" distR="0" wp14:anchorId="6D1A2607" wp14:editId="68C4F454">
            <wp:extent cx="5276850" cy="250166"/>
            <wp:effectExtent l="0" t="0" r="0" b="0"/>
            <wp:docPr id="29" name="Picture 29" descr="Start formula MF subscript i equals 1.5 square root of MPOR subscript i end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tart formula MF subscript i equals 1.5 square root of MPOR subscript i end formula. "/>
                    <pic:cNvPicPr>
                      <a:picLocks noChangeAspect="1" noChangeArrowheads="1"/>
                    </pic:cNvPicPr>
                  </pic:nvPicPr>
                  <pic:blipFill rotWithShape="1">
                    <a:blip r:embed="rId71">
                      <a:extLst>
                        <a:ext uri="{28A0092B-C50C-407E-A947-70E740481C1C}">
                          <a14:useLocalDpi xmlns:a14="http://schemas.microsoft.com/office/drawing/2010/main" val="0"/>
                        </a:ext>
                      </a:extLst>
                    </a:blip>
                    <a:srcRect b="32656"/>
                    <a:stretch/>
                  </pic:blipFill>
                  <pic:spPr bwMode="auto">
                    <a:xfrm>
                      <a:off x="0" y="0"/>
                      <a:ext cx="5276850" cy="250166"/>
                    </a:xfrm>
                    <a:prstGeom prst="rect">
                      <a:avLst/>
                    </a:prstGeom>
                    <a:noFill/>
                    <a:ln>
                      <a:noFill/>
                    </a:ln>
                    <a:extLst>
                      <a:ext uri="{53640926-AAD7-44D8-BBD7-CCE9431645EC}">
                        <a14:shadowObscured xmlns:a14="http://schemas.microsoft.com/office/drawing/2010/main"/>
                      </a:ext>
                    </a:extLst>
                  </pic:spPr>
                </pic:pic>
              </a:graphicData>
            </a:graphic>
          </wp:inline>
        </w:drawing>
      </w:r>
    </w:p>
    <w:p w14:paraId="40816384" w14:textId="77777777" w:rsidR="00CC3D8D" w:rsidRPr="009A59D5" w:rsidRDefault="00CC3D8D" w:rsidP="00352454">
      <w:pPr>
        <w:pStyle w:val="BodyText1"/>
        <w:numPr>
          <w:ilvl w:val="0"/>
          <w:numId w:val="0"/>
        </w:numPr>
        <w:ind w:left="1134"/>
      </w:pPr>
      <w:r w:rsidRPr="009A59D5">
        <w:t>where:</w:t>
      </w:r>
    </w:p>
    <w:p w14:paraId="3ED3A6CE" w14:textId="42BBDCA6" w:rsidR="00CC3D8D" w:rsidRPr="009A59D5" w:rsidRDefault="00F21102" w:rsidP="00352454">
      <w:pPr>
        <w:pStyle w:val="BodyText1"/>
        <w:numPr>
          <w:ilvl w:val="0"/>
          <w:numId w:val="0"/>
        </w:numPr>
        <w:ind w:left="1134"/>
      </w:pPr>
      <w:proofErr w:type="spellStart"/>
      <w:r>
        <w:rPr>
          <w:i/>
        </w:rPr>
        <w:t>MPOR</w:t>
      </w:r>
      <w:r>
        <w:rPr>
          <w:i/>
          <w:vertAlign w:val="subscript"/>
        </w:rPr>
        <w:t>i</w:t>
      </w:r>
      <w:proofErr w:type="spellEnd"/>
      <w:r>
        <w:rPr>
          <w:i/>
        </w:rPr>
        <w:t xml:space="preserve"> </w:t>
      </w:r>
      <w:r w:rsidR="00CC3D8D" w:rsidRPr="009A59D5">
        <w:t>represents the margin period of</w:t>
      </w:r>
      <w:r w:rsidR="001C534A" w:rsidRPr="009A59D5">
        <w:t xml:space="preserve"> risk as defined in paragraph </w:t>
      </w:r>
      <w:r w:rsidR="001C534A" w:rsidRPr="009A59D5">
        <w:fldChar w:fldCharType="begin"/>
      </w:r>
      <w:r w:rsidR="001C534A" w:rsidRPr="009A59D5">
        <w:instrText xml:space="preserve"> REF _Ref460313165 \r \h </w:instrText>
      </w:r>
      <w:r w:rsidR="00365041" w:rsidRPr="009A59D5">
        <w:instrText xml:space="preserve"> \* MERGEFORMAT </w:instrText>
      </w:r>
      <w:r w:rsidR="001C534A" w:rsidRPr="009A59D5">
        <w:fldChar w:fldCharType="separate"/>
      </w:r>
      <w:r w:rsidR="00B401AE">
        <w:t>8(o)</w:t>
      </w:r>
      <w:r w:rsidR="001C534A" w:rsidRPr="009A59D5">
        <w:fldChar w:fldCharType="end"/>
      </w:r>
      <w:r w:rsidR="00CC3D8D" w:rsidRPr="009A59D5">
        <w:t xml:space="preserve"> of this Prudential Standard.</w:t>
      </w:r>
    </w:p>
    <w:p w14:paraId="58B2FD3C" w14:textId="421884DA" w:rsidR="00CC3D8D" w:rsidRPr="009A59D5" w:rsidRDefault="00CC3D8D" w:rsidP="00CC3D8D">
      <w:pPr>
        <w:pStyle w:val="BodyText1"/>
      </w:pPr>
      <w:bookmarkStart w:id="495" w:name="_Ref460312993"/>
      <w:r w:rsidRPr="009A59D5">
        <w:t xml:space="preserve">When calculating the PFE add-on for each asset class, the supervisory factor, the supervisory correlation </w:t>
      </w:r>
      <w:proofErr w:type="gramStart"/>
      <w:r w:rsidRPr="009A59D5">
        <w:t>parameter</w:t>
      </w:r>
      <w:proofErr w:type="gramEnd"/>
      <w:r w:rsidRPr="009A59D5">
        <w:t xml:space="preserve"> and the supervisory volatility are as given in </w:t>
      </w:r>
      <w:r w:rsidR="003C4431" w:rsidRPr="009A59D5">
        <w:t>Table 7</w:t>
      </w:r>
      <w:r w:rsidRPr="009A59D5">
        <w:t>.</w:t>
      </w:r>
      <w:bookmarkEnd w:id="495"/>
    </w:p>
    <w:p w14:paraId="65A9BCD0" w14:textId="5DCF4DF1" w:rsidR="001A1BCD" w:rsidRPr="009A59D5" w:rsidRDefault="00CC3D8D" w:rsidP="00CC3D8D">
      <w:pPr>
        <w:pStyle w:val="BodyText1"/>
        <w:numPr>
          <w:ilvl w:val="0"/>
          <w:numId w:val="0"/>
        </w:numPr>
        <w:ind w:left="567"/>
      </w:pPr>
      <w:bookmarkStart w:id="496" w:name="_Ref460253986"/>
      <w:r w:rsidRPr="009A59D5">
        <w:t xml:space="preserve">Table </w:t>
      </w:r>
      <w:bookmarkEnd w:id="496"/>
      <w:r w:rsidR="003C4431" w:rsidRPr="009A59D5">
        <w:t>7</w:t>
      </w:r>
      <w:r w:rsidRPr="009A59D5">
        <w:t>: Summary table of supervisory parameters</w:t>
      </w:r>
    </w:p>
    <w:tbl>
      <w:tblPr>
        <w:tblStyle w:val="TableGrid"/>
        <w:tblW w:w="7874" w:type="dxa"/>
        <w:tblInd w:w="567" w:type="dxa"/>
        <w:tblLook w:val="04A0" w:firstRow="1" w:lastRow="0" w:firstColumn="1" w:lastColumn="0" w:noHBand="0" w:noVBand="1"/>
      </w:tblPr>
      <w:tblGrid>
        <w:gridCol w:w="1416"/>
        <w:gridCol w:w="1556"/>
        <w:gridCol w:w="1634"/>
        <w:gridCol w:w="1634"/>
        <w:gridCol w:w="1634"/>
      </w:tblGrid>
      <w:tr w:rsidR="003D67E7" w:rsidRPr="009A59D5" w14:paraId="67BE6A2D" w14:textId="77777777" w:rsidTr="00751D7D">
        <w:trPr>
          <w:tblHeader/>
        </w:trPr>
        <w:tc>
          <w:tcPr>
            <w:tcW w:w="2972" w:type="dxa"/>
            <w:gridSpan w:val="2"/>
          </w:tcPr>
          <w:p w14:paraId="364BC50C" w14:textId="77777777" w:rsidR="003D67E7" w:rsidRPr="009A59D5" w:rsidRDefault="003D67E7" w:rsidP="00D23251">
            <w:pPr>
              <w:spacing w:after="0"/>
              <w:jc w:val="center"/>
              <w:rPr>
                <w:b/>
              </w:rPr>
            </w:pPr>
            <w:r w:rsidRPr="009A59D5">
              <w:rPr>
                <w:b/>
              </w:rPr>
              <w:t>Asset</w:t>
            </w:r>
          </w:p>
          <w:p w14:paraId="74BCF477" w14:textId="13D32EA9" w:rsidR="003D67E7" w:rsidRPr="009A59D5" w:rsidRDefault="003D67E7" w:rsidP="00D23251">
            <w:pPr>
              <w:spacing w:after="0"/>
              <w:jc w:val="center"/>
              <w:rPr>
                <w:b/>
              </w:rPr>
            </w:pPr>
            <w:r w:rsidRPr="009A59D5">
              <w:rPr>
                <w:b/>
              </w:rPr>
              <w:t>class</w:t>
            </w:r>
          </w:p>
          <w:p w14:paraId="6BEB0B6E" w14:textId="3A8E00AE" w:rsidR="003D67E7" w:rsidRPr="009A59D5" w:rsidRDefault="003D67E7" w:rsidP="00D23251">
            <w:pPr>
              <w:spacing w:after="0"/>
              <w:jc w:val="center"/>
              <w:rPr>
                <w:b/>
              </w:rPr>
            </w:pPr>
          </w:p>
        </w:tc>
        <w:tc>
          <w:tcPr>
            <w:tcW w:w="1634" w:type="dxa"/>
          </w:tcPr>
          <w:p w14:paraId="33225C72" w14:textId="77777777" w:rsidR="003D67E7" w:rsidRPr="009A59D5" w:rsidRDefault="003D67E7" w:rsidP="00D23251">
            <w:pPr>
              <w:spacing w:after="0"/>
              <w:jc w:val="center"/>
              <w:rPr>
                <w:b/>
              </w:rPr>
            </w:pPr>
            <w:r w:rsidRPr="009A59D5">
              <w:rPr>
                <w:b/>
              </w:rPr>
              <w:t>Supervisory factor (SF) (%)</w:t>
            </w:r>
            <w:r w:rsidRPr="009A59D5">
              <w:rPr>
                <w:rStyle w:val="FootnoteReference"/>
              </w:rPr>
              <w:footnoteReference w:id="42"/>
            </w:r>
          </w:p>
        </w:tc>
        <w:tc>
          <w:tcPr>
            <w:tcW w:w="1634" w:type="dxa"/>
          </w:tcPr>
          <w:p w14:paraId="48414107" w14:textId="77777777" w:rsidR="003D67E7" w:rsidRPr="009A59D5" w:rsidRDefault="003D67E7" w:rsidP="00D23251">
            <w:pPr>
              <w:spacing w:after="0"/>
              <w:jc w:val="center"/>
              <w:rPr>
                <w:b/>
              </w:rPr>
            </w:pPr>
            <w:r w:rsidRPr="009A59D5">
              <w:rPr>
                <w:b/>
              </w:rPr>
              <w:t>Supervisory Correlation (ρ) (%)</w:t>
            </w:r>
          </w:p>
        </w:tc>
        <w:tc>
          <w:tcPr>
            <w:tcW w:w="1634" w:type="dxa"/>
          </w:tcPr>
          <w:p w14:paraId="0A688B8E" w14:textId="77777777" w:rsidR="003D67E7" w:rsidRPr="009A59D5" w:rsidRDefault="003D67E7" w:rsidP="00D23251">
            <w:pPr>
              <w:spacing w:after="0"/>
              <w:jc w:val="center"/>
              <w:rPr>
                <w:b/>
              </w:rPr>
            </w:pPr>
            <w:r w:rsidRPr="009A59D5">
              <w:rPr>
                <w:b/>
              </w:rPr>
              <w:t>Supervisory volatility (σ) (%)</w:t>
            </w:r>
          </w:p>
        </w:tc>
      </w:tr>
      <w:tr w:rsidR="001A73AA" w:rsidRPr="009A59D5" w14:paraId="4DBAD310" w14:textId="77777777" w:rsidTr="00751D7D">
        <w:tc>
          <w:tcPr>
            <w:tcW w:w="2972" w:type="dxa"/>
            <w:gridSpan w:val="2"/>
            <w:vAlign w:val="center"/>
          </w:tcPr>
          <w:p w14:paraId="7A20829D" w14:textId="78124671" w:rsidR="001A73AA" w:rsidRPr="009A59D5" w:rsidRDefault="001A73AA" w:rsidP="00187998">
            <w:pPr>
              <w:spacing w:after="0"/>
            </w:pPr>
            <w:r w:rsidRPr="009A59D5">
              <w:t>Interest rate</w:t>
            </w:r>
          </w:p>
        </w:tc>
        <w:tc>
          <w:tcPr>
            <w:tcW w:w="1634" w:type="dxa"/>
            <w:vAlign w:val="center"/>
          </w:tcPr>
          <w:p w14:paraId="4C3FB2ED" w14:textId="77777777" w:rsidR="001A73AA" w:rsidRPr="009A59D5" w:rsidRDefault="001A73AA" w:rsidP="001A1BCD">
            <w:pPr>
              <w:spacing w:after="0"/>
              <w:jc w:val="center"/>
            </w:pPr>
            <w:r w:rsidRPr="009A59D5">
              <w:t>0.5</w:t>
            </w:r>
          </w:p>
        </w:tc>
        <w:tc>
          <w:tcPr>
            <w:tcW w:w="1634" w:type="dxa"/>
            <w:vAlign w:val="center"/>
          </w:tcPr>
          <w:p w14:paraId="42C00B89" w14:textId="77777777" w:rsidR="001A73AA" w:rsidRPr="009A59D5" w:rsidRDefault="001A73AA" w:rsidP="001A1BCD">
            <w:pPr>
              <w:spacing w:after="0"/>
              <w:jc w:val="center"/>
            </w:pPr>
            <w:r w:rsidRPr="009A59D5">
              <w:t>N/A</w:t>
            </w:r>
          </w:p>
        </w:tc>
        <w:tc>
          <w:tcPr>
            <w:tcW w:w="1634" w:type="dxa"/>
            <w:vAlign w:val="center"/>
          </w:tcPr>
          <w:p w14:paraId="5C874DA6" w14:textId="77777777" w:rsidR="001A73AA" w:rsidRPr="009A59D5" w:rsidRDefault="001A73AA">
            <w:pPr>
              <w:spacing w:after="0"/>
              <w:jc w:val="center"/>
            </w:pPr>
            <w:r w:rsidRPr="009A59D5">
              <w:t>50</w:t>
            </w:r>
          </w:p>
        </w:tc>
      </w:tr>
      <w:tr w:rsidR="001A73AA" w:rsidRPr="009A59D5" w14:paraId="535D58A8" w14:textId="77777777" w:rsidTr="00751D7D">
        <w:tc>
          <w:tcPr>
            <w:tcW w:w="2972" w:type="dxa"/>
            <w:gridSpan w:val="2"/>
            <w:vAlign w:val="center"/>
          </w:tcPr>
          <w:p w14:paraId="1674BB5A" w14:textId="1704ED4D" w:rsidR="001A73AA" w:rsidRPr="009A59D5" w:rsidRDefault="001A73AA" w:rsidP="00187998">
            <w:pPr>
              <w:pStyle w:val="BodyText1"/>
              <w:numPr>
                <w:ilvl w:val="0"/>
                <w:numId w:val="0"/>
              </w:numPr>
              <w:spacing w:after="0"/>
              <w:jc w:val="left"/>
            </w:pPr>
            <w:r w:rsidRPr="009A59D5">
              <w:t>Foreign exchange</w:t>
            </w:r>
          </w:p>
        </w:tc>
        <w:tc>
          <w:tcPr>
            <w:tcW w:w="1634" w:type="dxa"/>
            <w:vAlign w:val="center"/>
          </w:tcPr>
          <w:p w14:paraId="174419B4" w14:textId="77777777" w:rsidR="001A73AA" w:rsidRPr="009A59D5" w:rsidRDefault="001A73AA" w:rsidP="001A1BCD">
            <w:pPr>
              <w:pStyle w:val="BodyText1"/>
              <w:numPr>
                <w:ilvl w:val="0"/>
                <w:numId w:val="0"/>
              </w:numPr>
              <w:spacing w:after="0"/>
              <w:jc w:val="center"/>
            </w:pPr>
            <w:r w:rsidRPr="009A59D5">
              <w:t>4.0</w:t>
            </w:r>
          </w:p>
        </w:tc>
        <w:tc>
          <w:tcPr>
            <w:tcW w:w="1634" w:type="dxa"/>
            <w:vAlign w:val="center"/>
          </w:tcPr>
          <w:p w14:paraId="2A9AD619" w14:textId="77777777" w:rsidR="001A73AA" w:rsidRPr="009A59D5" w:rsidRDefault="001A73AA" w:rsidP="001A1BCD">
            <w:pPr>
              <w:pStyle w:val="BodyText1"/>
              <w:numPr>
                <w:ilvl w:val="0"/>
                <w:numId w:val="0"/>
              </w:numPr>
              <w:spacing w:after="0"/>
              <w:jc w:val="center"/>
            </w:pPr>
            <w:r w:rsidRPr="009A59D5">
              <w:t>N/A</w:t>
            </w:r>
          </w:p>
        </w:tc>
        <w:tc>
          <w:tcPr>
            <w:tcW w:w="1634" w:type="dxa"/>
            <w:vAlign w:val="center"/>
          </w:tcPr>
          <w:p w14:paraId="11145068" w14:textId="77777777" w:rsidR="001A73AA" w:rsidRPr="009A59D5" w:rsidRDefault="001A73AA">
            <w:pPr>
              <w:pStyle w:val="BodyText1"/>
              <w:numPr>
                <w:ilvl w:val="0"/>
                <w:numId w:val="0"/>
              </w:numPr>
              <w:spacing w:after="0"/>
              <w:jc w:val="center"/>
            </w:pPr>
            <w:r w:rsidRPr="009A59D5">
              <w:t>15</w:t>
            </w:r>
          </w:p>
        </w:tc>
      </w:tr>
      <w:tr w:rsidR="00CE4FF9" w:rsidRPr="009A59D5" w14:paraId="471D3E54" w14:textId="77777777" w:rsidTr="00751D7D">
        <w:tc>
          <w:tcPr>
            <w:tcW w:w="1416" w:type="dxa"/>
            <w:vMerge w:val="restart"/>
            <w:vAlign w:val="center"/>
          </w:tcPr>
          <w:p w14:paraId="3F1F0BAF" w14:textId="77777777" w:rsidR="00CE4FF9" w:rsidRPr="009A59D5" w:rsidRDefault="00CE4FF9" w:rsidP="00187998">
            <w:pPr>
              <w:pStyle w:val="BodyText1"/>
              <w:numPr>
                <w:ilvl w:val="0"/>
                <w:numId w:val="0"/>
              </w:numPr>
              <w:spacing w:after="0"/>
              <w:jc w:val="left"/>
            </w:pPr>
            <w:r w:rsidRPr="009A59D5">
              <w:t>Credit single name</w:t>
            </w:r>
          </w:p>
        </w:tc>
        <w:tc>
          <w:tcPr>
            <w:tcW w:w="1556" w:type="dxa"/>
          </w:tcPr>
          <w:p w14:paraId="25100C92" w14:textId="77777777" w:rsidR="00CE4FF9" w:rsidRPr="009A59D5" w:rsidRDefault="00CE4FF9" w:rsidP="00187998">
            <w:pPr>
              <w:spacing w:after="0"/>
            </w:pPr>
            <w:r w:rsidRPr="009A59D5">
              <w:t>Credit rating grade 1</w:t>
            </w:r>
          </w:p>
        </w:tc>
        <w:tc>
          <w:tcPr>
            <w:tcW w:w="1634" w:type="dxa"/>
            <w:vAlign w:val="center"/>
          </w:tcPr>
          <w:p w14:paraId="73BF0844" w14:textId="77777777" w:rsidR="00CE4FF9" w:rsidRPr="009A59D5" w:rsidRDefault="00CE4FF9" w:rsidP="001A1BCD">
            <w:pPr>
              <w:pStyle w:val="BodyText1"/>
              <w:numPr>
                <w:ilvl w:val="0"/>
                <w:numId w:val="0"/>
              </w:numPr>
              <w:spacing w:after="0"/>
              <w:jc w:val="center"/>
            </w:pPr>
            <w:r w:rsidRPr="009A59D5">
              <w:t>0.38</w:t>
            </w:r>
          </w:p>
        </w:tc>
        <w:tc>
          <w:tcPr>
            <w:tcW w:w="1634" w:type="dxa"/>
            <w:vMerge w:val="restart"/>
            <w:vAlign w:val="center"/>
          </w:tcPr>
          <w:p w14:paraId="02AD00A2" w14:textId="77777777" w:rsidR="00CE4FF9" w:rsidRPr="009A59D5" w:rsidRDefault="00CE4FF9" w:rsidP="001A1BCD">
            <w:pPr>
              <w:pStyle w:val="BodyText1"/>
              <w:numPr>
                <w:ilvl w:val="0"/>
                <w:numId w:val="0"/>
              </w:numPr>
              <w:spacing w:after="0"/>
              <w:jc w:val="center"/>
            </w:pPr>
            <w:r w:rsidRPr="009A59D5">
              <w:t>50</w:t>
            </w:r>
          </w:p>
        </w:tc>
        <w:tc>
          <w:tcPr>
            <w:tcW w:w="1634" w:type="dxa"/>
            <w:vMerge w:val="restart"/>
            <w:vAlign w:val="center"/>
          </w:tcPr>
          <w:p w14:paraId="41FDF7EE" w14:textId="77777777" w:rsidR="00CE4FF9" w:rsidRPr="009A59D5" w:rsidRDefault="00CE4FF9" w:rsidP="001A1BCD">
            <w:pPr>
              <w:pStyle w:val="BodyText1"/>
              <w:numPr>
                <w:ilvl w:val="0"/>
                <w:numId w:val="0"/>
              </w:numPr>
              <w:spacing w:after="0"/>
              <w:jc w:val="center"/>
            </w:pPr>
            <w:r w:rsidRPr="009A59D5">
              <w:t>100</w:t>
            </w:r>
          </w:p>
        </w:tc>
      </w:tr>
      <w:tr w:rsidR="00CE4FF9" w:rsidRPr="009A59D5" w14:paraId="32B520E8" w14:textId="77777777" w:rsidTr="00751D7D">
        <w:tc>
          <w:tcPr>
            <w:tcW w:w="1416" w:type="dxa"/>
            <w:vMerge/>
            <w:vAlign w:val="center"/>
          </w:tcPr>
          <w:p w14:paraId="47ECF754" w14:textId="77777777" w:rsidR="00CE4FF9" w:rsidRPr="009A59D5" w:rsidRDefault="00CE4FF9" w:rsidP="00187998">
            <w:pPr>
              <w:pStyle w:val="BodyText1"/>
              <w:numPr>
                <w:ilvl w:val="0"/>
                <w:numId w:val="0"/>
              </w:numPr>
              <w:spacing w:after="0"/>
              <w:jc w:val="left"/>
            </w:pPr>
          </w:p>
        </w:tc>
        <w:tc>
          <w:tcPr>
            <w:tcW w:w="1556" w:type="dxa"/>
          </w:tcPr>
          <w:p w14:paraId="68D9310C" w14:textId="77777777" w:rsidR="00CE4FF9" w:rsidRPr="009A59D5" w:rsidRDefault="00CE4FF9" w:rsidP="00187998">
            <w:pPr>
              <w:spacing w:after="0"/>
            </w:pPr>
            <w:r w:rsidRPr="009A59D5">
              <w:t>Credit rating grade 2</w:t>
            </w:r>
          </w:p>
        </w:tc>
        <w:tc>
          <w:tcPr>
            <w:tcW w:w="1634" w:type="dxa"/>
            <w:vAlign w:val="center"/>
          </w:tcPr>
          <w:p w14:paraId="6F3B89E6" w14:textId="77777777" w:rsidR="00CE4FF9" w:rsidRPr="009A59D5" w:rsidRDefault="00CE4FF9" w:rsidP="001A1BCD">
            <w:pPr>
              <w:pStyle w:val="BodyText1"/>
              <w:numPr>
                <w:ilvl w:val="0"/>
                <w:numId w:val="0"/>
              </w:numPr>
              <w:spacing w:after="0"/>
              <w:jc w:val="center"/>
            </w:pPr>
            <w:r w:rsidRPr="009A59D5">
              <w:t>0.42</w:t>
            </w:r>
          </w:p>
        </w:tc>
        <w:tc>
          <w:tcPr>
            <w:tcW w:w="1634" w:type="dxa"/>
            <w:vMerge/>
            <w:vAlign w:val="center"/>
          </w:tcPr>
          <w:p w14:paraId="5A263603" w14:textId="77777777" w:rsidR="00CE4FF9" w:rsidRPr="009A59D5" w:rsidRDefault="00CE4FF9">
            <w:pPr>
              <w:pStyle w:val="BodyText1"/>
              <w:numPr>
                <w:ilvl w:val="0"/>
                <w:numId w:val="0"/>
              </w:numPr>
              <w:spacing w:after="0"/>
              <w:jc w:val="center"/>
            </w:pPr>
          </w:p>
        </w:tc>
        <w:tc>
          <w:tcPr>
            <w:tcW w:w="1634" w:type="dxa"/>
            <w:vMerge/>
            <w:vAlign w:val="center"/>
          </w:tcPr>
          <w:p w14:paraId="06F2FBDE" w14:textId="77777777" w:rsidR="00CE4FF9" w:rsidRPr="009A59D5" w:rsidRDefault="00CE4FF9">
            <w:pPr>
              <w:pStyle w:val="BodyText1"/>
              <w:numPr>
                <w:ilvl w:val="0"/>
                <w:numId w:val="0"/>
              </w:numPr>
              <w:spacing w:after="0"/>
              <w:jc w:val="center"/>
            </w:pPr>
          </w:p>
        </w:tc>
      </w:tr>
      <w:tr w:rsidR="00CE4FF9" w:rsidRPr="009A59D5" w14:paraId="2979F771" w14:textId="77777777" w:rsidTr="00751D7D">
        <w:tc>
          <w:tcPr>
            <w:tcW w:w="1416" w:type="dxa"/>
            <w:vMerge/>
            <w:vAlign w:val="center"/>
          </w:tcPr>
          <w:p w14:paraId="69BC3307" w14:textId="77777777" w:rsidR="00CE4FF9" w:rsidRPr="009A59D5" w:rsidRDefault="00CE4FF9" w:rsidP="00187998">
            <w:pPr>
              <w:pStyle w:val="BodyText1"/>
              <w:numPr>
                <w:ilvl w:val="0"/>
                <w:numId w:val="0"/>
              </w:numPr>
              <w:spacing w:after="0"/>
              <w:jc w:val="left"/>
            </w:pPr>
          </w:p>
        </w:tc>
        <w:tc>
          <w:tcPr>
            <w:tcW w:w="1556" w:type="dxa"/>
          </w:tcPr>
          <w:p w14:paraId="73FE9012" w14:textId="77777777" w:rsidR="00CE4FF9" w:rsidRPr="009A59D5" w:rsidRDefault="00CE4FF9" w:rsidP="00187998">
            <w:pPr>
              <w:spacing w:after="0"/>
            </w:pPr>
            <w:r w:rsidRPr="009A59D5">
              <w:t>Credit rating grade 3</w:t>
            </w:r>
          </w:p>
        </w:tc>
        <w:tc>
          <w:tcPr>
            <w:tcW w:w="1634" w:type="dxa"/>
            <w:vAlign w:val="center"/>
          </w:tcPr>
          <w:p w14:paraId="07E9FE66" w14:textId="77777777" w:rsidR="00CE4FF9" w:rsidRPr="009A59D5" w:rsidRDefault="00CE4FF9" w:rsidP="001A1BCD">
            <w:pPr>
              <w:pStyle w:val="BodyText1"/>
              <w:numPr>
                <w:ilvl w:val="0"/>
                <w:numId w:val="0"/>
              </w:numPr>
              <w:spacing w:after="0"/>
              <w:jc w:val="center"/>
            </w:pPr>
            <w:r w:rsidRPr="009A59D5">
              <w:t>0.54</w:t>
            </w:r>
          </w:p>
        </w:tc>
        <w:tc>
          <w:tcPr>
            <w:tcW w:w="1634" w:type="dxa"/>
            <w:vMerge/>
            <w:vAlign w:val="center"/>
          </w:tcPr>
          <w:p w14:paraId="36D14C46" w14:textId="77777777" w:rsidR="00CE4FF9" w:rsidRPr="009A59D5" w:rsidRDefault="00CE4FF9">
            <w:pPr>
              <w:pStyle w:val="BodyText1"/>
              <w:numPr>
                <w:ilvl w:val="0"/>
                <w:numId w:val="0"/>
              </w:numPr>
              <w:spacing w:after="0"/>
              <w:jc w:val="center"/>
            </w:pPr>
          </w:p>
        </w:tc>
        <w:tc>
          <w:tcPr>
            <w:tcW w:w="1634" w:type="dxa"/>
            <w:vMerge/>
            <w:vAlign w:val="center"/>
          </w:tcPr>
          <w:p w14:paraId="1667DC45" w14:textId="77777777" w:rsidR="00CE4FF9" w:rsidRPr="009A59D5" w:rsidRDefault="00CE4FF9">
            <w:pPr>
              <w:pStyle w:val="BodyText1"/>
              <w:numPr>
                <w:ilvl w:val="0"/>
                <w:numId w:val="0"/>
              </w:numPr>
              <w:spacing w:after="0"/>
              <w:jc w:val="center"/>
            </w:pPr>
          </w:p>
        </w:tc>
      </w:tr>
      <w:tr w:rsidR="00CE4FF9" w:rsidRPr="009A59D5" w14:paraId="703D0DD2" w14:textId="77777777" w:rsidTr="00751D7D">
        <w:tc>
          <w:tcPr>
            <w:tcW w:w="1416" w:type="dxa"/>
            <w:vMerge/>
            <w:vAlign w:val="center"/>
          </w:tcPr>
          <w:p w14:paraId="4716829E" w14:textId="77777777" w:rsidR="00CE4FF9" w:rsidRPr="009A59D5" w:rsidRDefault="00CE4FF9" w:rsidP="00187998">
            <w:pPr>
              <w:pStyle w:val="BodyText1"/>
              <w:numPr>
                <w:ilvl w:val="0"/>
                <w:numId w:val="0"/>
              </w:numPr>
              <w:spacing w:after="0"/>
              <w:jc w:val="left"/>
            </w:pPr>
          </w:p>
        </w:tc>
        <w:tc>
          <w:tcPr>
            <w:tcW w:w="1556" w:type="dxa"/>
          </w:tcPr>
          <w:p w14:paraId="459DB5B3" w14:textId="77777777" w:rsidR="00CE4FF9" w:rsidRPr="009A59D5" w:rsidRDefault="00CE4FF9" w:rsidP="00187998">
            <w:pPr>
              <w:spacing w:after="0"/>
            </w:pPr>
            <w:r w:rsidRPr="009A59D5">
              <w:t>Credit rating grade 4</w:t>
            </w:r>
          </w:p>
        </w:tc>
        <w:tc>
          <w:tcPr>
            <w:tcW w:w="1634" w:type="dxa"/>
            <w:vAlign w:val="center"/>
          </w:tcPr>
          <w:p w14:paraId="4E5066BF" w14:textId="77777777" w:rsidR="00CE4FF9" w:rsidRPr="009A59D5" w:rsidRDefault="00CE4FF9" w:rsidP="001A1BCD">
            <w:pPr>
              <w:pStyle w:val="BodyText1"/>
              <w:numPr>
                <w:ilvl w:val="0"/>
                <w:numId w:val="0"/>
              </w:numPr>
              <w:spacing w:after="0"/>
              <w:jc w:val="center"/>
            </w:pPr>
            <w:r w:rsidRPr="009A59D5">
              <w:t>1.06</w:t>
            </w:r>
          </w:p>
        </w:tc>
        <w:tc>
          <w:tcPr>
            <w:tcW w:w="1634" w:type="dxa"/>
            <w:vMerge/>
            <w:vAlign w:val="center"/>
          </w:tcPr>
          <w:p w14:paraId="7D829B9A" w14:textId="77777777" w:rsidR="00CE4FF9" w:rsidRPr="009A59D5" w:rsidRDefault="00CE4FF9">
            <w:pPr>
              <w:pStyle w:val="BodyText1"/>
              <w:numPr>
                <w:ilvl w:val="0"/>
                <w:numId w:val="0"/>
              </w:numPr>
              <w:spacing w:after="0"/>
              <w:jc w:val="center"/>
            </w:pPr>
          </w:p>
        </w:tc>
        <w:tc>
          <w:tcPr>
            <w:tcW w:w="1634" w:type="dxa"/>
            <w:vMerge/>
            <w:vAlign w:val="center"/>
          </w:tcPr>
          <w:p w14:paraId="16986A92" w14:textId="77777777" w:rsidR="00CE4FF9" w:rsidRPr="009A59D5" w:rsidRDefault="00CE4FF9">
            <w:pPr>
              <w:pStyle w:val="BodyText1"/>
              <w:numPr>
                <w:ilvl w:val="0"/>
                <w:numId w:val="0"/>
              </w:numPr>
              <w:spacing w:after="0"/>
              <w:jc w:val="center"/>
            </w:pPr>
          </w:p>
        </w:tc>
      </w:tr>
      <w:tr w:rsidR="00CE4FF9" w:rsidRPr="009A59D5" w14:paraId="6016DD8D" w14:textId="77777777" w:rsidTr="00751D7D">
        <w:tc>
          <w:tcPr>
            <w:tcW w:w="1416" w:type="dxa"/>
            <w:vMerge/>
            <w:vAlign w:val="center"/>
          </w:tcPr>
          <w:p w14:paraId="714826A0" w14:textId="77777777" w:rsidR="00CE4FF9" w:rsidRPr="009A59D5" w:rsidRDefault="00CE4FF9" w:rsidP="00187998">
            <w:pPr>
              <w:pStyle w:val="BodyText1"/>
              <w:numPr>
                <w:ilvl w:val="0"/>
                <w:numId w:val="0"/>
              </w:numPr>
              <w:spacing w:after="0"/>
              <w:jc w:val="left"/>
            </w:pPr>
          </w:p>
        </w:tc>
        <w:tc>
          <w:tcPr>
            <w:tcW w:w="1556" w:type="dxa"/>
          </w:tcPr>
          <w:p w14:paraId="77FEB358" w14:textId="77777777" w:rsidR="00CE4FF9" w:rsidRPr="009A59D5" w:rsidRDefault="00CE4FF9" w:rsidP="00187998">
            <w:pPr>
              <w:spacing w:after="0"/>
            </w:pPr>
            <w:r w:rsidRPr="009A59D5">
              <w:t>Credit rating grade 5</w:t>
            </w:r>
          </w:p>
        </w:tc>
        <w:tc>
          <w:tcPr>
            <w:tcW w:w="1634" w:type="dxa"/>
            <w:vAlign w:val="center"/>
          </w:tcPr>
          <w:p w14:paraId="0133347A" w14:textId="77777777" w:rsidR="00CE4FF9" w:rsidRPr="009A59D5" w:rsidRDefault="00CE4FF9" w:rsidP="001A1BCD">
            <w:pPr>
              <w:pStyle w:val="BodyText1"/>
              <w:numPr>
                <w:ilvl w:val="0"/>
                <w:numId w:val="0"/>
              </w:numPr>
              <w:spacing w:after="0"/>
              <w:jc w:val="center"/>
            </w:pPr>
            <w:r w:rsidRPr="009A59D5">
              <w:t>1.60</w:t>
            </w:r>
          </w:p>
        </w:tc>
        <w:tc>
          <w:tcPr>
            <w:tcW w:w="1634" w:type="dxa"/>
            <w:vMerge/>
            <w:vAlign w:val="center"/>
          </w:tcPr>
          <w:p w14:paraId="2470E964" w14:textId="77777777" w:rsidR="00CE4FF9" w:rsidRPr="009A59D5" w:rsidRDefault="00CE4FF9">
            <w:pPr>
              <w:pStyle w:val="BodyText1"/>
              <w:numPr>
                <w:ilvl w:val="0"/>
                <w:numId w:val="0"/>
              </w:numPr>
              <w:spacing w:after="0"/>
              <w:jc w:val="center"/>
            </w:pPr>
          </w:p>
        </w:tc>
        <w:tc>
          <w:tcPr>
            <w:tcW w:w="1634" w:type="dxa"/>
            <w:vMerge/>
            <w:vAlign w:val="center"/>
          </w:tcPr>
          <w:p w14:paraId="1AB6563B" w14:textId="77777777" w:rsidR="00CE4FF9" w:rsidRPr="009A59D5" w:rsidRDefault="00CE4FF9">
            <w:pPr>
              <w:pStyle w:val="BodyText1"/>
              <w:numPr>
                <w:ilvl w:val="0"/>
                <w:numId w:val="0"/>
              </w:numPr>
              <w:spacing w:after="0"/>
              <w:jc w:val="center"/>
            </w:pPr>
          </w:p>
        </w:tc>
      </w:tr>
      <w:tr w:rsidR="00CE4FF9" w:rsidRPr="009A59D5" w14:paraId="0FDB55DF" w14:textId="77777777" w:rsidTr="00751D7D">
        <w:tc>
          <w:tcPr>
            <w:tcW w:w="1416" w:type="dxa"/>
            <w:vMerge/>
            <w:vAlign w:val="center"/>
          </w:tcPr>
          <w:p w14:paraId="683E50AF" w14:textId="77777777" w:rsidR="00CE4FF9" w:rsidRPr="009A59D5" w:rsidRDefault="00CE4FF9" w:rsidP="00187998">
            <w:pPr>
              <w:pStyle w:val="BodyText1"/>
              <w:numPr>
                <w:ilvl w:val="0"/>
                <w:numId w:val="0"/>
              </w:numPr>
              <w:spacing w:after="0"/>
              <w:jc w:val="left"/>
            </w:pPr>
          </w:p>
        </w:tc>
        <w:tc>
          <w:tcPr>
            <w:tcW w:w="1556" w:type="dxa"/>
          </w:tcPr>
          <w:p w14:paraId="39AA45A8" w14:textId="77777777" w:rsidR="00CE4FF9" w:rsidRPr="009A59D5" w:rsidRDefault="00CE4FF9" w:rsidP="00187998">
            <w:pPr>
              <w:spacing w:after="0"/>
            </w:pPr>
            <w:r w:rsidRPr="009A59D5">
              <w:t>Credit rating grade 6</w:t>
            </w:r>
          </w:p>
        </w:tc>
        <w:tc>
          <w:tcPr>
            <w:tcW w:w="1634" w:type="dxa"/>
            <w:vAlign w:val="center"/>
          </w:tcPr>
          <w:p w14:paraId="543F1014" w14:textId="77777777" w:rsidR="00CE4FF9" w:rsidRPr="009A59D5" w:rsidRDefault="00CE4FF9" w:rsidP="001A1BCD">
            <w:pPr>
              <w:pStyle w:val="BodyText1"/>
              <w:numPr>
                <w:ilvl w:val="0"/>
                <w:numId w:val="0"/>
              </w:numPr>
              <w:spacing w:after="0"/>
              <w:jc w:val="center"/>
            </w:pPr>
            <w:r w:rsidRPr="009A59D5">
              <w:t>6.0</w:t>
            </w:r>
          </w:p>
        </w:tc>
        <w:tc>
          <w:tcPr>
            <w:tcW w:w="1634" w:type="dxa"/>
            <w:vMerge/>
            <w:vAlign w:val="center"/>
          </w:tcPr>
          <w:p w14:paraId="1258A523" w14:textId="77777777" w:rsidR="00CE4FF9" w:rsidRPr="009A59D5" w:rsidRDefault="00CE4FF9">
            <w:pPr>
              <w:pStyle w:val="BodyText1"/>
              <w:numPr>
                <w:ilvl w:val="0"/>
                <w:numId w:val="0"/>
              </w:numPr>
              <w:spacing w:after="0"/>
              <w:jc w:val="center"/>
            </w:pPr>
          </w:p>
        </w:tc>
        <w:tc>
          <w:tcPr>
            <w:tcW w:w="1634" w:type="dxa"/>
            <w:vMerge/>
            <w:vAlign w:val="center"/>
          </w:tcPr>
          <w:p w14:paraId="6DC3E955" w14:textId="77777777" w:rsidR="00CE4FF9" w:rsidRPr="009A59D5" w:rsidRDefault="00CE4FF9">
            <w:pPr>
              <w:pStyle w:val="BodyText1"/>
              <w:numPr>
                <w:ilvl w:val="0"/>
                <w:numId w:val="0"/>
              </w:numPr>
              <w:spacing w:after="0"/>
              <w:jc w:val="center"/>
            </w:pPr>
          </w:p>
        </w:tc>
      </w:tr>
      <w:tr w:rsidR="001A1BCD" w:rsidRPr="009A59D5" w14:paraId="513BF386" w14:textId="77777777" w:rsidTr="00751D7D">
        <w:tc>
          <w:tcPr>
            <w:tcW w:w="1416" w:type="dxa"/>
            <w:vMerge w:val="restart"/>
            <w:vAlign w:val="center"/>
          </w:tcPr>
          <w:p w14:paraId="6C7A0661" w14:textId="77777777" w:rsidR="001A1BCD" w:rsidRPr="009A59D5" w:rsidRDefault="001A1BCD" w:rsidP="00187998">
            <w:pPr>
              <w:pStyle w:val="BodyText1"/>
              <w:numPr>
                <w:ilvl w:val="0"/>
                <w:numId w:val="0"/>
              </w:numPr>
              <w:spacing w:after="0"/>
              <w:jc w:val="left"/>
            </w:pPr>
            <w:r w:rsidRPr="009A59D5">
              <w:t>Credit index</w:t>
            </w:r>
          </w:p>
        </w:tc>
        <w:tc>
          <w:tcPr>
            <w:tcW w:w="1556" w:type="dxa"/>
          </w:tcPr>
          <w:p w14:paraId="2053A430" w14:textId="77777777" w:rsidR="001A1BCD" w:rsidRPr="009A59D5" w:rsidRDefault="001A1BCD" w:rsidP="00187998">
            <w:pPr>
              <w:pStyle w:val="BodyText1"/>
              <w:numPr>
                <w:ilvl w:val="0"/>
                <w:numId w:val="0"/>
              </w:numPr>
              <w:spacing w:after="0"/>
              <w:jc w:val="left"/>
            </w:pPr>
            <w:r w:rsidRPr="009A59D5">
              <w:t>Investment grade (IG)</w:t>
            </w:r>
          </w:p>
        </w:tc>
        <w:tc>
          <w:tcPr>
            <w:tcW w:w="1634" w:type="dxa"/>
            <w:vAlign w:val="center"/>
          </w:tcPr>
          <w:p w14:paraId="43CE7D1C" w14:textId="591F2474" w:rsidR="001A1BCD" w:rsidRPr="009A59D5" w:rsidRDefault="001A1BCD" w:rsidP="001A1BCD">
            <w:pPr>
              <w:pStyle w:val="BodyText1"/>
              <w:numPr>
                <w:ilvl w:val="0"/>
                <w:numId w:val="0"/>
              </w:numPr>
              <w:spacing w:after="0"/>
              <w:jc w:val="center"/>
            </w:pPr>
            <w:r w:rsidRPr="009A59D5">
              <w:t>0.38</w:t>
            </w:r>
          </w:p>
        </w:tc>
        <w:tc>
          <w:tcPr>
            <w:tcW w:w="1634" w:type="dxa"/>
            <w:vMerge w:val="restart"/>
            <w:vAlign w:val="center"/>
          </w:tcPr>
          <w:p w14:paraId="63A27370" w14:textId="05235EAA" w:rsidR="001A1BCD" w:rsidRPr="009A59D5" w:rsidRDefault="001A1BCD" w:rsidP="001A1BCD">
            <w:pPr>
              <w:pStyle w:val="BodyText1"/>
              <w:numPr>
                <w:ilvl w:val="0"/>
                <w:numId w:val="0"/>
              </w:numPr>
              <w:spacing w:after="0"/>
              <w:jc w:val="center"/>
            </w:pPr>
            <w:r w:rsidRPr="009A59D5">
              <w:t>80</w:t>
            </w:r>
          </w:p>
        </w:tc>
        <w:tc>
          <w:tcPr>
            <w:tcW w:w="1634" w:type="dxa"/>
            <w:vMerge w:val="restart"/>
            <w:vAlign w:val="center"/>
          </w:tcPr>
          <w:p w14:paraId="6A33687A" w14:textId="6B510502" w:rsidR="001A1BCD" w:rsidRPr="009A59D5" w:rsidRDefault="001A1BCD" w:rsidP="001A1BCD">
            <w:pPr>
              <w:pStyle w:val="BodyText1"/>
              <w:numPr>
                <w:ilvl w:val="0"/>
                <w:numId w:val="0"/>
              </w:numPr>
              <w:spacing w:after="0"/>
              <w:jc w:val="center"/>
            </w:pPr>
            <w:r w:rsidRPr="009A59D5">
              <w:t>80</w:t>
            </w:r>
          </w:p>
        </w:tc>
      </w:tr>
      <w:tr w:rsidR="001A1BCD" w:rsidRPr="009A59D5" w14:paraId="355D09A2" w14:textId="77777777" w:rsidTr="00751D7D">
        <w:tc>
          <w:tcPr>
            <w:tcW w:w="1416" w:type="dxa"/>
            <w:vMerge/>
            <w:vAlign w:val="center"/>
          </w:tcPr>
          <w:p w14:paraId="03FA4868" w14:textId="77777777" w:rsidR="001A1BCD" w:rsidRPr="009A59D5" w:rsidRDefault="001A1BCD" w:rsidP="00187998">
            <w:pPr>
              <w:pStyle w:val="BodyText1"/>
              <w:numPr>
                <w:ilvl w:val="0"/>
                <w:numId w:val="0"/>
              </w:numPr>
              <w:spacing w:after="0"/>
              <w:jc w:val="left"/>
            </w:pPr>
          </w:p>
        </w:tc>
        <w:tc>
          <w:tcPr>
            <w:tcW w:w="1556" w:type="dxa"/>
          </w:tcPr>
          <w:p w14:paraId="33B86066" w14:textId="77777777" w:rsidR="001A1BCD" w:rsidRPr="009A59D5" w:rsidRDefault="001A1BCD" w:rsidP="00187998">
            <w:pPr>
              <w:pStyle w:val="BodyText1"/>
              <w:numPr>
                <w:ilvl w:val="0"/>
                <w:numId w:val="0"/>
              </w:numPr>
              <w:spacing w:after="0"/>
              <w:jc w:val="left"/>
            </w:pPr>
            <w:r w:rsidRPr="009A59D5">
              <w:t>Sub-investment grade (SG)</w:t>
            </w:r>
          </w:p>
        </w:tc>
        <w:tc>
          <w:tcPr>
            <w:tcW w:w="1634" w:type="dxa"/>
            <w:vAlign w:val="center"/>
          </w:tcPr>
          <w:p w14:paraId="4356FFBF" w14:textId="0C27E456" w:rsidR="001A1BCD" w:rsidRPr="009A59D5" w:rsidRDefault="001A1BCD" w:rsidP="001A1BCD">
            <w:pPr>
              <w:pStyle w:val="BodyText1"/>
              <w:numPr>
                <w:ilvl w:val="0"/>
                <w:numId w:val="0"/>
              </w:numPr>
              <w:spacing w:after="0"/>
              <w:jc w:val="center"/>
            </w:pPr>
            <w:r w:rsidRPr="009A59D5">
              <w:t>1.06</w:t>
            </w:r>
          </w:p>
        </w:tc>
        <w:tc>
          <w:tcPr>
            <w:tcW w:w="1634" w:type="dxa"/>
            <w:vMerge/>
            <w:vAlign w:val="center"/>
          </w:tcPr>
          <w:p w14:paraId="7B9E224B" w14:textId="77777777" w:rsidR="001A1BCD" w:rsidRPr="009A59D5" w:rsidRDefault="001A1BCD">
            <w:pPr>
              <w:pStyle w:val="BodyText1"/>
              <w:numPr>
                <w:ilvl w:val="0"/>
                <w:numId w:val="0"/>
              </w:numPr>
              <w:spacing w:after="0"/>
              <w:jc w:val="center"/>
            </w:pPr>
          </w:p>
        </w:tc>
        <w:tc>
          <w:tcPr>
            <w:tcW w:w="1634" w:type="dxa"/>
            <w:vMerge/>
            <w:vAlign w:val="center"/>
          </w:tcPr>
          <w:p w14:paraId="7C968443" w14:textId="77777777" w:rsidR="001A1BCD" w:rsidRPr="009A59D5" w:rsidRDefault="001A1BCD">
            <w:pPr>
              <w:pStyle w:val="BodyText1"/>
              <w:numPr>
                <w:ilvl w:val="0"/>
                <w:numId w:val="0"/>
              </w:numPr>
              <w:spacing w:after="0"/>
              <w:jc w:val="center"/>
            </w:pPr>
          </w:p>
        </w:tc>
      </w:tr>
      <w:tr w:rsidR="001A73AA" w:rsidRPr="009A59D5" w14:paraId="63552D96" w14:textId="77777777" w:rsidTr="00751D7D">
        <w:tc>
          <w:tcPr>
            <w:tcW w:w="2972" w:type="dxa"/>
            <w:gridSpan w:val="2"/>
            <w:vAlign w:val="center"/>
          </w:tcPr>
          <w:p w14:paraId="45321EB3" w14:textId="49A1A8C0" w:rsidR="001A73AA" w:rsidRPr="009A59D5" w:rsidRDefault="001A73AA" w:rsidP="00187998">
            <w:pPr>
              <w:pStyle w:val="BodyText1"/>
              <w:numPr>
                <w:ilvl w:val="0"/>
                <w:numId w:val="0"/>
              </w:numPr>
              <w:spacing w:after="0"/>
              <w:jc w:val="left"/>
            </w:pPr>
            <w:r w:rsidRPr="009A59D5">
              <w:t>Equity single name</w:t>
            </w:r>
          </w:p>
        </w:tc>
        <w:tc>
          <w:tcPr>
            <w:tcW w:w="1634" w:type="dxa"/>
            <w:vAlign w:val="center"/>
          </w:tcPr>
          <w:p w14:paraId="2ED09437" w14:textId="77777777" w:rsidR="001A73AA" w:rsidRPr="009A59D5" w:rsidRDefault="001A73AA" w:rsidP="001A1BCD">
            <w:pPr>
              <w:pStyle w:val="BodyText1"/>
              <w:numPr>
                <w:ilvl w:val="0"/>
                <w:numId w:val="0"/>
              </w:numPr>
              <w:spacing w:after="0"/>
              <w:jc w:val="center"/>
            </w:pPr>
            <w:r w:rsidRPr="009A59D5">
              <w:t>32</w:t>
            </w:r>
          </w:p>
        </w:tc>
        <w:tc>
          <w:tcPr>
            <w:tcW w:w="1634" w:type="dxa"/>
            <w:vAlign w:val="center"/>
          </w:tcPr>
          <w:p w14:paraId="12D2DDFF" w14:textId="77777777" w:rsidR="001A73AA" w:rsidRPr="009A59D5" w:rsidRDefault="001A73AA" w:rsidP="001A1BCD">
            <w:pPr>
              <w:pStyle w:val="BodyText1"/>
              <w:numPr>
                <w:ilvl w:val="0"/>
                <w:numId w:val="0"/>
              </w:numPr>
              <w:spacing w:after="0"/>
              <w:jc w:val="center"/>
            </w:pPr>
            <w:r w:rsidRPr="009A59D5">
              <w:t>50</w:t>
            </w:r>
          </w:p>
        </w:tc>
        <w:tc>
          <w:tcPr>
            <w:tcW w:w="1634" w:type="dxa"/>
            <w:vAlign w:val="center"/>
          </w:tcPr>
          <w:p w14:paraId="3E9B3536" w14:textId="77777777" w:rsidR="001A73AA" w:rsidRPr="009A59D5" w:rsidRDefault="001A73AA">
            <w:pPr>
              <w:pStyle w:val="BodyText1"/>
              <w:numPr>
                <w:ilvl w:val="0"/>
                <w:numId w:val="0"/>
              </w:numPr>
              <w:spacing w:after="0"/>
              <w:jc w:val="center"/>
            </w:pPr>
            <w:r w:rsidRPr="009A59D5">
              <w:t>120</w:t>
            </w:r>
          </w:p>
        </w:tc>
      </w:tr>
      <w:tr w:rsidR="001A73AA" w:rsidRPr="009A59D5" w14:paraId="4AA83BA2" w14:textId="77777777" w:rsidTr="00751D7D">
        <w:tc>
          <w:tcPr>
            <w:tcW w:w="2972" w:type="dxa"/>
            <w:gridSpan w:val="2"/>
            <w:vAlign w:val="center"/>
          </w:tcPr>
          <w:p w14:paraId="2863A8D9" w14:textId="3C807883" w:rsidR="001A73AA" w:rsidRPr="009A59D5" w:rsidRDefault="001A73AA" w:rsidP="00187998">
            <w:pPr>
              <w:pStyle w:val="BodyText1"/>
              <w:numPr>
                <w:ilvl w:val="0"/>
                <w:numId w:val="0"/>
              </w:numPr>
              <w:spacing w:after="0"/>
              <w:jc w:val="left"/>
            </w:pPr>
            <w:r w:rsidRPr="009A59D5">
              <w:t>Equity index</w:t>
            </w:r>
          </w:p>
        </w:tc>
        <w:tc>
          <w:tcPr>
            <w:tcW w:w="1634" w:type="dxa"/>
            <w:vAlign w:val="center"/>
          </w:tcPr>
          <w:p w14:paraId="125142B5" w14:textId="77777777" w:rsidR="001A73AA" w:rsidRPr="009A59D5" w:rsidRDefault="001A73AA" w:rsidP="001A1BCD">
            <w:pPr>
              <w:pStyle w:val="BodyText1"/>
              <w:numPr>
                <w:ilvl w:val="0"/>
                <w:numId w:val="0"/>
              </w:numPr>
              <w:spacing w:after="0"/>
              <w:jc w:val="center"/>
            </w:pPr>
            <w:r w:rsidRPr="009A59D5">
              <w:t>20</w:t>
            </w:r>
          </w:p>
        </w:tc>
        <w:tc>
          <w:tcPr>
            <w:tcW w:w="1634" w:type="dxa"/>
            <w:vAlign w:val="center"/>
          </w:tcPr>
          <w:p w14:paraId="5278E43B" w14:textId="77777777" w:rsidR="001A73AA" w:rsidRPr="009A59D5" w:rsidRDefault="001A73AA" w:rsidP="001A1BCD">
            <w:pPr>
              <w:pStyle w:val="BodyText1"/>
              <w:numPr>
                <w:ilvl w:val="0"/>
                <w:numId w:val="0"/>
              </w:numPr>
              <w:spacing w:after="0"/>
              <w:jc w:val="center"/>
            </w:pPr>
            <w:r w:rsidRPr="009A59D5">
              <w:t>80</w:t>
            </w:r>
          </w:p>
        </w:tc>
        <w:tc>
          <w:tcPr>
            <w:tcW w:w="1634" w:type="dxa"/>
            <w:vAlign w:val="center"/>
          </w:tcPr>
          <w:p w14:paraId="02D89A68" w14:textId="77777777" w:rsidR="001A73AA" w:rsidRPr="009A59D5" w:rsidRDefault="001A73AA" w:rsidP="001A1BCD">
            <w:pPr>
              <w:pStyle w:val="BodyText1"/>
              <w:numPr>
                <w:ilvl w:val="0"/>
                <w:numId w:val="0"/>
              </w:numPr>
              <w:spacing w:after="0"/>
              <w:jc w:val="center"/>
            </w:pPr>
            <w:r w:rsidRPr="009A59D5">
              <w:t>75</w:t>
            </w:r>
          </w:p>
        </w:tc>
      </w:tr>
      <w:tr w:rsidR="001A1BCD" w:rsidRPr="009A59D5" w14:paraId="4627C167" w14:textId="77777777" w:rsidTr="00751D7D">
        <w:tc>
          <w:tcPr>
            <w:tcW w:w="1416" w:type="dxa"/>
            <w:vMerge w:val="restart"/>
            <w:vAlign w:val="center"/>
          </w:tcPr>
          <w:p w14:paraId="5853206B" w14:textId="5703C9BF" w:rsidR="001A1BCD" w:rsidRPr="009A59D5" w:rsidRDefault="001A1BCD" w:rsidP="00187998">
            <w:pPr>
              <w:pStyle w:val="BodyText1"/>
              <w:numPr>
                <w:ilvl w:val="0"/>
                <w:numId w:val="0"/>
              </w:numPr>
              <w:spacing w:after="0"/>
              <w:jc w:val="left"/>
            </w:pPr>
            <w:r w:rsidRPr="009A59D5">
              <w:t>Commodity</w:t>
            </w:r>
          </w:p>
        </w:tc>
        <w:tc>
          <w:tcPr>
            <w:tcW w:w="1556" w:type="dxa"/>
          </w:tcPr>
          <w:p w14:paraId="080F845D" w14:textId="5C1CCF0C" w:rsidR="001A1BCD" w:rsidRPr="009A59D5" w:rsidRDefault="001A1BCD" w:rsidP="00187998">
            <w:pPr>
              <w:pStyle w:val="BodyText1"/>
              <w:numPr>
                <w:ilvl w:val="0"/>
                <w:numId w:val="0"/>
              </w:numPr>
              <w:spacing w:after="0"/>
              <w:jc w:val="left"/>
            </w:pPr>
            <w:r w:rsidRPr="009A59D5">
              <w:t>Electricity</w:t>
            </w:r>
          </w:p>
        </w:tc>
        <w:tc>
          <w:tcPr>
            <w:tcW w:w="1634" w:type="dxa"/>
            <w:vAlign w:val="center"/>
          </w:tcPr>
          <w:p w14:paraId="56558EF1" w14:textId="3799904D" w:rsidR="001A1BCD" w:rsidRPr="009A59D5" w:rsidRDefault="001A1BCD" w:rsidP="001A1BCD">
            <w:pPr>
              <w:pStyle w:val="BodyText1"/>
              <w:numPr>
                <w:ilvl w:val="0"/>
                <w:numId w:val="0"/>
              </w:numPr>
              <w:spacing w:after="0"/>
              <w:jc w:val="center"/>
            </w:pPr>
            <w:r w:rsidRPr="009A59D5">
              <w:t>40</w:t>
            </w:r>
          </w:p>
        </w:tc>
        <w:tc>
          <w:tcPr>
            <w:tcW w:w="1634" w:type="dxa"/>
            <w:vMerge w:val="restart"/>
            <w:vAlign w:val="center"/>
          </w:tcPr>
          <w:p w14:paraId="2B59A55E" w14:textId="02CCCAED" w:rsidR="001A1BCD" w:rsidRPr="009A59D5" w:rsidRDefault="001A1BCD" w:rsidP="001A1BCD">
            <w:pPr>
              <w:pStyle w:val="BodyText1"/>
              <w:numPr>
                <w:ilvl w:val="0"/>
                <w:numId w:val="0"/>
              </w:numPr>
              <w:spacing w:after="0"/>
              <w:jc w:val="center"/>
            </w:pPr>
            <w:r w:rsidRPr="009A59D5">
              <w:t>40</w:t>
            </w:r>
          </w:p>
        </w:tc>
        <w:tc>
          <w:tcPr>
            <w:tcW w:w="1634" w:type="dxa"/>
            <w:vAlign w:val="center"/>
          </w:tcPr>
          <w:p w14:paraId="2929DD9E" w14:textId="0A12B2CB" w:rsidR="001A1BCD" w:rsidRPr="009A59D5" w:rsidRDefault="001A1BCD" w:rsidP="001A1BCD">
            <w:pPr>
              <w:pStyle w:val="BodyText1"/>
              <w:numPr>
                <w:ilvl w:val="0"/>
                <w:numId w:val="0"/>
              </w:numPr>
              <w:spacing w:after="0"/>
              <w:jc w:val="center"/>
            </w:pPr>
            <w:r w:rsidRPr="009A59D5">
              <w:t>150</w:t>
            </w:r>
          </w:p>
        </w:tc>
      </w:tr>
      <w:tr w:rsidR="001A1BCD" w:rsidRPr="009A59D5" w14:paraId="6C995265" w14:textId="77777777" w:rsidTr="00751D7D">
        <w:tc>
          <w:tcPr>
            <w:tcW w:w="1416" w:type="dxa"/>
            <w:vMerge/>
            <w:vAlign w:val="center"/>
          </w:tcPr>
          <w:p w14:paraId="7BD89FD2" w14:textId="77777777" w:rsidR="001A1BCD" w:rsidRPr="009A59D5" w:rsidRDefault="001A1BCD" w:rsidP="00187998">
            <w:pPr>
              <w:pStyle w:val="BodyText1"/>
              <w:numPr>
                <w:ilvl w:val="0"/>
                <w:numId w:val="0"/>
              </w:numPr>
              <w:spacing w:after="0"/>
              <w:jc w:val="left"/>
            </w:pPr>
          </w:p>
        </w:tc>
        <w:tc>
          <w:tcPr>
            <w:tcW w:w="1556" w:type="dxa"/>
          </w:tcPr>
          <w:p w14:paraId="40782E02" w14:textId="183D92D6" w:rsidR="001A1BCD" w:rsidRPr="009A59D5" w:rsidRDefault="001A1BCD" w:rsidP="00187998">
            <w:pPr>
              <w:pStyle w:val="BodyText1"/>
              <w:numPr>
                <w:ilvl w:val="0"/>
                <w:numId w:val="0"/>
              </w:numPr>
              <w:spacing w:after="0"/>
              <w:jc w:val="left"/>
            </w:pPr>
            <w:r w:rsidRPr="009A59D5">
              <w:t>Oil/gas</w:t>
            </w:r>
          </w:p>
        </w:tc>
        <w:tc>
          <w:tcPr>
            <w:tcW w:w="1634" w:type="dxa"/>
            <w:vMerge w:val="restart"/>
            <w:vAlign w:val="center"/>
          </w:tcPr>
          <w:p w14:paraId="5D89D0BA" w14:textId="7BFEE7E4" w:rsidR="001A1BCD" w:rsidRPr="009A59D5" w:rsidRDefault="001A1BCD" w:rsidP="001A1BCD">
            <w:pPr>
              <w:pStyle w:val="BodyText1"/>
              <w:numPr>
                <w:ilvl w:val="0"/>
                <w:numId w:val="0"/>
              </w:numPr>
              <w:spacing w:after="0"/>
              <w:jc w:val="center"/>
            </w:pPr>
            <w:r w:rsidRPr="009A59D5">
              <w:t>18</w:t>
            </w:r>
          </w:p>
        </w:tc>
        <w:tc>
          <w:tcPr>
            <w:tcW w:w="1634" w:type="dxa"/>
            <w:vMerge/>
            <w:vAlign w:val="center"/>
          </w:tcPr>
          <w:p w14:paraId="0B194CC9" w14:textId="77777777" w:rsidR="001A1BCD" w:rsidRPr="009A59D5" w:rsidRDefault="001A1BCD" w:rsidP="001A1BCD">
            <w:pPr>
              <w:pStyle w:val="BodyText1"/>
              <w:numPr>
                <w:ilvl w:val="0"/>
                <w:numId w:val="0"/>
              </w:numPr>
              <w:spacing w:after="0"/>
              <w:jc w:val="center"/>
            </w:pPr>
          </w:p>
        </w:tc>
        <w:tc>
          <w:tcPr>
            <w:tcW w:w="1634" w:type="dxa"/>
            <w:vMerge w:val="restart"/>
            <w:vAlign w:val="center"/>
          </w:tcPr>
          <w:p w14:paraId="64A36CFF" w14:textId="077D8BF0" w:rsidR="001A1BCD" w:rsidRPr="009A59D5" w:rsidRDefault="001A1BCD" w:rsidP="001A1BCD">
            <w:pPr>
              <w:pStyle w:val="BodyText1"/>
              <w:numPr>
                <w:ilvl w:val="0"/>
                <w:numId w:val="0"/>
              </w:numPr>
              <w:spacing w:after="0"/>
              <w:jc w:val="center"/>
            </w:pPr>
            <w:r w:rsidRPr="009A59D5">
              <w:t>70</w:t>
            </w:r>
          </w:p>
        </w:tc>
      </w:tr>
      <w:tr w:rsidR="001A1BCD" w:rsidRPr="009A59D5" w14:paraId="0DAF93A0" w14:textId="77777777" w:rsidTr="00751D7D">
        <w:tc>
          <w:tcPr>
            <w:tcW w:w="1416" w:type="dxa"/>
            <w:vMerge/>
            <w:vAlign w:val="center"/>
          </w:tcPr>
          <w:p w14:paraId="4A5BA39A" w14:textId="77777777" w:rsidR="001A1BCD" w:rsidRPr="009A59D5" w:rsidRDefault="001A1BCD" w:rsidP="00187998">
            <w:pPr>
              <w:pStyle w:val="BodyText1"/>
              <w:numPr>
                <w:ilvl w:val="0"/>
                <w:numId w:val="0"/>
              </w:numPr>
              <w:spacing w:after="0"/>
              <w:jc w:val="left"/>
            </w:pPr>
          </w:p>
        </w:tc>
        <w:tc>
          <w:tcPr>
            <w:tcW w:w="1556" w:type="dxa"/>
          </w:tcPr>
          <w:p w14:paraId="38A02323" w14:textId="7205B4B9" w:rsidR="001A1BCD" w:rsidRPr="009A59D5" w:rsidRDefault="001A1BCD" w:rsidP="00187998">
            <w:pPr>
              <w:pStyle w:val="BodyText1"/>
              <w:numPr>
                <w:ilvl w:val="0"/>
                <w:numId w:val="0"/>
              </w:numPr>
              <w:spacing w:after="0"/>
              <w:jc w:val="left"/>
            </w:pPr>
            <w:r w:rsidRPr="009A59D5">
              <w:t>Metals</w:t>
            </w:r>
          </w:p>
        </w:tc>
        <w:tc>
          <w:tcPr>
            <w:tcW w:w="1634" w:type="dxa"/>
            <w:vMerge/>
            <w:vAlign w:val="center"/>
          </w:tcPr>
          <w:p w14:paraId="7270C789" w14:textId="77777777" w:rsidR="001A1BCD" w:rsidRPr="009A59D5" w:rsidRDefault="001A1BCD" w:rsidP="001A1BCD">
            <w:pPr>
              <w:pStyle w:val="BodyText1"/>
              <w:numPr>
                <w:ilvl w:val="0"/>
                <w:numId w:val="0"/>
              </w:numPr>
              <w:spacing w:after="0"/>
              <w:jc w:val="center"/>
            </w:pPr>
          </w:p>
        </w:tc>
        <w:tc>
          <w:tcPr>
            <w:tcW w:w="1634" w:type="dxa"/>
            <w:vMerge/>
            <w:vAlign w:val="center"/>
          </w:tcPr>
          <w:p w14:paraId="6BA3BA18" w14:textId="77777777" w:rsidR="001A1BCD" w:rsidRPr="009A59D5" w:rsidRDefault="001A1BCD" w:rsidP="001A1BCD">
            <w:pPr>
              <w:pStyle w:val="BodyText1"/>
              <w:numPr>
                <w:ilvl w:val="0"/>
                <w:numId w:val="0"/>
              </w:numPr>
              <w:spacing w:after="0"/>
              <w:jc w:val="center"/>
            </w:pPr>
          </w:p>
        </w:tc>
        <w:tc>
          <w:tcPr>
            <w:tcW w:w="1634" w:type="dxa"/>
            <w:vMerge/>
            <w:vAlign w:val="center"/>
          </w:tcPr>
          <w:p w14:paraId="03271725" w14:textId="77777777" w:rsidR="001A1BCD" w:rsidRPr="009A59D5" w:rsidRDefault="001A1BCD" w:rsidP="001A1BCD">
            <w:pPr>
              <w:pStyle w:val="BodyText1"/>
              <w:numPr>
                <w:ilvl w:val="0"/>
                <w:numId w:val="0"/>
              </w:numPr>
              <w:spacing w:after="0"/>
              <w:jc w:val="center"/>
            </w:pPr>
          </w:p>
        </w:tc>
      </w:tr>
      <w:tr w:rsidR="001A1BCD" w:rsidRPr="009A59D5" w14:paraId="09A2DF10" w14:textId="77777777" w:rsidTr="00751D7D">
        <w:tc>
          <w:tcPr>
            <w:tcW w:w="1416" w:type="dxa"/>
            <w:vMerge/>
            <w:vAlign w:val="center"/>
          </w:tcPr>
          <w:p w14:paraId="6878A364" w14:textId="77777777" w:rsidR="001A1BCD" w:rsidRPr="009A59D5" w:rsidRDefault="001A1BCD" w:rsidP="00187998">
            <w:pPr>
              <w:pStyle w:val="BodyText1"/>
              <w:numPr>
                <w:ilvl w:val="0"/>
                <w:numId w:val="0"/>
              </w:numPr>
              <w:spacing w:after="0"/>
              <w:jc w:val="left"/>
            </w:pPr>
          </w:p>
        </w:tc>
        <w:tc>
          <w:tcPr>
            <w:tcW w:w="1556" w:type="dxa"/>
          </w:tcPr>
          <w:p w14:paraId="772121B2" w14:textId="4F678C6A" w:rsidR="001A1BCD" w:rsidRPr="009A59D5" w:rsidRDefault="001A1BCD" w:rsidP="00187998">
            <w:pPr>
              <w:pStyle w:val="BodyText1"/>
              <w:numPr>
                <w:ilvl w:val="0"/>
                <w:numId w:val="0"/>
              </w:numPr>
              <w:spacing w:after="0"/>
              <w:jc w:val="left"/>
            </w:pPr>
            <w:r w:rsidRPr="009A59D5">
              <w:t>Agricultural</w:t>
            </w:r>
          </w:p>
        </w:tc>
        <w:tc>
          <w:tcPr>
            <w:tcW w:w="1634" w:type="dxa"/>
            <w:vMerge/>
            <w:vAlign w:val="center"/>
          </w:tcPr>
          <w:p w14:paraId="4D1698DB" w14:textId="77777777" w:rsidR="001A1BCD" w:rsidRPr="009A59D5" w:rsidRDefault="001A1BCD" w:rsidP="001A1BCD">
            <w:pPr>
              <w:pStyle w:val="BodyText1"/>
              <w:numPr>
                <w:ilvl w:val="0"/>
                <w:numId w:val="0"/>
              </w:numPr>
              <w:spacing w:after="0"/>
              <w:jc w:val="center"/>
            </w:pPr>
          </w:p>
        </w:tc>
        <w:tc>
          <w:tcPr>
            <w:tcW w:w="1634" w:type="dxa"/>
            <w:vMerge/>
            <w:vAlign w:val="center"/>
          </w:tcPr>
          <w:p w14:paraId="76F2F8AD" w14:textId="77777777" w:rsidR="001A1BCD" w:rsidRPr="009A59D5" w:rsidRDefault="001A1BCD" w:rsidP="001A1BCD">
            <w:pPr>
              <w:pStyle w:val="BodyText1"/>
              <w:numPr>
                <w:ilvl w:val="0"/>
                <w:numId w:val="0"/>
              </w:numPr>
              <w:spacing w:after="0"/>
              <w:jc w:val="center"/>
            </w:pPr>
          </w:p>
        </w:tc>
        <w:tc>
          <w:tcPr>
            <w:tcW w:w="1634" w:type="dxa"/>
            <w:vMerge/>
            <w:vAlign w:val="center"/>
          </w:tcPr>
          <w:p w14:paraId="623AECFF" w14:textId="77777777" w:rsidR="001A1BCD" w:rsidRPr="009A59D5" w:rsidRDefault="001A1BCD" w:rsidP="001A1BCD">
            <w:pPr>
              <w:pStyle w:val="BodyText1"/>
              <w:numPr>
                <w:ilvl w:val="0"/>
                <w:numId w:val="0"/>
              </w:numPr>
              <w:spacing w:after="0"/>
              <w:jc w:val="center"/>
            </w:pPr>
          </w:p>
        </w:tc>
      </w:tr>
      <w:tr w:rsidR="001A1BCD" w:rsidRPr="009A59D5" w14:paraId="12816D0A" w14:textId="77777777" w:rsidTr="00751D7D">
        <w:tc>
          <w:tcPr>
            <w:tcW w:w="1416" w:type="dxa"/>
            <w:vMerge/>
            <w:vAlign w:val="center"/>
          </w:tcPr>
          <w:p w14:paraId="12584678" w14:textId="77777777" w:rsidR="001A1BCD" w:rsidRPr="009A59D5" w:rsidRDefault="001A1BCD" w:rsidP="00187998">
            <w:pPr>
              <w:pStyle w:val="BodyText1"/>
              <w:numPr>
                <w:ilvl w:val="0"/>
                <w:numId w:val="0"/>
              </w:numPr>
              <w:spacing w:after="0"/>
              <w:jc w:val="left"/>
            </w:pPr>
          </w:p>
        </w:tc>
        <w:tc>
          <w:tcPr>
            <w:tcW w:w="1556" w:type="dxa"/>
          </w:tcPr>
          <w:p w14:paraId="5F941E6B" w14:textId="158483DC" w:rsidR="001A1BCD" w:rsidRPr="009A59D5" w:rsidRDefault="001A1BCD" w:rsidP="00187998">
            <w:pPr>
              <w:pStyle w:val="BodyText1"/>
              <w:numPr>
                <w:ilvl w:val="0"/>
                <w:numId w:val="0"/>
              </w:numPr>
              <w:spacing w:after="0"/>
              <w:jc w:val="left"/>
            </w:pPr>
            <w:r w:rsidRPr="009A59D5">
              <w:t>Other</w:t>
            </w:r>
          </w:p>
        </w:tc>
        <w:tc>
          <w:tcPr>
            <w:tcW w:w="1634" w:type="dxa"/>
            <w:vMerge/>
            <w:vAlign w:val="center"/>
          </w:tcPr>
          <w:p w14:paraId="505FCAE2" w14:textId="77777777" w:rsidR="001A1BCD" w:rsidRPr="009A59D5" w:rsidRDefault="001A1BCD" w:rsidP="001A1BCD">
            <w:pPr>
              <w:pStyle w:val="BodyText1"/>
              <w:numPr>
                <w:ilvl w:val="0"/>
                <w:numId w:val="0"/>
              </w:numPr>
              <w:spacing w:after="0"/>
              <w:jc w:val="center"/>
            </w:pPr>
          </w:p>
        </w:tc>
        <w:tc>
          <w:tcPr>
            <w:tcW w:w="1634" w:type="dxa"/>
            <w:vMerge/>
            <w:vAlign w:val="center"/>
          </w:tcPr>
          <w:p w14:paraId="05F71C0B" w14:textId="77777777" w:rsidR="001A1BCD" w:rsidRPr="009A59D5" w:rsidRDefault="001A1BCD" w:rsidP="001A1BCD">
            <w:pPr>
              <w:pStyle w:val="BodyText1"/>
              <w:numPr>
                <w:ilvl w:val="0"/>
                <w:numId w:val="0"/>
              </w:numPr>
              <w:spacing w:after="0"/>
              <w:jc w:val="center"/>
            </w:pPr>
          </w:p>
        </w:tc>
        <w:tc>
          <w:tcPr>
            <w:tcW w:w="1634" w:type="dxa"/>
            <w:vMerge/>
            <w:vAlign w:val="center"/>
          </w:tcPr>
          <w:p w14:paraId="73FB8099" w14:textId="77777777" w:rsidR="001A1BCD" w:rsidRPr="009A59D5" w:rsidRDefault="001A1BCD" w:rsidP="001A1BCD">
            <w:pPr>
              <w:pStyle w:val="BodyText1"/>
              <w:numPr>
                <w:ilvl w:val="0"/>
                <w:numId w:val="0"/>
              </w:numPr>
              <w:spacing w:after="0"/>
              <w:jc w:val="center"/>
            </w:pPr>
          </w:p>
        </w:tc>
      </w:tr>
    </w:tbl>
    <w:p w14:paraId="79234EC6" w14:textId="7720F853" w:rsidR="00CC3D8D" w:rsidRPr="009A59D5" w:rsidRDefault="00CC3D8D" w:rsidP="00187998">
      <w:pPr>
        <w:pStyle w:val="BodyText1"/>
        <w:numPr>
          <w:ilvl w:val="0"/>
          <w:numId w:val="0"/>
        </w:numPr>
        <w:spacing w:after="120"/>
        <w:ind w:left="567"/>
      </w:pPr>
    </w:p>
    <w:p w14:paraId="5A920C3F" w14:textId="77777777" w:rsidR="00CC3D8D" w:rsidRPr="009A59D5" w:rsidRDefault="00CC3D8D" w:rsidP="00CC3D8D">
      <w:pPr>
        <w:pStyle w:val="Heading3"/>
      </w:pPr>
      <w:bookmarkStart w:id="497" w:name="_Toc460331458"/>
      <w:bookmarkStart w:id="498" w:name="_Toc461692122"/>
      <w:bookmarkStart w:id="499" w:name="_Toc487712250"/>
      <w:bookmarkStart w:id="500" w:name="_Toc488397551"/>
      <w:bookmarkStart w:id="501" w:name="_Toc488398111"/>
      <w:bookmarkStart w:id="502" w:name="_Toc489463948"/>
      <w:bookmarkStart w:id="503" w:name="_Toc507406241"/>
      <w:bookmarkStart w:id="504" w:name="_Toc507406313"/>
      <w:bookmarkStart w:id="505" w:name="_Toc507406426"/>
      <w:r w:rsidRPr="009A59D5">
        <w:t>Treatment of multiple margin agreements and multiple netting sets</w:t>
      </w:r>
      <w:bookmarkEnd w:id="497"/>
      <w:bookmarkEnd w:id="498"/>
      <w:bookmarkEnd w:id="499"/>
      <w:bookmarkEnd w:id="500"/>
      <w:bookmarkEnd w:id="501"/>
      <w:bookmarkEnd w:id="502"/>
      <w:bookmarkEnd w:id="503"/>
      <w:bookmarkEnd w:id="504"/>
      <w:bookmarkEnd w:id="505"/>
    </w:p>
    <w:p w14:paraId="2FECB2B7" w14:textId="27E25AB6" w:rsidR="00CC3D8D" w:rsidRPr="009A59D5" w:rsidRDefault="00CC3D8D" w:rsidP="00CC3D8D">
      <w:pPr>
        <w:pStyle w:val="BodyText1"/>
      </w:pPr>
      <w:bookmarkStart w:id="506" w:name="_Ref460313012"/>
      <w:r w:rsidRPr="009A59D5">
        <w:t>Where the transactions under a given margin agreement and netting set do not coincide, an ADI must follow an alternative treatment:</w:t>
      </w:r>
      <w:bookmarkEnd w:id="506"/>
    </w:p>
    <w:p w14:paraId="2690EA8D" w14:textId="2D1A87CF" w:rsidR="00CC3D8D" w:rsidRPr="009A59D5" w:rsidRDefault="00CC3D8D" w:rsidP="00CC3D8D">
      <w:pPr>
        <w:pStyle w:val="BodyText2"/>
      </w:pPr>
      <w:r w:rsidRPr="009A59D5">
        <w:t xml:space="preserve">where multiple margin agreements apply to a single netting set, an ADI must follow the </w:t>
      </w:r>
      <w:r w:rsidR="002372EB" w:rsidRPr="009A59D5">
        <w:t xml:space="preserve">treatment set out in paragraph </w:t>
      </w:r>
      <w:r w:rsidR="002372EB" w:rsidRPr="009A59D5">
        <w:fldChar w:fldCharType="begin"/>
      </w:r>
      <w:r w:rsidR="002372EB" w:rsidRPr="009A59D5">
        <w:instrText xml:space="preserve"> REF _Ref460329500 \r \h </w:instrText>
      </w:r>
      <w:r w:rsidR="00365041" w:rsidRPr="009A59D5">
        <w:instrText xml:space="preserve"> \* MERGEFORMAT </w:instrText>
      </w:r>
      <w:r w:rsidR="002372EB" w:rsidRPr="009A59D5">
        <w:fldChar w:fldCharType="separate"/>
      </w:r>
      <w:r w:rsidR="00B401AE">
        <w:t>51</w:t>
      </w:r>
      <w:r w:rsidR="002372EB" w:rsidRPr="009A59D5">
        <w:fldChar w:fldCharType="end"/>
      </w:r>
      <w:r w:rsidRPr="009A59D5">
        <w:t xml:space="preserve"> of this Attachment; or</w:t>
      </w:r>
    </w:p>
    <w:p w14:paraId="2082F56C" w14:textId="31530473" w:rsidR="00CC3D8D" w:rsidRPr="009A59D5" w:rsidRDefault="00CC3D8D" w:rsidP="00CC3D8D">
      <w:pPr>
        <w:pStyle w:val="BodyText2"/>
      </w:pPr>
      <w:r w:rsidRPr="009A59D5">
        <w:t xml:space="preserve">where there are multiple netting sets within a single margin agreement, an ADI must follow the treatment set out in paragraph </w:t>
      </w:r>
      <w:r w:rsidR="002372EB" w:rsidRPr="009A59D5">
        <w:fldChar w:fldCharType="begin"/>
      </w:r>
      <w:r w:rsidR="002372EB" w:rsidRPr="009A59D5">
        <w:instrText xml:space="preserve"> REF _Ref460313005 \r \h </w:instrText>
      </w:r>
      <w:r w:rsidR="00365041" w:rsidRPr="009A59D5">
        <w:instrText xml:space="preserve"> \* MERGEFORMAT </w:instrText>
      </w:r>
      <w:r w:rsidR="002372EB" w:rsidRPr="009A59D5">
        <w:fldChar w:fldCharType="separate"/>
      </w:r>
      <w:r w:rsidR="00B401AE">
        <w:t>52</w:t>
      </w:r>
      <w:r w:rsidR="002372EB" w:rsidRPr="009A59D5">
        <w:fldChar w:fldCharType="end"/>
      </w:r>
      <w:r w:rsidRPr="009A59D5">
        <w:t xml:space="preserve"> of this Attachment.</w:t>
      </w:r>
    </w:p>
    <w:p w14:paraId="5B0DEDAD" w14:textId="192E9A0C" w:rsidR="00CC3D8D" w:rsidRPr="009A59D5" w:rsidRDefault="00CC3D8D" w:rsidP="00CC3D8D">
      <w:pPr>
        <w:pStyle w:val="BodyText1"/>
      </w:pPr>
      <w:bookmarkStart w:id="507" w:name="_Ref460329500"/>
      <w:r w:rsidRPr="009A59D5">
        <w:t xml:space="preserve">Where multiple margin agreements apply to a single netting set, the netting set must be divided into sub-netting sets, each aligning with its respective margin agreement. The EAD of the original netting set must then be obtained by taking the sum of the EAD of each sub-netting set. The EAD for each sub-netting set is calculated according to paragraphs </w:t>
      </w:r>
      <w:r w:rsidR="00CC6628" w:rsidRPr="009A59D5">
        <w:fldChar w:fldCharType="begin"/>
      </w:r>
      <w:r w:rsidR="00CC6628" w:rsidRPr="009A59D5">
        <w:instrText xml:space="preserve"> REF _Ref460313856 \r \h </w:instrText>
      </w:r>
      <w:r w:rsidR="00365041" w:rsidRPr="009A59D5">
        <w:instrText xml:space="preserve"> \* MERGEFORMAT </w:instrText>
      </w:r>
      <w:r w:rsidR="00CC6628" w:rsidRPr="009A59D5">
        <w:fldChar w:fldCharType="separate"/>
      </w:r>
      <w:r w:rsidR="00B401AE">
        <w:t>42</w:t>
      </w:r>
      <w:r w:rsidR="00CC6628" w:rsidRPr="009A59D5">
        <w:fldChar w:fldCharType="end"/>
      </w:r>
      <w:r w:rsidR="002372EB" w:rsidRPr="009A59D5">
        <w:t xml:space="preserve"> to </w:t>
      </w:r>
      <w:r w:rsidR="002372EB" w:rsidRPr="009A59D5">
        <w:fldChar w:fldCharType="begin"/>
      </w:r>
      <w:r w:rsidR="002372EB" w:rsidRPr="009A59D5">
        <w:instrText xml:space="preserve"> REF _Ref460312993 \r \h </w:instrText>
      </w:r>
      <w:r w:rsidR="00365041" w:rsidRPr="009A59D5">
        <w:instrText xml:space="preserve"> \* MERGEFORMAT </w:instrText>
      </w:r>
      <w:r w:rsidR="002372EB" w:rsidRPr="009A59D5">
        <w:fldChar w:fldCharType="separate"/>
      </w:r>
      <w:r w:rsidR="00B401AE">
        <w:t>49</w:t>
      </w:r>
      <w:r w:rsidR="002372EB" w:rsidRPr="009A59D5">
        <w:fldChar w:fldCharType="end"/>
      </w:r>
      <w:r w:rsidRPr="009A59D5">
        <w:t xml:space="preserve"> of this Attachment using the relevant sub-netting set-level (i.e. margin agreement-level) parameters.</w:t>
      </w:r>
      <w:r w:rsidRPr="009A59D5">
        <w:rPr>
          <w:rStyle w:val="FootnoteReference"/>
        </w:rPr>
        <w:footnoteReference w:id="43"/>
      </w:r>
      <w:bookmarkEnd w:id="507"/>
    </w:p>
    <w:p w14:paraId="4063DD97" w14:textId="002023DD" w:rsidR="009A7A47" w:rsidRPr="009A59D5" w:rsidRDefault="009A7A47" w:rsidP="009A7A47">
      <w:pPr>
        <w:pStyle w:val="BodyText1"/>
      </w:pPr>
      <w:bookmarkStart w:id="508" w:name="_Ref460313005"/>
      <w:r w:rsidRPr="009A59D5">
        <w:t>Where a single margin agreement applies to multiple netting sets, an ADI must calculate the EAD for the netting sets by:</w:t>
      </w:r>
      <w:bookmarkEnd w:id="508"/>
    </w:p>
    <w:p w14:paraId="5238B83B" w14:textId="0741451E" w:rsidR="009A7A47" w:rsidRPr="009A59D5" w:rsidRDefault="009A7A47" w:rsidP="00CC3D8D">
      <w:pPr>
        <w:pStyle w:val="BodyText2"/>
      </w:pPr>
      <w:r w:rsidRPr="009A59D5">
        <w:t>calculating the replacement cost (RC) for all netting sets (</w:t>
      </w:r>
      <w:r w:rsidR="00F21102">
        <w:rPr>
          <w:i/>
        </w:rPr>
        <w:t>RC</w:t>
      </w:r>
      <w:r w:rsidR="00F21102">
        <w:rPr>
          <w:i/>
          <w:vertAlign w:val="subscript"/>
        </w:rPr>
        <w:t>MA</w:t>
      </w:r>
      <w:r w:rsidRPr="009A59D5">
        <w:t>) contained within a single margin agreement (</w:t>
      </w:r>
      <w:r w:rsidR="00F21102">
        <w:rPr>
          <w:i/>
        </w:rPr>
        <w:t>MA</w:t>
      </w:r>
      <w:r w:rsidRPr="009A59D5">
        <w:t>) on the aggregate margin agreement level,</w:t>
      </w:r>
      <w:r w:rsidR="00230005" w:rsidRPr="009A59D5">
        <w:rPr>
          <w:rStyle w:val="FootnoteReference"/>
        </w:rPr>
        <w:footnoteReference w:id="44"/>
      </w:r>
      <w:r w:rsidRPr="009A59D5">
        <w:t xml:space="preserve"> as common collateral cannot clearly be allocated to an individual netting set. The aggregate RC for all netting sets under a single margin agreement must be calculated as:</w:t>
      </w:r>
    </w:p>
    <w:p w14:paraId="06802240" w14:textId="19FD9868" w:rsidR="00C67A58" w:rsidRDefault="00C67A58" w:rsidP="00751D7D">
      <w:pPr>
        <w:pStyle w:val="BodyText1"/>
        <w:numPr>
          <w:ilvl w:val="0"/>
          <w:numId w:val="0"/>
        </w:numPr>
        <w:spacing w:after="0"/>
        <w:ind w:left="567" w:hanging="425"/>
        <w:rPr>
          <w:rFonts w:eastAsia="Calibri"/>
        </w:rPr>
      </w:pPr>
      <w:r w:rsidRPr="001C2F30">
        <w:rPr>
          <w:noProof/>
        </w:rPr>
        <w:drawing>
          <wp:inline distT="0" distB="0" distL="0" distR="0" wp14:anchorId="30CC9F4E" wp14:editId="60048683">
            <wp:extent cx="4511399" cy="1043261"/>
            <wp:effectExtent l="0" t="0" r="0" b="0"/>
            <wp:docPr id="35" name="Picture 35" descr="A formula to calculate RC subscript MA, the aggregate RC for all netting sets under a single margin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formula to calculate RC subscript MA, the aggregate RC for all netting sets under a single margin agreement."/>
                    <pic:cNvPicPr>
                      <a:picLocks noChangeAspect="1" noChangeArrowheads="1"/>
                    </pic:cNvPicPr>
                  </pic:nvPicPr>
                  <pic:blipFill rotWithShape="1">
                    <a:blip r:embed="rId72">
                      <a:extLst>
                        <a:ext uri="{28A0092B-C50C-407E-A947-70E740481C1C}">
                          <a14:useLocalDpi xmlns:a14="http://schemas.microsoft.com/office/drawing/2010/main" val="0"/>
                        </a:ext>
                      </a:extLst>
                    </a:blip>
                    <a:srcRect l="9678" r="11245"/>
                    <a:stretch/>
                  </pic:blipFill>
                  <pic:spPr bwMode="auto">
                    <a:xfrm>
                      <a:off x="0" y="0"/>
                      <a:ext cx="4545511" cy="1051149"/>
                    </a:xfrm>
                    <a:prstGeom prst="rect">
                      <a:avLst/>
                    </a:prstGeom>
                    <a:noFill/>
                    <a:ln>
                      <a:noFill/>
                    </a:ln>
                    <a:extLst>
                      <a:ext uri="{53640926-AAD7-44D8-BBD7-CCE9431645EC}">
                        <a14:shadowObscured xmlns:a14="http://schemas.microsoft.com/office/drawing/2010/main"/>
                      </a:ext>
                    </a:extLst>
                  </pic:spPr>
                </pic:pic>
              </a:graphicData>
            </a:graphic>
          </wp:inline>
        </w:drawing>
      </w:r>
    </w:p>
    <w:p w14:paraId="6099545C" w14:textId="77777777" w:rsidR="009A7A47" w:rsidRPr="009A59D5" w:rsidRDefault="009A7A47" w:rsidP="00187998">
      <w:pPr>
        <w:pStyle w:val="BodyText2"/>
        <w:numPr>
          <w:ilvl w:val="0"/>
          <w:numId w:val="0"/>
        </w:numPr>
        <w:ind w:left="1134"/>
      </w:pPr>
      <w:r w:rsidRPr="009A59D5">
        <w:t>where:</w:t>
      </w:r>
    </w:p>
    <w:p w14:paraId="75462F0D" w14:textId="41D37812" w:rsidR="009A7A47" w:rsidRPr="009A59D5" w:rsidRDefault="00F21102" w:rsidP="00187998">
      <w:pPr>
        <w:pStyle w:val="BodyText2"/>
        <w:numPr>
          <w:ilvl w:val="0"/>
          <w:numId w:val="0"/>
        </w:numPr>
        <w:ind w:left="1134"/>
      </w:pPr>
      <w:r>
        <w:rPr>
          <w:i/>
        </w:rPr>
        <w:t>V</w:t>
      </w:r>
      <w:r>
        <w:rPr>
          <w:i/>
          <w:vertAlign w:val="subscript"/>
        </w:rPr>
        <w:t>NS</w:t>
      </w:r>
      <w:r>
        <w:t xml:space="preserve"> =</w:t>
      </w:r>
      <w:r w:rsidR="00CC3D8D" w:rsidRPr="009A59D5">
        <w:t xml:space="preserve"> </w:t>
      </w:r>
      <w:r w:rsidR="009A7A47" w:rsidRPr="009A59D5">
        <w:t>the current net mark-to-market value of all derivative transactions within the netting set NS; and</w:t>
      </w:r>
    </w:p>
    <w:p w14:paraId="2087F990" w14:textId="1E8428A5" w:rsidR="009A7A47" w:rsidRPr="009A59D5" w:rsidRDefault="00F21102" w:rsidP="00187998">
      <w:pPr>
        <w:pStyle w:val="BodyText2"/>
        <w:numPr>
          <w:ilvl w:val="0"/>
          <w:numId w:val="0"/>
        </w:numPr>
        <w:ind w:left="1134"/>
      </w:pPr>
      <w:r>
        <w:rPr>
          <w:i/>
        </w:rPr>
        <w:t>C</w:t>
      </w:r>
      <w:r>
        <w:rPr>
          <w:i/>
          <w:vertAlign w:val="subscript"/>
        </w:rPr>
        <w:t>MA</w:t>
      </w:r>
      <w:r>
        <w:t xml:space="preserve"> = </w:t>
      </w:r>
      <w:r w:rsidR="009A7A47" w:rsidRPr="009A59D5">
        <w:t>the net haircut value of all currently available collateral (including both NICA and</w:t>
      </w:r>
      <w:r w:rsidR="00352454" w:rsidRPr="009A59D5">
        <w:t xml:space="preserve"> VM) under the margin agreement; and</w:t>
      </w:r>
    </w:p>
    <w:p w14:paraId="1B7DDC43" w14:textId="1E70F912" w:rsidR="009A7A47" w:rsidRPr="009A59D5" w:rsidRDefault="009A7A47" w:rsidP="00CC3D8D">
      <w:pPr>
        <w:pStyle w:val="BodyText2"/>
      </w:pPr>
      <w:r w:rsidRPr="009A59D5">
        <w:t>calculating the PFE for the margin agreement (</w:t>
      </w:r>
      <w:r w:rsidR="00F21102" w:rsidRPr="00F21102">
        <w:rPr>
          <w:i/>
        </w:rPr>
        <w:t>PFE</w:t>
      </w:r>
      <w:r w:rsidR="00F21102" w:rsidRPr="00F21102">
        <w:rPr>
          <w:i/>
          <w:vertAlign w:val="subscript"/>
        </w:rPr>
        <w:t>MA</w:t>
      </w:r>
      <w:r w:rsidRPr="009A59D5">
        <w:t>), by taking the sum of all the netting set-level PFE factors. The PFE add-on factor for each netting set under the margin agreement must be calculated according to the methodology for unmargined transactions.</w:t>
      </w:r>
    </w:p>
    <w:p w14:paraId="7B8D92FE" w14:textId="4240661E" w:rsidR="00AE601C" w:rsidRPr="009A59D5" w:rsidRDefault="00AE601C" w:rsidP="00AE601C">
      <w:pPr>
        <w:pStyle w:val="Heading3"/>
        <w:rPr>
          <w:i w:val="0"/>
        </w:rPr>
      </w:pPr>
      <w:bookmarkStart w:id="509" w:name="_Toc507406242"/>
      <w:bookmarkStart w:id="510" w:name="_Toc507406314"/>
      <w:bookmarkStart w:id="511" w:name="_Toc507406427"/>
      <w:r w:rsidRPr="009A59D5">
        <w:t xml:space="preserve">Treatment of eligible collateral </w:t>
      </w:r>
      <w:r w:rsidR="006F317B" w:rsidRPr="009A59D5">
        <w:t>taken outside of netting sets</w:t>
      </w:r>
      <w:bookmarkEnd w:id="509"/>
      <w:bookmarkEnd w:id="510"/>
      <w:bookmarkEnd w:id="511"/>
    </w:p>
    <w:p w14:paraId="2B088196" w14:textId="66007EA7" w:rsidR="003C55D6" w:rsidRPr="009A59D5" w:rsidRDefault="006008B6" w:rsidP="00CC738B">
      <w:pPr>
        <w:pStyle w:val="BodyText1"/>
      </w:pPr>
      <w:bookmarkStart w:id="512" w:name="_Ref506901262"/>
      <w:bookmarkStart w:id="513" w:name="_Ref506903174"/>
      <w:r w:rsidRPr="009A59D5">
        <w:t>Where e</w:t>
      </w:r>
      <w:r w:rsidR="00C928D9" w:rsidRPr="009A59D5">
        <w:t xml:space="preserve">ligible collateral is taken outside a netting set but is available to offset </w:t>
      </w:r>
      <w:r w:rsidR="00431F61" w:rsidRPr="009A59D5">
        <w:t xml:space="preserve">default </w:t>
      </w:r>
      <w:r w:rsidR="00C928D9" w:rsidRPr="009A59D5">
        <w:t>losses</w:t>
      </w:r>
      <w:r w:rsidR="003C55D6" w:rsidRPr="009A59D5">
        <w:t xml:space="preserve"> from </w:t>
      </w:r>
      <w:r w:rsidRPr="009A59D5">
        <w:t>transactions</w:t>
      </w:r>
      <w:r w:rsidR="002C5D19" w:rsidRPr="009A59D5">
        <w:t xml:space="preserve"> subject to SA-CCR</w:t>
      </w:r>
      <w:r w:rsidRPr="009A59D5">
        <w:t xml:space="preserve">, an ADI </w:t>
      </w:r>
      <w:r w:rsidR="00906F0C" w:rsidRPr="009A59D5">
        <w:t>must</w:t>
      </w:r>
      <w:r w:rsidR="00C928D9" w:rsidRPr="009A59D5">
        <w:t xml:space="preserve"> </w:t>
      </w:r>
      <w:r w:rsidRPr="009A59D5">
        <w:t xml:space="preserve">calculate the EAD </w:t>
      </w:r>
      <w:r w:rsidR="003B04FF" w:rsidRPr="009A59D5">
        <w:t>as follows</w:t>
      </w:r>
      <w:r w:rsidR="003C55D6" w:rsidRPr="009A59D5">
        <w:t>:</w:t>
      </w:r>
      <w:bookmarkEnd w:id="512"/>
      <w:bookmarkEnd w:id="513"/>
    </w:p>
    <w:p w14:paraId="798F552F" w14:textId="5C68FDAB" w:rsidR="00431F61" w:rsidRPr="009A59D5" w:rsidRDefault="0002302B" w:rsidP="00CC738B">
      <w:pPr>
        <w:pStyle w:val="BodyText2"/>
      </w:pPr>
      <w:bookmarkStart w:id="514" w:name="_Ref506903148"/>
      <w:r w:rsidRPr="009A59D5">
        <w:t xml:space="preserve">where </w:t>
      </w:r>
      <w:r w:rsidR="002C5D19" w:rsidRPr="009A59D5">
        <w:t xml:space="preserve">eligible </w:t>
      </w:r>
      <w:r w:rsidRPr="009A59D5">
        <w:t xml:space="preserve">collateral is available to offset losses on one netting </w:t>
      </w:r>
      <w:r w:rsidR="007E73EC" w:rsidRPr="009A59D5">
        <w:t xml:space="preserve">set </w:t>
      </w:r>
      <w:r w:rsidRPr="009A59D5">
        <w:t>only,</w:t>
      </w:r>
      <w:r w:rsidR="007E73EC" w:rsidRPr="009A59D5">
        <w:t xml:space="preserve"> the eligible collateral </w:t>
      </w:r>
      <w:r w:rsidR="002C5D19" w:rsidRPr="009A59D5">
        <w:t>must</w:t>
      </w:r>
      <w:r w:rsidR="007E73EC" w:rsidRPr="009A59D5">
        <w:t xml:space="preserve"> be treated as an independent collateral amount</w:t>
      </w:r>
      <w:r w:rsidR="00431F61" w:rsidRPr="009A59D5">
        <w:t xml:space="preserve"> associated</w:t>
      </w:r>
      <w:r w:rsidR="007E73EC" w:rsidRPr="009A59D5">
        <w:t xml:space="preserve"> with </w:t>
      </w:r>
      <w:r w:rsidR="002C5D19" w:rsidRPr="009A59D5">
        <w:t>that</w:t>
      </w:r>
      <w:r w:rsidR="007E73EC" w:rsidRPr="009A59D5">
        <w:t xml:space="preserve"> netting set</w:t>
      </w:r>
      <w:r w:rsidR="00431F61" w:rsidRPr="009A59D5">
        <w:t>;</w:t>
      </w:r>
      <w:r w:rsidR="00C01145" w:rsidRPr="009A59D5">
        <w:t xml:space="preserve"> and</w:t>
      </w:r>
      <w:bookmarkEnd w:id="514"/>
    </w:p>
    <w:p w14:paraId="0F5DF35A" w14:textId="6DB6B100" w:rsidR="004D6311" w:rsidRPr="009A59D5" w:rsidRDefault="004D6311" w:rsidP="00CC738B">
      <w:pPr>
        <w:pStyle w:val="BodyText2"/>
      </w:pPr>
      <w:bookmarkStart w:id="515" w:name="_Ref506903150"/>
      <w:r w:rsidRPr="009A59D5">
        <w:t xml:space="preserve">where </w:t>
      </w:r>
      <w:r w:rsidR="002C5D19" w:rsidRPr="009A59D5">
        <w:t xml:space="preserve">eligible </w:t>
      </w:r>
      <w:r w:rsidRPr="009A59D5">
        <w:t xml:space="preserve">collateral is available to offset losses on more than one netting set, </w:t>
      </w:r>
      <w:r w:rsidR="00C81B63" w:rsidRPr="009A59D5">
        <w:t xml:space="preserve">the </w:t>
      </w:r>
      <w:r w:rsidR="00C01145" w:rsidRPr="009A59D5">
        <w:t xml:space="preserve">eligible collateral </w:t>
      </w:r>
      <w:r w:rsidR="002C5D19" w:rsidRPr="009A59D5">
        <w:t xml:space="preserve">must </w:t>
      </w:r>
      <w:r w:rsidR="00C01145" w:rsidRPr="009A59D5">
        <w:t xml:space="preserve">be treated as collateral taken under a single margin agreement applying to multiple netting sets (refer to paragraph </w:t>
      </w:r>
      <w:r w:rsidR="00C01145" w:rsidRPr="009A59D5">
        <w:fldChar w:fldCharType="begin"/>
      </w:r>
      <w:r w:rsidR="00C01145" w:rsidRPr="009A59D5">
        <w:instrText xml:space="preserve"> REF _Ref460313005 \r \h </w:instrText>
      </w:r>
      <w:r w:rsidR="009E400F" w:rsidRPr="009A59D5">
        <w:instrText xml:space="preserve"> \* MERGEFORMAT </w:instrText>
      </w:r>
      <w:r w:rsidR="00C01145" w:rsidRPr="009A59D5">
        <w:fldChar w:fldCharType="separate"/>
      </w:r>
      <w:r w:rsidR="00B401AE">
        <w:t>52</w:t>
      </w:r>
      <w:r w:rsidR="00C01145" w:rsidRPr="009A59D5">
        <w:fldChar w:fldCharType="end"/>
      </w:r>
      <w:r w:rsidR="00B74887" w:rsidRPr="009A59D5">
        <w:t xml:space="preserve"> of this Attachment</w:t>
      </w:r>
      <w:r w:rsidR="00C01145" w:rsidRPr="009A59D5">
        <w:t>).</w:t>
      </w:r>
      <w:bookmarkEnd w:id="515"/>
    </w:p>
    <w:p w14:paraId="47452244" w14:textId="27C2D60A" w:rsidR="006F317B" w:rsidRPr="009A59D5" w:rsidRDefault="00C01145" w:rsidP="002314BF">
      <w:pPr>
        <w:pStyle w:val="BodyText2"/>
        <w:numPr>
          <w:ilvl w:val="0"/>
          <w:numId w:val="0"/>
        </w:numPr>
        <w:ind w:left="567"/>
      </w:pPr>
      <w:r w:rsidRPr="009A59D5">
        <w:t>W</w:t>
      </w:r>
      <w:r w:rsidR="002C5D19" w:rsidRPr="009A59D5">
        <w:t xml:space="preserve">here </w:t>
      </w:r>
      <w:r w:rsidRPr="009A59D5">
        <w:t xml:space="preserve">eligible </w:t>
      </w:r>
      <w:r w:rsidR="002C5D19" w:rsidRPr="009A59D5">
        <w:t xml:space="preserve">collateral is available to offset losses on </w:t>
      </w:r>
      <w:r w:rsidR="00905446" w:rsidRPr="009A59D5">
        <w:t>transactions subject to</w:t>
      </w:r>
      <w:r w:rsidR="00F40A16" w:rsidRPr="009A59D5">
        <w:t xml:space="preserve"> both</w:t>
      </w:r>
      <w:r w:rsidR="00905446" w:rsidRPr="009A59D5">
        <w:t xml:space="preserve"> </w:t>
      </w:r>
      <w:r w:rsidR="002C5D19" w:rsidRPr="009A59D5">
        <w:t xml:space="preserve">SA-CCR and </w:t>
      </w:r>
      <w:proofErr w:type="spellStart"/>
      <w:r w:rsidR="002C5D19" w:rsidRPr="009A59D5">
        <w:t>non SA</w:t>
      </w:r>
      <w:proofErr w:type="spellEnd"/>
      <w:r w:rsidR="002C5D19" w:rsidRPr="009A59D5">
        <w:t>-CCR exposures,</w:t>
      </w:r>
      <w:r w:rsidRPr="009A59D5">
        <w:t xml:space="preserve"> the eligible collateral amount in </w:t>
      </w:r>
      <w:r w:rsidRPr="009A59D5">
        <w:fldChar w:fldCharType="begin"/>
      </w:r>
      <w:r w:rsidRPr="009A59D5">
        <w:instrText xml:space="preserve"> REF _Ref506903174 \r \h </w:instrText>
      </w:r>
      <w:r w:rsidR="009E400F" w:rsidRPr="009A59D5">
        <w:instrText xml:space="preserve"> \* MERGEFORMAT </w:instrText>
      </w:r>
      <w:r w:rsidRPr="009A59D5">
        <w:fldChar w:fldCharType="separate"/>
      </w:r>
      <w:r w:rsidR="00B401AE">
        <w:t>53</w:t>
      </w:r>
      <w:r w:rsidRPr="009A59D5">
        <w:fldChar w:fldCharType="end"/>
      </w:r>
      <w:r w:rsidRPr="009A59D5">
        <w:fldChar w:fldCharType="begin"/>
      </w:r>
      <w:r w:rsidRPr="009A59D5">
        <w:instrText xml:space="preserve"> REF _Ref506903148 \r \h </w:instrText>
      </w:r>
      <w:r w:rsidR="009E400F" w:rsidRPr="009A59D5">
        <w:instrText xml:space="preserve"> \* MERGEFORMAT </w:instrText>
      </w:r>
      <w:r w:rsidRPr="009A59D5">
        <w:fldChar w:fldCharType="separate"/>
      </w:r>
      <w:r w:rsidR="00B401AE">
        <w:t>(a)</w:t>
      </w:r>
      <w:r w:rsidRPr="009A59D5">
        <w:fldChar w:fldCharType="end"/>
      </w:r>
      <w:r w:rsidRPr="009A59D5">
        <w:t xml:space="preserve"> </w:t>
      </w:r>
      <w:r w:rsidR="00244E6D" w:rsidRPr="009A59D5">
        <w:t xml:space="preserve">and </w:t>
      </w:r>
      <w:r w:rsidRPr="009A59D5">
        <w:fldChar w:fldCharType="begin"/>
      </w:r>
      <w:r w:rsidRPr="009A59D5">
        <w:instrText xml:space="preserve"> REF _Ref506903174 \r \h </w:instrText>
      </w:r>
      <w:r w:rsidR="009E400F" w:rsidRPr="009A59D5">
        <w:instrText xml:space="preserve"> \* MERGEFORMAT </w:instrText>
      </w:r>
      <w:r w:rsidRPr="009A59D5">
        <w:fldChar w:fldCharType="separate"/>
      </w:r>
      <w:r w:rsidR="00B401AE">
        <w:t>53</w:t>
      </w:r>
      <w:r w:rsidRPr="009A59D5">
        <w:fldChar w:fldCharType="end"/>
      </w:r>
      <w:r w:rsidRPr="009A59D5">
        <w:fldChar w:fldCharType="begin"/>
      </w:r>
      <w:r w:rsidRPr="009A59D5">
        <w:instrText xml:space="preserve"> REF _Ref506903150 \r \h </w:instrText>
      </w:r>
      <w:r w:rsidR="009E400F" w:rsidRPr="009A59D5">
        <w:instrText xml:space="preserve"> \* MERGEFORMAT </w:instrText>
      </w:r>
      <w:r w:rsidRPr="009A59D5">
        <w:fldChar w:fldCharType="separate"/>
      </w:r>
      <w:r w:rsidR="00B401AE">
        <w:t>(b)</w:t>
      </w:r>
      <w:r w:rsidRPr="009A59D5">
        <w:fldChar w:fldCharType="end"/>
      </w:r>
      <w:r w:rsidRPr="009A59D5">
        <w:t xml:space="preserve"> </w:t>
      </w:r>
      <w:r w:rsidR="00B74887" w:rsidRPr="009A59D5">
        <w:t xml:space="preserve">of this Attachment </w:t>
      </w:r>
      <w:r w:rsidRPr="009A59D5">
        <w:t>must</w:t>
      </w:r>
      <w:r w:rsidR="009E400F" w:rsidRPr="009A59D5">
        <w:t xml:space="preserve"> only </w:t>
      </w:r>
      <w:r w:rsidR="00244E6D" w:rsidRPr="009A59D5">
        <w:t>include</w:t>
      </w:r>
      <w:r w:rsidR="009E400F" w:rsidRPr="009A59D5">
        <w:t xml:space="preserve"> the portion of </w:t>
      </w:r>
      <w:r w:rsidR="00BF25D7" w:rsidRPr="009A59D5">
        <w:t xml:space="preserve">eligible </w:t>
      </w:r>
      <w:r w:rsidR="009E400F" w:rsidRPr="009A59D5">
        <w:t>collateral assigned to the transactions subject to SA-CCR.</w:t>
      </w:r>
    </w:p>
    <w:p w14:paraId="782AA38D" w14:textId="77777777" w:rsidR="00EA198C" w:rsidRPr="009A59D5" w:rsidRDefault="00EA198C" w:rsidP="00205907">
      <w:pPr>
        <w:pStyle w:val="BodyText1"/>
        <w:numPr>
          <w:ilvl w:val="0"/>
          <w:numId w:val="0"/>
        </w:numPr>
        <w:sectPr w:rsidR="00EA198C" w:rsidRPr="009A59D5" w:rsidSect="000D63A8">
          <w:footerReference w:type="default" r:id="rId73"/>
          <w:pgSz w:w="11906" w:h="16838" w:code="9"/>
          <w:pgMar w:top="1440" w:right="1797" w:bottom="1440" w:left="1797" w:header="709" w:footer="709" w:gutter="0"/>
          <w:cols w:space="708"/>
          <w:docGrid w:linePitch="360"/>
        </w:sectPr>
      </w:pPr>
    </w:p>
    <w:p w14:paraId="16D150B6" w14:textId="7554FC86" w:rsidR="00205907" w:rsidRPr="009A59D5" w:rsidRDefault="00205907" w:rsidP="00205907">
      <w:pPr>
        <w:pStyle w:val="Heading2"/>
      </w:pPr>
      <w:bookmarkStart w:id="516" w:name="_Toc487712251"/>
      <w:bookmarkStart w:id="517" w:name="_Toc488397552"/>
      <w:bookmarkStart w:id="518" w:name="_Toc507406428"/>
      <w:bookmarkStart w:id="519" w:name="_Toc511230084"/>
      <w:bookmarkStart w:id="520" w:name="_Toc511230303"/>
      <w:r w:rsidRPr="009A59D5">
        <w:t xml:space="preserve">Attachment </w:t>
      </w:r>
      <w:r w:rsidR="00241638" w:rsidRPr="009A59D5">
        <w:rPr>
          <w:rStyle w:val="Attachmentfieldtext"/>
        </w:rPr>
        <w:t>E</w:t>
      </w:r>
      <w:r w:rsidRPr="009A59D5">
        <w:rPr>
          <w:rStyle w:val="Attachmentfieldtext"/>
        </w:rPr>
        <w:t xml:space="preserve"> </w:t>
      </w:r>
      <w:r w:rsidR="00047F3D" w:rsidRPr="009A59D5">
        <w:rPr>
          <w:rStyle w:val="Attachmentfieldtext"/>
        </w:rPr>
        <w:t>—</w:t>
      </w:r>
      <w:r w:rsidRPr="009A59D5">
        <w:rPr>
          <w:rStyle w:val="Attachmentfieldtext"/>
        </w:rPr>
        <w:t xml:space="preserve"> </w:t>
      </w:r>
      <w:bookmarkEnd w:id="516"/>
      <w:bookmarkEnd w:id="517"/>
      <w:r w:rsidR="00B81F20" w:rsidRPr="009A59D5">
        <w:t xml:space="preserve">The </w:t>
      </w:r>
      <w:r w:rsidR="006234E1" w:rsidRPr="009A59D5">
        <w:t xml:space="preserve">adjusted </w:t>
      </w:r>
      <w:r w:rsidR="00B81F20" w:rsidRPr="009A59D5">
        <w:t>current exposure method (</w:t>
      </w:r>
      <w:r w:rsidR="006234E1" w:rsidRPr="009A59D5">
        <w:t xml:space="preserve">adjusted </w:t>
      </w:r>
      <w:r w:rsidR="00B81F20" w:rsidRPr="009A59D5">
        <w:t>CEM)</w:t>
      </w:r>
      <w:bookmarkEnd w:id="518"/>
      <w:bookmarkEnd w:id="519"/>
      <w:bookmarkEnd w:id="520"/>
    </w:p>
    <w:p w14:paraId="77120C96" w14:textId="4CE19ACC" w:rsidR="00205907" w:rsidRPr="009A59D5" w:rsidRDefault="00023CCA" w:rsidP="00205907">
      <w:pPr>
        <w:pStyle w:val="BodyText1"/>
        <w:numPr>
          <w:ilvl w:val="0"/>
          <w:numId w:val="24"/>
        </w:numPr>
      </w:pPr>
      <w:r w:rsidRPr="009A59D5">
        <w:t>T</w:t>
      </w:r>
      <w:r w:rsidR="004B626A" w:rsidRPr="009A59D5">
        <w:t xml:space="preserve">his Attachment </w:t>
      </w:r>
      <w:r w:rsidR="009F762F" w:rsidRPr="009A59D5">
        <w:t xml:space="preserve">applies </w:t>
      </w:r>
      <w:r w:rsidR="000D3AA5" w:rsidRPr="009A59D5">
        <w:t xml:space="preserve">only </w:t>
      </w:r>
      <w:r w:rsidR="009F762F" w:rsidRPr="009A59D5">
        <w:t>to</w:t>
      </w:r>
      <w:r w:rsidR="000D3AA5" w:rsidRPr="009A59D5">
        <w:t xml:space="preserve"> a standardised ADI</w:t>
      </w:r>
      <w:r w:rsidR="004B626A" w:rsidRPr="009A59D5">
        <w:t>.</w:t>
      </w:r>
    </w:p>
    <w:p w14:paraId="0A79D8B9" w14:textId="22C1FFFE" w:rsidR="00205907" w:rsidRPr="009A59D5" w:rsidRDefault="00205907" w:rsidP="00FF24ED">
      <w:pPr>
        <w:pStyle w:val="BodyText1"/>
        <w:numPr>
          <w:ilvl w:val="0"/>
          <w:numId w:val="24"/>
        </w:numPr>
      </w:pPr>
      <w:bookmarkStart w:id="521" w:name="_Ref488754023"/>
      <w:r w:rsidRPr="009A59D5">
        <w:t xml:space="preserve">For the purpose of calculating counterparty credit risk requirements under </w:t>
      </w:r>
      <w:proofErr w:type="gramStart"/>
      <w:r w:rsidRPr="009A59D5">
        <w:t xml:space="preserve">the </w:t>
      </w:r>
      <w:r w:rsidR="003F6577" w:rsidRPr="009A59D5">
        <w:t xml:space="preserve"> </w:t>
      </w:r>
      <w:r w:rsidR="00CA4033" w:rsidRPr="009A59D5">
        <w:t>adjusted</w:t>
      </w:r>
      <w:proofErr w:type="gramEnd"/>
      <w:r w:rsidR="00CA4033" w:rsidRPr="009A59D5">
        <w:t xml:space="preserve"> CEM</w:t>
      </w:r>
      <w:r w:rsidRPr="009A59D5">
        <w:t>, an ADI must calculate the CEA of its market-related contracts</w:t>
      </w:r>
      <w:r w:rsidR="00A13762" w:rsidRPr="009A59D5">
        <w:t xml:space="preserve">. Where the transaction is secured by eligible collateral or there is an eligible guarantee, credit derivatives or netting arrangement in place, the CRM techniques set out in Attachments </w:t>
      </w:r>
      <w:r w:rsidR="00A8526D">
        <w:t>G, H, I</w:t>
      </w:r>
      <w:r w:rsidR="00E8537C" w:rsidRPr="009A59D5">
        <w:t xml:space="preserve"> and</w:t>
      </w:r>
      <w:r w:rsidR="00A13762" w:rsidRPr="009A59D5">
        <w:t xml:space="preserve"> </w:t>
      </w:r>
      <w:r w:rsidR="00A8526D">
        <w:t>J</w:t>
      </w:r>
      <w:r w:rsidR="00A8526D" w:rsidRPr="009A59D5">
        <w:t xml:space="preserve"> </w:t>
      </w:r>
      <w:r w:rsidR="00A13762" w:rsidRPr="009A59D5">
        <w:t>of APS 112 may be used to reduce the amount of the exposure</w:t>
      </w:r>
      <w:r w:rsidR="002139DB" w:rsidRPr="009A59D5">
        <w:t>. An ADI must</w:t>
      </w:r>
      <w:r w:rsidR="000D3AA5" w:rsidRPr="009A59D5">
        <w:t xml:space="preserve"> calculate</w:t>
      </w:r>
      <w:r w:rsidR="002139DB" w:rsidRPr="009A59D5">
        <w:t xml:space="preserve"> CEA</w:t>
      </w:r>
      <w:r w:rsidR="000D3AA5" w:rsidRPr="009A59D5">
        <w:t xml:space="preserve"> in the following manner</w:t>
      </w:r>
      <w:r w:rsidR="00A2222A" w:rsidRPr="009A59D5">
        <w:t>:</w:t>
      </w:r>
      <w:bookmarkEnd w:id="521"/>
    </w:p>
    <w:p w14:paraId="41436F07" w14:textId="79201F76" w:rsidR="00CB5E55" w:rsidRPr="009A59D5" w:rsidRDefault="005C53A6" w:rsidP="00D10BB7">
      <w:pPr>
        <w:pStyle w:val="BodyText2"/>
      </w:pPr>
      <w:r w:rsidRPr="009A59D5">
        <w:t>f</w:t>
      </w:r>
      <w:r w:rsidR="00CB5E55" w:rsidRPr="009A59D5">
        <w:t>or</w:t>
      </w:r>
      <w:r w:rsidRPr="009A59D5">
        <w:t xml:space="preserve"> </w:t>
      </w:r>
      <w:r w:rsidR="00CB5E55" w:rsidRPr="009A59D5">
        <w:t xml:space="preserve">market-related </w:t>
      </w:r>
      <w:r w:rsidR="00AA585B" w:rsidRPr="009A59D5">
        <w:t>transactions</w:t>
      </w:r>
      <w:r w:rsidR="00CB5E55" w:rsidRPr="009A59D5">
        <w:t xml:space="preserve"> that are not covered by an eligible bilateral netting agreement as set out </w:t>
      </w:r>
      <w:r w:rsidR="00CB5E55" w:rsidRPr="00E82750">
        <w:t xml:space="preserve">in Attachment </w:t>
      </w:r>
      <w:r w:rsidR="00463D5C" w:rsidRPr="00E82750">
        <w:t>H</w:t>
      </w:r>
      <w:r w:rsidR="00463D5C" w:rsidRPr="009A59D5">
        <w:t xml:space="preserve"> </w:t>
      </w:r>
      <w:r w:rsidR="00CB5E55" w:rsidRPr="009A59D5">
        <w:t>of APS 112, the ADI must calculate the CEA as:</w:t>
      </w:r>
    </w:p>
    <w:p w14:paraId="6AF56414" w14:textId="0CF5B0F6" w:rsidR="00F434B9" w:rsidRPr="009A59D5" w:rsidRDefault="00F434B9" w:rsidP="00D10BB7">
      <w:pPr>
        <w:pStyle w:val="BodyText3"/>
        <w:numPr>
          <w:ilvl w:val="0"/>
          <w:numId w:val="0"/>
        </w:numPr>
        <w:ind w:left="1134"/>
      </w:pPr>
      <w:r w:rsidRPr="009A59D5">
        <w:t>for margined</w:t>
      </w:r>
      <w:bookmarkStart w:id="522" w:name="_Ref487634687"/>
      <w:r w:rsidRPr="009A59D5">
        <w:rPr>
          <w:rStyle w:val="FootnoteReference"/>
        </w:rPr>
        <w:footnoteReference w:id="45"/>
      </w:r>
      <w:bookmarkEnd w:id="522"/>
      <w:r w:rsidRPr="009A59D5">
        <w:t xml:space="preserve"> </w:t>
      </w:r>
      <w:r w:rsidR="00AA585B" w:rsidRPr="009A59D5">
        <w:t>transactions</w:t>
      </w:r>
      <w:r w:rsidRPr="009A59D5">
        <w:t>:</w:t>
      </w:r>
    </w:p>
    <w:p w14:paraId="6B916A4E" w14:textId="77777777" w:rsidR="00C67A58" w:rsidRDefault="00C67A58" w:rsidP="00C67A58">
      <w:pPr>
        <w:pStyle w:val="BodyText1"/>
        <w:numPr>
          <w:ilvl w:val="0"/>
          <w:numId w:val="0"/>
        </w:numPr>
        <w:ind w:firstLine="1843"/>
        <w:rPr>
          <w:rFonts w:eastAsia="Calibri"/>
        </w:rPr>
      </w:pPr>
      <w:r w:rsidRPr="00C67A58">
        <w:rPr>
          <w:rFonts w:eastAsia="Calibri"/>
          <w:noProof/>
        </w:rPr>
        <w:drawing>
          <wp:inline distT="0" distB="0" distL="0" distR="0" wp14:anchorId="39FDBE32" wp14:editId="01E111F7">
            <wp:extent cx="3088256" cy="206949"/>
            <wp:effectExtent l="0" t="0" r="0" b="0"/>
            <wp:docPr id="42" name="Picture 42" descr="Start formula CEA equals CCE plus PFC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tart formula CEA equals CCE plus PFCE end formul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173433" cy="212657"/>
                    </a:xfrm>
                    <a:prstGeom prst="rect">
                      <a:avLst/>
                    </a:prstGeom>
                    <a:noFill/>
                    <a:ln>
                      <a:noFill/>
                    </a:ln>
                  </pic:spPr>
                </pic:pic>
              </a:graphicData>
            </a:graphic>
          </wp:inline>
        </w:drawing>
      </w:r>
    </w:p>
    <w:p w14:paraId="7F5BD863" w14:textId="132BE85E" w:rsidR="00F434B9" w:rsidRPr="009A59D5" w:rsidRDefault="00F434B9" w:rsidP="00D10BB7">
      <w:pPr>
        <w:pStyle w:val="BodyText1"/>
        <w:numPr>
          <w:ilvl w:val="0"/>
          <w:numId w:val="0"/>
        </w:numPr>
        <w:ind w:left="567" w:firstLine="567"/>
      </w:pPr>
      <w:r w:rsidRPr="009A59D5">
        <w:t xml:space="preserve">for unmargined </w:t>
      </w:r>
      <w:r w:rsidR="00AA585B" w:rsidRPr="009A59D5">
        <w:t>transactions</w:t>
      </w:r>
      <w:r w:rsidRPr="009A59D5">
        <w:t>:</w:t>
      </w:r>
    </w:p>
    <w:p w14:paraId="5EC16542" w14:textId="77777777" w:rsidR="00C67A58" w:rsidRPr="00751D7D" w:rsidRDefault="00C67A58" w:rsidP="00C67A58">
      <w:pPr>
        <w:pStyle w:val="BodyText1"/>
        <w:numPr>
          <w:ilvl w:val="0"/>
          <w:numId w:val="0"/>
        </w:numPr>
        <w:ind w:left="567" w:firstLine="1418"/>
      </w:pPr>
      <w:r w:rsidRPr="00C67A58">
        <w:rPr>
          <w:noProof/>
        </w:rPr>
        <w:drawing>
          <wp:inline distT="0" distB="0" distL="0" distR="0" wp14:anchorId="094108E0" wp14:editId="1A1881D7">
            <wp:extent cx="2958861" cy="198278"/>
            <wp:effectExtent l="0" t="0" r="0" b="0"/>
            <wp:docPr id="43" name="Picture 43" descr="Start formula CEA equals CCE plus open bracket 3 times PFCE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tart formula CEA equals CCE plus open bracket 3 times PFCE close bracket end formul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58861" cy="198278"/>
                    </a:xfrm>
                    <a:prstGeom prst="rect">
                      <a:avLst/>
                    </a:prstGeom>
                    <a:noFill/>
                    <a:ln>
                      <a:noFill/>
                    </a:ln>
                  </pic:spPr>
                </pic:pic>
              </a:graphicData>
            </a:graphic>
          </wp:inline>
        </w:drawing>
      </w:r>
    </w:p>
    <w:p w14:paraId="55796A0F" w14:textId="77777777" w:rsidR="00CB5E55" w:rsidRPr="009A59D5" w:rsidRDefault="00CB5E55" w:rsidP="00D10BB7">
      <w:pPr>
        <w:pStyle w:val="BodyText1"/>
        <w:numPr>
          <w:ilvl w:val="0"/>
          <w:numId w:val="0"/>
        </w:numPr>
        <w:ind w:left="567" w:firstLine="567"/>
      </w:pPr>
      <w:r w:rsidRPr="009A59D5">
        <w:t>where:</w:t>
      </w:r>
    </w:p>
    <w:p w14:paraId="2DE6AB8D" w14:textId="25191B1B" w:rsidR="00CB5E55" w:rsidRPr="009A59D5" w:rsidRDefault="00F21102" w:rsidP="00D10BB7">
      <w:pPr>
        <w:pStyle w:val="BodyText1"/>
        <w:numPr>
          <w:ilvl w:val="0"/>
          <w:numId w:val="0"/>
        </w:numPr>
        <w:ind w:left="1134"/>
      </w:pPr>
      <w:r>
        <w:rPr>
          <w:i/>
        </w:rPr>
        <w:t xml:space="preserve">CCE </w:t>
      </w:r>
      <w:r>
        <w:t xml:space="preserve">= </w:t>
      </w:r>
      <w:r w:rsidR="00CB5E55" w:rsidRPr="009A59D5">
        <w:t xml:space="preserve">the current credit exposure, calculated as sum of the positive mark-to-market value (or replacement cost) of these </w:t>
      </w:r>
      <w:r w:rsidR="00AA585B" w:rsidRPr="009A59D5">
        <w:t>transactions</w:t>
      </w:r>
      <w:r w:rsidR="00CB5E55" w:rsidRPr="009A59D5">
        <w:t>; and</w:t>
      </w:r>
    </w:p>
    <w:p w14:paraId="2A816E98" w14:textId="10AEDC53" w:rsidR="00CA4033" w:rsidRPr="009A59D5" w:rsidRDefault="008774B2" w:rsidP="00D10BB7">
      <w:pPr>
        <w:pStyle w:val="BodyText1"/>
        <w:numPr>
          <w:ilvl w:val="0"/>
          <w:numId w:val="0"/>
        </w:numPr>
        <w:ind w:left="1134"/>
      </w:pPr>
      <w:r>
        <w:rPr>
          <w:i/>
        </w:rPr>
        <w:t xml:space="preserve">PFCE </w:t>
      </w:r>
      <w:r>
        <w:t xml:space="preserve">= </w:t>
      </w:r>
      <w:r w:rsidR="00CB5E55" w:rsidRPr="009A59D5">
        <w:t xml:space="preserve">the potential future credit exposure of these </w:t>
      </w:r>
      <w:r w:rsidR="00AA585B" w:rsidRPr="009A59D5">
        <w:t xml:space="preserve">transactions </w:t>
      </w:r>
      <w:r w:rsidR="00CB5E55" w:rsidRPr="009A59D5">
        <w:t xml:space="preserve">determined in accordance with paragraphs </w:t>
      </w:r>
      <w:r w:rsidR="00CB5E55" w:rsidRPr="009A59D5">
        <w:fldChar w:fldCharType="begin"/>
      </w:r>
      <w:r w:rsidR="00CB5E55" w:rsidRPr="009A59D5">
        <w:instrText xml:space="preserve"> REF _Ref482874889 \r \h  \* MERGEFORMAT </w:instrText>
      </w:r>
      <w:r w:rsidR="00CB5E55" w:rsidRPr="009A59D5">
        <w:fldChar w:fldCharType="separate"/>
      </w:r>
      <w:r w:rsidR="00B401AE">
        <w:t>3</w:t>
      </w:r>
      <w:r w:rsidR="00CB5E55" w:rsidRPr="009A59D5">
        <w:fldChar w:fldCharType="end"/>
      </w:r>
      <w:r w:rsidR="00CB5E55" w:rsidRPr="009A59D5">
        <w:t xml:space="preserve"> to </w:t>
      </w:r>
      <w:r w:rsidR="00CB5E55" w:rsidRPr="009A59D5">
        <w:fldChar w:fldCharType="begin"/>
      </w:r>
      <w:r w:rsidR="00CB5E55" w:rsidRPr="009A59D5">
        <w:instrText xml:space="preserve"> REF _Ref482875340 \r \h  \* MERGEFORMAT </w:instrText>
      </w:r>
      <w:r w:rsidR="00CB5E55" w:rsidRPr="009A59D5">
        <w:fldChar w:fldCharType="separate"/>
      </w:r>
      <w:r w:rsidR="00B401AE">
        <w:t>11</w:t>
      </w:r>
      <w:r w:rsidR="00CB5E55" w:rsidRPr="009A59D5">
        <w:fldChar w:fldCharType="end"/>
      </w:r>
      <w:r w:rsidR="00CB5E55" w:rsidRPr="009A59D5">
        <w:t xml:space="preserve"> of this Attachment.</w:t>
      </w:r>
    </w:p>
    <w:p w14:paraId="686FDE3F" w14:textId="3CD740F8" w:rsidR="00CB5E55" w:rsidRPr="009A59D5" w:rsidRDefault="00CB5E55" w:rsidP="00D10BB7">
      <w:pPr>
        <w:pStyle w:val="BodyText2"/>
      </w:pPr>
      <w:r w:rsidRPr="009A59D5">
        <w:t xml:space="preserve">for OTC derivative transactions covered by an eligible bilateral netting agreement that satisfies the requirements in Attachment </w:t>
      </w:r>
      <w:r w:rsidR="00463D5C">
        <w:t>H</w:t>
      </w:r>
      <w:r w:rsidR="00463D5C" w:rsidRPr="009A59D5">
        <w:t xml:space="preserve"> </w:t>
      </w:r>
      <w:r w:rsidRPr="009A59D5">
        <w:t>of APS 112 for netting, an ADI must calculate the CEA of transactions subject to a netting agreement as:</w:t>
      </w:r>
    </w:p>
    <w:p w14:paraId="6F7C5065" w14:textId="6188BAFB" w:rsidR="00F434B9" w:rsidRPr="009A59D5" w:rsidRDefault="00F434B9" w:rsidP="00D10BB7">
      <w:pPr>
        <w:pStyle w:val="BodyText1"/>
        <w:numPr>
          <w:ilvl w:val="0"/>
          <w:numId w:val="0"/>
        </w:numPr>
        <w:ind w:left="567" w:firstLine="567"/>
      </w:pPr>
      <w:r w:rsidRPr="009A59D5">
        <w:t xml:space="preserve">for </w:t>
      </w:r>
      <w:r w:rsidR="008431DE" w:rsidRPr="009A59D5">
        <w:t xml:space="preserve">netting agreements containing only </w:t>
      </w:r>
      <w:r w:rsidRPr="009A59D5">
        <w:t>margined</w:t>
      </w:r>
      <w:r w:rsidR="00CA4033" w:rsidRPr="009A59D5">
        <w:rPr>
          <w:rStyle w:val="FootnoteReference"/>
        </w:rPr>
        <w:footnoteReference w:id="46"/>
      </w:r>
      <w:r w:rsidRPr="009A59D5">
        <w:t xml:space="preserve"> </w:t>
      </w:r>
      <w:r w:rsidR="008431DE" w:rsidRPr="009A59D5">
        <w:t>transactions</w:t>
      </w:r>
      <w:r w:rsidRPr="009A59D5">
        <w:t>:</w:t>
      </w:r>
    </w:p>
    <w:p w14:paraId="030B0616" w14:textId="7975D19A" w:rsidR="00C67A58" w:rsidRDefault="00C67A58" w:rsidP="00C67A58">
      <w:pPr>
        <w:pStyle w:val="BodyText1"/>
        <w:numPr>
          <w:ilvl w:val="0"/>
          <w:numId w:val="0"/>
        </w:numPr>
        <w:ind w:firstLine="1843"/>
      </w:pPr>
      <w:r w:rsidRPr="00C67A58">
        <w:rPr>
          <w:noProof/>
        </w:rPr>
        <w:drawing>
          <wp:inline distT="0" distB="0" distL="0" distR="0" wp14:anchorId="1B9FDCCB" wp14:editId="79BB0620">
            <wp:extent cx="2987601" cy="207034"/>
            <wp:effectExtent l="0" t="0" r="0" b="2540"/>
            <wp:docPr id="44" name="Picture 44" descr="Start formula CEA equals NCCE open bracket if positive close bracket plus PFCE subscript adj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tart formula CEA equals NCCE open bracket if positive close bracket plus PFCE subscript adj end formul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04376" cy="228986"/>
                    </a:xfrm>
                    <a:prstGeom prst="rect">
                      <a:avLst/>
                    </a:prstGeom>
                    <a:noFill/>
                    <a:ln>
                      <a:noFill/>
                    </a:ln>
                  </pic:spPr>
                </pic:pic>
              </a:graphicData>
            </a:graphic>
          </wp:inline>
        </w:drawing>
      </w:r>
    </w:p>
    <w:p w14:paraId="3382867F" w14:textId="3B84314A" w:rsidR="00F434B9" w:rsidRPr="009A59D5" w:rsidRDefault="00F434B9" w:rsidP="00D10BB7">
      <w:pPr>
        <w:pStyle w:val="BodyText1"/>
        <w:numPr>
          <w:ilvl w:val="0"/>
          <w:numId w:val="0"/>
        </w:numPr>
        <w:ind w:left="1134"/>
      </w:pPr>
      <w:r w:rsidRPr="009A59D5">
        <w:tab/>
      </w:r>
      <w:r w:rsidR="008431DE" w:rsidRPr="009A59D5">
        <w:t xml:space="preserve">for netting agreements containing only </w:t>
      </w:r>
      <w:r w:rsidR="000B0166" w:rsidRPr="009A59D5">
        <w:t>un</w:t>
      </w:r>
      <w:r w:rsidR="008431DE" w:rsidRPr="009A59D5">
        <w:t>margined transactions</w:t>
      </w:r>
      <w:r w:rsidRPr="009A59D5">
        <w:t>:</w:t>
      </w:r>
    </w:p>
    <w:p w14:paraId="2DE6B4E6" w14:textId="3111B9A2" w:rsidR="000D0A23" w:rsidRDefault="000D0A23" w:rsidP="00751D7D">
      <w:pPr>
        <w:pStyle w:val="BodyText1"/>
        <w:numPr>
          <w:ilvl w:val="0"/>
          <w:numId w:val="0"/>
        </w:numPr>
        <w:spacing w:after="0"/>
        <w:ind w:left="1134" w:firstLine="426"/>
      </w:pPr>
      <w:r w:rsidRPr="00A13A96">
        <w:rPr>
          <w:noProof/>
        </w:rPr>
        <w:drawing>
          <wp:inline distT="0" distB="0" distL="0" distR="0" wp14:anchorId="100B43F0" wp14:editId="4F808932">
            <wp:extent cx="3707616" cy="336430"/>
            <wp:effectExtent l="0" t="0" r="0" b="0"/>
            <wp:docPr id="48" name="Picture 48" descr="Start formula CEA equals NCCE open bracket if positive close bracket plus open square bracket 3 times open round bracket PFCE subscript adj close round bracket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tart formula CEA equals NCCE open bracket if positive close bracket plus open square bracket 3 times open round bracket PFCE subscript adj close round bracket close square bracket end formula."/>
                    <pic:cNvPicPr>
                      <a:picLocks noChangeAspect="1" noChangeArrowheads="1"/>
                    </pic:cNvPicPr>
                  </pic:nvPicPr>
                  <pic:blipFill rotWithShape="1">
                    <a:blip r:embed="rId77">
                      <a:extLst>
                        <a:ext uri="{28A0092B-C50C-407E-A947-70E740481C1C}">
                          <a14:useLocalDpi xmlns:a14="http://schemas.microsoft.com/office/drawing/2010/main" val="0"/>
                        </a:ext>
                      </a:extLst>
                    </a:blip>
                    <a:srcRect l="33965" t="4178" r="28177" b="8323"/>
                    <a:stretch/>
                  </pic:blipFill>
                  <pic:spPr bwMode="auto">
                    <a:xfrm>
                      <a:off x="0" y="0"/>
                      <a:ext cx="3872128" cy="351358"/>
                    </a:xfrm>
                    <a:prstGeom prst="rect">
                      <a:avLst/>
                    </a:prstGeom>
                    <a:noFill/>
                    <a:ln>
                      <a:noFill/>
                    </a:ln>
                    <a:extLst>
                      <a:ext uri="{53640926-AAD7-44D8-BBD7-CCE9431645EC}">
                        <a14:shadowObscured xmlns:a14="http://schemas.microsoft.com/office/drawing/2010/main"/>
                      </a:ext>
                    </a:extLst>
                  </pic:spPr>
                </pic:pic>
              </a:graphicData>
            </a:graphic>
          </wp:inline>
        </w:drawing>
      </w:r>
    </w:p>
    <w:p w14:paraId="0523E59E" w14:textId="1A8DBE5C" w:rsidR="00FE2831" w:rsidRPr="009A59D5" w:rsidRDefault="001F0FE4" w:rsidP="00D10BB7">
      <w:pPr>
        <w:pStyle w:val="BodyText1"/>
        <w:numPr>
          <w:ilvl w:val="0"/>
          <w:numId w:val="0"/>
        </w:numPr>
        <w:ind w:left="1134"/>
      </w:pPr>
      <w:r w:rsidRPr="009A59D5">
        <w:t>f</w:t>
      </w:r>
      <w:r w:rsidR="00FE2831" w:rsidRPr="009A59D5">
        <w:t>or netting agreements containing both margined and unmargined transactions:</w:t>
      </w:r>
      <w:r w:rsidR="00FE2CCB" w:rsidRPr="009A59D5">
        <w:rPr>
          <w:rStyle w:val="FootnoteReference"/>
        </w:rPr>
        <w:footnoteReference w:id="47"/>
      </w:r>
    </w:p>
    <w:p w14:paraId="7E3DEF92" w14:textId="774E421D" w:rsidR="000D0A23" w:rsidRDefault="000D0A23" w:rsidP="00751D7D">
      <w:pPr>
        <w:pStyle w:val="BodyText1"/>
        <w:numPr>
          <w:ilvl w:val="0"/>
          <w:numId w:val="0"/>
        </w:numPr>
        <w:spacing w:after="0"/>
        <w:ind w:left="1135" w:hanging="851"/>
      </w:pPr>
      <w:r w:rsidRPr="000D0A23">
        <w:rPr>
          <w:noProof/>
        </w:rPr>
        <w:drawing>
          <wp:inline distT="0" distB="0" distL="0" distR="0" wp14:anchorId="421C1161" wp14:editId="05358EE3">
            <wp:extent cx="5709601" cy="387195"/>
            <wp:effectExtent l="0" t="0" r="0" b="0"/>
            <wp:docPr id="51" name="Picture 51" descr="Start formula CEA equals NCCE open bracket if positive close bracket plus open square bracket open round bracket 1 plus 2 times A close round bracket times open round bracket PFCE subscript adj close round bracket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tart formula CEA equals NCCE open bracket if positive close bracket plus open square bracket open round bracket 1 plus 2 times A close round bracket times open round bracket PFCE subscript adj close round bracket close square bracket end formul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21276" cy="415113"/>
                    </a:xfrm>
                    <a:prstGeom prst="rect">
                      <a:avLst/>
                    </a:prstGeom>
                    <a:noFill/>
                    <a:ln>
                      <a:noFill/>
                    </a:ln>
                  </pic:spPr>
                </pic:pic>
              </a:graphicData>
            </a:graphic>
          </wp:inline>
        </w:drawing>
      </w:r>
    </w:p>
    <w:p w14:paraId="7EAA6B2E" w14:textId="77777777" w:rsidR="00CB5E55" w:rsidRPr="009A59D5" w:rsidRDefault="00CB5E55" w:rsidP="00D10BB7">
      <w:pPr>
        <w:pStyle w:val="BodyText1"/>
        <w:numPr>
          <w:ilvl w:val="0"/>
          <w:numId w:val="0"/>
        </w:numPr>
        <w:ind w:left="567" w:firstLine="567"/>
      </w:pPr>
      <w:r w:rsidRPr="009A59D5">
        <w:t>where:</w:t>
      </w:r>
    </w:p>
    <w:p w14:paraId="6ADEC735" w14:textId="7814AD68" w:rsidR="00CB5E55" w:rsidRPr="009A59D5" w:rsidRDefault="008774B2" w:rsidP="00D10BB7">
      <w:pPr>
        <w:pStyle w:val="BodyText1"/>
        <w:numPr>
          <w:ilvl w:val="0"/>
          <w:numId w:val="0"/>
        </w:numPr>
        <w:ind w:left="1134"/>
      </w:pPr>
      <w:r>
        <w:rPr>
          <w:i/>
        </w:rPr>
        <w:t xml:space="preserve">NCCE </w:t>
      </w:r>
      <w:r>
        <w:t xml:space="preserve">= </w:t>
      </w:r>
      <w:r w:rsidR="00CB5E55" w:rsidRPr="009A59D5">
        <w:t>the net current credit exposure (</w:t>
      </w:r>
      <w:proofErr w:type="gramStart"/>
      <w:r w:rsidR="00CB5E55" w:rsidRPr="009A59D5">
        <w:t>i.e.</w:t>
      </w:r>
      <w:proofErr w:type="gramEnd"/>
      <w:r w:rsidR="00CB5E55" w:rsidRPr="009A59D5">
        <w:t xml:space="preserve"> net mark-to-market) of all transactions covered by the netting agreement, if positive. </w:t>
      </w:r>
      <w:r>
        <w:rPr>
          <w:i/>
        </w:rPr>
        <w:t>NCCE</w:t>
      </w:r>
      <w:r w:rsidR="00CB5E55" w:rsidRPr="009A59D5">
        <w:t xml:space="preserve"> must be calculated as the sum of all positive and negative mark-to-market values of all individual contracts covered by a netting agreement (</w:t>
      </w:r>
      <w:proofErr w:type="gramStart"/>
      <w:r w:rsidR="00CB5E55" w:rsidRPr="009A59D5">
        <w:t>i.e.</w:t>
      </w:r>
      <w:proofErr w:type="gramEnd"/>
      <w:r w:rsidR="00CB5E55" w:rsidRPr="009A59D5">
        <w:t xml:space="preserve"> positive mark-to-market values of transactions may be offset against negative mark-to-market values on other transactions covered by the netting agreement). If the net sum of individual mark-to-market values is positive, the </w:t>
      </w:r>
      <w:r>
        <w:rPr>
          <w:i/>
        </w:rPr>
        <w:t xml:space="preserve">NCCE </w:t>
      </w:r>
      <w:r w:rsidR="00CB5E55" w:rsidRPr="009A59D5">
        <w:t xml:space="preserve">is equal to that sum. If the sum of mark-to-market values is zero or negative, the </w:t>
      </w:r>
      <w:r>
        <w:rPr>
          <w:i/>
        </w:rPr>
        <w:t xml:space="preserve">NCCE </w:t>
      </w:r>
      <w:r w:rsidR="00CB5E55" w:rsidRPr="009A59D5">
        <w:t xml:space="preserve">is set equal to </w:t>
      </w:r>
      <w:proofErr w:type="gramStart"/>
      <w:r w:rsidR="00CB5E55" w:rsidRPr="009A59D5">
        <w:t>zero;</w:t>
      </w:r>
      <w:proofErr w:type="gramEnd"/>
      <w:r w:rsidR="00CB5E55" w:rsidRPr="009A59D5">
        <w:t xml:space="preserve"> </w:t>
      </w:r>
    </w:p>
    <w:p w14:paraId="7B9CA6D9" w14:textId="651989A7" w:rsidR="007A1155" w:rsidRPr="009A59D5" w:rsidRDefault="008774B2" w:rsidP="00E9055B">
      <w:pPr>
        <w:pStyle w:val="BodyText1"/>
        <w:numPr>
          <w:ilvl w:val="0"/>
          <w:numId w:val="0"/>
        </w:numPr>
        <w:ind w:left="1134"/>
      </w:pPr>
      <w:proofErr w:type="spellStart"/>
      <w:r>
        <w:rPr>
          <w:i/>
        </w:rPr>
        <w:t>PFCE</w:t>
      </w:r>
      <w:r>
        <w:rPr>
          <w:i/>
          <w:vertAlign w:val="subscript"/>
        </w:rPr>
        <w:t>adj</w:t>
      </w:r>
      <w:proofErr w:type="spellEnd"/>
      <w:r>
        <w:t xml:space="preserve"> = </w:t>
      </w:r>
      <w:r w:rsidR="00CB5E55" w:rsidRPr="009A59D5">
        <w:t>the add-on for potential future credit exposure based on the notional principal of all the individual underlying contracts (</w:t>
      </w:r>
      <w:proofErr w:type="gramStart"/>
      <w:r w:rsidR="00CB5E55" w:rsidRPr="009A59D5">
        <w:t>i.e.</w:t>
      </w:r>
      <w:proofErr w:type="gramEnd"/>
      <w:r w:rsidR="00CB5E55" w:rsidRPr="009A59D5">
        <w:t xml:space="preserve"> the gross potential future credit exposure</w:t>
      </w:r>
      <w:r w:rsidR="00703509" w:rsidRPr="009A59D5">
        <w:t xml:space="preserve"> (</w:t>
      </w:r>
      <w:proofErr w:type="spellStart"/>
      <w:r>
        <w:rPr>
          <w:i/>
        </w:rPr>
        <w:t>PFCE</w:t>
      </w:r>
      <w:r>
        <w:rPr>
          <w:i/>
          <w:vertAlign w:val="subscript"/>
        </w:rPr>
        <w:t>gross</w:t>
      </w:r>
      <w:proofErr w:type="spellEnd"/>
      <w:r w:rsidR="00703509" w:rsidRPr="009A59D5">
        <w:t>)</w:t>
      </w:r>
      <w:r w:rsidR="00CB5E55" w:rsidRPr="009A59D5">
        <w:t>) adjusted to reflect the effects of the netting agreement.</w:t>
      </w:r>
      <w:r w:rsidR="00794B0F">
        <w:t xml:space="preserve"> </w:t>
      </w:r>
      <w:proofErr w:type="spellStart"/>
      <w:r w:rsidR="00794B0F">
        <w:rPr>
          <w:i/>
        </w:rPr>
        <w:t>PFCE</w:t>
      </w:r>
      <w:r w:rsidR="00794B0F">
        <w:rPr>
          <w:i/>
          <w:vertAlign w:val="subscript"/>
        </w:rPr>
        <w:t>adj</w:t>
      </w:r>
      <w:proofErr w:type="spellEnd"/>
      <w:r w:rsidR="00CB5E55" w:rsidRPr="009A59D5">
        <w:t xml:space="preserve"> must be determined in accordance with paragraphs </w:t>
      </w:r>
      <w:r w:rsidR="00CB5E55" w:rsidRPr="009A59D5">
        <w:fldChar w:fldCharType="begin"/>
      </w:r>
      <w:r w:rsidR="00CB5E55" w:rsidRPr="009A59D5">
        <w:instrText xml:space="preserve"> REF _Ref460255921 \r \h  \* MERGEFORMAT </w:instrText>
      </w:r>
      <w:r w:rsidR="00CB5E55" w:rsidRPr="009A59D5">
        <w:fldChar w:fldCharType="separate"/>
      </w:r>
      <w:r w:rsidR="00B401AE">
        <w:t>12</w:t>
      </w:r>
      <w:r w:rsidR="00CB5E55" w:rsidRPr="009A59D5">
        <w:fldChar w:fldCharType="end"/>
      </w:r>
      <w:r w:rsidR="00CB5E55" w:rsidRPr="009A59D5">
        <w:t xml:space="preserve"> to </w:t>
      </w:r>
      <w:r w:rsidR="00CB5E55" w:rsidRPr="009A59D5">
        <w:fldChar w:fldCharType="begin"/>
      </w:r>
      <w:r w:rsidR="00CB5E55" w:rsidRPr="009A59D5">
        <w:instrText xml:space="preserve"> REF _Ref460255939 \r \h  \* MERGEFORMAT </w:instrText>
      </w:r>
      <w:r w:rsidR="00CB5E55" w:rsidRPr="009A59D5">
        <w:fldChar w:fldCharType="separate"/>
      </w:r>
      <w:r w:rsidR="00B401AE">
        <w:t>17</w:t>
      </w:r>
      <w:r w:rsidR="00CB5E55" w:rsidRPr="009A59D5">
        <w:fldChar w:fldCharType="end"/>
      </w:r>
      <w:r w:rsidR="000B0166" w:rsidRPr="009A59D5">
        <w:t xml:space="preserve"> of this Attachment;</w:t>
      </w:r>
      <w:r w:rsidR="00C531A7">
        <w:t xml:space="preserve"> and</w:t>
      </w:r>
    </w:p>
    <w:p w14:paraId="69ED26C1" w14:textId="45E9D5C9" w:rsidR="00757C88" w:rsidRDefault="001B1507" w:rsidP="00757C88">
      <w:pPr>
        <w:pStyle w:val="BodyText1"/>
        <w:numPr>
          <w:ilvl w:val="0"/>
          <w:numId w:val="0"/>
        </w:numPr>
        <w:ind w:left="1134" w:hanging="850"/>
        <w:rPr>
          <w:sz w:val="2"/>
          <w:szCs w:val="2"/>
        </w:rPr>
      </w:pPr>
      <w:r w:rsidRPr="00680FA2">
        <w:rPr>
          <w:noProof/>
        </w:rPr>
        <w:drawing>
          <wp:inline distT="0" distB="0" distL="0" distR="0" wp14:anchorId="25609965" wp14:editId="237DE3DE">
            <wp:extent cx="5143500" cy="329902"/>
            <wp:effectExtent l="0" t="0" r="0" b="0"/>
            <wp:docPr id="55" name="Picture 55" descr="Start formula A equals start fraction PFCE subscript gross for unmargined transactions in the netting agreement over PFCE subscript gross for all transactions in the netting agreement end fraction end formul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tart formula A equals start fraction PFCE subscript gross for unmargined transactions in the netting agreement over PFCE subscript gross for all transactions in the netting agreement end fraction end formula.&#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25827" cy="335182"/>
                    </a:xfrm>
                    <a:prstGeom prst="rect">
                      <a:avLst/>
                    </a:prstGeom>
                    <a:noFill/>
                    <a:ln>
                      <a:noFill/>
                    </a:ln>
                  </pic:spPr>
                </pic:pic>
              </a:graphicData>
            </a:graphic>
          </wp:inline>
        </w:drawing>
      </w:r>
    </w:p>
    <w:p w14:paraId="3C8F1353" w14:textId="1FC2A0CB" w:rsidR="00A2222A" w:rsidRPr="009A59D5" w:rsidRDefault="00A538A4" w:rsidP="00FF24ED">
      <w:pPr>
        <w:pStyle w:val="AttachmentSubheading"/>
      </w:pPr>
      <w:bookmarkStart w:id="523" w:name="_Toc487712252"/>
      <w:bookmarkStart w:id="524" w:name="_Toc488397553"/>
      <w:bookmarkStart w:id="525" w:name="_Toc488398113"/>
      <w:bookmarkStart w:id="526" w:name="_Toc489463950"/>
      <w:bookmarkStart w:id="527" w:name="_Toc507406244"/>
      <w:bookmarkStart w:id="528" w:name="_Toc507406316"/>
      <w:bookmarkStart w:id="529" w:name="_Toc507406429"/>
      <w:bookmarkStart w:id="530" w:name="_Toc507406473"/>
      <w:bookmarkStart w:id="531" w:name="_Toc507406583"/>
      <w:r w:rsidRPr="009A59D5">
        <w:t xml:space="preserve">Calculation of potential future credit exposure: transactions that are not covered by an eligible bilateral netting </w:t>
      </w:r>
      <w:proofErr w:type="gramStart"/>
      <w:r w:rsidRPr="009A59D5">
        <w:t>agreement</w:t>
      </w:r>
      <w:bookmarkEnd w:id="523"/>
      <w:bookmarkEnd w:id="524"/>
      <w:bookmarkEnd w:id="525"/>
      <w:bookmarkEnd w:id="526"/>
      <w:bookmarkEnd w:id="527"/>
      <w:bookmarkEnd w:id="528"/>
      <w:bookmarkEnd w:id="529"/>
      <w:bookmarkEnd w:id="530"/>
      <w:bookmarkEnd w:id="531"/>
      <w:proofErr w:type="gramEnd"/>
    </w:p>
    <w:p w14:paraId="7F7BD8FE" w14:textId="6072DDF4" w:rsidR="00205907" w:rsidRPr="009A59D5" w:rsidRDefault="00205907" w:rsidP="00205907">
      <w:pPr>
        <w:pStyle w:val="BodyText1"/>
      </w:pPr>
      <w:bookmarkStart w:id="532" w:name="_Ref482874889"/>
      <w:r w:rsidRPr="009A59D5">
        <w:t>An ADI must, for the purpose of calculating its potential future credit exposure for each transaction, multiply the notional principal amount of each of these transactions by the relevant credit conversion factor (CCF) specified in</w:t>
      </w:r>
      <w:r w:rsidR="00170127" w:rsidRPr="009A59D5">
        <w:t xml:space="preserve"> </w:t>
      </w:r>
      <w:r w:rsidR="00170127" w:rsidRPr="009A59D5">
        <w:fldChar w:fldCharType="begin"/>
      </w:r>
      <w:r w:rsidR="00170127" w:rsidRPr="009A59D5">
        <w:instrText xml:space="preserve"> REF _Ref460254029 \h </w:instrText>
      </w:r>
      <w:r w:rsidR="00365041" w:rsidRPr="009A59D5">
        <w:instrText xml:space="preserve"> \* MERGEFORMAT </w:instrText>
      </w:r>
      <w:r w:rsidR="00170127" w:rsidRPr="009A59D5">
        <w:fldChar w:fldCharType="separate"/>
      </w:r>
      <w:r w:rsidR="00B401AE" w:rsidRPr="009A59D5">
        <w:t xml:space="preserve">Table </w:t>
      </w:r>
      <w:r w:rsidR="00170127" w:rsidRPr="009A59D5">
        <w:fldChar w:fldCharType="end"/>
      </w:r>
      <w:r w:rsidR="00B21E0D" w:rsidRPr="009A59D5">
        <w:t>8</w:t>
      </w:r>
      <w:r w:rsidRPr="009A59D5">
        <w:t>.</w:t>
      </w:r>
      <w:bookmarkEnd w:id="532"/>
    </w:p>
    <w:p w14:paraId="4D40736C" w14:textId="4252E564" w:rsidR="00BB2AE2" w:rsidRPr="009A59D5" w:rsidRDefault="007244C9" w:rsidP="00112996">
      <w:pPr>
        <w:pStyle w:val="BodyText1"/>
        <w:keepNext/>
        <w:numPr>
          <w:ilvl w:val="0"/>
          <w:numId w:val="0"/>
        </w:numPr>
        <w:ind w:left="567"/>
      </w:pPr>
      <w:bookmarkStart w:id="533" w:name="_Ref460254029"/>
      <w:bookmarkStart w:id="534" w:name="_Ref460255806"/>
      <w:r w:rsidRPr="009A59D5">
        <w:t>Table</w:t>
      </w:r>
      <w:r w:rsidR="00170127" w:rsidRPr="009A59D5">
        <w:t xml:space="preserve"> </w:t>
      </w:r>
      <w:bookmarkEnd w:id="533"/>
      <w:r w:rsidR="00B21E0D" w:rsidRPr="009A59D5">
        <w:t>8</w:t>
      </w:r>
      <w:r w:rsidRPr="009A59D5">
        <w:t xml:space="preserve">: Current exposure method </w:t>
      </w:r>
      <w:r w:rsidR="000A4710" w:rsidRPr="009A59D5">
        <w:t>–</w:t>
      </w:r>
      <w:r w:rsidRPr="009A59D5">
        <w:t xml:space="preserve"> market-related CCFs</w:t>
      </w:r>
      <w:bookmarkEnd w:id="534"/>
    </w:p>
    <w:tbl>
      <w:tblPr>
        <w:tblStyle w:val="TableGrid"/>
        <w:tblW w:w="0" w:type="auto"/>
        <w:tblInd w:w="567" w:type="dxa"/>
        <w:tblLook w:val="04A0" w:firstRow="1" w:lastRow="0" w:firstColumn="1" w:lastColumn="0" w:noHBand="0" w:noVBand="1"/>
      </w:tblPr>
      <w:tblGrid>
        <w:gridCol w:w="1257"/>
        <w:gridCol w:w="1276"/>
        <w:gridCol w:w="1276"/>
        <w:gridCol w:w="1276"/>
        <w:gridCol w:w="1276"/>
        <w:gridCol w:w="1374"/>
      </w:tblGrid>
      <w:tr w:rsidR="001537D8" w:rsidRPr="009A59D5" w14:paraId="734DB654" w14:textId="77777777" w:rsidTr="007244C9">
        <w:tc>
          <w:tcPr>
            <w:tcW w:w="1383" w:type="dxa"/>
          </w:tcPr>
          <w:p w14:paraId="3C98C67C" w14:textId="77777777" w:rsidR="007244C9" w:rsidRPr="009A59D5" w:rsidRDefault="007244C9" w:rsidP="00164A9B">
            <w:pPr>
              <w:pStyle w:val="BodyText1"/>
              <w:keepNext/>
              <w:numPr>
                <w:ilvl w:val="0"/>
                <w:numId w:val="0"/>
              </w:numPr>
              <w:spacing w:after="0"/>
              <w:jc w:val="left"/>
              <w:rPr>
                <w:b/>
              </w:rPr>
            </w:pPr>
            <w:r w:rsidRPr="009A59D5">
              <w:rPr>
                <w:b/>
              </w:rPr>
              <w:t>Residual maturity</w:t>
            </w:r>
          </w:p>
        </w:tc>
        <w:tc>
          <w:tcPr>
            <w:tcW w:w="1383" w:type="dxa"/>
          </w:tcPr>
          <w:p w14:paraId="4C034B21" w14:textId="77777777" w:rsidR="007244C9" w:rsidRPr="009A59D5" w:rsidRDefault="007244C9" w:rsidP="00164A9B">
            <w:pPr>
              <w:pStyle w:val="BodyText1"/>
              <w:keepNext/>
              <w:numPr>
                <w:ilvl w:val="0"/>
                <w:numId w:val="0"/>
              </w:numPr>
              <w:spacing w:after="0"/>
              <w:jc w:val="left"/>
              <w:rPr>
                <w:b/>
              </w:rPr>
            </w:pPr>
            <w:r w:rsidRPr="009A59D5">
              <w:rPr>
                <w:b/>
              </w:rPr>
              <w:t>Interest rate contracts (%)</w:t>
            </w:r>
          </w:p>
        </w:tc>
        <w:tc>
          <w:tcPr>
            <w:tcW w:w="1384" w:type="dxa"/>
          </w:tcPr>
          <w:p w14:paraId="356600CA" w14:textId="77777777" w:rsidR="007244C9" w:rsidRPr="009A59D5" w:rsidRDefault="001537D8" w:rsidP="00164A9B">
            <w:pPr>
              <w:pStyle w:val="BodyText1"/>
              <w:keepNext/>
              <w:numPr>
                <w:ilvl w:val="0"/>
                <w:numId w:val="0"/>
              </w:numPr>
              <w:spacing w:after="0"/>
              <w:jc w:val="left"/>
              <w:rPr>
                <w:b/>
              </w:rPr>
            </w:pPr>
            <w:r w:rsidRPr="009A59D5">
              <w:rPr>
                <w:b/>
              </w:rPr>
              <w:t>Foreign exchange and gold contracts (%)</w:t>
            </w:r>
          </w:p>
        </w:tc>
        <w:tc>
          <w:tcPr>
            <w:tcW w:w="1384" w:type="dxa"/>
          </w:tcPr>
          <w:p w14:paraId="25390A05" w14:textId="77777777" w:rsidR="007244C9" w:rsidRPr="009A59D5" w:rsidRDefault="001537D8" w:rsidP="00164A9B">
            <w:pPr>
              <w:pStyle w:val="BodyText1"/>
              <w:keepNext/>
              <w:numPr>
                <w:ilvl w:val="0"/>
                <w:numId w:val="0"/>
              </w:numPr>
              <w:spacing w:after="0"/>
              <w:jc w:val="left"/>
              <w:rPr>
                <w:b/>
              </w:rPr>
            </w:pPr>
            <w:r w:rsidRPr="009A59D5">
              <w:rPr>
                <w:b/>
              </w:rPr>
              <w:t>Equity contracts</w:t>
            </w:r>
            <w:r w:rsidR="000D0DA2" w:rsidRPr="009A59D5">
              <w:rPr>
                <w:b/>
              </w:rPr>
              <w:t xml:space="preserve"> (%)</w:t>
            </w:r>
          </w:p>
        </w:tc>
        <w:tc>
          <w:tcPr>
            <w:tcW w:w="1384" w:type="dxa"/>
          </w:tcPr>
          <w:p w14:paraId="184223FB" w14:textId="77777777" w:rsidR="007244C9" w:rsidRPr="009A59D5" w:rsidRDefault="00E009A3" w:rsidP="00164A9B">
            <w:pPr>
              <w:pStyle w:val="BodyText1"/>
              <w:keepNext/>
              <w:numPr>
                <w:ilvl w:val="0"/>
                <w:numId w:val="0"/>
              </w:numPr>
              <w:spacing w:after="0"/>
              <w:jc w:val="left"/>
              <w:rPr>
                <w:b/>
              </w:rPr>
            </w:pPr>
            <w:r w:rsidRPr="009A59D5">
              <w:rPr>
                <w:b/>
              </w:rPr>
              <w:t>Precious metal contracts (other than gold) (%)</w:t>
            </w:r>
          </w:p>
        </w:tc>
        <w:tc>
          <w:tcPr>
            <w:tcW w:w="1384" w:type="dxa"/>
          </w:tcPr>
          <w:p w14:paraId="3C6B1692" w14:textId="77777777" w:rsidR="007244C9" w:rsidRPr="009A59D5" w:rsidRDefault="00E009A3" w:rsidP="00164A9B">
            <w:pPr>
              <w:pStyle w:val="BodyText1"/>
              <w:keepNext/>
              <w:numPr>
                <w:ilvl w:val="0"/>
                <w:numId w:val="0"/>
              </w:numPr>
              <w:spacing w:after="0"/>
              <w:jc w:val="left"/>
              <w:rPr>
                <w:b/>
              </w:rPr>
            </w:pPr>
            <w:r w:rsidRPr="009A59D5">
              <w:rPr>
                <w:b/>
              </w:rPr>
              <w:t>Other commodity contracts (other than precious metals) (%)</w:t>
            </w:r>
          </w:p>
        </w:tc>
      </w:tr>
      <w:tr w:rsidR="001537D8" w:rsidRPr="009A59D5" w14:paraId="53616FE2" w14:textId="77777777" w:rsidTr="007244C9">
        <w:tc>
          <w:tcPr>
            <w:tcW w:w="1383" w:type="dxa"/>
          </w:tcPr>
          <w:p w14:paraId="0758A5D0" w14:textId="77777777" w:rsidR="007244C9" w:rsidRPr="009A59D5" w:rsidRDefault="00E009A3" w:rsidP="00D23251">
            <w:pPr>
              <w:pStyle w:val="BodyText1"/>
              <w:numPr>
                <w:ilvl w:val="0"/>
                <w:numId w:val="0"/>
              </w:numPr>
              <w:spacing w:after="0"/>
              <w:jc w:val="center"/>
            </w:pPr>
            <w:r w:rsidRPr="009A59D5">
              <w:t>≤ 1 year</w:t>
            </w:r>
          </w:p>
        </w:tc>
        <w:tc>
          <w:tcPr>
            <w:tcW w:w="1383" w:type="dxa"/>
          </w:tcPr>
          <w:p w14:paraId="6EDDC240" w14:textId="77777777" w:rsidR="007244C9" w:rsidRPr="009A59D5" w:rsidRDefault="00E009A3" w:rsidP="00187998">
            <w:pPr>
              <w:pStyle w:val="BodyText1"/>
              <w:numPr>
                <w:ilvl w:val="0"/>
                <w:numId w:val="0"/>
              </w:numPr>
              <w:spacing w:after="0"/>
            </w:pPr>
            <w:r w:rsidRPr="009A59D5">
              <w:t>0.0</w:t>
            </w:r>
          </w:p>
        </w:tc>
        <w:tc>
          <w:tcPr>
            <w:tcW w:w="1384" w:type="dxa"/>
          </w:tcPr>
          <w:p w14:paraId="4C71F91A" w14:textId="77777777" w:rsidR="007244C9" w:rsidRPr="009A59D5" w:rsidRDefault="00E009A3" w:rsidP="00187998">
            <w:pPr>
              <w:pStyle w:val="BodyText1"/>
              <w:numPr>
                <w:ilvl w:val="0"/>
                <w:numId w:val="0"/>
              </w:numPr>
              <w:spacing w:after="0"/>
            </w:pPr>
            <w:r w:rsidRPr="009A59D5">
              <w:t>1.0</w:t>
            </w:r>
          </w:p>
        </w:tc>
        <w:tc>
          <w:tcPr>
            <w:tcW w:w="1384" w:type="dxa"/>
          </w:tcPr>
          <w:p w14:paraId="4B6E2AFE" w14:textId="77777777" w:rsidR="007244C9" w:rsidRPr="009A59D5" w:rsidRDefault="00E009A3" w:rsidP="00187998">
            <w:pPr>
              <w:pStyle w:val="BodyText1"/>
              <w:numPr>
                <w:ilvl w:val="0"/>
                <w:numId w:val="0"/>
              </w:numPr>
              <w:spacing w:after="0"/>
            </w:pPr>
            <w:r w:rsidRPr="009A59D5">
              <w:t>6.0</w:t>
            </w:r>
          </w:p>
        </w:tc>
        <w:tc>
          <w:tcPr>
            <w:tcW w:w="1384" w:type="dxa"/>
          </w:tcPr>
          <w:p w14:paraId="5C74363A" w14:textId="77777777" w:rsidR="007244C9" w:rsidRPr="009A59D5" w:rsidRDefault="00E009A3" w:rsidP="00187998">
            <w:pPr>
              <w:pStyle w:val="BodyText1"/>
              <w:numPr>
                <w:ilvl w:val="0"/>
                <w:numId w:val="0"/>
              </w:numPr>
              <w:spacing w:after="0"/>
            </w:pPr>
            <w:r w:rsidRPr="009A59D5">
              <w:t>7.0</w:t>
            </w:r>
          </w:p>
        </w:tc>
        <w:tc>
          <w:tcPr>
            <w:tcW w:w="1384" w:type="dxa"/>
          </w:tcPr>
          <w:p w14:paraId="715134BF" w14:textId="77777777" w:rsidR="007244C9" w:rsidRPr="009A59D5" w:rsidRDefault="00E009A3" w:rsidP="00187998">
            <w:pPr>
              <w:pStyle w:val="BodyText1"/>
              <w:numPr>
                <w:ilvl w:val="0"/>
                <w:numId w:val="0"/>
              </w:numPr>
              <w:spacing w:after="0"/>
            </w:pPr>
            <w:r w:rsidRPr="009A59D5">
              <w:t>10.0</w:t>
            </w:r>
          </w:p>
        </w:tc>
      </w:tr>
      <w:tr w:rsidR="001537D8" w:rsidRPr="009A59D5" w14:paraId="25F0EB05" w14:textId="77777777" w:rsidTr="007244C9">
        <w:tc>
          <w:tcPr>
            <w:tcW w:w="1383" w:type="dxa"/>
          </w:tcPr>
          <w:p w14:paraId="5C0E0B8A" w14:textId="77777777" w:rsidR="007244C9" w:rsidRPr="009A59D5" w:rsidRDefault="00E009A3" w:rsidP="00D23251">
            <w:pPr>
              <w:pStyle w:val="BodyText1"/>
              <w:numPr>
                <w:ilvl w:val="0"/>
                <w:numId w:val="0"/>
              </w:numPr>
              <w:spacing w:after="0"/>
              <w:jc w:val="center"/>
            </w:pPr>
            <w:r w:rsidRPr="009A59D5">
              <w:t xml:space="preserve">&gt;1 year, </w:t>
            </w:r>
            <w:r w:rsidRPr="009A59D5">
              <w:br/>
              <w:t>≤ 5 years</w:t>
            </w:r>
          </w:p>
        </w:tc>
        <w:tc>
          <w:tcPr>
            <w:tcW w:w="1383" w:type="dxa"/>
          </w:tcPr>
          <w:p w14:paraId="21DD9031" w14:textId="77777777" w:rsidR="007244C9" w:rsidRPr="009A59D5" w:rsidRDefault="00E009A3" w:rsidP="00187998">
            <w:pPr>
              <w:pStyle w:val="BodyText1"/>
              <w:numPr>
                <w:ilvl w:val="0"/>
                <w:numId w:val="0"/>
              </w:numPr>
              <w:spacing w:after="0"/>
            </w:pPr>
            <w:r w:rsidRPr="009A59D5">
              <w:t>0.5</w:t>
            </w:r>
          </w:p>
        </w:tc>
        <w:tc>
          <w:tcPr>
            <w:tcW w:w="1384" w:type="dxa"/>
          </w:tcPr>
          <w:p w14:paraId="4BF16039" w14:textId="77777777" w:rsidR="007244C9" w:rsidRPr="009A59D5" w:rsidRDefault="00E009A3" w:rsidP="00187998">
            <w:pPr>
              <w:pStyle w:val="BodyText1"/>
              <w:numPr>
                <w:ilvl w:val="0"/>
                <w:numId w:val="0"/>
              </w:numPr>
              <w:spacing w:after="0"/>
            </w:pPr>
            <w:r w:rsidRPr="009A59D5">
              <w:t>5.0</w:t>
            </w:r>
          </w:p>
        </w:tc>
        <w:tc>
          <w:tcPr>
            <w:tcW w:w="1384" w:type="dxa"/>
          </w:tcPr>
          <w:p w14:paraId="06053BEF" w14:textId="77777777" w:rsidR="007244C9" w:rsidRPr="009A59D5" w:rsidRDefault="00E009A3" w:rsidP="00187998">
            <w:pPr>
              <w:pStyle w:val="BodyText1"/>
              <w:numPr>
                <w:ilvl w:val="0"/>
                <w:numId w:val="0"/>
              </w:numPr>
              <w:spacing w:after="0"/>
            </w:pPr>
            <w:r w:rsidRPr="009A59D5">
              <w:t>8.0</w:t>
            </w:r>
          </w:p>
        </w:tc>
        <w:tc>
          <w:tcPr>
            <w:tcW w:w="1384" w:type="dxa"/>
          </w:tcPr>
          <w:p w14:paraId="11D8EF68" w14:textId="77777777" w:rsidR="007244C9" w:rsidRPr="009A59D5" w:rsidRDefault="00E009A3" w:rsidP="00187998">
            <w:pPr>
              <w:pStyle w:val="BodyText1"/>
              <w:numPr>
                <w:ilvl w:val="0"/>
                <w:numId w:val="0"/>
              </w:numPr>
              <w:spacing w:after="0"/>
            </w:pPr>
            <w:r w:rsidRPr="009A59D5">
              <w:t>7.0</w:t>
            </w:r>
          </w:p>
        </w:tc>
        <w:tc>
          <w:tcPr>
            <w:tcW w:w="1384" w:type="dxa"/>
          </w:tcPr>
          <w:p w14:paraId="4A65295E" w14:textId="77777777" w:rsidR="007244C9" w:rsidRPr="009A59D5" w:rsidRDefault="00E009A3" w:rsidP="00187998">
            <w:pPr>
              <w:pStyle w:val="BodyText1"/>
              <w:numPr>
                <w:ilvl w:val="0"/>
                <w:numId w:val="0"/>
              </w:numPr>
              <w:spacing w:after="0"/>
            </w:pPr>
            <w:r w:rsidRPr="009A59D5">
              <w:t>12.0</w:t>
            </w:r>
          </w:p>
        </w:tc>
      </w:tr>
      <w:tr w:rsidR="001537D8" w:rsidRPr="009A59D5" w14:paraId="74CE3AB8" w14:textId="77777777" w:rsidTr="007244C9">
        <w:tc>
          <w:tcPr>
            <w:tcW w:w="1383" w:type="dxa"/>
          </w:tcPr>
          <w:p w14:paraId="2674D990" w14:textId="77777777" w:rsidR="007244C9" w:rsidRPr="009A59D5" w:rsidRDefault="00E009A3" w:rsidP="00D23251">
            <w:pPr>
              <w:pStyle w:val="BodyText1"/>
              <w:numPr>
                <w:ilvl w:val="0"/>
                <w:numId w:val="0"/>
              </w:numPr>
              <w:spacing w:after="0"/>
              <w:jc w:val="center"/>
            </w:pPr>
            <w:r w:rsidRPr="009A59D5">
              <w:t>&gt;5 years</w:t>
            </w:r>
          </w:p>
        </w:tc>
        <w:tc>
          <w:tcPr>
            <w:tcW w:w="1383" w:type="dxa"/>
          </w:tcPr>
          <w:p w14:paraId="6BCB2C5F" w14:textId="77777777" w:rsidR="007244C9" w:rsidRPr="009A59D5" w:rsidRDefault="00E009A3" w:rsidP="00187998">
            <w:pPr>
              <w:pStyle w:val="BodyText1"/>
              <w:numPr>
                <w:ilvl w:val="0"/>
                <w:numId w:val="0"/>
              </w:numPr>
              <w:spacing w:after="0"/>
            </w:pPr>
            <w:r w:rsidRPr="009A59D5">
              <w:t>1.5</w:t>
            </w:r>
          </w:p>
        </w:tc>
        <w:tc>
          <w:tcPr>
            <w:tcW w:w="1384" w:type="dxa"/>
          </w:tcPr>
          <w:p w14:paraId="6C722827" w14:textId="77777777" w:rsidR="007244C9" w:rsidRPr="009A59D5" w:rsidRDefault="00E009A3" w:rsidP="00187998">
            <w:pPr>
              <w:pStyle w:val="BodyText1"/>
              <w:numPr>
                <w:ilvl w:val="0"/>
                <w:numId w:val="0"/>
              </w:numPr>
              <w:spacing w:after="0"/>
            </w:pPr>
            <w:r w:rsidRPr="009A59D5">
              <w:t>7.5</w:t>
            </w:r>
          </w:p>
        </w:tc>
        <w:tc>
          <w:tcPr>
            <w:tcW w:w="1384" w:type="dxa"/>
          </w:tcPr>
          <w:p w14:paraId="727B52E1" w14:textId="77777777" w:rsidR="007244C9" w:rsidRPr="009A59D5" w:rsidRDefault="00E009A3" w:rsidP="00187998">
            <w:pPr>
              <w:pStyle w:val="BodyText1"/>
              <w:numPr>
                <w:ilvl w:val="0"/>
                <w:numId w:val="0"/>
              </w:numPr>
              <w:spacing w:after="0"/>
            </w:pPr>
            <w:r w:rsidRPr="009A59D5">
              <w:t>10.0</w:t>
            </w:r>
          </w:p>
        </w:tc>
        <w:tc>
          <w:tcPr>
            <w:tcW w:w="1384" w:type="dxa"/>
          </w:tcPr>
          <w:p w14:paraId="0027858B" w14:textId="77777777" w:rsidR="007244C9" w:rsidRPr="009A59D5" w:rsidRDefault="00E009A3" w:rsidP="00187998">
            <w:pPr>
              <w:pStyle w:val="BodyText1"/>
              <w:numPr>
                <w:ilvl w:val="0"/>
                <w:numId w:val="0"/>
              </w:numPr>
              <w:spacing w:after="0"/>
            </w:pPr>
            <w:r w:rsidRPr="009A59D5">
              <w:t>8.0</w:t>
            </w:r>
          </w:p>
        </w:tc>
        <w:tc>
          <w:tcPr>
            <w:tcW w:w="1384" w:type="dxa"/>
          </w:tcPr>
          <w:p w14:paraId="073AC618" w14:textId="77777777" w:rsidR="007244C9" w:rsidRPr="009A59D5" w:rsidRDefault="00E009A3" w:rsidP="00187998">
            <w:pPr>
              <w:pStyle w:val="BodyText1"/>
              <w:numPr>
                <w:ilvl w:val="0"/>
                <w:numId w:val="0"/>
              </w:numPr>
              <w:spacing w:after="0"/>
            </w:pPr>
            <w:r w:rsidRPr="009A59D5">
              <w:t>15.0</w:t>
            </w:r>
          </w:p>
        </w:tc>
      </w:tr>
    </w:tbl>
    <w:p w14:paraId="26AF8F4F" w14:textId="5532ED66" w:rsidR="007244C9" w:rsidRPr="009A59D5" w:rsidRDefault="007244C9" w:rsidP="00187998">
      <w:pPr>
        <w:pStyle w:val="BodyText1"/>
        <w:numPr>
          <w:ilvl w:val="0"/>
          <w:numId w:val="0"/>
        </w:numPr>
        <w:spacing w:after="0"/>
        <w:ind w:left="567"/>
      </w:pPr>
    </w:p>
    <w:p w14:paraId="38199899" w14:textId="77777777" w:rsidR="006A23B7" w:rsidRPr="009A59D5" w:rsidRDefault="006A23B7" w:rsidP="006A23B7">
      <w:pPr>
        <w:pStyle w:val="BodyText1"/>
      </w:pPr>
      <w:r w:rsidRPr="009A59D5">
        <w:t>The notional or nominal principal amount, or value, of a contract must be the reference amount used to calculate payment streams between counterparties to a contract.</w:t>
      </w:r>
    </w:p>
    <w:p w14:paraId="490009B0" w14:textId="77777777" w:rsidR="006A23B7" w:rsidRPr="009A59D5" w:rsidRDefault="006A23B7" w:rsidP="006A23B7">
      <w:pPr>
        <w:pStyle w:val="BodyText1"/>
      </w:pPr>
      <w:r w:rsidRPr="009A59D5">
        <w:t xml:space="preserve">Potential future credit exposure must be based on effective rather than apparent notional amounts. </w:t>
      </w:r>
      <w:proofErr w:type="gramStart"/>
      <w:r w:rsidRPr="009A59D5">
        <w:t>In the event that</w:t>
      </w:r>
      <w:proofErr w:type="gramEnd"/>
      <w:r w:rsidRPr="009A59D5">
        <w:t xml:space="preserve"> the stated notional amount of a contract is leveraged or enhanced by the structure of the transaction, an ADI must use the effective notional amount when calculating potential future credit exposure.</w:t>
      </w:r>
    </w:p>
    <w:p w14:paraId="21807231" w14:textId="77777777" w:rsidR="006A23B7" w:rsidRPr="009A59D5" w:rsidRDefault="006A23B7" w:rsidP="006A23B7">
      <w:pPr>
        <w:pStyle w:val="BodyText1"/>
      </w:pPr>
      <w:r w:rsidRPr="009A59D5">
        <w:t xml:space="preserve">No potential future credit exposure is calculated for single currency floating/floating interest rate swaps as the credit exposure on these contracts must be evaluated solely </w:t>
      </w:r>
      <w:proofErr w:type="gramStart"/>
      <w:r w:rsidRPr="009A59D5">
        <w:t>on the basis of</w:t>
      </w:r>
      <w:proofErr w:type="gramEnd"/>
      <w:r w:rsidRPr="009A59D5">
        <w:t xml:space="preserve"> their mark-to-market values.</w:t>
      </w:r>
    </w:p>
    <w:p w14:paraId="57A97FB1" w14:textId="55097926" w:rsidR="006A23B7" w:rsidRPr="009A59D5" w:rsidRDefault="006A23B7" w:rsidP="006A23B7">
      <w:pPr>
        <w:pStyle w:val="BodyText1"/>
      </w:pPr>
      <w:r w:rsidRPr="009A59D5">
        <w:t>For contracts that are structured to settle outstanding exposures following specified payment dates where the terms are reset such that the mark-to-market value of the contract is zero on these specified dates, the residual maturity must be set equal to the time until the next reset date.</w:t>
      </w:r>
      <w:r w:rsidR="00791B36" w:rsidRPr="009A59D5">
        <w:rPr>
          <w:rStyle w:val="FootnoteReference"/>
        </w:rPr>
        <w:footnoteReference w:id="48"/>
      </w:r>
      <w:r w:rsidRPr="009A59D5">
        <w:t xml:space="preserve"> In the case of interest rate contracts with these features and a remaining maturity of more than one year, the CCF to be applied is subject to a floor of 0.5 per cent even if there are reset dates of a shorter maturity.</w:t>
      </w:r>
    </w:p>
    <w:p w14:paraId="1C94847E" w14:textId="77777777" w:rsidR="006A23B7" w:rsidRPr="009A59D5" w:rsidRDefault="006A23B7" w:rsidP="006A23B7">
      <w:pPr>
        <w:pStyle w:val="BodyText1"/>
      </w:pPr>
      <w:r w:rsidRPr="009A59D5">
        <w:t>For contracts with multiple exchanges of principal, the CCFs must be multiplied by the number of remaining payments (</w:t>
      </w:r>
      <w:proofErr w:type="gramStart"/>
      <w:r w:rsidRPr="009A59D5">
        <w:t>i.e.</w:t>
      </w:r>
      <w:proofErr w:type="gramEnd"/>
      <w:r w:rsidRPr="009A59D5">
        <w:t xml:space="preserve"> exchanges of principal) still to be made under the contract.</w:t>
      </w:r>
    </w:p>
    <w:p w14:paraId="08AB8B6D" w14:textId="3DE10D78" w:rsidR="006A23B7" w:rsidRPr="009A59D5" w:rsidRDefault="006A23B7" w:rsidP="006A23B7">
      <w:pPr>
        <w:pStyle w:val="BodyText1"/>
      </w:pPr>
      <w:bookmarkStart w:id="535" w:name="_Ref460313566"/>
      <w:r w:rsidRPr="009A59D5">
        <w:t xml:space="preserve">Contracts that do not fall within one of the specific categories listed in Table </w:t>
      </w:r>
      <w:r w:rsidR="0034604E" w:rsidRPr="009A59D5">
        <w:t>8</w:t>
      </w:r>
      <w:r w:rsidRPr="009A59D5">
        <w:t xml:space="preserve"> must be treated as ‘other </w:t>
      </w:r>
      <w:proofErr w:type="gramStart"/>
      <w:r w:rsidRPr="009A59D5">
        <w:t>commodities contracts’</w:t>
      </w:r>
      <w:proofErr w:type="gramEnd"/>
      <w:r w:rsidRPr="009A59D5">
        <w:t>.</w:t>
      </w:r>
      <w:bookmarkEnd w:id="535"/>
    </w:p>
    <w:p w14:paraId="38108A2C" w14:textId="3B61AEAC" w:rsidR="006A23B7" w:rsidRPr="009A59D5" w:rsidRDefault="006A23B7" w:rsidP="006A23B7">
      <w:pPr>
        <w:pStyle w:val="BodyText1"/>
      </w:pPr>
      <w:bookmarkStart w:id="536" w:name="_Ref460313571"/>
      <w:r w:rsidRPr="009A59D5">
        <w:t>An ADI must calculate the counterparty credit risk requirement for single name credit default swaps and single name total-rate-of-return swaps in the trading book using the potenti</w:t>
      </w:r>
      <w:r w:rsidR="00664588" w:rsidRPr="009A59D5">
        <w:t xml:space="preserve">al future exposure CCFs in </w:t>
      </w:r>
      <w:r w:rsidR="00664588" w:rsidRPr="009A59D5">
        <w:fldChar w:fldCharType="begin"/>
      </w:r>
      <w:r w:rsidR="00664588" w:rsidRPr="009A59D5">
        <w:instrText xml:space="preserve"> REF _Ref460254264 \h </w:instrText>
      </w:r>
      <w:r w:rsidR="00D23251" w:rsidRPr="009A59D5">
        <w:instrText xml:space="preserve"> \* MERGEFORMAT </w:instrText>
      </w:r>
      <w:r w:rsidR="00664588" w:rsidRPr="009A59D5">
        <w:fldChar w:fldCharType="separate"/>
      </w:r>
      <w:r w:rsidR="00B401AE" w:rsidRPr="009A59D5">
        <w:t>Table 9</w:t>
      </w:r>
      <w:r w:rsidR="00664588" w:rsidRPr="009A59D5">
        <w:fldChar w:fldCharType="end"/>
      </w:r>
      <w:r w:rsidRPr="009A59D5">
        <w:t>.</w:t>
      </w:r>
      <w:bookmarkEnd w:id="536"/>
    </w:p>
    <w:p w14:paraId="6D918EF3" w14:textId="35EDBAC7" w:rsidR="006A23B7" w:rsidRPr="009A59D5" w:rsidRDefault="006A23B7" w:rsidP="006A23B7">
      <w:pPr>
        <w:pStyle w:val="BodyText1"/>
        <w:numPr>
          <w:ilvl w:val="0"/>
          <w:numId w:val="0"/>
        </w:numPr>
        <w:ind w:left="567"/>
      </w:pPr>
      <w:bookmarkStart w:id="537" w:name="_Ref460254264"/>
      <w:r w:rsidRPr="009A59D5">
        <w:t>Table</w:t>
      </w:r>
      <w:r w:rsidR="00664588" w:rsidRPr="009A59D5">
        <w:t xml:space="preserve"> </w:t>
      </w:r>
      <w:r w:rsidR="00B21E0D" w:rsidRPr="009A59D5">
        <w:t>9</w:t>
      </w:r>
      <w:bookmarkEnd w:id="537"/>
      <w:r w:rsidRPr="009A59D5">
        <w:t>: Potential future exposure credit conversion factors</w:t>
      </w:r>
    </w:p>
    <w:tbl>
      <w:tblPr>
        <w:tblStyle w:val="TableGrid"/>
        <w:tblW w:w="0" w:type="auto"/>
        <w:tblInd w:w="567" w:type="dxa"/>
        <w:tblLook w:val="04A0" w:firstRow="1" w:lastRow="0" w:firstColumn="1" w:lastColumn="0" w:noHBand="0" w:noVBand="1"/>
      </w:tblPr>
      <w:tblGrid>
        <w:gridCol w:w="3823"/>
        <w:gridCol w:w="1956"/>
        <w:gridCol w:w="1956"/>
      </w:tblGrid>
      <w:tr w:rsidR="006A23B7" w:rsidRPr="009A59D5" w14:paraId="11F79DDE" w14:textId="77777777" w:rsidTr="006A23B7">
        <w:tc>
          <w:tcPr>
            <w:tcW w:w="3823" w:type="dxa"/>
          </w:tcPr>
          <w:p w14:paraId="0425FFBC" w14:textId="77777777" w:rsidR="006A23B7" w:rsidRPr="009A59D5" w:rsidRDefault="006A23B7" w:rsidP="00187998">
            <w:pPr>
              <w:spacing w:after="0"/>
              <w:rPr>
                <w:b/>
              </w:rPr>
            </w:pPr>
            <w:r w:rsidRPr="009A59D5">
              <w:rPr>
                <w:b/>
              </w:rPr>
              <w:t>Type of swap</w:t>
            </w:r>
          </w:p>
        </w:tc>
        <w:tc>
          <w:tcPr>
            <w:tcW w:w="1956" w:type="dxa"/>
          </w:tcPr>
          <w:p w14:paraId="40D081B9" w14:textId="0AD28079" w:rsidR="006A23B7" w:rsidRPr="009A59D5" w:rsidRDefault="006A23B7" w:rsidP="00187998">
            <w:pPr>
              <w:spacing w:after="0"/>
              <w:jc w:val="center"/>
              <w:rPr>
                <w:b/>
              </w:rPr>
            </w:pPr>
            <w:r w:rsidRPr="009A59D5">
              <w:rPr>
                <w:b/>
              </w:rPr>
              <w:t>Protection buyer</w:t>
            </w:r>
            <w:r w:rsidR="00FD5338" w:rsidRPr="009A59D5">
              <w:rPr>
                <w:b/>
              </w:rPr>
              <w:t xml:space="preserve"> (%)</w:t>
            </w:r>
          </w:p>
        </w:tc>
        <w:tc>
          <w:tcPr>
            <w:tcW w:w="1956" w:type="dxa"/>
          </w:tcPr>
          <w:p w14:paraId="1A0D796A" w14:textId="08493D6D" w:rsidR="006A23B7" w:rsidRPr="009A59D5" w:rsidRDefault="006A23B7" w:rsidP="00187998">
            <w:pPr>
              <w:spacing w:after="0"/>
              <w:jc w:val="center"/>
            </w:pPr>
            <w:r w:rsidRPr="009A59D5">
              <w:rPr>
                <w:b/>
              </w:rPr>
              <w:t>Protection seller</w:t>
            </w:r>
            <w:r w:rsidRPr="009A59D5">
              <w:rPr>
                <w:rStyle w:val="FootnoteReference"/>
              </w:rPr>
              <w:footnoteReference w:id="49"/>
            </w:r>
            <w:r w:rsidR="00FD5338" w:rsidRPr="009A59D5">
              <w:rPr>
                <w:b/>
              </w:rPr>
              <w:t xml:space="preserve"> (%)</w:t>
            </w:r>
          </w:p>
        </w:tc>
      </w:tr>
      <w:tr w:rsidR="006A23B7" w:rsidRPr="009A59D5" w14:paraId="5E20F52E" w14:textId="77777777" w:rsidTr="00A62663">
        <w:tc>
          <w:tcPr>
            <w:tcW w:w="7735" w:type="dxa"/>
            <w:gridSpan w:val="3"/>
            <w:shd w:val="clear" w:color="auto" w:fill="E0E0E0" w:themeFill="accent2" w:themeFillTint="66"/>
          </w:tcPr>
          <w:p w14:paraId="637016A0" w14:textId="77777777" w:rsidR="006A23B7" w:rsidRPr="009A59D5" w:rsidRDefault="006A23B7" w:rsidP="00187998">
            <w:pPr>
              <w:spacing w:after="0"/>
            </w:pPr>
            <w:r w:rsidRPr="009A59D5">
              <w:t>Credit default swap</w:t>
            </w:r>
          </w:p>
        </w:tc>
      </w:tr>
      <w:tr w:rsidR="006A23B7" w:rsidRPr="009A59D5" w14:paraId="3B4581C7" w14:textId="77777777" w:rsidTr="006A23B7">
        <w:tc>
          <w:tcPr>
            <w:tcW w:w="3823" w:type="dxa"/>
          </w:tcPr>
          <w:p w14:paraId="316AC59F" w14:textId="77777777" w:rsidR="006A23B7" w:rsidRPr="009A59D5" w:rsidRDefault="006A23B7" w:rsidP="00187998">
            <w:pPr>
              <w:spacing w:after="0"/>
            </w:pPr>
            <w:r w:rsidRPr="009A59D5">
              <w:t>Qualifying</w:t>
            </w:r>
            <w:r w:rsidR="00A62663" w:rsidRPr="009A59D5">
              <w:rPr>
                <w:rStyle w:val="FootnoteReference"/>
              </w:rPr>
              <w:footnoteReference w:id="50"/>
            </w:r>
            <w:r w:rsidRPr="009A59D5">
              <w:t xml:space="preserve"> reference obligation</w:t>
            </w:r>
          </w:p>
        </w:tc>
        <w:tc>
          <w:tcPr>
            <w:tcW w:w="1956" w:type="dxa"/>
          </w:tcPr>
          <w:p w14:paraId="682C2B6B" w14:textId="0B9B258B" w:rsidR="006A23B7" w:rsidRPr="009A59D5" w:rsidRDefault="00A62663" w:rsidP="00187998">
            <w:pPr>
              <w:spacing w:after="0"/>
              <w:jc w:val="center"/>
            </w:pPr>
            <w:r w:rsidRPr="009A59D5">
              <w:t>5</w:t>
            </w:r>
          </w:p>
        </w:tc>
        <w:tc>
          <w:tcPr>
            <w:tcW w:w="1956" w:type="dxa"/>
          </w:tcPr>
          <w:p w14:paraId="018A8CBB" w14:textId="59FBFD9E" w:rsidR="006A23B7" w:rsidRPr="009A59D5" w:rsidRDefault="00A62663" w:rsidP="00187998">
            <w:pPr>
              <w:spacing w:after="0"/>
              <w:jc w:val="center"/>
            </w:pPr>
            <w:r w:rsidRPr="009A59D5">
              <w:t>5</w:t>
            </w:r>
          </w:p>
        </w:tc>
      </w:tr>
      <w:tr w:rsidR="006A23B7" w:rsidRPr="009A59D5" w14:paraId="5C596703" w14:textId="77777777" w:rsidTr="006A23B7">
        <w:tc>
          <w:tcPr>
            <w:tcW w:w="3823" w:type="dxa"/>
          </w:tcPr>
          <w:p w14:paraId="749090B3" w14:textId="77777777" w:rsidR="006A23B7" w:rsidRPr="009A59D5" w:rsidRDefault="006A23B7" w:rsidP="00187998">
            <w:pPr>
              <w:spacing w:after="0"/>
            </w:pPr>
            <w:r w:rsidRPr="009A59D5">
              <w:t>Non-qualifying reference obligation</w:t>
            </w:r>
          </w:p>
        </w:tc>
        <w:tc>
          <w:tcPr>
            <w:tcW w:w="1956" w:type="dxa"/>
          </w:tcPr>
          <w:p w14:paraId="690C0D6C" w14:textId="333D721D" w:rsidR="006A23B7" w:rsidRPr="009A59D5" w:rsidRDefault="00A62663" w:rsidP="00187998">
            <w:pPr>
              <w:spacing w:after="0"/>
              <w:jc w:val="center"/>
            </w:pPr>
            <w:r w:rsidRPr="009A59D5">
              <w:t>10</w:t>
            </w:r>
          </w:p>
        </w:tc>
        <w:tc>
          <w:tcPr>
            <w:tcW w:w="1956" w:type="dxa"/>
          </w:tcPr>
          <w:p w14:paraId="0E6BE5BE" w14:textId="574F8299" w:rsidR="006A23B7" w:rsidRPr="009A59D5" w:rsidRDefault="00A62663" w:rsidP="00187998">
            <w:pPr>
              <w:spacing w:after="0"/>
              <w:jc w:val="center"/>
            </w:pPr>
            <w:r w:rsidRPr="009A59D5">
              <w:t>10</w:t>
            </w:r>
          </w:p>
        </w:tc>
      </w:tr>
      <w:tr w:rsidR="006A23B7" w:rsidRPr="009A59D5" w14:paraId="4974FE7D" w14:textId="77777777" w:rsidTr="00A62663">
        <w:tc>
          <w:tcPr>
            <w:tcW w:w="7735" w:type="dxa"/>
            <w:gridSpan w:val="3"/>
            <w:shd w:val="clear" w:color="auto" w:fill="E0E0E0" w:themeFill="accent2" w:themeFillTint="66"/>
          </w:tcPr>
          <w:p w14:paraId="6CD1D8BF" w14:textId="77777777" w:rsidR="006A23B7" w:rsidRPr="009A59D5" w:rsidRDefault="006A23B7" w:rsidP="00187998">
            <w:pPr>
              <w:spacing w:after="0"/>
            </w:pPr>
            <w:r w:rsidRPr="009A59D5">
              <w:t>Total-rate-of-return swap</w:t>
            </w:r>
          </w:p>
        </w:tc>
      </w:tr>
      <w:tr w:rsidR="00A62663" w:rsidRPr="009A59D5" w14:paraId="6F507D5C" w14:textId="77777777" w:rsidTr="006A23B7">
        <w:tc>
          <w:tcPr>
            <w:tcW w:w="3823" w:type="dxa"/>
          </w:tcPr>
          <w:p w14:paraId="2853D8DA" w14:textId="77777777" w:rsidR="00A62663" w:rsidRPr="009A59D5" w:rsidRDefault="00A62663" w:rsidP="00187998">
            <w:pPr>
              <w:spacing w:after="0"/>
            </w:pPr>
            <w:r w:rsidRPr="009A59D5">
              <w:t>Qualifying reference obligation</w:t>
            </w:r>
          </w:p>
        </w:tc>
        <w:tc>
          <w:tcPr>
            <w:tcW w:w="1956" w:type="dxa"/>
          </w:tcPr>
          <w:p w14:paraId="33B2FC10" w14:textId="20520D0A" w:rsidR="00A62663" w:rsidRPr="009A59D5" w:rsidRDefault="00A62663" w:rsidP="00187998">
            <w:pPr>
              <w:spacing w:after="0"/>
              <w:jc w:val="center"/>
            </w:pPr>
            <w:r w:rsidRPr="009A59D5">
              <w:t>5</w:t>
            </w:r>
          </w:p>
        </w:tc>
        <w:tc>
          <w:tcPr>
            <w:tcW w:w="1956" w:type="dxa"/>
          </w:tcPr>
          <w:p w14:paraId="747CB59F" w14:textId="06CAE9DD" w:rsidR="00A62663" w:rsidRPr="009A59D5" w:rsidRDefault="00A62663" w:rsidP="00187998">
            <w:pPr>
              <w:spacing w:after="0"/>
              <w:jc w:val="center"/>
            </w:pPr>
            <w:r w:rsidRPr="009A59D5">
              <w:t>5</w:t>
            </w:r>
          </w:p>
        </w:tc>
      </w:tr>
      <w:tr w:rsidR="00A62663" w:rsidRPr="009A59D5" w14:paraId="75CD95E0" w14:textId="77777777" w:rsidTr="006A23B7">
        <w:tc>
          <w:tcPr>
            <w:tcW w:w="3823" w:type="dxa"/>
          </w:tcPr>
          <w:p w14:paraId="7DE62223" w14:textId="77777777" w:rsidR="00A62663" w:rsidRPr="009A59D5" w:rsidRDefault="00A62663" w:rsidP="00187998">
            <w:pPr>
              <w:spacing w:after="0"/>
            </w:pPr>
            <w:r w:rsidRPr="009A59D5">
              <w:t>Non-qualifying reference obligation</w:t>
            </w:r>
          </w:p>
        </w:tc>
        <w:tc>
          <w:tcPr>
            <w:tcW w:w="1956" w:type="dxa"/>
          </w:tcPr>
          <w:p w14:paraId="00B89254" w14:textId="317A83BA" w:rsidR="00A62663" w:rsidRPr="009A59D5" w:rsidRDefault="00A62663" w:rsidP="00187998">
            <w:pPr>
              <w:spacing w:after="0"/>
              <w:jc w:val="center"/>
            </w:pPr>
            <w:r w:rsidRPr="009A59D5">
              <w:t>10</w:t>
            </w:r>
          </w:p>
        </w:tc>
        <w:tc>
          <w:tcPr>
            <w:tcW w:w="1956" w:type="dxa"/>
          </w:tcPr>
          <w:p w14:paraId="43D24C80" w14:textId="441C3223" w:rsidR="00A62663" w:rsidRPr="009A59D5" w:rsidRDefault="00A62663" w:rsidP="00187998">
            <w:pPr>
              <w:spacing w:after="0"/>
              <w:jc w:val="center"/>
            </w:pPr>
            <w:r w:rsidRPr="009A59D5">
              <w:t>10</w:t>
            </w:r>
          </w:p>
        </w:tc>
      </w:tr>
    </w:tbl>
    <w:p w14:paraId="6AFBB3B3" w14:textId="77777777" w:rsidR="00DB768E" w:rsidRPr="009A59D5" w:rsidRDefault="00DB768E" w:rsidP="00DB768E">
      <w:pPr>
        <w:pStyle w:val="BodyText1"/>
        <w:spacing w:before="240"/>
      </w:pPr>
      <w:bookmarkStart w:id="538" w:name="_Ref482875340"/>
      <w:r w:rsidRPr="009A59D5">
        <w:t>An ADI, in calculating the counterparty credit risk requirement for an nth-to-default credit derivative transaction (such as a first-to-default transaction), must use the add-on determined by the nth-lowest credit quality underlying asset in the basket.</w:t>
      </w:r>
      <w:bookmarkEnd w:id="538"/>
    </w:p>
    <w:p w14:paraId="5529C7A5" w14:textId="3BA5187D" w:rsidR="00DB768E" w:rsidRPr="009A59D5" w:rsidRDefault="00DB768E" w:rsidP="00EB7A4C">
      <w:pPr>
        <w:pStyle w:val="AttachmentSubheading"/>
      </w:pPr>
      <w:bookmarkStart w:id="539" w:name="_Toc460331460"/>
      <w:bookmarkStart w:id="540" w:name="_Toc461692124"/>
      <w:bookmarkStart w:id="541" w:name="_Toc487712253"/>
      <w:bookmarkStart w:id="542" w:name="_Toc488397554"/>
      <w:bookmarkStart w:id="543" w:name="_Toc488398114"/>
      <w:bookmarkStart w:id="544" w:name="_Toc489463951"/>
      <w:bookmarkStart w:id="545" w:name="_Toc507406245"/>
      <w:bookmarkStart w:id="546" w:name="_Toc507406317"/>
      <w:bookmarkStart w:id="547" w:name="_Toc507406430"/>
      <w:bookmarkStart w:id="548" w:name="_Toc507406474"/>
      <w:bookmarkStart w:id="549" w:name="_Toc507406584"/>
      <w:r w:rsidRPr="009A59D5">
        <w:t xml:space="preserve">Calculation of </w:t>
      </w:r>
      <w:r w:rsidR="00044B2D" w:rsidRPr="009A59D5">
        <w:t xml:space="preserve">potential future credit </w:t>
      </w:r>
      <w:r w:rsidRPr="009A59D5">
        <w:t xml:space="preserve">exposure: </w:t>
      </w:r>
      <w:r w:rsidR="00B35772" w:rsidRPr="009A59D5">
        <w:t>T</w:t>
      </w:r>
      <w:r w:rsidRPr="009A59D5">
        <w:t xml:space="preserve">ransactions covered by an eligible bilateral netting </w:t>
      </w:r>
      <w:proofErr w:type="gramStart"/>
      <w:r w:rsidRPr="009A59D5">
        <w:t>agreement</w:t>
      </w:r>
      <w:bookmarkEnd w:id="539"/>
      <w:bookmarkEnd w:id="540"/>
      <w:bookmarkEnd w:id="541"/>
      <w:bookmarkEnd w:id="542"/>
      <w:bookmarkEnd w:id="543"/>
      <w:bookmarkEnd w:id="544"/>
      <w:bookmarkEnd w:id="545"/>
      <w:bookmarkEnd w:id="546"/>
      <w:bookmarkEnd w:id="547"/>
      <w:bookmarkEnd w:id="548"/>
      <w:bookmarkEnd w:id="549"/>
      <w:proofErr w:type="gramEnd"/>
    </w:p>
    <w:p w14:paraId="66C9B7D0" w14:textId="77777777" w:rsidR="00501A8B" w:rsidRPr="009A59D5" w:rsidRDefault="00501A8B" w:rsidP="00501A8B">
      <w:pPr>
        <w:pStyle w:val="BodyText1"/>
      </w:pPr>
      <w:bookmarkStart w:id="550" w:name="_Ref460255921"/>
      <w:r w:rsidRPr="009A59D5">
        <w:t>An ADI must recognise the effects of netting agreements on its potential future credit exposure by applying the formula below to produce an adjusted add-on amount for potential future credit exposure on all contracts subject to the netting agreement. Thus:</w:t>
      </w:r>
      <w:bookmarkEnd w:id="550"/>
    </w:p>
    <w:p w14:paraId="4A6018E9" w14:textId="287E3CFB" w:rsidR="00521E1C" w:rsidRPr="00751D7D" w:rsidRDefault="00521E1C" w:rsidP="00521E1C">
      <w:pPr>
        <w:pStyle w:val="BodyText1"/>
        <w:numPr>
          <w:ilvl w:val="0"/>
          <w:numId w:val="0"/>
        </w:numPr>
        <w:ind w:left="567" w:firstLine="1134"/>
      </w:pPr>
      <w:r w:rsidRPr="00680FA2">
        <w:rPr>
          <w:rFonts w:eastAsiaTheme="minorEastAsia"/>
          <w:noProof/>
        </w:rPr>
        <w:drawing>
          <wp:inline distT="0" distB="0" distL="0" distR="0" wp14:anchorId="0DF62E59" wp14:editId="13F59D4F">
            <wp:extent cx="3554083" cy="207034"/>
            <wp:effectExtent l="0" t="0" r="8890" b="2540"/>
            <wp:docPr id="62" name="Picture 62" descr="Start formula PFCE subscript adj equals 0.4 open bracket PFCE subscript gross close bracket plus 0.6 open bracket NGR times PFCE subscript gross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tart formula PFCE subscript adj equals 0.4 open bracket PFCE subscript gross close bracket plus 0.6 open bracket NGR times PFCE subscript gross close bracket end formula."/>
                    <pic:cNvPicPr>
                      <a:picLocks noChangeAspect="1" noChangeArrowheads="1"/>
                    </pic:cNvPicPr>
                  </pic:nvPicPr>
                  <pic:blipFill rotWithShape="1">
                    <a:blip r:embed="rId80">
                      <a:extLst>
                        <a:ext uri="{28A0092B-C50C-407E-A947-70E740481C1C}">
                          <a14:useLocalDpi xmlns:a14="http://schemas.microsoft.com/office/drawing/2010/main" val="0"/>
                        </a:ext>
                      </a:extLst>
                    </a:blip>
                    <a:srcRect l="24007" r="18642" b="42580"/>
                    <a:stretch/>
                  </pic:blipFill>
                  <pic:spPr bwMode="auto">
                    <a:xfrm>
                      <a:off x="0" y="0"/>
                      <a:ext cx="3613192" cy="210477"/>
                    </a:xfrm>
                    <a:prstGeom prst="rect">
                      <a:avLst/>
                    </a:prstGeom>
                    <a:noFill/>
                    <a:ln>
                      <a:noFill/>
                    </a:ln>
                    <a:extLst>
                      <a:ext uri="{53640926-AAD7-44D8-BBD7-CCE9431645EC}">
                        <a14:shadowObscured xmlns:a14="http://schemas.microsoft.com/office/drawing/2010/main"/>
                      </a:ext>
                    </a:extLst>
                  </pic:spPr>
                </pic:pic>
              </a:graphicData>
            </a:graphic>
          </wp:inline>
        </w:drawing>
      </w:r>
    </w:p>
    <w:p w14:paraId="2E8CE77C" w14:textId="770176CE" w:rsidR="00501A8B" w:rsidRPr="009A59D5" w:rsidRDefault="00501A8B" w:rsidP="00501A8B">
      <w:pPr>
        <w:pStyle w:val="BodyText1"/>
      </w:pPr>
      <w:r w:rsidRPr="009A59D5">
        <w:t>The potential future credit exposure</w:t>
      </w:r>
      <w:r w:rsidR="00794B0F">
        <w:t xml:space="preserve"> </w:t>
      </w:r>
      <w:r w:rsidR="00794B0F">
        <w:rPr>
          <w:i/>
        </w:rPr>
        <w:t>(</w:t>
      </w:r>
      <w:proofErr w:type="spellStart"/>
      <w:r w:rsidR="00794B0F">
        <w:rPr>
          <w:i/>
        </w:rPr>
        <w:t>PFCE</w:t>
      </w:r>
      <w:r w:rsidR="00794B0F">
        <w:rPr>
          <w:i/>
          <w:vertAlign w:val="subscript"/>
        </w:rPr>
        <w:t>gross</w:t>
      </w:r>
      <w:proofErr w:type="spellEnd"/>
      <w:r w:rsidR="00794B0F">
        <w:rPr>
          <w:i/>
        </w:rPr>
        <w:t>)</w:t>
      </w:r>
      <w:r w:rsidRPr="009A59D5">
        <w:t xml:space="preserve"> is calculated as the sum of an ADI’s potential future credit exposure for each individual transaction covered by a netting agreement with a counterparty as if no netting would occur (with the exception of transactions covered by</w:t>
      </w:r>
      <w:r w:rsidR="003C10FC" w:rsidRPr="009A59D5">
        <w:t xml:space="preserve"> the definition of </w:t>
      </w:r>
      <w:r w:rsidR="00794B0F">
        <w:rPr>
          <w:i/>
        </w:rPr>
        <w:t>NCCE</w:t>
      </w:r>
      <w:r w:rsidR="003C10FC" w:rsidRPr="009A59D5">
        <w:t xml:space="preserve"> in</w:t>
      </w:r>
      <w:r w:rsidRPr="009A59D5">
        <w:t xml:space="preserve"> paragraph</w:t>
      </w:r>
      <w:r w:rsidR="00820A39" w:rsidRPr="009A59D5">
        <w:t xml:space="preserve"> </w:t>
      </w:r>
      <w:r w:rsidR="00820A39" w:rsidRPr="009A59D5">
        <w:fldChar w:fldCharType="begin"/>
      </w:r>
      <w:r w:rsidR="00820A39" w:rsidRPr="009A59D5">
        <w:instrText xml:space="preserve"> REF _Ref488754023 \r \h </w:instrText>
      </w:r>
      <w:r w:rsidR="009A59D5">
        <w:instrText xml:space="preserve"> \* MERGEFORMAT </w:instrText>
      </w:r>
      <w:r w:rsidR="00820A39" w:rsidRPr="009A59D5">
        <w:fldChar w:fldCharType="separate"/>
      </w:r>
      <w:r w:rsidR="00B401AE">
        <w:t>2</w:t>
      </w:r>
      <w:r w:rsidR="00820A39" w:rsidRPr="009A59D5">
        <w:fldChar w:fldCharType="end"/>
      </w:r>
      <w:r w:rsidRPr="009A59D5">
        <w:t xml:space="preserve"> of this Attachment). Potential future credit exposure for each transaction is calculated by multiplying the notional principal amount of the transaction by the appropriate CCF for t</w:t>
      </w:r>
      <w:r w:rsidR="0096720F" w:rsidRPr="009A59D5">
        <w:t xml:space="preserve">hat transaction as set out in </w:t>
      </w:r>
      <w:r w:rsidR="0034604E" w:rsidRPr="009A59D5">
        <w:t>Table 8</w:t>
      </w:r>
      <w:r w:rsidRPr="009A59D5">
        <w:t>.</w:t>
      </w:r>
    </w:p>
    <w:p w14:paraId="6E994F18" w14:textId="7977CD1B" w:rsidR="00501A8B" w:rsidRPr="009A59D5" w:rsidRDefault="00501A8B" w:rsidP="00501A8B">
      <w:pPr>
        <w:pStyle w:val="BodyText1"/>
      </w:pPr>
      <w:bookmarkStart w:id="551" w:name="_Ref460313586"/>
      <w:proofErr w:type="gramStart"/>
      <w:r w:rsidRPr="009A59D5">
        <w:t>For the purpose of</w:t>
      </w:r>
      <w:proofErr w:type="gramEnd"/>
      <w:r w:rsidRPr="009A59D5">
        <w:t xml:space="preserve"> calculating</w:t>
      </w:r>
      <w:r w:rsidR="00794B0F">
        <w:t xml:space="preserve"> </w:t>
      </w:r>
      <w:proofErr w:type="spellStart"/>
      <w:r w:rsidR="00794B0F">
        <w:rPr>
          <w:i/>
        </w:rPr>
        <w:t>PFCE</w:t>
      </w:r>
      <w:r w:rsidR="00794B0F">
        <w:rPr>
          <w:i/>
          <w:vertAlign w:val="subscript"/>
        </w:rPr>
        <w:t>gross</w:t>
      </w:r>
      <w:proofErr w:type="spellEnd"/>
      <w:r w:rsidRPr="009A59D5">
        <w:t>, an ADI may treat matching transactions included in a netting agreement as a single transaction with a notional principal equivalent to the net receipts on those transactions. For this purpose, matching transactions are defined as forward foreign exchange and other similar market-related transactions in which the notional principal is equivalent to cash flows, where the cash flows fall due on the same value date and are in the same currency.</w:t>
      </w:r>
      <w:bookmarkEnd w:id="551"/>
    </w:p>
    <w:p w14:paraId="0A7C3DC3" w14:textId="073FE9B7" w:rsidR="00501A8B" w:rsidRPr="009A59D5" w:rsidRDefault="00501A8B" w:rsidP="00501A8B">
      <w:pPr>
        <w:pStyle w:val="BodyText1"/>
      </w:pPr>
      <w:bookmarkStart w:id="552" w:name="_Ref460313554"/>
      <w:r w:rsidRPr="009A59D5">
        <w:t xml:space="preserve">The net to gross ratio (NGR) is the ratio of the net current exposure of all transactions included in a netting agreement to the gross current credit exposure (GCCE) of these same transactions. GCCE is the sum of the mark-to-market values of all transactions covered by a netting agreement with a positive mark-to-market value with no offsetting against contracts with a negative mark-to-market value (with the exception of transactions covered </w:t>
      </w:r>
      <w:r w:rsidR="008C214D" w:rsidRPr="009A59D5">
        <w:t xml:space="preserve">by </w:t>
      </w:r>
      <w:r w:rsidR="003C10FC" w:rsidRPr="009A59D5">
        <w:t xml:space="preserve">the definition of </w:t>
      </w:r>
      <w:r w:rsidR="00794B0F">
        <w:rPr>
          <w:i/>
        </w:rPr>
        <w:t>NCCE</w:t>
      </w:r>
      <w:r w:rsidR="003C10FC" w:rsidRPr="009A59D5">
        <w:t xml:space="preserve"> in</w:t>
      </w:r>
      <w:r w:rsidRPr="009A59D5">
        <w:t xml:space="preserve"> </w:t>
      </w:r>
      <w:r w:rsidR="003C10FC" w:rsidRPr="009A59D5">
        <w:t xml:space="preserve">paragraph </w:t>
      </w:r>
      <w:r w:rsidR="003C10FC" w:rsidRPr="009A59D5">
        <w:fldChar w:fldCharType="begin"/>
      </w:r>
      <w:r w:rsidR="003C10FC" w:rsidRPr="009A59D5">
        <w:instrText xml:space="preserve"> REF _Ref488754023 \r \h </w:instrText>
      </w:r>
      <w:r w:rsidR="009A59D5">
        <w:instrText xml:space="preserve"> \* MERGEFORMAT </w:instrText>
      </w:r>
      <w:r w:rsidR="003C10FC" w:rsidRPr="009A59D5">
        <w:fldChar w:fldCharType="separate"/>
      </w:r>
      <w:r w:rsidR="00B401AE">
        <w:t>2</w:t>
      </w:r>
      <w:r w:rsidR="003C10FC" w:rsidRPr="009A59D5">
        <w:fldChar w:fldCharType="end"/>
      </w:r>
      <w:r w:rsidRPr="009A59D5">
        <w:t xml:space="preserve"> of this Attachment). The NGR reflects the risk reducing portfolio effects of netted transactions with respect to current credit exposure. Thus:</w:t>
      </w:r>
      <w:bookmarkEnd w:id="552"/>
    </w:p>
    <w:p w14:paraId="7E4BB84B" w14:textId="0F1234EC" w:rsidR="00F8353A" w:rsidRDefault="00F8353A" w:rsidP="00F8353A">
      <w:pPr>
        <w:pStyle w:val="BodyText1"/>
        <w:numPr>
          <w:ilvl w:val="0"/>
          <w:numId w:val="0"/>
        </w:numPr>
        <w:ind w:left="567" w:firstLine="1276"/>
      </w:pPr>
      <w:r w:rsidRPr="00F8353A">
        <w:rPr>
          <w:noProof/>
        </w:rPr>
        <w:drawing>
          <wp:inline distT="0" distB="0" distL="0" distR="0" wp14:anchorId="4B1C7A8A" wp14:editId="2E7B36E1">
            <wp:extent cx="3183147" cy="196458"/>
            <wp:effectExtent l="0" t="0" r="0" b="0"/>
            <wp:docPr id="64" name="Picture 64" descr="Start formula NGR equals NCCE over GCC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tart formula NGR equals NCCE over GCCE end formul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70490" cy="201849"/>
                    </a:xfrm>
                    <a:prstGeom prst="rect">
                      <a:avLst/>
                    </a:prstGeom>
                    <a:noFill/>
                    <a:ln>
                      <a:noFill/>
                    </a:ln>
                  </pic:spPr>
                </pic:pic>
              </a:graphicData>
            </a:graphic>
          </wp:inline>
        </w:drawing>
      </w:r>
    </w:p>
    <w:p w14:paraId="2C96F794" w14:textId="7095DAFD" w:rsidR="00501A8B" w:rsidRPr="009A59D5" w:rsidRDefault="00501A8B" w:rsidP="00501A8B">
      <w:pPr>
        <w:pStyle w:val="BodyText1"/>
      </w:pPr>
      <w:r w:rsidRPr="009A59D5">
        <w:t xml:space="preserve">The </w:t>
      </w:r>
      <w:r w:rsidR="00794B0F">
        <w:rPr>
          <w:i/>
        </w:rPr>
        <w:t>NGR</w:t>
      </w:r>
      <w:r w:rsidRPr="009A59D5">
        <w:t xml:space="preserve"> may be calculated using one of the following approaches:</w:t>
      </w:r>
    </w:p>
    <w:p w14:paraId="36A4B4AB" w14:textId="34DD37FF" w:rsidR="00501A8B" w:rsidRPr="009A59D5" w:rsidRDefault="00501A8B" w:rsidP="00501A8B">
      <w:pPr>
        <w:pStyle w:val="BodyText2"/>
      </w:pPr>
      <w:r w:rsidRPr="009A59D5">
        <w:t>counterparty-by-counterparty approach – under this approach a unique NGR is applied to each counterparty in calculating the CEA of transactions with that counterparty. NGR is defined as the NCCE of all transactions with an individual counterparty covered by a netting agreement (</w:t>
      </w:r>
      <w:proofErr w:type="gramStart"/>
      <w:r w:rsidRPr="009A59D5">
        <w:t>i.e.</w:t>
      </w:r>
      <w:proofErr w:type="gramEnd"/>
      <w:r w:rsidRPr="009A59D5">
        <w:t xml:space="preserve"> </w:t>
      </w:r>
      <w:proofErr w:type="spellStart"/>
      <w:r w:rsidR="00794B0F">
        <w:rPr>
          <w:i/>
        </w:rPr>
        <w:t>NCCE</w:t>
      </w:r>
      <w:r w:rsidR="00794B0F">
        <w:rPr>
          <w:i/>
          <w:vertAlign w:val="subscript"/>
        </w:rPr>
        <w:t>individual</w:t>
      </w:r>
      <w:proofErr w:type="spellEnd"/>
      <w:r w:rsidRPr="009A59D5">
        <w:t>) divided by the GCCE of all the transactions with that counterparty covered by the netting agreement (i.e.</w:t>
      </w:r>
      <w:r w:rsidR="00794B0F">
        <w:t xml:space="preserve"> </w:t>
      </w:r>
      <w:proofErr w:type="spellStart"/>
      <w:r w:rsidR="00794B0F">
        <w:rPr>
          <w:i/>
        </w:rPr>
        <w:t>GCCE</w:t>
      </w:r>
      <w:r w:rsidR="00794B0F">
        <w:rPr>
          <w:i/>
          <w:vertAlign w:val="subscript"/>
        </w:rPr>
        <w:t>individual</w:t>
      </w:r>
      <w:proofErr w:type="spellEnd"/>
      <w:r w:rsidRPr="009A59D5">
        <w:t>). In calculating</w:t>
      </w:r>
      <w:r w:rsidR="00794B0F">
        <w:t xml:space="preserve"> </w:t>
      </w:r>
      <w:proofErr w:type="spellStart"/>
      <w:r w:rsidR="00794B0F">
        <w:rPr>
          <w:i/>
        </w:rPr>
        <w:t>GCCE</w:t>
      </w:r>
      <w:r w:rsidR="00794B0F">
        <w:rPr>
          <w:i/>
          <w:vertAlign w:val="subscript"/>
        </w:rPr>
        <w:t>individual</w:t>
      </w:r>
      <w:proofErr w:type="spellEnd"/>
      <w:r w:rsidRPr="009A59D5">
        <w:t>, negative mark-to-market values for individual transactions with the same counterparty may not be used to offset positive mark-to-market values for other transactions with the same counterparty; or</w:t>
      </w:r>
    </w:p>
    <w:p w14:paraId="67B3DE08" w14:textId="342C95CD" w:rsidR="00501A8B" w:rsidRPr="009A59D5" w:rsidRDefault="00501A8B" w:rsidP="00501A8B">
      <w:pPr>
        <w:pStyle w:val="BodyText2"/>
      </w:pPr>
      <w:r w:rsidRPr="009A59D5">
        <w:t>aggregate approach – under this approach a single NGR is calculated and applied to all counterparties in calculating the CEA for transactions with each of those counterparties. The NGR is the ratio of the sum of all NCCEs of all transactions with all counterparties subject to any netting agreement (</w:t>
      </w:r>
      <w:proofErr w:type="gramStart"/>
      <w:r w:rsidRPr="009A59D5">
        <w:t>i.e.</w:t>
      </w:r>
      <w:proofErr w:type="gramEnd"/>
      <w:r w:rsidR="00794B0F">
        <w:t xml:space="preserve"> </w:t>
      </w:r>
      <w:proofErr w:type="spellStart"/>
      <w:r w:rsidR="00794B0F">
        <w:rPr>
          <w:i/>
        </w:rPr>
        <w:t>NCCE</w:t>
      </w:r>
      <w:r w:rsidR="00794B0F">
        <w:rPr>
          <w:i/>
          <w:vertAlign w:val="subscript"/>
        </w:rPr>
        <w:t>aggregate</w:t>
      </w:r>
      <w:proofErr w:type="spellEnd"/>
      <w:r w:rsidRPr="009A59D5">
        <w:t>) to the sum of all of the GCCEs for all transactions of all counterparties subject to any netting agreement (i.e.</w:t>
      </w:r>
      <w:r w:rsidR="00794B0F">
        <w:t xml:space="preserve"> </w:t>
      </w:r>
      <w:proofErr w:type="spellStart"/>
      <w:r w:rsidR="00794B0F">
        <w:rPr>
          <w:i/>
        </w:rPr>
        <w:t>GCCE</w:t>
      </w:r>
      <w:r w:rsidR="00794B0F">
        <w:rPr>
          <w:i/>
          <w:vertAlign w:val="subscript"/>
        </w:rPr>
        <w:t>aggregate</w:t>
      </w:r>
      <w:proofErr w:type="spellEnd"/>
      <w:r w:rsidRPr="009A59D5">
        <w:t>). In calculating</w:t>
      </w:r>
      <w:r w:rsidR="00794B0F">
        <w:t xml:space="preserve"> </w:t>
      </w:r>
      <w:proofErr w:type="spellStart"/>
      <w:r w:rsidR="00794B0F">
        <w:rPr>
          <w:i/>
        </w:rPr>
        <w:t>GCCE</w:t>
      </w:r>
      <w:r w:rsidR="00794B0F">
        <w:rPr>
          <w:i/>
          <w:vertAlign w:val="subscript"/>
        </w:rPr>
        <w:t>aggregate</w:t>
      </w:r>
      <w:proofErr w:type="spellEnd"/>
      <w:r w:rsidRPr="009A59D5">
        <w:t>, negative mark-to-market values of transactions with one counterparty cannot be used to offset positive mark-to-market values of transactions with that counterparty or any other counterparty included in the aggregate calculations.</w:t>
      </w:r>
    </w:p>
    <w:p w14:paraId="7A59D7E8" w14:textId="77777777" w:rsidR="00501A8B" w:rsidRPr="009A59D5" w:rsidRDefault="00501A8B" w:rsidP="00501A8B">
      <w:pPr>
        <w:pStyle w:val="BodyText1"/>
      </w:pPr>
      <w:bookmarkStart w:id="553" w:name="_Ref460255939"/>
      <w:r w:rsidRPr="009A59D5">
        <w:t>An ADI must consistently use either the counterparty-by-counterparty approach or the aggregate approach to calculate the NGR and must inform APRA of which approach it intends to use.</w:t>
      </w:r>
      <w:bookmarkEnd w:id="553"/>
    </w:p>
    <w:p w14:paraId="63BCDAE9" w14:textId="77777777" w:rsidR="00501A8B" w:rsidRPr="009A59D5" w:rsidRDefault="00501A8B" w:rsidP="00501A8B">
      <w:pPr>
        <w:pStyle w:val="Heading3"/>
      </w:pPr>
      <w:bookmarkStart w:id="554" w:name="_Toc460331464"/>
      <w:bookmarkStart w:id="555" w:name="_Toc461692128"/>
      <w:bookmarkStart w:id="556" w:name="_Toc487712254"/>
      <w:bookmarkStart w:id="557" w:name="_Toc488397555"/>
      <w:bookmarkStart w:id="558" w:name="_Toc488398115"/>
      <w:bookmarkStart w:id="559" w:name="_Toc489463952"/>
      <w:bookmarkStart w:id="560" w:name="_Toc507406246"/>
      <w:bookmarkStart w:id="561" w:name="_Toc507406318"/>
      <w:bookmarkStart w:id="562" w:name="_Toc507406431"/>
      <w:r w:rsidRPr="009A59D5">
        <w:t>Risk-weighted amount</w:t>
      </w:r>
      <w:bookmarkEnd w:id="554"/>
      <w:bookmarkEnd w:id="555"/>
      <w:bookmarkEnd w:id="556"/>
      <w:bookmarkEnd w:id="557"/>
      <w:bookmarkEnd w:id="558"/>
      <w:bookmarkEnd w:id="559"/>
      <w:bookmarkEnd w:id="560"/>
      <w:bookmarkEnd w:id="561"/>
      <w:bookmarkEnd w:id="562"/>
    </w:p>
    <w:p w14:paraId="5F2711C2" w14:textId="5CF764D3" w:rsidR="00501A8B" w:rsidRPr="009A59D5" w:rsidRDefault="00501A8B" w:rsidP="00501A8B">
      <w:pPr>
        <w:pStyle w:val="BodyText1"/>
      </w:pPr>
      <w:r w:rsidRPr="009A59D5">
        <w:t xml:space="preserve">With respect to the netted exposures </w:t>
      </w:r>
      <w:r w:rsidR="0096720F" w:rsidRPr="009A59D5">
        <w:t xml:space="preserve">determined in paragraphs </w:t>
      </w:r>
      <w:r w:rsidR="00446F81" w:rsidRPr="009A59D5">
        <w:fldChar w:fldCharType="begin"/>
      </w:r>
      <w:r w:rsidR="00446F81" w:rsidRPr="009A59D5">
        <w:instrText xml:space="preserve"> REF _Ref460255921 \r \h </w:instrText>
      </w:r>
      <w:r w:rsidR="00D23251" w:rsidRPr="009A59D5">
        <w:instrText xml:space="preserve"> \* MERGEFORMAT </w:instrText>
      </w:r>
      <w:r w:rsidR="00446F81" w:rsidRPr="009A59D5">
        <w:fldChar w:fldCharType="separate"/>
      </w:r>
      <w:r w:rsidR="00B401AE">
        <w:t>12</w:t>
      </w:r>
      <w:r w:rsidR="00446F81" w:rsidRPr="009A59D5">
        <w:fldChar w:fldCharType="end"/>
      </w:r>
      <w:r w:rsidR="0096720F" w:rsidRPr="009A59D5">
        <w:t xml:space="preserve"> to </w:t>
      </w:r>
      <w:r w:rsidR="0096720F" w:rsidRPr="009A59D5">
        <w:fldChar w:fldCharType="begin"/>
      </w:r>
      <w:r w:rsidR="0096720F" w:rsidRPr="009A59D5">
        <w:instrText xml:space="preserve"> REF _Ref460255939 \r \h </w:instrText>
      </w:r>
      <w:r w:rsidR="00D23251" w:rsidRPr="009A59D5">
        <w:instrText xml:space="preserve"> \* MERGEFORMAT </w:instrText>
      </w:r>
      <w:r w:rsidR="0096720F" w:rsidRPr="009A59D5">
        <w:fldChar w:fldCharType="separate"/>
      </w:r>
      <w:r w:rsidR="00B401AE">
        <w:t>17</w:t>
      </w:r>
      <w:r w:rsidR="0096720F" w:rsidRPr="009A59D5">
        <w:fldChar w:fldCharType="end"/>
      </w:r>
      <w:r w:rsidRPr="009A59D5">
        <w:t xml:space="preserve"> of this Attachment, an ADI must assign the relevant risk</w:t>
      </w:r>
      <w:r w:rsidR="00557D5E" w:rsidRPr="009A59D5">
        <w:t xml:space="preserve"> </w:t>
      </w:r>
      <w:r w:rsidRPr="009A59D5">
        <w:t>weight applicable to a counterparty, or if eligible, the risk</w:t>
      </w:r>
      <w:r w:rsidR="00557D5E" w:rsidRPr="009A59D5">
        <w:t xml:space="preserve"> </w:t>
      </w:r>
      <w:r w:rsidRPr="009A59D5">
        <w:t>weight of a guarantor or collateral to the CEA.</w:t>
      </w:r>
      <w:r w:rsidR="005B2BFD" w:rsidRPr="009A59D5">
        <w:t xml:space="preserve"> Counterparty risk weightings for OTC derivative transactions will not be subject to any specific ceiling.</w:t>
      </w:r>
    </w:p>
    <w:p w14:paraId="78E115A4" w14:textId="5356CD60" w:rsidR="00501A8B" w:rsidRPr="009A59D5" w:rsidRDefault="00501A8B" w:rsidP="00501A8B">
      <w:pPr>
        <w:pStyle w:val="BodyText1"/>
      </w:pPr>
      <w:bookmarkStart w:id="563" w:name="_Ref461622454"/>
      <w:r w:rsidRPr="009A59D5">
        <w:t xml:space="preserve">For the purposes of paragraph </w:t>
      </w:r>
      <w:r w:rsidR="0023050F">
        <w:t>23</w:t>
      </w:r>
      <w:r w:rsidR="0023050F" w:rsidRPr="009A59D5">
        <w:t xml:space="preserve"> </w:t>
      </w:r>
      <w:r w:rsidRPr="009A59D5">
        <w:t xml:space="preserve">of Attachment </w:t>
      </w:r>
      <w:r w:rsidR="005E74CA" w:rsidRPr="009A59D5">
        <w:t xml:space="preserve">G </w:t>
      </w:r>
      <w:r w:rsidRPr="009A59D5">
        <w:t>of APS 112, potential future exposure</w:t>
      </w:r>
      <w:r w:rsidR="008C214D" w:rsidRPr="009A59D5">
        <w:t xml:space="preserve"> is</w:t>
      </w:r>
      <w:r w:rsidR="00794B0F">
        <w:t xml:space="preserve"> </w:t>
      </w:r>
      <w:proofErr w:type="spellStart"/>
      <w:r w:rsidR="00794B0F">
        <w:rPr>
          <w:i/>
        </w:rPr>
        <w:t>PFCE</w:t>
      </w:r>
      <w:r w:rsidR="00794B0F">
        <w:rPr>
          <w:i/>
          <w:vertAlign w:val="subscript"/>
        </w:rPr>
        <w:t>adj</w:t>
      </w:r>
      <w:proofErr w:type="spellEnd"/>
      <w:r w:rsidRPr="009A59D5">
        <w:t xml:space="preserve"> </w:t>
      </w:r>
      <w:r w:rsidR="0096720F" w:rsidRPr="009A59D5">
        <w:t xml:space="preserve">as determined in paragraph </w:t>
      </w:r>
      <w:r w:rsidR="0096720F" w:rsidRPr="009A59D5">
        <w:fldChar w:fldCharType="begin"/>
      </w:r>
      <w:r w:rsidR="0096720F" w:rsidRPr="009A59D5">
        <w:instrText xml:space="preserve"> REF _Ref460255921 \r \h </w:instrText>
      </w:r>
      <w:r w:rsidR="00365041" w:rsidRPr="009A59D5">
        <w:instrText xml:space="preserve"> \* MERGEFORMAT </w:instrText>
      </w:r>
      <w:r w:rsidR="0096720F" w:rsidRPr="009A59D5">
        <w:fldChar w:fldCharType="separate"/>
      </w:r>
      <w:r w:rsidR="00B401AE">
        <w:t>12</w:t>
      </w:r>
      <w:r w:rsidR="0096720F" w:rsidRPr="009A59D5">
        <w:fldChar w:fldCharType="end"/>
      </w:r>
      <w:r w:rsidRPr="009A59D5">
        <w:t xml:space="preserve"> of this Attachment.</w:t>
      </w:r>
      <w:bookmarkEnd w:id="563"/>
    </w:p>
    <w:sectPr w:rsidR="00501A8B" w:rsidRPr="009A59D5" w:rsidSect="000D63A8">
      <w:footerReference w:type="default" r:id="rId82"/>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EB3DF" w14:textId="77777777" w:rsidR="00E36841" w:rsidRDefault="00E36841" w:rsidP="006A6A52">
      <w:pPr>
        <w:spacing w:after="0"/>
      </w:pPr>
      <w:r>
        <w:separator/>
      </w:r>
    </w:p>
  </w:endnote>
  <w:endnote w:type="continuationSeparator" w:id="0">
    <w:p w14:paraId="6EFED39B" w14:textId="77777777" w:rsidR="00E36841" w:rsidRDefault="00E36841" w:rsidP="006A6A52">
      <w:pPr>
        <w:spacing w:after="0"/>
      </w:pPr>
      <w:r>
        <w:continuationSeparator/>
      </w:r>
    </w:p>
  </w:endnote>
  <w:endnote w:type="continuationNotice" w:id="1">
    <w:p w14:paraId="08A9DF6A" w14:textId="77777777" w:rsidR="00E36841" w:rsidRDefault="00E3684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B07" w14:textId="77777777" w:rsidR="000945B6" w:rsidRDefault="000945B6" w:rsidP="001E4D64">
    <w:pPr>
      <w:pStyle w:val="Footer"/>
    </w:pPr>
  </w:p>
  <w:p w14:paraId="529082E9" w14:textId="77777777" w:rsidR="000945B6" w:rsidRDefault="000945B6" w:rsidP="001E4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4464" w14:textId="77777777" w:rsidR="0086242A" w:rsidRDefault="0086242A" w:rsidP="001E4D64">
    <w:pPr>
      <w:pStyle w:val="Footer"/>
    </w:pPr>
  </w:p>
  <w:p w14:paraId="6CC380E0" w14:textId="068D646D" w:rsidR="0086242A" w:rsidRPr="00B62A8F" w:rsidRDefault="0086242A" w:rsidP="001E4D64">
    <w:pPr>
      <w:pStyle w:val="Footer"/>
    </w:pPr>
    <w:r w:rsidRPr="00B62A8F">
      <w:t xml:space="preserve">APS 180 - </w:t>
    </w:r>
    <w:r w:rsidR="006B5D44" w:rsidRPr="00B62A8F">
      <w:fldChar w:fldCharType="begin"/>
    </w:r>
    <w:r w:rsidR="006B5D44" w:rsidRPr="00B62A8F">
      <w:instrText xml:space="preserve"> PAGE   \* MERGEFORMAT </w:instrText>
    </w:r>
    <w:r w:rsidR="006B5D44" w:rsidRPr="00B62A8F">
      <w:fldChar w:fldCharType="separate"/>
    </w:r>
    <w:r w:rsidR="006B5D44" w:rsidRPr="00B62A8F">
      <w:rPr>
        <w:noProof/>
      </w:rPr>
      <w:t>1</w:t>
    </w:r>
    <w:r w:rsidR="006B5D44" w:rsidRPr="00B62A8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4C2B" w14:textId="1500CAE7" w:rsidR="00CD1877" w:rsidRPr="00BB6E17" w:rsidRDefault="00744650" w:rsidP="00BB6E17">
    <w:pPr>
      <w:pStyle w:val="Footer"/>
    </w:pPr>
    <w:r>
      <w:fldChar w:fldCharType="begin"/>
    </w:r>
    <w:r>
      <w:instrText xml:space="preserve"> STYLEREF  "PS No. field text"  \* MERGEFORMAT </w:instrText>
    </w:r>
    <w:r>
      <w:fldChar w:fldCharType="separate"/>
    </w:r>
    <w:r w:rsidR="00B401AE" w:rsidRPr="00B401AE">
      <w:rPr>
        <w:b w:val="0"/>
        <w:bCs/>
        <w:noProof/>
        <w:lang w:val="en-US"/>
      </w:rPr>
      <w:t>APS 180</w:t>
    </w:r>
    <w:r>
      <w:rPr>
        <w:b w:val="0"/>
        <w:bCs/>
        <w:noProof/>
        <w:lang w:val="en-US"/>
      </w:rPr>
      <w:fldChar w:fldCharType="end"/>
    </w:r>
    <w:r w:rsidR="00CD1877" w:rsidRPr="002417F6">
      <w:t xml:space="preserve"> - </w:t>
    </w:r>
    <w:r w:rsidR="00CD1877" w:rsidRPr="002417F6">
      <w:fldChar w:fldCharType="begin"/>
    </w:r>
    <w:r w:rsidR="00CD1877" w:rsidRPr="002417F6">
      <w:instrText xml:space="preserve"> PAGE </w:instrText>
    </w:r>
    <w:r w:rsidR="00CD1877" w:rsidRPr="002417F6">
      <w:fldChar w:fldCharType="separate"/>
    </w:r>
    <w:r w:rsidR="00CD1877">
      <w:t>2</w:t>
    </w:r>
    <w:r w:rsidR="00CD1877" w:rsidRPr="002417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7F15" w14:textId="5A861D59" w:rsidR="0055540F" w:rsidRPr="00842FBD" w:rsidRDefault="00744650" w:rsidP="00842FBD">
    <w:pPr>
      <w:pStyle w:val="Footer"/>
    </w:pPr>
    <w:r>
      <w:fldChar w:fldCharType="begin"/>
    </w:r>
    <w:r>
      <w:instrText xml:space="preserve"> STYLEREF  "PS No. field text"  \* MERGEFORMAT </w:instrText>
    </w:r>
    <w:r>
      <w:fldChar w:fldCharType="separate"/>
    </w:r>
    <w:r w:rsidRPr="00744650">
      <w:rPr>
        <w:b w:val="0"/>
        <w:bCs/>
        <w:noProof/>
        <w:lang w:val="en-US"/>
      </w:rPr>
      <w:t>APS 180</w:t>
    </w:r>
    <w:r>
      <w:rPr>
        <w:b w:val="0"/>
        <w:bCs/>
        <w:noProof/>
        <w:lang w:val="en-US"/>
      </w:rPr>
      <w:fldChar w:fldCharType="end"/>
    </w:r>
    <w:r w:rsidR="0055540F">
      <w:t xml:space="preserve"> – Attachment </w:t>
    </w:r>
    <w:r w:rsidR="0055540F" w:rsidRPr="00C91728">
      <w:rPr>
        <w:noProof/>
      </w:rPr>
      <w:t>A</w:t>
    </w:r>
    <w:r w:rsidR="0055540F">
      <w:t xml:space="preserve"> - </w:t>
    </w:r>
    <w:r w:rsidR="0055540F" w:rsidRPr="00842FBD">
      <w:fldChar w:fldCharType="begin"/>
    </w:r>
    <w:r w:rsidR="0055540F" w:rsidRPr="00842FBD">
      <w:instrText xml:space="preserve"> PAGE </w:instrText>
    </w:r>
    <w:r w:rsidR="0055540F" w:rsidRPr="00842FBD">
      <w:fldChar w:fldCharType="separate"/>
    </w:r>
    <w:r w:rsidR="0055540F">
      <w:rPr>
        <w:noProof/>
      </w:rPr>
      <w:t>15</w:t>
    </w:r>
    <w:r w:rsidR="0055540F" w:rsidRPr="00842FB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43E3" w14:textId="0E076CFF" w:rsidR="0055540F" w:rsidRPr="00842FBD" w:rsidRDefault="00744650" w:rsidP="00842FBD">
    <w:pPr>
      <w:pStyle w:val="Footer"/>
    </w:pPr>
    <w:r>
      <w:fldChar w:fldCharType="begin"/>
    </w:r>
    <w:r>
      <w:instrText xml:space="preserve"> STYLEREF  "PS No. field text"  \* MERGEFORMAT </w:instrText>
    </w:r>
    <w:r>
      <w:fldChar w:fldCharType="separate"/>
    </w:r>
    <w:r w:rsidRPr="00744650">
      <w:rPr>
        <w:b w:val="0"/>
        <w:bCs/>
        <w:noProof/>
        <w:lang w:val="en-US"/>
      </w:rPr>
      <w:t>APS 180</w:t>
    </w:r>
    <w:r>
      <w:rPr>
        <w:b w:val="0"/>
        <w:bCs/>
        <w:noProof/>
        <w:lang w:val="en-US"/>
      </w:rPr>
      <w:fldChar w:fldCharType="end"/>
    </w:r>
    <w:r w:rsidR="0055540F">
      <w:t xml:space="preserve"> – Attachment </w:t>
    </w:r>
    <w:r w:rsidR="0055540F">
      <w:rPr>
        <w:noProof/>
      </w:rPr>
      <w:t>B</w:t>
    </w:r>
    <w:r w:rsidR="0055540F">
      <w:t xml:space="preserve"> - </w:t>
    </w:r>
    <w:r w:rsidR="0055540F" w:rsidRPr="00842FBD">
      <w:fldChar w:fldCharType="begin"/>
    </w:r>
    <w:r w:rsidR="0055540F" w:rsidRPr="00842FBD">
      <w:instrText xml:space="preserve"> PAGE </w:instrText>
    </w:r>
    <w:r w:rsidR="0055540F" w:rsidRPr="00842FBD">
      <w:fldChar w:fldCharType="separate"/>
    </w:r>
    <w:r w:rsidR="0055540F">
      <w:rPr>
        <w:noProof/>
      </w:rPr>
      <w:t>24</w:t>
    </w:r>
    <w:r w:rsidR="0055540F" w:rsidRPr="00842FB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8C85" w14:textId="4BC98D19" w:rsidR="0055540F" w:rsidRPr="00842FBD" w:rsidRDefault="00744650" w:rsidP="00842FBD">
    <w:pPr>
      <w:pStyle w:val="Footer"/>
    </w:pPr>
    <w:r>
      <w:fldChar w:fldCharType="begin"/>
    </w:r>
    <w:r>
      <w:instrText xml:space="preserve"> STYLEREF  "PS No. field text"  \* MERGEFORMAT </w:instrText>
    </w:r>
    <w:r>
      <w:fldChar w:fldCharType="separate"/>
    </w:r>
    <w:r w:rsidRPr="00744650">
      <w:rPr>
        <w:b w:val="0"/>
        <w:bCs/>
        <w:noProof/>
        <w:lang w:val="en-US"/>
      </w:rPr>
      <w:t>APS 180</w:t>
    </w:r>
    <w:r>
      <w:rPr>
        <w:b w:val="0"/>
        <w:bCs/>
        <w:noProof/>
        <w:lang w:val="en-US"/>
      </w:rPr>
      <w:fldChar w:fldCharType="end"/>
    </w:r>
    <w:r w:rsidR="0055540F">
      <w:t xml:space="preserve"> – Attachment </w:t>
    </w:r>
    <w:r w:rsidR="0055540F">
      <w:rPr>
        <w:noProof/>
      </w:rPr>
      <w:t>C</w:t>
    </w:r>
    <w:r w:rsidR="0055540F">
      <w:t xml:space="preserve"> - </w:t>
    </w:r>
    <w:r w:rsidR="0055540F" w:rsidRPr="00842FBD">
      <w:fldChar w:fldCharType="begin"/>
    </w:r>
    <w:r w:rsidR="0055540F" w:rsidRPr="00842FBD">
      <w:instrText xml:space="preserve"> PAGE </w:instrText>
    </w:r>
    <w:r w:rsidR="0055540F" w:rsidRPr="00842FBD">
      <w:fldChar w:fldCharType="separate"/>
    </w:r>
    <w:r w:rsidR="0055540F">
      <w:rPr>
        <w:noProof/>
      </w:rPr>
      <w:t>29</w:t>
    </w:r>
    <w:r w:rsidR="0055540F" w:rsidRPr="00842FB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B61B" w14:textId="08226208" w:rsidR="0055540F" w:rsidRPr="00842FBD" w:rsidRDefault="00744650" w:rsidP="00842FBD">
    <w:pPr>
      <w:pStyle w:val="Footer"/>
    </w:pPr>
    <w:r>
      <w:fldChar w:fldCharType="begin"/>
    </w:r>
    <w:r>
      <w:instrText xml:space="preserve"> STYLEREF  "PS No. field text"  \* MERGEFORMAT </w:instrText>
    </w:r>
    <w:r>
      <w:fldChar w:fldCharType="separate"/>
    </w:r>
    <w:r w:rsidRPr="00744650">
      <w:rPr>
        <w:b w:val="0"/>
        <w:bCs/>
        <w:noProof/>
        <w:lang w:val="en-US"/>
      </w:rPr>
      <w:t>APS 180</w:t>
    </w:r>
    <w:r>
      <w:rPr>
        <w:b w:val="0"/>
        <w:bCs/>
        <w:noProof/>
        <w:lang w:val="en-US"/>
      </w:rPr>
      <w:fldChar w:fldCharType="end"/>
    </w:r>
    <w:r w:rsidR="0055540F">
      <w:t xml:space="preserve"> – Attachment </w:t>
    </w:r>
    <w:r w:rsidR="0055540F">
      <w:rPr>
        <w:noProof/>
      </w:rPr>
      <w:t>D</w:t>
    </w:r>
    <w:r w:rsidR="0055540F">
      <w:t xml:space="preserve"> - </w:t>
    </w:r>
    <w:r w:rsidR="0055540F" w:rsidRPr="00842FBD">
      <w:fldChar w:fldCharType="begin"/>
    </w:r>
    <w:r w:rsidR="0055540F" w:rsidRPr="00842FBD">
      <w:instrText xml:space="preserve"> PAGE </w:instrText>
    </w:r>
    <w:r w:rsidR="0055540F" w:rsidRPr="00842FBD">
      <w:fldChar w:fldCharType="separate"/>
    </w:r>
    <w:r w:rsidR="0055540F">
      <w:rPr>
        <w:noProof/>
      </w:rPr>
      <w:t>51</w:t>
    </w:r>
    <w:r w:rsidR="0055540F" w:rsidRPr="00842FB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BCA1" w14:textId="277DC817" w:rsidR="0055540F" w:rsidRPr="00842FBD" w:rsidRDefault="00744650" w:rsidP="00842FBD">
    <w:pPr>
      <w:pStyle w:val="Footer"/>
    </w:pPr>
    <w:r>
      <w:fldChar w:fldCharType="begin"/>
    </w:r>
    <w:r>
      <w:instrText xml:space="preserve"> STYLEREF  "PS No. field text"  \* MERGEFORMAT </w:instrText>
    </w:r>
    <w:r>
      <w:fldChar w:fldCharType="separate"/>
    </w:r>
    <w:r w:rsidRPr="00744650">
      <w:rPr>
        <w:b w:val="0"/>
        <w:bCs/>
        <w:noProof/>
        <w:lang w:val="en-US"/>
      </w:rPr>
      <w:t>APS 180</w:t>
    </w:r>
    <w:r>
      <w:rPr>
        <w:b w:val="0"/>
        <w:bCs/>
        <w:noProof/>
        <w:lang w:val="en-US"/>
      </w:rPr>
      <w:fldChar w:fldCharType="end"/>
    </w:r>
    <w:r w:rsidR="0055540F">
      <w:t xml:space="preserve"> – Attachment </w:t>
    </w:r>
    <w:r w:rsidR="0055540F">
      <w:rPr>
        <w:noProof/>
      </w:rPr>
      <w:t>E</w:t>
    </w:r>
    <w:r w:rsidR="0055540F">
      <w:t xml:space="preserve"> - </w:t>
    </w:r>
    <w:r w:rsidR="0055540F" w:rsidRPr="00842FBD">
      <w:fldChar w:fldCharType="begin"/>
    </w:r>
    <w:r w:rsidR="0055540F" w:rsidRPr="00842FBD">
      <w:instrText xml:space="preserve"> PAGE </w:instrText>
    </w:r>
    <w:r w:rsidR="0055540F" w:rsidRPr="00842FBD">
      <w:fldChar w:fldCharType="separate"/>
    </w:r>
    <w:r w:rsidR="0055540F">
      <w:rPr>
        <w:noProof/>
      </w:rPr>
      <w:t>56</w:t>
    </w:r>
    <w:r w:rsidR="0055540F"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2931" w14:textId="77777777" w:rsidR="00E36841" w:rsidRDefault="00E36841" w:rsidP="006A6A52">
      <w:pPr>
        <w:spacing w:after="0"/>
      </w:pPr>
      <w:r>
        <w:separator/>
      </w:r>
    </w:p>
  </w:footnote>
  <w:footnote w:type="continuationSeparator" w:id="0">
    <w:p w14:paraId="6C1DC07A" w14:textId="77777777" w:rsidR="00E36841" w:rsidRDefault="00E36841" w:rsidP="006A6A52">
      <w:pPr>
        <w:spacing w:after="0"/>
      </w:pPr>
      <w:r>
        <w:continuationSeparator/>
      </w:r>
    </w:p>
  </w:footnote>
  <w:footnote w:type="continuationNotice" w:id="1">
    <w:p w14:paraId="3010FF0E" w14:textId="77777777" w:rsidR="00E36841" w:rsidRDefault="00E36841">
      <w:pPr>
        <w:spacing w:after="0"/>
      </w:pPr>
    </w:p>
  </w:footnote>
  <w:footnote w:id="2">
    <w:p w14:paraId="1EA35475" w14:textId="77777777" w:rsidR="0055540F" w:rsidRDefault="0055540F">
      <w:pPr>
        <w:pStyle w:val="FootnoteText"/>
      </w:pPr>
      <w:r>
        <w:rPr>
          <w:rStyle w:val="FootnoteReference"/>
        </w:rPr>
        <w:footnoteRef/>
      </w:r>
      <w:r>
        <w:t xml:space="preserve"> </w:t>
      </w:r>
      <w:r>
        <w:tab/>
      </w:r>
      <w:r w:rsidRPr="0027754F">
        <w:t>A reference obligation will typically also be a deliverable obligation unless otherwise excluded.</w:t>
      </w:r>
    </w:p>
  </w:footnote>
  <w:footnote w:id="3">
    <w:p w14:paraId="7AEBC4B2" w14:textId="77777777" w:rsidR="0055540F" w:rsidRDefault="0055540F">
      <w:pPr>
        <w:pStyle w:val="FootnoteText"/>
      </w:pPr>
      <w:r>
        <w:rPr>
          <w:rStyle w:val="FootnoteReference"/>
        </w:rPr>
        <w:footnoteRef/>
      </w:r>
      <w:r>
        <w:t xml:space="preserve"> </w:t>
      </w:r>
      <w:r>
        <w:tab/>
      </w:r>
      <w:r w:rsidRPr="00BB23D3">
        <w:t>For the purposes of this Prudential Standard, long settlement transactions must be treated as OTC derivatives transactions.</w:t>
      </w:r>
    </w:p>
  </w:footnote>
  <w:footnote w:id="4">
    <w:p w14:paraId="09AF6CBF" w14:textId="72E7BDC1" w:rsidR="008C76F2" w:rsidRPr="00D503ED" w:rsidRDefault="008C76F2" w:rsidP="008C76F2">
      <w:pPr>
        <w:pStyle w:val="FootnoteText"/>
      </w:pPr>
      <w:r w:rsidRPr="0004074C">
        <w:rPr>
          <w:rStyle w:val="FootnoteReference"/>
        </w:rPr>
        <w:footnoteRef/>
      </w:r>
      <w:r w:rsidRPr="0004074C">
        <w:t xml:space="preserve"> </w:t>
      </w:r>
      <w:r w:rsidRPr="0004074C">
        <w:tab/>
      </w:r>
      <w:r w:rsidR="000B4BB4" w:rsidRPr="00DD4E82">
        <w:rPr>
          <w:i/>
        </w:rPr>
        <w:t>p</w:t>
      </w:r>
      <w:r w:rsidRPr="00DD4E82">
        <w:rPr>
          <w:i/>
        </w:rPr>
        <w:t>rescribed New Zealand authority</w:t>
      </w:r>
      <w:r>
        <w:t xml:space="preserve"> has the meaning given in subsection 5(1) of the Banking Act</w:t>
      </w:r>
      <w:r w:rsidRPr="0004074C">
        <w:t>.</w:t>
      </w:r>
      <w:r w:rsidRPr="00D503ED">
        <w:t xml:space="preserve"> </w:t>
      </w:r>
    </w:p>
  </w:footnote>
  <w:footnote w:id="5">
    <w:p w14:paraId="3E17E627" w14:textId="2C5FAA3D" w:rsidR="0055540F" w:rsidRPr="00D503ED" w:rsidRDefault="0055540F">
      <w:pPr>
        <w:pStyle w:val="FootnoteText"/>
      </w:pPr>
      <w:r w:rsidRPr="0004074C">
        <w:rPr>
          <w:rStyle w:val="FootnoteReference"/>
        </w:rPr>
        <w:footnoteRef/>
      </w:r>
      <w:r w:rsidRPr="0004074C">
        <w:t xml:space="preserve"> </w:t>
      </w:r>
      <w:r w:rsidRPr="0004074C">
        <w:tab/>
        <w:t>For the avoidance of doubt, an IRB ADI that has IRB approval for a portion of its exposures must determine the risk</w:t>
      </w:r>
      <w:r>
        <w:t xml:space="preserve"> </w:t>
      </w:r>
      <w:r w:rsidRPr="0004074C">
        <w:t xml:space="preserve">weights for exposures subject to the </w:t>
      </w:r>
      <w:r w:rsidRPr="0004074C">
        <w:rPr>
          <w:b/>
        </w:rPr>
        <w:t>standardised approach to credit risk</w:t>
      </w:r>
      <w:r w:rsidRPr="0004074C">
        <w:t xml:space="preserve"> in accordance with APS 112, as required under APS 113.</w:t>
      </w:r>
      <w:r w:rsidRPr="00D503ED">
        <w:t xml:space="preserve"> </w:t>
      </w:r>
    </w:p>
  </w:footnote>
  <w:footnote w:id="6">
    <w:p w14:paraId="41E5E9B5" w14:textId="77777777" w:rsidR="0055540F" w:rsidRDefault="0055540F">
      <w:pPr>
        <w:pStyle w:val="FootnoteText"/>
      </w:pPr>
      <w:r w:rsidRPr="00D503ED">
        <w:rPr>
          <w:rStyle w:val="FootnoteReference"/>
        </w:rPr>
        <w:footnoteRef/>
      </w:r>
      <w:r w:rsidRPr="00D503ED">
        <w:tab/>
        <w:t>Refer to subsection 11AF(2) of the Banking Act.</w:t>
      </w:r>
    </w:p>
  </w:footnote>
  <w:footnote w:id="7">
    <w:p w14:paraId="2C43A723" w14:textId="776086E2" w:rsidR="0055540F" w:rsidRDefault="0055540F">
      <w:pPr>
        <w:pStyle w:val="FootnoteText"/>
      </w:pPr>
      <w:r>
        <w:rPr>
          <w:rStyle w:val="FootnoteReference"/>
        </w:rPr>
        <w:footnoteRef/>
      </w:r>
      <w:r>
        <w:t xml:space="preserve"> </w:t>
      </w:r>
      <w:r>
        <w:tab/>
      </w:r>
      <w:r w:rsidRPr="00BB23D3">
        <w:t xml:space="preserve">The total exposure amount for bilateral SFTs must be calculated by adding together the exposure amount for each SFT not covered by an eligible netting agreement (refer to </w:t>
      </w:r>
      <w:r>
        <w:t>Attachment G of APS </w:t>
      </w:r>
      <w:r w:rsidRPr="00BB23D3">
        <w:t xml:space="preserve">112) and the exposure amount for all SFTs covered by an eligible netting agreement (refer to Attachment </w:t>
      </w:r>
      <w:r w:rsidR="00A6782A">
        <w:t>H</w:t>
      </w:r>
      <w:r w:rsidRPr="00BB23D3">
        <w:t xml:space="preserve"> of APS 112).</w:t>
      </w:r>
    </w:p>
  </w:footnote>
  <w:footnote w:id="8">
    <w:p w14:paraId="3B998964" w14:textId="77777777" w:rsidR="0055540F" w:rsidRDefault="0055540F" w:rsidP="00655BAD">
      <w:pPr>
        <w:pStyle w:val="FootnoteText"/>
      </w:pPr>
      <w:r>
        <w:rPr>
          <w:rStyle w:val="FootnoteReference"/>
        </w:rPr>
        <w:footnoteRef/>
      </w:r>
      <w:r>
        <w:t xml:space="preserve"> </w:t>
      </w:r>
      <w:r>
        <w:tab/>
      </w:r>
      <w:r w:rsidRPr="008C473B">
        <w:t>No adjustment to CVA should be included for SFTs.</w:t>
      </w:r>
    </w:p>
  </w:footnote>
  <w:footnote w:id="9">
    <w:p w14:paraId="60635BEC" w14:textId="734B1C42" w:rsidR="0055540F" w:rsidRDefault="0055540F" w:rsidP="00D5623D">
      <w:pPr>
        <w:pStyle w:val="FootnoteText"/>
      </w:pPr>
      <w:r w:rsidRPr="0004074C">
        <w:rPr>
          <w:rStyle w:val="FootnoteReference"/>
        </w:rPr>
        <w:footnoteRef/>
      </w:r>
      <w:r w:rsidRPr="0004074C">
        <w:t xml:space="preserve"> </w:t>
      </w:r>
      <w:r w:rsidRPr="0004074C">
        <w:tab/>
        <w:t>For the avoidance of doubt, an IRB ADI that has IRB approval for a portion of its exposures must determine the risk</w:t>
      </w:r>
      <w:r>
        <w:t xml:space="preserve"> </w:t>
      </w:r>
      <w:r w:rsidRPr="0004074C">
        <w:t>weights for exposures subject to the standardised approach to credit risk in accordance with APS 112, as required under APS 113.</w:t>
      </w:r>
    </w:p>
  </w:footnote>
  <w:footnote w:id="10">
    <w:p w14:paraId="69C571C0" w14:textId="56EF2D6D" w:rsidR="0055540F" w:rsidRDefault="0055540F">
      <w:pPr>
        <w:pStyle w:val="FootnoteText"/>
      </w:pPr>
      <w:r>
        <w:rPr>
          <w:rStyle w:val="FootnoteReference"/>
        </w:rPr>
        <w:footnoteRef/>
      </w:r>
      <w:r>
        <w:t xml:space="preserve"> </w:t>
      </w:r>
      <w:r>
        <w:tab/>
      </w:r>
      <w:r w:rsidRPr="00FD06D7">
        <w:t xml:space="preserve">D is the </w:t>
      </w:r>
      <w:r w:rsidRPr="00032030">
        <w:t>supervisory discount factor based on an interest rate of five per cent</w:t>
      </w:r>
      <w:r w:rsidRPr="00130320">
        <w:t xml:space="preserve"> per annum and term to maturity</w:t>
      </w:r>
      <w:r w:rsidRPr="00FD06D7">
        <w:t xml:space="preserve"> of M years, and e (≈2.71828) is the base of the natural logarithm.</w:t>
      </w:r>
    </w:p>
  </w:footnote>
  <w:footnote w:id="11">
    <w:p w14:paraId="2C649F0B" w14:textId="2174FC3C" w:rsidR="0055540F" w:rsidRDefault="0055540F">
      <w:pPr>
        <w:pStyle w:val="FootnoteText"/>
      </w:pPr>
      <w:r>
        <w:rPr>
          <w:rStyle w:val="FootnoteReference"/>
        </w:rPr>
        <w:footnoteRef/>
      </w:r>
      <w:r>
        <w:t xml:space="preserve"> </w:t>
      </w:r>
      <w:r>
        <w:tab/>
      </w:r>
      <w:r w:rsidRPr="00032030">
        <w:t xml:space="preserve">This approach also applies for the  </w:t>
      </w:r>
      <w:r w:rsidR="001D518A">
        <w:rPr>
          <w:i/>
        </w:rPr>
        <w:t>K</w:t>
      </w:r>
      <w:r w:rsidR="001D518A">
        <w:rPr>
          <w:i/>
          <w:vertAlign w:val="subscript"/>
        </w:rPr>
        <w:t>CVA</w:t>
      </w:r>
      <w:r w:rsidRPr="00032030">
        <w:t xml:space="preserve"> calculations in paragraphs </w:t>
      </w:r>
      <w:r w:rsidRPr="00032030">
        <w:fldChar w:fldCharType="begin"/>
      </w:r>
      <w:r w:rsidRPr="00032030">
        <w:instrText xml:space="preserve"> REF _Ref508954474 \r \h </w:instrText>
      </w:r>
      <w:r>
        <w:instrText xml:space="preserve"> \* MERGEFORMAT </w:instrText>
      </w:r>
      <w:r w:rsidRPr="00032030">
        <w:fldChar w:fldCharType="separate"/>
      </w:r>
      <w:r w:rsidR="00B401AE">
        <w:t>16(b)</w:t>
      </w:r>
      <w:r w:rsidRPr="00032030">
        <w:fldChar w:fldCharType="end"/>
      </w:r>
      <w:r w:rsidRPr="00032030">
        <w:t xml:space="preserve"> and </w:t>
      </w:r>
      <w:r w:rsidRPr="00032030">
        <w:fldChar w:fldCharType="begin"/>
      </w:r>
      <w:r w:rsidRPr="00032030">
        <w:instrText xml:space="preserve"> REF _Ref460259041 \r \h </w:instrText>
      </w:r>
      <w:r>
        <w:instrText xml:space="preserve"> \* MERGEFORMAT </w:instrText>
      </w:r>
      <w:r w:rsidRPr="00032030">
        <w:fldChar w:fldCharType="separate"/>
      </w:r>
      <w:r w:rsidR="00B401AE">
        <w:t>16(c)</w:t>
      </w:r>
      <w:r w:rsidRPr="00032030">
        <w:fldChar w:fldCharType="end"/>
      </w:r>
      <w:r w:rsidRPr="00032030">
        <w:t xml:space="preserve"> of this Attachment.</w:t>
      </w:r>
      <w:r>
        <w:t xml:space="preserve"> </w:t>
      </w:r>
    </w:p>
  </w:footnote>
  <w:footnote w:id="12">
    <w:p w14:paraId="47767077" w14:textId="7BED8F1F" w:rsidR="0055540F" w:rsidRDefault="0055540F" w:rsidP="002B587C">
      <w:pPr>
        <w:pStyle w:val="FootnoteText"/>
      </w:pPr>
      <w:r>
        <w:rPr>
          <w:rStyle w:val="FootnoteReference"/>
        </w:rPr>
        <w:footnoteRef/>
      </w:r>
      <w:r>
        <w:t xml:space="preserve"> </w:t>
      </w:r>
      <w:r>
        <w:tab/>
      </w:r>
      <w:r w:rsidRPr="003308EC">
        <w:t>For contributions to prepaid default funds covering settlement</w:t>
      </w:r>
      <w:r>
        <w:t xml:space="preserve"> </w:t>
      </w:r>
      <w:r w:rsidRPr="003308EC">
        <w:t>risk-only products, the applicable risk weight is zero per cent.</w:t>
      </w:r>
    </w:p>
  </w:footnote>
  <w:footnote w:id="13">
    <w:p w14:paraId="26E42438" w14:textId="51FEEE46" w:rsidR="0055540F" w:rsidRDefault="0055540F">
      <w:pPr>
        <w:pStyle w:val="FootnoteText"/>
      </w:pPr>
      <w:r>
        <w:rPr>
          <w:rStyle w:val="FootnoteReference"/>
        </w:rPr>
        <w:footnoteRef/>
      </w:r>
      <w:r>
        <w:t xml:space="preserve"> </w:t>
      </w:r>
      <w:r>
        <w:tab/>
      </w:r>
      <w:r w:rsidRPr="00032030">
        <w:t>The remaining maturity (</w:t>
      </w:r>
      <w:r w:rsidR="003F1244">
        <w:rPr>
          <w:i/>
        </w:rPr>
        <w:t>M</w:t>
      </w:r>
      <w:r w:rsidR="003F1244">
        <w:rPr>
          <w:i/>
          <w:vertAlign w:val="subscript"/>
        </w:rPr>
        <w:t>i</w:t>
      </w:r>
      <w:r w:rsidRPr="00032030">
        <w:t xml:space="preserve">) of an unmargined transaction is subject to a floor of 10 business days. as per paragraph </w:t>
      </w:r>
      <w:r w:rsidRPr="00032030">
        <w:fldChar w:fldCharType="begin"/>
      </w:r>
      <w:r w:rsidRPr="00032030">
        <w:instrText xml:space="preserve"> REF _Ref506909542 \r \h </w:instrText>
      </w:r>
      <w:r>
        <w:instrText xml:space="preserve"> \* MERGEFORMAT </w:instrText>
      </w:r>
      <w:r w:rsidRPr="00032030">
        <w:fldChar w:fldCharType="separate"/>
      </w:r>
      <w:r w:rsidR="00B401AE">
        <w:t>48(a)</w:t>
      </w:r>
      <w:r w:rsidRPr="00032030">
        <w:fldChar w:fldCharType="end"/>
      </w:r>
      <w:r w:rsidRPr="00032030">
        <w:t xml:space="preserve"> of Attachment D.</w:t>
      </w:r>
    </w:p>
  </w:footnote>
  <w:footnote w:id="14">
    <w:p w14:paraId="2147330F" w14:textId="1157ED61" w:rsidR="0055540F" w:rsidRDefault="0055540F">
      <w:pPr>
        <w:pStyle w:val="FootnoteText"/>
      </w:pPr>
      <w:r>
        <w:rPr>
          <w:rStyle w:val="FootnoteReference"/>
        </w:rPr>
        <w:footnoteRef/>
      </w:r>
      <w:r>
        <w:t xml:space="preserve"> </w:t>
      </w:r>
      <w:r>
        <w:tab/>
      </w:r>
      <w:r w:rsidRPr="005049E5">
        <w:t xml:space="preserve">Trade exposure includes any posted collateral but excludes any default fund contributions. Refer to paragraph </w:t>
      </w:r>
      <w:r>
        <w:fldChar w:fldCharType="begin"/>
      </w:r>
      <w:r>
        <w:instrText xml:space="preserve"> REF _Ref488400365 \r \h </w:instrText>
      </w:r>
      <w:r>
        <w:fldChar w:fldCharType="separate"/>
      </w:r>
      <w:r w:rsidR="00B401AE">
        <w:t>8(ee)</w:t>
      </w:r>
      <w:r>
        <w:fldChar w:fldCharType="end"/>
      </w:r>
      <w:r>
        <w:t xml:space="preserve"> </w:t>
      </w:r>
      <w:r w:rsidRPr="005049E5">
        <w:t>for the complete definition of trade exposure.</w:t>
      </w:r>
    </w:p>
  </w:footnote>
  <w:footnote w:id="15">
    <w:p w14:paraId="437E96B3" w14:textId="2D5576AC" w:rsidR="0055540F" w:rsidRDefault="0055540F">
      <w:pPr>
        <w:pStyle w:val="FootnoteText"/>
      </w:pPr>
      <w:r>
        <w:rPr>
          <w:rStyle w:val="FootnoteReference"/>
        </w:rPr>
        <w:footnoteRef/>
      </w:r>
      <w:r>
        <w:t xml:space="preserve"> </w:t>
      </w:r>
      <w:r>
        <w:tab/>
      </w:r>
      <w:r w:rsidRPr="003308EC">
        <w:t xml:space="preserve">To the extent that the rules referenced in Attachment </w:t>
      </w:r>
      <w:r w:rsidR="007A3B11">
        <w:t>H</w:t>
      </w:r>
      <w:r w:rsidR="007A3B11" w:rsidRPr="003308EC">
        <w:t xml:space="preserve"> </w:t>
      </w:r>
      <w:r w:rsidRPr="003308EC">
        <w:t>of APS 112 include the term ‘master agreement’ or the phrase ‘a netting contract with a counterparty or other agreement’, this terminology must be read as including any enforceable arrangement that provides legally enforceable rights of set-off.</w:t>
      </w:r>
    </w:p>
  </w:footnote>
  <w:footnote w:id="16">
    <w:p w14:paraId="54798C5F" w14:textId="5DBCF3B3" w:rsidR="0055540F" w:rsidRDefault="0055540F" w:rsidP="003E7F41">
      <w:pPr>
        <w:pStyle w:val="FootnoteText"/>
      </w:pPr>
      <w:r>
        <w:rPr>
          <w:rStyle w:val="FootnoteReference"/>
        </w:rPr>
        <w:footnoteRef/>
      </w:r>
      <w:r>
        <w:t xml:space="preserve"> </w:t>
      </w:r>
      <w:r>
        <w:tab/>
      </w:r>
      <w:r w:rsidRPr="005049E5">
        <w:t xml:space="preserve">Trade exposure is defined in paragraph </w:t>
      </w:r>
      <w:r>
        <w:fldChar w:fldCharType="begin"/>
      </w:r>
      <w:r>
        <w:instrText xml:space="preserve"> REF _Ref460259507 \r \h </w:instrText>
      </w:r>
      <w:r>
        <w:fldChar w:fldCharType="separate"/>
      </w:r>
      <w:r w:rsidR="00B401AE">
        <w:t>8(bb)</w:t>
      </w:r>
      <w:r>
        <w:fldChar w:fldCharType="end"/>
      </w:r>
      <w:r w:rsidRPr="005049E5">
        <w:t xml:space="preserve"> of this Prudential Standard.</w:t>
      </w:r>
    </w:p>
  </w:footnote>
  <w:footnote w:id="17">
    <w:p w14:paraId="65701A10" w14:textId="77777777" w:rsidR="0055540F" w:rsidRDefault="0055540F" w:rsidP="00713038">
      <w:pPr>
        <w:pStyle w:val="FootnoteText"/>
      </w:pPr>
      <w:r>
        <w:rPr>
          <w:rStyle w:val="FootnoteReference"/>
        </w:rPr>
        <w:footnoteRef/>
      </w:r>
      <w:r>
        <w:t xml:space="preserve"> </w:t>
      </w:r>
      <w:r>
        <w:tab/>
      </w:r>
      <w:r w:rsidRPr="006A3315">
        <w:t>A custodian may include a trustee, agent, pledgee, secured creditor or any other person that holds property in a way that does not give such person a beneficial interest in such property and will not result in such property being subject to legally-enforceable claims by such persons</w:t>
      </w:r>
      <w:r>
        <w:t>’</w:t>
      </w:r>
      <w:r w:rsidRPr="006A3315">
        <w:t xml:space="preserve"> creditors, or to a court-ordered stay of the return of such property, if such person becomes insolvent or bankrupt.</w:t>
      </w:r>
    </w:p>
  </w:footnote>
  <w:footnote w:id="18">
    <w:p w14:paraId="69EFFE8D" w14:textId="409C94F4" w:rsidR="0055540F" w:rsidRPr="00142EA6" w:rsidRDefault="0055540F">
      <w:pPr>
        <w:pStyle w:val="FootnoteText"/>
      </w:pPr>
      <w:r w:rsidRPr="00142EA6">
        <w:rPr>
          <w:rStyle w:val="FootnoteReference"/>
        </w:rPr>
        <w:footnoteRef/>
      </w:r>
      <w:r w:rsidRPr="00142EA6">
        <w:t xml:space="preserve"> </w:t>
      </w:r>
      <w:r w:rsidRPr="00142EA6">
        <w:tab/>
        <w:t>For the avoidance of doubt, such collateral should not be included in the calculation of EAD under the SA-CCR</w:t>
      </w:r>
    </w:p>
  </w:footnote>
  <w:footnote w:id="19">
    <w:p w14:paraId="2DDD66F4" w14:textId="4395859F" w:rsidR="0055540F" w:rsidRDefault="0055540F">
      <w:pPr>
        <w:pStyle w:val="FootnoteText"/>
      </w:pPr>
      <w:r w:rsidRPr="00142EA6">
        <w:rPr>
          <w:rStyle w:val="FootnoteReference"/>
        </w:rPr>
        <w:footnoteRef/>
      </w:r>
      <w:r w:rsidRPr="00142EA6">
        <w:t xml:space="preserve"> </w:t>
      </w:r>
      <w:r w:rsidRPr="00142EA6">
        <w:tab/>
        <w:t>For the avoidance of doubt, such collateral should be included in the calculation of EAD under the SA-CCR.</w:t>
      </w:r>
    </w:p>
  </w:footnote>
  <w:footnote w:id="20">
    <w:p w14:paraId="7B0741E1" w14:textId="77777777" w:rsidR="0055540F" w:rsidRDefault="0055540F">
      <w:pPr>
        <w:pStyle w:val="FootnoteText"/>
      </w:pPr>
      <w:r>
        <w:rPr>
          <w:rStyle w:val="FootnoteReference"/>
        </w:rPr>
        <w:footnoteRef/>
      </w:r>
      <w:r>
        <w:t xml:space="preserve"> </w:t>
      </w:r>
      <w:r>
        <w:tab/>
      </w:r>
      <w:r w:rsidRPr="006A3315">
        <w:t>An ADI must apply the standardised risk-weighting methodology of APS</w:t>
      </w:r>
      <w:r>
        <w:t> </w:t>
      </w:r>
      <w:r w:rsidRPr="006A3315">
        <w:t>112 regardless of whether the ADI has approval to use an internal ratings-based ap</w:t>
      </w:r>
      <w:r>
        <w:t>proach to credit risk under APS </w:t>
      </w:r>
      <w:r w:rsidRPr="006A3315">
        <w:t>113.</w:t>
      </w:r>
    </w:p>
  </w:footnote>
  <w:footnote w:id="21">
    <w:p w14:paraId="2998A8FE" w14:textId="31D6B504" w:rsidR="0055540F" w:rsidRDefault="0055540F">
      <w:pPr>
        <w:pStyle w:val="FootnoteText"/>
      </w:pPr>
      <w:r w:rsidRPr="00142EA6">
        <w:rPr>
          <w:rStyle w:val="FootnoteReference"/>
        </w:rPr>
        <w:footnoteRef/>
      </w:r>
      <w:r w:rsidRPr="00142EA6">
        <w:t xml:space="preserve"> </w:t>
      </w:r>
      <w:r w:rsidRPr="00142EA6">
        <w:tab/>
        <w:t>For the avoidance of doubt, an IRB ADI that has IRB approval for a portion of its exposures must determine the risk</w:t>
      </w:r>
      <w:r>
        <w:t xml:space="preserve"> </w:t>
      </w:r>
      <w:r w:rsidRPr="00142EA6">
        <w:t>weights for exposures subject to the standardised approach to credit risk in accordance with APS 112, as required under APS 113.</w:t>
      </w:r>
    </w:p>
  </w:footnote>
  <w:footnote w:id="22">
    <w:p w14:paraId="60773D7D" w14:textId="77777777" w:rsidR="0055540F" w:rsidRDefault="0055540F">
      <w:pPr>
        <w:pStyle w:val="FootnoteText"/>
      </w:pPr>
      <w:r>
        <w:rPr>
          <w:rStyle w:val="FootnoteReference"/>
        </w:rPr>
        <w:footnoteRef/>
      </w:r>
      <w:r>
        <w:t xml:space="preserve"> </w:t>
      </w:r>
      <w:r>
        <w:tab/>
      </w:r>
      <w:r w:rsidRPr="000E54AC">
        <w:t>This includes the calculation for Step 1 and the CCP-level inputs used in Step 2.</w:t>
      </w:r>
    </w:p>
  </w:footnote>
  <w:footnote w:id="23">
    <w:p w14:paraId="597EBBDA" w14:textId="01FBEF24" w:rsidR="0055540F" w:rsidRDefault="0055540F">
      <w:pPr>
        <w:pStyle w:val="FootnoteText"/>
      </w:pPr>
      <w:r>
        <w:rPr>
          <w:rStyle w:val="FootnoteReference"/>
        </w:rPr>
        <w:footnoteRef/>
      </w:r>
      <w:r>
        <w:t xml:space="preserve"> </w:t>
      </w:r>
      <w:r>
        <w:tab/>
      </w:r>
      <w:r w:rsidR="007E2E97">
        <w:rPr>
          <w:i/>
        </w:rPr>
        <w:t>K</w:t>
      </w:r>
      <w:r w:rsidR="007E2E97">
        <w:rPr>
          <w:i/>
          <w:vertAlign w:val="subscript"/>
        </w:rPr>
        <w:t>CCP</w:t>
      </w:r>
      <w:r w:rsidR="007E2E97">
        <w:rPr>
          <w:i/>
        </w:rPr>
        <w:t xml:space="preserve"> </w:t>
      </w:r>
      <w:r w:rsidRPr="000E54AC">
        <w:t>is calculated on a consistent basis for the sole purpose of determining the capital requirements of a clearing member’s default fund contribution. It does not represent the actual capital requirements of a QCCP.</w:t>
      </w:r>
    </w:p>
  </w:footnote>
  <w:footnote w:id="24">
    <w:p w14:paraId="6DF9730F" w14:textId="414BE40C" w:rsidR="0055540F" w:rsidRDefault="0055540F">
      <w:pPr>
        <w:pStyle w:val="FootnoteText"/>
      </w:pPr>
      <w:r>
        <w:rPr>
          <w:rStyle w:val="FootnoteReference"/>
        </w:rPr>
        <w:footnoteRef/>
      </w:r>
      <w:r>
        <w:t xml:space="preserve"> </w:t>
      </w:r>
      <w:r>
        <w:tab/>
      </w:r>
      <w:r w:rsidRPr="00205907">
        <w:t>This collateral includes initial margin, default fund contribution, variation margin, over-collateralisation, and the collateral posted by clients as specifie</w:t>
      </w:r>
      <w:r>
        <w:t xml:space="preserve">d in paragraph </w:t>
      </w:r>
      <w:r>
        <w:fldChar w:fldCharType="begin"/>
      </w:r>
      <w:r>
        <w:instrText xml:space="preserve"> REF _Ref460258899 \r \h </w:instrText>
      </w:r>
      <w:r>
        <w:fldChar w:fldCharType="separate"/>
      </w:r>
      <w:r w:rsidR="00B401AE">
        <w:t>15</w:t>
      </w:r>
      <w:r>
        <w:fldChar w:fldCharType="end"/>
      </w:r>
      <w:r>
        <w:t xml:space="preserve"> of Attachment </w:t>
      </w:r>
      <w:r w:rsidRPr="00205907">
        <w:t>B.</w:t>
      </w:r>
    </w:p>
  </w:footnote>
  <w:footnote w:id="25">
    <w:p w14:paraId="15BFF0A0" w14:textId="7CEC8A8E" w:rsidR="0055540F" w:rsidRDefault="0055540F">
      <w:pPr>
        <w:pStyle w:val="FootnoteText"/>
      </w:pPr>
      <w:r>
        <w:rPr>
          <w:rStyle w:val="FootnoteReference"/>
        </w:rPr>
        <w:footnoteRef/>
      </w:r>
      <w:r>
        <w:t xml:space="preserve"> </w:t>
      </w:r>
      <w:r>
        <w:tab/>
      </w:r>
      <w:r w:rsidRPr="00205907">
        <w:t xml:space="preserve">The 20-business day floor outlined in paragraph </w:t>
      </w:r>
      <w:r w:rsidR="00597045">
        <w:t>31</w:t>
      </w:r>
      <w:r w:rsidRPr="00205907">
        <w:t xml:space="preserve">(a) of Attachment </w:t>
      </w:r>
      <w:r>
        <w:t>G</w:t>
      </w:r>
      <w:r w:rsidRPr="00205907">
        <w:t xml:space="preserve"> of APS 112 does not apply to this case.</w:t>
      </w:r>
    </w:p>
  </w:footnote>
  <w:footnote w:id="26">
    <w:p w14:paraId="7F7EEC6F" w14:textId="77777777" w:rsidR="0055540F" w:rsidRDefault="0055540F">
      <w:pPr>
        <w:pStyle w:val="FootnoteText"/>
      </w:pPr>
      <w:r>
        <w:rPr>
          <w:rStyle w:val="FootnoteReference"/>
        </w:rPr>
        <w:footnoteRef/>
      </w:r>
      <w:r>
        <w:t xml:space="preserve"> </w:t>
      </w:r>
      <w:r>
        <w:tab/>
      </w:r>
      <w:r w:rsidRPr="00205907">
        <w:t>A party can either be a clearing member or a client.</w:t>
      </w:r>
    </w:p>
  </w:footnote>
  <w:footnote w:id="27">
    <w:p w14:paraId="43415503" w14:textId="01822465" w:rsidR="0055540F" w:rsidRDefault="0055540F">
      <w:pPr>
        <w:pStyle w:val="FootnoteText"/>
      </w:pPr>
      <w:r>
        <w:rPr>
          <w:rStyle w:val="FootnoteReference"/>
        </w:rPr>
        <w:footnoteRef/>
      </w:r>
      <w:r>
        <w:t xml:space="preserve"> </w:t>
      </w:r>
      <w:r>
        <w:tab/>
        <w:t xml:space="preserve">See footnote </w:t>
      </w:r>
      <w:r>
        <w:fldChar w:fldCharType="begin"/>
      </w:r>
      <w:r>
        <w:instrText xml:space="preserve"> NOTEREF _Ref460259820 \h </w:instrText>
      </w:r>
      <w:r>
        <w:fldChar w:fldCharType="separate"/>
      </w:r>
      <w:r w:rsidR="00B401AE">
        <w:t>24</w:t>
      </w:r>
      <w:r>
        <w:fldChar w:fldCharType="end"/>
      </w:r>
      <w:r w:rsidRPr="00205907">
        <w:t>.</w:t>
      </w:r>
    </w:p>
  </w:footnote>
  <w:footnote w:id="28">
    <w:p w14:paraId="3C672324" w14:textId="77777777" w:rsidR="0055540F" w:rsidRDefault="0055540F">
      <w:pPr>
        <w:pStyle w:val="FootnoteText"/>
      </w:pPr>
      <w:r>
        <w:rPr>
          <w:rStyle w:val="FootnoteReference"/>
        </w:rPr>
        <w:footnoteRef/>
      </w:r>
      <w:r>
        <w:t xml:space="preserve"> </w:t>
      </w:r>
      <w:r>
        <w:tab/>
      </w:r>
      <w:r w:rsidRPr="00976E44">
        <w:t>Transactions are considered to be margined where there is exchange of variation margin. Other forms of collateral may also exist.</w:t>
      </w:r>
    </w:p>
  </w:footnote>
  <w:footnote w:id="29">
    <w:p w14:paraId="5BBBE7C1" w14:textId="77777777" w:rsidR="0055540F" w:rsidRDefault="0055540F">
      <w:pPr>
        <w:pStyle w:val="FootnoteText"/>
      </w:pPr>
      <w:r>
        <w:rPr>
          <w:rStyle w:val="FootnoteReference"/>
        </w:rPr>
        <w:footnoteRef/>
      </w:r>
      <w:r>
        <w:t xml:space="preserve"> </w:t>
      </w:r>
      <w:r>
        <w:tab/>
      </w:r>
      <w:r w:rsidRPr="00976E44">
        <w:t>Transactions are considered unmargined in the case that there is no exchange of variation margin, but collaterals other than VM such as in the form of independent collateral amount (ICA) may exist.</w:t>
      </w:r>
    </w:p>
  </w:footnote>
  <w:footnote w:id="30">
    <w:p w14:paraId="484FF40D" w14:textId="77777777" w:rsidR="0055540F" w:rsidRDefault="0055540F">
      <w:pPr>
        <w:pStyle w:val="FootnoteText"/>
      </w:pPr>
      <w:r>
        <w:rPr>
          <w:rStyle w:val="FootnoteReference"/>
        </w:rPr>
        <w:footnoteRef/>
      </w:r>
      <w:r>
        <w:t xml:space="preserve"> </w:t>
      </w:r>
      <w:r>
        <w:tab/>
      </w:r>
      <w:r w:rsidRPr="009537DE">
        <w:t>Derivative transactions with two floating legs that are denominated in different currencies (such as cross-currency swaps) must be treated as non-basis foreign exchange contracts.</w:t>
      </w:r>
    </w:p>
  </w:footnote>
  <w:footnote w:id="31">
    <w:p w14:paraId="3E526ADE" w14:textId="77777777" w:rsidR="0055540F" w:rsidRDefault="0055540F">
      <w:pPr>
        <w:pStyle w:val="FootnoteText"/>
      </w:pPr>
      <w:r>
        <w:rPr>
          <w:rStyle w:val="FootnoteReference"/>
        </w:rPr>
        <w:footnoteRef/>
      </w:r>
      <w:r>
        <w:t xml:space="preserve"> </w:t>
      </w:r>
      <w:r>
        <w:tab/>
      </w:r>
      <w:r w:rsidRPr="009537DE">
        <w:t>Within this hedging set, long and short positions must be determined with respect to the basis.</w:t>
      </w:r>
    </w:p>
  </w:footnote>
  <w:footnote w:id="32">
    <w:p w14:paraId="7ADA9FCF" w14:textId="505B9620" w:rsidR="0055540F" w:rsidRDefault="0055540F">
      <w:pPr>
        <w:pStyle w:val="FootnoteText"/>
      </w:pPr>
      <w:r>
        <w:rPr>
          <w:rStyle w:val="FootnoteReference"/>
        </w:rPr>
        <w:footnoteRef/>
      </w:r>
      <w:r>
        <w:t xml:space="preserve"> </w:t>
      </w:r>
      <w:r>
        <w:tab/>
      </w:r>
      <w:r w:rsidRPr="009537DE">
        <w:t xml:space="preserve">A hedging set </w:t>
      </w:r>
      <w:r w:rsidR="000E6D30">
        <w:rPr>
          <w:i/>
        </w:rPr>
        <w:t>j</w:t>
      </w:r>
      <w:r w:rsidRPr="009537DE">
        <w:t xml:space="preserve"> within the asset class </w:t>
      </w:r>
      <w:r w:rsidR="000E6D30">
        <w:rPr>
          <w:i/>
        </w:rPr>
        <w:t>a</w:t>
      </w:r>
      <w:r w:rsidRPr="009537DE">
        <w:t xml:space="preserve"> represents one of the following three cases: (1) the core hedging set for the credit or equity class, or; (2) one of the hedging sets defined within the interest rate, foreign exchange or commodity class; or (3) one of the hedging sets defined for the basis or volatility transactions within asset class </w:t>
      </w:r>
      <w:r w:rsidR="000E6D30">
        <w:rPr>
          <w:i/>
        </w:rPr>
        <w:t>a</w:t>
      </w:r>
      <w:r w:rsidRPr="009537DE">
        <w:t>.</w:t>
      </w:r>
    </w:p>
  </w:footnote>
  <w:footnote w:id="33">
    <w:p w14:paraId="5686E209" w14:textId="210E6C73" w:rsidR="0055540F" w:rsidRDefault="0055540F">
      <w:pPr>
        <w:pStyle w:val="FootnoteText"/>
      </w:pPr>
      <w:r>
        <w:rPr>
          <w:rStyle w:val="FootnoteReference"/>
        </w:rPr>
        <w:footnoteRef/>
      </w:r>
      <w:r>
        <w:t xml:space="preserve"> </w:t>
      </w:r>
      <w:r>
        <w:tab/>
      </w:r>
      <w:r w:rsidRPr="00032030">
        <w:t>Note, basis and volatility hedging sets f</w:t>
      </w:r>
      <w:r w:rsidRPr="00032030">
        <w:rPr>
          <w:szCs w:val="20"/>
        </w:rPr>
        <w:t>ollow the same hedging set aggregation rules for the relevant asset class.</w:t>
      </w:r>
    </w:p>
  </w:footnote>
  <w:footnote w:id="34">
    <w:p w14:paraId="3031CE3F" w14:textId="77777777" w:rsidR="0055540F" w:rsidRDefault="0055540F">
      <w:pPr>
        <w:pStyle w:val="FootnoteText"/>
      </w:pPr>
      <w:r>
        <w:rPr>
          <w:rStyle w:val="FootnoteReference"/>
        </w:rPr>
        <w:footnoteRef/>
      </w:r>
      <w:r>
        <w:t xml:space="preserve"> </w:t>
      </w:r>
      <w:r>
        <w:tab/>
      </w:r>
      <w:r w:rsidRPr="00DC1E36">
        <w:t>Consists of both electricity and oil/gas.</w:t>
      </w:r>
    </w:p>
  </w:footnote>
  <w:footnote w:id="35">
    <w:p w14:paraId="7DFC9AF6" w14:textId="2571ED3A" w:rsidR="0055540F" w:rsidRDefault="0055540F">
      <w:pPr>
        <w:pStyle w:val="FootnoteText"/>
      </w:pPr>
      <w:r w:rsidRPr="00142EA6">
        <w:rPr>
          <w:rStyle w:val="FootnoteReference"/>
        </w:rPr>
        <w:footnoteRef/>
      </w:r>
      <w:r w:rsidRPr="00142EA6">
        <w:t xml:space="preserve"> </w:t>
      </w:r>
      <w:r w:rsidRPr="00142EA6">
        <w:tab/>
        <w:t>Includes gold and other precious metals.</w:t>
      </w:r>
    </w:p>
  </w:footnote>
  <w:footnote w:id="36">
    <w:p w14:paraId="68DF46EC" w14:textId="520C35E5" w:rsidR="0055540F" w:rsidRDefault="0055540F">
      <w:pPr>
        <w:pStyle w:val="FootnoteText"/>
      </w:pPr>
      <w:r w:rsidRPr="00142EA6">
        <w:rPr>
          <w:rStyle w:val="FootnoteReference"/>
        </w:rPr>
        <w:footnoteRef/>
      </w:r>
      <w:r w:rsidRPr="00142EA6">
        <w:t xml:space="preserve"> </w:t>
      </w:r>
      <w:r w:rsidRPr="00142EA6">
        <w:tab/>
        <w:t>For guidance, an ADI may refer to examples of maturity dates, start dates and end dates for various transactions published by the Basel Committee on Banking Supervision.</w:t>
      </w:r>
    </w:p>
  </w:footnote>
  <w:footnote w:id="37">
    <w:p w14:paraId="01C21F15" w14:textId="6434B8F8" w:rsidR="0055540F" w:rsidRDefault="0055540F">
      <w:pPr>
        <w:pStyle w:val="FootnoteText"/>
      </w:pPr>
      <w:r>
        <w:rPr>
          <w:rStyle w:val="FootnoteReference"/>
        </w:rPr>
        <w:footnoteRef/>
      </w:r>
      <w:r>
        <w:t xml:space="preserve"> </w:t>
      </w:r>
      <w:r>
        <w:tab/>
      </w:r>
      <w:r w:rsidRPr="001A1BCD">
        <w:t>These basis risks arise due to the impracticality and difficulty in specifying all relevant distinctions between commodity types (e.g. location and quality) within the same hedging set.</w:t>
      </w:r>
    </w:p>
  </w:footnote>
  <w:footnote w:id="38">
    <w:p w14:paraId="0F2F1417" w14:textId="6E0E8CF0" w:rsidR="0055540F" w:rsidRDefault="0055540F">
      <w:pPr>
        <w:pStyle w:val="FootnoteText"/>
      </w:pPr>
      <w:r>
        <w:rPr>
          <w:rStyle w:val="FootnoteReference"/>
        </w:rPr>
        <w:footnoteRef/>
      </w:r>
      <w:r>
        <w:t xml:space="preserve"> </w:t>
      </w:r>
      <w:r>
        <w:tab/>
      </w:r>
      <w:r w:rsidRPr="001A1BCD">
        <w:t>The groups used for determining the supervisory factors are slightly more granular than that used for defining the four hedging sets. In this case, the energy group is further divided into electricity and oil/gas.</w:t>
      </w:r>
    </w:p>
  </w:footnote>
  <w:footnote w:id="39">
    <w:p w14:paraId="30E118BF" w14:textId="27AD30CD" w:rsidR="0055540F" w:rsidRDefault="0055540F">
      <w:pPr>
        <w:pStyle w:val="FootnoteText"/>
      </w:pPr>
      <w:r w:rsidRPr="00AC2105">
        <w:rPr>
          <w:rStyle w:val="FootnoteReference"/>
        </w:rPr>
        <w:footnoteRef/>
      </w:r>
      <w:r w:rsidRPr="00AC2105">
        <w:t xml:space="preserve"> </w:t>
      </w:r>
      <w:r w:rsidRPr="00AC2105">
        <w:tab/>
      </w:r>
      <w:r w:rsidRPr="00032030">
        <w:t>For example, a principal resetting cross-currency swap or a settled-to-market derivative where, at the next reset date, the outstanding exposure is settled and the terms are reset so that the fair value of the contract is zero. A derivative contract with a mandatory break (where there is a legal contractual obligation on both parties to terminate the transaction by the mandatory break date) would also be eligible where the outstanding exposure is settled completely.</w:t>
      </w:r>
    </w:p>
  </w:footnote>
  <w:footnote w:id="40">
    <w:p w14:paraId="1C227753" w14:textId="77777777" w:rsidR="0055540F" w:rsidRDefault="0055540F">
      <w:pPr>
        <w:pStyle w:val="FootnoteText"/>
      </w:pPr>
      <w:r>
        <w:rPr>
          <w:rStyle w:val="FootnoteReference"/>
        </w:rPr>
        <w:footnoteRef/>
      </w:r>
      <w:r>
        <w:t xml:space="preserve"> </w:t>
      </w:r>
      <w:r>
        <w:tab/>
      </w:r>
      <w:r w:rsidRPr="00230005">
        <w:t>Whenever appropriate, forward (rather than spot) value of the underlying should be used in order to account for the risk-free rate as well as for possible cash flows prior to the option expiry, such as dividends.</w:t>
      </w:r>
    </w:p>
  </w:footnote>
  <w:footnote w:id="41">
    <w:p w14:paraId="6D37871E" w14:textId="380C2A65" w:rsidR="0055540F" w:rsidRDefault="0055540F">
      <w:pPr>
        <w:pStyle w:val="FootnoteText"/>
      </w:pPr>
      <w:r>
        <w:rPr>
          <w:rStyle w:val="FootnoteReference"/>
        </w:rPr>
        <w:footnoteRef/>
      </w:r>
      <w:r>
        <w:t xml:space="preserve"> </w:t>
      </w:r>
      <w:r>
        <w:tab/>
      </w:r>
      <w:r w:rsidRPr="00032030">
        <w:t xml:space="preserve">The specification in paragraph </w:t>
      </w:r>
      <w:r w:rsidRPr="00032030">
        <w:fldChar w:fldCharType="begin"/>
      </w:r>
      <w:r w:rsidRPr="00032030">
        <w:instrText xml:space="preserve"> REF _Ref506825462 \r \h  \* MERGEFORMAT </w:instrText>
      </w:r>
      <w:r w:rsidRPr="00032030">
        <w:fldChar w:fldCharType="separate"/>
      </w:r>
      <w:r w:rsidR="00B401AE">
        <w:t>45</w:t>
      </w:r>
      <w:r w:rsidRPr="00032030">
        <w:fldChar w:fldCharType="end"/>
      </w:r>
      <w:r w:rsidRPr="00032030">
        <w:t xml:space="preserve"> of this Attachment relates to interest rate options in the negative interest rate environment although a </w:t>
      </w:r>
      <w:r w:rsidR="008B1FCC" w:rsidRPr="008B1FCC">
        <w:rPr>
          <w:i/>
        </w:rPr>
        <w:t>λ</w:t>
      </w:r>
      <w:r w:rsidRPr="00032030">
        <w:t xml:space="preserve"> adjustment could also be applied in other cases where the supervisory delta adjustment cannot be computed appropriately.</w:t>
      </w:r>
    </w:p>
  </w:footnote>
  <w:footnote w:id="42">
    <w:p w14:paraId="714861C6" w14:textId="6DF23CB2" w:rsidR="0055540F" w:rsidRDefault="0055540F">
      <w:pPr>
        <w:pStyle w:val="FootnoteText"/>
      </w:pPr>
      <w:r>
        <w:rPr>
          <w:rStyle w:val="FootnoteReference"/>
        </w:rPr>
        <w:footnoteRef/>
      </w:r>
      <w:r>
        <w:t xml:space="preserve"> </w:t>
      </w:r>
      <w:r>
        <w:tab/>
      </w:r>
      <w:r w:rsidRPr="00CE4FF9">
        <w:t xml:space="preserve">The applicable supervisory factor must be multiplied by one-half for basis transactions and multiplied by a factor of five for volatility transactions, as specified in paragraph </w:t>
      </w:r>
      <w:r>
        <w:fldChar w:fldCharType="begin"/>
      </w:r>
      <w:r>
        <w:instrText xml:space="preserve"> REF _Ref460313703 \r \h </w:instrText>
      </w:r>
      <w:r>
        <w:fldChar w:fldCharType="separate"/>
      </w:r>
      <w:r w:rsidR="00B401AE">
        <w:t>17</w:t>
      </w:r>
      <w:r>
        <w:fldChar w:fldCharType="end"/>
      </w:r>
      <w:r w:rsidRPr="00CE4FF9">
        <w:t xml:space="preserve"> of this Attachment.</w:t>
      </w:r>
    </w:p>
  </w:footnote>
  <w:footnote w:id="43">
    <w:p w14:paraId="00DBD2BC" w14:textId="0D0E3BF1" w:rsidR="0055540F" w:rsidRDefault="0055540F">
      <w:pPr>
        <w:pStyle w:val="FootnoteText"/>
      </w:pPr>
      <w:r>
        <w:rPr>
          <w:rStyle w:val="FootnoteReference"/>
        </w:rPr>
        <w:footnoteRef/>
      </w:r>
      <w:r>
        <w:t xml:space="preserve"> </w:t>
      </w:r>
      <w:r>
        <w:tab/>
      </w:r>
      <w:r w:rsidRPr="00230005">
        <w:t xml:space="preserve">These parameters include </w:t>
      </w:r>
      <w:r w:rsidR="00F21102">
        <w:rPr>
          <w:i/>
        </w:rPr>
        <w:t>C,</w:t>
      </w:r>
      <w:r w:rsidRPr="00230005">
        <w:t xml:space="preserve"> </w:t>
      </w:r>
      <w:r w:rsidR="00F21102">
        <w:rPr>
          <w:i/>
        </w:rPr>
        <w:t>TH</w:t>
      </w:r>
      <w:r>
        <w:t xml:space="preserve">, </w:t>
      </w:r>
      <w:r w:rsidR="00F21102">
        <w:rPr>
          <w:i/>
        </w:rPr>
        <w:t xml:space="preserve">MTA </w:t>
      </w:r>
      <w:r>
        <w:t>and</w:t>
      </w:r>
      <w:r w:rsidR="00F21102">
        <w:t xml:space="preserve"> </w:t>
      </w:r>
      <w:r w:rsidR="00F21102">
        <w:rPr>
          <w:i/>
        </w:rPr>
        <w:t>NICA</w:t>
      </w:r>
      <w:r w:rsidRPr="00230005">
        <w:t>.</w:t>
      </w:r>
    </w:p>
  </w:footnote>
  <w:footnote w:id="44">
    <w:p w14:paraId="0C3015B2" w14:textId="77777777" w:rsidR="0055540F" w:rsidRDefault="0055540F">
      <w:pPr>
        <w:pStyle w:val="FootnoteText"/>
      </w:pPr>
      <w:r>
        <w:rPr>
          <w:rStyle w:val="FootnoteReference"/>
        </w:rPr>
        <w:footnoteRef/>
      </w:r>
      <w:r>
        <w:t xml:space="preserve"> </w:t>
      </w:r>
      <w:r>
        <w:tab/>
      </w:r>
      <w:r w:rsidRPr="00230005">
        <w:t>This is opposed to the simplest case where the set of transactions under a margin agreement and within the netting set coincide, in which case the replacement cost is calculated on the individual netting set-level (NS).</w:t>
      </w:r>
    </w:p>
  </w:footnote>
  <w:footnote w:id="45">
    <w:p w14:paraId="1253F795" w14:textId="4996EEA7" w:rsidR="0055540F" w:rsidRPr="00032030" w:rsidRDefault="0055540F" w:rsidP="00F434B9">
      <w:pPr>
        <w:pStyle w:val="FootnoteText"/>
      </w:pPr>
      <w:r w:rsidRPr="00FF24ED">
        <w:rPr>
          <w:rStyle w:val="FootnoteReference"/>
        </w:rPr>
        <w:footnoteRef/>
      </w:r>
      <w:r w:rsidRPr="00FF24ED">
        <w:t xml:space="preserve"> </w:t>
      </w:r>
      <w:r w:rsidRPr="00FF24ED">
        <w:tab/>
      </w:r>
      <w:r w:rsidRPr="00032030">
        <w:t xml:space="preserve">For the purposes of the adjusted CEM, bilateral transactions must be treated as margined transactions where there is exchange of variation margin with a zero threshold. Where a transaction does not meet these conditions, or where it unclear as to whether a transaction meets these conditions, the transaction must be treated as an unmargined transaction. Bilateral transactions with a one-way margining agreement in favour of an ADI’s counterparty (that is, where an ADI posts, but does not collect, variation margin) must be treated as unmargined transactions. Centrally cleared transactions would be treated as either margined or unmargined transactions in accordance with the treatment adopted under paragraph </w:t>
      </w:r>
      <w:r w:rsidRPr="00032030">
        <w:fldChar w:fldCharType="begin"/>
      </w:r>
      <w:r w:rsidRPr="00032030">
        <w:instrText xml:space="preserve"> REF _Ref506561145 \r \h  \* MERGEFORMAT </w:instrText>
      </w:r>
      <w:r w:rsidRPr="00032030">
        <w:fldChar w:fldCharType="separate"/>
      </w:r>
      <w:r w:rsidR="00B401AE">
        <w:t>6</w:t>
      </w:r>
      <w:r w:rsidRPr="00032030">
        <w:fldChar w:fldCharType="end"/>
      </w:r>
      <w:r w:rsidRPr="00032030">
        <w:t xml:space="preserve"> of Attachment B.</w:t>
      </w:r>
    </w:p>
  </w:footnote>
  <w:footnote w:id="46">
    <w:p w14:paraId="557A17A2" w14:textId="608FDCE2" w:rsidR="0055540F" w:rsidRDefault="0055540F">
      <w:pPr>
        <w:pStyle w:val="FootnoteText"/>
      </w:pPr>
      <w:r w:rsidRPr="00032030">
        <w:rPr>
          <w:rStyle w:val="FootnoteReference"/>
        </w:rPr>
        <w:footnoteRef/>
      </w:r>
      <w:r w:rsidRPr="00032030">
        <w:t xml:space="preserve"> </w:t>
      </w:r>
      <w:r w:rsidRPr="00032030">
        <w:tab/>
        <w:t xml:space="preserve">Refer to footnote </w:t>
      </w:r>
      <w:r w:rsidRPr="00032030">
        <w:fldChar w:fldCharType="begin"/>
      </w:r>
      <w:r w:rsidRPr="00032030">
        <w:instrText xml:space="preserve"> NOTEREF _Ref487634687 \h  \* MERGEFORMAT </w:instrText>
      </w:r>
      <w:r w:rsidRPr="00032030">
        <w:fldChar w:fldCharType="separate"/>
      </w:r>
      <w:r w:rsidR="00B401AE">
        <w:t>44</w:t>
      </w:r>
      <w:r w:rsidRPr="00032030">
        <w:fldChar w:fldCharType="end"/>
      </w:r>
      <w:r w:rsidRPr="00032030">
        <w:t xml:space="preserve"> for the definition of margined transaction.</w:t>
      </w:r>
    </w:p>
  </w:footnote>
  <w:footnote w:id="47">
    <w:p w14:paraId="4ACC9AB9" w14:textId="44A5C743" w:rsidR="0055540F" w:rsidRDefault="0055540F">
      <w:pPr>
        <w:pStyle w:val="FootnoteText"/>
      </w:pPr>
      <w:r w:rsidRPr="00CC738B">
        <w:rPr>
          <w:rStyle w:val="FootnoteReference"/>
        </w:rPr>
        <w:footnoteRef/>
      </w:r>
      <w:r w:rsidRPr="00CC738B">
        <w:t xml:space="preserve"> </w:t>
      </w:r>
      <w:r w:rsidRPr="00CC738B">
        <w:tab/>
        <w:t>Alternatively, an ADI may elect to use the formula for CEA for netting agreements containing only unmargined transactions.</w:t>
      </w:r>
    </w:p>
  </w:footnote>
  <w:footnote w:id="48">
    <w:p w14:paraId="67799087" w14:textId="45DC0B5B" w:rsidR="0055540F" w:rsidRDefault="0055540F">
      <w:pPr>
        <w:pStyle w:val="FootnoteText"/>
      </w:pPr>
      <w:r>
        <w:rPr>
          <w:rStyle w:val="FootnoteReference"/>
        </w:rPr>
        <w:footnoteRef/>
      </w:r>
      <w:r>
        <w:t xml:space="preserve"> </w:t>
      </w:r>
      <w:r>
        <w:tab/>
      </w:r>
      <w:r w:rsidRPr="00032030">
        <w:t>For example, a principal resetting cross-currency swap or a settled-to-market derivative where, at the next reset date, the outstanding exposure is settled and the terms are reset so that the fair value of the contract is zero. A derivative contract with a mandatory break (where there is a legal contractual obligation on both parties to terminate the transaction by the mandatory break date) would also be eligible where the outstanding exposure is settled completely.</w:t>
      </w:r>
    </w:p>
  </w:footnote>
  <w:footnote w:id="49">
    <w:p w14:paraId="2BBD0543" w14:textId="77777777" w:rsidR="0055540F" w:rsidRDefault="0055540F">
      <w:pPr>
        <w:pStyle w:val="FootnoteText"/>
      </w:pPr>
      <w:r>
        <w:rPr>
          <w:rStyle w:val="FootnoteReference"/>
        </w:rPr>
        <w:footnoteRef/>
      </w:r>
      <w:r>
        <w:t xml:space="preserve"> </w:t>
      </w:r>
      <w:r>
        <w:tab/>
      </w:r>
      <w:r w:rsidRPr="00DB768E">
        <w:t>The protection seller of a credit default swap would only be subject to the add-on factor where it is subject to closeout upon the insolvency of the protection buyer while the underlying asset is still solvent. The add-on should be capped to the amount of unpaid premiums.</w:t>
      </w:r>
    </w:p>
  </w:footnote>
  <w:footnote w:id="50">
    <w:p w14:paraId="0D7FB824" w14:textId="77777777" w:rsidR="0055540F" w:rsidRDefault="0055540F">
      <w:pPr>
        <w:pStyle w:val="FootnoteText"/>
      </w:pPr>
      <w:r>
        <w:rPr>
          <w:rStyle w:val="FootnoteReference"/>
        </w:rPr>
        <w:footnoteRef/>
      </w:r>
      <w:r>
        <w:t xml:space="preserve"> </w:t>
      </w:r>
      <w:r>
        <w:tab/>
      </w:r>
      <w:r w:rsidRPr="00DB768E">
        <w:t>The definition of qualifying is the same as for the qualifying category for the treatment of specific risk under the standardised measurement method in APS 116.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0959" w14:textId="6E12A33D" w:rsidR="002361C9" w:rsidRPr="00891C21" w:rsidRDefault="002361C9" w:rsidP="002361C9">
    <w:pPr>
      <w:jc w:val="right"/>
      <w:rPr>
        <w:b/>
      </w:rPr>
    </w:pPr>
    <w:r w:rsidRPr="00891C21">
      <w:rPr>
        <w:b/>
      </w:rPr>
      <w:t>January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431F" w14:textId="77777777" w:rsidR="00CD1877" w:rsidRDefault="00CD1877">
    <w:pPr>
      <w:pStyle w:val="Header"/>
    </w:pPr>
    <w:r>
      <w:rPr>
        <w:b w:val="0"/>
      </w:rPr>
      <w:t>January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1"/>
    <w:multiLevelType w:val="singleLevel"/>
    <w:tmpl w:val="414C82B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512360"/>
    <w:multiLevelType w:val="hybridMultilevel"/>
    <w:tmpl w:val="BD32C8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EE355B"/>
    <w:multiLevelType w:val="hybridMultilevel"/>
    <w:tmpl w:val="1EEA6318"/>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7"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463545"/>
    <w:multiLevelType w:val="multilevel"/>
    <w:tmpl w:val="D3E21402"/>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b w:val="0"/>
        <w:i w:val="0"/>
        <w:sz w:val="24"/>
        <w:szCs w:val="24"/>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6A31A47"/>
    <w:multiLevelType w:val="hybridMultilevel"/>
    <w:tmpl w:val="B3DA3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8D385C"/>
    <w:multiLevelType w:val="hybridMultilevel"/>
    <w:tmpl w:val="B4E2BA54"/>
    <w:lvl w:ilvl="0" w:tplc="FB163D6A">
      <w:start w:val="1"/>
      <w:numFmt w:val="lowerLetter"/>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6824620"/>
    <w:multiLevelType w:val="hybridMultilevel"/>
    <w:tmpl w:val="51F82AEA"/>
    <w:lvl w:ilvl="0" w:tplc="4BE851D2">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6"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7"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9"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B6D09"/>
    <w:multiLevelType w:val="hybridMultilevel"/>
    <w:tmpl w:val="9266F016"/>
    <w:lvl w:ilvl="0" w:tplc="F2369D28">
      <w:start w:val="1"/>
      <w:numFmt w:val="lowerLetter"/>
      <w:lvlText w:val="(%1)"/>
      <w:lvlJc w:val="left"/>
      <w:pPr>
        <w:tabs>
          <w:tab w:val="num" w:pos="1134"/>
        </w:tabs>
        <w:ind w:left="1134" w:hanging="567"/>
      </w:pPr>
      <w:rPr>
        <w:rFonts w:hint="default"/>
      </w:rPr>
    </w:lvl>
    <w:lvl w:ilvl="1" w:tplc="704232DE" w:tentative="1">
      <w:start w:val="1"/>
      <w:numFmt w:val="lowerLetter"/>
      <w:lvlText w:val="%2."/>
      <w:lvlJc w:val="left"/>
      <w:pPr>
        <w:tabs>
          <w:tab w:val="num" w:pos="1440"/>
        </w:tabs>
        <w:ind w:left="1440" w:hanging="360"/>
      </w:pPr>
    </w:lvl>
    <w:lvl w:ilvl="2" w:tplc="CF64C594" w:tentative="1">
      <w:start w:val="1"/>
      <w:numFmt w:val="lowerRoman"/>
      <w:lvlText w:val="%3."/>
      <w:lvlJc w:val="right"/>
      <w:pPr>
        <w:tabs>
          <w:tab w:val="num" w:pos="2160"/>
        </w:tabs>
        <w:ind w:left="2160" w:hanging="180"/>
      </w:pPr>
    </w:lvl>
    <w:lvl w:ilvl="3" w:tplc="657019BE" w:tentative="1">
      <w:start w:val="1"/>
      <w:numFmt w:val="decimal"/>
      <w:lvlText w:val="%4."/>
      <w:lvlJc w:val="left"/>
      <w:pPr>
        <w:tabs>
          <w:tab w:val="num" w:pos="2880"/>
        </w:tabs>
        <w:ind w:left="2880" w:hanging="360"/>
      </w:pPr>
    </w:lvl>
    <w:lvl w:ilvl="4" w:tplc="F3220722" w:tentative="1">
      <w:start w:val="1"/>
      <w:numFmt w:val="lowerLetter"/>
      <w:lvlText w:val="%5."/>
      <w:lvlJc w:val="left"/>
      <w:pPr>
        <w:tabs>
          <w:tab w:val="num" w:pos="3600"/>
        </w:tabs>
        <w:ind w:left="3600" w:hanging="360"/>
      </w:pPr>
    </w:lvl>
    <w:lvl w:ilvl="5" w:tplc="125A898E" w:tentative="1">
      <w:start w:val="1"/>
      <w:numFmt w:val="lowerRoman"/>
      <w:lvlText w:val="%6."/>
      <w:lvlJc w:val="right"/>
      <w:pPr>
        <w:tabs>
          <w:tab w:val="num" w:pos="4320"/>
        </w:tabs>
        <w:ind w:left="4320" w:hanging="180"/>
      </w:pPr>
    </w:lvl>
    <w:lvl w:ilvl="6" w:tplc="8C809A9E" w:tentative="1">
      <w:start w:val="1"/>
      <w:numFmt w:val="decimal"/>
      <w:lvlText w:val="%7."/>
      <w:lvlJc w:val="left"/>
      <w:pPr>
        <w:tabs>
          <w:tab w:val="num" w:pos="5040"/>
        </w:tabs>
        <w:ind w:left="5040" w:hanging="360"/>
      </w:pPr>
    </w:lvl>
    <w:lvl w:ilvl="7" w:tplc="06263A60" w:tentative="1">
      <w:start w:val="1"/>
      <w:numFmt w:val="lowerLetter"/>
      <w:lvlText w:val="%8."/>
      <w:lvlJc w:val="left"/>
      <w:pPr>
        <w:tabs>
          <w:tab w:val="num" w:pos="5760"/>
        </w:tabs>
        <w:ind w:left="5760" w:hanging="360"/>
      </w:pPr>
    </w:lvl>
    <w:lvl w:ilvl="8" w:tplc="F9305216" w:tentative="1">
      <w:start w:val="1"/>
      <w:numFmt w:val="lowerRoman"/>
      <w:lvlText w:val="%9."/>
      <w:lvlJc w:val="right"/>
      <w:pPr>
        <w:tabs>
          <w:tab w:val="num" w:pos="6480"/>
        </w:tabs>
        <w:ind w:left="6480" w:hanging="180"/>
      </w:pPr>
    </w:lvl>
  </w:abstractNum>
  <w:abstractNum w:abstractNumId="21"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4" w15:restartNumberingAfterBreak="0">
    <w:nsid w:val="6AA45846"/>
    <w:multiLevelType w:val="hybridMultilevel"/>
    <w:tmpl w:val="54EAF8B6"/>
    <w:lvl w:ilvl="0" w:tplc="683AF74A">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6"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CA2C64"/>
    <w:multiLevelType w:val="hybridMultilevel"/>
    <w:tmpl w:val="CC36A824"/>
    <w:lvl w:ilvl="0" w:tplc="92404A6E">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D881A75"/>
    <w:multiLevelType w:val="hybridMultilevel"/>
    <w:tmpl w:val="9AE0E7EC"/>
    <w:lvl w:ilvl="0" w:tplc="A07077AC">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049114693">
    <w:abstractNumId w:val="15"/>
  </w:num>
  <w:num w:numId="2" w16cid:durableId="358435298">
    <w:abstractNumId w:val="18"/>
  </w:num>
  <w:num w:numId="3" w16cid:durableId="1738939168">
    <w:abstractNumId w:val="7"/>
  </w:num>
  <w:num w:numId="4" w16cid:durableId="898134562">
    <w:abstractNumId w:val="14"/>
  </w:num>
  <w:num w:numId="5" w16cid:durableId="1751393531">
    <w:abstractNumId w:val="29"/>
  </w:num>
  <w:num w:numId="6" w16cid:durableId="2034186901">
    <w:abstractNumId w:val="12"/>
  </w:num>
  <w:num w:numId="7" w16cid:durableId="1482651704">
    <w:abstractNumId w:val="26"/>
  </w:num>
  <w:num w:numId="8" w16cid:durableId="389547939">
    <w:abstractNumId w:val="23"/>
  </w:num>
  <w:num w:numId="9" w16cid:durableId="2015375869">
    <w:abstractNumId w:val="25"/>
  </w:num>
  <w:num w:numId="10" w16cid:durableId="1681351408">
    <w:abstractNumId w:val="21"/>
  </w:num>
  <w:num w:numId="11" w16cid:durableId="703092964">
    <w:abstractNumId w:val="4"/>
  </w:num>
  <w:num w:numId="12" w16cid:durableId="877818402">
    <w:abstractNumId w:val="0"/>
  </w:num>
  <w:num w:numId="13" w16cid:durableId="359477589">
    <w:abstractNumId w:val="3"/>
  </w:num>
  <w:num w:numId="14" w16cid:durableId="1263952992">
    <w:abstractNumId w:val="1"/>
  </w:num>
  <w:num w:numId="15" w16cid:durableId="557597488">
    <w:abstractNumId w:val="19"/>
  </w:num>
  <w:num w:numId="16" w16cid:durableId="1708601529">
    <w:abstractNumId w:val="8"/>
  </w:num>
  <w:num w:numId="17" w16cid:durableId="1531257455">
    <w:abstractNumId w:val="17"/>
  </w:num>
  <w:num w:numId="18" w16cid:durableId="1884292633">
    <w:abstractNumId w:val="16"/>
  </w:num>
  <w:num w:numId="19" w16cid:durableId="1981227808">
    <w:abstractNumId w:val="9"/>
  </w:num>
  <w:num w:numId="20" w16cid:durableId="20024659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1609491">
    <w:abstractNumId w:val="9"/>
  </w:num>
  <w:num w:numId="22" w16cid:durableId="12941401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40276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84283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674574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27690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7915396">
    <w:abstractNumId w:val="11"/>
  </w:num>
  <w:num w:numId="28" w16cid:durableId="1098990926">
    <w:abstractNumId w:val="10"/>
  </w:num>
  <w:num w:numId="29" w16cid:durableId="930622899">
    <w:abstractNumId w:val="27"/>
  </w:num>
  <w:num w:numId="30" w16cid:durableId="1177110212">
    <w:abstractNumId w:val="28"/>
  </w:num>
  <w:num w:numId="31" w16cid:durableId="936211156">
    <w:abstractNumId w:val="24"/>
  </w:num>
  <w:num w:numId="32" w16cid:durableId="316141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8080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04624109">
    <w:abstractNumId w:val="6"/>
  </w:num>
  <w:num w:numId="35" w16cid:durableId="1457337839">
    <w:abstractNumId w:val="5"/>
  </w:num>
  <w:num w:numId="36" w16cid:durableId="1650475812">
    <w:abstractNumId w:val="9"/>
  </w:num>
  <w:num w:numId="37" w16cid:durableId="18843637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765403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463049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408064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16698563">
    <w:abstractNumId w:val="9"/>
  </w:num>
  <w:num w:numId="42" w16cid:durableId="1880967379">
    <w:abstractNumId w:val="9"/>
  </w:num>
  <w:num w:numId="43" w16cid:durableId="2045330649">
    <w:abstractNumId w:val="2"/>
  </w:num>
  <w:num w:numId="44" w16cid:durableId="375810283">
    <w:abstractNumId w:val="13"/>
  </w:num>
  <w:num w:numId="45" w16cid:durableId="1889688037">
    <w:abstractNumId w:val="22"/>
  </w:num>
  <w:num w:numId="46" w16cid:durableId="7381372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C"/>
    <w:rsid w:val="00000393"/>
    <w:rsid w:val="0000183A"/>
    <w:rsid w:val="00001D43"/>
    <w:rsid w:val="00001EF3"/>
    <w:rsid w:val="00003E34"/>
    <w:rsid w:val="000048AA"/>
    <w:rsid w:val="00006251"/>
    <w:rsid w:val="00006348"/>
    <w:rsid w:val="000079CC"/>
    <w:rsid w:val="00007D01"/>
    <w:rsid w:val="00007EE4"/>
    <w:rsid w:val="000106F8"/>
    <w:rsid w:val="00010709"/>
    <w:rsid w:val="0001372A"/>
    <w:rsid w:val="00015337"/>
    <w:rsid w:val="0001586E"/>
    <w:rsid w:val="00016F5B"/>
    <w:rsid w:val="00017E6D"/>
    <w:rsid w:val="00020293"/>
    <w:rsid w:val="00020FE3"/>
    <w:rsid w:val="0002302B"/>
    <w:rsid w:val="0002363E"/>
    <w:rsid w:val="00023CCA"/>
    <w:rsid w:val="00025163"/>
    <w:rsid w:val="000260EF"/>
    <w:rsid w:val="00026B69"/>
    <w:rsid w:val="00026C49"/>
    <w:rsid w:val="00032030"/>
    <w:rsid w:val="00032CC8"/>
    <w:rsid w:val="00032E92"/>
    <w:rsid w:val="00032FCA"/>
    <w:rsid w:val="00037BEF"/>
    <w:rsid w:val="0004074C"/>
    <w:rsid w:val="00040A7F"/>
    <w:rsid w:val="00042F91"/>
    <w:rsid w:val="00044B2D"/>
    <w:rsid w:val="00045097"/>
    <w:rsid w:val="000474A1"/>
    <w:rsid w:val="00047F3D"/>
    <w:rsid w:val="000505AA"/>
    <w:rsid w:val="000510A7"/>
    <w:rsid w:val="00051428"/>
    <w:rsid w:val="00051509"/>
    <w:rsid w:val="00051865"/>
    <w:rsid w:val="000518B9"/>
    <w:rsid w:val="00052B67"/>
    <w:rsid w:val="0005397F"/>
    <w:rsid w:val="0005514A"/>
    <w:rsid w:val="00055596"/>
    <w:rsid w:val="00055A20"/>
    <w:rsid w:val="000577F4"/>
    <w:rsid w:val="000610F1"/>
    <w:rsid w:val="0006337F"/>
    <w:rsid w:val="000648D0"/>
    <w:rsid w:val="000649A4"/>
    <w:rsid w:val="00066455"/>
    <w:rsid w:val="00066F8D"/>
    <w:rsid w:val="00067687"/>
    <w:rsid w:val="000676D7"/>
    <w:rsid w:val="00067C29"/>
    <w:rsid w:val="00072D27"/>
    <w:rsid w:val="00073A75"/>
    <w:rsid w:val="00073B83"/>
    <w:rsid w:val="00073C4F"/>
    <w:rsid w:val="00074039"/>
    <w:rsid w:val="0007679B"/>
    <w:rsid w:val="00076A08"/>
    <w:rsid w:val="00076E39"/>
    <w:rsid w:val="000777B3"/>
    <w:rsid w:val="0008198C"/>
    <w:rsid w:val="000823EF"/>
    <w:rsid w:val="00083DF1"/>
    <w:rsid w:val="00085259"/>
    <w:rsid w:val="0008548D"/>
    <w:rsid w:val="0008594B"/>
    <w:rsid w:val="0008621A"/>
    <w:rsid w:val="00087D3E"/>
    <w:rsid w:val="00090D00"/>
    <w:rsid w:val="00092071"/>
    <w:rsid w:val="000945B6"/>
    <w:rsid w:val="00094A10"/>
    <w:rsid w:val="00094FEB"/>
    <w:rsid w:val="00096087"/>
    <w:rsid w:val="000969BB"/>
    <w:rsid w:val="00097426"/>
    <w:rsid w:val="00097C98"/>
    <w:rsid w:val="000A0439"/>
    <w:rsid w:val="000A2CE1"/>
    <w:rsid w:val="000A4710"/>
    <w:rsid w:val="000A4D64"/>
    <w:rsid w:val="000A5DFD"/>
    <w:rsid w:val="000A6BA6"/>
    <w:rsid w:val="000A6C34"/>
    <w:rsid w:val="000A70AC"/>
    <w:rsid w:val="000A7F77"/>
    <w:rsid w:val="000B0166"/>
    <w:rsid w:val="000B0435"/>
    <w:rsid w:val="000B09D1"/>
    <w:rsid w:val="000B0BEA"/>
    <w:rsid w:val="000B2D32"/>
    <w:rsid w:val="000B3928"/>
    <w:rsid w:val="000B3B22"/>
    <w:rsid w:val="000B43E2"/>
    <w:rsid w:val="000B4BB4"/>
    <w:rsid w:val="000B5699"/>
    <w:rsid w:val="000B6BB3"/>
    <w:rsid w:val="000B6D6F"/>
    <w:rsid w:val="000C060B"/>
    <w:rsid w:val="000C18B3"/>
    <w:rsid w:val="000C1BE8"/>
    <w:rsid w:val="000C4157"/>
    <w:rsid w:val="000C56E7"/>
    <w:rsid w:val="000C7465"/>
    <w:rsid w:val="000C75D0"/>
    <w:rsid w:val="000C7E1C"/>
    <w:rsid w:val="000D01A6"/>
    <w:rsid w:val="000D04CA"/>
    <w:rsid w:val="000D0A23"/>
    <w:rsid w:val="000D0B77"/>
    <w:rsid w:val="000D0DA2"/>
    <w:rsid w:val="000D161D"/>
    <w:rsid w:val="000D1FA1"/>
    <w:rsid w:val="000D3AA5"/>
    <w:rsid w:val="000D600F"/>
    <w:rsid w:val="000D63A8"/>
    <w:rsid w:val="000D7020"/>
    <w:rsid w:val="000D76F8"/>
    <w:rsid w:val="000D7A9C"/>
    <w:rsid w:val="000E0B62"/>
    <w:rsid w:val="000E1EC7"/>
    <w:rsid w:val="000E26A5"/>
    <w:rsid w:val="000E41CC"/>
    <w:rsid w:val="000E4558"/>
    <w:rsid w:val="000E54AC"/>
    <w:rsid w:val="000E5796"/>
    <w:rsid w:val="000E5B9F"/>
    <w:rsid w:val="000E6644"/>
    <w:rsid w:val="000E6D30"/>
    <w:rsid w:val="000F1626"/>
    <w:rsid w:val="000F74D5"/>
    <w:rsid w:val="0010037D"/>
    <w:rsid w:val="00100677"/>
    <w:rsid w:val="001009CD"/>
    <w:rsid w:val="00105432"/>
    <w:rsid w:val="00105939"/>
    <w:rsid w:val="001062BB"/>
    <w:rsid w:val="001065A2"/>
    <w:rsid w:val="00107B9D"/>
    <w:rsid w:val="00110625"/>
    <w:rsid w:val="001107DF"/>
    <w:rsid w:val="00110917"/>
    <w:rsid w:val="0011098E"/>
    <w:rsid w:val="00110A0F"/>
    <w:rsid w:val="00110BD5"/>
    <w:rsid w:val="00112996"/>
    <w:rsid w:val="001135DD"/>
    <w:rsid w:val="00114487"/>
    <w:rsid w:val="0011618E"/>
    <w:rsid w:val="00117A94"/>
    <w:rsid w:val="00120A84"/>
    <w:rsid w:val="00122D3B"/>
    <w:rsid w:val="00122FF4"/>
    <w:rsid w:val="001230BC"/>
    <w:rsid w:val="00124694"/>
    <w:rsid w:val="00124E27"/>
    <w:rsid w:val="0012692B"/>
    <w:rsid w:val="00126B05"/>
    <w:rsid w:val="00127186"/>
    <w:rsid w:val="00127792"/>
    <w:rsid w:val="00130320"/>
    <w:rsid w:val="0013237B"/>
    <w:rsid w:val="001327FB"/>
    <w:rsid w:val="0013345D"/>
    <w:rsid w:val="00133520"/>
    <w:rsid w:val="00134B32"/>
    <w:rsid w:val="00134E32"/>
    <w:rsid w:val="00136A90"/>
    <w:rsid w:val="00137BE1"/>
    <w:rsid w:val="00140B69"/>
    <w:rsid w:val="00141CA6"/>
    <w:rsid w:val="00142EA6"/>
    <w:rsid w:val="00143EB8"/>
    <w:rsid w:val="00144532"/>
    <w:rsid w:val="00145E47"/>
    <w:rsid w:val="001469E9"/>
    <w:rsid w:val="0014793C"/>
    <w:rsid w:val="00147A4F"/>
    <w:rsid w:val="0015197A"/>
    <w:rsid w:val="001537D8"/>
    <w:rsid w:val="0015413E"/>
    <w:rsid w:val="0015460C"/>
    <w:rsid w:val="001557B9"/>
    <w:rsid w:val="0015601A"/>
    <w:rsid w:val="0015607B"/>
    <w:rsid w:val="00156DC9"/>
    <w:rsid w:val="00157544"/>
    <w:rsid w:val="001612C3"/>
    <w:rsid w:val="001620A4"/>
    <w:rsid w:val="001621B5"/>
    <w:rsid w:val="00162BF8"/>
    <w:rsid w:val="00163245"/>
    <w:rsid w:val="0016391B"/>
    <w:rsid w:val="001649F1"/>
    <w:rsid w:val="00164A9B"/>
    <w:rsid w:val="00164C7F"/>
    <w:rsid w:val="0016540D"/>
    <w:rsid w:val="00165FB1"/>
    <w:rsid w:val="00166CB8"/>
    <w:rsid w:val="00170127"/>
    <w:rsid w:val="0017357B"/>
    <w:rsid w:val="00173A04"/>
    <w:rsid w:val="001806EE"/>
    <w:rsid w:val="00182FA1"/>
    <w:rsid w:val="001831E0"/>
    <w:rsid w:val="00184757"/>
    <w:rsid w:val="001847CF"/>
    <w:rsid w:val="001851D0"/>
    <w:rsid w:val="00185E12"/>
    <w:rsid w:val="00187998"/>
    <w:rsid w:val="001919F7"/>
    <w:rsid w:val="00193943"/>
    <w:rsid w:val="00194686"/>
    <w:rsid w:val="00194BAC"/>
    <w:rsid w:val="001958CD"/>
    <w:rsid w:val="001960B2"/>
    <w:rsid w:val="00196496"/>
    <w:rsid w:val="001A0D88"/>
    <w:rsid w:val="001A1BCD"/>
    <w:rsid w:val="001A254D"/>
    <w:rsid w:val="001A26CA"/>
    <w:rsid w:val="001A7212"/>
    <w:rsid w:val="001A73AA"/>
    <w:rsid w:val="001B0EC9"/>
    <w:rsid w:val="001B13B9"/>
    <w:rsid w:val="001B1507"/>
    <w:rsid w:val="001B1EF2"/>
    <w:rsid w:val="001B4C69"/>
    <w:rsid w:val="001C0CEC"/>
    <w:rsid w:val="001C10DA"/>
    <w:rsid w:val="001C1162"/>
    <w:rsid w:val="001C297B"/>
    <w:rsid w:val="001C2C13"/>
    <w:rsid w:val="001C2D28"/>
    <w:rsid w:val="001C520C"/>
    <w:rsid w:val="001C534A"/>
    <w:rsid w:val="001C619E"/>
    <w:rsid w:val="001C6489"/>
    <w:rsid w:val="001C714B"/>
    <w:rsid w:val="001C755C"/>
    <w:rsid w:val="001C79F4"/>
    <w:rsid w:val="001C7E61"/>
    <w:rsid w:val="001D0728"/>
    <w:rsid w:val="001D2BE7"/>
    <w:rsid w:val="001D2DC0"/>
    <w:rsid w:val="001D2E6E"/>
    <w:rsid w:val="001D3B38"/>
    <w:rsid w:val="001D518A"/>
    <w:rsid w:val="001D5776"/>
    <w:rsid w:val="001D657C"/>
    <w:rsid w:val="001D6D6C"/>
    <w:rsid w:val="001D7266"/>
    <w:rsid w:val="001D740D"/>
    <w:rsid w:val="001E2BF3"/>
    <w:rsid w:val="001E377B"/>
    <w:rsid w:val="001E393C"/>
    <w:rsid w:val="001E4D64"/>
    <w:rsid w:val="001E5AA3"/>
    <w:rsid w:val="001E652A"/>
    <w:rsid w:val="001E710D"/>
    <w:rsid w:val="001E7EA9"/>
    <w:rsid w:val="001F0BEC"/>
    <w:rsid w:val="001F0FE4"/>
    <w:rsid w:val="001F1E20"/>
    <w:rsid w:val="001F31F6"/>
    <w:rsid w:val="001F4B95"/>
    <w:rsid w:val="001F4D10"/>
    <w:rsid w:val="001F6777"/>
    <w:rsid w:val="001F6B8D"/>
    <w:rsid w:val="0020002A"/>
    <w:rsid w:val="0020331D"/>
    <w:rsid w:val="00205907"/>
    <w:rsid w:val="0020688C"/>
    <w:rsid w:val="0020688D"/>
    <w:rsid w:val="00207D7B"/>
    <w:rsid w:val="00212135"/>
    <w:rsid w:val="00212804"/>
    <w:rsid w:val="002139DB"/>
    <w:rsid w:val="00213AF8"/>
    <w:rsid w:val="00215D18"/>
    <w:rsid w:val="00217843"/>
    <w:rsid w:val="00220F7A"/>
    <w:rsid w:val="0022188D"/>
    <w:rsid w:val="0022488E"/>
    <w:rsid w:val="00226FD4"/>
    <w:rsid w:val="00227A5B"/>
    <w:rsid w:val="00230005"/>
    <w:rsid w:val="0023050F"/>
    <w:rsid w:val="00230558"/>
    <w:rsid w:val="002314BF"/>
    <w:rsid w:val="00232B85"/>
    <w:rsid w:val="00234501"/>
    <w:rsid w:val="00235A6B"/>
    <w:rsid w:val="002361C9"/>
    <w:rsid w:val="002372EB"/>
    <w:rsid w:val="002374CC"/>
    <w:rsid w:val="00241137"/>
    <w:rsid w:val="00241638"/>
    <w:rsid w:val="002417F6"/>
    <w:rsid w:val="00241933"/>
    <w:rsid w:val="0024299B"/>
    <w:rsid w:val="00242D68"/>
    <w:rsid w:val="00243182"/>
    <w:rsid w:val="00243FCF"/>
    <w:rsid w:val="00244E6D"/>
    <w:rsid w:val="00244FE8"/>
    <w:rsid w:val="002452CA"/>
    <w:rsid w:val="00245997"/>
    <w:rsid w:val="00245C81"/>
    <w:rsid w:val="00246BC7"/>
    <w:rsid w:val="00246FDB"/>
    <w:rsid w:val="002473F4"/>
    <w:rsid w:val="00250026"/>
    <w:rsid w:val="002500F9"/>
    <w:rsid w:val="0025010F"/>
    <w:rsid w:val="00252AFB"/>
    <w:rsid w:val="002534CF"/>
    <w:rsid w:val="00260311"/>
    <w:rsid w:val="002608BE"/>
    <w:rsid w:val="002610DB"/>
    <w:rsid w:val="00262039"/>
    <w:rsid w:val="0026380F"/>
    <w:rsid w:val="00264B1E"/>
    <w:rsid w:val="00266D66"/>
    <w:rsid w:val="00270747"/>
    <w:rsid w:val="002711FE"/>
    <w:rsid w:val="0027167F"/>
    <w:rsid w:val="00272C4D"/>
    <w:rsid w:val="00274BED"/>
    <w:rsid w:val="00275EBE"/>
    <w:rsid w:val="0027625F"/>
    <w:rsid w:val="00276654"/>
    <w:rsid w:val="00276B46"/>
    <w:rsid w:val="0027754F"/>
    <w:rsid w:val="002776BE"/>
    <w:rsid w:val="002805E0"/>
    <w:rsid w:val="00283581"/>
    <w:rsid w:val="00286066"/>
    <w:rsid w:val="002868B5"/>
    <w:rsid w:val="00287908"/>
    <w:rsid w:val="00290B5F"/>
    <w:rsid w:val="00292D9A"/>
    <w:rsid w:val="0029455F"/>
    <w:rsid w:val="002979E6"/>
    <w:rsid w:val="002A02E2"/>
    <w:rsid w:val="002A063E"/>
    <w:rsid w:val="002A07F8"/>
    <w:rsid w:val="002A1412"/>
    <w:rsid w:val="002A2A49"/>
    <w:rsid w:val="002A3C63"/>
    <w:rsid w:val="002A53CF"/>
    <w:rsid w:val="002A57AB"/>
    <w:rsid w:val="002B0E07"/>
    <w:rsid w:val="002B0F69"/>
    <w:rsid w:val="002B26AB"/>
    <w:rsid w:val="002B2A27"/>
    <w:rsid w:val="002B2B01"/>
    <w:rsid w:val="002B359A"/>
    <w:rsid w:val="002B44C4"/>
    <w:rsid w:val="002B47C5"/>
    <w:rsid w:val="002B587C"/>
    <w:rsid w:val="002B5AB3"/>
    <w:rsid w:val="002B6063"/>
    <w:rsid w:val="002B62E5"/>
    <w:rsid w:val="002B7BEE"/>
    <w:rsid w:val="002C27A1"/>
    <w:rsid w:val="002C2A07"/>
    <w:rsid w:val="002C2BCC"/>
    <w:rsid w:val="002C2E39"/>
    <w:rsid w:val="002C3DAE"/>
    <w:rsid w:val="002C4B5D"/>
    <w:rsid w:val="002C5D19"/>
    <w:rsid w:val="002C6E74"/>
    <w:rsid w:val="002D0400"/>
    <w:rsid w:val="002D22C6"/>
    <w:rsid w:val="002D43F8"/>
    <w:rsid w:val="002D445E"/>
    <w:rsid w:val="002D4C2F"/>
    <w:rsid w:val="002D500B"/>
    <w:rsid w:val="002D5A17"/>
    <w:rsid w:val="002D7EF3"/>
    <w:rsid w:val="002E0404"/>
    <w:rsid w:val="002E075D"/>
    <w:rsid w:val="002E0EA2"/>
    <w:rsid w:val="002E3A8E"/>
    <w:rsid w:val="002E3D04"/>
    <w:rsid w:val="002E3F43"/>
    <w:rsid w:val="002E6812"/>
    <w:rsid w:val="002E725E"/>
    <w:rsid w:val="002E738B"/>
    <w:rsid w:val="002F03FF"/>
    <w:rsid w:val="002F131D"/>
    <w:rsid w:val="002F3BBF"/>
    <w:rsid w:val="002F5E56"/>
    <w:rsid w:val="002F6BF3"/>
    <w:rsid w:val="002F6D6D"/>
    <w:rsid w:val="002F7009"/>
    <w:rsid w:val="003040ED"/>
    <w:rsid w:val="00304880"/>
    <w:rsid w:val="00305F67"/>
    <w:rsid w:val="00306131"/>
    <w:rsid w:val="00306316"/>
    <w:rsid w:val="00306996"/>
    <w:rsid w:val="003071D9"/>
    <w:rsid w:val="00307BAF"/>
    <w:rsid w:val="00311CA9"/>
    <w:rsid w:val="003125D1"/>
    <w:rsid w:val="0031293A"/>
    <w:rsid w:val="00313E0A"/>
    <w:rsid w:val="00315CE1"/>
    <w:rsid w:val="0032292A"/>
    <w:rsid w:val="003308EC"/>
    <w:rsid w:val="00333A7B"/>
    <w:rsid w:val="00334F06"/>
    <w:rsid w:val="003357FA"/>
    <w:rsid w:val="003360FA"/>
    <w:rsid w:val="00336304"/>
    <w:rsid w:val="0033740C"/>
    <w:rsid w:val="003379B1"/>
    <w:rsid w:val="00340827"/>
    <w:rsid w:val="0034099C"/>
    <w:rsid w:val="00340F70"/>
    <w:rsid w:val="00340F7C"/>
    <w:rsid w:val="00344AFA"/>
    <w:rsid w:val="00344C6D"/>
    <w:rsid w:val="003453A0"/>
    <w:rsid w:val="00345AD7"/>
    <w:rsid w:val="0034604E"/>
    <w:rsid w:val="003468B5"/>
    <w:rsid w:val="0035065C"/>
    <w:rsid w:val="00352454"/>
    <w:rsid w:val="0035249F"/>
    <w:rsid w:val="00352628"/>
    <w:rsid w:val="003557DB"/>
    <w:rsid w:val="003571BE"/>
    <w:rsid w:val="00357253"/>
    <w:rsid w:val="0035799B"/>
    <w:rsid w:val="00360839"/>
    <w:rsid w:val="003612B5"/>
    <w:rsid w:val="003619C2"/>
    <w:rsid w:val="00362206"/>
    <w:rsid w:val="00363772"/>
    <w:rsid w:val="00365041"/>
    <w:rsid w:val="0036506E"/>
    <w:rsid w:val="0036558F"/>
    <w:rsid w:val="003662F2"/>
    <w:rsid w:val="0036698A"/>
    <w:rsid w:val="00367300"/>
    <w:rsid w:val="0036738A"/>
    <w:rsid w:val="003675F9"/>
    <w:rsid w:val="00370D35"/>
    <w:rsid w:val="003712F6"/>
    <w:rsid w:val="00372A63"/>
    <w:rsid w:val="0037343B"/>
    <w:rsid w:val="003770BA"/>
    <w:rsid w:val="003770C9"/>
    <w:rsid w:val="00377DB1"/>
    <w:rsid w:val="003801DF"/>
    <w:rsid w:val="0038379D"/>
    <w:rsid w:val="0038413F"/>
    <w:rsid w:val="003850E1"/>
    <w:rsid w:val="00385DC9"/>
    <w:rsid w:val="00386164"/>
    <w:rsid w:val="003861D8"/>
    <w:rsid w:val="0038637A"/>
    <w:rsid w:val="00386B13"/>
    <w:rsid w:val="00386EE4"/>
    <w:rsid w:val="00387C41"/>
    <w:rsid w:val="00390D8A"/>
    <w:rsid w:val="003918A4"/>
    <w:rsid w:val="00391AD7"/>
    <w:rsid w:val="00391B26"/>
    <w:rsid w:val="00391DE9"/>
    <w:rsid w:val="00393541"/>
    <w:rsid w:val="003936EA"/>
    <w:rsid w:val="00397599"/>
    <w:rsid w:val="003A1510"/>
    <w:rsid w:val="003A2E9F"/>
    <w:rsid w:val="003A3B88"/>
    <w:rsid w:val="003A4481"/>
    <w:rsid w:val="003A75CB"/>
    <w:rsid w:val="003B04FF"/>
    <w:rsid w:val="003B0B10"/>
    <w:rsid w:val="003B1EC0"/>
    <w:rsid w:val="003B249C"/>
    <w:rsid w:val="003B2BBD"/>
    <w:rsid w:val="003B52EB"/>
    <w:rsid w:val="003B6885"/>
    <w:rsid w:val="003B7F9A"/>
    <w:rsid w:val="003C0C82"/>
    <w:rsid w:val="003C10FC"/>
    <w:rsid w:val="003C30B0"/>
    <w:rsid w:val="003C3539"/>
    <w:rsid w:val="003C3B8C"/>
    <w:rsid w:val="003C4431"/>
    <w:rsid w:val="003C46D7"/>
    <w:rsid w:val="003C55D6"/>
    <w:rsid w:val="003C5E07"/>
    <w:rsid w:val="003C5EBF"/>
    <w:rsid w:val="003C6695"/>
    <w:rsid w:val="003D037A"/>
    <w:rsid w:val="003D2B7B"/>
    <w:rsid w:val="003D3E2D"/>
    <w:rsid w:val="003D47B0"/>
    <w:rsid w:val="003D5032"/>
    <w:rsid w:val="003D67E7"/>
    <w:rsid w:val="003D71C8"/>
    <w:rsid w:val="003E0019"/>
    <w:rsid w:val="003E2D59"/>
    <w:rsid w:val="003E307A"/>
    <w:rsid w:val="003E4EE3"/>
    <w:rsid w:val="003E679D"/>
    <w:rsid w:val="003E7F41"/>
    <w:rsid w:val="003F088E"/>
    <w:rsid w:val="003F1244"/>
    <w:rsid w:val="003F3702"/>
    <w:rsid w:val="003F38A5"/>
    <w:rsid w:val="003F6577"/>
    <w:rsid w:val="003F6826"/>
    <w:rsid w:val="003F6DD1"/>
    <w:rsid w:val="003F6E80"/>
    <w:rsid w:val="003F7997"/>
    <w:rsid w:val="00400979"/>
    <w:rsid w:val="00400BD7"/>
    <w:rsid w:val="00400EF9"/>
    <w:rsid w:val="004024F2"/>
    <w:rsid w:val="004026C0"/>
    <w:rsid w:val="00402727"/>
    <w:rsid w:val="00402B75"/>
    <w:rsid w:val="004044F4"/>
    <w:rsid w:val="00405186"/>
    <w:rsid w:val="00405B60"/>
    <w:rsid w:val="00406316"/>
    <w:rsid w:val="00411126"/>
    <w:rsid w:val="004138AC"/>
    <w:rsid w:val="00413A58"/>
    <w:rsid w:val="00413AFD"/>
    <w:rsid w:val="00414DD0"/>
    <w:rsid w:val="0041700E"/>
    <w:rsid w:val="00421165"/>
    <w:rsid w:val="0042273B"/>
    <w:rsid w:val="0042629E"/>
    <w:rsid w:val="00427809"/>
    <w:rsid w:val="00431F61"/>
    <w:rsid w:val="004323FD"/>
    <w:rsid w:val="00434AFC"/>
    <w:rsid w:val="00435117"/>
    <w:rsid w:val="00436578"/>
    <w:rsid w:val="0043679A"/>
    <w:rsid w:val="00440178"/>
    <w:rsid w:val="004403C3"/>
    <w:rsid w:val="00440B91"/>
    <w:rsid w:val="00441597"/>
    <w:rsid w:val="0044243A"/>
    <w:rsid w:val="00443BCE"/>
    <w:rsid w:val="0044447F"/>
    <w:rsid w:val="00446B79"/>
    <w:rsid w:val="00446F81"/>
    <w:rsid w:val="00447552"/>
    <w:rsid w:val="004510A5"/>
    <w:rsid w:val="00452F96"/>
    <w:rsid w:val="00453E3A"/>
    <w:rsid w:val="00455893"/>
    <w:rsid w:val="00455A88"/>
    <w:rsid w:val="00455EDA"/>
    <w:rsid w:val="004560E3"/>
    <w:rsid w:val="00457588"/>
    <w:rsid w:val="00461617"/>
    <w:rsid w:val="00461796"/>
    <w:rsid w:val="00463D5C"/>
    <w:rsid w:val="00467179"/>
    <w:rsid w:val="004715D6"/>
    <w:rsid w:val="00471664"/>
    <w:rsid w:val="00471DC5"/>
    <w:rsid w:val="0047210F"/>
    <w:rsid w:val="0047386D"/>
    <w:rsid w:val="004745D9"/>
    <w:rsid w:val="00474B61"/>
    <w:rsid w:val="00476001"/>
    <w:rsid w:val="0047608B"/>
    <w:rsid w:val="004769DF"/>
    <w:rsid w:val="00477159"/>
    <w:rsid w:val="004801AD"/>
    <w:rsid w:val="00480E0C"/>
    <w:rsid w:val="004826B5"/>
    <w:rsid w:val="00482C44"/>
    <w:rsid w:val="00483A32"/>
    <w:rsid w:val="00483D9A"/>
    <w:rsid w:val="00484163"/>
    <w:rsid w:val="00484F9F"/>
    <w:rsid w:val="0048511B"/>
    <w:rsid w:val="004867CB"/>
    <w:rsid w:val="00487A57"/>
    <w:rsid w:val="00487B74"/>
    <w:rsid w:val="00492B02"/>
    <w:rsid w:val="00492FCC"/>
    <w:rsid w:val="004944A2"/>
    <w:rsid w:val="004948D1"/>
    <w:rsid w:val="00496D4E"/>
    <w:rsid w:val="004970BF"/>
    <w:rsid w:val="004A3A96"/>
    <w:rsid w:val="004A4097"/>
    <w:rsid w:val="004A57AF"/>
    <w:rsid w:val="004A593E"/>
    <w:rsid w:val="004A6263"/>
    <w:rsid w:val="004B0618"/>
    <w:rsid w:val="004B155F"/>
    <w:rsid w:val="004B173D"/>
    <w:rsid w:val="004B28D2"/>
    <w:rsid w:val="004B35F2"/>
    <w:rsid w:val="004B4A34"/>
    <w:rsid w:val="004B4B49"/>
    <w:rsid w:val="004B5A98"/>
    <w:rsid w:val="004B626A"/>
    <w:rsid w:val="004B74BB"/>
    <w:rsid w:val="004B7FF5"/>
    <w:rsid w:val="004C3D07"/>
    <w:rsid w:val="004C6D01"/>
    <w:rsid w:val="004C77C3"/>
    <w:rsid w:val="004D1A8E"/>
    <w:rsid w:val="004D23BA"/>
    <w:rsid w:val="004D32BD"/>
    <w:rsid w:val="004D4A43"/>
    <w:rsid w:val="004D6311"/>
    <w:rsid w:val="004E15E0"/>
    <w:rsid w:val="004E16D8"/>
    <w:rsid w:val="004E1C1A"/>
    <w:rsid w:val="004E248C"/>
    <w:rsid w:val="004E28CB"/>
    <w:rsid w:val="004E511D"/>
    <w:rsid w:val="004E6DF7"/>
    <w:rsid w:val="004E70BD"/>
    <w:rsid w:val="004F0905"/>
    <w:rsid w:val="004F1A75"/>
    <w:rsid w:val="004F27CB"/>
    <w:rsid w:val="004F2AC1"/>
    <w:rsid w:val="004F5EB0"/>
    <w:rsid w:val="004F67C3"/>
    <w:rsid w:val="004F6A45"/>
    <w:rsid w:val="00501A8B"/>
    <w:rsid w:val="00502171"/>
    <w:rsid w:val="005049E5"/>
    <w:rsid w:val="005050E8"/>
    <w:rsid w:val="00505BF8"/>
    <w:rsid w:val="00506079"/>
    <w:rsid w:val="005077A9"/>
    <w:rsid w:val="005105A0"/>
    <w:rsid w:val="00511506"/>
    <w:rsid w:val="0051162E"/>
    <w:rsid w:val="00511D60"/>
    <w:rsid w:val="0051265A"/>
    <w:rsid w:val="0051423A"/>
    <w:rsid w:val="00514D22"/>
    <w:rsid w:val="00514F5A"/>
    <w:rsid w:val="005157F8"/>
    <w:rsid w:val="00516310"/>
    <w:rsid w:val="00516772"/>
    <w:rsid w:val="00521673"/>
    <w:rsid w:val="00521E1C"/>
    <w:rsid w:val="00522F4F"/>
    <w:rsid w:val="00526C3E"/>
    <w:rsid w:val="005317D9"/>
    <w:rsid w:val="00531CF4"/>
    <w:rsid w:val="005326CF"/>
    <w:rsid w:val="00534FFE"/>
    <w:rsid w:val="0053539B"/>
    <w:rsid w:val="00536682"/>
    <w:rsid w:val="00536AF0"/>
    <w:rsid w:val="00540C62"/>
    <w:rsid w:val="00542E87"/>
    <w:rsid w:val="00543B02"/>
    <w:rsid w:val="00544072"/>
    <w:rsid w:val="005440A6"/>
    <w:rsid w:val="005468EA"/>
    <w:rsid w:val="00550062"/>
    <w:rsid w:val="005501AF"/>
    <w:rsid w:val="00551C22"/>
    <w:rsid w:val="00552762"/>
    <w:rsid w:val="005534EC"/>
    <w:rsid w:val="00553C42"/>
    <w:rsid w:val="0055540F"/>
    <w:rsid w:val="00555522"/>
    <w:rsid w:val="00555DE8"/>
    <w:rsid w:val="00557D5E"/>
    <w:rsid w:val="00560D01"/>
    <w:rsid w:val="00560EFA"/>
    <w:rsid w:val="00562146"/>
    <w:rsid w:val="0056386B"/>
    <w:rsid w:val="00565580"/>
    <w:rsid w:val="0057274E"/>
    <w:rsid w:val="00572BC6"/>
    <w:rsid w:val="005743AA"/>
    <w:rsid w:val="00574D52"/>
    <w:rsid w:val="00576882"/>
    <w:rsid w:val="0057797D"/>
    <w:rsid w:val="00582119"/>
    <w:rsid w:val="005824C1"/>
    <w:rsid w:val="00582539"/>
    <w:rsid w:val="00582BB8"/>
    <w:rsid w:val="00582F99"/>
    <w:rsid w:val="00584087"/>
    <w:rsid w:val="00584F38"/>
    <w:rsid w:val="005857A4"/>
    <w:rsid w:val="00591481"/>
    <w:rsid w:val="0059175B"/>
    <w:rsid w:val="0059181B"/>
    <w:rsid w:val="0059351D"/>
    <w:rsid w:val="005946D8"/>
    <w:rsid w:val="005948AD"/>
    <w:rsid w:val="005950FC"/>
    <w:rsid w:val="00595837"/>
    <w:rsid w:val="00596B8E"/>
    <w:rsid w:val="00597045"/>
    <w:rsid w:val="005A079C"/>
    <w:rsid w:val="005A083C"/>
    <w:rsid w:val="005A2607"/>
    <w:rsid w:val="005A2DC5"/>
    <w:rsid w:val="005A3BAA"/>
    <w:rsid w:val="005A6100"/>
    <w:rsid w:val="005A715F"/>
    <w:rsid w:val="005A75C6"/>
    <w:rsid w:val="005B2BFD"/>
    <w:rsid w:val="005B51F2"/>
    <w:rsid w:val="005B5351"/>
    <w:rsid w:val="005B5399"/>
    <w:rsid w:val="005B64BC"/>
    <w:rsid w:val="005B681C"/>
    <w:rsid w:val="005B6DC2"/>
    <w:rsid w:val="005B781C"/>
    <w:rsid w:val="005C0795"/>
    <w:rsid w:val="005C2284"/>
    <w:rsid w:val="005C53A6"/>
    <w:rsid w:val="005C5FAD"/>
    <w:rsid w:val="005C6082"/>
    <w:rsid w:val="005C6540"/>
    <w:rsid w:val="005C66F1"/>
    <w:rsid w:val="005C7E19"/>
    <w:rsid w:val="005D2ADC"/>
    <w:rsid w:val="005D3CF0"/>
    <w:rsid w:val="005D4111"/>
    <w:rsid w:val="005D43E7"/>
    <w:rsid w:val="005D4696"/>
    <w:rsid w:val="005D4E79"/>
    <w:rsid w:val="005D688C"/>
    <w:rsid w:val="005D766C"/>
    <w:rsid w:val="005E00C1"/>
    <w:rsid w:val="005E035F"/>
    <w:rsid w:val="005E06CE"/>
    <w:rsid w:val="005E098F"/>
    <w:rsid w:val="005E1926"/>
    <w:rsid w:val="005E29B6"/>
    <w:rsid w:val="005E2C57"/>
    <w:rsid w:val="005E33E7"/>
    <w:rsid w:val="005E3A32"/>
    <w:rsid w:val="005E4660"/>
    <w:rsid w:val="005E48BF"/>
    <w:rsid w:val="005E5663"/>
    <w:rsid w:val="005E5910"/>
    <w:rsid w:val="005E74CA"/>
    <w:rsid w:val="005F04D7"/>
    <w:rsid w:val="005F20CF"/>
    <w:rsid w:val="005F2973"/>
    <w:rsid w:val="005F3830"/>
    <w:rsid w:val="005F3EB8"/>
    <w:rsid w:val="005F45A9"/>
    <w:rsid w:val="005F4811"/>
    <w:rsid w:val="005F67F8"/>
    <w:rsid w:val="005F6F74"/>
    <w:rsid w:val="005F752A"/>
    <w:rsid w:val="006008B6"/>
    <w:rsid w:val="00603EF9"/>
    <w:rsid w:val="0060433E"/>
    <w:rsid w:val="00605E92"/>
    <w:rsid w:val="00610995"/>
    <w:rsid w:val="00610FC5"/>
    <w:rsid w:val="006115A7"/>
    <w:rsid w:val="00611A1C"/>
    <w:rsid w:val="006128E3"/>
    <w:rsid w:val="00613487"/>
    <w:rsid w:val="006146A2"/>
    <w:rsid w:val="00614E70"/>
    <w:rsid w:val="00617807"/>
    <w:rsid w:val="00617E55"/>
    <w:rsid w:val="00620F6F"/>
    <w:rsid w:val="006219D5"/>
    <w:rsid w:val="00622480"/>
    <w:rsid w:val="006229C3"/>
    <w:rsid w:val="006234E1"/>
    <w:rsid w:val="00623B72"/>
    <w:rsid w:val="00624521"/>
    <w:rsid w:val="00624E69"/>
    <w:rsid w:val="00625CD2"/>
    <w:rsid w:val="0062644D"/>
    <w:rsid w:val="00626966"/>
    <w:rsid w:val="00626A79"/>
    <w:rsid w:val="006302A6"/>
    <w:rsid w:val="00631337"/>
    <w:rsid w:val="00631566"/>
    <w:rsid w:val="00631BC6"/>
    <w:rsid w:val="00633167"/>
    <w:rsid w:val="00634F92"/>
    <w:rsid w:val="00640EC3"/>
    <w:rsid w:val="00642134"/>
    <w:rsid w:val="00643218"/>
    <w:rsid w:val="006445F5"/>
    <w:rsid w:val="00644F1B"/>
    <w:rsid w:val="00645062"/>
    <w:rsid w:val="00646793"/>
    <w:rsid w:val="00646DB4"/>
    <w:rsid w:val="00647A7A"/>
    <w:rsid w:val="00647D58"/>
    <w:rsid w:val="006510F1"/>
    <w:rsid w:val="00651BD7"/>
    <w:rsid w:val="00654290"/>
    <w:rsid w:val="00655877"/>
    <w:rsid w:val="00655BAD"/>
    <w:rsid w:val="00656B77"/>
    <w:rsid w:val="00656D42"/>
    <w:rsid w:val="00660A12"/>
    <w:rsid w:val="006614F5"/>
    <w:rsid w:val="006622B7"/>
    <w:rsid w:val="00663E09"/>
    <w:rsid w:val="0066419C"/>
    <w:rsid w:val="00664588"/>
    <w:rsid w:val="00665F38"/>
    <w:rsid w:val="00666142"/>
    <w:rsid w:val="00666B72"/>
    <w:rsid w:val="00666F17"/>
    <w:rsid w:val="0067196C"/>
    <w:rsid w:val="00671C50"/>
    <w:rsid w:val="006726BE"/>
    <w:rsid w:val="00672D34"/>
    <w:rsid w:val="00672D51"/>
    <w:rsid w:val="006760D7"/>
    <w:rsid w:val="00677494"/>
    <w:rsid w:val="00677A41"/>
    <w:rsid w:val="00680968"/>
    <w:rsid w:val="006813F1"/>
    <w:rsid w:val="00682718"/>
    <w:rsid w:val="00683135"/>
    <w:rsid w:val="00683E43"/>
    <w:rsid w:val="00684F73"/>
    <w:rsid w:val="00685909"/>
    <w:rsid w:val="00686521"/>
    <w:rsid w:val="006920B7"/>
    <w:rsid w:val="00693381"/>
    <w:rsid w:val="00695606"/>
    <w:rsid w:val="00695B99"/>
    <w:rsid w:val="00696E43"/>
    <w:rsid w:val="006A0335"/>
    <w:rsid w:val="006A0AFF"/>
    <w:rsid w:val="006A1CF4"/>
    <w:rsid w:val="006A23B7"/>
    <w:rsid w:val="006A2F4B"/>
    <w:rsid w:val="006A3315"/>
    <w:rsid w:val="006A3433"/>
    <w:rsid w:val="006A37CA"/>
    <w:rsid w:val="006A3C09"/>
    <w:rsid w:val="006A4B94"/>
    <w:rsid w:val="006A4E48"/>
    <w:rsid w:val="006A6880"/>
    <w:rsid w:val="006A6A52"/>
    <w:rsid w:val="006A6F6F"/>
    <w:rsid w:val="006A7551"/>
    <w:rsid w:val="006A7729"/>
    <w:rsid w:val="006A7FC6"/>
    <w:rsid w:val="006B1737"/>
    <w:rsid w:val="006B1CC2"/>
    <w:rsid w:val="006B2138"/>
    <w:rsid w:val="006B27A9"/>
    <w:rsid w:val="006B4957"/>
    <w:rsid w:val="006B4C94"/>
    <w:rsid w:val="006B5D44"/>
    <w:rsid w:val="006B71C2"/>
    <w:rsid w:val="006C06E6"/>
    <w:rsid w:val="006C4F19"/>
    <w:rsid w:val="006C73FD"/>
    <w:rsid w:val="006C77CB"/>
    <w:rsid w:val="006C7F66"/>
    <w:rsid w:val="006D011C"/>
    <w:rsid w:val="006D0AD6"/>
    <w:rsid w:val="006D0D79"/>
    <w:rsid w:val="006D17FD"/>
    <w:rsid w:val="006D3348"/>
    <w:rsid w:val="006D52C3"/>
    <w:rsid w:val="006D53AB"/>
    <w:rsid w:val="006D557B"/>
    <w:rsid w:val="006D5E21"/>
    <w:rsid w:val="006E10F1"/>
    <w:rsid w:val="006E224F"/>
    <w:rsid w:val="006E2460"/>
    <w:rsid w:val="006E555B"/>
    <w:rsid w:val="006E5DD8"/>
    <w:rsid w:val="006E7274"/>
    <w:rsid w:val="006E78C4"/>
    <w:rsid w:val="006E7D16"/>
    <w:rsid w:val="006F3123"/>
    <w:rsid w:val="006F317B"/>
    <w:rsid w:val="006F340A"/>
    <w:rsid w:val="006F3E27"/>
    <w:rsid w:val="006F3E91"/>
    <w:rsid w:val="006F467B"/>
    <w:rsid w:val="006F6410"/>
    <w:rsid w:val="006F77DA"/>
    <w:rsid w:val="006F7BB6"/>
    <w:rsid w:val="007016AF"/>
    <w:rsid w:val="00701F6F"/>
    <w:rsid w:val="00701FCB"/>
    <w:rsid w:val="00702222"/>
    <w:rsid w:val="00702F9E"/>
    <w:rsid w:val="007031F4"/>
    <w:rsid w:val="00703509"/>
    <w:rsid w:val="007043A9"/>
    <w:rsid w:val="007054C1"/>
    <w:rsid w:val="00705FC9"/>
    <w:rsid w:val="007063C4"/>
    <w:rsid w:val="00706454"/>
    <w:rsid w:val="00707722"/>
    <w:rsid w:val="00707C76"/>
    <w:rsid w:val="00711233"/>
    <w:rsid w:val="00713038"/>
    <w:rsid w:val="0071356F"/>
    <w:rsid w:val="00715061"/>
    <w:rsid w:val="00716755"/>
    <w:rsid w:val="0072062B"/>
    <w:rsid w:val="007225D0"/>
    <w:rsid w:val="00722BAB"/>
    <w:rsid w:val="007244C9"/>
    <w:rsid w:val="00724674"/>
    <w:rsid w:val="00725AA6"/>
    <w:rsid w:val="00726081"/>
    <w:rsid w:val="00726E05"/>
    <w:rsid w:val="007315B8"/>
    <w:rsid w:val="007319BD"/>
    <w:rsid w:val="007367B6"/>
    <w:rsid w:val="00736BDA"/>
    <w:rsid w:val="00737FDD"/>
    <w:rsid w:val="0074158A"/>
    <w:rsid w:val="00741598"/>
    <w:rsid w:val="007422E2"/>
    <w:rsid w:val="00744650"/>
    <w:rsid w:val="007452C4"/>
    <w:rsid w:val="007459F9"/>
    <w:rsid w:val="00745B81"/>
    <w:rsid w:val="00747CF5"/>
    <w:rsid w:val="00751D7D"/>
    <w:rsid w:val="007539A0"/>
    <w:rsid w:val="00753AC6"/>
    <w:rsid w:val="00753AF1"/>
    <w:rsid w:val="007567F1"/>
    <w:rsid w:val="00757484"/>
    <w:rsid w:val="00757695"/>
    <w:rsid w:val="00757C88"/>
    <w:rsid w:val="0076009B"/>
    <w:rsid w:val="007602EE"/>
    <w:rsid w:val="0076117A"/>
    <w:rsid w:val="00761834"/>
    <w:rsid w:val="00761E8C"/>
    <w:rsid w:val="007626FF"/>
    <w:rsid w:val="007632DA"/>
    <w:rsid w:val="00764C13"/>
    <w:rsid w:val="00765110"/>
    <w:rsid w:val="0076511E"/>
    <w:rsid w:val="007666B9"/>
    <w:rsid w:val="00766B2E"/>
    <w:rsid w:val="00766E9C"/>
    <w:rsid w:val="00771B05"/>
    <w:rsid w:val="00771D0D"/>
    <w:rsid w:val="00771D32"/>
    <w:rsid w:val="007723C3"/>
    <w:rsid w:val="007731DE"/>
    <w:rsid w:val="0077362D"/>
    <w:rsid w:val="00774FB2"/>
    <w:rsid w:val="007761E5"/>
    <w:rsid w:val="00776D66"/>
    <w:rsid w:val="00777ACD"/>
    <w:rsid w:val="0078327D"/>
    <w:rsid w:val="00785DC1"/>
    <w:rsid w:val="00786B86"/>
    <w:rsid w:val="00787783"/>
    <w:rsid w:val="00787FA9"/>
    <w:rsid w:val="00787FC5"/>
    <w:rsid w:val="0079050B"/>
    <w:rsid w:val="00790FDD"/>
    <w:rsid w:val="00791664"/>
    <w:rsid w:val="00791B36"/>
    <w:rsid w:val="00791D39"/>
    <w:rsid w:val="007927E3"/>
    <w:rsid w:val="0079475B"/>
    <w:rsid w:val="00794B0F"/>
    <w:rsid w:val="00794E8E"/>
    <w:rsid w:val="007954A7"/>
    <w:rsid w:val="0079576E"/>
    <w:rsid w:val="00795AC3"/>
    <w:rsid w:val="00795CA8"/>
    <w:rsid w:val="00796380"/>
    <w:rsid w:val="007974B0"/>
    <w:rsid w:val="007A1155"/>
    <w:rsid w:val="007A118C"/>
    <w:rsid w:val="007A1861"/>
    <w:rsid w:val="007A22CD"/>
    <w:rsid w:val="007A23EA"/>
    <w:rsid w:val="007A2532"/>
    <w:rsid w:val="007A2B5C"/>
    <w:rsid w:val="007A33E6"/>
    <w:rsid w:val="007A3B11"/>
    <w:rsid w:val="007A53AC"/>
    <w:rsid w:val="007A5789"/>
    <w:rsid w:val="007A75C6"/>
    <w:rsid w:val="007A77C6"/>
    <w:rsid w:val="007B1EC2"/>
    <w:rsid w:val="007B2EB4"/>
    <w:rsid w:val="007B3A61"/>
    <w:rsid w:val="007B3C94"/>
    <w:rsid w:val="007B61C9"/>
    <w:rsid w:val="007B7561"/>
    <w:rsid w:val="007C396C"/>
    <w:rsid w:val="007C45CF"/>
    <w:rsid w:val="007C4828"/>
    <w:rsid w:val="007C49A4"/>
    <w:rsid w:val="007C7BED"/>
    <w:rsid w:val="007C7D76"/>
    <w:rsid w:val="007D2753"/>
    <w:rsid w:val="007D2757"/>
    <w:rsid w:val="007D2D7F"/>
    <w:rsid w:val="007D2EBA"/>
    <w:rsid w:val="007D2F6D"/>
    <w:rsid w:val="007D333D"/>
    <w:rsid w:val="007D3BB3"/>
    <w:rsid w:val="007D41A5"/>
    <w:rsid w:val="007D48F1"/>
    <w:rsid w:val="007D5363"/>
    <w:rsid w:val="007D5C16"/>
    <w:rsid w:val="007E095A"/>
    <w:rsid w:val="007E108F"/>
    <w:rsid w:val="007E1CF2"/>
    <w:rsid w:val="007E207A"/>
    <w:rsid w:val="007E2562"/>
    <w:rsid w:val="007E290B"/>
    <w:rsid w:val="007E2E97"/>
    <w:rsid w:val="007E3C7F"/>
    <w:rsid w:val="007E3D94"/>
    <w:rsid w:val="007E50E4"/>
    <w:rsid w:val="007E52BE"/>
    <w:rsid w:val="007E5BC2"/>
    <w:rsid w:val="007E633C"/>
    <w:rsid w:val="007E6CB0"/>
    <w:rsid w:val="007E73EC"/>
    <w:rsid w:val="007F1409"/>
    <w:rsid w:val="007F2832"/>
    <w:rsid w:val="007F2CD6"/>
    <w:rsid w:val="007F349A"/>
    <w:rsid w:val="007F372E"/>
    <w:rsid w:val="007F4954"/>
    <w:rsid w:val="007F55AB"/>
    <w:rsid w:val="007F55BB"/>
    <w:rsid w:val="007F5AFD"/>
    <w:rsid w:val="00801062"/>
    <w:rsid w:val="008014F9"/>
    <w:rsid w:val="00802247"/>
    <w:rsid w:val="008036BC"/>
    <w:rsid w:val="00803799"/>
    <w:rsid w:val="008038D7"/>
    <w:rsid w:val="00805EEE"/>
    <w:rsid w:val="008066AE"/>
    <w:rsid w:val="00806BDC"/>
    <w:rsid w:val="0081141D"/>
    <w:rsid w:val="008127F9"/>
    <w:rsid w:val="00812C58"/>
    <w:rsid w:val="0081583A"/>
    <w:rsid w:val="00817148"/>
    <w:rsid w:val="0082019B"/>
    <w:rsid w:val="00820A39"/>
    <w:rsid w:val="008220E8"/>
    <w:rsid w:val="00822554"/>
    <w:rsid w:val="00824C99"/>
    <w:rsid w:val="0082518F"/>
    <w:rsid w:val="008255CD"/>
    <w:rsid w:val="008264A6"/>
    <w:rsid w:val="00827E50"/>
    <w:rsid w:val="00830217"/>
    <w:rsid w:val="008309F9"/>
    <w:rsid w:val="008329CE"/>
    <w:rsid w:val="00832D6F"/>
    <w:rsid w:val="008337C1"/>
    <w:rsid w:val="00834E47"/>
    <w:rsid w:val="0083694A"/>
    <w:rsid w:val="008371BC"/>
    <w:rsid w:val="0083765E"/>
    <w:rsid w:val="008411B4"/>
    <w:rsid w:val="0084127E"/>
    <w:rsid w:val="00842FBD"/>
    <w:rsid w:val="008431DE"/>
    <w:rsid w:val="00844839"/>
    <w:rsid w:val="00845367"/>
    <w:rsid w:val="00850488"/>
    <w:rsid w:val="00851E18"/>
    <w:rsid w:val="00853CFE"/>
    <w:rsid w:val="00856833"/>
    <w:rsid w:val="00857D94"/>
    <w:rsid w:val="008601A7"/>
    <w:rsid w:val="0086194F"/>
    <w:rsid w:val="0086242A"/>
    <w:rsid w:val="00862E0F"/>
    <w:rsid w:val="00863C85"/>
    <w:rsid w:val="00866D12"/>
    <w:rsid w:val="00867092"/>
    <w:rsid w:val="008724F4"/>
    <w:rsid w:val="00873079"/>
    <w:rsid w:val="00873CBB"/>
    <w:rsid w:val="00874152"/>
    <w:rsid w:val="00874840"/>
    <w:rsid w:val="00875DAB"/>
    <w:rsid w:val="00875F60"/>
    <w:rsid w:val="008774B2"/>
    <w:rsid w:val="00877ADF"/>
    <w:rsid w:val="00877B1C"/>
    <w:rsid w:val="00880406"/>
    <w:rsid w:val="0088158D"/>
    <w:rsid w:val="00881760"/>
    <w:rsid w:val="0088394D"/>
    <w:rsid w:val="00884C13"/>
    <w:rsid w:val="00887222"/>
    <w:rsid w:val="00891C21"/>
    <w:rsid w:val="0089257F"/>
    <w:rsid w:val="00892D93"/>
    <w:rsid w:val="00892F95"/>
    <w:rsid w:val="008946E4"/>
    <w:rsid w:val="008959D5"/>
    <w:rsid w:val="00895E7F"/>
    <w:rsid w:val="0089629E"/>
    <w:rsid w:val="00896778"/>
    <w:rsid w:val="0089782B"/>
    <w:rsid w:val="008A1F3C"/>
    <w:rsid w:val="008A2814"/>
    <w:rsid w:val="008A2EF7"/>
    <w:rsid w:val="008A387A"/>
    <w:rsid w:val="008A3D9E"/>
    <w:rsid w:val="008A4093"/>
    <w:rsid w:val="008A4CE4"/>
    <w:rsid w:val="008A4E69"/>
    <w:rsid w:val="008A5266"/>
    <w:rsid w:val="008A6329"/>
    <w:rsid w:val="008A653E"/>
    <w:rsid w:val="008A7F02"/>
    <w:rsid w:val="008A7FD6"/>
    <w:rsid w:val="008B10F0"/>
    <w:rsid w:val="008B1FCC"/>
    <w:rsid w:val="008B25A4"/>
    <w:rsid w:val="008B2FF1"/>
    <w:rsid w:val="008B3B95"/>
    <w:rsid w:val="008B4013"/>
    <w:rsid w:val="008B540B"/>
    <w:rsid w:val="008B54FA"/>
    <w:rsid w:val="008B5D1A"/>
    <w:rsid w:val="008B619D"/>
    <w:rsid w:val="008C1030"/>
    <w:rsid w:val="008C214D"/>
    <w:rsid w:val="008C3D9F"/>
    <w:rsid w:val="008C473B"/>
    <w:rsid w:val="008C500D"/>
    <w:rsid w:val="008C7132"/>
    <w:rsid w:val="008C76F2"/>
    <w:rsid w:val="008D1D76"/>
    <w:rsid w:val="008D2663"/>
    <w:rsid w:val="008D370D"/>
    <w:rsid w:val="008D3724"/>
    <w:rsid w:val="008D496B"/>
    <w:rsid w:val="008D72CA"/>
    <w:rsid w:val="008D76C5"/>
    <w:rsid w:val="008D7E21"/>
    <w:rsid w:val="008E0ED4"/>
    <w:rsid w:val="008E2A4A"/>
    <w:rsid w:val="008E361E"/>
    <w:rsid w:val="008E48F0"/>
    <w:rsid w:val="008E508B"/>
    <w:rsid w:val="008E5721"/>
    <w:rsid w:val="008E5D83"/>
    <w:rsid w:val="008F0758"/>
    <w:rsid w:val="008F22CA"/>
    <w:rsid w:val="008F37D8"/>
    <w:rsid w:val="008F3A8D"/>
    <w:rsid w:val="008F41CA"/>
    <w:rsid w:val="008F471D"/>
    <w:rsid w:val="008F7881"/>
    <w:rsid w:val="008F7B32"/>
    <w:rsid w:val="009005D5"/>
    <w:rsid w:val="00900DB9"/>
    <w:rsid w:val="009034FB"/>
    <w:rsid w:val="00903B6A"/>
    <w:rsid w:val="0090516A"/>
    <w:rsid w:val="00905446"/>
    <w:rsid w:val="00906AD8"/>
    <w:rsid w:val="00906F0C"/>
    <w:rsid w:val="00906FBE"/>
    <w:rsid w:val="00907247"/>
    <w:rsid w:val="00907E70"/>
    <w:rsid w:val="009101E1"/>
    <w:rsid w:val="00915984"/>
    <w:rsid w:val="00916AE5"/>
    <w:rsid w:val="00917E39"/>
    <w:rsid w:val="00920A44"/>
    <w:rsid w:val="00921F48"/>
    <w:rsid w:val="00923080"/>
    <w:rsid w:val="009237AB"/>
    <w:rsid w:val="00926070"/>
    <w:rsid w:val="00926760"/>
    <w:rsid w:val="00926ED4"/>
    <w:rsid w:val="00926FD4"/>
    <w:rsid w:val="009274F9"/>
    <w:rsid w:val="009276D6"/>
    <w:rsid w:val="009301D7"/>
    <w:rsid w:val="00931895"/>
    <w:rsid w:val="00932D01"/>
    <w:rsid w:val="00932EFA"/>
    <w:rsid w:val="00933652"/>
    <w:rsid w:val="00940F1F"/>
    <w:rsid w:val="00941DEF"/>
    <w:rsid w:val="00942134"/>
    <w:rsid w:val="00943772"/>
    <w:rsid w:val="009461C2"/>
    <w:rsid w:val="009478B2"/>
    <w:rsid w:val="0095019E"/>
    <w:rsid w:val="009520B8"/>
    <w:rsid w:val="009537DE"/>
    <w:rsid w:val="009539DB"/>
    <w:rsid w:val="00955268"/>
    <w:rsid w:val="00955814"/>
    <w:rsid w:val="009558A6"/>
    <w:rsid w:val="00956B0B"/>
    <w:rsid w:val="009655F3"/>
    <w:rsid w:val="00965AEC"/>
    <w:rsid w:val="009660B9"/>
    <w:rsid w:val="009663F1"/>
    <w:rsid w:val="0096720F"/>
    <w:rsid w:val="009703B1"/>
    <w:rsid w:val="00970585"/>
    <w:rsid w:val="00970631"/>
    <w:rsid w:val="00970FA9"/>
    <w:rsid w:val="00971180"/>
    <w:rsid w:val="00971BFD"/>
    <w:rsid w:val="00971F27"/>
    <w:rsid w:val="0097261D"/>
    <w:rsid w:val="009761F8"/>
    <w:rsid w:val="00976E44"/>
    <w:rsid w:val="00982C90"/>
    <w:rsid w:val="00983DAB"/>
    <w:rsid w:val="00984446"/>
    <w:rsid w:val="0098444E"/>
    <w:rsid w:val="00985F04"/>
    <w:rsid w:val="009871FB"/>
    <w:rsid w:val="00990D95"/>
    <w:rsid w:val="00992112"/>
    <w:rsid w:val="00992B2D"/>
    <w:rsid w:val="0099378B"/>
    <w:rsid w:val="00993848"/>
    <w:rsid w:val="00993870"/>
    <w:rsid w:val="00994550"/>
    <w:rsid w:val="009A0671"/>
    <w:rsid w:val="009A1AAB"/>
    <w:rsid w:val="009A223A"/>
    <w:rsid w:val="009A2675"/>
    <w:rsid w:val="009A2A01"/>
    <w:rsid w:val="009A40B1"/>
    <w:rsid w:val="009A4302"/>
    <w:rsid w:val="009A4869"/>
    <w:rsid w:val="009A59D5"/>
    <w:rsid w:val="009A5D32"/>
    <w:rsid w:val="009A6056"/>
    <w:rsid w:val="009A6486"/>
    <w:rsid w:val="009A6D9C"/>
    <w:rsid w:val="009A777F"/>
    <w:rsid w:val="009A7A47"/>
    <w:rsid w:val="009B0009"/>
    <w:rsid w:val="009B0A33"/>
    <w:rsid w:val="009B14E7"/>
    <w:rsid w:val="009B28A5"/>
    <w:rsid w:val="009B3661"/>
    <w:rsid w:val="009B37FF"/>
    <w:rsid w:val="009B3D1A"/>
    <w:rsid w:val="009B41BB"/>
    <w:rsid w:val="009B5EF3"/>
    <w:rsid w:val="009B6212"/>
    <w:rsid w:val="009B6779"/>
    <w:rsid w:val="009B6A1C"/>
    <w:rsid w:val="009B7D8E"/>
    <w:rsid w:val="009C0733"/>
    <w:rsid w:val="009C1657"/>
    <w:rsid w:val="009C2B94"/>
    <w:rsid w:val="009C3091"/>
    <w:rsid w:val="009C3FA1"/>
    <w:rsid w:val="009C3FB3"/>
    <w:rsid w:val="009C5018"/>
    <w:rsid w:val="009C5368"/>
    <w:rsid w:val="009C63BF"/>
    <w:rsid w:val="009C6FD7"/>
    <w:rsid w:val="009C711A"/>
    <w:rsid w:val="009C77A0"/>
    <w:rsid w:val="009C787D"/>
    <w:rsid w:val="009D2633"/>
    <w:rsid w:val="009D2A3B"/>
    <w:rsid w:val="009D3F2C"/>
    <w:rsid w:val="009D467A"/>
    <w:rsid w:val="009D4D27"/>
    <w:rsid w:val="009D6399"/>
    <w:rsid w:val="009D659B"/>
    <w:rsid w:val="009D74C2"/>
    <w:rsid w:val="009E033F"/>
    <w:rsid w:val="009E13B3"/>
    <w:rsid w:val="009E400F"/>
    <w:rsid w:val="009E639F"/>
    <w:rsid w:val="009F08CC"/>
    <w:rsid w:val="009F103A"/>
    <w:rsid w:val="009F2D4D"/>
    <w:rsid w:val="009F3474"/>
    <w:rsid w:val="009F5F1D"/>
    <w:rsid w:val="009F65D6"/>
    <w:rsid w:val="009F6F83"/>
    <w:rsid w:val="009F762F"/>
    <w:rsid w:val="009F7699"/>
    <w:rsid w:val="00A00E00"/>
    <w:rsid w:val="00A01A3A"/>
    <w:rsid w:val="00A02579"/>
    <w:rsid w:val="00A0400C"/>
    <w:rsid w:val="00A041A2"/>
    <w:rsid w:val="00A05F42"/>
    <w:rsid w:val="00A064B8"/>
    <w:rsid w:val="00A06C64"/>
    <w:rsid w:val="00A071FD"/>
    <w:rsid w:val="00A105DC"/>
    <w:rsid w:val="00A127A6"/>
    <w:rsid w:val="00A12809"/>
    <w:rsid w:val="00A13762"/>
    <w:rsid w:val="00A14B61"/>
    <w:rsid w:val="00A16754"/>
    <w:rsid w:val="00A17378"/>
    <w:rsid w:val="00A177C0"/>
    <w:rsid w:val="00A20914"/>
    <w:rsid w:val="00A2222A"/>
    <w:rsid w:val="00A22B03"/>
    <w:rsid w:val="00A24D2F"/>
    <w:rsid w:val="00A31F69"/>
    <w:rsid w:val="00A325BF"/>
    <w:rsid w:val="00A34845"/>
    <w:rsid w:val="00A352CC"/>
    <w:rsid w:val="00A36499"/>
    <w:rsid w:val="00A36E83"/>
    <w:rsid w:val="00A37F54"/>
    <w:rsid w:val="00A405F6"/>
    <w:rsid w:val="00A40ABC"/>
    <w:rsid w:val="00A4138F"/>
    <w:rsid w:val="00A428BA"/>
    <w:rsid w:val="00A42A05"/>
    <w:rsid w:val="00A445A3"/>
    <w:rsid w:val="00A4478E"/>
    <w:rsid w:val="00A45316"/>
    <w:rsid w:val="00A45432"/>
    <w:rsid w:val="00A467D1"/>
    <w:rsid w:val="00A47C92"/>
    <w:rsid w:val="00A50372"/>
    <w:rsid w:val="00A51544"/>
    <w:rsid w:val="00A5159D"/>
    <w:rsid w:val="00A521F4"/>
    <w:rsid w:val="00A52B46"/>
    <w:rsid w:val="00A531D2"/>
    <w:rsid w:val="00A538A4"/>
    <w:rsid w:val="00A55E75"/>
    <w:rsid w:val="00A56382"/>
    <w:rsid w:val="00A5657D"/>
    <w:rsid w:val="00A61A38"/>
    <w:rsid w:val="00A62663"/>
    <w:rsid w:val="00A63A2B"/>
    <w:rsid w:val="00A63F6A"/>
    <w:rsid w:val="00A65077"/>
    <w:rsid w:val="00A650AA"/>
    <w:rsid w:val="00A6782A"/>
    <w:rsid w:val="00A71A3C"/>
    <w:rsid w:val="00A74CE8"/>
    <w:rsid w:val="00A75136"/>
    <w:rsid w:val="00A827E4"/>
    <w:rsid w:val="00A82CEC"/>
    <w:rsid w:val="00A838D9"/>
    <w:rsid w:val="00A8526D"/>
    <w:rsid w:val="00A852B1"/>
    <w:rsid w:val="00A859D5"/>
    <w:rsid w:val="00A8676D"/>
    <w:rsid w:val="00A867DF"/>
    <w:rsid w:val="00A879BC"/>
    <w:rsid w:val="00A87B97"/>
    <w:rsid w:val="00A90850"/>
    <w:rsid w:val="00A9193C"/>
    <w:rsid w:val="00A920EB"/>
    <w:rsid w:val="00A9288A"/>
    <w:rsid w:val="00A92CF7"/>
    <w:rsid w:val="00A93350"/>
    <w:rsid w:val="00A93B63"/>
    <w:rsid w:val="00A9487D"/>
    <w:rsid w:val="00A94BEC"/>
    <w:rsid w:val="00A94FF8"/>
    <w:rsid w:val="00A96228"/>
    <w:rsid w:val="00A97802"/>
    <w:rsid w:val="00A97B07"/>
    <w:rsid w:val="00AA3967"/>
    <w:rsid w:val="00AA4190"/>
    <w:rsid w:val="00AA4EAE"/>
    <w:rsid w:val="00AA563D"/>
    <w:rsid w:val="00AA585B"/>
    <w:rsid w:val="00AA5D67"/>
    <w:rsid w:val="00AA6099"/>
    <w:rsid w:val="00AA7BE9"/>
    <w:rsid w:val="00AA7CD4"/>
    <w:rsid w:val="00AB022A"/>
    <w:rsid w:val="00AB3263"/>
    <w:rsid w:val="00AB3D34"/>
    <w:rsid w:val="00AB41DB"/>
    <w:rsid w:val="00AB46AB"/>
    <w:rsid w:val="00AB6586"/>
    <w:rsid w:val="00AB6EC4"/>
    <w:rsid w:val="00AB726A"/>
    <w:rsid w:val="00AB7763"/>
    <w:rsid w:val="00AB7E08"/>
    <w:rsid w:val="00AC0BBE"/>
    <w:rsid w:val="00AC1CD3"/>
    <w:rsid w:val="00AC2105"/>
    <w:rsid w:val="00AC2517"/>
    <w:rsid w:val="00AC26DD"/>
    <w:rsid w:val="00AC3B8E"/>
    <w:rsid w:val="00AC4D9D"/>
    <w:rsid w:val="00AC6725"/>
    <w:rsid w:val="00AC7A10"/>
    <w:rsid w:val="00AC7E87"/>
    <w:rsid w:val="00AD0142"/>
    <w:rsid w:val="00AD09B0"/>
    <w:rsid w:val="00AD1AF8"/>
    <w:rsid w:val="00AD3953"/>
    <w:rsid w:val="00AD42B2"/>
    <w:rsid w:val="00AD5EEE"/>
    <w:rsid w:val="00AD61FC"/>
    <w:rsid w:val="00AD66CC"/>
    <w:rsid w:val="00AD6F60"/>
    <w:rsid w:val="00AD789F"/>
    <w:rsid w:val="00AE0CB1"/>
    <w:rsid w:val="00AE0D81"/>
    <w:rsid w:val="00AE1021"/>
    <w:rsid w:val="00AE1650"/>
    <w:rsid w:val="00AE1F23"/>
    <w:rsid w:val="00AE24ED"/>
    <w:rsid w:val="00AE3FB5"/>
    <w:rsid w:val="00AE601C"/>
    <w:rsid w:val="00AE7D4E"/>
    <w:rsid w:val="00AF1EE7"/>
    <w:rsid w:val="00AF20FA"/>
    <w:rsid w:val="00AF2D92"/>
    <w:rsid w:val="00AF41EB"/>
    <w:rsid w:val="00AF4627"/>
    <w:rsid w:val="00AF5409"/>
    <w:rsid w:val="00AF5B07"/>
    <w:rsid w:val="00AF77E4"/>
    <w:rsid w:val="00B004A2"/>
    <w:rsid w:val="00B009B3"/>
    <w:rsid w:val="00B00B85"/>
    <w:rsid w:val="00B01885"/>
    <w:rsid w:val="00B01F11"/>
    <w:rsid w:val="00B04B20"/>
    <w:rsid w:val="00B05D35"/>
    <w:rsid w:val="00B06328"/>
    <w:rsid w:val="00B06D8F"/>
    <w:rsid w:val="00B07C5C"/>
    <w:rsid w:val="00B10238"/>
    <w:rsid w:val="00B10819"/>
    <w:rsid w:val="00B11390"/>
    <w:rsid w:val="00B114A8"/>
    <w:rsid w:val="00B115A0"/>
    <w:rsid w:val="00B11A9F"/>
    <w:rsid w:val="00B12636"/>
    <w:rsid w:val="00B13FD4"/>
    <w:rsid w:val="00B149A9"/>
    <w:rsid w:val="00B21DCB"/>
    <w:rsid w:val="00B21E0D"/>
    <w:rsid w:val="00B221E9"/>
    <w:rsid w:val="00B23351"/>
    <w:rsid w:val="00B23974"/>
    <w:rsid w:val="00B23B54"/>
    <w:rsid w:val="00B23F62"/>
    <w:rsid w:val="00B24B3B"/>
    <w:rsid w:val="00B25F98"/>
    <w:rsid w:val="00B261B3"/>
    <w:rsid w:val="00B26803"/>
    <w:rsid w:val="00B26B1F"/>
    <w:rsid w:val="00B30A87"/>
    <w:rsid w:val="00B32098"/>
    <w:rsid w:val="00B32CF5"/>
    <w:rsid w:val="00B33E76"/>
    <w:rsid w:val="00B342DD"/>
    <w:rsid w:val="00B35772"/>
    <w:rsid w:val="00B35CA1"/>
    <w:rsid w:val="00B37B53"/>
    <w:rsid w:val="00B37D0E"/>
    <w:rsid w:val="00B401AE"/>
    <w:rsid w:val="00B42169"/>
    <w:rsid w:val="00B4283D"/>
    <w:rsid w:val="00B450D4"/>
    <w:rsid w:val="00B45563"/>
    <w:rsid w:val="00B4655E"/>
    <w:rsid w:val="00B478CF"/>
    <w:rsid w:val="00B47BD7"/>
    <w:rsid w:val="00B508AE"/>
    <w:rsid w:val="00B51BF7"/>
    <w:rsid w:val="00B51F0A"/>
    <w:rsid w:val="00B532CF"/>
    <w:rsid w:val="00B546C4"/>
    <w:rsid w:val="00B54C11"/>
    <w:rsid w:val="00B553DE"/>
    <w:rsid w:val="00B578D7"/>
    <w:rsid w:val="00B6004D"/>
    <w:rsid w:val="00B6068B"/>
    <w:rsid w:val="00B607AF"/>
    <w:rsid w:val="00B60989"/>
    <w:rsid w:val="00B62098"/>
    <w:rsid w:val="00B62A8F"/>
    <w:rsid w:val="00B634F0"/>
    <w:rsid w:val="00B641ED"/>
    <w:rsid w:val="00B64E3D"/>
    <w:rsid w:val="00B66E22"/>
    <w:rsid w:val="00B67D3D"/>
    <w:rsid w:val="00B67F2B"/>
    <w:rsid w:val="00B7010D"/>
    <w:rsid w:val="00B706CB"/>
    <w:rsid w:val="00B7107C"/>
    <w:rsid w:val="00B72EE6"/>
    <w:rsid w:val="00B74887"/>
    <w:rsid w:val="00B75091"/>
    <w:rsid w:val="00B766FA"/>
    <w:rsid w:val="00B803EC"/>
    <w:rsid w:val="00B816FE"/>
    <w:rsid w:val="00B81F20"/>
    <w:rsid w:val="00B82526"/>
    <w:rsid w:val="00B82A43"/>
    <w:rsid w:val="00B83964"/>
    <w:rsid w:val="00B85D0B"/>
    <w:rsid w:val="00B865E4"/>
    <w:rsid w:val="00B86DC7"/>
    <w:rsid w:val="00B872F5"/>
    <w:rsid w:val="00B87DE6"/>
    <w:rsid w:val="00B90B8E"/>
    <w:rsid w:val="00B91381"/>
    <w:rsid w:val="00B91B2B"/>
    <w:rsid w:val="00B93E4A"/>
    <w:rsid w:val="00B9578F"/>
    <w:rsid w:val="00BA2291"/>
    <w:rsid w:val="00BA2890"/>
    <w:rsid w:val="00BA3195"/>
    <w:rsid w:val="00BA4B16"/>
    <w:rsid w:val="00BA4C45"/>
    <w:rsid w:val="00BA5542"/>
    <w:rsid w:val="00BA5A1F"/>
    <w:rsid w:val="00BA5E4B"/>
    <w:rsid w:val="00BA7088"/>
    <w:rsid w:val="00BA7090"/>
    <w:rsid w:val="00BB0A0F"/>
    <w:rsid w:val="00BB23D3"/>
    <w:rsid w:val="00BB2AE2"/>
    <w:rsid w:val="00BB39F5"/>
    <w:rsid w:val="00BB3E39"/>
    <w:rsid w:val="00BB59E1"/>
    <w:rsid w:val="00BB623B"/>
    <w:rsid w:val="00BB6E0A"/>
    <w:rsid w:val="00BB6E17"/>
    <w:rsid w:val="00BB720D"/>
    <w:rsid w:val="00BB7EF8"/>
    <w:rsid w:val="00BC0AD3"/>
    <w:rsid w:val="00BC253C"/>
    <w:rsid w:val="00BC2D08"/>
    <w:rsid w:val="00BC49B3"/>
    <w:rsid w:val="00BC59D7"/>
    <w:rsid w:val="00BC7444"/>
    <w:rsid w:val="00BD0600"/>
    <w:rsid w:val="00BD15EA"/>
    <w:rsid w:val="00BE02A3"/>
    <w:rsid w:val="00BE1615"/>
    <w:rsid w:val="00BE19A4"/>
    <w:rsid w:val="00BE2D39"/>
    <w:rsid w:val="00BE3D05"/>
    <w:rsid w:val="00BE4213"/>
    <w:rsid w:val="00BE455E"/>
    <w:rsid w:val="00BE4978"/>
    <w:rsid w:val="00BE59F9"/>
    <w:rsid w:val="00BE6C79"/>
    <w:rsid w:val="00BF03DF"/>
    <w:rsid w:val="00BF2068"/>
    <w:rsid w:val="00BF25D7"/>
    <w:rsid w:val="00BF3309"/>
    <w:rsid w:val="00BF6696"/>
    <w:rsid w:val="00BF6CDF"/>
    <w:rsid w:val="00C0084E"/>
    <w:rsid w:val="00C01145"/>
    <w:rsid w:val="00C0120F"/>
    <w:rsid w:val="00C02079"/>
    <w:rsid w:val="00C022AE"/>
    <w:rsid w:val="00C0244E"/>
    <w:rsid w:val="00C06078"/>
    <w:rsid w:val="00C066AD"/>
    <w:rsid w:val="00C06725"/>
    <w:rsid w:val="00C06AB9"/>
    <w:rsid w:val="00C06E08"/>
    <w:rsid w:val="00C079D4"/>
    <w:rsid w:val="00C141D1"/>
    <w:rsid w:val="00C1422A"/>
    <w:rsid w:val="00C14367"/>
    <w:rsid w:val="00C163CB"/>
    <w:rsid w:val="00C16D4C"/>
    <w:rsid w:val="00C17945"/>
    <w:rsid w:val="00C20D76"/>
    <w:rsid w:val="00C2176E"/>
    <w:rsid w:val="00C219E0"/>
    <w:rsid w:val="00C21A2A"/>
    <w:rsid w:val="00C21E4E"/>
    <w:rsid w:val="00C22235"/>
    <w:rsid w:val="00C2339E"/>
    <w:rsid w:val="00C239FF"/>
    <w:rsid w:val="00C24474"/>
    <w:rsid w:val="00C302D8"/>
    <w:rsid w:val="00C302FA"/>
    <w:rsid w:val="00C30B83"/>
    <w:rsid w:val="00C33713"/>
    <w:rsid w:val="00C33EB0"/>
    <w:rsid w:val="00C3457F"/>
    <w:rsid w:val="00C348A5"/>
    <w:rsid w:val="00C4148D"/>
    <w:rsid w:val="00C441BA"/>
    <w:rsid w:val="00C458FE"/>
    <w:rsid w:val="00C46B33"/>
    <w:rsid w:val="00C4709C"/>
    <w:rsid w:val="00C503EB"/>
    <w:rsid w:val="00C504D3"/>
    <w:rsid w:val="00C507FD"/>
    <w:rsid w:val="00C508B1"/>
    <w:rsid w:val="00C5093C"/>
    <w:rsid w:val="00C51AEB"/>
    <w:rsid w:val="00C531A7"/>
    <w:rsid w:val="00C5686C"/>
    <w:rsid w:val="00C57C9F"/>
    <w:rsid w:val="00C62FFD"/>
    <w:rsid w:val="00C643AE"/>
    <w:rsid w:val="00C67767"/>
    <w:rsid w:val="00C6788C"/>
    <w:rsid w:val="00C67A58"/>
    <w:rsid w:val="00C67A76"/>
    <w:rsid w:val="00C71EB5"/>
    <w:rsid w:val="00C72494"/>
    <w:rsid w:val="00C727FF"/>
    <w:rsid w:val="00C74819"/>
    <w:rsid w:val="00C7504C"/>
    <w:rsid w:val="00C75261"/>
    <w:rsid w:val="00C76356"/>
    <w:rsid w:val="00C77C82"/>
    <w:rsid w:val="00C804AC"/>
    <w:rsid w:val="00C8134E"/>
    <w:rsid w:val="00C81B63"/>
    <w:rsid w:val="00C85275"/>
    <w:rsid w:val="00C856C2"/>
    <w:rsid w:val="00C86656"/>
    <w:rsid w:val="00C86748"/>
    <w:rsid w:val="00C86F4D"/>
    <w:rsid w:val="00C9056E"/>
    <w:rsid w:val="00C90817"/>
    <w:rsid w:val="00C91728"/>
    <w:rsid w:val="00C928D9"/>
    <w:rsid w:val="00C939F7"/>
    <w:rsid w:val="00C952D4"/>
    <w:rsid w:val="00C9699E"/>
    <w:rsid w:val="00C96CA3"/>
    <w:rsid w:val="00C97202"/>
    <w:rsid w:val="00CA12AE"/>
    <w:rsid w:val="00CA3055"/>
    <w:rsid w:val="00CA3871"/>
    <w:rsid w:val="00CA4033"/>
    <w:rsid w:val="00CA5176"/>
    <w:rsid w:val="00CA6032"/>
    <w:rsid w:val="00CA6AED"/>
    <w:rsid w:val="00CA6BD2"/>
    <w:rsid w:val="00CA6CB3"/>
    <w:rsid w:val="00CA7CDA"/>
    <w:rsid w:val="00CB0090"/>
    <w:rsid w:val="00CB143C"/>
    <w:rsid w:val="00CB1591"/>
    <w:rsid w:val="00CB27A1"/>
    <w:rsid w:val="00CB5061"/>
    <w:rsid w:val="00CB5E55"/>
    <w:rsid w:val="00CB61B2"/>
    <w:rsid w:val="00CB7762"/>
    <w:rsid w:val="00CC22E1"/>
    <w:rsid w:val="00CC2A87"/>
    <w:rsid w:val="00CC3130"/>
    <w:rsid w:val="00CC3315"/>
    <w:rsid w:val="00CC3914"/>
    <w:rsid w:val="00CC3D8D"/>
    <w:rsid w:val="00CC6156"/>
    <w:rsid w:val="00CC6628"/>
    <w:rsid w:val="00CC738B"/>
    <w:rsid w:val="00CD1630"/>
    <w:rsid w:val="00CD1877"/>
    <w:rsid w:val="00CD491F"/>
    <w:rsid w:val="00CE0261"/>
    <w:rsid w:val="00CE0520"/>
    <w:rsid w:val="00CE15A4"/>
    <w:rsid w:val="00CE17D1"/>
    <w:rsid w:val="00CE4F39"/>
    <w:rsid w:val="00CE4FF9"/>
    <w:rsid w:val="00CE555D"/>
    <w:rsid w:val="00CE65EF"/>
    <w:rsid w:val="00CE6A41"/>
    <w:rsid w:val="00CE6F25"/>
    <w:rsid w:val="00CE78C2"/>
    <w:rsid w:val="00CF28DB"/>
    <w:rsid w:val="00CF380A"/>
    <w:rsid w:val="00CF3C8D"/>
    <w:rsid w:val="00CF585D"/>
    <w:rsid w:val="00CF69E7"/>
    <w:rsid w:val="00D01427"/>
    <w:rsid w:val="00D0215C"/>
    <w:rsid w:val="00D03A04"/>
    <w:rsid w:val="00D04056"/>
    <w:rsid w:val="00D0474B"/>
    <w:rsid w:val="00D04F1C"/>
    <w:rsid w:val="00D05E26"/>
    <w:rsid w:val="00D073B8"/>
    <w:rsid w:val="00D07769"/>
    <w:rsid w:val="00D07F75"/>
    <w:rsid w:val="00D10BB7"/>
    <w:rsid w:val="00D11C5E"/>
    <w:rsid w:val="00D12014"/>
    <w:rsid w:val="00D124EA"/>
    <w:rsid w:val="00D125A2"/>
    <w:rsid w:val="00D14557"/>
    <w:rsid w:val="00D15939"/>
    <w:rsid w:val="00D209C0"/>
    <w:rsid w:val="00D22147"/>
    <w:rsid w:val="00D2228A"/>
    <w:rsid w:val="00D22BA8"/>
    <w:rsid w:val="00D22DB1"/>
    <w:rsid w:val="00D23251"/>
    <w:rsid w:val="00D244D0"/>
    <w:rsid w:val="00D26974"/>
    <w:rsid w:val="00D27A14"/>
    <w:rsid w:val="00D3125A"/>
    <w:rsid w:val="00D31C85"/>
    <w:rsid w:val="00D3227F"/>
    <w:rsid w:val="00D3278A"/>
    <w:rsid w:val="00D32B1F"/>
    <w:rsid w:val="00D32E06"/>
    <w:rsid w:val="00D339F7"/>
    <w:rsid w:val="00D3463F"/>
    <w:rsid w:val="00D36F21"/>
    <w:rsid w:val="00D378BC"/>
    <w:rsid w:val="00D41364"/>
    <w:rsid w:val="00D41447"/>
    <w:rsid w:val="00D41D42"/>
    <w:rsid w:val="00D42444"/>
    <w:rsid w:val="00D44813"/>
    <w:rsid w:val="00D44C57"/>
    <w:rsid w:val="00D45FF5"/>
    <w:rsid w:val="00D462AA"/>
    <w:rsid w:val="00D47051"/>
    <w:rsid w:val="00D503ED"/>
    <w:rsid w:val="00D5093D"/>
    <w:rsid w:val="00D5343B"/>
    <w:rsid w:val="00D5418D"/>
    <w:rsid w:val="00D55B8F"/>
    <w:rsid w:val="00D5623D"/>
    <w:rsid w:val="00D576A5"/>
    <w:rsid w:val="00D613FA"/>
    <w:rsid w:val="00D615C9"/>
    <w:rsid w:val="00D62EFA"/>
    <w:rsid w:val="00D64906"/>
    <w:rsid w:val="00D64F35"/>
    <w:rsid w:val="00D64F8F"/>
    <w:rsid w:val="00D661A9"/>
    <w:rsid w:val="00D6682B"/>
    <w:rsid w:val="00D671F6"/>
    <w:rsid w:val="00D6748C"/>
    <w:rsid w:val="00D72CD2"/>
    <w:rsid w:val="00D73141"/>
    <w:rsid w:val="00D74D15"/>
    <w:rsid w:val="00D760A4"/>
    <w:rsid w:val="00D8195B"/>
    <w:rsid w:val="00D851A2"/>
    <w:rsid w:val="00D857C7"/>
    <w:rsid w:val="00D86BAB"/>
    <w:rsid w:val="00D90888"/>
    <w:rsid w:val="00D90AF0"/>
    <w:rsid w:val="00D92501"/>
    <w:rsid w:val="00D92E0E"/>
    <w:rsid w:val="00D94737"/>
    <w:rsid w:val="00D95499"/>
    <w:rsid w:val="00D96241"/>
    <w:rsid w:val="00D96DDE"/>
    <w:rsid w:val="00DA02A7"/>
    <w:rsid w:val="00DA18DA"/>
    <w:rsid w:val="00DA1FEC"/>
    <w:rsid w:val="00DA3651"/>
    <w:rsid w:val="00DA641A"/>
    <w:rsid w:val="00DA69EC"/>
    <w:rsid w:val="00DB0025"/>
    <w:rsid w:val="00DB0905"/>
    <w:rsid w:val="00DB0F48"/>
    <w:rsid w:val="00DB1E31"/>
    <w:rsid w:val="00DB3809"/>
    <w:rsid w:val="00DB5C62"/>
    <w:rsid w:val="00DB64A2"/>
    <w:rsid w:val="00DB6857"/>
    <w:rsid w:val="00DB6954"/>
    <w:rsid w:val="00DB70BC"/>
    <w:rsid w:val="00DB768E"/>
    <w:rsid w:val="00DB7AF3"/>
    <w:rsid w:val="00DB7CE3"/>
    <w:rsid w:val="00DC05E7"/>
    <w:rsid w:val="00DC08D2"/>
    <w:rsid w:val="00DC12F1"/>
    <w:rsid w:val="00DC1779"/>
    <w:rsid w:val="00DC1E36"/>
    <w:rsid w:val="00DC2666"/>
    <w:rsid w:val="00DC3B64"/>
    <w:rsid w:val="00DC4295"/>
    <w:rsid w:val="00DC46DF"/>
    <w:rsid w:val="00DC52E3"/>
    <w:rsid w:val="00DC5F87"/>
    <w:rsid w:val="00DC61BB"/>
    <w:rsid w:val="00DC705F"/>
    <w:rsid w:val="00DC7459"/>
    <w:rsid w:val="00DC7DE8"/>
    <w:rsid w:val="00DD025D"/>
    <w:rsid w:val="00DD052A"/>
    <w:rsid w:val="00DD110B"/>
    <w:rsid w:val="00DD1AFD"/>
    <w:rsid w:val="00DD1BB1"/>
    <w:rsid w:val="00DD321B"/>
    <w:rsid w:val="00DD3485"/>
    <w:rsid w:val="00DD4E82"/>
    <w:rsid w:val="00DD5405"/>
    <w:rsid w:val="00DD544B"/>
    <w:rsid w:val="00DD70F1"/>
    <w:rsid w:val="00DD74EC"/>
    <w:rsid w:val="00DE13B1"/>
    <w:rsid w:val="00DE3174"/>
    <w:rsid w:val="00DE37F1"/>
    <w:rsid w:val="00DE4521"/>
    <w:rsid w:val="00DE47BB"/>
    <w:rsid w:val="00DE60BF"/>
    <w:rsid w:val="00DE79F4"/>
    <w:rsid w:val="00DF0584"/>
    <w:rsid w:val="00DF08A8"/>
    <w:rsid w:val="00DF138A"/>
    <w:rsid w:val="00DF37C3"/>
    <w:rsid w:val="00DF40AB"/>
    <w:rsid w:val="00DF477B"/>
    <w:rsid w:val="00DF7EFE"/>
    <w:rsid w:val="00E009A3"/>
    <w:rsid w:val="00E00DC2"/>
    <w:rsid w:val="00E015BA"/>
    <w:rsid w:val="00E01BA4"/>
    <w:rsid w:val="00E0278B"/>
    <w:rsid w:val="00E02DFA"/>
    <w:rsid w:val="00E0572D"/>
    <w:rsid w:val="00E05743"/>
    <w:rsid w:val="00E05BC3"/>
    <w:rsid w:val="00E060C0"/>
    <w:rsid w:val="00E06139"/>
    <w:rsid w:val="00E071CA"/>
    <w:rsid w:val="00E072E8"/>
    <w:rsid w:val="00E07CCC"/>
    <w:rsid w:val="00E07F40"/>
    <w:rsid w:val="00E10D76"/>
    <w:rsid w:val="00E11E85"/>
    <w:rsid w:val="00E12973"/>
    <w:rsid w:val="00E130FB"/>
    <w:rsid w:val="00E139C7"/>
    <w:rsid w:val="00E14348"/>
    <w:rsid w:val="00E14FAD"/>
    <w:rsid w:val="00E150AB"/>
    <w:rsid w:val="00E15497"/>
    <w:rsid w:val="00E165AD"/>
    <w:rsid w:val="00E16DD9"/>
    <w:rsid w:val="00E1771D"/>
    <w:rsid w:val="00E17844"/>
    <w:rsid w:val="00E201A8"/>
    <w:rsid w:val="00E20457"/>
    <w:rsid w:val="00E20601"/>
    <w:rsid w:val="00E22A39"/>
    <w:rsid w:val="00E231BD"/>
    <w:rsid w:val="00E23625"/>
    <w:rsid w:val="00E23B4E"/>
    <w:rsid w:val="00E254A7"/>
    <w:rsid w:val="00E256F0"/>
    <w:rsid w:val="00E26B95"/>
    <w:rsid w:val="00E305D7"/>
    <w:rsid w:val="00E31011"/>
    <w:rsid w:val="00E317D0"/>
    <w:rsid w:val="00E322F6"/>
    <w:rsid w:val="00E342A7"/>
    <w:rsid w:val="00E34C12"/>
    <w:rsid w:val="00E36841"/>
    <w:rsid w:val="00E40B96"/>
    <w:rsid w:val="00E43A82"/>
    <w:rsid w:val="00E44343"/>
    <w:rsid w:val="00E45B05"/>
    <w:rsid w:val="00E46618"/>
    <w:rsid w:val="00E47602"/>
    <w:rsid w:val="00E5053C"/>
    <w:rsid w:val="00E50AF4"/>
    <w:rsid w:val="00E51148"/>
    <w:rsid w:val="00E513EE"/>
    <w:rsid w:val="00E5200E"/>
    <w:rsid w:val="00E54973"/>
    <w:rsid w:val="00E55AE3"/>
    <w:rsid w:val="00E55CB2"/>
    <w:rsid w:val="00E57F81"/>
    <w:rsid w:val="00E611AA"/>
    <w:rsid w:val="00E62B49"/>
    <w:rsid w:val="00E63607"/>
    <w:rsid w:val="00E63BF7"/>
    <w:rsid w:val="00E66C4F"/>
    <w:rsid w:val="00E71853"/>
    <w:rsid w:val="00E73CF0"/>
    <w:rsid w:val="00E745C7"/>
    <w:rsid w:val="00E75291"/>
    <w:rsid w:val="00E7552B"/>
    <w:rsid w:val="00E759FB"/>
    <w:rsid w:val="00E75B4E"/>
    <w:rsid w:val="00E80A7E"/>
    <w:rsid w:val="00E80C74"/>
    <w:rsid w:val="00E80CC7"/>
    <w:rsid w:val="00E81B37"/>
    <w:rsid w:val="00E82369"/>
    <w:rsid w:val="00E82750"/>
    <w:rsid w:val="00E83A76"/>
    <w:rsid w:val="00E8481F"/>
    <w:rsid w:val="00E84D85"/>
    <w:rsid w:val="00E8537C"/>
    <w:rsid w:val="00E85A3D"/>
    <w:rsid w:val="00E8751E"/>
    <w:rsid w:val="00E87EA8"/>
    <w:rsid w:val="00E900B6"/>
    <w:rsid w:val="00E9055B"/>
    <w:rsid w:val="00E90754"/>
    <w:rsid w:val="00E90ABF"/>
    <w:rsid w:val="00E90C89"/>
    <w:rsid w:val="00E90E04"/>
    <w:rsid w:val="00E9298E"/>
    <w:rsid w:val="00E94E5B"/>
    <w:rsid w:val="00E95576"/>
    <w:rsid w:val="00E957D8"/>
    <w:rsid w:val="00E95BEE"/>
    <w:rsid w:val="00E95DD2"/>
    <w:rsid w:val="00E96603"/>
    <w:rsid w:val="00E96835"/>
    <w:rsid w:val="00E96B6D"/>
    <w:rsid w:val="00E97D93"/>
    <w:rsid w:val="00EA198C"/>
    <w:rsid w:val="00EA2D29"/>
    <w:rsid w:val="00EA575D"/>
    <w:rsid w:val="00EA643D"/>
    <w:rsid w:val="00EA740D"/>
    <w:rsid w:val="00EB0481"/>
    <w:rsid w:val="00EB1D10"/>
    <w:rsid w:val="00EB512E"/>
    <w:rsid w:val="00EB52B9"/>
    <w:rsid w:val="00EB5C69"/>
    <w:rsid w:val="00EB62B1"/>
    <w:rsid w:val="00EB7200"/>
    <w:rsid w:val="00EB7413"/>
    <w:rsid w:val="00EB7A4C"/>
    <w:rsid w:val="00EC0EAE"/>
    <w:rsid w:val="00EC1B6B"/>
    <w:rsid w:val="00EC2552"/>
    <w:rsid w:val="00EC3711"/>
    <w:rsid w:val="00EC414D"/>
    <w:rsid w:val="00EC44F5"/>
    <w:rsid w:val="00EC5100"/>
    <w:rsid w:val="00EC532C"/>
    <w:rsid w:val="00EC538E"/>
    <w:rsid w:val="00EC5653"/>
    <w:rsid w:val="00EC57F7"/>
    <w:rsid w:val="00EC5A6D"/>
    <w:rsid w:val="00EC693A"/>
    <w:rsid w:val="00EC6A93"/>
    <w:rsid w:val="00EC6B7F"/>
    <w:rsid w:val="00EC7757"/>
    <w:rsid w:val="00ED0233"/>
    <w:rsid w:val="00ED0D38"/>
    <w:rsid w:val="00ED138F"/>
    <w:rsid w:val="00ED185E"/>
    <w:rsid w:val="00ED25E5"/>
    <w:rsid w:val="00ED2F27"/>
    <w:rsid w:val="00ED39F7"/>
    <w:rsid w:val="00ED5796"/>
    <w:rsid w:val="00ED6715"/>
    <w:rsid w:val="00ED6783"/>
    <w:rsid w:val="00ED78EF"/>
    <w:rsid w:val="00ED7C31"/>
    <w:rsid w:val="00EE355D"/>
    <w:rsid w:val="00EE3B66"/>
    <w:rsid w:val="00EE3C3F"/>
    <w:rsid w:val="00EE55B4"/>
    <w:rsid w:val="00EE5C86"/>
    <w:rsid w:val="00EE69DA"/>
    <w:rsid w:val="00EF077E"/>
    <w:rsid w:val="00EF0C22"/>
    <w:rsid w:val="00EF16AE"/>
    <w:rsid w:val="00EF227D"/>
    <w:rsid w:val="00EF32DA"/>
    <w:rsid w:val="00EF3DA5"/>
    <w:rsid w:val="00EF6466"/>
    <w:rsid w:val="00EF7D0B"/>
    <w:rsid w:val="00F02A57"/>
    <w:rsid w:val="00F02AD7"/>
    <w:rsid w:val="00F02EBB"/>
    <w:rsid w:val="00F02F2A"/>
    <w:rsid w:val="00F034DC"/>
    <w:rsid w:val="00F03980"/>
    <w:rsid w:val="00F04E37"/>
    <w:rsid w:val="00F0640E"/>
    <w:rsid w:val="00F06F51"/>
    <w:rsid w:val="00F0730A"/>
    <w:rsid w:val="00F132C2"/>
    <w:rsid w:val="00F13B39"/>
    <w:rsid w:val="00F1509F"/>
    <w:rsid w:val="00F16D46"/>
    <w:rsid w:val="00F21102"/>
    <w:rsid w:val="00F242DC"/>
    <w:rsid w:val="00F24765"/>
    <w:rsid w:val="00F2634D"/>
    <w:rsid w:val="00F26647"/>
    <w:rsid w:val="00F2759D"/>
    <w:rsid w:val="00F3103C"/>
    <w:rsid w:val="00F311D9"/>
    <w:rsid w:val="00F321EA"/>
    <w:rsid w:val="00F3279C"/>
    <w:rsid w:val="00F3389B"/>
    <w:rsid w:val="00F355D1"/>
    <w:rsid w:val="00F356F6"/>
    <w:rsid w:val="00F35F08"/>
    <w:rsid w:val="00F365A0"/>
    <w:rsid w:val="00F36962"/>
    <w:rsid w:val="00F37A03"/>
    <w:rsid w:val="00F40A16"/>
    <w:rsid w:val="00F4107D"/>
    <w:rsid w:val="00F41174"/>
    <w:rsid w:val="00F4125F"/>
    <w:rsid w:val="00F417B0"/>
    <w:rsid w:val="00F434B9"/>
    <w:rsid w:val="00F450A4"/>
    <w:rsid w:val="00F45618"/>
    <w:rsid w:val="00F517DB"/>
    <w:rsid w:val="00F51DDC"/>
    <w:rsid w:val="00F5305E"/>
    <w:rsid w:val="00F53750"/>
    <w:rsid w:val="00F55338"/>
    <w:rsid w:val="00F55878"/>
    <w:rsid w:val="00F56130"/>
    <w:rsid w:val="00F60006"/>
    <w:rsid w:val="00F613F7"/>
    <w:rsid w:val="00F618A9"/>
    <w:rsid w:val="00F6198C"/>
    <w:rsid w:val="00F62B00"/>
    <w:rsid w:val="00F62E7B"/>
    <w:rsid w:val="00F6321D"/>
    <w:rsid w:val="00F63516"/>
    <w:rsid w:val="00F6431E"/>
    <w:rsid w:val="00F70164"/>
    <w:rsid w:val="00F70978"/>
    <w:rsid w:val="00F70FE5"/>
    <w:rsid w:val="00F7138A"/>
    <w:rsid w:val="00F71824"/>
    <w:rsid w:val="00F71A86"/>
    <w:rsid w:val="00F71B76"/>
    <w:rsid w:val="00F721D5"/>
    <w:rsid w:val="00F72448"/>
    <w:rsid w:val="00F73EFE"/>
    <w:rsid w:val="00F75C04"/>
    <w:rsid w:val="00F767CA"/>
    <w:rsid w:val="00F7680F"/>
    <w:rsid w:val="00F7697D"/>
    <w:rsid w:val="00F7706D"/>
    <w:rsid w:val="00F81DDA"/>
    <w:rsid w:val="00F822D9"/>
    <w:rsid w:val="00F82D3E"/>
    <w:rsid w:val="00F82EFA"/>
    <w:rsid w:val="00F8353A"/>
    <w:rsid w:val="00F83783"/>
    <w:rsid w:val="00F84B69"/>
    <w:rsid w:val="00F86281"/>
    <w:rsid w:val="00F86304"/>
    <w:rsid w:val="00F873D6"/>
    <w:rsid w:val="00F879E9"/>
    <w:rsid w:val="00F87B52"/>
    <w:rsid w:val="00F87E22"/>
    <w:rsid w:val="00F902AE"/>
    <w:rsid w:val="00F90DFF"/>
    <w:rsid w:val="00F92B04"/>
    <w:rsid w:val="00F93530"/>
    <w:rsid w:val="00F9368B"/>
    <w:rsid w:val="00F96AA8"/>
    <w:rsid w:val="00F971A7"/>
    <w:rsid w:val="00FA25C2"/>
    <w:rsid w:val="00FA2834"/>
    <w:rsid w:val="00FA39B0"/>
    <w:rsid w:val="00FA5345"/>
    <w:rsid w:val="00FA5DD6"/>
    <w:rsid w:val="00FB2B4E"/>
    <w:rsid w:val="00FB58B0"/>
    <w:rsid w:val="00FB6B98"/>
    <w:rsid w:val="00FC1DEA"/>
    <w:rsid w:val="00FC3472"/>
    <w:rsid w:val="00FC3557"/>
    <w:rsid w:val="00FC59C4"/>
    <w:rsid w:val="00FC60E5"/>
    <w:rsid w:val="00FC6B95"/>
    <w:rsid w:val="00FD03C5"/>
    <w:rsid w:val="00FD06D7"/>
    <w:rsid w:val="00FD39BC"/>
    <w:rsid w:val="00FD40C3"/>
    <w:rsid w:val="00FD51B5"/>
    <w:rsid w:val="00FD5338"/>
    <w:rsid w:val="00FD5ACD"/>
    <w:rsid w:val="00FD6559"/>
    <w:rsid w:val="00FD711D"/>
    <w:rsid w:val="00FE0B53"/>
    <w:rsid w:val="00FE2831"/>
    <w:rsid w:val="00FE2CCB"/>
    <w:rsid w:val="00FE37FF"/>
    <w:rsid w:val="00FE4527"/>
    <w:rsid w:val="00FE522E"/>
    <w:rsid w:val="00FF0F1C"/>
    <w:rsid w:val="00FF24ED"/>
    <w:rsid w:val="00FF513E"/>
    <w:rsid w:val="00FF61BF"/>
    <w:rsid w:val="00FF62BD"/>
    <w:rsid w:val="00FF6C10"/>
    <w:rsid w:val="00FF7162"/>
    <w:rsid w:val="00FF75FD"/>
    <w:rsid w:val="24331480"/>
    <w:rsid w:val="26FBB765"/>
    <w:rsid w:val="37C4D3DC"/>
    <w:rsid w:val="5804E6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2050"/>
    <o:shapelayout v:ext="edit">
      <o:idmap v:ext="edit" data="2"/>
    </o:shapelayout>
  </w:shapeDefaults>
  <w:decimalSymbol w:val="."/>
  <w:listSeparator w:val=","/>
  <w14:docId w14:val="2546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49" w:unhideWhenUsed="1"/>
    <w:lsdException w:name="header" w:semiHidden="1" w:uiPriority="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6A5"/>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BF2068"/>
    <w:pPr>
      <w:numPr>
        <w:ilvl w:val="1"/>
        <w:numId w:val="21"/>
      </w:numPr>
      <w:jc w:val="both"/>
    </w:pPr>
  </w:style>
  <w:style w:type="character" w:customStyle="1" w:styleId="BodyText2Char">
    <w:name w:val="Body Text 2 Char"/>
    <w:basedOn w:val="DefaultParagraphFont"/>
    <w:link w:val="BodyText2"/>
    <w:rsid w:val="00BF2068"/>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semiHidden/>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semiHidden/>
    <w:rsid w:val="00E83A76"/>
    <w:rPr>
      <w:sz w:val="20"/>
    </w:rPr>
  </w:style>
  <w:style w:type="character" w:styleId="FootnoteReference">
    <w:name w:val="footnote reference"/>
    <w:basedOn w:val="DefaultParagraphFont"/>
    <w:uiPriority w:val="99"/>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AB3263"/>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21"/>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7B3A61"/>
    <w:pPr>
      <w:numPr>
        <w:ilvl w:val="2"/>
        <w:numId w:val="21"/>
      </w:numPr>
      <w:jc w:val="both"/>
    </w:pPr>
    <w:rPr>
      <w:szCs w:val="16"/>
    </w:rPr>
  </w:style>
  <w:style w:type="character" w:customStyle="1" w:styleId="BodyText3Char">
    <w:name w:val="Body Text 3 Char"/>
    <w:basedOn w:val="DefaultParagraphFont"/>
    <w:link w:val="BodyText3"/>
    <w:rsid w:val="007B3A61"/>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7B3A61"/>
    <w:pPr>
      <w:numPr>
        <w:ilvl w:val="3"/>
        <w:numId w:val="21"/>
      </w:numPr>
      <w:jc w:val="both"/>
    </w:pPr>
  </w:style>
  <w:style w:type="paragraph" w:styleId="BodyText">
    <w:name w:val="Body Text"/>
    <w:basedOn w:val="Normal"/>
    <w:link w:val="BodyTextChar"/>
    <w:uiPriority w:val="49"/>
    <w:semiHidden/>
    <w:unhideWhenUsed/>
    <w:rsid w:val="008C473B"/>
    <w:pPr>
      <w:spacing w:after="120"/>
    </w:pPr>
  </w:style>
  <w:style w:type="character" w:customStyle="1" w:styleId="BodyTextChar">
    <w:name w:val="Body Text Char"/>
    <w:basedOn w:val="DefaultParagraphFont"/>
    <w:link w:val="BodyText"/>
    <w:uiPriority w:val="49"/>
    <w:semiHidden/>
    <w:rsid w:val="008C473B"/>
  </w:style>
  <w:style w:type="paragraph" w:styleId="ListParagraph">
    <w:name w:val="List Paragraph"/>
    <w:basedOn w:val="Normal"/>
    <w:uiPriority w:val="99"/>
    <w:rsid w:val="00CC3130"/>
    <w:pPr>
      <w:ind w:left="720"/>
      <w:contextualSpacing/>
    </w:pPr>
  </w:style>
  <w:style w:type="paragraph" w:customStyle="1" w:styleId="BodyText10">
    <w:name w:val="Body Text1"/>
    <w:rsid w:val="00D32B1F"/>
    <w:pPr>
      <w:widowControl w:val="0"/>
      <w:spacing w:after="85"/>
    </w:pPr>
    <w:rPr>
      <w:rFonts w:eastAsia="Times New Roman"/>
      <w:color w:val="000000"/>
      <w:sz w:val="26"/>
      <w:szCs w:val="20"/>
    </w:rPr>
  </w:style>
  <w:style w:type="character" w:styleId="CommentReference">
    <w:name w:val="annotation reference"/>
    <w:basedOn w:val="DefaultParagraphFont"/>
    <w:uiPriority w:val="49"/>
    <w:semiHidden/>
    <w:unhideWhenUsed/>
    <w:rsid w:val="007E095A"/>
    <w:rPr>
      <w:sz w:val="16"/>
      <w:szCs w:val="16"/>
    </w:rPr>
  </w:style>
  <w:style w:type="paragraph" w:styleId="CommentText">
    <w:name w:val="annotation text"/>
    <w:basedOn w:val="Normal"/>
    <w:link w:val="CommentTextChar"/>
    <w:uiPriority w:val="49"/>
    <w:unhideWhenUsed/>
    <w:rsid w:val="007E095A"/>
    <w:rPr>
      <w:sz w:val="20"/>
      <w:szCs w:val="20"/>
    </w:rPr>
  </w:style>
  <w:style w:type="character" w:customStyle="1" w:styleId="CommentTextChar">
    <w:name w:val="Comment Text Char"/>
    <w:basedOn w:val="DefaultParagraphFont"/>
    <w:link w:val="CommentText"/>
    <w:uiPriority w:val="49"/>
    <w:rsid w:val="007E095A"/>
    <w:rPr>
      <w:sz w:val="20"/>
      <w:szCs w:val="20"/>
    </w:rPr>
  </w:style>
  <w:style w:type="paragraph" w:styleId="CommentSubject">
    <w:name w:val="annotation subject"/>
    <w:basedOn w:val="CommentText"/>
    <w:next w:val="CommentText"/>
    <w:link w:val="CommentSubjectChar"/>
    <w:uiPriority w:val="49"/>
    <w:semiHidden/>
    <w:unhideWhenUsed/>
    <w:rsid w:val="007E095A"/>
    <w:rPr>
      <w:b/>
      <w:bCs/>
    </w:rPr>
  </w:style>
  <w:style w:type="character" w:customStyle="1" w:styleId="CommentSubjectChar">
    <w:name w:val="Comment Subject Char"/>
    <w:basedOn w:val="CommentTextChar"/>
    <w:link w:val="CommentSubject"/>
    <w:uiPriority w:val="49"/>
    <w:semiHidden/>
    <w:rsid w:val="007E095A"/>
    <w:rPr>
      <w:b/>
      <w:bCs/>
      <w:sz w:val="20"/>
      <w:szCs w:val="20"/>
    </w:rPr>
  </w:style>
  <w:style w:type="paragraph" w:styleId="Revision">
    <w:name w:val="Revision"/>
    <w:hidden/>
    <w:uiPriority w:val="99"/>
    <w:semiHidden/>
    <w:rsid w:val="00370D35"/>
    <w:pPr>
      <w:spacing w:after="0"/>
    </w:pPr>
  </w:style>
  <w:style w:type="paragraph" w:customStyle="1" w:styleId="Paragraph">
    <w:name w:val="Paragraph"/>
    <w:basedOn w:val="Normal"/>
    <w:link w:val="ParagraphChar"/>
    <w:qFormat/>
    <w:rsid w:val="00F132C2"/>
    <w:pPr>
      <w:spacing w:after="120"/>
      <w:ind w:firstLine="794"/>
      <w:jc w:val="both"/>
    </w:pPr>
    <w:rPr>
      <w:rFonts w:ascii="Segoe UI" w:eastAsia="Times New Roman" w:hAnsi="Segoe UI"/>
      <w:sz w:val="20"/>
      <w:szCs w:val="20"/>
      <w:lang w:val="en-GB" w:eastAsia="en-US"/>
    </w:rPr>
  </w:style>
  <w:style w:type="character" w:customStyle="1" w:styleId="ParagraphChar">
    <w:name w:val="Paragraph Char"/>
    <w:link w:val="Paragraph"/>
    <w:locked/>
    <w:rsid w:val="00F132C2"/>
    <w:rPr>
      <w:rFonts w:ascii="Segoe UI" w:eastAsia="Times New Roman" w:hAnsi="Segoe UI"/>
      <w:sz w:val="20"/>
      <w:szCs w:val="20"/>
      <w:lang w:val="en-GB" w:eastAsia="en-US"/>
    </w:rPr>
  </w:style>
  <w:style w:type="paragraph" w:customStyle="1" w:styleId="AttachmentSubheading">
    <w:name w:val="Attachment Subheading"/>
    <w:next w:val="BodyText1"/>
    <w:qFormat/>
    <w:rsid w:val="004024F2"/>
    <w:rPr>
      <w:rFonts w:asciiTheme="majorHAnsi" w:hAnsiTheme="majorHAnsi"/>
      <w:b/>
    </w:rPr>
  </w:style>
  <w:style w:type="paragraph" w:customStyle="1" w:styleId="AS">
    <w:name w:val="AS"/>
    <w:aliases w:val="Schedule title Amendment"/>
    <w:basedOn w:val="Normal"/>
    <w:next w:val="Normal"/>
    <w:rsid w:val="000B4BB4"/>
    <w:pPr>
      <w:keepNext/>
      <w:autoSpaceDE w:val="0"/>
      <w:autoSpaceDN w:val="0"/>
      <w:spacing w:before="480" w:after="0"/>
      <w:ind w:left="2410" w:hanging="2410"/>
    </w:pPr>
    <w:rPr>
      <w:rFonts w:ascii="Arial" w:eastAsia="Times New Roman" w:hAnsi="Arial" w:cs="Arial"/>
      <w:b/>
      <w:bCs/>
      <w:sz w:val="32"/>
      <w:szCs w:val="32"/>
    </w:rPr>
  </w:style>
  <w:style w:type="paragraph" w:styleId="NormalWeb">
    <w:name w:val="Normal (Web)"/>
    <w:basedOn w:val="Normal"/>
    <w:uiPriority w:val="99"/>
    <w:semiHidden/>
    <w:unhideWhenUsed/>
    <w:rsid w:val="00C507FD"/>
    <w:pPr>
      <w:spacing w:before="100" w:beforeAutospacing="1" w:after="100" w:afterAutospacing="1"/>
    </w:pPr>
    <w:rPr>
      <w:rFonts w:eastAsia="Times New Roman"/>
    </w:rPr>
  </w:style>
  <w:style w:type="paragraph" w:customStyle="1" w:styleId="IntroTo">
    <w:name w:val="IntroTo:"/>
    <w:basedOn w:val="Normal"/>
    <w:rsid w:val="00ED39F7"/>
    <w:pPr>
      <w:spacing w:after="0"/>
      <w:ind w:left="720" w:hanging="720"/>
    </w:pPr>
    <w:rPr>
      <w:rFonts w:eastAsia="Times New Roman"/>
      <w:szCs w:val="20"/>
      <w:lang w:eastAsia="en-US"/>
    </w:rPr>
  </w:style>
  <w:style w:type="paragraph" w:customStyle="1" w:styleId="ActTitle">
    <w:name w:val="Act Title"/>
    <w:basedOn w:val="Normal"/>
    <w:next w:val="IntroTo"/>
    <w:rsid w:val="000945B6"/>
    <w:pPr>
      <w:pBdr>
        <w:bottom w:val="single" w:sz="4" w:space="3" w:color="auto"/>
      </w:pBdr>
      <w:spacing w:before="480"/>
    </w:pPr>
    <w:rPr>
      <w:rFonts w:ascii="Arial" w:eastAsia="Times New Roman" w:hAnsi="Arial"/>
      <w:i/>
      <w:iCs/>
      <w:sz w:val="28"/>
      <w:szCs w:val="20"/>
    </w:rPr>
  </w:style>
  <w:style w:type="paragraph" w:customStyle="1" w:styleId="IP">
    <w:name w:val="IP"/>
    <w:aliases w:val="Interpretation paragraph"/>
    <w:basedOn w:val="Normal"/>
    <w:next w:val="Normal"/>
    <w:rsid w:val="000945B6"/>
    <w:pPr>
      <w:keepNext/>
      <w:tabs>
        <w:tab w:val="right" w:pos="794"/>
      </w:tabs>
      <w:spacing w:before="120" w:after="0" w:line="260" w:lineRule="exact"/>
      <w:ind w:left="964" w:hanging="964"/>
      <w:jc w:val="both"/>
    </w:pPr>
    <w:rPr>
      <w:rFonts w:eastAsia="Times New Roman"/>
      <w:lang w:eastAsia="en-US"/>
    </w:rPr>
  </w:style>
  <w:style w:type="character" w:customStyle="1" w:styleId="CharSchNo">
    <w:name w:val="CharSchNo"/>
    <w:basedOn w:val="DefaultParagraphFont"/>
    <w:rsid w:val="000945B6"/>
  </w:style>
  <w:style w:type="paragraph" w:customStyle="1" w:styleId="IH">
    <w:name w:val="IH"/>
    <w:aliases w:val="Interpretation heading"/>
    <w:basedOn w:val="Normal"/>
    <w:next w:val="Normal"/>
    <w:rsid w:val="000945B6"/>
    <w:pPr>
      <w:keepNext/>
      <w:spacing w:before="480" w:after="0"/>
      <w:ind w:left="964" w:hanging="964"/>
    </w:pPr>
    <w:rPr>
      <w:rFonts w:ascii="Arial" w:eastAsia="Times New Roman" w:hAnsi="Arial"/>
      <w:b/>
      <w:lang w:eastAsia="en-US"/>
    </w:rPr>
  </w:style>
  <w:style w:type="paragraph" w:customStyle="1" w:styleId="ASref">
    <w:name w:val="AS ref"/>
    <w:basedOn w:val="Normal"/>
    <w:next w:val="Normal"/>
    <w:rsid w:val="000945B6"/>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Text">
    <w:name w:val="CharSchText"/>
    <w:basedOn w:val="DefaultParagraphFont"/>
    <w:rsid w:val="000945B6"/>
  </w:style>
  <w:style w:type="character" w:customStyle="1" w:styleId="eop">
    <w:name w:val="eop"/>
    <w:basedOn w:val="DefaultParagraphFont"/>
    <w:rsid w:val="00EB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8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image" Target="media/image6.emf"/><Relationship Id="rId42" Type="http://schemas.openxmlformats.org/officeDocument/2006/relationships/image" Target="media/image24.emf"/><Relationship Id="rId47" Type="http://schemas.openxmlformats.org/officeDocument/2006/relationships/image" Target="media/image29.emf"/><Relationship Id="rId63" Type="http://schemas.openxmlformats.org/officeDocument/2006/relationships/image" Target="media/image45.png"/><Relationship Id="rId68" Type="http://schemas.openxmlformats.org/officeDocument/2006/relationships/image" Target="media/image50.emf"/><Relationship Id="rId84" Type="http://schemas.openxmlformats.org/officeDocument/2006/relationships/theme" Target="theme/theme1.xml"/><Relationship Id="rId16" Type="http://schemas.openxmlformats.org/officeDocument/2006/relationships/header" Target="header2.xml"/><Relationship Id="rId11" Type="http://schemas.openxmlformats.org/officeDocument/2006/relationships/image" Target="media/image1.wmf"/><Relationship Id="rId32" Type="http://schemas.openxmlformats.org/officeDocument/2006/relationships/image" Target="media/image15.emf"/><Relationship Id="rId37" Type="http://schemas.openxmlformats.org/officeDocument/2006/relationships/image" Target="media/image19.emf"/><Relationship Id="rId53" Type="http://schemas.openxmlformats.org/officeDocument/2006/relationships/image" Target="media/image35.emf"/><Relationship Id="rId58" Type="http://schemas.openxmlformats.org/officeDocument/2006/relationships/image" Target="media/image40.emf"/><Relationship Id="rId74" Type="http://schemas.openxmlformats.org/officeDocument/2006/relationships/image" Target="media/image55.emf"/><Relationship Id="rId79" Type="http://schemas.openxmlformats.org/officeDocument/2006/relationships/image" Target="media/image60.emf"/><Relationship Id="rId5" Type="http://schemas.openxmlformats.org/officeDocument/2006/relationships/numbering" Target="numbering.xml"/><Relationship Id="rId61" Type="http://schemas.openxmlformats.org/officeDocument/2006/relationships/image" Target="media/image43.png"/><Relationship Id="rId82" Type="http://schemas.openxmlformats.org/officeDocument/2006/relationships/footer" Target="footer8.xml"/><Relationship Id="rId19" Type="http://schemas.openxmlformats.org/officeDocument/2006/relationships/image" Target="media/image4.emf"/><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footer" Target="footer5.xml"/><Relationship Id="rId30" Type="http://schemas.openxmlformats.org/officeDocument/2006/relationships/image" Target="media/image13.emf"/><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png"/><Relationship Id="rId69" Type="http://schemas.openxmlformats.org/officeDocument/2006/relationships/image" Target="media/image51.emf"/><Relationship Id="rId77" Type="http://schemas.openxmlformats.org/officeDocument/2006/relationships/image" Target="media/image58.emf"/><Relationship Id="rId8" Type="http://schemas.openxmlformats.org/officeDocument/2006/relationships/webSettings" Target="webSettings.xml"/><Relationship Id="rId51" Type="http://schemas.openxmlformats.org/officeDocument/2006/relationships/image" Target="media/image33.emf"/><Relationship Id="rId72" Type="http://schemas.openxmlformats.org/officeDocument/2006/relationships/image" Target="media/image54.emf"/><Relationship Id="rId80" Type="http://schemas.openxmlformats.org/officeDocument/2006/relationships/image" Target="media/image61.emf"/><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4.xml"/><Relationship Id="rId33" Type="http://schemas.openxmlformats.org/officeDocument/2006/relationships/image" Target="media/image16.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image" Target="media/image49.png"/><Relationship Id="rId20" Type="http://schemas.openxmlformats.org/officeDocument/2006/relationships/image" Target="media/image5.emf"/><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png"/><Relationship Id="rId70" Type="http://schemas.openxmlformats.org/officeDocument/2006/relationships/image" Target="media/image52.emf"/><Relationship Id="rId75" Type="http://schemas.openxmlformats.org/officeDocument/2006/relationships/image" Target="media/image56.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10" Type="http://schemas.openxmlformats.org/officeDocument/2006/relationships/endnotes" Target="endnotes.xml"/><Relationship Id="rId31" Type="http://schemas.openxmlformats.org/officeDocument/2006/relationships/image" Target="media/image14.emf"/><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footer" Target="footer7.xml"/><Relationship Id="rId78" Type="http://schemas.openxmlformats.org/officeDocument/2006/relationships/image" Target="media/image59.emf"/><Relationship Id="rId81" Type="http://schemas.openxmlformats.org/officeDocument/2006/relationships/image" Target="media/image62.emf"/><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3.emf"/><Relationship Id="rId39" Type="http://schemas.openxmlformats.org/officeDocument/2006/relationships/image" Target="media/image21.emf"/><Relationship Id="rId34" Type="http://schemas.openxmlformats.org/officeDocument/2006/relationships/footer" Target="footer6.xml"/><Relationship Id="rId50" Type="http://schemas.openxmlformats.org/officeDocument/2006/relationships/image" Target="media/image32.emf"/><Relationship Id="rId55" Type="http://schemas.openxmlformats.org/officeDocument/2006/relationships/image" Target="media/image37.emf"/><Relationship Id="rId76" Type="http://schemas.openxmlformats.org/officeDocument/2006/relationships/image" Target="media/image57.emf"/><Relationship Id="rId7" Type="http://schemas.openxmlformats.org/officeDocument/2006/relationships/settings" Target="settings.xml"/><Relationship Id="rId71" Type="http://schemas.openxmlformats.org/officeDocument/2006/relationships/image" Target="media/image53.emf"/><Relationship Id="rId2" Type="http://schemas.openxmlformats.org/officeDocument/2006/relationships/customXml" Target="../customXml/item2.xml"/><Relationship Id="rId29" Type="http://schemas.openxmlformats.org/officeDocument/2006/relationships/image" Target="media/image12.emf"/><Relationship Id="rId24" Type="http://schemas.openxmlformats.org/officeDocument/2006/relationships/image" Target="media/image9.emf"/><Relationship Id="rId40" Type="http://schemas.openxmlformats.org/officeDocument/2006/relationships/image" Target="media/image22.emf"/><Relationship Id="rId45" Type="http://schemas.openxmlformats.org/officeDocument/2006/relationships/image" Target="media/image27.emf"/><Relationship Id="rId66" Type="http://schemas.openxmlformats.org/officeDocument/2006/relationships/image" Target="media/image48.png"/></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D163DB4DEE504FAB457909715FEC45" ma:contentTypeVersion="17" ma:contentTypeDescription="Create a new document." ma:contentTypeScope="" ma:versionID="2331766db4130645ec45f560b66a01a7">
  <xsd:schema xmlns:xsd="http://www.w3.org/2001/XMLSchema" xmlns:xs="http://www.w3.org/2001/XMLSchema" xmlns:p="http://schemas.microsoft.com/office/2006/metadata/properties" xmlns:ns1="http://schemas.microsoft.com/sharepoint/v3" xmlns:ns2="92a8a7e8-49a1-4017-acf0-0edc7cce208b" xmlns:ns3="f4148c6b-f494-43bd-afec-4c4bbfd3890b" targetNamespace="http://schemas.microsoft.com/office/2006/metadata/properties" ma:root="true" ma:fieldsID="c7b84690dd511863869f0c959d2cd8df" ns1:_="" ns2:_="" ns3:_="">
    <xsd:import namespace="http://schemas.microsoft.com/sharepoint/v3"/>
    <xsd:import namespace="92a8a7e8-49a1-4017-acf0-0edc7cce208b"/>
    <xsd:import namespace="f4148c6b-f494-43bd-afec-4c4bbfd3890b"/>
    <xsd:element name="properties">
      <xsd:complexType>
        <xsd:sequence>
          <xsd:element name="documentManagement">
            <xsd:complexType>
              <xsd:all>
                <xsd:element ref="ns2:i05115a133414b4dabee2531e4b46b67" minOccurs="0"/>
                <xsd:element ref="ns2:TaxCatchAll" minOccurs="0"/>
                <xsd:element ref="ns2:h67caa35a4114acd8e15fe89b3f29f9e" minOccurs="0"/>
                <xsd:element ref="ns2:k4bcc0d734474fea9fb713d9c415b4b0" minOccurs="0"/>
                <xsd:element ref="ns2:l003ee8eff60461aa1bd0027aba92ea4" minOccurs="0"/>
                <xsd:element ref="ns2:b37d8d7e823543f58f89056343a9035c" minOccurs="0"/>
                <xsd:element ref="ns2:j163382b748246d3b6e7caae71dbeeb0" minOccurs="0"/>
                <xsd:element ref="ns1:_ExtendedDescription" minOccurs="0"/>
                <xsd:element ref="ns2:APRASecurityClassification" minOccurs="0"/>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17" nillable="true" ma:displayName="Description" ma:internalName="_Extended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a8a7e8-49a1-4017-acf0-0edc7cce208b" elementFormDefault="qualified">
    <xsd:import namespace="http://schemas.microsoft.com/office/2006/documentManagement/types"/>
    <xsd:import namespace="http://schemas.microsoft.com/office/infopath/2007/PartnerControls"/>
    <xsd:element name="i05115a133414b4dabee2531e4b46b67" ma:index="8" nillable="true" ma:taxonomy="true" ma:internalName="i05115a133414b4dabee2531e4b46b67" ma:taxonomyFieldName="APRAActivity" ma:displayName="Activity" ma:readOnly="false" ma:fieldId="{205115a1-3341-4b4d-abee-2531e4b46b67}" ma:taxonomyMulti="true" ma:sspId="4ff776a0-f2ac-455d-9889-a581410000f1" ma:termSetId="0a2aee47-fbed-4b43-b934-0547b3421a8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70a7764-7edc-438b-b2cf-51576a8fe6f7}" ma:internalName="TaxCatchAll" ma:showField="CatchAllData" ma:web="92a8a7e8-49a1-4017-acf0-0edc7cce208b">
      <xsd:complexType>
        <xsd:complexContent>
          <xsd:extension base="dms:MultiChoiceLookup">
            <xsd:sequence>
              <xsd:element name="Value" type="dms:Lookup" maxOccurs="unbounded" minOccurs="0" nillable="true"/>
            </xsd:sequence>
          </xsd:extension>
        </xsd:complexContent>
      </xsd:complexType>
    </xsd:element>
    <xsd:element name="h67caa35a4114acd8e15fe89b3f29f9e" ma:index="10" nillable="true" ma:taxonomy="true" ma:internalName="h67caa35a4114acd8e15fe89b3f29f9e" ma:taxonomyFieldName="APRADocumentType" ma:displayName="Document type" ma:readOnly="false" ma:fieldId="{167caa35-a411-4acd-8e15-fe89b3f29f9e}" ma:taxonomyMulti="true" ma:sspId="4ff776a0-f2ac-455d-9889-a581410000f1" ma:termSetId="af1c35f7-5763-4cde-bc1a-b0c7e164f1eb" ma:anchorId="00000000-0000-0000-0000-000000000000" ma:open="false" ma:isKeyword="false">
      <xsd:complexType>
        <xsd:sequence>
          <xsd:element ref="pc:Terms" minOccurs="0" maxOccurs="1"/>
        </xsd:sequence>
      </xsd:complexType>
    </xsd:element>
    <xsd:element name="k4bcc0d734474fea9fb713d9c415b4b0" ma:index="11" nillable="true" ma:taxonomy="true" ma:internalName="k4bcc0d734474fea9fb713d9c415b4b0" ma:taxonomyFieldName="APRAEntityAdviceSupport" ma:displayName="Entity (advice/support)" ma:readOnly="false" ma:fieldId="{44bcc0d7-3447-4fea-9fb7-13d9c415b4b0}" ma:taxonomyMulti="true" ma:sspId="4ff776a0-f2ac-455d-9889-a581410000f1" ma:termSetId="65e4e273-0c24-4815-bb8d-38cd0e8111f8" ma:anchorId="00000000-0000-0000-0000-000000000000" ma:open="false" ma:isKeyword="false">
      <xsd:complexType>
        <xsd:sequence>
          <xsd:element ref="pc:Terms" minOccurs="0" maxOccurs="1"/>
        </xsd:sequence>
      </xsd:complexType>
    </xsd:element>
    <xsd:element name="l003ee8eff60461aa1bd0027aba92ea4" ma:index="12" nillable="true" ma:taxonomy="true" ma:internalName="l003ee8eff60461aa1bd0027aba92ea4" ma:taxonomyFieldName="APRAIndustry" ma:displayName="Industry/Sector" ma:readOnly="false" ma:fieldId="{5003ee8e-ff60-461a-a1bd-0027aba92ea4}" ma:taxonomyMulti="true" ma:sspId="4ff776a0-f2ac-455d-9889-a581410000f1"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13" nillable="true" ma:taxonomy="true" ma:internalName="b37d8d7e823543f58f89056343a9035c" ma:taxonomyFieldName="APRALegislation" ma:displayName="Legislation" ma:readOnly="false" ma:fieldId="{b37d8d7e-8235-43f5-8f89-056343a9035c}" ma:taxonomyMulti="true" ma:sspId="4ff776a0-f2ac-455d-9889-a581410000f1" ma:termSetId="67e0a470-b4af-4691-908a-b900ee38db35" ma:anchorId="00000000-0000-0000-0000-000000000000" ma:open="false" ma:isKeyword="false">
      <xsd:complexType>
        <xsd:sequence>
          <xsd:element ref="pc:Terms" minOccurs="0" maxOccurs="1"/>
        </xsd:sequence>
      </xsd:complexType>
    </xsd:element>
    <xsd:element name="j163382b748246d3b6e7caae71dbeeb0" ma:index="14" nillable="true" ma:taxonomy="true" ma:internalName="j163382b748246d3b6e7caae71dbeeb0" ma:taxonomyFieldName="APRAStatus" ma:displayName="Status" ma:readOnly="false" ma:default="-1;#Draft|0e1556d2-3fe8-443a-ada7-3620563b46b3" ma:fieldId="{3163382b-7482-46d3-b6e7-caae71dbeeb0}" ma:sspId="4ff776a0-f2ac-455d-9889-a581410000f1" ma:termSetId="7eb4e65e-417b-4c63-9676-ecbbffa46ffa" ma:anchorId="00000000-0000-0000-0000-000000000000" ma:open="false" ma:isKeyword="false">
      <xsd:complexType>
        <xsd:sequence>
          <xsd:element ref="pc:Terms" minOccurs="0" maxOccurs="1"/>
        </xsd:sequence>
      </xsd:complexType>
    </xsd:element>
    <xsd:element name="APRASecurityClassification" ma:index="21" nillable="true" ma:displayName="Security classification" ma:default="OFFICIAL: Sensitive" ma:format="Dropdown"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48c6b-f494-43bd-afec-4c4bbfd3890b"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4bcc0d734474fea9fb713d9c415b4b0 xmlns="92a8a7e8-49a1-4017-acf0-0edc7cce208b">
      <Terms xmlns="http://schemas.microsoft.com/office/infopath/2007/PartnerControls"/>
    </k4bcc0d734474fea9fb713d9c415b4b0>
    <APRASecurityClassification xmlns="92a8a7e8-49a1-4017-acf0-0edc7cce208b">OFFICIAL: Sensitive</APRASecurityClassification>
    <i05115a133414b4dabee2531e4b46b67 xmlns="92a8a7e8-49a1-4017-acf0-0edc7cce208b">
      <Terms xmlns="http://schemas.microsoft.com/office/infopath/2007/PartnerControls"/>
    </i05115a133414b4dabee2531e4b46b67>
    <h67caa35a4114acd8e15fe89b3f29f9e xmlns="92a8a7e8-49a1-4017-acf0-0edc7cce208b">
      <Terms xmlns="http://schemas.microsoft.com/office/infopath/2007/PartnerControls"/>
    </h67caa35a4114acd8e15fe89b3f29f9e>
    <l003ee8eff60461aa1bd0027aba92ea4 xmlns="92a8a7e8-49a1-4017-acf0-0edc7cce208b">
      <Terms xmlns="http://schemas.microsoft.com/office/infopath/2007/PartnerControls"/>
    </l003ee8eff60461aa1bd0027aba92ea4>
    <_ExtendedDescription xmlns="http://schemas.microsoft.com/sharepoint/v3" xsi:nil="true"/>
    <TaxCatchAll xmlns="92a8a7e8-49a1-4017-acf0-0edc7cce208b" xsi:nil="true"/>
    <j163382b748246d3b6e7caae71dbeeb0 xmlns="92a8a7e8-49a1-4017-acf0-0edc7cce208b">
      <Terms xmlns="http://schemas.microsoft.com/office/infopath/2007/PartnerControls"/>
    </j163382b748246d3b6e7caae71dbeeb0>
    <b37d8d7e823543f58f89056343a9035c xmlns="92a8a7e8-49a1-4017-acf0-0edc7cce208b">
      <Terms xmlns="http://schemas.microsoft.com/office/infopath/2007/PartnerControls"/>
    </b37d8d7e823543f58f89056343a9035c>
    <SharedWithUsers xmlns="92a8a7e8-49a1-4017-acf0-0edc7cce208b">
      <UserInfo>
        <DisplayName>Toni Michalis</DisplayName>
        <AccountId>342</AccountId>
        <AccountType/>
      </UserInfo>
      <UserInfo>
        <DisplayName>Gideon Holland</DisplayName>
        <AccountId>23</AccountId>
        <AccountType/>
      </UserInfo>
      <UserInfo>
        <DisplayName>Vasili Pirozek</DisplayName>
        <AccountId>211</AccountId>
        <AccountType/>
      </UserInfo>
      <UserInfo>
        <DisplayName>Kara Hooper</DisplayName>
        <AccountId>35</AccountId>
        <AccountType/>
      </UserInfo>
    </SharedWithUsers>
  </documentManagement>
</p:properties>
</file>

<file path=customXml/itemProps1.xml><?xml version="1.0" encoding="utf-8"?>
<ds:datastoreItem xmlns:ds="http://schemas.openxmlformats.org/officeDocument/2006/customXml" ds:itemID="{E45DC990-864E-4A93-84BE-5757F32555C4}"/>
</file>

<file path=customXml/itemProps2.xml><?xml version="1.0" encoding="utf-8"?>
<ds:datastoreItem xmlns:ds="http://schemas.openxmlformats.org/officeDocument/2006/customXml" ds:itemID="{00843E39-55E1-4662-B720-D3CADC10F097}">
  <ds:schemaRefs>
    <ds:schemaRef ds:uri="http://schemas.openxmlformats.org/officeDocument/2006/bibliography"/>
  </ds:schemaRefs>
</ds:datastoreItem>
</file>

<file path=customXml/itemProps3.xml><?xml version="1.0" encoding="utf-8"?>
<ds:datastoreItem xmlns:ds="http://schemas.openxmlformats.org/officeDocument/2006/customXml" ds:itemID="{FD0111B0-0C1E-47DA-A32F-78D6FA4B0A75}">
  <ds:schemaRefs>
    <ds:schemaRef ds:uri="http://schemas.microsoft.com/sharepoint/v3/contenttype/forms"/>
  </ds:schemaRefs>
</ds:datastoreItem>
</file>

<file path=customXml/itemProps4.xml><?xml version="1.0" encoding="utf-8"?>
<ds:datastoreItem xmlns:ds="http://schemas.openxmlformats.org/officeDocument/2006/customXml" ds:itemID="{109FE97D-A356-460F-9421-0273E3F1EC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16992</Words>
  <Characters>88436</Characters>
  <Application>Microsoft Office Word</Application>
  <DocSecurity>0</DocSecurity>
  <Lines>2064</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104728</CharactersWithSpaces>
  <SharedDoc>false</SharedDoc>
  <HLinks>
    <vt:vector size="84" baseType="variant">
      <vt:variant>
        <vt:i4>1310772</vt:i4>
      </vt:variant>
      <vt:variant>
        <vt:i4>80</vt:i4>
      </vt:variant>
      <vt:variant>
        <vt:i4>0</vt:i4>
      </vt:variant>
      <vt:variant>
        <vt:i4>5</vt:i4>
      </vt:variant>
      <vt:variant>
        <vt:lpwstr/>
      </vt:variant>
      <vt:variant>
        <vt:lpwstr>_Toc511230303</vt:lpwstr>
      </vt:variant>
      <vt:variant>
        <vt:i4>1310772</vt:i4>
      </vt:variant>
      <vt:variant>
        <vt:i4>74</vt:i4>
      </vt:variant>
      <vt:variant>
        <vt:i4>0</vt:i4>
      </vt:variant>
      <vt:variant>
        <vt:i4>5</vt:i4>
      </vt:variant>
      <vt:variant>
        <vt:lpwstr/>
      </vt:variant>
      <vt:variant>
        <vt:lpwstr>_Toc511230302</vt:lpwstr>
      </vt:variant>
      <vt:variant>
        <vt:i4>1310772</vt:i4>
      </vt:variant>
      <vt:variant>
        <vt:i4>68</vt:i4>
      </vt:variant>
      <vt:variant>
        <vt:i4>0</vt:i4>
      </vt:variant>
      <vt:variant>
        <vt:i4>5</vt:i4>
      </vt:variant>
      <vt:variant>
        <vt:lpwstr/>
      </vt:variant>
      <vt:variant>
        <vt:lpwstr>_Toc511230301</vt:lpwstr>
      </vt:variant>
      <vt:variant>
        <vt:i4>1310772</vt:i4>
      </vt:variant>
      <vt:variant>
        <vt:i4>62</vt:i4>
      </vt:variant>
      <vt:variant>
        <vt:i4>0</vt:i4>
      </vt:variant>
      <vt:variant>
        <vt:i4>5</vt:i4>
      </vt:variant>
      <vt:variant>
        <vt:lpwstr/>
      </vt:variant>
      <vt:variant>
        <vt:lpwstr>_Toc511230300</vt:lpwstr>
      </vt:variant>
      <vt:variant>
        <vt:i4>1900597</vt:i4>
      </vt:variant>
      <vt:variant>
        <vt:i4>56</vt:i4>
      </vt:variant>
      <vt:variant>
        <vt:i4>0</vt:i4>
      </vt:variant>
      <vt:variant>
        <vt:i4>5</vt:i4>
      </vt:variant>
      <vt:variant>
        <vt:lpwstr/>
      </vt:variant>
      <vt:variant>
        <vt:lpwstr>_Toc511230299</vt:lpwstr>
      </vt:variant>
      <vt:variant>
        <vt:i4>1900597</vt:i4>
      </vt:variant>
      <vt:variant>
        <vt:i4>50</vt:i4>
      </vt:variant>
      <vt:variant>
        <vt:i4>0</vt:i4>
      </vt:variant>
      <vt:variant>
        <vt:i4>5</vt:i4>
      </vt:variant>
      <vt:variant>
        <vt:lpwstr/>
      </vt:variant>
      <vt:variant>
        <vt:lpwstr>_Toc511230298</vt:lpwstr>
      </vt:variant>
      <vt:variant>
        <vt:i4>1900597</vt:i4>
      </vt:variant>
      <vt:variant>
        <vt:i4>44</vt:i4>
      </vt:variant>
      <vt:variant>
        <vt:i4>0</vt:i4>
      </vt:variant>
      <vt:variant>
        <vt:i4>5</vt:i4>
      </vt:variant>
      <vt:variant>
        <vt:lpwstr/>
      </vt:variant>
      <vt:variant>
        <vt:lpwstr>_Toc511230297</vt:lpwstr>
      </vt:variant>
      <vt:variant>
        <vt:i4>1900597</vt:i4>
      </vt:variant>
      <vt:variant>
        <vt:i4>38</vt:i4>
      </vt:variant>
      <vt:variant>
        <vt:i4>0</vt:i4>
      </vt:variant>
      <vt:variant>
        <vt:i4>5</vt:i4>
      </vt:variant>
      <vt:variant>
        <vt:lpwstr/>
      </vt:variant>
      <vt:variant>
        <vt:lpwstr>_Toc511230296</vt:lpwstr>
      </vt:variant>
      <vt:variant>
        <vt:i4>1900597</vt:i4>
      </vt:variant>
      <vt:variant>
        <vt:i4>32</vt:i4>
      </vt:variant>
      <vt:variant>
        <vt:i4>0</vt:i4>
      </vt:variant>
      <vt:variant>
        <vt:i4>5</vt:i4>
      </vt:variant>
      <vt:variant>
        <vt:lpwstr/>
      </vt:variant>
      <vt:variant>
        <vt:lpwstr>_Toc511230295</vt:lpwstr>
      </vt:variant>
      <vt:variant>
        <vt:i4>1900597</vt:i4>
      </vt:variant>
      <vt:variant>
        <vt:i4>26</vt:i4>
      </vt:variant>
      <vt:variant>
        <vt:i4>0</vt:i4>
      </vt:variant>
      <vt:variant>
        <vt:i4>5</vt:i4>
      </vt:variant>
      <vt:variant>
        <vt:lpwstr/>
      </vt:variant>
      <vt:variant>
        <vt:lpwstr>_Toc511230294</vt:lpwstr>
      </vt:variant>
      <vt:variant>
        <vt:i4>1900597</vt:i4>
      </vt:variant>
      <vt:variant>
        <vt:i4>20</vt:i4>
      </vt:variant>
      <vt:variant>
        <vt:i4>0</vt:i4>
      </vt:variant>
      <vt:variant>
        <vt:i4>5</vt:i4>
      </vt:variant>
      <vt:variant>
        <vt:lpwstr/>
      </vt:variant>
      <vt:variant>
        <vt:lpwstr>_Toc511230293</vt:lpwstr>
      </vt:variant>
      <vt:variant>
        <vt:i4>1900597</vt:i4>
      </vt:variant>
      <vt:variant>
        <vt:i4>14</vt:i4>
      </vt:variant>
      <vt:variant>
        <vt:i4>0</vt:i4>
      </vt:variant>
      <vt:variant>
        <vt:i4>5</vt:i4>
      </vt:variant>
      <vt:variant>
        <vt:lpwstr/>
      </vt:variant>
      <vt:variant>
        <vt:lpwstr>_Toc511230292</vt:lpwstr>
      </vt:variant>
      <vt:variant>
        <vt:i4>1900597</vt:i4>
      </vt:variant>
      <vt:variant>
        <vt:i4>8</vt:i4>
      </vt:variant>
      <vt:variant>
        <vt:i4>0</vt:i4>
      </vt:variant>
      <vt:variant>
        <vt:i4>5</vt:i4>
      </vt:variant>
      <vt:variant>
        <vt:lpwstr/>
      </vt:variant>
      <vt:variant>
        <vt:lpwstr>_Toc511230291</vt:lpwstr>
      </vt:variant>
      <vt:variant>
        <vt:i4>1900597</vt:i4>
      </vt:variant>
      <vt:variant>
        <vt:i4>2</vt:i4>
      </vt:variant>
      <vt:variant>
        <vt:i4>0</vt:i4>
      </vt:variant>
      <vt:variant>
        <vt:i4>5</vt:i4>
      </vt:variant>
      <vt:variant>
        <vt:lpwstr/>
      </vt:variant>
      <vt:variant>
        <vt:lpwstr>_Toc511230290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[SEC=OFFICIAL]</cp:keywords>
  <dc:description/>
  <cp:lastModifiedBy/>
  <cp:revision>1</cp:revision>
  <dcterms:created xsi:type="dcterms:W3CDTF">2023-11-30T05:58:00Z</dcterms:created>
  <dcterms:modified xsi:type="dcterms:W3CDTF">2023-11-30T05:58:00Z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DisplayValueSecClassificationWithQualifier">
    <vt:lpwstr>OFFICIAL</vt:lpwstr>
  </property>
  <property fmtid="{D5CDD505-2E9C-101B-9397-08002B2CF9AE}" pid="3" name="MSIP_Label_c0129afb-6481-4f92-bc9f-5a4a6346364d_Method">
    <vt:lpwstr>Privileged</vt:lpwstr>
  </property>
  <property fmtid="{D5CDD505-2E9C-101B-9397-08002B2CF9AE}" pid="4" name="PM_SecurityClassification">
    <vt:lpwstr>OFFICIAL</vt:lpwstr>
  </property>
  <property fmtid="{D5CDD505-2E9C-101B-9397-08002B2CF9AE}" pid="5" name="PM_Qualifier">
    <vt:lpwstr/>
  </property>
  <property fmtid="{D5CDD505-2E9C-101B-9397-08002B2CF9AE}" pid="6" name="PM_InsertionValue">
    <vt:lpwstr>OFFICIAL</vt:lpwstr>
  </property>
  <property fmtid="{D5CDD505-2E9C-101B-9397-08002B2CF9AE}" pid="7" name="PM_Hash_Version">
    <vt:lpwstr>2022.1</vt:lpwstr>
  </property>
  <property fmtid="{D5CDD505-2E9C-101B-9397-08002B2CF9AE}" pid="8" name="PM_Qualifier_Prev">
    <vt:lpwstr/>
  </property>
  <property fmtid="{D5CDD505-2E9C-101B-9397-08002B2CF9AE}" pid="9" name="PM_SecurityClassification_Prev">
    <vt:lpwstr>OFFICIAL</vt:lpwstr>
  </property>
  <property fmtid="{D5CDD505-2E9C-101B-9397-08002B2CF9AE}" pid="10" name="PM_ProtectiveMarkingImage_Header">
    <vt:lpwstr>C:\Program Files\Common Files\janusNET Shared\janusSEAL\Images\DocumentSlashBlue.png</vt:lpwstr>
  </property>
  <property fmtid="{D5CDD505-2E9C-101B-9397-08002B2CF9AE}" pid="11" name="PM_OriginationTimeStamp">
    <vt:lpwstr>2022-12-09T04:13:14Z</vt:lpwstr>
  </property>
  <property fmtid="{D5CDD505-2E9C-101B-9397-08002B2CF9AE}" pid="12" name="PM_ProtectiveMarkingValue_Header">
    <vt:lpwstr>OFFICIAL</vt:lpwstr>
  </property>
  <property fmtid="{D5CDD505-2E9C-101B-9397-08002B2CF9AE}" pid="13" name="PM_Originating_FileId">
    <vt:lpwstr>39FE603445734582ADE34FF1414132F4</vt:lpwstr>
  </property>
  <property fmtid="{D5CDD505-2E9C-101B-9397-08002B2CF9AE}" pid="14" name="PM_ProtectiveMarkingValue_Footer">
    <vt:lpwstr>OFFICIAL</vt:lpwstr>
  </property>
  <property fmtid="{D5CDD505-2E9C-101B-9397-08002B2CF9AE}" pid="15" name="PM_ProtectiveMarkingImage_Footer">
    <vt:lpwstr>C:\Program Files\Common Files\janusNET Shared\janusSEAL\Images\DocumentSlashBlue.png</vt:lpwstr>
  </property>
  <property fmtid="{D5CDD505-2E9C-101B-9397-08002B2CF9AE}" pid="16" name="PM_Namespace">
    <vt:lpwstr>gov.au</vt:lpwstr>
  </property>
  <property fmtid="{D5CDD505-2E9C-101B-9397-08002B2CF9AE}" pid="17" name="PM_Version">
    <vt:lpwstr>2018.4</vt:lpwstr>
  </property>
  <property fmtid="{D5CDD505-2E9C-101B-9397-08002B2CF9AE}" pid="18" name="PM_Note">
    <vt:lpwstr/>
  </property>
  <property fmtid="{D5CDD505-2E9C-101B-9397-08002B2CF9AE}" pid="19" name="PM_Markers">
    <vt:lpwstr/>
  </property>
  <property fmtid="{D5CDD505-2E9C-101B-9397-08002B2CF9AE}" pid="20" name="PM_Display">
    <vt:lpwstr>OFFICIAL</vt:lpwstr>
  </property>
  <property fmtid="{D5CDD505-2E9C-101B-9397-08002B2CF9AE}" pid="21" name="PMUuid">
    <vt:lpwstr>v=2022.2;d=gov.au;g=46DD6D7C-8107-577B-BC6E-F348953B2E44</vt:lpwstr>
  </property>
  <property fmtid="{D5CDD505-2E9C-101B-9397-08002B2CF9AE}" pid="22" name="PM_OriginatorDomainName_SHA256">
    <vt:lpwstr>ECBDE2B44A971754412B3FB70606937A119CC0D4B6C1B658A40FBD41C30BE3EC</vt:lpwstr>
  </property>
  <property fmtid="{D5CDD505-2E9C-101B-9397-08002B2CF9AE}" pid="23" name="MSIP_Label_c0129afb-6481-4f92-bc9f-5a4a6346364d_Name">
    <vt:lpwstr>OFFICIAL</vt:lpwstr>
  </property>
  <property fmtid="{D5CDD505-2E9C-101B-9397-08002B2CF9AE}" pid="24" name="MSIP_Label_c0129afb-6481-4f92-bc9f-5a4a6346364d_SiteId">
    <vt:lpwstr>c05e3ffd-b491-4431-9809-e61d4dc78816</vt:lpwstr>
  </property>
  <property fmtid="{D5CDD505-2E9C-101B-9397-08002B2CF9AE}" pid="25" name="MSIP_Label_c0129afb-6481-4f92-bc9f-5a4a6346364d_ContentBits">
    <vt:lpwstr>0</vt:lpwstr>
  </property>
  <property fmtid="{D5CDD505-2E9C-101B-9397-08002B2CF9AE}" pid="26" name="MSIP_Label_c0129afb-6481-4f92-bc9f-5a4a6346364d_Enabled">
    <vt:lpwstr>true</vt:lpwstr>
  </property>
  <property fmtid="{D5CDD505-2E9C-101B-9397-08002B2CF9AE}" pid="27" name="MSIP_Label_c0129afb-6481-4f92-bc9f-5a4a6346364d_SetDate">
    <vt:lpwstr>2022-12-09T04:13:14Z</vt:lpwstr>
  </property>
  <property fmtid="{D5CDD505-2E9C-101B-9397-08002B2CF9AE}" pid="28" name="PM_Caveats_Count">
    <vt:lpwstr>0</vt:lpwstr>
  </property>
  <property fmtid="{D5CDD505-2E9C-101B-9397-08002B2CF9AE}" pid="29" name="ContentTypeId">
    <vt:lpwstr>0x01010080D163DB4DEE504FAB457909715FEC45</vt:lpwstr>
  </property>
  <property fmtid="{D5CDD505-2E9C-101B-9397-08002B2CF9AE}" pid="30" name="PM_Originator_Hash_SHA1">
    <vt:lpwstr>2CBCB4AD3B7FB4FD5099F12BB02129F49D9A583F</vt:lpwstr>
  </property>
  <property fmtid="{D5CDD505-2E9C-101B-9397-08002B2CF9AE}" pid="31" name="PM_OriginatorUserAccountName_SHA256">
    <vt:lpwstr>39842B6CBDF7E011F4EE41652891E4F5264F812484841ED99866508E9E04668D</vt:lpwstr>
  </property>
  <property fmtid="{D5CDD505-2E9C-101B-9397-08002B2CF9AE}" pid="32" name="PMHMAC">
    <vt:lpwstr>v=2022.1;a=SHA256;h=C7A899A05B640A9005BC371551CD6439D879529F1D25ED27BACC231C1740FDE6</vt:lpwstr>
  </property>
  <property fmtid="{D5CDD505-2E9C-101B-9397-08002B2CF9AE}" pid="33" name="PM_Hash_Salt_Prev">
    <vt:lpwstr>CE32D25D55DCCF744B95378CF56D3E3A</vt:lpwstr>
  </property>
  <property fmtid="{D5CDD505-2E9C-101B-9397-08002B2CF9AE}" pid="34" name="PM_Hash_Salt">
    <vt:lpwstr>9B088F51B858290F354C4B0495155A7D</vt:lpwstr>
  </property>
  <property fmtid="{D5CDD505-2E9C-101B-9397-08002B2CF9AE}" pid="35" name="PM_Hash_SHA1">
    <vt:lpwstr>D74F31D301ADB328417AC233414BCF4104B2CFE6</vt:lpwstr>
  </property>
  <property fmtid="{D5CDD505-2E9C-101B-9397-08002B2CF9AE}" pid="36" name="MSIP_Label_c0129afb-6481-4f92-bc9f-5a4a6346364d_ActionId">
    <vt:lpwstr>48ec749048a24d7facaca6dbbe9bced4</vt:lpwstr>
  </property>
  <property fmtid="{D5CDD505-2E9C-101B-9397-08002B2CF9AE}" pid="37" name="APRADocumentType">
    <vt:lpwstr/>
  </property>
  <property fmtid="{D5CDD505-2E9C-101B-9397-08002B2CF9AE}" pid="38" name="APRAActivity">
    <vt:lpwstr/>
  </property>
  <property fmtid="{D5CDD505-2E9C-101B-9397-08002B2CF9AE}" pid="39" name="APRALegislation">
    <vt:lpwstr/>
  </property>
  <property fmtid="{D5CDD505-2E9C-101B-9397-08002B2CF9AE}" pid="40" name="APRAStatus">
    <vt:lpwstr/>
  </property>
  <property fmtid="{D5CDD505-2E9C-101B-9397-08002B2CF9AE}" pid="41" name="APRAEntityAdviceSupport">
    <vt:lpwstr/>
  </property>
  <property fmtid="{D5CDD505-2E9C-101B-9397-08002B2CF9AE}" pid="42" name="APRAIndustry">
    <vt:lpwstr/>
  </property>
</Properties>
</file>