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4"/>
          <w:szCs w:val="44"/>
        </w:rPr>
        <w:t xml:space="preserve">AulaSense</w:t>
      </w:r>
    </w:p>
    <w:p>
      <w:pPr>
        <w:spacing w:after="40"/>
      </w:pPr>
      <w:r>
        <w:rPr>
          <w:color w:val="444444"/>
          <w:sz w:val="26"/>
          <w:szCs w:val="26"/>
        </w:rPr>
        <w:t xml:space="preserve">Informe de avance — Diseño de hardware</w:t>
      </w:r>
    </w:p>
    <w:p>
      <w:pPr>
        <w:spacing w:after="40"/>
      </w:pPr>
      <w:r>
        <w:rPr>
          <w:b/>
          <w:bCs/>
          <w:color w:val="1E7145"/>
          <w:sz w:val="22"/>
          <w:szCs w:val="22"/>
        </w:rPr>
        <w:t xml:space="preserve">Fase 1: Esquemático electrónico — COMPLETADA</w:t>
      </w:r>
    </w:p>
    <w:p>
      <w:pPr>
        <w:spacing w:after="200"/>
      </w:pPr>
      <w:r>
        <w:rPr>
          <w:color w:val="666666"/>
          <w:sz w:val="20"/>
          <w:szCs w:val="20"/>
        </w:rPr>
        <w:t xml:space="preserve">Juan Sebastián Sierra Arenas  ·  Ficha 2879896  ·  SENA CEET  ·  10 de agosto de 2026</w:t>
      </w:r>
    </w:p>
    <w:p>
      <w:pPr>
        <w:pBdr>
          <w:bottom w:val="single" w:color="1F4E79" w:sz="6"/>
        </w:pBdr>
        <w:spacing w:after="200"/>
      </w:pPr>
    </w:p>
    <w:p>
      <w:pPr>
        <w:pStyle w:val="Heading1"/>
        <w:spacing w:after="160" w:before="360"/>
      </w:pPr>
      <w:r>
        <w:t xml:space="preserve">1. Resumen ejecutivo</w:t>
      </w:r>
    </w:p>
    <w:p>
      <w:pPr>
        <w:spacing w:after="120"/>
      </w:pPr>
      <w:r>
        <w:rPr>
          <w:sz w:val="22"/>
          <w:szCs w:val="22"/>
        </w:rPr>
        <w:t xml:space="preserve">Se completó el diseño del esquemático electrónico de AulaSense en KiCad 10.0, validado sin errores ni advertencias. El trabajo cubre el entregable de la sección 3.8 del plan de negocios (planos y repositorio técnico) y deja el proyecto listo para iniciar el diseño de la PCB.</w:t>
      </w:r>
    </w:p>
    <w:p>
      <w:pPr>
        <w:spacing w:after="120"/>
      </w:pPr>
      <w:r>
        <w:rPr>
          <w:sz w:val="22"/>
          <w:szCs w:val="22"/>
        </w:rPr>
        <w:t xml:space="preserve">Se adoptó una decisión de arquitectura clave: una sola placa para los tres kits (Básico, Educativo y Premium), diferenciados por los componentes que se sueldan en cada versión. Esto reduce a un tercio el trabajo de diseño, validación y fabricación, y es coherente con lo planteado en el plan sobre que los tres productos comparten el 70% de sus actividades de ensamble.</w:t>
      </w:r>
    </w:p>
    <w:p>
      <w:pPr>
        <w:pStyle w:val="Heading2"/>
        <w:spacing w:after="120" w:before="260"/>
      </w:pPr>
      <w:r>
        <w:t xml:space="preserve">Estado de las fases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00"/>
      </w:tblGrid>
      <w:tr>
        <w:trPr>
          <w:tblHeader/>
        </w:trPr>
        <w:tc>
          <w:tcPr>
            <w:tcW w:type="dxa" w:w="3000"/>
            <w:shd w:fill="DCE6F1" w:color="auto" w:val="clear"/>
            <w:tcMar>
              <w:top w:type="dxa" w:w="60"/>
              <w:left w:type="dxa" w:w="100"/>
              <w:bottom w:type="dxa" w:w="60"/>
              <w:right w:type="dxa" w:w="100"/>
            </w:tcMar>
          </w:tcPr>
          <w:p>
            <w:r>
              <w:rPr>
                <w:b/>
                <w:bCs/>
                <w:sz w:val="20"/>
                <w:szCs w:val="20"/>
              </w:rPr>
              <w:t xml:space="preserve">Fase</w:t>
            </w:r>
          </w:p>
        </w:tc>
        <w:tc>
          <w:tcPr>
            <w:tcW w:type="dxa" w:w="2200"/>
            <w:shd w:fill="DCE6F1" w:color="auto" w:val="clear"/>
            <w:tcMar>
              <w:top w:type="dxa" w:w="60"/>
              <w:left w:type="dxa" w:w="100"/>
              <w:bottom w:type="dxa" w:w="60"/>
              <w:right w:type="dxa" w:w="100"/>
            </w:tcMar>
          </w:tcPr>
          <w:p>
            <w:r>
              <w:rPr>
                <w:b/>
                <w:bCs/>
                <w:sz w:val="20"/>
                <w:szCs w:val="20"/>
              </w:rPr>
              <w:t xml:space="preserve">Estado</w:t>
            </w:r>
          </w:p>
        </w:tc>
        <w:tc>
          <w:tcPr>
            <w:tcW w:type="dxa" w:w="3800"/>
            <w:shd w:fill="DCE6F1" w:color="auto" w:val="clear"/>
            <w:tcMar>
              <w:top w:type="dxa" w:w="60"/>
              <w:left w:type="dxa" w:w="100"/>
              <w:bottom w:type="dxa" w:w="60"/>
              <w:right w:type="dxa" w:w="100"/>
            </w:tcMar>
          </w:tcPr>
          <w:p>
            <w:r>
              <w:rPr>
                <w:b/>
                <w:bCs/>
                <w:sz w:val="20"/>
                <w:szCs w:val="20"/>
              </w:rPr>
              <w:t xml:space="preserve">Observación</w:t>
            </w:r>
          </w:p>
        </w:tc>
      </w:tr>
      <w:tr>
        <w:tc>
          <w:tcPr>
            <w:tcW w:type="dxa" w:w="3000"/>
            <w:tcMar>
              <w:top w:type="dxa" w:w="60"/>
              <w:left w:type="dxa" w:w="100"/>
              <w:bottom w:type="dxa" w:w="60"/>
              <w:right w:type="dxa" w:w="100"/>
            </w:tcMar>
          </w:tcPr>
          <w:p>
            <w:r>
              <w:rPr>
                <w:b w:val="false"/>
                <w:bCs w:val="false"/>
                <w:sz w:val="20"/>
                <w:szCs w:val="20"/>
              </w:rPr>
              <w:t xml:space="preserve">Repositorio Git</w:t>
            </w:r>
          </w:p>
        </w:tc>
        <w:tc>
          <w:tcPr>
            <w:tcW w:type="dxa" w:w="2200"/>
            <w:tcMar>
              <w:top w:type="dxa" w:w="60"/>
              <w:left w:type="dxa" w:w="100"/>
              <w:bottom w:type="dxa" w:w="60"/>
              <w:right w:type="dxa" w:w="100"/>
            </w:tcMar>
          </w:tcPr>
          <w:p>
            <w:r>
              <w:rPr>
                <w:b w:val="false"/>
                <w:bCs w:val="false"/>
                <w:sz w:val="20"/>
                <w:szCs w:val="20"/>
              </w:rPr>
              <w:t xml:space="preserve">Completada</w:t>
            </w:r>
          </w:p>
        </w:tc>
        <w:tc>
          <w:tcPr>
            <w:tcW w:type="dxa" w:w="3800"/>
            <w:tcMar>
              <w:top w:type="dxa" w:w="60"/>
              <w:left w:type="dxa" w:w="100"/>
              <w:bottom w:type="dxa" w:w="60"/>
              <w:right w:type="dxa" w:w="100"/>
            </w:tcMar>
          </w:tcPr>
          <w:p>
            <w:r>
              <w:rPr>
                <w:b w:val="false"/>
                <w:bCs w:val="false"/>
                <w:sz w:val="20"/>
                <w:szCs w:val="20"/>
              </w:rPr>
              <w:t xml:space="preserve">Monorepo publicado en GitHub</w:t>
            </w:r>
          </w:p>
        </w:tc>
      </w:tr>
      <w:tr>
        <w:tc>
          <w:tcPr>
            <w:tcW w:type="dxa" w:w="3000"/>
            <w:tcMar>
              <w:top w:type="dxa" w:w="60"/>
              <w:left w:type="dxa" w:w="100"/>
              <w:bottom w:type="dxa" w:w="60"/>
              <w:right w:type="dxa" w:w="100"/>
            </w:tcMar>
          </w:tcPr>
          <w:p>
            <w:r>
              <w:rPr>
                <w:b w:val="false"/>
                <w:bCs w:val="false"/>
                <w:sz w:val="20"/>
                <w:szCs w:val="20"/>
              </w:rPr>
              <w:t xml:space="preserve">Fase 1 — Esquemático</w:t>
            </w:r>
          </w:p>
        </w:tc>
        <w:tc>
          <w:tcPr>
            <w:tcW w:type="dxa" w:w="2200"/>
            <w:tcMar>
              <w:top w:type="dxa" w:w="60"/>
              <w:left w:type="dxa" w:w="100"/>
              <w:bottom w:type="dxa" w:w="60"/>
              <w:right w:type="dxa" w:w="100"/>
            </w:tcMar>
          </w:tcPr>
          <w:p>
            <w:r>
              <w:rPr>
                <w:b w:val="false"/>
                <w:bCs w:val="false"/>
                <w:sz w:val="20"/>
                <w:szCs w:val="20"/>
              </w:rPr>
              <w:t xml:space="preserve">Completada</w:t>
            </w:r>
          </w:p>
        </w:tc>
        <w:tc>
          <w:tcPr>
            <w:tcW w:type="dxa" w:w="3800"/>
            <w:tcMar>
              <w:top w:type="dxa" w:w="60"/>
              <w:left w:type="dxa" w:w="100"/>
              <w:bottom w:type="dxa" w:w="60"/>
              <w:right w:type="dxa" w:w="100"/>
            </w:tcMar>
          </w:tcPr>
          <w:p>
            <w:r>
              <w:rPr>
                <w:b w:val="false"/>
                <w:bCs w:val="false"/>
                <w:sz w:val="20"/>
                <w:szCs w:val="20"/>
              </w:rPr>
              <w:t xml:space="preserve">ERC con cero infracciones</w:t>
            </w:r>
          </w:p>
        </w:tc>
      </w:tr>
      <w:tr>
        <w:tc>
          <w:tcPr>
            <w:tcW w:type="dxa" w:w="3000"/>
            <w:tcMar>
              <w:top w:type="dxa" w:w="60"/>
              <w:left w:type="dxa" w:w="100"/>
              <w:bottom w:type="dxa" w:w="60"/>
              <w:right w:type="dxa" w:w="100"/>
            </w:tcMar>
          </w:tcPr>
          <w:p>
            <w:r>
              <w:rPr>
                <w:b w:val="false"/>
                <w:bCs w:val="false"/>
                <w:sz w:val="20"/>
                <w:szCs w:val="20"/>
              </w:rPr>
              <w:t xml:space="preserve">Fase 2 — PCB</w:t>
            </w:r>
          </w:p>
        </w:tc>
        <w:tc>
          <w:tcPr>
            <w:tcW w:type="dxa" w:w="2200"/>
            <w:tcMar>
              <w:top w:type="dxa" w:w="60"/>
              <w:left w:type="dxa" w:w="100"/>
              <w:bottom w:type="dxa" w:w="60"/>
              <w:right w:type="dxa" w:w="100"/>
            </w:tcMar>
          </w:tcPr>
          <w:p>
            <w:r>
              <w:rPr>
                <w:b w:val="false"/>
                <w:bCs w:val="false"/>
                <w:sz w:val="20"/>
                <w:szCs w:val="20"/>
              </w:rPr>
              <w:t xml:space="preserve">Pendiente</w:t>
            </w:r>
          </w:p>
        </w:tc>
        <w:tc>
          <w:tcPr>
            <w:tcW w:type="dxa" w:w="3800"/>
            <w:tcMar>
              <w:top w:type="dxa" w:w="60"/>
              <w:left w:type="dxa" w:w="100"/>
              <w:bottom w:type="dxa" w:w="60"/>
              <w:right w:type="dxa" w:w="100"/>
            </w:tcMar>
          </w:tcPr>
          <w:p>
            <w:r>
              <w:rPr>
                <w:b w:val="false"/>
                <w:bCs w:val="false"/>
                <w:sz w:val="20"/>
                <w:szCs w:val="20"/>
              </w:rPr>
              <w:t xml:space="preserve">Requiere verificar pinout físico</w:t>
            </w:r>
          </w:p>
        </w:tc>
      </w:tr>
      <w:tr>
        <w:tc>
          <w:tcPr>
            <w:tcW w:type="dxa" w:w="3000"/>
            <w:tcMar>
              <w:top w:type="dxa" w:w="60"/>
              <w:left w:type="dxa" w:w="100"/>
              <w:bottom w:type="dxa" w:w="60"/>
              <w:right w:type="dxa" w:w="100"/>
            </w:tcMar>
          </w:tcPr>
          <w:p>
            <w:r>
              <w:rPr>
                <w:b w:val="false"/>
                <w:bCs w:val="false"/>
                <w:sz w:val="20"/>
                <w:szCs w:val="20"/>
              </w:rPr>
              <w:t xml:space="preserve">Fase 3 — Fabricación</w:t>
            </w:r>
          </w:p>
        </w:tc>
        <w:tc>
          <w:tcPr>
            <w:tcW w:type="dxa" w:w="2200"/>
            <w:tcMar>
              <w:top w:type="dxa" w:w="60"/>
              <w:left w:type="dxa" w:w="100"/>
              <w:bottom w:type="dxa" w:w="60"/>
              <w:right w:type="dxa" w:w="100"/>
            </w:tcMar>
          </w:tcPr>
          <w:p>
            <w:r>
              <w:rPr>
                <w:b w:val="false"/>
                <w:bCs w:val="false"/>
                <w:sz w:val="20"/>
                <w:szCs w:val="20"/>
              </w:rPr>
              <w:t xml:space="preserve">Pendiente</w:t>
            </w:r>
          </w:p>
        </w:tc>
        <w:tc>
          <w:tcPr>
            <w:tcW w:type="dxa" w:w="3800"/>
            <w:tcMar>
              <w:top w:type="dxa" w:w="60"/>
              <w:left w:type="dxa" w:w="100"/>
              <w:bottom w:type="dxa" w:w="60"/>
              <w:right w:type="dxa" w:w="100"/>
            </w:tcMar>
          </w:tcPr>
          <w:p>
            <w:r>
              <w:rPr>
                <w:b w:val="false"/>
                <w:bCs w:val="false"/>
                <w:sz w:val="20"/>
                <w:szCs w:val="20"/>
              </w:rPr>
              <w:t xml:space="preserve">Gerbers y archivos de taladro</w:t>
            </w:r>
          </w:p>
        </w:tc>
      </w:tr>
    </w:tbl>
    <w:p>
      <w:r>
        <w:br w:type="page"/>
      </w:r>
    </w:p>
    <w:p>
      <w:pPr>
        <w:pStyle w:val="Heading1"/>
        <w:spacing w:after="160" w:before="360"/>
      </w:pPr>
      <w:r>
        <w:t xml:space="preserve">2. Entregables completados</w:t>
      </w:r>
    </w:p>
    <w:p>
      <w:pPr>
        <w:pStyle w:val="Heading2"/>
        <w:spacing w:after="120" w:before="260"/>
      </w:pPr>
      <w:r>
        <w:t xml:space="preserve">2.1 Repositorio de control de versiones</w:t>
      </w:r>
    </w:p>
    <w:p>
      <w:pPr>
        <w:spacing w:after="120"/>
      </w:pPr>
      <w:r>
        <w:rPr>
          <w:sz w:val="22"/>
          <w:szCs w:val="22"/>
        </w:rPr>
        <w:t xml:space="preserve">Se estableció un monorepositorio Git que integra hardware, firmware y documentación en un solo historial versionado, publicado en GitHub bajo el usuario FMSierra2004.</w:t>
      </w:r>
    </w:p>
    <w:p>
      <w:pPr>
        <w:pStyle w:val="ListParagraph"/>
        <w:numPr>
          <w:ilvl w:val="0"/>
          <w:numId w:val="2"/>
        </w:numPr>
        <w:spacing w:after="80"/>
      </w:pPr>
      <w:r>
        <w:rPr>
          <w:sz w:val="22"/>
          <w:szCs w:val="22"/>
        </w:rPr>
        <w:t xml:space="preserve">Estructura de carpetas: docs/, hardware/ (kicad, libraries, manufacturing) y firmware/ (src, include, config, tests)</w:t>
      </w:r>
    </w:p>
    <w:p>
      <w:pPr>
        <w:pStyle w:val="ListParagraph"/>
        <w:numPr>
          <w:ilvl w:val="0"/>
          <w:numId w:val="2"/>
        </w:numPr>
        <w:spacing w:after="80"/>
      </w:pPr>
      <w:r>
        <w:rPr>
          <w:sz w:val="22"/>
          <w:szCs w:val="22"/>
        </w:rPr>
        <w:t xml:space="preserve">Archivo .gitignore configurado para excluir residuos propios de KiCad: archivos .kicad_prl, carpetas de respaldo, caché de huellas y archivos de bloqueo</w:t>
      </w:r>
    </w:p>
    <w:p>
      <w:pPr>
        <w:pStyle w:val="ListParagraph"/>
        <w:numPr>
          <w:ilvl w:val="0"/>
          <w:numId w:val="2"/>
        </w:numPr>
        <w:spacing w:after="80"/>
      </w:pPr>
      <w:r>
        <w:rPr>
          <w:sz w:val="22"/>
          <w:szCs w:val="22"/>
        </w:rPr>
        <w:t xml:space="preserve">Archivo .gitattributes que declara los formatos KiCad como texto, de modo que los cambios sean legibles en cada commit</w:t>
      </w:r>
    </w:p>
    <w:p>
      <w:pPr>
        <w:pStyle w:val="ListParagraph"/>
        <w:numPr>
          <w:ilvl w:val="0"/>
          <w:numId w:val="2"/>
        </w:numPr>
        <w:spacing w:after="80"/>
      </w:pPr>
      <w:r>
        <w:rPr>
          <w:sz w:val="22"/>
          <w:szCs w:val="22"/>
        </w:rPr>
        <w:t xml:space="preserve">Esquema de versionado definido: HW 0.1 DRAFT para el diseño actual, HW 1.0 Rev A para el primer hardware fabricado</w:t>
      </w:r>
    </w:p>
    <w:p>
      <w:pPr>
        <w:pStyle w:val="Heading2"/>
        <w:spacing w:after="120" w:before="260"/>
      </w:pPr>
      <w:r>
        <w:t xml:space="preserve">2.2 Biblioteca de símbolos propia</w:t>
      </w:r>
    </w:p>
    <w:p>
      <w:pPr>
        <w:spacing w:after="120"/>
      </w:pPr>
      <w:r>
        <w:rPr>
          <w:sz w:val="22"/>
          <w:szCs w:val="22"/>
        </w:rPr>
        <w:t xml:space="preserve">Se creó la biblioteca AulaSense.kicad_sym en hardware/libraries/, con dos símbolos que representan el módulo ESP32 DevKit V1 de 30 pines.</w:t>
      </w:r>
    </w:p>
    <w:p>
      <w:pPr>
        <w:spacing w:after="120"/>
      </w:pPr>
      <w:r>
        <w:rPr>
          <w:sz w:val="22"/>
          <w:szCs w:val="22"/>
        </w:rPr>
        <w:t xml:space="preserve">La decisión de representar el módulo como dos conectores de 15 pines (Header_Left y Header_Right) en lugar de dibujar el chip ESP32 responde a la realidad física del diseño: la PCB es una placa portadora donde el módulo comercial se enchufa en zócalos hembra. Lo que la placa contiene eléctricamente son dos conectores, no un microcontrolador.</w:t>
      </w:r>
    </w:p>
    <w:p>
      <w:pPr>
        <w:spacing w:after="120"/>
      </w:pPr>
      <w:r>
        <w:rPr>
          <w:sz w:val="22"/>
          <w:szCs w:val="22"/>
        </w:rPr>
        <w:t xml:space="preserve">Cada pin recibió nombre y tipo eléctrico correcto. Los pines GPIO34, 35, 36 y 39 se marcaron como Entrada porque son de solo lectura por hardware; el pin 3V3 se marcó como Salida de alimentación porque el regulador AMS1117 está dentro del módulo. Estas definiciones permiten que el verificador de reglas eléctricas detecte usos incorrectos de forma automática.</w:t>
      </w:r>
    </w:p>
    <w:p>
      <w:pPr>
        <w:pStyle w:val="Heading2"/>
        <w:spacing w:after="120" w:before="260"/>
      </w:pPr>
      <w:r>
        <w:t xml:space="preserve">2.3 Asignación de pines GPIO</w:t>
      </w:r>
    </w:p>
    <w:p>
      <w:pPr>
        <w:spacing w:after="120"/>
      </w:pPr>
      <w:r>
        <w:rPr>
          <w:sz w:val="22"/>
          <w:szCs w:val="22"/>
        </w:rPr>
        <w:t xml:space="preserve">Se definió la asignación definitiva de señales, corrigiendo dos problemas del planteamiento inicial.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00"/>
        <w:gridCol w:w="3100"/>
      </w:tblGrid>
      <w:tr>
        <w:trPr>
          <w:tblHeader/>
        </w:trPr>
        <w:tc>
          <w:tcPr>
            <w:tcW w:type="dxa" w:w="1700"/>
            <w:shd w:fill="DCE6F1" w:color="auto" w:val="clear"/>
            <w:tcMar>
              <w:top w:type="dxa" w:w="60"/>
              <w:left w:type="dxa" w:w="100"/>
              <w:bottom w:type="dxa" w:w="60"/>
              <w:right w:type="dxa" w:w="100"/>
            </w:tcMar>
          </w:tcPr>
          <w:p>
            <w:r>
              <w:rPr>
                <w:b/>
                <w:bCs/>
                <w:sz w:val="20"/>
                <w:szCs w:val="20"/>
              </w:rPr>
              <w:t xml:space="preserve">Señal</w:t>
            </w:r>
          </w:p>
        </w:tc>
        <w:tc>
          <w:tcPr>
            <w:tcW w:type="dxa" w:w="2000"/>
            <w:shd w:fill="DCE6F1" w:color="auto" w:val="clear"/>
            <w:tcMar>
              <w:top w:type="dxa" w:w="60"/>
              <w:left w:type="dxa" w:w="100"/>
              <w:bottom w:type="dxa" w:w="60"/>
              <w:right w:type="dxa" w:w="100"/>
            </w:tcMar>
          </w:tcPr>
          <w:p>
            <w:r>
              <w:rPr>
                <w:b/>
                <w:bCs/>
                <w:sz w:val="20"/>
                <w:szCs w:val="20"/>
              </w:rPr>
              <w:t xml:space="preserve">GPIO</w:t>
            </w:r>
          </w:p>
        </w:tc>
        <w:tc>
          <w:tcPr>
            <w:tcW w:type="dxa" w:w="2200"/>
            <w:shd w:fill="DCE6F1" w:color="auto" w:val="clear"/>
            <w:tcMar>
              <w:top w:type="dxa" w:w="60"/>
              <w:left w:type="dxa" w:w="100"/>
              <w:bottom w:type="dxa" w:w="60"/>
              <w:right w:type="dxa" w:w="100"/>
            </w:tcMar>
          </w:tcPr>
          <w:p>
            <w:r>
              <w:rPr>
                <w:b/>
                <w:bCs/>
                <w:sz w:val="20"/>
                <w:szCs w:val="20"/>
              </w:rPr>
              <w:t xml:space="preserve">Pin físico</w:t>
            </w:r>
          </w:p>
        </w:tc>
        <w:tc>
          <w:tcPr>
            <w:tcW w:type="dxa" w:w="3100"/>
            <w:shd w:fill="DCE6F1" w:color="auto" w:val="clear"/>
            <w:tcMar>
              <w:top w:type="dxa" w:w="60"/>
              <w:left w:type="dxa" w:w="100"/>
              <w:bottom w:type="dxa" w:w="60"/>
              <w:right w:type="dxa" w:w="100"/>
            </w:tcMar>
          </w:tcPr>
          <w:p>
            <w:r>
              <w:rPr>
                <w:b/>
                <w:bCs/>
                <w:sz w:val="20"/>
                <w:szCs w:val="20"/>
              </w:rPr>
              <w:t xml:space="preserve">Justificación</w:t>
            </w:r>
          </w:p>
        </w:tc>
      </w:tr>
      <w:tr>
        <w:tc>
          <w:tcPr>
            <w:tcW w:type="dxa" w:w="1700"/>
            <w:tcMar>
              <w:top w:type="dxa" w:w="60"/>
              <w:left w:type="dxa" w:w="100"/>
              <w:bottom w:type="dxa" w:w="60"/>
              <w:right w:type="dxa" w:w="100"/>
            </w:tcMar>
          </w:tcPr>
          <w:p>
            <w:r>
              <w:rPr>
                <w:b w:val="false"/>
                <w:bCs w:val="false"/>
                <w:sz w:val="20"/>
                <w:szCs w:val="20"/>
              </w:rPr>
              <w:t xml:space="preserve">SDA</w:t>
            </w:r>
          </w:p>
        </w:tc>
        <w:tc>
          <w:tcPr>
            <w:tcW w:type="dxa" w:w="2000"/>
            <w:tcMar>
              <w:top w:type="dxa" w:w="60"/>
              <w:left w:type="dxa" w:w="100"/>
              <w:bottom w:type="dxa" w:w="60"/>
              <w:right w:type="dxa" w:w="100"/>
            </w:tcMar>
          </w:tcPr>
          <w:p>
            <w:r>
              <w:rPr>
                <w:b w:val="false"/>
                <w:bCs w:val="false"/>
                <w:sz w:val="20"/>
                <w:szCs w:val="20"/>
              </w:rPr>
              <w:t xml:space="preserve">21</w:t>
            </w:r>
          </w:p>
        </w:tc>
        <w:tc>
          <w:tcPr>
            <w:tcW w:type="dxa" w:w="2200"/>
            <w:tcMar>
              <w:top w:type="dxa" w:w="60"/>
              <w:left w:type="dxa" w:w="100"/>
              <w:bottom w:type="dxa" w:w="60"/>
              <w:right w:type="dxa" w:w="100"/>
            </w:tcMar>
          </w:tcPr>
          <w:p>
            <w:r>
              <w:rPr>
                <w:b w:val="false"/>
                <w:bCs w:val="false"/>
                <w:sz w:val="20"/>
                <w:szCs w:val="20"/>
              </w:rPr>
              <w:t xml:space="preserve">Derecho-5</w:t>
            </w:r>
          </w:p>
        </w:tc>
        <w:tc>
          <w:tcPr>
            <w:tcW w:type="dxa" w:w="3100"/>
            <w:tcMar>
              <w:top w:type="dxa" w:w="60"/>
              <w:left w:type="dxa" w:w="100"/>
              <w:bottom w:type="dxa" w:w="60"/>
              <w:right w:type="dxa" w:w="100"/>
            </w:tcMar>
          </w:tcPr>
          <w:p>
            <w:r>
              <w:rPr>
                <w:b w:val="false"/>
                <w:bCs w:val="false"/>
                <w:sz w:val="20"/>
                <w:szCs w:val="20"/>
              </w:rPr>
              <w:t xml:space="preserve">Bus I²C por defecto</w:t>
            </w:r>
          </w:p>
        </w:tc>
      </w:tr>
      <w:tr>
        <w:tc>
          <w:tcPr>
            <w:tcW w:type="dxa" w:w="1700"/>
            <w:tcMar>
              <w:top w:type="dxa" w:w="60"/>
              <w:left w:type="dxa" w:w="100"/>
              <w:bottom w:type="dxa" w:w="60"/>
              <w:right w:type="dxa" w:w="100"/>
            </w:tcMar>
          </w:tcPr>
          <w:p>
            <w:r>
              <w:rPr>
                <w:b w:val="false"/>
                <w:bCs w:val="false"/>
                <w:sz w:val="20"/>
                <w:szCs w:val="20"/>
              </w:rPr>
              <w:t xml:space="preserve">SCL</w:t>
            </w:r>
          </w:p>
        </w:tc>
        <w:tc>
          <w:tcPr>
            <w:tcW w:type="dxa" w:w="2000"/>
            <w:tcMar>
              <w:top w:type="dxa" w:w="60"/>
              <w:left w:type="dxa" w:w="100"/>
              <w:bottom w:type="dxa" w:w="60"/>
              <w:right w:type="dxa" w:w="100"/>
            </w:tcMar>
          </w:tcPr>
          <w:p>
            <w:r>
              <w:rPr>
                <w:b w:val="false"/>
                <w:bCs w:val="false"/>
                <w:sz w:val="20"/>
                <w:szCs w:val="20"/>
              </w:rPr>
              <w:t xml:space="preserve">22</w:t>
            </w:r>
          </w:p>
        </w:tc>
        <w:tc>
          <w:tcPr>
            <w:tcW w:type="dxa" w:w="2200"/>
            <w:tcMar>
              <w:top w:type="dxa" w:w="60"/>
              <w:left w:type="dxa" w:w="100"/>
              <w:bottom w:type="dxa" w:w="60"/>
              <w:right w:type="dxa" w:w="100"/>
            </w:tcMar>
          </w:tcPr>
          <w:p>
            <w:r>
              <w:rPr>
                <w:b w:val="false"/>
                <w:bCs w:val="false"/>
                <w:sz w:val="20"/>
                <w:szCs w:val="20"/>
              </w:rPr>
              <w:t xml:space="preserve">Derecho-2</w:t>
            </w:r>
          </w:p>
        </w:tc>
        <w:tc>
          <w:tcPr>
            <w:tcW w:type="dxa" w:w="3100"/>
            <w:tcMar>
              <w:top w:type="dxa" w:w="60"/>
              <w:left w:type="dxa" w:w="100"/>
              <w:bottom w:type="dxa" w:w="60"/>
              <w:right w:type="dxa" w:w="100"/>
            </w:tcMar>
          </w:tcPr>
          <w:p>
            <w:r>
              <w:rPr>
                <w:b w:val="false"/>
                <w:bCs w:val="false"/>
                <w:sz w:val="20"/>
                <w:szCs w:val="20"/>
              </w:rPr>
              <w:t xml:space="preserve">Bus I²C por defecto</w:t>
            </w:r>
          </w:p>
        </w:tc>
      </w:tr>
      <w:tr>
        <w:tc>
          <w:tcPr>
            <w:tcW w:type="dxa" w:w="1700"/>
            <w:tcMar>
              <w:top w:type="dxa" w:w="60"/>
              <w:left w:type="dxa" w:w="100"/>
              <w:bottom w:type="dxa" w:w="60"/>
              <w:right w:type="dxa" w:w="100"/>
            </w:tcMar>
          </w:tcPr>
          <w:p>
            <w:r>
              <w:rPr>
                <w:b w:val="false"/>
                <w:bCs w:val="false"/>
                <w:sz w:val="20"/>
                <w:szCs w:val="20"/>
              </w:rPr>
              <w:t xml:space="preserve">DHT_DATA</w:t>
            </w:r>
          </w:p>
        </w:tc>
        <w:tc>
          <w:tcPr>
            <w:tcW w:type="dxa" w:w="2000"/>
            <w:tcMar>
              <w:top w:type="dxa" w:w="60"/>
              <w:left w:type="dxa" w:w="100"/>
              <w:bottom w:type="dxa" w:w="60"/>
              <w:right w:type="dxa" w:w="100"/>
            </w:tcMar>
          </w:tcPr>
          <w:p>
            <w:r>
              <w:rPr>
                <w:b w:val="false"/>
                <w:bCs w:val="false"/>
                <w:sz w:val="20"/>
                <w:szCs w:val="20"/>
              </w:rPr>
              <w:t xml:space="preserve">4</w:t>
            </w:r>
          </w:p>
        </w:tc>
        <w:tc>
          <w:tcPr>
            <w:tcW w:type="dxa" w:w="2200"/>
            <w:tcMar>
              <w:top w:type="dxa" w:w="60"/>
              <w:left w:type="dxa" w:w="100"/>
              <w:bottom w:type="dxa" w:w="60"/>
              <w:right w:type="dxa" w:w="100"/>
            </w:tcMar>
          </w:tcPr>
          <w:p>
            <w:r>
              <w:rPr>
                <w:b w:val="false"/>
                <w:bCs w:val="false"/>
                <w:sz w:val="20"/>
                <w:szCs w:val="20"/>
              </w:rPr>
              <w:t xml:space="preserve">Derecho-11</w:t>
            </w:r>
          </w:p>
        </w:tc>
        <w:tc>
          <w:tcPr>
            <w:tcW w:type="dxa" w:w="3100"/>
            <w:tcMar>
              <w:top w:type="dxa" w:w="60"/>
              <w:left w:type="dxa" w:w="100"/>
              <w:bottom w:type="dxa" w:w="60"/>
              <w:right w:type="dxa" w:w="100"/>
            </w:tcMar>
          </w:tcPr>
          <w:p>
            <w:r>
              <w:rPr>
                <w:b w:val="false"/>
                <w:bCs w:val="false"/>
                <w:sz w:val="20"/>
                <w:szCs w:val="20"/>
              </w:rPr>
              <w:t xml:space="preserve">Bidireccional para protocolo 1-Wire</w:t>
            </w:r>
          </w:p>
        </w:tc>
      </w:tr>
      <w:tr>
        <w:tc>
          <w:tcPr>
            <w:tcW w:type="dxa" w:w="1700"/>
            <w:tcMar>
              <w:top w:type="dxa" w:w="60"/>
              <w:left w:type="dxa" w:w="100"/>
              <w:bottom w:type="dxa" w:w="60"/>
              <w:right w:type="dxa" w:w="100"/>
            </w:tcMar>
          </w:tcPr>
          <w:p>
            <w:r>
              <w:rPr>
                <w:b w:val="false"/>
                <w:bCs w:val="false"/>
                <w:sz w:val="20"/>
                <w:szCs w:val="20"/>
              </w:rPr>
              <w:t xml:space="preserve">MQ_AOUT</w:t>
            </w:r>
          </w:p>
        </w:tc>
        <w:tc>
          <w:tcPr>
            <w:tcW w:type="dxa" w:w="2000"/>
            <w:tcMar>
              <w:top w:type="dxa" w:w="60"/>
              <w:left w:type="dxa" w:w="100"/>
              <w:bottom w:type="dxa" w:w="60"/>
              <w:right w:type="dxa" w:w="100"/>
            </w:tcMar>
          </w:tcPr>
          <w:p>
            <w:r>
              <w:rPr>
                <w:b w:val="false"/>
                <w:bCs w:val="false"/>
                <w:sz w:val="20"/>
                <w:szCs w:val="20"/>
              </w:rPr>
              <w:t xml:space="preserve">34</w:t>
            </w:r>
          </w:p>
        </w:tc>
        <w:tc>
          <w:tcPr>
            <w:tcW w:type="dxa" w:w="2200"/>
            <w:tcMar>
              <w:top w:type="dxa" w:w="60"/>
              <w:left w:type="dxa" w:w="100"/>
              <w:bottom w:type="dxa" w:w="60"/>
              <w:right w:type="dxa" w:w="100"/>
            </w:tcMar>
          </w:tcPr>
          <w:p>
            <w:r>
              <w:rPr>
                <w:b w:val="false"/>
                <w:bCs w:val="false"/>
                <w:sz w:val="20"/>
                <w:szCs w:val="20"/>
              </w:rPr>
              <w:t xml:space="preserve">Izquierdo-12</w:t>
            </w:r>
          </w:p>
        </w:tc>
        <w:tc>
          <w:tcPr>
            <w:tcW w:type="dxa" w:w="3100"/>
            <w:tcMar>
              <w:top w:type="dxa" w:w="60"/>
              <w:left w:type="dxa" w:w="100"/>
              <w:bottom w:type="dxa" w:w="60"/>
              <w:right w:type="dxa" w:w="100"/>
            </w:tcMar>
          </w:tcPr>
          <w:p>
            <w:r>
              <w:rPr>
                <w:b w:val="false"/>
                <w:bCs w:val="false"/>
                <w:sz w:val="20"/>
                <w:szCs w:val="20"/>
              </w:rPr>
              <w:t xml:space="preserve">ADC1, sin conflicto con Wi-Fi</w:t>
            </w:r>
          </w:p>
        </w:tc>
      </w:tr>
      <w:tr>
        <w:tc>
          <w:tcPr>
            <w:tcW w:type="dxa" w:w="1700"/>
            <w:tcMar>
              <w:top w:type="dxa" w:w="60"/>
              <w:left w:type="dxa" w:w="100"/>
              <w:bottom w:type="dxa" w:w="60"/>
              <w:right w:type="dxa" w:w="100"/>
            </w:tcMar>
          </w:tcPr>
          <w:p>
            <w:r>
              <w:rPr>
                <w:b w:val="false"/>
                <w:bCs w:val="false"/>
                <w:sz w:val="20"/>
                <w:szCs w:val="20"/>
              </w:rPr>
              <w:t xml:space="preserve">PIR_OUT</w:t>
            </w:r>
          </w:p>
        </w:tc>
        <w:tc>
          <w:tcPr>
            <w:tcW w:type="dxa" w:w="2000"/>
            <w:tcMar>
              <w:top w:type="dxa" w:w="60"/>
              <w:left w:type="dxa" w:w="100"/>
              <w:bottom w:type="dxa" w:w="60"/>
              <w:right w:type="dxa" w:w="100"/>
            </w:tcMar>
          </w:tcPr>
          <w:p>
            <w:r>
              <w:rPr>
                <w:b w:val="false"/>
                <w:bCs w:val="false"/>
                <w:sz w:val="20"/>
                <w:szCs w:val="20"/>
              </w:rPr>
              <w:t xml:space="preserve">13</w:t>
            </w:r>
          </w:p>
        </w:tc>
        <w:tc>
          <w:tcPr>
            <w:tcW w:type="dxa" w:w="2200"/>
            <w:tcMar>
              <w:top w:type="dxa" w:w="60"/>
              <w:left w:type="dxa" w:w="100"/>
              <w:bottom w:type="dxa" w:w="60"/>
              <w:right w:type="dxa" w:w="100"/>
            </w:tcMar>
          </w:tcPr>
          <w:p>
            <w:r>
              <w:rPr>
                <w:b w:val="false"/>
                <w:bCs w:val="false"/>
                <w:sz w:val="20"/>
                <w:szCs w:val="20"/>
              </w:rPr>
              <w:t xml:space="preserve">Izquierdo-3</w:t>
            </w:r>
          </w:p>
        </w:tc>
        <w:tc>
          <w:tcPr>
            <w:tcW w:type="dxa" w:w="3100"/>
            <w:tcMar>
              <w:top w:type="dxa" w:w="60"/>
              <w:left w:type="dxa" w:w="100"/>
              <w:bottom w:type="dxa" w:w="60"/>
              <w:right w:type="dxa" w:w="100"/>
            </w:tcMar>
          </w:tcPr>
          <w:p>
            <w:r>
              <w:rPr>
                <w:b w:val="false"/>
                <w:bCs w:val="false"/>
                <w:sz w:val="20"/>
                <w:szCs w:val="20"/>
              </w:rPr>
              <w:t xml:space="preserve">Entrada digital</w:t>
            </w:r>
          </w:p>
        </w:tc>
      </w:tr>
      <w:tr>
        <w:tc>
          <w:tcPr>
            <w:tcW w:type="dxa" w:w="1700"/>
            <w:tcMar>
              <w:top w:type="dxa" w:w="60"/>
              <w:left w:type="dxa" w:w="100"/>
              <w:bottom w:type="dxa" w:w="60"/>
              <w:right w:type="dxa" w:w="100"/>
            </w:tcMar>
          </w:tcPr>
          <w:p>
            <w:r>
              <w:rPr>
                <w:b w:val="false"/>
                <w:bCs w:val="false"/>
                <w:sz w:val="20"/>
                <w:szCs w:val="20"/>
              </w:rPr>
              <w:t xml:space="preserve">REED</w:t>
            </w:r>
          </w:p>
        </w:tc>
        <w:tc>
          <w:tcPr>
            <w:tcW w:type="dxa" w:w="2000"/>
            <w:tcMar>
              <w:top w:type="dxa" w:w="60"/>
              <w:left w:type="dxa" w:w="100"/>
              <w:bottom w:type="dxa" w:w="60"/>
              <w:right w:type="dxa" w:w="100"/>
            </w:tcMar>
          </w:tcPr>
          <w:p>
            <w:r>
              <w:rPr>
                <w:b w:val="false"/>
                <w:bCs w:val="false"/>
                <w:sz w:val="20"/>
                <w:szCs w:val="20"/>
              </w:rPr>
              <w:t xml:space="preserve">27</w:t>
            </w:r>
          </w:p>
        </w:tc>
        <w:tc>
          <w:tcPr>
            <w:tcW w:type="dxa" w:w="2200"/>
            <w:tcMar>
              <w:top w:type="dxa" w:w="60"/>
              <w:left w:type="dxa" w:w="100"/>
              <w:bottom w:type="dxa" w:w="60"/>
              <w:right w:type="dxa" w:w="100"/>
            </w:tcMar>
          </w:tcPr>
          <w:p>
            <w:r>
              <w:rPr>
                <w:b w:val="false"/>
                <w:bCs w:val="false"/>
                <w:sz w:val="20"/>
                <w:szCs w:val="20"/>
              </w:rPr>
              <w:t xml:space="preserve">Izquierdo-6</w:t>
            </w:r>
          </w:p>
        </w:tc>
        <w:tc>
          <w:tcPr>
            <w:tcW w:type="dxa" w:w="3100"/>
            <w:tcMar>
              <w:top w:type="dxa" w:w="60"/>
              <w:left w:type="dxa" w:w="100"/>
              <w:bottom w:type="dxa" w:w="60"/>
              <w:right w:type="dxa" w:w="100"/>
            </w:tcMar>
          </w:tcPr>
          <w:p>
            <w:r>
              <w:rPr>
                <w:b w:val="false"/>
                <w:bCs w:val="false"/>
                <w:sz w:val="20"/>
                <w:szCs w:val="20"/>
              </w:rPr>
              <w:t xml:space="preserve">Entrada con pull-up interno</w:t>
            </w:r>
          </w:p>
        </w:tc>
      </w:tr>
      <w:tr>
        <w:tc>
          <w:tcPr>
            <w:tcW w:type="dxa" w:w="1700"/>
            <w:tcMar>
              <w:top w:type="dxa" w:w="60"/>
              <w:left w:type="dxa" w:w="100"/>
              <w:bottom w:type="dxa" w:w="60"/>
              <w:right w:type="dxa" w:w="100"/>
            </w:tcMar>
          </w:tcPr>
          <w:p>
            <w:r>
              <w:rPr>
                <w:b w:val="false"/>
                <w:bCs w:val="false"/>
                <w:sz w:val="20"/>
                <w:szCs w:val="20"/>
              </w:rPr>
              <w:t xml:space="preserve">LED_R</w:t>
            </w:r>
          </w:p>
        </w:tc>
        <w:tc>
          <w:tcPr>
            <w:tcW w:type="dxa" w:w="2000"/>
            <w:tcMar>
              <w:top w:type="dxa" w:w="60"/>
              <w:left w:type="dxa" w:w="100"/>
              <w:bottom w:type="dxa" w:w="60"/>
              <w:right w:type="dxa" w:w="100"/>
            </w:tcMar>
          </w:tcPr>
          <w:p>
            <w:r>
              <w:rPr>
                <w:b w:val="false"/>
                <w:bCs w:val="false"/>
                <w:sz w:val="20"/>
                <w:szCs w:val="20"/>
              </w:rPr>
              <w:t xml:space="preserve">25</w:t>
            </w:r>
          </w:p>
        </w:tc>
        <w:tc>
          <w:tcPr>
            <w:tcW w:type="dxa" w:w="2200"/>
            <w:tcMar>
              <w:top w:type="dxa" w:w="60"/>
              <w:left w:type="dxa" w:w="100"/>
              <w:bottom w:type="dxa" w:w="60"/>
              <w:right w:type="dxa" w:w="100"/>
            </w:tcMar>
          </w:tcPr>
          <w:p>
            <w:r>
              <w:rPr>
                <w:b w:val="false"/>
                <w:bCs w:val="false"/>
                <w:sz w:val="20"/>
                <w:szCs w:val="20"/>
              </w:rPr>
              <w:t xml:space="preserve">Izquierdo-8</w:t>
            </w:r>
          </w:p>
        </w:tc>
        <w:tc>
          <w:tcPr>
            <w:tcW w:type="dxa" w:w="3100"/>
            <w:tcMar>
              <w:top w:type="dxa" w:w="60"/>
              <w:left w:type="dxa" w:w="100"/>
              <w:bottom w:type="dxa" w:w="60"/>
              <w:right w:type="dxa" w:w="100"/>
            </w:tcMar>
          </w:tcPr>
          <w:p>
            <w:r>
              <w:rPr>
                <w:b w:val="false"/>
                <w:bCs w:val="false"/>
                <w:sz w:val="20"/>
                <w:szCs w:val="20"/>
              </w:rPr>
              <w:t xml:space="preserve">Salida digital</w:t>
            </w:r>
          </w:p>
        </w:tc>
      </w:tr>
      <w:tr>
        <w:tc>
          <w:tcPr>
            <w:tcW w:type="dxa" w:w="1700"/>
            <w:tcMar>
              <w:top w:type="dxa" w:w="60"/>
              <w:left w:type="dxa" w:w="100"/>
              <w:bottom w:type="dxa" w:w="60"/>
              <w:right w:type="dxa" w:w="100"/>
            </w:tcMar>
          </w:tcPr>
          <w:p>
            <w:r>
              <w:rPr>
                <w:b w:val="false"/>
                <w:bCs w:val="false"/>
                <w:sz w:val="20"/>
                <w:szCs w:val="20"/>
              </w:rPr>
              <w:t xml:space="preserve">LED_V</w:t>
            </w:r>
          </w:p>
        </w:tc>
        <w:tc>
          <w:tcPr>
            <w:tcW w:type="dxa" w:w="2000"/>
            <w:tcMar>
              <w:top w:type="dxa" w:w="60"/>
              <w:left w:type="dxa" w:w="100"/>
              <w:bottom w:type="dxa" w:w="60"/>
              <w:right w:type="dxa" w:w="100"/>
            </w:tcMar>
          </w:tcPr>
          <w:p>
            <w:r>
              <w:rPr>
                <w:b w:val="false"/>
                <w:bCs w:val="false"/>
                <w:sz w:val="20"/>
                <w:szCs w:val="20"/>
              </w:rPr>
              <w:t xml:space="preserve">26</w:t>
            </w:r>
          </w:p>
        </w:tc>
        <w:tc>
          <w:tcPr>
            <w:tcW w:type="dxa" w:w="2200"/>
            <w:tcMar>
              <w:top w:type="dxa" w:w="60"/>
              <w:left w:type="dxa" w:w="100"/>
              <w:bottom w:type="dxa" w:w="60"/>
              <w:right w:type="dxa" w:w="100"/>
            </w:tcMar>
          </w:tcPr>
          <w:p>
            <w:r>
              <w:rPr>
                <w:b w:val="false"/>
                <w:bCs w:val="false"/>
                <w:sz w:val="20"/>
                <w:szCs w:val="20"/>
              </w:rPr>
              <w:t xml:space="preserve">Izquierdo-7</w:t>
            </w:r>
          </w:p>
        </w:tc>
        <w:tc>
          <w:tcPr>
            <w:tcW w:type="dxa" w:w="3100"/>
            <w:tcMar>
              <w:top w:type="dxa" w:w="60"/>
              <w:left w:type="dxa" w:w="100"/>
              <w:bottom w:type="dxa" w:w="60"/>
              <w:right w:type="dxa" w:w="100"/>
            </w:tcMar>
          </w:tcPr>
          <w:p>
            <w:r>
              <w:rPr>
                <w:b w:val="false"/>
                <w:bCs w:val="false"/>
                <w:sz w:val="20"/>
                <w:szCs w:val="20"/>
              </w:rPr>
              <w:t xml:space="preserve">Salida digital</w:t>
            </w:r>
          </w:p>
        </w:tc>
      </w:tr>
      <w:tr>
        <w:tc>
          <w:tcPr>
            <w:tcW w:type="dxa" w:w="1700"/>
            <w:tcMar>
              <w:top w:type="dxa" w:w="60"/>
              <w:left w:type="dxa" w:w="100"/>
              <w:bottom w:type="dxa" w:w="60"/>
              <w:right w:type="dxa" w:w="100"/>
            </w:tcMar>
          </w:tcPr>
          <w:p>
            <w:r>
              <w:rPr>
                <w:b w:val="false"/>
                <w:bCs w:val="false"/>
                <w:sz w:val="20"/>
                <w:szCs w:val="20"/>
              </w:rPr>
              <w:t xml:space="preserve">BUZZ</w:t>
            </w:r>
          </w:p>
        </w:tc>
        <w:tc>
          <w:tcPr>
            <w:tcW w:type="dxa" w:w="2000"/>
            <w:tcMar>
              <w:top w:type="dxa" w:w="60"/>
              <w:left w:type="dxa" w:w="100"/>
              <w:bottom w:type="dxa" w:w="60"/>
              <w:right w:type="dxa" w:w="100"/>
            </w:tcMar>
          </w:tcPr>
          <w:p>
            <w:r>
              <w:rPr>
                <w:b w:val="false"/>
                <w:bCs w:val="false"/>
                <w:sz w:val="20"/>
                <w:szCs w:val="20"/>
              </w:rPr>
              <w:t xml:space="preserve">14</w:t>
            </w:r>
          </w:p>
        </w:tc>
        <w:tc>
          <w:tcPr>
            <w:tcW w:type="dxa" w:w="2200"/>
            <w:tcMar>
              <w:top w:type="dxa" w:w="60"/>
              <w:left w:type="dxa" w:w="100"/>
              <w:bottom w:type="dxa" w:w="60"/>
              <w:right w:type="dxa" w:w="100"/>
            </w:tcMar>
          </w:tcPr>
          <w:p>
            <w:r>
              <w:rPr>
                <w:b w:val="false"/>
                <w:bCs w:val="false"/>
                <w:sz w:val="20"/>
                <w:szCs w:val="20"/>
              </w:rPr>
              <w:t xml:space="preserve">Izquierdo-5</w:t>
            </w:r>
          </w:p>
        </w:tc>
        <w:tc>
          <w:tcPr>
            <w:tcW w:type="dxa" w:w="3100"/>
            <w:tcMar>
              <w:top w:type="dxa" w:w="60"/>
              <w:left w:type="dxa" w:w="100"/>
              <w:bottom w:type="dxa" w:w="60"/>
              <w:right w:type="dxa" w:w="100"/>
            </w:tcMar>
          </w:tcPr>
          <w:p>
            <w:r>
              <w:rPr>
                <w:b w:val="false"/>
                <w:bCs w:val="false"/>
                <w:sz w:val="20"/>
                <w:szCs w:val="20"/>
              </w:rPr>
              <w:t xml:space="preserve">Salida con modulación PWM</w:t>
            </w:r>
          </w:p>
        </w:tc>
      </w:tr>
      <w:tr>
        <w:tc>
          <w:tcPr>
            <w:tcW w:type="dxa" w:w="1700"/>
            <w:tcMar>
              <w:top w:type="dxa" w:w="60"/>
              <w:left w:type="dxa" w:w="100"/>
              <w:bottom w:type="dxa" w:w="60"/>
              <w:right w:type="dxa" w:w="100"/>
            </w:tcMar>
          </w:tcPr>
          <w:p>
            <w:r>
              <w:rPr>
                <w:b w:val="false"/>
                <w:bCs w:val="false"/>
                <w:sz w:val="20"/>
                <w:szCs w:val="20"/>
              </w:rPr>
              <w:t xml:space="preserve">BTN1</w:t>
            </w:r>
          </w:p>
        </w:tc>
        <w:tc>
          <w:tcPr>
            <w:tcW w:type="dxa" w:w="2000"/>
            <w:tcMar>
              <w:top w:type="dxa" w:w="60"/>
              <w:left w:type="dxa" w:w="100"/>
              <w:bottom w:type="dxa" w:w="60"/>
              <w:right w:type="dxa" w:w="100"/>
            </w:tcMar>
          </w:tcPr>
          <w:p>
            <w:r>
              <w:rPr>
                <w:b w:val="false"/>
                <w:bCs w:val="false"/>
                <w:sz w:val="20"/>
                <w:szCs w:val="20"/>
              </w:rPr>
              <w:t xml:space="preserve">32</w:t>
            </w:r>
          </w:p>
        </w:tc>
        <w:tc>
          <w:tcPr>
            <w:tcW w:type="dxa" w:w="2200"/>
            <w:tcMar>
              <w:top w:type="dxa" w:w="60"/>
              <w:left w:type="dxa" w:w="100"/>
              <w:bottom w:type="dxa" w:w="60"/>
              <w:right w:type="dxa" w:w="100"/>
            </w:tcMar>
          </w:tcPr>
          <w:p>
            <w:r>
              <w:rPr>
                <w:b w:val="false"/>
                <w:bCs w:val="false"/>
                <w:sz w:val="20"/>
                <w:szCs w:val="20"/>
              </w:rPr>
              <w:t xml:space="preserve">Izquierdo-10</w:t>
            </w:r>
          </w:p>
        </w:tc>
        <w:tc>
          <w:tcPr>
            <w:tcW w:type="dxa" w:w="3100"/>
            <w:tcMar>
              <w:top w:type="dxa" w:w="60"/>
              <w:left w:type="dxa" w:w="100"/>
              <w:bottom w:type="dxa" w:w="60"/>
              <w:right w:type="dxa" w:w="100"/>
            </w:tcMar>
          </w:tcPr>
          <w:p>
            <w:r>
              <w:rPr>
                <w:b w:val="false"/>
                <w:bCs w:val="false"/>
                <w:sz w:val="20"/>
                <w:szCs w:val="20"/>
              </w:rPr>
              <w:t xml:space="preserve">Pull-up interno disponible</w:t>
            </w:r>
          </w:p>
        </w:tc>
      </w:tr>
      <w:tr>
        <w:tc>
          <w:tcPr>
            <w:tcW w:type="dxa" w:w="1700"/>
            <w:tcMar>
              <w:top w:type="dxa" w:w="60"/>
              <w:left w:type="dxa" w:w="100"/>
              <w:bottom w:type="dxa" w:w="60"/>
              <w:right w:type="dxa" w:w="100"/>
            </w:tcMar>
          </w:tcPr>
          <w:p>
            <w:r>
              <w:rPr>
                <w:b w:val="false"/>
                <w:bCs w:val="false"/>
                <w:sz w:val="20"/>
                <w:szCs w:val="20"/>
              </w:rPr>
              <w:t xml:space="preserve">BTN2</w:t>
            </w:r>
          </w:p>
        </w:tc>
        <w:tc>
          <w:tcPr>
            <w:tcW w:type="dxa" w:w="2000"/>
            <w:tcMar>
              <w:top w:type="dxa" w:w="60"/>
              <w:left w:type="dxa" w:w="100"/>
              <w:bottom w:type="dxa" w:w="60"/>
              <w:right w:type="dxa" w:w="100"/>
            </w:tcMar>
          </w:tcPr>
          <w:p>
            <w:r>
              <w:rPr>
                <w:b w:val="false"/>
                <w:bCs w:val="false"/>
                <w:sz w:val="20"/>
                <w:szCs w:val="20"/>
              </w:rPr>
              <w:t xml:space="preserve">33</w:t>
            </w:r>
          </w:p>
        </w:tc>
        <w:tc>
          <w:tcPr>
            <w:tcW w:type="dxa" w:w="2200"/>
            <w:tcMar>
              <w:top w:type="dxa" w:w="60"/>
              <w:left w:type="dxa" w:w="100"/>
              <w:bottom w:type="dxa" w:w="60"/>
              <w:right w:type="dxa" w:w="100"/>
            </w:tcMar>
          </w:tcPr>
          <w:p>
            <w:r>
              <w:rPr>
                <w:b w:val="false"/>
                <w:bCs w:val="false"/>
                <w:sz w:val="20"/>
                <w:szCs w:val="20"/>
              </w:rPr>
              <w:t xml:space="preserve">Izquierdo-9</w:t>
            </w:r>
          </w:p>
        </w:tc>
        <w:tc>
          <w:tcPr>
            <w:tcW w:type="dxa" w:w="3100"/>
            <w:tcMar>
              <w:top w:type="dxa" w:w="60"/>
              <w:left w:type="dxa" w:w="100"/>
              <w:bottom w:type="dxa" w:w="60"/>
              <w:right w:type="dxa" w:w="100"/>
            </w:tcMar>
          </w:tcPr>
          <w:p>
            <w:r>
              <w:rPr>
                <w:b w:val="false"/>
                <w:bCs w:val="false"/>
                <w:sz w:val="20"/>
                <w:szCs w:val="20"/>
              </w:rPr>
              <w:t xml:space="preserve">Pull-up interno disponible</w:t>
            </w:r>
          </w:p>
        </w:tc>
      </w:tr>
      <w:tr>
        <w:tc>
          <w:tcPr>
            <w:tcW w:type="dxa" w:w="1700"/>
            <w:tcMar>
              <w:top w:type="dxa" w:w="60"/>
              <w:left w:type="dxa" w:w="100"/>
              <w:bottom w:type="dxa" w:w="60"/>
              <w:right w:type="dxa" w:w="100"/>
            </w:tcMar>
          </w:tcPr>
          <w:p>
            <w:r>
              <w:rPr>
                <w:b w:val="false"/>
                <w:bCs w:val="false"/>
                <w:sz w:val="20"/>
                <w:szCs w:val="20"/>
              </w:rPr>
              <w:t xml:space="preserve">BTN3</w:t>
            </w:r>
          </w:p>
        </w:tc>
        <w:tc>
          <w:tcPr>
            <w:tcW w:type="dxa" w:w="2000"/>
            <w:tcMar>
              <w:top w:type="dxa" w:w="60"/>
              <w:left w:type="dxa" w:w="100"/>
              <w:bottom w:type="dxa" w:w="60"/>
              <w:right w:type="dxa" w:w="100"/>
            </w:tcMar>
          </w:tcPr>
          <w:p>
            <w:r>
              <w:rPr>
                <w:b w:val="false"/>
                <w:bCs w:val="false"/>
                <w:sz w:val="20"/>
                <w:szCs w:val="20"/>
              </w:rPr>
              <w:t xml:space="preserve">18</w:t>
            </w:r>
          </w:p>
        </w:tc>
        <w:tc>
          <w:tcPr>
            <w:tcW w:type="dxa" w:w="2200"/>
            <w:tcMar>
              <w:top w:type="dxa" w:w="60"/>
              <w:left w:type="dxa" w:w="100"/>
              <w:bottom w:type="dxa" w:w="60"/>
              <w:right w:type="dxa" w:w="100"/>
            </w:tcMar>
          </w:tcPr>
          <w:p>
            <w:r>
              <w:rPr>
                <w:b w:val="false"/>
                <w:bCs w:val="false"/>
                <w:sz w:val="20"/>
                <w:szCs w:val="20"/>
              </w:rPr>
              <w:t xml:space="preserve">Derecho-7</w:t>
            </w:r>
          </w:p>
        </w:tc>
        <w:tc>
          <w:tcPr>
            <w:tcW w:type="dxa" w:w="3100"/>
            <w:tcMar>
              <w:top w:type="dxa" w:w="60"/>
              <w:left w:type="dxa" w:w="100"/>
              <w:bottom w:type="dxa" w:w="60"/>
              <w:right w:type="dxa" w:w="100"/>
            </w:tcMar>
          </w:tcPr>
          <w:p>
            <w:r>
              <w:rPr>
                <w:b w:val="false"/>
                <w:bCs w:val="false"/>
                <w:sz w:val="20"/>
                <w:szCs w:val="20"/>
              </w:rPr>
              <w:t xml:space="preserve">Pull-up interno disponible</w:t>
            </w:r>
          </w:p>
        </w:tc>
      </w:tr>
    </w:tbl>
    <w:p>
      <w:pPr>
        <w:spacing w:before="160"/>
      </w:pPr>
    </w:p>
    <w:p>
      <w:pPr>
        <w:spacing w:after="120"/>
      </w:pPr>
      <w:r>
        <w:rPr>
          <w:sz w:val="22"/>
          <w:szCs w:val="22"/>
        </w:rPr>
        <w:t xml:space="preserve">Corrección 1: el botón BTN3 se trasladó de GPIO35 a GPIO18. El GPIO35 es de solo entrada y carece de resistencia de pull-up interna, por lo que habría requerido un componente externo. Además es uno de los pocos canales ADC1 disponibles y conviene reservarlo para una futura entrada analógica.</w:t>
      </w:r>
    </w:p>
    <w:p>
      <w:pPr>
        <w:spacing w:after="120"/>
      </w:pPr>
      <w:r>
        <w:rPr>
          <w:sz w:val="22"/>
          <w:szCs w:val="22"/>
        </w:rPr>
        <w:t xml:space="preserve">Corrección 2: la señal REED se trasladó de GPIO14 a GPIO27, y el buzzer ocupó el GPIO14. Durante el arranque del ESP32, el GPIO14 emite pulsos PWM; en un buzzer eso produce un chasquido inofensivo, pero en una entrada que debe leer un estado estable habría causado lecturas erróneas.</w:t>
      </w:r>
    </w:p>
    <w:p>
      <w:pPr>
        <w:spacing w:after="120"/>
      </w:pPr>
      <w:r>
        <w:rPr>
          <w:sz w:val="22"/>
          <w:szCs w:val="22"/>
        </w:rPr>
        <w:t xml:space="preserve">Se dejaron deliberadamente libres los pines GPIO23, 19, 5, 17, 16 y 35, previendo la ampliación a la versión 2.0 contemplada en el plan. Se excluyeron GPIO2, 12 y 15 por ser pines de configuración de arranque, y GPIO1 y GPIO3 por corresponder al puerto de programación.</w:t>
      </w:r>
    </w:p>
    <w:p>
      <w:r>
        <w:br w:type="page"/>
      </w:r>
    </w:p>
    <w:p>
      <w:pPr>
        <w:pStyle w:val="Heading2"/>
        <w:spacing w:after="120" w:before="260"/>
      </w:pPr>
      <w:r>
        <w:t xml:space="preserve">2.4 Bloques funcionales del esquemático</w:t>
      </w:r>
    </w:p>
    <w:p>
      <w:pPr>
        <w:spacing w:after="120"/>
      </w:pPr>
      <w:r>
        <w:rPr>
          <w:sz w:val="22"/>
          <w:szCs w:val="22"/>
        </w:rPr>
        <w:t xml:space="preserve">El esquema se organizó en siete bloques independientes conectados mediante etiquetas de señal, evitando el cruce de cables y facilitando la lectura del plano.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DCE6F1" w:color="auto" w:val="clear"/>
            <w:tcMar>
              <w:top w:type="dxa" w:w="60"/>
              <w:left w:type="dxa" w:w="100"/>
              <w:bottom w:type="dxa" w:w="60"/>
              <w:right w:type="dxa" w:w="100"/>
            </w:tcMar>
          </w:tcPr>
          <w:p>
            <w:r>
              <w:rPr>
                <w:b/>
                <w:bCs/>
                <w:sz w:val="20"/>
                <w:szCs w:val="20"/>
              </w:rPr>
              <w:t xml:space="preserve">Bloque</w:t>
            </w:r>
          </w:p>
        </w:tc>
        <w:tc>
          <w:tcPr>
            <w:tcW w:type="dxa" w:w="5400"/>
            <w:shd w:fill="DCE6F1" w:color="auto" w:val="clear"/>
            <w:tcMar>
              <w:top w:type="dxa" w:w="60"/>
              <w:left w:type="dxa" w:w="100"/>
              <w:bottom w:type="dxa" w:w="60"/>
              <w:right w:type="dxa" w:w="100"/>
            </w:tcMar>
          </w:tcPr>
          <w:p>
            <w:r>
              <w:rPr>
                <w:b/>
                <w:bCs/>
                <w:sz w:val="20"/>
                <w:szCs w:val="20"/>
              </w:rPr>
              <w:t xml:space="preserve">Componentes principales</w:t>
            </w:r>
          </w:p>
        </w:tc>
      </w:tr>
      <w:tr>
        <w:tc>
          <w:tcPr>
            <w:tcW w:type="dxa" w:w="3600"/>
            <w:tcMar>
              <w:top w:type="dxa" w:w="60"/>
              <w:left w:type="dxa" w:w="100"/>
              <w:bottom w:type="dxa" w:w="60"/>
              <w:right w:type="dxa" w:w="100"/>
            </w:tcMar>
          </w:tcPr>
          <w:p>
            <w:r>
              <w:rPr>
                <w:b w:val="false"/>
                <w:bCs w:val="false"/>
                <w:sz w:val="20"/>
                <w:szCs w:val="20"/>
              </w:rPr>
              <w:t xml:space="preserve">Módulo ESP32</w:t>
            </w:r>
          </w:p>
        </w:tc>
        <w:tc>
          <w:tcPr>
            <w:tcW w:type="dxa" w:w="5400"/>
            <w:tcMar>
              <w:top w:type="dxa" w:w="60"/>
              <w:left w:type="dxa" w:w="100"/>
              <w:bottom w:type="dxa" w:w="60"/>
              <w:right w:type="dxa" w:w="100"/>
            </w:tcMar>
          </w:tcPr>
          <w:p>
            <w:r>
              <w:rPr>
                <w:b w:val="false"/>
                <w:bCs w:val="false"/>
                <w:sz w:val="20"/>
                <w:szCs w:val="20"/>
              </w:rPr>
              <w:t xml:space="preserve">J1, J2 — zócalos hembra de 15 pines</w:t>
            </w:r>
          </w:p>
        </w:tc>
      </w:tr>
      <w:tr>
        <w:tc>
          <w:tcPr>
            <w:tcW w:type="dxa" w:w="3600"/>
            <w:tcMar>
              <w:top w:type="dxa" w:w="60"/>
              <w:left w:type="dxa" w:w="100"/>
              <w:bottom w:type="dxa" w:w="60"/>
              <w:right w:type="dxa" w:w="100"/>
            </w:tcMar>
          </w:tcPr>
          <w:p>
            <w:r>
              <w:rPr>
                <w:b w:val="false"/>
                <w:bCs w:val="false"/>
                <w:sz w:val="20"/>
                <w:szCs w:val="20"/>
              </w:rPr>
              <w:t xml:space="preserve">Alimentación</w:t>
            </w:r>
          </w:p>
        </w:tc>
        <w:tc>
          <w:tcPr>
            <w:tcW w:type="dxa" w:w="5400"/>
            <w:tcMar>
              <w:top w:type="dxa" w:w="60"/>
              <w:left w:type="dxa" w:w="100"/>
              <w:bottom w:type="dxa" w:w="60"/>
              <w:right w:type="dxa" w:w="100"/>
            </w:tcMar>
          </w:tcPr>
          <w:p>
            <w:r>
              <w:rPr>
                <w:b w:val="false"/>
                <w:bCs w:val="false"/>
                <w:sz w:val="20"/>
                <w:szCs w:val="20"/>
              </w:rPr>
              <w:t xml:space="preserve">J3, F1, D1, C1, C2, D2, R1</w:t>
            </w:r>
          </w:p>
        </w:tc>
      </w:tr>
      <w:tr>
        <w:tc>
          <w:tcPr>
            <w:tcW w:type="dxa" w:w="3600"/>
            <w:tcMar>
              <w:top w:type="dxa" w:w="60"/>
              <w:left w:type="dxa" w:w="100"/>
              <w:bottom w:type="dxa" w:w="60"/>
              <w:right w:type="dxa" w:w="100"/>
            </w:tcMar>
          </w:tcPr>
          <w:p>
            <w:r>
              <w:rPr>
                <w:b w:val="false"/>
                <w:bCs w:val="false"/>
                <w:sz w:val="20"/>
                <w:szCs w:val="20"/>
              </w:rPr>
              <w:t xml:space="preserve">Botones</w:t>
            </w:r>
          </w:p>
        </w:tc>
        <w:tc>
          <w:tcPr>
            <w:tcW w:type="dxa" w:w="5400"/>
            <w:tcMar>
              <w:top w:type="dxa" w:w="60"/>
              <w:left w:type="dxa" w:w="100"/>
              <w:bottom w:type="dxa" w:w="60"/>
              <w:right w:type="dxa" w:w="100"/>
            </w:tcMar>
          </w:tcPr>
          <w:p>
            <w:r>
              <w:rPr>
                <w:b w:val="false"/>
                <w:bCs w:val="false"/>
                <w:sz w:val="20"/>
                <w:szCs w:val="20"/>
              </w:rPr>
              <w:t xml:space="preserve">SW1–SW3, C3–C5</w:t>
            </w:r>
          </w:p>
        </w:tc>
      </w:tr>
      <w:tr>
        <w:tc>
          <w:tcPr>
            <w:tcW w:type="dxa" w:w="3600"/>
            <w:tcMar>
              <w:top w:type="dxa" w:w="60"/>
              <w:left w:type="dxa" w:w="100"/>
              <w:bottom w:type="dxa" w:w="60"/>
              <w:right w:type="dxa" w:w="100"/>
            </w:tcMar>
          </w:tcPr>
          <w:p>
            <w:r>
              <w:rPr>
                <w:b w:val="false"/>
                <w:bCs w:val="false"/>
                <w:sz w:val="20"/>
                <w:szCs w:val="20"/>
              </w:rPr>
              <w:t xml:space="preserve">Notificación</w:t>
            </w:r>
          </w:p>
        </w:tc>
        <w:tc>
          <w:tcPr>
            <w:tcW w:type="dxa" w:w="5400"/>
            <w:tcMar>
              <w:top w:type="dxa" w:w="60"/>
              <w:left w:type="dxa" w:w="100"/>
              <w:bottom w:type="dxa" w:w="60"/>
              <w:right w:type="dxa" w:w="100"/>
            </w:tcMar>
          </w:tcPr>
          <w:p>
            <w:r>
              <w:rPr>
                <w:b w:val="false"/>
                <w:bCs w:val="false"/>
                <w:sz w:val="20"/>
                <w:szCs w:val="20"/>
              </w:rPr>
              <w:t xml:space="preserve">D3, D4, R2, R3, Q1, R4, J4</w:t>
            </w:r>
          </w:p>
        </w:tc>
      </w:tr>
      <w:tr>
        <w:tc>
          <w:tcPr>
            <w:tcW w:type="dxa" w:w="3600"/>
            <w:tcMar>
              <w:top w:type="dxa" w:w="60"/>
              <w:left w:type="dxa" w:w="100"/>
              <w:bottom w:type="dxa" w:w="60"/>
              <w:right w:type="dxa" w:w="100"/>
            </w:tcMar>
          </w:tcPr>
          <w:p>
            <w:r>
              <w:rPr>
                <w:b w:val="false"/>
                <w:bCs w:val="false"/>
                <w:sz w:val="20"/>
                <w:szCs w:val="20"/>
              </w:rPr>
              <w:t xml:space="preserve">Sensores ambientales</w:t>
            </w:r>
          </w:p>
        </w:tc>
        <w:tc>
          <w:tcPr>
            <w:tcW w:type="dxa" w:w="5400"/>
            <w:tcMar>
              <w:top w:type="dxa" w:w="60"/>
              <w:left w:type="dxa" w:w="100"/>
              <w:bottom w:type="dxa" w:w="60"/>
              <w:right w:type="dxa" w:w="100"/>
            </w:tcMar>
          </w:tcPr>
          <w:p>
            <w:r>
              <w:rPr>
                <w:b w:val="false"/>
                <w:bCs w:val="false"/>
                <w:sz w:val="20"/>
                <w:szCs w:val="20"/>
              </w:rPr>
              <w:t xml:space="preserve">J5 (DHT22), J6 (PIR), J7 (reed), R5</w:t>
            </w:r>
          </w:p>
        </w:tc>
      </w:tr>
      <w:tr>
        <w:tc>
          <w:tcPr>
            <w:tcW w:type="dxa" w:w="3600"/>
            <w:tcMar>
              <w:top w:type="dxa" w:w="60"/>
              <w:left w:type="dxa" w:w="100"/>
              <w:bottom w:type="dxa" w:w="60"/>
              <w:right w:type="dxa" w:w="100"/>
            </w:tcMar>
          </w:tcPr>
          <w:p>
            <w:r>
              <w:rPr>
                <w:b w:val="false"/>
                <w:bCs w:val="false"/>
                <w:sz w:val="20"/>
                <w:szCs w:val="20"/>
              </w:rPr>
              <w:t xml:space="preserve">Visualización</w:t>
            </w:r>
          </w:p>
        </w:tc>
        <w:tc>
          <w:tcPr>
            <w:tcW w:type="dxa" w:w="5400"/>
            <w:tcMar>
              <w:top w:type="dxa" w:w="60"/>
              <w:left w:type="dxa" w:w="100"/>
              <w:bottom w:type="dxa" w:w="60"/>
              <w:right w:type="dxa" w:w="100"/>
            </w:tcMar>
          </w:tcPr>
          <w:p>
            <w:r>
              <w:rPr>
                <w:b w:val="false"/>
                <w:bCs w:val="false"/>
                <w:sz w:val="20"/>
                <w:szCs w:val="20"/>
              </w:rPr>
              <w:t xml:space="preserve">J8 — pantalla OLED I²C</w:t>
            </w:r>
          </w:p>
        </w:tc>
      </w:tr>
      <w:tr>
        <w:tc>
          <w:tcPr>
            <w:tcW w:type="dxa" w:w="3600"/>
            <w:tcMar>
              <w:top w:type="dxa" w:w="60"/>
              <w:left w:type="dxa" w:w="100"/>
              <w:bottom w:type="dxa" w:w="60"/>
              <w:right w:type="dxa" w:w="100"/>
            </w:tcMar>
          </w:tcPr>
          <w:p>
            <w:r>
              <w:rPr>
                <w:b w:val="false"/>
                <w:bCs w:val="false"/>
                <w:sz w:val="20"/>
                <w:szCs w:val="20"/>
              </w:rPr>
              <w:t xml:space="preserve">Calidad del aire</w:t>
            </w:r>
          </w:p>
        </w:tc>
        <w:tc>
          <w:tcPr>
            <w:tcW w:type="dxa" w:w="5400"/>
            <w:tcMar>
              <w:top w:type="dxa" w:w="60"/>
              <w:left w:type="dxa" w:w="100"/>
              <w:bottom w:type="dxa" w:w="60"/>
              <w:right w:type="dxa" w:w="100"/>
            </w:tcMar>
          </w:tcPr>
          <w:p>
            <w:r>
              <w:rPr>
                <w:b w:val="false"/>
                <w:bCs w:val="false"/>
                <w:sz w:val="20"/>
                <w:szCs w:val="20"/>
              </w:rPr>
              <w:t xml:space="preserve">J9 (MQ-135), R6, R7, C6</w:t>
            </w:r>
          </w:p>
        </w:tc>
      </w:tr>
    </w:tbl>
    <w:p>
      <w:pPr>
        <w:spacing w:before="200"/>
      </w:pPr>
    </w:p>
    <w:p>
      <w:pPr>
        <w:spacing w:after="120"/>
      </w:pPr>
      <w:r>
        <w:rPr>
          <w:sz w:val="22"/>
          <w:szCs w:val="22"/>
        </w:rPr>
        <w:t xml:space="preserve">Bloque de alimentación. Se implementó una cadena de protección completa: la entrada de 5 V pasa por un polyfuse de 1,1 A que limita la corriente ante un cortocircuito, luego por un diodo Schottky SS34 que protege contra inversión de polaridad. Un condensador electrolítico de 470 µF absorbe el pico de corriente que genera el calentador del MQ-135 al encender, y uno cerámico de 100 nF filtra el ruido de alta frecuencia. Un LED verde con resistencia de 1 kΩ indica que la placa tiene alimentación.</w:t>
      </w:r>
    </w:p>
    <w:p>
      <w:pPr>
        <w:spacing w:after="120"/>
      </w:pPr>
      <w:r>
        <w:rPr>
          <w:sz w:val="22"/>
          <w:szCs w:val="22"/>
        </w:rPr>
        <w:t xml:space="preserve">Bloque de botones. Cada pulsador cierra a tierra y se apoya en el pull-up interno del ESP32, ahorrando tres resistencias por unidad. Un condensador de 100 nF en paralelo con cada pulsador filtra el rebote mecánico: junto al pull-up interno de aproximadamente 45 kΩ produce una constante de tiempo cercana a 4,5 ms, suficiente para eliminar los rebotes típicos sin que el botón se perciba lento. Esto es relevante porque el Kit Educativo permite al docente configurar umbrales mediante botones físicos.</w:t>
      </w:r>
    </w:p>
    <w:p>
      <w:pPr>
        <w:spacing w:after="120"/>
      </w:pPr>
      <w:r>
        <w:rPr>
          <w:sz w:val="22"/>
          <w:szCs w:val="22"/>
        </w:rPr>
        <w:t xml:space="preserve">Bloque de notificación. Los LEDs indicadores llevan resistencias de 220 Ω (rojo) y 330 Ω (verde) para igualar el brillo percibido. El buzzer se conmuta mediante un transistor BC337 con resistencia de base de 1 kΩ, porque un pin del ESP32 no puede entregar directamente la corriente que demanda el zumbador.</w:t>
      </w:r>
    </w:p>
    <w:p>
      <w:pPr>
        <w:spacing w:after="120"/>
      </w:pPr>
      <w:r>
        <w:rPr>
          <w:sz w:val="22"/>
          <w:szCs w:val="22"/>
        </w:rPr>
        <w:t xml:space="preserve">Bloque de calidad del aire. La salida analógica del MQ-135 opera a 5 V y debe reducirse antes de entrar al ADC del ESP32, que trabaja a 3,3 V. Se dimensionó un divisor con resistencias de 10 kΩ y 15 kΩ que entrega 3,0 V a fondo de escala, dejando margen de seguridad respecto al límite del convertidor. Un condensador de 100 nF filtra el ruido que introduce el calentador del sensor.</w:t>
      </w:r>
    </w:p>
    <w:p>
      <w:pPr>
        <w:pStyle w:val="Heading2"/>
        <w:spacing w:after="120" w:before="260"/>
      </w:pPr>
      <w:r>
        <w:t xml:space="preserve">2.5 Validación eléctrica</w:t>
      </w:r>
    </w:p>
    <w:p>
      <w:pPr>
        <w:spacing w:after="120"/>
      </w:pPr>
      <w:r>
        <w:rPr>
          <w:sz w:val="22"/>
          <w:szCs w:val="22"/>
        </w:rPr>
        <w:t xml:space="preserve">El verificador de reglas eléctricas (ERC) de KiCad reporta cero errores y cero advertencias sobre el esquema completo. Durante el proceso se resolvieron progresivamente 17 infracciones iniciales.</w:t>
      </w:r>
    </w:p>
    <w:p>
      <w:pPr>
        <w:pStyle w:val="ListParagraph"/>
        <w:numPr>
          <w:ilvl w:val="0"/>
          <w:numId w:val="2"/>
        </w:numPr>
        <w:spacing w:after="80"/>
      </w:pPr>
      <w:r>
        <w:rPr>
          <w:sz w:val="22"/>
          <w:szCs w:val="22"/>
        </w:rPr>
        <w:t xml:space="preserve">Se añadieron banderas PWR_FLAG en las redes de 5 V y tierra, declarando que la alimentación proviene de una fuente externa</w:t>
      </w:r>
    </w:p>
    <w:p>
      <w:pPr>
        <w:pStyle w:val="ListParagraph"/>
        <w:numPr>
          <w:ilvl w:val="0"/>
          <w:numId w:val="2"/>
        </w:numPr>
        <w:spacing w:after="80"/>
      </w:pPr>
      <w:r>
        <w:rPr>
          <w:sz w:val="22"/>
          <w:szCs w:val="22"/>
        </w:rPr>
        <w:t xml:space="preserve">Se marcaron con bandera de no conectado los trece pines del módulo que quedan sin uso, evitando advertencias que enmascararían errores reales</w:t>
      </w:r>
    </w:p>
    <w:p>
      <w:pPr>
        <w:pStyle w:val="ListParagraph"/>
        <w:numPr>
          <w:ilvl w:val="0"/>
          <w:numId w:val="2"/>
        </w:numPr>
        <w:spacing w:after="80"/>
      </w:pPr>
      <w:r>
        <w:rPr>
          <w:sz w:val="22"/>
          <w:szCs w:val="22"/>
        </w:rPr>
        <w:t xml:space="preserve">Se verificó que cada etiqueta de señal aparezca en al menos dos puntos, confirmando que ninguna red quedó aislada</w:t>
      </w:r>
    </w:p>
    <w:p>
      <w:pPr>
        <w:pStyle w:val="Heading2"/>
        <w:spacing w:after="120" w:before="260"/>
      </w:pPr>
      <w:r>
        <w:t xml:space="preserve">2.6 Huellas y archivos de fabricación</w:t>
      </w:r>
    </w:p>
    <w:p>
      <w:pPr>
        <w:spacing w:after="120"/>
      </w:pPr>
      <w:r>
        <w:rPr>
          <w:sz w:val="22"/>
          <w:szCs w:val="22"/>
        </w:rPr>
        <w:t xml:space="preserve">Se asignaron las 31 huellas correspondientes a componentes de agujero pasante. Se exportó la lista de materiales en formato CSV con agrupamiento por valor, y el plano del esquema en PDF con el bloque de título institucional completo.</w:t>
      </w:r>
    </w:p>
    <w:p>
      <w:r>
        <w:br w:type="page"/>
      </w:r>
    </w:p>
    <w:p>
      <w:pPr>
        <w:pStyle w:val="Heading1"/>
        <w:spacing w:after="160" w:before="360"/>
      </w:pPr>
      <w:r>
        <w:t xml:space="preserve">3. Decisiones de diseño</w:t>
      </w:r>
    </w:p>
    <w:p>
      <w:pPr>
        <w:spacing w:after="120"/>
      </w:pPr>
      <w:r>
        <w:rPr>
          <w:sz w:val="22"/>
          <w:szCs w:val="22"/>
        </w:rPr>
        <w:t xml:space="preserve">Las siguientes decisiones deben quedar registradas en el archivo hardware/CHANGELOG.md del repositorio.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DCE6F1" w:color="auto" w:val="clear"/>
            <w:tcMar>
              <w:top w:type="dxa" w:w="60"/>
              <w:left w:type="dxa" w:w="100"/>
              <w:bottom w:type="dxa" w:w="60"/>
              <w:right w:type="dxa" w:w="100"/>
            </w:tcMar>
          </w:tcPr>
          <w:p>
            <w:r>
              <w:rPr>
                <w:b/>
                <w:bCs/>
                <w:sz w:val="20"/>
                <w:szCs w:val="20"/>
              </w:rPr>
              <w:t xml:space="preserve">Decisión</w:t>
            </w:r>
          </w:p>
        </w:tc>
        <w:tc>
          <w:tcPr>
            <w:tcW w:type="dxa" w:w="5400"/>
            <w:shd w:fill="DCE6F1" w:color="auto" w:val="clear"/>
            <w:tcMar>
              <w:top w:type="dxa" w:w="60"/>
              <w:left w:type="dxa" w:w="100"/>
              <w:bottom w:type="dxa" w:w="60"/>
              <w:right w:type="dxa" w:w="100"/>
            </w:tcMar>
          </w:tcPr>
          <w:p>
            <w:r>
              <w:rPr>
                <w:b/>
                <w:bCs/>
                <w:sz w:val="20"/>
                <w:szCs w:val="20"/>
              </w:rPr>
              <w:t xml:space="preserve">Justificación</w:t>
            </w:r>
          </w:p>
        </w:tc>
      </w:tr>
      <w:tr>
        <w:tc>
          <w:tcPr>
            <w:tcW w:type="dxa" w:w="3600"/>
            <w:tcMar>
              <w:top w:type="dxa" w:w="60"/>
              <w:left w:type="dxa" w:w="100"/>
              <w:bottom w:type="dxa" w:w="60"/>
              <w:right w:type="dxa" w:w="100"/>
            </w:tcMar>
          </w:tcPr>
          <w:p>
            <w:r>
              <w:rPr>
                <w:b w:val="false"/>
                <w:bCs w:val="false"/>
                <w:sz w:val="20"/>
                <w:szCs w:val="20"/>
              </w:rPr>
              <w:t xml:space="preserve">Tecnología de agujero pasante en lugar de montaje superficial</w:t>
            </w:r>
          </w:p>
        </w:tc>
        <w:tc>
          <w:tcPr>
            <w:tcW w:type="dxa" w:w="5400"/>
            <w:tcMar>
              <w:top w:type="dxa" w:w="60"/>
              <w:left w:type="dxa" w:w="100"/>
              <w:bottom w:type="dxa" w:w="60"/>
              <w:right w:type="dxa" w:w="100"/>
            </w:tcMar>
          </w:tcPr>
          <w:p>
            <w:r>
              <w:rPr>
                <w:b w:val="false"/>
                <w:bCs w:val="false"/>
                <w:sz w:val="20"/>
                <w:szCs w:val="20"/>
              </w:rPr>
              <w:t xml:space="preserve">El plan asigna 25 minutos de soldadura manual por unidad y la inversión en equipo no contempla horno de reflujo. Además facilita la reparación durante los 12 meses de garantía.</w:t>
            </w:r>
          </w:p>
        </w:tc>
      </w:tr>
      <w:tr>
        <w:tc>
          <w:tcPr>
            <w:tcW w:type="dxa" w:w="3600"/>
            <w:tcMar>
              <w:top w:type="dxa" w:w="60"/>
              <w:left w:type="dxa" w:w="100"/>
              <w:bottom w:type="dxa" w:w="60"/>
              <w:right w:type="dxa" w:w="100"/>
            </w:tcMar>
          </w:tcPr>
          <w:p>
            <w:r>
              <w:rPr>
                <w:b w:val="false"/>
                <w:bCs w:val="false"/>
                <w:sz w:val="20"/>
                <w:szCs w:val="20"/>
              </w:rPr>
              <w:t xml:space="preserve">Bornera de dos pines en lugar de receptor USB-C</w:t>
            </w:r>
          </w:p>
        </w:tc>
        <w:tc>
          <w:tcPr>
            <w:tcW w:type="dxa" w:w="5400"/>
            <w:tcMar>
              <w:top w:type="dxa" w:w="60"/>
              <w:left w:type="dxa" w:w="100"/>
              <w:bottom w:type="dxa" w:w="60"/>
              <w:right w:type="dxa" w:w="100"/>
            </w:tcMar>
          </w:tcPr>
          <w:p>
            <w:r>
              <w:rPr>
                <w:b w:val="false"/>
                <w:bCs w:val="false"/>
                <w:sz w:val="20"/>
                <w:szCs w:val="20"/>
              </w:rPr>
              <w:t xml:space="preserve">El conector USB-C requiere dos resistencias de 5,1 kΩ en los pines CC para que un cargador moderno entregue corriente, y su encapsulado dificulta la soldadura manual. Se pospone para HW 1.0.</w:t>
            </w:r>
          </w:p>
        </w:tc>
      </w:tr>
      <w:tr>
        <w:tc>
          <w:tcPr>
            <w:tcW w:type="dxa" w:w="3600"/>
            <w:tcMar>
              <w:top w:type="dxa" w:w="60"/>
              <w:left w:type="dxa" w:w="100"/>
              <w:bottom w:type="dxa" w:w="60"/>
              <w:right w:type="dxa" w:w="100"/>
            </w:tcMar>
          </w:tcPr>
          <w:p>
            <w:r>
              <w:rPr>
                <w:b w:val="false"/>
                <w:bCs w:val="false"/>
                <w:sz w:val="20"/>
                <w:szCs w:val="20"/>
              </w:rPr>
              <w:t xml:space="preserve">Sin pulsador de reinicio en la placa</w:t>
            </w:r>
          </w:p>
        </w:tc>
        <w:tc>
          <w:tcPr>
            <w:tcW w:type="dxa" w:w="5400"/>
            <w:tcMar>
              <w:top w:type="dxa" w:w="60"/>
              <w:left w:type="dxa" w:w="100"/>
              <w:bottom w:type="dxa" w:w="60"/>
              <w:right w:type="dxa" w:w="100"/>
            </w:tcMar>
          </w:tcPr>
          <w:p>
            <w:r>
              <w:rPr>
                <w:b w:val="false"/>
                <w:bCs w:val="false"/>
                <w:sz w:val="20"/>
                <w:szCs w:val="20"/>
              </w:rPr>
              <w:t xml:space="preserve">El módulo DevKit ya incorpora uno, y la ficha técnica del producto prohíbe al usuario abrir la carcasa.</w:t>
            </w:r>
          </w:p>
        </w:tc>
      </w:tr>
      <w:tr>
        <w:tc>
          <w:tcPr>
            <w:tcW w:type="dxa" w:w="3600"/>
            <w:tcMar>
              <w:top w:type="dxa" w:w="60"/>
              <w:left w:type="dxa" w:w="100"/>
              <w:bottom w:type="dxa" w:w="60"/>
              <w:right w:type="dxa" w:w="100"/>
            </w:tcMar>
          </w:tcPr>
          <w:p>
            <w:r>
              <w:rPr>
                <w:b w:val="false"/>
                <w:bCs w:val="false"/>
                <w:sz w:val="20"/>
                <w:szCs w:val="20"/>
              </w:rPr>
              <w:t xml:space="preserve">Una sola PCB para los tres kits</w:t>
            </w:r>
          </w:p>
        </w:tc>
        <w:tc>
          <w:tcPr>
            <w:tcW w:type="dxa" w:w="5400"/>
            <w:tcMar>
              <w:top w:type="dxa" w:w="60"/>
              <w:left w:type="dxa" w:w="100"/>
              <w:bottom w:type="dxa" w:w="60"/>
              <w:right w:type="dxa" w:w="100"/>
            </w:tcMar>
          </w:tcPr>
          <w:p>
            <w:r>
              <w:rPr>
                <w:b w:val="false"/>
                <w:bCs w:val="false"/>
                <w:sz w:val="20"/>
                <w:szCs w:val="20"/>
              </w:rPr>
              <w:t xml:space="preserve">Las versiones se diferencian por los componentes que se sueldan. Evita triplicar el diseño, la validación y los archivos de fabricación.</w:t>
            </w:r>
          </w:p>
        </w:tc>
      </w:tr>
      <w:tr>
        <w:tc>
          <w:tcPr>
            <w:tcW w:type="dxa" w:w="3600"/>
            <w:tcMar>
              <w:top w:type="dxa" w:w="60"/>
              <w:left w:type="dxa" w:w="100"/>
              <w:bottom w:type="dxa" w:w="60"/>
              <w:right w:type="dxa" w:w="100"/>
            </w:tcMar>
          </w:tcPr>
          <w:p>
            <w:r>
              <w:rPr>
                <w:b w:val="false"/>
                <w:bCs w:val="false"/>
                <w:sz w:val="20"/>
                <w:szCs w:val="20"/>
              </w:rPr>
              <w:t xml:space="preserve">Divisor resistivo de 10 kΩ y 15 kΩ</w:t>
            </w:r>
          </w:p>
        </w:tc>
        <w:tc>
          <w:tcPr>
            <w:tcW w:type="dxa" w:w="5400"/>
            <w:tcMar>
              <w:top w:type="dxa" w:w="60"/>
              <w:left w:type="dxa" w:w="100"/>
              <w:bottom w:type="dxa" w:w="60"/>
              <w:right w:type="dxa" w:w="100"/>
            </w:tcMar>
          </w:tcPr>
          <w:p>
            <w:r>
              <w:rPr>
                <w:b w:val="false"/>
                <w:bCs w:val="false"/>
                <w:sz w:val="20"/>
                <w:szCs w:val="20"/>
              </w:rPr>
              <w:t xml:space="preserve">La combinación inicial de 10 kΩ y 20 kΩ entregaba 3,33 V, superando la tensión de alimentación del pin. La nueva relación entrega 3,0 V con margen.</w:t>
            </w:r>
          </w:p>
        </w:tc>
      </w:tr>
      <w:tr>
        <w:tc>
          <w:tcPr>
            <w:tcW w:type="dxa" w:w="3600"/>
            <w:tcMar>
              <w:top w:type="dxa" w:w="60"/>
              <w:left w:type="dxa" w:w="100"/>
              <w:bottom w:type="dxa" w:w="60"/>
              <w:right w:type="dxa" w:w="100"/>
            </w:tcMar>
          </w:tcPr>
          <w:p>
            <w:r>
              <w:rPr>
                <w:b w:val="false"/>
                <w:bCs w:val="false"/>
                <w:sz w:val="20"/>
                <w:szCs w:val="20"/>
              </w:rPr>
              <w:t xml:space="preserve">Antirrebote por hardware en los botones</w:t>
            </w:r>
          </w:p>
        </w:tc>
        <w:tc>
          <w:tcPr>
            <w:tcW w:type="dxa" w:w="5400"/>
            <w:tcMar>
              <w:top w:type="dxa" w:w="60"/>
              <w:left w:type="dxa" w:w="100"/>
              <w:bottom w:type="dxa" w:w="60"/>
              <w:right w:type="dxa" w:w="100"/>
            </w:tcMar>
          </w:tcPr>
          <w:p>
            <w:r>
              <w:rPr>
                <w:b w:val="false"/>
                <w:bCs w:val="false"/>
                <w:sz w:val="20"/>
                <w:szCs w:val="20"/>
              </w:rPr>
              <w:t xml:space="preserve">Tres condensadores de bajo costo evitan lecturas múltiples cuando el docente configura umbrales, problema que generaría reclamos de garantía.</w:t>
            </w:r>
          </w:p>
        </w:tc>
      </w:tr>
    </w:tbl>
    <w:p>
      <w:pPr>
        <w:pStyle w:val="Heading1"/>
        <w:spacing w:after="160" w:before="360"/>
      </w:pPr>
      <w:r>
        <w:t xml:space="preserve">4. Puntos pendientes</w:t>
      </w:r>
    </w:p>
    <w:p>
      <w:pPr>
        <w:pStyle w:val="Heading2"/>
        <w:spacing w:after="120" w:before="260"/>
      </w:pPr>
      <w:r>
        <w:t xml:space="preserve">4.1 Verificación del pinout físico (crítico)</w:t>
      </w:r>
    </w:p>
    <w:p>
      <w:pPr>
        <w:spacing w:after="120"/>
      </w:pPr>
      <w:r>
        <w:rPr>
          <w:sz w:val="22"/>
          <w:szCs w:val="22"/>
        </w:rPr>
        <w:t xml:space="preserve">Todo el diseño asume la distribución estándar del módulo DOIT ESP32 DevKit V1 de 30 pines. Existen variantes de fabricantes distintos con el orden alterado. Debe compararse el esquema contra la serigrafía de la placa física antes de iniciar el trazado de la PCB.</w:t>
      </w:r>
    </w:p>
    <w:p>
      <w:pPr>
        <w:spacing w:after="120"/>
      </w:pPr>
      <w:r>
        <w:rPr>
          <w:sz w:val="22"/>
          <w:szCs w:val="22"/>
        </w:rPr>
        <w:t xml:space="preserve">Corregir un nombre de pin en el esquema toma menos de un minuto; detectar el error después de fabricar la placa implica perder la tirada completa.</w:t>
      </w:r>
    </w:p>
    <w:p>
      <w:pPr>
        <w:pStyle w:val="Heading2"/>
        <w:spacing w:after="120" w:before="260"/>
      </w:pPr>
      <w:r>
        <w:t xml:space="preserve">4.2 Definiciones técnicas por confirmar</w:t>
      </w:r>
    </w:p>
    <w:p>
      <w:pPr>
        <w:pStyle w:val="ListParagraph"/>
        <w:numPr>
          <w:ilvl w:val="0"/>
          <w:numId w:val="2"/>
        </w:numPr>
        <w:spacing w:after="80"/>
      </w:pPr>
      <w:r>
        <w:rPr>
          <w:sz w:val="22"/>
          <w:szCs w:val="22"/>
        </w:rPr>
        <w:t xml:space="preserve">Tipo de buzzer: el plan indica pasivo de 5 V; conviene confirmar si es magnético o piezoeléctrico, ya que el magnético requiere diodo de protección</w:t>
      </w:r>
    </w:p>
    <w:p>
      <w:pPr>
        <w:pStyle w:val="ListParagraph"/>
        <w:numPr>
          <w:ilvl w:val="0"/>
          <w:numId w:val="2"/>
        </w:numPr>
        <w:spacing w:after="80"/>
      </w:pPr>
      <w:r>
        <w:rPr>
          <w:sz w:val="22"/>
          <w:szCs w:val="22"/>
        </w:rPr>
        <w:t xml:space="preserve">Orden de pines del módulo OLED: se asumió la secuencia GND, VCC, SCL, SDA, que es la más común pero no la única</w:t>
      </w:r>
    </w:p>
    <w:p>
      <w:pPr>
        <w:pStyle w:val="ListParagraph"/>
        <w:numPr>
          <w:ilvl w:val="0"/>
          <w:numId w:val="2"/>
        </w:numPr>
        <w:spacing w:after="80"/>
      </w:pPr>
      <w:r>
        <w:rPr>
          <w:sz w:val="22"/>
          <w:szCs w:val="22"/>
        </w:rPr>
        <w:t xml:space="preserve">Corriente de la fuente: el plan especifica 5 V y 2 A en las tres fichas técnicas; debe mantenerse esa cifra para no contradecir el documento comercial</w:t>
      </w:r>
    </w:p>
    <w:p>
      <w:pPr>
        <w:pStyle w:val="ListParagraph"/>
        <w:numPr>
          <w:ilvl w:val="0"/>
          <w:numId w:val="2"/>
        </w:numPr>
        <w:spacing w:after="80"/>
      </w:pPr>
      <w:r>
        <w:rPr>
          <w:sz w:val="22"/>
          <w:szCs w:val="22"/>
        </w:rPr>
        <w:t xml:space="preserve">Portapilas CR2032 para respaldo del reloj en el Kit Premium, requerido por la función de registro histórico de siete días</w:t>
      </w:r>
    </w:p>
    <w:p>
      <w:pPr>
        <w:pStyle w:val="Heading1"/>
        <w:spacing w:after="160" w:before="360"/>
      </w:pPr>
      <w:r>
        <w:t xml:space="preserve">5. Trabajo previsto para la próxima sesión</w:t>
      </w:r>
    </w:p>
    <w:p>
      <w:pPr>
        <w:pStyle w:val="ListParagraph"/>
        <w:numPr>
          <w:ilvl w:val="0"/>
          <w:numId w:val="3"/>
        </w:numPr>
        <w:spacing w:after="80"/>
      </w:pPr>
      <w:r>
        <w:rPr>
          <w:sz w:val="22"/>
          <w:szCs w:val="22"/>
        </w:rPr>
        <w:t xml:space="preserve">Verificar el pinout contra el módulo ESP32 físico y corregir el esquema si hay diferencias</w:t>
      </w:r>
    </w:p>
    <w:p>
      <w:pPr>
        <w:pStyle w:val="ListParagraph"/>
        <w:numPr>
          <w:ilvl w:val="0"/>
          <w:numId w:val="3"/>
        </w:numPr>
        <w:spacing w:after="80"/>
      </w:pPr>
      <w:r>
        <w:rPr>
          <w:sz w:val="22"/>
          <w:szCs w:val="22"/>
        </w:rPr>
        <w:t xml:space="preserve">Importar el esquema al editor de placas mediante la función de actualización desde esquema</w:t>
      </w:r>
    </w:p>
    <w:p>
      <w:pPr>
        <w:pStyle w:val="ListParagraph"/>
        <w:numPr>
          <w:ilvl w:val="0"/>
          <w:numId w:val="3"/>
        </w:numPr>
        <w:spacing w:after="80"/>
      </w:pPr>
      <w:r>
        <w:rPr>
          <w:sz w:val="22"/>
          <w:szCs w:val="22"/>
        </w:rPr>
        <w:t xml:space="preserve">Definir el contorno de la PCB según la carcasa de 90 × 60 × 30 mm especificada para el Kit Básico</w:t>
      </w:r>
    </w:p>
    <w:p>
      <w:pPr>
        <w:pStyle w:val="ListParagraph"/>
        <w:numPr>
          <w:ilvl w:val="0"/>
          <w:numId w:val="3"/>
        </w:numPr>
        <w:spacing w:after="80"/>
      </w:pPr>
      <w:r>
        <w:rPr>
          <w:sz w:val="22"/>
          <w:szCs w:val="22"/>
        </w:rPr>
        <w:t xml:space="preserve">Ubicar los componentes considerando la posición de la ventana de la pantalla, los orificios de los LEDs y la rejilla de ventilación del sensor de gas</w:t>
      </w:r>
    </w:p>
    <w:p>
      <w:pPr>
        <w:pStyle w:val="ListParagraph"/>
        <w:numPr>
          <w:ilvl w:val="0"/>
          <w:numId w:val="3"/>
        </w:numPr>
        <w:spacing w:after="80"/>
      </w:pPr>
      <w:r>
        <w:rPr>
          <w:sz w:val="22"/>
          <w:szCs w:val="22"/>
        </w:rPr>
        <w:t xml:space="preserve">Trazar las pistas, dimensionando con mayor ancho las de alimentación por la corriente del calentador del MQ-135</w:t>
      </w:r>
    </w:p>
    <w:p>
      <w:pPr>
        <w:pStyle w:val="ListParagraph"/>
        <w:numPr>
          <w:ilvl w:val="0"/>
          <w:numId w:val="3"/>
        </w:numPr>
        <w:spacing w:after="80"/>
      </w:pPr>
      <w:r>
        <w:rPr>
          <w:sz w:val="22"/>
          <w:szCs w:val="22"/>
        </w:rPr>
        <w:t xml:space="preserve">Generar el plano de tierra en la capa inferior</w:t>
      </w:r>
    </w:p>
    <w:p>
      <w:pPr>
        <w:pStyle w:val="ListParagraph"/>
        <w:numPr>
          <w:ilvl w:val="0"/>
          <w:numId w:val="3"/>
        </w:numPr>
        <w:spacing w:after="80"/>
      </w:pPr>
      <w:r>
        <w:rPr>
          <w:sz w:val="22"/>
          <w:szCs w:val="22"/>
        </w:rPr>
        <w:t xml:space="preserve">Ejecutar el verificador de reglas de diseño hasta dejarlo sin infracciones</w:t>
      </w:r>
    </w:p>
    <w:p>
      <w:pPr>
        <w:pStyle w:val="ListParagraph"/>
        <w:numPr>
          <w:ilvl w:val="0"/>
          <w:numId w:val="3"/>
        </w:numPr>
        <w:spacing w:after="80"/>
      </w:pPr>
      <w:r>
        <w:rPr>
          <w:sz w:val="22"/>
          <w:szCs w:val="22"/>
        </w:rPr>
        <w:t xml:space="preserve">Etiquetar la versión como hw-0.1-pcb en el repositorio</w:t>
      </w:r>
    </w:p>
    <w:p>
      <w:pPr>
        <w:pStyle w:val="Heading1"/>
        <w:spacing w:after="160" w:before="360"/>
      </w:pPr>
      <w:r>
        <w:t xml:space="preserve">6. Comandos para retomar el trabajo</w:t>
      </w:r>
    </w:p>
    <w:p>
      <w:pPr>
        <w:spacing w:after="120"/>
      </w:pPr>
      <w:r>
        <w:rPr>
          <w:sz w:val="22"/>
          <w:szCs w:val="22"/>
        </w:rPr>
        <w:t xml:space="preserve">Desde una terminal de PowerShell:</w:t>
      </w:r>
    </w:p>
    <w:p>
      <w:pPr>
        <w:shd w:fill="F2F2F2" w:color="auto" w:val="clear"/>
        <w:spacing w:after="120" w:before="120"/>
      </w:pPr>
      <w:r>
        <w:rPr>
          <w:rFonts w:ascii="Consolas" w:cs="Consolas" w:eastAsia="Consolas" w:hAnsi="Consolas"/>
          <w:sz w:val="20"/>
          <w:szCs w:val="20"/>
        </w:rPr>
        <w:t xml:space="preserve">cd C:\Users\juan.sierra\Documents\AulaSense</w:t>
      </w:r>
    </w:p>
    <w:p>
      <w:pPr>
        <w:shd w:fill="F2F2F2" w:color="auto" w:val="clear"/>
        <w:spacing w:after="120"/>
      </w:pPr>
      <w:r>
        <w:rPr>
          <w:rFonts w:ascii="Consolas" w:cs="Consolas" w:eastAsia="Consolas" w:hAnsi="Consolas"/>
          <w:sz w:val="20"/>
          <w:szCs w:val="20"/>
        </w:rPr>
        <w:t xml:space="preserve">git status</w:t>
      </w:r>
    </w:p>
    <w:p>
      <w:pPr>
        <w:spacing w:after="120"/>
      </w:pPr>
      <w:r>
        <w:rPr>
          <w:sz w:val="22"/>
          <w:szCs w:val="22"/>
        </w:rPr>
        <w:t xml:space="preserve">Luego abrir KiCad y cargar el proyecto desde hardware\kicad\AulaSense.kicad_pro. El esquema está validado y no requiere correcciones para continuar.</w:t>
      </w:r>
    </w:p>
    <w:p>
      <w:pPr>
        <w:spacing w:before="300"/>
      </w:pPr>
    </w:p>
    <w:p>
      <w:pPr>
        <w:pBdr>
          <w:bottom w:val="single" w:color="1F4E79" w:sz="6"/>
        </w:pBdr>
        <w:spacing w:after="200"/>
      </w:pPr>
    </w:p>
    <w:p>
      <w:r>
        <w:rPr>
          <w:i/>
          <w:iCs/>
          <w:color w:val="777777"/>
          <w:sz w:val="18"/>
          <w:szCs w:val="18"/>
        </w:rPr>
        <w:t xml:space="preserve">Documento generado el 10 de agosto de 2026 como registro de avance del proyecto AulaSense.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2026-08-10T21:54:02.769Z</dcterms:created>
  <dcterms:modified xsi:type="dcterms:W3CDTF">2026-08-10T21:54:02.790Z</dcterms:modified>
</cp:coreProperties>
</file>

<file path=docProps/custom.xml><?xml version="1.0" encoding="utf-8"?>
<Properties xmlns="http://schemas.openxmlformats.org/officeDocument/2006/custom-properties" xmlns:vt="http://schemas.openxmlformats.org/officeDocument/2006/docPropsVTypes"/>
</file>