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de</w:t>
      </w:r>
      <w:r>
        <w:t xml:space="preserve"> </w:t>
      </w:r>
      <w:r>
        <w:t xml:space="preserve">Implementación</w:t>
      </w:r>
      <w:r>
        <w:t xml:space="preserve"> </w:t>
      </w:r>
      <w:r>
        <w:t xml:space="preserve">E-Service</w:t>
      </w:r>
      <w:r>
        <w:t xml:space="preserve"> </w:t>
      </w:r>
      <w:r>
        <w:t xml:space="preserve">Fase</w:t>
      </w:r>
      <w:r>
        <w:t xml:space="preserve"> </w:t>
      </w:r>
      <w:r>
        <w:t xml:space="preserve">3.</w:t>
      </w:r>
      <w:r>
        <w:t xml:space="preserve"> </w:t>
      </w:r>
      <w:r>
        <w:t xml:space="preserve">Oficina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 de arquitectura E-Service, Fase II, 2023,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if manubot.ci_source is defined -%}</w:t>
      </w:r>
      <w:hyperlink r:id="rId27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Implementación E-Service Fase 3. Oficina de Arquitectura del FNA</dc:title>
  <dc:creator/>
  <cp:keywords/>
  <dcterms:created xsi:type="dcterms:W3CDTF">2023-09-08T19:13:48Z</dcterms:created>
  <dcterms:modified xsi:type="dcterms:W3CDTF">2023-09-08T19:13:48Z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