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sumen-y-control-de-cambios"/>
    <w:p>
      <w:pPr>
        <w:pStyle w:val="Ttulo2"/>
      </w:pPr>
      <w:r>
        <w:t xml:space="preserve">Resumen y 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Portafolio de iniciativas y brechas:</w:t>
            </w:r>
            <w:r>
              <w:t xml:space="preserve"> </w:t>
            </w:r>
            <w:r>
              <w:rPr>
                <w:bCs/>
                <w:b/>
              </w:rPr>
              <w:t xml:space="preserve">Hoja de ruta de los proyectos de cierre de brecha E-Service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E-Service, FNA, Análisis de brecha, GAP, Comparativa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b45dadc del 04 Apr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N003a Vista Segmento SOA FNA</w:t>
              </w:r>
            </w:hyperlink>
          </w:p>
        </w:tc>
      </w:tr>
    </w:tbl>
    <w:p>
      <w:pPr>
        <w:pStyle w:val="Textoindependiente"/>
      </w:pPr>
    </w:p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2023-04-04T20:05:36Z</dcterms:created>
  <dcterms:modified xsi:type="dcterms:W3CDTF">2023-04-04T20:05:36Z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