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a-oficina-de-arquitectura-del-fna"/>
    <w:p>
      <w:pPr>
        <w:pStyle w:val="Ttulo2"/>
      </w:pPr>
      <w:r>
        <w:t xml:space="preserve">La Oficina de Arquitectura del FNA</w:t>
      </w:r>
    </w:p>
    <w:p>
      <w:pPr>
        <w:pStyle w:val="FirstParagraph"/>
      </w:pPr>
      <w:r>
        <w:t xml:space="preserve">En el contexto de la presente propuesta la oficina de arquitectura es el equipo de trabajo, conforme tanto al gobierno SOA como al gobierno TIC del FNA, a cargo de la creación de los diseños y la dirección de las implementaciones y transiciones que involucren soluciones de sistemas de información y aplicaciones, servicios y componentes de negocio, información de negocio, y de tecnologías de infraestructura local y remota (nube). En general, la oficina de arquitectura gestiona el conocimiento de la arquitectura actual del FNA y la continuidad de la arquitectura de referencia.​</w:t>
      </w:r>
    </w:p>
    <w:p>
      <w:pPr>
        <w:pStyle w:val="Textoindependiente"/>
      </w:pPr>
      <w:r>
        <w:t xml:space="preserve">El objetivo principal de la oficina de arquitectura es materializar el gobierno del FNA Mediante la puesta en marcha de las funciones propias de la oficina y de las responsabilidades que gobierno FNA le demanda. Esto se extiende hacia las articulaciones necesarias con otros contextos, áreas y proveedores del FNA.</w:t>
      </w:r>
    </w:p>
    <w:p>
      <w:pPr>
        <w:pStyle w:val="Textoindependiente"/>
      </w:pPr>
      <w:r>
        <w:t xml:space="preserve">En la imagen siguiente muestra la colaboración de la Oficina de Arquitectura con el modelo de gobierno del FNA (2023).</w:t>
      </w:r>
    </w:p>
    <w:bookmarkStart w:id="0" w:name="fig:2fb26473-50de-45c8-9ee7-cccd7494bb15"/>
    <w:p>
      <w:pPr>
        <w:pStyle w:val="CaptionedFigure"/>
      </w:pPr>
      <w:bookmarkStart w:id="23" w:name="fig:"/>
      <w:r>
        <w:drawing>
          <wp:inline>
            <wp:extent cx="5600700" cy="4485837"/>
            <wp:effectExtent b="0" l="0" r="0" t="0"/>
            <wp:docPr descr="Figure 1: Oficina de Arquitectura en contexto del Modelo de Gobierno SOA del FNA, emisión inicial. Gestiona la evolución de las arquitecturas del FNA." title="" id="21" name="Picture"/>
            <a:graphic>
              <a:graphicData uri="http://schemas.openxmlformats.org/drawingml/2006/picture">
                <pic:pic>
                  <pic:nvPicPr>
                    <pic:cNvPr descr="images/modelo-gob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8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Oficina de Arquitectura en contexto del Modelo de Gobierno SOA del FNA, emisión inicial. Gestiona la evolución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2023-10-02T18:31:40Z</dcterms:created>
  <dcterms:modified xsi:type="dcterms:W3CDTF">2023-10-02T18:31:40Z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