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a-oficina-de-arquitectura-del-fna"/>
    <w:p>
      <w:pPr>
        <w:pStyle w:val="Ttulo2"/>
      </w:pPr>
      <w:r>
        <w:t xml:space="preserve">La Oficina de Arquitectura del FNA</w:t>
      </w:r>
    </w:p>
    <w:p>
      <w:pPr>
        <w:pStyle w:val="FirstParagraph"/>
      </w:pPr>
      <w:r>
        <w:t xml:space="preserve">Es el equipo de trabajo, conforme tanto al gobierno SOA como al gobierno TIC del FNA a cargo de la creación de los diseños y la dirección de las implementaciones y transiciones que involucren soluciones de sistemas de información y aplicaciones, servicios y componentes de negocio, información negocio, y de tecnologías de infraestructura local y remota (nube). En general, la oficina de arquitectura gestiona el conocimiento de la arquitectura actual del FNA y la continuidad de la arquitectura de referencia.​</w:t>
      </w:r>
    </w:p>
    <w:p>
      <w:pPr>
        <w:pStyle w:val="Textoindependiente"/>
      </w:pPr>
      <w:r>
        <w:t xml:space="preserve">La importancia de la oficina de arquitectura está dada en tanto que materializa al gobierno del FNA mediante la ejecución de sus funciones y responsabilidades. Además, realiza la necesaria articulación con otros contextos, áreas y proveedores del FNA.</w:t>
      </w:r>
    </w:p>
    <w:p>
      <w:pPr>
        <w:pStyle w:val="Textoindependiente"/>
      </w:pPr>
      <w:r>
        <w:t xml:space="preserve">En la imagen siguiente muestra la colaboración de la Oficina de Arquitectura con el modelo de gobierno del FNA (2023).</w:t>
      </w:r>
    </w:p>
    <w:bookmarkStart w:id="0" w:name="fig:a174cc38-1feb-4097-8dfc-a6a24e7becfa"/>
    <w:p>
      <w:pPr>
        <w:pStyle w:val="CaptionedFigure"/>
      </w:pPr>
      <w:bookmarkStart w:id="23" w:name="fig:"/>
      <w:r>
        <w:drawing>
          <wp:inline>
            <wp:extent cx="5600700" cy="4485837"/>
            <wp:effectExtent b="0" l="0" r="0" t="0"/>
            <wp:docPr descr="Figure 1: Oficina de Arquitectura en contexto del Modelo de Gobierno SOA del FNA, emisión inicial. Gestiona la evolución de las arquitecturas del FNA." title="" id="21" name="Picture"/>
            <a:graphic>
              <a:graphicData uri="http://schemas.openxmlformats.org/drawingml/2006/picture">
                <pic:pic>
                  <pic:nvPicPr>
                    <pic:cNvPr descr="images/modelo-go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Oficina de Arquitectura en contexto del Modelo de Gobierno SOA del FNA, emisión inicial. Gestiona la evolución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2023-09-08T19:16:20Z</dcterms:created>
  <dcterms:modified xsi:type="dcterms:W3CDTF">2023-09-08T19:16:20Z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