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cca0cd2801ecee6387a6c4fadad0257c932dc4b"/>
    <w:p>
      <w:pPr>
        <w:pStyle w:val="Ttulo2"/>
      </w:pPr>
      <w:r>
        <w:t xml:space="preserve">Hoja de Ruta E-Service FNA (Arquitectura E-Service)</w:t>
      </w:r>
    </w:p>
    <w:p>
      <w:pPr>
        <w:pStyle w:val="FirstParagraph"/>
      </w:pPr>
      <w:r>
        <w:t xml:space="preserve">Los proyectos de la hoja de ruta resultado de la ejecución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 dentro del proyecto PETI, son los siguientes: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Oficina de arquitectura</w:t>
      </w:r>
    </w:p>
    <w:p>
      <w:pPr>
        <w:numPr>
          <w:ilvl w:val="0"/>
          <w:numId w:val="1001"/>
        </w:numPr>
        <w:pStyle w:val="Compact"/>
      </w:pPr>
      <w:r>
        <w:t xml:space="preserve">Arquitectura de referencia 2.0</w:t>
      </w:r>
    </w:p>
    <w:p>
      <w:pPr>
        <w:numPr>
          <w:ilvl w:val="0"/>
          <w:numId w:val="1001"/>
        </w:numPr>
        <w:pStyle w:val="Compact"/>
      </w:pPr>
      <w:r>
        <w:t xml:space="preserve">Portafolio API</w:t>
      </w:r>
    </w:p>
    <w:p>
      <w:pPr>
        <w:numPr>
          <w:ilvl w:val="0"/>
          <w:numId w:val="1001"/>
        </w:numPr>
        <w:pStyle w:val="Compact"/>
      </w:pPr>
      <w:r>
        <w:t xml:space="preserve">Microservicios</w:t>
      </w:r>
    </w:p>
    <w:p>
      <w:pPr>
        <w:numPr>
          <w:ilvl w:val="0"/>
          <w:numId w:val="1001"/>
        </w:numPr>
        <w:pStyle w:val="Compact"/>
      </w:pPr>
      <w:r>
        <w:t xml:space="preserve">Plataforma híbrida de integración</w:t>
      </w:r>
    </w:p>
    <w:p>
      <w:pPr>
        <w:numPr>
          <w:ilvl w:val="0"/>
          <w:numId w:val="1001"/>
        </w:numPr>
        <w:pStyle w:val="Compact"/>
      </w:pPr>
      <w:r>
        <w:t xml:space="preserve">Service mesh</w:t>
      </w:r>
    </w:p>
    <w:p>
      <w:pPr>
        <w:numPr>
          <w:ilvl w:val="0"/>
          <w:numId w:val="1001"/>
        </w:numPr>
        <w:pStyle w:val="Compact"/>
      </w:pPr>
      <w:r>
        <w:t xml:space="preserve">Hub de integración digital</w:t>
      </w:r>
    </w:p>
    <w:p>
      <w:pPr>
        <w:numPr>
          <w:ilvl w:val="0"/>
          <w:numId w:val="1001"/>
        </w:numPr>
        <w:pStyle w:val="Compact"/>
      </w:pPr>
      <w:r>
        <w:t xml:space="preserve">Gobierno de datos</w:t>
      </w:r>
    </w:p>
    <w:p>
      <w:pPr>
        <w:numPr>
          <w:ilvl w:val="0"/>
          <w:numId w:val="1001"/>
        </w:numPr>
        <w:pStyle w:val="Compact"/>
      </w:pPr>
      <w:r>
        <w:t xml:space="preserve">Gestión de datos maestros</w:t>
      </w:r>
    </w:p>
    <w:p>
      <w:pPr>
        <w:numPr>
          <w:ilvl w:val="0"/>
          <w:numId w:val="1001"/>
        </w:numPr>
        <w:pStyle w:val="Compact"/>
      </w:pPr>
      <w:r>
        <w:t xml:space="preserve">Arquitectura de datos (data mesh)</w:t>
      </w:r>
    </w:p>
    <w:p>
      <w:pPr>
        <w:numPr>
          <w:ilvl w:val="0"/>
          <w:numId w:val="1001"/>
        </w:numPr>
        <w:pStyle w:val="Compact"/>
      </w:pPr>
      <w:r>
        <w:t xml:space="preserve">Devops</w:t>
      </w:r>
    </w:p>
    <w:p>
      <w:pPr>
        <w:numPr>
          <w:ilvl w:val="0"/>
          <w:numId w:val="1001"/>
        </w:numPr>
        <w:pStyle w:val="Compact"/>
      </w:pPr>
      <w:r>
        <w:t xml:space="preserve">Infraestructura escalable nube</w:t>
      </w:r>
    </w:p>
    <w:p>
      <w:pPr>
        <w:numPr>
          <w:ilvl w:val="0"/>
          <w:numId w:val="1001"/>
        </w:numPr>
        <w:pStyle w:val="Compact"/>
      </w:pPr>
      <w:r>
        <w:t xml:space="preserve">Infraestructura autoservicio de datos</w:t>
      </w:r>
    </w:p>
    <w:p>
      <w:pPr>
        <w:pStyle w:val="FirstParagraph"/>
      </w:pPr>
    </w:p>
    <w:p>
      <w:pPr>
        <w:pStyle w:val="Textoindependiente"/>
      </w:pPr>
      <w:r>
        <w:t xml:space="preserve">La secuencia, la dependencia y los plazos estimados de los proyectos de la hoja de ruta E-Service FNA es la indicada en la siguiente imagen.</w:t>
      </w:r>
    </w:p>
    <w:p>
      <w:pPr>
        <w:pStyle w:val="Figure"/>
      </w:pPr>
      <w:r>
        <w:drawing>
          <wp:inline>
            <wp:extent cx="5600700" cy="310234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hojaruta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0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Proyectos de cierre de brecha FNA. Prioridades, dependencias, secuencia, puntos de control de la evolución de la arquitectura de referencia SOA 2.0 del Fondo.</w:t>
      </w:r>
    </w:p>
    <w:p>
      <w:pPr>
        <w:pStyle w:val="Textoindependiente"/>
      </w:pPr>
      <w:r>
        <w:rPr>
          <w:iCs/>
          <w:i/>
        </w:rPr>
        <w:t xml:space="preserve">Fuente: Consultoría Arquitectura E-Service.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2023-05-24T05:54:22Z</dcterms:created>
  <dcterms:modified xsi:type="dcterms:W3CDTF">2023-05-24T05:54:22Z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