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Oficina de arquitectura</w:t>
      </w:r>
    </w:p>
    <w:p>
      <w:pPr>
        <w:numPr>
          <w:ilvl w:val="0"/>
          <w:numId w:val="1001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1"/>
        </w:numPr>
        <w:pStyle w:val="Compact"/>
      </w:pPr>
      <w:r>
        <w:t xml:space="preserve">Portafolio API</w:t>
      </w:r>
    </w:p>
    <w:p>
      <w:pPr>
        <w:numPr>
          <w:ilvl w:val="0"/>
          <w:numId w:val="1001"/>
        </w:numPr>
        <w:pStyle w:val="Compact"/>
      </w:pPr>
      <w:r>
        <w:t xml:space="preserve">Microservicios</w:t>
      </w:r>
    </w:p>
    <w:p>
      <w:pPr>
        <w:numPr>
          <w:ilvl w:val="0"/>
          <w:numId w:val="1001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1"/>
        </w:numPr>
        <w:pStyle w:val="Compact"/>
      </w:pPr>
      <w:r>
        <w:t xml:space="preserve">Service mesh</w:t>
      </w:r>
    </w:p>
    <w:p>
      <w:pPr>
        <w:numPr>
          <w:ilvl w:val="0"/>
          <w:numId w:val="1001"/>
        </w:numPr>
        <w:pStyle w:val="Compact"/>
      </w:pPr>
      <w:r>
        <w:t xml:space="preserve">Hub de integración digital</w:t>
      </w:r>
    </w:p>
    <w:p>
      <w:pPr>
        <w:numPr>
          <w:ilvl w:val="0"/>
          <w:numId w:val="1001"/>
        </w:numPr>
        <w:pStyle w:val="Compact"/>
      </w:pPr>
      <w:r>
        <w:t xml:space="preserve">Gobierno de datos</w:t>
      </w:r>
    </w:p>
    <w:p>
      <w:pPr>
        <w:numPr>
          <w:ilvl w:val="0"/>
          <w:numId w:val="1001"/>
        </w:numPr>
        <w:pStyle w:val="Compact"/>
      </w:pPr>
      <w:r>
        <w:t xml:space="preserve">Gestión de datos maestros</w:t>
      </w:r>
    </w:p>
    <w:p>
      <w:pPr>
        <w:numPr>
          <w:ilvl w:val="0"/>
          <w:numId w:val="1001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1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hojarut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2023-04-04T18:29:27Z</dcterms:created>
  <dcterms:modified xsi:type="dcterms:W3CDTF">2023-04-04T18:29:27Z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