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justificación-de-la-propuesta"/>
    <w:p>
      <w:pPr>
        <w:pStyle w:val="Ttulo2"/>
      </w:pPr>
      <w:r>
        <w:t xml:space="preserve">Justificación de la Propuesta</w:t>
      </w:r>
    </w:p>
    <w:p>
      <w:pPr>
        <w:pStyle w:val="FirstParagraph"/>
      </w:pPr>
      <w:r>
        <w:t xml:space="preserve">La implementación de la oficina de arquitectura del FNA plantea la sistematización de la evolución de los sistemas y componentes de la empresa en tanto relevantes a la estrategia TI del FNA. En este sentido, la oficina promueve a los sistemas de información del FNA, junto con sus dependencias, hacia diseños y tecnologías determinadas en la arquitectura de referencia (la arquitectura de referencia del FNA fue desarrollada por esta consultoría, E-Service, Fase II, 2023), la cual incluye estilos de arquitectura orientada a eventos y tecnologías afines a esta, como microservicios, API internas y externas, infraestructura Nube, entre otras.​</w:t>
      </w:r>
    </w:p>
    <w:bookmarkStart w:id="20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la transformación mediada por arquitecturas del FNA</w:t>
      </w:r>
    </w:p>
    <w:p>
      <w:pPr>
        <w:numPr>
          <w:ilvl w:val="0"/>
          <w:numId w:val="1001"/>
        </w:numPr>
        <w:pStyle w:val="Compact"/>
      </w:pPr>
      <w:r>
        <w:t xml:space="preserve">Activar el repositorio de arquitectura como base de toma de decisiones de cambio</w:t>
      </w:r>
    </w:p>
    <w:p>
      <w:pPr>
        <w:numPr>
          <w:ilvl w:val="0"/>
          <w:numId w:val="1001"/>
        </w:numPr>
        <w:pStyle w:val="Compact"/>
      </w:pPr>
      <w:r>
        <w:t xml:space="preserve">Ejercitar el diseño como gestor de la calidad y de cambios</w:t>
      </w:r>
    </w:p>
    <w:p>
      <w:pPr>
        <w:numPr>
          <w:ilvl w:val="0"/>
          <w:numId w:val="1001"/>
        </w:numPr>
        <w:pStyle w:val="Compact"/>
      </w:pPr>
      <w:r>
        <w:t xml:space="preserve">Coordinar el desarrollo de las arquitecturas de solución</w:t>
      </w:r>
    </w:p>
    <w:p>
      <w:pPr>
        <w:numPr>
          <w:ilvl w:val="0"/>
          <w:numId w:val="1001"/>
        </w:numPr>
        <w:pStyle w:val="Compact"/>
      </w:pPr>
      <w:r>
        <w:t xml:space="preserve">Unificar el modelo de trabajo interno y a proveedores tecnológicos (fábricas de software, entre otros) del FNA</w:t>
      </w:r>
    </w:p>
    <w:p>
      <w:pPr>
        <w:numPr>
          <w:ilvl w:val="0"/>
          <w:numId w:val="1001"/>
        </w:numPr>
        <w:pStyle w:val="Compact"/>
      </w:pPr>
      <w:r>
        <w:t xml:space="preserve">Acelerar el desarrollo de las arquitecturas de solución​</w:t>
      </w:r>
    </w:p>
    <w:p>
      <w:pPr>
        <w:numPr>
          <w:ilvl w:val="0"/>
          <w:numId w:val="1001"/>
        </w:numPr>
        <w:pStyle w:val="Compact"/>
      </w:pPr>
      <w:r>
        <w:t xml:space="preserve">Ejercer los lineamientos y políticas de gobierno​ SOA/TI del Fondo</w:t>
      </w:r>
    </w:p>
    <w:bookmarkEnd w:id="20"/>
    <w:bookmarkStart w:id="21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Áreas de negocio críticas​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y equipo de apoyo​</w:t>
      </w:r>
    </w:p>
    <w:bookmarkEnd w:id="21"/>
    <w:bookmarkStart w:id="22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Reducción en tiempos y costos asociados a las soluciones SOA​</w:t>
      </w:r>
    </w:p>
    <w:p>
      <w:pPr>
        <w:numPr>
          <w:ilvl w:val="0"/>
          <w:numId w:val="1003"/>
        </w:numPr>
        <w:pStyle w:val="Compact"/>
      </w:pPr>
      <w:r>
        <w:t xml:space="preserve">Mejora en la alineación entre negocio y TI​</w:t>
      </w:r>
    </w:p>
    <w:p>
      <w:pPr>
        <w:numPr>
          <w:ilvl w:val="0"/>
          <w:numId w:val="1003"/>
        </w:numPr>
        <w:pStyle w:val="Compact"/>
      </w:pPr>
      <w:r>
        <w:t xml:space="preserve">Mitigación de rotación del equipo de arquitectura​</w:t>
      </w:r>
    </w:p>
    <w:p>
      <w:pPr>
        <w:numPr>
          <w:ilvl w:val="0"/>
          <w:numId w:val="1003"/>
        </w:numPr>
        <w:pStyle w:val="Compact"/>
      </w:pPr>
      <w:r>
        <w:t xml:space="preserve">Visión global de soluciones de TI vs requisitos del negocio​</w:t>
      </w:r>
    </w:p>
    <w:bookmarkEnd w:id="22"/>
    <w:bookmarkStart w:id="23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Arquitectura, Mega Hopex</w:t>
      </w:r>
    </w:p>
    <w:p>
      <w:pPr>
        <w:numPr>
          <w:ilvl w:val="0"/>
          <w:numId w:val="1004"/>
        </w:numPr>
        <w:pStyle w:val="Compact"/>
      </w:pPr>
      <w:r>
        <w:t xml:space="preserve">Herramientas de modelado colaborativo, Archimate</w:t>
      </w:r>
    </w:p>
    <w:p>
      <w:pPr>
        <w:numPr>
          <w:ilvl w:val="0"/>
          <w:numId w:val="1004"/>
        </w:numPr>
        <w:pStyle w:val="Compact"/>
      </w:pPr>
      <w:r>
        <w:t xml:space="preserve">Herramientas de generación de documentos, jArchi</w:t>
      </w:r>
    </w:p>
    <w:p>
      <w:pPr>
        <w:pStyle w:val="FirstParagraph"/>
      </w:pP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2023-09-08T19:13:50Z</dcterms:created>
  <dcterms:modified xsi:type="dcterms:W3CDTF">2023-09-08T19:13:50Z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