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ejecución de la hoja de ruta E-Service (diagnóstico SOA) plantea la implementación de los proyectos de cierre de brechas que impacten a los problemas diagnosticados en dicho proyecto. Estos son: a la flexibilidad de negocio, al fortalecimiento de construcción y diseño de servicios, y a la independencia de proveedor, en el ámbito de las vicepresidencias de Crédito y de Operación, en el período de ejecución 2023.</w:t>
      </w:r>
    </w:p>
    <w:p>
      <w:pPr>
        <w:pStyle w:val="Textoindependiente"/>
      </w:pPr>
      <w:r>
        <w:t xml:space="preserve">Como resultado del inicio de la ejecución de la hoja de ruta el Fondo Nacional del Ahorro (FNA) procura 1) aumentar las capacidades de desarrollo de soluciones y requerimientos, y 2) modernizar y aumentar la capacidad del uso tecnológico de estas soluciones.</w:t>
      </w:r>
    </w:p>
    <w:p>
      <w:pPr>
        <w:pStyle w:val="Textoindependiente"/>
      </w:pPr>
      <w:r>
        <w:t xml:space="preserve">Puntualmente, la implementación (todos los proyectos) de la hoja de ruta, tal como está diagnosticada por E-Service, buscan los objetivos de (ordenados por prioridad):</w:t>
      </w:r>
    </w:p>
    <w:p>
      <w:pPr>
        <w:numPr>
          <w:ilvl w:val="0"/>
          <w:numId w:val="1001"/>
        </w:numPr>
        <w:pStyle w:val="Compact"/>
      </w:pPr>
      <w:r>
        <w:t xml:space="preserve">Flexibilidad y tiempo de mercado (OBJ3)</w:t>
      </w:r>
    </w:p>
    <w:p>
      <w:pPr>
        <w:numPr>
          <w:ilvl w:val="0"/>
          <w:numId w:val="1001"/>
        </w:numPr>
        <w:pStyle w:val="Compact"/>
      </w:pPr>
      <w:r>
        <w:t xml:space="preserve">Fortaleza SOA de las aplicaciones (OBJ2)</w:t>
      </w:r>
    </w:p>
    <w:p>
      <w:pPr>
        <w:numPr>
          <w:ilvl w:val="0"/>
          <w:numId w:val="1001"/>
        </w:numPr>
        <w:pStyle w:val="Compact"/>
      </w:pPr>
      <w:r>
        <w:t xml:space="preserve">Independencia de proveedor (OBJ1)</w:t>
      </w:r>
    </w:p>
    <w:p>
      <w:pPr>
        <w:pStyle w:val="FirstParagraph"/>
      </w:pPr>
    </w:p>
    <w:p>
      <w:pPr>
        <w:pStyle w:val="Textoindependiente"/>
      </w:pPr>
      <w:r>
        <w:t xml:space="preserve">Para lo cual, la hoja de ruta E-Service está orientada a impactar los siguientes brechas y oportunidades:</w:t>
      </w:r>
    </w:p>
    <w:p>
      <w:pPr>
        <w:numPr>
          <w:ilvl w:val="0"/>
          <w:numId w:val="1002"/>
        </w:numPr>
        <w:pStyle w:val="Compact"/>
      </w:pPr>
      <w:r>
        <w:t xml:space="preserve">OP1. Instaurar la figura de gobierno SOA, capacidad, proceso y recursos</w:t>
      </w:r>
    </w:p>
    <w:p>
      <w:pPr>
        <w:numPr>
          <w:ilvl w:val="0"/>
          <w:numId w:val="1002"/>
        </w:numPr>
        <w:pStyle w:val="Compact"/>
      </w:pPr>
      <w:r>
        <w:t xml:space="preserve">OP2. Mejorar proceso de diseño, construcción y DevOps de soluciones SOA</w:t>
      </w:r>
    </w:p>
    <w:p>
      <w:pPr>
        <w:numPr>
          <w:ilvl w:val="0"/>
          <w:numId w:val="1002"/>
        </w:numPr>
        <w:pStyle w:val="Compact"/>
      </w:pPr>
      <w:r>
        <w:t xml:space="preserve">OP3. Mejorar la oferta de servicios analíticos en segmento FNA</w:t>
      </w:r>
    </w:p>
    <w:p>
      <w:pPr>
        <w:numPr>
          <w:ilvl w:val="0"/>
          <w:numId w:val="1002"/>
        </w:numPr>
        <w:pStyle w:val="Compact"/>
      </w:pPr>
      <w:r>
        <w:t xml:space="preserve">OP4. Aumentar el nivel de utilización de la Tecnología SOA del FNA</w:t>
      </w:r>
    </w:p>
    <w:p>
      <w:pPr>
        <w:numPr>
          <w:ilvl w:val="0"/>
          <w:numId w:val="1002"/>
        </w:numPr>
        <w:pStyle w:val="Compact"/>
      </w:pPr>
      <w:r>
        <w:t xml:space="preserve">OP5. Desarrollo de Servicios FNA guiada por la arquitectura de referencia 2.0</w:t>
      </w:r>
    </w:p>
    <w:p>
      <w:pPr>
        <w:numPr>
          <w:ilvl w:val="0"/>
          <w:numId w:val="1002"/>
        </w:numPr>
        <w:pStyle w:val="Compact"/>
      </w:pPr>
      <w:r>
        <w:t xml:space="preserve">OP6. Gestión de la Tecnología (gobierno) orientada por arquitectura 2.0</w:t>
      </w:r>
    </w:p>
    <w:p>
      <w:pPr>
        <w:numPr>
          <w:ilvl w:val="0"/>
          <w:numId w:val="1002"/>
        </w:numPr>
        <w:pStyle w:val="Compact"/>
      </w:pPr>
      <w:r>
        <w:t xml:space="preserve">OP7. Articulación y fortalecimiento del equipo de arquitectura del FNA junto a proveedores</w:t>
      </w:r>
    </w:p>
    <w:p>
      <w:pPr>
        <w:numPr>
          <w:ilvl w:val="0"/>
          <w:numId w:val="1002"/>
        </w:numPr>
        <w:pStyle w:val="Compact"/>
      </w:pPr>
      <w:r>
        <w:t xml:space="preserve">OP8. Monitoreo de los índices de eficacia de los servicios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2023-03-29T20:07:19Z</dcterms:created>
  <dcterms:modified xsi:type="dcterms:W3CDTF">2023-03-29T20:07:19Z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