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png" ContentType="image/png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alcance"/>
    <w:p>
      <w:pPr>
        <w:pStyle w:val="Ttulo2"/>
      </w:pPr>
      <w:r>
        <w:t xml:space="preserve">Alcance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 de diseño e implementación de soluciones de negocio (ver todas las capacidades FNA, diagnóstico E-Service, fase 1), en el dominio de aplicaciones y servicios solamente.</w:t>
      </w:r>
    </w:p>
    <w:p>
      <w:pPr>
        <w:pStyle w:val="Textoindependiente"/>
      </w:pPr>
      <w:r>
        <w:t xml:space="preserve">Las capacidades impactadas en el alcance del proyecto hoja de ruta E-Service, período 2023, para el dominio de aplicaciones y servicios</w:t>
      </w:r>
      <w:r>
        <w:t xml:space="preserve"> </w:t>
      </w:r>
      <w:r>
        <w:t xml:space="preserve">* CAP1. Capacidad de gestión de tecnología</w:t>
      </w:r>
      <w:r>
        <w:t xml:space="preserve"> </w:t>
      </w:r>
      <w:r>
        <w:t xml:space="preserve">* CAP2. Entrega de productos y funcionalidades.</w:t>
      </w:r>
    </w:p>
    <w:p>
      <w:pPr>
        <w:pStyle w:val="Textoindependiente"/>
      </w:pPr>
      <w:r>
        <w:t xml:space="preserve">El incremento de las capacidades de gestión de tecnología (TI), y la de entrega de productos y funcionalidades, incluidas en el alcance del período 2023, se realizará mediante la ejecución de los proyectos aquí indicados:</w:t>
      </w:r>
    </w:p>
    <w:p>
      <w:pPr>
        <w:pStyle w:val="SourceCode"/>
      </w:pPr>
      <w:r>
        <w:rPr>
          <w:rStyle w:val="VerbatimChar"/>
        </w:rPr>
        <w:t xml:space="preserve">1. (proy. cierre brecha) PRY01. Gobierno SOA FNA --Incremento 1: dominio de aplicaciones y servicios únicamente</w:t>
      </w:r>
      <w:r>
        <w:br/>
      </w:r>
      <w:r>
        <w:rPr>
          <w:rStyle w:val="VerbatimChar"/>
        </w:rPr>
        <w:t xml:space="preserve">2. (proy. cierre brecha) Arquitectura Referencia --Incremento 1: dominio de aplicaciones y servicios únicamente</w:t>
      </w:r>
    </w:p>
    <w:p>
      <w:pPr>
        <w:pStyle w:val="FirstParagraph"/>
      </w:pPr>
      <w:r>
        <w:t xml:space="preserve">El alcance del proyecto de ejecución de la hoja de ruta, período 2023, es el ilustrado en la imagen siguente.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  <w:r>
        <w:t xml:space="preserve">Por consecuencia de estos los proyectos PRY01 y PRY02 de la hoja de ruta, en el período 2023, y del consiguiente incremento en las capacidades del FNA incluidas en este alcance, la arquitectura SOA del Fondo evolucionará a su vez en dos versiones nuevas, como sigue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vistaevolarquitectu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del las capacidades incrementadas.</w:t>
      </w:r>
    </w:p>
    <w:p>
      <w:pPr>
        <w:pStyle w:val="Textoindependiente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2023-03-28T23:04:55Z</dcterms:created>
  <dcterms:modified xsi:type="dcterms:W3CDTF">2023-03-28T23:04:55Z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