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59274684d447af4b449bb44e7910661e8d5faca"/>
    <w:p>
      <w:pPr>
        <w:pStyle w:val="Ttulo2"/>
      </w:pPr>
      <w:r>
        <w:t xml:space="preserve">Alcance de la Propuesta Propuesta de Implementación de la Oficina de Arquitectura y Gobierno del FNA</w:t>
      </w:r>
    </w:p>
    <w:p>
      <w:pPr>
        <w:pStyle w:val="FirstParagraph"/>
      </w:pPr>
      <w:r>
        <w:t xml:space="preserve">Para el período 2023, la implementación de la Oficina de arquitectura FNA impactará las capacidades Gestión de tecnología (CAP1) y de Entrega de productos y funcionalidades (CAP2)</w:t>
      </w:r>
      <w:r>
        <w:t xml:space="preserve"> </w:t>
      </w:r>
      <w:r>
        <w:t xml:space="preserve">del FNA (fuente, E-Service Fase I) versión origen,</w:t>
      </w:r>
      <w:r>
        <w:t xml:space="preserve"> </w:t>
      </w:r>
      <w:r>
        <w:rPr>
          <w:iCs/>
          <w:i/>
        </w:rPr>
        <w:t xml:space="preserve">en el dominio de aplicaciones y servicios</w:t>
      </w:r>
      <w:r>
        <w:t xml:space="preserve"> </w:t>
      </w:r>
      <w:r>
        <w:t xml:space="preserve">(restricción de alcance), hasta llevarlas a la versión 1.3 respectivamente. Este alcance implica la planeación, ejecución y seguimiento de los actividades y objetos siguientes:</w:t>
      </w:r>
    </w:p>
    <w:p>
      <w:pPr>
        <w:numPr>
          <w:ilvl w:val="0"/>
          <w:numId w:val="1001"/>
        </w:numPr>
        <w:pStyle w:val="Compact"/>
      </w:pPr>
      <w:r>
        <w:t xml:space="preserve">Gestionar la transformación mediada por arquitecturas del FNA</w:t>
      </w:r>
    </w:p>
    <w:p>
      <w:pPr>
        <w:numPr>
          <w:ilvl w:val="0"/>
          <w:numId w:val="1001"/>
        </w:numPr>
        <w:pStyle w:val="Compact"/>
      </w:pPr>
      <w:r>
        <w:t xml:space="preserve">Activar el repositorio de arquitectura como base de toma de decisiones de cambio</w:t>
      </w:r>
    </w:p>
    <w:p>
      <w:pPr>
        <w:numPr>
          <w:ilvl w:val="0"/>
          <w:numId w:val="1001"/>
        </w:numPr>
        <w:pStyle w:val="Compact"/>
      </w:pPr>
      <w:r>
        <w:t xml:space="preserve">Ejercitar el diseño como gestor de la calidad y de cambios</w:t>
      </w:r>
    </w:p>
    <w:p>
      <w:pPr>
        <w:numPr>
          <w:ilvl w:val="0"/>
          <w:numId w:val="1001"/>
        </w:numPr>
        <w:pStyle w:val="Compact"/>
      </w:pPr>
      <w:r>
        <w:t xml:space="preserve">Coordinar el desarrollo de las arquitecturas de solución</w:t>
      </w:r>
    </w:p>
    <w:p>
      <w:pPr>
        <w:numPr>
          <w:ilvl w:val="0"/>
          <w:numId w:val="1001"/>
        </w:numPr>
        <w:pStyle w:val="Compact"/>
      </w:pPr>
      <w:r>
        <w:t xml:space="preserve">Unificar el modelo de trabajo interno y a proveedores tecnológicos (fábricas de software, entre otros) del FNA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Ejercer los lineamientos y políticas de gobierno​ SOA/TI del Fondo</w:t>
      </w:r>
    </w:p>
    <w:p>
      <w:pPr>
        <w:pStyle w:val="FirstParagraph"/>
      </w:pPr>
    </w:p>
    <w:p>
      <w:pPr>
        <w:pStyle w:val="Textoindependiente"/>
      </w:pPr>
      <w:r>
        <w:t xml:space="preserve">El alcance de la propuesta actual, Propuesta de Implementación de la Oficina de Arquitectura y Gobierno del FNA, que busca impactar a las capacidades hasta llevarlas a la versión 1.3 es el ilustrado a continuación.</w:t>
      </w:r>
    </w:p>
    <w:bookmarkStart w:id="0" w:name="fig:ppstaalcance.png"/>
    <w:p>
      <w:pPr>
        <w:pStyle w:val="CaptionedFigure"/>
      </w:pPr>
      <w:bookmarkStart w:id="23" w:name="fig:ppstaalcance.png"/>
      <w:r>
        <w:drawing>
          <wp:inline>
            <wp:extent cx="5600700" cy="1872931"/>
            <wp:effectExtent b="0" l="0" r="0" t="0"/>
            <wp:docPr descr="Figure 1: Vista de evolución de capacidades, versión 1.3, dentro del alcance del proyecto de implementación de la oficina de arquitectura, E-Service, Fase III, 2023.)" title="" id="21" name="Picture"/>
            <a:graphic>
              <a:graphicData uri="http://schemas.openxmlformats.org/drawingml/2006/picture">
                <pic:pic>
                  <pic:nvPicPr>
                    <pic:cNvPr descr="images/ppstaalcanc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72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Vista de evolución de capacidades, versión 1.3, dentro del alcance del proyecto de implementación de la oficina de arquitectura, E-Service, Fase III, 2023.)</w:t>
      </w:r>
    </w:p>
    <w:bookmarkEnd w:id="0"/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2023-09-15T12:37:05Z</dcterms:created>
  <dcterms:modified xsi:type="dcterms:W3CDTF">2023-09-15T12:37:05Z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