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</w:t>
      </w:r>
      <w:r>
        <w:t xml:space="preserve"> </w:t>
      </w:r>
      <w:r>
        <w:rPr>
          <w:iCs/>
          <w:i/>
        </w:rPr>
        <w:t xml:space="preserve">en el dominio de aplicaciones y servicios únicamente</w:t>
      </w:r>
      <w:r>
        <w:t xml:space="preserve"> </w:t>
      </w:r>
      <w:r>
        <w:t xml:space="preserve">(restricción de alcance). Esto implica la planeación, ejecución y seguimiento de los proyectos siguientes:</w:t>
      </w:r>
    </w:p>
    <w:p>
      <w:pPr>
        <w:numPr>
          <w:ilvl w:val="0"/>
          <w:numId w:val="1001"/>
        </w:numPr>
        <w:pStyle w:val="Compact"/>
      </w:pPr>
      <w:r>
        <w:t xml:space="preserve">PRY01. Gobierno SOA FNA: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85922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5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2023-04-17T20:11:45Z</dcterms:created>
  <dcterms:modified xsi:type="dcterms:W3CDTF">2023-04-17T20:11:45Z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