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59274684d447af4b449bb44e7910661e8d5faca"/>
    <w:p>
      <w:pPr>
        <w:pStyle w:val="Ttulo2"/>
      </w:pPr>
      <w:r>
        <w:t xml:space="preserve">Alcance de la Propuesta Propuesta de Implementación de la Oficina de Arquitectura y Gobierno del FNA</w:t>
      </w:r>
    </w:p>
    <w:p>
      <w:pPr>
        <w:pStyle w:val="FirstParagraph"/>
      </w:pPr>
      <w:r>
        <w:t xml:space="preserve">Para el período 2023, la implementación de la Oficina de arquitectura FNA impactará las capacidades Gestión de tecnología (CAP1) y de Entrega de productos y funcionalidades (CAP2) del FNA (fuente, E-Service Fase I) versión origen,</w:t>
      </w:r>
      <w:r>
        <w:t xml:space="preserve"> </w:t>
      </w:r>
      <w:r>
        <w:rPr>
          <w:iCs/>
          <w:i/>
        </w:rPr>
        <w:t xml:space="preserve">en el dominio de aplicaciones y servicios</w:t>
      </w:r>
      <w:r>
        <w:t xml:space="preserve"> </w:t>
      </w:r>
      <w:r>
        <w:t xml:space="preserve">(restricción de alcance), hasta llevarlas a la versión 1.3 respectivamente. Por lo anterior, el alcance de la presente propuesta implica a la planeación, ejecución y seguimiento de las actividades tendientes a la implementación de la oficina de arquitectura del FNA, realizada mediante los siguientes objetos:</w:t>
      </w:r>
    </w:p>
    <w:p>
      <w:pPr>
        <w:numPr>
          <w:ilvl w:val="0"/>
          <w:numId w:val="1001"/>
        </w:numPr>
        <w:pStyle w:val="Compact"/>
      </w:pPr>
      <w:r>
        <w:t xml:space="preserve">Gestionar la transformación mediada por arquitecturas del FNA</w:t>
      </w:r>
    </w:p>
    <w:p>
      <w:pPr>
        <w:numPr>
          <w:ilvl w:val="0"/>
          <w:numId w:val="1001"/>
        </w:numPr>
        <w:pStyle w:val="Compact"/>
      </w:pPr>
      <w:r>
        <w:t xml:space="preserve">Activar el repositorio de arquitectura como base de toma de decisiones de cambio</w:t>
      </w:r>
    </w:p>
    <w:p>
      <w:pPr>
        <w:numPr>
          <w:ilvl w:val="0"/>
          <w:numId w:val="1001"/>
        </w:numPr>
        <w:pStyle w:val="Compact"/>
      </w:pPr>
      <w:r>
        <w:t xml:space="preserve">Ejercitar el diseño como gestor de la calidad y de cambios</w:t>
      </w:r>
    </w:p>
    <w:p>
      <w:pPr>
        <w:numPr>
          <w:ilvl w:val="0"/>
          <w:numId w:val="1001"/>
        </w:numPr>
        <w:pStyle w:val="Compact"/>
      </w:pPr>
      <w:r>
        <w:t xml:space="preserve">Coordinar el desarrollo de las arquitecturas de solución</w:t>
      </w:r>
    </w:p>
    <w:p>
      <w:pPr>
        <w:numPr>
          <w:ilvl w:val="0"/>
          <w:numId w:val="1001"/>
        </w:numPr>
        <w:pStyle w:val="Compact"/>
      </w:pPr>
      <w:r>
        <w:t xml:space="preserve">Unificar el modelo de trabajo interno y a proveedores tecnológicos (fábricas de software, entre otros) del FNA</w:t>
      </w:r>
    </w:p>
    <w:p>
      <w:pPr>
        <w:numPr>
          <w:ilvl w:val="0"/>
          <w:numId w:val="1001"/>
        </w:numPr>
        <w:pStyle w:val="Compact"/>
      </w:pPr>
      <w:r>
        <w:t xml:space="preserve">Acelerar el desarrollo de las arquitecturas de solución​</w:t>
      </w:r>
    </w:p>
    <w:p>
      <w:pPr>
        <w:numPr>
          <w:ilvl w:val="0"/>
          <w:numId w:val="1001"/>
        </w:numPr>
        <w:pStyle w:val="Compact"/>
      </w:pPr>
      <w:r>
        <w:t xml:space="preserve">Ejercer los lineamientos y políticas de gobierno​ SOA/TI del Fondo</w:t>
      </w:r>
    </w:p>
    <w:p>
      <w:pPr>
        <w:pStyle w:val="FirstParagraph"/>
      </w:pPr>
    </w:p>
    <w:p>
      <w:pPr>
        <w:pStyle w:val="Textoindependiente"/>
      </w:pPr>
      <w:r>
        <w:t xml:space="preserve">El alcance de la propuesta actual, Propuesta de Implementación de la Oficina de Arquitectura y Gobierno del FNA, busca impactar a las capacidades hasta llevarlas a la versión 1.3. Dicho alcance es el ilustrado a continuación.</w:t>
      </w:r>
    </w:p>
    <w:bookmarkStart w:id="0" w:name="fig:ppstaalcance.png"/>
    <w:p>
      <w:pPr>
        <w:pStyle w:val="CaptionedFigure"/>
      </w:pPr>
      <w:bookmarkStart w:id="23" w:name="fig:ppstaalcance.png"/>
      <w:r>
        <w:drawing>
          <wp:inline>
            <wp:extent cx="5600700" cy="1872931"/>
            <wp:effectExtent b="0" l="0" r="0" t="0"/>
            <wp:docPr descr="Figure 1: Vista de evolución de capacidades, versión 1.3, dentro del alcance del proyecto de implementación de la oficina de arquitectura, E-Service, Fase III, 2023.)" title="" id="21" name="Picture"/>
            <a:graphic>
              <a:graphicData uri="http://schemas.openxmlformats.org/drawingml/2006/picture">
                <pic:pic>
                  <pic:nvPicPr>
                    <pic:cNvPr descr="images/ppstaalcance.png" id="22" name="Picture"/>
                    <pic:cNvPicPr>
                      <a:picLocks noChangeArrowheads="1" noChangeAspect="1"/>
                    </pic:cNvPicPr>
                  </pic:nvPicPr>
                  <pic:blipFill>
                    <a:blip r:embed="rId20"/>
                    <a:stretch>
                      <a:fillRect/>
                    </a:stretch>
                  </pic:blipFill>
                  <pic:spPr bwMode="auto">
                    <a:xfrm>
                      <a:off x="0" y="0"/>
                      <a:ext cx="5600700" cy="1872931"/>
                    </a:xfrm>
                    <a:prstGeom prst="rect">
                      <a:avLst/>
                    </a:prstGeom>
                    <a:noFill/>
                    <a:ln w="9525">
                      <a:noFill/>
                      <a:headEnd/>
                      <a:tailEnd/>
                    </a:ln>
                  </pic:spPr>
                </pic:pic>
              </a:graphicData>
            </a:graphic>
          </wp:inline>
        </w:drawing>
      </w:r>
      <w:bookmarkEnd w:id="23"/>
    </w:p>
    <w:p>
      <w:pPr>
        <w:pStyle w:val="ImageCaption"/>
      </w:pPr>
      <w:r>
        <w:t xml:space="preserve">Figure 1: Vista de evolución de capacidades, versión 1.3, dentro del alcance del proyecto de implementación de la oficina de arquitectura, E-Service, Fase III, 2023.)</w:t>
      </w:r>
    </w:p>
    <w:bookmarkEnd w:id="0"/>
    <w:p>
      <w:pPr>
        <w:pStyle w:val="SourceCode"/>
      </w:pPr>
      <w:r>
        <w:rPr>
          <w:rStyle w:val="VerbatimChar"/>
        </w:rPr>
        <w:t xml:space="preserve">Nota: para mejor apreciación, esta propuesta incluye aparte las imágenes anexas al documento.</w:t>
      </w:r>
    </w:p>
    <w:p>
      <w:pPr>
        <w:pStyle w:val="FirstParagraph"/>
      </w:pPr>
    </w:p>
    <w:p>
      <w:pPr>
        <w:pStyle w:val="Textoindependiente"/>
      </w:pPr>
      <w:r>
        <w:t xml:space="preserve">El alcance arriba consignado es rotativo por períodos. Es decir, el alcance indicado se aplica de igual manera en cada uno de los períodos de corte de la ejecución, y que en suma es la duración del proyecto presente. Para esta propuesta estos períodos son trimestrales tal como lo indica la imagen arriba. Por tanto, el alcance rotativo de este proyecto se repite en períodos trimestrales. Esta disposición del alcance permite la gestión del desempeño del proyecto al final de cada período. Todo lo anterior se traduce en la evaluación de desempeño de la oficina de arquitectura del FNA, objeto del proyecto.</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2023-10-02T18:19:24Z</dcterms:created>
  <dcterms:modified xsi:type="dcterms:W3CDTF">2023-10-02T18:19:24Z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