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X37927a01866ba91bc73718dfdaf64e7f1ae11e5"/>
    <w:p>
      <w:pPr>
        <w:pStyle w:val="Ttulo2"/>
      </w:pPr>
      <w:r>
        <w:t xml:space="preserve">Alcance de la primera ejecución de la hoja de ruta E-Service</w:t>
      </w:r>
    </w:p>
    <w:p>
      <w:pPr>
        <w:pStyle w:val="FirstParagraph"/>
      </w:pPr>
      <w:r>
        <w:t xml:space="preserve">Para el período 2023, la implementación de la hoja de ruta E-Service impactará los objetivos de Flexibilidad (OBJ3) y Fortalecimiento (OBJ2), mediante el incremento de las capacidades del FNA</w:t>
      </w:r>
      <w:r>
        <w:t xml:space="preserve"> </w:t>
      </w:r>
      <w:r>
        <w:t xml:space="preserve">de Gestión de tecnología (CAP1) y de Entrega de productos y funcionalidades (CAP2),</w:t>
      </w:r>
      <w:r>
        <w:t xml:space="preserve"> </w:t>
      </w:r>
      <w:r>
        <w:rPr>
          <w:iCs/>
          <w:i/>
        </w:rPr>
        <w:t xml:space="preserve">en el dominio de aplicaciones y servicios únicamente</w:t>
      </w:r>
      <w:r>
        <w:t xml:space="preserve"> </w:t>
      </w:r>
      <w:r>
        <w:t xml:space="preserve">(restricción de alcance). Esto implica la planeación, ejecución y seguimiento de los proyectos siguientes:</w:t>
      </w:r>
    </w:p>
    <w:p>
      <w:pPr>
        <w:numPr>
          <w:ilvl w:val="0"/>
          <w:numId w:val="1001"/>
        </w:numPr>
        <w:pStyle w:val="Compact"/>
      </w:pPr>
      <w:r>
        <w:t xml:space="preserve">PRY01. Gobierno SOA FNA: dominio de aplicaciones y servicios únicamente</w:t>
      </w:r>
    </w:p>
    <w:p>
      <w:pPr>
        <w:numPr>
          <w:ilvl w:val="0"/>
          <w:numId w:val="1001"/>
        </w:numPr>
        <w:pStyle w:val="Compact"/>
      </w:pPr>
      <w:r>
        <w:t xml:space="preserve">PRY02. Arquitectura Referencia: dominio de aplicaciones y servicios únicamente</w:t>
      </w:r>
    </w:p>
    <w:p>
      <w:pPr>
        <w:numPr>
          <w:ilvl w:val="0"/>
          <w:numId w:val="1001"/>
        </w:numPr>
        <w:pStyle w:val="Compact"/>
      </w:pPr>
      <w:r>
        <w:t xml:space="preserve">PRY03. Estructuración de proyectos posteriores de la hoja de ruta E-Service</w:t>
      </w:r>
    </w:p>
    <w:p>
      <w:pPr>
        <w:pStyle w:val="FirstParagraph"/>
      </w:pPr>
    </w:p>
    <w:p>
      <w:pPr>
        <w:pStyle w:val="Textoindependiente"/>
      </w:pPr>
      <w:r>
        <w:t xml:space="preserve">El alcance de la primera ejecución de la hoja de ruta E-Service es el ilustrado a continuación.</w:t>
      </w:r>
    </w:p>
    <w:p>
      <w:pPr>
        <w:pStyle w:val="Figure"/>
      </w:pPr>
      <w:r>
        <w:drawing>
          <wp:inline>
            <wp:extent cx="5600700" cy="1859229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vistaevolucion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8592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Vista de evolución de capacidades dentro del alcance del proyecto hoja de ruta E-Service, período 2023, dominio de aplicaciones y servicios. Capacidades incrementadas para impactar a los objetivos Flexibilidad (OBJ3) y Fortalecimiento (OBJ2).</w:t>
      </w:r>
    </w:p>
    <w:p>
      <w:pPr>
        <w:pStyle w:val="Textoindependiente"/>
      </w:pPr>
    </w:p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2023-05-15T04:52:30Z</dcterms:created>
  <dcterms:modified xsi:type="dcterms:W3CDTF">2023-05-15T04:52:30Z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