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componentes-modificados"/>
    <w:p>
      <w:pPr>
        <w:pStyle w:val="Ttulo2"/>
      </w:pPr>
      <w:r>
        <w:t xml:space="preserve">Componentes modificados</w:t>
      </w:r>
    </w:p>
    <w:p>
      <w:pPr>
        <w:pStyle w:val="FirstParagraph"/>
      </w:pPr>
      <w:r>
        <w:t xml:space="preserve">Los aumentos de versión de la arquitectura SOA del FNA implica que ítems de trabajo, componentes de software, aplicaciones, tecnologías o recursos de capital humano deban ser modificados (aumentado de versión).</w:t>
      </w:r>
    </w:p>
    <w:p>
      <w:pPr>
        <w:pStyle w:val="Textoindependiente"/>
      </w:pPr>
      <w:r>
        <w:t xml:space="preserve">Con propósito únicamente ilustrativo de los ítems que pueden ser sujetos de variante (especialización) por concepto de los incrementos de la arquitectura del FNA, dominio de aplicaciones y servicios únicamente, bajo las condiciones de tiempo y recursos del proyecto de implemenatción de hoja de ruta E-Service, período 2023, presentamos a continuación una lista de aplicaciones de software que pueden llegar a cambiar (otros ítems se no presentes en este ejemplo pueden ser impactados).</w:t>
      </w:r>
    </w:p>
    <w:p>
      <w:pPr>
        <w:pStyle w:val="Figure"/>
      </w:pPr>
      <w:r>
        <w:drawing>
          <wp:inline>
            <wp:extent cx="5600700" cy="37917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itemsarq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Aplicaciones de software del FNA involucrados en los incrementos de versión de la arquitectura de referencia.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2023-03-28T23:04:56Z</dcterms:created>
  <dcterms:modified xsi:type="dcterms:W3CDTF">2023-03-28T23:04:56Z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