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scripción-de-los-proyectos-del-alcance"/>
    <w:p>
      <w:pPr>
        <w:pStyle w:val="Ttulo2"/>
      </w:pPr>
      <w:r>
        <w:t xml:space="preserve">Descripción de los proyectos del alcance</w:t>
      </w:r>
    </w:p>
    <w:p>
      <w:pPr>
        <w:pStyle w:val="FirstParagraph"/>
      </w:pPr>
      <w:r>
        <w:t xml:space="preserve">Los proyectos PRY01 y PRY02 de la hoja de ruta consignados en este alcance tienen por objeto incrementar las capacidades del FNA CAP1 y CAP2, y por consiguiente, evolucionar la arquitectura SOA del FNA dos versiones adelante.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arquitec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</w:p>
    <w:bookmarkStart w:id="24" w:name="X6205389f1be68a8ba6a4ddd129357e7a4e4fb95"/>
    <w:p>
      <w:pPr>
        <w:pStyle w:val="Ttulo3"/>
      </w:pPr>
      <w:r>
        <w:t xml:space="preserve">Arquitectura de referncia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24"/>
    <w:bookmarkStart w:id="25" w:name="Xd0161b57aaabe49826b7884a02d437bff98d993"/>
    <w:p>
      <w:pPr>
        <w:pStyle w:val="Ttulo3"/>
      </w:pPr>
      <w:r>
        <w:t xml:space="preserve">Arquitectura de referncia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2023-03-29T17:56:00Z</dcterms:created>
  <dcterms:modified xsi:type="dcterms:W3CDTF">2023-03-29T17:56:00Z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