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tecnoleogico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  <w:r>
        <w:t xml:space="preserve">La evolución de la arquitectura del FNA impactada mediante este alcance está organizada en dos incrementos.</w:t>
      </w:r>
    </w:p>
    <w:bookmarkStart w:id="20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20"/>
    <w:bookmarkStart w:id="25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vistaevolarquitectura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jpg" /><Relationship Type="http://schemas.openxmlformats.org/officeDocument/2006/relationships/hyperlink" Id="rId24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2023-03-31T16:54:36Z</dcterms:created>
  <dcterms:modified xsi:type="dcterms:W3CDTF">2023-03-31T16:54:36Z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