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proyectos-del-alcance"/>
    <w:p>
      <w:pPr>
        <w:pStyle w:val="Ttulo2"/>
      </w:pPr>
      <w:r>
        <w:t xml:space="preserve">Proyectos del Alcance</w:t>
      </w:r>
    </w:p>
    <w:p>
      <w:pPr>
        <w:pStyle w:val="FirstParagraph"/>
      </w:pPr>
      <w:r>
        <w:t xml:space="preserve">Los proyectos PRY01, PRY02 y PRY03 de la hoja de ruta consignados en este alcance tienen por objeto cerrar las brechas de fortaleza SOA y riesgos técnicos determinados en el diagnóstico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. Estos proyectos buscan además incrementar las capacidades del FNA, CAP1 y CAP2, mencionadas en el alcance y estructurar el detalle técnico y tecnoleogico de los proyectos futuros planteadas en dicha hoja de ruta.</w:t>
      </w:r>
    </w:p>
    <w:p>
      <w:pPr>
        <w:pStyle w:val="Textoindependiente"/>
      </w:pPr>
      <w:r>
        <w:t xml:space="preserve">Las brechas en cuestión, relacionadas abajo en la imagen, son las indicadas en la justificación del presente alcance:</w:t>
      </w:r>
    </w:p>
    <w:p>
      <w:pPr>
        <w:numPr>
          <w:ilvl w:val="0"/>
          <w:numId w:val="1001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1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1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La evolución de la arquitectura del FNA impactada mediante este alcance está organizada en dos incrementos.</w:t>
      </w:r>
    </w:p>
    <w:bookmarkStart w:id="20" w:name="Xbb8768eeabeabc62e5e958b59992357b4c10d91"/>
    <w:p>
      <w:pPr>
        <w:pStyle w:val="Ttulo4"/>
      </w:pPr>
      <w:r>
        <w:t xml:space="preserve">Arquitectura de referencia 2.0. Incremento 1</w:t>
      </w:r>
    </w:p>
    <w:p>
      <w:pPr>
        <w:pStyle w:val="FirstParagraph"/>
      </w:pPr>
      <w:r>
        <w:t xml:space="preserve">Versión mejorada de arquitectura actual SOA FNA con soporte en implementación parcial del gobierno y definiciones iniciales de la arquitectura de referencia SOA 2.0. Aplicación de arquitectura de referencia inicial a ítems seleccionados en una fase de levantamiento (LVT).</w:t>
      </w:r>
    </w:p>
    <w:bookmarkEnd w:id="20"/>
    <w:bookmarkStart w:id="25" w:name="Xfb3e4e259dd9db7a83d7022b07af3753b752692"/>
    <w:p>
      <w:pPr>
        <w:pStyle w:val="Ttulo4"/>
      </w:pPr>
      <w:r>
        <w:t xml:space="preserve">Arquitectura de referencia 2.0. Incremento 2</w:t>
      </w:r>
    </w:p>
    <w:p>
      <w:pPr>
        <w:pStyle w:val="FirstParagraph"/>
      </w:pPr>
      <w:r>
        <w:t xml:space="preserve">Continuidad de la mejora del incremento 1. La arquitectura SOA FNA cuenta con implementación total del gobierno, una definición candidata de la arquitectura de referencia 2.0, y aplicación de la aplicación de cambios en ítems adicionales de la arquitectura actual.</w:t>
      </w:r>
    </w:p>
    <w:p>
      <w:pPr>
        <w:pStyle w:val="Textoindependiente"/>
      </w:pPr>
      <w:r>
        <w:t xml:space="preserve">La siguiente imagen ilustra el alcance propuesto en términos de las capacidades del FNA impactadas, los proyectos de ejecución, las evoluciones de la arquitectura y las brechas involucradas.</w:t>
      </w:r>
    </w:p>
    <w:p>
      <w:pPr>
        <w:pStyle w:val="Figure"/>
      </w:pPr>
      <w:r>
        <w:drawing>
          <wp:inline>
            <wp:extent cx="5600700" cy="5283483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vistaevolarquitectura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83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evolución de arquitectura de referencia FNA a razón de las capacidades incrementadas mediante los proyectos de este alcance.</w:t>
      </w:r>
    </w:p>
    <w:p>
      <w:pPr>
        <w:pStyle w:val="Textoindependiente"/>
      </w:pPr>
      <w:r>
        <w:t xml:space="preserve">A continuación presentamos la descripción de los proyectos de este alcance en forma de fichas de proyecto.</w:t>
      </w:r>
    </w:p>
    <w:p>
      <w:pPr>
        <w:pStyle w:val="Textoindependiente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jpg" /><Relationship Type="http://schemas.openxmlformats.org/officeDocument/2006/relationships/hyperlink" Id="rId24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2023-03-31T20:37:57Z</dcterms:created>
  <dcterms:modified xsi:type="dcterms:W3CDTF">2023-03-31T20:37:57Z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