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4838e6494863abce2e8c14cbc15f9f8015801ad"/>
    <w:p>
      <w:pPr>
        <w:pStyle w:val="Ttulo3"/>
      </w:pPr>
      <w:r>
        <w:t xml:space="preserve">PRY01. Gobierno SOA FNA: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y vigilar las relaciones entre las áreas de negocio, que para este proyecto son la vicepresidencia de operaciones y la vicepresidencia de crédito del FNA; definir y vigilar la implementación y diseño de las soluciones SOA, servicios y herramientas de software, en cumplimiento de la nueva arquitectura de referencia 2.0 del FNA. Este gobierno SOA debe asistir en la aplicación y ejecución de un estándar de implementación, observación y puesta en marcha de dichas soluciones.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1"/>
        </w:numPr>
        <w:pStyle w:val="Compact"/>
      </w:pPr>
      <w:r>
        <w:t xml:space="preserve">Medir las decisiones de arquitectura y del proceso de desarrollo de las soluciones SOA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PR01. Detalle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PR02. Detalle de los recursos, herramientas, roles, responsabilidades y participantes</w:t>
      </w:r>
    </w:p>
    <w:p>
      <w:pPr>
        <w:numPr>
          <w:ilvl w:val="0"/>
          <w:numId w:val="1002"/>
        </w:numPr>
        <w:pStyle w:val="Compact"/>
      </w:pPr>
      <w:r>
        <w:t xml:space="preserve">PR03. Diseño de los procesos y responsabilidades del comité de gobierno</w:t>
      </w:r>
    </w:p>
    <w:p>
      <w:pPr>
        <w:numPr>
          <w:ilvl w:val="0"/>
          <w:numId w:val="1002"/>
        </w:numPr>
        <w:pStyle w:val="Compact"/>
      </w:pPr>
      <w:r>
        <w:t xml:space="preserve">PR04. Definición de roles y responsabilidades y selección e instalación del comité</w:t>
      </w:r>
    </w:p>
    <w:p>
      <w:pPr>
        <w:numPr>
          <w:ilvl w:val="0"/>
          <w:numId w:val="1002"/>
        </w:numPr>
        <w:pStyle w:val="Compact"/>
      </w:pPr>
      <w:r>
        <w:t xml:space="preserve">PR05. Procesos de mejoramiento de diseño y vigilancia de riesgos técnicos</w:t>
      </w:r>
    </w:p>
    <w:p>
      <w:pPr>
        <w:numPr>
          <w:ilvl w:val="0"/>
          <w:numId w:val="1002"/>
        </w:numPr>
        <w:pStyle w:val="Compact"/>
      </w:pPr>
      <w:r>
        <w:t xml:space="preserve">PR06. Modelos actualizados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PR07. Métricas de efectividad del gobierno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del 2023 (ver Plan de Ejecución PRY01,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Lineamientos claros, libres de ambigüedad que permitan guiar y medir la evolución de la arquitectura SOA 2.0 en la organización</w:t>
      </w:r>
    </w:p>
    <w:p>
      <w:pPr>
        <w:numPr>
          <w:ilvl w:val="0"/>
          <w:numId w:val="1003"/>
        </w:numPr>
        <w:pStyle w:val="Compact"/>
      </w:pPr>
      <w:r>
        <w:t xml:space="preserve">Fuente única de planeación y control de las soluciones de software del FNA</w:t>
      </w:r>
    </w:p>
    <w:p>
      <w:pPr>
        <w:numPr>
          <w:ilvl w:val="0"/>
          <w:numId w:val="1003"/>
        </w:numPr>
        <w:pStyle w:val="Compact"/>
      </w:pPr>
      <w:r>
        <w:t xml:space="preserve">Vigilancia del cumplimiento de los niveles de servicio de las soluciones SOA​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Comité de gobierno del FNA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</w:t>
      </w:r>
    </w:p>
    <w:p>
      <w:pPr>
        <w:numPr>
          <w:ilvl w:val="0"/>
          <w:numId w:val="1004"/>
        </w:numPr>
        <w:pStyle w:val="Compact"/>
      </w:pPr>
      <w:r>
        <w:t xml:space="preserve">Comité asesor 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2023-04-04T20:05:38Z</dcterms:created>
  <dcterms:modified xsi:type="dcterms:W3CDTF">2023-04-04T20:05:38Z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