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Plazo de Ejecución: 5 meses, iniciado a partir del mes de abril del 2023.</w:t>
      </w:r>
    </w:p>
    <w:p>
      <w:pPr>
        <w:pStyle w:val="Textodebloque"/>
      </w:pPr>
      <w:r>
        <w:t xml:space="preserve">180 hrs/mes * 8 meses = 910 hrs / hombre proyecto.</w:t>
      </w:r>
    </w:p>
    <w:p>
      <w:pPr>
        <w:pStyle w:val="FirstParagraph"/>
      </w:pPr>
    </w:p>
    <w:p>
      <w:pPr>
        <w:pStyle w:val="Textoindependiente"/>
      </w:pPr>
      <w:r>
        <w:t xml:space="preserve">Organización de trabajo: el proyecto 1 (PRY01) está organizado en 4 fases. La fase de Levantamiento (LVT) presentada abajo en la imagen determina en detalle los elementos de gobierno y de la arquitectura que se evolucionarán en los dos incrementos planteados en los proyetos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03848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38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2023-03-29T20:23:19Z</dcterms:created>
  <dcterms:modified xsi:type="dcterms:W3CDTF">2023-03-29T20:23:19Z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