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2"/>
      </w:pPr>
      <w:r>
        <w:t xml:space="preserve">Plan de Trabajo</w:t>
      </w:r>
    </w:p>
    <w:p>
      <w:pPr>
        <w:pStyle w:val="FirstParagraph"/>
      </w:pPr>
      <w:r>
        <w:t xml:space="preserve">Organización del proyecto. El proyecto está organizado en 4 fases. La fase de Levantamiento (LVT) presentada abajo en la imagen determina en detalle los elementos de gobierno y de la arquitectura que se evolucionarán en los dos incrementos planteados en el alcance consignado arriba, periodo 2023, que se corresponden con las fases 2 y 3 de la imagen abajo.</w:t>
      </w:r>
    </w:p>
    <w:p>
      <w:pPr>
        <w:pStyle w:val="Figure"/>
      </w:pPr>
      <w:r>
        <w:drawing>
          <wp:inline>
            <wp:extent cx="5600700" cy="375332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implement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53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4.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p>
      <w:pPr>
        <w:pStyle w:val="Textoindependiente"/>
      </w:pPr>
      <w:r>
        <w:t xml:space="preserve">La fase 1,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 impactan directamente a elementos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indicadores de medición de desempeño, tanto del gobierno como de los incrementos de evolución de la arquitectura de referencia 2.0 (ver resultados del diagnóstico E-Service, 2022).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2023-03-29T17:55:58Z</dcterms:created>
  <dcterms:modified xsi:type="dcterms:W3CDTF">2023-03-29T17:55:58Z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