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89eb439c48dcc3d169dc66298eaeed3da6b9ee9"/>
    <w:p>
      <w:pPr>
        <w:pStyle w:val="Ttulo3"/>
      </w:pPr>
      <w:r>
        <w:t xml:space="preserve">PRY02. Arquitectura de referencia SOA 2.0: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la línea base de la arquitectura de referencia 2.0 del FNA y dirigir el desarrollo de los servicios SOA del FNA hacia diseños y tecnologías determinadas en la arquitectura de referencia 2.0 (como microservicios, REST, API, infraestructura Nube, etc.) y favorecer la adopción del estilo de arquitectura orientado a eventos para atender las funcionalidades y requerimientos de negocio, que para este proyecto son la vicepresidencia de operaciones y la vicepresidencia de crédito del FNA.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Relacionar las implementaciones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Demostrar el cumplimiento de los lineamientos y políticas de gobierno​ SOA/TI del Fondo</w:t>
      </w:r>
    </w:p>
    <w:p>
      <w:pPr>
        <w:numPr>
          <w:ilvl w:val="0"/>
          <w:numId w:val="1001"/>
        </w:numPr>
        <w:pStyle w:val="Compact"/>
      </w:pPr>
      <w:r>
        <w:t xml:space="preserve">Documentación técnica en el depósito de arquitectura institucional​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PR10. Detalle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PR11. Detalle de los recursos, herramientas, roles, responsabilidades y participantes</w:t>
      </w:r>
    </w:p>
    <w:p>
      <w:pPr>
        <w:numPr>
          <w:ilvl w:val="0"/>
          <w:numId w:val="1002"/>
        </w:numPr>
        <w:pStyle w:val="Compact"/>
      </w:pPr>
      <w:r>
        <w:t xml:space="preserve">PR12. Diseño detallado y vistas funcional, despliegue, información, integración y tecnología​</w:t>
      </w:r>
    </w:p>
    <w:p>
      <w:pPr>
        <w:numPr>
          <w:ilvl w:val="0"/>
          <w:numId w:val="1002"/>
        </w:numPr>
        <w:pStyle w:val="Compact"/>
      </w:pPr>
      <w:r>
        <w:t xml:space="preserve">PR13. Modelado en lenguaje y herramienta de diseño del FNA​</w:t>
      </w:r>
    </w:p>
    <w:p>
      <w:pPr>
        <w:numPr>
          <w:ilvl w:val="0"/>
          <w:numId w:val="1002"/>
        </w:numPr>
        <w:pStyle w:val="Compact"/>
      </w:pPr>
      <w:r>
        <w:t xml:space="preserve">PR14. Administración de las transiciones hacia la arquitectura versión 2.0</w:t>
      </w:r>
    </w:p>
    <w:p>
      <w:pPr>
        <w:numPr>
          <w:ilvl w:val="0"/>
          <w:numId w:val="1002"/>
        </w:numPr>
        <w:pStyle w:val="Compact"/>
      </w:pPr>
      <w:r>
        <w:t xml:space="preserve">PR15. Inventario de artefactos genéricos y concretos de aceleración de implementación</w:t>
      </w:r>
    </w:p>
    <w:p>
      <w:pPr>
        <w:numPr>
          <w:ilvl w:val="0"/>
          <w:numId w:val="1002"/>
        </w:numPr>
        <w:pStyle w:val="Compact"/>
      </w:pPr>
      <w:r>
        <w:t xml:space="preserve">PR16. Análisis de impacto y modelos actualizados de los ítems de arquitectura</w:t>
      </w:r>
    </w:p>
    <w:p>
      <w:pPr>
        <w:numPr>
          <w:ilvl w:val="0"/>
          <w:numId w:val="1002"/>
        </w:numPr>
        <w:pStyle w:val="Compact"/>
      </w:pPr>
      <w:r>
        <w:t xml:space="preserve">PR17. Ítems de arquitectura incrementados en ejecución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dl 2023 (ver Plan de Ejecución PRY01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3"/>
        </w:numPr>
        <w:pStyle w:val="Compact"/>
      </w:pPr>
      <w:r>
        <w:t xml:space="preserve">Visión global de soluciones de TI vs. requisitos del negocio​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4"/>
        </w:numPr>
        <w:pStyle w:val="Compact"/>
      </w:pPr>
      <w:r>
        <w:t xml:space="preserve">Consultores y equipo de apoyo​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Depósito 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2023-03-31T20:37:55Z</dcterms:created>
  <dcterms:modified xsi:type="dcterms:W3CDTF">2023-03-31T20:37:55Z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