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2 (PRY02) inicia con la fase de Definición (DEF) en la que amplía en detalle los elementos y tecnologías de la arquitectura de referencia 2.0. Se determina además otros detalles como los elementos de la arquitectura a impactar que terminarán siendo evolucionados en los incrementos siguientes (correspondientes a las fases 2 y 3) de este mismo plan.</w:t>
      </w:r>
    </w:p>
    <w:p>
      <w:pPr>
        <w:pStyle w:val="Figure"/>
      </w:pPr>
      <w:r>
        <w:drawing>
          <wp:inline>
            <wp:extent cx="5600700" cy="425908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2arqref2.0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59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 y 2, Diseño e Incremento respectiamente, tienen en realidad dos acciones: el planteamiento de la solución de la arquitectura (detalles tecnológicos), y el de la puesta en marcha de cambios mediante una implementación real de este diseño, al que llamamos arquitectura de referencia 2.0 FNA.</w:t>
      </w:r>
    </w:p>
    <w:p>
      <w:pPr>
        <w:pStyle w:val="Textoindependiente"/>
      </w:pPr>
      <w:r>
        <w:t xml:space="preserve">Las fases 3, Optimización, busca crear y gestionar el inventario de elementos genéricos de aceleración de desarollo, como funcionalidades, y artefactos de software que cumplan los estándares de la arquitetura de referencia 2.0 definida anteriormente.</w:t>
      </w:r>
    </w:p>
    <w:p>
      <w:pPr>
        <w:pStyle w:val="Textoindependiente"/>
      </w:pPr>
      <w:r>
        <w:t xml:space="preserve">Finalmente, la fase 4 se encarga de ejecutar los indicadores de medición de desempeño de los incrementos de evolución de la arquitectura de referencia 2.0.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2023-04-03T19:21:59Z</dcterms:created>
  <dcterms:modified xsi:type="dcterms:W3CDTF">2023-04-03T19:21:59Z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