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4 meses, iniciado a partir del mes de abril del 2023. Equivalente en horas a</w:t>
      </w:r>
    </w:p>
    <w:p>
      <w:pPr>
        <w:pStyle w:val="Textodebloque"/>
      </w:pPr>
      <w:r>
        <w:t xml:space="preserve">180 hrs/mes * 4 meses = 720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2023-03-31T16:40:46Z</dcterms:created>
  <dcterms:modified xsi:type="dcterms:W3CDTF">2023-03-31T16:40:46Z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