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equipo-base-del-proyecto"/>
    <w:p>
      <w:pPr>
        <w:pStyle w:val="Ttulo2"/>
      </w:pPr>
      <w:r>
        <w:t xml:space="preserve">Equipo Base del Proyecto</w:t>
      </w:r>
    </w:p>
    <w:p>
      <w:pPr>
        <w:pStyle w:val="FirstParagraph"/>
      </w:pPr>
      <w:r>
        <w:t xml:space="preserve">Organizado por proyecto.</w:t>
      </w:r>
    </w:p>
    <w:bookmarkStart w:id="20" w:name="X231ab8377b1866bd8f710a1caa91b551f314ae5"/>
    <w:p>
      <w:pPr>
        <w:pStyle w:val="Ttulo3"/>
      </w:pPr>
      <w:r>
        <w:t xml:space="preserve">PRY01. Gobierno SOA FNA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1" w:name="X2af00226cd4a76e478e50c841bb3fc7ea8c1dcb"/>
    <w:p>
      <w:pPr>
        <w:pStyle w:val="Ttulo3"/>
      </w:pPr>
      <w:r>
        <w:t xml:space="preserve">PRY02. Arquitectura Referencia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2023-03-28T22:37:25Z</dcterms:created>
  <dcterms:modified xsi:type="dcterms:W3CDTF">2023-03-28T22:37:25Z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