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20d9a5d6-9657-43a2-8731-446ded87f28a"/>
    <w:p>
      <w:pPr>
        <w:pStyle w:val="CaptionedFigure"/>
      </w:pPr>
      <w:bookmarkStart w:id="23" w:name="fig:"/>
      <w:r>
        <w:drawing>
          <wp:inline>
            <wp:extent cx="5600700" cy="3015761"/>
            <wp:effectExtent b="0" l="0" r="0" t="0"/>
            <wp:docPr descr="Figure 1: Vista de tiempo de ejecución de los proyectos de cierre de brecha de la hoja de ruta E-Service consignados en el alcance de esta propuesta, para el período de 5 meses, en el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 los proyectos de cierre de brecha de la hoja de ruta E-Service consignados en el alcance de esta propuesta, para el período de 5 meses, en el 2023.</w:t>
      </w:r>
    </w:p>
    <w:bookmarkEnd w:id="0"/>
    <w:p>
      <w:pPr>
        <w:pStyle w:val="Textoindependiente"/>
      </w:pPr>
    </w:p>
    <w:p>
      <w:pPr>
        <w:pStyle w:val="Textoindependiente"/>
      </w:pPr>
      <w:r>
        <w:t xml:space="preserve">La planeación general no contiene fases ni entregables. En su lugar, cada proyecto (PRY01… 03) dentro de la planeación general es independiente y contiene fases, fechas, actividades y productos de trabajo por separado. La planeación de cada proyecto es como sigue.</w:t>
      </w:r>
    </w:p>
    <w:p>
      <w:pPr>
        <w:pStyle w:val="Figure"/>
      </w:pPr>
      <w:r>
        <w:drawing>
          <wp:inline>
            <wp:extent cx="5600700" cy="3111500"/>
            <wp:effectExtent b="0" l="0" r="0" t="0"/>
            <wp:docPr descr="" title="" id="25" name="Picture"/>
            <a:graphic>
              <a:graphicData uri="http://schemas.openxmlformats.org/drawingml/2006/picture">
                <pic:pic>
                  <pic:nvPicPr>
                    <pic:cNvPr descr="images/plangeneral1.png" id="26" name="Picture"/>
                    <pic:cNvPicPr>
                      <a:picLocks noChangeArrowheads="1" noChangeAspect="1"/>
                    </pic:cNvPicPr>
                  </pic:nvPicPr>
                  <pic:blipFill>
                    <a:blip r:embed="rId24"/>
                    <a:stretch>
                      <a:fillRect/>
                    </a:stretch>
                  </pic:blipFill>
                  <pic:spPr bwMode="auto">
                    <a:xfrm>
                      <a:off x="0" y="0"/>
                      <a:ext cx="5600700" cy="3111500"/>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Vista de tiempo de ejecución del proyecto 01 de cierre de brecha,</w:t>
      </w:r>
      <w:r>
        <w:t xml:space="preserve"> </w:t>
      </w:r>
      <w:r>
        <w:rPr>
          <w:iCs/>
          <w:i/>
        </w:rPr>
        <w:t xml:space="preserve">PRY01. Gobierno SOA FNA</w:t>
      </w:r>
      <w:r>
        <w:t xml:space="preserve">, de la hoja de ruta E-Service consignados en el alcance de esta propuesta, para el período de 5 meses, en el 2023.</w:t>
      </w:r>
    </w:p>
    <w:p>
      <w:pPr>
        <w:pStyle w:val="Textoindependiente"/>
      </w:pP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7" Target=""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2023-09-12T16:46:46Z</dcterms:created>
  <dcterms:modified xsi:type="dcterms:W3CDTF">2023-09-12T16:46:46Z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