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4 etapas de tiempo (trimestres, en la imagen). Cada etapa ejecuta las líneas de trabajo y como resultado producirá incrementos tanto en capacidades indicadas en el alcance, como en la arquitectura del FNA.</w:t>
      </w:r>
    </w:p>
    <w:bookmarkEnd w:id="24"/>
    <w:bookmarkStart w:id="25"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o su equivalente en horas totales.</w:t>
      </w:r>
    </w:p>
    <w:p>
      <w:pPr>
        <w:pStyle w:val="SourceCode"/>
      </w:pPr>
      <w:r>
        <w:rPr>
          <w:rStyle w:val="VerbatimChar"/>
        </w:rPr>
        <w:t xml:space="preserve">horas hombre: 180 hrs/mes * 12 meses = 2.160 hrs/hombre</w:t>
      </w:r>
      <w:r>
        <w:br/>
      </w:r>
      <w:r>
        <w:rPr>
          <w:rStyle w:val="VerbatimChar"/>
        </w:rPr>
        <w:t xml:space="preserve">horas proyecto: 2.160 hrs/hombre * 3 recursos equipo base = 6.840 hrs/proyecto</w:t>
      </w:r>
    </w:p>
    <w:p>
      <w:pPr>
        <w:pStyle w:val="FirstParagraph"/>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2023-09-12T17:16:35Z</dcterms:created>
  <dcterms:modified xsi:type="dcterms:W3CDTF">2023-09-12T17:16:35Z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