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plan-general-de-la-propuesta"/>
    <w:p>
      <w:pPr>
        <w:pStyle w:val="Ttulo2"/>
      </w:pPr>
      <w:r>
        <w:t xml:space="preserve">Plan General de la Propuesta</w:t>
      </w:r>
    </w:p>
    <w:p>
      <w:pPr>
        <w:pStyle w:val="FirstParagraph"/>
      </w:pPr>
      <w:r>
        <w:t xml:space="preserve">El plan general de referencia de implementación de la actual propuesta, proyecto Implementación de la Oficina de Arquitectura y Gobierno del FNA, 2023, lo hemos organizado en dos componentes, o líneas de trabajo en adelante, que responden directamente a las capacidades del FNA a impactar por la propuesta. Estos es, las capacidades CAP01 Gestión de tecnología, y CAP02 Entrega de productos y funcionalidades del FNA (fuente, E-Service Fase II). Estas líneas de trabajo toman el nombre de las capacidades. La imagen siguiente resumen todo el plan, las capacidades y las líneas de trabajo relacionadas.</w:t>
      </w:r>
    </w:p>
    <w:p>
      <w:pPr>
        <w:pStyle w:val="SourceCode"/>
      </w:pPr>
      <w:r>
        <w:rPr>
          <w:rStyle w:val="VerbatimChar"/>
        </w:rPr>
        <w:t xml:space="preserve">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r>
        <w:t xml:space="preserve">Adicionalmente, la planeación general presenta la evolución de la arquitectura del FNA a la par del desarrollo de las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Start w:id="24" w:name="X5b1b595bd0eb19d2886dba414cc0f469c80fd13"/>
    <w:p>
      <w:pPr>
        <w:pStyle w:val="Ttulo3"/>
      </w:pPr>
      <w:r>
        <w:t xml:space="preserve">Fases del proyecto / Organización de trabajo</w:t>
      </w:r>
    </w:p>
    <w:p>
      <w:pPr>
        <w:pStyle w:val="FirstParagraph"/>
      </w:pPr>
      <w:r>
        <w:t xml:space="preserve">El proyecto propuesto (Implementación de la Oficina de Arquitectura y Gobierno del FNA) está organizado en dos (2) líneas de trabajo (horizontal en el diagrama plan general) y cuatro (4) etapas de tiempo (trimestres, en la imagen). Cada etapa ejecuta las líneas de trabajo y como resultado producirá incrementos tanto en capacidades indicadas en el alcance, como en la arquitectura del FNA.</w:t>
      </w:r>
    </w:p>
    <w:bookmarkEnd w:id="24"/>
    <w:bookmarkStart w:id="26" w:name="plazo-de-ejecución"/>
    <w:p>
      <w:pPr>
        <w:pStyle w:val="Ttulo3"/>
      </w:pPr>
      <w:r>
        <w:t xml:space="preserve">Plazo de Ejecución</w:t>
      </w:r>
    </w:p>
    <w:p>
      <w:pPr>
        <w:pStyle w:val="FirstParagraph"/>
      </w:pPr>
      <w:r>
        <w:t xml:space="preserve">El plazo de ejecución, contado desde la firma del contrato y de la autorización de todas las partes, es de 12 meses calendario, no horas hombre.</w:t>
      </w:r>
    </w:p>
    <w:p>
      <w:pPr>
        <w:pStyle w:val="Textoindependiente"/>
      </w:pPr>
      <w:r>
        <w:t xml:space="preserve">Los meses de trabajo en medida de horas es el siguiente:</w:t>
      </w:r>
    </w:p>
    <w:bookmarkStart w:id="0" w:name="tbl:tblduracion-id"/>
    <w:bookmarkStart w:id="25" w:name="tbl:tblduracion-id"/>
    <w:p>
      <w:pPr>
        <w:pStyle w:val="TableCaption"/>
      </w:pPr>
      <w:r>
        <w:t xml:space="preserve">Table 1: Plazo de ejecución. Propuesta de Implementación de la Oficina de Arquitectura y Gobierno del FNA. Meses de trabajo en medida de horas.</w:t>
      </w:r>
      <w:r>
        <w:t xml:space="preserve"> </w:t>
      </w:r>
    </w:p>
    <w:tbl>
      <w:tblPr>
        <w:tblStyle w:val="Table"/>
        <w:tblW w:type="pct" w:w="5000"/>
        <w:tblLook w:firstRow="1" w:lastRow="0" w:firstColumn="0" w:lastColumn="0" w:noHBand="0" w:noVBand="0" w:val="0020"/>
        <w:tblCaption w:val="Table 1: Plazo de ejecución. Propuesta de Implementación de la Oficina de Arquitectura y Gobierno del FNA. Meses de trabajo en medida de horas. "/>
      </w:tblPr>
      <w:tblGrid>
        <w:gridCol w:w="5188"/>
        <w:gridCol w:w="2731"/>
      </w:tblGrid>
      <w:tr>
        <w:trPr>
          <w:tblHeader w:val="true"/>
        </w:trPr>
        <w:tc>
          <w:tcPr/>
          <w:p>
            <w:pPr>
              <w:pStyle w:val="Compact"/>
              <w:jc w:val="left"/>
            </w:pPr>
            <w:r>
              <w:t xml:space="preserve">Recurso</w:t>
            </w:r>
          </w:p>
        </w:tc>
        <w:tc>
          <w:tcPr/>
          <w:p>
            <w:pPr>
              <w:pStyle w:val="Compact"/>
              <w:jc w:val="left"/>
            </w:pPr>
            <w:r>
              <w:t xml:space="preserve">Duración</w:t>
            </w:r>
          </w:p>
        </w:tc>
      </w:tr>
      <w:tr>
        <w:tc>
          <w:tcPr/>
          <w:p>
            <w:pPr>
              <w:pStyle w:val="Compact"/>
              <w:jc w:val="left"/>
            </w:pPr>
            <w:r>
              <w:t xml:space="preserve">Horas recurso 12 meses</w:t>
            </w:r>
          </w:p>
        </w:tc>
        <w:tc>
          <w:tcPr/>
          <w:p>
            <w:pPr>
              <w:pStyle w:val="Compact"/>
              <w:jc w:val="left"/>
            </w:pPr>
            <w:r>
              <w:t xml:space="preserve">180 hrs/mes * 12 meses = 2.160 hrs proyecto</w:t>
            </w:r>
          </w:p>
        </w:tc>
      </w:tr>
      <w:tr>
        <w:tc>
          <w:tcPr/>
          <w:p>
            <w:pPr>
              <w:pStyle w:val="Compact"/>
              <w:jc w:val="left"/>
            </w:pPr>
            <w:r>
              <w:t xml:space="preserve">Horas recursos 12 meses</w:t>
            </w:r>
          </w:p>
        </w:tc>
        <w:tc>
          <w:tcPr/>
          <w:p>
            <w:pPr>
              <w:pStyle w:val="Compact"/>
              <w:jc w:val="left"/>
            </w:pPr>
            <w:r>
              <w:t xml:space="preserve">2.160 hrs/mes * 3 recursos, equipo base = 6.840 hrs proyecto</w:t>
            </w:r>
          </w:p>
        </w:tc>
      </w:tr>
      <w:tr>
        <w:tc>
          <w:tcPr/>
          <w:p>
            <w:pPr>
              <w:pStyle w:val="Compact"/>
              <w:jc w:val="left"/>
            </w:pPr>
            <w:r>
              <w:t xml:space="preserve">Corte mensual horas recursos total mes</w:t>
            </w:r>
          </w:p>
        </w:tc>
        <w:tc>
          <w:tcPr/>
          <w:p>
            <w:pPr>
              <w:pStyle w:val="Compact"/>
              <w:jc w:val="left"/>
            </w:pPr>
            <w:r>
              <w:t xml:space="preserve">6.840 hrs proyecto / 12 = 570 horas mes proyecto</w:t>
            </w:r>
          </w:p>
        </w:tc>
      </w:tr>
    </w:tbl>
    <w:bookmarkEnd w:id="25"/>
    <w:bookmarkEnd w:id="0"/>
    <w:p>
      <w:pPr>
        <w:pStyle w:val="Textoindependiente"/>
      </w:pPr>
    </w:p>
    <w:p>
      <w:pPr>
        <w:pStyle w:val="Textoindependiente"/>
      </w:pPr>
      <w:r>
        <w:t xml:space="preserve">Para efectos de facturación mensual, el trabajo en horas de la oficina asciende a 570 horas por mes durante 12 meses de duración del proyecto propuesto.</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2023-09-18T16:31:21Z</dcterms:created>
  <dcterms:modified xsi:type="dcterms:W3CDTF">2023-09-18T16:31:21Z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