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general-de-la-propuesta"/>
    <w:p>
      <w:pPr>
        <w:pStyle w:val="Ttulo3"/>
      </w:pPr>
      <w:r>
        <w:t xml:space="preserve">Plan General de la Propuesta</w:t>
      </w:r>
    </w:p>
    <w:p>
      <w:pPr>
        <w:pStyle w:val="FirstParagraph"/>
      </w:pPr>
      <w:r>
        <w:t xml:space="preserve">La siguiente imagen presenta a manera de referencia el plan general en el tiempo de los tres proyectos contenidos en el alcance de esta propuesta. Nota: los plazos en la imagen son referenciales. Los plazos reales de cada proyexto, por separado, serán determinados y aceptados en las fases de levantamiento de cada uno.</w:t>
      </w:r>
    </w:p>
    <w:p>
      <w:pPr>
        <w:pStyle w:val="Figure"/>
      </w:pPr>
      <w:r>
        <w:drawing>
          <wp:inline>
            <wp:extent cx="5600700" cy="309319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langener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93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tiempo de ejecución de los proyectos de cierre de brecha de la hoja de ruta E-Service consignados en el alcance de esta propuesta, para el período de 5 meses, en el 2023.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2023-04-04T20:13:10Z</dcterms:created>
  <dcterms:modified xsi:type="dcterms:W3CDTF">2023-04-04T20:13:10Z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