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1"/>
        </w:numPr>
        <w:pStyle w:val="Compact"/>
      </w:pPr>
      <w:r>
        <w:t xml:space="preserve">Crear e institucionalizar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Definir los roles y responsabilidades para la instalación del comité</w:t>
      </w:r>
    </w:p>
    <w:p>
      <w:pPr>
        <w:numPr>
          <w:ilvl w:val="0"/>
          <w:numId w:val="1001"/>
        </w:numPr>
        <w:pStyle w:val="Compact"/>
      </w:pPr>
      <w:r>
        <w:t xml:space="preserve">Elaborar los lineamientos, políticas y procesos de gobierno SOA del FNA</w:t>
      </w:r>
    </w:p>
    <w:p>
      <w:pPr>
        <w:numPr>
          <w:ilvl w:val="0"/>
          <w:numId w:val="1001"/>
        </w:numPr>
        <w:pStyle w:val="Compact"/>
      </w:pPr>
      <w:r>
        <w:t xml:space="preserve">Medir las decisiones de gobierno sobre la arquitectura y el proceso de desarrollo de soluciones SOA</w:t>
      </w:r>
    </w:p>
    <w:bookmarkEnd w:id="21"/>
    <w:bookmarkStart w:id="22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2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2"/>
        </w:numPr>
        <w:pStyle w:val="Compact"/>
      </w:pPr>
      <w:r>
        <w:t xml:space="preserve">Aplicar y fortalecer gobierno SOA en el FNA</w:t>
      </w:r>
    </w:p>
    <w:p>
      <w:pPr>
        <w:numPr>
          <w:ilvl w:val="0"/>
          <w:numId w:val="1002"/>
        </w:numPr>
        <w:pStyle w:val="Compact"/>
      </w:pPr>
      <w:r>
        <w:t xml:space="preserve">Relacionar el gobierno SOA con gestión de modelos y repositorio de arquitectura del FNA</w:t>
      </w:r>
    </w:p>
    <w:p>
      <w:pPr>
        <w:numPr>
          <w:ilvl w:val="0"/>
          <w:numId w:val="1002"/>
        </w:numPr>
        <w:pStyle w:val="Compact"/>
      </w:pPr>
      <w:r>
        <w:t xml:space="preserve">Medir las decisiones de arquitectura y del proceso de desarrollo de las soluciones SOA</w:t>
      </w:r>
    </w:p>
    <w:bookmarkEnd w:id="22"/>
    <w:bookmarkStart w:id="23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3"/>
        </w:numPr>
        <w:pStyle w:val="Compact"/>
      </w:pPr>
      <w:r>
        <w:t xml:space="preserve">Fase 0. Definición</w:t>
      </w:r>
    </w:p>
    <w:p>
      <w:pPr>
        <w:numPr>
          <w:ilvl w:val="1"/>
          <w:numId w:val="1004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1"/>
          <w:numId w:val="1004"/>
        </w:numPr>
        <w:pStyle w:val="Compact"/>
      </w:pPr>
      <w:r>
        <w:t xml:space="preserve">PR01.1. Aprobación de inicio y personal FNA asignado Gobierno SOA</w:t>
      </w:r>
    </w:p>
    <w:p>
      <w:pPr>
        <w:numPr>
          <w:ilvl w:val="0"/>
          <w:numId w:val="1003"/>
        </w:numPr>
        <w:pStyle w:val="Compact"/>
      </w:pPr>
      <w:r>
        <w:t xml:space="preserve">Fase 1. Definición gobierno</w:t>
      </w:r>
    </w:p>
    <w:p>
      <w:pPr>
        <w:numPr>
          <w:ilvl w:val="1"/>
          <w:numId w:val="1005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1"/>
          <w:numId w:val="1005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3"/>
        </w:numPr>
        <w:pStyle w:val="Compact"/>
      </w:pPr>
      <w:r>
        <w:t xml:space="preserve">Fase 2. Ejecución gobierno. Incremento 1</w:t>
      </w:r>
    </w:p>
    <w:p>
      <w:pPr>
        <w:numPr>
          <w:ilvl w:val="1"/>
          <w:numId w:val="1006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1"/>
          <w:numId w:val="1006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3"/>
        </w:numPr>
        <w:pStyle w:val="Compact"/>
      </w:pPr>
      <w:r>
        <w:t xml:space="preserve">Fase 3. Ejecución gobierno. Incremento 2</w:t>
      </w:r>
    </w:p>
    <w:p>
      <w:pPr>
        <w:numPr>
          <w:ilvl w:val="1"/>
          <w:numId w:val="1007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3"/>
        </w:numPr>
        <w:pStyle w:val="Compact"/>
      </w:pPr>
      <w:r>
        <w:t xml:space="preserve">Fase 4. Integración gobierno</w:t>
      </w:r>
    </w:p>
    <w:p>
      <w:pPr>
        <w:numPr>
          <w:ilvl w:val="1"/>
          <w:numId w:val="1008"/>
        </w:numPr>
        <w:pStyle w:val="Compact"/>
      </w:pPr>
      <w:r>
        <w:t xml:space="preserve">PR07. Métricas de efectividad del gobierno</w:t>
      </w:r>
    </w:p>
    <w:bookmarkEnd w:id="23"/>
    <w:bookmarkStart w:id="24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mayo del 2023 (ver Plan de Ejecución PRY01, más adelante).</w:t>
      </w:r>
    </w:p>
    <w:bookmarkEnd w:id="24"/>
    <w:bookmarkStart w:id="25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25"/>
    <w:bookmarkStart w:id="26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26"/>
    <w:bookmarkStart w:id="27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2023-05-24T05:54:25Z</dcterms:created>
  <dcterms:modified xsi:type="dcterms:W3CDTF">2023-05-24T05:54:25Z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