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1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1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gobierno sobre la arquitectura y el proceso de desarrollo de soluciones SOA</w:t>
      </w:r>
    </w:p>
    <w:bookmarkEnd w:id="21"/>
    <w:bookmarkStart w:id="22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2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2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2"/>
        </w:numPr>
        <w:pStyle w:val="Compact"/>
      </w:pPr>
      <w:r>
        <w:t xml:space="preserve">Relacionar el gobierno SOA con gestión de modelos y repositorio de arquitectura del FNA</w:t>
      </w:r>
    </w:p>
    <w:p>
      <w:pPr>
        <w:numPr>
          <w:ilvl w:val="0"/>
          <w:numId w:val="1002"/>
        </w:numPr>
        <w:pStyle w:val="Compact"/>
      </w:pPr>
      <w:r>
        <w:t xml:space="preserve">Medir las decisiones de arquitectura y del proceso de desarrollo de las soluciones SOA</w:t>
      </w:r>
    </w:p>
    <w:bookmarkEnd w:id="22"/>
    <w:bookmarkStart w:id="23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3"/>
        </w:numPr>
        <w:pStyle w:val="Compact"/>
      </w:pPr>
      <w:r>
        <w:t xml:space="preserve">Fase 0. Definición</w:t>
      </w:r>
    </w:p>
    <w:p>
      <w:pPr>
        <w:numPr>
          <w:ilvl w:val="1"/>
          <w:numId w:val="1004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4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3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5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5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3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6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6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3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7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3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8"/>
        </w:numPr>
        <w:pStyle w:val="Compact"/>
      </w:pPr>
      <w:r>
        <w:t xml:space="preserve">PR07. Métricas de efectividad del gobierno</w:t>
      </w:r>
    </w:p>
    <w:bookmarkEnd w:id="23"/>
    <w:bookmarkStart w:id="24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PRY01, más adelante).</w:t>
      </w:r>
    </w:p>
    <w:bookmarkEnd w:id="24"/>
    <w:bookmarkStart w:id="25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25"/>
    <w:bookmarkStart w:id="26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26"/>
    <w:bookmarkStart w:id="27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2023-09-08T19:16:22Z</dcterms:created>
  <dcterms:modified xsi:type="dcterms:W3CDTF">2023-09-08T19:16:22Z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