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2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4873"/>
        <w:gridCol w:w="243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Recurso / 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Jefe Oficina de Arquitectura (FNA). Calidad del proyecto. Referente para montaje de gobierno SOA, modelamiento procesos, software y servicios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Nota</w:t>
            </w:r>
            <w:r>
              <w:t xml:space="preserve">: es condición del presente proyecto que este recurso sea interno FNA, por tanto, no entra en la propuesta económica presentada más adelante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Aplicaciones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Datos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entidades de datos, intercambio de información, y modelamiento de procesos y flujo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TI o Infraestructura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plataformas de cómputo, almacenamiento y redes, y modelamiento de ambientes de ejecución y comunicación</w:t>
            </w: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2023-10-02T18:19:26Z</dcterms:created>
  <dcterms:modified xsi:type="dcterms:W3CDTF">2023-10-02T18:19:26Z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