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plan-de-trabajo"/>
    <w:p>
      <w:pPr>
        <w:pStyle w:val="Ttulo4"/>
      </w:pPr>
      <w:r>
        <w:t xml:space="preserve">Plan de Trabajo</w:t>
      </w:r>
    </w:p>
    <w:p>
      <w:pPr>
        <w:pStyle w:val="FirstParagraph"/>
      </w:pPr>
      <w:r>
        <w:t xml:space="preserve">Organización de trabajo: El proyecto 1 (PRY01) está organizado en 4 fases. La fase de Levantamiento (LVT) presentada abajo en la imagen determina en detalle los elementos de gobierno y de la arquitectura que se evolucionarán en los dos incrementos planteados en los proyectos del alcance consignado arriba, y que se corresponden con las fases 2 y 3 de la plan siguiente.</w:t>
      </w:r>
    </w:p>
    <w:p>
      <w:pPr>
        <w:pStyle w:val="Figure"/>
      </w:pPr>
      <w:r>
        <w:drawing>
          <wp:inline>
            <wp:extent cx="5600700" cy="449995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pry1gobierno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Plan de Implementación del Proyecto Hoja de Ruta E-Service FNA, 2023. Abril 2023 a Dic 2023. Ver 1.0</w:t>
      </w:r>
    </w:p>
    <w:bookmarkEnd w:id="24"/>
    <w:bookmarkStart w:id="25" w:name="fases-del-proyecto"/>
    <w:p>
      <w:pPr>
        <w:pStyle w:val="Ttulo4"/>
      </w:pPr>
      <w:r>
        <w:t xml:space="preserve">Fases del proyecto</w:t>
      </w:r>
    </w:p>
    <w:p>
      <w:pPr>
        <w:pStyle w:val="FirstParagraph"/>
      </w:pPr>
      <w:r>
        <w:t xml:space="preserve">La fase 1, Definición del Gobierno, diseña y determina los procesos de gestión de mejoramiento de la arquitectura SOA y la vigilancia de riesgo técnico que regirán en adelante en el FNA. Estos mismo procesos de gobierno aplican en las fases sucesivas del proyecto.</w:t>
      </w:r>
    </w:p>
    <w:p>
      <w:pPr>
        <w:pStyle w:val="Textoindependiente"/>
      </w:pPr>
      <w:r>
        <w:t xml:space="preserve">Las fases 2 y 3, implantan el gobierno anteriormente definido, e impactan directamente a los modelos y las decisiones de la arquitectura SOA del FNA, esto es, sistemas de información, herramientas de software, servicios, o componentes seleccionados en la fase Levantamiento.</w:t>
      </w:r>
    </w:p>
    <w:p>
      <w:pPr>
        <w:pStyle w:val="Textoindependiente"/>
      </w:pPr>
      <w:r>
        <w:t xml:space="preserve">Finalmente, la fase 4 se encarga de ejecutar los indicadores de medición de desempeño, tanto del gobierno como de los incrementos de evolución de la arquitectura de referencia 2.0 (ver resultados del diagnóstico E-Service, 2022).</w:t>
      </w:r>
    </w:p>
    <w:bookmarkEnd w:id="25"/>
    <w:bookmarkStart w:id="26" w:name="plazo-de-ejecución"/>
    <w:p>
      <w:pPr>
        <w:pStyle w:val="Ttulo4"/>
      </w:pPr>
      <w:r>
        <w:t xml:space="preserve">Plazo de Ejecución</w:t>
      </w:r>
    </w:p>
    <w:p>
      <w:pPr>
        <w:pStyle w:val="FirstParagraph"/>
      </w:pPr>
      <w:r>
        <w:t xml:space="preserve">El plazo de ejecución, contado desde la firma del contrato y de la autorización de todas las partes, es de 5 meses, o su equivalente en horas</w:t>
      </w:r>
    </w:p>
    <w:p>
      <w:pPr>
        <w:pStyle w:val="SourceCode"/>
      </w:pPr>
      <w:r>
        <w:rPr>
          <w:rStyle w:val="VerbatimChar"/>
        </w:rPr>
        <w:t xml:space="preserve">180 hrs/mes * 5 meses = 910 hrs / hombre proyecto</w:t>
      </w:r>
    </w:p>
    <w:p>
      <w:pPr>
        <w:pStyle w:val="FirstParagraph"/>
      </w:pPr>
    </w:p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jp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2023-09-18T15:51:59Z</dcterms:created>
  <dcterms:modified xsi:type="dcterms:W3CDTF">2023-09-18T15:51:59Z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