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Definición</w:t>
      </w:r>
    </w:p>
    <w:p>
      <w:pPr>
        <w:numPr>
          <w:ilvl w:val="1"/>
          <w:numId w:val="1003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1"/>
          <w:numId w:val="1003"/>
        </w:numPr>
        <w:pStyle w:val="Compact"/>
      </w:pPr>
      <w:r>
        <w:t xml:space="preserve">PR10.1. Aprobación de inicio y personal FNA asignado a la arquitectura de referencia</w:t>
      </w:r>
    </w:p>
    <w:p>
      <w:pPr>
        <w:numPr>
          <w:ilvl w:val="0"/>
          <w:numId w:val="1002"/>
        </w:numPr>
        <w:pStyle w:val="Compact"/>
      </w:pPr>
      <w:r>
        <w:t xml:space="preserve">Fase 1. Diseño incremento 1 arq. referencia</w:t>
      </w:r>
    </w:p>
    <w:p>
      <w:pPr>
        <w:numPr>
          <w:ilvl w:val="1"/>
          <w:numId w:val="1004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1"/>
          <w:numId w:val="1004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Fase 2. Incremento 1 arq. referencia</w:t>
      </w:r>
    </w:p>
    <w:p>
      <w:pPr>
        <w:numPr>
          <w:ilvl w:val="1"/>
          <w:numId w:val="1005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1"/>
          <w:numId w:val="1005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Fase 3. Optimización arq. referencia</w:t>
      </w:r>
    </w:p>
    <w:p>
      <w:pPr>
        <w:numPr>
          <w:ilvl w:val="1"/>
          <w:numId w:val="1006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Fase 4. Integración SOA</w:t>
      </w:r>
    </w:p>
    <w:p>
      <w:pPr>
        <w:numPr>
          <w:ilvl w:val="1"/>
          <w:numId w:val="1007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1"/>
          <w:numId w:val="1007"/>
        </w:numPr>
        <w:pStyle w:val="Compact"/>
      </w:pPr>
      <w:r>
        <w:t xml:space="preserve">PR17. Ítems de arquitectura incrementados en ejecución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8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8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8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8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9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9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9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0"/>
        </w:numPr>
        <w:pStyle w:val="Compact"/>
      </w:pPr>
      <w:r>
        <w:t xml:space="preserve">Depósito de Arquitectura</w:t>
      </w:r>
    </w:p>
    <w:p>
      <w:pPr>
        <w:numPr>
          <w:ilvl w:val="0"/>
          <w:numId w:val="1010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2023-05-24T05:54:28Z</dcterms:created>
  <dcterms:modified xsi:type="dcterms:W3CDTF">2023-05-24T05:54:28Z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