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89eb439c48dcc3d169dc66298eaeed3da6b9ee9"/>
    <w:p>
      <w:pPr>
        <w:pStyle w:val="Ttulo3"/>
      </w:pPr>
      <w:r>
        <w:t xml:space="preserve">PRY02. Arquitectura de referencia SOA 2.0: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la línea base de la arquitectura de referencia 2.0 del FNA y dirigir el desarrollo de los servicios SOA del FNA hacia diseños y tecnologías determinadas en la arquitectura de referencia 2.0 (como microservicios, REST, API, infraestructura Nube, etc.) y favorecer la adopción del estilo de arquitectura orientado a eventos para atender las funcionalidades y requerimientos de negocio, que para este proyecto son la vicepresidencia de operaciones y la vicepresidencia de crédito del FNA.</w:t>
      </w: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01"/>
        </w:numPr>
        <w:pStyle w:val="Compact"/>
      </w:pPr>
      <w:r>
        <w:t xml:space="preserve">Relacionar las implementaciones con las áreas de negocio y TI​</w:t>
      </w:r>
    </w:p>
    <w:p>
      <w:pPr>
        <w:numPr>
          <w:ilvl w:val="0"/>
          <w:numId w:val="1001"/>
        </w:numPr>
        <w:pStyle w:val="Compact"/>
      </w:pPr>
      <w:r>
        <w:t xml:space="preserve">Demostrar el cumplimiento de los lineamientos y políticas de gobierno​ SOA/TI del Fondo</w:t>
      </w:r>
    </w:p>
    <w:p>
      <w:pPr>
        <w:numPr>
          <w:ilvl w:val="0"/>
          <w:numId w:val="1001"/>
        </w:numPr>
        <w:pStyle w:val="Compact"/>
      </w:pPr>
      <w:r>
        <w:t xml:space="preserve">Documentación técnica en el depósito de arquitectura institucional​</w:t>
      </w:r>
    </w:p>
    <w:bookmarkEnd w:id="21"/>
    <w:bookmarkStart w:id="22" w:name="fases-y-entregables"/>
    <w:p>
      <w:pPr>
        <w:pStyle w:val="Ttulo4"/>
      </w:pPr>
      <w:r>
        <w:t xml:space="preserve">Fases y Entregables</w:t>
      </w:r>
    </w:p>
    <w:p>
      <w:pPr>
        <w:numPr>
          <w:ilvl w:val="0"/>
          <w:numId w:val="1002"/>
        </w:numPr>
        <w:pStyle w:val="Compact"/>
      </w:pPr>
      <w:r>
        <w:t xml:space="preserve">Fase 0. Definición</w:t>
      </w:r>
    </w:p>
    <w:p>
      <w:pPr>
        <w:numPr>
          <w:ilvl w:val="1"/>
          <w:numId w:val="1003"/>
        </w:numPr>
        <w:pStyle w:val="Compact"/>
      </w:pPr>
      <w:r>
        <w:t xml:space="preserve">PR10. Detalle de los ítems de arquitectura impactados por el proyecto</w:t>
      </w:r>
    </w:p>
    <w:p>
      <w:pPr>
        <w:numPr>
          <w:ilvl w:val="1"/>
          <w:numId w:val="1003"/>
        </w:numPr>
        <w:pStyle w:val="Compact"/>
      </w:pPr>
      <w:r>
        <w:t xml:space="preserve">PR10.1. Aprobación de inicio y personal FNA asignado a la arquitectura de referencia</w:t>
      </w:r>
    </w:p>
    <w:p>
      <w:pPr>
        <w:numPr>
          <w:ilvl w:val="0"/>
          <w:numId w:val="1002"/>
        </w:numPr>
        <w:pStyle w:val="Compact"/>
      </w:pPr>
      <w:r>
        <w:t xml:space="preserve">Fase 1. Diseño incremento 1 arq. referencia</w:t>
      </w:r>
    </w:p>
    <w:p>
      <w:pPr>
        <w:numPr>
          <w:ilvl w:val="1"/>
          <w:numId w:val="1004"/>
        </w:numPr>
        <w:pStyle w:val="Compact"/>
      </w:pPr>
      <w:r>
        <w:t xml:space="preserve">PR11. Detalle de los recursos, herramientas, roles, responsabilidades y participantes</w:t>
      </w:r>
    </w:p>
    <w:p>
      <w:pPr>
        <w:numPr>
          <w:ilvl w:val="1"/>
          <w:numId w:val="1004"/>
        </w:numPr>
        <w:pStyle w:val="Compact"/>
      </w:pPr>
      <w:r>
        <w:t xml:space="preserve">PR12. Diseño detallado y vistas funcional, despliegue, información, integración y tecnología​</w:t>
      </w:r>
    </w:p>
    <w:p>
      <w:pPr>
        <w:numPr>
          <w:ilvl w:val="0"/>
          <w:numId w:val="1002"/>
        </w:numPr>
        <w:pStyle w:val="Compact"/>
      </w:pPr>
      <w:r>
        <w:t xml:space="preserve">Fase 2. Incremento 1 arq. referencia</w:t>
      </w:r>
    </w:p>
    <w:p>
      <w:pPr>
        <w:numPr>
          <w:ilvl w:val="1"/>
          <w:numId w:val="1005"/>
        </w:numPr>
        <w:pStyle w:val="Compact"/>
      </w:pPr>
      <w:r>
        <w:t xml:space="preserve">PR13. Modelado en lenguaje y herramienta de diseño del FNA​</w:t>
      </w:r>
    </w:p>
    <w:p>
      <w:pPr>
        <w:numPr>
          <w:ilvl w:val="1"/>
          <w:numId w:val="1005"/>
        </w:numPr>
        <w:pStyle w:val="Compact"/>
      </w:pPr>
      <w:r>
        <w:t xml:space="preserve">PR14. Administración de las transiciones hacia la arquitectura versión 2.0</w:t>
      </w:r>
    </w:p>
    <w:p>
      <w:pPr>
        <w:numPr>
          <w:ilvl w:val="0"/>
          <w:numId w:val="1002"/>
        </w:numPr>
        <w:pStyle w:val="Compact"/>
      </w:pPr>
      <w:r>
        <w:t xml:space="preserve">Fase 3. Optimización arq. referencia</w:t>
      </w:r>
    </w:p>
    <w:p>
      <w:pPr>
        <w:numPr>
          <w:ilvl w:val="1"/>
          <w:numId w:val="1006"/>
        </w:numPr>
        <w:pStyle w:val="Compact"/>
      </w:pPr>
      <w:r>
        <w:t xml:space="preserve">PR15. Inventario de artefactos genéricos y concretos de aceleración de implementación</w:t>
      </w:r>
    </w:p>
    <w:p>
      <w:pPr>
        <w:numPr>
          <w:ilvl w:val="0"/>
          <w:numId w:val="1002"/>
        </w:numPr>
        <w:pStyle w:val="Compact"/>
      </w:pPr>
      <w:r>
        <w:t xml:space="preserve">Fase 4. Integración SOA</w:t>
      </w:r>
    </w:p>
    <w:p>
      <w:pPr>
        <w:numPr>
          <w:ilvl w:val="1"/>
          <w:numId w:val="1007"/>
        </w:numPr>
        <w:pStyle w:val="Compact"/>
      </w:pPr>
      <w:r>
        <w:t xml:space="preserve">PR16. Análisis de impacto y modelos actualizados de los ítems de arquitectura</w:t>
      </w:r>
    </w:p>
    <w:p>
      <w:pPr>
        <w:numPr>
          <w:ilvl w:val="1"/>
          <w:numId w:val="1007"/>
        </w:numPr>
        <w:pStyle w:val="Compact"/>
      </w:pPr>
      <w:r>
        <w:t xml:space="preserve">PR17. Ítems de arquitectura incrementados en ejecución</w:t>
      </w:r>
    </w:p>
    <w:bookmarkEnd w:id="22"/>
    <w:bookmarkStart w:id="23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5 meses, iniciado a partir del mes de abril dl 2023 (ver Plan de Ejecución PRY01 más adelante).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8"/>
        </w:numPr>
        <w:pStyle w:val="Compact"/>
      </w:pPr>
      <w:r>
        <w:t xml:space="preserve">Reducción en tiempos y costos asociados a las soluciones SOA​</w:t>
      </w:r>
    </w:p>
    <w:p>
      <w:pPr>
        <w:numPr>
          <w:ilvl w:val="0"/>
          <w:numId w:val="1008"/>
        </w:numPr>
        <w:pStyle w:val="Compact"/>
      </w:pPr>
      <w:r>
        <w:t xml:space="preserve">Mejora en la alineación entre negocio y TI​</w:t>
      </w:r>
    </w:p>
    <w:p>
      <w:pPr>
        <w:numPr>
          <w:ilvl w:val="0"/>
          <w:numId w:val="1008"/>
        </w:numPr>
        <w:pStyle w:val="Compact"/>
      </w:pPr>
      <w:r>
        <w:t xml:space="preserve">Mitigación de rotación del equipo de arquitectura​</w:t>
      </w:r>
    </w:p>
    <w:p>
      <w:pPr>
        <w:numPr>
          <w:ilvl w:val="0"/>
          <w:numId w:val="1008"/>
        </w:numPr>
        <w:pStyle w:val="Compact"/>
      </w:pPr>
      <w:r>
        <w:t xml:space="preserve">Visión global de soluciones de TI vs. requisitos del negocio​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9"/>
        </w:numPr>
        <w:pStyle w:val="Compact"/>
      </w:pPr>
      <w:r>
        <w:t xml:space="preserve">Áreas de negocio críticas​</w:t>
      </w:r>
    </w:p>
    <w:p>
      <w:pPr>
        <w:numPr>
          <w:ilvl w:val="0"/>
          <w:numId w:val="1009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9"/>
        </w:numPr>
        <w:pStyle w:val="Compact"/>
      </w:pPr>
      <w:r>
        <w:t xml:space="preserve">Consultores y equipo de apoyo​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10"/>
        </w:numPr>
        <w:pStyle w:val="Compact"/>
      </w:pPr>
      <w:r>
        <w:t xml:space="preserve">Depósito de Arquitectura</w:t>
      </w:r>
    </w:p>
    <w:p>
      <w:pPr>
        <w:numPr>
          <w:ilvl w:val="0"/>
          <w:numId w:val="1010"/>
        </w:numPr>
        <w:pStyle w:val="Compact"/>
      </w:pPr>
      <w:r>
        <w:t xml:space="preserve">Herramientas de modelado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2023-05-17T16:31:20Z</dcterms:created>
  <dcterms:modified xsi:type="dcterms:W3CDTF">2023-05-17T16:31:20Z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