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Definición</w:t>
      </w:r>
    </w:p>
    <w:p>
      <w:pPr>
        <w:numPr>
          <w:ilvl w:val="1"/>
          <w:numId w:val="100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1"/>
          <w:numId w:val="1003"/>
        </w:numPr>
        <w:pStyle w:val="Compact"/>
      </w:pPr>
      <w:r>
        <w:t xml:space="preserve">PR10.1. Aprobación de inicio y personal FNA asignado a la arquitectura de referencia</w:t>
      </w:r>
    </w:p>
    <w:p>
      <w:pPr>
        <w:numPr>
          <w:ilvl w:val="0"/>
          <w:numId w:val="1002"/>
        </w:numPr>
        <w:pStyle w:val="Compact"/>
      </w:pPr>
      <w:r>
        <w:t xml:space="preserve">Fase 1. Diseño incremento 1 arq. referencia</w:t>
      </w:r>
    </w:p>
    <w:p>
      <w:pPr>
        <w:numPr>
          <w:ilvl w:val="1"/>
          <w:numId w:val="1004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1"/>
          <w:numId w:val="1004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Fase 2. Incremento 1 arq. referencia</w:t>
      </w:r>
    </w:p>
    <w:p>
      <w:pPr>
        <w:numPr>
          <w:ilvl w:val="1"/>
          <w:numId w:val="1005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1"/>
          <w:numId w:val="1005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Fase 3. Optimización arq. referencia</w:t>
      </w:r>
    </w:p>
    <w:p>
      <w:pPr>
        <w:numPr>
          <w:ilvl w:val="1"/>
          <w:numId w:val="1006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Fase 4. Integración SOA</w:t>
      </w:r>
    </w:p>
    <w:p>
      <w:pPr>
        <w:numPr>
          <w:ilvl w:val="1"/>
          <w:numId w:val="1007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1"/>
          <w:numId w:val="1007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8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8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8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9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Depósito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2023-05-15T04:42:18Z</dcterms:created>
  <dcterms:modified xsi:type="dcterms:W3CDTF">2023-05-15T04:42:18Z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