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equipo-base-del-proyecto"/>
    <w:p>
      <w:pPr>
        <w:pStyle w:val="Ttulo4"/>
      </w:pPr>
      <w:r>
        <w:t xml:space="preserve">Equipo Base del Proyecto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05"/>
        <w:gridCol w:w="4217"/>
        <w:gridCol w:w="2262"/>
        <w:gridCol w:w="1234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Trabajo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Dedicación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Director / Gerente proyecto (Stefanini)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Calidad del proyecto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 o 50%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Nota: este recurso puede ser individual, o común entre ambos proyectos del alcance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Especialista SOA o Arquitectura de software (Stefanini)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Referente y vigilancia de implementación y diseños, modelamiento software y servicios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Especialista construcción software, servicios y componentes (Stefanini)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Implementación y vigilancia de implementación y diseños, modelamiento software y servicios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Personal del FNA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Recepción y ejecución de diseños, requerimientos, e implementación, SOA, modelamiento requerimientos, procesos y servicios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 Especialistas de aplicaciones pertenecientes al incremento de versión de la arquitectura FNA (ver Figura3. Aplicaciones de software del FNA involucrados en los incrementos de versión de la arquitectura de referencia)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 Líder funcional de aplicaciones pertenecientes al incremento de versión de la arquitectura FNA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p>
      <w:pPr>
        <w:pStyle w:val="Textoindependiente"/>
      </w:pPr>
      <w:r>
        <w:t xml:space="preserve">(*) La dedicación y horas de participación de los recursos internos la dispone el FNA.</w:t>
      </w:r>
    </w:p>
    <w:p>
      <w:pPr>
        <w:pStyle w:val="Textoindependiente"/>
      </w:pP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2023-09-07T18:00:44Z</dcterms:created>
  <dcterms:modified xsi:type="dcterms:W3CDTF">2023-09-07T18:00:44Z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