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plan-de-trabajo"/>
    <w:p>
      <w:pPr>
        <w:pStyle w:val="Ttulo4"/>
      </w:pPr>
      <w:r>
        <w:t xml:space="preserve">Plan de Trabajo</w:t>
      </w:r>
    </w:p>
    <w:p>
      <w:pPr>
        <w:pStyle w:val="FirstParagraph"/>
      </w:pPr>
      <w:r>
        <w:t xml:space="preserve">Organización de trabajo: el proyecto 2 (PRY02) inicia con la fase de Definición (DEF) en la que amplía en detalle los elementos y tecnologías de la arquitectura de referencia 2.0. Se determina además otros detalles como los elementos de la arquitectura a impactar que terminarán siendo evolucionados en los incrementos siguientes (correspondientes a las fases 2 y 3) de este mismo plan.</w:t>
      </w:r>
    </w:p>
    <w:p>
      <w:pPr>
        <w:pStyle w:val="Figure"/>
      </w:pPr>
      <w:r>
        <w:drawing>
          <wp:inline>
            <wp:extent cx="5600700" cy="426441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pry2arqref2.0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Plan de Implementación del Proyecto Hoja de Ruta E-Service FNA, 2023. Abril 2023 a Dic 2023. Ver 1.0</w:t>
      </w:r>
    </w:p>
    <w:bookmarkEnd w:id="24"/>
    <w:bookmarkStart w:id="25" w:name="fases-del-proyecto"/>
    <w:p>
      <w:pPr>
        <w:pStyle w:val="Ttulo4"/>
      </w:pPr>
      <w:r>
        <w:t xml:space="preserve">Fases del proyecto</w:t>
      </w:r>
    </w:p>
    <w:p>
      <w:pPr>
        <w:pStyle w:val="FirstParagraph"/>
      </w:pPr>
      <w:r>
        <w:t xml:space="preserve">La fase 1 y 2, Diseño e Incremento respectivamente, tienen en realidad dos acciones: el planteamiento de la solución de la arquitectura (detalles tecnológicos), y el de la puesta en marcha de cambios mediante una implementación real de este diseño, al que llamamos arquitectura de referencia 2.0 FNA.</w:t>
      </w:r>
    </w:p>
    <w:p>
      <w:pPr>
        <w:pStyle w:val="Textoindependiente"/>
      </w:pPr>
      <w:r>
        <w:t xml:space="preserve">Las fases 3, Optimización, busca crear y gestionar el inventario de elementos genéricos de aceleración de desarrollo, como funcionalidades, y artefactos de software que cumplan los estándares de la arquitectura de referencia 2.0 definida anteriormente.</w:t>
      </w:r>
    </w:p>
    <w:p>
      <w:pPr>
        <w:pStyle w:val="Textoindependiente"/>
      </w:pPr>
      <w:r>
        <w:t xml:space="preserve">Finalmente, la fase 4 se encarga de ejecutar los indicadores de medición de desempeño de los incrementos de evolución de la arquitectura de referencia 2.0.</w:t>
      </w:r>
    </w:p>
    <w:bookmarkEnd w:id="25"/>
    <w:bookmarkStart w:id="26" w:name="plazo-de-ejecución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El plazo de ejecución, contado desde la firma del contrato y de la autorización de todas las partes, es de 5 meses, o su equivalente en horas</w:t>
      </w:r>
    </w:p>
    <w:p>
      <w:pPr>
        <w:pStyle w:val="SourceCode"/>
      </w:pPr>
      <w:r>
        <w:rPr>
          <w:rStyle w:val="VerbatimChar"/>
        </w:rPr>
        <w:t xml:space="preserve">180 hrs/mes * 5 meses = 910 hrs / hombre proyecto</w:t>
      </w:r>
    </w:p>
    <w:p>
      <w:pPr>
        <w:pStyle w:val="FirstParagraph"/>
      </w:pPr>
    </w:p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2023-05-15T04:52:34Z</dcterms:created>
  <dcterms:modified xsi:type="dcterms:W3CDTF">2023-05-15T04:52:34Z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