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7" w:name="X0f69bcc33b3cc88bc30d61c7ee840611e0ec152"/>
    <w:p>
      <w:pPr>
        <w:pStyle w:val="Ttulo3"/>
      </w:pPr>
      <w:r>
        <w:t xml:space="preserve">PRY03. Estructuración de proyectos posteriores de la hoja de ruta E-Service</w:t>
      </w:r>
    </w:p>
    <w:bookmarkStart w:id="20" w:name="objetivo"/>
    <w:p>
      <w:pPr>
        <w:pStyle w:val="Ttulo4"/>
      </w:pPr>
      <w:r>
        <w:t xml:space="preserve">Objetivo</w:t>
      </w:r>
    </w:p>
    <w:p>
      <w:pPr>
        <w:pStyle w:val="FirstParagraph"/>
      </w:pPr>
      <w:r>
        <w:t xml:space="preserve">Estructurar y detallar los proyectos de cierre de brecha de la hoja de ruta E-Service.</w:t>
      </w:r>
    </w:p>
    <w:bookmarkEnd w:id="20"/>
    <w:bookmarkStart w:id="21" w:name="actividades"/>
    <w:p>
      <w:pPr>
        <w:pStyle w:val="Ttulo4"/>
      </w:pPr>
      <w:r>
        <w:t xml:space="preserve">Actividades</w:t>
      </w:r>
    </w:p>
    <w:p>
      <w:pPr>
        <w:numPr>
          <w:ilvl w:val="0"/>
          <w:numId w:val="1001"/>
        </w:numPr>
        <w:pStyle w:val="Compact"/>
      </w:pPr>
      <w:r>
        <w:t xml:space="preserve">Definición de solución de los proyectos de la hoja de ruta E-Service por implementar</w:t>
      </w:r>
    </w:p>
    <w:p>
      <w:pPr>
        <w:numPr>
          <w:ilvl w:val="0"/>
          <w:numId w:val="1001"/>
        </w:numPr>
        <w:pStyle w:val="Compact"/>
      </w:pPr>
      <w:r>
        <w:t xml:space="preserve">Planificación de las actividades e hitos de los proyectos de la hoja de ruta E-Service</w:t>
      </w:r>
    </w:p>
    <w:p>
      <w:pPr>
        <w:numPr>
          <w:ilvl w:val="0"/>
          <w:numId w:val="1001"/>
        </w:numPr>
        <w:pStyle w:val="Compact"/>
      </w:pPr>
      <w:r>
        <w:t xml:space="preserve">Alistamiento de ejecución de los proyectos de la hoja de ruta por implementar: recursos y equipo de trabajo</w:t>
      </w:r>
    </w:p>
    <w:p>
      <w:pPr>
        <w:numPr>
          <w:ilvl w:val="0"/>
          <w:numId w:val="1001"/>
        </w:numPr>
        <w:pStyle w:val="Compact"/>
      </w:pPr>
      <w:r>
        <w:t xml:space="preserve">Aprobación de inicio de los proyectos de la hoja de ruta</w:t>
      </w:r>
    </w:p>
    <w:bookmarkEnd w:id="21"/>
    <w:bookmarkStart w:id="22" w:name="fases-y-entregables"/>
    <w:p>
      <w:pPr>
        <w:pStyle w:val="Ttulo4"/>
      </w:pPr>
      <w:r>
        <w:t xml:space="preserve">Fases y Entregables</w:t>
      </w:r>
    </w:p>
    <w:p>
      <w:pPr>
        <w:numPr>
          <w:ilvl w:val="0"/>
          <w:numId w:val="1002"/>
        </w:numPr>
        <w:pStyle w:val="Compact"/>
      </w:pPr>
      <w:r>
        <w:t xml:space="preserve">Fase 0. Levantamiento</w:t>
      </w:r>
    </w:p>
    <w:p>
      <w:pPr>
        <w:numPr>
          <w:ilvl w:val="1"/>
          <w:numId w:val="1003"/>
        </w:numPr>
        <w:pStyle w:val="Compact"/>
      </w:pPr>
      <w:r>
        <w:t xml:space="preserve">PR20. Documentación de estructuración y gestión de proyectos hoja de ruta E-Service por implementar</w:t>
      </w:r>
    </w:p>
    <w:p>
      <w:pPr>
        <w:numPr>
          <w:ilvl w:val="1"/>
          <w:numId w:val="1003"/>
        </w:numPr>
        <w:pStyle w:val="Compact"/>
      </w:pPr>
      <w:r>
        <w:t xml:space="preserve">PR20.1. Aprobación de inicio y personal asignado al proyecto de hoja de ruta E-Service</w:t>
      </w:r>
    </w:p>
    <w:p>
      <w:pPr>
        <w:numPr>
          <w:ilvl w:val="0"/>
          <w:numId w:val="1002"/>
        </w:numPr>
        <w:pStyle w:val="Compact"/>
      </w:pPr>
      <w:r>
        <w:t xml:space="preserve">Fase 1. Definición de soluciones brechas</w:t>
      </w:r>
    </w:p>
    <w:p>
      <w:pPr>
        <w:numPr>
          <w:ilvl w:val="1"/>
          <w:numId w:val="1004"/>
        </w:numPr>
        <w:pStyle w:val="Compact"/>
      </w:pPr>
      <w:r>
        <w:t xml:space="preserve">PR22. Plan de trabajo de los proyectos de la hoja de ruta E-Service</w:t>
      </w:r>
    </w:p>
    <w:p>
      <w:pPr>
        <w:numPr>
          <w:ilvl w:val="1"/>
          <w:numId w:val="1004"/>
        </w:numPr>
        <w:pStyle w:val="Compact"/>
      </w:pPr>
      <w:r>
        <w:t xml:space="preserve">PR23. Listados de recursos, roles y personas requeridas por los proyectos de la hoja de ruta E-Service</w:t>
      </w:r>
    </w:p>
    <w:p>
      <w:pPr>
        <w:numPr>
          <w:ilvl w:val="1"/>
          <w:numId w:val="1004"/>
        </w:numPr>
        <w:pStyle w:val="Compact"/>
      </w:pPr>
      <w:r>
        <w:t xml:space="preserve">PR24. Arquitectura de solución de los proyectos de cierre de brecha</w:t>
      </w:r>
    </w:p>
    <w:p>
      <w:pPr>
        <w:numPr>
          <w:ilvl w:val="0"/>
          <w:numId w:val="1002"/>
        </w:numPr>
        <w:pStyle w:val="Compact"/>
      </w:pPr>
      <w:r>
        <w:t xml:space="preserve">Fase 2. Estructuración proyectos. Incremento 1</w:t>
      </w:r>
    </w:p>
    <w:p>
      <w:pPr>
        <w:numPr>
          <w:ilvl w:val="1"/>
          <w:numId w:val="1005"/>
        </w:numPr>
        <w:pStyle w:val="Compact"/>
      </w:pPr>
      <w:r>
        <w:t xml:space="preserve">PR25. Ficha de proyectos hoja de ruta E-Service. Incremento 1</w:t>
      </w:r>
    </w:p>
    <w:p>
      <w:pPr>
        <w:numPr>
          <w:ilvl w:val="0"/>
          <w:numId w:val="1002"/>
        </w:numPr>
        <w:pStyle w:val="Compact"/>
      </w:pPr>
      <w:r>
        <w:t xml:space="preserve">Fase 3. Estructuración proyectos. Incremento 2</w:t>
      </w:r>
    </w:p>
    <w:p>
      <w:pPr>
        <w:numPr>
          <w:ilvl w:val="1"/>
          <w:numId w:val="1006"/>
        </w:numPr>
        <w:pStyle w:val="Compact"/>
      </w:pPr>
      <w:r>
        <w:t xml:space="preserve">PR26. Ficha de proyectos hoja de ruta E-Service. Incremento 2</w:t>
      </w:r>
    </w:p>
    <w:bookmarkEnd w:id="22"/>
    <w:bookmarkStart w:id="23" w:name="plazo-de-ejecución"/>
    <w:p>
      <w:pPr>
        <w:pStyle w:val="Ttulo4"/>
      </w:pPr>
      <w:r>
        <w:t xml:space="preserve">Plazo de Ejecución</w:t>
      </w:r>
    </w:p>
    <w:p>
      <w:pPr>
        <w:pStyle w:val="FirstParagraph"/>
      </w:pPr>
      <w:r>
        <w:t xml:space="preserve">4 meses, iniciado a partir del mes de mayo del 2023 (ver Plan de Ejecución PRY03 más adelante).</w:t>
      </w:r>
    </w:p>
    <w:bookmarkEnd w:id="23"/>
    <w:bookmarkStart w:id="24" w:name="impacto-beneficio"/>
    <w:p>
      <w:pPr>
        <w:pStyle w:val="Ttulo4"/>
      </w:pPr>
      <w:r>
        <w:t xml:space="preserve">Impacto / Beneficio</w:t>
      </w:r>
    </w:p>
    <w:p>
      <w:pPr>
        <w:numPr>
          <w:ilvl w:val="0"/>
          <w:numId w:val="1007"/>
        </w:numPr>
        <w:pStyle w:val="Compact"/>
      </w:pPr>
      <w:r>
        <w:t xml:space="preserve">Preparativos que logren la aprobación de la ejecución de los proyectos de cierre de brecha de las debilidades de arquitectura FNA.​</w:t>
      </w:r>
    </w:p>
    <w:bookmarkEnd w:id="24"/>
    <w:bookmarkStart w:id="25" w:name="actores"/>
    <w:p>
      <w:pPr>
        <w:pStyle w:val="Ttulo4"/>
      </w:pPr>
      <w:r>
        <w:t xml:space="preserve">Actores</w:t>
      </w:r>
    </w:p>
    <w:p>
      <w:pPr>
        <w:numPr>
          <w:ilvl w:val="0"/>
          <w:numId w:val="1008"/>
        </w:numPr>
        <w:pStyle w:val="Compact"/>
      </w:pPr>
      <w:r>
        <w:t xml:space="preserve">Comité de gobierno del FNA</w:t>
      </w:r>
    </w:p>
    <w:p>
      <w:pPr>
        <w:numPr>
          <w:ilvl w:val="0"/>
          <w:numId w:val="1008"/>
        </w:numPr>
        <w:pStyle w:val="Compact"/>
      </w:pPr>
      <w:r>
        <w:t xml:space="preserve">Oficina de arquitectura FNA</w:t>
      </w:r>
    </w:p>
    <w:p>
      <w:pPr>
        <w:numPr>
          <w:ilvl w:val="0"/>
          <w:numId w:val="1008"/>
        </w:numPr>
        <w:pStyle w:val="Compact"/>
      </w:pPr>
      <w:r>
        <w:t xml:space="preserve">Personal FNA asociado por proyecto (infraestructura, Crédito, Datos, etc.)</w:t>
      </w:r>
    </w:p>
    <w:bookmarkEnd w:id="25"/>
    <w:bookmarkStart w:id="26" w:name="consideraciones"/>
    <w:p>
      <w:pPr>
        <w:pStyle w:val="Ttulo4"/>
      </w:pPr>
      <w:r>
        <w:t xml:space="preserve">Consideraciones</w:t>
      </w:r>
    </w:p>
    <w:p>
      <w:pPr>
        <w:numPr>
          <w:ilvl w:val="0"/>
          <w:numId w:val="1009"/>
        </w:numPr>
        <w:pStyle w:val="Compact"/>
      </w:pPr>
      <w:r>
        <w:t xml:space="preserve">MEGA: depósito centralizado de arquitectura del FNA</w:t>
      </w:r>
    </w:p>
    <w:p>
      <w:pPr>
        <w:numPr>
          <w:ilvl w:val="0"/>
          <w:numId w:val="1009"/>
        </w:numPr>
        <w:pStyle w:val="Compact"/>
      </w:pPr>
      <w:r>
        <w:t xml:space="preserve">Depósito documental</w:t>
      </w:r>
    </w:p>
    <w:p>
      <w:pPr>
        <w:numPr>
          <w:ilvl w:val="0"/>
          <w:numId w:val="1009"/>
        </w:numPr>
        <w:pStyle w:val="Compact"/>
      </w:pPr>
      <w:r>
        <w:t xml:space="preserve">Herramientas de gestión de proyectos de tecnología</w:t>
      </w:r>
    </w:p>
    <w:p>
      <w:pPr>
        <w:pStyle w:val="FirstParagraph"/>
      </w:pPr>
    </w:p>
    <w:bookmarkEnd w:id="26"/>
    <w:bookmarkEnd w:id="27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2023-05-17T16:31:22Z</dcterms:created>
  <dcterms:modified xsi:type="dcterms:W3CDTF">2023-05-17T16:31:22Z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