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0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plan-de-trabajo"/>
    <w:p>
      <w:pPr>
        <w:pStyle w:val="Ttulo4"/>
      </w:pPr>
      <w:r>
        <w:t xml:space="preserve">Plan de Trabajo</w:t>
      </w:r>
    </w:p>
    <w:p>
      <w:pPr>
        <w:pStyle w:val="FirstParagraph"/>
      </w:pPr>
      <w:r>
        <w:t xml:space="preserve">Organización de trabajo: el proyecto 3 (PRY03) inicia con la fase de Levantamiento (LVT) de los proyectos por implementar de la hoja de ruta E-Service, en coordinación con las áreas de negocio y tecnología del FNA involucradas en cada proyecto. Se determinan los detalles de los elementos de la arquitectura a impactar.</w:t>
      </w:r>
    </w:p>
    <w:p>
      <w:pPr>
        <w:pStyle w:val="Figure"/>
      </w:pPr>
      <w:r>
        <w:drawing>
          <wp:inline>
            <wp:extent cx="5600700" cy="5712218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ry3estructuracion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57122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3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Plan de Implementación del Proyecto Hoja de Ruta E-Service FNA, 2023. Abril 2023 a Dic 2023.</w:t>
      </w:r>
    </w:p>
    <w:bookmarkEnd w:id="24"/>
    <w:bookmarkStart w:id="25" w:name="fases-del-proyecto"/>
    <w:p>
      <w:pPr>
        <w:pStyle w:val="Ttulo4"/>
      </w:pPr>
      <w:r>
        <w:t xml:space="preserve">Fases del proyecto</w:t>
      </w:r>
    </w:p>
    <w:p>
      <w:pPr>
        <w:pStyle w:val="FirstParagraph"/>
      </w:pPr>
      <w:r>
        <w:t xml:space="preserve">Las fases 1 detalla las soluciones de los proyectos de cierre de brechas que confirman la hoja de ruta E-Service por implementar. Trata de los componentes, partes de la arquitectura de referencia 2.0, herramientas, métodos, diseños y tecnologías requeridas para la implementación y ejecución de dichos proyectos de cierre de brecha.</w:t>
      </w:r>
    </w:p>
    <w:p>
      <w:pPr>
        <w:pStyle w:val="Textoindependiente"/>
      </w:pPr>
      <w:r>
        <w:t xml:space="preserve">Las fases 2 y 3, de estructuración, agregan la información de la organización, ejecución y seguimiento de los proyectos de solución definidos en la fase anterior.</w:t>
      </w:r>
    </w:p>
    <w:bookmarkEnd w:id="25"/>
    <w:bookmarkStart w:id="26" w:name="plazo-de-ejecución"/>
    <w:p>
      <w:pPr>
        <w:pStyle w:val="Ttulo4"/>
      </w:pPr>
      <w:r>
        <w:t xml:space="preserve">Plazo de Ejecución</w:t>
      </w:r>
    </w:p>
    <w:p>
      <w:pPr>
        <w:pStyle w:val="FirstParagraph"/>
      </w:pPr>
      <w:r>
        <w:t xml:space="preserve">El plazo de ejecución, contado desde la firma del contrato y de la autorización de todas las partes, es de 4 meses, o su equivalente en horas</w:t>
      </w:r>
    </w:p>
    <w:p>
      <w:pPr>
        <w:pStyle w:val="SourceCode"/>
      </w:pPr>
      <w:r>
        <w:rPr>
          <w:rStyle w:val="VerbatimChar"/>
        </w:rPr>
        <w:t xml:space="preserve">180 hrs/mes * 4 meses = 720 hrs / hombre proyecto</w:t>
      </w:r>
    </w:p>
    <w:p>
      <w:pPr>
        <w:pStyle w:val="FirstParagraph"/>
      </w:pPr>
    </w:p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0" Target="media/rId20.jpg" /><Relationship Type="http://schemas.openxmlformats.org/officeDocument/2006/relationships/hyperlink" Id="rId23" Target="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2023-05-15T04:42:19Z</dcterms:created>
  <dcterms:modified xsi:type="dcterms:W3CDTF">2023-05-15T04:42:19Z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