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3 (PRY03) inicia con la fase de Levantamiento (LVT) de los proyectos por implementar de la hoja de ruta E-Service, en coordinación con las áreas de negocio y tecnología del FNA involucradas en cada proyecto. Se determinan los detalles de los elementos de la arquitectura a impactar.</w:t>
      </w:r>
    </w:p>
    <w:p>
      <w:pPr>
        <w:pStyle w:val="Figure"/>
      </w:pPr>
      <w:r>
        <w:drawing>
          <wp:inline>
            <wp:extent cx="5600700" cy="571221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3estructuracio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712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Las fases 1 detalla las soluciones de los proyectos de cierre de brechas que confirman la hoja de ruta E-Service por implementar. Trata de los componentes, partes de la arquitectura de referencia 2.0, herramientas, métodos, diseños y tecnologías requeridas para la implementación y ejecución de dichos proyectos de cierre de brecha.</w:t>
      </w:r>
    </w:p>
    <w:p>
      <w:pPr>
        <w:pStyle w:val="Textoindependiente"/>
      </w:pPr>
      <w:r>
        <w:t xml:space="preserve">Las fases 2 y 3, de estructuración, agregan la información de la organización, ejecución y seguimiento de los proyectos de solución definidos en la fase anterior.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4 meses, o su equivalente en horas</w:t>
      </w:r>
    </w:p>
    <w:p>
      <w:pPr>
        <w:pStyle w:val="SourceCode"/>
      </w:pPr>
      <w:r>
        <w:rPr>
          <w:rStyle w:val="VerbatimChar"/>
        </w:rPr>
        <w:t xml:space="preserve">180 hrs/mes * 4 meses = 720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2023-09-08T19:04:20Z</dcterms:created>
  <dcterms:modified xsi:type="dcterms:W3CDTF">2023-09-08T19:04:20Z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