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f7cf1265dfb6d766688087e018536165e14a4a0"/>
    <w:p>
      <w:pPr>
        <w:pStyle w:val="Ttulo2"/>
      </w:pPr>
      <w:r>
        <w:t xml:space="preserve">Componentes de la Arquitectura FNA Impactados</w:t>
      </w:r>
    </w:p>
    <w:p>
      <w:pPr>
        <w:pStyle w:val="FirstParagraph"/>
      </w:pPr>
      <w:r>
        <w:t xml:space="preserve">Los aumentos de versión de la arquitectura SOA del FNA implica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implementación de hoja de ruta E-Service, período 2023, presentamos a continuación una lista de aplicaciones de software que pueden llegar a cambiar (otros ítems se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itemsarq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2023-04-12T15:34:33Z</dcterms:created>
  <dcterms:modified xsi:type="dcterms:W3CDTF">2023-04-12T15:34:33Z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