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sideraciones"/>
    <w:p>
      <w:pPr>
        <w:pStyle w:val="Ttulo2"/>
      </w:pPr>
      <w:r>
        <w:t xml:space="preserve">Consideraciones</w:t>
      </w:r>
    </w:p>
    <w:p>
      <w:pPr>
        <w:numPr>
          <w:ilvl w:val="0"/>
          <w:numId w:val="1001"/>
        </w:numPr>
        <w:pStyle w:val="Compact"/>
      </w:pPr>
      <w:r>
        <w:t xml:space="preserve">Las restricciones de tiempo, esfuerzo y productos de los proyectos del alcance de esta propuesta deben ser precisadas y aprobadas en la fases de levantamiento (fase 0) respectivas.</w:t>
      </w:r>
    </w:p>
    <w:p>
      <w:pPr>
        <w:numPr>
          <w:ilvl w:val="0"/>
          <w:numId w:val="1001"/>
        </w:numPr>
        <w:pStyle w:val="Compact"/>
      </w:pPr>
      <w:r>
        <w:t xml:space="preserve">Mega es la herramienta de gestión del repositorio continuo de arquitectura del FNA.</w:t>
      </w:r>
    </w:p>
    <w:p>
      <w:pPr>
        <w:numPr>
          <w:ilvl w:val="0"/>
          <w:numId w:val="1001"/>
        </w:numPr>
        <w:pStyle w:val="Compact"/>
      </w:pPr>
      <w:r>
        <w:t xml:space="preserve">Los diseños y modelos de arquitectura deben seguir el estándar XMI, por tanto, otras herramientas que se adhieran este podrán complementar el repositorio de arquitectura.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2023-09-18T16:31:25Z</dcterms:created>
  <dcterms:modified xsi:type="dcterms:W3CDTF">2023-09-18T16:31:25Z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