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63.jpg" ContentType="image/jpeg"/>
  <Override PartName="/word/media/rId48.jpg" ContentType="image/jpeg"/>
  <Override PartName="/word/media/rId7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hwong23/e-service@11a92c9</w:t>
        </w:r>
      </w:hyperlink>
      <w:r>
        <w:t xml:space="preserve"> </w:t>
      </w:r>
      <w:r>
        <w:t xml:space="preserve">del September 12,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11a92c9 del 12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81"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mediante la ejecución de sus funciones y responsabilidades.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2e18754d-045d-43de-b9aa-7a8546d2d2b3"/>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justificación-de-la-propuesta"/>
    <w:p>
      <w:pPr>
        <w:pStyle w:val="Ttulo2"/>
      </w:pPr>
      <w:r>
        <w:t xml:space="preserve">Justificación de la Propuesta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críticas​</w:t>
      </w:r>
    </w:p>
    <w:p>
      <w:pPr>
        <w:numPr>
          <w:ilvl w:val="0"/>
          <w:numId w:val="1003"/>
        </w:numPr>
        <w:pStyle w:val="Compact"/>
      </w:pPr>
      <w:r>
        <w:t xml:space="preserve">Oficina de arquitectura FNA​</w:t>
      </w:r>
    </w:p>
    <w:p>
      <w:pPr>
        <w:numPr>
          <w:ilvl w:val="0"/>
          <w:numId w:val="1003"/>
        </w:numPr>
        <w:pStyle w:val="Compact"/>
      </w:pPr>
      <w:r>
        <w:t xml:space="preserve">Consultores y equipo de apoyo​</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Herramientas de modelado colaborativo, Archimate</w:t>
      </w:r>
    </w:p>
    <w:p>
      <w:pPr>
        <w:numPr>
          <w:ilvl w:val="0"/>
          <w:numId w:val="1005"/>
        </w:numPr>
        <w:pStyle w:val="Compact"/>
      </w:pPr>
      <w:r>
        <w:t xml:space="preserve">Herramientas de generación de documentos, jArchi</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w:t>
      </w:r>
      <w:r>
        <w:t xml:space="preserve"> </w:t>
      </w:r>
      <w:r>
        <w:t xml:space="preserve">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Este alcance implica la planeación, ejecución y seguimiento de los actividades y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bookmarkEnd w:id="42"/>
    <w:bookmarkStart w:id="47"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p>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End w:id="47"/>
    <w:bookmarkStart w:id="70"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49" name="Picture"/>
            <a:graphic>
              <a:graphicData uri="http://schemas.openxmlformats.org/drawingml/2006/picture">
                <pic:pic>
                  <pic:nvPicPr>
                    <pic:cNvPr descr="images/vistaevolarquitectura.jpg" id="50" name="Picture"/>
                    <pic:cNvPicPr>
                      <a:picLocks noChangeArrowheads="1" noChangeAspect="1"/>
                    </pic:cNvPicPr>
                  </pic:nvPicPr>
                  <pic:blipFill>
                    <a:blip r:embed="rId48"/>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51">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52"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52"/>
    <w:bookmarkStart w:id="53"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53"/>
    <w:bookmarkStart w:id="69" w:name="X4838e6494863abce2e8c14cbc15f9f8015801ad"/>
    <w:p>
      <w:pPr>
        <w:pStyle w:val="Ttulo3"/>
      </w:pPr>
      <w:r>
        <w:t xml:space="preserve">PRY01. Gobierno SOA FNA: dominio de aplicaciones y servicios</w:t>
      </w:r>
    </w:p>
    <w:bookmarkStart w:id="54"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p>
      <w:pPr>
        <w:pStyle w:val="Textoindependiente"/>
      </w:pPr>
    </w:p>
    <w:bookmarkEnd w:id="54"/>
    <w:bookmarkStart w:id="55" w:name="alcance"/>
    <w:p>
      <w:pPr>
        <w:pStyle w:val="Ttulo4"/>
      </w:pPr>
      <w:r>
        <w:t xml:space="preserve">Alcance</w:t>
      </w:r>
    </w:p>
    <w:p>
      <w:pPr>
        <w:numPr>
          <w:ilvl w:val="0"/>
          <w:numId w:val="1007"/>
        </w:numPr>
        <w:pStyle w:val="Compact"/>
      </w:pPr>
      <w:r>
        <w:t xml:space="preserve">Crear e institucionalizar el comité de gobierno SOA del FNA</w:t>
      </w:r>
    </w:p>
    <w:p>
      <w:pPr>
        <w:numPr>
          <w:ilvl w:val="0"/>
          <w:numId w:val="1007"/>
        </w:numPr>
        <w:pStyle w:val="Compact"/>
      </w:pPr>
      <w:r>
        <w:t xml:space="preserve">Definir los roles y responsabilidades para la instalación del comité</w:t>
      </w:r>
    </w:p>
    <w:p>
      <w:pPr>
        <w:numPr>
          <w:ilvl w:val="0"/>
          <w:numId w:val="1007"/>
        </w:numPr>
        <w:pStyle w:val="Compact"/>
      </w:pPr>
      <w:r>
        <w:t xml:space="preserve">Elaborar los lineamientos, políticas y procesos de gobierno SOA del FNA</w:t>
      </w:r>
    </w:p>
    <w:p>
      <w:pPr>
        <w:numPr>
          <w:ilvl w:val="0"/>
          <w:numId w:val="1007"/>
        </w:numPr>
        <w:pStyle w:val="Compact"/>
      </w:pPr>
      <w:r>
        <w:t xml:space="preserve">Medir las decisiones de gobierno sobre la arquitectura y el proceso de desarrollo de soluciones SOA</w:t>
      </w:r>
    </w:p>
    <w:bookmarkEnd w:id="55"/>
    <w:bookmarkStart w:id="56" w:name="actividades"/>
    <w:p>
      <w:pPr>
        <w:pStyle w:val="Ttulo4"/>
      </w:pPr>
      <w:r>
        <w:t xml:space="preserve">Actividades</w:t>
      </w:r>
    </w:p>
    <w:p>
      <w:pPr>
        <w:numPr>
          <w:ilvl w:val="0"/>
          <w:numId w:val="1008"/>
        </w:numPr>
        <w:pStyle w:val="Compact"/>
      </w:pPr>
      <w:r>
        <w:t xml:space="preserve">Generar lineamientos y políticas de gobierno SOA</w:t>
      </w:r>
    </w:p>
    <w:p>
      <w:pPr>
        <w:numPr>
          <w:ilvl w:val="0"/>
          <w:numId w:val="1008"/>
        </w:numPr>
        <w:pStyle w:val="Compact"/>
      </w:pPr>
      <w:r>
        <w:t xml:space="preserve">Aplicar y fortalecer gobierno SOA en el FNA</w:t>
      </w:r>
    </w:p>
    <w:p>
      <w:pPr>
        <w:numPr>
          <w:ilvl w:val="0"/>
          <w:numId w:val="1008"/>
        </w:numPr>
        <w:pStyle w:val="Compact"/>
      </w:pPr>
      <w:r>
        <w:t xml:space="preserve">Relacionar el gobierno SOA con gestión de modelos y repositorio de arquitectura del FNA</w:t>
      </w:r>
    </w:p>
    <w:p>
      <w:pPr>
        <w:numPr>
          <w:ilvl w:val="0"/>
          <w:numId w:val="1008"/>
        </w:numPr>
        <w:pStyle w:val="Compact"/>
      </w:pPr>
      <w:r>
        <w:t xml:space="preserve">Medir las decisiones de arquitectura y del proceso de desarrollo de las soluciones SOA</w:t>
      </w:r>
    </w:p>
    <w:bookmarkEnd w:id="56"/>
    <w:bookmarkStart w:id="57" w:name="fases-y-entregables"/>
    <w:p>
      <w:pPr>
        <w:pStyle w:val="Ttulo4"/>
      </w:pPr>
      <w:r>
        <w:t xml:space="preserve">Fases y Entregables</w:t>
      </w:r>
    </w:p>
    <w:p>
      <w:pPr>
        <w:numPr>
          <w:ilvl w:val="0"/>
          <w:numId w:val="1009"/>
        </w:numPr>
        <w:pStyle w:val="Compact"/>
      </w:pPr>
      <w:r>
        <w:t xml:space="preserve">Fase 0. Definición</w:t>
      </w:r>
    </w:p>
    <w:p>
      <w:pPr>
        <w:numPr>
          <w:ilvl w:val="1"/>
          <w:numId w:val="1010"/>
        </w:numPr>
        <w:pStyle w:val="Compact"/>
      </w:pPr>
      <w:r>
        <w:t xml:space="preserve">PR01. Detalle de los ítems de arquitectura impactados por el proyecto</w:t>
      </w:r>
    </w:p>
    <w:p>
      <w:pPr>
        <w:numPr>
          <w:ilvl w:val="1"/>
          <w:numId w:val="1010"/>
        </w:numPr>
        <w:pStyle w:val="Compact"/>
      </w:pPr>
      <w:r>
        <w:t xml:space="preserve">PR01.1. Aprobación de inicio y personal FNA asignado Gobierno SOA</w:t>
      </w:r>
    </w:p>
    <w:p>
      <w:pPr>
        <w:numPr>
          <w:ilvl w:val="0"/>
          <w:numId w:val="1009"/>
        </w:numPr>
        <w:pStyle w:val="Compact"/>
      </w:pPr>
      <w:r>
        <w:t xml:space="preserve">Fase 1. Definición gobierno</w:t>
      </w:r>
    </w:p>
    <w:p>
      <w:pPr>
        <w:numPr>
          <w:ilvl w:val="1"/>
          <w:numId w:val="1011"/>
        </w:numPr>
        <w:pStyle w:val="Compact"/>
      </w:pPr>
      <w:r>
        <w:t xml:space="preserve">PR02. Detalle de los recursos, herramientas, roles, responsabilidades y participantes</w:t>
      </w:r>
    </w:p>
    <w:p>
      <w:pPr>
        <w:numPr>
          <w:ilvl w:val="1"/>
          <w:numId w:val="1011"/>
        </w:numPr>
        <w:pStyle w:val="Compact"/>
      </w:pPr>
      <w:r>
        <w:t xml:space="preserve">PR03. Diseño de los procesos y responsabilidades del comité de gobierno</w:t>
      </w:r>
    </w:p>
    <w:p>
      <w:pPr>
        <w:numPr>
          <w:ilvl w:val="0"/>
          <w:numId w:val="1009"/>
        </w:numPr>
        <w:pStyle w:val="Compact"/>
      </w:pPr>
      <w:r>
        <w:t xml:space="preserve">Fase 2. Ejecución gobierno. Incremento 1</w:t>
      </w:r>
    </w:p>
    <w:p>
      <w:pPr>
        <w:numPr>
          <w:ilvl w:val="1"/>
          <w:numId w:val="1012"/>
        </w:numPr>
        <w:pStyle w:val="Compact"/>
      </w:pPr>
      <w:r>
        <w:t xml:space="preserve">PR04. Definición de roles y responsabilidades y selección e instalación del comité</w:t>
      </w:r>
    </w:p>
    <w:p>
      <w:pPr>
        <w:numPr>
          <w:ilvl w:val="1"/>
          <w:numId w:val="1012"/>
        </w:numPr>
        <w:pStyle w:val="Compact"/>
      </w:pPr>
      <w:r>
        <w:t xml:space="preserve">PR05. Procesos de mejoramiento de diseño y vigilancia de riesgos técnicos</w:t>
      </w:r>
    </w:p>
    <w:p>
      <w:pPr>
        <w:numPr>
          <w:ilvl w:val="0"/>
          <w:numId w:val="1009"/>
        </w:numPr>
        <w:pStyle w:val="Compact"/>
      </w:pPr>
      <w:r>
        <w:t xml:space="preserve">Fase 3. Ejecución gobierno. Incremento 2</w:t>
      </w:r>
    </w:p>
    <w:p>
      <w:pPr>
        <w:numPr>
          <w:ilvl w:val="1"/>
          <w:numId w:val="1013"/>
        </w:numPr>
        <w:pStyle w:val="Compact"/>
      </w:pPr>
      <w:r>
        <w:t xml:space="preserve">PR06. Modelos actualizados de los ítems de arquitectura impactados por el proyecto</w:t>
      </w:r>
    </w:p>
    <w:p>
      <w:pPr>
        <w:numPr>
          <w:ilvl w:val="0"/>
          <w:numId w:val="1009"/>
        </w:numPr>
        <w:pStyle w:val="Compact"/>
      </w:pPr>
      <w:r>
        <w:t xml:space="preserve">Fase 4. Integración gobierno</w:t>
      </w:r>
    </w:p>
    <w:p>
      <w:pPr>
        <w:numPr>
          <w:ilvl w:val="1"/>
          <w:numId w:val="1014"/>
        </w:numPr>
        <w:pStyle w:val="Compact"/>
      </w:pPr>
      <w:r>
        <w:t xml:space="preserve">PR07. Métricas de efectividad del gobierno</w:t>
      </w:r>
    </w:p>
    <w:bookmarkEnd w:id="57"/>
    <w:bookmarkStart w:id="58" w:name="plazo-de-ejecución"/>
    <w:p>
      <w:pPr>
        <w:pStyle w:val="Ttulo4"/>
      </w:pPr>
      <w:r>
        <w:t xml:space="preserve">Plazo de Ejecución</w:t>
      </w:r>
    </w:p>
    <w:p>
      <w:pPr>
        <w:pStyle w:val="FirstParagraph"/>
      </w:pPr>
      <w:r>
        <w:t xml:space="preserve">3 meses, iniciado a partir del mes de mayo del 2023 (ver Plan de Ejecución PRY01, más adelante).</w:t>
      </w:r>
    </w:p>
    <w:bookmarkEnd w:id="58"/>
    <w:bookmarkStart w:id="59" w:name="impacto-beneficio-1"/>
    <w:p>
      <w:pPr>
        <w:pStyle w:val="Ttulo4"/>
      </w:pPr>
      <w:r>
        <w:t xml:space="preserve">Impacto / Beneficio</w:t>
      </w:r>
    </w:p>
    <w:p>
      <w:pPr>
        <w:numPr>
          <w:ilvl w:val="0"/>
          <w:numId w:val="1015"/>
        </w:numPr>
        <w:pStyle w:val="Compact"/>
      </w:pPr>
      <w:r>
        <w:t xml:space="preserve">Lineamientos claros, libres de ambigüedad que permitan guiar y medir la evolución de la arquitectura SOA 2.0 en la organización</w:t>
      </w:r>
    </w:p>
    <w:p>
      <w:pPr>
        <w:numPr>
          <w:ilvl w:val="0"/>
          <w:numId w:val="1015"/>
        </w:numPr>
        <w:pStyle w:val="Compact"/>
      </w:pPr>
      <w:r>
        <w:t xml:space="preserve">Fuente única de planeación y control de las soluciones de software del FNA</w:t>
      </w:r>
    </w:p>
    <w:p>
      <w:pPr>
        <w:numPr>
          <w:ilvl w:val="0"/>
          <w:numId w:val="1015"/>
        </w:numPr>
        <w:pStyle w:val="Compact"/>
      </w:pPr>
      <w:r>
        <w:t xml:space="preserve">Vigilancia del cumplimiento de los niveles de servicio de las soluciones SOA​</w:t>
      </w:r>
    </w:p>
    <w:bookmarkEnd w:id="59"/>
    <w:bookmarkStart w:id="60" w:name="actores-1"/>
    <w:p>
      <w:pPr>
        <w:pStyle w:val="Ttulo4"/>
      </w:pPr>
      <w:r>
        <w:t xml:space="preserve">Actores</w:t>
      </w:r>
    </w:p>
    <w:p>
      <w:pPr>
        <w:numPr>
          <w:ilvl w:val="0"/>
          <w:numId w:val="1016"/>
        </w:numPr>
        <w:pStyle w:val="Compact"/>
      </w:pPr>
      <w:r>
        <w:t xml:space="preserve">Comité de gobierno del FNA</w:t>
      </w:r>
    </w:p>
    <w:p>
      <w:pPr>
        <w:numPr>
          <w:ilvl w:val="0"/>
          <w:numId w:val="1016"/>
        </w:numPr>
        <w:pStyle w:val="Compact"/>
      </w:pPr>
      <w:r>
        <w:t xml:space="preserve">Oficina de arquitectura FNA</w:t>
      </w:r>
    </w:p>
    <w:p>
      <w:pPr>
        <w:numPr>
          <w:ilvl w:val="0"/>
          <w:numId w:val="1016"/>
        </w:numPr>
        <w:pStyle w:val="Compact"/>
      </w:pPr>
      <w:r>
        <w:t xml:space="preserve">Comité asesor </w:t>
      </w:r>
    </w:p>
    <w:bookmarkEnd w:id="60"/>
    <w:bookmarkStart w:id="61" w:name="consideraciones"/>
    <w:p>
      <w:pPr>
        <w:pStyle w:val="Ttulo4"/>
      </w:pPr>
      <w:r>
        <w:t xml:space="preserve">Consideraciones</w:t>
      </w:r>
    </w:p>
    <w:p>
      <w:pPr>
        <w:numPr>
          <w:ilvl w:val="0"/>
          <w:numId w:val="1017"/>
        </w:numPr>
        <w:pStyle w:val="Compact"/>
      </w:pPr>
      <w:r>
        <w:t xml:space="preserve">MEGA: depósito centralizado de arquitectura del FNA</w:t>
      </w:r>
    </w:p>
    <w:p>
      <w:pPr>
        <w:numPr>
          <w:ilvl w:val="0"/>
          <w:numId w:val="1017"/>
        </w:numPr>
        <w:pStyle w:val="Compact"/>
      </w:pPr>
      <w:r>
        <w:t xml:space="preserve">Depósito documental</w:t>
      </w:r>
    </w:p>
    <w:p>
      <w:pPr>
        <w:numPr>
          <w:ilvl w:val="0"/>
          <w:numId w:val="1017"/>
        </w:numPr>
        <w:pStyle w:val="Compact"/>
      </w:pPr>
      <w:r>
        <w:t xml:space="preserve">Herramientas de gestión de arquitectura</w:t>
      </w:r>
    </w:p>
    <w:p>
      <w:pPr>
        <w:numPr>
          <w:ilvl w:val="0"/>
          <w:numId w:val="1017"/>
        </w:numPr>
        <w:pStyle w:val="Compact"/>
      </w:pPr>
      <w:r>
        <w:t xml:space="preserve">Herramientas de gestión de proyectos de tecnología</w:t>
      </w:r>
    </w:p>
    <w:p>
      <w:pPr>
        <w:pStyle w:val="FirstParagraph"/>
      </w:pPr>
    </w:p>
    <w:bookmarkEnd w:id="61"/>
    <w:bookmarkStart w:id="62"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119"/>
        <w:gridCol w:w="3661"/>
        <w:gridCol w:w="3661"/>
        <w:gridCol w:w="477"/>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62"/>
    <w:bookmarkStart w:id="66"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64" name="Picture"/>
            <a:graphic>
              <a:graphicData uri="http://schemas.openxmlformats.org/drawingml/2006/picture">
                <pic:pic>
                  <pic:nvPicPr>
                    <pic:cNvPr descr="images/pry1gobierno.jpg" id="65" name="Picture"/>
                    <pic:cNvPicPr>
                      <a:picLocks noChangeArrowheads="1" noChangeAspect="1"/>
                    </pic:cNvPicPr>
                  </pic:nvPicPr>
                  <pic:blipFill>
                    <a:blip r:embed="rId63"/>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1">
        <w:r>
          <w:rPr>
            <w:rStyle w:val="Hipervnculo"/>
          </w:rPr>
          <w:t xml:space="preserve">Imagen.</w:t>
        </w:r>
      </w:hyperlink>
      <w:r>
        <w:t xml:space="preserve"> </w:t>
      </w:r>
      <w:r>
        <w:t xml:space="preserve">Plan de Implementación del Proyecto Hoja de Ruta E-Service FNA, 2023. Abril 2023 a Dic 2023. Ver 1.0</w:t>
      </w:r>
    </w:p>
    <w:bookmarkEnd w:id="66"/>
    <w:bookmarkStart w:id="67"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67"/>
    <w:bookmarkStart w:id="68"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68"/>
    <w:bookmarkEnd w:id="69"/>
    <w:bookmarkEnd w:id="70"/>
    <w:bookmarkStart w:id="74"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no presentes en este ejemplo pueden ser impactados).</w:t>
      </w:r>
    </w:p>
    <w:p>
      <w:pPr>
        <w:pStyle w:val="Figure"/>
      </w:pPr>
      <w:r>
        <w:drawing>
          <wp:inline>
            <wp:extent cx="5600700" cy="3791707"/>
            <wp:effectExtent b="0" l="0" r="0" t="0"/>
            <wp:docPr descr="" title="" id="72" name="Picture"/>
            <a:graphic>
              <a:graphicData uri="http://schemas.openxmlformats.org/drawingml/2006/picture">
                <pic:pic>
                  <pic:nvPicPr>
                    <pic:cNvPr descr="images/vistaitemsarq.png" id="73" name="Picture"/>
                    <pic:cNvPicPr>
                      <a:picLocks noChangeArrowheads="1" noChangeAspect="1"/>
                    </pic:cNvPicPr>
                  </pic:nvPicPr>
                  <pic:blipFill>
                    <a:blip r:embed="rId71"/>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51">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74"/>
    <w:bookmarkStart w:id="75"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5"/>
    <w:bookmarkStart w:id="76"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76"/>
    <w:bookmarkStart w:id="77" w:name="consideraciones-1"/>
    <w:p>
      <w:pPr>
        <w:pStyle w:val="Ttulo2"/>
      </w:pPr>
      <w:r>
        <w:t xml:space="preserve">Consideraciones</w:t>
      </w:r>
    </w:p>
    <w:p>
      <w:pPr>
        <w:numPr>
          <w:ilvl w:val="0"/>
          <w:numId w:val="101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18"/>
        </w:numPr>
        <w:pStyle w:val="Compact"/>
      </w:pPr>
      <w:r>
        <w:t xml:space="preserve">Mega es la herramienta de gestión del repositorio continuo de arquitectura de referencia del FNA.</w:t>
      </w:r>
    </w:p>
    <w:p>
      <w:pPr>
        <w:numPr>
          <w:ilvl w:val="0"/>
          <w:numId w:val="1018"/>
        </w:numPr>
        <w:pStyle w:val="Compact"/>
      </w:pPr>
      <w:r>
        <w:t xml:space="preserve">Los diseños y modelos de arquitectura deben seguir el estándar XMI, por tanto, otras herramientas que se adhieran este podrán complementar el repositorio de arquitectura.</w:t>
      </w:r>
    </w:p>
    <w:bookmarkEnd w:id="77"/>
    <w:bookmarkStart w:id="78" w:name="edt"/>
    <w:p>
      <w:pPr>
        <w:pStyle w:val="Ttulo2"/>
      </w:pPr>
      <w:r>
        <w:t xml:space="preserve">EDT</w:t>
      </w:r>
    </w:p>
    <w:bookmarkEnd w:id="78"/>
    <w:bookmarkStart w:id="80" w:name="referencias"/>
    <w:p>
      <w:pPr>
        <w:pStyle w:val="Ttulo2"/>
      </w:pPr>
      <w:r>
        <w:t xml:space="preserve">Referencias</w:t>
      </w:r>
    </w:p>
    <w:bookmarkStart w:id="79" w:name="refs"/>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63" Target="media/rId63.jpg" /><Relationship Type="http://schemas.openxmlformats.org/officeDocument/2006/relationships/image" Id="rId48" Target="media/rId48.jpg" /><Relationship Type="http://schemas.openxmlformats.org/officeDocument/2006/relationships/image" Id="rId71" Target="media/rId71.png" /><Relationship Type="http://schemas.openxmlformats.org/officeDocument/2006/relationships/hyperlink" Id="rId5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11a92c9b4ff9b5bbd114f587bd95f57e87132846" TargetMode="External" /><Relationship Type="http://schemas.openxmlformats.org/officeDocument/2006/relationships/hyperlink" Id="rId20" Target="https://hwong23.github.io/e-service/v/11a92c9b4ff9b5bbd114f587bd95f57e87132846/" TargetMode="External" /></Relationships>
</file>

<file path=word/_rels/footnotes.xml.rels><?xml version="1.0" encoding="UTF-8"?><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11a92c9b4ff9b5bbd114f587bd95f57e87132846" TargetMode="External" /><Relationship Type="http://schemas.openxmlformats.org/officeDocument/2006/relationships/hyperlink" Id="rId20" Target="https://hwong23.github.io/e-service/v/11a92c9b4ff9b5bbd114f587bd95f57e87132846/"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2023-09-12T16:53:45Z</dcterms:created>
  <dcterms:modified xsi:type="dcterms:W3CDTF">2023-09-12T16:53:45Z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