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93.png" ContentType="image/png"/>
  <Override PartName="/word/media/rId51.jpg" ContentType="image/jpeg"/>
  <Override PartName="/word/media/rId66.jpg" ContentType="image/jpeg"/>
  <Override PartName="/word/media/rId81.jpg" ContentType="image/jpeg"/>
  <Override PartName="/word/media/rId38.jpg" ContentType="image/jpeg"/>
  <Override PartName="/word/media/rId34.jpg" ContentType="image/jpeg"/>
  <Override PartName="/word/media/rId8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hwong23/e-service@14423d5</w:t>
        </w:r>
      </w:hyperlink>
      <w:r>
        <w:t xml:space="preserve"> </w:t>
      </w:r>
      <w:r>
        <w:t xml:space="preserve">del April 4,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14423d5 del 04 Apr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32" w:name="Xcca0cd2801ecee6387a6c4fadad0257c932dc4b"/>
    <w:p>
      <w:pPr>
        <w:pStyle w:val="Ttulo2"/>
      </w:pPr>
      <w:r>
        <w:t xml:space="preserve">Hoja de Ruta E-Service FNA (Arquitectura E-Service)</w:t>
      </w:r>
    </w:p>
    <w:p>
      <w:pPr>
        <w:pStyle w:val="FirstParagraph"/>
      </w:pPr>
      <w:r>
        <w:t xml:space="preserve">Los proyectos de la hoja de ruta resultado de la ejecución de la consultoría</w:t>
      </w:r>
      <w:r>
        <w:t xml:space="preserve"> </w:t>
      </w:r>
      <w:r>
        <w:t xml:space="preserve">“</w:t>
      </w:r>
      <w:r>
        <w:t xml:space="preserve">Arquitectura E-Service</w:t>
      </w:r>
      <w:r>
        <w:t xml:space="preserve">”</w:t>
      </w:r>
      <w:r>
        <w:t xml:space="preserve">, dentro del proyecto PETI, son los siguientes:</w:t>
      </w:r>
    </w:p>
    <w:p>
      <w:pPr>
        <w:numPr>
          <w:ilvl w:val="0"/>
          <w:numId w:val="1002"/>
        </w:numPr>
        <w:pStyle w:val="Compact"/>
      </w:pPr>
      <w:r>
        <w:t xml:space="preserve">Gobierno SOA</w:t>
      </w:r>
    </w:p>
    <w:p>
      <w:pPr>
        <w:numPr>
          <w:ilvl w:val="0"/>
          <w:numId w:val="1002"/>
        </w:numPr>
        <w:pStyle w:val="Compact"/>
      </w:pPr>
      <w:r>
        <w:t xml:space="preserve">Oficina de arquitectura</w:t>
      </w:r>
    </w:p>
    <w:p>
      <w:pPr>
        <w:numPr>
          <w:ilvl w:val="0"/>
          <w:numId w:val="1002"/>
        </w:numPr>
        <w:pStyle w:val="Compact"/>
      </w:pPr>
      <w:r>
        <w:t xml:space="preserve">Arquitectura de referencia 2.0</w:t>
      </w:r>
    </w:p>
    <w:p>
      <w:pPr>
        <w:numPr>
          <w:ilvl w:val="0"/>
          <w:numId w:val="1002"/>
        </w:numPr>
        <w:pStyle w:val="Compact"/>
      </w:pPr>
      <w:r>
        <w:t xml:space="preserve">Portafolio API</w:t>
      </w:r>
    </w:p>
    <w:p>
      <w:pPr>
        <w:numPr>
          <w:ilvl w:val="0"/>
          <w:numId w:val="1002"/>
        </w:numPr>
        <w:pStyle w:val="Compact"/>
      </w:pPr>
      <w:r>
        <w:t xml:space="preserve">Microservicios</w:t>
      </w:r>
    </w:p>
    <w:p>
      <w:pPr>
        <w:numPr>
          <w:ilvl w:val="0"/>
          <w:numId w:val="1002"/>
        </w:numPr>
        <w:pStyle w:val="Compact"/>
      </w:pPr>
      <w:r>
        <w:t xml:space="preserve">Plataforma híbrida de integración</w:t>
      </w:r>
    </w:p>
    <w:p>
      <w:pPr>
        <w:numPr>
          <w:ilvl w:val="0"/>
          <w:numId w:val="1002"/>
        </w:numPr>
        <w:pStyle w:val="Compact"/>
      </w:pPr>
      <w:r>
        <w:t xml:space="preserve">Service mesh</w:t>
      </w:r>
    </w:p>
    <w:p>
      <w:pPr>
        <w:numPr>
          <w:ilvl w:val="0"/>
          <w:numId w:val="1002"/>
        </w:numPr>
        <w:pStyle w:val="Compact"/>
      </w:pPr>
      <w:r>
        <w:t xml:space="preserve">Hub de integración digital</w:t>
      </w:r>
    </w:p>
    <w:p>
      <w:pPr>
        <w:numPr>
          <w:ilvl w:val="0"/>
          <w:numId w:val="1002"/>
        </w:numPr>
        <w:pStyle w:val="Compact"/>
      </w:pPr>
      <w:r>
        <w:t xml:space="preserve">Gobierno de datos</w:t>
      </w:r>
    </w:p>
    <w:p>
      <w:pPr>
        <w:numPr>
          <w:ilvl w:val="0"/>
          <w:numId w:val="1002"/>
        </w:numPr>
        <w:pStyle w:val="Compact"/>
      </w:pPr>
      <w:r>
        <w:t xml:space="preserve">Gestión de datos maestros</w:t>
      </w:r>
    </w:p>
    <w:p>
      <w:pPr>
        <w:numPr>
          <w:ilvl w:val="0"/>
          <w:numId w:val="1002"/>
        </w:numPr>
        <w:pStyle w:val="Compact"/>
      </w:pPr>
      <w:r>
        <w:t xml:space="preserve">Arquitectura de datos (data mesh)</w:t>
      </w:r>
    </w:p>
    <w:p>
      <w:pPr>
        <w:numPr>
          <w:ilvl w:val="0"/>
          <w:numId w:val="1002"/>
        </w:numPr>
        <w:pStyle w:val="Compact"/>
      </w:pPr>
      <w:r>
        <w:t xml:space="preserve">Devops</w:t>
      </w:r>
    </w:p>
    <w:p>
      <w:pPr>
        <w:numPr>
          <w:ilvl w:val="0"/>
          <w:numId w:val="1002"/>
        </w:numPr>
        <w:pStyle w:val="Compact"/>
      </w:pPr>
      <w:r>
        <w:t xml:space="preserve">Infraestructura escalable nube</w:t>
      </w:r>
    </w:p>
    <w:p>
      <w:pPr>
        <w:numPr>
          <w:ilvl w:val="0"/>
          <w:numId w:val="1002"/>
        </w:numPr>
        <w:pStyle w:val="Compact"/>
      </w:pPr>
      <w:r>
        <w:t xml:space="preserve">Infraestructura autoservicio de datos</w:t>
      </w:r>
    </w:p>
    <w:p>
      <w:pPr>
        <w:pStyle w:val="FirstParagraph"/>
      </w:pPr>
    </w:p>
    <w:p>
      <w:pPr>
        <w:pStyle w:val="Textoindependiente"/>
      </w:pPr>
      <w:r>
        <w:t xml:space="preserve">La secuencia, la dependencia y los plazos estimados de los proyectos de la hoja de ruta E-Service FNA es la indicada en la siguiente imagen.</w:t>
      </w:r>
    </w:p>
    <w:p>
      <w:pPr>
        <w:pStyle w:val="Figure"/>
      </w:pPr>
      <w:r>
        <w:drawing>
          <wp:inline>
            <wp:extent cx="5600700" cy="3102348"/>
            <wp:effectExtent b="0" l="0" r="0" t="0"/>
            <wp:docPr descr="" title="" id="29" name="Picture"/>
            <a:graphic>
              <a:graphicData uri="http://schemas.openxmlformats.org/drawingml/2006/picture">
                <pic:pic>
                  <pic:nvPicPr>
                    <pic:cNvPr descr="images/hojaruta1.png" id="30" name="Picture"/>
                    <pic:cNvPicPr>
                      <a:picLocks noChangeArrowheads="1" noChangeAspect="1"/>
                    </pic:cNvPicPr>
                  </pic:nvPicPr>
                  <pic:blipFill>
                    <a:blip r:embed="rId28"/>
                    <a:stretch>
                      <a:fillRect/>
                    </a:stretch>
                  </pic:blipFill>
                  <pic:spPr bwMode="auto">
                    <a:xfrm>
                      <a:off x="0" y="0"/>
                      <a:ext cx="5600700" cy="3102348"/>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Proyectos de cierre de brecha FNA. Prioridades, dependencias, secuencia, puntos de control de la evolución de la arquitectura de referencia SOA 2.0 del Fondo.</w:t>
      </w:r>
    </w:p>
    <w:p>
      <w:pPr>
        <w:pStyle w:val="Textoindependiente"/>
      </w:pPr>
      <w:r>
        <w:rPr>
          <w:iCs/>
          <w:i/>
        </w:rPr>
        <w:t xml:space="preserve">Fuente: Consultoría Arquitectura E-Service.</w:t>
      </w:r>
    </w:p>
    <w:p>
      <w:pPr>
        <w:pStyle w:val="Textoindependiente"/>
      </w:pPr>
    </w:p>
    <w:bookmarkEnd w:id="32"/>
    <w:bookmarkStart w:id="33" w:name="justificación"/>
    <w:p>
      <w:pPr>
        <w:pStyle w:val="Ttulo2"/>
      </w:pPr>
      <w:r>
        <w:t xml:space="preserve">Justificación</w:t>
      </w:r>
    </w:p>
    <w:p>
      <w:pPr>
        <w:pStyle w:val="FirstParagraph"/>
      </w:pPr>
      <w:r>
        <w:t xml:space="preserve">La ejecución de la hoja de ruta E-Service (diagnóstico SOA) plantea la implementación de los proyectos de cierre de brechas que impacten a los problemas diagnosticados en dicho proyecto. Estos son: a la flexibilidad de negocio, al fortalecimiento de construcción y diseño de servicios, y a la independencia de proveedor, en el ámbito de las vicepresidencias de Crédito y de Operación, en el período de ejecución 2023.</w:t>
      </w:r>
    </w:p>
    <w:p>
      <w:pPr>
        <w:pStyle w:val="Textoindependiente"/>
      </w:pPr>
      <w:r>
        <w:t xml:space="preserve">Como resultado del inicio de la ejecución de la hoja de ruta el Fondo Nacional del Ahorro (FNA) procura 1) aumentar las capacidades de desarrollo de soluciones y requerimientos, y 2) modernizar y aumentar la capacidad del uso tecnológico de estas soluciones.</w:t>
      </w:r>
    </w:p>
    <w:p>
      <w:pPr>
        <w:pStyle w:val="Textoindependiente"/>
      </w:pPr>
      <w:r>
        <w:t xml:space="preserve">Puntualmente, la implementación (todos los proyectos) de la hoja de ruta, tal como está diagnosticada por E-Service, buscan los objetivos de (ordenados por prioridad):</w:t>
      </w:r>
    </w:p>
    <w:p>
      <w:pPr>
        <w:numPr>
          <w:ilvl w:val="0"/>
          <w:numId w:val="1003"/>
        </w:numPr>
        <w:pStyle w:val="Compact"/>
      </w:pPr>
      <w:r>
        <w:t xml:space="preserve">Flexibilidad y tiempo de mercado (OBJ3)</w:t>
      </w:r>
    </w:p>
    <w:p>
      <w:pPr>
        <w:numPr>
          <w:ilvl w:val="0"/>
          <w:numId w:val="1003"/>
        </w:numPr>
        <w:pStyle w:val="Compact"/>
      </w:pPr>
      <w:r>
        <w:t xml:space="preserve">Fortaleza SOA de las aplicaciones (OBJ2)</w:t>
      </w:r>
    </w:p>
    <w:p>
      <w:pPr>
        <w:numPr>
          <w:ilvl w:val="0"/>
          <w:numId w:val="1003"/>
        </w:numPr>
        <w:pStyle w:val="Compact"/>
      </w:pPr>
      <w:r>
        <w:t xml:space="preserve">Independencia de proveedor (OBJ1)</w:t>
      </w:r>
    </w:p>
    <w:p>
      <w:pPr>
        <w:pStyle w:val="FirstParagraph"/>
      </w:pPr>
    </w:p>
    <w:p>
      <w:pPr>
        <w:pStyle w:val="Textoindependiente"/>
      </w:pPr>
      <w:r>
        <w:t xml:space="preserve">Para lo cual, la hoja de ruta E-Service está orientada a impactar los siguientes brechas y oportunidades:</w:t>
      </w:r>
    </w:p>
    <w:p>
      <w:pPr>
        <w:numPr>
          <w:ilvl w:val="0"/>
          <w:numId w:val="1004"/>
        </w:numPr>
        <w:pStyle w:val="Compact"/>
      </w:pPr>
      <w:r>
        <w:t xml:space="preserve">OP1. Instaurar la figura de gobierno SOA, capacidad, proceso y recursos</w:t>
      </w:r>
    </w:p>
    <w:p>
      <w:pPr>
        <w:numPr>
          <w:ilvl w:val="0"/>
          <w:numId w:val="1004"/>
        </w:numPr>
        <w:pStyle w:val="Compact"/>
      </w:pPr>
      <w:r>
        <w:t xml:space="preserve">OP2. Mejorar proceso de diseño, construcción y DevOps de soluciones SOA</w:t>
      </w:r>
    </w:p>
    <w:p>
      <w:pPr>
        <w:numPr>
          <w:ilvl w:val="0"/>
          <w:numId w:val="1004"/>
        </w:numPr>
        <w:pStyle w:val="Compact"/>
      </w:pPr>
      <w:r>
        <w:t xml:space="preserve">OP3. Mejorar la oferta de servicios analíticos en segmento FNA</w:t>
      </w:r>
    </w:p>
    <w:p>
      <w:pPr>
        <w:numPr>
          <w:ilvl w:val="0"/>
          <w:numId w:val="1004"/>
        </w:numPr>
        <w:pStyle w:val="Compact"/>
      </w:pPr>
      <w:r>
        <w:t xml:space="preserve">OP4. Aumentar el nivel de utilización de la Tecnología SOA del FNA</w:t>
      </w:r>
    </w:p>
    <w:p>
      <w:pPr>
        <w:numPr>
          <w:ilvl w:val="0"/>
          <w:numId w:val="1004"/>
        </w:numPr>
        <w:pStyle w:val="Compact"/>
      </w:pPr>
      <w:r>
        <w:t xml:space="preserve">OP5. Desarrollo de Servicios FNA guiada por la arquitectura de referencia 2.0</w:t>
      </w:r>
    </w:p>
    <w:p>
      <w:pPr>
        <w:numPr>
          <w:ilvl w:val="0"/>
          <w:numId w:val="1004"/>
        </w:numPr>
        <w:pStyle w:val="Compact"/>
      </w:pPr>
      <w:r>
        <w:t xml:space="preserve">OP6. Gestión de la Tecnología (gobierno) orientada por arquitectura 2.0</w:t>
      </w:r>
    </w:p>
    <w:p>
      <w:pPr>
        <w:numPr>
          <w:ilvl w:val="0"/>
          <w:numId w:val="1004"/>
        </w:numPr>
        <w:pStyle w:val="Compact"/>
      </w:pPr>
      <w:r>
        <w:t xml:space="preserve">OP7. Articulación y fortalecimiento del equipo de arquitectura del FNA junto a proveedores</w:t>
      </w:r>
    </w:p>
    <w:p>
      <w:pPr>
        <w:numPr>
          <w:ilvl w:val="0"/>
          <w:numId w:val="1004"/>
        </w:numPr>
        <w:pStyle w:val="Compact"/>
      </w:pPr>
      <w:r>
        <w:t xml:space="preserve">OP8. Monitoreo de los índices de eficacia de los servicios FNA</w:t>
      </w:r>
    </w:p>
    <w:p>
      <w:pPr>
        <w:pStyle w:val="FirstParagraph"/>
      </w:pPr>
    </w:p>
    <w:bookmarkEnd w:id="33"/>
    <w:bookmarkStart w:id="37" w:name="X37927a01866ba91bc73718dfdaf64e7f1ae11e5"/>
    <w:p>
      <w:pPr>
        <w:pStyle w:val="Ttulo2"/>
      </w:pPr>
      <w:r>
        <w:t xml:space="preserve">Alcance de la primera ejecución de la hoja de ruta E-Service</w:t>
      </w:r>
    </w:p>
    <w:p>
      <w:pPr>
        <w:pStyle w:val="FirstParagraph"/>
      </w:pPr>
      <w:r>
        <w:t xml:space="preserve">Para el período 2023, la implementación de la hoja de ruta E-Service impactará los objetivos de Flexibilidad (OBJ3) y Fortalecimiento (OBJ2), mediante el incremento de las capacidades del FNA</w:t>
      </w:r>
      <w:r>
        <w:t xml:space="preserve"> </w:t>
      </w:r>
      <w:r>
        <w:t xml:space="preserve">de Gestión de tecnología (CAP1) y de Entrega de productos y funcionalidades (CAP2), en el dominio de aplicaciones y servicios únicamente. Esto implica la planeación, ejecución y seguimiento de los proyectos siguientes:</w:t>
      </w:r>
    </w:p>
    <w:p>
      <w:pPr>
        <w:numPr>
          <w:ilvl w:val="0"/>
          <w:numId w:val="1005"/>
        </w:numPr>
        <w:pStyle w:val="Compact"/>
      </w:pPr>
      <w:r>
        <w:t xml:space="preserve">PRY01. Gobierno SOA FNA –Incremento 1: dominio de aplicaciones y servicios únicamente</w:t>
      </w:r>
    </w:p>
    <w:p>
      <w:pPr>
        <w:numPr>
          <w:ilvl w:val="0"/>
          <w:numId w:val="1005"/>
        </w:numPr>
        <w:pStyle w:val="Compact"/>
      </w:pPr>
      <w:r>
        <w:t xml:space="preserve">PRY02. Arquitectura Referencia –Incremento 1: dominio de aplicaciones y servicios únicamente</w:t>
      </w:r>
    </w:p>
    <w:p>
      <w:pPr>
        <w:numPr>
          <w:ilvl w:val="0"/>
          <w:numId w:val="1005"/>
        </w:numPr>
        <w:pStyle w:val="Compact"/>
      </w:pPr>
      <w:r>
        <w:t xml:space="preserve">PRY03. Estructuración de proyectos posteriores de la hoja de ruta E-Service</w:t>
      </w:r>
    </w:p>
    <w:p>
      <w:pPr>
        <w:pStyle w:val="FirstParagraph"/>
      </w:pPr>
    </w:p>
    <w:p>
      <w:pPr>
        <w:pStyle w:val="Textoindependiente"/>
      </w:pPr>
      <w:r>
        <w:t xml:space="preserve">El alcance de la primera ejecución de la hoja de ruta E-Service es el ilustrado a continuación.</w:t>
      </w:r>
    </w:p>
    <w:p>
      <w:pPr>
        <w:pStyle w:val="Figure"/>
      </w:pPr>
      <w:r>
        <w:drawing>
          <wp:inline>
            <wp:extent cx="5600700" cy="1859229"/>
            <wp:effectExtent b="0" l="0" r="0" t="0"/>
            <wp:docPr descr="" title="" id="35" name="Picture"/>
            <a:graphic>
              <a:graphicData uri="http://schemas.openxmlformats.org/drawingml/2006/picture">
                <pic:pic>
                  <pic:nvPicPr>
                    <pic:cNvPr descr="images/vistaevolucion.jpg" id="36" name="Picture"/>
                    <pic:cNvPicPr>
                      <a:picLocks noChangeArrowheads="1" noChangeAspect="1"/>
                    </pic:cNvPicPr>
                  </pic:nvPicPr>
                  <pic:blipFill>
                    <a:blip r:embed="rId34"/>
                    <a:stretch>
                      <a:fillRect/>
                    </a:stretch>
                  </pic:blipFill>
                  <pic:spPr bwMode="auto">
                    <a:xfrm>
                      <a:off x="0" y="0"/>
                      <a:ext cx="5600700" cy="1859229"/>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Vista de evolución de capacidades dentro del alcance del proyecto hoja de ruta E-Service, período 2023, dominio de aplicaciones y servicios. Capacidades incrementadas para impactar a los objetivos Flexibilidad (OBJ3) y Fortalecimiento (OBJ2).</w:t>
      </w:r>
    </w:p>
    <w:p>
      <w:pPr>
        <w:pStyle w:val="Textoindependiente"/>
      </w:pPr>
    </w:p>
    <w:bookmarkEnd w:id="37"/>
    <w:bookmarkStart w:id="88"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39" name="Picture"/>
            <a:graphic>
              <a:graphicData uri="http://schemas.openxmlformats.org/drawingml/2006/picture">
                <pic:pic>
                  <pic:nvPicPr>
                    <pic:cNvPr descr="images/vistaevolarquitectura.jpg" id="40" name="Picture"/>
                    <pic:cNvPicPr>
                      <a:picLocks noChangeArrowheads="1" noChangeAspect="1"/>
                    </pic:cNvPicPr>
                  </pic:nvPicPr>
                  <pic:blipFill>
                    <a:blip r:embed="rId38"/>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41" w:name="Xbb8768eeabeabc62e5e958b59992357b4c10d91"/>
    <w:p>
      <w:pPr>
        <w:pStyle w:val="Ttulo4"/>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41"/>
    <w:bookmarkStart w:id="42" w:name="Xfb3e4e259dd9db7a83d7022b07af3753b752692"/>
    <w:p>
      <w:pPr>
        <w:pStyle w:val="Ttulo4"/>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la aplicación de cambios en ítems adicionales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42"/>
    <w:bookmarkStart w:id="57" w:name="X4838e6494863abce2e8c14cbc15f9f8015801ad"/>
    <w:p>
      <w:pPr>
        <w:pStyle w:val="Ttulo3"/>
      </w:pPr>
      <w:r>
        <w:t xml:space="preserve">PRY01. Gobierno SOA FNA: dominio de aplicaciones y servicios</w:t>
      </w:r>
    </w:p>
    <w:bookmarkStart w:id="43" w:name="objetivo"/>
    <w:p>
      <w:pPr>
        <w:pStyle w:val="Ttulo4"/>
      </w:pPr>
      <w:r>
        <w:t xml:space="preserve">Objetivo</w:t>
      </w:r>
    </w:p>
    <w:p>
      <w:pPr>
        <w:pStyle w:val="FirstParagraph"/>
      </w:pPr>
      <w:r>
        <w:t xml:space="preserve">Definir y vigilar las relaciones entre las áreas de negocio, que para este proyecto son la vicepresidencia de operaciones y la vicepresidencia de crédito del FNA; definir y vigilar la implementación y diseño de las soluciones SOA, servicios y herramientas de software, en cumplimiento de la nueva arquitectura de referencia 2.0 del FNA. Este gobierno SOA debe asistir en la aplicación y ejecución de un estándar de implementación, observación y puesta en marcha de dichas soluciones.</w:t>
      </w:r>
    </w:p>
    <w:bookmarkEnd w:id="43"/>
    <w:bookmarkStart w:id="44" w:name="actividades"/>
    <w:p>
      <w:pPr>
        <w:pStyle w:val="Ttulo4"/>
      </w:pPr>
      <w:r>
        <w:t xml:space="preserve">Actividades</w:t>
      </w:r>
    </w:p>
    <w:p>
      <w:pPr>
        <w:numPr>
          <w:ilvl w:val="0"/>
          <w:numId w:val="1006"/>
        </w:numPr>
        <w:pStyle w:val="Compact"/>
      </w:pPr>
      <w:r>
        <w:t xml:space="preserve">Fortalecer el comité de gobierno SOA del FNA</w:t>
      </w:r>
    </w:p>
    <w:p>
      <w:pPr>
        <w:numPr>
          <w:ilvl w:val="0"/>
          <w:numId w:val="1006"/>
        </w:numPr>
        <w:pStyle w:val="Compact"/>
      </w:pPr>
      <w:r>
        <w:t xml:space="preserve">Generar lineamientos y políticas de gobierno SOA</w:t>
      </w:r>
    </w:p>
    <w:p>
      <w:pPr>
        <w:numPr>
          <w:ilvl w:val="0"/>
          <w:numId w:val="1006"/>
        </w:numPr>
        <w:pStyle w:val="Compact"/>
      </w:pPr>
      <w:r>
        <w:t xml:space="preserve">Medir las decisiones de arquitectura y del proceso de desarrollo de las soluciones SOA</w:t>
      </w:r>
    </w:p>
    <w:bookmarkEnd w:id="44"/>
    <w:bookmarkStart w:id="45" w:name="entregables"/>
    <w:p>
      <w:pPr>
        <w:pStyle w:val="Ttulo4"/>
      </w:pPr>
      <w:r>
        <w:t xml:space="preserve">Entregables</w:t>
      </w:r>
    </w:p>
    <w:p>
      <w:pPr>
        <w:numPr>
          <w:ilvl w:val="0"/>
          <w:numId w:val="1007"/>
        </w:numPr>
        <w:pStyle w:val="Compact"/>
      </w:pPr>
      <w:r>
        <w:t xml:space="preserve">PR01. Detalle de los ítems de arquitectura impactados por el proyecto</w:t>
      </w:r>
    </w:p>
    <w:p>
      <w:pPr>
        <w:numPr>
          <w:ilvl w:val="0"/>
          <w:numId w:val="1007"/>
        </w:numPr>
        <w:pStyle w:val="Compact"/>
      </w:pPr>
      <w:r>
        <w:t xml:space="preserve">PR02. Detalle de los recursos, herramientas, roles, responsabilidades y participantes</w:t>
      </w:r>
    </w:p>
    <w:p>
      <w:pPr>
        <w:numPr>
          <w:ilvl w:val="0"/>
          <w:numId w:val="1007"/>
        </w:numPr>
        <w:pStyle w:val="Compact"/>
      </w:pPr>
      <w:r>
        <w:t xml:space="preserve">PR03. Diseño de los procesos y responsabilidades del comité de gobierno</w:t>
      </w:r>
    </w:p>
    <w:p>
      <w:pPr>
        <w:numPr>
          <w:ilvl w:val="0"/>
          <w:numId w:val="1007"/>
        </w:numPr>
        <w:pStyle w:val="Compact"/>
      </w:pPr>
      <w:r>
        <w:t xml:space="preserve">PR04. Definición de roles y responsabilidades y selección e instalación del comité</w:t>
      </w:r>
    </w:p>
    <w:p>
      <w:pPr>
        <w:numPr>
          <w:ilvl w:val="0"/>
          <w:numId w:val="1007"/>
        </w:numPr>
        <w:pStyle w:val="Compact"/>
      </w:pPr>
      <w:r>
        <w:t xml:space="preserve">PR05. Procesos de mejoramiento de diseño y vigilancia de riesgos técnicos</w:t>
      </w:r>
    </w:p>
    <w:p>
      <w:pPr>
        <w:numPr>
          <w:ilvl w:val="0"/>
          <w:numId w:val="1007"/>
        </w:numPr>
        <w:pStyle w:val="Compact"/>
      </w:pPr>
      <w:r>
        <w:t xml:space="preserve">PR06. Modelos actualizados de los ítems de arquitectura impactados por el proyecto</w:t>
      </w:r>
    </w:p>
    <w:p>
      <w:pPr>
        <w:numPr>
          <w:ilvl w:val="0"/>
          <w:numId w:val="1007"/>
        </w:numPr>
        <w:pStyle w:val="Compact"/>
      </w:pPr>
      <w:r>
        <w:t xml:space="preserve">PR07. Métricas de efectividad del gobierno</w:t>
      </w:r>
    </w:p>
    <w:bookmarkEnd w:id="45"/>
    <w:bookmarkStart w:id="46" w:name="plazo-de-ejecución"/>
    <w:p>
      <w:pPr>
        <w:pStyle w:val="Ttulo4"/>
      </w:pPr>
      <w:r>
        <w:t xml:space="preserve">Plazo de Ejecución</w:t>
      </w:r>
    </w:p>
    <w:p>
      <w:pPr>
        <w:pStyle w:val="FirstParagraph"/>
      </w:pPr>
      <w:r>
        <w:t xml:space="preserve">5 meses, iniciado a partir del mes de abril del 2023 (ver Plan de Ejecución PRY01, más adelante).</w:t>
      </w:r>
    </w:p>
    <w:bookmarkEnd w:id="46"/>
    <w:bookmarkStart w:id="47" w:name="impacto-beneficio"/>
    <w:p>
      <w:pPr>
        <w:pStyle w:val="Ttulo4"/>
      </w:pPr>
      <w:r>
        <w:t xml:space="preserve">Impacto / Beneficio</w:t>
      </w:r>
    </w:p>
    <w:p>
      <w:pPr>
        <w:numPr>
          <w:ilvl w:val="0"/>
          <w:numId w:val="1008"/>
        </w:numPr>
        <w:pStyle w:val="Compact"/>
      </w:pPr>
      <w:r>
        <w:t xml:space="preserve">Lineamientos claros, libres de ambigüedad que permitan guiar y medir la evolución de la arquitectura SOA 2.0 en la organización</w:t>
      </w:r>
    </w:p>
    <w:p>
      <w:pPr>
        <w:numPr>
          <w:ilvl w:val="0"/>
          <w:numId w:val="1008"/>
        </w:numPr>
        <w:pStyle w:val="Compact"/>
      </w:pPr>
      <w:r>
        <w:t xml:space="preserve">Fuente única de planeación y control de las soluciones de software del FNA</w:t>
      </w:r>
    </w:p>
    <w:p>
      <w:pPr>
        <w:numPr>
          <w:ilvl w:val="0"/>
          <w:numId w:val="1008"/>
        </w:numPr>
        <w:pStyle w:val="Compact"/>
      </w:pPr>
      <w:r>
        <w:t xml:space="preserve">Vigilancia del cumplimiento de los niveles de servicio de las soluciones SOA​</w:t>
      </w:r>
    </w:p>
    <w:bookmarkEnd w:id="47"/>
    <w:bookmarkStart w:id="48" w:name="actores"/>
    <w:p>
      <w:pPr>
        <w:pStyle w:val="Ttulo4"/>
      </w:pPr>
      <w:r>
        <w:t xml:space="preserve">Actores</w:t>
      </w:r>
    </w:p>
    <w:p>
      <w:pPr>
        <w:numPr>
          <w:ilvl w:val="0"/>
          <w:numId w:val="1009"/>
        </w:numPr>
        <w:pStyle w:val="Compact"/>
      </w:pPr>
      <w:r>
        <w:t xml:space="preserve">Comité de gobierno del FNA</w:t>
      </w:r>
    </w:p>
    <w:p>
      <w:pPr>
        <w:numPr>
          <w:ilvl w:val="0"/>
          <w:numId w:val="1009"/>
        </w:numPr>
        <w:pStyle w:val="Compact"/>
      </w:pPr>
      <w:r>
        <w:t xml:space="preserve">Oficina de arquitectura FNA</w:t>
      </w:r>
    </w:p>
    <w:p>
      <w:pPr>
        <w:numPr>
          <w:ilvl w:val="0"/>
          <w:numId w:val="1009"/>
        </w:numPr>
        <w:pStyle w:val="Compact"/>
      </w:pPr>
      <w:r>
        <w:t xml:space="preserve">Comité asesor </w:t>
      </w:r>
    </w:p>
    <w:bookmarkEnd w:id="48"/>
    <w:bookmarkStart w:id="49" w:name="consideraciones"/>
    <w:p>
      <w:pPr>
        <w:pStyle w:val="Ttulo4"/>
      </w:pPr>
      <w:r>
        <w:t xml:space="preserve">Consideraciones</w:t>
      </w:r>
    </w:p>
    <w:p>
      <w:pPr>
        <w:numPr>
          <w:ilvl w:val="0"/>
          <w:numId w:val="1010"/>
        </w:numPr>
        <w:pStyle w:val="Compact"/>
      </w:pPr>
      <w:r>
        <w:t xml:space="preserve">MEGA: depósito centralizado de arquitectura del FNA</w:t>
      </w:r>
    </w:p>
    <w:p>
      <w:pPr>
        <w:numPr>
          <w:ilvl w:val="0"/>
          <w:numId w:val="1010"/>
        </w:numPr>
        <w:pStyle w:val="Compact"/>
      </w:pPr>
      <w:r>
        <w:t xml:space="preserve">Depósito documental</w:t>
      </w:r>
    </w:p>
    <w:p>
      <w:pPr>
        <w:numPr>
          <w:ilvl w:val="0"/>
          <w:numId w:val="1010"/>
        </w:numPr>
        <w:pStyle w:val="Compact"/>
      </w:pPr>
      <w:r>
        <w:t xml:space="preserve">Herramientas de gestión de arquitectura</w:t>
      </w:r>
    </w:p>
    <w:p>
      <w:pPr>
        <w:numPr>
          <w:ilvl w:val="0"/>
          <w:numId w:val="1010"/>
        </w:numPr>
        <w:pStyle w:val="Compact"/>
      </w:pPr>
      <w:r>
        <w:t xml:space="preserve">Herramientas de gestión de proyectos de tecnología</w:t>
      </w:r>
    </w:p>
    <w:p>
      <w:pPr>
        <w:pStyle w:val="FirstParagraph"/>
      </w:pPr>
    </w:p>
    <w:bookmarkEnd w:id="49"/>
    <w:bookmarkStart w:id="50" w:name="equipo-base-del-proyecto"/>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1, o Arquitectura empresarial (Stefanini/MEGA)</w:t>
            </w:r>
          </w:p>
        </w:tc>
        <w:tc>
          <w:tcPr/>
          <w:p>
            <w:pPr>
              <w:pStyle w:val="Compact"/>
              <w:jc w:val="left"/>
            </w:pPr>
            <w:r>
              <w:t xml:space="preserve">Referente para montaje de gobierno SOA,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Nota: considerar un perfil parcial de apoyo al especialista SOA, experiencia en herr. MEGA</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Referente para diseño de servicios y software,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gobierno SOA, modelamiento software y servicios</w:t>
            </w:r>
          </w:p>
        </w:tc>
        <w:tc>
          <w:tcPr/>
          <w:p>
            <w:pPr>
              <w:pStyle w:val="Compact"/>
              <w:jc w:val="left"/>
            </w:pPr>
            <w:r>
              <w:t xml:space="preserve">*</w:t>
            </w:r>
          </w:p>
        </w:tc>
      </w:tr>
      <w:tr>
        <w:tc>
          <w:tcPr/>
          <w:p>
            <w:pPr>
              <w:pStyle w:val="Compact"/>
            </w:pPr>
          </w:p>
        </w:tc>
        <w:tc>
          <w:tcPr/>
          <w:p>
            <w:pPr>
              <w:pStyle w:val="Compact"/>
              <w:jc w:val="left"/>
            </w:pPr>
            <w:r>
              <w:t xml:space="preserve">- Especialista SOA</w:t>
            </w:r>
          </w:p>
        </w:tc>
        <w:tc>
          <w:tcPr/>
          <w:p>
            <w:pPr>
              <w:pStyle w:val="Compact"/>
            </w:pPr>
          </w:p>
        </w:tc>
        <w:tc>
          <w:tcPr/>
          <w:p>
            <w:pPr>
              <w:pStyle w:val="Compact"/>
            </w:pPr>
          </w:p>
        </w:tc>
      </w:tr>
      <w:tr>
        <w:tc>
          <w:tcPr/>
          <w:p>
            <w:pPr>
              <w:pStyle w:val="Compact"/>
            </w:pPr>
          </w:p>
        </w:tc>
        <w:tc>
          <w:tcPr/>
          <w:p>
            <w:pPr>
              <w:pStyle w:val="Compact"/>
              <w:jc w:val="left"/>
            </w:pPr>
            <w:r>
              <w:t xml:space="preserve">- Especialista(s) construcción software</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50"/>
    <w:bookmarkStart w:id="54"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proyetos del alcance consignado arriba, y que se corresponden con las fases 2 y 3 de la plan siguiente.</w:t>
      </w:r>
    </w:p>
    <w:p>
      <w:pPr>
        <w:pStyle w:val="Figure"/>
      </w:pPr>
      <w:r>
        <w:drawing>
          <wp:inline>
            <wp:extent cx="5600700" cy="4494248"/>
            <wp:effectExtent b="0" l="0" r="0" t="0"/>
            <wp:docPr descr="" title="" id="52" name="Picture"/>
            <a:graphic>
              <a:graphicData uri="http://schemas.openxmlformats.org/drawingml/2006/picture">
                <pic:pic>
                  <pic:nvPicPr>
                    <pic:cNvPr descr="images/pry1gobierno.jpg" id="53" name="Picture"/>
                    <pic:cNvPicPr>
                      <a:picLocks noChangeArrowheads="1" noChangeAspect="1"/>
                    </pic:cNvPicPr>
                  </pic:nvPicPr>
                  <pic:blipFill>
                    <a:blip r:embed="rId51"/>
                    <a:stretch>
                      <a:fillRect/>
                    </a:stretch>
                  </pic:blipFill>
                  <pic:spPr bwMode="auto">
                    <a:xfrm>
                      <a:off x="0" y="0"/>
                      <a:ext cx="5600700" cy="4494248"/>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54"/>
    <w:bookmarkStart w:id="55"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5"/>
    <w:bookmarkStart w:id="56"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6"/>
    <w:bookmarkEnd w:id="57"/>
    <w:bookmarkStart w:id="72" w:name="X89eb439c48dcc3d169dc66298eaeed3da6b9ee9"/>
    <w:p>
      <w:pPr>
        <w:pStyle w:val="Ttulo3"/>
      </w:pPr>
      <w:r>
        <w:t xml:space="preserve">PRY02. Arquitectura de referencia SOA 2.0: dominio de aplicaciones y servicios</w:t>
      </w:r>
    </w:p>
    <w:bookmarkStart w:id="58" w:name="objetivo-1"/>
    <w:p>
      <w:pPr>
        <w:pStyle w:val="Ttulo4"/>
      </w:pPr>
      <w:r>
        <w:t xml:space="preserve">Objetivo</w:t>
      </w:r>
    </w:p>
    <w:p>
      <w:pPr>
        <w:pStyle w:val="FirstParagraph"/>
      </w:pPr>
      <w:r>
        <w:t xml:space="preserve">Definir la línea base de la arquitectura de referencia 2.0 del FNA y dirigir el desarrollo de los servicios SOA del FNA hacia diseños y tecnologías determinadas en la arquitectura de referencia 2.0 (como microservicios, REST, API, infraestructura Nube, etc.) y favorecer la adopción del estilo de arquitectura orientado a eventos para atender las funcionalidades y requerimientos de negocio, que para este proyecto son la vicepresidencia de operaciones y la vicepresidencia de crédito del FNA.</w:t>
      </w:r>
    </w:p>
    <w:bookmarkEnd w:id="58"/>
    <w:bookmarkStart w:id="59" w:name="actividades-1"/>
    <w:p>
      <w:pPr>
        <w:pStyle w:val="Ttulo4"/>
      </w:pPr>
      <w:r>
        <w:t xml:space="preserve">Actividades</w:t>
      </w:r>
    </w:p>
    <w:p>
      <w:pPr>
        <w:numPr>
          <w:ilvl w:val="0"/>
          <w:numId w:val="1011"/>
        </w:numPr>
        <w:pStyle w:val="Compact"/>
      </w:pPr>
      <w:r>
        <w:t xml:space="preserve">Acelerar el desarrollo de las arquitecturas de solución​</w:t>
      </w:r>
    </w:p>
    <w:p>
      <w:pPr>
        <w:numPr>
          <w:ilvl w:val="0"/>
          <w:numId w:val="1011"/>
        </w:numPr>
        <w:pStyle w:val="Compact"/>
      </w:pPr>
      <w:r>
        <w:t xml:space="preserve">Relacionar las implementaciones con las áreas de negocio y TI​</w:t>
      </w:r>
    </w:p>
    <w:p>
      <w:pPr>
        <w:numPr>
          <w:ilvl w:val="0"/>
          <w:numId w:val="1011"/>
        </w:numPr>
        <w:pStyle w:val="Compact"/>
      </w:pPr>
      <w:r>
        <w:t xml:space="preserve">Demostrar el cumplimiento de los lineamientos y políticas de gobierno​ SOA/TI del Fondo</w:t>
      </w:r>
    </w:p>
    <w:p>
      <w:pPr>
        <w:numPr>
          <w:ilvl w:val="0"/>
          <w:numId w:val="1011"/>
        </w:numPr>
        <w:pStyle w:val="Compact"/>
      </w:pPr>
      <w:r>
        <w:t xml:space="preserve">Documentación técnica en el depósito de arquitectura institucional​</w:t>
      </w:r>
    </w:p>
    <w:bookmarkEnd w:id="59"/>
    <w:bookmarkStart w:id="60" w:name="entregables-1"/>
    <w:p>
      <w:pPr>
        <w:pStyle w:val="Ttulo4"/>
      </w:pPr>
      <w:r>
        <w:t xml:space="preserve">Entregables</w:t>
      </w:r>
    </w:p>
    <w:p>
      <w:pPr>
        <w:numPr>
          <w:ilvl w:val="0"/>
          <w:numId w:val="1012"/>
        </w:numPr>
        <w:pStyle w:val="Compact"/>
      </w:pPr>
      <w:r>
        <w:t xml:space="preserve">PR10. Detalle de los ítems de arquitectura impactados por el proyecto</w:t>
      </w:r>
    </w:p>
    <w:p>
      <w:pPr>
        <w:numPr>
          <w:ilvl w:val="0"/>
          <w:numId w:val="1012"/>
        </w:numPr>
        <w:pStyle w:val="Compact"/>
      </w:pPr>
      <w:r>
        <w:t xml:space="preserve">PR11. Detalle de los recursos, herramientas, roles, responsabilidades y participantes</w:t>
      </w:r>
    </w:p>
    <w:p>
      <w:pPr>
        <w:numPr>
          <w:ilvl w:val="0"/>
          <w:numId w:val="1012"/>
        </w:numPr>
        <w:pStyle w:val="Compact"/>
      </w:pPr>
      <w:r>
        <w:t xml:space="preserve">PR12. Diseño detallado y vistas funcional, despliegue, información, integración y tecnología​</w:t>
      </w:r>
    </w:p>
    <w:p>
      <w:pPr>
        <w:numPr>
          <w:ilvl w:val="0"/>
          <w:numId w:val="1012"/>
        </w:numPr>
        <w:pStyle w:val="Compact"/>
      </w:pPr>
      <w:r>
        <w:t xml:space="preserve">PR13. Modelado en lenguaje y herramienta de diseño del FNA​</w:t>
      </w:r>
    </w:p>
    <w:p>
      <w:pPr>
        <w:numPr>
          <w:ilvl w:val="0"/>
          <w:numId w:val="1012"/>
        </w:numPr>
        <w:pStyle w:val="Compact"/>
      </w:pPr>
      <w:r>
        <w:t xml:space="preserve">PR14. Administración de las transiciones hacia la arquitectura versión 2.0</w:t>
      </w:r>
    </w:p>
    <w:p>
      <w:pPr>
        <w:numPr>
          <w:ilvl w:val="0"/>
          <w:numId w:val="1012"/>
        </w:numPr>
        <w:pStyle w:val="Compact"/>
      </w:pPr>
      <w:r>
        <w:t xml:space="preserve">PR15. Inventario de artefactos genéricos y concretos de aceleración de implementación</w:t>
      </w:r>
    </w:p>
    <w:p>
      <w:pPr>
        <w:numPr>
          <w:ilvl w:val="0"/>
          <w:numId w:val="1012"/>
        </w:numPr>
        <w:pStyle w:val="Compact"/>
      </w:pPr>
      <w:r>
        <w:t xml:space="preserve">PR16. Análisis de impacto y modelos actualizados de los ítems de arquitectura</w:t>
      </w:r>
    </w:p>
    <w:p>
      <w:pPr>
        <w:numPr>
          <w:ilvl w:val="0"/>
          <w:numId w:val="1012"/>
        </w:numPr>
        <w:pStyle w:val="Compact"/>
      </w:pPr>
      <w:r>
        <w:t xml:space="preserve">PR17. Ítems de arquitectura incrementados en ejecución</w:t>
      </w:r>
    </w:p>
    <w:bookmarkEnd w:id="60"/>
    <w:bookmarkStart w:id="61" w:name="plazo-de-ejecución-2"/>
    <w:p>
      <w:pPr>
        <w:pStyle w:val="Ttulo4"/>
      </w:pPr>
      <w:r>
        <w:t xml:space="preserve">Plazo de Ejecución</w:t>
      </w:r>
    </w:p>
    <w:p>
      <w:pPr>
        <w:pStyle w:val="FirstParagraph"/>
      </w:pPr>
      <w:r>
        <w:t xml:space="preserve">5 meses, iniciado a partir del mes de abril dl 2023 (ver Plan de Ejecución PRY01 más adelante).</w:t>
      </w:r>
    </w:p>
    <w:bookmarkEnd w:id="61"/>
    <w:bookmarkStart w:id="62" w:name="impacto-beneficio-1"/>
    <w:p>
      <w:pPr>
        <w:pStyle w:val="Ttulo4"/>
      </w:pPr>
      <w:r>
        <w:t xml:space="preserve">Impacto / Beneficio</w:t>
      </w:r>
    </w:p>
    <w:p>
      <w:pPr>
        <w:numPr>
          <w:ilvl w:val="0"/>
          <w:numId w:val="1013"/>
        </w:numPr>
        <w:pStyle w:val="Compact"/>
      </w:pPr>
      <w:r>
        <w:t xml:space="preserve">Reducción en tiempos y costos asociados a las soluciones SOA​</w:t>
      </w:r>
    </w:p>
    <w:p>
      <w:pPr>
        <w:numPr>
          <w:ilvl w:val="0"/>
          <w:numId w:val="1013"/>
        </w:numPr>
        <w:pStyle w:val="Compact"/>
      </w:pPr>
      <w:r>
        <w:t xml:space="preserve">Mejora en la alineación entre negocio y TI​</w:t>
      </w:r>
    </w:p>
    <w:p>
      <w:pPr>
        <w:numPr>
          <w:ilvl w:val="0"/>
          <w:numId w:val="1013"/>
        </w:numPr>
        <w:pStyle w:val="Compact"/>
      </w:pPr>
      <w:r>
        <w:t xml:space="preserve">Mitigación de rotación del equipo de arquitectura​</w:t>
      </w:r>
    </w:p>
    <w:p>
      <w:pPr>
        <w:numPr>
          <w:ilvl w:val="0"/>
          <w:numId w:val="1013"/>
        </w:numPr>
        <w:pStyle w:val="Compact"/>
      </w:pPr>
      <w:r>
        <w:t xml:space="preserve">Visión global de soluciones de TI vs. requisitos del negocio​</w:t>
      </w:r>
    </w:p>
    <w:bookmarkEnd w:id="62"/>
    <w:bookmarkStart w:id="63" w:name="actores-1"/>
    <w:p>
      <w:pPr>
        <w:pStyle w:val="Ttulo4"/>
      </w:pPr>
      <w:r>
        <w:t xml:space="preserve">Actores</w:t>
      </w:r>
    </w:p>
    <w:p>
      <w:pPr>
        <w:numPr>
          <w:ilvl w:val="0"/>
          <w:numId w:val="1014"/>
        </w:numPr>
        <w:pStyle w:val="Compact"/>
      </w:pPr>
      <w:r>
        <w:t xml:space="preserve">Áreas de negocio críticas​</w:t>
      </w:r>
    </w:p>
    <w:p>
      <w:pPr>
        <w:numPr>
          <w:ilvl w:val="0"/>
          <w:numId w:val="1014"/>
        </w:numPr>
        <w:pStyle w:val="Compact"/>
      </w:pPr>
      <w:r>
        <w:t xml:space="preserve">Oficina de arquitectura FNA​</w:t>
      </w:r>
    </w:p>
    <w:p>
      <w:pPr>
        <w:numPr>
          <w:ilvl w:val="0"/>
          <w:numId w:val="1014"/>
        </w:numPr>
        <w:pStyle w:val="Compact"/>
      </w:pPr>
      <w:r>
        <w:t xml:space="preserve">Consultores y equipo de apoyo​</w:t>
      </w:r>
    </w:p>
    <w:bookmarkEnd w:id="63"/>
    <w:bookmarkStart w:id="64" w:name="consideraciones-1"/>
    <w:p>
      <w:pPr>
        <w:pStyle w:val="Ttulo4"/>
      </w:pPr>
      <w:r>
        <w:t xml:space="preserve">Consideraciones</w:t>
      </w:r>
    </w:p>
    <w:p>
      <w:pPr>
        <w:numPr>
          <w:ilvl w:val="0"/>
          <w:numId w:val="1015"/>
        </w:numPr>
        <w:pStyle w:val="Compact"/>
      </w:pPr>
      <w:r>
        <w:t xml:space="preserve">Depósito de Arquitectura</w:t>
      </w:r>
    </w:p>
    <w:p>
      <w:pPr>
        <w:numPr>
          <w:ilvl w:val="0"/>
          <w:numId w:val="1015"/>
        </w:numPr>
        <w:pStyle w:val="Compact"/>
      </w:pPr>
      <w:r>
        <w:t xml:space="preserve">Herramientas de modelado</w:t>
      </w:r>
    </w:p>
    <w:p>
      <w:pPr>
        <w:pStyle w:val="FirstParagraph"/>
      </w:pPr>
    </w:p>
    <w:bookmarkEnd w:id="64"/>
    <w:bookmarkStart w:id="65" w:name="equipo-base-del-proyecto-1"/>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o Arquitectura de software (Stefanini)</w:t>
            </w:r>
          </w:p>
        </w:tc>
        <w:tc>
          <w:tcPr/>
          <w:p>
            <w:pPr>
              <w:pStyle w:val="Compact"/>
              <w:jc w:val="left"/>
            </w:pPr>
            <w:r>
              <w:t xml:space="preserve">Referente y vigilancia de implementación y diseños, modelamiento software y servicios</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Implementación y vigilancia de implementación y diseños, modelamiento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65"/>
    <w:bookmarkStart w:id="69" w:name="plan-de-trabajo-1"/>
    <w:p>
      <w:pPr>
        <w:pStyle w:val="Ttulo4"/>
      </w:pPr>
      <w:r>
        <w:t xml:space="preserve">Plan de Trabajo</w:t>
      </w:r>
    </w:p>
    <w:p>
      <w:pPr>
        <w:pStyle w:val="FirstParagraph"/>
      </w:pPr>
      <w:r>
        <w:t xml:space="preserve">Organización de trabajo: el proyecto 2 (PRY02) inicia con la fase de Definición (DEF) en la que amplía en detalle los elementos y tecnologías de la arquitectura de referencia 2.0. Se determina además otros detalles como los elementos de la arquitectura a impactar que terminarán siendo evolucionados en los incrementos siguientes (correspondientes a las fases 2 y 3) de este mismo plan.</w:t>
      </w:r>
    </w:p>
    <w:p>
      <w:pPr>
        <w:pStyle w:val="Figure"/>
      </w:pPr>
      <w:r>
        <w:drawing>
          <wp:inline>
            <wp:extent cx="5600700" cy="4259087"/>
            <wp:effectExtent b="0" l="0" r="0" t="0"/>
            <wp:docPr descr="" title="" id="67" name="Picture"/>
            <a:graphic>
              <a:graphicData uri="http://schemas.openxmlformats.org/drawingml/2006/picture">
                <pic:pic>
                  <pic:nvPicPr>
                    <pic:cNvPr descr="images/pry2arqref2.0.jpg" id="68" name="Picture"/>
                    <pic:cNvPicPr>
                      <a:picLocks noChangeArrowheads="1" noChangeAspect="1"/>
                    </pic:cNvPicPr>
                  </pic:nvPicPr>
                  <pic:blipFill>
                    <a:blip r:embed="rId66"/>
                    <a:stretch>
                      <a:fillRect/>
                    </a:stretch>
                  </pic:blipFill>
                  <pic:spPr bwMode="auto">
                    <a:xfrm>
                      <a:off x="0" y="0"/>
                      <a:ext cx="5600700" cy="4259087"/>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69"/>
    <w:bookmarkStart w:id="70" w:name="fases-del-proyecto-1"/>
    <w:p>
      <w:pPr>
        <w:pStyle w:val="Ttulo4"/>
      </w:pPr>
      <w:r>
        <w:t xml:space="preserve">Fases del proyecto</w:t>
      </w:r>
    </w:p>
    <w:p>
      <w:pPr>
        <w:pStyle w:val="FirstParagraph"/>
      </w:pPr>
      <w:r>
        <w:t xml:space="preserve">La fase 1 y 2, Diseño e Incremento respectivamente, tienen en realidad dos acciones: el planteamiento de la solución de la arquitectura (detalles tecnológicos), y el de la puesta en marcha de cambios mediante una implementación real de este diseño, al que llamamos arquitectura de referencia 2.0 FNA.</w:t>
      </w:r>
    </w:p>
    <w:p>
      <w:pPr>
        <w:pStyle w:val="Textoindependiente"/>
      </w:pPr>
      <w:r>
        <w:t xml:space="preserve">Las fases 3, Optimización, busca crear y gestionar el inventario de elementos genéricos de aceleración de desarrollo, como funcionalidades, y artefactos de software que cumplan los estándares de la arquitectura de referencia 2.0 definida anteriormente.</w:t>
      </w:r>
    </w:p>
    <w:p>
      <w:pPr>
        <w:pStyle w:val="Textoindependiente"/>
      </w:pPr>
      <w:r>
        <w:t xml:space="preserve">Finalmente, la fase 4 se encarga de ejecutar los indicadores de medición de desempeño de los incrementos de evolución de la arquitectura de referencia 2.0.</w:t>
      </w:r>
    </w:p>
    <w:bookmarkEnd w:id="70"/>
    <w:bookmarkStart w:id="71" w:name="plazo-de-ejecución-3"/>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71"/>
    <w:bookmarkEnd w:id="72"/>
    <w:bookmarkStart w:id="87" w:name="Xbcae97ae522a3da2a567757eb9e973e9c8ff276"/>
    <w:p>
      <w:pPr>
        <w:pStyle w:val="Ttulo3"/>
      </w:pPr>
      <w:r>
        <w:t xml:space="preserve">PRY03. Gobierno SOA FNA: dominio de aplicaciones y servicios</w:t>
      </w:r>
    </w:p>
    <w:bookmarkStart w:id="73" w:name="objetivo-2"/>
    <w:p>
      <w:pPr>
        <w:pStyle w:val="Ttulo4"/>
      </w:pPr>
      <w:r>
        <w:t xml:space="preserve">Objetivo</w:t>
      </w:r>
    </w:p>
    <w:p>
      <w:pPr>
        <w:pStyle w:val="FirstParagraph"/>
      </w:pPr>
      <w:r>
        <w:t xml:space="preserve">Estructurar y detallar los proyectos de cierre de brecha de la hoja de ruta E-Service.</w:t>
      </w:r>
    </w:p>
    <w:bookmarkEnd w:id="73"/>
    <w:bookmarkStart w:id="74" w:name="actividades-2"/>
    <w:p>
      <w:pPr>
        <w:pStyle w:val="Ttulo4"/>
      </w:pPr>
      <w:r>
        <w:t xml:space="preserve">Actividades</w:t>
      </w:r>
    </w:p>
    <w:p>
      <w:pPr>
        <w:numPr>
          <w:ilvl w:val="0"/>
          <w:numId w:val="1016"/>
        </w:numPr>
        <w:pStyle w:val="Compact"/>
      </w:pPr>
      <w:r>
        <w:t xml:space="preserve">Definición de solución de los proyectos de la hoja de ruta E-Service por implementar</w:t>
      </w:r>
    </w:p>
    <w:p>
      <w:pPr>
        <w:numPr>
          <w:ilvl w:val="0"/>
          <w:numId w:val="1016"/>
        </w:numPr>
        <w:pStyle w:val="Compact"/>
      </w:pPr>
      <w:r>
        <w:t xml:space="preserve">Planificación de las actividades e hitos de los proyectos de la hoja de ruta E-Service</w:t>
      </w:r>
    </w:p>
    <w:p>
      <w:pPr>
        <w:numPr>
          <w:ilvl w:val="0"/>
          <w:numId w:val="1016"/>
        </w:numPr>
        <w:pStyle w:val="Compact"/>
      </w:pPr>
      <w:r>
        <w:t xml:space="preserve">Alistamiento de ejecución de los proyectos de la hoja de ruta por implementar: recursos y equipo de trabajo</w:t>
      </w:r>
    </w:p>
    <w:p>
      <w:pPr>
        <w:numPr>
          <w:ilvl w:val="0"/>
          <w:numId w:val="1016"/>
        </w:numPr>
        <w:pStyle w:val="Compact"/>
      </w:pPr>
      <w:r>
        <w:t xml:space="preserve">Aprobación de inicio de de los proyectos de la hoja de ruta</w:t>
      </w:r>
    </w:p>
    <w:bookmarkEnd w:id="74"/>
    <w:bookmarkStart w:id="75" w:name="entregables-2"/>
    <w:p>
      <w:pPr>
        <w:pStyle w:val="Ttulo4"/>
      </w:pPr>
      <w:r>
        <w:t xml:space="preserve">Entregables</w:t>
      </w:r>
    </w:p>
    <w:p>
      <w:pPr>
        <w:numPr>
          <w:ilvl w:val="0"/>
          <w:numId w:val="1017"/>
        </w:numPr>
        <w:pStyle w:val="Compact"/>
      </w:pPr>
      <w:r>
        <w:t xml:space="preserve">PR20. Documentación de estructuración y gestión de proyectos hoja de ruta E-Service por implementar</w:t>
      </w:r>
    </w:p>
    <w:p>
      <w:pPr>
        <w:numPr>
          <w:ilvl w:val="0"/>
          <w:numId w:val="1017"/>
        </w:numPr>
        <w:pStyle w:val="Compact"/>
      </w:pPr>
      <w:r>
        <w:t xml:space="preserve">PR21. Aprobación de inicio de los proyectos de la hoja de ruta E-Service</w:t>
      </w:r>
    </w:p>
    <w:p>
      <w:pPr>
        <w:numPr>
          <w:ilvl w:val="0"/>
          <w:numId w:val="1017"/>
        </w:numPr>
        <w:pStyle w:val="Compact"/>
      </w:pPr>
      <w:r>
        <w:t xml:space="preserve">PR22. Plan de trabajo de los proyectos de la hoja de ruta E-Service</w:t>
      </w:r>
    </w:p>
    <w:p>
      <w:pPr>
        <w:numPr>
          <w:ilvl w:val="0"/>
          <w:numId w:val="1017"/>
        </w:numPr>
        <w:pStyle w:val="Compact"/>
      </w:pPr>
      <w:r>
        <w:t xml:space="preserve">PR23. Listados de recursos, roles y personas requeridas por los proyectos de la hoja de ruta E-Service</w:t>
      </w:r>
    </w:p>
    <w:p>
      <w:pPr>
        <w:numPr>
          <w:ilvl w:val="0"/>
          <w:numId w:val="1017"/>
        </w:numPr>
        <w:pStyle w:val="Compact"/>
      </w:pPr>
      <w:r>
        <w:t xml:space="preserve">PR24. Arquitectura de solución de los proyectos de cierre de brecha</w:t>
      </w:r>
    </w:p>
    <w:p>
      <w:pPr>
        <w:numPr>
          <w:ilvl w:val="0"/>
          <w:numId w:val="1017"/>
        </w:numPr>
        <w:pStyle w:val="Compact"/>
      </w:pPr>
      <w:r>
        <w:t xml:space="preserve">PR25. Ficha de proyectos hoja de ruta E-Service. Incremento 1</w:t>
      </w:r>
    </w:p>
    <w:p>
      <w:pPr>
        <w:numPr>
          <w:ilvl w:val="0"/>
          <w:numId w:val="1017"/>
        </w:numPr>
        <w:pStyle w:val="Compact"/>
      </w:pPr>
      <w:r>
        <w:t xml:space="preserve">PR26. Ficha de proyectos hoja de ruta E-Service. Incremento 2</w:t>
      </w:r>
    </w:p>
    <w:bookmarkEnd w:id="75"/>
    <w:bookmarkStart w:id="76" w:name="plazo-de-ejecución-4"/>
    <w:p>
      <w:pPr>
        <w:pStyle w:val="Ttulo4"/>
      </w:pPr>
      <w:r>
        <w:t xml:space="preserve">Plazo de Ejecución</w:t>
      </w:r>
    </w:p>
    <w:p>
      <w:pPr>
        <w:pStyle w:val="FirstParagraph"/>
      </w:pPr>
      <w:r>
        <w:t xml:space="preserve">4 meses, iniciado a partir del mes de mayo del 2023 (ver Plan de Ejecución PRY03 más adelante).</w:t>
      </w:r>
    </w:p>
    <w:bookmarkEnd w:id="76"/>
    <w:bookmarkStart w:id="77" w:name="impacto-beneficio-2"/>
    <w:p>
      <w:pPr>
        <w:pStyle w:val="Ttulo4"/>
      </w:pPr>
      <w:r>
        <w:t xml:space="preserve">Impacto / Beneficio</w:t>
      </w:r>
    </w:p>
    <w:p>
      <w:pPr>
        <w:numPr>
          <w:ilvl w:val="0"/>
          <w:numId w:val="1018"/>
        </w:numPr>
        <w:pStyle w:val="Compact"/>
      </w:pPr>
      <w:r>
        <w:t xml:space="preserve">Preparativos que logren la aprobación de la ejecución de los proyectos de cierre de brecha de las debilidades de arquitectura FNA.​</w:t>
      </w:r>
    </w:p>
    <w:bookmarkEnd w:id="77"/>
    <w:bookmarkStart w:id="78" w:name="actores-2"/>
    <w:p>
      <w:pPr>
        <w:pStyle w:val="Ttulo4"/>
      </w:pPr>
      <w:r>
        <w:t xml:space="preserve">Actores</w:t>
      </w:r>
    </w:p>
    <w:p>
      <w:pPr>
        <w:numPr>
          <w:ilvl w:val="0"/>
          <w:numId w:val="1019"/>
        </w:numPr>
        <w:pStyle w:val="Compact"/>
      </w:pPr>
      <w:r>
        <w:t xml:space="preserve">Comité de gobierno del FNA</w:t>
      </w:r>
    </w:p>
    <w:p>
      <w:pPr>
        <w:numPr>
          <w:ilvl w:val="0"/>
          <w:numId w:val="1019"/>
        </w:numPr>
        <w:pStyle w:val="Compact"/>
      </w:pPr>
      <w:r>
        <w:t xml:space="preserve">Oficina de arquitectura FNA</w:t>
      </w:r>
    </w:p>
    <w:p>
      <w:pPr>
        <w:numPr>
          <w:ilvl w:val="0"/>
          <w:numId w:val="1019"/>
        </w:numPr>
        <w:pStyle w:val="Compact"/>
      </w:pPr>
      <w:r>
        <w:t xml:space="preserve">Personal FNA asociado por proyecto (infraestructura, Crédito, Datos, etc.)</w:t>
      </w:r>
    </w:p>
    <w:bookmarkEnd w:id="78"/>
    <w:bookmarkStart w:id="79" w:name="consideraciones-2"/>
    <w:p>
      <w:pPr>
        <w:pStyle w:val="Ttulo4"/>
      </w:pPr>
      <w:r>
        <w:t xml:space="preserve">Consideraciones</w:t>
      </w:r>
    </w:p>
    <w:p>
      <w:pPr>
        <w:numPr>
          <w:ilvl w:val="0"/>
          <w:numId w:val="1020"/>
        </w:numPr>
        <w:pStyle w:val="Compact"/>
      </w:pPr>
      <w:r>
        <w:t xml:space="preserve">MEGA: depósito centralizado de arquitectura del FNA</w:t>
      </w:r>
    </w:p>
    <w:p>
      <w:pPr>
        <w:numPr>
          <w:ilvl w:val="0"/>
          <w:numId w:val="1020"/>
        </w:numPr>
        <w:pStyle w:val="Compact"/>
      </w:pPr>
      <w:r>
        <w:t xml:space="preserve">Depósito documental</w:t>
      </w:r>
    </w:p>
    <w:p>
      <w:pPr>
        <w:numPr>
          <w:ilvl w:val="0"/>
          <w:numId w:val="1020"/>
        </w:numPr>
        <w:pStyle w:val="Compact"/>
      </w:pPr>
      <w:r>
        <w:t xml:space="preserve">Herramientas de gestión de proyectos de tecnología</w:t>
      </w:r>
    </w:p>
    <w:p>
      <w:pPr>
        <w:pStyle w:val="FirstParagraph"/>
      </w:pPr>
    </w:p>
    <w:bookmarkEnd w:id="79"/>
    <w:bookmarkStart w:id="80" w:name="equipo-base-del-proyecto-2"/>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Coordinador de proyectos principal Senior (Stefanini)</w:t>
            </w:r>
          </w:p>
        </w:tc>
        <w:tc>
          <w:tcPr/>
          <w:p>
            <w:pPr>
              <w:pStyle w:val="Compact"/>
              <w:jc w:val="left"/>
            </w:pPr>
            <w:r>
              <w:t xml:space="preserve">Estructuración de proyectos de la hoja de ruta E-Service</w:t>
            </w:r>
          </w:p>
        </w:tc>
        <w:tc>
          <w:tcPr/>
          <w:p>
            <w:pPr>
              <w:pStyle w:val="Compact"/>
              <w:jc w:val="left"/>
            </w:pPr>
            <w:r>
              <w:t xml:space="preserve">100%</w:t>
            </w:r>
          </w:p>
        </w:tc>
      </w:tr>
      <w:tr>
        <w:tc>
          <w:tcPr/>
          <w:p>
            <w:pPr>
              <w:pStyle w:val="Compact"/>
              <w:jc w:val="left"/>
            </w:pPr>
            <w:r>
              <w:t xml:space="preserve">2</w:t>
            </w:r>
          </w:p>
        </w:tc>
        <w:tc>
          <w:tcPr/>
          <w:p>
            <w:pPr>
              <w:pStyle w:val="Compact"/>
              <w:jc w:val="left"/>
            </w:pPr>
            <w:r>
              <w:t xml:space="preserve">Coordinador de proyectos auxiliar (Stefanini)</w:t>
            </w:r>
          </w:p>
        </w:tc>
        <w:tc>
          <w:tcPr/>
          <w:p>
            <w:pPr>
              <w:pStyle w:val="Compact"/>
            </w:pP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80"/>
    <w:bookmarkStart w:id="84" w:name="plan-de-trabajo-2"/>
    <w:p>
      <w:pPr>
        <w:pStyle w:val="Ttulo4"/>
      </w:pPr>
      <w:r>
        <w:t xml:space="preserve">Plan de Trabajo</w:t>
      </w:r>
    </w:p>
    <w:p>
      <w:pPr>
        <w:pStyle w:val="FirstParagraph"/>
      </w:pPr>
      <w:r>
        <w:t xml:space="preserve">Organización de trabajo: el proyecto 3 (PRY03) inicia con la fase de Levantamiento (LVT) de los proyectos por implementar de la hoja de ruta E-Service, en coordinación con las áreas de negocio y tecnología del FNA involucradas en cada proyecto. Se determinan los detalles de los elementos de la arquitectura a impactar.</w:t>
      </w:r>
    </w:p>
    <w:p>
      <w:pPr>
        <w:pStyle w:val="Figure"/>
      </w:pPr>
      <w:r>
        <w:drawing>
          <wp:inline>
            <wp:extent cx="5600700" cy="3125105"/>
            <wp:effectExtent b="0" l="0" r="0" t="0"/>
            <wp:docPr descr="" title="" id="82" name="Picture"/>
            <a:graphic>
              <a:graphicData uri="http://schemas.openxmlformats.org/drawingml/2006/picture">
                <pic:pic>
                  <pic:nvPicPr>
                    <pic:cNvPr descr="images/pry3estructuracion.jpg" id="83" name="Picture"/>
                    <pic:cNvPicPr>
                      <a:picLocks noChangeArrowheads="1" noChangeAspect="1"/>
                    </pic:cNvPicPr>
                  </pic:nvPicPr>
                  <pic:blipFill>
                    <a:blip r:embed="rId81"/>
                    <a:stretch>
                      <a:fillRect/>
                    </a:stretch>
                  </pic:blipFill>
                  <pic:spPr bwMode="auto">
                    <a:xfrm>
                      <a:off x="0" y="0"/>
                      <a:ext cx="5600700" cy="3125105"/>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w:t>
      </w:r>
    </w:p>
    <w:bookmarkEnd w:id="84"/>
    <w:bookmarkStart w:id="85" w:name="fases-del-proyecto-2"/>
    <w:p>
      <w:pPr>
        <w:pStyle w:val="Ttulo4"/>
      </w:pPr>
      <w:r>
        <w:t xml:space="preserve">Fases del proyecto</w:t>
      </w:r>
    </w:p>
    <w:p>
      <w:pPr>
        <w:pStyle w:val="FirstParagraph"/>
      </w:pPr>
      <w:r>
        <w:t xml:space="preserve">Las fases 1 detalla las soluciones de los proyectos de cierre de brechas que confirman la hoja de ruta E-Service por implementar. Trata de los componentes, partes de la arquitectura de referencia 2.0, herramientas, métodos, diseños y tecnologías requeridas para la implementación y ejecución de dichos proyectos de cierre de brecha.</w:t>
      </w:r>
    </w:p>
    <w:p>
      <w:pPr>
        <w:pStyle w:val="Textoindependiente"/>
      </w:pPr>
      <w:r>
        <w:t xml:space="preserve">Las fases 2 y 3, de estructuración, agregan la información de la organización, ejecución y seguimiento de los proyectos de solución definidos en la fase anterior.</w:t>
      </w:r>
    </w:p>
    <w:bookmarkEnd w:id="85"/>
    <w:bookmarkStart w:id="86" w:name="plazo-de-ejecución-5"/>
    <w:p>
      <w:pPr>
        <w:pStyle w:val="Ttulo4"/>
      </w:pPr>
      <w:r>
        <w:t xml:space="preserve">Plazo de Ejecución</w:t>
      </w:r>
    </w:p>
    <w:p>
      <w:pPr>
        <w:pStyle w:val="FirstParagraph"/>
      </w:pPr>
      <w:r>
        <w:t xml:space="preserve">El plazo de ejecución, contado desde la firma del contrato y de la autorización de todas las partes, es de 4 meses, o su equivalente en horas</w:t>
      </w:r>
    </w:p>
    <w:p>
      <w:pPr>
        <w:pStyle w:val="SourceCode"/>
      </w:pPr>
      <w:r>
        <w:rPr>
          <w:rStyle w:val="VerbatimChar"/>
        </w:rPr>
        <w:t xml:space="preserve">180 hrs/mes * 4 meses = 720 hrs / hombre proyecto</w:t>
      </w:r>
    </w:p>
    <w:p>
      <w:pPr>
        <w:pStyle w:val="FirstParagraph"/>
      </w:pPr>
    </w:p>
    <w:bookmarkEnd w:id="86"/>
    <w:bookmarkEnd w:id="87"/>
    <w:bookmarkEnd w:id="88"/>
    <w:bookmarkStart w:id="92" w:name="Xf7cf1265dfb6d766688087e018536165e14a4a0"/>
    <w:p>
      <w:pPr>
        <w:pStyle w:val="Ttulo2"/>
      </w:pPr>
      <w:r>
        <w:t xml:space="preserve">Componentes de la Arquitectura FNA Impactados</w:t>
      </w:r>
    </w:p>
    <w:p>
      <w:pPr>
        <w:pStyle w:val="FirstParagraph"/>
      </w:pPr>
      <w:r>
        <w:t xml:space="preserve">Los aumentos de versión de la arquitectura SOA del FNA implica ítems de trabajo, componentes de software, aplicaciones, tecnologías o recursos de capital humano deban ser modificados (aumentado de versión).</w:t>
      </w:r>
    </w:p>
    <w:p>
      <w:pPr>
        <w:pStyle w:val="Textoindependiente"/>
      </w:pPr>
      <w:r>
        <w:t xml:space="preserve">Con propósito únicamente ilustrativo de los ítems que pueden ser sujetos de variante (especialización) por concepto de los incrementos de la arquitectura del FNA, dominio de aplicaciones y servicios únicamente, bajo las condiciones de tiempo y recursos del proyecto de implementación de hoja de ruta E-Service, período 2023, presentamos a continuación una lista de aplicaciones de software que pueden llegar a cambiar (otros ítems se no presentes en este ejemplo pueden ser impactados).</w:t>
      </w:r>
    </w:p>
    <w:p>
      <w:pPr>
        <w:pStyle w:val="Figure"/>
      </w:pPr>
      <w:r>
        <w:drawing>
          <wp:inline>
            <wp:extent cx="5600700" cy="3791707"/>
            <wp:effectExtent b="0" l="0" r="0" t="0"/>
            <wp:docPr descr="" title="" id="90" name="Picture"/>
            <a:graphic>
              <a:graphicData uri="http://schemas.openxmlformats.org/drawingml/2006/picture">
                <pic:pic>
                  <pic:nvPicPr>
                    <pic:cNvPr descr="images/vistaitemsarq.png" id="91" name="Picture"/>
                    <pic:cNvPicPr>
                      <a:picLocks noChangeArrowheads="1" noChangeAspect="1"/>
                    </pic:cNvPicPr>
                  </pic:nvPicPr>
                  <pic:blipFill>
                    <a:blip r:embed="rId89"/>
                    <a:stretch>
                      <a:fillRect/>
                    </a:stretch>
                  </pic:blipFill>
                  <pic:spPr bwMode="auto">
                    <a:xfrm>
                      <a:off x="0" y="0"/>
                      <a:ext cx="5600700" cy="379170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Aplicaciones de software del FNA involucrados en los incrementos de versión de la arquitectura de referencia.</w:t>
      </w:r>
    </w:p>
    <w:p>
      <w:pPr>
        <w:pStyle w:val="Textoindependiente"/>
      </w:pPr>
    </w:p>
    <w:bookmarkEnd w:id="92"/>
    <w:bookmarkStart w:id="97" w:name="lista-de-entregables-de-la-propuesta"/>
    <w:p>
      <w:pPr>
        <w:pStyle w:val="Ttulo2"/>
      </w:pPr>
      <w:r>
        <w:t xml:space="preserve">Lista de Entregables de la Propuesta</w:t>
      </w:r>
    </w:p>
    <w:tbl>
      <w:tblPr>
        <w:tblStyle w:val="Table"/>
        <w:tblW w:type="pct" w:w="5000"/>
        <w:tblLook w:firstRow="1" w:lastRow="0" w:firstColumn="0" w:lastColumn="0" w:noHBand="0" w:noVBand="0" w:val="0020"/>
      </w:tblPr>
      <w:tblGrid>
        <w:gridCol w:w="6777"/>
        <w:gridCol w:w="1142"/>
      </w:tblGrid>
      <w:tr>
        <w:trPr>
          <w:tblHeader w:val="true"/>
        </w:trPr>
        <w:tc>
          <w:tcPr/>
          <w:p>
            <w:pPr>
              <w:pStyle w:val="Compact"/>
              <w:jc w:val="left"/>
            </w:pPr>
            <w:r>
              <w:t xml:space="preserve">PRY01</w:t>
            </w:r>
          </w:p>
        </w:tc>
        <w:tc>
          <w:tcPr/>
          <w:p>
            <w:pPr>
              <w:pStyle w:val="Compact"/>
              <w:jc w:val="left"/>
            </w:pPr>
            <w:r>
              <w:t xml:space="preserve">Documentación</w:t>
            </w:r>
          </w:p>
        </w:tc>
      </w:tr>
      <w:tr>
        <w:tc>
          <w:tcPr/>
          <w:p>
            <w:pPr>
              <w:pStyle w:val="Compact"/>
              <w:jc w:val="left"/>
            </w:pPr>
            <w:r>
              <w:t xml:space="preserve">PR01. Detalle de los ítems de arquitectura impactados por el proyecto</w:t>
            </w:r>
          </w:p>
        </w:tc>
        <w:tc>
          <w:tcPr/>
          <w:p>
            <w:pPr>
              <w:pStyle w:val="Compact"/>
            </w:pPr>
          </w:p>
        </w:tc>
      </w:tr>
      <w:tr>
        <w:tc>
          <w:tcPr/>
          <w:p>
            <w:pPr>
              <w:pStyle w:val="Compact"/>
              <w:jc w:val="left"/>
            </w:pPr>
            <w:r>
              <w:t xml:space="preserve">PR02. Detalle de los recursos, herramientas, roles, responsabilidades y participantes</w:t>
            </w:r>
          </w:p>
        </w:tc>
        <w:tc>
          <w:tcPr/>
          <w:p>
            <w:pPr>
              <w:pStyle w:val="Compact"/>
            </w:pPr>
          </w:p>
        </w:tc>
      </w:tr>
      <w:tr>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PR04. Definición de roles y responsabilidades y selección e instalación del comité</w:t>
            </w:r>
          </w:p>
        </w:tc>
        <w:tc>
          <w:tcPr/>
          <w:p>
            <w:pPr>
              <w:pStyle w:val="Compact"/>
            </w:pPr>
          </w:p>
        </w:tc>
      </w:tr>
      <w:tr>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PR07. Métricas de efectividad del gobierno</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840"/>
        <w:gridCol w:w="1080"/>
      </w:tblGrid>
      <w:tr>
        <w:trPr>
          <w:tblHeader w:val="true"/>
        </w:trPr>
        <w:tc>
          <w:tcPr/>
          <w:p>
            <w:pPr>
              <w:pStyle w:val="Compact"/>
              <w:jc w:val="left"/>
            </w:pPr>
            <w:r>
              <w:t xml:space="preserve">PRY02</w:t>
            </w:r>
          </w:p>
        </w:tc>
        <w:tc>
          <w:tcPr/>
          <w:p>
            <w:pPr>
              <w:pStyle w:val="Compact"/>
              <w:jc w:val="left"/>
            </w:pPr>
            <w:r>
              <w:t xml:space="preserve">Documentación</w:t>
            </w:r>
          </w:p>
        </w:tc>
      </w:tr>
      <w:tr>
        <w:tc>
          <w:tcPr/>
          <w:p>
            <w:pPr>
              <w:pStyle w:val="Compact"/>
              <w:jc w:val="left"/>
            </w:pPr>
            <w:r>
              <w:t xml:space="preserve">PR10. Detalle de los ítems de arquitectura impactados por el proyecto</w:t>
            </w:r>
          </w:p>
        </w:tc>
        <w:tc>
          <w:tcPr/>
          <w:p>
            <w:pPr>
              <w:pStyle w:val="Compact"/>
            </w:pPr>
          </w:p>
        </w:tc>
      </w:tr>
      <w:tr>
        <w:tc>
          <w:tcPr/>
          <w:p>
            <w:pPr>
              <w:pStyle w:val="Compact"/>
              <w:jc w:val="left"/>
            </w:pPr>
            <w:r>
              <w:t xml:space="preserve">PR11. Detalle de los recursos, herramientas, roles, responsabilidades y participantes</w:t>
            </w:r>
          </w:p>
        </w:tc>
        <w:tc>
          <w:tcPr/>
          <w:p>
            <w:pPr>
              <w:pStyle w:val="Compact"/>
            </w:pPr>
          </w:p>
        </w:tc>
      </w:tr>
      <w:tr>
        <w:tc>
          <w:tcPr/>
          <w:p>
            <w:pPr>
              <w:pStyle w:val="Compact"/>
              <w:jc w:val="left"/>
            </w:pPr>
            <w:r>
              <w:t xml:space="preserve">PR12. Diseño detallado y vistas funcional, despliegue, información, integración y tecnología​</w:t>
            </w:r>
          </w:p>
        </w:tc>
        <w:tc>
          <w:tcPr/>
          <w:p>
            <w:pPr>
              <w:pStyle w:val="Compact"/>
            </w:pPr>
          </w:p>
        </w:tc>
      </w:tr>
      <w:tr>
        <w:tc>
          <w:tcPr/>
          <w:p>
            <w:pPr>
              <w:pStyle w:val="Compact"/>
              <w:jc w:val="left"/>
            </w:pPr>
            <w:r>
              <w:t xml:space="preserve">PR13. Modelado en lenguaje y herramienta de diseño del FNA​</w:t>
            </w:r>
          </w:p>
        </w:tc>
        <w:tc>
          <w:tcPr/>
          <w:p>
            <w:pPr>
              <w:pStyle w:val="Compact"/>
            </w:pPr>
          </w:p>
        </w:tc>
      </w:tr>
      <w:tr>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PR16. Análisis de impacto y modelos actualizados de los ítems de arquitectura</w:t>
            </w:r>
          </w:p>
        </w:tc>
        <w:tc>
          <w:tcPr/>
          <w:p>
            <w:pPr>
              <w:pStyle w:val="Compact"/>
            </w:pPr>
          </w:p>
        </w:tc>
      </w:tr>
      <w:tr>
        <w:tc>
          <w:tcPr/>
          <w:p>
            <w:pPr>
              <w:pStyle w:val="Compact"/>
              <w:jc w:val="left"/>
            </w:pPr>
            <w:r>
              <w:t xml:space="preserve">PR17. Ítems de arquitectura incrementados en ejecución</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954"/>
        <w:gridCol w:w="965"/>
      </w:tblGrid>
      <w:tr>
        <w:trPr>
          <w:tblHeader w:val="true"/>
        </w:trPr>
        <w:tc>
          <w:tcPr/>
          <w:p>
            <w:pPr>
              <w:pStyle w:val="Compact"/>
              <w:jc w:val="left"/>
            </w:pPr>
            <w:r>
              <w:t xml:space="preserve">PRY03</w:t>
            </w:r>
          </w:p>
        </w:tc>
        <w:tc>
          <w:tcPr/>
          <w:p>
            <w:pPr>
              <w:pStyle w:val="Compact"/>
              <w:jc w:val="left"/>
            </w:pPr>
            <w:r>
              <w:t xml:space="preserve">Documentación</w:t>
            </w:r>
          </w:p>
        </w:tc>
      </w:tr>
      <w:tr>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jc w:val="left"/>
            </w:pPr>
            <w:r>
              <w:t xml:space="preserve">PR21. Aprobación de inicio de los proyectos de la hoja de ruta E-Service</w:t>
            </w:r>
          </w:p>
        </w:tc>
        <w:tc>
          <w:tcPr/>
          <w:p>
            <w:pPr>
              <w:pStyle w:val="Compact"/>
            </w:pPr>
          </w:p>
        </w:tc>
      </w:tr>
      <w:tr>
        <w:tc>
          <w:tcPr/>
          <w:p>
            <w:pPr>
              <w:pStyle w:val="Compact"/>
              <w:jc w:val="left"/>
            </w:pPr>
            <w:r>
              <w:t xml:space="preserve">PR22. Plan de trabajo de los proyectos de la hoja de ruta E-Service</w:t>
            </w:r>
          </w:p>
        </w:tc>
        <w:tc>
          <w:tcPr/>
          <w:p>
            <w:pPr>
              <w:pStyle w:val="Compact"/>
            </w:pPr>
          </w:p>
        </w:tc>
      </w:tr>
      <w:tr>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PR26. Ficha de proyectos hoja de ruta E-Service. Incremento 2</w:t>
            </w:r>
          </w:p>
        </w:tc>
        <w:tc>
          <w:tcPr/>
          <w:p>
            <w:pPr>
              <w:pStyle w:val="Compact"/>
            </w:pPr>
          </w:p>
        </w:tc>
      </w:tr>
    </w:tbl>
    <w:p>
      <w:pPr>
        <w:pStyle w:val="Textoindependiente"/>
      </w:pPr>
    </w:p>
    <w:bookmarkStart w:id="96" w:name="plan-general-de-la-propuesta"/>
    <w:p>
      <w:pPr>
        <w:pStyle w:val="Ttulo3"/>
      </w:pPr>
      <w:r>
        <w:t xml:space="preserve">Plan General de la Propuesta</w:t>
      </w:r>
    </w:p>
    <w:p>
      <w:pPr>
        <w:pStyle w:val="FirstParagraph"/>
      </w:pPr>
      <w:r>
        <w:t xml:space="preserve">La siguiente imagen presenta a manera de referencia el plan general en el tiempo de los tres proyectos contenidos en el alcance de esta propuesta. Nota: los plazos en la imagen son referenciales. Los plazos reales de cada proyexto, por separado, serán determinados y aceptados en las fases de levantamiento de cada uno.</w:t>
      </w:r>
    </w:p>
    <w:p>
      <w:pPr>
        <w:pStyle w:val="Figure"/>
      </w:pPr>
      <w:r>
        <w:drawing>
          <wp:inline>
            <wp:extent cx="5600700" cy="3093197"/>
            <wp:effectExtent b="0" l="0" r="0" t="0"/>
            <wp:docPr descr="" title="" id="94" name="Picture"/>
            <a:graphic>
              <a:graphicData uri="http://schemas.openxmlformats.org/drawingml/2006/picture">
                <pic:pic>
                  <pic:nvPicPr>
                    <pic:cNvPr descr="images/plangeneral.png" id="95" name="Picture"/>
                    <pic:cNvPicPr>
                      <a:picLocks noChangeArrowheads="1" noChangeAspect="1"/>
                    </pic:cNvPicPr>
                  </pic:nvPicPr>
                  <pic:blipFill>
                    <a:blip r:embed="rId93"/>
                    <a:stretch>
                      <a:fillRect/>
                    </a:stretch>
                  </pic:blipFill>
                  <pic:spPr bwMode="auto">
                    <a:xfrm>
                      <a:off x="0" y="0"/>
                      <a:ext cx="5600700" cy="309319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tiempo de ejecución de los proyectos de cierre de brecha de la hoja de ruta E-Service consignados en el alcance de esta propuesta, para el período de 5 meses, en el 2023.</w:t>
      </w:r>
    </w:p>
    <w:p>
      <w:pPr>
        <w:pStyle w:val="Textoindependiente"/>
      </w:pPr>
    </w:p>
    <w:bookmarkEnd w:id="96"/>
    <w:bookmarkEnd w:id="97"/>
    <w:bookmarkStart w:id="98" w:name="costo-beneficio-aproximado"/>
    <w:p>
      <w:pPr>
        <w:pStyle w:val="Ttulo2"/>
      </w:pPr>
      <w:r>
        <w:t xml:space="preserve">Costo Beneficio (aproximado)</w:t>
      </w:r>
    </w:p>
    <w:p>
      <w:pPr>
        <w:pStyle w:val="FirstParagraph"/>
      </w:pPr>
      <w:r>
        <w:t xml:space="preserve">…</w:t>
      </w:r>
    </w:p>
    <w:p>
      <w:pPr>
        <w:pStyle w:val="Textoindependiente"/>
      </w:pPr>
    </w:p>
    <w:bookmarkEnd w:id="98"/>
    <w:bookmarkStart w:id="99" w:name="consideraciones-3"/>
    <w:p>
      <w:pPr>
        <w:pStyle w:val="Ttulo2"/>
      </w:pPr>
      <w:r>
        <w:t xml:space="preserve">Consideraciones</w:t>
      </w:r>
    </w:p>
    <w:p>
      <w:pPr>
        <w:pStyle w:val="FirstParagraph"/>
      </w:pPr>
      <w:r>
        <w:t xml:space="preserve">…</w:t>
      </w:r>
    </w:p>
    <w:bookmarkEnd w:id="99"/>
    <w:bookmarkStart w:id="100" w:name="edt"/>
    <w:p>
      <w:pPr>
        <w:pStyle w:val="Ttulo2"/>
      </w:pPr>
      <w:r>
        <w:t xml:space="preserve">EDT</w:t>
      </w:r>
    </w:p>
    <w:bookmarkEnd w:id="100"/>
    <w:bookmarkStart w:id="102" w:name="referencias"/>
    <w:p>
      <w:pPr>
        <w:pStyle w:val="Ttulo2"/>
      </w:pPr>
      <w:r>
        <w:t xml:space="preserve">Referencias</w:t>
      </w:r>
    </w:p>
    <w:bookmarkStart w:id="101" w:name="refs"/>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93" Target="media/rId93.png" /><Relationship Type="http://schemas.openxmlformats.org/officeDocument/2006/relationships/image" Id="rId51" Target="media/rId51.jpg" /><Relationship Type="http://schemas.openxmlformats.org/officeDocument/2006/relationships/image" Id="rId66" Target="media/rId66.jpg" /><Relationship Type="http://schemas.openxmlformats.org/officeDocument/2006/relationships/image" Id="rId81" Target="media/rId81.jp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89" Target="media/rId89.png" /><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14423d510f75238b6285017cfe496b82ffd20d82" TargetMode="External" /><Relationship Type="http://schemas.openxmlformats.org/officeDocument/2006/relationships/hyperlink" Id="rId20" Target="https://hwong23.github.io/e-service/v/14423d510f75238b6285017cfe496b82ffd20d82/"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14423d510f75238b6285017cfe496b82ffd20d82" TargetMode="External" /><Relationship Type="http://schemas.openxmlformats.org/officeDocument/2006/relationships/hyperlink" Id="rId20" Target="https://hwong23.github.io/e-service/v/14423d510f75238b6285017cfe496b82ffd20d82/"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2023-04-04T20:13:13Z</dcterms:created>
  <dcterms:modified xsi:type="dcterms:W3CDTF">2023-04-04T20:13:13Z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2023-04-04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