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1.png" ContentType="image/png"/>
  <Override PartName="/word/media/rId40.png" ContentType="image/png"/>
  <Override PartName="/word/media/rId37.png" ContentType="image/png"/>
  <Override PartName="/word/media/rId52.png" ContentType="image/png"/>
  <Override PartName="/word/media/rId4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ipervnculo"/>
          </w:rPr>
          <w:t xml:space="preserve">hwong23/e-service@1f85639</w:t>
        </w:r>
      </w:hyperlink>
      <w:r>
        <w:t xml:space="preserve"> </w:t>
      </w:r>
      <w:r>
        <w:t xml:space="preserve">on March 28, 2023.</w:t>
      </w:r>
      <w:r>
        <w:t xml:space="preserve"> </w:t>
      </w:r>
    </w:p>
    <w:bookmarkStart w:id="28" w:name="authors"/>
    <w:p>
      <w:pPr>
        <w:pStyle w:val="Ttulo2"/>
      </w:pPr>
      <w:r>
        <w:t xml:space="preserve">Authors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Eddie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3">
        <w:r>
          <w:rPr>
            <w:rStyle w:val="Hipervnculo"/>
          </w:rPr>
          <w:t xml:space="preserve">e_ehernandez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Datos,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Federico Suárez,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e_fsuarez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Infraestructura,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Darío Correal,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e_dcorreal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TI, Stefanini</w:t>
      </w:r>
      <w:r>
        <w:t xml:space="preserve"> </w:t>
      </w:r>
    </w:p>
    <w:bookmarkStart w:id="27" w:name="correspondence"/>
    <w:p>
      <w:pPr>
        <w:pStyle w:val="FirstParagraph"/>
      </w:pPr>
      <w:r>
        <w:t xml:space="preserve">✉ — Correspondence possible via</w:t>
      </w:r>
      <w:r>
        <w:t xml:space="preserve"> </w:t>
      </w:r>
      <w:hyperlink r:id="rId26">
        <w:r>
          <w:rPr>
            <w:rStyle w:val="Hipervnculo"/>
          </w:rPr>
          <w:t xml:space="preserve">GitHub Issues</w:t>
        </w:r>
      </w:hyperlink>
    </w:p>
    <w:bookmarkEnd w:id="27"/>
    <w:bookmarkEnd w:id="28"/>
    <w:bookmarkStart w:id="30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1f85639 del 28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30"/>
    <w:bookmarkStart w:id="35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2"/>
        </w:numPr>
        <w:pStyle w:val="Compact"/>
      </w:pPr>
      <w:r>
        <w:t xml:space="preserve">Gobierno SOA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Portafolio API</w:t>
      </w:r>
    </w:p>
    <w:p>
      <w:pPr>
        <w:numPr>
          <w:ilvl w:val="0"/>
          <w:numId w:val="1002"/>
        </w:numPr>
        <w:pStyle w:val="Compact"/>
      </w:pPr>
      <w:r>
        <w:t xml:space="preserve">Microservicios</w:t>
      </w:r>
    </w:p>
    <w:p>
      <w:pPr>
        <w:numPr>
          <w:ilvl w:val="0"/>
          <w:numId w:val="1002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2"/>
        </w:numPr>
        <w:pStyle w:val="Compact"/>
      </w:pPr>
      <w:r>
        <w:t xml:space="preserve">Service mesh</w:t>
      </w:r>
    </w:p>
    <w:p>
      <w:pPr>
        <w:numPr>
          <w:ilvl w:val="0"/>
          <w:numId w:val="1002"/>
        </w:numPr>
        <w:pStyle w:val="Compact"/>
      </w:pPr>
      <w:r>
        <w:t xml:space="preserve">Hub de integración digital</w:t>
      </w:r>
    </w:p>
    <w:p>
      <w:pPr>
        <w:numPr>
          <w:ilvl w:val="0"/>
          <w:numId w:val="1002"/>
        </w:numPr>
        <w:pStyle w:val="Compact"/>
      </w:pPr>
      <w:r>
        <w:t xml:space="preserve">Gobierno de datos</w:t>
      </w:r>
    </w:p>
    <w:p>
      <w:pPr>
        <w:numPr>
          <w:ilvl w:val="0"/>
          <w:numId w:val="1002"/>
        </w:numPr>
        <w:pStyle w:val="Compact"/>
      </w:pPr>
      <w:r>
        <w:t xml:space="preserve">Gestión de datos maestros</w:t>
      </w:r>
    </w:p>
    <w:p>
      <w:pPr>
        <w:numPr>
          <w:ilvl w:val="0"/>
          <w:numId w:val="1002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2"/>
        </w:numPr>
        <w:pStyle w:val="Compact"/>
      </w:pPr>
      <w:r>
        <w:t xml:space="preserve">Devops</w:t>
      </w:r>
    </w:p>
    <w:p>
      <w:pPr>
        <w:numPr>
          <w:ilvl w:val="0"/>
          <w:numId w:val="1002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2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hojaruta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35"/>
    <w:bookmarkStart w:id="36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3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3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3"/>
        </w:numPr>
        <w:pStyle w:val="Compact"/>
      </w:pPr>
      <w:r>
        <w:t xml:space="preserve">Independencia de proveedor (OBJ1)</w:t>
      </w:r>
    </w:p>
    <w:p>
      <w:pPr>
        <w:pStyle w:val="FirstParagraph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4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4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4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4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4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4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4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4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36"/>
    <w:bookmarkStart w:id="43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5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5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5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vistaevolucion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p>
      <w:pPr>
        <w:pStyle w:val="Textoindependiente"/>
      </w:pPr>
      <w:r>
        <w:t xml:space="preserve">Por consecuencia de estos los proyectos PRY01 y PRY02 de la hoja de ruta, en el período 2023, y del consiguiente incremento en las capacidades del FNA incluidas en este alcance, la arquitectura SOA del Fondo evolucionará a su vez en dos versiones nuevas, como sigue</w:t>
      </w:r>
    </w:p>
    <w:p>
      <w:pPr>
        <w:pStyle w:val="Figure"/>
      </w:pPr>
      <w:r>
        <w:drawing>
          <wp:inline>
            <wp:extent cx="5600700" cy="3740327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mages/vistaevolarquitectura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4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evolución de arquitectura de referencia FNA a razón del las capacidades incrementadas.</w:t>
      </w:r>
    </w:p>
    <w:p>
      <w:pPr>
        <w:pStyle w:val="Textoindependiente"/>
      </w:pPr>
    </w:p>
    <w:bookmarkEnd w:id="43"/>
    <w:bookmarkStart w:id="44" w:name="ficha-de-proyectos"/>
    <w:p>
      <w:pPr>
        <w:pStyle w:val="Ttulo2"/>
      </w:pPr>
      <w:r>
        <w:t xml:space="preserve">Ficha de proyectos</w:t>
      </w:r>
    </w:p>
    <w:p>
      <w:pPr>
        <w:numPr>
          <w:ilvl w:val="0"/>
          <w:numId w:val="1006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6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6"/>
        </w:numPr>
        <w:pStyle w:val="Compact"/>
      </w:pPr>
      <w:r>
        <w:t xml:space="preserve">PRY03. Estructuración de proyectos posteriores de la hoja de ruta E-Service</w:t>
      </w:r>
    </w:p>
    <w:bookmarkEnd w:id="44"/>
    <w:bookmarkStart w:id="48" w:name="componentes-modificados"/>
    <w:p>
      <w:pPr>
        <w:pStyle w:val="Ttulo2"/>
      </w:pPr>
      <w:r>
        <w:t xml:space="preserve">Componentes modificados</w:t>
      </w:r>
    </w:p>
    <w:p>
      <w:pPr>
        <w:pStyle w:val="FirstParagraph"/>
      </w:pPr>
      <w:r>
        <w:t xml:space="preserve">Los aumentos de versión de la arquitectura SOA del FNA implica que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implemenatción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s/vistaitemsarq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48"/>
    <w:bookmarkStart w:id="51" w:name="equipo-base-del-proyecto"/>
    <w:p>
      <w:pPr>
        <w:pStyle w:val="Ttulo2"/>
      </w:pPr>
      <w:r>
        <w:t xml:space="preserve">Equipo Base del Proyecto</w:t>
      </w:r>
    </w:p>
    <w:p>
      <w:pPr>
        <w:pStyle w:val="FirstParagraph"/>
      </w:pPr>
      <w:r>
        <w:t xml:space="preserve">Organizado por proyecto.</w:t>
      </w:r>
    </w:p>
    <w:bookmarkStart w:id="49" w:name="X231ab8377b1866bd8f710a1caa91b551f314ae5"/>
    <w:p>
      <w:pPr>
        <w:pStyle w:val="Ttulo3"/>
      </w:pPr>
      <w:r>
        <w:t xml:space="preserve">PRY01. Gobierno SOA FNA –Incremento 1: dominio de aplicaciones y servicios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9"/>
    <w:bookmarkStart w:id="50" w:name="X2af00226cd4a76e478e50c841bb3fc7ea8c1dcb"/>
    <w:p>
      <w:pPr>
        <w:pStyle w:val="Ttulo3"/>
      </w:pPr>
      <w:r>
        <w:t xml:space="preserve">PRY02. Arquitectura Referencia –Incremento 1: dominio de aplicaciones y servicios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  <w:r>
        <w:t xml:space="preserve">(**) 160 hrs/mes * 8 meses = 1,280 hrs proy</w:t>
      </w:r>
    </w:p>
    <w:p>
      <w:pPr>
        <w:pStyle w:val="Textoindependiente"/>
      </w:pPr>
    </w:p>
    <w:bookmarkEnd w:id="50"/>
    <w:bookmarkEnd w:id="51"/>
    <w:bookmarkStart w:id="55" w:name="plan-de-trabajo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Organización del proyecto. El proyecto está organizado en 4 fases. La fase de Levantamiento (LVT) presentada abajo en la imagen determina en detalle los elementos de gobierno y de la arquitectura que se evolucionarán en los dos incrementos planteados en el alcance consignado arriba, periodo 2023, que se corresponden con las fases 2 y 3 de la imagen abajo.</w:t>
      </w:r>
    </w:p>
    <w:p>
      <w:pPr>
        <w:pStyle w:val="Figure"/>
      </w:pPr>
      <w:r>
        <w:drawing>
          <wp:inline>
            <wp:extent cx="5600700" cy="375332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vistaimplementacion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53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4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La fase 1,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 impactan directamente a elementos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indicaddores de medición de desempeño, tanto del gobierno como de los incrementos de evolución de la arquitectura de referencia 2.0 (ver resultados del diagnóstico E-Service, 2022).</w:t>
      </w:r>
    </w:p>
    <w:p>
      <w:pPr>
        <w:pStyle w:val="Textoindependiente"/>
      </w:pPr>
    </w:p>
    <w:bookmarkEnd w:id="55"/>
    <w:bookmarkStart w:id="56" w:name="entregables"/>
    <w:p>
      <w:pPr>
        <w:pStyle w:val="Ttulo2"/>
      </w:pPr>
      <w:r>
        <w:t xml:space="preserve">Entregables</w:t>
      </w:r>
    </w:p>
    <w:p>
      <w:pPr>
        <w:pStyle w:val="FirstParagraph"/>
      </w:pPr>
      <w:r>
        <w:t xml:space="preserve">Fase LVT</w:t>
      </w:r>
    </w:p>
    <w:p>
      <w:pPr>
        <w:numPr>
          <w:ilvl w:val="0"/>
          <w:numId w:val="1007"/>
        </w:numPr>
        <w:pStyle w:val="Compact"/>
      </w:pPr>
      <w:r>
        <w:t xml:space="preserve">Detalle de los ítems de arquitectura impactados por el proyecto</w:t>
      </w:r>
    </w:p>
    <w:p>
      <w:pPr>
        <w:numPr>
          <w:ilvl w:val="0"/>
          <w:numId w:val="1007"/>
        </w:numPr>
        <w:pStyle w:val="Compact"/>
      </w:pPr>
      <w:r>
        <w:t xml:space="preserve">Detalle de los recursos, herramientas, roles, responsabilidades y participanes</w:t>
      </w:r>
    </w:p>
    <w:p>
      <w:pPr>
        <w:pStyle w:val="FirstParagraph"/>
      </w:pPr>
      <w:r>
        <w:t xml:space="preserve">Fase 1</w:t>
      </w:r>
    </w:p>
    <w:p>
      <w:pPr>
        <w:numPr>
          <w:ilvl w:val="0"/>
          <w:numId w:val="1008"/>
        </w:numPr>
        <w:pStyle w:val="Compact"/>
      </w:pPr>
      <w:r>
        <w:t xml:space="preserve">Procesos de mejoramiento de diseño y vigilancia de riesgos técnicos</w:t>
      </w:r>
    </w:p>
    <w:p>
      <w:pPr>
        <w:numPr>
          <w:ilvl w:val="0"/>
          <w:numId w:val="1008"/>
        </w:numPr>
        <w:pStyle w:val="Compact"/>
      </w:pPr>
      <w:r>
        <w:t xml:space="preserve">Modelos actualizados de los ítems de arquitectura impactados por el proyecto</w:t>
      </w:r>
    </w:p>
    <w:p>
      <w:pPr>
        <w:pStyle w:val="FirstParagraph"/>
      </w:pPr>
      <w:r>
        <w:t xml:space="preserve">Fase 2</w:t>
      </w:r>
    </w:p>
    <w:p>
      <w:pPr>
        <w:numPr>
          <w:ilvl w:val="0"/>
          <w:numId w:val="1009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09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3</w:t>
      </w:r>
    </w:p>
    <w:p>
      <w:pPr>
        <w:numPr>
          <w:ilvl w:val="0"/>
          <w:numId w:val="1010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10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4</w:t>
      </w:r>
    </w:p>
    <w:p>
      <w:pPr>
        <w:numPr>
          <w:ilvl w:val="0"/>
          <w:numId w:val="1011"/>
        </w:numPr>
        <w:pStyle w:val="Compact"/>
      </w:pPr>
      <w:r>
        <w:t xml:space="preserve">Métricas de desempeño gobierno e implementación SOA</w:t>
      </w:r>
    </w:p>
    <w:p>
      <w:pPr>
        <w:numPr>
          <w:ilvl w:val="0"/>
          <w:numId w:val="1011"/>
        </w:numPr>
        <w:pStyle w:val="Compact"/>
      </w:pPr>
      <w:r>
        <w:t xml:space="preserve">Modelos actualizados de los ítems de arquitectura impactados por el proyecto</w:t>
      </w:r>
    </w:p>
    <w:bookmarkEnd w:id="56"/>
    <w:bookmarkStart w:id="57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57"/>
    <w:bookmarkStart w:id="58" w:name="consideraciones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58"/>
    <w:bookmarkStart w:id="59" w:name="edt"/>
    <w:p>
      <w:pPr>
        <w:pStyle w:val="Ttulo2"/>
      </w:pPr>
      <w:r>
        <w:t xml:space="preserve">EDT</w:t>
      </w:r>
    </w:p>
    <w:bookmarkEnd w:id="59"/>
    <w:bookmarkStart w:id="61" w:name="references"/>
    <w:p>
      <w:pPr>
        <w:pStyle w:val="Ttulo2"/>
      </w:pPr>
      <w:r>
        <w:t xml:space="preserve">References</w:t>
      </w:r>
    </w:p>
    <w:bookmarkStart w:id="60" w:name="refs"/>
    <w:bookmarkEnd w:id="60"/>
    <w:bookmarkEnd w:id="6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1" Target="media/rId31.png" /><Relationship Type="http://schemas.openxmlformats.org/officeDocument/2006/relationships/image" Id="rId40" Target="media/rId40.png" /><Relationship Type="http://schemas.openxmlformats.org/officeDocument/2006/relationships/image" Id="rId37" Target="media/rId37.png" /><Relationship Type="http://schemas.openxmlformats.org/officeDocument/2006/relationships/image" Id="rId52" Target="media/rId52.png" /><Relationship Type="http://schemas.openxmlformats.org/officeDocument/2006/relationships/image" Id="rId45" Target="media/rId45.png" /><Relationship Type="http://schemas.openxmlformats.org/officeDocument/2006/relationships/hyperlink" Id="rId34" Target="" TargetMode="External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5" Target="https://github.com/e_dcorreal" TargetMode="External" /><Relationship Type="http://schemas.openxmlformats.org/officeDocument/2006/relationships/hyperlink" Id="rId23" Target="https://github.com/e_ehernandez" TargetMode="External" /><Relationship Type="http://schemas.openxmlformats.org/officeDocument/2006/relationships/hyperlink" Id="rId24" Target="https://github.com/e_fsuarez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6" Target="https://github.com/hwong23/e-service/issues" TargetMode="External" /><Relationship Type="http://schemas.openxmlformats.org/officeDocument/2006/relationships/hyperlink" Id="rId21" Target="https://github.com/hwong23/e-service/tree/1f8563969102911e792aff6a0c6f5a002099d454" TargetMode="External" /><Relationship Type="http://schemas.openxmlformats.org/officeDocument/2006/relationships/hyperlink" Id="rId20" Target="https://hwong23.github.io/e-service/v/1f8563969102911e792aff6a0c6f5a002099d454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5" Target="https://github.com/e_dcorreal" TargetMode="External" /><Relationship Type="http://schemas.openxmlformats.org/officeDocument/2006/relationships/hyperlink" Id="rId23" Target="https://github.com/e_ehernandez" TargetMode="External" /><Relationship Type="http://schemas.openxmlformats.org/officeDocument/2006/relationships/hyperlink" Id="rId24" Target="https://github.com/e_fsuarez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6" Target="https://github.com/hwong23/e-service/issues" TargetMode="External" /><Relationship Type="http://schemas.openxmlformats.org/officeDocument/2006/relationships/hyperlink" Id="rId21" Target="https://github.com/hwong23/e-service/tree/1f8563969102911e792aff6a0c6f5a002099d454" TargetMode="External" /><Relationship Type="http://schemas.openxmlformats.org/officeDocument/2006/relationships/hyperlink" Id="rId20" Target="https://hwong23.github.io/e-service/v/1f8563969102911e792aff6a0c6f5a002099d454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</cp:keywords>
  <dcterms:created xsi:type="dcterms:W3CDTF">2023-03-28T23:43:58Z</dcterms:created>
  <dcterms:modified xsi:type="dcterms:W3CDTF">2023-03-28T23:43:58Z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2023-03-28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