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hwong23/e-service@398e092</w:t>
        </w:r>
      </w:hyperlink>
      <w:r>
        <w:t xml:space="preserve"> </w:t>
      </w:r>
      <w:r>
        <w:t xml:space="preserve">del October 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398e092 del 02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57"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En el contexto de la presente propuesta la oficina de arquitectura 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de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El objetivo principal de la oficina de arquitectura es materializar el gobierno del FNA Mediante la puesta en marcha de las funciones propias de la oficina y de las responsabilidades que gobierno FNA le demanda. Esto se extiende hacia las articulaciones necesarias con otros contextos, áreas y proveedores del FNA.</w:t>
      </w:r>
    </w:p>
    <w:p>
      <w:pPr>
        <w:pStyle w:val="Textoindependiente"/>
      </w:pPr>
      <w:r>
        <w:t xml:space="preserve">En la imagen siguiente muestra la colaboración de la Oficina de Arquitectura con el modelo de gobierno del FNA (2023).</w:t>
      </w:r>
    </w:p>
    <w:bookmarkStart w:id="0" w:name="fig:7215d9d0-42f1-4604-86c1-45983fe75942"/>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relevantes para el contexto de la oficina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ppstaalcance.png).)"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42"/>
    <w:bookmarkStart w:id="51"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7"/>
        </w:numPr>
        <w:pStyle w:val="Compact"/>
      </w:pPr>
      <w:r>
        <w:t xml:space="preserve">Elaborar y presentar un plan de trabajo junto con su aseguramiento de la calidad al inicio de los períodos de actividades consignados en el alcance del proyecto.</w:t>
      </w:r>
    </w:p>
    <w:p>
      <w:pPr>
        <w:numPr>
          <w:ilvl w:val="0"/>
          <w:numId w:val="1007"/>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7"/>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7"/>
        </w:numPr>
        <w:pStyle w:val="Compact"/>
      </w:pPr>
      <w:r>
        <w:t xml:space="preserve">Disponer oportunamente de acciones de mitigación de riesgos preventivas y correctivas a lo largo del desarrollo del contrato.</w:t>
      </w:r>
    </w:p>
    <w:p>
      <w:pPr>
        <w:numPr>
          <w:ilvl w:val="0"/>
          <w:numId w:val="1007"/>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7"/>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7"/>
        </w:numPr>
        <w:pStyle w:val="Compact"/>
      </w:pPr>
      <w:r>
        <w:t xml:space="preserve">Ejecutar las acciones que gobierno de arquitectura demande a la oficina.</w:t>
      </w:r>
    </w:p>
    <w:p>
      <w:pPr>
        <w:numPr>
          <w:ilvl w:val="0"/>
          <w:numId w:val="1007"/>
        </w:numPr>
        <w:pStyle w:val="Compact"/>
      </w:pPr>
      <w:r>
        <w:t xml:space="preserve">Proponer mejoras para aprobación de la gerencia de tecnología del FNA, cuando apliquen, a los documentos e información a cargo de la oficina de arquitectura.</w:t>
      </w:r>
    </w:p>
    <w:p>
      <w:pPr>
        <w:numPr>
          <w:ilvl w:val="0"/>
          <w:numId w:val="1007"/>
        </w:numPr>
        <w:pStyle w:val="Compact"/>
      </w:pPr>
      <w:r>
        <w:t xml:space="preserve">Responder por aquellos actos que causen perjuicio a la gerencia de tecnología del FNA que le sean imputables.</w:t>
      </w:r>
    </w:p>
    <w:bookmarkEnd w:id="47"/>
    <w:bookmarkStart w:id="48"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8"/>
    <w:bookmarkStart w:id="50"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49" w:name="tbl:tblduracion-id"/>
    <w:p>
      <w:pPr>
        <w:pStyle w:val="TableCaption"/>
      </w:pPr>
      <w:r>
        <w:t xml:space="preserve">Tabla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a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49"/>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50"/>
    <w:bookmarkEnd w:id="51"/>
    <w:bookmarkStart w:id="52"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End w:id="52"/>
    <w:bookmarkStart w:id="53"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3"/>
    <w:bookmarkStart w:id="54" w:name="consideraciones"/>
    <w:p>
      <w:pPr>
        <w:pStyle w:val="Ttulo2"/>
      </w:pPr>
      <w:r>
        <w:t xml:space="preserve">Consideraciones</w:t>
      </w:r>
    </w:p>
    <w:p>
      <w:pPr>
        <w:numPr>
          <w:ilvl w:val="0"/>
          <w:numId w:val="100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8"/>
        </w:numPr>
        <w:pStyle w:val="Compact"/>
      </w:pPr>
      <w:r>
        <w:t xml:space="preserve">Mega es la herramienta de gestión del repositorio continuo de arquitectura del FNA.</w:t>
      </w:r>
    </w:p>
    <w:p>
      <w:pPr>
        <w:numPr>
          <w:ilvl w:val="0"/>
          <w:numId w:val="1008"/>
        </w:numPr>
        <w:pStyle w:val="Compact"/>
      </w:pPr>
      <w:r>
        <w:t xml:space="preserve">Los diseños y modelos de arquitectura deben seguir el estándar XMI, por tanto, otras herramientas que se adhieran este podrán complementar el repositorio de arquitectura.</w:t>
      </w:r>
    </w:p>
    <w:bookmarkEnd w:id="54"/>
    <w:bookmarkStart w:id="56" w:name="referencias"/>
    <w:p>
      <w:pPr>
        <w:pStyle w:val="Ttulo2"/>
      </w:pPr>
      <w:r>
        <w:t xml:space="preserve">Referencias</w:t>
      </w:r>
    </w:p>
    <w:bookmarkStart w:id="55" w:name="refs"/>
    <w:bookmarkEnd w:id="55"/>
    <w:bookmarkEnd w:id="56"/>
    <w:bookmarkEnd w:id="5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398e0925cbc13e54009b001bc3a4b76c63ecbf8d" TargetMode="External" /><Relationship Type="http://schemas.openxmlformats.org/officeDocument/2006/relationships/hyperlink" Id="rId20" Target="https://hwong23.github.io/e-service/v/398e0925cbc13e54009b001bc3a4b76c63ecbf8d/"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398e0925cbc13e54009b001bc3a4b76c63ecbf8d" TargetMode="External" /><Relationship Type="http://schemas.openxmlformats.org/officeDocument/2006/relationships/hyperlink" Id="rId20" Target="https://hwong23.github.io/e-service/v/398e0925cbc13e54009b001bc3a4b76c63ecbf8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2023-10-02T18:31:45Z</dcterms:created>
  <dcterms:modified xsi:type="dcterms:W3CDTF">2023-10-02T18:31:45Z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