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52.jpg" ContentType="image/jpeg"/>
  <Override PartName="/word/media/rId67.jpg" ContentType="image/jpeg"/>
  <Override PartName="/word/media/rId81.jpg" ContentType="image/jpeg"/>
  <Override PartName="/word/media/rId39.jpg" ContentType="image/jpeg"/>
  <Override PartName="/word/media/rId34.png" ContentType="image/png"/>
  <Override PartName="/word/media/rId8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hwong23/e-service@8a16100</w:t>
        </w:r>
      </w:hyperlink>
      <w:r>
        <w:t xml:space="preserve"> </w:t>
      </w:r>
      <w:r>
        <w:t xml:space="preserve">on March 31, 2023.</w:t>
      </w:r>
      <w:r>
        <w:t xml:space="preserve"> </w:t>
      </w:r>
    </w:p>
    <w:bookmarkStart w:id="25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bookmarkStart w:id="24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3">
        <w:r>
          <w:rPr>
            <w:rStyle w:val="Hipervnculo"/>
          </w:rPr>
          <w:t xml:space="preserve">GitHub Issues</w:t>
        </w:r>
      </w:hyperlink>
    </w:p>
    <w:bookmarkEnd w:id="24"/>
    <w:bookmarkEnd w:id="25"/>
    <w:bookmarkStart w:id="27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8a16100 del 31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7"/>
    <w:bookmarkStart w:id="32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hojaruta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2"/>
    <w:bookmarkStart w:id="3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3"/>
    <w:bookmarkStart w:id="37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evolucio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37"/>
    <w:bookmarkStart w:id="88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38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38"/>
    <w:bookmarkStart w:id="42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vistaevolarquitectura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42"/>
    <w:bookmarkStart w:id="51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3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43"/>
    <w:bookmarkStart w:id="44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4"/>
    <w:bookmarkStart w:id="45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5"/>
    <w:bookmarkStart w:id="4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46"/>
    <w:bookmarkStart w:id="47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47"/>
    <w:bookmarkStart w:id="48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48"/>
    <w:bookmarkStart w:id="49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49"/>
    <w:bookmarkStart w:id="5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0"/>
    <w:bookmarkEnd w:id="51"/>
    <w:bookmarkStart w:id="57" w:name="plan-de-trabajo"/>
    <w:p>
      <w:pPr>
        <w:pStyle w:val="Ttulo3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ry1gobierno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Start w:id="5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55"/>
    <w:bookmarkStart w:id="56" w:name="plazo-de-ejecución-1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56"/>
    <w:bookmarkEnd w:id="57"/>
    <w:bookmarkStart w:id="61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8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58"/>
    <w:bookmarkStart w:id="59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59"/>
    <w:bookmarkStart w:id="60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0"/>
    <w:bookmarkEnd w:id="61"/>
    <w:bookmarkStart w:id="66" w:name="plazo-de-ejecución-2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Start w:id="62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2"/>
    <w:bookmarkStart w:id="63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3"/>
    <w:bookmarkStart w:id="64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 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4"/>
    <w:bookmarkStart w:id="65" w:name="equipo-base-del-proyecto-1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65"/>
    <w:bookmarkEnd w:id="66"/>
    <w:bookmarkStart w:id="72" w:name="plan-de-trabajo-1"/>
    <w:p>
      <w:pPr>
        <w:pStyle w:val="Ttulo3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s/pry2arqref2.0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Start w:id="70" w:name="fases-del-proyecto-1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70"/>
    <w:bookmarkStart w:id="71" w:name="plazo-de-ejecución-3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71"/>
    <w:bookmarkEnd w:id="72"/>
    <w:bookmarkStart w:id="76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73" w:name="objetivo-2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73"/>
    <w:bookmarkStart w:id="74" w:name="actividades-2"/>
    <w:p>
      <w:pPr>
        <w:pStyle w:val="Ttulo4"/>
      </w:pPr>
      <w:r>
        <w:t xml:space="preserve">Actividades</w:t>
      </w:r>
    </w:p>
    <w:p>
      <w:pPr>
        <w:numPr>
          <w:ilvl w:val="0"/>
          <w:numId w:val="1017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17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17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17"/>
        </w:numPr>
        <w:pStyle w:val="Compact"/>
      </w:pPr>
      <w:r>
        <w:t xml:space="preserve">Aprobación de inicio de de los proyectos de la hoja de ruta</w:t>
      </w:r>
    </w:p>
    <w:bookmarkEnd w:id="74"/>
    <w:bookmarkStart w:id="75" w:name="entregables-2"/>
    <w:p>
      <w:pPr>
        <w:pStyle w:val="Ttulo4"/>
      </w:pPr>
      <w:r>
        <w:t xml:space="preserve">Entregables</w:t>
      </w:r>
    </w:p>
    <w:p>
      <w:pPr>
        <w:numPr>
          <w:ilvl w:val="0"/>
          <w:numId w:val="1018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18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PR23. Listados de recursos, roles y personas requeriras por los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18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18"/>
        </w:numPr>
        <w:pStyle w:val="Compact"/>
      </w:pPr>
      <w:r>
        <w:t xml:space="preserve">PR26. Ficha de proyectos hoja de ruta E-Service. Incremento 2</w:t>
      </w:r>
    </w:p>
    <w:bookmarkEnd w:id="75"/>
    <w:bookmarkEnd w:id="76"/>
    <w:bookmarkStart w:id="87" w:name="plazo-de-ejecución-4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Start w:id="77" w:name="impacto-beneficio-2"/>
    <w:p>
      <w:pPr>
        <w:pStyle w:val="Ttulo4"/>
      </w:pPr>
      <w:r>
        <w:t xml:space="preserve">Impacto / Beneficio</w:t>
      </w:r>
    </w:p>
    <w:p>
      <w:pPr>
        <w:numPr>
          <w:ilvl w:val="0"/>
          <w:numId w:val="1019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77"/>
    <w:bookmarkStart w:id="78" w:name="actores-2"/>
    <w:p>
      <w:pPr>
        <w:pStyle w:val="Ttulo4"/>
      </w:pPr>
      <w:r>
        <w:t xml:space="preserve">Actores</w:t>
      </w:r>
    </w:p>
    <w:p>
      <w:pPr>
        <w:numPr>
          <w:ilvl w:val="0"/>
          <w:numId w:val="1020"/>
        </w:numPr>
        <w:pStyle w:val="Compact"/>
      </w:pPr>
      <w:r>
        <w:t xml:space="preserve">Comité de gobierno del FNA</w:t>
      </w:r>
    </w:p>
    <w:p>
      <w:pPr>
        <w:numPr>
          <w:ilvl w:val="0"/>
          <w:numId w:val="1020"/>
        </w:numPr>
        <w:pStyle w:val="Compact"/>
      </w:pPr>
      <w:r>
        <w:t xml:space="preserve">Oficina de arquitectura FNA</w:t>
      </w:r>
    </w:p>
    <w:p>
      <w:pPr>
        <w:numPr>
          <w:ilvl w:val="0"/>
          <w:numId w:val="1020"/>
        </w:numPr>
        <w:pStyle w:val="Compact"/>
      </w:pPr>
      <w:r>
        <w:t xml:space="preserve">Personal FNA asociado por proyecto (infraestructura, Crédito, Datos, etc.)</w:t>
      </w:r>
    </w:p>
    <w:bookmarkEnd w:id="78"/>
    <w:bookmarkStart w:id="79" w:name="consideraciones-2"/>
    <w:p>
      <w:pPr>
        <w:pStyle w:val="Ttulo4"/>
      </w:pPr>
      <w:r>
        <w:t xml:space="preserve">Consideraciones</w:t>
      </w:r>
    </w:p>
    <w:p>
      <w:pPr>
        <w:numPr>
          <w:ilvl w:val="0"/>
          <w:numId w:val="102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21"/>
        </w:numPr>
        <w:pStyle w:val="Compact"/>
      </w:pPr>
      <w:r>
        <w:t xml:space="preserve">Depósito documental</w:t>
      </w:r>
    </w:p>
    <w:p>
      <w:pPr>
        <w:numPr>
          <w:ilvl w:val="0"/>
          <w:numId w:val="102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79"/>
    <w:bookmarkStart w:id="80" w:name="equipo-base-del-proyecto-2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80"/>
    <w:bookmarkStart w:id="84" w:name="plan-de-trabajo-2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s/pry3estructuracion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84"/>
    <w:bookmarkStart w:id="85" w:name="fases-del-proyecto-2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85"/>
    <w:bookmarkStart w:id="86" w:name="plazo-de-ejecución-5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86"/>
    <w:bookmarkEnd w:id="87"/>
    <w:bookmarkEnd w:id="88"/>
    <w:bookmarkStart w:id="92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s/vistaitemsarq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92"/>
    <w:bookmarkStart w:id="93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requeriras por los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bookmarkEnd w:id="93"/>
    <w:bookmarkStart w:id="94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94"/>
    <w:bookmarkStart w:id="95" w:name="consideraciones-3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95"/>
    <w:bookmarkStart w:id="96" w:name="edt"/>
    <w:p>
      <w:pPr>
        <w:pStyle w:val="Ttulo2"/>
      </w:pPr>
      <w:r>
        <w:t xml:space="preserve">EDT</w:t>
      </w:r>
    </w:p>
    <w:bookmarkEnd w:id="96"/>
    <w:bookmarkStart w:id="98" w:name="references"/>
    <w:p>
      <w:pPr>
        <w:pStyle w:val="Ttulo2"/>
      </w:pPr>
      <w:r>
        <w:t xml:space="preserve">References</w:t>
      </w:r>
    </w:p>
    <w:bookmarkStart w:id="97" w:name="refs"/>
    <w:bookmarkEnd w:id="97"/>
    <w:bookmarkEnd w:id="9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52" Target="media/rId52.jpg" /><Relationship Type="http://schemas.openxmlformats.org/officeDocument/2006/relationships/image" Id="rId67" Target="media/rId67.jpg" /><Relationship Type="http://schemas.openxmlformats.org/officeDocument/2006/relationships/image" Id="rId81" Target="media/rId81.jpg" /><Relationship Type="http://schemas.openxmlformats.org/officeDocument/2006/relationships/image" Id="rId39" Target="media/rId39.jpg" /><Relationship Type="http://schemas.openxmlformats.org/officeDocument/2006/relationships/image" Id="rId34" Target="media/rId34.png" /><Relationship Type="http://schemas.openxmlformats.org/officeDocument/2006/relationships/image" Id="rId89" Target="media/rId89.png" /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8a161004470e24314a00f089de5b2052c4178f88" TargetMode="External" /><Relationship Type="http://schemas.openxmlformats.org/officeDocument/2006/relationships/hyperlink" Id="rId20" Target="https://hwong23.github.io/e-service/v/8a161004470e24314a00f089de5b2052c4178f8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8a161004470e24314a00f089de5b2052c4178f88" TargetMode="External" /><Relationship Type="http://schemas.openxmlformats.org/officeDocument/2006/relationships/hyperlink" Id="rId20" Target="https://hwong23.github.io/e-service/v/8a161004470e24314a00f089de5b2052c4178f88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2023-03-31T19:01:56Z</dcterms:created>
  <dcterms:modified xsi:type="dcterms:W3CDTF">2023-03-31T19:01:56Z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2023-03-31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