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51.jpg" ContentType="image/jpeg"/>
  <Override PartName="/word/media/rId66.jpg" ContentType="image/jpeg"/>
  <Override PartName="/word/media/rId81.jpg" ContentType="image/jpeg"/>
  <Override PartName="/word/media/rId39.jpg" ContentType="image/jpeg"/>
  <Override PartName="/word/media/rId34.png" ContentType="image/png"/>
  <Override PartName="/word/media/rId8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ipervnculo"/>
          </w:rPr>
          <w:t xml:space="preserve">hwong23/e-service@91be51a</w:t>
        </w:r>
      </w:hyperlink>
      <w:r>
        <w:t xml:space="preserve"> </w:t>
      </w:r>
      <w:r>
        <w:t xml:space="preserve">on March 31, 2023.</w:t>
      </w:r>
      <w:r>
        <w:t xml:space="preserve"> </w:t>
      </w:r>
    </w:p>
    <w:bookmarkStart w:id="25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bookmarkStart w:id="24" w:name="correspondence"/>
    <w:p>
      <w:pPr>
        <w:pStyle w:val="FirstParagraph"/>
      </w:pPr>
      <w:r>
        <w:t xml:space="preserve">✉ — Enviar mensajes a</w:t>
      </w:r>
      <w:r>
        <w:t xml:space="preserve"> </w:t>
      </w:r>
      <w:hyperlink r:id="rId23">
        <w:r>
          <w:rPr>
            <w:rStyle w:val="Hipervnculo"/>
          </w:rPr>
          <w:t xml:space="preserve">GitHub Issues</w:t>
        </w:r>
      </w:hyperlink>
      <w:r>
        <w:t xml:space="preserve"> </w:t>
      </w:r>
      <w:r>
        <w:t xml:space="preserve">o correo electrónico</w:t>
      </w:r>
      <w:r>
        <w:t xml:space="preserve"> </w:t>
      </w:r>
      <w:r>
        <w:t xml:space="preserve">Harry Wong, ing. &lt;e_hwong@stefanini.com&gt;.</w:t>
      </w:r>
    </w:p>
    <w:bookmarkEnd w:id="24"/>
    <w:bookmarkEnd w:id="25"/>
    <w:bookmarkStart w:id="27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91be51a del 31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7"/>
    <w:bookmarkStart w:id="32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2"/>
        </w:numPr>
        <w:pStyle w:val="Compact"/>
      </w:pPr>
      <w:r>
        <w:t xml:space="preserve">Gobierno SOA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Portafolio API</w:t>
      </w:r>
    </w:p>
    <w:p>
      <w:pPr>
        <w:numPr>
          <w:ilvl w:val="0"/>
          <w:numId w:val="1002"/>
        </w:numPr>
        <w:pStyle w:val="Compact"/>
      </w:pPr>
      <w:r>
        <w:t xml:space="preserve">Microservicios</w:t>
      </w:r>
    </w:p>
    <w:p>
      <w:pPr>
        <w:numPr>
          <w:ilvl w:val="0"/>
          <w:numId w:val="1002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2"/>
        </w:numPr>
        <w:pStyle w:val="Compact"/>
      </w:pPr>
      <w:r>
        <w:t xml:space="preserve">Service mesh</w:t>
      </w:r>
    </w:p>
    <w:p>
      <w:pPr>
        <w:numPr>
          <w:ilvl w:val="0"/>
          <w:numId w:val="1002"/>
        </w:numPr>
        <w:pStyle w:val="Compact"/>
      </w:pPr>
      <w:r>
        <w:t xml:space="preserve">Hub de integración digital</w:t>
      </w:r>
    </w:p>
    <w:p>
      <w:pPr>
        <w:numPr>
          <w:ilvl w:val="0"/>
          <w:numId w:val="1002"/>
        </w:numPr>
        <w:pStyle w:val="Compact"/>
      </w:pPr>
      <w:r>
        <w:t xml:space="preserve">Gobierno de datos</w:t>
      </w:r>
    </w:p>
    <w:p>
      <w:pPr>
        <w:numPr>
          <w:ilvl w:val="0"/>
          <w:numId w:val="1002"/>
        </w:numPr>
        <w:pStyle w:val="Compact"/>
      </w:pPr>
      <w:r>
        <w:t xml:space="preserve">Gestión de datos maestros</w:t>
      </w:r>
    </w:p>
    <w:p>
      <w:pPr>
        <w:numPr>
          <w:ilvl w:val="0"/>
          <w:numId w:val="1002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2"/>
        </w:numPr>
        <w:pStyle w:val="Compact"/>
      </w:pPr>
      <w:r>
        <w:t xml:space="preserve">Devops</w:t>
      </w:r>
    </w:p>
    <w:p>
      <w:pPr>
        <w:numPr>
          <w:ilvl w:val="0"/>
          <w:numId w:val="1002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2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hojaruta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32"/>
    <w:bookmarkStart w:id="3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3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3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3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4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4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4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4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4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4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4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4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33"/>
    <w:bookmarkStart w:id="37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5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s/vistaevolucio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37"/>
    <w:bookmarkStart w:id="88" w:name="proyectos-del-alcance"/>
    <w:p>
      <w:pPr>
        <w:pStyle w:val="Ttulo2"/>
      </w:pPr>
      <w:r>
        <w:t xml:space="preserve">Proyectos del Alcance</w:t>
      </w:r>
    </w:p>
    <w:p>
      <w:pPr>
        <w:pStyle w:val="FirstParagraph"/>
      </w:pPr>
      <w:r>
        <w:t xml:space="preserve">Los proyectos PRY01, PRY02 y PRY03 de la hoja de ruta consignados en este alcance tienen por objeto cerrar las brechas de fortaleza SOA y riesgos técnicos determinados en el diagnóstico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. Estos proyectos buscan además incrementar las capacidades del FNA, CAP1 y CAP2, mencionadas en el alcance y estructurar el detalle técnico y tecnoleogico de los proyectos futuros planteadas en dicha hoja de ruta.</w:t>
      </w:r>
    </w:p>
    <w:p>
      <w:pPr>
        <w:pStyle w:val="Textoindependiente"/>
      </w:pPr>
      <w:r>
        <w:t xml:space="preserve">Las brechas en cuestión, relacionadas abajo en la imagen, son las indicadas en la justificación del presente alcance:</w:t>
      </w:r>
    </w:p>
    <w:p>
      <w:pPr>
        <w:numPr>
          <w:ilvl w:val="0"/>
          <w:numId w:val="1006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6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6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La evolución de la arquitectura del FNA impactada mediante este alcance está organizada en dos incrementos.</w:t>
      </w:r>
    </w:p>
    <w:bookmarkStart w:id="38" w:name="Xbb8768eeabeabc62e5e958b59992357b4c10d91"/>
    <w:p>
      <w:pPr>
        <w:pStyle w:val="Ttulo4"/>
      </w:pPr>
      <w:r>
        <w:t xml:space="preserve">Arquitectura de referencia 2.0. Incremento 1</w:t>
      </w:r>
    </w:p>
    <w:p>
      <w:pPr>
        <w:pStyle w:val="FirstParagraph"/>
      </w:pPr>
      <w:r>
        <w:t xml:space="preserve">Versión mejorada de arquitectura actual SOA FNA con soporte en implementación parcial del gobierno y definiciones iniciales de la arquitectura de referencia SOA 2.0. Aplicación de arquitectura de referencia inicial a ítems seleccionados en una fase de levantamiento (LVT).</w:t>
      </w:r>
    </w:p>
    <w:bookmarkEnd w:id="38"/>
    <w:bookmarkStart w:id="42" w:name="Xfb3e4e259dd9db7a83d7022b07af3753b752692"/>
    <w:p>
      <w:pPr>
        <w:pStyle w:val="Ttulo4"/>
      </w:pPr>
      <w:r>
        <w:t xml:space="preserve">Arquitectura de referencia 2.0. Incremento 2</w:t>
      </w:r>
    </w:p>
    <w:p>
      <w:pPr>
        <w:pStyle w:val="FirstParagraph"/>
      </w:pPr>
      <w:r>
        <w:t xml:space="preserve">Continuidad de la mejora del incremento 1. La arquitectura SOA FNA cuenta con implementación total del gobierno, una definición candidata de la arquitectura de referencia 2.0, y aplicación de la aplicación de cambios en ítems adicionales de la arquitectura actual.</w:t>
      </w:r>
    </w:p>
    <w:p>
      <w:pPr>
        <w:pStyle w:val="Textoindependiente"/>
      </w:pPr>
      <w:r>
        <w:t xml:space="preserve">La siguiente imagen ilustra el alcance propuesto en términos de las capacidades del FNA impactadas, los proyectos de ejecución, las evoluciones de la arquitectura y las brechas involucradas.</w:t>
      </w:r>
    </w:p>
    <w:p>
      <w:pPr>
        <w:pStyle w:val="Figure"/>
      </w:pPr>
      <w:r>
        <w:drawing>
          <wp:inline>
            <wp:extent cx="5600700" cy="5283483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s/vistaevolarquitectura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8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 las capacidades incrementadas mediante los proyectos de este alcance.</w:t>
      </w:r>
    </w:p>
    <w:p>
      <w:pPr>
        <w:pStyle w:val="Textoindependiente"/>
      </w:pPr>
      <w:r>
        <w:t xml:space="preserve">A continuación presentamos la descripción de los proyectos de este alcance en forma de fichas de proyecto.</w:t>
      </w:r>
    </w:p>
    <w:p>
      <w:pPr>
        <w:pStyle w:val="Textoindependiente"/>
      </w:pPr>
    </w:p>
    <w:bookmarkEnd w:id="42"/>
    <w:bookmarkStart w:id="57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43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43"/>
    <w:bookmarkStart w:id="44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7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7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7"/>
        </w:numPr>
        <w:pStyle w:val="Compact"/>
      </w:pPr>
      <w:r>
        <w:t xml:space="preserve">Medir las decisiones de arquitectura y del proceso de desarrollo de las soluciones SOA</w:t>
      </w:r>
    </w:p>
    <w:bookmarkEnd w:id="44"/>
    <w:bookmarkStart w:id="45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8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8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8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8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8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8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8"/>
        </w:numPr>
        <w:pStyle w:val="Compact"/>
      </w:pPr>
      <w:r>
        <w:t xml:space="preserve">PR07. Métricas de efectividad del gobierno</w:t>
      </w:r>
    </w:p>
    <w:bookmarkEnd w:id="45"/>
    <w:bookmarkStart w:id="4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del 2023 (ver Plan de Ejecución PRY01, más adelante).</w:t>
      </w:r>
    </w:p>
    <w:bookmarkEnd w:id="46"/>
    <w:bookmarkStart w:id="47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9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9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9"/>
        </w:numPr>
        <w:pStyle w:val="Compact"/>
      </w:pPr>
      <w:r>
        <w:t xml:space="preserve">Vigilancia del cumplimiento de los niveles de servicio de las soluciones SOA​</w:t>
      </w:r>
    </w:p>
    <w:bookmarkEnd w:id="47"/>
    <w:bookmarkStart w:id="48" w:name="actores"/>
    <w:p>
      <w:pPr>
        <w:pStyle w:val="Ttulo4"/>
      </w:pPr>
      <w:r>
        <w:t xml:space="preserve">Actores</w:t>
      </w:r>
    </w:p>
    <w:p>
      <w:pPr>
        <w:numPr>
          <w:ilvl w:val="0"/>
          <w:numId w:val="1010"/>
        </w:numPr>
        <w:pStyle w:val="Compact"/>
      </w:pPr>
      <w:r>
        <w:t xml:space="preserve">Comité de gobierno del FNA</w:t>
      </w:r>
    </w:p>
    <w:p>
      <w:pPr>
        <w:numPr>
          <w:ilvl w:val="0"/>
          <w:numId w:val="1010"/>
        </w:numPr>
        <w:pStyle w:val="Compact"/>
      </w:pPr>
      <w:r>
        <w:t xml:space="preserve">Oficina de arquitectura FNA</w:t>
      </w:r>
    </w:p>
    <w:p>
      <w:pPr>
        <w:numPr>
          <w:ilvl w:val="0"/>
          <w:numId w:val="1010"/>
        </w:numPr>
        <w:pStyle w:val="Compact"/>
      </w:pPr>
      <w:r>
        <w:t xml:space="preserve">Comité asesor </w:t>
      </w:r>
    </w:p>
    <w:bookmarkEnd w:id="48"/>
    <w:bookmarkStart w:id="49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1"/>
        </w:numPr>
        <w:pStyle w:val="Compact"/>
      </w:pPr>
      <w:r>
        <w:t xml:space="preserve">Depósito documental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49"/>
    <w:bookmarkStart w:id="5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50"/>
    <w:bookmarkStart w:id="5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trabajo. El proyecto 1 (PRY01) está organizado en 4 fases. La fase de Levantamiento (LVT) presentada abajo en la imagen determina en detalle los elementos de gobierno y de la arquitectura que se evolucionarán en los dos incrementos planteados en los proyetos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4248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s/pry1gobierno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54"/>
    <w:bookmarkStart w:id="5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55"/>
    <w:bookmarkStart w:id="56" w:name="plazo-de-ejecución-1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56"/>
    <w:bookmarkEnd w:id="57"/>
    <w:bookmarkStart w:id="72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58" w:name="objetivo-1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58"/>
    <w:bookmarkStart w:id="59" w:name="actividades-1"/>
    <w:p>
      <w:pPr>
        <w:pStyle w:val="Ttulo4"/>
      </w:pPr>
      <w:r>
        <w:t xml:space="preserve">Actividades</w:t>
      </w:r>
    </w:p>
    <w:p>
      <w:pPr>
        <w:numPr>
          <w:ilvl w:val="0"/>
          <w:numId w:val="1012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12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12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12"/>
        </w:numPr>
        <w:pStyle w:val="Compact"/>
      </w:pPr>
      <w:r>
        <w:t xml:space="preserve">Documentación técnica en el depósito de arquitectura institucional​</w:t>
      </w:r>
    </w:p>
    <w:bookmarkEnd w:id="59"/>
    <w:bookmarkStart w:id="60" w:name="entregables-1"/>
    <w:p>
      <w:pPr>
        <w:pStyle w:val="Ttulo4"/>
      </w:pPr>
      <w:r>
        <w:t xml:space="preserve">Entregables</w:t>
      </w:r>
    </w:p>
    <w:p>
      <w:pPr>
        <w:numPr>
          <w:ilvl w:val="0"/>
          <w:numId w:val="1013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13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13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13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13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13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13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13"/>
        </w:numPr>
        <w:pStyle w:val="Compact"/>
      </w:pPr>
      <w:r>
        <w:t xml:space="preserve">PR17. Ítems de arquitectura incrementados en ejecución</w:t>
      </w:r>
    </w:p>
    <w:bookmarkEnd w:id="60"/>
    <w:bookmarkStart w:id="61" w:name="plazo-de-ejecución-2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End w:id="61"/>
    <w:bookmarkStart w:id="62" w:name="impacto-beneficio-1"/>
    <w:p>
      <w:pPr>
        <w:pStyle w:val="Ttulo4"/>
      </w:pPr>
      <w:r>
        <w:t xml:space="preserve">Impacto / Beneficio</w:t>
      </w:r>
    </w:p>
    <w:p>
      <w:pPr>
        <w:numPr>
          <w:ilvl w:val="0"/>
          <w:numId w:val="1014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14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14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14"/>
        </w:numPr>
        <w:pStyle w:val="Compact"/>
      </w:pPr>
      <w:r>
        <w:t xml:space="preserve">Visión global de soluciones de TI vs. requisitos del negocio​</w:t>
      </w:r>
    </w:p>
    <w:bookmarkEnd w:id="62"/>
    <w:bookmarkStart w:id="63" w:name="actores-1"/>
    <w:p>
      <w:pPr>
        <w:pStyle w:val="Ttulo4"/>
      </w:pPr>
      <w:r>
        <w:t xml:space="preserve">Actores</w:t>
      </w:r>
    </w:p>
    <w:p>
      <w:pPr>
        <w:numPr>
          <w:ilvl w:val="0"/>
          <w:numId w:val="1015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15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15"/>
        </w:numPr>
        <w:pStyle w:val="Compact"/>
      </w:pPr>
      <w:r>
        <w:t xml:space="preserve">Consultores y equipo de apoyo​</w:t>
      </w:r>
    </w:p>
    <w:bookmarkEnd w:id="63"/>
    <w:bookmarkStart w:id="64" w:name="consideraciones-1"/>
    <w:p>
      <w:pPr>
        <w:pStyle w:val="Ttulo4"/>
      </w:pPr>
      <w:r>
        <w:t xml:space="preserve">Consideraciones</w:t>
      </w:r>
    </w:p>
    <w:p>
      <w:pPr>
        <w:numPr>
          <w:ilvl w:val="0"/>
          <w:numId w:val="1016"/>
        </w:numPr>
        <w:pStyle w:val="Compact"/>
      </w:pPr>
      <w:r>
        <w:t xml:space="preserve">Depósito de Arquitectura</w:t>
      </w:r>
    </w:p>
    <w:p>
      <w:pPr>
        <w:numPr>
          <w:ilvl w:val="0"/>
          <w:numId w:val="1016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64"/>
    <w:bookmarkStart w:id="65" w:name="equipo-base-del-proyecto-1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65"/>
    <w:bookmarkStart w:id="69" w:name="plan-de-trabajo-1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59087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mages/pry2arqref2.0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69"/>
    <w:bookmarkStart w:id="70" w:name="fases-del-proyecto-1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desarollo, como funcionalidades, y artefactos de software que cumplan los estándares de la arquitetura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70"/>
    <w:bookmarkStart w:id="71" w:name="plazo-de-ejecución-3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71"/>
    <w:bookmarkEnd w:id="72"/>
    <w:bookmarkStart w:id="87" w:name="Xbcae97ae522a3da2a567757eb9e973e9c8ff276"/>
    <w:p>
      <w:pPr>
        <w:pStyle w:val="Ttulo3"/>
      </w:pPr>
      <w:r>
        <w:t xml:space="preserve">PRY03. Gobierno SOA FNA: dominio de aplicaciones y servicios</w:t>
      </w:r>
    </w:p>
    <w:bookmarkStart w:id="73" w:name="objetivo-2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73"/>
    <w:bookmarkStart w:id="74" w:name="actividades-2"/>
    <w:p>
      <w:pPr>
        <w:pStyle w:val="Ttulo4"/>
      </w:pPr>
      <w:r>
        <w:t xml:space="preserve">Actividades</w:t>
      </w:r>
    </w:p>
    <w:p>
      <w:pPr>
        <w:numPr>
          <w:ilvl w:val="0"/>
          <w:numId w:val="1017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17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17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17"/>
        </w:numPr>
        <w:pStyle w:val="Compact"/>
      </w:pPr>
      <w:r>
        <w:t xml:space="preserve">Aprobación de inicio de de los proyectos de la hoja de ruta</w:t>
      </w:r>
    </w:p>
    <w:bookmarkEnd w:id="74"/>
    <w:bookmarkStart w:id="75" w:name="entregables-2"/>
    <w:p>
      <w:pPr>
        <w:pStyle w:val="Ttulo4"/>
      </w:pPr>
      <w:r>
        <w:t xml:space="preserve">Entregables</w:t>
      </w:r>
    </w:p>
    <w:p>
      <w:pPr>
        <w:numPr>
          <w:ilvl w:val="0"/>
          <w:numId w:val="1018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0"/>
          <w:numId w:val="1018"/>
        </w:numPr>
        <w:pStyle w:val="Compact"/>
      </w:pPr>
      <w:r>
        <w:t xml:space="preserve">PR21. Aprobación de inicio de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PR23. Listados de recursos, roles y personas requeriras por los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18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18"/>
        </w:numPr>
        <w:pStyle w:val="Compact"/>
      </w:pPr>
      <w:r>
        <w:t xml:space="preserve">PR26. Ficha de proyectos hoja de ruta E-Service. Incremento 2</w:t>
      </w:r>
    </w:p>
    <w:bookmarkEnd w:id="75"/>
    <w:bookmarkStart w:id="76" w:name="plazo-de-ejecución-4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End w:id="76"/>
    <w:bookmarkStart w:id="77" w:name="impacto-beneficio-2"/>
    <w:p>
      <w:pPr>
        <w:pStyle w:val="Ttulo4"/>
      </w:pPr>
      <w:r>
        <w:t xml:space="preserve">Impacto / Beneficio</w:t>
      </w:r>
    </w:p>
    <w:p>
      <w:pPr>
        <w:numPr>
          <w:ilvl w:val="0"/>
          <w:numId w:val="1019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77"/>
    <w:bookmarkStart w:id="78" w:name="actores-2"/>
    <w:p>
      <w:pPr>
        <w:pStyle w:val="Ttulo4"/>
      </w:pPr>
      <w:r>
        <w:t xml:space="preserve">Actores</w:t>
      </w:r>
    </w:p>
    <w:p>
      <w:pPr>
        <w:numPr>
          <w:ilvl w:val="0"/>
          <w:numId w:val="1020"/>
        </w:numPr>
        <w:pStyle w:val="Compact"/>
      </w:pPr>
      <w:r>
        <w:t xml:space="preserve">Comité de gobierno del FNA</w:t>
      </w:r>
    </w:p>
    <w:p>
      <w:pPr>
        <w:numPr>
          <w:ilvl w:val="0"/>
          <w:numId w:val="1020"/>
        </w:numPr>
        <w:pStyle w:val="Compact"/>
      </w:pPr>
      <w:r>
        <w:t xml:space="preserve">Oficina de arquitectura FNA</w:t>
      </w:r>
    </w:p>
    <w:p>
      <w:pPr>
        <w:numPr>
          <w:ilvl w:val="0"/>
          <w:numId w:val="1020"/>
        </w:numPr>
        <w:pStyle w:val="Compact"/>
      </w:pPr>
      <w:r>
        <w:t xml:space="preserve">Personal FNA asociado por proyecto (infraestructura, Crédito, Datos, etc.)</w:t>
      </w:r>
    </w:p>
    <w:bookmarkEnd w:id="78"/>
    <w:bookmarkStart w:id="79" w:name="consideraciones-2"/>
    <w:p>
      <w:pPr>
        <w:pStyle w:val="Ttulo4"/>
      </w:pPr>
      <w:r>
        <w:t xml:space="preserve">Consideraciones</w:t>
      </w:r>
    </w:p>
    <w:p>
      <w:pPr>
        <w:numPr>
          <w:ilvl w:val="0"/>
          <w:numId w:val="102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21"/>
        </w:numPr>
        <w:pStyle w:val="Compact"/>
      </w:pPr>
      <w:r>
        <w:t xml:space="preserve">Depósito documental</w:t>
      </w:r>
    </w:p>
    <w:p>
      <w:pPr>
        <w:numPr>
          <w:ilvl w:val="0"/>
          <w:numId w:val="102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79"/>
    <w:bookmarkStart w:id="80" w:name="equipo-base-del-proyecto-2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80"/>
    <w:bookmarkStart w:id="84" w:name="plan-de-trabajo-2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3125105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images/pry3estructuracion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2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84"/>
    <w:bookmarkStart w:id="85" w:name="fases-del-proyecto-2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85"/>
    <w:bookmarkStart w:id="86" w:name="plazo-de-ejecución-5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86"/>
    <w:bookmarkEnd w:id="87"/>
    <w:bookmarkEnd w:id="88"/>
    <w:bookmarkStart w:id="92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images/vistaitemsarq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92"/>
    <w:bookmarkStart w:id="93" w:name="lista-de-entregables-de-la-propuesta"/>
    <w:p>
      <w:pPr>
        <w:pStyle w:val="Ttulo2"/>
      </w:pPr>
      <w:r>
        <w:t xml:space="preserve">Lista de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777"/>
        <w:gridCol w:w="11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84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954"/>
        <w:gridCol w:w="9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requeriras por los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93"/>
    <w:bookmarkStart w:id="94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94"/>
    <w:bookmarkStart w:id="95" w:name="consideraciones-3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95"/>
    <w:bookmarkStart w:id="96" w:name="edt"/>
    <w:p>
      <w:pPr>
        <w:pStyle w:val="Ttulo2"/>
      </w:pPr>
      <w:r>
        <w:t xml:space="preserve">EDT</w:t>
      </w:r>
    </w:p>
    <w:bookmarkEnd w:id="96"/>
    <w:bookmarkStart w:id="98" w:name="referencias"/>
    <w:p>
      <w:pPr>
        <w:pStyle w:val="Ttulo2"/>
      </w:pPr>
      <w:r>
        <w:t xml:space="preserve">Referencias</w:t>
      </w:r>
    </w:p>
    <w:bookmarkStart w:id="97" w:name="refs"/>
    <w:bookmarkEnd w:id="97"/>
    <w:bookmarkEnd w:id="9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51" Target="media/rId51.jpg" /><Relationship Type="http://schemas.openxmlformats.org/officeDocument/2006/relationships/image" Id="rId66" Target="media/rId66.jpg" /><Relationship Type="http://schemas.openxmlformats.org/officeDocument/2006/relationships/image" Id="rId81" Target="media/rId81.jpg" /><Relationship Type="http://schemas.openxmlformats.org/officeDocument/2006/relationships/image" Id="rId39" Target="media/rId39.jpg" /><Relationship Type="http://schemas.openxmlformats.org/officeDocument/2006/relationships/image" Id="rId34" Target="media/rId34.png" /><Relationship Type="http://schemas.openxmlformats.org/officeDocument/2006/relationships/image" Id="rId89" Target="media/rId89.png" /><Relationship Type="http://schemas.openxmlformats.org/officeDocument/2006/relationships/hyperlink" Id="rId31" Target="" TargetMode="External" /><Relationship Type="http://schemas.openxmlformats.org/officeDocument/2006/relationships/hyperlink" Id="rId26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3" Target="https://github.com/hwong23/e-service/issues" TargetMode="External" /><Relationship Type="http://schemas.openxmlformats.org/officeDocument/2006/relationships/hyperlink" Id="rId21" Target="https://github.com/hwong23/e-service/tree/91be51af1b882d95ed9b5debcac8c6f17ed9c4f3" TargetMode="External" /><Relationship Type="http://schemas.openxmlformats.org/officeDocument/2006/relationships/hyperlink" Id="rId20" Target="https://hwong23.github.io/e-service/v/91be51af1b882d95ed9b5debcac8c6f17ed9c4f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" TargetMode="External" /><Relationship Type="http://schemas.openxmlformats.org/officeDocument/2006/relationships/hyperlink" Id="rId26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3" Target="https://github.com/hwong23/e-service/issues" TargetMode="External" /><Relationship Type="http://schemas.openxmlformats.org/officeDocument/2006/relationships/hyperlink" Id="rId21" Target="https://github.com/hwong23/e-service/tree/91be51af1b882d95ed9b5debcac8c6f17ed9c4f3" TargetMode="External" /><Relationship Type="http://schemas.openxmlformats.org/officeDocument/2006/relationships/hyperlink" Id="rId20" Target="https://hwong23.github.io/e-service/v/91be51af1b882d95ed9b5debcac8c6f17ed9c4f3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gobierno, FNA</cp:keywords>
  <dcterms:created xsi:type="dcterms:W3CDTF">2023-03-31T20:38:01Z</dcterms:created>
  <dcterms:modified xsi:type="dcterms:W3CDTF">2023-03-31T20:38:01Z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2023-03-31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