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hwong23/e-service@9f7b50d</w:t>
        </w:r>
      </w:hyperlink>
      <w:r>
        <w:t xml:space="preserve"> </w:t>
      </w:r>
      <w:r>
        <w:t xml:space="preserve">del May 15,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9f7b50d del 15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6"/>
        <w:gridCol w:w="6264"/>
        <w:gridCol w:w="1080"/>
      </w:tblGrid>
      <w:tr>
        <w:trPr>
          <w:tblHeader w:val="true"/>
        </w:trPr>
        <w:tc>
          <w:tcPr/>
          <w:p>
            <w:pPr>
              <w:pStyle w:val="Compact"/>
            </w:pPr>
          </w:p>
        </w:tc>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PR05. Procesos de mejoramiento de diseño y vigilancia de riesgos técnicos</w:t>
            </w:r>
          </w:p>
        </w:tc>
        <w:tc>
          <w:tcPr/>
          <w:p>
            <w:pPr>
              <w:pStyle w:val="Compact"/>
            </w:pPr>
          </w:p>
        </w:tc>
      </w:tr>
      <w:tr>
        <w:tc>
          <w:tcPr/>
          <w:p>
            <w:pPr>
              <w:pStyle w:val="Compact"/>
            </w:pP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6"/>
        <w:gridCol w:w="6376"/>
        <w:gridCol w:w="1006"/>
      </w:tblGrid>
      <w:tr>
        <w:trPr>
          <w:tblHeader w:val="true"/>
        </w:trPr>
        <w:tc>
          <w:tcPr/>
          <w:p>
            <w:pPr>
              <w:pStyle w:val="Compact"/>
            </w:pPr>
          </w:p>
        </w:tc>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Fase 1</w:t>
            </w: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pPr>
          </w:p>
        </w:tc>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Fase 2</w:t>
            </w:r>
          </w:p>
        </w:tc>
        <w:tc>
          <w:tcPr/>
          <w:p>
            <w:pPr>
              <w:pStyle w:val="Compact"/>
              <w:jc w:val="left"/>
            </w:pPr>
            <w:r>
              <w:t xml:space="preserve">PR14. Administración de las transiciones hacia la arquitectura versión 2.0</w:t>
            </w:r>
          </w:p>
        </w:tc>
        <w:tc>
          <w:tcPr/>
          <w:p>
            <w:pPr>
              <w:pStyle w:val="Compact"/>
            </w:pPr>
          </w:p>
        </w:tc>
      </w:tr>
      <w:tr>
        <w:tc>
          <w:tcPr/>
          <w:p>
            <w:pPr>
              <w:pStyle w:val="Compact"/>
            </w:pP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3</w:t>
            </w:r>
          </w:p>
        </w:tc>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Fase 4</w:t>
            </w:r>
          </w:p>
        </w:tc>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98"/>
        <w:gridCol w:w="6485"/>
        <w:gridCol w:w="935"/>
      </w:tblGrid>
      <w:tr>
        <w:trPr>
          <w:tblHeader w:val="true"/>
        </w:trPr>
        <w:tc>
          <w:tcPr/>
          <w:p>
            <w:pPr>
              <w:pStyle w:val="Compact"/>
            </w:pPr>
          </w:p>
        </w:tc>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Fase 2</w:t>
            </w:r>
          </w:p>
        </w:tc>
        <w:tc>
          <w:tcPr/>
          <w:p>
            <w:pPr>
              <w:pStyle w:val="Compact"/>
              <w:jc w:val="left"/>
            </w:pPr>
            <w:r>
              <w:t xml:space="preserve">PR24. Arquitectura de solución de los proyectos de cierre de brecha</w:t>
            </w:r>
          </w:p>
        </w:tc>
        <w:tc>
          <w:tcPr/>
          <w:p>
            <w:pPr>
              <w:pStyle w:val="Compact"/>
            </w:pPr>
          </w:p>
        </w:tc>
      </w:tr>
      <w:tr>
        <w:tc>
          <w:tcPr/>
          <w:p>
            <w:pPr>
              <w:pStyle w:val="Compact"/>
            </w:pP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9f7b50dc59905f22b0a34f6e9cfb85b096810707" TargetMode="External" /><Relationship Type="http://schemas.openxmlformats.org/officeDocument/2006/relationships/hyperlink" Id="rId20" Target="https://hwong23.github.io/e-service/v/9f7b50dc59905f22b0a34f6e9cfb85b096810707/"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9f7b50dc59905f22b0a34f6e9cfb85b096810707" TargetMode="External" /><Relationship Type="http://schemas.openxmlformats.org/officeDocument/2006/relationships/hyperlink" Id="rId20" Target="https://hwong23.github.io/e-service/v/9f7b50dc59905f22b0a34f6e9cfb85b096810707/"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2023-05-15T04:52:41Z</dcterms:created>
  <dcterms:modified xsi:type="dcterms:W3CDTF">2023-05-15T04:52:41Z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